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1C29" w:rsidP="00734E07" w14:paraId="188A22F5" w14:textId="38148127">
      <w:pPr>
        <w:widowControl/>
        <w:tabs>
          <w:tab w:val="left" w:pos="630"/>
        </w:tabs>
        <w:jc w:val="center"/>
        <w:outlineLvl w:val="0"/>
        <w:rPr>
          <w:b/>
          <w:bCs/>
        </w:rPr>
      </w:pPr>
      <w:r>
        <w:rPr>
          <w:b/>
          <w:bCs/>
        </w:rPr>
        <w:t xml:space="preserve"> </w:t>
      </w:r>
      <w:r w:rsidRPr="009C666F">
        <w:rPr>
          <w:b/>
          <w:bCs/>
        </w:rPr>
        <w:t>SUPPORTING STATEMENT FOR THE</w:t>
      </w:r>
      <w:r w:rsidRPr="009C666F" w:rsidR="00464056">
        <w:rPr>
          <w:b/>
          <w:bCs/>
        </w:rPr>
        <w:br/>
      </w:r>
      <w:r w:rsidRPr="009C666F" w:rsidR="006F5385">
        <w:rPr>
          <w:b/>
          <w:bCs/>
        </w:rPr>
        <w:t xml:space="preserve">COLLECTION OF INFORMATION </w:t>
      </w:r>
      <w:r w:rsidRPr="009C666F">
        <w:rPr>
          <w:b/>
          <w:bCs/>
        </w:rPr>
        <w:t>REQUIREMENTS IN</w:t>
      </w:r>
      <w:r w:rsidRPr="009C666F" w:rsidR="006F5385">
        <w:rPr>
          <w:b/>
          <w:bCs/>
        </w:rPr>
        <w:t xml:space="preserve"> THE</w:t>
      </w:r>
      <w:r w:rsidRPr="009C666F" w:rsidR="00464056">
        <w:rPr>
          <w:b/>
          <w:bCs/>
        </w:rPr>
        <w:t xml:space="preserve"> </w:t>
      </w:r>
      <w:r w:rsidRPr="009C666F" w:rsidR="00464056">
        <w:rPr>
          <w:b/>
          <w:bCs/>
        </w:rPr>
        <w:br/>
      </w:r>
      <w:r w:rsidRPr="009C666F">
        <w:rPr>
          <w:rFonts w:cs="Shruti"/>
          <w:b/>
          <w:bCs/>
        </w:rPr>
        <w:t>ASBESTOS IN CONSTRUCTION STANDARD</w:t>
      </w:r>
      <w:r w:rsidR="00A77593">
        <w:rPr>
          <w:rFonts w:cs="Shruti"/>
          <w:b/>
          <w:bCs/>
        </w:rPr>
        <w:t xml:space="preserve"> </w:t>
      </w:r>
      <w:r w:rsidRPr="009C666F">
        <w:rPr>
          <w:rFonts w:cs="Shruti"/>
          <w:b/>
          <w:bCs/>
        </w:rPr>
        <w:t>(29 CFR 1926.1101)</w:t>
      </w:r>
      <w:r>
        <w:rPr>
          <w:rStyle w:val="FootnoteReference"/>
          <w:rFonts w:cs="Shruti"/>
          <w:b/>
          <w:bCs/>
          <w:vertAlign w:val="superscript"/>
        </w:rPr>
        <w:footnoteReference w:id="3"/>
      </w:r>
      <w:r w:rsidRPr="009C666F" w:rsidR="00E13DB2">
        <w:rPr>
          <w:rFonts w:cs="Shruti"/>
          <w:b/>
          <w:bCs/>
        </w:rPr>
        <w:t xml:space="preserve"> </w:t>
      </w:r>
      <w:r w:rsidRPr="009C666F" w:rsidR="00E13DB2">
        <w:rPr>
          <w:rFonts w:cs="Shruti"/>
          <w:b/>
          <w:bCs/>
        </w:rPr>
        <w:br/>
      </w:r>
      <w:r w:rsidRPr="009C666F" w:rsidR="001269FA">
        <w:rPr>
          <w:b/>
          <w:bCs/>
        </w:rPr>
        <w:t>OFFICE OF MANAGEMENT AND BUDGET (</w:t>
      </w:r>
      <w:r w:rsidRPr="009C666F">
        <w:rPr>
          <w:b/>
          <w:bCs/>
        </w:rPr>
        <w:t>OMB</w:t>
      </w:r>
      <w:r w:rsidRPr="009C666F" w:rsidR="001269FA">
        <w:rPr>
          <w:b/>
          <w:bCs/>
        </w:rPr>
        <w:t>)</w:t>
      </w:r>
      <w:r w:rsidRPr="009C666F" w:rsidR="00E13DB2">
        <w:rPr>
          <w:b/>
          <w:bCs/>
        </w:rPr>
        <w:t xml:space="preserve"> </w:t>
      </w:r>
      <w:r w:rsidRPr="009C666F" w:rsidR="00E13DB2">
        <w:rPr>
          <w:b/>
          <w:bCs/>
        </w:rPr>
        <w:br/>
      </w:r>
      <w:r w:rsidRPr="009C666F">
        <w:rPr>
          <w:b/>
          <w:bCs/>
        </w:rPr>
        <w:t>CON</w:t>
      </w:r>
      <w:r w:rsidRPr="009C666F" w:rsidR="000E4EE8">
        <w:rPr>
          <w:b/>
          <w:bCs/>
        </w:rPr>
        <w:t>TROL NO. 1218-0134 (</w:t>
      </w:r>
      <w:r w:rsidR="004E4F77">
        <w:rPr>
          <w:b/>
          <w:bCs/>
        </w:rPr>
        <w:t>October</w:t>
      </w:r>
      <w:r w:rsidR="00B6146A">
        <w:rPr>
          <w:b/>
          <w:bCs/>
        </w:rPr>
        <w:t xml:space="preserve"> </w:t>
      </w:r>
      <w:r w:rsidRPr="009C666F" w:rsidR="00352D46">
        <w:rPr>
          <w:b/>
          <w:bCs/>
        </w:rPr>
        <w:t>202</w:t>
      </w:r>
      <w:r w:rsidR="003E683F">
        <w:rPr>
          <w:b/>
          <w:bCs/>
        </w:rPr>
        <w:t>4</w:t>
      </w:r>
      <w:r w:rsidRPr="009C666F">
        <w:rPr>
          <w:b/>
          <w:bCs/>
        </w:rPr>
        <w:t>)</w:t>
      </w:r>
    </w:p>
    <w:p w:rsidR="00F64942" w:rsidRPr="0063321E" w:rsidP="0063321E" w14:paraId="066BD74A" w14:textId="77777777"/>
    <w:p w:rsidR="00F64942" w:rsidRPr="0063321E" w:rsidP="0063321E" w14:paraId="722EF3E4" w14:textId="77777777"/>
    <w:p w:rsidR="00A91C29" w:rsidRPr="003E683F" w:rsidP="003E683F" w14:paraId="0EF05DBD" w14:textId="0381B3F9">
      <w:pPr>
        <w:pStyle w:val="paragraph"/>
        <w:spacing w:before="0" w:beforeAutospacing="0" w:after="0" w:afterAutospacing="0"/>
        <w:textAlignment w:val="baseline"/>
        <w:rPr>
          <w:rFonts w:ascii="Segoe UI" w:hAnsi="Segoe UI" w:cs="Segoe UI"/>
        </w:rPr>
      </w:pPr>
      <w:r w:rsidRPr="003E683F">
        <w:rPr>
          <w:rStyle w:val="normaltextrun"/>
        </w:rPr>
        <w:t>This is a request to extend a currently approved data collection.  </w:t>
      </w:r>
      <w:r w:rsidRPr="003E683F">
        <w:rPr>
          <w:rStyle w:val="eop"/>
        </w:rPr>
        <w:t> </w:t>
      </w:r>
    </w:p>
    <w:p w:rsidR="00A91C29" w:rsidRPr="009C666F" w:rsidP="00967CC3" w14:paraId="3648C865" w14:textId="77777777">
      <w:pPr>
        <w:pStyle w:val="Heading1"/>
      </w:pPr>
      <w:r w:rsidRPr="009C666F">
        <w:t>J</w:t>
      </w:r>
      <w:r w:rsidRPr="009C666F" w:rsidR="00E13DB2">
        <w:t>ustification</w:t>
      </w:r>
    </w:p>
    <w:p w:rsidR="00A91C29" w:rsidRPr="009C666F" w:rsidP="00073F55" w14:paraId="2B47CC32" w14:textId="0200071C">
      <w:pPr>
        <w:pStyle w:val="Heading2"/>
      </w:pPr>
      <w:r w:rsidRPr="009C666F">
        <w:t>Explain the circumstances that make the collection of information necessary</w:t>
      </w:r>
      <w:r w:rsidRPr="009C666F" w:rsidR="00A07F70">
        <w:t xml:space="preserve">. </w:t>
      </w:r>
      <w:r w:rsidRPr="009C666F">
        <w:t>Identify any legal or administrative requirements that necessitate the collection</w:t>
      </w:r>
      <w:r w:rsidRPr="009C666F" w:rsidR="00A07F70">
        <w:t xml:space="preserve">. </w:t>
      </w:r>
      <w:r w:rsidRPr="009C666F">
        <w:t>Attach a copy of the appropriate section of each statute and regulation mandating or authorizing the collection of information.</w:t>
      </w:r>
    </w:p>
    <w:p w:rsidR="00A91C29" w:rsidRPr="009C666F" w:rsidP="005611D0" w14:paraId="7C716D08" w14:textId="77777777">
      <w:pPr>
        <w:pStyle w:val="BodyText"/>
      </w:pPr>
      <w:r w:rsidRPr="009C666F">
        <w:t>The main objective of the Occupational Safety and Health Act (OSH Act) is to "assure so far as possible every working man and woman in the Nation safe and healthful working conditions and to preserve our human resources" (29 U.S.C. 651)</w:t>
      </w:r>
      <w:r w:rsidRPr="009C666F" w:rsidR="00A07F70">
        <w:t xml:space="preserve">. </w:t>
      </w:r>
      <w:r w:rsidRPr="009C666F">
        <w:t xml:space="preserve"> To achieve this objective, the OSH Act specifically authorizes the "development and promulgation of occupational safety and health regulations" (29 U.S.C. 651).</w:t>
      </w:r>
    </w:p>
    <w:p w:rsidR="00A91C29" w:rsidRPr="009C666F" w:rsidP="005611D0" w14:paraId="2670C810" w14:textId="20CF0188">
      <w:pPr>
        <w:pStyle w:val="BodyText"/>
        <w:rPr>
          <w:rFonts w:cs="Shruti"/>
        </w:rPr>
      </w:pPr>
      <w:r w:rsidRPr="009C666F">
        <w:rPr>
          <w:rFonts w:cs="Shruti"/>
        </w:rPr>
        <w:t xml:space="preserve">To protect employee health, the OSH Act authorizes the Occupational Safety and Health Administration (OSHA) to develop standards that provide for </w:t>
      </w:r>
      <w:r w:rsidRPr="009C666F">
        <w:t>"</w:t>
      </w:r>
      <w:r w:rsidRPr="009C666F">
        <w:rPr>
          <w:rFonts w:cs="Shruti"/>
        </w:rPr>
        <w:t>monitoring or measuring employee exposure</w:t>
      </w:r>
      <w:r w:rsidRPr="009C666F">
        <w:t>"</w:t>
      </w:r>
      <w:r w:rsidRPr="009C666F">
        <w:rPr>
          <w:rFonts w:cs="Shruti"/>
        </w:rPr>
        <w:t xml:space="preserve"> to occupational hazards and to </w:t>
      </w:r>
      <w:r w:rsidRPr="009C666F">
        <w:t>"</w:t>
      </w:r>
      <w:r w:rsidRPr="009C666F">
        <w:rPr>
          <w:rFonts w:cs="Shruti"/>
        </w:rPr>
        <w:t>prescribe the type and frequency of medical examinations and other tests which shall be made available [by the employer] to employees exposed to such hazards in order to most effectively determine whether the health of such employees is adversely affected by such exposure</w:t>
      </w:r>
      <w:r w:rsidRPr="009C666F">
        <w:t>"</w:t>
      </w:r>
      <w:r w:rsidRPr="009C666F">
        <w:rPr>
          <w:rFonts w:cs="Shruti"/>
        </w:rPr>
        <w:t xml:space="preserve"> (29 U.S.C. 655)</w:t>
      </w:r>
      <w:r w:rsidRPr="009C666F" w:rsidR="00A07F70">
        <w:rPr>
          <w:rFonts w:cs="Shruti"/>
        </w:rPr>
        <w:t xml:space="preserve">. </w:t>
      </w:r>
      <w:r w:rsidRPr="009C666F">
        <w:rPr>
          <w:rFonts w:cs="Shruti"/>
        </w:rPr>
        <w:t xml:space="preserve">In addition, the OSH Act mandates that </w:t>
      </w:r>
      <w:r w:rsidRPr="009C666F">
        <w:t>"</w:t>
      </w:r>
      <w:r w:rsidRPr="009C666F">
        <w:rPr>
          <w:rFonts w:cs="Shruti"/>
        </w:rPr>
        <w:t>[e]ach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w:t>
      </w:r>
      <w:r w:rsidRPr="009C666F">
        <w:t>"</w:t>
      </w:r>
      <w:r w:rsidRPr="009C666F">
        <w:rPr>
          <w:rFonts w:cs="Shruti"/>
        </w:rPr>
        <w:t xml:space="preserve"> (29 U.S.C. 657)</w:t>
      </w:r>
      <w:r w:rsidRPr="009C666F" w:rsidR="00A07F70">
        <w:rPr>
          <w:rFonts w:cs="Shruti"/>
        </w:rPr>
        <w:t xml:space="preserve">. </w:t>
      </w:r>
      <w:r w:rsidRPr="009C666F">
        <w:rPr>
          <w:rFonts w:cs="Shruti"/>
        </w:rPr>
        <w:t xml:space="preserve">In addition, the OSH Act directs OSHA to </w:t>
      </w:r>
      <w:r w:rsidRPr="009C666F">
        <w:t>"</w:t>
      </w:r>
      <w:r w:rsidRPr="009C666F">
        <w:rPr>
          <w:rFonts w:cs="Shruti"/>
        </w:rPr>
        <w:t xml:space="preserve">issue regulations requiring employers to maintain accurate records of employee exposure to potentially toxic materials or other harmful physical agents which are required to be monitored and measured," and further specifies that such regulations provide </w:t>
      </w:r>
      <w:r w:rsidRPr="009C666F">
        <w:t>"</w:t>
      </w:r>
      <w:r w:rsidRPr="009C666F">
        <w:rPr>
          <w:rFonts w:cs="Shruti"/>
        </w:rPr>
        <w:t>for each employee or former employee to have access to such records as will indicate [their] own exposure to toxic materials or harmful physical agents</w:t>
      </w:r>
      <w:r w:rsidRPr="009C666F">
        <w:t>"</w:t>
      </w:r>
      <w:r w:rsidRPr="009C666F">
        <w:rPr>
          <w:rFonts w:cs="Shruti"/>
        </w:rPr>
        <w:t xml:space="preserve"> (29 U.S.C. 657)</w:t>
      </w:r>
      <w:r w:rsidRPr="009C666F" w:rsidR="00A07F70">
        <w:rPr>
          <w:rFonts w:cs="Shruti"/>
        </w:rPr>
        <w:t xml:space="preserve">. </w:t>
      </w:r>
      <w:r w:rsidRPr="009C666F">
        <w:rPr>
          <w:rFonts w:cs="Shruti"/>
        </w:rPr>
        <w:t xml:space="preserve">The OSH Act states further that </w:t>
      </w:r>
      <w:r w:rsidRPr="009C666F">
        <w:t>"</w:t>
      </w:r>
      <w:r w:rsidRPr="009C666F">
        <w:rPr>
          <w:rFonts w:cs="Shruti"/>
        </w:rPr>
        <w:t xml:space="preserve">[t]he Secretary . . . </w:t>
      </w:r>
    </w:p>
    <w:p w:rsidR="00A91C29" w:rsidRPr="009C666F" w:rsidP="00872CE2" w14:paraId="5D2204A2" w14:textId="723398EE">
      <w:pPr>
        <w:pStyle w:val="BodyText"/>
      </w:pPr>
      <w:r w:rsidRPr="009C666F">
        <w:t>shall . . .</w:t>
      </w:r>
      <w:r w:rsidR="0040344E">
        <w:t xml:space="preserve"> </w:t>
      </w:r>
      <w:r w:rsidRPr="009C666F">
        <w:t xml:space="preserve">prescribe such rules and regulations as [he/she] may deem necessary to carry out </w:t>
      </w:r>
      <w:r w:rsidRPr="009C666F">
        <w:rPr>
          <w:rFonts w:cs="Shruti"/>
        </w:rPr>
        <w:t>[his/her] responsibilities under this Act, including rules and regulations dealing with the inspection of an employer’s establishment</w:t>
      </w:r>
      <w:r w:rsidRPr="009C666F">
        <w:t>"</w:t>
      </w:r>
      <w:r w:rsidRPr="009C666F">
        <w:rPr>
          <w:rFonts w:cs="Shruti"/>
        </w:rPr>
        <w:t xml:space="preserve"> (29 U.S.C. 651)</w:t>
      </w:r>
      <w:r w:rsidR="0040344E">
        <w:rPr>
          <w:rFonts w:cs="Shruti"/>
        </w:rPr>
        <w:t>.</w:t>
      </w:r>
    </w:p>
    <w:p w:rsidR="00A91C29" w:rsidRPr="009C666F" w:rsidP="005611D0" w14:paraId="7D189716" w14:textId="6CB416E0">
      <w:pPr>
        <w:pStyle w:val="BodyText"/>
        <w:rPr>
          <w:b/>
          <w:bCs/>
        </w:rPr>
      </w:pPr>
      <w:r w:rsidRPr="009C666F">
        <w:rPr>
          <w:rFonts w:cs="Shruti"/>
        </w:rPr>
        <w:t>Under the authority granted by the OSH Act, OSHA published a health standard governing employee exposure</w:t>
      </w:r>
      <w:r w:rsidRPr="009C666F">
        <w:t xml:space="preserve"> to asbestos in construction (29 CFR 1926.1101)</w:t>
      </w:r>
      <w:r w:rsidRPr="009C666F" w:rsidR="00A07F70">
        <w:t xml:space="preserve">. </w:t>
      </w:r>
      <w:r w:rsidRPr="009C666F">
        <w:t>The basis for this standard is a determination by the Assistant Secretary for OSHA that occupational exposure to asbestos poses a hazard to workers</w:t>
      </w:r>
      <w:r w:rsidRPr="009C666F" w:rsidR="00A07F70">
        <w:t xml:space="preserve">. </w:t>
      </w:r>
      <w:r w:rsidRPr="009C666F">
        <w:t>Years of exposure to asbestos can cause numerous disabling or fatal diseases</w:t>
      </w:r>
      <w:r w:rsidRPr="009C666F" w:rsidR="00A07F70">
        <w:t xml:space="preserve">. </w:t>
      </w:r>
      <w:r w:rsidRPr="009C666F">
        <w:t>Among these diseases are asbestosis, a disease in which lung scarring (fibrosis) impairs breathing and causes death from respiratory or heart failure; lung cancer; mesothelioma, a cancerous tumor that spreads rapidly in the cells of membranes covering the lungs and body organs; and gastrointestinal cancer</w:t>
      </w:r>
      <w:r w:rsidRPr="009C666F" w:rsidR="00A07F70">
        <w:t xml:space="preserve">. </w:t>
      </w:r>
    </w:p>
    <w:p w:rsidR="00B93C8A" w:rsidRPr="009C666F" w:rsidP="005611D0" w14:paraId="336917D6" w14:textId="77777777">
      <w:pPr>
        <w:pStyle w:val="Heading2"/>
      </w:pPr>
      <w:r w:rsidRPr="009C666F">
        <w:t>Indicate how, by whom, and for what purpose the information is to be used</w:t>
      </w:r>
      <w:r w:rsidRPr="009C666F" w:rsidR="00A07F70">
        <w:t xml:space="preserve">. </w:t>
      </w:r>
      <w:r w:rsidRPr="009C666F">
        <w:t>Except for a new collection, indicate the actual use the agency has made of the information received from the current collection.</w:t>
      </w:r>
    </w:p>
    <w:p w:rsidR="00A91C29" w:rsidRPr="009C666F" w:rsidP="005611D0" w14:paraId="5C80A9CA" w14:textId="77777777">
      <w:pPr>
        <w:pStyle w:val="Heading3"/>
      </w:pPr>
      <w:r w:rsidRPr="009C666F">
        <w:t>Multi-employer worksites (§1926.1101(d))</w:t>
      </w:r>
    </w:p>
    <w:p w:rsidR="00A91C29" w:rsidRPr="009C666F" w:rsidP="005611D0" w14:paraId="4EFE9647" w14:textId="77777777">
      <w:pPr>
        <w:pStyle w:val="BodyText"/>
      </w:pPr>
      <w:r w:rsidRPr="009C666F">
        <w:rPr>
          <w:bCs/>
          <w:i/>
        </w:rPr>
        <w:t xml:space="preserve">§1926.1101(d)(1) </w:t>
      </w:r>
      <w:r w:rsidRPr="009C666F">
        <w:rPr>
          <w:b/>
          <w:bCs/>
        </w:rPr>
        <w:t xml:space="preserve">- </w:t>
      </w:r>
      <w:r w:rsidRPr="009C666F">
        <w:t>On multi-employer worksites, an employer performing work requiring the establishment of a regulated area shall inform other employers on the site of the nature of the employer's work with asbestos and/or presumed asbestos containing material (PACM), of the existence of and requirements pertaining to regulated areas, and the measures taken to ensure that employees of such other employers are not exposed to asbestos.</w:t>
      </w:r>
    </w:p>
    <w:p w:rsidR="00A91C29" w:rsidRPr="009C666F" w:rsidP="005611D0" w14:paraId="17D81137" w14:textId="77777777">
      <w:pPr>
        <w:pStyle w:val="BodyText"/>
      </w:pPr>
      <w:r w:rsidRPr="009C666F">
        <w:rPr>
          <w:b/>
          <w:u w:val="single"/>
        </w:rPr>
        <w:t>Purpose</w:t>
      </w:r>
      <w:r w:rsidRPr="009C666F">
        <w:t>:  Informing other employers at the worksite of asbestos and/or PACM ensures that the hazards concerning asbestos are known to all employers and employees working near this toxin; so that proper measures can be taken to eliminate any unnecessary exposures.</w:t>
      </w:r>
    </w:p>
    <w:p w:rsidR="00A91C29" w:rsidRPr="009C666F" w:rsidP="005611D0" w14:paraId="57192247" w14:textId="77777777">
      <w:pPr>
        <w:pStyle w:val="Heading3"/>
      </w:pPr>
      <w:r w:rsidRPr="009C666F">
        <w:t>Regulated areas (§1926.1101(e))</w:t>
      </w:r>
    </w:p>
    <w:p w:rsidR="00A91C29" w:rsidRPr="009C666F" w:rsidP="00A053BB" w14:paraId="7A44D994" w14:textId="77777777">
      <w:pPr>
        <w:widowControl/>
        <w:autoSpaceDE/>
        <w:autoSpaceDN/>
        <w:adjustRightInd/>
        <w:rPr>
          <w:color w:val="000000"/>
        </w:rPr>
      </w:pPr>
      <w:r w:rsidRPr="009C666F">
        <w:rPr>
          <w:bCs/>
          <w:i/>
        </w:rPr>
        <w:t>§</w:t>
      </w:r>
      <w:hyperlink r:id="rId9" w:history="1">
        <w:r w:rsidRPr="009C666F">
          <w:rPr>
            <w:bCs/>
            <w:i/>
          </w:rPr>
          <w:t>1926.1101(e)(1)</w:t>
        </w:r>
      </w:hyperlink>
      <w:r w:rsidRPr="009C666F">
        <w:rPr>
          <w:color w:val="000000"/>
        </w:rPr>
        <w:t xml:space="preserve"> - All Class I, II and III</w:t>
      </w:r>
      <w:r>
        <w:rPr>
          <w:rStyle w:val="FootnoteReference"/>
          <w:vertAlign w:val="superscript"/>
        </w:rPr>
        <w:footnoteReference w:id="4"/>
      </w:r>
      <w:r w:rsidRPr="009C666F">
        <w:rPr>
          <w:color w:val="000000"/>
        </w:rPr>
        <w:t xml:space="preserve"> asbestos work shall be conducted within regulated areas. All other operations covered by this standard shall be conducted within a regulated area where airborne concentrations of asbestos exceed, or there is a reasonable possibility they may exceed a PEL. Regulated areas shall comply with the requirements of paragraphs (2), (3)</w:t>
      </w:r>
      <w:r w:rsidRPr="009C666F" w:rsidR="001269FA">
        <w:rPr>
          <w:color w:val="000000"/>
        </w:rPr>
        <w:t>, (</w:t>
      </w:r>
      <w:r w:rsidRPr="009C666F">
        <w:rPr>
          <w:color w:val="000000"/>
        </w:rPr>
        <w:t>4) and (5) of this section.</w:t>
      </w:r>
    </w:p>
    <w:p w:rsidR="00772E53" w:rsidRPr="009C666F" w:rsidP="00A053BB" w14:paraId="3E5BF029" w14:textId="77777777">
      <w:pPr>
        <w:widowControl/>
        <w:autoSpaceDE/>
        <w:autoSpaceDN/>
        <w:adjustRightInd/>
        <w:rPr>
          <w:bCs/>
          <w:i/>
          <w:iCs/>
          <w:color w:val="000000"/>
        </w:rPr>
      </w:pPr>
      <w:bookmarkStart w:id="0" w:name="1926.1101(e)(2)"/>
      <w:bookmarkEnd w:id="0"/>
    </w:p>
    <w:p w:rsidR="00A91C29" w:rsidRPr="009C666F" w:rsidP="00A053BB" w14:paraId="68193639" w14:textId="77777777">
      <w:pPr>
        <w:widowControl/>
        <w:autoSpaceDE/>
        <w:autoSpaceDN/>
        <w:adjustRightInd/>
      </w:pPr>
      <w:r w:rsidRPr="009C666F">
        <w:rPr>
          <w:bCs/>
          <w:i/>
          <w:iCs/>
          <w:color w:val="000000"/>
        </w:rPr>
        <w:t>Demarcation</w:t>
      </w:r>
      <w:r w:rsidRPr="009C666F">
        <w:rPr>
          <w:color w:val="000000"/>
        </w:rPr>
        <w:t xml:space="preserve"> </w:t>
      </w:r>
      <w:r w:rsidRPr="009C666F">
        <w:rPr>
          <w:bCs/>
          <w:i/>
        </w:rPr>
        <w:t>§1926.1101(e)(2)</w:t>
      </w:r>
      <w:r w:rsidRPr="009C666F">
        <w:rPr>
          <w:i/>
        </w:rPr>
        <w:t xml:space="preserve"> </w:t>
      </w:r>
      <w:r w:rsidRPr="009C666F">
        <w:rPr>
          <w:color w:val="000000"/>
        </w:rPr>
        <w:t xml:space="preserve">- The regulated area shall be demarcated in any manner that minimizes the number of persons within the area and protects persons outside the area from exposure to airborne asbestos. Where critical barriers or negative pressure enclosures are used, </w:t>
      </w:r>
      <w:r w:rsidRPr="009C666F">
        <w:rPr>
          <w:color w:val="000000"/>
        </w:rPr>
        <w:t>they may demarcate the regulated area. Signs shall be provided and displayed pursuant to the requirements of paragraph (k)(7) of this section.</w:t>
      </w:r>
    </w:p>
    <w:p w:rsidR="00A91C29" w:rsidRPr="009C666F" w:rsidP="00A053BB" w14:paraId="2A42270A" w14:textId="77777777">
      <w:pPr>
        <w:widowControl/>
        <w:rPr>
          <w:b/>
          <w:bCs/>
        </w:rPr>
      </w:pPr>
    </w:p>
    <w:p w:rsidR="00A91C29" w:rsidRPr="009C666F" w:rsidP="00A053BB" w14:paraId="46E0678D" w14:textId="77777777">
      <w:pPr>
        <w:widowControl/>
      </w:pPr>
      <w:r w:rsidRPr="009C666F">
        <w:rPr>
          <w:b/>
          <w:u w:val="single"/>
        </w:rPr>
        <w:t>Purpose</w:t>
      </w:r>
      <w:r w:rsidRPr="009C666F">
        <w:t>:  Designated areas where employee exposures are over the PELs warn employees who are not essential to the performance of tasks within the areas to keep out</w:t>
      </w:r>
      <w:r w:rsidRPr="009C666F" w:rsidR="00A07F70">
        <w:t xml:space="preserve">. </w:t>
      </w:r>
      <w:r w:rsidRPr="009C666F">
        <w:t>Demarcation also warns employees required to be in the regulated area that respirators need to be worn to avoid excessive exposure via inhalation and that good personal hygiene must be practiced to avoid exposure to</w:t>
      </w:r>
      <w:r w:rsidRPr="009C666F">
        <w:rPr>
          <w:b/>
          <w:bCs/>
        </w:rPr>
        <w:t xml:space="preserve"> </w:t>
      </w:r>
      <w:r w:rsidRPr="009C666F">
        <w:t xml:space="preserve">asbestos via ingestion. </w:t>
      </w:r>
    </w:p>
    <w:p w:rsidR="00A91C29" w:rsidRPr="009C666F" w:rsidP="00E5787A" w14:paraId="29F1598D" w14:textId="77777777">
      <w:pPr>
        <w:pStyle w:val="Heading3"/>
      </w:pPr>
      <w:r w:rsidRPr="009C666F">
        <w:t>Exposure assessments and monitoring (§1926.1101(f))</w:t>
      </w:r>
    </w:p>
    <w:p w:rsidR="00A91C29" w:rsidRPr="009C666F" w:rsidP="00967CC3" w14:paraId="2B053B15" w14:textId="77777777">
      <w:pPr>
        <w:pStyle w:val="BodyText"/>
      </w:pPr>
      <w:r w:rsidRPr="009C666F">
        <w:rPr>
          <w:bCs/>
          <w:i/>
          <w:iCs/>
        </w:rPr>
        <w:t>Initial Exposure Assessment</w:t>
      </w:r>
      <w:r w:rsidRPr="009C666F">
        <w:rPr>
          <w:i/>
        </w:rPr>
        <w:t xml:space="preserve"> </w:t>
      </w:r>
      <w:r w:rsidRPr="009C666F">
        <w:rPr>
          <w:bCs/>
          <w:i/>
        </w:rPr>
        <w:t>§</w:t>
      </w:r>
      <w:hyperlink r:id="rId10" w:history="1">
        <w:r w:rsidRPr="009C666F">
          <w:rPr>
            <w:bCs/>
            <w:i/>
          </w:rPr>
          <w:t>1926.1101(f)(2)</w:t>
        </w:r>
      </w:hyperlink>
      <w:r w:rsidRPr="009C666F">
        <w:rPr>
          <w:bCs/>
          <w:i/>
        </w:rPr>
        <w:t>(i)</w:t>
      </w:r>
      <w:r w:rsidRPr="009C666F">
        <w:rPr>
          <w:i/>
        </w:rPr>
        <w:t xml:space="preserve"> -</w:t>
      </w:r>
      <w:bookmarkStart w:id="1" w:name="1926.1101(f)(2)(i)"/>
      <w:bookmarkEnd w:id="1"/>
      <w:r w:rsidRPr="009C666F">
        <w:rPr>
          <w:i/>
        </w:rPr>
        <w:t xml:space="preserve"> </w:t>
      </w:r>
      <w:r w:rsidRPr="009C666F">
        <w:t>Each employer who has a workplace or work operation covered by this standard shall ensure that a "competent person"</w:t>
      </w:r>
      <w:r>
        <w:rPr>
          <w:rStyle w:val="FootnoteReference"/>
          <w:vertAlign w:val="superscript"/>
        </w:rPr>
        <w:footnoteReference w:id="5"/>
      </w:r>
      <w:r w:rsidRPr="009C666F">
        <w:t xml:space="preserve"> conducts an exposure assessment immediately before or at the initiation of the operation to ascertain expected exposures during that operation or workplace. The assessment must be completed in time to comply with requirements which are triggered by exposure data or the lack of a "negative exposure assessment," and to provide information necessary to assure that all control systems planned are appropriate for that operation and will work properly.</w:t>
      </w:r>
    </w:p>
    <w:p w:rsidR="00A91C29" w:rsidRPr="009C666F" w:rsidP="00967CC3" w14:paraId="02B86BB3" w14:textId="173D8BBB">
      <w:pPr>
        <w:pStyle w:val="BodyText"/>
        <w:rPr>
          <w:rFonts w:ascii="Verdana" w:hAnsi="Verdana"/>
          <w:b/>
          <w:bCs/>
          <w:color w:val="757575"/>
          <w:sz w:val="14"/>
        </w:rPr>
      </w:pPr>
      <w:r w:rsidRPr="009C666F">
        <w:rPr>
          <w:bCs/>
          <w:i/>
        </w:rPr>
        <w:t>§1926.1101(f)(2)(iii)</w:t>
      </w:r>
      <w:r w:rsidRPr="009C666F">
        <w:rPr>
          <w:i/>
        </w:rPr>
        <w:t xml:space="preserve"> -</w:t>
      </w:r>
      <w:r w:rsidRPr="009C666F">
        <w:t xml:space="preserve"> Negative Exposure Assessment: For any one specific asbestos job which will be performed by employees who have been trained in compliance with the standard, the employer may demonstrate that employee exposures will be below the PELs by data which conform to the following criteria</w:t>
      </w:r>
      <w:r w:rsidRPr="009C666F" w:rsidR="00967CC3">
        <w:t>:</w:t>
      </w:r>
      <w:bookmarkStart w:id="2" w:name="1926.1101(f)(2)(iii)(A)"/>
      <w:bookmarkEnd w:id="2"/>
    </w:p>
    <w:p w:rsidR="00A91C29" w:rsidRPr="009C666F" w:rsidP="00E5787A" w14:paraId="7808680C" w14:textId="77777777">
      <w:pPr>
        <w:pStyle w:val="BodyTextIndent"/>
      </w:pPr>
      <w:r w:rsidRPr="009C666F">
        <w:rPr>
          <w:bCs/>
          <w:u w:val="single"/>
        </w:rPr>
        <w:t>§1926.1101(f)(2)(iii)(A)</w:t>
      </w:r>
      <w:r w:rsidRPr="009C666F">
        <w:rPr>
          <w:rFonts w:ascii="Verdana" w:hAnsi="Verdana"/>
          <w:sz w:val="19"/>
        </w:rPr>
        <w:t xml:space="preserve"> - </w:t>
      </w:r>
      <w:r w:rsidRPr="009C666F">
        <w:t>Objective data demonstrating that the product or material containing asbestos minerals or the activity involving such product or material cannot release airborne fibers in concentrations exceeding the TWA and excursion limit under those work conditions having the greatest potential for releasing asbestos; or</w:t>
      </w:r>
    </w:p>
    <w:p w:rsidR="00A91C29" w:rsidRPr="009C666F" w:rsidP="00967CC3" w14:paraId="758C9323" w14:textId="77777777">
      <w:pPr>
        <w:pStyle w:val="BodyText"/>
        <w:ind w:left="720"/>
      </w:pPr>
      <w:bookmarkStart w:id="3" w:name="1926.1101(f)(2)(iii)(B)"/>
      <w:bookmarkEnd w:id="3"/>
      <w:r w:rsidRPr="009C666F">
        <w:rPr>
          <w:bCs/>
          <w:u w:val="single"/>
        </w:rPr>
        <w:t>§1926.1101(f)(2)(iii)(B)</w:t>
      </w:r>
      <w:r w:rsidRPr="009C666F">
        <w:t xml:space="preserve"> - Where the employer has monitored prior asbestos jobs for the PEL and the excursion limit within 12 months of the current or projected job, the monitoring and analysis were performed in compliance with the asbestos standard in effect; and the data were obtained during work operations conducted under workplace conditions "closely resembling" the processes, type of material, control methods, work practices, and environmental conditions used and prevailing in the employer's current operations, the operations were conducted by employees whose training and experience </w:t>
      </w:r>
      <w:r w:rsidRPr="009C666F">
        <w:t>are no more extensive than that of employees performing the current job, and these data show that under the conditions prevailing and which will prevail in the current workplace there is a high degree of certainty that employee exposures will not exceed the TWA and excursion limit; or</w:t>
      </w:r>
    </w:p>
    <w:p w:rsidR="00A91C29" w:rsidRPr="009C666F" w:rsidP="00967CC3" w14:paraId="2CF5A385" w14:textId="77777777">
      <w:pPr>
        <w:pStyle w:val="BodyText"/>
        <w:ind w:left="720"/>
      </w:pPr>
      <w:bookmarkStart w:id="4" w:name="1926.1101(f)(2)(iii)(C)"/>
      <w:bookmarkEnd w:id="4"/>
      <w:r w:rsidRPr="009C666F">
        <w:rPr>
          <w:bCs/>
          <w:u w:val="single"/>
        </w:rPr>
        <w:t>§1926.1101(f)(2)(iii)(C)</w:t>
      </w:r>
      <w:r w:rsidRPr="009C666F">
        <w:rPr>
          <w:i/>
        </w:rPr>
        <w:t xml:space="preserve"> </w:t>
      </w:r>
      <w:r w:rsidRPr="009C666F">
        <w:t>- The results of initial exposure monitoring of the current job made from breathing zone air samples that are representative of the 8-hour TWA and 30-minute short-term exposures of each employee covering operations which are most likely during the performance of the entire asbestos job to result in exposures over the PELs.</w:t>
      </w:r>
    </w:p>
    <w:p w:rsidR="00A91C29" w:rsidRPr="009C666F" w:rsidP="00967CC3" w14:paraId="668EFE41" w14:textId="77777777">
      <w:pPr>
        <w:pStyle w:val="Heading4"/>
      </w:pPr>
      <w:r w:rsidRPr="009C666F">
        <w:t xml:space="preserve">Periodic monitoring §1926.1101(f)(3) </w:t>
      </w:r>
    </w:p>
    <w:p w:rsidR="00A91C29" w:rsidRPr="009C666F" w:rsidP="00967CC3" w14:paraId="16BCF4C2" w14:textId="77777777">
      <w:pPr>
        <w:pStyle w:val="BodyText"/>
      </w:pPr>
      <w:r w:rsidRPr="009C666F">
        <w:rPr>
          <w:bCs/>
          <w:i/>
          <w:iCs/>
        </w:rPr>
        <w:t>Class I and II operations</w:t>
      </w:r>
      <w:r w:rsidRPr="009C666F">
        <w:rPr>
          <w:i/>
        </w:rPr>
        <w:t xml:space="preserve"> </w:t>
      </w:r>
      <w:r w:rsidRPr="009C666F">
        <w:rPr>
          <w:bCs/>
          <w:i/>
        </w:rPr>
        <w:t>§1926.1101(f)(3)(i)</w:t>
      </w:r>
      <w:r w:rsidRPr="009C666F">
        <w:t xml:space="preserve"> - The employer shall conduct daily monitoring that is representative of the exposure of each employee who is assigned to work within a regulated area who is performing Class I or II work, unless the employer pursuant to (f)(2)(iii) of this section, has made a negative exposure assessment for the entire operation.</w:t>
      </w:r>
    </w:p>
    <w:p w:rsidR="00A91C29" w:rsidRPr="009C666F" w:rsidP="00967CC3" w14:paraId="6A067497" w14:textId="77777777">
      <w:pPr>
        <w:pStyle w:val="BodyText"/>
      </w:pPr>
      <w:bookmarkStart w:id="5" w:name="1926.1101(f)(3)(i)"/>
      <w:bookmarkStart w:id="6" w:name="1926.1101(f)(3)(ii)"/>
      <w:bookmarkEnd w:id="5"/>
      <w:bookmarkEnd w:id="6"/>
      <w:r w:rsidRPr="009C666F">
        <w:rPr>
          <w:bCs/>
          <w:i/>
        </w:rPr>
        <w:t>§1926.1101(f)(3)(ii)</w:t>
      </w:r>
      <w:r w:rsidRPr="009C666F">
        <w:rPr>
          <w:i/>
        </w:rPr>
        <w:t xml:space="preserve"> </w:t>
      </w:r>
      <w:r w:rsidRPr="009C666F">
        <w:t>- All operations under the standard other than Class I and II operations. The employer shall conduct periodic monitoring of all work where exposures are expected to exceed a PEL, at intervals sufficient to document the validity of the exposure prediction.</w:t>
      </w:r>
    </w:p>
    <w:p w:rsidR="00A91C29" w:rsidRPr="009C666F" w:rsidP="00967CC3" w14:paraId="14B3B4F3" w14:textId="77777777">
      <w:pPr>
        <w:pStyle w:val="BodyText"/>
      </w:pPr>
      <w:bookmarkStart w:id="7" w:name="1926.1101(f)(3)(iii)"/>
      <w:bookmarkEnd w:id="7"/>
      <w:r w:rsidRPr="009C666F">
        <w:rPr>
          <w:b/>
          <w:u w:val="single"/>
        </w:rPr>
        <w:t>Purpose</w:t>
      </w:r>
      <w:r w:rsidRPr="009C666F">
        <w:t>:  Exposure monitoring assists employers in identifying areas or operations that may require efforts to reduce exposure and come into compliance with the standard</w:t>
      </w:r>
      <w:r w:rsidRPr="009C666F" w:rsidR="00A07F70">
        <w:t xml:space="preserve">. </w:t>
      </w:r>
      <w:r w:rsidRPr="009C666F">
        <w:t>Monitoring results also assist employers in determining the necessity for using engineering controls, instituting or modifying work practices and in selecting appropriate respiratory protection to prevent employees from over exposure</w:t>
      </w:r>
      <w:r w:rsidRPr="009C666F" w:rsidR="00A07F70">
        <w:t xml:space="preserve">. </w:t>
      </w:r>
    </w:p>
    <w:p w:rsidR="00A91C29" w:rsidRPr="009C666F" w:rsidP="00967CC3" w14:paraId="4D319DED" w14:textId="77777777">
      <w:pPr>
        <w:pStyle w:val="BodyText"/>
      </w:pPr>
      <w:r w:rsidRPr="009C666F">
        <w:rPr>
          <w:bCs/>
          <w:i/>
          <w:iCs/>
        </w:rPr>
        <w:t>Employee notification of monitoring results</w:t>
      </w:r>
      <w:r w:rsidRPr="009C666F">
        <w:rPr>
          <w:bCs/>
          <w:i/>
        </w:rPr>
        <w:t xml:space="preserve"> §1926.1101(f)(5) -</w:t>
      </w:r>
      <w:r w:rsidRPr="009C666F">
        <w:rPr>
          <w:b/>
          <w:bCs/>
          <w:i/>
        </w:rPr>
        <w:t xml:space="preserve"> </w:t>
      </w:r>
      <w:r w:rsidRPr="009C666F">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BC16D1" w:rsidRPr="009C666F" w:rsidP="00967CC3" w14:paraId="03846A2A" w14:textId="77777777">
      <w:pPr>
        <w:pStyle w:val="BodyText"/>
      </w:pPr>
      <w:bookmarkStart w:id="8" w:name="1926.1101(f)(5)(i)"/>
      <w:bookmarkStart w:id="9" w:name="1926.1101(f)(5)(ii)"/>
      <w:bookmarkEnd w:id="8"/>
      <w:bookmarkEnd w:id="9"/>
      <w:r w:rsidRPr="009C666F">
        <w:rPr>
          <w:b/>
          <w:u w:val="single"/>
        </w:rPr>
        <w:t>Purpose</w:t>
      </w:r>
      <w:r w:rsidRPr="009C666F">
        <w:t>:  Consistent with Section 8(c)(3) of the OSH Act, every worker has the right to know what their exposure level is and whether it is above or below the action level. Moreover, since the permissible exposure level is one that also considers feasibility and, therefore, is not</w:t>
      </w:r>
      <w:r w:rsidRPr="009C666F" w:rsidR="00823B29">
        <w:t xml:space="preserve"> </w:t>
      </w:r>
      <w:r w:rsidRPr="009C666F">
        <w:t xml:space="preserve">necessarily a “safe” level, it is necessary for the worker to know the level of </w:t>
      </w:r>
      <w:r w:rsidRPr="009C666F" w:rsidR="009F284C">
        <w:t xml:space="preserve">asbestos </w:t>
      </w:r>
      <w:r w:rsidRPr="009C666F">
        <w:t>to which they were exposed.</w:t>
      </w:r>
      <w:r w:rsidRPr="009C666F" w:rsidR="009F284C">
        <w:t xml:space="preserve"> </w:t>
      </w:r>
      <w:r w:rsidRPr="009C666F">
        <w:t>This is necessary to assure workers that the employer is making every effort to furnish them with a safe and healthy work environment as required by Section 8(c)(3) of the OSH Act.</w:t>
      </w:r>
    </w:p>
    <w:p w:rsidR="00A91C29" w:rsidRPr="009C666F" w:rsidP="00E5787A" w14:paraId="09E9714D" w14:textId="7A9964F8">
      <w:pPr>
        <w:pStyle w:val="Heading3"/>
      </w:pPr>
      <w:r w:rsidRPr="009C666F">
        <w:t>Methods of compliance (§1926.1101(g)(6)(ii) and (g)(8)(vi))</w:t>
      </w:r>
    </w:p>
    <w:p w:rsidR="00A91C29" w:rsidRPr="009C666F" w:rsidP="00E5787A" w14:paraId="5BAC589C" w14:textId="77777777">
      <w:pPr>
        <w:pStyle w:val="BodyText"/>
        <w:rPr>
          <w:rFonts w:ascii="Verdana" w:hAnsi="Verdana"/>
          <w:sz w:val="19"/>
          <w:szCs w:val="19"/>
        </w:rPr>
      </w:pPr>
      <w:r w:rsidRPr="009C666F">
        <w:rPr>
          <w:bCs/>
          <w:i/>
        </w:rPr>
        <w:t>§1926.1101(g)(6)(ii)</w:t>
      </w:r>
      <w:r w:rsidRPr="009C666F">
        <w:rPr>
          <w:b/>
          <w:bCs/>
        </w:rPr>
        <w:t xml:space="preserve"> - </w:t>
      </w:r>
      <w:r w:rsidRPr="009C666F">
        <w:t xml:space="preserve">A certified industrial hygienist or licensed professional engineer who is also qualified as a project designer as defined in paragraph (b) of this section, shall evaluate the work area, the projected work practices and the engineering controls and shall certify in writing </w:t>
      </w:r>
      <w:r w:rsidRPr="009C666F">
        <w:t>that the planned control method is adequate to reduce direct and indirect employee exposure to below the PELs under worst-case conditions of use, and that the planned control method will prevent asbestos contamination outside the regulated area, as measured by clearance sampling which meets the requirements of Environmental Protection Agency's Asbestos in Schools rule issued under AHERA, or perimeter monitoring which meets the criteria in paragraph (g)(4)(ii)(B) of this section.</w:t>
      </w:r>
    </w:p>
    <w:p w:rsidR="00A91C29" w:rsidRPr="009C666F" w:rsidP="00E5787A" w14:paraId="7DD03701" w14:textId="2F264E84">
      <w:pPr>
        <w:pStyle w:val="BodyTextIndent"/>
      </w:pPr>
      <w:r w:rsidRPr="009C666F">
        <w:rPr>
          <w:bCs/>
          <w:u w:val="single"/>
        </w:rPr>
        <w:t>§1926.1101(g)(6)(ii)(A)</w:t>
      </w:r>
      <w:r w:rsidRPr="009C666F">
        <w:t xml:space="preserve"> - Where the TSI or surfacing material to be removed is 25 linear or 10 square feet or less , the evaluation required in paragraph (g)(6) of this section may be performed by a "competent person</w:t>
      </w:r>
      <w:r w:rsidR="00D34974">
        <w:t>,</w:t>
      </w:r>
      <w:r w:rsidRPr="009C666F">
        <w:t>" and may omit consideration of perimeter or clearance monitoring otherwise required.</w:t>
      </w:r>
    </w:p>
    <w:p w:rsidR="00A91C29" w:rsidRPr="009C666F" w:rsidP="00E5787A" w14:paraId="37DB1581" w14:textId="6B9EDFAA">
      <w:pPr>
        <w:pStyle w:val="BodyTextIndent"/>
      </w:pPr>
      <w:bookmarkStart w:id="10" w:name="1926.1101(g)(6)(ii)(B)"/>
      <w:bookmarkEnd w:id="10"/>
      <w:r w:rsidRPr="009C666F">
        <w:rPr>
          <w:bCs/>
          <w:u w:val="single"/>
        </w:rPr>
        <w:t>§1926.1101(g)(6)(ii)(B)</w:t>
      </w:r>
      <w:r w:rsidRPr="009C666F">
        <w:rPr>
          <w:i/>
        </w:rPr>
        <w:t xml:space="preserve"> </w:t>
      </w:r>
      <w:r w:rsidRPr="009C666F">
        <w:t>- The evaluation of employee exposure required in paragraph (g)(6) of this section shall</w:t>
      </w:r>
      <w:r w:rsidR="00D34974">
        <w:t>,</w:t>
      </w:r>
      <w:r w:rsidRPr="009C666F">
        <w:t xml:space="preserve"> include and be based on sampling and analytical data representing employee exposure during the use of such method under worst-case conditions and by employees whose training and experience are equivalent to employees who are to perform the current job.</w:t>
      </w:r>
    </w:p>
    <w:p w:rsidR="00A91C29" w:rsidRPr="009C666F" w:rsidP="00E5787A" w14:paraId="6AD4BE51" w14:textId="77777777">
      <w:pPr>
        <w:pStyle w:val="BodyText"/>
        <w:rPr>
          <w:b/>
          <w:bCs/>
          <w:color w:val="757575"/>
        </w:rPr>
      </w:pPr>
      <w:r w:rsidRPr="009C666F">
        <w:t>§</w:t>
      </w:r>
      <w:hyperlink r:id="rId11" w:history="1">
        <w:r w:rsidRPr="009C666F">
          <w:t>1926.1101(g)(8)(vi)</w:t>
        </w:r>
      </w:hyperlink>
      <w:r w:rsidRPr="009C666F">
        <w:rPr>
          <w:b/>
        </w:rPr>
        <w:t xml:space="preserve"> - </w:t>
      </w:r>
      <w:r w:rsidRPr="009C666F">
        <w:rPr>
          <w:iCs/>
        </w:rPr>
        <w:t xml:space="preserve">Alternative Work Practices and Controls - </w:t>
      </w:r>
      <w:r w:rsidRPr="009C666F">
        <w:t xml:space="preserve"> Instead of the work practices and controls listed in paragraph (g)(8)(i) through (v) of this section, the employer may use different or modified engineering and work practice controls if the following provisions are complied with.</w:t>
      </w:r>
      <w:bookmarkStart w:id="11" w:name="1926.1101(g)(8)(vi)(A)"/>
      <w:bookmarkEnd w:id="11"/>
    </w:p>
    <w:p w:rsidR="00A91C29" w:rsidRPr="009C666F" w:rsidP="00E5787A" w14:paraId="7E961C10" w14:textId="77777777">
      <w:pPr>
        <w:pStyle w:val="BodyTextIndent"/>
      </w:pPr>
      <w:r w:rsidRPr="009C666F">
        <w:rPr>
          <w:bCs/>
          <w:u w:val="single"/>
        </w:rPr>
        <w:t>§1926.1101(g)(8)(vi)(A)</w:t>
      </w:r>
      <w:r w:rsidRPr="009C666F">
        <w:t xml:space="preserve"> - The employer shall demonstrate by data representing employee exposure during the use of such method under conditions which closely resemble the conditions under which the method is to be used, that employee exposure will not exceed the PELs under any anticipated circumstances.</w:t>
      </w:r>
    </w:p>
    <w:p w:rsidR="00A91C29" w:rsidRPr="009C666F" w:rsidP="00E5787A" w14:paraId="5FBF8EB7" w14:textId="77777777">
      <w:pPr>
        <w:pStyle w:val="BodyTextIndent"/>
      </w:pPr>
      <w:bookmarkStart w:id="12" w:name="1926.1101(g)(8)(vi)(B)"/>
      <w:bookmarkEnd w:id="12"/>
      <w:r w:rsidRPr="009C666F">
        <w:rPr>
          <w:bCs/>
          <w:u w:val="single"/>
        </w:rPr>
        <w:t>§1926.1101(g)(8)(vi)(B)</w:t>
      </w:r>
      <w:r w:rsidRPr="009C666F">
        <w:rPr>
          <w:i/>
        </w:rPr>
        <w:t xml:space="preserve"> - </w:t>
      </w:r>
      <w:r w:rsidRPr="009C666F">
        <w:t>A competent person shall evaluate the work area, the projected work practices and the engineering controls, and shall certify in writing, that the different or modified controls are adequate to reduce direct and indirect employee exposure to below the PELs under all expected conditions of use and that the method meets the requirements of this standard. The evaluation shall include and be based on data representing employee exposure during the use of such method under conditions which closely resemble the conditions under which the method is to be used for the current job, and by employees whose training and experience are equivalent to employees who are to perform the current job</w:t>
      </w:r>
      <w:r w:rsidRPr="009C666F">
        <w:rPr>
          <w:rFonts w:ascii="Verdana" w:hAnsi="Verdana"/>
          <w:sz w:val="19"/>
          <w:szCs w:val="19"/>
        </w:rPr>
        <w:t>.</w:t>
      </w:r>
    </w:p>
    <w:p w:rsidR="00A91C29" w:rsidRPr="009C666F" w:rsidP="00E5787A" w14:paraId="52D2FAE4" w14:textId="77777777">
      <w:pPr>
        <w:pStyle w:val="Heading3"/>
      </w:pPr>
      <w:r w:rsidRPr="009C666F">
        <w:t>Respirator program (§1926.1101(h)(2)(i))</w:t>
      </w:r>
    </w:p>
    <w:p w:rsidR="00A91C29" w:rsidRPr="009C666F" w:rsidP="00E5787A" w14:paraId="02EFD2B3" w14:textId="77777777">
      <w:pPr>
        <w:pStyle w:val="BodyText"/>
      </w:pPr>
      <w:r w:rsidRPr="009C666F">
        <w:rPr>
          <w:bCs/>
          <w:i/>
        </w:rPr>
        <w:t>§1926.1101(h)(2)(i)</w:t>
      </w:r>
      <w:r w:rsidRPr="009C666F">
        <w:t xml:space="preserve"> - The employer must implement a respiratory protection program in accordance with 29 CFR 1910.134 (b) through (d) (except (d)(1)(iii)), and (f) through (m)</w:t>
      </w:r>
      <w:r w:rsidRPr="009C666F" w:rsidR="00792E30">
        <w:t>, which covers each employee required by this section to use a respirator.</w:t>
      </w:r>
    </w:p>
    <w:p w:rsidR="00A91C29" w:rsidRPr="009C666F" w:rsidP="00E5787A" w14:paraId="4572D6A6" w14:textId="77777777">
      <w:pPr>
        <w:pStyle w:val="BodyText"/>
      </w:pPr>
      <w:r w:rsidRPr="009C666F">
        <w:rPr>
          <w:b/>
          <w:u w:val="single"/>
        </w:rPr>
        <w:t>Purpose</w:t>
      </w:r>
      <w:r w:rsidRPr="009C666F">
        <w:t xml:space="preserve">:  To ensure that employers establish a standardized procedure for selecting, using, and </w:t>
      </w:r>
      <w:r w:rsidRPr="009C666F">
        <w:t>maintaining respirators for each workplace where respirators will be used</w:t>
      </w:r>
      <w:r w:rsidRPr="009C666F" w:rsidR="00A07F70">
        <w:t xml:space="preserve">. </w:t>
      </w:r>
      <w:r w:rsidRPr="009C666F">
        <w:t xml:space="preserve">Developing written procedures requires employers to think through just how all of their requirements of the respiratory standard will be met in their workplace. </w:t>
      </w:r>
    </w:p>
    <w:p w:rsidR="00A91C29" w:rsidRPr="009C666F" w:rsidP="00E5787A" w14:paraId="61A16BEE" w14:textId="77777777">
      <w:pPr>
        <w:pStyle w:val="Heading3"/>
      </w:pPr>
      <w:r w:rsidRPr="009C666F">
        <w:t>Laundering protective clothing (§1926.1101(i)(2)(ii))</w:t>
      </w:r>
    </w:p>
    <w:p w:rsidR="00A91C29" w:rsidRPr="009C666F" w:rsidP="00E5787A" w14:paraId="08B68133" w14:textId="77777777">
      <w:pPr>
        <w:pStyle w:val="BodyText"/>
      </w:pPr>
      <w:r w:rsidRPr="009C666F">
        <w:t>Any employer who gives contaminated clothing to another person for laundering shall inform such person of the requirement in paragraph (i)(2)(i) of this section to effectively prevent the release of airborne asbestos in excess of the TWA and excursion limit prescribed in paragraph (c) of this section</w:t>
      </w:r>
      <w:r w:rsidRPr="009C666F" w:rsidR="00A07F70">
        <w:t xml:space="preserve">. </w:t>
      </w:r>
    </w:p>
    <w:p w:rsidR="00A91C29" w:rsidRPr="009C666F" w:rsidP="00E5787A" w14:paraId="5C873F0B" w14:textId="77777777">
      <w:pPr>
        <w:pStyle w:val="BodyText"/>
      </w:pPr>
      <w:r w:rsidRPr="009C666F">
        <w:rPr>
          <w:b/>
          <w:u w:val="single"/>
        </w:rPr>
        <w:t>Purpose</w:t>
      </w:r>
      <w:r w:rsidRPr="009C666F">
        <w:t>:  By providing this information to the person doing the laundry, they can be protected from the potentially harmful effects of asbestos.</w:t>
      </w:r>
    </w:p>
    <w:p w:rsidR="000C21AB" w:rsidRPr="009C666F" w:rsidP="00E5787A" w14:paraId="4B8A67B4" w14:textId="69C3803E">
      <w:pPr>
        <w:pStyle w:val="Heading3"/>
      </w:pPr>
      <w:r w:rsidRPr="009C666F">
        <w:t>Communication of hazards (</w:t>
      </w:r>
      <w:r w:rsidRPr="009C666F" w:rsidR="00897853">
        <w:rPr>
          <w:bCs/>
        </w:rPr>
        <w:t>§1926.1101</w:t>
      </w:r>
      <w:r w:rsidRPr="009C666F">
        <w:t xml:space="preserve">(k)(1)) - (1) Hazard communication. </w:t>
      </w:r>
    </w:p>
    <w:p w:rsidR="00073378" w:rsidRPr="009C666F" w:rsidP="00E5787A" w14:paraId="17B95503" w14:textId="77777777">
      <w:pPr>
        <w:pStyle w:val="BodyText"/>
      </w:pPr>
      <w:r w:rsidRPr="009C666F">
        <w:rPr>
          <w:bCs/>
          <w:i/>
        </w:rPr>
        <w:t>§</w:t>
      </w:r>
      <w:r w:rsidRPr="009C666F">
        <w:rPr>
          <w:i/>
        </w:rPr>
        <w:t>1926.1101(k)(1)</w:t>
      </w:r>
      <w:r w:rsidRPr="009C666F">
        <w:rPr>
          <w:bCs/>
          <w:i/>
        </w:rPr>
        <w:t>(i)</w:t>
      </w:r>
      <w:r w:rsidRPr="009C666F">
        <w:t xml:space="preserve"> - This section applies to the communication of information concerning asbestos hazards in construction activities to facilitate compliance with this standard. Most asbestos-related construction activities involve previously installed building materials. Building owners often are the only and/or best sources of information concerning them. Therefore, they, along with employers of potentially exposed employees, are assigned specific information conveying and retention duties under this section. Installed Asbestos Containing Building Material. Employers and building owners shall identify TSI and sprayed or troweled on surfacing materials in buildings as asbestos-containing, unless they determine in compliance with paragraph (k)(5) of this section that the material is not asbestos-containing. Asphalt and vinyl flooring material installed no later than 1980 must also be considered as asbestos containing unless the employer, pursuant to paragraph (g)(8)(i)(I) of this section determines that it is not asbestos-containing. If the employer/building owner has actual knowledge, or should have known through the exercise of due diligence, that other materials are asbestos-containing, they too must be treated as such. When communicating information to employees pursuant to this standard, owners and employers shall identify “PACM” as ACM. Additional requirements relating to communication of asbestos work on multi-employer worksites are set out in paragraph (d) of this section.</w:t>
      </w:r>
    </w:p>
    <w:p w:rsidR="00073378" w:rsidRPr="009C666F" w:rsidP="00E5787A" w14:paraId="3BFF07CA" w14:textId="77777777">
      <w:pPr>
        <w:pStyle w:val="BodyText"/>
      </w:pPr>
      <w:r w:rsidRPr="009C666F">
        <w:rPr>
          <w:bCs/>
          <w:i/>
        </w:rPr>
        <w:t>§</w:t>
      </w:r>
      <w:r w:rsidRPr="009C666F">
        <w:rPr>
          <w:i/>
        </w:rPr>
        <w:t>1926.1101(k)(1)(ii)</w:t>
      </w:r>
      <w:r w:rsidRPr="009C666F">
        <w:t xml:space="preserve"> - The employer shall include asbestos in the program established to comply with the Hazard Communication Standard (HCS) (§1910.1200). The employer shall ensure that each employee has access to labels on containers of asbestos and safety data sheets, and is trained in accordance with the provisions of HCS and paragraphs (k)(9) and (10) of this section. The employer shall provide information on at least the following hazards: Cancer and lung effects.</w:t>
      </w:r>
      <w:r>
        <w:rPr>
          <w:rStyle w:val="FootnoteReference"/>
          <w:vertAlign w:val="superscript"/>
        </w:rPr>
        <w:footnoteReference w:id="6"/>
      </w:r>
    </w:p>
    <w:p w:rsidR="00A91C29" w:rsidRPr="009C666F" w:rsidP="00E5787A" w14:paraId="41DAB6F6" w14:textId="77777777">
      <w:pPr>
        <w:pStyle w:val="Heading3"/>
      </w:pPr>
      <w:r w:rsidRPr="009C666F">
        <w:t xml:space="preserve">Duties of building and facility owners (§1926.1101(k)(2)) </w:t>
      </w:r>
    </w:p>
    <w:p w:rsidR="00A91C29" w:rsidRPr="009C666F" w:rsidP="00E5787A" w14:paraId="52799A0A" w14:textId="77777777">
      <w:pPr>
        <w:pStyle w:val="BodyText"/>
      </w:pPr>
      <w:r w:rsidRPr="009C666F">
        <w:t>Before work subject to this standard is begun, building and facility owners shall determine the presence, location, and quantity of ACM and/or PACM at the work site pursuant to paragraph (k)(1)</w:t>
      </w:r>
      <w:r w:rsidRPr="009C666F" w:rsidR="009F284C">
        <w:t>(i)</w:t>
      </w:r>
      <w:r w:rsidRPr="009C666F">
        <w:t xml:space="preserve"> of this section.</w:t>
      </w:r>
    </w:p>
    <w:p w:rsidR="00A91C29" w:rsidRPr="009C666F" w:rsidP="00E5787A" w14:paraId="1E175943" w14:textId="77777777">
      <w:pPr>
        <w:pStyle w:val="BodyText"/>
      </w:pPr>
      <w:bookmarkStart w:id="13" w:name="1926.1101(k)(2)(ii)"/>
      <w:bookmarkEnd w:id="13"/>
      <w:r w:rsidRPr="009C666F">
        <w:rPr>
          <w:bCs/>
          <w:i/>
        </w:rPr>
        <w:t>§</w:t>
      </w:r>
      <w:hyperlink r:id="rId12" w:history="1">
        <w:r w:rsidRPr="009C666F">
          <w:rPr>
            <w:bCs/>
            <w:i/>
          </w:rPr>
          <w:t>1926.1101(k)(2)(ii)</w:t>
        </w:r>
      </w:hyperlink>
      <w:r w:rsidRPr="009C666F">
        <w:t xml:space="preserve"> - Building and/or facility owners shall notify the following persons of the presence, location and quantity of ACM or PACM, at the work sites in their buildings and facilities. Notification either shall be in writing, or shall consist of a personal communication between the owner and the person to whom notification must be given or their authorized representatives:</w:t>
      </w:r>
    </w:p>
    <w:p w:rsidR="00A91C29" w:rsidRPr="009C666F" w:rsidP="00E5787A" w14:paraId="00C81AD6" w14:textId="77777777">
      <w:pPr>
        <w:pStyle w:val="BodyTextIndent"/>
      </w:pPr>
      <w:bookmarkStart w:id="14" w:name="1926.1101(k)(2)(ii)(A)"/>
      <w:bookmarkEnd w:id="14"/>
      <w:r w:rsidRPr="009C666F">
        <w:rPr>
          <w:bCs/>
          <w:u w:val="single"/>
        </w:rPr>
        <w:t>§1926.1101(k)(2)(ii)(A)</w:t>
      </w:r>
      <w:r w:rsidRPr="009C666F">
        <w:t xml:space="preserve"> - Prospective employers applying or bidding for work whose </w:t>
      </w:r>
      <w:r w:rsidRPr="009C666F" w:rsidR="00E5787A">
        <w:t xml:space="preserve"> </w:t>
      </w:r>
      <w:r w:rsidRPr="009C666F">
        <w:t>employees reasonably can be expected to work in or adjacent to areas containing such material;</w:t>
      </w:r>
    </w:p>
    <w:p w:rsidR="00A91C29" w:rsidRPr="009C666F" w:rsidP="00E5787A" w14:paraId="17BA3FC3" w14:textId="77777777">
      <w:pPr>
        <w:pStyle w:val="BodyTextIndent"/>
      </w:pPr>
      <w:bookmarkStart w:id="15" w:name="1926.1101(k)(2)(ii)(B)"/>
      <w:bookmarkEnd w:id="15"/>
      <w:r w:rsidRPr="009C666F">
        <w:rPr>
          <w:bCs/>
          <w:u w:val="single"/>
        </w:rPr>
        <w:t>§1926.1101(k)(2)(ii)(B)</w:t>
      </w:r>
      <w:r w:rsidRPr="009C666F">
        <w:t xml:space="preserve"> - Employees of the owner who will work in or adjacent to areas containing such material:</w:t>
      </w:r>
    </w:p>
    <w:p w:rsidR="00A91C29" w:rsidRPr="009C666F" w:rsidP="00E5787A" w14:paraId="5F2CE246" w14:textId="77777777">
      <w:pPr>
        <w:pStyle w:val="BodyTextIndent"/>
      </w:pPr>
      <w:bookmarkStart w:id="16" w:name="1926.1101(k)(2)(ii)(C)"/>
      <w:bookmarkEnd w:id="16"/>
      <w:r w:rsidRPr="009C666F">
        <w:rPr>
          <w:bCs/>
          <w:u w:val="single"/>
        </w:rPr>
        <w:t>§1926.1101(k)(2)(ii)(C)</w:t>
      </w:r>
      <w:r w:rsidRPr="009C666F">
        <w:rPr>
          <w:u w:val="single"/>
        </w:rPr>
        <w:t xml:space="preserve"> </w:t>
      </w:r>
      <w:r w:rsidRPr="009C666F">
        <w:t>- On multi-employer worksites, all employers of employees who will be performing work within or adjacent to areas containing such materials;</w:t>
      </w:r>
    </w:p>
    <w:p w:rsidR="00A91C29" w:rsidRPr="009C666F" w:rsidP="00E5787A" w14:paraId="57F172E1" w14:textId="77777777">
      <w:pPr>
        <w:pStyle w:val="BodyTextIndent"/>
      </w:pPr>
      <w:bookmarkStart w:id="17" w:name="1926.1101(k)(2)(ii)(D)"/>
      <w:bookmarkEnd w:id="17"/>
      <w:r w:rsidRPr="009C666F">
        <w:rPr>
          <w:bCs/>
          <w:u w:val="single"/>
        </w:rPr>
        <w:t>§</w:t>
      </w:r>
      <w:hyperlink r:id="rId13" w:history="1">
        <w:r w:rsidRPr="009C666F">
          <w:rPr>
            <w:bCs/>
            <w:u w:val="single"/>
          </w:rPr>
          <w:t>1926.1101(k)(2)(ii)(D)</w:t>
        </w:r>
      </w:hyperlink>
      <w:r w:rsidRPr="009C666F">
        <w:t xml:space="preserve"> - Tenants who will occupy areas containing such material.</w:t>
      </w:r>
    </w:p>
    <w:p w:rsidR="00A91C29" w:rsidRPr="009C666F" w:rsidP="00E5787A" w14:paraId="64D102FE" w14:textId="77777777">
      <w:pPr>
        <w:pStyle w:val="BodyText"/>
      </w:pPr>
      <w:r w:rsidRPr="009C666F">
        <w:rPr>
          <w:b/>
          <w:u w:val="single"/>
        </w:rPr>
        <w:t>Purpose</w:t>
      </w:r>
      <w:r w:rsidRPr="009C666F">
        <w:t>:  To ensure that the hazards concerning asbestos are properly conveyed to all employers and employees working in the presence of asbestos.</w:t>
      </w:r>
    </w:p>
    <w:p w:rsidR="00A91C29" w:rsidRPr="009C666F" w:rsidP="00E5787A" w14:paraId="416CC1A2" w14:textId="77777777">
      <w:pPr>
        <w:pStyle w:val="BodyText"/>
        <w:rPr>
          <w:color w:val="000000"/>
        </w:rPr>
      </w:pPr>
      <w:r w:rsidRPr="009C666F">
        <w:rPr>
          <w:bCs/>
          <w:i/>
        </w:rPr>
        <w:t xml:space="preserve">Duties of Employers (§1926.1101(k)(3)) </w:t>
      </w:r>
      <w:r w:rsidRPr="009C666F">
        <w:rPr>
          <w:bCs/>
        </w:rPr>
        <w:t xml:space="preserve">– </w:t>
      </w:r>
      <w:r w:rsidRPr="009C666F">
        <w:rPr>
          <w:color w:val="000000"/>
        </w:rPr>
        <w:t>Duties of employers whose employees perform work subject to this standard in or adjacent to areas containing ACM and PACM. Building/facility owners whose employees perform such work shall comply with these provisions to the extent applicable.</w:t>
      </w:r>
    </w:p>
    <w:p w:rsidR="00A91C29" w:rsidRPr="009C666F" w:rsidP="00E5787A" w14:paraId="044D4B42" w14:textId="77777777">
      <w:pPr>
        <w:pStyle w:val="BodyText"/>
        <w:rPr>
          <w:color w:val="000000"/>
        </w:rPr>
      </w:pPr>
      <w:r w:rsidRPr="009C666F">
        <w:rPr>
          <w:bCs/>
          <w:i/>
        </w:rPr>
        <w:t>§1926.1101(k)(3)(i)</w:t>
      </w:r>
      <w:r w:rsidRPr="009C666F">
        <w:rPr>
          <w:rFonts w:ascii="Verdana" w:hAnsi="Verdana"/>
          <w:color w:val="000000"/>
          <w:sz w:val="19"/>
        </w:rPr>
        <w:t xml:space="preserve"> - </w:t>
      </w:r>
      <w:r w:rsidRPr="009C666F">
        <w:rPr>
          <w:color w:val="000000"/>
        </w:rPr>
        <w:t>Before work in areas containing ACM and PACM is begun; employers shall identify the presence, location, and quantity of ACM, and/or PACM therein pursuant to paragraph (k)(1)</w:t>
      </w:r>
      <w:r w:rsidRPr="009C666F" w:rsidR="009F284C">
        <w:rPr>
          <w:color w:val="000000"/>
        </w:rPr>
        <w:t>(i)</w:t>
      </w:r>
      <w:r w:rsidRPr="009C666F">
        <w:rPr>
          <w:color w:val="000000"/>
        </w:rPr>
        <w:t xml:space="preserve"> of this section.</w:t>
      </w:r>
    </w:p>
    <w:p w:rsidR="00A91C29" w:rsidRPr="009C666F" w:rsidP="00E5787A" w14:paraId="244CC991" w14:textId="77777777">
      <w:pPr>
        <w:pStyle w:val="BodyText"/>
      </w:pPr>
      <w:bookmarkStart w:id="18" w:name="1926.1101(k)(3)(ii)"/>
      <w:bookmarkEnd w:id="18"/>
      <w:r w:rsidRPr="009C666F">
        <w:rPr>
          <w:bCs/>
          <w:i/>
        </w:rPr>
        <w:t>§1926.1101(k)(3)(ii)</w:t>
      </w:r>
      <w:r w:rsidRPr="009C666F">
        <w:rPr>
          <w:color w:val="000000"/>
        </w:rPr>
        <w:t xml:space="preserve"> </w:t>
      </w:r>
      <w:r w:rsidRPr="009C666F">
        <w:rPr>
          <w:rFonts w:ascii="Verdana" w:hAnsi="Verdana"/>
          <w:color w:val="000000"/>
          <w:sz w:val="19"/>
        </w:rPr>
        <w:t xml:space="preserve">- </w:t>
      </w:r>
      <w:r w:rsidRPr="009C666F">
        <w:rPr>
          <w:color w:val="000000"/>
        </w:rPr>
        <w:t>Before work under this standard is performed employers of employees who will perform such work shall inform the following persons of the location and quantity of ACM and/or PACM present in the area and the precautions to be taken to insure that airborne asbestos is confined to the area.</w:t>
      </w:r>
    </w:p>
    <w:p w:rsidR="00A91C29" w:rsidRPr="009C666F" w:rsidP="00E5787A" w14:paraId="30DD880F" w14:textId="77777777">
      <w:pPr>
        <w:pStyle w:val="BodyTextIndent"/>
        <w:rPr>
          <w:rFonts w:ascii="Verdana" w:hAnsi="Verdana"/>
          <w:sz w:val="19"/>
          <w:szCs w:val="19"/>
        </w:rPr>
      </w:pPr>
      <w:bookmarkStart w:id="19" w:name="1926.1101(k)(3)(ii)(A)"/>
      <w:bookmarkEnd w:id="19"/>
      <w:r w:rsidRPr="009C666F">
        <w:rPr>
          <w:bCs/>
          <w:u w:val="single"/>
        </w:rPr>
        <w:t>§1926.1101(k)(3)(ii)(A)</w:t>
      </w:r>
      <w:r w:rsidRPr="009C666F">
        <w:rPr>
          <w:rFonts w:ascii="Verdana" w:hAnsi="Verdana"/>
          <w:sz w:val="19"/>
        </w:rPr>
        <w:t xml:space="preserve"> - </w:t>
      </w:r>
      <w:r w:rsidRPr="009C666F">
        <w:t>Owners of the building/facility;</w:t>
      </w:r>
    </w:p>
    <w:p w:rsidR="00A91C29" w:rsidRPr="009C666F" w:rsidP="00E5787A" w14:paraId="3DB96CC2" w14:textId="77777777">
      <w:pPr>
        <w:pStyle w:val="BodyTextIndent"/>
        <w:rPr>
          <w:rFonts w:ascii="Verdana" w:hAnsi="Verdana"/>
          <w:sz w:val="19"/>
          <w:szCs w:val="19"/>
        </w:rPr>
      </w:pPr>
      <w:bookmarkStart w:id="20" w:name="1926.1101(k)(3)(ii)(B)"/>
      <w:bookmarkEnd w:id="20"/>
      <w:r w:rsidRPr="009C666F">
        <w:rPr>
          <w:bCs/>
          <w:u w:val="single"/>
        </w:rPr>
        <w:t>§1926.1101(k)(3)(ii)(B)</w:t>
      </w:r>
      <w:r w:rsidRPr="009C666F">
        <w:rPr>
          <w:rFonts w:ascii="Verdana" w:hAnsi="Verdana"/>
          <w:sz w:val="19"/>
        </w:rPr>
        <w:t xml:space="preserve"> - </w:t>
      </w:r>
      <w:r w:rsidRPr="009C666F">
        <w:t>Employees who will perform such work and employers of employees who work and/or will be working in adjacent areas.</w:t>
      </w:r>
    </w:p>
    <w:p w:rsidR="00A91C29" w:rsidRPr="009C666F" w:rsidP="00E5787A" w14:paraId="0D8E28FE" w14:textId="77777777">
      <w:pPr>
        <w:pStyle w:val="BodyText"/>
      </w:pPr>
      <w:bookmarkStart w:id="21" w:name="1926.1101(k)(3)(iii)"/>
      <w:bookmarkEnd w:id="21"/>
      <w:r w:rsidRPr="009C666F">
        <w:rPr>
          <w:bCs/>
          <w:i/>
        </w:rPr>
        <w:t>§1926.1101(k)(3)(iii)</w:t>
      </w:r>
      <w:r w:rsidRPr="009C666F">
        <w:t xml:space="preserve"> - Within 10 days of the completion of such work, the employer whose employees have performed work subject to this standard, shall inform the building/facility owner and employers of employees who will be working in the area of the current location and quantity of PACM and/or ACM remaining in the area and final monitoring results, if any.</w:t>
      </w:r>
    </w:p>
    <w:p w:rsidR="00A91C29" w:rsidRPr="009C666F" w:rsidP="00E5787A" w14:paraId="21C75BF0" w14:textId="77777777">
      <w:pPr>
        <w:pStyle w:val="BodyText"/>
      </w:pPr>
      <w:r w:rsidRPr="009C666F">
        <w:rPr>
          <w:b/>
          <w:u w:val="single"/>
        </w:rPr>
        <w:t>Purpose</w:t>
      </w:r>
      <w:r w:rsidRPr="009C666F">
        <w:t>:  This is to ensure that the hazards concerning asbestos are properly conveyed to all employers and employees working in the presence of asbestos.</w:t>
      </w:r>
    </w:p>
    <w:p w:rsidR="00A91C29" w:rsidRPr="009C666F" w:rsidP="00E5787A" w14:paraId="781EBA7C" w14:textId="77777777">
      <w:pPr>
        <w:pStyle w:val="BodyText"/>
      </w:pPr>
      <w:r w:rsidRPr="009C666F">
        <w:rPr>
          <w:bCs/>
          <w:i/>
        </w:rPr>
        <w:t>§1926.1101(k)(4)</w:t>
      </w:r>
      <w:r w:rsidRPr="009C666F">
        <w:t xml:space="preserve"> - </w:t>
      </w:r>
      <w:r w:rsidRPr="009C666F">
        <w:rPr>
          <w:color w:val="000000"/>
        </w:rPr>
        <w:t>In addition to the above requirements, all employers who discover ACM and/or PACM on a worksite shall convey information concerning the presence, location and quantity of such newly discovered ACM and/or PACM to the owner and to other employers of employees working at the work site, within 24 hours of the discovery.</w:t>
      </w:r>
      <w:r w:rsidRPr="009C666F">
        <w:t xml:space="preserve"> </w:t>
      </w:r>
    </w:p>
    <w:p w:rsidR="00A91C29" w:rsidRPr="009C666F" w:rsidP="00E5787A" w14:paraId="4DE51F02" w14:textId="77777777">
      <w:pPr>
        <w:pStyle w:val="BodyText"/>
      </w:pPr>
      <w:r w:rsidRPr="009C666F">
        <w:rPr>
          <w:b/>
          <w:u w:val="single"/>
        </w:rPr>
        <w:t>Purpose</w:t>
      </w:r>
      <w:r w:rsidRPr="009C666F">
        <w:t>:  This is to ensure that everyone is aware of the presence of asbestos.</w:t>
      </w:r>
    </w:p>
    <w:p w:rsidR="00A91C29" w:rsidRPr="009C666F" w:rsidP="00E5787A" w14:paraId="69E36238" w14:textId="77777777">
      <w:pPr>
        <w:pStyle w:val="BodyText"/>
        <w:rPr>
          <w:rFonts w:ascii="Verdana" w:hAnsi="Verdana"/>
          <w:b/>
          <w:bCs/>
          <w:color w:val="757575"/>
          <w:sz w:val="14"/>
        </w:rPr>
      </w:pPr>
      <w:r w:rsidRPr="009C666F">
        <w:rPr>
          <w:bCs/>
          <w:i/>
        </w:rPr>
        <w:t>Criteri</w:t>
      </w:r>
      <w:r w:rsidRPr="009C666F" w:rsidR="009F284C">
        <w:rPr>
          <w:bCs/>
          <w:i/>
        </w:rPr>
        <w:t xml:space="preserve">a </w:t>
      </w:r>
      <w:r w:rsidRPr="009C666F">
        <w:rPr>
          <w:bCs/>
          <w:i/>
        </w:rPr>
        <w:t xml:space="preserve">to </w:t>
      </w:r>
      <w:r w:rsidRPr="009C666F" w:rsidR="009F284C">
        <w:rPr>
          <w:bCs/>
          <w:i/>
        </w:rPr>
        <w:t>r</w:t>
      </w:r>
      <w:r w:rsidRPr="009C666F">
        <w:rPr>
          <w:bCs/>
          <w:i/>
        </w:rPr>
        <w:t xml:space="preserve">ebut the designation of installed material as PACM (§1926.1101(k)(5) </w:t>
      </w:r>
      <w:r w:rsidRPr="009C666F">
        <w:rPr>
          <w:bCs/>
        </w:rPr>
        <w:t xml:space="preserve">- </w:t>
      </w:r>
    </w:p>
    <w:p w:rsidR="00A91C29" w:rsidRPr="009C666F" w:rsidP="00E5787A" w14:paraId="533BFE05" w14:textId="77777777">
      <w:pPr>
        <w:pStyle w:val="BodyText"/>
      </w:pPr>
      <w:r w:rsidRPr="009C666F">
        <w:rPr>
          <w:bCs/>
          <w:i/>
        </w:rPr>
        <w:t>§1926.1101(k)(5)(i)</w:t>
      </w:r>
      <w:r w:rsidRPr="009C666F" w:rsidR="004777F7">
        <w:rPr>
          <w:bCs/>
          <w:i/>
        </w:rPr>
        <w:t>)</w:t>
      </w:r>
      <w:r w:rsidRPr="009C666F">
        <w:rPr>
          <w:i/>
        </w:rPr>
        <w:t xml:space="preserve"> </w:t>
      </w:r>
      <w:r w:rsidRPr="009C666F">
        <w:rPr>
          <w:color w:val="000000"/>
        </w:rPr>
        <w:t>- At any time, an employer and/or building owner may demonstrate, for purposes of this standard, that PACM does not contain asbestos. Building owners and/or employers are not required to communicate information about the presence of building material for which such a demonstration pursuant to the requirements of paragraph (k)(5)(ii) of this section has been made. However, in all such cases, the information, data and analysis supporting the determination that PACM does not contain asbestos, shall be retained pursuant to paragraph (n) of this section.</w:t>
      </w:r>
    </w:p>
    <w:p w:rsidR="00A91C29" w:rsidRPr="009C666F" w:rsidP="00E5787A" w14:paraId="3F8CF370" w14:textId="77777777">
      <w:pPr>
        <w:pStyle w:val="BodyText"/>
      </w:pPr>
      <w:bookmarkStart w:id="22" w:name="1926.1101(k)(5)(ii)"/>
      <w:bookmarkEnd w:id="22"/>
      <w:r w:rsidRPr="009C666F">
        <w:rPr>
          <w:bCs/>
          <w:i/>
        </w:rPr>
        <w:t>§1926.1101(k)(5)(ii)</w:t>
      </w:r>
      <w:r w:rsidRPr="009C666F">
        <w:rPr>
          <w:color w:val="000000"/>
        </w:rPr>
        <w:t xml:space="preserve"> - An employer or owner may demonstrate that PACM does not contain more than 1 percent asbestos by the following:</w:t>
      </w:r>
    </w:p>
    <w:p w:rsidR="00A91C29" w:rsidRPr="009C666F" w:rsidP="00E5787A" w14:paraId="1D63DF90" w14:textId="77777777">
      <w:pPr>
        <w:pStyle w:val="BodyTextIndent"/>
      </w:pPr>
      <w:bookmarkStart w:id="23" w:name="1926.1101(k)(5)(ii)(A)"/>
      <w:bookmarkEnd w:id="23"/>
      <w:r w:rsidRPr="009C666F">
        <w:rPr>
          <w:bCs/>
          <w:u w:val="single"/>
        </w:rPr>
        <w:t>§1926.1101(k)(5)(ii)(A)</w:t>
      </w:r>
      <w:r w:rsidRPr="009C666F">
        <w:t xml:space="preserve"> - Having a completed inspection conducted pursuant to the requirements of AHERA (40 CFR Part 763, Subpart E) which demonstrates that the material is not ACM; or</w:t>
      </w:r>
    </w:p>
    <w:p w:rsidR="00A91C29" w:rsidRPr="009C666F" w:rsidP="00E5787A" w14:paraId="1B8462EB" w14:textId="77777777">
      <w:pPr>
        <w:pStyle w:val="BodyTextIndent"/>
      </w:pPr>
      <w:bookmarkStart w:id="24" w:name="1926.1101(k)(5)(ii)(B)"/>
      <w:bookmarkEnd w:id="24"/>
      <w:r w:rsidRPr="009C666F">
        <w:rPr>
          <w:bCs/>
          <w:u w:val="single"/>
        </w:rPr>
        <w:t>§</w:t>
      </w:r>
      <w:hyperlink r:id="rId14" w:history="1">
        <w:r w:rsidRPr="009C666F">
          <w:rPr>
            <w:bCs/>
            <w:u w:val="single"/>
          </w:rPr>
          <w:t>1926.1101(k)(5)(ii)(B)</w:t>
        </w:r>
      </w:hyperlink>
      <w:r w:rsidRPr="009C666F">
        <w:t xml:space="preserve"> - Performing tests of the material containing PACM which demonstrate that no ACM is present in the material. Such tests shall include analysis of bulk samples collected in the manner described in 40 CFR 763.86. The tests, evaluation and sample collection shall be conducted by an accredited inspector or by a CIH. Analysis of samples shall be performed by persons or laboratories with proficiency demonstrated by current successful participation in a nationally recognized testing program such as the National Voluntary Laboratory Accreditation Program (NVLAP) or the National Institute for Standards and Technology (NIST) or the Round Robin for bulk samples administered by the American Industrial Hygiene Association (AIHA) or an equivalent nationally-recognized round robin testing program.</w:t>
      </w:r>
    </w:p>
    <w:p w:rsidR="00A91C29" w:rsidRPr="009C666F" w:rsidP="00E5787A" w14:paraId="40D38F69" w14:textId="77777777">
      <w:pPr>
        <w:pStyle w:val="BodyText"/>
      </w:pPr>
      <w:r w:rsidRPr="009C666F">
        <w:rPr>
          <w:b/>
          <w:u w:val="single"/>
        </w:rPr>
        <w:t>Purpose</w:t>
      </w:r>
      <w:r w:rsidRPr="009C666F">
        <w:t>:  This is to ensure that asbestos hazards are properly recognized.</w:t>
      </w:r>
    </w:p>
    <w:p w:rsidR="00A91C29" w:rsidRPr="009C666F" w:rsidP="00E5787A" w14:paraId="0F319846" w14:textId="77777777">
      <w:pPr>
        <w:pStyle w:val="BodyText"/>
        <w:rPr>
          <w:color w:val="000000"/>
        </w:rPr>
      </w:pPr>
      <w:r w:rsidRPr="009C666F">
        <w:rPr>
          <w:bCs/>
          <w:i/>
        </w:rPr>
        <w:t xml:space="preserve">§1926.1101(k)(6) </w:t>
      </w:r>
      <w:r w:rsidRPr="009C666F">
        <w:rPr>
          <w:bCs/>
        </w:rPr>
        <w:t xml:space="preserve">- </w:t>
      </w:r>
      <w:r w:rsidRPr="009C666F">
        <w:rPr>
          <w:color w:val="000000"/>
        </w:rPr>
        <w:t xml:space="preserve">At the entrance to mechanical rooms/areas in which employees reasonably </w:t>
      </w:r>
      <w:r w:rsidRPr="009C666F">
        <w:rPr>
          <w:color w:val="000000"/>
        </w:rPr>
        <w:t>can be expected to enter and which contain ACM and/or PACM, the building owner shall post signs which identify the material which is present, its location, and appropriate work practices which, if followed, will ensure that ACM and/or PACM will not be disturbed. The employer shall ensure, to the extent feasible, that employees who come in contact with these signs can comprehend them. Means to ensure employee comprehension may include the use of foreign languages, pictographs, graphics, and awareness training.</w:t>
      </w:r>
    </w:p>
    <w:p w:rsidR="00A91C29" w:rsidRPr="009C666F" w:rsidP="00E5787A" w14:paraId="7CAB62D5" w14:textId="77777777">
      <w:pPr>
        <w:pStyle w:val="BodyText"/>
        <w:rPr>
          <w:b/>
          <w:bCs/>
          <w:color w:val="757575"/>
        </w:rPr>
      </w:pPr>
      <w:r w:rsidRPr="009C666F">
        <w:rPr>
          <w:bCs/>
          <w:i/>
        </w:rPr>
        <w:t>Signs (§1926.1101(k)(7)(i))</w:t>
      </w:r>
      <w:r w:rsidRPr="009C666F">
        <w:t xml:space="preserve"> - Warning signs that demarcate the regulated area shall be provided and displayed at each location where a regulated area is required to be established by paragraph (e) of this section</w:t>
      </w:r>
      <w:r w:rsidRPr="009C666F" w:rsidR="00A07F70">
        <w:t xml:space="preserve">. </w:t>
      </w:r>
      <w:r w:rsidRPr="009C666F">
        <w:t>Signs shall be posted at such a distance from such a location that an employee may read the signs and take necessary protective steps before entering the area marked by the signs.</w:t>
      </w:r>
      <w:bookmarkStart w:id="25" w:name="1926.1101(k)(7)(ii)(A)"/>
      <w:bookmarkEnd w:id="25"/>
    </w:p>
    <w:p w:rsidR="00A91C29" w:rsidRPr="009C666F" w:rsidP="00E5787A" w14:paraId="55FB886D" w14:textId="77777777">
      <w:pPr>
        <w:pStyle w:val="BodyTextIndent"/>
        <w:rPr>
          <w:sz w:val="22"/>
          <w:szCs w:val="22"/>
        </w:rPr>
      </w:pPr>
      <w:r w:rsidRPr="009C666F">
        <w:rPr>
          <w:bCs/>
          <w:u w:val="single"/>
        </w:rPr>
        <w:t>§1926.1101(k)(7)(ii)(A)</w:t>
      </w:r>
      <w:r w:rsidRPr="009C666F">
        <w:t xml:space="preserve"> - The warning signs required by paragraph (k)(7) of this section shall bear the following information. DANGER – ASBESTOS </w:t>
      </w:r>
      <w:r w:rsidRPr="009C666F" w:rsidR="00EA6031">
        <w:t>–</w:t>
      </w:r>
      <w:r w:rsidRPr="009C666F">
        <w:t xml:space="preserve"> </w:t>
      </w:r>
      <w:r w:rsidRPr="009C666F" w:rsidR="00EA6031">
        <w:t xml:space="preserve">MAY CAUSE CANCER – CAUSES DAMAGE TO LUNGS </w:t>
      </w:r>
      <w:r w:rsidRPr="009C666F">
        <w:t>- AUTHORIZED PERSONNEL ONLY.</w:t>
      </w:r>
    </w:p>
    <w:p w:rsidR="00A91C29" w:rsidRPr="009C666F" w:rsidP="00E5787A" w14:paraId="2DADB1F6" w14:textId="77777777">
      <w:pPr>
        <w:pStyle w:val="BodyTextIndent"/>
        <w:rPr>
          <w:rFonts w:ascii="Verdana" w:hAnsi="Verdana"/>
          <w:sz w:val="19"/>
          <w:szCs w:val="19"/>
        </w:rPr>
      </w:pPr>
      <w:bookmarkStart w:id="26" w:name="1926.1101(k)(7)(ii)(B)"/>
      <w:bookmarkEnd w:id="26"/>
      <w:r w:rsidRPr="009C666F">
        <w:rPr>
          <w:bCs/>
          <w:u w:val="single"/>
        </w:rPr>
        <w:t>§1926.1101(k)(7)(ii)(B)</w:t>
      </w:r>
      <w:r w:rsidRPr="009C666F">
        <w:rPr>
          <w:rFonts w:ascii="Verdana" w:hAnsi="Verdana"/>
          <w:sz w:val="19"/>
        </w:rPr>
        <w:t xml:space="preserve"> - </w:t>
      </w:r>
      <w:r w:rsidRPr="009C666F">
        <w:t xml:space="preserve">In addition, where the use of respirators and protective clothing is required in the regulated area under this section, the warning signs shall include the following: </w:t>
      </w:r>
      <w:r w:rsidRPr="009C666F" w:rsidR="00EA6031">
        <w:t xml:space="preserve">WEAR RESPIRATORY PROTECTION AND PROTECTIVE </w:t>
      </w:r>
      <w:r w:rsidRPr="009C666F">
        <w:t>CLOTHING IN THIS AREA.</w:t>
      </w:r>
    </w:p>
    <w:p w:rsidR="00EA6031" w:rsidRPr="009C666F" w:rsidP="00E5787A" w14:paraId="7B910793" w14:textId="77777777">
      <w:pPr>
        <w:pStyle w:val="BodyTextIndent"/>
        <w:rPr>
          <w:bCs/>
        </w:rPr>
      </w:pPr>
      <w:r w:rsidRPr="009C666F">
        <w:rPr>
          <w:bCs/>
          <w:u w:val="single"/>
        </w:rPr>
        <w:t>1926.1101(k)(7)(ii)(C)</w:t>
      </w:r>
      <w:r w:rsidRPr="009C666F">
        <w:rPr>
          <w:bCs/>
        </w:rPr>
        <w:t xml:space="preserve"> - Prior to June 1, 2016, employers </w:t>
      </w:r>
      <w:r w:rsidRPr="009C666F" w:rsidR="004777F7">
        <w:rPr>
          <w:bCs/>
        </w:rPr>
        <w:t xml:space="preserve">could </w:t>
      </w:r>
      <w:r w:rsidRPr="009C666F">
        <w:rPr>
          <w:bCs/>
        </w:rPr>
        <w:t>use the following legend in lieu of that specified in paragraph (k)(7)(ii)(A) of this section: DANGER – ASBESTOS - CANCER AND LUNG DISEASE HAZARD - AUTHORIZED PERSONNEL ONLY</w:t>
      </w:r>
    </w:p>
    <w:p w:rsidR="00EA6031" w:rsidRPr="009C666F" w:rsidP="00E5787A" w14:paraId="05DC911C" w14:textId="77777777">
      <w:pPr>
        <w:pStyle w:val="BodyTextIndent"/>
        <w:rPr>
          <w:bCs/>
        </w:rPr>
      </w:pPr>
      <w:bookmarkStart w:id="27" w:name="1926.1101(k)(7)(ii)(D)"/>
      <w:bookmarkEnd w:id="27"/>
      <w:r w:rsidRPr="009C666F">
        <w:rPr>
          <w:bCs/>
          <w:u w:val="single"/>
        </w:rPr>
        <w:t>1926.1101(k)(7)(ii)(D)</w:t>
      </w:r>
      <w:r w:rsidRPr="009C666F">
        <w:rPr>
          <w:bCs/>
        </w:rPr>
        <w:t xml:space="preserve"> - Prior to June 1, 2016, employers </w:t>
      </w:r>
      <w:r w:rsidRPr="009C666F" w:rsidR="004777F7">
        <w:rPr>
          <w:bCs/>
        </w:rPr>
        <w:t>could</w:t>
      </w:r>
      <w:r w:rsidRPr="009C666F">
        <w:rPr>
          <w:bCs/>
        </w:rPr>
        <w:t xml:space="preserve"> use the following legend in lieu of that specified in paragraph (k)(7)(ii)(B) of this section: RESPIRATORS AND PROTECTIVE CLOTHING ARE REQUIRED IN THIS AREA</w:t>
      </w:r>
    </w:p>
    <w:p w:rsidR="00A91C29" w:rsidRPr="009C666F" w:rsidP="00E5787A" w14:paraId="79B798A4" w14:textId="77777777">
      <w:pPr>
        <w:pStyle w:val="BodyText"/>
      </w:pPr>
      <w:bookmarkStart w:id="28" w:name="1926.1101(k)(7)(iii)"/>
      <w:bookmarkEnd w:id="28"/>
      <w:r w:rsidRPr="009C666F">
        <w:rPr>
          <w:bCs/>
          <w:i/>
        </w:rPr>
        <w:t>§1926.1101(k)(7)(iii)</w:t>
      </w:r>
      <w:r w:rsidRPr="009C666F">
        <w:rPr>
          <w:rFonts w:ascii="Verdana" w:hAnsi="Verdana"/>
          <w:sz w:val="19"/>
        </w:rPr>
        <w:t xml:space="preserve"> - </w:t>
      </w:r>
      <w:r w:rsidRPr="009C666F">
        <w:t>The employer shall ensure that employees working in and contiguous to regulated areas comprehend the warning signs required to be posted by paragraph (k)(7)(i) of this section</w:t>
      </w:r>
      <w:r w:rsidRPr="009C666F" w:rsidR="00A07F70">
        <w:t xml:space="preserve">. </w:t>
      </w:r>
      <w:r w:rsidRPr="009C666F">
        <w:t>Means to ensure employee comprehension may include the use of foreign languages, pictographs and graphics.</w:t>
      </w:r>
    </w:p>
    <w:p w:rsidR="00A91C29" w:rsidRPr="009C666F" w:rsidP="00E5787A" w14:paraId="1367B1A2" w14:textId="77777777">
      <w:pPr>
        <w:pStyle w:val="BodyText"/>
      </w:pPr>
      <w:r w:rsidRPr="009C666F">
        <w:rPr>
          <w:b/>
          <w:u w:val="single"/>
        </w:rPr>
        <w:t>Purpose</w:t>
      </w:r>
      <w:r w:rsidRPr="009C666F">
        <w:t>:  Posting warning signs serve to warn employees, who may otherwise not know, that they are entering a regulated area</w:t>
      </w:r>
      <w:r w:rsidRPr="009C666F" w:rsidR="00A07F70">
        <w:t xml:space="preserve">. </w:t>
      </w:r>
      <w:r w:rsidRPr="009C666F">
        <w:t>Such signs would warn employees that entry is permitted only if the employee is authorized and there is a specific need to enter the area</w:t>
      </w:r>
      <w:r w:rsidRPr="009C666F" w:rsidR="00A07F70">
        <w:t xml:space="preserve">. </w:t>
      </w:r>
      <w:r w:rsidRPr="009C666F">
        <w:t xml:space="preserve">Warning signs supplement the training which employees receive under this standard. </w:t>
      </w:r>
    </w:p>
    <w:p w:rsidR="00A91C29" w:rsidRPr="009C666F" w:rsidP="00E5787A" w14:paraId="0C16569E" w14:textId="77777777">
      <w:pPr>
        <w:pStyle w:val="BodyText"/>
        <w:rPr>
          <w:sz w:val="19"/>
          <w:szCs w:val="19"/>
        </w:rPr>
      </w:pPr>
      <w:r w:rsidRPr="009C666F">
        <w:rPr>
          <w:bCs/>
          <w:i/>
        </w:rPr>
        <w:t>Labels (§1926.1101(k)(8)(i))</w:t>
      </w:r>
      <w:r w:rsidRPr="009C666F">
        <w:rPr>
          <w:bCs/>
        </w:rPr>
        <w:t xml:space="preserve"> - </w:t>
      </w:r>
      <w:r w:rsidRPr="009C666F">
        <w:t>Labels shall be affixed to all products containing asbestos and to all containers containing such products, including waste containers. Where feasible, installed asbestos products shall contain a visible label.</w:t>
      </w:r>
    </w:p>
    <w:p w:rsidR="00A91C29" w:rsidRPr="009C666F" w:rsidP="00E5787A" w14:paraId="500598CE" w14:textId="77777777">
      <w:pPr>
        <w:pStyle w:val="BodyText"/>
      </w:pPr>
      <w:bookmarkStart w:id="29" w:name="1926.1101(k)(8)(ii)"/>
      <w:bookmarkEnd w:id="29"/>
      <w:r w:rsidRPr="009C666F">
        <w:rPr>
          <w:bCs/>
          <w:i/>
        </w:rPr>
        <w:t>§1926.1101(k)(8)(ii)</w:t>
      </w:r>
      <w:r w:rsidRPr="009C666F">
        <w:t xml:space="preserve"> -</w:t>
      </w:r>
      <w:r w:rsidRPr="009C666F" w:rsidR="000A4439">
        <w:rPr>
          <w:rFonts w:ascii="Tahoma" w:hAnsi="Tahoma" w:cs="Tahoma"/>
          <w:sz w:val="20"/>
          <w:szCs w:val="20"/>
        </w:rPr>
        <w:t xml:space="preserve"> </w:t>
      </w:r>
      <w:r w:rsidRPr="009C666F" w:rsidR="000A4439">
        <w:t>The employer shall ensure that such labels comply with paragraphs (k) of this section.</w:t>
      </w:r>
    </w:p>
    <w:p w:rsidR="00A91C29" w:rsidRPr="009C666F" w:rsidP="00E5787A" w14:paraId="01C3F387" w14:textId="77777777">
      <w:pPr>
        <w:pStyle w:val="BodyText"/>
        <w:rPr>
          <w:rFonts w:ascii="Tahoma" w:hAnsi="Tahoma" w:cs="Tahoma"/>
          <w:sz w:val="20"/>
          <w:szCs w:val="20"/>
        </w:rPr>
      </w:pPr>
      <w:bookmarkStart w:id="30" w:name="1926.1101(k)(8)(iii)"/>
      <w:bookmarkEnd w:id="30"/>
      <w:r w:rsidRPr="009C666F">
        <w:rPr>
          <w:bCs/>
          <w:i/>
        </w:rPr>
        <w:t>§</w:t>
      </w:r>
      <w:hyperlink r:id="rId15" w:history="1">
        <w:r w:rsidRPr="009C666F">
          <w:rPr>
            <w:bCs/>
            <w:i/>
          </w:rPr>
          <w:t>1926.1101(k)(8)(iii)</w:t>
        </w:r>
      </w:hyperlink>
      <w:r w:rsidRPr="009C666F">
        <w:t xml:space="preserve"> -</w:t>
      </w:r>
      <w:r w:rsidRPr="009C666F" w:rsidR="000A4439">
        <w:t xml:space="preserve"> The employer shall ensure that labels of bags or containers of protective clothing and equipment, scrap, waste, and debris containing asbestos fibers bear the following information: DANGER - CONTAINS ASBESTOS FIBERS – MAY CAUSE CANCER - CAUSES DAMAGE TO LUNGS - DO NOT BREATHE DUST - AVOID CREATING DUST</w:t>
      </w:r>
      <w:r w:rsidRPr="009C666F">
        <w:t>.</w:t>
      </w:r>
    </w:p>
    <w:p w:rsidR="000A4439" w:rsidRPr="009C666F" w:rsidP="00E5787A" w14:paraId="31E2F58E" w14:textId="77777777">
      <w:pPr>
        <w:pStyle w:val="BodyTextIndent"/>
      </w:pPr>
      <w:r w:rsidRPr="009C666F">
        <w:rPr>
          <w:i/>
        </w:rPr>
        <w:t>1926.1101(k)(8)(iv)(A)</w:t>
      </w:r>
      <w:r w:rsidRPr="009C666F" w:rsidR="00F42999">
        <w:t xml:space="preserve"> - </w:t>
      </w:r>
      <w:r w:rsidRPr="009C666F">
        <w:t xml:space="preserve">Prior to June 1, 2015, employers </w:t>
      </w:r>
      <w:r w:rsidRPr="009C666F" w:rsidR="004777F7">
        <w:t>could</w:t>
      </w:r>
      <w:r w:rsidRPr="009C666F">
        <w:t xml:space="preserve"> include the following information on raw materials, mixtures or labels of bags or containers of protective clothing and equipment, scrap, waste, and debris containing asbestos fibers in lieu of the labeling requirements in paragraphs (k)(8)(ii) and (k)(8)(iii) of this section: </w:t>
      </w:r>
      <w:r w:rsidRPr="009C666F">
        <w:br/>
        <w:t>DANGER - CONTAINS ASBESTOS FIBERS - AVOID CREATING DUST - CANCER AND LUNG DISEASE HAZARD</w:t>
      </w:r>
    </w:p>
    <w:p w:rsidR="000A4439" w:rsidRPr="009C666F" w:rsidP="00E5787A" w14:paraId="6AF315AF" w14:textId="77777777">
      <w:pPr>
        <w:pStyle w:val="BodyTextIndent"/>
      </w:pPr>
      <w:bookmarkStart w:id="31" w:name="1926.1101(k)(8)(iv)(B)"/>
      <w:bookmarkEnd w:id="31"/>
      <w:r w:rsidRPr="009C666F">
        <w:rPr>
          <w:i/>
        </w:rPr>
        <w:t>1926.1101(k)(8)(iv)(B)</w:t>
      </w:r>
      <w:r w:rsidRPr="009C666F">
        <w:t xml:space="preserve"> - Labels shall also contain a warning statement against breathing asbestos fibers.</w:t>
      </w:r>
    </w:p>
    <w:p w:rsidR="000A4439" w:rsidRPr="009C666F" w:rsidP="00E5787A" w14:paraId="0A93D742" w14:textId="77777777">
      <w:pPr>
        <w:pStyle w:val="BodyTextIndent"/>
      </w:pPr>
      <w:r w:rsidRPr="009C666F">
        <w:rPr>
          <w:i/>
        </w:rPr>
        <w:t xml:space="preserve">1926.1101(k)(8)(vii) </w:t>
      </w:r>
      <w:r w:rsidRPr="009C666F">
        <w:t>- When a building owner or employer identifies previously installed PACM and/or ACM, labels or signs shall be affixed or posted so that employees will be notified of what materials contain PACM and/or ACM. The employer shall attach such labels in areas where they will clearly be noticed by employees who are likely to be exposed, such as at the entrance to mechanical room/areas. Signs required by paragraph (k)(6) of this section may be posted in lieu of labels so long as they contain information required for labelling. The employer shall ensure, to the extent feasible, that employees who come in contact with these signs or labels can comprehend them. Means to ensure employee comprehension may include the use of foreign languages, pictographs, graphics, and awareness training</w:t>
      </w:r>
      <w:r w:rsidRPr="009C666F">
        <w:rPr>
          <w:color w:val="000000"/>
        </w:rPr>
        <w:t>.</w:t>
      </w:r>
    </w:p>
    <w:p w:rsidR="00A91C29" w:rsidRPr="009C666F" w:rsidP="00E5787A" w14:paraId="64B5BC0B" w14:textId="77777777">
      <w:pPr>
        <w:pStyle w:val="BodyText"/>
      </w:pPr>
      <w:r w:rsidRPr="009C666F">
        <w:rPr>
          <w:b/>
          <w:u w:val="single"/>
        </w:rPr>
        <w:t>Purpose</w:t>
      </w:r>
      <w:r w:rsidRPr="009C666F">
        <w:t>:  Warning labels assure that downstream employers and employees are informed of the associated hazards with asbestos and that special practices may need to be implemented to insure against exposure</w:t>
      </w:r>
      <w:r w:rsidRPr="009C666F" w:rsidR="00A07F70">
        <w:t xml:space="preserve">. </w:t>
      </w:r>
      <w:r w:rsidRPr="009C666F">
        <w:t>Furthermore, hazard labels alert other employers who, in the absence of such labels, might not know that asbestos is present in their workplace and that they have incurred obligation of complying with the standard</w:t>
      </w:r>
      <w:r w:rsidRPr="009C666F" w:rsidR="00A07F70">
        <w:t xml:space="preserve">. </w:t>
      </w:r>
      <w:r w:rsidRPr="009C666F">
        <w:t>To ensure employees comprehend the labels, the employer may include the use of foreign languages, pictographs, and graphics.</w:t>
      </w:r>
    </w:p>
    <w:p w:rsidR="00A91C29" w:rsidRPr="009C666F" w:rsidP="00E5787A" w14:paraId="2AFBCD43" w14:textId="77777777">
      <w:pPr>
        <w:pStyle w:val="BodyText"/>
        <w:rPr>
          <w:bCs/>
        </w:rPr>
      </w:pPr>
      <w:r w:rsidRPr="009C666F">
        <w:rPr>
          <w:i/>
          <w:iCs/>
        </w:rPr>
        <w:t>Employee Information and Training (§1926.1101(k)(9)</w:t>
      </w:r>
      <w:r w:rsidRPr="009C666F" w:rsidR="008B00D0">
        <w:rPr>
          <w:i/>
          <w:iCs/>
        </w:rPr>
        <w:t>(viii)(I)</w:t>
      </w:r>
      <w:r w:rsidRPr="009C666F">
        <w:rPr>
          <w:i/>
          <w:iCs/>
        </w:rPr>
        <w:t xml:space="preserve">) </w:t>
      </w:r>
    </w:p>
    <w:p w:rsidR="006F5385" w:rsidRPr="009C666F" w:rsidP="00E5787A" w14:paraId="18FE3FF6" w14:textId="77777777">
      <w:pPr>
        <w:pStyle w:val="BodyTextIndent"/>
      </w:pPr>
      <w:bookmarkStart w:id="32" w:name="1926.1101(k)(9)(ii)"/>
      <w:bookmarkStart w:id="33" w:name="1926.1101(k)(9)(iii)"/>
      <w:bookmarkStart w:id="34" w:name="1926.1101(k)(9)(iv)"/>
      <w:bookmarkStart w:id="35" w:name="1926.1101(k)(9)(iv)(A)"/>
      <w:bookmarkStart w:id="36" w:name="1926.1101(k)(9)(iv)(B)"/>
      <w:bookmarkStart w:id="37" w:name="1926.1101(k)(9)(iv)(C)"/>
      <w:bookmarkStart w:id="38" w:name="1926.1101(k)(9)(v)"/>
      <w:bookmarkStart w:id="39" w:name="1926.1101(k)(9)(vi)"/>
      <w:bookmarkStart w:id="40" w:name="1926.1101(k)(9)(vii)"/>
      <w:bookmarkStart w:id="41" w:name="1926.1101(k)(9)(viii)"/>
      <w:bookmarkStart w:id="42" w:name="1926.1101(k)(9)(viii)(A)"/>
      <w:bookmarkStart w:id="43" w:name="1926.1101(k)(9)(viii)(B)"/>
      <w:bookmarkStart w:id="44" w:name="1926.1101(k)(9)(viii)(C)"/>
      <w:bookmarkStart w:id="45" w:name="1926.1101(k)(9)(viii)(D)"/>
      <w:bookmarkStart w:id="46" w:name="1926.1101(k)(9)(viii)(E)"/>
      <w:bookmarkStart w:id="47" w:name="1926.1101(k)(9)(viii)(F)"/>
      <w:bookmarkStart w:id="48" w:name="1926.1101(k)(9)(viii)(G)"/>
      <w:bookmarkStart w:id="49" w:name="1926.1101(k)(9)(viii)(H)"/>
      <w:bookmarkStart w:id="50" w:name="1926.1101(k)(9)(viii)(I)"/>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9C666F">
        <w:rPr>
          <w:bCs/>
          <w:u w:val="single"/>
        </w:rPr>
        <w:t>§1926.1101(k)(9)(viii)(I)</w:t>
      </w:r>
      <w:r w:rsidRPr="009C666F">
        <w:t xml:space="preserve"> - The names, addresses and phone numbers of public health organizations which provide information, materials and/or conduct programs concerning smoking cessation. The employer may distribute the list of such organizations contained in Appendix J to this section, to comply with this requirement</w:t>
      </w:r>
      <w:r w:rsidRPr="009C666F" w:rsidR="00173A01">
        <w:t>.</w:t>
      </w:r>
    </w:p>
    <w:p w:rsidR="009351FE" w:rsidRPr="009C666F" w:rsidP="00ED454E" w14:paraId="6CE871D1" w14:textId="77777777">
      <w:pPr>
        <w:pStyle w:val="BodyText"/>
      </w:pPr>
      <w:r w:rsidRPr="009C666F">
        <w:t xml:space="preserve">Paragraph (k)(9)(viii)(I) requires the employer to provide to workers a list of public health organizations providing smoking cessation programs, such as the list provided in Appendix J of </w:t>
      </w:r>
      <w:r w:rsidRPr="009C666F">
        <w:t>the Standard</w:t>
      </w:r>
      <w:r w:rsidRPr="009C666F" w:rsidR="00A07F70">
        <w:t xml:space="preserve">. </w:t>
      </w:r>
      <w:r w:rsidRPr="009C666F">
        <w:rPr>
          <w:color w:val="000000"/>
        </w:rPr>
        <w:t xml:space="preserve">OSHA considers the requirement in </w:t>
      </w:r>
      <w:r w:rsidRPr="009C666F">
        <w:t>§19</w:t>
      </w:r>
      <w:r w:rsidRPr="009C666F" w:rsidR="00173A01">
        <w:t>26</w:t>
      </w:r>
      <w:r w:rsidRPr="009C666F">
        <w:t>.</w:t>
      </w:r>
      <w:r w:rsidRPr="009C666F" w:rsidR="004C09A5">
        <w:t>1101</w:t>
      </w:r>
      <w:r w:rsidRPr="009C666F">
        <w:t>(k)(</w:t>
      </w:r>
      <w:r w:rsidRPr="009C666F" w:rsidR="003E1468">
        <w:t>9</w:t>
      </w:r>
      <w:r w:rsidRPr="009C666F">
        <w:t>)</w:t>
      </w:r>
      <w:r w:rsidRPr="009C666F" w:rsidR="003E1468">
        <w:t>(viii)(I)</w:t>
      </w:r>
      <w:r w:rsidRPr="009C666F">
        <w:t xml:space="preserve"> that employers provide Appendix J to </w:t>
      </w:r>
      <w:r w:rsidRPr="009C666F">
        <w:rPr>
          <w:color w:val="000000"/>
        </w:rPr>
        <w:t>workers to be a public disclosure of information originally supplied by the Federal government to the employer for the purpose of disclosure to the public</w:t>
      </w:r>
      <w:r w:rsidRPr="009C666F" w:rsidR="00A07F70">
        <w:rPr>
          <w:color w:val="000000"/>
        </w:rPr>
        <w:t xml:space="preserve">. </w:t>
      </w:r>
      <w:r w:rsidRPr="009C666F">
        <w:rPr>
          <w:color w:val="000000"/>
        </w:rPr>
        <w:t xml:space="preserve"> Therefore, OSHA is taking no burden hours for this requirement. </w:t>
      </w:r>
    </w:p>
    <w:p w:rsidR="00A91C29" w:rsidRPr="009C666F" w:rsidP="00ED454E" w14:paraId="2C635AA2" w14:textId="77777777">
      <w:pPr>
        <w:pStyle w:val="BodyText"/>
      </w:pPr>
      <w:bookmarkStart w:id="51" w:name="1926.1101(k)(9)(viii)(J)"/>
      <w:bookmarkEnd w:id="51"/>
      <w:r w:rsidRPr="009C666F">
        <w:rPr>
          <w:b/>
          <w:u w:val="single"/>
        </w:rPr>
        <w:t>Purpose</w:t>
      </w:r>
      <w:r w:rsidRPr="009C666F">
        <w:t>:  Training is essential to inform employees of the hazards to which they are exposed and to provide employees with the necessary understanding of the degree to which they themselves can minimize the health hazard potential. Training serves to explain and reinforce the information presented to employees on signs, labels and S</w:t>
      </w:r>
      <w:r w:rsidRPr="009C666F" w:rsidR="00E971B9">
        <w:t xml:space="preserve">afety </w:t>
      </w:r>
      <w:r w:rsidRPr="009C666F">
        <w:t>D</w:t>
      </w:r>
      <w:r w:rsidRPr="009C666F" w:rsidR="00E971B9">
        <w:t>ata Sheets</w:t>
      </w:r>
      <w:r w:rsidRPr="009C666F">
        <w:t xml:space="preserve">. These written forms of information and warning will be successful and relevant only when employees understand the information presented and are aware of the actions to be taken to avoid or minimize exposures. </w:t>
      </w:r>
    </w:p>
    <w:p w:rsidR="00A91C29" w:rsidRPr="009C666F" w:rsidP="00ED454E" w14:paraId="7A98CE7E" w14:textId="77777777">
      <w:pPr>
        <w:pStyle w:val="BodyText"/>
      </w:pPr>
      <w:r w:rsidRPr="009C666F">
        <w:t>Training provides information to the employee to enable them to be able to recognize how and</w:t>
      </w:r>
      <w:r w:rsidRPr="009C666F" w:rsidR="00ED454E">
        <w:t xml:space="preserve"> </w:t>
      </w:r>
      <w:r w:rsidRPr="009C666F">
        <w:t xml:space="preserve">where he or she might be occupationally exposed and what steps should be taken to limit exposure. Workers must be provided information on location, use, and work practices. </w:t>
      </w:r>
    </w:p>
    <w:p w:rsidR="00A91C29" w:rsidRPr="009C666F" w:rsidP="00ED454E" w14:paraId="5336A937" w14:textId="77777777">
      <w:pPr>
        <w:pStyle w:val="Heading3"/>
      </w:pPr>
      <w:r w:rsidRPr="009C666F">
        <w:t>Medical examinations and consultations</w:t>
      </w:r>
      <w:r w:rsidRPr="009C666F">
        <w:rPr>
          <w:rFonts w:ascii="Verdana" w:hAnsi="Verdana"/>
          <w:sz w:val="19"/>
          <w:szCs w:val="19"/>
        </w:rPr>
        <w:t xml:space="preserve"> </w:t>
      </w:r>
      <w:r w:rsidRPr="009C666F">
        <w:t>(§1926.1101(m)(2))</w:t>
      </w:r>
    </w:p>
    <w:p w:rsidR="00A91C29" w:rsidRPr="009C666F" w:rsidP="00ED454E" w14:paraId="73067D1E" w14:textId="77777777">
      <w:pPr>
        <w:pStyle w:val="BodyText"/>
      </w:pPr>
      <w:r w:rsidRPr="009C666F">
        <w:rPr>
          <w:bCs/>
          <w:i/>
        </w:rPr>
        <w:t>§1926.1101(m)(2)(i)</w:t>
      </w:r>
      <w:r w:rsidRPr="009C666F">
        <w:t xml:space="preserve"> - The employer shall make available medical examinations and consultations to each employee covered under paragraph (m)(1)(i) of this section on the following schedules:</w:t>
      </w:r>
    </w:p>
    <w:p w:rsidR="00A91C29" w:rsidRPr="009C666F" w:rsidP="00ED454E" w14:paraId="5AFAD571" w14:textId="77777777">
      <w:pPr>
        <w:pStyle w:val="BodyTextIndent"/>
      </w:pPr>
      <w:bookmarkStart w:id="52" w:name="1926.1101(m)(2)(i)(A)"/>
      <w:bookmarkEnd w:id="52"/>
      <w:r w:rsidRPr="009C666F">
        <w:rPr>
          <w:bCs/>
          <w:u w:val="single"/>
        </w:rPr>
        <w:t>§1926.1101(m)(2)(i)(A)</w:t>
      </w:r>
      <w:r w:rsidRPr="009C666F">
        <w:t xml:space="preserve"> - Prior to assignment of the employee to an area where negative-pressure respirators are worn;</w:t>
      </w:r>
    </w:p>
    <w:p w:rsidR="00A91C29" w:rsidRPr="009C666F" w:rsidP="00ED454E" w14:paraId="63DB3F78" w14:textId="77777777">
      <w:pPr>
        <w:pStyle w:val="BodyTextIndent"/>
      </w:pPr>
      <w:bookmarkStart w:id="53" w:name="1926.1101(m)(2)(i)(B)"/>
      <w:bookmarkEnd w:id="53"/>
      <w:r w:rsidRPr="009C666F">
        <w:rPr>
          <w:bCs/>
          <w:u w:val="single"/>
        </w:rPr>
        <w:t>§1926.1101(m)(2)(i)(B)</w:t>
      </w:r>
      <w:r w:rsidRPr="009C666F">
        <w:t xml:space="preserve"> - When the employee is assigned to an area where exposure to asbestos may be at or above the permissible exposure limit for 30 or more days per year, or engage in Class I, II, or III work for a combined total of 30 or more days per year, a medical examination must be given within 10 working days following the thirtieth day of exposure;</w:t>
      </w:r>
    </w:p>
    <w:p w:rsidR="00A91C29" w:rsidRPr="009C666F" w:rsidP="00ED454E" w14:paraId="6D1EBC40" w14:textId="77777777">
      <w:pPr>
        <w:pStyle w:val="BodyTextIndent"/>
      </w:pPr>
      <w:bookmarkStart w:id="54" w:name="1926.1101(m)(2)(i)(C)"/>
      <w:bookmarkEnd w:id="54"/>
      <w:r w:rsidRPr="009C666F">
        <w:rPr>
          <w:bCs/>
          <w:u w:val="single"/>
        </w:rPr>
        <w:t>§1926.1101(m)(2)(i)(C)</w:t>
      </w:r>
      <w:r w:rsidRPr="009C666F">
        <w:t xml:space="preserve"> - And at least annually thereafter.</w:t>
      </w:r>
    </w:p>
    <w:p w:rsidR="00A91C29" w:rsidRPr="009C666F" w:rsidP="00ED454E" w14:paraId="4F28E566" w14:textId="77777777">
      <w:pPr>
        <w:pStyle w:val="BodyTextIndent"/>
      </w:pPr>
      <w:bookmarkStart w:id="55" w:name="1926.1101(m)(2)(i)(D)"/>
      <w:bookmarkEnd w:id="55"/>
      <w:r w:rsidRPr="009C666F">
        <w:rPr>
          <w:bCs/>
          <w:u w:val="single"/>
        </w:rPr>
        <w:t>§1926.1101(m)(2)(i)(D)</w:t>
      </w:r>
      <w:r w:rsidRPr="009C666F">
        <w:t xml:space="preserve"> - If the examining physician determines that any of the examinations should be provided more frequently than specified, the employer shall provide such examinations to affected employees at the frequencies specified by the physician.</w:t>
      </w:r>
    </w:p>
    <w:p w:rsidR="00A91C29" w:rsidRPr="009C666F" w:rsidP="00ED454E" w14:paraId="6EF56786" w14:textId="77777777">
      <w:pPr>
        <w:pStyle w:val="BodyTextIndent"/>
      </w:pPr>
      <w:bookmarkStart w:id="56" w:name="1926.1101(m)(2)(i)(E)"/>
      <w:bookmarkEnd w:id="56"/>
      <w:r w:rsidRPr="009C666F">
        <w:rPr>
          <w:bCs/>
          <w:u w:val="single"/>
        </w:rPr>
        <w:t>§1926.1101(m)(2)(i)(E)</w:t>
      </w:r>
      <w:r w:rsidRPr="009C666F">
        <w:t xml:space="preserve"> - Exception: No medical examination is required of any employee if adequate records show that the employee has been examined in accordance with this paragraph within the past 1-year period.</w:t>
      </w:r>
    </w:p>
    <w:p w:rsidR="00A91C29" w:rsidRPr="009C666F" w:rsidP="00ED454E" w14:paraId="579167FB" w14:textId="77777777">
      <w:pPr>
        <w:pStyle w:val="BodyTextIndent"/>
      </w:pPr>
      <w:bookmarkStart w:id="57" w:name="1926.1101(m)(2)(ii)"/>
      <w:bookmarkEnd w:id="57"/>
      <w:r w:rsidRPr="009C666F">
        <w:rPr>
          <w:bCs/>
          <w:i/>
        </w:rPr>
        <w:t>Content. §1926.1101(m)(2)(ii)</w:t>
      </w:r>
      <w:r w:rsidRPr="009C666F">
        <w:t xml:space="preserve"> - Medical examinations made available pursuant to paragraphs (m)(2)(i)(A) through (m)(2)(i)(C) of this section shall include:</w:t>
      </w:r>
    </w:p>
    <w:p w:rsidR="00A91C29" w:rsidRPr="009C666F" w:rsidP="00ED454E" w14:paraId="004EDC08" w14:textId="77777777">
      <w:pPr>
        <w:pStyle w:val="BodyTextIndent"/>
      </w:pPr>
      <w:bookmarkStart w:id="58" w:name="1926.1101(m)(2)(ii)(A)"/>
      <w:bookmarkEnd w:id="58"/>
      <w:r w:rsidRPr="009C666F">
        <w:rPr>
          <w:bCs/>
          <w:u w:val="single"/>
        </w:rPr>
        <w:t>§1926.1101(m)(2)(ii)(A)</w:t>
      </w:r>
      <w:r w:rsidRPr="009C666F">
        <w:t xml:space="preserve"> - A medical and work history with special emphasis directed to </w:t>
      </w:r>
      <w:r w:rsidRPr="009C666F">
        <w:t>the pulmonary, cardiovascular, and gastrointestinal systems.</w:t>
      </w:r>
    </w:p>
    <w:p w:rsidR="00A91C29" w:rsidRPr="009C666F" w:rsidP="00ED454E" w14:paraId="6C5BDC32" w14:textId="77777777">
      <w:pPr>
        <w:pStyle w:val="BodyTextIndent"/>
      </w:pPr>
      <w:bookmarkStart w:id="59" w:name="1926.1101(m)(2)(ii)(B)"/>
      <w:bookmarkEnd w:id="59"/>
      <w:r w:rsidRPr="009C666F">
        <w:rPr>
          <w:bCs/>
          <w:u w:val="single"/>
        </w:rPr>
        <w:t>§1926.1101(m)(2)(ii)(B)</w:t>
      </w:r>
      <w:r w:rsidRPr="009C666F">
        <w:t xml:space="preserve"> - On initial examination, the standardized questionnaire contained in Part 1 of Appendix D to this section, and, on annual examination, the abbreviated standardized questionnaire contained in Part 2 of Appendix D to this section.</w:t>
      </w:r>
    </w:p>
    <w:p w:rsidR="00A91C29" w:rsidRPr="009C666F" w:rsidP="00ED454E" w14:paraId="1B1B5A56" w14:textId="77777777">
      <w:pPr>
        <w:pStyle w:val="BodyTextIndent"/>
      </w:pPr>
      <w:bookmarkStart w:id="60" w:name="1926.1101(m)(2)(ii)(C)"/>
      <w:bookmarkEnd w:id="60"/>
      <w:r w:rsidRPr="009C666F">
        <w:rPr>
          <w:bCs/>
          <w:u w:val="single"/>
        </w:rPr>
        <w:t>§1926.1101(m)(2)(ii)(C)</w:t>
      </w:r>
      <w:r w:rsidRPr="009C666F">
        <w:t xml:space="preserve"> - A physical examination directed to the pulmonary and gastrointestinal systems, including </w:t>
      </w:r>
      <w:r w:rsidRPr="009C666F" w:rsidR="00B968CD">
        <w:t xml:space="preserve">a 14- by 17-inch or other reasonably-sized standard film or digital posterior-anterior chest X-ray </w:t>
      </w:r>
      <w:r w:rsidRPr="009C666F">
        <w:t xml:space="preserve"> to be administered at the discretion of the physician, and pulmonary function tests of forced vital capacity (FVC) and forced expiratory volume at one second (FEV(1)). </w:t>
      </w:r>
      <w:r w:rsidRPr="009C666F" w:rsidR="00593CF1">
        <w:t>C</w:t>
      </w:r>
      <w:r w:rsidRPr="009C666F">
        <w:t xml:space="preserve">lassification of chest </w:t>
      </w:r>
      <w:r w:rsidRPr="009C666F" w:rsidR="00593CF1">
        <w:t xml:space="preserve">X-rays </w:t>
      </w:r>
      <w:r w:rsidRPr="009C666F">
        <w:t>shall be conducted in accordance with Appendix E to this section.</w:t>
      </w:r>
    </w:p>
    <w:p w:rsidR="00A91C29" w:rsidRPr="009C666F" w:rsidP="00ED454E" w14:paraId="036553F6" w14:textId="77777777">
      <w:pPr>
        <w:pStyle w:val="BodyTextIndent"/>
      </w:pPr>
      <w:bookmarkStart w:id="61" w:name="1926.1101(m)(2)(ii)(D)"/>
      <w:bookmarkEnd w:id="61"/>
      <w:r w:rsidRPr="009C666F">
        <w:rPr>
          <w:bCs/>
          <w:u w:val="single"/>
        </w:rPr>
        <w:t>§1926.1101(m)(2)(ii)(D)</w:t>
      </w:r>
      <w:r w:rsidRPr="009C666F">
        <w:t xml:space="preserve"> - Any other examinations or tests deemed necessary by the examining physician.</w:t>
      </w:r>
    </w:p>
    <w:p w:rsidR="00A91C29" w:rsidRPr="009C666F" w:rsidP="00ED454E" w14:paraId="6152B91D" w14:textId="77777777">
      <w:pPr>
        <w:pStyle w:val="BodyText"/>
      </w:pPr>
      <w:r w:rsidRPr="009C666F">
        <w:rPr>
          <w:b/>
          <w:u w:val="single"/>
        </w:rPr>
        <w:t>Purpose</w:t>
      </w:r>
      <w:r w:rsidRPr="009C666F">
        <w:t xml:space="preserve">:  Medical examinations and the related </w:t>
      </w:r>
      <w:r w:rsidRPr="009C666F" w:rsidR="009351FE">
        <w:t>collection of information</w:t>
      </w:r>
      <w:r w:rsidRPr="009C666F">
        <w:t xml:space="preserve"> requirements provide continuous monitoring of the health of potentially exposed employees. Records of medical examinations are used by physicians who must periodically examine employees exposed to</w:t>
      </w:r>
      <w:r w:rsidRPr="009C666F">
        <w:rPr>
          <w:b/>
          <w:bCs/>
        </w:rPr>
        <w:t xml:space="preserve"> </w:t>
      </w:r>
      <w:r w:rsidRPr="009C666F">
        <w:t>asbestos</w:t>
      </w:r>
      <w:r w:rsidRPr="009C666F" w:rsidR="00A07F70">
        <w:t xml:space="preserve">. </w:t>
      </w:r>
      <w:r w:rsidRPr="009C666F">
        <w:t xml:space="preserve">Without records of previous medical examinations, the physician may not be able to determine whether an employee has suffered adverse health effects since his or her last examination. Further, when symptoms of organ damage appear, the physician often needs information as to the patient's previous medical conditions to make an accurate diagnosis of the new problem, its apparent cause, and the course of treatment required. </w:t>
      </w:r>
    </w:p>
    <w:p w:rsidR="00A91C29" w:rsidRPr="009C666F" w:rsidP="00ED454E" w14:paraId="3D9488F1" w14:textId="77777777">
      <w:pPr>
        <w:pStyle w:val="BodyText"/>
      </w:pPr>
      <w:r w:rsidRPr="009C666F">
        <w:t>Medical records are also designed so that employees can determine whether or not treatment is</w:t>
      </w:r>
      <w:r w:rsidRPr="009C666F" w:rsidR="00ED454E">
        <w:t xml:space="preserve"> </w:t>
      </w:r>
      <w:r w:rsidRPr="009C666F">
        <w:t xml:space="preserve">needed for occupational exposures. </w:t>
      </w:r>
    </w:p>
    <w:p w:rsidR="00A91C29" w:rsidRPr="009C666F" w:rsidP="00ED454E" w14:paraId="0656659D" w14:textId="77777777">
      <w:pPr>
        <w:pStyle w:val="BodyText"/>
      </w:pPr>
      <w:r w:rsidRPr="009C666F">
        <w:t>The maintenance period for records regarding employee health is necessary because of the lengthy latency periods associated with the manifestation of disease due to exposure to asbestos.</w:t>
      </w:r>
    </w:p>
    <w:p w:rsidR="00A91C29" w:rsidRPr="009C666F" w:rsidP="00ED454E" w14:paraId="3B84E644" w14:textId="77777777">
      <w:pPr>
        <w:pStyle w:val="BodyText"/>
        <w:rPr>
          <w:i/>
          <w:iCs/>
        </w:rPr>
      </w:pPr>
      <w:r w:rsidRPr="009C666F">
        <w:rPr>
          <w:i/>
          <w:iCs/>
        </w:rPr>
        <w:t>Information provided to physician (§1926.1101(m)(3))</w:t>
      </w:r>
    </w:p>
    <w:p w:rsidR="00A91C29" w:rsidRPr="009C666F" w:rsidP="00ED454E" w14:paraId="74829B50" w14:textId="77777777">
      <w:pPr>
        <w:pStyle w:val="BodyText"/>
      </w:pPr>
      <w:r w:rsidRPr="009C666F">
        <w:t>The employer shall provide the following information to the examining physician:</w:t>
      </w:r>
    </w:p>
    <w:p w:rsidR="00A91C29" w:rsidRPr="009C666F" w:rsidP="00ED454E" w14:paraId="518D3962" w14:textId="77777777">
      <w:pPr>
        <w:pStyle w:val="BodyText"/>
      </w:pPr>
      <w:bookmarkStart w:id="62" w:name="1926.1101(m)(3)(i)"/>
      <w:bookmarkEnd w:id="62"/>
      <w:r w:rsidRPr="009C666F">
        <w:rPr>
          <w:bCs/>
          <w:i/>
        </w:rPr>
        <w:t>§1926.1101(m)(3)(i)</w:t>
      </w:r>
      <w:r w:rsidRPr="009C666F">
        <w:t xml:space="preserve"> - A copy of this standard and Appendices D, E, and I to this section;</w:t>
      </w:r>
    </w:p>
    <w:p w:rsidR="00A91C29" w:rsidRPr="009C666F" w:rsidP="00ED454E" w14:paraId="31DF3F0B" w14:textId="77777777">
      <w:pPr>
        <w:pStyle w:val="BodyText"/>
      </w:pPr>
      <w:bookmarkStart w:id="63" w:name="1926.1101(m)(3)(ii)"/>
      <w:bookmarkEnd w:id="63"/>
      <w:r w:rsidRPr="009C666F">
        <w:rPr>
          <w:bCs/>
          <w:i/>
        </w:rPr>
        <w:t>§1926.1101(m)(3)(ii)</w:t>
      </w:r>
      <w:r w:rsidRPr="009C666F">
        <w:rPr>
          <w:i/>
        </w:rPr>
        <w:t xml:space="preserve"> </w:t>
      </w:r>
      <w:r w:rsidRPr="009C666F">
        <w:t>- A description of the affected employee's duties as they relate to the employee's exposure;</w:t>
      </w:r>
    </w:p>
    <w:p w:rsidR="00A91C29" w:rsidRPr="009C666F" w:rsidP="00ED454E" w14:paraId="5C8245B0" w14:textId="77777777">
      <w:pPr>
        <w:pStyle w:val="BodyText"/>
      </w:pPr>
      <w:bookmarkStart w:id="64" w:name="1926.1101(m)(3)(iii)"/>
      <w:bookmarkEnd w:id="64"/>
      <w:r w:rsidRPr="009C666F">
        <w:rPr>
          <w:bCs/>
          <w:i/>
        </w:rPr>
        <w:t>§1926.1101(m)(3)(iii)</w:t>
      </w:r>
      <w:r w:rsidRPr="009C666F">
        <w:t xml:space="preserve"> - The employee's representative exposure level or anticipated exposure level;</w:t>
      </w:r>
    </w:p>
    <w:p w:rsidR="00A91C29" w:rsidRPr="009C666F" w:rsidP="00ED454E" w14:paraId="0CB84FBA" w14:textId="77777777">
      <w:pPr>
        <w:pStyle w:val="BodyText"/>
      </w:pPr>
      <w:bookmarkStart w:id="65" w:name="1926.1101(m)(3)(iv)"/>
      <w:bookmarkEnd w:id="65"/>
      <w:r w:rsidRPr="009C666F">
        <w:rPr>
          <w:bCs/>
          <w:i/>
        </w:rPr>
        <w:t>§1926.1101(m)(3)(iv)</w:t>
      </w:r>
      <w:r w:rsidRPr="009C666F">
        <w:t xml:space="preserve"> - A description of any personal protective and respiratory equipment used or to be used; and</w:t>
      </w:r>
    </w:p>
    <w:p w:rsidR="00A91C29" w:rsidRPr="009C666F" w:rsidP="00ED454E" w14:paraId="15D73D6F" w14:textId="77777777">
      <w:pPr>
        <w:pStyle w:val="BodyText"/>
      </w:pPr>
      <w:bookmarkStart w:id="66" w:name="1926.1101(m)(3)(v)"/>
      <w:bookmarkEnd w:id="66"/>
      <w:r w:rsidRPr="009C666F">
        <w:rPr>
          <w:bCs/>
          <w:i/>
        </w:rPr>
        <w:t>§1926.1101(m)(3)(v)</w:t>
      </w:r>
      <w:r w:rsidRPr="009C666F">
        <w:t xml:space="preserve"> - Information from previous medical examinations of the affected employee that is not otherwise available to the examining physician.</w:t>
      </w:r>
    </w:p>
    <w:p w:rsidR="00A91C29" w:rsidRPr="009C666F" w:rsidP="00ED454E" w14:paraId="7D5C7AE6" w14:textId="77777777">
      <w:pPr>
        <w:pStyle w:val="BodyText"/>
      </w:pPr>
      <w:r w:rsidRPr="009C666F">
        <w:rPr>
          <w:b/>
          <w:u w:val="single"/>
        </w:rPr>
        <w:t>Purpose</w:t>
      </w:r>
      <w:r w:rsidRPr="009C666F">
        <w:t xml:space="preserve">:  Making the required information available to the physician will aid in the evaluation of the employee's health and fitness for particular asbestos exposed job assignment. </w:t>
      </w:r>
    </w:p>
    <w:p w:rsidR="00A91C29" w:rsidRPr="009C666F" w:rsidP="00ED454E" w14:paraId="5FE3D6DE" w14:textId="77777777">
      <w:pPr>
        <w:pStyle w:val="BodyText"/>
        <w:rPr>
          <w:bCs/>
          <w:i/>
        </w:rPr>
      </w:pPr>
      <w:r w:rsidRPr="009C666F">
        <w:rPr>
          <w:bCs/>
          <w:i/>
        </w:rPr>
        <w:t>Physician's written opinion (§1926.1101(m)(4))</w:t>
      </w:r>
    </w:p>
    <w:p w:rsidR="00A91C29" w:rsidRPr="009C666F" w:rsidP="00ED454E" w14:paraId="42B6F2AB" w14:textId="77777777">
      <w:pPr>
        <w:pStyle w:val="BodyText"/>
      </w:pPr>
      <w:bookmarkStart w:id="67" w:name="1926.1101(m)(4)(i)"/>
      <w:bookmarkEnd w:id="67"/>
      <w:r w:rsidRPr="009C666F">
        <w:t>§</w:t>
      </w:r>
      <w:hyperlink r:id="rId16" w:history="1">
        <w:r w:rsidRPr="009C666F">
          <w:t>1926.1101(m)(4)(i)</w:t>
        </w:r>
      </w:hyperlink>
      <w:r w:rsidRPr="009C666F">
        <w:t xml:space="preserve"> - The employer shall obtain a written opinion from the examining physician. This written opinion shall contain the results of the medical examination and shall include:</w:t>
      </w:r>
    </w:p>
    <w:p w:rsidR="00A91C29" w:rsidRPr="009C666F" w:rsidP="00ED454E" w14:paraId="7F8852CC" w14:textId="77777777">
      <w:pPr>
        <w:pStyle w:val="BodyTextIndent"/>
      </w:pPr>
      <w:bookmarkStart w:id="68" w:name="1926.1101(m)(4)(i)(A)"/>
      <w:bookmarkEnd w:id="68"/>
      <w:r w:rsidRPr="009C666F">
        <w:rPr>
          <w:bCs/>
          <w:u w:val="single"/>
        </w:rPr>
        <w:t>§1926.1101(m)(4)(i)(A)</w:t>
      </w:r>
      <w:r w:rsidRPr="009C666F">
        <w:t xml:space="preserve"> - The physician's opinion as to whether the employee has any detected medical conditions that would place the employee at an increased risk of material health impairment from exposure to asbestos;</w:t>
      </w:r>
    </w:p>
    <w:p w:rsidR="00A91C29" w:rsidRPr="009C666F" w:rsidP="00ED454E" w14:paraId="2BDD63A8" w14:textId="77777777">
      <w:pPr>
        <w:pStyle w:val="BodyTextIndent"/>
      </w:pPr>
      <w:bookmarkStart w:id="69" w:name="1926.1101(m)(4)(i)(B)"/>
      <w:bookmarkEnd w:id="69"/>
      <w:r w:rsidRPr="009C666F">
        <w:rPr>
          <w:bCs/>
          <w:u w:val="single"/>
        </w:rPr>
        <w:t>§1926.1101(m)(4)(i)(B)</w:t>
      </w:r>
      <w:r w:rsidRPr="009C666F">
        <w:t xml:space="preserve"> - Any recommended limitations on the employee or on the use of personal protective equipment such as respirators; and</w:t>
      </w:r>
    </w:p>
    <w:p w:rsidR="00A91C29" w:rsidRPr="009C666F" w:rsidP="00ED454E" w14:paraId="6744EE22" w14:textId="77777777">
      <w:pPr>
        <w:pStyle w:val="BodyTextIndent"/>
      </w:pPr>
      <w:bookmarkStart w:id="70" w:name="1926.1101(m)(4)(i)(C)"/>
      <w:bookmarkEnd w:id="70"/>
      <w:r w:rsidRPr="009C666F">
        <w:rPr>
          <w:bCs/>
          <w:u w:val="single"/>
        </w:rPr>
        <w:t>§1926.1101(m)(4)(i)(C)</w:t>
      </w:r>
      <w:r w:rsidRPr="009C666F">
        <w:t xml:space="preserve"> - A statement that the employee has been informed by the physician of the results of the medical examination and of any medical conditions that may result from asbestos exposure.</w:t>
      </w:r>
    </w:p>
    <w:p w:rsidR="00A91C29" w:rsidRPr="009C666F" w:rsidP="00ED454E" w14:paraId="5A7080D7" w14:textId="77777777">
      <w:pPr>
        <w:pStyle w:val="BodyTextIndent"/>
      </w:pPr>
      <w:bookmarkStart w:id="71" w:name="1926.1101(m)(4)(i)(D)"/>
      <w:bookmarkEnd w:id="71"/>
      <w:r w:rsidRPr="009C666F">
        <w:rPr>
          <w:bCs/>
          <w:u w:val="single"/>
        </w:rPr>
        <w:t>§1926.1101(m)(4)(i)(D)</w:t>
      </w:r>
      <w:r w:rsidRPr="009C666F">
        <w:rPr>
          <w:b/>
          <w:bCs/>
        </w:rPr>
        <w:t xml:space="preserve"> - </w:t>
      </w:r>
      <w:r w:rsidRPr="009C666F">
        <w:t>A statement that the employee has been informed by the physician of the increased risk of lung cancer attributable to the combined effect of smoking and asbestos exposure.</w:t>
      </w:r>
    </w:p>
    <w:p w:rsidR="00A91C29" w:rsidRPr="009C666F" w:rsidP="00ED454E" w14:paraId="290BA6ED" w14:textId="77777777">
      <w:pPr>
        <w:pStyle w:val="BodyText"/>
      </w:pPr>
      <w:bookmarkStart w:id="72" w:name="1926.1101(m)(4)(ii)"/>
      <w:bookmarkEnd w:id="72"/>
      <w:r w:rsidRPr="009C666F">
        <w:rPr>
          <w:bCs/>
          <w:i/>
        </w:rPr>
        <w:t>§1926.1101(m)(4)(ii)</w:t>
      </w:r>
      <w:r w:rsidRPr="009C666F">
        <w:t xml:space="preserve"> - The employer shall instruct the physician not to reveal in the written opinion given to the employer specific findings or diagnoses unrelated to occupational exposure to asbestos.</w:t>
      </w:r>
    </w:p>
    <w:p w:rsidR="00A91C29" w:rsidRPr="009C666F" w:rsidP="00ED454E" w14:paraId="3F0F9E60" w14:textId="77777777">
      <w:pPr>
        <w:pStyle w:val="BodyText"/>
      </w:pPr>
      <w:bookmarkStart w:id="73" w:name="1926.1101(m)(4)(iii)"/>
      <w:bookmarkEnd w:id="73"/>
      <w:r w:rsidRPr="009C666F">
        <w:rPr>
          <w:bCs/>
          <w:i/>
        </w:rPr>
        <w:t>§1926.1101(m)(4)(iii)</w:t>
      </w:r>
      <w:r w:rsidRPr="009C666F">
        <w:t xml:space="preserve"> - The employer shall provide a copy of the physician's written opinion to the affected employee within 30 days from its receipt.</w:t>
      </w:r>
    </w:p>
    <w:p w:rsidR="00A91C29" w:rsidRPr="009C666F" w:rsidP="00ED454E" w14:paraId="553B9F44" w14:textId="77777777">
      <w:pPr>
        <w:pStyle w:val="BodyText"/>
      </w:pPr>
      <w:r w:rsidRPr="009C666F">
        <w:rPr>
          <w:b/>
          <w:u w:val="single"/>
        </w:rPr>
        <w:t>Purpose</w:t>
      </w:r>
      <w:r w:rsidRPr="009C666F">
        <w:t>:  The purpose in requiring the employer to obtain a written opinion from the examining physician is to provide the employer with a medical basis to aid in the determination of placement of employees and to assess the employee’s ability to use protective clothing and equipment</w:t>
      </w:r>
      <w:r w:rsidRPr="009C666F" w:rsidR="00A07F70">
        <w:t xml:space="preserve">. </w:t>
      </w:r>
      <w:r w:rsidRPr="009C666F">
        <w:t>The requirement that an employee be provided a copy of the physician's written opinion will ensure that the employee is informed of the results of the medical examination.</w:t>
      </w:r>
    </w:p>
    <w:p w:rsidR="00A91C29" w:rsidRPr="009C666F" w:rsidP="00ED454E" w14:paraId="6B59DE19" w14:textId="77777777">
      <w:pPr>
        <w:pStyle w:val="Heading3"/>
      </w:pPr>
      <w:r w:rsidRPr="009C666F">
        <w:t>Recordkeeping (§1926.1101(n))</w:t>
      </w:r>
    </w:p>
    <w:p w:rsidR="00ED454E" w:rsidRPr="009C666F" w:rsidP="00ED454E" w14:paraId="71AA6296" w14:textId="77777777">
      <w:pPr>
        <w:pStyle w:val="BodyText"/>
        <w:rPr>
          <w:i/>
          <w:iCs/>
        </w:rPr>
      </w:pPr>
      <w:r w:rsidRPr="009C666F">
        <w:rPr>
          <w:i/>
          <w:iCs/>
        </w:rPr>
        <w:t>Objective Data (§1926.1101(n)(1))</w:t>
      </w:r>
    </w:p>
    <w:p w:rsidR="00ED454E" w:rsidRPr="009C666F" w:rsidP="00ED454E" w14:paraId="3094F7EC" w14:textId="77777777">
      <w:pPr>
        <w:pStyle w:val="BodyText"/>
      </w:pPr>
      <w:r w:rsidRPr="009C666F">
        <w:t xml:space="preserve">1926.1101(n)(1)(i) - Where the employer has relied on objective data that demonstrates that products made from or containing asbestos or the activity involving such products or material are </w:t>
      </w:r>
      <w:r w:rsidRPr="009C666F">
        <w:t>not capable of releasing fibers of asbestos in concentrations at or above the permissible exposure limit and/or excursion limit under the expected conditions of processing, use, or handling to satisfy the requirements of paragraph (f), the employer shall establish and maintain an accurate record of objective data reasonably relied upon in support of the exemption.</w:t>
      </w:r>
    </w:p>
    <w:p w:rsidR="00ED454E" w:rsidRPr="009C666F" w:rsidP="00ED454E" w14:paraId="5DF7F412" w14:textId="77777777">
      <w:pPr>
        <w:pStyle w:val="BodyText"/>
      </w:pPr>
      <w:r w:rsidRPr="009C666F">
        <w:t>1926.1101(n)(1)(ii)</w:t>
      </w:r>
      <w:r w:rsidRPr="009C666F" w:rsidR="00AE3DD4">
        <w:t xml:space="preserve"> - </w:t>
      </w:r>
      <w:r w:rsidRPr="009C666F">
        <w:t>The record shall include at least the following information:</w:t>
      </w:r>
    </w:p>
    <w:p w:rsidR="00ED454E" w:rsidRPr="009C666F" w:rsidP="00ED454E" w14:paraId="0C5B407E" w14:textId="77777777">
      <w:pPr>
        <w:pStyle w:val="BodyText"/>
      </w:pPr>
      <w:r w:rsidRPr="009C666F">
        <w:t>1926.1101(n)(1)(ii)(A) - The product qualifying for exemption;</w:t>
      </w:r>
    </w:p>
    <w:p w:rsidR="00ED454E" w:rsidRPr="009C666F" w:rsidP="00ED454E" w14:paraId="23C5CF1B" w14:textId="77777777">
      <w:pPr>
        <w:pStyle w:val="BodyText"/>
      </w:pPr>
      <w:r w:rsidRPr="009C666F">
        <w:t>1926.1101(n)(1)(ii)(B) - The source of the objective data;</w:t>
      </w:r>
    </w:p>
    <w:p w:rsidR="00ED454E" w:rsidRPr="009C666F" w:rsidP="00ED454E" w14:paraId="76A71486" w14:textId="77777777">
      <w:pPr>
        <w:pStyle w:val="BodyText"/>
      </w:pPr>
      <w:r w:rsidRPr="009C666F">
        <w:t>1926.1101(n)(1)(ii)(C) - The testing protocol, results of testing, and/or analysis of the material for the release of asbestos;</w:t>
      </w:r>
    </w:p>
    <w:p w:rsidR="00ED454E" w:rsidRPr="009C666F" w:rsidP="00ED454E" w14:paraId="02CB5118" w14:textId="77777777">
      <w:pPr>
        <w:pStyle w:val="BodyText"/>
      </w:pPr>
      <w:r w:rsidRPr="009C666F">
        <w:t>1926.1101(n)(1)(ii)(D) - A description of the operation exempted and how the data support the exemption; and</w:t>
      </w:r>
    </w:p>
    <w:p w:rsidR="00ED454E" w:rsidRPr="009C666F" w:rsidP="00ED454E" w14:paraId="4CF2B54C" w14:textId="77777777">
      <w:pPr>
        <w:pStyle w:val="BodyText"/>
      </w:pPr>
      <w:r w:rsidRPr="009C666F">
        <w:t>1926.1101(n)(1)(ii)(E) - Other data relevant to the operations, materials, processing, or employee exposures covered by the exemption.</w:t>
      </w:r>
    </w:p>
    <w:p w:rsidR="00ED454E" w:rsidRPr="009C666F" w:rsidP="00ED454E" w14:paraId="16220B91" w14:textId="77777777">
      <w:pPr>
        <w:pStyle w:val="BodyText"/>
      </w:pPr>
      <w:r w:rsidRPr="009C666F">
        <w:t>1926.1101(n)(1)(iii) - The employer shall maintain this record for the duration of the employer's reliance upon such objective data.</w:t>
      </w:r>
    </w:p>
    <w:p w:rsidR="00ED454E" w:rsidRPr="009C666F" w:rsidP="00ED454E" w14:paraId="332273D2" w14:textId="77777777">
      <w:pPr>
        <w:pStyle w:val="BodyText"/>
      </w:pPr>
      <w:r w:rsidRPr="009C666F">
        <w:rPr>
          <w:b/>
          <w:u w:val="single"/>
        </w:rPr>
        <w:t>Purpose</w:t>
      </w:r>
      <w:r w:rsidRPr="009C666F">
        <w:t>:  The purpose of requiring an employer to document objective data determinations and retain them is to discourage abuse of this provision since employees and their representatives are permitted access to this information</w:t>
      </w:r>
      <w:r w:rsidRPr="009C666F" w:rsidR="00A07F70">
        <w:t xml:space="preserve">. </w:t>
      </w:r>
      <w:r w:rsidRPr="009C666F">
        <w:t>Access enables employees and their representatives to ensure that the exemption determination is a reasonable one, thereby encouraging use of objective data determinations only in cases where the data warrant such use</w:t>
      </w:r>
      <w:r w:rsidRPr="009C666F" w:rsidR="00A07F70">
        <w:t xml:space="preserve">. </w:t>
      </w:r>
      <w:r w:rsidRPr="009C666F">
        <w:t xml:space="preserve">Maintaining a record of the objective data determinations will permit OSHA to ascertain whether compliance with the standard has been achieved. </w:t>
      </w:r>
    </w:p>
    <w:p w:rsidR="00ED454E" w:rsidRPr="009C666F" w:rsidP="00ED454E" w14:paraId="4BC21754" w14:textId="77777777">
      <w:pPr>
        <w:pStyle w:val="BodyText"/>
        <w:rPr>
          <w:i/>
          <w:iCs/>
        </w:rPr>
      </w:pPr>
      <w:r w:rsidRPr="009C666F">
        <w:rPr>
          <w:i/>
          <w:iCs/>
        </w:rPr>
        <w:t>Exposure monitoring (§1926.1101(n)(2))</w:t>
      </w:r>
    </w:p>
    <w:p w:rsidR="00ED454E" w:rsidRPr="009C666F" w:rsidP="00ED454E" w14:paraId="7005DBC3" w14:textId="77777777">
      <w:pPr>
        <w:pStyle w:val="BodyText"/>
        <w:rPr>
          <w:color w:val="000000"/>
        </w:rPr>
      </w:pPr>
      <w:r w:rsidRPr="009C666F">
        <w:t>§1926.1101(n)(2)(i)</w:t>
      </w:r>
      <w:r w:rsidRPr="009C666F">
        <w:rPr>
          <w:color w:val="000000"/>
        </w:rPr>
        <w:t xml:space="preserve"> - The employer shall keep an accurate record of all measurements taken to monitor employee exposure to asbestos as prescribed in paragraph (f) of this section. NOTE: The employer may utilize the services of competent organizations such as industry trade associations and employee associations to maintain the records required by this section.</w:t>
      </w:r>
    </w:p>
    <w:p w:rsidR="00A91C29" w:rsidRPr="009C666F" w:rsidP="00ED454E" w14:paraId="2BCCB769" w14:textId="77777777">
      <w:pPr>
        <w:pStyle w:val="BodyText"/>
        <w:rPr>
          <w:color w:val="000000"/>
        </w:rPr>
      </w:pPr>
      <w:bookmarkStart w:id="74" w:name="1926.1101(n)(2)(ii)"/>
      <w:bookmarkEnd w:id="74"/>
      <w:r w:rsidRPr="009C666F">
        <w:t xml:space="preserve">§1926.1101(n)(2)(ii) </w:t>
      </w:r>
      <w:r w:rsidRPr="009C666F">
        <w:rPr>
          <w:color w:val="000000"/>
        </w:rPr>
        <w:t>- This record shall include at least the following information:</w:t>
      </w:r>
    </w:p>
    <w:p w:rsidR="00A91C29" w:rsidRPr="009C666F" w:rsidP="00ED454E" w14:paraId="67A4FC73" w14:textId="77777777">
      <w:pPr>
        <w:pStyle w:val="BodyTextIndent"/>
      </w:pPr>
      <w:bookmarkStart w:id="75" w:name="1926.1101(n)(2)(ii)(A)"/>
      <w:bookmarkEnd w:id="75"/>
      <w:r w:rsidRPr="009C666F">
        <w:rPr>
          <w:bCs/>
          <w:u w:val="single"/>
        </w:rPr>
        <w:t>§1926.1101(n)(2)(ii)(A)</w:t>
      </w:r>
      <w:r w:rsidRPr="009C666F">
        <w:rPr>
          <w:b/>
          <w:bCs/>
          <w:color w:val="757575"/>
        </w:rPr>
        <w:t xml:space="preserve"> - </w:t>
      </w:r>
      <w:r w:rsidRPr="009C666F">
        <w:t>The date of measurement;</w:t>
      </w:r>
    </w:p>
    <w:p w:rsidR="00A91C29" w:rsidRPr="009C666F" w:rsidP="00ED454E" w14:paraId="3F75C8A8" w14:textId="77777777">
      <w:pPr>
        <w:pStyle w:val="BodyTextIndent"/>
      </w:pPr>
      <w:bookmarkStart w:id="76" w:name="1926.1101(n)(2)(ii)(B)"/>
      <w:bookmarkEnd w:id="76"/>
      <w:r w:rsidRPr="009C666F">
        <w:rPr>
          <w:bCs/>
          <w:u w:val="single"/>
        </w:rPr>
        <w:t>§1926.1101(n)(2)(ii)(B)</w:t>
      </w:r>
      <w:r w:rsidRPr="009C666F">
        <w:t xml:space="preserve"> - The operation involving exposure to asbestos that is being monitored;</w:t>
      </w:r>
    </w:p>
    <w:p w:rsidR="00A91C29" w:rsidRPr="009C666F" w:rsidP="00ED454E" w14:paraId="249F98B2" w14:textId="77777777">
      <w:pPr>
        <w:pStyle w:val="BodyTextIndent"/>
      </w:pPr>
      <w:bookmarkStart w:id="77" w:name="1926.1101(n)(2)(ii)(C)"/>
      <w:bookmarkEnd w:id="77"/>
      <w:r w:rsidRPr="009C666F">
        <w:rPr>
          <w:bCs/>
          <w:u w:val="single"/>
        </w:rPr>
        <w:t>§1926.1101(n)(2)(ii)(C)</w:t>
      </w:r>
      <w:r w:rsidRPr="009C666F">
        <w:t xml:space="preserve"> - Sampling and analytical methods used and evidence of their </w:t>
      </w:r>
      <w:r w:rsidRPr="009C666F">
        <w:t>accuracy;</w:t>
      </w:r>
    </w:p>
    <w:p w:rsidR="00A91C29" w:rsidRPr="009C666F" w:rsidP="00ED454E" w14:paraId="19B198F7" w14:textId="77777777">
      <w:pPr>
        <w:pStyle w:val="BodyTextIndent"/>
      </w:pPr>
      <w:bookmarkStart w:id="78" w:name="1926.1101(n)(2)(ii)(D)"/>
      <w:bookmarkEnd w:id="78"/>
      <w:r w:rsidRPr="009C666F">
        <w:rPr>
          <w:bCs/>
          <w:u w:val="single"/>
        </w:rPr>
        <w:t>§1926.1101(n)(2)(ii)(D)</w:t>
      </w:r>
      <w:r w:rsidRPr="009C666F">
        <w:t xml:space="preserve"> - Number, duration, and results of samples taken;</w:t>
      </w:r>
    </w:p>
    <w:p w:rsidR="00A91C29" w:rsidRPr="009C666F" w:rsidP="00ED454E" w14:paraId="4D460D54" w14:textId="77777777">
      <w:pPr>
        <w:pStyle w:val="BodyTextIndent"/>
      </w:pPr>
      <w:bookmarkStart w:id="79" w:name="1926.1101(n)(2)(ii)(E)"/>
      <w:bookmarkEnd w:id="79"/>
      <w:r w:rsidRPr="009C666F">
        <w:rPr>
          <w:bCs/>
          <w:u w:val="single"/>
        </w:rPr>
        <w:t>§1926.1101(n)(2)(ii)(E)</w:t>
      </w:r>
      <w:r w:rsidRPr="009C666F">
        <w:t xml:space="preserve"> - Type of protective devices worn, if any; and</w:t>
      </w:r>
    </w:p>
    <w:p w:rsidR="00A91C29" w:rsidRPr="009C666F" w:rsidP="00ED454E" w14:paraId="137A21F1" w14:textId="77777777">
      <w:pPr>
        <w:pStyle w:val="BodyTextIndent"/>
      </w:pPr>
      <w:bookmarkStart w:id="80" w:name="1926.1101(n)(2)(ii)(F)"/>
      <w:bookmarkEnd w:id="80"/>
      <w:r w:rsidRPr="009C666F">
        <w:rPr>
          <w:bCs/>
          <w:u w:val="single"/>
        </w:rPr>
        <w:t>§</w:t>
      </w:r>
      <w:hyperlink r:id="rId17" w:history="1">
        <w:r w:rsidRPr="009C666F">
          <w:rPr>
            <w:bCs/>
            <w:u w:val="single"/>
          </w:rPr>
          <w:t>1926.1101(n)(2)(ii)(F)</w:t>
        </w:r>
      </w:hyperlink>
      <w:r w:rsidRPr="009C666F">
        <w:t xml:space="preserve"> - Name and exposure of the employees whose exposures are represented.</w:t>
      </w:r>
    </w:p>
    <w:p w:rsidR="003A7B11" w:rsidRPr="009C666F" w:rsidP="00ED454E" w14:paraId="7E606575" w14:textId="3C32C946">
      <w:pPr>
        <w:pStyle w:val="BodyText"/>
        <w:rPr>
          <w:bCs/>
          <w:i/>
          <w:iCs/>
        </w:rPr>
      </w:pPr>
      <w:bookmarkStart w:id="81" w:name="1926.1101(n)(2)(iii)"/>
      <w:bookmarkEnd w:id="81"/>
      <w:r w:rsidRPr="009C666F">
        <w:rPr>
          <w:bCs/>
          <w:i/>
        </w:rPr>
        <w:t>§1926.1101(n)(2)(iii)</w:t>
      </w:r>
      <w:r w:rsidRPr="009C666F">
        <w:rPr>
          <w:i/>
        </w:rPr>
        <w:t xml:space="preserve"> </w:t>
      </w:r>
      <w:r w:rsidRPr="009C666F">
        <w:t>- The employer shall maintain this record for at least thirty (30) years, in accordance with 29 CFR 1910.20.</w:t>
      </w:r>
    </w:p>
    <w:p w:rsidR="00A91C29" w:rsidRPr="009C666F" w:rsidP="00ED454E" w14:paraId="53213283" w14:textId="77777777">
      <w:pPr>
        <w:pStyle w:val="BodyText"/>
        <w:rPr>
          <w:i/>
          <w:iCs/>
        </w:rPr>
      </w:pPr>
      <w:r w:rsidRPr="009C666F">
        <w:rPr>
          <w:i/>
          <w:iCs/>
        </w:rPr>
        <w:t>Medical surveillance (§1926.1101(n)(3))</w:t>
      </w:r>
    </w:p>
    <w:p w:rsidR="00A91C29" w:rsidRPr="009C666F" w:rsidP="00A053BB" w14:paraId="3B9BB2EB" w14:textId="77777777">
      <w:pPr>
        <w:widowControl/>
        <w:autoSpaceDE/>
        <w:autoSpaceDN/>
        <w:adjustRightInd/>
        <w:rPr>
          <w:color w:val="000000"/>
        </w:rPr>
      </w:pPr>
    </w:p>
    <w:p w:rsidR="00A91C29" w:rsidRPr="009C666F" w:rsidP="00ED454E" w14:paraId="5F2BA75A" w14:textId="77777777">
      <w:pPr>
        <w:pStyle w:val="BodyText"/>
      </w:pPr>
      <w:bookmarkStart w:id="82" w:name="1926.1101(n)(3)(i)"/>
      <w:bookmarkEnd w:id="82"/>
      <w:r w:rsidRPr="009C666F">
        <w:rPr>
          <w:bCs/>
          <w:i/>
        </w:rPr>
        <w:t>§1926.1101(n)(3)(i)</w:t>
      </w:r>
      <w:r w:rsidRPr="009C666F">
        <w:t xml:space="preserve"> - The employer shall establish and maintain an accurate record for each employee subject to medical surveillance by paragraph (m) of this section, in accordance with 29 CFR 1910.20.</w:t>
      </w:r>
    </w:p>
    <w:p w:rsidR="00A91C29" w:rsidRPr="009C666F" w:rsidP="00ED454E" w14:paraId="28C01A90" w14:textId="77777777">
      <w:pPr>
        <w:pStyle w:val="BodyText"/>
      </w:pPr>
      <w:bookmarkStart w:id="83" w:name="1926.1101(n)(3)(ii)"/>
      <w:bookmarkEnd w:id="83"/>
      <w:r w:rsidRPr="009C666F">
        <w:rPr>
          <w:bCs/>
          <w:i/>
        </w:rPr>
        <w:t>§1926.1101(n)(3)(ii)</w:t>
      </w:r>
      <w:r w:rsidRPr="009C666F">
        <w:rPr>
          <w:i/>
        </w:rPr>
        <w:t xml:space="preserve"> </w:t>
      </w:r>
      <w:r w:rsidRPr="009C666F">
        <w:t>- The record shall include at least the following information:</w:t>
      </w:r>
    </w:p>
    <w:p w:rsidR="00ED454E" w:rsidRPr="009C666F" w:rsidP="00ED454E" w14:paraId="6CC7CB3E" w14:textId="77777777">
      <w:pPr>
        <w:pStyle w:val="BodyTextIndent"/>
      </w:pPr>
      <w:bookmarkStart w:id="84" w:name="1926.1101(n)(3)(ii)(A)"/>
      <w:bookmarkEnd w:id="84"/>
      <w:r w:rsidRPr="009C666F">
        <w:rPr>
          <w:bCs/>
          <w:u w:val="single"/>
        </w:rPr>
        <w:t>§1926.1101(n)(3)(ii)(A)</w:t>
      </w:r>
      <w:r w:rsidRPr="009C666F">
        <w:rPr>
          <w:u w:val="single"/>
        </w:rPr>
        <w:t xml:space="preserve"> </w:t>
      </w:r>
      <w:r w:rsidRPr="009C666F">
        <w:t>- The name of the employee;</w:t>
      </w:r>
    </w:p>
    <w:p w:rsidR="00ED454E" w:rsidRPr="009C666F" w:rsidP="00ED454E" w14:paraId="47CD0DEC" w14:textId="77777777">
      <w:pPr>
        <w:pStyle w:val="BodyTextIndent"/>
      </w:pPr>
      <w:bookmarkStart w:id="85" w:name="1926.1101(n)(3)(ii)(B)"/>
      <w:bookmarkEnd w:id="85"/>
      <w:r w:rsidRPr="009C666F">
        <w:rPr>
          <w:bCs/>
          <w:u w:val="single"/>
        </w:rPr>
        <w:t>§1926.1101(n)(3)(ii)(B)</w:t>
      </w:r>
      <w:r w:rsidRPr="009C666F">
        <w:t xml:space="preserve"> - A copy of the employee's medical examination results, including the medical history, questionnaire responses, results of any tests, and physician's recommendations.</w:t>
      </w:r>
    </w:p>
    <w:p w:rsidR="00ED454E" w:rsidRPr="009C666F" w:rsidP="00ED454E" w14:paraId="209BEF14" w14:textId="77777777">
      <w:pPr>
        <w:pStyle w:val="BodyTextIndent"/>
      </w:pPr>
      <w:bookmarkStart w:id="86" w:name="1926.1101(n)(3)(ii)(C)"/>
      <w:bookmarkEnd w:id="86"/>
      <w:r w:rsidRPr="009C666F">
        <w:rPr>
          <w:bCs/>
          <w:u w:val="single"/>
        </w:rPr>
        <w:t>§1926.1101(n)(3)(ii)(C)</w:t>
      </w:r>
      <w:r w:rsidRPr="009C666F">
        <w:t xml:space="preserve"> - Physician's written opinions;</w:t>
      </w:r>
    </w:p>
    <w:p w:rsidR="00ED454E" w:rsidRPr="009C666F" w:rsidP="00ED454E" w14:paraId="192F8BAA" w14:textId="77777777">
      <w:pPr>
        <w:pStyle w:val="BodyTextIndent"/>
      </w:pPr>
      <w:bookmarkStart w:id="87" w:name="1926.1101(n)(3)(ii)(D)"/>
      <w:bookmarkEnd w:id="87"/>
      <w:r w:rsidRPr="009C666F">
        <w:rPr>
          <w:bCs/>
          <w:u w:val="single"/>
        </w:rPr>
        <w:t>§1926.1101(n)(3)(ii)(D)</w:t>
      </w:r>
      <w:r w:rsidRPr="009C666F">
        <w:t xml:space="preserve"> - Any employee medical complaints related to exposure to asbestos; and</w:t>
      </w:r>
    </w:p>
    <w:p w:rsidR="00A91C29" w:rsidRPr="009C666F" w:rsidP="00ED454E" w14:paraId="500DB17A" w14:textId="77777777">
      <w:pPr>
        <w:pStyle w:val="BodyTextIndent"/>
      </w:pPr>
      <w:bookmarkStart w:id="88" w:name="1926.1101(n)(3)(ii)(E)"/>
      <w:bookmarkEnd w:id="88"/>
      <w:r w:rsidRPr="009C666F">
        <w:rPr>
          <w:bCs/>
          <w:u w:val="single"/>
        </w:rPr>
        <w:t>§1926.1101(n)(3)(ii)(E)</w:t>
      </w:r>
      <w:r w:rsidRPr="009C666F">
        <w:t xml:space="preserve"> - A copy of the information provided to the physician as required by paragraph (m) of this section.</w:t>
      </w:r>
    </w:p>
    <w:p w:rsidR="00A91C29" w:rsidRPr="009C666F" w:rsidP="00ED454E" w14:paraId="385E826B" w14:textId="77777777">
      <w:pPr>
        <w:pStyle w:val="BodyText"/>
      </w:pPr>
      <w:bookmarkStart w:id="89" w:name="1926.1101(n)(3)(iii)"/>
      <w:bookmarkEnd w:id="89"/>
      <w:r w:rsidRPr="009C666F">
        <w:rPr>
          <w:bCs/>
          <w:i/>
        </w:rPr>
        <w:t>§1926.1101(n)(3)(iii)</w:t>
      </w:r>
      <w:r w:rsidRPr="009C666F">
        <w:t xml:space="preserve"> - The employer shall ensure that this record is maintained for the duration of employment plus thirty (30) years, in accordance with 29 CFR 1910.20.</w:t>
      </w:r>
    </w:p>
    <w:p w:rsidR="00ED454E" w:rsidRPr="009C666F" w:rsidP="00ED454E" w14:paraId="1CBE0855" w14:textId="77777777">
      <w:pPr>
        <w:pStyle w:val="BodyText"/>
      </w:pPr>
      <w:r w:rsidRPr="009C666F">
        <w:rPr>
          <w:b/>
          <w:u w:val="single"/>
        </w:rPr>
        <w:t>Purpose</w:t>
      </w:r>
      <w:r w:rsidRPr="009C666F">
        <w:t>:  The employer benefits by keeping these records, since the information will enable the employer to better ensure that employees are not being overexposed; such information may alert the employer that steps must be initiated in order to reduce exposures</w:t>
      </w:r>
      <w:r w:rsidRPr="009C666F" w:rsidR="00A07F70">
        <w:t xml:space="preserve">. </w:t>
      </w:r>
      <w:r w:rsidRPr="009C666F">
        <w:t xml:space="preserve">It is necessary to keep these records for extended periods of time because of the long latency period commonly associated with carcinogenesis. Cancer often cannot be detected until 20 or more years after first exposure. </w:t>
      </w:r>
    </w:p>
    <w:p w:rsidR="00A91C29" w:rsidRPr="009C666F" w:rsidP="00ED454E" w14:paraId="415266F7" w14:textId="77777777">
      <w:pPr>
        <w:pStyle w:val="BodyText"/>
        <w:rPr>
          <w:i/>
        </w:rPr>
      </w:pPr>
      <w:r w:rsidRPr="009C666F">
        <w:rPr>
          <w:bCs/>
          <w:i/>
        </w:rPr>
        <w:t>Training records (§1926.1101(n)(4))</w:t>
      </w:r>
    </w:p>
    <w:p w:rsidR="00A91C29" w:rsidRPr="009C666F" w:rsidP="00ED454E" w14:paraId="1144F384" w14:textId="77777777">
      <w:pPr>
        <w:pStyle w:val="BodyText"/>
        <w:sectPr w:rsidSect="004E7CDA">
          <w:headerReference w:type="default" r:id="rId18"/>
          <w:footerReference w:type="even" r:id="rId19"/>
          <w:footerReference w:type="default" r:id="rId20"/>
          <w:headerReference w:type="first" r:id="rId21"/>
          <w:type w:val="continuous"/>
          <w:pgSz w:w="12240" w:h="15840"/>
          <w:pgMar w:top="1440" w:right="1440" w:bottom="1440" w:left="1440" w:header="720" w:footer="720" w:gutter="0"/>
          <w:cols w:space="720"/>
          <w:noEndnote/>
          <w:docGrid w:linePitch="326"/>
        </w:sectPr>
      </w:pPr>
    </w:p>
    <w:p w:rsidR="00A91C29" w:rsidRPr="009C666F" w:rsidP="00ED454E" w14:paraId="1D3EC401" w14:textId="77777777">
      <w:pPr>
        <w:pStyle w:val="BodyText"/>
      </w:pPr>
      <w:r w:rsidRPr="009C666F">
        <w:rPr>
          <w:color w:val="000000"/>
        </w:rPr>
        <w:t>The employer shall maintain all employee training records for one (1) year beyond the last date of employment by that employer.</w:t>
      </w:r>
    </w:p>
    <w:p w:rsidR="00ED454E" w:rsidRPr="009C666F" w:rsidP="00ED454E" w14:paraId="0BF224EC" w14:textId="77777777">
      <w:pPr>
        <w:pStyle w:val="BodyText"/>
      </w:pPr>
      <w:r w:rsidRPr="009C666F">
        <w:rPr>
          <w:b/>
          <w:u w:val="single"/>
        </w:rPr>
        <w:t>Purpose</w:t>
      </w:r>
      <w:r w:rsidRPr="009C666F">
        <w:t>:  Maintaining training programs/materials provides a resource for an employee to refresh his or her training should they need it during the year</w:t>
      </w:r>
      <w:r w:rsidRPr="009C666F" w:rsidR="00A07F70">
        <w:t xml:space="preserve">. </w:t>
      </w:r>
      <w:r w:rsidRPr="009C666F">
        <w:t xml:space="preserve">Retaining records of training demonstrates to OSHA, that the employer has been conducting annual training. </w:t>
      </w:r>
    </w:p>
    <w:p w:rsidR="00ED454E" w:rsidRPr="009C666F" w:rsidP="00ED454E" w14:paraId="637F1AF1" w14:textId="77777777">
      <w:pPr>
        <w:pStyle w:val="BodyText"/>
        <w:rPr>
          <w:bCs/>
          <w:i/>
        </w:rPr>
      </w:pPr>
      <w:r w:rsidRPr="009C666F">
        <w:rPr>
          <w:bCs/>
          <w:i/>
        </w:rPr>
        <w:t>Data to rebut PACM (§1926.1101(n)(5))</w:t>
      </w:r>
    </w:p>
    <w:p w:rsidR="00ED454E" w:rsidRPr="009C666F" w:rsidP="00ED454E" w14:paraId="1E398C02" w14:textId="77777777">
      <w:pPr>
        <w:pStyle w:val="BodyText"/>
      </w:pPr>
      <w:r w:rsidRPr="009C666F">
        <w:t>Where the building owner and employer have relied on data to demonstrate that PACM is not asbestos-containing, such data shall be maintained for as long as they are relied upon to rebut the presumption</w:t>
      </w:r>
      <w:r w:rsidRPr="009C666F" w:rsidR="00A07F70">
        <w:t xml:space="preserve">. </w:t>
      </w:r>
    </w:p>
    <w:p w:rsidR="009576A6" w:rsidRPr="009C666F" w:rsidP="009576A6" w14:paraId="20BCF741" w14:textId="77777777">
      <w:pPr>
        <w:pStyle w:val="BodyText"/>
      </w:pPr>
      <w:r w:rsidRPr="009C666F">
        <w:rPr>
          <w:b/>
          <w:u w:val="single"/>
        </w:rPr>
        <w:t>Purpose</w:t>
      </w:r>
      <w:r w:rsidRPr="009C666F">
        <w:t>:  To ensure that all PACMs are properly distinguished from ACMs</w:t>
      </w:r>
      <w:r w:rsidRPr="009C666F" w:rsidR="00A07F70">
        <w:t xml:space="preserve">. </w:t>
      </w:r>
      <w:r w:rsidRPr="009C666F">
        <w:t>This is important in the communications of asbestos hazards to both employers and employees.</w:t>
      </w:r>
    </w:p>
    <w:p w:rsidR="009576A6" w:rsidRPr="009C666F" w:rsidP="009576A6" w14:paraId="0C6639E1" w14:textId="77777777">
      <w:pPr>
        <w:pStyle w:val="BodyText"/>
        <w:rPr>
          <w:bCs/>
          <w:i/>
        </w:rPr>
      </w:pPr>
      <w:r w:rsidRPr="009C666F">
        <w:rPr>
          <w:bCs/>
          <w:i/>
        </w:rPr>
        <w:t>Records of required notification (§1926.1101(n)(6))</w:t>
      </w:r>
    </w:p>
    <w:p w:rsidR="009576A6" w:rsidRPr="009C666F" w:rsidP="009576A6" w14:paraId="48C7283B" w14:textId="77777777">
      <w:pPr>
        <w:pStyle w:val="BodyText"/>
      </w:pPr>
      <w:r w:rsidRPr="009C666F">
        <w:rPr>
          <w:color w:val="000000"/>
        </w:rPr>
        <w:t>Where the building owner has communicated and received information concerning the identification, location and quantity of ACM and PACM, written records of such notifications and their content shall be maintained by the building owner for the duration of ownership and shall be transferred to successive owners of such buildings/facilities.</w:t>
      </w:r>
    </w:p>
    <w:p w:rsidR="009576A6" w:rsidRPr="009C666F" w:rsidP="009576A6" w14:paraId="1B5F41D1" w14:textId="77777777">
      <w:pPr>
        <w:pStyle w:val="BodyText"/>
      </w:pPr>
      <w:r w:rsidRPr="009C666F">
        <w:rPr>
          <w:b/>
          <w:u w:val="single"/>
        </w:rPr>
        <w:t>Purpose</w:t>
      </w:r>
      <w:r w:rsidRPr="009C666F">
        <w:t>:  This is to ensure that any new owners of such buildings are aware of the presence of asbestos.</w:t>
      </w:r>
    </w:p>
    <w:p w:rsidR="009576A6" w:rsidRPr="009C666F" w:rsidP="009576A6" w14:paraId="306CB55C" w14:textId="77777777">
      <w:pPr>
        <w:pStyle w:val="BodyText"/>
        <w:rPr>
          <w:bCs/>
          <w:i/>
        </w:rPr>
      </w:pPr>
      <w:r w:rsidRPr="009C666F">
        <w:rPr>
          <w:bCs/>
          <w:i/>
        </w:rPr>
        <w:t>Availability (§1926.1101(n)(7))</w:t>
      </w:r>
    </w:p>
    <w:p w:rsidR="009576A6" w:rsidRPr="009C666F" w:rsidP="009576A6" w14:paraId="55765A5F" w14:textId="77777777">
      <w:pPr>
        <w:pStyle w:val="BodyText"/>
        <w:rPr>
          <w:color w:val="000000"/>
        </w:rPr>
      </w:pPr>
      <w:r w:rsidRPr="009C666F">
        <w:rPr>
          <w:bCs/>
          <w:i/>
        </w:rPr>
        <w:t>§1926.1101(n)(7)(i)</w:t>
      </w:r>
      <w:r w:rsidRPr="009C666F">
        <w:rPr>
          <w:i/>
        </w:rPr>
        <w:t xml:space="preserve"> </w:t>
      </w:r>
      <w:r w:rsidRPr="009C666F">
        <w:rPr>
          <w:color w:val="000000"/>
        </w:rPr>
        <w:t>- The employer, upon written request, shall make all records required to be maintained by this section available to the Assistant Secretary and the Director for examination and copying.</w:t>
      </w:r>
      <w:r>
        <w:rPr>
          <w:rStyle w:val="FootnoteReference"/>
          <w:color w:val="000000"/>
          <w:vertAlign w:val="superscript"/>
        </w:rPr>
        <w:footnoteReference w:id="7"/>
      </w:r>
    </w:p>
    <w:p w:rsidR="009576A6" w:rsidRPr="009C666F" w:rsidP="009576A6" w14:paraId="3875C115" w14:textId="77777777">
      <w:pPr>
        <w:pStyle w:val="BodyText"/>
        <w:rPr>
          <w:color w:val="000000"/>
        </w:rPr>
      </w:pPr>
      <w:bookmarkStart w:id="90" w:name="1926.1101(n)(7)(ii)"/>
      <w:bookmarkEnd w:id="90"/>
      <w:r w:rsidRPr="009C666F">
        <w:rPr>
          <w:bCs/>
          <w:i/>
        </w:rPr>
        <w:t>§1926.1101(n)(7)(ii)</w:t>
      </w:r>
      <w:r w:rsidRPr="009C666F">
        <w:rPr>
          <w:color w:val="000000"/>
        </w:rPr>
        <w:t xml:space="preserve"> - </w:t>
      </w:r>
      <w:r w:rsidRPr="009C666F" w:rsidR="00B26CF8">
        <w:t>The employer must comply with the requirements concerning availability of records set forth in 29 CFR 1910.1020.</w:t>
      </w:r>
    </w:p>
    <w:p w:rsidR="009576A6" w:rsidRPr="009C666F" w:rsidP="009576A6" w14:paraId="187D22EA" w14:textId="77777777">
      <w:pPr>
        <w:pStyle w:val="BodyText"/>
      </w:pPr>
      <w:r w:rsidRPr="009C666F">
        <w:rPr>
          <w:b/>
          <w:color w:val="000000"/>
          <w:u w:val="single"/>
        </w:rPr>
        <w:t>Purpose</w:t>
      </w:r>
      <w:r w:rsidRPr="009C666F">
        <w:rPr>
          <w:color w:val="000000"/>
        </w:rPr>
        <w:t xml:space="preserve">: </w:t>
      </w:r>
      <w:r w:rsidRPr="009C666F" w:rsidR="002F21D5">
        <w:t>Workers and their designated representatives use exposure-monitoring and medical-surveillance records to assess worker medical status over the course of employment, to evaluate the effectiveness of the employer’s exposure-reduction program, and for other reasons.</w:t>
      </w:r>
    </w:p>
    <w:p w:rsidR="006D1FC6" w:rsidRPr="009C666F" w:rsidP="009576A6" w14:paraId="13B12E26" w14:textId="77777777">
      <w:pPr>
        <w:pStyle w:val="BodyText"/>
      </w:pPr>
      <w:r w:rsidRPr="009C666F">
        <w:t xml:space="preserve">Accordingly, access to these records is necessary to provide both direct and indirect </w:t>
      </w:r>
      <w:r w:rsidRPr="009C666F">
        <w:t xml:space="preserve">improvements in the detection, treatment, and prevention of occupational exposure to </w:t>
      </w:r>
      <w:r w:rsidRPr="009C666F" w:rsidR="006F5385">
        <w:t>a</w:t>
      </w:r>
      <w:r w:rsidRPr="009C666F">
        <w:t>sbestos.</w:t>
      </w:r>
      <w:bookmarkStart w:id="91" w:name="1926.1101(n)(8)(ii)"/>
      <w:bookmarkEnd w:id="91"/>
    </w:p>
    <w:p w:rsidR="00A91C29" w:rsidRPr="009C666F" w:rsidP="009576A6" w14:paraId="41677B62" w14:textId="1E2EC50D">
      <w:pPr>
        <w:pStyle w:val="Heading2"/>
      </w:pPr>
      <w:r w:rsidRPr="009C666F">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C666F" w:rsidR="00A07F70">
        <w:t xml:space="preserve">. </w:t>
      </w:r>
      <w:r w:rsidRPr="009C666F">
        <w:t>Also, describe any consideration of using information technology to reduce burden.</w:t>
      </w:r>
      <w:r w:rsidR="007F7D84">
        <w:t xml:space="preserve">   </w:t>
      </w:r>
    </w:p>
    <w:p w:rsidR="00A3765A" w:rsidRPr="009C666F" w:rsidP="009576A6" w14:paraId="39F52E67" w14:textId="77777777">
      <w:pPr>
        <w:pStyle w:val="BodyText"/>
      </w:pPr>
      <w:r w:rsidRPr="009C666F">
        <w:t>Employers may use improved information technology when establishing and maintaining exposure-monitoring and medical-surveillance records</w:t>
      </w:r>
      <w:r w:rsidRPr="009C666F" w:rsidR="00A07F70">
        <w:t xml:space="preserve">. </w:t>
      </w:r>
      <w:r w:rsidRPr="009C666F">
        <w:t xml:space="preserve">OSHA wrote the </w:t>
      </w:r>
      <w:r w:rsidRPr="009C666F" w:rsidR="009351FE">
        <w:t xml:space="preserve">collection of information </w:t>
      </w:r>
      <w:r w:rsidRPr="009C666F">
        <w:t xml:space="preserve">requirements of the </w:t>
      </w:r>
      <w:r w:rsidRPr="009C666F" w:rsidR="009351FE">
        <w:t xml:space="preserve">Standard </w:t>
      </w:r>
      <w:r w:rsidRPr="009C666F">
        <w:t xml:space="preserve">in performance-oriented language (i.e., in terms of </w:t>
      </w:r>
      <w:r w:rsidRPr="009C666F">
        <w:rPr>
          <w:u w:val="single"/>
        </w:rPr>
        <w:t>what</w:t>
      </w:r>
      <w:r w:rsidRPr="009C666F">
        <w:t xml:space="preserve"> data to maintain, not </w:t>
      </w:r>
      <w:r w:rsidRPr="009C666F">
        <w:rPr>
          <w:u w:val="single"/>
        </w:rPr>
        <w:t>how</w:t>
      </w:r>
      <w:r w:rsidRPr="009C666F">
        <w:t xml:space="preserve"> to maintain the data).</w:t>
      </w:r>
    </w:p>
    <w:p w:rsidR="00F42999" w:rsidRPr="009C666F" w:rsidP="009576A6" w14:paraId="2340A2A3" w14:textId="31D67A76">
      <w:pPr>
        <w:pStyle w:val="Heading2"/>
      </w:pPr>
      <w:r w:rsidRPr="009C666F">
        <w:t>Describe efforts to identify duplication</w:t>
      </w:r>
      <w:r w:rsidRPr="009C666F" w:rsidR="00A07F70">
        <w:t xml:space="preserve">. </w:t>
      </w:r>
      <w:r w:rsidRPr="009C666F">
        <w:t>Show specifically why any similar information already available cannot be used or modified for use for the purposes described in Item A.2 above.</w:t>
      </w:r>
      <w:r w:rsidR="00AB5558">
        <w:t xml:space="preserve">  </w:t>
      </w:r>
    </w:p>
    <w:p w:rsidR="00A91C29" w:rsidRPr="009C666F" w:rsidP="009576A6" w14:paraId="01AC1EA9" w14:textId="77777777">
      <w:pPr>
        <w:pStyle w:val="BodyText"/>
      </w:pPr>
      <w:r w:rsidRPr="009C666F">
        <w:t>The information required to be collected and maintained is specific to each employer and employee involved and is not available or duplicated by another source</w:t>
      </w:r>
      <w:r w:rsidRPr="009C666F" w:rsidR="00A07F70">
        <w:t xml:space="preserve">. </w:t>
      </w:r>
      <w:r w:rsidRPr="009C666F">
        <w:t xml:space="preserve">The information required by this standard is available only from employers. At this time, there is no indication that any alternate source is available. </w:t>
      </w:r>
    </w:p>
    <w:p w:rsidR="00A91C29" w:rsidRPr="009C666F" w:rsidP="009576A6" w14:paraId="61069A5E" w14:textId="32AC279A">
      <w:pPr>
        <w:pStyle w:val="Heading2"/>
      </w:pPr>
      <w:r w:rsidRPr="009C666F">
        <w:t>If the collection of information impacts small businesses or other small entities, describe any methods used to minimize burden.</w:t>
      </w:r>
      <w:r w:rsidR="00C0367B">
        <w:t xml:space="preserve">  </w:t>
      </w:r>
    </w:p>
    <w:p w:rsidR="00A91C29" w:rsidRPr="009C666F" w:rsidP="009576A6" w14:paraId="555CE163" w14:textId="77777777">
      <w:pPr>
        <w:pStyle w:val="BodyText"/>
      </w:pPr>
      <w:r w:rsidRPr="009C666F">
        <w:t xml:space="preserve">The </w:t>
      </w:r>
      <w:r w:rsidRPr="009C666F" w:rsidR="009351FE">
        <w:t>collection of information</w:t>
      </w:r>
      <w:r w:rsidRPr="009C666F">
        <w:t xml:space="preserve"> requirements of the Standard do not have a significant impact on a substantial number of small entities.</w:t>
      </w:r>
    </w:p>
    <w:p w:rsidR="00A91C29" w:rsidRPr="009C666F" w:rsidP="009576A6" w14:paraId="09297666" w14:textId="6AE8A5A0">
      <w:pPr>
        <w:pStyle w:val="Heading2"/>
      </w:pPr>
      <w:r w:rsidRPr="009C666F">
        <w:t xml:space="preserve">Describe the consequence to </w:t>
      </w:r>
      <w:r w:rsidR="00E81762">
        <w:t>F</w:t>
      </w:r>
      <w:r w:rsidRPr="009C666F">
        <w:t xml:space="preserve">ederal program or policy activities if the collection is not conducted or is conducted less frequently, as well as any technical or legal obstacles to reducing burden. </w:t>
      </w:r>
    </w:p>
    <w:p w:rsidR="00A91C29" w:rsidRPr="009C666F" w:rsidP="009576A6" w14:paraId="16AFCBEC" w14:textId="77777777">
      <w:pPr>
        <w:pStyle w:val="BodyText"/>
        <w:rPr>
          <w:b/>
          <w:bCs/>
        </w:rPr>
      </w:pPr>
      <w:r w:rsidRPr="009C666F">
        <w:t>The information collection frequencies specified by this Standard are the minimum that OSHA believes are necessary to ensure that the employer and OSHA can effectively monitor the exposure and health status of employees working with asbestos in construction.</w:t>
      </w:r>
    </w:p>
    <w:p w:rsidR="00B93C8A" w:rsidRPr="009C666F" w:rsidP="00D0624D" w14:paraId="712EDE4B" w14:textId="77777777">
      <w:pPr>
        <w:pStyle w:val="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C666F">
        <w:t>Explain any special circumstances that would cause an information collection to be conducted in a manner:</w:t>
      </w:r>
    </w:p>
    <w:p w:rsidR="00B93C8A" w:rsidRPr="009C666F" w:rsidP="00EC57F8" w14:paraId="2E12E0FA" w14:textId="77777777">
      <w:pPr>
        <w:pStyle w:val="ListBullet"/>
        <w:rPr>
          <w:b/>
          <w:bCs/>
        </w:rPr>
      </w:pPr>
      <w:r w:rsidRPr="009C666F">
        <w:rPr>
          <w:b/>
          <w:bCs/>
        </w:rPr>
        <w:t>requiring respondents to report information to the agency more often than quarterly;</w:t>
      </w:r>
    </w:p>
    <w:p w:rsidR="00EC57F8" w:rsidRPr="009C666F" w:rsidP="00EC57F8" w14:paraId="254DA8DE" w14:textId="77777777">
      <w:pPr>
        <w:pStyle w:val="ListBullet"/>
        <w:rPr>
          <w:b/>
          <w:bCs/>
        </w:rPr>
      </w:pPr>
      <w:r w:rsidRPr="009C666F">
        <w:rPr>
          <w:b/>
          <w:bCs/>
        </w:rPr>
        <w:t>requiring respondents to prepare a written response to a collection of information in fewer than 30 days after receipt of it;</w:t>
      </w:r>
    </w:p>
    <w:p w:rsidR="00EC57F8" w:rsidRPr="009C666F" w:rsidP="00EC57F8" w14:paraId="2F542285" w14:textId="77777777">
      <w:pPr>
        <w:pStyle w:val="ListBullet"/>
        <w:rPr>
          <w:b/>
          <w:bCs/>
        </w:rPr>
      </w:pPr>
      <w:r w:rsidRPr="009C666F">
        <w:rPr>
          <w:b/>
          <w:bCs/>
        </w:rPr>
        <w:t xml:space="preserve">requiring respondents to submit more than an original and two copies of any </w:t>
      </w:r>
      <w:r w:rsidRPr="009C666F">
        <w:rPr>
          <w:b/>
          <w:bCs/>
        </w:rPr>
        <w:t>document;</w:t>
      </w:r>
    </w:p>
    <w:p w:rsidR="00EC57F8" w:rsidRPr="009C666F" w:rsidP="00EC57F8" w14:paraId="49BD01F0" w14:textId="77777777">
      <w:pPr>
        <w:pStyle w:val="ListBullet"/>
        <w:rPr>
          <w:b/>
          <w:bCs/>
        </w:rPr>
      </w:pPr>
      <w:r w:rsidRPr="009C666F">
        <w:rPr>
          <w:b/>
          <w:bCs/>
        </w:rPr>
        <w:t>requiring respondents to retain records, other than health, medical, government contract, grant-in-aid, or tax records for more than three years;</w:t>
      </w:r>
    </w:p>
    <w:p w:rsidR="00EC57F8" w:rsidRPr="009C666F" w:rsidP="00EC57F8" w14:paraId="730021CF" w14:textId="77777777">
      <w:pPr>
        <w:pStyle w:val="ListBullet"/>
        <w:rPr>
          <w:b/>
          <w:bCs/>
        </w:rPr>
      </w:pPr>
      <w:r w:rsidRPr="009C666F">
        <w:rPr>
          <w:b/>
          <w:bCs/>
        </w:rPr>
        <w:t>in connection with a statistical survey, that is not designed to produce valid and reliable results that can be generalized to the universe of study;</w:t>
      </w:r>
    </w:p>
    <w:p w:rsidR="00EC57F8" w:rsidRPr="009C666F" w:rsidP="00EC57F8" w14:paraId="671E094B" w14:textId="77777777">
      <w:pPr>
        <w:pStyle w:val="ListBullet"/>
        <w:rPr>
          <w:b/>
          <w:bCs/>
        </w:rPr>
      </w:pPr>
      <w:r w:rsidRPr="009C666F">
        <w:rPr>
          <w:b/>
          <w:bCs/>
        </w:rPr>
        <w:t>requiring the use of statistical data classification that has not been reviewed and approved by OMB;</w:t>
      </w:r>
    </w:p>
    <w:p w:rsidR="000122F1" w:rsidRPr="00E60E86" w:rsidP="00723AA5" w14:paraId="2624235C" w14:textId="1E4E9836">
      <w:pPr>
        <w:pStyle w:val="ListBullet"/>
        <w:rPr>
          <w:b/>
          <w:bCs/>
        </w:rPr>
      </w:pPr>
      <w:r w:rsidRPr="00E60E86">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E60E86" w:rsidR="00E60E86">
        <w:rPr>
          <w:b/>
          <w:bCs/>
        </w:rPr>
        <w:t xml:space="preserve"> </w:t>
      </w:r>
      <w:r w:rsidRPr="00E60E86">
        <w:rPr>
          <w:b/>
          <w:bCs/>
        </w:rPr>
        <w:t>requiring respondents to submit proprietary trade secret, or other confidential information unless the agency can demonstrate that it has instituted procedures to protect the information's confidentially to the extent permitted by law.</w:t>
      </w:r>
    </w:p>
    <w:p w:rsidR="00EC57F8" w:rsidRPr="009C666F" w:rsidP="00EC57F8" w14:paraId="0B9B14F3" w14:textId="0843A52B">
      <w:pPr>
        <w:pStyle w:val="BodyText"/>
      </w:pPr>
      <w:r w:rsidRPr="009C666F">
        <w:t xml:space="preserve">Under paragraph (f)(5) of the Standard, employers must inform </w:t>
      </w:r>
      <w:r w:rsidRPr="009C666F" w:rsidR="00EC56F8">
        <w:t>workers</w:t>
      </w:r>
      <w:r w:rsidRPr="009C666F" w:rsidR="006E4F06">
        <w:t xml:space="preserve"> of the results of exposure monitoring</w:t>
      </w:r>
      <w:r w:rsidRPr="009C666F">
        <w:t>, either individually in writing or by posting the exposure monitoring results, as soon as possible but no later than 5 working days after receipt of the results</w:t>
      </w:r>
      <w:r w:rsidRPr="009C666F" w:rsidR="00A07F70">
        <w:t xml:space="preserve">. </w:t>
      </w:r>
    </w:p>
    <w:p w:rsidR="00EC57F8" w:rsidRPr="009C666F" w:rsidP="00EC57F8" w14:paraId="577F663F" w14:textId="77777777">
      <w:pPr>
        <w:pStyle w:val="BodyText"/>
      </w:pPr>
      <w:r w:rsidRPr="009C666F">
        <w:t xml:space="preserve">In accordance with paragraph (k)(3)(iii), once an employer has completed work subject to this standard, the employer must inform </w:t>
      </w:r>
      <w:r w:rsidRPr="009C666F" w:rsidR="006E4F06">
        <w:t xml:space="preserve">the </w:t>
      </w:r>
      <w:r w:rsidRPr="009C666F">
        <w:t>building/facility owner and any employers whose employees may be working in the area, of the current location and quantity of PACM and/or ACM that is remaining in the former regulated area and final monitoring results if any, within 10 days of completion of such work.</w:t>
      </w:r>
    </w:p>
    <w:p w:rsidR="00A91C29" w:rsidP="00EC57F8" w14:paraId="4D827306" w14:textId="77777777">
      <w:pPr>
        <w:pStyle w:val="BodyText"/>
      </w:pPr>
      <w:r w:rsidRPr="009C666F">
        <w:t xml:space="preserve">Paragraph (k)(4) requires all employers who discover ACM and/or PACM on a worksite </w:t>
      </w:r>
      <w:r w:rsidRPr="009C666F" w:rsidR="00736C06">
        <w:t xml:space="preserve">to </w:t>
      </w:r>
      <w:r w:rsidRPr="009C666F">
        <w:t>convey information concerning the presence, location, and quantity of the newly discovered ACM and/or PACM to the owner and to other employers of employees working at the worksite, within 24 hours</w:t>
      </w:r>
      <w:r w:rsidRPr="009C666F" w:rsidR="00A07F70">
        <w:t xml:space="preserve">. </w:t>
      </w:r>
      <w:r w:rsidRPr="009C666F">
        <w:t>This is also to ensure that everyone is aware that the toxin is present.</w:t>
      </w:r>
    </w:p>
    <w:p w:rsidR="00DE625E" w:rsidP="00DE625E" w14:paraId="1463D387" w14:textId="321EC397">
      <w:r>
        <w:t xml:space="preserve">There are no other </w:t>
      </w:r>
      <w:r w:rsidRPr="00E60E86">
        <w:t>special circumstances</w:t>
      </w:r>
      <w:r>
        <w:t xml:space="preserve"> in this information collection.</w:t>
      </w:r>
      <w:r>
        <w:t xml:space="preserve"> </w:t>
      </w:r>
      <w:r>
        <w:t xml:space="preserve">Also, OSHA is currently working on updating the mandatory </w:t>
      </w:r>
      <w:r w:rsidR="000D0439">
        <w:t>Medical</w:t>
      </w:r>
      <w:r>
        <w:t xml:space="preserve"> Questionnaire found in Appendix </w:t>
      </w:r>
      <w:r w:rsidR="000D0439">
        <w:t>D</w:t>
      </w:r>
      <w:r>
        <w:t xml:space="preserve"> of </w:t>
      </w:r>
      <w:r w:rsidRPr="00F9798D">
        <w:t>§19</w:t>
      </w:r>
      <w:r w:rsidR="00735932">
        <w:t>26</w:t>
      </w:r>
      <w:r w:rsidRPr="00F9798D">
        <w:t>.1</w:t>
      </w:r>
      <w:r w:rsidR="00735932">
        <w:t>101</w:t>
      </w:r>
      <w:r w:rsidRPr="00F9798D">
        <w:t xml:space="preserve"> </w:t>
      </w:r>
      <w:r>
        <w:t xml:space="preserve">to meet the new race and ethnicity requirements under the Statistical Policy Directive number 15 on Standards for Maintaining, Collecting, and Presenting Federal Data on Race and Ethnicity.  Since, appendix </w:t>
      </w:r>
      <w:r w:rsidR="00232ED6">
        <w:t>D</w:t>
      </w:r>
      <w:r>
        <w:t xml:space="preserve"> of </w:t>
      </w:r>
      <w:r w:rsidRPr="00F9798D">
        <w:t>§19</w:t>
      </w:r>
      <w:r w:rsidR="00232ED6">
        <w:t>26</w:t>
      </w:r>
      <w:r w:rsidRPr="00F9798D">
        <w:t>.1</w:t>
      </w:r>
      <w:r w:rsidR="00C50C4B">
        <w:t>101</w:t>
      </w:r>
      <w:r>
        <w:t xml:space="preserve"> is part of the </w:t>
      </w:r>
      <w:r w:rsidR="00C50C4B">
        <w:t>Asb</w:t>
      </w:r>
      <w:r w:rsidR="006D5526">
        <w:t>estos in Construction</w:t>
      </w:r>
      <w:r>
        <w:t xml:space="preserve"> Standard any modifications to the standard must be done under the rulemaking process as required in the OSH Act and 29 CFR Part 1911. The target date the agency is planning to complete this undertaking would be March 18, 2028.</w:t>
      </w:r>
    </w:p>
    <w:p w:rsidR="00B93C8A" w:rsidRPr="009C666F" w:rsidP="007B333B" w14:paraId="20839BDA" w14:textId="77777777">
      <w:pPr>
        <w:pStyle w:val="Heading2"/>
      </w:pPr>
      <w:r w:rsidRPr="009C666F">
        <w:t xml:space="preserve">If applicable, provide a copy and identify the date and page number of publication in the </w:t>
      </w:r>
      <w:r w:rsidRPr="009C666F">
        <w:rPr>
          <w:i/>
          <w:iCs/>
        </w:rPr>
        <w:t>Federal Register</w:t>
      </w:r>
      <w:r w:rsidRPr="009C666F">
        <w:t xml:space="preserve"> of the agency's notice, required by 5 CFR 1320.8(d), soliciting comments on </w:t>
      </w:r>
      <w:r w:rsidRPr="009C666F">
        <w:t>the information collection prior to submission to OMB</w:t>
      </w:r>
      <w:r w:rsidRPr="009C666F" w:rsidR="00A07F70">
        <w:t xml:space="preserve">. </w:t>
      </w:r>
      <w:r w:rsidRPr="009C666F">
        <w:t>Summarize public comments received in response to that notice and describe actions taken by the agency in response to these comments</w:t>
      </w:r>
      <w:r w:rsidRPr="009C666F" w:rsidR="00A07F70">
        <w:t xml:space="preserve">. </w:t>
      </w:r>
      <w:r w:rsidRPr="009C666F">
        <w:t xml:space="preserve"> Specifically address comments received on cost and hour burden. </w:t>
      </w:r>
    </w:p>
    <w:p w:rsidR="00B93C8A" w:rsidRPr="009C666F" w:rsidP="007B333B" w14:paraId="73FEB888" w14:textId="6C4C589F">
      <w:pPr>
        <w:pStyle w:val="BodyText"/>
        <w:rPr>
          <w:b/>
          <w:bCs/>
        </w:rPr>
      </w:pPr>
      <w:r w:rsidRPr="006C558A">
        <w:rPr>
          <w:b/>
        </w:rPr>
        <w:t>Descr</w:t>
      </w:r>
      <w:r w:rsidRPr="009C666F">
        <w:rPr>
          <w:b/>
          <w:bCs/>
        </w:rPr>
        <w:t xml:space="preserve">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93C8A" w:rsidP="007B333B" w14:paraId="0DFA3E68" w14:textId="77777777">
      <w:pPr>
        <w:pStyle w:val="BodyText"/>
        <w:rPr>
          <w:b/>
          <w:bCs/>
        </w:rPr>
      </w:pPr>
      <w:r w:rsidRPr="009C666F">
        <w:rPr>
          <w:b/>
          <w:bCs/>
        </w:rPr>
        <w:t>Consultation with representatives of those from whom information is to be obtained or those who must compile records should occur at least once every 3 years -- even if the collection-of-information activity is the same as in prior periods</w:t>
      </w:r>
      <w:r w:rsidRPr="009C666F" w:rsidR="00A07F70">
        <w:rPr>
          <w:b/>
          <w:bCs/>
        </w:rPr>
        <w:t xml:space="preserve">. </w:t>
      </w:r>
      <w:r w:rsidRPr="009C666F">
        <w:rPr>
          <w:b/>
          <w:bCs/>
        </w:rPr>
        <w:t>There may be circumstances that may preclude consultation in a specific situation</w:t>
      </w:r>
      <w:r w:rsidRPr="009C666F" w:rsidR="00A07F70">
        <w:rPr>
          <w:b/>
          <w:bCs/>
        </w:rPr>
        <w:t xml:space="preserve">. </w:t>
      </w:r>
      <w:r w:rsidRPr="009C666F">
        <w:rPr>
          <w:b/>
          <w:bCs/>
        </w:rPr>
        <w:t>These circumstances should be explained.</w:t>
      </w:r>
    </w:p>
    <w:p w:rsidR="0008249F" w:rsidRPr="0005483E" w:rsidP="00B94877" w14:paraId="50F2E291" w14:textId="0170CB26">
      <w:pPr>
        <w:rPr>
          <w:i/>
          <w:iCs/>
          <w:color w:val="323E4F" w:themeColor="text2" w:themeShade="BF"/>
          <w:u w:val="single"/>
        </w:rPr>
      </w:pPr>
      <w:r w:rsidRPr="0008249F">
        <w:rPr>
          <w:color w:val="000000"/>
          <w:shd w:val="clear" w:color="auto" w:fill="FFFFFF"/>
        </w:rPr>
        <w:t>Pursuant to the Paperwork Reduction Act of 1995 (44 U.S.C. 3506(c)(2)(A)), OSHA published a notice in the Federal Register</w:t>
      </w:r>
      <w:r w:rsidRPr="0008249F">
        <w:rPr>
          <w:i/>
          <w:iCs/>
          <w:color w:val="000000"/>
          <w:shd w:val="clear" w:color="auto" w:fill="FFFFFF"/>
        </w:rPr>
        <w:t xml:space="preserve"> </w:t>
      </w:r>
      <w:r w:rsidRPr="0008249F">
        <w:rPr>
          <w:color w:val="000000"/>
          <w:shd w:val="clear" w:color="auto" w:fill="FFFFFF"/>
        </w:rPr>
        <w:t>on August 1</w:t>
      </w:r>
      <w:r w:rsidRPr="0005483E" w:rsidR="002314D5">
        <w:rPr>
          <w:color w:val="000000"/>
          <w:shd w:val="clear" w:color="auto" w:fill="FFFFFF"/>
        </w:rPr>
        <w:t>2</w:t>
      </w:r>
      <w:r w:rsidRPr="0008249F">
        <w:rPr>
          <w:color w:val="000000"/>
          <w:shd w:val="clear" w:color="auto" w:fill="FFFFFF"/>
          <w:vertAlign w:val="superscript"/>
        </w:rPr>
        <w:t>th</w:t>
      </w:r>
      <w:r w:rsidRPr="0008249F">
        <w:rPr>
          <w:color w:val="000000"/>
          <w:shd w:val="clear" w:color="auto" w:fill="FFFFFF"/>
        </w:rPr>
        <w:t>, 2024, (</w:t>
      </w:r>
      <w:r w:rsidRPr="0008249F">
        <w:rPr>
          <w:color w:val="767676"/>
          <w:shd w:val="clear" w:color="auto" w:fill="FFFFFF"/>
        </w:rPr>
        <w:t>89 FR 65</w:t>
      </w:r>
      <w:r w:rsidRPr="009651C3" w:rsidR="00822C3E">
        <w:rPr>
          <w:color w:val="767676"/>
          <w:shd w:val="clear" w:color="auto" w:fill="FFFFFF"/>
        </w:rPr>
        <w:t>676</w:t>
      </w:r>
      <w:r w:rsidRPr="0008249F">
        <w:rPr>
          <w:color w:val="000000"/>
          <w:shd w:val="clear" w:color="auto" w:fill="FFFFFF"/>
        </w:rPr>
        <w:t xml:space="preserve">) soliciting comments on its proposal to extend the Office of Management and Budget’s (OMB) approval of the information collection requirements specified by the </w:t>
      </w:r>
      <w:r w:rsidRPr="0005483E" w:rsidR="00822C3E">
        <w:rPr>
          <w:color w:val="000000"/>
          <w:shd w:val="clear" w:color="auto" w:fill="FFFFFF"/>
        </w:rPr>
        <w:t>Asbestos in Construction Standard (2012-0002)</w:t>
      </w:r>
      <w:r w:rsidRPr="0008249F">
        <w:rPr>
          <w:b/>
          <w:bCs/>
          <w:color w:val="000000"/>
          <w:shd w:val="clear" w:color="auto" w:fill="FFFFFF"/>
        </w:rPr>
        <w:t>.</w:t>
      </w:r>
      <w:r w:rsidRPr="0008249F">
        <w:rPr>
          <w:color w:val="000000"/>
          <w:shd w:val="clear" w:color="auto" w:fill="FFFFFF"/>
        </w:rPr>
        <w:t xml:space="preserve"> </w:t>
      </w:r>
      <w:r w:rsidRPr="0008249F">
        <w:rPr>
          <w:color w:val="000000"/>
        </w:rPr>
        <w:t>This notice was a part of a preclearance consultation program that provides the general public and government agencies with an opportunity to comment. The agency did not receive any comments in response to this notice.   </w:t>
      </w:r>
      <w:r w:rsidRPr="0008249F">
        <w:rPr>
          <w:color w:val="000000"/>
          <w:shd w:val="clear" w:color="auto" w:fill="FFFFFF"/>
        </w:rPr>
        <w:t> </w:t>
      </w:r>
    </w:p>
    <w:p w:rsidR="00A91C29" w:rsidRPr="009C666F" w:rsidP="007B333B" w14:paraId="364B6AF7" w14:textId="6C4E9F8E">
      <w:pPr>
        <w:pStyle w:val="Heading2"/>
        <w:rPr>
          <w:rFonts w:cs="Shruti"/>
        </w:rPr>
      </w:pPr>
      <w:r w:rsidRPr="009C666F">
        <w:t>Explain any decision to provide any payments or gifts to respondents, other</w:t>
      </w:r>
      <w:r w:rsidR="006B6A4A">
        <w:t xml:space="preserve"> </w:t>
      </w:r>
      <w:r w:rsidRPr="009C666F">
        <w:t>than remuneration of contractors or grantees.</w:t>
      </w:r>
    </w:p>
    <w:p w:rsidR="00A91C29" w:rsidRPr="009C666F" w:rsidP="007B333B" w14:paraId="06535289" w14:textId="77777777">
      <w:pPr>
        <w:pStyle w:val="BodyText"/>
      </w:pPr>
      <w:r w:rsidRPr="009C666F">
        <w:t xml:space="preserve">The Agency will </w:t>
      </w:r>
      <w:r w:rsidRPr="009C666F">
        <w:rPr>
          <w:u w:val="single"/>
        </w:rPr>
        <w:t>not</w:t>
      </w:r>
      <w:r w:rsidRPr="009C666F">
        <w:t xml:space="preserve"> provide payments or gifts to the respondents.</w:t>
      </w:r>
    </w:p>
    <w:p w:rsidR="00D94A96" w:rsidRPr="009C666F" w:rsidP="007B333B" w14:paraId="0EEB6789" w14:textId="7BB2D176">
      <w:pPr>
        <w:pStyle w:val="Heading2"/>
        <w:rPr>
          <w:color w:val="000000"/>
        </w:rPr>
      </w:pPr>
      <w:r w:rsidRPr="009C666F">
        <w:t>Describe any assurance of confidentiality provided to respondents and the basis for the assurance in statute, regulation, or agency policy.</w:t>
      </w:r>
    </w:p>
    <w:p w:rsidR="00A91C29" w:rsidRPr="009C666F" w:rsidP="007B333B" w14:paraId="3FC6B0B0" w14:textId="161AA07E">
      <w:pPr>
        <w:pStyle w:val="BodyText"/>
      </w:pPr>
      <w:r w:rsidRPr="009C666F">
        <w:t>Since medical records contain information that may be considered private, OSHA has taken steps to ensure that the data are kept private to the extent allowed by law</w:t>
      </w:r>
      <w:r w:rsidRPr="009C666F" w:rsidR="00A07F70">
        <w:t xml:space="preserve">. </w:t>
      </w:r>
      <w:r w:rsidRPr="009C666F">
        <w:t>Rules of Agency practice and procedure governing OSHA access to worker medical records are contained in 29 CFR 1913.10</w:t>
      </w:r>
      <w:r w:rsidRPr="009C666F" w:rsidR="00A07F70">
        <w:t xml:space="preserve">. </w:t>
      </w:r>
      <w:r w:rsidRPr="009C666F">
        <w:t>The legal authority for these procedural regulations is found in sections 8(c)(1) and 8(g)(2) of the Occupational Safety and Health Act, 29 U.S.C. 657</w:t>
      </w:r>
      <w:r w:rsidRPr="009C666F" w:rsidR="00A07F70">
        <w:t xml:space="preserve">. </w:t>
      </w:r>
    </w:p>
    <w:p w:rsidR="00A91C29" w:rsidRPr="009C666F" w:rsidP="007B333B" w14:paraId="5E60427F" w14:textId="41AAC3E3">
      <w:pPr>
        <w:pStyle w:val="Heading2"/>
      </w:pPr>
      <w:r w:rsidRPr="009C666F">
        <w:t>Provide additional justification for any questions of a sensitive nature, such as sexual behavior and attitudes, religious beliefs, and other matters that are commonly considered private</w:t>
      </w:r>
      <w:r w:rsidRPr="009C666F" w:rsidR="00A07F70">
        <w:t xml:space="preserve">. </w:t>
      </w:r>
      <w:r w:rsidRPr="009C666F">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91C29" w:rsidRPr="009C666F" w:rsidP="007B333B" w14:paraId="2DE3F3A8" w14:textId="77777777">
      <w:pPr>
        <w:pStyle w:val="BodyText"/>
      </w:pPr>
      <w:r w:rsidRPr="009C666F">
        <w:t xml:space="preserve">The information collection requirements specified by the Standard do </w:t>
      </w:r>
      <w:r w:rsidRPr="009C666F">
        <w:rPr>
          <w:u w:val="single"/>
        </w:rPr>
        <w:t>not</w:t>
      </w:r>
      <w:r w:rsidRPr="009C666F">
        <w:t xml:space="preserve"> require the collection </w:t>
      </w:r>
      <w:r w:rsidRPr="009C666F">
        <w:t>of sensitive information.</w:t>
      </w:r>
    </w:p>
    <w:p w:rsidR="00A91C29" w:rsidRPr="009C666F" w:rsidP="007B333B" w14:paraId="1D072EA1" w14:textId="4F29B4EE">
      <w:pPr>
        <w:pStyle w:val="Heading2"/>
        <w:widowControl/>
        <w:rPr>
          <w:bCs/>
        </w:rPr>
      </w:pPr>
      <w:r w:rsidRPr="009C666F">
        <w:t>Provide estimates of the hour burden of the collection of information. The statement</w:t>
      </w:r>
      <w:r w:rsidRPr="009C666F" w:rsidR="00EC57BA">
        <w:t xml:space="preserve"> </w:t>
      </w:r>
      <w:r w:rsidRPr="009C666F">
        <w:t xml:space="preserve">should: </w:t>
      </w:r>
    </w:p>
    <w:p w:rsidR="00A91C29" w:rsidRPr="009C666F" w:rsidP="007B333B" w14:paraId="37948B9D" w14:textId="77777777">
      <w:pPr>
        <w:pStyle w:val="ListBullet"/>
        <w:rPr>
          <w:b/>
          <w:bCs/>
        </w:rPr>
      </w:pPr>
      <w:r w:rsidRPr="0022035D">
        <w:rPr>
          <w:b/>
        </w:rPr>
        <w:t>In</w:t>
      </w:r>
      <w:r w:rsidRPr="009C666F">
        <w:rPr>
          <w:b/>
          <w:bCs/>
        </w:rPr>
        <w:t>dicate the number of respondents, frequency of response, annual hour burden, and an explanation of how the burden was estimated. Unless directed to do so, agencies should not conduct special surveys to obtain information on which to base hour burden estimates</w:t>
      </w:r>
      <w:r w:rsidRPr="009C666F" w:rsidR="00A07F70">
        <w:rPr>
          <w:b/>
          <w:bCs/>
        </w:rPr>
        <w:t xml:space="preserve">. </w:t>
      </w:r>
      <w:r w:rsidRPr="009C666F">
        <w:rPr>
          <w:b/>
          <w:bCs/>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91C29" w:rsidRPr="009C666F" w:rsidP="007B333B" w14:paraId="58BCD78E" w14:textId="77777777">
      <w:pPr>
        <w:pStyle w:val="ListBullet"/>
        <w:rPr>
          <w:b/>
          <w:bCs/>
        </w:rPr>
      </w:pPr>
      <w:r w:rsidRPr="009C666F">
        <w:rPr>
          <w:b/>
          <w:bCs/>
        </w:rPr>
        <w:t>If this request for approval covers more than one form, provide separate hour burden estimates for each form and aggregate the hour burdens.</w:t>
      </w:r>
    </w:p>
    <w:p w:rsidR="00FC6C8C" w:rsidRPr="00107983" w:rsidP="007B333B" w14:paraId="22730ADC" w14:textId="77777777">
      <w:pPr>
        <w:pStyle w:val="ListBullet"/>
        <w:rPr>
          <w:b/>
          <w:u w:val="single"/>
        </w:rPr>
      </w:pPr>
      <w:r w:rsidRPr="009C666F">
        <w:rPr>
          <w:b/>
          <w:bCs/>
        </w:rPr>
        <w:t xml:space="preserve">Provide estimates of annualized cost to respondents for the hour burdens for collections of </w:t>
      </w:r>
      <w:r w:rsidRPr="009C666F">
        <w:rPr>
          <w:b/>
          <w:bCs/>
        </w:rPr>
        <w:tab/>
        <w:t xml:space="preserve">information, identifying and using appropriate wage rate categories. </w:t>
      </w:r>
    </w:p>
    <w:p w:rsidR="00FC6C8C" w:rsidRPr="00107983" w:rsidP="007B333B" w14:paraId="7F88000D" w14:textId="77777777">
      <w:pPr>
        <w:pStyle w:val="ListBullet"/>
        <w:rPr>
          <w:b/>
          <w:u w:val="single"/>
        </w:rPr>
      </w:pPr>
    </w:p>
    <w:p w:rsidR="00A91C29" w:rsidRPr="009C666F" w:rsidP="007B333B" w14:paraId="5FA65467" w14:textId="1F4BFA75">
      <w:pPr>
        <w:pStyle w:val="ListBullet"/>
        <w:rPr>
          <w:b/>
          <w:bCs/>
          <w:u w:val="single"/>
        </w:rPr>
      </w:pPr>
      <w:r w:rsidRPr="009C666F">
        <w:rPr>
          <w:b/>
          <w:bCs/>
        </w:rPr>
        <w:t>The cost of contracting out or paying outside parties for information collection activities should not be included here</w:t>
      </w:r>
      <w:r w:rsidRPr="009C666F" w:rsidR="00A07F70">
        <w:rPr>
          <w:b/>
          <w:bCs/>
        </w:rPr>
        <w:t xml:space="preserve">. </w:t>
      </w:r>
      <w:r w:rsidRPr="009C666F">
        <w:rPr>
          <w:b/>
          <w:bCs/>
        </w:rPr>
        <w:t>Instead, this cost should be included in Item 13.</w:t>
      </w:r>
    </w:p>
    <w:p w:rsidR="00921C5B" w:rsidRPr="009C666F" w:rsidP="00921C5B" w14:paraId="384DD478" w14:textId="42207C38">
      <w:pPr>
        <w:pStyle w:val="BodyText"/>
        <w:rPr>
          <w:b/>
          <w:bCs/>
        </w:rPr>
      </w:pPr>
      <w:r>
        <w:rPr>
          <w:b/>
          <w:bCs/>
        </w:rPr>
        <w:t xml:space="preserve">Respondent </w:t>
      </w:r>
      <w:r w:rsidRPr="009C666F">
        <w:rPr>
          <w:b/>
          <w:bCs/>
        </w:rPr>
        <w:t>Hour</w:t>
      </w:r>
      <w:r w:rsidRPr="009C666F" w:rsidR="00A91C29">
        <w:rPr>
          <w:b/>
          <w:bCs/>
        </w:rPr>
        <w:t xml:space="preserve"> and Cost </w:t>
      </w:r>
      <w:r w:rsidR="00844B07">
        <w:rPr>
          <w:b/>
          <w:bCs/>
        </w:rPr>
        <w:t xml:space="preserve">Burden </w:t>
      </w:r>
      <w:r w:rsidRPr="009C666F" w:rsidR="00A91C29">
        <w:rPr>
          <w:b/>
          <w:bCs/>
        </w:rPr>
        <w:t>Determinations</w:t>
      </w:r>
    </w:p>
    <w:p w:rsidR="00921C5B" w:rsidRPr="007E0AAF" w:rsidP="00921C5B" w14:paraId="1CDCD29E" w14:textId="5B5338A9">
      <w:pPr>
        <w:pStyle w:val="BodyText"/>
      </w:pPr>
      <w:r w:rsidRPr="007E0AAF">
        <w:t xml:space="preserve">The initial development of the industry profile of affected establishments and workers began with a delineation of the different types of construction activities involving exposure to asbestos. This identification process was based on extensive review of the occupational health literature describing where exposure to asbestos typically </w:t>
      </w:r>
      <w:r w:rsidRPr="007E0AAF" w:rsidR="00D36E3D">
        <w:t>occurs and</w:t>
      </w:r>
      <w:r w:rsidRPr="007E0AAF">
        <w:t xml:space="preserve"> was augmented and refined from conversations with industry and labor experts. Information was also gained by a series of surveys of building owners and contractors (performed by CONSAD in its rulemaking support for OSHA in 1984) and from information submitted to the public record in the course of various rulemaking activities.</w:t>
      </w:r>
    </w:p>
    <w:p w:rsidR="00921C5B" w:rsidRPr="007E0AAF" w:rsidP="00921C5B" w14:paraId="5E88B4C3" w14:textId="77777777">
      <w:pPr>
        <w:pStyle w:val="BodyText"/>
        <w:rPr>
          <w:u w:val="single"/>
        </w:rPr>
      </w:pPr>
      <w:r w:rsidRPr="007E0AAF">
        <w:t xml:space="preserve">Once the different types of construction activities were identified, the numbers of establishments, workers, and projects were estimated for each activity. A wide variety of approaches and data sources, reflecting the range of construction activities included in the analysis, were used to first ascertain the general level of construction activity involving exposure to asbestos products. For example, for new construction activities, the annual consumption of different types of products </w:t>
      </w:r>
      <w:r w:rsidRPr="007E0AAF">
        <w:t>containing asbestos was used.</w:t>
      </w:r>
      <w:r>
        <w:rPr>
          <w:rStyle w:val="FootnoteReference"/>
          <w:sz w:val="22"/>
          <w:szCs w:val="22"/>
          <w:vertAlign w:val="superscript"/>
        </w:rPr>
        <w:footnoteReference w:id="8"/>
      </w:r>
      <w:r w:rsidRPr="007E0AAF" w:rsidR="00772E53">
        <w:rPr>
          <w:sz w:val="22"/>
          <w:szCs w:val="22"/>
        </w:rPr>
        <w:t xml:space="preserve"> </w:t>
      </w:r>
      <w:r w:rsidRPr="007E0AAF">
        <w:t xml:space="preserve"> For asbestos abatement, encapsulation, and demolition activities,</w:t>
      </w:r>
      <w:r w:rsidRPr="007E0AAF" w:rsidR="00B82FCD">
        <w:t xml:space="preserve"> establishment data for NAICS 5629102 Asbestos Abatement and Lead Paint Removal and 562910 Remediation Services from the Economic Census were</w:t>
      </w:r>
      <w:r w:rsidRPr="007E0AAF" w:rsidR="0056270B">
        <w:t xml:space="preserve"> used</w:t>
      </w:r>
      <w:r w:rsidRPr="007E0AAF">
        <w:t>. For general building renovation and remodeling activities, the amount of particular construction products (for example, drywall or roofing products) installed or removed annually, or the number of buildings containing asbestos product</w:t>
      </w:r>
      <w:r w:rsidRPr="007E0AAF" w:rsidR="00031C36">
        <w:t>s</w:t>
      </w:r>
      <w:r w:rsidRPr="007E0AAF">
        <w:t xml:space="preserve"> (for example, drywall or roofing products) installed or removed annually, or the number of buildings containing asbestos products (for example flooring products) were used. </w:t>
      </w:r>
    </w:p>
    <w:p w:rsidR="00921C5B" w:rsidRPr="007E0AAF" w:rsidP="00921C5B" w14:paraId="3D8B93FA" w14:textId="77777777">
      <w:pPr>
        <w:pStyle w:val="BodyText"/>
      </w:pPr>
      <w:r w:rsidRPr="007E0AAF">
        <w:t>For routine maintenance work and custodial activities in commercial and residential buildings, the number of buildings containing different maintenance work and custodial activities in general industry, the number of establishments in those industrial sectors that typically either use asbestos-containing products (such as gaskets or insulation) during repair, work, and/or perform other maintenance or custodial activities involving contact with asbestos-containing products were used.</w:t>
      </w:r>
    </w:p>
    <w:p w:rsidR="00921C5B" w:rsidRPr="007E0AAF" w:rsidP="00921C5B" w14:paraId="2EB8B051" w14:textId="77777777">
      <w:pPr>
        <w:pStyle w:val="BodyText"/>
      </w:pPr>
      <w:r w:rsidRPr="007E0AAF">
        <w:t>In addition, with each of the above construction activities, a characterization of a typical project was also needed. Much of the information for these project characterizations came from conversations with industry and labor experts, as well as from information gained from a series of surveys of building owners and contractors performed by the contractor, CONSAD, in 1984 in its rulemaking support for OSHA. The pertinent information included data such as the average amount of asbestos products used or removed on a typical project, the typical frequency with which a construction activity took place in a building, the average number of crews (and crew sizes) needed to perform each type of construction activity, the average duration of each type of activity, the normal duration of the construction season for each type of activity, and the percentage of the work year that construction firms spend performing each type of construction activity involving asbestos exposure.</w:t>
      </w:r>
    </w:p>
    <w:p w:rsidR="00921C5B" w:rsidRPr="007E0AAF" w:rsidP="00921C5B" w14:paraId="7E50ECBD" w14:textId="77777777">
      <w:pPr>
        <w:pStyle w:val="BodyText"/>
      </w:pPr>
      <w:r w:rsidRPr="007E0AAF">
        <w:t>For certain types of construction renovation/remodeling activities (for example, the removal of building roofing materials or the removal of asbestos floor products), the data suggested that the frequency of performing work on the same structure is often once every 20 - 30 years. For other routine maintenance activities (for example, the repair of ceiling tiles, drywall, flooring, plumbing, or work on boilers), the activities are ongoing on an annual basis and exposures to asbestos would not end unless all asbestos in a structure was removed or unless asbestos-containing products were no longer used.</w:t>
      </w:r>
    </w:p>
    <w:p w:rsidR="00921C5B" w:rsidRPr="007E0AAF" w:rsidP="00921C5B" w14:paraId="0196FC49" w14:textId="0C1BB7FF">
      <w:pPr>
        <w:pStyle w:val="BodyText"/>
      </w:pPr>
      <w:r w:rsidRPr="007E0AAF">
        <w:t>To update the economic statistics, OSHA analyzed the Final Regulatory Impact Analysis (RIA) for the Revised Asbestos Standard for Construction, General Industry and Shipyards published July 21, 1994</w:t>
      </w:r>
      <w:r w:rsidRPr="007E0AAF" w:rsidR="00A07F70">
        <w:t xml:space="preserve">. </w:t>
      </w:r>
      <w:r w:rsidRPr="007E0AAF">
        <w:t xml:space="preserve">This document provides </w:t>
      </w:r>
      <w:r w:rsidRPr="007E0AAF" w:rsidR="00736C06">
        <w:t xml:space="preserve">a </w:t>
      </w:r>
      <w:r w:rsidRPr="007E0AAF">
        <w:t xml:space="preserve">comprehensive discussion of the number of firms and employees working in specific construction activities as covered </w:t>
      </w:r>
      <w:r w:rsidRPr="007E0AAF" w:rsidR="00736C06">
        <w:t xml:space="preserve">by </w:t>
      </w:r>
      <w:r w:rsidRPr="007E0AAF">
        <w:t xml:space="preserve">the Asbestos in Construction </w:t>
      </w:r>
      <w:r w:rsidRPr="007E0AAF">
        <w:t>Standard</w:t>
      </w:r>
      <w:r w:rsidRPr="007E0AAF" w:rsidR="00A07F70">
        <w:t xml:space="preserve">. </w:t>
      </w:r>
    </w:p>
    <w:p w:rsidR="00240930" w:rsidRPr="007E0AAF" w:rsidP="00921C5B" w14:paraId="1859261C" w14:textId="2A9CA5DA">
      <w:pPr>
        <w:pStyle w:val="BodyText"/>
      </w:pPr>
      <w:r w:rsidRPr="007E0AAF">
        <w:t>OSHA reviewed the six general activities where employees could be exposed in construction</w:t>
      </w:r>
      <w:r w:rsidRPr="007E0AAF" w:rsidR="00E163EC">
        <w:t>:</w:t>
      </w:r>
      <w:r w:rsidRPr="007E0AAF">
        <w:t xml:space="preserve"> new construction, asbestos abatement and demolition, renovation and remodeling, routine maintenance in public, commercial and residential buildings, routine maintenance in industrial facilities, custodial work in public commercial and residential buildings, and custodial work in industrial facilities</w:t>
      </w:r>
      <w:r w:rsidRPr="007E0AAF" w:rsidR="00A07F70">
        <w:t xml:space="preserve">. </w:t>
      </w:r>
      <w:r w:rsidRPr="007E0AAF">
        <w:t xml:space="preserve">OSHA reviewed </w:t>
      </w:r>
      <w:r w:rsidRPr="007E0AAF" w:rsidR="00E04BF3">
        <w:t xml:space="preserve">updated data </w:t>
      </w:r>
      <w:r w:rsidRPr="007E0AAF">
        <w:t>sources such as</w:t>
      </w:r>
      <w:r w:rsidRPr="007E0AAF" w:rsidR="00934722">
        <w:t xml:space="preserve"> the U.S. Department of Labor, Bureau of Labor Statistics</w:t>
      </w:r>
      <w:r w:rsidRPr="007E0AAF" w:rsidR="002C5629">
        <w:rPr>
          <w:i/>
        </w:rPr>
        <w:t xml:space="preserve"> </w:t>
      </w:r>
      <w:r w:rsidRPr="007E0AAF" w:rsidR="00C1426E">
        <w:rPr>
          <w:i/>
        </w:rPr>
        <w:t>Occupational Employment</w:t>
      </w:r>
      <w:r w:rsidRPr="007E0AAF" w:rsidR="002C5629">
        <w:rPr>
          <w:i/>
        </w:rPr>
        <w:t xml:space="preserve"> and Wage</w:t>
      </w:r>
      <w:r w:rsidRPr="007E0AAF" w:rsidR="00C1426E">
        <w:rPr>
          <w:i/>
        </w:rPr>
        <w:t xml:space="preserve"> Statistics</w:t>
      </w:r>
      <w:r w:rsidRPr="007E0AAF" w:rsidR="002C5629">
        <w:rPr>
          <w:i/>
        </w:rPr>
        <w:t xml:space="preserve"> </w:t>
      </w:r>
      <w:r w:rsidRPr="007E0AAF" w:rsidR="002C5629">
        <w:rPr>
          <w:iCs/>
        </w:rPr>
        <w:t>(2020 data)</w:t>
      </w:r>
      <w:r w:rsidRPr="007E0AAF" w:rsidR="00934722">
        <w:t>; U.S. Census Bureau</w:t>
      </w:r>
      <w:r w:rsidRPr="007E0AAF" w:rsidR="00C1426E">
        <w:t xml:space="preserve"> -</w:t>
      </w:r>
      <w:r w:rsidRPr="007E0AAF" w:rsidR="00A30F7A">
        <w:t xml:space="preserve"> </w:t>
      </w:r>
      <w:r w:rsidRPr="007E0AAF" w:rsidR="00934722">
        <w:t>American Community Survey</w:t>
      </w:r>
      <w:r w:rsidRPr="007E0AAF">
        <w:t xml:space="preserve"> (2019 data)</w:t>
      </w:r>
      <w:r w:rsidRPr="007E0AAF" w:rsidR="00934722">
        <w:t xml:space="preserve">; and the County Business Patterns </w:t>
      </w:r>
      <w:r w:rsidRPr="007E0AAF">
        <w:t>(</w:t>
      </w:r>
      <w:r w:rsidRPr="007E0AAF" w:rsidR="00C1426E">
        <w:t>201</w:t>
      </w:r>
      <w:r w:rsidRPr="007E0AAF" w:rsidR="002C5629">
        <w:t>8</w:t>
      </w:r>
      <w:r w:rsidRPr="007E0AAF">
        <w:t xml:space="preserve"> data). This ICR renewal also takes into account, for the first time, the reduction in buildings containing asbestos due to renovation and remediation, based on Massachusetts Department of Energy and Environmental Affairs (MA EEA) data on asbestos projects from 2002 through 2021.</w:t>
      </w:r>
    </w:p>
    <w:p w:rsidR="00921C5B" w:rsidRPr="007E0AAF" w:rsidP="00921C5B" w14:paraId="2F17AC62" w14:textId="6889240D">
      <w:pPr>
        <w:pStyle w:val="BodyText"/>
      </w:pPr>
      <w:r w:rsidRPr="007E0AAF">
        <w:t xml:space="preserve">In summary, OSHA estimates </w:t>
      </w:r>
      <w:r w:rsidRPr="007E0AAF" w:rsidR="00E163EC">
        <w:t xml:space="preserve">that </w:t>
      </w:r>
      <w:r w:rsidRPr="007E0AAF">
        <w:t>the number of workers potentially exposed to asbestos during new construction, abatement, renovation, routine maintenance work and custodial acti</w:t>
      </w:r>
      <w:r w:rsidRPr="007E0AAF" w:rsidR="00BC16D1">
        <w:t xml:space="preserve">vities </w:t>
      </w:r>
      <w:r w:rsidRPr="007E0AAF" w:rsidR="00E163EC">
        <w:t xml:space="preserve">has </w:t>
      </w:r>
      <w:r w:rsidRPr="007E0AAF" w:rsidR="00BC16D1">
        <w:t xml:space="preserve">declined approximately </w:t>
      </w:r>
      <w:r w:rsidRPr="007E0AAF" w:rsidR="00006C89">
        <w:t>2</w:t>
      </w:r>
      <w:r w:rsidR="00141A4E">
        <w:t>5</w:t>
      </w:r>
      <w:r w:rsidRPr="007E0AAF" w:rsidR="00006C89">
        <w:t xml:space="preserve"> percent</w:t>
      </w:r>
      <w:r w:rsidRPr="007E0AAF">
        <w:t xml:space="preserve"> since 1994. </w:t>
      </w:r>
      <w:r w:rsidRPr="007E0AAF" w:rsidR="009242AE">
        <w:t xml:space="preserve">(The methodology used to calculate the </w:t>
      </w:r>
      <w:r w:rsidRPr="007E0AAF" w:rsidR="000E3F87">
        <w:t>2</w:t>
      </w:r>
      <w:r w:rsidR="00141A4E">
        <w:t>5</w:t>
      </w:r>
      <w:r w:rsidRPr="007E0AAF" w:rsidR="000E3F87">
        <w:t xml:space="preserve"> percent</w:t>
      </w:r>
      <w:r w:rsidRPr="007E0AAF" w:rsidR="009242AE">
        <w:t xml:space="preserve"> was to subtract the new total of </w:t>
      </w:r>
      <w:r w:rsidRPr="007E0AAF" w:rsidR="000E3F87">
        <w:t>2,</w:t>
      </w:r>
      <w:r w:rsidR="007F4B7A">
        <w:t>339,408</w:t>
      </w:r>
      <w:r w:rsidRPr="007E0AAF" w:rsidR="00DF17E4">
        <w:t xml:space="preserve"> </w:t>
      </w:r>
      <w:r w:rsidRPr="007E0AAF" w:rsidR="009242AE">
        <w:t xml:space="preserve">from the old total of </w:t>
      </w:r>
      <w:r w:rsidRPr="007E0AAF" w:rsidR="003A571A">
        <w:t>3,130,751</w:t>
      </w:r>
      <w:r w:rsidRPr="007E0AAF" w:rsidR="009242AE">
        <w:t xml:space="preserve">, </w:t>
      </w:r>
      <w:r w:rsidRPr="007E0AAF" w:rsidR="004F7B20">
        <w:t xml:space="preserve">and then divide by </w:t>
      </w:r>
      <w:r w:rsidRPr="007E0AAF" w:rsidR="003A571A">
        <w:t>3,130,751</w:t>
      </w:r>
      <w:r w:rsidRPr="007E0AAF" w:rsidR="007B599E">
        <w:t>.)</w:t>
      </w:r>
      <w:r w:rsidRPr="007E0AAF" w:rsidR="00E04BF3">
        <w:t xml:space="preserve">  </w:t>
      </w:r>
    </w:p>
    <w:p w:rsidR="00226716" w:rsidRPr="00226716" w:rsidP="00226716" w14:paraId="7EBEC6B3" w14:textId="7E7FBFC4">
      <w:pPr>
        <w:widowControl/>
        <w:autoSpaceDE/>
        <w:autoSpaceDN/>
        <w:adjustRightInd/>
        <w:rPr>
          <w:rFonts w:ascii="Calibri" w:hAnsi="Calibri" w:cs="Calibri"/>
          <w:color w:val="000000"/>
          <w:sz w:val="20"/>
          <w:szCs w:val="20"/>
        </w:rPr>
      </w:pPr>
      <w:r w:rsidRPr="007E0AAF">
        <w:t xml:space="preserve">The Agency originally </w:t>
      </w:r>
      <w:r w:rsidRPr="007E0AAF" w:rsidR="00E04BF3">
        <w:t>estimate</w:t>
      </w:r>
      <w:r w:rsidRPr="007E0AAF">
        <w:t>d</w:t>
      </w:r>
      <w:r w:rsidRPr="007E0AAF" w:rsidR="00E04BF3">
        <w:t xml:space="preserve"> that the Standard affected </w:t>
      </w:r>
      <w:r w:rsidRPr="007E0AAF" w:rsidR="00E04BF3">
        <w:rPr>
          <w:rFonts w:ascii="TimesNewRomanPSMT" w:hAnsi="TimesNewRomanPSMT" w:cs="TimesNewRomanPSMT"/>
        </w:rPr>
        <w:t>1,833,429 employees</w:t>
      </w:r>
      <w:r w:rsidRPr="007E0AAF" w:rsidR="006E2483">
        <w:rPr>
          <w:rFonts w:ascii="TimesNewRomanPSMT" w:hAnsi="TimesNewRomanPSMT" w:cs="TimesNewRomanPSMT"/>
        </w:rPr>
        <w:t xml:space="preserve"> and 1,434,105 employers</w:t>
      </w:r>
      <w:r w:rsidRPr="007E0AAF" w:rsidR="00E04BF3">
        <w:rPr>
          <w:rFonts w:ascii="TimesNewRomanPSMT" w:hAnsi="TimesNewRomanPSMT" w:cs="TimesNewRomanPSMT"/>
        </w:rPr>
        <w:t>.</w:t>
      </w:r>
      <w:r>
        <w:rPr>
          <w:rStyle w:val="FootnoteReference"/>
          <w:sz w:val="20"/>
          <w:szCs w:val="20"/>
          <w:vertAlign w:val="superscript"/>
        </w:rPr>
        <w:footnoteReference w:id="9"/>
      </w:r>
      <w:r w:rsidRPr="007E0AAF" w:rsidR="00E04BF3">
        <w:rPr>
          <w:rStyle w:val="FootnoteReference"/>
          <w:sz w:val="20"/>
          <w:szCs w:val="20"/>
          <w:vertAlign w:val="superscript"/>
        </w:rPr>
        <w:t xml:space="preserve"> </w:t>
      </w:r>
      <w:r w:rsidRPr="007E0AAF" w:rsidR="00E04BF3">
        <w:rPr>
          <w:rFonts w:ascii="TimesNewRomanPSMT" w:hAnsi="TimesNewRomanPSMT" w:cs="TimesNewRomanPSMT"/>
        </w:rPr>
        <w:t xml:space="preserve"> Applying the </w:t>
      </w:r>
      <w:r w:rsidRPr="007E0AAF" w:rsidR="004C43A4">
        <w:rPr>
          <w:rFonts w:ascii="TimesNewRomanPSMT" w:hAnsi="TimesNewRomanPSMT" w:cs="TimesNewRomanPSMT"/>
        </w:rPr>
        <w:t xml:space="preserve">approximate </w:t>
      </w:r>
      <w:r w:rsidRPr="007E0AAF" w:rsidR="006069F7">
        <w:rPr>
          <w:rFonts w:ascii="TimesNewRomanPSMT" w:hAnsi="TimesNewRomanPSMT" w:cs="TimesNewRomanPSMT"/>
        </w:rPr>
        <w:t>2</w:t>
      </w:r>
      <w:r w:rsidR="00AB6DB6">
        <w:rPr>
          <w:rFonts w:ascii="TimesNewRomanPSMT" w:hAnsi="TimesNewRomanPSMT" w:cs="TimesNewRomanPSMT"/>
        </w:rPr>
        <w:t>5</w:t>
      </w:r>
      <w:r w:rsidRPr="007E0AAF" w:rsidR="006069F7">
        <w:rPr>
          <w:rFonts w:ascii="TimesNewRomanPSMT" w:hAnsi="TimesNewRomanPSMT" w:cs="TimesNewRomanPSMT"/>
        </w:rPr>
        <w:t xml:space="preserve"> </w:t>
      </w:r>
      <w:r w:rsidRPr="007E0AAF" w:rsidR="004B251E">
        <w:rPr>
          <w:rFonts w:ascii="TimesNewRomanPSMT" w:hAnsi="TimesNewRomanPSMT" w:cs="TimesNewRomanPSMT"/>
        </w:rPr>
        <w:t>percent</w:t>
      </w:r>
      <w:r w:rsidRPr="007E0AAF" w:rsidR="00E04BF3">
        <w:rPr>
          <w:rFonts w:ascii="TimesNewRomanPSMT" w:hAnsi="TimesNewRomanPSMT" w:cs="TimesNewRomanPSMT"/>
        </w:rPr>
        <w:t xml:space="preserve"> decline in general construction activities</w:t>
      </w:r>
      <w:r w:rsidRPr="007E0AAF" w:rsidR="006E2483">
        <w:rPr>
          <w:rFonts w:ascii="TimesNewRomanPSMT" w:hAnsi="TimesNewRomanPSMT" w:cs="TimesNewRomanPSMT"/>
        </w:rPr>
        <w:t xml:space="preserve"> since then</w:t>
      </w:r>
      <w:r w:rsidRPr="007E0AAF" w:rsidR="00E04BF3">
        <w:rPr>
          <w:rFonts w:ascii="TimesNewRomanPSMT" w:hAnsi="TimesNewRomanPSMT" w:cs="TimesNewRomanPSMT"/>
        </w:rPr>
        <w:t xml:space="preserve">, and </w:t>
      </w:r>
      <w:r w:rsidRPr="007E0AAF" w:rsidR="003E7076">
        <w:rPr>
          <w:rFonts w:ascii="TimesNewRomanPSMT" w:hAnsi="TimesNewRomanPSMT" w:cs="TimesNewRomanPSMT"/>
        </w:rPr>
        <w:t>because</w:t>
      </w:r>
      <w:r w:rsidRPr="007E0AAF" w:rsidR="00E04BF3">
        <w:rPr>
          <w:rFonts w:ascii="TimesNewRomanPSMT" w:hAnsi="TimesNewRomanPSMT" w:cs="TimesNewRomanPSMT"/>
        </w:rPr>
        <w:t xml:space="preserve"> much of the rem</w:t>
      </w:r>
      <w:r w:rsidRPr="007E0AAF" w:rsidR="00BA5D4C">
        <w:rPr>
          <w:rFonts w:ascii="TimesNewRomanPSMT" w:hAnsi="TimesNewRomanPSMT" w:cs="TimesNewRomanPSMT"/>
        </w:rPr>
        <w:t>e</w:t>
      </w:r>
      <w:r w:rsidRPr="007E0AAF" w:rsidR="00E04BF3">
        <w:rPr>
          <w:rFonts w:ascii="TimesNewRomanPSMT" w:hAnsi="TimesNewRomanPSMT" w:cs="TimesNewRomanPSMT"/>
        </w:rPr>
        <w:t xml:space="preserve">diation of asbestos products has likely taken place, </w:t>
      </w:r>
      <w:r w:rsidRPr="00107983" w:rsidR="00E04BF3">
        <w:rPr>
          <w:rFonts w:ascii="TimesNewRomanPSMT" w:hAnsi="TimesNewRomanPSMT" w:cs="TimesNewRomanPSMT"/>
          <w:b/>
        </w:rPr>
        <w:t xml:space="preserve">OSHA estimates </w:t>
      </w:r>
      <w:r w:rsidRPr="00107983" w:rsidR="00753CD9">
        <w:rPr>
          <w:rFonts w:ascii="TimesNewRomanPSMT" w:hAnsi="TimesNewRomanPSMT" w:cs="TimesNewRomanPSMT"/>
          <w:b/>
        </w:rPr>
        <w:t xml:space="preserve">there are </w:t>
      </w:r>
      <w:r w:rsidRPr="00107983" w:rsidR="006E2483">
        <w:rPr>
          <w:rFonts w:ascii="TimesNewRomanPSMT" w:hAnsi="TimesNewRomanPSMT" w:cs="TimesNewRomanPSMT"/>
          <w:b/>
        </w:rPr>
        <w:t>now</w:t>
      </w:r>
      <w:r w:rsidRPr="00107983" w:rsidR="00A21E4C">
        <w:rPr>
          <w:rFonts w:ascii="Calibri" w:hAnsi="Calibri" w:cs="Calibri"/>
          <w:b/>
          <w:color w:val="000000"/>
          <w:sz w:val="20"/>
          <w:szCs w:val="20"/>
        </w:rPr>
        <w:t xml:space="preserve"> </w:t>
      </w:r>
      <w:r w:rsidRPr="00107983" w:rsidR="009651C3">
        <w:rPr>
          <w:b/>
          <w:color w:val="000000"/>
        </w:rPr>
        <w:t>1,375,072</w:t>
      </w:r>
      <w:r w:rsidRPr="00107983" w:rsidR="009651C3">
        <w:rPr>
          <w:rFonts w:ascii="Calibri" w:hAnsi="Calibri" w:cs="Calibri"/>
          <w:b/>
          <w:color w:val="000000"/>
          <w:sz w:val="20"/>
          <w:szCs w:val="20"/>
        </w:rPr>
        <w:t xml:space="preserve"> </w:t>
      </w:r>
      <w:r w:rsidRPr="00107983" w:rsidR="009651C3">
        <w:rPr>
          <w:rFonts w:ascii="TimesNewRomanPSMT" w:hAnsi="TimesNewRomanPSMT" w:cs="TimesNewRomanPSMT"/>
          <w:b/>
        </w:rPr>
        <w:t>workers</w:t>
      </w:r>
      <w:r w:rsidRPr="00107983" w:rsidR="00E04BF3">
        <w:rPr>
          <w:rFonts w:ascii="TimesNewRomanPSMT" w:hAnsi="TimesNewRomanPSMT" w:cs="TimesNewRomanPSMT"/>
          <w:b/>
        </w:rPr>
        <w:t xml:space="preserve"> </w:t>
      </w:r>
      <w:r w:rsidRPr="00107983" w:rsidR="002D0519">
        <w:rPr>
          <w:rFonts w:ascii="TimesNewRomanPSMT" w:hAnsi="TimesNewRomanPSMT" w:cs="TimesNewRomanPSMT"/>
          <w:b/>
        </w:rPr>
        <w:t xml:space="preserve">and </w:t>
      </w:r>
      <w:bookmarkStart w:id="92" w:name="_Hlk168835587"/>
      <w:r w:rsidRPr="00496155" w:rsidR="00A86970">
        <w:rPr>
          <w:rFonts w:ascii="TimesNewRomanPSMT" w:hAnsi="TimesNewRomanPSMT" w:cs="TimesNewRomanPSMT"/>
          <w:b/>
        </w:rPr>
        <w:t>1,075,579</w:t>
      </w:r>
      <w:bookmarkEnd w:id="92"/>
      <w:r w:rsidRPr="00496155" w:rsidR="004C7C5C">
        <w:rPr>
          <w:rFonts w:ascii="TimesNewRomanPSMT" w:hAnsi="TimesNewRomanPSMT" w:cs="TimesNewRomanPSMT"/>
          <w:b/>
        </w:rPr>
        <w:t xml:space="preserve"> </w:t>
      </w:r>
      <w:r w:rsidRPr="00496155" w:rsidR="002D0519">
        <w:rPr>
          <w:rFonts w:ascii="TimesNewRomanPSMT" w:hAnsi="TimesNewRomanPSMT" w:cs="TimesNewRomanPSMT"/>
          <w:b/>
        </w:rPr>
        <w:t>employers</w:t>
      </w:r>
      <w:r w:rsidRPr="00107983" w:rsidR="002D0519">
        <w:rPr>
          <w:rFonts w:ascii="TimesNewRomanPSMT" w:hAnsi="TimesNewRomanPSMT" w:cs="TimesNewRomanPSMT"/>
          <w:b/>
        </w:rPr>
        <w:t xml:space="preserve"> </w:t>
      </w:r>
      <w:r w:rsidRPr="00107983" w:rsidR="00E04BF3">
        <w:rPr>
          <w:rFonts w:ascii="TimesNewRomanPSMT" w:hAnsi="TimesNewRomanPSMT" w:cs="TimesNewRomanPSMT"/>
          <w:b/>
        </w:rPr>
        <w:t>for the purposes of calculating burden hours and costs associated with this ICR</w:t>
      </w:r>
      <w:r w:rsidRPr="00107983" w:rsidR="00A07F70">
        <w:rPr>
          <w:rFonts w:ascii="TimesNewRomanPSMT" w:hAnsi="TimesNewRomanPSMT" w:cs="TimesNewRomanPSMT"/>
          <w:b/>
        </w:rPr>
        <w:t xml:space="preserve">. </w:t>
      </w:r>
      <w:r w:rsidRPr="007E0AAF" w:rsidR="002D0519">
        <w:t>I</w:t>
      </w:r>
      <w:r w:rsidRPr="007E0AAF" w:rsidR="00291DD3">
        <w:t>n comparison to the</w:t>
      </w:r>
      <w:r w:rsidRPr="007E0AAF" w:rsidR="00787754">
        <w:t xml:space="preserve"> ICR</w:t>
      </w:r>
      <w:r w:rsidRPr="007E0AAF" w:rsidR="006E2483">
        <w:t xml:space="preserve"> approved in 20</w:t>
      </w:r>
      <w:r w:rsidR="00BA00F2">
        <w:t>21</w:t>
      </w:r>
      <w:r w:rsidRPr="007E0AAF" w:rsidR="00291DD3">
        <w:t xml:space="preserve">, </w:t>
      </w:r>
      <w:r w:rsidRPr="007E0AAF" w:rsidR="00953490">
        <w:t xml:space="preserve">the Agency </w:t>
      </w:r>
      <w:r w:rsidRPr="007E0AAF" w:rsidR="00826744">
        <w:t xml:space="preserve">estimates the </w:t>
      </w:r>
      <w:r w:rsidRPr="007E0AAF" w:rsidR="002D0519">
        <w:t>number of</w:t>
      </w:r>
      <w:r w:rsidRPr="007E0AAF" w:rsidR="004D0283">
        <w:t xml:space="preserve"> </w:t>
      </w:r>
      <w:r w:rsidRPr="007E0AAF" w:rsidR="002D0519">
        <w:t xml:space="preserve">workers </w:t>
      </w:r>
      <w:r w:rsidR="00710B48">
        <w:t>de</w:t>
      </w:r>
      <w:r w:rsidRPr="007E0AAF" w:rsidR="007F1731">
        <w:t xml:space="preserve">creased </w:t>
      </w:r>
      <w:r w:rsidRPr="007E0AAF" w:rsidR="002D0519">
        <w:t>by</w:t>
      </w:r>
      <w:r w:rsidRPr="007E0AAF" w:rsidR="00826744">
        <w:t xml:space="preserve"> </w:t>
      </w:r>
      <w:r w:rsidR="00823727">
        <w:t xml:space="preserve">36,668 </w:t>
      </w:r>
      <w:r w:rsidRPr="007E0AAF" w:rsidR="00823727">
        <w:t>workers</w:t>
      </w:r>
      <w:r w:rsidRPr="007E0AAF" w:rsidR="00826744">
        <w:t xml:space="preserve"> (from </w:t>
      </w:r>
      <w:r w:rsidR="003128C9">
        <w:t>1,411,740</w:t>
      </w:r>
      <w:r w:rsidRPr="007E0AAF" w:rsidR="00DF17E4">
        <w:t xml:space="preserve"> </w:t>
      </w:r>
      <w:r w:rsidRPr="007E0AAF" w:rsidR="000951A0">
        <w:t xml:space="preserve">to </w:t>
      </w:r>
      <w:r w:rsidR="004C3728">
        <w:t>1,375,072</w:t>
      </w:r>
      <w:r w:rsidRPr="007E0AAF" w:rsidR="000951A0">
        <w:t xml:space="preserve"> </w:t>
      </w:r>
      <w:r w:rsidRPr="007E0AAF" w:rsidR="00826744">
        <w:t>workers)</w:t>
      </w:r>
      <w:r w:rsidRPr="007E0AAF" w:rsidR="002D0519">
        <w:t xml:space="preserve"> and the number of </w:t>
      </w:r>
      <w:r w:rsidRPr="007E0AAF" w:rsidR="0046197B">
        <w:t xml:space="preserve">employers </w:t>
      </w:r>
      <w:r w:rsidR="00FE7FA7">
        <w:t>de</w:t>
      </w:r>
      <w:r w:rsidRPr="007E0AAF" w:rsidR="002D0519">
        <w:t xml:space="preserve">creased by </w:t>
      </w:r>
      <w:r w:rsidR="00A0733C">
        <w:t xml:space="preserve">28,682 </w:t>
      </w:r>
      <w:r w:rsidRPr="007E0AAF" w:rsidR="00A0733C">
        <w:t>(</w:t>
      </w:r>
      <w:r w:rsidRPr="007E0AAF" w:rsidR="002D0519">
        <w:t xml:space="preserve">from </w:t>
      </w:r>
      <w:r w:rsidR="004C3728">
        <w:t>1,</w:t>
      </w:r>
      <w:r w:rsidR="0099415B">
        <w:t>104,261</w:t>
      </w:r>
      <w:r w:rsidRPr="007E0AAF" w:rsidR="000951A0">
        <w:t xml:space="preserve"> to </w:t>
      </w:r>
      <w:r w:rsidR="0099415B">
        <w:t>1,075,</w:t>
      </w:r>
      <w:r w:rsidR="00BC2C68">
        <w:t>579</w:t>
      </w:r>
      <w:r w:rsidRPr="007E0AAF" w:rsidR="00DF17E4">
        <w:t xml:space="preserve"> </w:t>
      </w:r>
      <w:r w:rsidRPr="007E0AAF" w:rsidR="0046197B">
        <w:t>employers</w:t>
      </w:r>
      <w:r w:rsidRPr="007E0AAF" w:rsidR="002D0519">
        <w:t>).</w:t>
      </w:r>
    </w:p>
    <w:p w:rsidR="00A21E4C" w:rsidRPr="00CC7B77" w:rsidP="00A21E4C" w14:paraId="581509E5" w14:textId="77777777">
      <w:pPr>
        <w:widowControl/>
        <w:autoSpaceDE/>
        <w:autoSpaceDN/>
        <w:adjustRightInd/>
        <w:rPr>
          <w:rFonts w:ascii="Calibri" w:hAnsi="Calibri" w:cs="Calibri"/>
          <w:color w:val="000000"/>
          <w:sz w:val="20"/>
          <w:szCs w:val="20"/>
        </w:rPr>
      </w:pPr>
    </w:p>
    <w:p w:rsidR="00A91C29" w:rsidRPr="00201033" w:rsidP="00201033" w14:paraId="3A3CF106" w14:textId="3A298C5B">
      <w:pPr>
        <w:widowControl/>
        <w:autoSpaceDE/>
        <w:autoSpaceDN/>
        <w:adjustRightInd/>
        <w:rPr>
          <w:rFonts w:ascii="Calibri" w:hAnsi="Calibri" w:cs="Calibri"/>
          <w:color w:val="000000"/>
          <w:sz w:val="20"/>
          <w:szCs w:val="20"/>
        </w:rPr>
      </w:pPr>
    </w:p>
    <w:p w:rsidR="00A30F7A" w:rsidRPr="009C666F" w:rsidP="007F1731" w14:paraId="7F1D885A" w14:textId="608B902B">
      <w:pPr>
        <w:pStyle w:val="BodyText"/>
        <w:keepNext/>
        <w:rPr>
          <w:b/>
          <w:bCs/>
          <w:sz w:val="22"/>
          <w:szCs w:val="22"/>
        </w:rPr>
      </w:pPr>
      <w:r w:rsidRPr="009C666F">
        <w:rPr>
          <w:b/>
          <w:bCs/>
        </w:rPr>
        <w:t>R</w:t>
      </w:r>
      <w:r w:rsidRPr="009C666F" w:rsidR="00706D69">
        <w:rPr>
          <w:b/>
          <w:bCs/>
        </w:rPr>
        <w:t>espondent Hour and Cost B</w:t>
      </w:r>
      <w:r w:rsidRPr="009C666F">
        <w:rPr>
          <w:b/>
          <w:bCs/>
        </w:rPr>
        <w:t>urden Determinations</w:t>
      </w:r>
    </w:p>
    <w:p w:rsidR="003B7A0A" w:rsidRPr="003B7A0A" w:rsidP="003B7A0A" w14:paraId="539C8513" w14:textId="2DAD7952">
      <w:pPr>
        <w:widowControl/>
        <w:tabs>
          <w:tab w:val="left" w:pos="-1440"/>
        </w:tabs>
        <w:rPr>
          <w:sz w:val="32"/>
          <w:szCs w:val="32"/>
        </w:rPr>
      </w:pPr>
      <w:r w:rsidRPr="003B7A0A">
        <w:rPr>
          <w:color w:val="000000"/>
          <w:shd w:val="clear" w:color="auto" w:fill="FFFFFF"/>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Wage Statistics </w:t>
      </w:r>
      <w:r w:rsidRPr="00952E18" w:rsidR="00952E18">
        <w:rPr>
          <w:color w:val="0000FF"/>
          <w:u w:val="single"/>
        </w:rPr>
        <w:t>List of SOC Occupations (bls.gov)</w:t>
      </w:r>
      <w:r w:rsidRPr="003B7A0A">
        <w:rPr>
          <w:color w:val="000000"/>
          <w:shd w:val="clear" w:color="auto" w:fill="FFFFFF"/>
        </w:rPr>
        <w:t xml:space="preserve"> accessed: </w:t>
      </w:r>
      <w:r w:rsidR="00952E18">
        <w:rPr>
          <w:color w:val="000000"/>
          <w:shd w:val="clear" w:color="auto" w:fill="FFFFFF"/>
        </w:rPr>
        <w:t xml:space="preserve">May </w:t>
      </w:r>
      <w:r w:rsidR="002A0675">
        <w:rPr>
          <w:color w:val="000000"/>
          <w:shd w:val="clear" w:color="auto" w:fill="FFFFFF"/>
        </w:rPr>
        <w:t>2024</w:t>
      </w:r>
      <w:r w:rsidRPr="003B7A0A">
        <w:rPr>
          <w:color w:val="000000"/>
          <w:shd w:val="clear" w:color="auto" w:fill="FFFFFF"/>
        </w:rPr>
        <w:t>.  (OE</w:t>
      </w:r>
      <w:r w:rsidR="00E60E86">
        <w:rPr>
          <w:color w:val="000000"/>
          <w:shd w:val="clear" w:color="auto" w:fill="FFFFFF"/>
        </w:rPr>
        <w:t>W</w:t>
      </w:r>
      <w:r w:rsidRPr="003B7A0A">
        <w:rPr>
          <w:color w:val="000000"/>
          <w:shd w:val="clear" w:color="auto" w:fill="FFFFFF"/>
        </w:rPr>
        <w:t xml:space="preserve">S data is available </w:t>
      </w:r>
      <w:r w:rsidRPr="003B7A0A" w:rsidR="00823727">
        <w:rPr>
          <w:color w:val="000000"/>
          <w:shd w:val="clear" w:color="auto" w:fill="FFFFFF"/>
        </w:rPr>
        <w:t>at</w:t>
      </w:r>
      <w:r w:rsidR="00823727">
        <w:rPr>
          <w:sz w:val="20"/>
          <w:szCs w:val="20"/>
        </w:rPr>
        <w:t xml:space="preserve"> </w:t>
      </w:r>
      <w:r w:rsidRPr="00B575EC" w:rsidR="00823727">
        <w:t>SOC</w:t>
      </w:r>
      <w:r w:rsidRPr="00B575EC" w:rsidR="00B575EC">
        <w:rPr>
          <w:color w:val="000000"/>
          <w:shd w:val="clear" w:color="auto" w:fill="FFFFFF"/>
        </w:rPr>
        <w:t xml:space="preserve"> Occupations (bls.gov)</w:t>
      </w:r>
      <w:r w:rsidRPr="003B7A0A">
        <w:rPr>
          <w:color w:val="000000"/>
          <w:shd w:val="clear" w:color="auto" w:fill="FFFFFF"/>
        </w:rPr>
        <w:t> To access a wage rate, select the year, “Occupation profiles,” and the Standard Occupational Classification (SOC) code.) </w:t>
      </w:r>
    </w:p>
    <w:p w:rsidR="003B7A0A" w:rsidRPr="003B7A0A" w:rsidP="003B7A0A" w14:paraId="36AA058A" w14:textId="77777777">
      <w:pPr>
        <w:widowControl/>
        <w:tabs>
          <w:tab w:val="left" w:pos="-1440"/>
        </w:tabs>
      </w:pPr>
    </w:p>
    <w:p w:rsidR="003B7A0A" w:rsidRPr="00201033" w:rsidP="00201033" w14:paraId="33A35E98" w14:textId="65B4EC0B">
      <w:pPr>
        <w:widowControl/>
        <w:autoSpaceDE/>
        <w:autoSpaceDN/>
        <w:adjustRightInd/>
      </w:pPr>
      <w:r w:rsidRPr="003B7A0A">
        <w:t xml:space="preserve">To account for fringe benefits, the agency used the </w:t>
      </w:r>
      <w:hyperlink r:id="rId22" w:history="1">
        <w:r w:rsidRPr="00201E69" w:rsidR="00201E69">
          <w:rPr>
            <w:color w:val="0000FF"/>
            <w:u w:val="single"/>
          </w:rPr>
          <w:t>Employer Costs for Employee Compensation – December 2023 (bls.gov)</w:t>
        </w:r>
      </w:hyperlink>
      <w:r w:rsidRPr="003B7A0A">
        <w:t xml:space="preserve"> </w:t>
      </w:r>
      <w:r w:rsidRPr="003B7A0A">
        <w:rPr>
          <w:i/>
          <w:iCs/>
        </w:rPr>
        <w:t xml:space="preserve">Occupational Employment Wage Statistics (OEWS) </w:t>
      </w:r>
      <w:r w:rsidRPr="003B7A0A">
        <w:t xml:space="preserve">.  Fringe markup </w:t>
      </w:r>
      <w:r w:rsidRPr="003B7A0A">
        <w:t xml:space="preserve">is from the following BLS release:  </w:t>
      </w:r>
      <w:r w:rsidRPr="003B7A0A">
        <w:rPr>
          <w:i/>
          <w:iCs/>
        </w:rPr>
        <w:t>Employer Costs for Employee Compensation</w:t>
      </w:r>
      <w:r w:rsidRPr="003B7A0A">
        <w:t xml:space="preserve"> news release text; For release, </w:t>
      </w:r>
      <w:r w:rsidR="00124F7A">
        <w:t>Decem</w:t>
      </w:r>
      <w:r w:rsidRPr="003B7A0A">
        <w:t>ber 20</w:t>
      </w:r>
      <w:r w:rsidR="00E35E25">
        <w:t xml:space="preserve">24 </w:t>
      </w:r>
      <w:r w:rsidRPr="003B7A0A">
        <w:t xml:space="preserve">at </w:t>
      </w:r>
      <w:hyperlink r:id="rId22" w:tgtFrame="_blank" w:history="1">
        <w:r w:rsidRPr="003B7A0A">
          <w:rPr>
            <w:i/>
            <w:iCs/>
            <w:u w:val="single"/>
          </w:rPr>
          <w:t>https://www.bls.gov/news.release/pdf/ecec.pdf</w:t>
        </w:r>
      </w:hyperlink>
      <w:r w:rsidRPr="003B7A0A">
        <w:rPr>
          <w:i/>
          <w:iCs/>
        </w:rPr>
        <w:t xml:space="preserve">. </w:t>
      </w:r>
      <w:r w:rsidRPr="003B7A0A">
        <w:t xml:space="preserve">BLS reported that civilian workers, fringe benefits accounted for accounted for </w:t>
      </w:r>
      <w:r w:rsidR="00F80E4D">
        <w:t>31.</w:t>
      </w:r>
      <w:r w:rsidR="00D75534">
        <w:t>01</w:t>
      </w:r>
      <w:r w:rsidRPr="003B7A0A">
        <w:t xml:space="preserve"> percent of total compensation and wages accounted for the remaining </w:t>
      </w:r>
      <w:r w:rsidR="00D75534">
        <w:t>68.99</w:t>
      </w:r>
      <w:r w:rsidRPr="003B7A0A">
        <w:t xml:space="preserve"> percent.   </w:t>
      </w:r>
    </w:p>
    <w:p w:rsidR="003B7A0A" w:rsidRPr="003B7A0A" w:rsidP="003B7A0A" w14:paraId="1D70B06F" w14:textId="77777777">
      <w:pPr>
        <w:widowControl/>
        <w:autoSpaceDE/>
        <w:autoSpaceDN/>
        <w:adjustRightInd/>
        <w:textAlignment w:val="baseline"/>
        <w:rPr>
          <w:rFonts w:ascii="Segoe UI" w:hAnsi="Segoe UI" w:cs="Segoe UI"/>
          <w:sz w:val="18"/>
          <w:szCs w:val="18"/>
        </w:rPr>
      </w:pPr>
      <w:r w:rsidRPr="003B7A0A">
        <w:t> </w:t>
      </w:r>
    </w:p>
    <w:p w:rsidR="005F15D5" w:rsidP="007B333B" w14:paraId="6F351989" w14:textId="77777777">
      <w:pPr>
        <w:pStyle w:val="BodyText"/>
      </w:pPr>
    </w:p>
    <w:p w:rsidR="00A30F7A" w:rsidRPr="009C666F" w:rsidP="007B333B" w14:paraId="3748D48C" w14:textId="1C884AFF">
      <w:pPr>
        <w:pStyle w:val="BodyText"/>
      </w:pPr>
      <w:r w:rsidRPr="009C666F">
        <w:t xml:space="preserve"> </w:t>
      </w:r>
    </w:p>
    <w:tbl>
      <w:tblPr>
        <w:tblW w:w="0" w:type="auto"/>
        <w:tblCellMar>
          <w:left w:w="0" w:type="dxa"/>
          <w:right w:w="0" w:type="dxa"/>
        </w:tblCellMar>
        <w:tblLook w:val="04A0"/>
      </w:tblPr>
      <w:tblGrid>
        <w:gridCol w:w="2323"/>
        <w:gridCol w:w="1718"/>
        <w:gridCol w:w="1440"/>
        <w:gridCol w:w="1536"/>
        <w:gridCol w:w="2160"/>
      </w:tblGrid>
      <w:tr w14:paraId="550C37A8" w14:textId="77777777" w:rsidTr="00723AA5">
        <w:tblPrEx>
          <w:tblW w:w="0" w:type="auto"/>
          <w:tblCellMar>
            <w:left w:w="0" w:type="dxa"/>
            <w:right w:w="0" w:type="dxa"/>
          </w:tblCellMar>
          <w:tblLook w:val="04A0"/>
        </w:tblPrEx>
        <w:tc>
          <w:tcPr>
            <w:tcW w:w="9081" w:type="dxa"/>
            <w:gridSpan w:val="5"/>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A30F7A" w:rsidRPr="009C666F" w:rsidP="00685035" w14:paraId="000EDBA0" w14:textId="58531EE6">
            <w:pPr>
              <w:pStyle w:val="Caption"/>
              <w:keepNext/>
            </w:pPr>
            <w:bookmarkStart w:id="93" w:name="_Ref73518856"/>
            <w:r>
              <w:t xml:space="preserve">Table </w:t>
            </w:r>
            <w:r>
              <w:fldChar w:fldCharType="begin"/>
            </w:r>
            <w:r>
              <w:instrText>SEQ Table \* ARABIC</w:instrText>
            </w:r>
            <w:r>
              <w:fldChar w:fldCharType="separate"/>
            </w:r>
            <w:r w:rsidR="00330F62">
              <w:rPr>
                <w:noProof/>
              </w:rPr>
              <w:t>1</w:t>
            </w:r>
            <w:r>
              <w:fldChar w:fldCharType="end"/>
            </w:r>
            <w:bookmarkEnd w:id="93"/>
            <w:r w:rsidRPr="009C666F" w:rsidR="006A51EB">
              <w:rPr>
                <w:bCs/>
              </w:rPr>
              <w:t>: Estimated Wage Rates</w:t>
            </w:r>
          </w:p>
        </w:tc>
      </w:tr>
      <w:tr w14:paraId="764434E7" w14:textId="77777777" w:rsidTr="00723AA5">
        <w:tblPrEx>
          <w:tblW w:w="0" w:type="auto"/>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vAlign w:val="center"/>
            <w:hideMark/>
          </w:tcPr>
          <w:p w:rsidR="00A30F7A" w:rsidRPr="009C666F" w:rsidP="00AE3325" w14:paraId="50BFFA27" w14:textId="77777777">
            <w:pPr>
              <w:jc w:val="center"/>
              <w:rPr>
                <w:b/>
                <w:bCs/>
              </w:rPr>
            </w:pPr>
            <w:r w:rsidRPr="009C666F">
              <w:rPr>
                <w:b/>
                <w:bCs/>
              </w:rPr>
              <w:t>Occupational Title</w:t>
            </w:r>
          </w:p>
        </w:tc>
        <w:tc>
          <w:tcPr>
            <w:tcW w:w="1718"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center"/>
            <w:hideMark/>
          </w:tcPr>
          <w:p w:rsidR="00A30F7A" w:rsidRPr="009C666F" w:rsidP="00AE3325" w14:paraId="6FEC94A3" w14:textId="1ACD4D4D">
            <w:pPr>
              <w:jc w:val="center"/>
              <w:rPr>
                <w:b/>
                <w:bCs/>
              </w:rPr>
            </w:pPr>
            <w:r w:rsidRPr="009C666F">
              <w:rPr>
                <w:b/>
                <w:bCs/>
              </w:rPr>
              <w:t>S</w:t>
            </w:r>
            <w:r w:rsidR="004C7C5C">
              <w:rPr>
                <w:b/>
                <w:bCs/>
              </w:rPr>
              <w:t xml:space="preserve">OC </w:t>
            </w:r>
            <w:r w:rsidRPr="009C666F">
              <w:rPr>
                <w:b/>
                <w:bCs/>
              </w:rPr>
              <w:t>Code</w:t>
            </w:r>
          </w:p>
        </w:tc>
        <w:tc>
          <w:tcPr>
            <w:tcW w:w="1440"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center"/>
            <w:hideMark/>
          </w:tcPr>
          <w:p w:rsidR="00A30F7A" w:rsidP="00AE3325" w14:paraId="47C74635" w14:textId="77777777">
            <w:pPr>
              <w:jc w:val="center"/>
              <w:rPr>
                <w:b/>
                <w:bCs/>
              </w:rPr>
            </w:pPr>
            <w:r w:rsidRPr="009C666F">
              <w:rPr>
                <w:b/>
                <w:bCs/>
              </w:rPr>
              <w:t>Mean Hour</w:t>
            </w:r>
            <w:r w:rsidRPr="009C666F" w:rsidR="006A51EB">
              <w:rPr>
                <w:b/>
                <w:bCs/>
              </w:rPr>
              <w:t>ly</w:t>
            </w:r>
            <w:r w:rsidRPr="009C666F">
              <w:rPr>
                <w:b/>
                <w:bCs/>
              </w:rPr>
              <w:t xml:space="preserve"> Wage Rate</w:t>
            </w:r>
          </w:p>
          <w:p w:rsidR="00BA592F" w:rsidRPr="009C666F" w:rsidP="00AE3325" w14:paraId="7C8B802B" w14:textId="1C100266">
            <w:pPr>
              <w:jc w:val="center"/>
              <w:rPr>
                <w:b/>
                <w:bCs/>
              </w:rPr>
            </w:pPr>
            <w:r>
              <w:rPr>
                <w:b/>
                <w:bCs/>
              </w:rPr>
              <w:t>(A)</w:t>
            </w:r>
          </w:p>
        </w:tc>
        <w:tc>
          <w:tcPr>
            <w:tcW w:w="1440"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center"/>
            <w:hideMark/>
          </w:tcPr>
          <w:p w:rsidR="00A30F7A" w:rsidP="00AE3325" w14:paraId="5D8641A6" w14:textId="77777777">
            <w:pPr>
              <w:jc w:val="center"/>
              <w:rPr>
                <w:b/>
                <w:bCs/>
              </w:rPr>
            </w:pPr>
            <w:r w:rsidRPr="009C666F">
              <w:rPr>
                <w:b/>
                <w:bCs/>
              </w:rPr>
              <w:t xml:space="preserve">Fringe Benefits </w:t>
            </w:r>
          </w:p>
          <w:p w:rsidR="00BA592F" w:rsidP="00AE3325" w14:paraId="32E53F96" w14:textId="77777777">
            <w:pPr>
              <w:jc w:val="center"/>
              <w:rPr>
                <w:b/>
                <w:bCs/>
              </w:rPr>
            </w:pPr>
          </w:p>
          <w:p w:rsidR="00BA592F" w:rsidRPr="009C666F" w:rsidP="00AE3325" w14:paraId="1A43A666" w14:textId="09B9AB17">
            <w:pPr>
              <w:jc w:val="center"/>
              <w:rPr>
                <w:b/>
                <w:bCs/>
              </w:rPr>
            </w:pPr>
            <w:r>
              <w:rPr>
                <w:b/>
                <w:bCs/>
              </w:rPr>
              <w:t>(B)</w:t>
            </w:r>
          </w:p>
        </w:tc>
        <w:tc>
          <w:tcPr>
            <w:tcW w:w="2160"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center"/>
            <w:hideMark/>
          </w:tcPr>
          <w:p w:rsidR="002821B5" w:rsidP="00AE3325" w14:paraId="3D0EFE2E" w14:textId="77777777">
            <w:pPr>
              <w:jc w:val="center"/>
              <w:rPr>
                <w:b/>
              </w:rPr>
            </w:pPr>
            <w:r w:rsidRPr="009C666F">
              <w:rPr>
                <w:b/>
                <w:bCs/>
              </w:rPr>
              <w:t xml:space="preserve">Loaded Hourly Wage Rate </w:t>
            </w:r>
            <w:r>
              <w:rPr>
                <w:b/>
              </w:rPr>
              <w:t xml:space="preserve"> </w:t>
            </w:r>
          </w:p>
          <w:p w:rsidR="00A30F7A" w:rsidP="00AE3325" w14:paraId="742B27D2" w14:textId="6A1A27A2">
            <w:pPr>
              <w:jc w:val="center"/>
              <w:rPr>
                <w:b/>
              </w:rPr>
            </w:pPr>
            <w:r>
              <w:rPr>
                <w:b/>
              </w:rPr>
              <w:t>(</w:t>
            </w:r>
            <w:r w:rsidR="00B0181E">
              <w:rPr>
                <w:b/>
              </w:rPr>
              <w:t>C</w:t>
            </w:r>
            <w:r>
              <w:rPr>
                <w:b/>
              </w:rPr>
              <w:t>)</w:t>
            </w:r>
            <w:r w:rsidR="00B0181E">
              <w:rPr>
                <w:b/>
              </w:rPr>
              <w:t xml:space="preserve">= </w:t>
            </w:r>
            <w:r>
              <w:rPr>
                <w:b/>
              </w:rPr>
              <w:t>(</w:t>
            </w:r>
            <w:r w:rsidR="00B0181E">
              <w:rPr>
                <w:b/>
              </w:rPr>
              <w:t>A</w:t>
            </w:r>
            <w:r>
              <w:rPr>
                <w:b/>
              </w:rPr>
              <w:t>)</w:t>
            </w:r>
            <w:r w:rsidR="00B0181E">
              <w:rPr>
                <w:b/>
              </w:rPr>
              <w:t xml:space="preserve"> (1/1-</w:t>
            </w:r>
            <w:r w:rsidR="00985141">
              <w:rPr>
                <w:b/>
              </w:rPr>
              <w:t>(</w:t>
            </w:r>
            <w:r w:rsidR="00B0181E">
              <w:rPr>
                <w:b/>
              </w:rPr>
              <w:t>B</w:t>
            </w:r>
            <w:r w:rsidR="00985141">
              <w:rPr>
                <w:b/>
              </w:rPr>
              <w:t>)</w:t>
            </w:r>
            <w:r w:rsidR="00B0181E">
              <w:rPr>
                <w:b/>
              </w:rPr>
              <w:t>)</w:t>
            </w:r>
          </w:p>
          <w:p w:rsidR="00A30F7A" w:rsidRPr="009C666F" w:rsidP="00AE3325" w14:paraId="0AC30284" w14:textId="601351D9">
            <w:pPr>
              <w:jc w:val="center"/>
              <w:rPr>
                <w:b/>
                <w:bCs/>
              </w:rPr>
            </w:pPr>
          </w:p>
        </w:tc>
      </w:tr>
      <w:tr w14:paraId="371B3647" w14:textId="77777777" w:rsidTr="00872CE2">
        <w:tblPrEx>
          <w:tblW w:w="0" w:type="auto"/>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064" w:rsidRPr="009C666F" w:rsidP="00484064" w14:paraId="31AE6F8A" w14:textId="77777777">
            <w:r w:rsidRPr="009C666F">
              <w:t>Professional/Manager</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tcPr>
          <w:p w:rsidR="00484064" w:rsidRPr="009C666F" w:rsidP="00484064" w14:paraId="0BF9D116" w14:textId="09B19A9B">
            <w:pPr>
              <w:jc w:val="center"/>
            </w:pPr>
            <w:r>
              <w:t>51-1011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09D6E534" w14:textId="7D84F091">
            <w:pPr>
              <w:jc w:val="center"/>
            </w:pPr>
            <w:r w:rsidRPr="009C666F">
              <w:rPr>
                <w:color w:val="000000"/>
              </w:rPr>
              <w:t>$</w:t>
            </w:r>
            <w:r w:rsidR="007B1218">
              <w:rPr>
                <w:color w:val="000000"/>
              </w:rPr>
              <w:t>34.48</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84064" w:rsidRPr="009C666F" w:rsidP="00484064" w14:paraId="1423B5D0" w14:textId="762D29F6">
            <w:pPr>
              <w:jc w:val="center"/>
            </w:pPr>
            <w:r>
              <w:rPr>
                <w:color w:val="000000"/>
              </w:rPr>
              <w:t>31.01</w:t>
            </w:r>
            <w:r w:rsidR="00CB1B20">
              <w:rPr>
                <w:color w:val="000000"/>
              </w:rPr>
              <w:t>%</w:t>
            </w:r>
            <w:r w:rsidR="00B8526F">
              <w:rPr>
                <w:color w:val="000000"/>
              </w:rPr>
              <w:t>(</w:t>
            </w:r>
            <w:r w:rsidR="00CB1B20">
              <w:rPr>
                <w:color w:val="000000"/>
              </w:rPr>
              <w:t>.689)</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3902AFB3" w14:textId="5BAEDA7F">
            <w:pPr>
              <w:jc w:val="center"/>
            </w:pPr>
            <w:r w:rsidRPr="009C666F">
              <w:rPr>
                <w:color w:val="000000"/>
              </w:rPr>
              <w:t>$</w:t>
            </w:r>
            <w:r w:rsidR="00AC048F">
              <w:rPr>
                <w:color w:val="000000"/>
              </w:rPr>
              <w:t>50.04</w:t>
            </w:r>
            <w:r w:rsidR="000B1208">
              <w:rPr>
                <w:color w:val="000000"/>
              </w:rPr>
              <w:t xml:space="preserve"> </w:t>
            </w:r>
          </w:p>
        </w:tc>
      </w:tr>
      <w:tr w14:paraId="3D56914E" w14:textId="77777777" w:rsidTr="00872CE2">
        <w:tblPrEx>
          <w:tblW w:w="0" w:type="auto"/>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064" w:rsidRPr="009C666F" w:rsidP="00484064" w14:paraId="29FE09E0" w14:textId="77777777">
            <w:r w:rsidRPr="009C666F">
              <w:t>Production Supervisor</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tcPr>
          <w:p w:rsidR="00484064" w:rsidRPr="009C666F" w:rsidP="00484064" w14:paraId="11CDA62D" w14:textId="77777777">
            <w:pPr>
              <w:jc w:val="center"/>
            </w:pPr>
            <w:r w:rsidRPr="009C666F">
              <w:t>51-1011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196CD0FC" w14:textId="1E4D204F">
            <w:pPr>
              <w:jc w:val="center"/>
            </w:pPr>
            <w:r w:rsidRPr="009C666F">
              <w:rPr>
                <w:color w:val="000000"/>
              </w:rPr>
              <w:t>$</w:t>
            </w:r>
            <w:r w:rsidR="00792BC9">
              <w:rPr>
                <w:color w:val="000000"/>
              </w:rPr>
              <w:t xml:space="preserve">34.48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7E9A15B4" w14:textId="3D5718C5">
            <w:pPr>
              <w:jc w:val="center"/>
            </w:pPr>
            <w:r>
              <w:rPr>
                <w:color w:val="000000"/>
              </w:rPr>
              <w:t>31.01</w:t>
            </w:r>
            <w:r w:rsidRPr="009C666F">
              <w:rPr>
                <w:color w:val="000000"/>
              </w:rPr>
              <w:t>%</w:t>
            </w:r>
            <w:r w:rsidR="00CB1B20">
              <w:rPr>
                <w:color w:val="000000"/>
              </w:rPr>
              <w:t>(.689)</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783FA980" w14:textId="184768E7">
            <w:pPr>
              <w:jc w:val="center"/>
            </w:pPr>
            <w:r w:rsidRPr="009C666F">
              <w:rPr>
                <w:color w:val="000000"/>
              </w:rPr>
              <w:t>$</w:t>
            </w:r>
            <w:r w:rsidR="00AC048F">
              <w:rPr>
                <w:color w:val="000000"/>
              </w:rPr>
              <w:t>50.04</w:t>
            </w:r>
            <w:r w:rsidR="000B1208">
              <w:rPr>
                <w:color w:val="000000"/>
              </w:rPr>
              <w:t xml:space="preserve"> </w:t>
            </w:r>
          </w:p>
        </w:tc>
      </w:tr>
      <w:tr w14:paraId="139BF2CA" w14:textId="77777777" w:rsidTr="00872CE2">
        <w:tblPrEx>
          <w:tblW w:w="0" w:type="auto"/>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064" w:rsidRPr="009C666F" w:rsidP="00484064" w14:paraId="3D113647" w14:textId="77777777">
            <w:r w:rsidRPr="009C666F">
              <w:t>Employee</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tcPr>
          <w:p w:rsidR="00484064" w:rsidRPr="009C666F" w:rsidP="00484064" w14:paraId="585C0C92" w14:textId="77777777">
            <w:pPr>
              <w:jc w:val="center"/>
            </w:pPr>
            <w:r w:rsidRPr="009C666F">
              <w:t>51-0000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5E5B2184" w14:textId="0A3AB5C4">
            <w:pPr>
              <w:jc w:val="center"/>
            </w:pPr>
            <w:r w:rsidRPr="009C666F">
              <w:rPr>
                <w:color w:val="000000"/>
              </w:rPr>
              <w:t>$</w:t>
            </w:r>
            <w:r w:rsidR="008E6F8D">
              <w:rPr>
                <w:color w:val="000000"/>
              </w:rPr>
              <w:t xml:space="preserve">22.90 </w:t>
            </w:r>
            <w:r w:rsidRPr="009C666F">
              <w:rPr>
                <w:color w:val="00000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6921B50B" w14:textId="214D471C">
            <w:pPr>
              <w:jc w:val="center"/>
            </w:pPr>
            <w:r>
              <w:rPr>
                <w:color w:val="000000"/>
              </w:rPr>
              <w:t>31.01</w:t>
            </w:r>
            <w:r w:rsidRPr="009C666F">
              <w:rPr>
                <w:color w:val="000000"/>
              </w:rPr>
              <w:t>%</w:t>
            </w:r>
            <w:r w:rsidR="00CB1B20">
              <w:rPr>
                <w:color w:val="000000"/>
              </w:rPr>
              <w:t>(.689)</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4D2B5D02" w14:textId="5E17F6D0">
            <w:pPr>
              <w:jc w:val="center"/>
            </w:pPr>
            <w:r w:rsidRPr="009C666F">
              <w:rPr>
                <w:color w:val="000000"/>
              </w:rPr>
              <w:t>$</w:t>
            </w:r>
            <w:r w:rsidR="00AC048F">
              <w:rPr>
                <w:color w:val="000000"/>
              </w:rPr>
              <w:t>33.24</w:t>
            </w:r>
            <w:r w:rsidR="000B1208">
              <w:rPr>
                <w:color w:val="000000"/>
              </w:rPr>
              <w:t xml:space="preserve"> </w:t>
            </w:r>
            <w:r w:rsidRPr="009C666F">
              <w:rPr>
                <w:color w:val="000000"/>
              </w:rPr>
              <w:t xml:space="preserve"> </w:t>
            </w:r>
          </w:p>
        </w:tc>
      </w:tr>
      <w:tr w14:paraId="65CAEDF0" w14:textId="77777777" w:rsidTr="00872CE2">
        <w:tblPrEx>
          <w:tblW w:w="0" w:type="auto"/>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064" w:rsidRPr="009C666F" w:rsidP="00484064" w14:paraId="60BDF9C9" w14:textId="77777777">
            <w:r w:rsidRPr="009C666F">
              <w:t>Clerical/Secretary</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tcPr>
          <w:p w:rsidR="00484064" w:rsidRPr="009C666F" w:rsidP="00484064" w14:paraId="73247C04" w14:textId="77777777">
            <w:pPr>
              <w:jc w:val="center"/>
            </w:pPr>
            <w:r w:rsidRPr="009C666F">
              <w:t>43-6014</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59B6AA26" w14:textId="0BEEA62F">
            <w:pPr>
              <w:jc w:val="center"/>
            </w:pPr>
            <w:r w:rsidRPr="009C666F">
              <w:rPr>
                <w:color w:val="000000"/>
              </w:rPr>
              <w:t>$</w:t>
            </w:r>
            <w:r w:rsidR="00E2780C">
              <w:rPr>
                <w:color w:val="000000"/>
              </w:rPr>
              <w:t>21.87</w:t>
            </w:r>
            <w:r w:rsidRPr="009C666F">
              <w:rPr>
                <w:color w:val="00000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4FAA6805" w14:textId="4F346E60">
            <w:pPr>
              <w:jc w:val="center"/>
            </w:pPr>
            <w:r>
              <w:rPr>
                <w:color w:val="000000"/>
              </w:rPr>
              <w:t>31.01</w:t>
            </w:r>
            <w:r w:rsidRPr="009C666F">
              <w:rPr>
                <w:color w:val="000000"/>
              </w:rPr>
              <w:t>%</w:t>
            </w:r>
            <w:r w:rsidR="00CB1B20">
              <w:rPr>
                <w:color w:val="000000"/>
              </w:rPr>
              <w:t>(.689)</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484064" w:rsidRPr="009C666F" w:rsidP="00484064" w14:paraId="57655717" w14:textId="7ADDB9D3">
            <w:pPr>
              <w:jc w:val="center"/>
            </w:pPr>
            <w:r w:rsidRPr="009C666F">
              <w:rPr>
                <w:color w:val="000000"/>
              </w:rPr>
              <w:t>$</w:t>
            </w:r>
            <w:r w:rsidR="000B1208">
              <w:rPr>
                <w:color w:val="000000"/>
              </w:rPr>
              <w:t xml:space="preserve">31.74 </w:t>
            </w:r>
          </w:p>
        </w:tc>
      </w:tr>
    </w:tbl>
    <w:p w:rsidR="00A91C29" w:rsidRPr="009C666F" w:rsidP="00921C5B" w14:paraId="61CBE3BA" w14:textId="77777777">
      <w:pPr>
        <w:pStyle w:val="Heading3"/>
      </w:pPr>
      <w:r w:rsidRPr="009C666F">
        <w:t>Multi-employer worksites (§1926.1101(d))</w:t>
      </w:r>
    </w:p>
    <w:p w:rsidR="00EC56F8" w:rsidRPr="009C666F" w:rsidP="00921C5B" w14:paraId="65EC3BDF" w14:textId="39B97BE6">
      <w:pPr>
        <w:pStyle w:val="BodyText"/>
        <w:rPr>
          <w:b/>
          <w:bCs/>
        </w:rPr>
      </w:pPr>
      <w:r w:rsidRPr="009C666F">
        <w:t>On multi-employer worksites, employers performing work requiring the establishment of a regulated area must inform other employers on site of the nature of the employer's work with asbestos and/or PACM, of the existence of and requirements pertaining to the regulated areas, and of the measures taken to ensure that employees of other employers are not being exposed to asbestos. Notifying other employers takes place after the exposure assessment and monitoring and can be done by posting the information. OSHA</w:t>
      </w:r>
      <w:r w:rsidRPr="009C666F" w:rsidR="005D324F">
        <w:t xml:space="preserve"> estimates that 20</w:t>
      </w:r>
      <w:r w:rsidRPr="009C666F" w:rsidR="004B251E">
        <w:t xml:space="preserve"> percent</w:t>
      </w:r>
      <w:r w:rsidRPr="009C666F" w:rsidR="005D324F">
        <w:t xml:space="preserve"> of </w:t>
      </w:r>
      <w:bookmarkStart w:id="94" w:name="_Hlk168839488"/>
      <w:r w:rsidR="00071599">
        <w:rPr>
          <w:rFonts w:ascii="TimesNewRomanPSMT" w:hAnsi="TimesNewRomanPSMT" w:cs="TimesNewRomanPSMT"/>
        </w:rPr>
        <w:t>1,075,579</w:t>
      </w:r>
      <w:bookmarkEnd w:id="94"/>
      <w:r w:rsidRPr="009C666F" w:rsidR="002F0CD2">
        <w:t xml:space="preserve"> </w:t>
      </w:r>
      <w:r w:rsidRPr="009C666F" w:rsidR="005D324F">
        <w:t xml:space="preserve">employers </w:t>
      </w:r>
      <w:r w:rsidR="00AB77B4">
        <w:t>(</w:t>
      </w:r>
      <w:r w:rsidR="009567B8">
        <w:t>215,116</w:t>
      </w:r>
      <w:r w:rsidRPr="009C666F" w:rsidR="002F0CD2">
        <w:t xml:space="preserve"> </w:t>
      </w:r>
      <w:r w:rsidRPr="009C666F">
        <w:t>employers</w:t>
      </w:r>
      <w:r w:rsidR="00AB77B4">
        <w:t>)</w:t>
      </w:r>
      <w:r w:rsidRPr="009C666F">
        <w:t xml:space="preserve"> conduct exposure monitoring sampling three times annually. Posting of each notification would take 5 minutes </w:t>
      </w:r>
      <w:r w:rsidRPr="009C666F" w:rsidR="006E18B7">
        <w:t>(5/60 hour)</w:t>
      </w:r>
      <w:r w:rsidRPr="009C666F">
        <w:t xml:space="preserve"> of secretarial time.</w:t>
      </w:r>
    </w:p>
    <w:p w:rsidR="00FF3EE7" w:rsidRPr="009C666F" w:rsidP="00A053BB" w14:paraId="32C1CA08" w14:textId="7D074FE5">
      <w:pPr>
        <w:widowControl/>
        <w:ind w:firstLine="720"/>
      </w:pPr>
      <w:r w:rsidRPr="009C666F">
        <w:rPr>
          <w:b/>
          <w:bCs/>
        </w:rPr>
        <w:t>Burden hours</w:t>
      </w:r>
      <w:r w:rsidRPr="009C666F">
        <w:rPr>
          <w:bCs/>
        </w:rPr>
        <w:t>:</w:t>
      </w:r>
      <w:r w:rsidRPr="009C666F">
        <w:t xml:space="preserve">  </w:t>
      </w:r>
      <w:r w:rsidR="00577793">
        <w:t>215,116</w:t>
      </w:r>
      <w:r w:rsidRPr="009C666F" w:rsidR="002D66E4">
        <w:t xml:space="preserve"> </w:t>
      </w:r>
      <w:r w:rsidRPr="009C666F">
        <w:t>employers × 3 notificatio</w:t>
      </w:r>
      <w:r w:rsidRPr="009C666F" w:rsidR="005D324F">
        <w:t xml:space="preserve">ns annually × </w:t>
      </w:r>
      <w:r w:rsidRPr="009C666F" w:rsidR="006E18B7">
        <w:t>5/60</w:t>
      </w:r>
      <w:r w:rsidRPr="009C666F" w:rsidR="005D324F">
        <w:t xml:space="preserve"> hour = </w:t>
      </w:r>
      <w:r w:rsidR="00266134">
        <w:t xml:space="preserve">53,779 </w:t>
      </w:r>
    </w:p>
    <w:p w:rsidR="00A91C29" w:rsidRPr="009C666F" w:rsidP="00A053BB" w14:paraId="4F705D96" w14:textId="77777777">
      <w:pPr>
        <w:widowControl/>
        <w:ind w:firstLine="720"/>
        <w:rPr>
          <w:b/>
          <w:bCs/>
        </w:rPr>
      </w:pPr>
      <w:r w:rsidRPr="009C666F">
        <w:rPr>
          <w:b/>
          <w:bCs/>
        </w:rPr>
        <w:t xml:space="preserve">                           </w:t>
      </w:r>
      <w:r w:rsidRPr="009C666F">
        <w:t>hours</w:t>
      </w:r>
    </w:p>
    <w:p w:rsidR="00A91C29" w:rsidRPr="009C666F" w:rsidP="000A08BC" w14:paraId="6D62CAE0" w14:textId="75DAFC08">
      <w:pPr>
        <w:widowControl/>
        <w:ind w:firstLine="720"/>
        <w:rPr>
          <w:bCs/>
          <w:sz w:val="22"/>
          <w:szCs w:val="22"/>
        </w:rPr>
      </w:pPr>
      <w:r w:rsidRPr="009C666F">
        <w:rPr>
          <w:b/>
          <w:bCs/>
        </w:rPr>
        <w:t xml:space="preserve">               Cost</w:t>
      </w:r>
      <w:r w:rsidRPr="009C666F">
        <w:rPr>
          <w:bCs/>
        </w:rPr>
        <w:t>:</w:t>
      </w:r>
      <w:r w:rsidRPr="009C666F">
        <w:rPr>
          <w:b/>
          <w:bCs/>
        </w:rPr>
        <w:t xml:space="preserve">   </w:t>
      </w:r>
      <w:r w:rsidR="00330F62">
        <w:t>53,779</w:t>
      </w:r>
      <w:r w:rsidRPr="009C666F" w:rsidR="00684901">
        <w:t xml:space="preserve"> </w:t>
      </w:r>
      <w:r w:rsidRPr="009C666F" w:rsidR="005D324F">
        <w:t xml:space="preserve">hours × </w:t>
      </w:r>
      <w:r w:rsidRPr="000A08BC" w:rsidR="000A08BC">
        <w:t>$</w:t>
      </w:r>
      <w:r w:rsidR="000B4F51">
        <w:t>31.</w:t>
      </w:r>
      <w:r w:rsidR="000C5DAB">
        <w:t>74</w:t>
      </w:r>
      <w:r w:rsidRPr="009C666F" w:rsidR="00F868A1">
        <w:t xml:space="preserve"> </w:t>
      </w:r>
      <w:r w:rsidRPr="009C666F" w:rsidR="005D324F">
        <w:t xml:space="preserve">= </w:t>
      </w:r>
      <w:r w:rsidRPr="00174873" w:rsidR="00174873">
        <w:t>$</w:t>
      </w:r>
      <w:r w:rsidR="000C5DAB">
        <w:t>1,706,945</w:t>
      </w:r>
    </w:p>
    <w:p w:rsidR="00A91C29" w:rsidRPr="009C666F" w:rsidP="00921C5B" w14:paraId="020DDEE7" w14:textId="77777777">
      <w:pPr>
        <w:pStyle w:val="Heading3"/>
      </w:pPr>
      <w:r w:rsidRPr="009C666F">
        <w:t>Regulated areas (§1926.1101(e))</w:t>
      </w:r>
    </w:p>
    <w:p w:rsidR="00A91C29" w:rsidRPr="009C666F" w:rsidP="00921C5B" w14:paraId="692CEA34" w14:textId="396DE6A2">
      <w:pPr>
        <w:pStyle w:val="BodyText"/>
      </w:pPr>
      <w:r w:rsidRPr="009C666F">
        <w:t>All class I, II and III asbestos work is to be conducted within regulated areas and such areas must be demarcated. Employers may use signs as prescribed in section (</w:t>
      </w:r>
      <w:r w:rsidR="001E0042">
        <w:t>K</w:t>
      </w:r>
      <w:r w:rsidRPr="009C666F">
        <w:t>) of the standard. Burden for this activity is therefore addressed in that section.</w:t>
      </w:r>
    </w:p>
    <w:p w:rsidR="00A91C29" w:rsidRPr="009C666F" w:rsidP="00921C5B" w14:paraId="7B21C620" w14:textId="77777777">
      <w:pPr>
        <w:pStyle w:val="Heading3"/>
      </w:pPr>
      <w:r w:rsidRPr="009C666F">
        <w:t>Exposure Assessments and monitoring (§1926.1101(f))</w:t>
      </w:r>
    </w:p>
    <w:p w:rsidR="00A91C29" w:rsidRPr="009C666F" w:rsidP="00921C5B" w14:paraId="59BAA66B" w14:textId="77777777">
      <w:pPr>
        <w:pStyle w:val="BodyText"/>
        <w:rPr>
          <w:u w:val="single"/>
        </w:rPr>
      </w:pPr>
      <w:r w:rsidRPr="009C666F">
        <w:rPr>
          <w:u w:val="single"/>
        </w:rPr>
        <w:t>Initial assessments and monitoring</w:t>
      </w:r>
    </w:p>
    <w:p w:rsidR="00A91C29" w:rsidRPr="009C666F" w:rsidP="00921C5B" w14:paraId="688F4D2E" w14:textId="270CBF7B">
      <w:pPr>
        <w:pStyle w:val="BodyText"/>
        <w:rPr>
          <w:bCs/>
        </w:rPr>
      </w:pPr>
      <w:r w:rsidRPr="009C666F">
        <w:t>OSHA estimates that</w:t>
      </w:r>
      <w:r w:rsidR="002829F6">
        <w:t xml:space="preserve"> </w:t>
      </w:r>
      <w:r w:rsidR="00F3348A">
        <w:rPr>
          <w:rFonts w:ascii="TimesNewRomanPSMT" w:hAnsi="TimesNewRomanPSMT" w:cs="TimesNewRomanPSMT"/>
        </w:rPr>
        <w:t xml:space="preserve">1,075,579 </w:t>
      </w:r>
      <w:r w:rsidRPr="009C666F" w:rsidR="00F3348A">
        <w:t>employers</w:t>
      </w:r>
      <w:r w:rsidRPr="009C666F">
        <w:t xml:space="preserve"> conduct exposure assessments, and that 80</w:t>
      </w:r>
      <w:r w:rsidRPr="009C666F" w:rsidR="006069F7">
        <w:t xml:space="preserve"> percent</w:t>
      </w:r>
      <w:r w:rsidRPr="009C666F">
        <w:t xml:space="preserve"> of these employers use means other than exposure-monitoring (sampling), i.e., objective data, prior sampling, etc.</w:t>
      </w:r>
      <w:r w:rsidRPr="009C666F" w:rsidR="005F09DB">
        <w:t>,</w:t>
      </w:r>
      <w:r w:rsidRPr="009C666F">
        <w:t xml:space="preserve"> to demonstrate compliance with the PEL. The remaining 20</w:t>
      </w:r>
      <w:r w:rsidRPr="009C666F" w:rsidR="006069F7">
        <w:t xml:space="preserve"> percent</w:t>
      </w:r>
      <w:r w:rsidRPr="009C666F">
        <w:t xml:space="preserve"> of the employers, </w:t>
      </w:r>
      <w:r w:rsidR="00715174">
        <w:t>215,116</w:t>
      </w:r>
      <w:r w:rsidRPr="009C666F" w:rsidR="002D66E4">
        <w:t xml:space="preserve"> </w:t>
      </w:r>
      <w:r w:rsidRPr="009C666F">
        <w:t>employers, conduct either initial, or in some cases, additional exposure monitoring of the job sites. These employers take an average of three samples annually and each sample takes a supervisor 1 hour to collect and mail the sample off for analysis.</w:t>
      </w:r>
    </w:p>
    <w:p w:rsidR="00A91C29" w:rsidRPr="009C666F" w:rsidP="00681DEC" w14:paraId="5C90D6A5" w14:textId="523FD43F">
      <w:pPr>
        <w:widowControl/>
        <w:ind w:firstLine="720"/>
      </w:pPr>
      <w:r w:rsidRPr="009C666F">
        <w:rPr>
          <w:b/>
          <w:bCs/>
        </w:rPr>
        <w:t>Burden hours:</w:t>
      </w:r>
      <w:r w:rsidRPr="009C666F">
        <w:rPr>
          <w:b/>
          <w:bCs/>
        </w:rPr>
        <w:tab/>
      </w:r>
      <w:r w:rsidR="007C46A9">
        <w:t>215,</w:t>
      </w:r>
      <w:r w:rsidR="00462C8A">
        <w:t>116</w:t>
      </w:r>
      <w:r w:rsidRPr="009C666F" w:rsidR="002D66E4">
        <w:t xml:space="preserve"> </w:t>
      </w:r>
      <w:r w:rsidRPr="009C666F">
        <w:t xml:space="preserve">employers × 3 samples per year × 1 hour = </w:t>
      </w:r>
      <w:r w:rsidR="00462C8A">
        <w:t xml:space="preserve">645,348 </w:t>
      </w:r>
      <w:r w:rsidRPr="009C666F">
        <w:t>hours</w:t>
      </w:r>
      <w:r w:rsidRPr="009C666F" w:rsidR="00D729B0">
        <w:t xml:space="preserve"> </w:t>
      </w:r>
    </w:p>
    <w:p w:rsidR="00EC56F8" w:rsidRPr="009C666F" w:rsidP="0061400C" w14:paraId="3B87583A" w14:textId="36E38A5D">
      <w:pPr>
        <w:widowControl/>
        <w:ind w:left="720" w:firstLine="720"/>
        <w:rPr>
          <w:u w:val="single"/>
        </w:rPr>
      </w:pPr>
      <w:r w:rsidRPr="009C666F">
        <w:rPr>
          <w:b/>
          <w:bCs/>
        </w:rPr>
        <w:t xml:space="preserve">    </w:t>
      </w:r>
      <w:r w:rsidRPr="009C666F" w:rsidR="00A91C29">
        <w:rPr>
          <w:b/>
          <w:bCs/>
        </w:rPr>
        <w:t>Cost:</w:t>
      </w:r>
      <w:r w:rsidRPr="009C666F" w:rsidR="00A91C29">
        <w:rPr>
          <w:b/>
          <w:bCs/>
        </w:rPr>
        <w:tab/>
      </w:r>
      <w:r w:rsidR="00462C8A">
        <w:t>645,348</w:t>
      </w:r>
      <w:r w:rsidRPr="009C666F" w:rsidR="00684901">
        <w:t xml:space="preserve"> </w:t>
      </w:r>
      <w:r w:rsidRPr="009C666F" w:rsidR="005D324F">
        <w:t xml:space="preserve">hours × </w:t>
      </w:r>
      <w:r w:rsidRPr="000A08BC" w:rsidR="000A08BC">
        <w:t>$</w:t>
      </w:r>
      <w:r w:rsidR="00516BC5">
        <w:t>50.04</w:t>
      </w:r>
      <w:r w:rsidRPr="009C666F" w:rsidR="005D324F">
        <w:t xml:space="preserve"> = </w:t>
      </w:r>
      <w:r w:rsidRPr="007A3D52" w:rsidR="007A3D52">
        <w:t>$</w:t>
      </w:r>
      <w:r w:rsidR="00516BC5">
        <w:t xml:space="preserve">32,293,214 </w:t>
      </w:r>
      <w:r w:rsidR="005D1176">
        <w:t xml:space="preserve"> </w:t>
      </w:r>
    </w:p>
    <w:p w:rsidR="00921C5B" w:rsidRPr="009C666F" w:rsidP="00921C5B" w14:paraId="52506C35" w14:textId="77777777">
      <w:pPr>
        <w:pStyle w:val="BodyText"/>
        <w:rPr>
          <w:u w:val="single"/>
        </w:rPr>
      </w:pPr>
      <w:r w:rsidRPr="009C666F">
        <w:rPr>
          <w:u w:val="single"/>
        </w:rPr>
        <w:t>Periodic monitoring</w:t>
      </w:r>
    </w:p>
    <w:p w:rsidR="00921C5B" w:rsidRPr="009C666F" w:rsidP="00921C5B" w14:paraId="7253FD80" w14:textId="77777777">
      <w:pPr>
        <w:pStyle w:val="BodyText"/>
      </w:pPr>
      <w:r w:rsidRPr="009C666F">
        <w:t>In addition to initial monitoring, employers must conduct periodic monitoring at various times when workers are being exposed above the PELs. However, it has been assumed that no periodic monitoring will occur. Monitoring is expensive and it is more beneficial for employers to take other measures to ensure compliance with the PELs such as equipping employees with supplied-air respirators and following control methods outlined in the standard. Employers use the least burdensome method to comply with exposure provisions and therefore no burden has been taken for periodic monitoring.</w:t>
      </w:r>
    </w:p>
    <w:p w:rsidR="00921C5B" w:rsidRPr="009C666F" w:rsidP="00921C5B" w14:paraId="1B3105F2" w14:textId="77777777">
      <w:pPr>
        <w:pStyle w:val="BodyText"/>
        <w:rPr>
          <w:u w:val="single"/>
        </w:rPr>
      </w:pPr>
      <w:r w:rsidRPr="009C666F">
        <w:rPr>
          <w:u w:val="single"/>
        </w:rPr>
        <w:t>Monitoring triggered by alternative control methods for Class I work (§1926.1101(g)(6)(iii))</w:t>
      </w:r>
    </w:p>
    <w:p w:rsidR="00A91C29" w:rsidRPr="009C666F" w:rsidP="00921C5B" w14:paraId="42BDE4DD" w14:textId="77777777">
      <w:pPr>
        <w:pStyle w:val="BodyText"/>
      </w:pPr>
      <w:r w:rsidRPr="009C666F">
        <w:t>The Agency assumes that 45 employers monitor their workplace due to this provision. Therefore, using similar assumptions as</w:t>
      </w:r>
      <w:r w:rsidRPr="009C666F" w:rsidR="00EE26F1">
        <w:t xml:space="preserve"> those</w:t>
      </w:r>
      <w:r w:rsidRPr="009C666F">
        <w:t xml:space="preserve"> previously stated in the initial exposure/assessment</w:t>
      </w:r>
      <w:r w:rsidRPr="009C666F" w:rsidR="00EE26F1">
        <w:t xml:space="preserve"> section</w:t>
      </w:r>
      <w:r w:rsidRPr="009C666F">
        <w:t>, the burden is as follows:</w:t>
      </w:r>
    </w:p>
    <w:p w:rsidR="00A91C29" w:rsidRPr="009C666F" w:rsidP="00A053BB" w14:paraId="0A01C4DC" w14:textId="77777777">
      <w:pPr>
        <w:widowControl/>
      </w:pPr>
    </w:p>
    <w:p w:rsidR="00A91C29" w:rsidRPr="009C666F" w:rsidP="00681DEC" w14:paraId="00E9E5D8" w14:textId="7241BCC2">
      <w:pPr>
        <w:widowControl/>
        <w:ind w:firstLine="720"/>
        <w:rPr>
          <w:b/>
          <w:bCs/>
        </w:rPr>
      </w:pPr>
      <w:r w:rsidRPr="009C666F">
        <w:rPr>
          <w:b/>
          <w:bCs/>
        </w:rPr>
        <w:t>Burden hours:</w:t>
      </w:r>
      <w:r w:rsidRPr="009C666F">
        <w:rPr>
          <w:b/>
          <w:bCs/>
        </w:rPr>
        <w:tab/>
      </w:r>
      <w:r w:rsidRPr="009C666F">
        <w:t>45 employers × 3 sample</w:t>
      </w:r>
      <w:r w:rsidR="000C7BE4">
        <w:t>s</w:t>
      </w:r>
      <w:r w:rsidRPr="009C666F">
        <w:t>/y</w:t>
      </w:r>
      <w:r w:rsidR="007A3D52">
        <w:t>ea</w:t>
      </w:r>
      <w:r w:rsidRPr="009C666F">
        <w:t>r × 1 hour per sample = 135 hours</w:t>
      </w:r>
    </w:p>
    <w:p w:rsidR="00A91C29" w:rsidRPr="009C666F" w:rsidP="004F547C" w14:paraId="6E24D48E" w14:textId="71D77585">
      <w:pPr>
        <w:widowControl/>
        <w:ind w:left="720" w:firstLine="720"/>
      </w:pPr>
      <w:r w:rsidRPr="009C666F">
        <w:rPr>
          <w:b/>
          <w:bCs/>
        </w:rPr>
        <w:t xml:space="preserve">   Cost:</w:t>
      </w:r>
      <w:r w:rsidRPr="009C666F">
        <w:rPr>
          <w:b/>
          <w:bCs/>
        </w:rPr>
        <w:tab/>
      </w:r>
      <w:r w:rsidRPr="009C666F" w:rsidR="005D324F">
        <w:t xml:space="preserve">135 hours × </w:t>
      </w:r>
      <w:r w:rsidRPr="004F547C" w:rsidR="004F547C">
        <w:t>$</w:t>
      </w:r>
      <w:r w:rsidR="0087461B">
        <w:t>50.04</w:t>
      </w:r>
      <w:r w:rsidRPr="009C666F" w:rsidR="00C3236E">
        <w:t xml:space="preserve"> </w:t>
      </w:r>
      <w:r w:rsidRPr="009C666F" w:rsidR="005D324F">
        <w:t xml:space="preserve">= </w:t>
      </w:r>
      <w:r w:rsidRPr="004F547C" w:rsidR="004F547C">
        <w:t>$</w:t>
      </w:r>
      <w:r w:rsidR="0087461B">
        <w:t>6,</w:t>
      </w:r>
      <w:r w:rsidR="005D4EE1">
        <w:t xml:space="preserve">755 </w:t>
      </w:r>
    </w:p>
    <w:p w:rsidR="00A91C29" w:rsidRPr="009C666F" w:rsidP="00921C5B" w14:paraId="15FB4589" w14:textId="77777777">
      <w:pPr>
        <w:pStyle w:val="BodyText"/>
        <w:rPr>
          <w:u w:val="single"/>
        </w:rPr>
      </w:pPr>
      <w:r w:rsidRPr="009C666F">
        <w:rPr>
          <w:u w:val="single"/>
        </w:rPr>
        <w:t>Notification of monitoring results (§1926.1101(f)(5))</w:t>
      </w:r>
    </w:p>
    <w:p w:rsidR="00A91C29" w:rsidRPr="009C666F" w:rsidP="00921C5B" w14:paraId="63A750E4" w14:textId="3F552389">
      <w:pPr>
        <w:pStyle w:val="BodyText"/>
      </w:pPr>
      <w:r w:rsidRPr="009C666F">
        <w:t xml:space="preserve">The Agency assumes employers will post the monitoring results in a central location. This takes 5 minutes </w:t>
      </w:r>
      <w:r w:rsidRPr="009C666F" w:rsidR="006E18B7">
        <w:t>(5/60 hour)</w:t>
      </w:r>
      <w:r w:rsidRPr="009C666F">
        <w:t xml:space="preserve"> of secretarial time, thus the burden and associated cost is as follows:</w:t>
      </w:r>
    </w:p>
    <w:p w:rsidR="00B265C2" w:rsidRPr="009C666F" w:rsidP="00A053BB" w14:paraId="24D7168B" w14:textId="77777777">
      <w:pPr>
        <w:widowControl/>
      </w:pPr>
    </w:p>
    <w:p w:rsidR="00A91C29" w:rsidRPr="009C666F" w:rsidP="00575FEE" w14:paraId="6A88928F" w14:textId="7DF7275D">
      <w:pPr>
        <w:widowControl/>
        <w:ind w:left="2880" w:hanging="2160"/>
      </w:pPr>
      <w:r w:rsidRPr="009C666F">
        <w:rPr>
          <w:b/>
          <w:bCs/>
        </w:rPr>
        <w:t>Burden hours:</w:t>
      </w:r>
      <w:r w:rsidRPr="009C666F" w:rsidR="005D324F">
        <w:tab/>
        <w:t>(</w:t>
      </w:r>
      <w:r w:rsidR="00AA1983">
        <w:t>1,</w:t>
      </w:r>
      <w:r w:rsidR="00FC3504">
        <w:t xml:space="preserve">075,579 </w:t>
      </w:r>
      <w:r w:rsidRPr="009C666F">
        <w:t>employers</w:t>
      </w:r>
      <w:r w:rsidR="00FB676C">
        <w:t xml:space="preserve"> × </w:t>
      </w:r>
      <w:r w:rsidRPr="009C666F">
        <w:t>20</w:t>
      </w:r>
      <w:r w:rsidRPr="009C666F" w:rsidR="006069F7">
        <w:t xml:space="preserve"> percent</w:t>
      </w:r>
      <w:r w:rsidRPr="009C666F">
        <w:t>) × 3 s</w:t>
      </w:r>
      <w:r w:rsidRPr="009C666F" w:rsidR="005D324F">
        <w:t xml:space="preserve">amples/year × </w:t>
      </w:r>
      <w:r w:rsidRPr="009C666F" w:rsidR="006E18B7">
        <w:t>5/60</w:t>
      </w:r>
      <w:r w:rsidRPr="009C666F" w:rsidR="005D324F">
        <w:t xml:space="preserve"> hour = </w:t>
      </w:r>
      <w:r w:rsidR="00575FEE">
        <w:t xml:space="preserve"> </w:t>
      </w:r>
      <w:r w:rsidRPr="009C666F" w:rsidR="007D6644">
        <w:t xml:space="preserve"> </w:t>
      </w:r>
      <w:r w:rsidR="009537EC">
        <w:t>53,</w:t>
      </w:r>
      <w:r w:rsidR="00466B70">
        <w:t xml:space="preserve">779 </w:t>
      </w:r>
      <w:r w:rsidRPr="009C666F">
        <w:t>hours</w:t>
      </w:r>
    </w:p>
    <w:p w:rsidR="00A91C29" w:rsidRPr="009C666F" w:rsidP="00A053BB" w14:paraId="146B5D68" w14:textId="0DAE2448">
      <w:pPr>
        <w:widowControl/>
        <w:ind w:left="720" w:firstLine="720"/>
      </w:pPr>
      <w:r w:rsidRPr="009C666F">
        <w:rPr>
          <w:b/>
          <w:bCs/>
        </w:rPr>
        <w:t>Cost:</w:t>
      </w:r>
      <w:r w:rsidRPr="009C666F" w:rsidR="005D324F">
        <w:tab/>
      </w:r>
      <w:r w:rsidRPr="009C666F" w:rsidR="005D324F">
        <w:tab/>
      </w:r>
      <w:r w:rsidR="00954DED">
        <w:t>53,779</w:t>
      </w:r>
      <w:r w:rsidRPr="009C666F" w:rsidR="007D6644">
        <w:t xml:space="preserve"> </w:t>
      </w:r>
      <w:r w:rsidRPr="009C666F" w:rsidR="005D324F">
        <w:t>h</w:t>
      </w:r>
      <w:r w:rsidRPr="009C666F" w:rsidR="00C3236E">
        <w:t xml:space="preserve">ours × </w:t>
      </w:r>
      <w:r w:rsidRPr="00575FEE" w:rsidR="00575FEE">
        <w:t>$</w:t>
      </w:r>
      <w:r w:rsidR="0043398D">
        <w:t>31.</w:t>
      </w:r>
      <w:r w:rsidR="005D4EE1">
        <w:t>74</w:t>
      </w:r>
      <w:r w:rsidRPr="009C666F" w:rsidR="00F868A1">
        <w:t xml:space="preserve"> </w:t>
      </w:r>
      <w:r w:rsidRPr="009C666F" w:rsidR="00C3236E">
        <w:t xml:space="preserve">= </w:t>
      </w:r>
      <w:r w:rsidRPr="007A3D52" w:rsidR="007A3D52">
        <w:t>$</w:t>
      </w:r>
      <w:r w:rsidR="00C44D74">
        <w:t>1,706,945</w:t>
      </w:r>
      <w:r w:rsidR="007970D6">
        <w:t xml:space="preserve"> </w:t>
      </w:r>
    </w:p>
    <w:p w:rsidR="00A91C29" w:rsidRPr="009C666F" w:rsidP="00921C5B" w14:paraId="75EB1002" w14:textId="77777777">
      <w:pPr>
        <w:pStyle w:val="Heading3"/>
      </w:pPr>
      <w:r w:rsidRPr="009C666F">
        <w:t>Methods of compliance (§1926.1101(g))</w:t>
      </w:r>
    </w:p>
    <w:p w:rsidR="00921C5B" w:rsidRPr="009C666F" w:rsidP="00921C5B" w14:paraId="55D20387" w14:textId="77777777">
      <w:pPr>
        <w:pStyle w:val="BodyText"/>
      </w:pPr>
      <w:r w:rsidRPr="009C666F">
        <w:t>Provisions contained in this paragraph of the regulation require employers to use prescribed engineering controls and work practices, including monitoring and notifying employers</w:t>
      </w:r>
      <w:r w:rsidR="00ED5BD6">
        <w:tab/>
      </w:r>
      <w:r w:rsidRPr="009C666F">
        <w:t xml:space="preserve"> of findings ((g)(4)(ii)(B)). The burden for this requirement is included under the exposure monitoring section or the methods of compliance section for alternate methods of compliance in </w:t>
      </w:r>
      <w:r w:rsidRPr="009C666F">
        <w:t>th</w:t>
      </w:r>
      <w:r w:rsidRPr="009C666F" w:rsidR="009351FE">
        <w:t>is</w:t>
      </w:r>
      <w:r w:rsidRPr="009C666F">
        <w:t xml:space="preserve"> </w:t>
      </w:r>
      <w:r w:rsidRPr="009C666F" w:rsidR="009351FE">
        <w:t xml:space="preserve">Supporting Statement </w:t>
      </w:r>
      <w:r w:rsidRPr="009C666F">
        <w:t>(see narrative below).</w:t>
      </w:r>
    </w:p>
    <w:p w:rsidR="00921C5B" w:rsidRPr="009C666F" w:rsidP="00921C5B" w14:paraId="74DE33F9" w14:textId="77777777">
      <w:pPr>
        <w:pStyle w:val="BodyText"/>
        <w:rPr>
          <w:b/>
          <w:bCs/>
        </w:rPr>
      </w:pPr>
      <w:r w:rsidRPr="009C666F">
        <w:t>The standard prescribes work practices for various operations involving asbestos. However, employers involved with Class I and II operations may choose to use an alternate control method. The burden for this requirement follows.</w:t>
      </w:r>
    </w:p>
    <w:p w:rsidR="00A91C29" w:rsidRPr="009C666F" w:rsidP="00921C5B" w14:paraId="4BFD87A9" w14:textId="0A6DDB10">
      <w:pPr>
        <w:pStyle w:val="BodyText"/>
      </w:pPr>
      <w:r w:rsidRPr="009C666F">
        <w:t xml:space="preserve">OSHA estimates seven employers will choose new or modified control technology to reduce exposures in Class I asbestos work. OSHA estimates that a manager takes one hour and 50 minutes </w:t>
      </w:r>
      <w:r w:rsidRPr="009C666F" w:rsidR="006E18B7">
        <w:t>(110/60 hour</w:t>
      </w:r>
      <w:r w:rsidR="00AB77B4">
        <w:t>s</w:t>
      </w:r>
      <w:r w:rsidRPr="009C666F" w:rsidR="006E18B7">
        <w:t xml:space="preserve">) </w:t>
      </w:r>
      <w:r w:rsidRPr="009C666F">
        <w:t>to develop the alternative control methods.</w:t>
      </w:r>
    </w:p>
    <w:p w:rsidR="00A91C29" w:rsidRPr="009C666F" w:rsidP="00681DEC" w14:paraId="584A3CA7" w14:textId="09CDE1C5">
      <w:pPr>
        <w:widowControl/>
        <w:ind w:firstLine="720"/>
      </w:pPr>
      <w:r w:rsidRPr="009C666F">
        <w:rPr>
          <w:b/>
        </w:rPr>
        <w:t>Burden hours:</w:t>
      </w:r>
      <w:r w:rsidRPr="009C666F">
        <w:tab/>
        <w:t xml:space="preserve">7 notifications × </w:t>
      </w:r>
      <w:r w:rsidRPr="009C666F" w:rsidR="006E18B7">
        <w:t>110/60</w:t>
      </w:r>
      <w:r w:rsidRPr="009C666F">
        <w:t xml:space="preserve"> hours = </w:t>
      </w:r>
      <w:r w:rsidR="00202049">
        <w:t>13</w:t>
      </w:r>
      <w:r w:rsidRPr="009C666F">
        <w:t xml:space="preserve"> hours</w:t>
      </w:r>
    </w:p>
    <w:p w:rsidR="00A91C29" w:rsidRPr="009C666F" w:rsidP="00A053BB" w14:paraId="3305BFD7" w14:textId="4967A12E">
      <w:pPr>
        <w:widowControl/>
        <w:ind w:left="720" w:firstLine="720"/>
      </w:pPr>
      <w:r w:rsidRPr="009C666F">
        <w:rPr>
          <w:b/>
        </w:rPr>
        <w:t>Costs:</w:t>
      </w:r>
      <w:r w:rsidRPr="009C666F" w:rsidR="00F97444">
        <w:tab/>
      </w:r>
      <w:r w:rsidRPr="009C666F" w:rsidR="00F97444">
        <w:tab/>
      </w:r>
      <w:r w:rsidR="00202049">
        <w:t>13</w:t>
      </w:r>
      <w:r w:rsidRPr="009C666F" w:rsidR="00F97444">
        <w:t xml:space="preserve"> hours × </w:t>
      </w:r>
      <w:r w:rsidRPr="003501AE" w:rsidR="003501AE">
        <w:t>$</w:t>
      </w:r>
      <w:r w:rsidR="0002136E">
        <w:t>50.04</w:t>
      </w:r>
      <w:r w:rsidRPr="009C666F" w:rsidR="00F97444">
        <w:t xml:space="preserve"> = </w:t>
      </w:r>
      <w:r w:rsidRPr="003501AE" w:rsidR="003501AE">
        <w:t>$</w:t>
      </w:r>
      <w:r w:rsidR="003C3A2D">
        <w:t>642</w:t>
      </w:r>
    </w:p>
    <w:p w:rsidR="00A91C29" w:rsidRPr="009C666F" w:rsidP="00A053BB" w14:paraId="7E9D6787" w14:textId="77777777">
      <w:pPr>
        <w:widowControl/>
      </w:pPr>
    </w:p>
    <w:p w:rsidR="00A91C29" w:rsidRPr="009C666F" w:rsidP="00921C5B" w14:paraId="7799B0BB" w14:textId="77777777">
      <w:pPr>
        <w:pStyle w:val="BodyText"/>
        <w:rPr>
          <w:u w:val="single"/>
        </w:rPr>
      </w:pPr>
      <w:r w:rsidRPr="009C666F">
        <w:rPr>
          <w:u w:val="single"/>
        </w:rPr>
        <w:t>Additional controls for Class II work</w:t>
      </w:r>
    </w:p>
    <w:p w:rsidR="00A91C29" w:rsidRPr="009C666F" w:rsidP="00921C5B" w14:paraId="5E1DFE87" w14:textId="6CB29D9E">
      <w:pPr>
        <w:pStyle w:val="BodyText"/>
      </w:pPr>
      <w:r w:rsidRPr="009C666F">
        <w:t>Since new or other control technology is most likely to be more expensive, OSHA assumes that 1</w:t>
      </w:r>
      <w:r w:rsidRPr="009C666F" w:rsidR="006069F7">
        <w:t xml:space="preserve"> percent</w:t>
      </w:r>
      <w:r w:rsidRPr="009C666F">
        <w:t xml:space="preserve"> of the </w:t>
      </w:r>
      <w:r w:rsidR="00AF2DD2">
        <w:t>56</w:t>
      </w:r>
      <w:r w:rsidR="00947168">
        <w:t>,693</w:t>
      </w:r>
      <w:r w:rsidRPr="009C666F" w:rsidR="00DF17E4">
        <w:t xml:space="preserve"> </w:t>
      </w:r>
      <w:r w:rsidRPr="009C666F">
        <w:t>employers performing Class II operations</w:t>
      </w:r>
      <w:r w:rsidRPr="009C666F" w:rsidR="002A6970">
        <w:t>,</w:t>
      </w:r>
      <w:r w:rsidRPr="009C666F">
        <w:t xml:space="preserve"> or </w:t>
      </w:r>
      <w:r w:rsidR="00947168">
        <w:t xml:space="preserve">567 </w:t>
      </w:r>
      <w:r w:rsidRPr="009C666F">
        <w:t>employers</w:t>
      </w:r>
      <w:r w:rsidRPr="009C666F" w:rsidR="002A6970">
        <w:t>,</w:t>
      </w:r>
      <w:r w:rsidRPr="009C666F">
        <w:t xml:space="preserve"> use another method and incur burden.</w:t>
      </w:r>
      <w:r>
        <w:rPr>
          <w:rStyle w:val="FootnoteReference"/>
          <w:vertAlign w:val="superscript"/>
        </w:rPr>
        <w:footnoteReference w:id="10"/>
      </w:r>
      <w:r w:rsidRPr="009C666F">
        <w:rPr>
          <w:vertAlign w:val="superscript"/>
        </w:rPr>
        <w:t xml:space="preserve"> </w:t>
      </w:r>
      <w:r w:rsidRPr="009C666F" w:rsidR="00211D95">
        <w:rPr>
          <w:vertAlign w:val="superscript"/>
        </w:rPr>
        <w:t xml:space="preserve"> </w:t>
      </w:r>
      <w:r w:rsidRPr="009C666F">
        <w:t>OSHA estimates it takes 1 hour to conduct an evaluation of a Class II operation; therefore</w:t>
      </w:r>
      <w:r w:rsidR="001258FC">
        <w:t>,</w:t>
      </w:r>
      <w:r w:rsidRPr="009C666F">
        <w:t xml:space="preserve"> the burden is as follows:</w:t>
      </w:r>
    </w:p>
    <w:p w:rsidR="00A91C29" w:rsidRPr="009C666F" w:rsidP="00681DEC" w14:paraId="3FBA5FFA" w14:textId="76DB7916">
      <w:pPr>
        <w:widowControl/>
        <w:ind w:firstLine="720"/>
        <w:rPr>
          <w:b/>
          <w:bCs/>
        </w:rPr>
      </w:pPr>
      <w:r w:rsidRPr="009C666F">
        <w:rPr>
          <w:b/>
          <w:bCs/>
        </w:rPr>
        <w:t>Burden hours:</w:t>
      </w:r>
      <w:r w:rsidRPr="009C666F">
        <w:tab/>
      </w:r>
      <w:r w:rsidR="000839C3">
        <w:t>567</w:t>
      </w:r>
      <w:r w:rsidRPr="009C666F" w:rsidR="00D729B0">
        <w:t xml:space="preserve"> </w:t>
      </w:r>
      <w:r w:rsidRPr="009C666F">
        <w:t xml:space="preserve">employers × 1 time per year × 1 hour = </w:t>
      </w:r>
      <w:r w:rsidR="000839C3">
        <w:t>567</w:t>
      </w:r>
      <w:r w:rsidRPr="009C666F">
        <w:t xml:space="preserve"> hours</w:t>
      </w:r>
    </w:p>
    <w:p w:rsidR="00A91C29" w:rsidRPr="009C666F" w:rsidP="00A053BB" w14:paraId="6C00D8FA" w14:textId="26694A92">
      <w:pPr>
        <w:widowControl/>
        <w:ind w:left="720" w:firstLine="720"/>
      </w:pPr>
      <w:r w:rsidRPr="009C666F">
        <w:rPr>
          <w:b/>
          <w:bCs/>
        </w:rPr>
        <w:t>Costs:</w:t>
      </w:r>
      <w:r w:rsidRPr="009C666F">
        <w:rPr>
          <w:b/>
          <w:bCs/>
        </w:rPr>
        <w:tab/>
      </w:r>
      <w:r w:rsidRPr="009C666F">
        <w:rPr>
          <w:b/>
          <w:bCs/>
        </w:rPr>
        <w:tab/>
      </w:r>
      <w:r w:rsidR="000839C3">
        <w:rPr>
          <w:bCs/>
        </w:rPr>
        <w:t>567</w:t>
      </w:r>
      <w:r w:rsidR="007A3D52">
        <w:rPr>
          <w:bCs/>
        </w:rPr>
        <w:t xml:space="preserve"> </w:t>
      </w:r>
      <w:r w:rsidRPr="009C666F" w:rsidR="00F97444">
        <w:t xml:space="preserve">hours × </w:t>
      </w:r>
      <w:r w:rsidRPr="00B0125F" w:rsidR="00B0125F">
        <w:t>$</w:t>
      </w:r>
      <w:r w:rsidR="000839C3">
        <w:t>50.04</w:t>
      </w:r>
      <w:r w:rsidR="008768FC">
        <w:t xml:space="preserve"> </w:t>
      </w:r>
      <w:r w:rsidRPr="009C666F" w:rsidR="00F97444">
        <w:t xml:space="preserve">= </w:t>
      </w:r>
      <w:r w:rsidRPr="000910DB" w:rsidR="000910DB">
        <w:t>$</w:t>
      </w:r>
      <w:r w:rsidR="00E635F8">
        <w:t>28,</w:t>
      </w:r>
      <w:r w:rsidR="00DF13F5">
        <w:t>369</w:t>
      </w:r>
    </w:p>
    <w:p w:rsidR="00EC56F8" w:rsidRPr="009C666F" w:rsidP="00A053BB" w14:paraId="7790E2E2" w14:textId="77777777">
      <w:pPr>
        <w:widowControl/>
      </w:pPr>
    </w:p>
    <w:p w:rsidR="00A91C29" w:rsidRPr="009C666F" w:rsidP="00921C5B" w14:paraId="0C5CDFE1" w14:textId="77777777">
      <w:pPr>
        <w:pStyle w:val="Heading3"/>
      </w:pPr>
      <w:r w:rsidRPr="009C666F">
        <w:t>Respiratory protection (§1926.1101(h))</w:t>
      </w:r>
    </w:p>
    <w:p w:rsidR="00A91C29" w:rsidRPr="009C666F" w:rsidP="00921C5B" w14:paraId="6205843E" w14:textId="77777777">
      <w:pPr>
        <w:pStyle w:val="BodyText"/>
        <w:rPr>
          <w:u w:val="single"/>
        </w:rPr>
      </w:pPr>
      <w:r w:rsidRPr="009C666F">
        <w:rPr>
          <w:u w:val="single"/>
        </w:rPr>
        <w:t>Respirator program</w:t>
      </w:r>
    </w:p>
    <w:p w:rsidR="00A91C29" w:rsidRPr="009C666F" w:rsidP="00921C5B" w14:paraId="08AF1FA2" w14:textId="77777777">
      <w:pPr>
        <w:pStyle w:val="BodyText"/>
      </w:pPr>
      <w:r w:rsidRPr="009C666F">
        <w:t xml:space="preserve">The standard requires the employer to institute a respiratory protection program in accordance with 29 CFR 1910.134. There will be no burden taken for this requirement. The burden is taken in the </w:t>
      </w:r>
      <w:r w:rsidRPr="009C666F" w:rsidR="009351FE">
        <w:t xml:space="preserve">Information Collection Request </w:t>
      </w:r>
      <w:r w:rsidRPr="009C666F">
        <w:t>for §1910.134 (OMB Control Number 1218-0099).</w:t>
      </w:r>
    </w:p>
    <w:p w:rsidR="00A91C29" w:rsidRPr="009C666F" w:rsidP="00921C5B" w14:paraId="415D4CEA" w14:textId="77777777">
      <w:pPr>
        <w:pStyle w:val="BodyText"/>
        <w:rPr>
          <w:u w:val="single"/>
        </w:rPr>
      </w:pPr>
      <w:r w:rsidRPr="009C666F">
        <w:rPr>
          <w:u w:val="single"/>
        </w:rPr>
        <w:t>Respirator fit-testing</w:t>
      </w:r>
    </w:p>
    <w:p w:rsidR="00B265C2" w:rsidRPr="009C666F" w:rsidP="00921C5B" w14:paraId="335C764A" w14:textId="0DDB577D">
      <w:pPr>
        <w:pStyle w:val="BodyText"/>
        <w:rPr>
          <w:b/>
          <w:bCs/>
        </w:rPr>
      </w:pPr>
      <w:r w:rsidRPr="009C666F">
        <w:t xml:space="preserve">Since the December 3, 1997, OMB approval of this information collection request, OSHA published a Respiratory Protection rule (January 8, 1998 (63 FR 1152)). OSHA consolidated the fit-testing burden hours and costs into the Respirator Standard, which has OMB clearance under the number 1218-0099. </w:t>
      </w:r>
    </w:p>
    <w:p w:rsidR="00A91C29" w:rsidRPr="009C666F" w:rsidP="00921C5B" w14:paraId="7D32C115" w14:textId="77777777">
      <w:pPr>
        <w:pStyle w:val="Heading3"/>
      </w:pPr>
      <w:r w:rsidRPr="009C666F">
        <w:t>Laundering protective clothing (§1926.1101(i)(2)(ii))</w:t>
      </w:r>
    </w:p>
    <w:p w:rsidR="003A7B11" w:rsidRPr="009C666F" w:rsidP="00921C5B" w14:paraId="2FE5C850" w14:textId="0DB22F3B">
      <w:pPr>
        <w:pStyle w:val="BodyText"/>
        <w:rPr>
          <w:b/>
          <w:bCs/>
        </w:rPr>
      </w:pPr>
      <w:r w:rsidRPr="009C666F">
        <w:t>The standard requires that the employer inform any person who launders or cleans asbestos-</w:t>
      </w:r>
      <w:r w:rsidRPr="009C666F">
        <w:t>contaminated protective clothing of the potential asbestos hazard. In the Regulatory Impact Analysis, it was assumed that all affected employers will provide their employees with disposable clothing, which requires no laundering. Therefore, no burden has been taken for this provision.</w:t>
      </w:r>
    </w:p>
    <w:p w:rsidR="00A91C29" w:rsidRPr="009C666F" w:rsidP="00D0624D" w14:paraId="1D426594" w14:textId="77777777">
      <w:pPr>
        <w:pStyle w:val="Heading3"/>
        <w:widowControl/>
      </w:pPr>
      <w:r w:rsidRPr="009C666F">
        <w:t>Communication of hazards (§1926.1101(k))</w:t>
      </w:r>
    </w:p>
    <w:p w:rsidR="00A91C29" w:rsidRPr="009C666F" w:rsidP="00921C5B" w14:paraId="173FA14E" w14:textId="1A75707E">
      <w:pPr>
        <w:pStyle w:val="BodyText"/>
      </w:pPr>
      <w:r w:rsidRPr="009C666F">
        <w:t>Under this section, building and facility owners, along with employers of potentially exposed employees, must convey specific information to building tenants, employees</w:t>
      </w:r>
      <w:r w:rsidR="00CC330A">
        <w:t xml:space="preserve">, </w:t>
      </w:r>
      <w:r w:rsidRPr="009C666F">
        <w:t xml:space="preserve">and other employers/contractors regarding the location of ACM and PACM in their work environment. Burden for this activity follows. </w:t>
      </w:r>
    </w:p>
    <w:p w:rsidR="00A91C29" w:rsidRPr="009C666F" w:rsidP="00921C5B" w14:paraId="7F1BEC32" w14:textId="77777777">
      <w:pPr>
        <w:pStyle w:val="BodyText"/>
        <w:rPr>
          <w:u w:val="single"/>
        </w:rPr>
      </w:pPr>
      <w:r w:rsidRPr="009C666F">
        <w:rPr>
          <w:u w:val="single"/>
        </w:rPr>
        <w:t>Duties of building and facility owners</w:t>
      </w:r>
    </w:p>
    <w:p w:rsidR="00A91C29" w:rsidRPr="009C666F" w:rsidP="00921C5B" w14:paraId="6D414993" w14:textId="77777777">
      <w:pPr>
        <w:pStyle w:val="BodyText"/>
        <w:rPr>
          <w:u w:val="single"/>
        </w:rPr>
      </w:pPr>
      <w:r w:rsidRPr="009C666F">
        <w:rPr>
          <w:u w:val="single"/>
        </w:rPr>
        <w:t>Identification of ACM/PACM and notification by building owners to their employees and tenants</w:t>
      </w:r>
    </w:p>
    <w:p w:rsidR="00A91C29" w:rsidRPr="009C666F" w:rsidP="00921C5B" w14:paraId="7CB07FB7" w14:textId="7445EFC9">
      <w:pPr>
        <w:pStyle w:val="BodyText"/>
      </w:pPr>
      <w:r w:rsidRPr="00872CE2">
        <w:t>OSHA assumes an average of 60</w:t>
      </w:r>
      <w:r w:rsidRPr="00872CE2" w:rsidR="006069F7">
        <w:t xml:space="preserve"> percent</w:t>
      </w:r>
      <w:r w:rsidRPr="00872CE2">
        <w:t xml:space="preserve"> of </w:t>
      </w:r>
      <w:r w:rsidR="00F009F3">
        <w:t>10,071,731</w:t>
      </w:r>
      <w:r w:rsidRPr="00872CE2">
        <w:t xml:space="preserve">projects or </w:t>
      </w:r>
      <w:r w:rsidR="00590B8A">
        <w:t>6,043,</w:t>
      </w:r>
      <w:r w:rsidR="00250867">
        <w:t xml:space="preserve">039 </w:t>
      </w:r>
      <w:r w:rsidRPr="00872CE2">
        <w:t>projects will involve communication between building owners and their employees and tenants.</w:t>
      </w:r>
      <w:r>
        <w:rPr>
          <w:rStyle w:val="FootnoteReference"/>
          <w:vertAlign w:val="superscript"/>
        </w:rPr>
        <w:footnoteReference w:id="11"/>
      </w:r>
      <w:r w:rsidRPr="009C666F">
        <w:t xml:space="preserve"> OSHA estimates that a facility owner takes a maximum of 45 minutes </w:t>
      </w:r>
      <w:r w:rsidRPr="009C666F" w:rsidR="006E18B7">
        <w:t>(45/60 hour)</w:t>
      </w:r>
      <w:r w:rsidRPr="009C666F">
        <w:t xml:space="preserve"> to evaluate high risk jobs and </w:t>
      </w:r>
      <w:r w:rsidRPr="009C666F" w:rsidR="006E18B7">
        <w:t>5</w:t>
      </w:r>
      <w:r w:rsidRPr="009C666F">
        <w:t xml:space="preserve"> minutes </w:t>
      </w:r>
      <w:r w:rsidRPr="009C666F" w:rsidR="006E18B7">
        <w:t>(5/60 hour)</w:t>
      </w:r>
      <w:r w:rsidRPr="009C666F">
        <w:t xml:space="preserve"> to notify persons. A facility owner takes 5 minutes </w:t>
      </w:r>
      <w:r w:rsidRPr="009C666F" w:rsidR="006E18B7">
        <w:t>(5/60 hour)</w:t>
      </w:r>
      <w:r w:rsidRPr="009C666F">
        <w:t xml:space="preserve"> to evaluate low risk jobs and another 3 minutes </w:t>
      </w:r>
      <w:r w:rsidRPr="009C666F" w:rsidR="006E18B7">
        <w:t>(3/60 hour)</w:t>
      </w:r>
      <w:r w:rsidRPr="009C666F">
        <w:t xml:space="preserve"> for notifications. More jobs are in</w:t>
      </w:r>
      <w:r w:rsidRPr="009C666F" w:rsidR="006C2D64">
        <w:t xml:space="preserve"> the</w:t>
      </w:r>
      <w:r w:rsidRPr="009C666F">
        <w:t xml:space="preserve"> low risk category.</w:t>
      </w:r>
    </w:p>
    <w:p w:rsidR="00A91C29" w:rsidRPr="009C666F" w:rsidP="00921C5B" w14:paraId="1A207E4D" w14:textId="478CD7CE">
      <w:pPr>
        <w:pStyle w:val="BodyText"/>
      </w:pPr>
      <w:r w:rsidRPr="009C666F">
        <w:t>Using these assumptions and estimates of time a weighted average of 8 minutes</w:t>
      </w:r>
      <w:r w:rsidRPr="009C666F" w:rsidR="006E18B7">
        <w:t xml:space="preserve"> (8/60 hour)</w:t>
      </w:r>
      <w:r w:rsidRPr="009C666F">
        <w:t xml:space="preserve"> was used; thus the burden is as follows:</w:t>
      </w:r>
    </w:p>
    <w:p w:rsidR="00A91C29" w:rsidRPr="009C666F" w:rsidP="00681DEC" w14:paraId="6B9A1C52" w14:textId="5FDE6AD4">
      <w:pPr>
        <w:widowControl/>
        <w:ind w:firstLine="720"/>
      </w:pPr>
      <w:r w:rsidRPr="009C666F">
        <w:rPr>
          <w:b/>
          <w:bCs/>
        </w:rPr>
        <w:t>Burden hours:</w:t>
      </w:r>
      <w:r w:rsidRPr="009C666F">
        <w:tab/>
      </w:r>
      <w:r w:rsidR="00250867">
        <w:t>6,043,039</w:t>
      </w:r>
      <w:r w:rsidRPr="009C666F" w:rsidR="003D760E">
        <w:t xml:space="preserve"> </w:t>
      </w:r>
      <w:r w:rsidRPr="009C666F">
        <w:t xml:space="preserve">projects × </w:t>
      </w:r>
      <w:r w:rsidRPr="009C666F" w:rsidR="006E18B7">
        <w:t>8/60</w:t>
      </w:r>
      <w:r w:rsidRPr="009C666F">
        <w:t xml:space="preserve"> hour = </w:t>
      </w:r>
      <w:r w:rsidR="00CC330A">
        <w:t xml:space="preserve">805,739 </w:t>
      </w:r>
      <w:r w:rsidRPr="009C666F" w:rsidR="00CC330A">
        <w:t>hours</w:t>
      </w:r>
    </w:p>
    <w:p w:rsidR="00A91C29" w:rsidRPr="009C666F" w:rsidP="00872CE2" w14:paraId="5B6B7D04" w14:textId="02F83E06">
      <w:pPr>
        <w:widowControl/>
        <w:ind w:left="720" w:firstLine="720"/>
      </w:pPr>
      <w:r w:rsidRPr="499FAB42">
        <w:rPr>
          <w:b/>
          <w:bCs/>
        </w:rPr>
        <w:t>Cost:</w:t>
      </w:r>
      <w:r>
        <w:tab/>
      </w:r>
      <w:r>
        <w:tab/>
      </w:r>
      <w:r w:rsidR="00C34A90">
        <w:t>805,739</w:t>
      </w:r>
      <w:r w:rsidR="003D760E">
        <w:t xml:space="preserve"> </w:t>
      </w:r>
      <w:r w:rsidR="00F97444">
        <w:t xml:space="preserve">hours × </w:t>
      </w:r>
      <w:r w:rsidR="0094181B">
        <w:t>$</w:t>
      </w:r>
      <w:r w:rsidR="00F40FBA">
        <w:t>50.04</w:t>
      </w:r>
      <w:r w:rsidR="009A1782">
        <w:t xml:space="preserve"> </w:t>
      </w:r>
      <w:r w:rsidR="00F97444">
        <w:t xml:space="preserve">= </w:t>
      </w:r>
      <w:r w:rsidR="007A3D52">
        <w:t>$</w:t>
      </w:r>
      <w:r w:rsidR="00D94DFF">
        <w:t>40,319,156</w:t>
      </w:r>
    </w:p>
    <w:p w:rsidR="00A91C29" w:rsidRPr="009C666F" w:rsidP="00921C5B" w14:paraId="45A7E7E8" w14:textId="77777777">
      <w:pPr>
        <w:pStyle w:val="BodyText"/>
        <w:rPr>
          <w:u w:val="single"/>
        </w:rPr>
      </w:pPr>
      <w:r w:rsidRPr="009C666F">
        <w:rPr>
          <w:u w:val="single"/>
        </w:rPr>
        <w:t>Notification by building owners to contractors (other employers)</w:t>
      </w:r>
    </w:p>
    <w:p w:rsidR="00A91C29" w:rsidRPr="009C666F" w:rsidP="00921C5B" w14:paraId="557886DF" w14:textId="1B55B0D5">
      <w:pPr>
        <w:pStyle w:val="BodyText"/>
      </w:pPr>
      <w:r w:rsidRPr="009C666F">
        <w:t xml:space="preserve">Building owners take 3 minutes </w:t>
      </w:r>
      <w:r w:rsidRPr="009C666F" w:rsidR="006E18B7">
        <w:t>(3/60 hour)</w:t>
      </w:r>
      <w:r w:rsidRPr="009C666F">
        <w:t xml:space="preserve"> to notify contractors. The universe is the same as above (</w:t>
      </w:r>
      <w:r w:rsidR="008576D0">
        <w:t>6,043,039</w:t>
      </w:r>
      <w:r w:rsidRPr="009C666F" w:rsidR="003D760E">
        <w:t xml:space="preserve"> </w:t>
      </w:r>
      <w:r w:rsidRPr="009C666F">
        <w:t>projects); thus the burden is as follows:</w:t>
      </w:r>
    </w:p>
    <w:p w:rsidR="00A91C29" w:rsidRPr="009C666F" w:rsidP="00A053BB" w14:paraId="0BDAFFD1" w14:textId="77777777">
      <w:pPr>
        <w:widowControl/>
      </w:pPr>
    </w:p>
    <w:p w:rsidR="00A91C29" w:rsidRPr="009C666F" w:rsidP="00681DEC" w14:paraId="6B94B07E" w14:textId="1464021A">
      <w:pPr>
        <w:widowControl/>
        <w:ind w:firstLine="720"/>
      </w:pPr>
      <w:r w:rsidRPr="009C666F">
        <w:rPr>
          <w:b/>
          <w:bCs/>
        </w:rPr>
        <w:t>Burden hours:</w:t>
      </w:r>
      <w:r w:rsidRPr="009C666F">
        <w:tab/>
      </w:r>
      <w:r w:rsidRPr="007A3D52" w:rsidR="00D71F69">
        <w:t>6,</w:t>
      </w:r>
      <w:r w:rsidR="00D71F69">
        <w:t xml:space="preserve">043,039 </w:t>
      </w:r>
      <w:r w:rsidRPr="009C666F" w:rsidR="00D71F69">
        <w:t>projects</w:t>
      </w:r>
      <w:r w:rsidRPr="009C666F">
        <w:t xml:space="preserve"> × </w:t>
      </w:r>
      <w:r w:rsidRPr="009C666F" w:rsidR="006E18B7">
        <w:t>3/60</w:t>
      </w:r>
      <w:r w:rsidRPr="009C666F">
        <w:t xml:space="preserve"> hour = </w:t>
      </w:r>
      <w:r w:rsidR="00081D8B">
        <w:t>302,152</w:t>
      </w:r>
      <w:r w:rsidRPr="009C666F" w:rsidR="003D760E">
        <w:t xml:space="preserve"> </w:t>
      </w:r>
      <w:r w:rsidRPr="009C666F">
        <w:t>hours</w:t>
      </w:r>
    </w:p>
    <w:p w:rsidR="00A91C29" w:rsidRPr="009C666F" w:rsidP="00A053BB" w14:paraId="4243BB1F" w14:textId="6F147075">
      <w:pPr>
        <w:widowControl/>
        <w:ind w:left="720" w:firstLine="720"/>
      </w:pPr>
      <w:r w:rsidRPr="499FAB42">
        <w:rPr>
          <w:b/>
          <w:bCs/>
        </w:rPr>
        <w:t>Cost:</w:t>
      </w:r>
      <w:r>
        <w:tab/>
      </w:r>
      <w:r>
        <w:tab/>
      </w:r>
      <w:r w:rsidR="00081D8B">
        <w:t>302,152</w:t>
      </w:r>
      <w:r w:rsidR="00682914">
        <w:t xml:space="preserve"> </w:t>
      </w:r>
      <w:r w:rsidR="009A711F">
        <w:t>hours ×</w:t>
      </w:r>
      <w:r w:rsidR="0094181B">
        <w:t xml:space="preserve"> $</w:t>
      </w:r>
      <w:r w:rsidR="00D94DFF">
        <w:t>50.04</w:t>
      </w:r>
      <w:r w:rsidR="0094181B">
        <w:t xml:space="preserve"> </w:t>
      </w:r>
      <w:r w:rsidR="00F90191">
        <w:t xml:space="preserve">= </w:t>
      </w:r>
      <w:r w:rsidRPr="000910DB" w:rsidR="000910DB">
        <w:t>$</w:t>
      </w:r>
      <w:r w:rsidR="0049744F">
        <w:t xml:space="preserve">15,119,684 </w:t>
      </w:r>
    </w:p>
    <w:p w:rsidR="00921C5B" w:rsidRPr="009C666F" w:rsidP="00921C5B" w14:paraId="3B6E7D16" w14:textId="77777777">
      <w:pPr>
        <w:pStyle w:val="BodyText"/>
        <w:rPr>
          <w:u w:val="single"/>
        </w:rPr>
      </w:pPr>
      <w:r w:rsidRPr="009C666F">
        <w:rPr>
          <w:u w:val="single"/>
        </w:rPr>
        <w:t>Duties of employers</w:t>
      </w:r>
    </w:p>
    <w:p w:rsidR="00921C5B" w:rsidRPr="009C666F" w:rsidP="00921C5B" w14:paraId="18C19341" w14:textId="77777777">
      <w:pPr>
        <w:pStyle w:val="BodyText"/>
        <w:rPr>
          <w:u w:val="single"/>
        </w:rPr>
      </w:pPr>
      <w:r w:rsidRPr="009C666F">
        <w:rPr>
          <w:u w:val="single"/>
        </w:rPr>
        <w:t>Identification of ACM/PACM and notification by contractors to building owners</w:t>
      </w:r>
    </w:p>
    <w:p w:rsidR="00A91C29" w:rsidRPr="009C666F" w:rsidP="00921C5B" w14:paraId="553AEB6B" w14:textId="770EFDF4">
      <w:pPr>
        <w:pStyle w:val="BodyText"/>
      </w:pPr>
      <w:r w:rsidRPr="009C666F">
        <w:t xml:space="preserve">Time to identify/document and notify owners of ACM/PACM in </w:t>
      </w:r>
      <w:r w:rsidRPr="009C666F" w:rsidR="000A7EFD">
        <w:t>high-risk</w:t>
      </w:r>
      <w:r w:rsidRPr="009C666F">
        <w:t xml:space="preserve"> projects takes no longer than in </w:t>
      </w:r>
      <w:r w:rsidRPr="009C666F" w:rsidR="0010694A">
        <w:t>low-risk</w:t>
      </w:r>
      <w:r w:rsidRPr="009C666F">
        <w:t xml:space="preserve"> projects, and there are more jobs in </w:t>
      </w:r>
      <w:r w:rsidRPr="009C666F" w:rsidR="00F13ADE">
        <w:t>low-risk</w:t>
      </w:r>
      <w:r w:rsidRPr="009C666F">
        <w:t xml:space="preserve"> areas. Further, there may be some overlap in the counting of building owner notification to contractors in this provision. Taking these assumptions into account, the RIA estimated that the weighted time for this provision is </w:t>
      </w:r>
      <w:r w:rsidRPr="009C666F" w:rsidR="000F47E9">
        <w:t xml:space="preserve">3 minutes (3/60 </w:t>
      </w:r>
      <w:r w:rsidRPr="009C666F">
        <w:t>hours</w:t>
      </w:r>
      <w:r w:rsidRPr="009C666F" w:rsidR="000F47E9">
        <w:t>)</w:t>
      </w:r>
      <w:r w:rsidRPr="009C666F">
        <w:t>. The number of projects and compliance rate is the same as above.</w:t>
      </w:r>
    </w:p>
    <w:p w:rsidR="00A91C29" w:rsidRPr="009C666F" w:rsidP="00681DEC" w14:paraId="50665AA9" w14:textId="41D0D13F">
      <w:pPr>
        <w:widowControl/>
        <w:ind w:firstLine="720"/>
        <w:rPr>
          <w:b/>
          <w:bCs/>
        </w:rPr>
      </w:pPr>
      <w:r w:rsidRPr="009C666F">
        <w:rPr>
          <w:b/>
          <w:bCs/>
        </w:rPr>
        <w:t>Burden hours:</w:t>
      </w:r>
      <w:r w:rsidRPr="009C666F">
        <w:tab/>
      </w:r>
      <w:r w:rsidRPr="007A3D52" w:rsidR="00CC330A">
        <w:t>6,</w:t>
      </w:r>
      <w:r w:rsidR="00CC330A">
        <w:t xml:space="preserve">043,039 </w:t>
      </w:r>
      <w:r w:rsidRPr="009C666F" w:rsidR="00CC330A">
        <w:t>projects</w:t>
      </w:r>
      <w:r w:rsidRPr="009C666F">
        <w:t xml:space="preserve"> × </w:t>
      </w:r>
      <w:r w:rsidRPr="009C666F" w:rsidR="000F47E9">
        <w:t>3/60</w:t>
      </w:r>
      <w:r w:rsidRPr="009C666F">
        <w:t xml:space="preserve"> hour =</w:t>
      </w:r>
      <w:r w:rsidRPr="009C666F">
        <w:rPr>
          <w:b/>
          <w:bCs/>
        </w:rPr>
        <w:t xml:space="preserve"> </w:t>
      </w:r>
      <w:r w:rsidR="0050357A">
        <w:t>302,</w:t>
      </w:r>
      <w:r w:rsidR="007E31E3">
        <w:t>152</w:t>
      </w:r>
      <w:r w:rsidRPr="00C244CC" w:rsidR="002A458E">
        <w:t xml:space="preserve"> </w:t>
      </w:r>
      <w:r w:rsidRPr="009C666F">
        <w:t>hours</w:t>
      </w:r>
    </w:p>
    <w:p w:rsidR="00A91C29" w:rsidRPr="009C666F" w:rsidP="0061400C" w14:paraId="01B0E9BA" w14:textId="3D0EA518">
      <w:pPr>
        <w:widowControl/>
        <w:ind w:left="720" w:firstLine="720"/>
      </w:pPr>
      <w:r w:rsidRPr="009C666F">
        <w:rPr>
          <w:b/>
          <w:bCs/>
        </w:rPr>
        <w:t xml:space="preserve">   Cost:</w:t>
      </w:r>
      <w:r w:rsidRPr="009C666F" w:rsidR="00B14DB7">
        <w:tab/>
      </w:r>
      <w:r w:rsidR="007E31E3">
        <w:t xml:space="preserve">302,152 </w:t>
      </w:r>
      <w:r w:rsidRPr="009C666F" w:rsidR="00F97444">
        <w:t xml:space="preserve">hours × </w:t>
      </w:r>
      <w:r w:rsidRPr="00B04160" w:rsidR="00B04160">
        <w:t>$</w:t>
      </w:r>
      <w:r w:rsidR="009938BD">
        <w:t>50.04</w:t>
      </w:r>
      <w:r w:rsidRPr="009C666F" w:rsidR="00F97444">
        <w:t xml:space="preserve"> =</w:t>
      </w:r>
      <w:r w:rsidRPr="00B04160" w:rsidR="00B04160">
        <w:t xml:space="preserve"> </w:t>
      </w:r>
      <w:r w:rsidRPr="000910DB" w:rsidR="000910DB">
        <w:t>$</w:t>
      </w:r>
      <w:r w:rsidR="009938BD">
        <w:t>15,119</w:t>
      </w:r>
      <w:r w:rsidR="009C107C">
        <w:t>,</w:t>
      </w:r>
      <w:r w:rsidR="009938BD">
        <w:t>684</w:t>
      </w:r>
      <w:r w:rsidR="00F327FE">
        <w:t xml:space="preserve"> </w:t>
      </w:r>
    </w:p>
    <w:p w:rsidR="002A458E" w:rsidRPr="009C666F" w:rsidP="0061400C" w14:paraId="7B03405C" w14:textId="77777777">
      <w:pPr>
        <w:widowControl/>
        <w:ind w:left="720" w:firstLine="720"/>
        <w:rPr>
          <w:u w:val="single"/>
        </w:rPr>
      </w:pPr>
    </w:p>
    <w:p w:rsidR="00A91C29" w:rsidRPr="009C666F" w:rsidP="00921C5B" w14:paraId="46C907AE" w14:textId="77777777">
      <w:pPr>
        <w:pStyle w:val="BodyText"/>
        <w:rPr>
          <w:u w:val="single"/>
        </w:rPr>
      </w:pPr>
      <w:r w:rsidRPr="009C666F">
        <w:rPr>
          <w:u w:val="single"/>
        </w:rPr>
        <w:t>Notification by contractors to employees and employers</w:t>
      </w:r>
    </w:p>
    <w:p w:rsidR="00A91C29" w:rsidRPr="009C666F" w:rsidP="00921C5B" w14:paraId="29386B2A" w14:textId="38B20519">
      <w:pPr>
        <w:pStyle w:val="BodyText"/>
      </w:pPr>
      <w:r w:rsidRPr="009C666F">
        <w:t>The time to notify employees and other employers at the project takes approximately 5 minutes</w:t>
      </w:r>
      <w:r w:rsidRPr="009C666F" w:rsidR="000F47E9">
        <w:t xml:space="preserve"> (5/60 hour)</w:t>
      </w:r>
      <w:r w:rsidRPr="009C666F" w:rsidR="00A07F70">
        <w:t xml:space="preserve">. </w:t>
      </w:r>
      <w:r w:rsidRPr="009C666F">
        <w:t>The number of projects and compliance rate is the same as above.</w:t>
      </w:r>
    </w:p>
    <w:p w:rsidR="00A91C29" w:rsidRPr="009C666F" w:rsidP="00A053BB" w14:paraId="7473F2A3" w14:textId="77777777">
      <w:pPr>
        <w:widowControl/>
      </w:pPr>
    </w:p>
    <w:p w:rsidR="00A91C29" w:rsidRPr="009C666F" w:rsidP="00681DEC" w14:paraId="1F3042E4" w14:textId="6AAE851D">
      <w:pPr>
        <w:widowControl/>
        <w:ind w:firstLine="720"/>
      </w:pPr>
      <w:r w:rsidRPr="009C666F">
        <w:rPr>
          <w:b/>
          <w:bCs/>
        </w:rPr>
        <w:t>Burden hours:</w:t>
      </w:r>
      <w:r w:rsidRPr="009C666F">
        <w:tab/>
      </w:r>
      <w:r w:rsidR="00D30717">
        <w:t xml:space="preserve">6,043,039 </w:t>
      </w:r>
      <w:r w:rsidRPr="007A3D52" w:rsidR="007A3D52">
        <w:t>5</w:t>
      </w:r>
      <w:r w:rsidRPr="009C666F">
        <w:t xml:space="preserve"> projects × </w:t>
      </w:r>
      <w:r w:rsidRPr="009C666F" w:rsidR="000F47E9">
        <w:t>5/60</w:t>
      </w:r>
      <w:r w:rsidRPr="009C666F">
        <w:t xml:space="preserve"> hour = </w:t>
      </w:r>
      <w:r w:rsidR="00E53769">
        <w:t>503,587</w:t>
      </w:r>
      <w:r w:rsidRPr="009C666F" w:rsidR="002A458E">
        <w:t xml:space="preserve"> </w:t>
      </w:r>
      <w:r w:rsidRPr="009C666F">
        <w:t>hours</w:t>
      </w:r>
    </w:p>
    <w:p w:rsidR="00A91C29" w:rsidRPr="009C666F" w:rsidP="00A053BB" w14:paraId="1982D90E" w14:textId="276F55F5">
      <w:pPr>
        <w:widowControl/>
        <w:ind w:left="720" w:firstLine="720"/>
      </w:pPr>
      <w:r w:rsidRPr="009C666F">
        <w:rPr>
          <w:b/>
          <w:bCs/>
        </w:rPr>
        <w:t xml:space="preserve">   Cost:</w:t>
      </w:r>
      <w:r w:rsidRPr="009C666F" w:rsidR="00F97444">
        <w:tab/>
      </w:r>
      <w:r w:rsidR="00E53769">
        <w:t>503</w:t>
      </w:r>
      <w:r w:rsidR="007D3928">
        <w:t xml:space="preserve">,587 </w:t>
      </w:r>
      <w:r w:rsidRPr="009C666F" w:rsidR="00F97444">
        <w:t>hours ×</w:t>
      </w:r>
      <w:r w:rsidRPr="00B04160" w:rsidR="00B04160">
        <w:t xml:space="preserve"> $</w:t>
      </w:r>
      <w:r w:rsidR="00B72925">
        <w:t>50.04</w:t>
      </w:r>
      <w:r w:rsidRPr="009C666F" w:rsidR="00F97444">
        <w:t xml:space="preserve"> = </w:t>
      </w:r>
      <w:r w:rsidRPr="000910DB" w:rsidR="000910DB">
        <w:t>$</w:t>
      </w:r>
      <w:r w:rsidR="00B72925">
        <w:t>25,199,472</w:t>
      </w:r>
      <w:r w:rsidR="00D6153B">
        <w:t xml:space="preserve"> </w:t>
      </w:r>
    </w:p>
    <w:p w:rsidR="00A91C29" w:rsidRPr="009C666F" w:rsidP="00921C5B" w14:paraId="4BCDB8B7" w14:textId="77777777">
      <w:pPr>
        <w:pStyle w:val="BodyText"/>
        <w:rPr>
          <w:u w:val="single"/>
        </w:rPr>
      </w:pPr>
      <w:r w:rsidRPr="009C666F">
        <w:rPr>
          <w:u w:val="single"/>
        </w:rPr>
        <w:t>Notification by contractors to owners on asbestos remaining in the building</w:t>
      </w:r>
    </w:p>
    <w:p w:rsidR="00A91C29" w:rsidRPr="009C666F" w:rsidP="00921C5B" w14:paraId="2E341B06" w14:textId="71EA510E">
      <w:pPr>
        <w:pStyle w:val="BodyText"/>
      </w:pPr>
      <w:r>
        <w:t>Within 10 days after a job is completed, employers whose employees have performed the asbestos work must inform the building owners of remaining asbestos. OSHA assumes that some of the job sites involve new construction and therefore the number of this type of notification is less than the projects above, i.e. (60</w:t>
      </w:r>
      <w:r w:rsidR="006069F7">
        <w:t xml:space="preserve"> percent</w:t>
      </w:r>
      <w:r>
        <w:t xml:space="preserve"> of</w:t>
      </w:r>
      <w:r w:rsidR="008C78EF">
        <w:t xml:space="preserve"> </w:t>
      </w:r>
      <w:r w:rsidR="00C244CC">
        <w:t>10,340,309</w:t>
      </w:r>
      <w:r w:rsidR="00BC4F84">
        <w:t xml:space="preserve"> projects</w:t>
      </w:r>
      <w:r>
        <w:t>) because once a job is</w:t>
      </w:r>
      <w:r w:rsidRPr="499FAB42" w:rsidR="28686756">
        <w:t xml:space="preserve"> </w:t>
      </w:r>
      <w:r>
        <w:t>completed, the asbestos products would be intact and would not result in friable conditions that would require notification. The compliance rate is the same as above. OSHA estimates a contractor takes 5 minutes</w:t>
      </w:r>
      <w:r w:rsidR="000F47E9">
        <w:t xml:space="preserve"> (5/60 hour)</w:t>
      </w:r>
      <w:r>
        <w:t>, to perform this notification.</w:t>
      </w:r>
    </w:p>
    <w:p w:rsidR="00A91C29" w:rsidRPr="009C666F" w:rsidP="00681DEC" w14:paraId="1FFD8727" w14:textId="501CAD5D">
      <w:pPr>
        <w:widowControl/>
        <w:ind w:firstLine="720"/>
      </w:pPr>
      <w:r w:rsidRPr="009C666F">
        <w:rPr>
          <w:b/>
          <w:bCs/>
        </w:rPr>
        <w:t>Burden hours:</w:t>
      </w:r>
      <w:r w:rsidRPr="009C666F">
        <w:tab/>
      </w:r>
      <w:r w:rsidR="00077F12">
        <w:t xml:space="preserve">6,043,039 </w:t>
      </w:r>
      <w:r w:rsidRPr="00C244CC" w:rsidR="00C244CC">
        <w:t>5</w:t>
      </w:r>
      <w:r w:rsidRPr="009C666F" w:rsidR="00682914">
        <w:t xml:space="preserve"> </w:t>
      </w:r>
      <w:r w:rsidRPr="009C666F">
        <w:t xml:space="preserve">projects × </w:t>
      </w:r>
      <w:r w:rsidRPr="009C666F" w:rsidR="000F47E9">
        <w:t>5/60</w:t>
      </w:r>
      <w:r w:rsidRPr="009C666F">
        <w:t xml:space="preserve"> hour </w:t>
      </w:r>
      <w:r w:rsidRPr="009C666F" w:rsidR="00BC4F84">
        <w:t xml:space="preserve">= </w:t>
      </w:r>
      <w:r w:rsidR="006425B4">
        <w:t>503,58</w:t>
      </w:r>
      <w:r w:rsidR="003D0763">
        <w:t>7</w:t>
      </w:r>
      <w:r w:rsidRPr="009C666F" w:rsidR="002A458E">
        <w:t xml:space="preserve"> </w:t>
      </w:r>
      <w:r w:rsidRPr="009C666F">
        <w:t>hours</w:t>
      </w:r>
    </w:p>
    <w:p w:rsidR="00A91C29" w:rsidRPr="009C666F" w:rsidP="00A053BB" w14:paraId="5C36B211" w14:textId="3EECE2D1">
      <w:pPr>
        <w:widowControl/>
        <w:ind w:left="720" w:firstLine="720"/>
      </w:pPr>
      <w:r w:rsidRPr="009C666F">
        <w:rPr>
          <w:b/>
          <w:bCs/>
        </w:rPr>
        <w:t xml:space="preserve">   Cost:</w:t>
      </w:r>
      <w:r w:rsidRPr="009C666F" w:rsidR="00F97444">
        <w:tab/>
      </w:r>
      <w:r w:rsidR="003D0763">
        <w:t>503,587</w:t>
      </w:r>
      <w:r w:rsidRPr="009C666F" w:rsidR="002A458E">
        <w:t xml:space="preserve"> </w:t>
      </w:r>
      <w:r w:rsidRPr="009C666F" w:rsidR="00F97444">
        <w:t xml:space="preserve">hours × </w:t>
      </w:r>
      <w:r w:rsidRPr="00B04160" w:rsidR="00B04160">
        <w:t>$</w:t>
      </w:r>
      <w:r w:rsidR="00B571A3">
        <w:t>50.04</w:t>
      </w:r>
      <w:r w:rsidR="00EC7D03">
        <w:t xml:space="preserve"> </w:t>
      </w:r>
      <w:r w:rsidRPr="009C666F" w:rsidR="00F97444">
        <w:t xml:space="preserve"> =</w:t>
      </w:r>
      <w:r w:rsidRPr="00B04160" w:rsidR="00B04160">
        <w:t xml:space="preserve"> </w:t>
      </w:r>
      <w:r w:rsidR="00CA4E1D">
        <w:t>$</w:t>
      </w:r>
      <w:r w:rsidR="00C47F6E">
        <w:t>25,</w:t>
      </w:r>
      <w:r w:rsidR="009F4537">
        <w:t>199,472</w:t>
      </w:r>
    </w:p>
    <w:p w:rsidR="00A91C29" w:rsidRPr="009C666F" w:rsidP="00921C5B" w14:paraId="395A1A48" w14:textId="77777777">
      <w:pPr>
        <w:pStyle w:val="BodyText"/>
      </w:pPr>
      <w:r w:rsidRPr="009C666F">
        <w:t>In addition to the above requirements, all employers who discover ACM and/or PACM on a worksite must convey information concerning the presence, location and quantity of the newly discovered ACM and/or PACM to the owner and to other employers of employees working at the work site, within 24 hours of the discovery. The burden for this activity has been accounted for in the above notification estimates.</w:t>
      </w:r>
    </w:p>
    <w:p w:rsidR="00921C5B" w:rsidRPr="009C666F" w:rsidP="00921C5B" w14:paraId="50AF0968" w14:textId="77777777">
      <w:pPr>
        <w:pStyle w:val="BodyText"/>
        <w:rPr>
          <w:u w:val="single"/>
        </w:rPr>
      </w:pPr>
      <w:r w:rsidRPr="009C666F">
        <w:rPr>
          <w:u w:val="single"/>
        </w:rPr>
        <w:t>Criteria to rebut the designation of installed material as PACM</w:t>
      </w:r>
    </w:p>
    <w:p w:rsidR="00921C5B" w:rsidRPr="009C666F" w:rsidP="00921C5B" w14:paraId="6608BF09" w14:textId="77777777">
      <w:pPr>
        <w:pStyle w:val="BodyText"/>
      </w:pPr>
      <w:r w:rsidRPr="009C666F">
        <w:t xml:space="preserve">This evaluation was to be conducted for buildings constructed before 1981. The evaluation was for one time only. Therefore, the Agency assumes that all buildings before 1981 have been evaluated and </w:t>
      </w:r>
      <w:r w:rsidRPr="009C666F" w:rsidR="00B37CD8">
        <w:t xml:space="preserve">the </w:t>
      </w:r>
      <w:r w:rsidRPr="009C666F">
        <w:t>burden has been taken in previous information collection requests; thus no burden will be incurred for this provision.</w:t>
      </w:r>
    </w:p>
    <w:p w:rsidR="00921C5B" w:rsidRPr="009C666F" w:rsidP="00921C5B" w14:paraId="78959774" w14:textId="77777777">
      <w:pPr>
        <w:pStyle w:val="BodyText"/>
        <w:rPr>
          <w:u w:val="single"/>
        </w:rPr>
      </w:pPr>
      <w:r w:rsidRPr="009C666F">
        <w:rPr>
          <w:u w:val="single"/>
        </w:rPr>
        <w:t>Warning signs</w:t>
      </w:r>
    </w:p>
    <w:p w:rsidR="00921C5B" w:rsidRPr="009C666F" w:rsidP="00921C5B" w14:paraId="1DE03F85" w14:textId="77777777">
      <w:pPr>
        <w:pStyle w:val="BodyText"/>
      </w:pPr>
      <w:r w:rsidRPr="009C666F">
        <w:t>The paragraph requires that warning signs be posted and displayed at each regulated area. The standard provides the language to be included on the signs, therefore</w:t>
      </w:r>
      <w:r w:rsidRPr="009C666F" w:rsidR="004746DE">
        <w:t>,</w:t>
      </w:r>
      <w:r w:rsidRPr="009C666F">
        <w:t xml:space="preserve"> no burden is assumed for this provision.</w:t>
      </w:r>
    </w:p>
    <w:p w:rsidR="00921C5B" w:rsidRPr="009C666F" w:rsidP="00921C5B" w14:paraId="3EF186E4" w14:textId="77777777">
      <w:pPr>
        <w:pStyle w:val="BodyText"/>
        <w:rPr>
          <w:u w:val="single"/>
        </w:rPr>
      </w:pPr>
      <w:r w:rsidRPr="009C666F">
        <w:rPr>
          <w:u w:val="single"/>
        </w:rPr>
        <w:t>Labels</w:t>
      </w:r>
    </w:p>
    <w:p w:rsidR="00921C5B" w:rsidRPr="009C666F" w:rsidP="00921C5B" w14:paraId="52D0ADCC" w14:textId="77777777">
      <w:pPr>
        <w:pStyle w:val="BodyText"/>
      </w:pPr>
      <w:r w:rsidRPr="009C666F">
        <w:t>Employers must affix labels to all products containing asbestos and to all containers containing such products. The standard provides the language to be included on the labels, therefore no burden is assumed for this provision.</w:t>
      </w:r>
    </w:p>
    <w:p w:rsidR="00921C5B" w:rsidRPr="009C666F" w:rsidP="00921C5B" w14:paraId="2AA84433" w14:textId="77777777">
      <w:pPr>
        <w:pStyle w:val="BodyText"/>
        <w:rPr>
          <w:u w:val="single"/>
        </w:rPr>
      </w:pPr>
      <w:r w:rsidRPr="009C666F">
        <w:rPr>
          <w:u w:val="single"/>
        </w:rPr>
        <w:t>Employee information and training (Qualified Person Training)</w:t>
      </w:r>
    </w:p>
    <w:p w:rsidR="00682914" w:rsidRPr="009C666F" w:rsidP="00921C5B" w14:paraId="144D313F" w14:textId="77777777">
      <w:pPr>
        <w:pStyle w:val="BodyText"/>
        <w:rPr>
          <w:bCs/>
        </w:rPr>
      </w:pPr>
      <w:r w:rsidRPr="009C666F">
        <w:rPr>
          <w:bCs/>
        </w:rPr>
        <w:t>See discussion of training in Item 2, above.</w:t>
      </w:r>
    </w:p>
    <w:p w:rsidR="00A91C29" w:rsidRPr="009C666F" w:rsidP="00C67385" w14:paraId="38A24A52" w14:textId="6BFB2A88">
      <w:pPr>
        <w:pStyle w:val="Heading3"/>
        <w:rPr>
          <w:u w:val="single"/>
        </w:rPr>
      </w:pPr>
      <w:r w:rsidRPr="009C666F">
        <w:t>Medical surveillance (§1926.1101(m))</w:t>
      </w:r>
      <w:r w:rsidR="00024270">
        <w:t xml:space="preserve"> </w:t>
      </w:r>
      <w:r w:rsidRPr="009C666F">
        <w:rPr>
          <w:u w:val="single"/>
        </w:rPr>
        <w:t>Medical examinations</w:t>
      </w:r>
    </w:p>
    <w:p w:rsidR="00A91C29" w:rsidRPr="009C666F" w:rsidP="00921C5B" w14:paraId="4509F48B" w14:textId="7574BFA7">
      <w:pPr>
        <w:pStyle w:val="BodyText"/>
      </w:pPr>
      <w:r w:rsidRPr="00872CE2">
        <w:t>OSHA e</w:t>
      </w:r>
      <w:r w:rsidRPr="00872CE2" w:rsidR="00316124">
        <w:t xml:space="preserve">stimates </w:t>
      </w:r>
      <w:r w:rsidRPr="00872CE2" w:rsidR="00547928">
        <w:t xml:space="preserve">that </w:t>
      </w:r>
      <w:r w:rsidRPr="00872CE2" w:rsidR="00316124">
        <w:t>22</w:t>
      </w:r>
      <w:r w:rsidRPr="00872CE2" w:rsidR="006069F7">
        <w:t xml:space="preserve"> percent</w:t>
      </w:r>
      <w:r w:rsidRPr="00872CE2" w:rsidR="00316124">
        <w:t xml:space="preserve"> of </w:t>
      </w:r>
      <w:r w:rsidR="00DD0327">
        <w:t>370,642</w:t>
      </w:r>
      <w:r w:rsidRPr="00872CE2" w:rsidR="00217D80">
        <w:t xml:space="preserve"> </w:t>
      </w:r>
      <w:r w:rsidRPr="00872CE2" w:rsidR="00316124">
        <w:t xml:space="preserve">workers, </w:t>
      </w:r>
      <w:r w:rsidR="00EA0AEC">
        <w:t>81,541</w:t>
      </w:r>
      <w:r w:rsidRPr="00872CE2" w:rsidR="000C62F5">
        <w:t xml:space="preserve"> </w:t>
      </w:r>
      <w:r w:rsidRPr="00872CE2" w:rsidR="00316124">
        <w:t>worker</w:t>
      </w:r>
      <w:r w:rsidRPr="00872CE2">
        <w:t>s, require examinations annually</w:t>
      </w:r>
      <w:r w:rsidRPr="00872CE2" w:rsidR="000C62F5">
        <w:t xml:space="preserve">. An employee turnover rate (current and new workers) of </w:t>
      </w:r>
      <w:r w:rsidR="00DF689B">
        <w:t xml:space="preserve">52.6 </w:t>
      </w:r>
      <w:r w:rsidRPr="00872CE2" w:rsidR="00DF689B">
        <w:t>percent</w:t>
      </w:r>
      <w:r w:rsidRPr="00872CE2" w:rsidR="000C62F5">
        <w:t xml:space="preserve"> is considered in the </w:t>
      </w:r>
      <w:r w:rsidRPr="00872CE2" w:rsidR="00AE179A">
        <w:t xml:space="preserve">next </w:t>
      </w:r>
      <w:r w:rsidRPr="00872CE2" w:rsidR="000C62F5">
        <w:t>calculation.</w:t>
      </w:r>
      <w:r>
        <w:rPr>
          <w:rStyle w:val="FootnoteReference"/>
          <w:vertAlign w:val="superscript"/>
        </w:rPr>
        <w:footnoteReference w:id="12"/>
      </w:r>
      <w:r w:rsidRPr="00872CE2" w:rsidR="000C62F5">
        <w:t xml:space="preserve">  This yields an estimated</w:t>
      </w:r>
      <w:r w:rsidR="00106E21">
        <w:t xml:space="preserve"> </w:t>
      </w:r>
      <w:r w:rsidR="007751A4">
        <w:t>124,432</w:t>
      </w:r>
      <w:r w:rsidRPr="00872CE2" w:rsidR="007751A4">
        <w:t xml:space="preserve"> workers</w:t>
      </w:r>
      <w:r w:rsidRPr="00872CE2" w:rsidR="000C62F5">
        <w:t xml:space="preserve"> (</w:t>
      </w:r>
      <w:r w:rsidR="00F13ADE">
        <w:t xml:space="preserve">81,541 </w:t>
      </w:r>
      <w:r w:rsidRPr="00872CE2" w:rsidR="00F13ADE">
        <w:t>×</w:t>
      </w:r>
      <w:r w:rsidRPr="00872CE2" w:rsidR="00FB676C">
        <w:t xml:space="preserve"> </w:t>
      </w:r>
      <w:r w:rsidRPr="00872CE2" w:rsidR="000C62F5">
        <w:t>1.</w:t>
      </w:r>
      <w:r w:rsidR="00B77EF4">
        <w:t>526</w:t>
      </w:r>
      <w:r w:rsidRPr="00872CE2" w:rsidR="000C62F5">
        <w:t>).</w:t>
      </w:r>
      <w:r w:rsidRPr="00872CE2">
        <w:t xml:space="preserve"> </w:t>
      </w:r>
      <w:r w:rsidRPr="00872CE2" w:rsidR="000C62F5">
        <w:t>I</w:t>
      </w:r>
      <w:r w:rsidRPr="00872CE2">
        <w:t>t takes an</w:t>
      </w:r>
      <w:r w:rsidRPr="00872CE2" w:rsidR="00316124">
        <w:t xml:space="preserve"> estimated 1.5 hours</w:t>
      </w:r>
      <w:r w:rsidRPr="00872CE2" w:rsidR="000F47E9">
        <w:t xml:space="preserve"> (90/60 hour)</w:t>
      </w:r>
      <w:r w:rsidRPr="00872CE2" w:rsidR="00316124">
        <w:t xml:space="preserve"> of worker</w:t>
      </w:r>
      <w:r w:rsidRPr="00872CE2">
        <w:t xml:space="preserve"> time per examination (this includes 30 minutes of travel time). </w:t>
      </w:r>
    </w:p>
    <w:p w:rsidR="00A91C29" w:rsidRPr="009C666F" w:rsidP="00A053BB" w14:paraId="12438637" w14:textId="7BE57007">
      <w:pPr>
        <w:widowControl/>
        <w:ind w:firstLine="720"/>
      </w:pPr>
      <w:r w:rsidRPr="009C666F">
        <w:rPr>
          <w:b/>
          <w:bCs/>
        </w:rPr>
        <w:t>Burden hours:</w:t>
      </w:r>
      <w:r w:rsidRPr="009C666F">
        <w:rPr>
          <w:b/>
          <w:bCs/>
        </w:rPr>
        <w:tab/>
      </w:r>
      <w:r w:rsidR="00EB4F1D">
        <w:t>124,432</w:t>
      </w:r>
      <w:r w:rsidRPr="009C666F" w:rsidR="00AC7460">
        <w:t xml:space="preserve"> </w:t>
      </w:r>
      <w:r w:rsidRPr="009C666F" w:rsidR="00316124">
        <w:t>worker</w:t>
      </w:r>
      <w:r w:rsidRPr="009C666F">
        <w:t xml:space="preserve">s × 1 per year × </w:t>
      </w:r>
      <w:r w:rsidRPr="009C666F" w:rsidR="000F47E9">
        <w:t>90/60</w:t>
      </w:r>
      <w:r w:rsidRPr="009C666F">
        <w:t xml:space="preserve"> hour =</w:t>
      </w:r>
      <w:r w:rsidRPr="009C666F" w:rsidR="00AC7460">
        <w:t xml:space="preserve"> </w:t>
      </w:r>
      <w:r w:rsidR="001C6334">
        <w:t xml:space="preserve">186,648 </w:t>
      </w:r>
      <w:r w:rsidRPr="009C666F">
        <w:t xml:space="preserve"> </w:t>
      </w:r>
      <w:r w:rsidRPr="009C666F" w:rsidR="008C032F">
        <w:tab/>
      </w:r>
      <w:r w:rsidRPr="009C666F" w:rsidR="008C032F">
        <w:tab/>
      </w:r>
    </w:p>
    <w:p w:rsidR="00757689" w:rsidP="00C67385" w14:paraId="0D976988" w14:textId="77777777">
      <w:pPr>
        <w:widowControl/>
      </w:pPr>
      <w:r w:rsidRPr="009C666F">
        <w:rPr>
          <w:b/>
          <w:bCs/>
        </w:rPr>
        <w:t xml:space="preserve">   </w:t>
      </w:r>
      <w:r w:rsidRPr="009C666F" w:rsidR="00A91C29">
        <w:rPr>
          <w:b/>
          <w:bCs/>
        </w:rPr>
        <w:t>Cost:</w:t>
      </w:r>
      <w:r w:rsidRPr="009C666F" w:rsidR="00316124">
        <w:tab/>
      </w:r>
      <w:r w:rsidR="00A91164">
        <w:t>186,648</w:t>
      </w:r>
      <w:r w:rsidRPr="009C666F" w:rsidR="00AC7460">
        <w:t xml:space="preserve"> </w:t>
      </w:r>
      <w:r w:rsidRPr="009C666F" w:rsidR="00376F76">
        <w:t xml:space="preserve">hours × </w:t>
      </w:r>
      <w:r w:rsidRPr="00206FC7" w:rsidR="00206FC7">
        <w:t>$</w:t>
      </w:r>
      <w:r w:rsidR="00890150">
        <w:t>33.24</w:t>
      </w:r>
      <w:r w:rsidRPr="009C666F" w:rsidR="00376F76">
        <w:t xml:space="preserve"> = </w:t>
      </w:r>
      <w:r w:rsidR="00826A18">
        <w:t>$6,204,180</w:t>
      </w:r>
      <w:r w:rsidR="00BE58D4">
        <w:t xml:space="preserve"> </w:t>
      </w:r>
    </w:p>
    <w:p w:rsidR="00757689" w:rsidP="00C67385" w14:paraId="2C1B330F" w14:textId="77777777">
      <w:pPr>
        <w:widowControl/>
      </w:pPr>
    </w:p>
    <w:p w:rsidR="00A91C29" w:rsidRPr="009C666F" w:rsidP="00C67385" w14:paraId="3B26DE02" w14:textId="04B84427">
      <w:pPr>
        <w:widowControl/>
        <w:rPr>
          <w:u w:val="single"/>
        </w:rPr>
      </w:pPr>
      <w:r w:rsidRPr="009C666F">
        <w:rPr>
          <w:u w:val="single"/>
        </w:rPr>
        <w:t>Medical questionnaire</w:t>
      </w:r>
      <w:r w:rsidRPr="009C666F">
        <w:t xml:space="preserve"> (</w:t>
      </w:r>
      <w:r w:rsidRPr="009C666F">
        <w:rPr>
          <w:b/>
          <w:bCs/>
        </w:rPr>
        <w:t>§</w:t>
      </w:r>
      <w:r w:rsidRPr="009C666F">
        <w:t>1926.1101(m)(2)(ii)(B)) Part I</w:t>
      </w:r>
    </w:p>
    <w:p w:rsidR="00A91C29" w:rsidRPr="009C666F" w:rsidP="00921C5B" w14:paraId="5D1FD063" w14:textId="7E2D8444">
      <w:pPr>
        <w:pStyle w:val="BodyText"/>
      </w:pPr>
      <w:r w:rsidRPr="009C666F">
        <w:t xml:space="preserve">As part of the initial examination, Part I of a medical questionnaire is administered. The number of new employees is based on a </w:t>
      </w:r>
      <w:r w:rsidR="00CF56D1">
        <w:t>52.6</w:t>
      </w:r>
      <w:r w:rsidRPr="009C666F">
        <w:t xml:space="preserve"> percent turnover rate for employees, applied to the 22 percent of </w:t>
      </w:r>
      <w:r w:rsidR="00F615C9">
        <w:t>370,</w:t>
      </w:r>
      <w:r w:rsidR="007608D0">
        <w:t>642</w:t>
      </w:r>
      <w:r w:rsidRPr="009C666F">
        <w:t xml:space="preserve"> employees, or </w:t>
      </w:r>
      <w:r w:rsidR="001D0524">
        <w:t>81,</w:t>
      </w:r>
      <w:r w:rsidR="00D5752C">
        <w:t>541</w:t>
      </w:r>
      <w:r w:rsidRPr="009C666F">
        <w:t xml:space="preserve"> employees, subject to medical surveillance. Thus, there are </w:t>
      </w:r>
      <w:r w:rsidR="00BA0D97">
        <w:t>42,891 new</w:t>
      </w:r>
      <w:r w:rsidRPr="009C666F">
        <w:t xml:space="preserve"> workers (</w:t>
      </w:r>
      <w:r w:rsidR="00D5752C">
        <w:t>81,</w:t>
      </w:r>
      <w:r w:rsidR="0081202C">
        <w:t>541</w:t>
      </w:r>
      <w:r w:rsidRPr="009C666F">
        <w:t xml:space="preserve"> </w:t>
      </w:r>
      <w:r w:rsidR="00084921">
        <w:t>×</w:t>
      </w:r>
      <w:r w:rsidRPr="009C666F">
        <w:t xml:space="preserve"> </w:t>
      </w:r>
      <w:r w:rsidR="0081202C">
        <w:t>52.6</w:t>
      </w:r>
      <w:r w:rsidRPr="009C666F" w:rsidR="00084921">
        <w:t xml:space="preserve"> percent</w:t>
      </w:r>
      <w:r w:rsidRPr="009C666F">
        <w:t>).</w:t>
      </w:r>
      <w:r>
        <w:t xml:space="preserve"> </w:t>
      </w:r>
      <w:r w:rsidRPr="009C666F">
        <w:t>OSHA estimates it takes 30 minutes (</w:t>
      </w:r>
      <w:r w:rsidRPr="009C666F" w:rsidR="000F47E9">
        <w:t>30/60</w:t>
      </w:r>
      <w:r w:rsidRPr="009C666F">
        <w:t xml:space="preserve"> hour) per questionnaire for each new employee to complete the questionnaire. </w:t>
      </w:r>
    </w:p>
    <w:p w:rsidR="00A91C29" w:rsidRPr="009C666F" w:rsidP="00590E81" w14:paraId="5B095025" w14:textId="7FB22436">
      <w:pPr>
        <w:widowControl/>
        <w:ind w:left="720"/>
      </w:pPr>
      <w:r w:rsidRPr="009C666F">
        <w:rPr>
          <w:b/>
          <w:bCs/>
        </w:rPr>
        <w:t>Burden hours:</w:t>
      </w:r>
      <w:r w:rsidRPr="009C666F">
        <w:rPr>
          <w:b/>
          <w:bCs/>
        </w:rPr>
        <w:tab/>
      </w:r>
      <w:r w:rsidR="00F036E2">
        <w:t>42,891</w:t>
      </w:r>
      <w:r w:rsidRPr="009C666F" w:rsidR="002B7571">
        <w:t xml:space="preserve"> </w:t>
      </w:r>
      <w:r w:rsidRPr="009C666F" w:rsidR="00316124">
        <w:t>worker</w:t>
      </w:r>
      <w:r w:rsidRPr="009C666F">
        <w:t xml:space="preserve">s × 1 per year × </w:t>
      </w:r>
      <w:r w:rsidRPr="009C666F" w:rsidR="002B49CB">
        <w:t>30/60</w:t>
      </w:r>
      <w:r w:rsidRPr="009C666F">
        <w:t xml:space="preserve"> hour =</w:t>
      </w:r>
      <w:r w:rsidRPr="009C666F" w:rsidR="002B49CB">
        <w:t xml:space="preserve"> </w:t>
      </w:r>
      <w:r w:rsidR="006B5564">
        <w:t>21,446</w:t>
      </w:r>
      <w:r w:rsidRPr="009C666F" w:rsidR="002B7571">
        <w:t xml:space="preserve"> </w:t>
      </w:r>
      <w:r w:rsidRPr="009C666F">
        <w:t>hours</w:t>
      </w:r>
    </w:p>
    <w:p w:rsidR="00A91C29" w:rsidRPr="009C666F" w:rsidP="00A053BB" w14:paraId="0F547CC7" w14:textId="735BD1E8">
      <w:pPr>
        <w:widowControl/>
        <w:ind w:left="720" w:firstLine="720"/>
      </w:pPr>
      <w:r w:rsidRPr="009C666F">
        <w:rPr>
          <w:b/>
          <w:bCs/>
        </w:rPr>
        <w:t xml:space="preserve">   Cost:</w:t>
      </w:r>
      <w:r w:rsidRPr="009C666F">
        <w:rPr>
          <w:b/>
          <w:bCs/>
        </w:rPr>
        <w:tab/>
      </w:r>
      <w:r w:rsidR="006B5564">
        <w:t>21</w:t>
      </w:r>
      <w:r w:rsidR="00F945E4">
        <w:t>,446</w:t>
      </w:r>
      <w:r w:rsidRPr="009C666F" w:rsidR="00A00B1D">
        <w:t xml:space="preserve"> </w:t>
      </w:r>
      <w:r w:rsidRPr="009C666F" w:rsidR="00316124">
        <w:t xml:space="preserve">hours × </w:t>
      </w:r>
      <w:r w:rsidRPr="00084921" w:rsidR="00084921">
        <w:t>$</w:t>
      </w:r>
      <w:r w:rsidR="007E2569">
        <w:t>3</w:t>
      </w:r>
      <w:r w:rsidR="00AE33DC">
        <w:t>3.24</w:t>
      </w:r>
      <w:r w:rsidRPr="009C666F" w:rsidR="00316124">
        <w:t xml:space="preserve"> = </w:t>
      </w:r>
      <w:r w:rsidRPr="00590E81" w:rsidR="00590E81">
        <w:t>$</w:t>
      </w:r>
      <w:r w:rsidR="00F945E4">
        <w:t>712,848</w:t>
      </w:r>
      <w:r w:rsidR="00CF0ECF">
        <w:t xml:space="preserve"> </w:t>
      </w:r>
    </w:p>
    <w:p w:rsidR="00A91C29" w:rsidRPr="009C666F" w:rsidP="00921C5B" w14:paraId="37438FE5" w14:textId="77777777">
      <w:pPr>
        <w:pStyle w:val="BodyText"/>
      </w:pPr>
      <w:r w:rsidRPr="009C666F">
        <w:rPr>
          <w:u w:val="single"/>
        </w:rPr>
        <w:t>Medical questionnaire</w:t>
      </w:r>
      <w:r w:rsidRPr="009C666F">
        <w:t xml:space="preserve"> (</w:t>
      </w:r>
      <w:r w:rsidRPr="009C666F">
        <w:rPr>
          <w:b/>
          <w:bCs/>
        </w:rPr>
        <w:t>§</w:t>
      </w:r>
      <w:r w:rsidRPr="009C666F">
        <w:t>1926.1101(m)(2)(ii)(B)) Part II</w:t>
      </w:r>
    </w:p>
    <w:p w:rsidR="00A91C29" w:rsidRPr="009C666F" w:rsidP="00921C5B" w14:paraId="729B1A48" w14:textId="0D0EFCE5">
      <w:pPr>
        <w:pStyle w:val="BodyText"/>
      </w:pPr>
      <w:r w:rsidRPr="009C666F">
        <w:t xml:space="preserve">As part of the medical examination, a follow-up medical questionnaire is administered for each employee. </w:t>
      </w:r>
      <w:r w:rsidRPr="009C666F" w:rsidR="00A91D41">
        <w:t xml:space="preserve">The number of employee examinations is based on 22 percent of </w:t>
      </w:r>
      <w:r w:rsidR="006310AB">
        <w:t>370,642</w:t>
      </w:r>
      <w:r w:rsidR="000D4AFF">
        <w:t xml:space="preserve"> </w:t>
      </w:r>
      <w:r w:rsidRPr="009C666F" w:rsidR="00A91D41">
        <w:t xml:space="preserve">employees or </w:t>
      </w:r>
      <w:r w:rsidR="00F22288">
        <w:t xml:space="preserve">81,541 </w:t>
      </w:r>
      <w:r w:rsidRPr="009C666F" w:rsidR="00F22288">
        <w:t>employees</w:t>
      </w:r>
      <w:r w:rsidRPr="009C666F" w:rsidR="00A91D41">
        <w:t xml:space="preserve"> subject to medical surveillance.</w:t>
      </w:r>
      <w:r w:rsidR="00A91D41">
        <w:t xml:space="preserve"> </w:t>
      </w:r>
      <w:r w:rsidRPr="009C666F">
        <w:t>The abbreviated questionnaire takes an employee 10 minutes (</w:t>
      </w:r>
      <w:r w:rsidRPr="009C666F" w:rsidR="002B49CB">
        <w:t>10/60</w:t>
      </w:r>
      <w:r w:rsidRPr="009C666F">
        <w:t xml:space="preserve"> hour) to complete. </w:t>
      </w:r>
    </w:p>
    <w:p w:rsidR="00B265C2" w:rsidRPr="009C666F" w:rsidP="00A053BB" w14:paraId="434C2761" w14:textId="77777777">
      <w:pPr>
        <w:widowControl/>
      </w:pPr>
    </w:p>
    <w:p w:rsidR="00A91C29" w:rsidRPr="009C666F" w:rsidP="00681DEC" w14:paraId="5B8F8B61" w14:textId="5BE4CB97">
      <w:pPr>
        <w:widowControl/>
        <w:ind w:firstLine="720"/>
        <w:rPr>
          <w:b/>
          <w:bCs/>
        </w:rPr>
      </w:pPr>
      <w:r w:rsidRPr="009C666F">
        <w:rPr>
          <w:b/>
          <w:bCs/>
        </w:rPr>
        <w:t>Burden hours:</w:t>
      </w:r>
      <w:r w:rsidRPr="009C666F">
        <w:rPr>
          <w:b/>
          <w:bCs/>
        </w:rPr>
        <w:tab/>
      </w:r>
      <w:r w:rsidR="00E364FF">
        <w:t>81,541</w:t>
      </w:r>
      <w:r w:rsidRPr="009C666F" w:rsidR="00316124">
        <w:t xml:space="preserve"> worker</w:t>
      </w:r>
      <w:r w:rsidRPr="009C666F">
        <w:t xml:space="preserve">s × 1 per year × </w:t>
      </w:r>
      <w:r w:rsidRPr="009C666F" w:rsidR="002B49CB">
        <w:t>10/60</w:t>
      </w:r>
      <w:r w:rsidRPr="009C666F">
        <w:t xml:space="preserve"> hour = </w:t>
      </w:r>
      <w:r w:rsidR="00E364FF">
        <w:t>13,590</w:t>
      </w:r>
      <w:r w:rsidR="00CC330A">
        <w:t xml:space="preserve"> hours</w:t>
      </w:r>
    </w:p>
    <w:p w:rsidR="00A91C29" w:rsidRPr="009C666F" w:rsidP="00681DEC" w14:paraId="2CE2EB98" w14:textId="404A579B">
      <w:pPr>
        <w:widowControl/>
        <w:ind w:firstLine="720"/>
      </w:pPr>
      <w:r w:rsidRPr="009C666F">
        <w:rPr>
          <w:b/>
          <w:bCs/>
        </w:rPr>
        <w:t xml:space="preserve">   </w:t>
      </w:r>
      <w:r w:rsidR="00AA2754">
        <w:rPr>
          <w:b/>
          <w:bCs/>
        </w:rPr>
        <w:tab/>
        <w:t xml:space="preserve">   </w:t>
      </w:r>
      <w:r w:rsidRPr="009C666F">
        <w:rPr>
          <w:b/>
          <w:bCs/>
        </w:rPr>
        <w:t>Cost:</w:t>
      </w:r>
      <w:r w:rsidR="00267225">
        <w:t>13,590</w:t>
      </w:r>
      <w:r w:rsidRPr="009C666F" w:rsidR="00845178">
        <w:t xml:space="preserve"> </w:t>
      </w:r>
      <w:r w:rsidRPr="009C666F" w:rsidR="00316124">
        <w:t xml:space="preserve">hours × </w:t>
      </w:r>
      <w:r w:rsidRPr="00C10B68" w:rsidR="00C10B68">
        <w:t>$</w:t>
      </w:r>
      <w:r w:rsidR="00716F51">
        <w:t>33.24</w:t>
      </w:r>
      <w:r w:rsidRPr="009C666F" w:rsidR="00316124">
        <w:t xml:space="preserve"> = </w:t>
      </w:r>
      <w:r w:rsidRPr="00845178" w:rsidR="00845178">
        <w:t>$</w:t>
      </w:r>
      <w:r w:rsidR="00267225">
        <w:t>451,739</w:t>
      </w:r>
    </w:p>
    <w:p w:rsidR="00A91C29" w:rsidRPr="009C666F" w:rsidP="00921C5B" w14:paraId="1874FA84" w14:textId="77777777">
      <w:pPr>
        <w:pStyle w:val="BodyText"/>
      </w:pPr>
      <w:r w:rsidRPr="009C666F">
        <w:rPr>
          <w:u w:val="single"/>
        </w:rPr>
        <w:t xml:space="preserve">Information provided to the physician </w:t>
      </w:r>
      <w:r w:rsidRPr="009C666F">
        <w:t>(</w:t>
      </w:r>
      <w:r w:rsidRPr="009C666F">
        <w:rPr>
          <w:b/>
          <w:bCs/>
        </w:rPr>
        <w:t>§</w:t>
      </w:r>
      <w:r w:rsidRPr="009C666F">
        <w:t>1926.1101(m)(3))</w:t>
      </w:r>
    </w:p>
    <w:p w:rsidR="00A91C29" w:rsidRPr="009C666F" w:rsidP="00921C5B" w14:paraId="5ABB5AB1" w14:textId="7A64828B">
      <w:pPr>
        <w:pStyle w:val="BodyText"/>
      </w:pPr>
      <w:r w:rsidRPr="009C666F">
        <w:t>Employers must provide information to the physician for the</w:t>
      </w:r>
      <w:r w:rsidRPr="00F22288">
        <w:t xml:space="preserve"> </w:t>
      </w:r>
      <w:r w:rsidRPr="00723AA5" w:rsidR="0009759C">
        <w:t>81,541</w:t>
      </w:r>
      <w:r w:rsidRPr="009C666F">
        <w:t xml:space="preserve"> existing employees and, using a </w:t>
      </w:r>
      <w:r w:rsidR="00211B80">
        <w:t>52.6</w:t>
      </w:r>
      <w:r w:rsidRPr="009C666F" w:rsidR="006069F7">
        <w:t xml:space="preserve"> percent</w:t>
      </w:r>
      <w:r w:rsidRPr="009C666F">
        <w:t xml:space="preserve"> turnov</w:t>
      </w:r>
      <w:r w:rsidRPr="009C666F" w:rsidR="00316124">
        <w:t xml:space="preserve">er rate, for </w:t>
      </w:r>
      <w:r w:rsidR="001C2ED0">
        <w:t>42,891</w:t>
      </w:r>
      <w:r w:rsidR="00590E81">
        <w:t xml:space="preserve"> </w:t>
      </w:r>
      <w:r w:rsidRPr="009C666F" w:rsidR="00316124">
        <w:t>new worker</w:t>
      </w:r>
      <w:r w:rsidRPr="009C666F">
        <w:t xml:space="preserve">s. The total number of examinations that a secretary will provide information to the physician </w:t>
      </w:r>
      <w:r w:rsidRPr="009C666F" w:rsidR="00FC5C51">
        <w:t xml:space="preserve">for </w:t>
      </w:r>
      <w:r w:rsidRPr="009C666F">
        <w:t>is</w:t>
      </w:r>
      <w:r w:rsidRPr="009C666F" w:rsidR="007240EA">
        <w:t xml:space="preserve"> </w:t>
      </w:r>
      <w:r w:rsidR="00914E1E">
        <w:t>124,432</w:t>
      </w:r>
      <w:r w:rsidRPr="009C666F">
        <w:t>.</w:t>
      </w:r>
    </w:p>
    <w:p w:rsidR="00A91C29" w:rsidRPr="009C666F" w:rsidP="00A053BB" w14:paraId="60930FBE" w14:textId="77777777">
      <w:pPr>
        <w:widowControl/>
      </w:pPr>
    </w:p>
    <w:p w:rsidR="00A91C29" w:rsidRPr="008576A9" w:rsidP="00681DEC" w14:paraId="04CFC4E4" w14:textId="64500B68">
      <w:pPr>
        <w:widowControl/>
        <w:ind w:firstLine="720"/>
      </w:pPr>
      <w:r w:rsidRPr="009C666F">
        <w:rPr>
          <w:b/>
          <w:bCs/>
        </w:rPr>
        <w:t>Burden hours:</w:t>
      </w:r>
      <w:r w:rsidRPr="009C666F">
        <w:rPr>
          <w:b/>
          <w:bCs/>
        </w:rPr>
        <w:tab/>
      </w:r>
      <w:r w:rsidRPr="00C67385" w:rsidR="00895D0A">
        <w:t>124</w:t>
      </w:r>
      <w:r w:rsidRPr="00C67385" w:rsidR="00894E98">
        <w:t>,43</w:t>
      </w:r>
      <w:r w:rsidRPr="00C67385" w:rsidR="00914E1E">
        <w:t>2</w:t>
      </w:r>
      <w:r w:rsidRPr="008576A9" w:rsidR="00B53C02">
        <w:t xml:space="preserve"> </w:t>
      </w:r>
      <w:r w:rsidRPr="008576A9">
        <w:t xml:space="preserve">examinations × 1 per year × </w:t>
      </w:r>
      <w:r w:rsidRPr="008576A9" w:rsidR="002B49CB">
        <w:t>5/60</w:t>
      </w:r>
      <w:r w:rsidRPr="008576A9">
        <w:t xml:space="preserve"> hour = </w:t>
      </w:r>
      <w:bookmarkStart w:id="95" w:name="_Hlk168835422"/>
      <w:r w:rsidRPr="008576A9" w:rsidR="007924E6">
        <w:t>10,369</w:t>
      </w:r>
      <w:bookmarkEnd w:id="95"/>
      <w:r w:rsidRPr="008576A9">
        <w:t>hours</w:t>
      </w:r>
    </w:p>
    <w:p w:rsidR="00A91C29" w:rsidRPr="008576A9" w:rsidP="00681DEC" w14:paraId="31C122A4" w14:textId="1B207A7F">
      <w:pPr>
        <w:widowControl/>
        <w:ind w:firstLine="720"/>
      </w:pPr>
      <w:r w:rsidRPr="00C67385">
        <w:t xml:space="preserve"> </w:t>
      </w:r>
      <w:r w:rsidRPr="00C67385" w:rsidR="00AA2754">
        <w:tab/>
      </w:r>
      <w:r w:rsidRPr="00C67385">
        <w:t xml:space="preserve">  Cost:</w:t>
      </w:r>
      <w:r w:rsidRPr="00C67385">
        <w:tab/>
      </w:r>
      <w:r w:rsidRPr="00C67385" w:rsidR="00AA2754">
        <w:tab/>
      </w:r>
      <w:r w:rsidRPr="00C67385" w:rsidR="003A5384">
        <w:t>10,369</w:t>
      </w:r>
      <w:r w:rsidRPr="008576A9" w:rsidR="00B53C02">
        <w:t xml:space="preserve"> </w:t>
      </w:r>
      <w:r w:rsidRPr="008576A9" w:rsidR="001A78D1">
        <w:t>hours ×</w:t>
      </w:r>
      <w:r w:rsidRPr="008576A9" w:rsidR="001E14D5">
        <w:t xml:space="preserve"> $</w:t>
      </w:r>
      <w:r w:rsidRPr="008576A9" w:rsidR="003A5384">
        <w:t>31.</w:t>
      </w:r>
      <w:r w:rsidRPr="008576A9" w:rsidR="00E322E2">
        <w:t>74</w:t>
      </w:r>
      <w:r w:rsidRPr="008576A9" w:rsidR="001A78D1">
        <w:t xml:space="preserve"> = </w:t>
      </w:r>
      <w:r w:rsidRPr="008576A9" w:rsidR="00590E81">
        <w:t>$</w:t>
      </w:r>
      <w:r w:rsidRPr="008576A9" w:rsidR="00081996">
        <w:t>329</w:t>
      </w:r>
      <w:r w:rsidRPr="008576A9" w:rsidR="00207D4A">
        <w:t>,123</w:t>
      </w:r>
    </w:p>
    <w:p w:rsidR="00A91C29" w:rsidRPr="008576A9" w:rsidP="00A053BB" w14:paraId="595AAFD0" w14:textId="77777777">
      <w:pPr>
        <w:widowControl/>
      </w:pPr>
    </w:p>
    <w:p w:rsidR="00A91C29" w:rsidRPr="009C666F" w:rsidP="00921C5B" w14:paraId="0717AE49" w14:textId="77777777">
      <w:pPr>
        <w:pStyle w:val="BodyText"/>
      </w:pPr>
      <w:r w:rsidRPr="009C666F">
        <w:rPr>
          <w:u w:val="single"/>
        </w:rPr>
        <w:t xml:space="preserve">Physician's written opinion </w:t>
      </w:r>
      <w:r w:rsidRPr="009C666F">
        <w:t>(</w:t>
      </w:r>
      <w:r w:rsidRPr="009C666F">
        <w:rPr>
          <w:b/>
          <w:bCs/>
        </w:rPr>
        <w:t>§</w:t>
      </w:r>
      <w:r w:rsidRPr="009C666F">
        <w:t>1926.1101(m)(4))</w:t>
      </w:r>
    </w:p>
    <w:p w:rsidR="00A91C29" w:rsidRPr="009C666F" w:rsidP="00921C5B" w14:paraId="3285D354" w14:textId="0602D1E0">
      <w:pPr>
        <w:pStyle w:val="BodyText"/>
        <w:rPr>
          <w:bCs/>
        </w:rPr>
      </w:pPr>
      <w:r w:rsidRPr="009C666F">
        <w:t xml:space="preserve">As stated above, the estimated number of examinations is based on the </w:t>
      </w:r>
      <w:r w:rsidRPr="009C666F" w:rsidR="00616EA7">
        <w:t xml:space="preserve">total number of </w:t>
      </w:r>
      <w:r w:rsidRPr="009C666F">
        <w:t xml:space="preserve">current and new employees </w:t>
      </w:r>
      <w:r w:rsidRPr="009C666F" w:rsidR="00616EA7">
        <w:t>(</w:t>
      </w:r>
      <w:r w:rsidR="006B102A">
        <w:t>124,432</w:t>
      </w:r>
      <w:r w:rsidRPr="009C666F" w:rsidR="007240EA">
        <w:t xml:space="preserve"> </w:t>
      </w:r>
      <w:r w:rsidRPr="009C666F">
        <w:t>examinations</w:t>
      </w:r>
      <w:r w:rsidRPr="009C666F" w:rsidR="00616EA7">
        <w:t>)</w:t>
      </w:r>
      <w:r w:rsidRPr="009C666F">
        <w:t xml:space="preserve"> and 5 minutes (</w:t>
      </w:r>
      <w:r w:rsidRPr="009C666F" w:rsidR="002B49CB">
        <w:t>5/60</w:t>
      </w:r>
      <w:r w:rsidRPr="009C666F">
        <w:t xml:space="preserve"> hour) of secretarial time</w:t>
      </w:r>
      <w:r w:rsidRPr="009C666F" w:rsidR="00616EA7">
        <w:t xml:space="preserve"> per written opinion</w:t>
      </w:r>
      <w:r w:rsidRPr="009C666F">
        <w:t>.</w:t>
      </w:r>
    </w:p>
    <w:p w:rsidR="00A91C29" w:rsidRPr="008576A9" w:rsidP="00A053BB" w14:paraId="530908D1" w14:textId="480810D6">
      <w:pPr>
        <w:widowControl/>
        <w:ind w:firstLine="720"/>
      </w:pPr>
      <w:r w:rsidRPr="00C67385">
        <w:t>Burden hours:</w:t>
      </w:r>
      <w:r w:rsidRPr="00C67385">
        <w:tab/>
      </w:r>
      <w:r w:rsidRPr="00C67385" w:rsidR="001C5CF8">
        <w:t>124,</w:t>
      </w:r>
      <w:r w:rsidRPr="00C67385" w:rsidR="004C07BB">
        <w:t>432</w:t>
      </w:r>
      <w:r w:rsidRPr="008576A9" w:rsidR="007240EA">
        <w:t xml:space="preserve"> </w:t>
      </w:r>
      <w:r w:rsidRPr="008576A9">
        <w:t xml:space="preserve">examinations × 1 per year × </w:t>
      </w:r>
      <w:r w:rsidRPr="008576A9" w:rsidR="002B49CB">
        <w:t>5/60</w:t>
      </w:r>
      <w:r w:rsidRPr="008576A9">
        <w:t xml:space="preserve"> hour = </w:t>
      </w:r>
      <w:r w:rsidRPr="008576A9" w:rsidR="00354D6A">
        <w:t>10,369</w:t>
      </w:r>
      <w:r w:rsidRPr="008576A9" w:rsidR="00590E81">
        <w:t xml:space="preserve"> </w:t>
      </w:r>
      <w:r w:rsidRPr="008576A9">
        <w:t>hours</w:t>
      </w:r>
    </w:p>
    <w:p w:rsidR="003A7B11" w:rsidRPr="009C666F" w:rsidP="004E7CDA" w14:paraId="0748B468" w14:textId="0385C3BF">
      <w:pPr>
        <w:widowControl/>
        <w:ind w:left="720" w:firstLine="720"/>
        <w:rPr>
          <w:b/>
          <w:bCs/>
        </w:rPr>
      </w:pPr>
      <w:r w:rsidRPr="00C67385">
        <w:t xml:space="preserve">   </w:t>
      </w:r>
      <w:r w:rsidRPr="00C67385" w:rsidR="00A91C29">
        <w:t>Cost:</w:t>
      </w:r>
      <w:r w:rsidRPr="008576A9" w:rsidR="001A78D1">
        <w:tab/>
      </w:r>
      <w:r w:rsidRPr="008576A9" w:rsidR="00354D6A">
        <w:t>10,369</w:t>
      </w:r>
      <w:r w:rsidRPr="009C666F" w:rsidR="00996E0C">
        <w:t xml:space="preserve"> </w:t>
      </w:r>
      <w:r w:rsidRPr="009C666F" w:rsidR="001A78D1">
        <w:t xml:space="preserve">hours × </w:t>
      </w:r>
      <w:r w:rsidRPr="00CA0CF0" w:rsidR="00CA0CF0">
        <w:t>$</w:t>
      </w:r>
      <w:r w:rsidR="004914ED">
        <w:t>31.</w:t>
      </w:r>
      <w:r w:rsidR="009D5952">
        <w:t>74</w:t>
      </w:r>
      <w:r w:rsidRPr="009C666F" w:rsidR="001A78D1">
        <w:t xml:space="preserve"> = </w:t>
      </w:r>
      <w:r w:rsidRPr="00590E81" w:rsidR="00590E81">
        <w:t>$</w:t>
      </w:r>
      <w:r w:rsidR="004914ED">
        <w:t>3</w:t>
      </w:r>
      <w:r w:rsidR="00A57EDA">
        <w:t>29,</w:t>
      </w:r>
      <w:r w:rsidR="001A4BD0">
        <w:t>123</w:t>
      </w:r>
      <w:r w:rsidR="00CF360C">
        <w:t>I</w:t>
      </w:r>
      <w:r w:rsidR="002613EF">
        <w:t xml:space="preserve">. </w:t>
      </w:r>
    </w:p>
    <w:p w:rsidR="00A91C29" w:rsidRPr="009C666F" w:rsidP="00C67385" w14:paraId="0B3DA22C" w14:textId="1BFAD214">
      <w:pPr>
        <w:pStyle w:val="Heading3"/>
        <w:numPr>
          <w:ilvl w:val="0"/>
          <w:numId w:val="0"/>
        </w:numPr>
      </w:pPr>
      <w:r>
        <w:t>I</w:t>
      </w:r>
      <w:r w:rsidR="00AB4DB7">
        <w:t>.</w:t>
      </w:r>
      <w:r>
        <w:t xml:space="preserve"> </w:t>
      </w:r>
      <w:r w:rsidRPr="009C666F">
        <w:t>Recordkeeping (§1926.1101(n))</w:t>
      </w:r>
    </w:p>
    <w:p w:rsidR="00B265C2" w:rsidRPr="009C666F" w:rsidP="00921C5B" w14:paraId="568321CA" w14:textId="72A6A545">
      <w:pPr>
        <w:pStyle w:val="BodyText"/>
        <w:rPr>
          <w:u w:val="single"/>
        </w:rPr>
      </w:pPr>
      <w:r w:rsidRPr="009C666F">
        <w:t>The Agency estimates that it takes a secretary 5 minutes (</w:t>
      </w:r>
      <w:r w:rsidRPr="009C666F" w:rsidR="002B49CB">
        <w:t>5/60</w:t>
      </w:r>
      <w:r w:rsidRPr="009C666F">
        <w:t xml:space="preserve"> hour) to maintain records associated with objective data, exposure monitoring, and medical records. Also a secretary takes 5 minutes to make records available to employees.</w:t>
      </w:r>
    </w:p>
    <w:p w:rsidR="00A91C29" w:rsidRPr="009C666F" w:rsidP="00921C5B" w14:paraId="7FB417DF" w14:textId="77777777">
      <w:pPr>
        <w:pStyle w:val="BodyText"/>
        <w:rPr>
          <w:u w:val="single"/>
        </w:rPr>
      </w:pPr>
      <w:r w:rsidRPr="009C666F">
        <w:rPr>
          <w:u w:val="single"/>
        </w:rPr>
        <w:t>Objective Data</w:t>
      </w:r>
    </w:p>
    <w:p w:rsidR="00A91C29" w:rsidRPr="009C666F" w:rsidP="00921C5B" w14:paraId="3B04CFE1" w14:textId="7E1F354F">
      <w:pPr>
        <w:pStyle w:val="BodyText"/>
      </w:pPr>
      <w:r w:rsidRPr="009C666F">
        <w:t>The Agency assumes that 80</w:t>
      </w:r>
      <w:r w:rsidRPr="009C666F" w:rsidR="006069F7">
        <w:t xml:space="preserve"> percent</w:t>
      </w:r>
      <w:r w:rsidRPr="009C666F">
        <w:t xml:space="preserve"> of the employers will use objective data to exempt themselves from performing exposure monitoring. Therefore, the burden is as follows:</w:t>
      </w:r>
    </w:p>
    <w:p w:rsidR="00A91C29" w:rsidRPr="009C666F" w:rsidP="00A053BB" w14:paraId="42A7CCF8" w14:textId="77777777">
      <w:pPr>
        <w:widowControl/>
      </w:pPr>
    </w:p>
    <w:p w:rsidR="00A91C29" w:rsidRPr="009C666F" w:rsidP="00681DEC" w14:paraId="3A6F24F4" w14:textId="1178E557">
      <w:pPr>
        <w:widowControl/>
        <w:ind w:firstLine="720"/>
        <w:rPr>
          <w:b/>
          <w:bCs/>
        </w:rPr>
      </w:pPr>
      <w:r w:rsidRPr="009C666F">
        <w:rPr>
          <w:b/>
          <w:bCs/>
        </w:rPr>
        <w:t>Burden hours:</w:t>
      </w:r>
      <w:r w:rsidRPr="009C666F" w:rsidR="009F4A3C">
        <w:tab/>
        <w:t>(</w:t>
      </w:r>
      <w:r w:rsidR="00C973CA">
        <w:rPr>
          <w:rFonts w:ascii="TimesNewRomanPSMT" w:hAnsi="TimesNewRomanPSMT" w:cs="TimesNewRomanPSMT"/>
        </w:rPr>
        <w:t>1,075,579</w:t>
      </w:r>
      <w:r w:rsidRPr="009C666F" w:rsidR="007127C4">
        <w:t xml:space="preserve"> </w:t>
      </w:r>
      <w:r w:rsidRPr="009C666F" w:rsidR="00FB676C">
        <w:t>×</w:t>
      </w:r>
      <w:r w:rsidRPr="009C666F">
        <w:t xml:space="preserve"> 80</w:t>
      </w:r>
      <w:r w:rsidRPr="009C666F" w:rsidR="006069F7">
        <w:t xml:space="preserve"> percent</w:t>
      </w:r>
      <w:r w:rsidRPr="009C666F">
        <w:t xml:space="preserve">) × </w:t>
      </w:r>
      <w:r w:rsidRPr="009C666F" w:rsidR="002B49CB">
        <w:t>5/60</w:t>
      </w:r>
      <w:r w:rsidRPr="009C666F">
        <w:t xml:space="preserve"> hour</w:t>
      </w:r>
      <w:r w:rsidRPr="009C666F" w:rsidR="009F4A3C">
        <w:t xml:space="preserve"> = </w:t>
      </w:r>
      <w:r w:rsidR="004C140A">
        <w:t xml:space="preserve">71,705 </w:t>
      </w:r>
      <w:r w:rsidRPr="009C666F" w:rsidR="004C140A">
        <w:t>hours</w:t>
      </w:r>
    </w:p>
    <w:p w:rsidR="00A91C29" w:rsidRPr="009C666F" w:rsidP="00A053BB" w14:paraId="54E97CD5" w14:textId="4DEEC9FA">
      <w:pPr>
        <w:widowControl/>
        <w:ind w:left="720" w:firstLine="720"/>
      </w:pPr>
      <w:r w:rsidRPr="009C666F">
        <w:rPr>
          <w:b/>
          <w:bCs/>
        </w:rPr>
        <w:t xml:space="preserve">   Cost:</w:t>
      </w:r>
      <w:r w:rsidRPr="009C666F">
        <w:rPr>
          <w:b/>
          <w:bCs/>
        </w:rPr>
        <w:tab/>
      </w:r>
      <w:r w:rsidR="004166E4">
        <w:t>71,705</w:t>
      </w:r>
      <w:r w:rsidRPr="009C666F" w:rsidR="00996E0C">
        <w:t xml:space="preserve"> </w:t>
      </w:r>
      <w:r w:rsidRPr="009C666F" w:rsidR="009F4A3C">
        <w:t xml:space="preserve">hours × </w:t>
      </w:r>
      <w:r w:rsidRPr="00FB676C" w:rsidR="00FB676C">
        <w:t>$</w:t>
      </w:r>
      <w:r w:rsidR="002805E3">
        <w:t>31</w:t>
      </w:r>
      <w:r w:rsidR="00887A2A">
        <w:t>.74</w:t>
      </w:r>
      <w:r w:rsidRPr="009C666F" w:rsidR="009F4A3C">
        <w:t xml:space="preserve"> =</w:t>
      </w:r>
      <w:r w:rsidRPr="00590E81" w:rsidR="00590E81">
        <w:t xml:space="preserve"> $</w:t>
      </w:r>
      <w:r w:rsidR="00887A2A">
        <w:t>2,275,925</w:t>
      </w:r>
      <w:r w:rsidR="003741AD">
        <w:t xml:space="preserve"> </w:t>
      </w:r>
    </w:p>
    <w:p w:rsidR="00A91C29" w:rsidRPr="009C666F" w:rsidP="00921C5B" w14:paraId="1C66C934" w14:textId="77777777">
      <w:pPr>
        <w:pStyle w:val="BodyText"/>
        <w:rPr>
          <w:u w:val="single"/>
        </w:rPr>
      </w:pPr>
      <w:r w:rsidRPr="009C666F">
        <w:rPr>
          <w:u w:val="single"/>
        </w:rPr>
        <w:t>Exposure monitoring</w:t>
      </w:r>
    </w:p>
    <w:p w:rsidR="00A91C29" w:rsidRPr="009C666F" w:rsidP="00FB676C" w14:paraId="2E4190DB" w14:textId="06812DEB">
      <w:pPr>
        <w:widowControl/>
        <w:ind w:left="2880" w:hanging="2160"/>
        <w:rPr>
          <w:b/>
          <w:bCs/>
        </w:rPr>
      </w:pPr>
      <w:r w:rsidRPr="009C666F">
        <w:rPr>
          <w:b/>
          <w:bCs/>
        </w:rPr>
        <w:t>Burden hours:</w:t>
      </w:r>
      <w:r w:rsidRPr="009C666F">
        <w:rPr>
          <w:b/>
          <w:bCs/>
        </w:rPr>
        <w:tab/>
      </w:r>
      <w:r w:rsidRPr="009C666F" w:rsidR="009F4A3C">
        <w:t>(</w:t>
      </w:r>
      <w:r w:rsidR="00AF26C5">
        <w:t>1,075,579</w:t>
      </w:r>
      <w:r w:rsidRPr="009C666F" w:rsidR="007127C4">
        <w:t xml:space="preserve"> </w:t>
      </w:r>
      <w:r w:rsidRPr="009C666F">
        <w:t>employers</w:t>
      </w:r>
      <w:r w:rsidR="00FB676C">
        <w:t xml:space="preserve"> × </w:t>
      </w:r>
      <w:r w:rsidRPr="009C666F">
        <w:t>20</w:t>
      </w:r>
      <w:r w:rsidRPr="009C666F" w:rsidR="006069F7">
        <w:t xml:space="preserve"> percent</w:t>
      </w:r>
      <w:r w:rsidRPr="009C666F">
        <w:t>) + 45)</w:t>
      </w:r>
      <w:r w:rsidR="006070B0">
        <w:t>215,</w:t>
      </w:r>
      <w:r w:rsidR="00174D5B">
        <w:t>161</w:t>
      </w:r>
      <w:r w:rsidRPr="009C666F">
        <w:t xml:space="preserve"> × 3 sampl</w:t>
      </w:r>
      <w:r w:rsidRPr="009C666F" w:rsidR="009F4A3C">
        <w:t xml:space="preserve">es per year × </w:t>
      </w:r>
      <w:r w:rsidRPr="009C666F" w:rsidR="002B49CB">
        <w:t>5/60</w:t>
      </w:r>
      <w:r w:rsidR="00FB676C">
        <w:t xml:space="preserve"> </w:t>
      </w:r>
      <w:r w:rsidRPr="009C666F" w:rsidR="009F4A3C">
        <w:t xml:space="preserve">hour = </w:t>
      </w:r>
      <w:r w:rsidR="006D121A">
        <w:t>53,790</w:t>
      </w:r>
      <w:r w:rsidRPr="009C666F" w:rsidR="00996E0C">
        <w:t xml:space="preserve"> </w:t>
      </w:r>
      <w:r w:rsidRPr="009C666F">
        <w:t>hours</w:t>
      </w:r>
    </w:p>
    <w:p w:rsidR="00A91C29" w:rsidRPr="009C666F" w:rsidP="0061400C" w14:paraId="245EE78B" w14:textId="7B12CDCC">
      <w:pPr>
        <w:widowControl/>
        <w:ind w:left="720" w:firstLine="720"/>
      </w:pPr>
      <w:r w:rsidRPr="009C666F">
        <w:rPr>
          <w:b/>
          <w:bCs/>
        </w:rPr>
        <w:t xml:space="preserve">   Cost:</w:t>
      </w:r>
      <w:r w:rsidRPr="009C666F" w:rsidR="009F4A3C">
        <w:tab/>
      </w:r>
      <w:r w:rsidR="004C140A">
        <w:t xml:space="preserve">53,790 </w:t>
      </w:r>
      <w:r w:rsidRPr="009C666F" w:rsidR="004C140A">
        <w:t>hours</w:t>
      </w:r>
      <w:r w:rsidRPr="009C666F" w:rsidR="009F4A3C">
        <w:t xml:space="preserve"> × $</w:t>
      </w:r>
      <w:r w:rsidR="00B0077D">
        <w:t>31.74</w:t>
      </w:r>
      <w:r w:rsidR="00D0610B">
        <w:t xml:space="preserve"> </w:t>
      </w:r>
      <w:r w:rsidR="00DA1EBC">
        <w:t xml:space="preserve"> </w:t>
      </w:r>
      <w:r w:rsidRPr="009C666F" w:rsidR="009F4A3C">
        <w:t xml:space="preserve"> </w:t>
      </w:r>
      <w:r w:rsidRPr="009C666F">
        <w:t xml:space="preserve">= </w:t>
      </w:r>
      <w:r w:rsidRPr="00590E81" w:rsidR="00590E81">
        <w:t>$</w:t>
      </w:r>
      <w:r w:rsidR="00F323C1">
        <w:t>1,</w:t>
      </w:r>
      <w:r w:rsidR="00B0077D">
        <w:t xml:space="preserve">707,303 </w:t>
      </w:r>
      <w:r w:rsidR="00F323C1">
        <w:t xml:space="preserve"> </w:t>
      </w:r>
      <w:r w:rsidR="00F141DB">
        <w:t xml:space="preserve"> </w:t>
      </w:r>
    </w:p>
    <w:p w:rsidR="00A91C29" w:rsidRPr="00F13ADE" w:rsidP="00921C5B" w14:paraId="67E58BFF" w14:textId="77777777">
      <w:pPr>
        <w:pStyle w:val="BodyText"/>
        <w:rPr>
          <w:u w:val="single"/>
        </w:rPr>
      </w:pPr>
      <w:r w:rsidRPr="009C666F">
        <w:rPr>
          <w:u w:val="single"/>
        </w:rPr>
        <w:t>Medical records</w:t>
      </w:r>
    </w:p>
    <w:p w:rsidR="00A91C29" w:rsidRPr="00E23C7B" w:rsidP="00A053BB" w14:paraId="6C38A0EF" w14:textId="0472723C">
      <w:pPr>
        <w:widowControl/>
        <w:ind w:left="2880" w:hanging="2160"/>
      </w:pPr>
      <w:r w:rsidRPr="00F13ADE">
        <w:t>Burden hours:</w:t>
      </w:r>
      <w:r w:rsidRPr="00F13ADE">
        <w:tab/>
      </w:r>
      <w:r w:rsidRPr="00F13ADE" w:rsidR="00BB2C7D">
        <w:t>81,541</w:t>
      </w:r>
      <w:r w:rsidRPr="00F13ADE">
        <w:t xml:space="preserve"> ex</w:t>
      </w:r>
      <w:r w:rsidRPr="00E23C7B">
        <w:t xml:space="preserve">aminations × </w:t>
      </w:r>
      <w:r w:rsidR="00993B0E">
        <w:t xml:space="preserve">1.526 </w:t>
      </w:r>
      <w:r w:rsidRPr="00C02F77">
        <w:t xml:space="preserve">turnover rate × 1 per year × </w:t>
      </w:r>
      <w:r w:rsidRPr="00C02F77" w:rsidR="002B49CB">
        <w:t>5/60</w:t>
      </w:r>
      <w:r w:rsidRPr="00C02F77">
        <w:t xml:space="preserve"> hour =</w:t>
      </w:r>
      <w:r w:rsidRPr="00C02F77" w:rsidR="007240EA">
        <w:t xml:space="preserve"> </w:t>
      </w:r>
      <w:r w:rsidR="00C30077">
        <w:t>10,</w:t>
      </w:r>
      <w:r w:rsidR="003855DB">
        <w:t>369</w:t>
      </w:r>
      <w:r w:rsidRPr="00E23C7B" w:rsidR="00996E0C">
        <w:t xml:space="preserve"> </w:t>
      </w:r>
      <w:r w:rsidRPr="00E23C7B">
        <w:t>hours</w:t>
      </w:r>
    </w:p>
    <w:p w:rsidR="00A91C29" w:rsidRPr="009C666F" w:rsidP="00A053BB" w14:paraId="5382CEDC" w14:textId="70CD685A">
      <w:pPr>
        <w:widowControl/>
        <w:ind w:left="720" w:firstLine="720"/>
      </w:pPr>
      <w:r w:rsidRPr="00E23C7B">
        <w:rPr>
          <w:b/>
          <w:bCs/>
        </w:rPr>
        <w:t xml:space="preserve">   Cost:</w:t>
      </w:r>
      <w:r w:rsidRPr="00C02F77" w:rsidR="009F4A3C">
        <w:tab/>
      </w:r>
      <w:r w:rsidR="0074052E">
        <w:t>10,</w:t>
      </w:r>
      <w:r w:rsidR="00AE0B92">
        <w:t>369</w:t>
      </w:r>
      <w:r w:rsidRPr="00E23C7B" w:rsidR="00996E0C">
        <w:t xml:space="preserve"> </w:t>
      </w:r>
      <w:r w:rsidRPr="00E23C7B" w:rsidR="009F4A3C">
        <w:t xml:space="preserve">hours × </w:t>
      </w:r>
      <w:r w:rsidRPr="00E23C7B" w:rsidR="00FB676C">
        <w:t>$</w:t>
      </w:r>
      <w:r w:rsidR="00465003">
        <w:t>31.74</w:t>
      </w:r>
      <w:r w:rsidRPr="00C02F77" w:rsidR="009F4A3C">
        <w:t xml:space="preserve"> = </w:t>
      </w:r>
      <w:r w:rsidRPr="00C02F77" w:rsidR="00F51F3E">
        <w:t>$</w:t>
      </w:r>
      <w:r w:rsidR="00532647">
        <w:t xml:space="preserve">329,123 </w:t>
      </w:r>
      <w:r w:rsidR="000E58D4">
        <w:t xml:space="preserve"> </w:t>
      </w:r>
    </w:p>
    <w:p w:rsidR="00A91C29" w:rsidRPr="009C666F" w:rsidP="00921C5B" w14:paraId="5C46A643" w14:textId="77777777">
      <w:pPr>
        <w:pStyle w:val="BodyText"/>
        <w:rPr>
          <w:u w:val="single"/>
        </w:rPr>
      </w:pPr>
      <w:r w:rsidRPr="009C666F">
        <w:rPr>
          <w:u w:val="single"/>
        </w:rPr>
        <w:t>Training records</w:t>
      </w:r>
    </w:p>
    <w:p w:rsidR="00A91C29" w:rsidRPr="009C666F" w:rsidP="00921C5B" w14:paraId="1D65381A" w14:textId="49536190">
      <w:pPr>
        <w:pStyle w:val="BodyText"/>
      </w:pPr>
      <w:r w:rsidRPr="009C666F">
        <w:t>F</w:t>
      </w:r>
      <w:r w:rsidRPr="009C666F" w:rsidR="00DB1CAA">
        <w:t xml:space="preserve">or purposes of this ICR, </w:t>
      </w:r>
      <w:r w:rsidRPr="009C666F">
        <w:t xml:space="preserve">based on compliance rates in the RIA, </w:t>
      </w:r>
      <w:r w:rsidRPr="009C666F" w:rsidR="00DB1CAA">
        <w:t>the Agency estimates that 31</w:t>
      </w:r>
      <w:r w:rsidRPr="009C666F" w:rsidR="006069F7">
        <w:t xml:space="preserve"> percent</w:t>
      </w:r>
      <w:r w:rsidRPr="009C666F" w:rsidR="00DB1CAA">
        <w:t xml:space="preserve"> </w:t>
      </w:r>
      <w:r w:rsidRPr="009C666F" w:rsidR="007A22D5">
        <w:t xml:space="preserve">of </w:t>
      </w:r>
      <w:r w:rsidR="007A22D5">
        <w:t>1,</w:t>
      </w:r>
      <w:r w:rsidR="007E6AAB">
        <w:t>375,072</w:t>
      </w:r>
      <w:r w:rsidR="002829F6">
        <w:rPr>
          <w:rFonts w:ascii="TimesNewRomanPSMT" w:hAnsi="TimesNewRomanPSMT" w:cs="TimesNewRomanPSMT"/>
        </w:rPr>
        <w:t xml:space="preserve"> </w:t>
      </w:r>
      <w:r w:rsidRPr="009C666F" w:rsidR="002829F6">
        <w:t xml:space="preserve"> </w:t>
      </w:r>
      <w:r w:rsidRPr="009C666F" w:rsidR="00B53C02">
        <w:t xml:space="preserve"> </w:t>
      </w:r>
      <w:r w:rsidRPr="009C666F" w:rsidR="00DB1CAA">
        <w:t>employees</w:t>
      </w:r>
      <w:r w:rsidRPr="009C666F" w:rsidR="00A11506">
        <w:t>,</w:t>
      </w:r>
      <w:r w:rsidRPr="009C666F" w:rsidR="00DB1CAA">
        <w:t xml:space="preserve"> or </w:t>
      </w:r>
      <w:r w:rsidR="004C140A">
        <w:t xml:space="preserve">426,272 </w:t>
      </w:r>
      <w:r w:rsidRPr="009C666F" w:rsidR="004C140A">
        <w:t>workers</w:t>
      </w:r>
      <w:r w:rsidRPr="009C666F" w:rsidR="00A11506">
        <w:t>,</w:t>
      </w:r>
      <w:r w:rsidRPr="009C666F">
        <w:t xml:space="preserve"> are trained annually. Also</w:t>
      </w:r>
      <w:r w:rsidRPr="009C666F" w:rsidR="000E64B5">
        <w:t>,</w:t>
      </w:r>
      <w:r w:rsidRPr="009C666F">
        <w:t xml:space="preserve"> OSHA assumes that employers maintain records of who attends sessions; not individual records for each employee.</w:t>
      </w:r>
    </w:p>
    <w:p w:rsidR="00296CE0" w:rsidRPr="00532FDF" w:rsidP="002F54D5" w14:paraId="4F25F62A" w14:textId="1A13F975">
      <w:pPr>
        <w:widowControl/>
        <w:ind w:left="2880" w:hanging="2160"/>
      </w:pPr>
      <w:r w:rsidRPr="00FA4AF2">
        <w:rPr>
          <w:b/>
          <w:bCs/>
        </w:rPr>
        <w:t>Burden hours</w:t>
      </w:r>
      <w:r w:rsidRPr="00FA4AF2">
        <w:t>:</w:t>
      </w:r>
      <w:r w:rsidRPr="00FA4AF2">
        <w:tab/>
      </w:r>
      <w:r w:rsidR="004C140A">
        <w:t>426,272 employees</w:t>
      </w:r>
      <w:r w:rsidRPr="00532FDF">
        <w:t xml:space="preserve"> × </w:t>
      </w:r>
      <w:r w:rsidR="00763BAE">
        <w:t>1.526</w:t>
      </w:r>
      <w:r w:rsidRPr="00532FDF">
        <w:t xml:space="preserve"> turnover rate ÷ 20 per session × </w:t>
      </w:r>
      <w:r w:rsidRPr="00532FDF" w:rsidR="002B49CB">
        <w:t>5/60</w:t>
      </w:r>
      <w:r w:rsidR="00952CB8">
        <w:t xml:space="preserve"> </w:t>
      </w:r>
    </w:p>
    <w:p w:rsidR="00A91C29" w:rsidRPr="00FA4AF2" w:rsidP="00A053BB" w14:paraId="7E61965A" w14:textId="780E351B">
      <w:pPr>
        <w:widowControl/>
        <w:ind w:left="2160" w:firstLine="720"/>
      </w:pPr>
      <w:r w:rsidRPr="00FA4AF2">
        <w:t xml:space="preserve">hour = </w:t>
      </w:r>
      <w:r w:rsidR="00FB6B52">
        <w:t>2,</w:t>
      </w:r>
      <w:r w:rsidR="00743D49">
        <w:t>710</w:t>
      </w:r>
      <w:r w:rsidR="004460FE">
        <w:t xml:space="preserve"> </w:t>
      </w:r>
      <w:r w:rsidRPr="00FA4AF2">
        <w:t>hours</w:t>
      </w:r>
    </w:p>
    <w:p w:rsidR="00A91C29" w:rsidRPr="009C666F" w:rsidP="00A053BB" w14:paraId="00D1E685" w14:textId="125AA8C9">
      <w:pPr>
        <w:widowControl/>
        <w:ind w:left="720" w:firstLine="720"/>
      </w:pPr>
      <w:r w:rsidRPr="00FA4AF2">
        <w:rPr>
          <w:b/>
          <w:bCs/>
        </w:rPr>
        <w:t xml:space="preserve">   Cost:</w:t>
      </w:r>
      <w:r w:rsidRPr="00FA4AF2" w:rsidR="00376F76">
        <w:tab/>
      </w:r>
      <w:r w:rsidR="00743D49">
        <w:t>2,710</w:t>
      </w:r>
      <w:r w:rsidR="00F23BB2">
        <w:t xml:space="preserve"> </w:t>
      </w:r>
      <w:r w:rsidRPr="00532FDF" w:rsidR="00376F76">
        <w:t xml:space="preserve">hours × </w:t>
      </w:r>
      <w:r w:rsidRPr="00532FDF" w:rsidR="00524F14">
        <w:t>$</w:t>
      </w:r>
      <w:r w:rsidR="002156F0">
        <w:t>31.74</w:t>
      </w:r>
      <w:r w:rsidRPr="00532FDF" w:rsidR="00524F14">
        <w:t xml:space="preserve"> </w:t>
      </w:r>
      <w:r w:rsidRPr="00532FDF" w:rsidR="00376F76">
        <w:t xml:space="preserve">= </w:t>
      </w:r>
      <w:r w:rsidRPr="002137B3" w:rsidR="002137B3">
        <w:t>$</w:t>
      </w:r>
      <w:r w:rsidR="005D05B3">
        <w:t>86,029</w:t>
      </w:r>
      <w:r w:rsidR="000033F2">
        <w:t xml:space="preserve"> </w:t>
      </w:r>
    </w:p>
    <w:p w:rsidR="00A91C29" w:rsidRPr="009C666F" w:rsidP="00921C5B" w14:paraId="0F853E7B" w14:textId="77777777">
      <w:pPr>
        <w:pStyle w:val="BodyText"/>
      </w:pPr>
      <w:r w:rsidRPr="009C666F">
        <w:rPr>
          <w:u w:val="single"/>
        </w:rPr>
        <w:t>Records of notifications by building owners</w:t>
      </w:r>
    </w:p>
    <w:p w:rsidR="00A91C29" w:rsidRPr="009C666F" w:rsidP="00A053BB" w14:paraId="05BAB713" w14:textId="47729880">
      <w:pPr>
        <w:widowControl/>
        <w:ind w:firstLine="720"/>
      </w:pPr>
      <w:r w:rsidRPr="009C666F">
        <w:rPr>
          <w:b/>
          <w:bCs/>
        </w:rPr>
        <w:t>Burden hours:</w:t>
      </w:r>
      <w:r w:rsidRPr="009C666F">
        <w:rPr>
          <w:b/>
          <w:bCs/>
        </w:rPr>
        <w:tab/>
      </w:r>
      <w:r w:rsidRPr="004D270E" w:rsidR="000548F2">
        <w:t>6,043,</w:t>
      </w:r>
      <w:r w:rsidRPr="004D270E" w:rsidR="00FA23CA">
        <w:t>039</w:t>
      </w:r>
      <w:r w:rsidR="00FA23CA">
        <w:rPr>
          <w:b/>
          <w:bCs/>
        </w:rPr>
        <w:t xml:space="preserve"> </w:t>
      </w:r>
      <w:r w:rsidRPr="009C666F">
        <w:t xml:space="preserve"> projects × 1 time per year ×</w:t>
      </w:r>
      <w:r w:rsidRPr="009C666F" w:rsidR="002B49CB">
        <w:t xml:space="preserve"> 5/60</w:t>
      </w:r>
      <w:r w:rsidRPr="009C666F">
        <w:t xml:space="preserve"> hour =</w:t>
      </w:r>
      <w:r w:rsidRPr="009C666F">
        <w:rPr>
          <w:b/>
          <w:bCs/>
        </w:rPr>
        <w:t xml:space="preserve"> </w:t>
      </w:r>
      <w:r w:rsidR="00736F19">
        <w:t>5</w:t>
      </w:r>
      <w:r w:rsidR="00FB455E">
        <w:t>03,</w:t>
      </w:r>
      <w:r w:rsidR="0069261F">
        <w:t>587</w:t>
      </w:r>
      <w:r w:rsidRPr="009C666F" w:rsidR="00AE3325">
        <w:t xml:space="preserve"> </w:t>
      </w:r>
      <w:r w:rsidR="00893CF8">
        <w:tab/>
      </w:r>
      <w:r w:rsidR="00893CF8">
        <w:tab/>
      </w:r>
      <w:r w:rsidR="00893CF8">
        <w:tab/>
      </w:r>
      <w:r w:rsidR="00893CF8">
        <w:tab/>
      </w:r>
      <w:r w:rsidR="00893CF8">
        <w:tab/>
      </w:r>
      <w:r w:rsidRPr="009C666F">
        <w:t>hours</w:t>
      </w:r>
    </w:p>
    <w:p w:rsidR="000548F2" w:rsidRPr="009C666F" w:rsidP="00A053BB" w14:paraId="2008D0BA" w14:textId="465134F5">
      <w:pPr>
        <w:widowControl/>
        <w:ind w:left="720" w:firstLine="720"/>
      </w:pPr>
      <w:r w:rsidRPr="009C666F">
        <w:rPr>
          <w:b/>
          <w:bCs/>
        </w:rPr>
        <w:t xml:space="preserve">    </w:t>
      </w:r>
      <w:r w:rsidRPr="009C666F" w:rsidR="00A91C29">
        <w:rPr>
          <w:b/>
          <w:bCs/>
        </w:rPr>
        <w:t>Cost:</w:t>
      </w:r>
      <w:r w:rsidRPr="009C666F" w:rsidR="009F4A3C">
        <w:tab/>
      </w:r>
      <w:r w:rsidR="00CC6063">
        <w:t>5</w:t>
      </w:r>
      <w:r w:rsidR="0069261F">
        <w:t>03,58</w:t>
      </w:r>
      <w:r w:rsidR="003F038E">
        <w:t>7</w:t>
      </w:r>
      <w:r w:rsidRPr="009C666F" w:rsidR="00AE3325">
        <w:t xml:space="preserve"> </w:t>
      </w:r>
      <w:r w:rsidRPr="009C666F" w:rsidR="009F4A3C">
        <w:t xml:space="preserve">hours × </w:t>
      </w:r>
      <w:r w:rsidRPr="00FE668F" w:rsidR="00FE668F">
        <w:t>$</w:t>
      </w:r>
      <w:r w:rsidR="003B1BD2">
        <w:t>31.74</w:t>
      </w:r>
      <w:r w:rsidRPr="009C666F" w:rsidR="009F4A3C">
        <w:t xml:space="preserve"> =</w:t>
      </w:r>
      <w:r w:rsidR="00FE668F">
        <w:t xml:space="preserve"> </w:t>
      </w:r>
      <w:r w:rsidRPr="002137B3" w:rsidR="002137B3">
        <w:t>$</w:t>
      </w:r>
      <w:r w:rsidR="003B1BD2">
        <w:t>15,983,</w:t>
      </w:r>
      <w:r w:rsidR="00910F0A">
        <w:t xml:space="preserve">838 </w:t>
      </w:r>
      <w:r>
        <w:t xml:space="preserve">  </w:t>
      </w:r>
    </w:p>
    <w:tbl>
      <w:tblPr>
        <w:tblW w:w="5200" w:type="dxa"/>
        <w:tblLook w:val="04A0"/>
      </w:tblPr>
      <w:tblGrid>
        <w:gridCol w:w="3158"/>
        <w:gridCol w:w="2042"/>
      </w:tblGrid>
      <w:tr w14:paraId="6C1A54D8" w14:textId="77777777" w:rsidTr="004D4747">
        <w:tblPrEx>
          <w:tblW w:w="5200" w:type="dxa"/>
          <w:tblLook w:val="04A0"/>
        </w:tblPrEx>
        <w:trPr>
          <w:trHeight w:val="255"/>
        </w:trPr>
        <w:tc>
          <w:tcPr>
            <w:tcW w:w="1574" w:type="dxa"/>
            <w:tcBorders>
              <w:top w:val="nil"/>
              <w:left w:val="nil"/>
              <w:bottom w:val="nil"/>
              <w:right w:val="nil"/>
            </w:tcBorders>
            <w:shd w:val="clear" w:color="auto" w:fill="auto"/>
            <w:hideMark/>
          </w:tcPr>
          <w:p w:rsidR="000548F2" w:rsidRPr="00EA1117" w:rsidP="00201033" w14:paraId="0D3C2778" w14:textId="25AE126D">
            <w:pPr>
              <w:widowControl/>
              <w:autoSpaceDE/>
              <w:autoSpaceDN/>
              <w:adjustRightInd/>
              <w:jc w:val="center"/>
              <w:rPr>
                <w:rFonts w:ascii="Calibri" w:hAnsi="Calibri" w:cs="Calibri"/>
                <w:color w:val="000000"/>
                <w:sz w:val="20"/>
                <w:szCs w:val="20"/>
              </w:rPr>
            </w:pPr>
          </w:p>
        </w:tc>
        <w:tc>
          <w:tcPr>
            <w:tcW w:w="1018" w:type="dxa"/>
            <w:tcBorders>
              <w:top w:val="nil"/>
              <w:left w:val="nil"/>
              <w:bottom w:val="nil"/>
              <w:right w:val="nil"/>
            </w:tcBorders>
            <w:shd w:val="clear" w:color="auto" w:fill="auto"/>
            <w:hideMark/>
          </w:tcPr>
          <w:p w:rsidR="000548F2" w:rsidRPr="00EA1117" w:rsidP="004D4747" w14:paraId="57C2ED66" w14:textId="77777777">
            <w:pPr>
              <w:widowControl/>
              <w:autoSpaceDE/>
              <w:autoSpaceDN/>
              <w:adjustRightInd/>
              <w:jc w:val="right"/>
              <w:rPr>
                <w:rFonts w:ascii="Calibri" w:hAnsi="Calibri" w:cs="Calibri"/>
                <w:color w:val="000000"/>
                <w:sz w:val="20"/>
                <w:szCs w:val="20"/>
              </w:rPr>
            </w:pPr>
          </w:p>
        </w:tc>
      </w:tr>
    </w:tbl>
    <w:p w:rsidR="00A91C29" w:rsidRPr="009C666F" w:rsidP="00A053BB" w14:paraId="670E1054" w14:textId="1F6C7D1F">
      <w:pPr>
        <w:widowControl/>
        <w:ind w:left="720" w:firstLine="720"/>
      </w:pPr>
    </w:p>
    <w:p w:rsidR="00A91C29" w:rsidRPr="009C666F" w:rsidP="00921C5B" w14:paraId="21956675" w14:textId="77777777">
      <w:pPr>
        <w:pStyle w:val="BodyText"/>
        <w:rPr>
          <w:u w:val="single"/>
        </w:rPr>
      </w:pPr>
      <w:r w:rsidRPr="009C666F">
        <w:rPr>
          <w:u w:val="single"/>
        </w:rPr>
        <w:t>Employee access to records</w:t>
      </w:r>
    </w:p>
    <w:p w:rsidR="00A91C29" w:rsidRPr="009C666F" w:rsidP="00921C5B" w14:paraId="7B8862ED" w14:textId="2E84157F">
      <w:pPr>
        <w:pStyle w:val="BodyText"/>
      </w:pPr>
      <w:r w:rsidRPr="009C666F">
        <w:t>The Agency</w:t>
      </w:r>
      <w:r w:rsidRPr="009C666F" w:rsidR="009F4A3C">
        <w:t xml:space="preserve"> assumes that 10</w:t>
      </w:r>
      <w:r w:rsidRPr="009C666F" w:rsidR="006069F7">
        <w:t xml:space="preserve"> percent</w:t>
      </w:r>
      <w:r w:rsidRPr="009C666F" w:rsidR="009F4A3C">
        <w:t xml:space="preserve"> of the work</w:t>
      </w:r>
      <w:r w:rsidRPr="009C666F">
        <w:t>e</w:t>
      </w:r>
      <w:r w:rsidRPr="009C666F" w:rsidR="009F4A3C">
        <w:t>r</w:t>
      </w:r>
      <w:r w:rsidRPr="009C666F">
        <w:t>s covered by medical surveillance will request to see his/her records annually, therefore, the burden and cost associated is as follows:</w:t>
      </w:r>
    </w:p>
    <w:p w:rsidR="00152A70" w:rsidRPr="009C666F" w:rsidP="00152A70" w14:paraId="3A4828CA" w14:textId="718EC712">
      <w:pPr>
        <w:widowControl/>
        <w:ind w:left="2880" w:hanging="2160"/>
        <w:rPr>
          <w:b/>
          <w:bCs/>
        </w:rPr>
      </w:pPr>
      <w:r w:rsidRPr="009C666F">
        <w:rPr>
          <w:b/>
          <w:bCs/>
        </w:rPr>
        <w:t>Burden hours:</w:t>
      </w:r>
      <w:r w:rsidRPr="009C666F">
        <w:rPr>
          <w:b/>
          <w:bCs/>
        </w:rPr>
        <w:tab/>
      </w:r>
      <w:r w:rsidRPr="00723AA5" w:rsidR="0014089B">
        <w:t>370,642</w:t>
      </w:r>
      <w:r w:rsidRPr="009C666F" w:rsidR="00EF3913">
        <w:t xml:space="preserve"> </w:t>
      </w:r>
      <w:r w:rsidRPr="009C666F" w:rsidR="009F4A3C">
        <w:t>worker</w:t>
      </w:r>
      <w:r w:rsidRPr="009C666F">
        <w:t>s × 10</w:t>
      </w:r>
      <w:r w:rsidRPr="009C666F" w:rsidR="006069F7">
        <w:t xml:space="preserve"> percent</w:t>
      </w:r>
      <w:r w:rsidRPr="009C666F">
        <w:t xml:space="preserve"> × </w:t>
      </w:r>
      <w:r w:rsidR="00130528">
        <w:t>1.526</w:t>
      </w:r>
      <w:r w:rsidRPr="009C666F" w:rsidR="00E468FB">
        <w:t xml:space="preserve"> </w:t>
      </w:r>
      <w:r w:rsidRPr="009C666F">
        <w:t xml:space="preserve">turnover rate × </w:t>
      </w:r>
      <w:r w:rsidRPr="009C666F" w:rsidR="002B49CB">
        <w:t>5/60</w:t>
      </w:r>
      <w:r w:rsidRPr="009C666F">
        <w:t xml:space="preserve"> hour =</w:t>
      </w:r>
      <w:r w:rsidR="009D1300">
        <w:t xml:space="preserve"> 4,</w:t>
      </w:r>
      <w:r w:rsidR="004B27E2">
        <w:t>713</w:t>
      </w:r>
      <w:r w:rsidRPr="009C666F">
        <w:t xml:space="preserve"> hours</w:t>
      </w:r>
      <w:r w:rsidRPr="009C666F">
        <w:rPr>
          <w:b/>
          <w:bCs/>
        </w:rPr>
        <w:t xml:space="preserve">                   </w:t>
      </w:r>
    </w:p>
    <w:p w:rsidR="00681DEC" w:rsidRPr="009C666F" w:rsidP="00152A70" w14:paraId="7D51AF9C" w14:textId="01802BAD">
      <w:pPr>
        <w:widowControl/>
        <w:ind w:left="720" w:firstLine="720"/>
        <w:sectPr w:rsidSect="006C558A">
          <w:type w:val="continuous"/>
          <w:pgSz w:w="12240" w:h="15840"/>
          <w:pgMar w:top="1440" w:right="1440" w:bottom="1440" w:left="1440" w:header="720" w:footer="720" w:gutter="0"/>
          <w:cols w:space="720"/>
          <w:noEndnote/>
          <w:docGrid w:linePitch="326"/>
        </w:sectPr>
      </w:pPr>
      <w:r w:rsidRPr="009C666F">
        <w:rPr>
          <w:b/>
          <w:bCs/>
        </w:rPr>
        <w:t xml:space="preserve">    </w:t>
      </w:r>
      <w:r w:rsidRPr="009C666F" w:rsidR="00A91C29">
        <w:rPr>
          <w:b/>
          <w:bCs/>
        </w:rPr>
        <w:t>Cost:</w:t>
      </w:r>
      <w:r w:rsidRPr="009C666F" w:rsidR="00A91C29">
        <w:rPr>
          <w:b/>
          <w:bCs/>
        </w:rPr>
        <w:tab/>
      </w:r>
      <w:r w:rsidR="004B27E2">
        <w:rPr>
          <w:bCs/>
        </w:rPr>
        <w:t>4,713</w:t>
      </w:r>
      <w:r w:rsidR="009134F2">
        <w:rPr>
          <w:bCs/>
        </w:rPr>
        <w:t xml:space="preserve"> </w:t>
      </w:r>
      <w:r w:rsidRPr="002137B3" w:rsidR="002137B3">
        <w:rPr>
          <w:bCs/>
        </w:rPr>
        <w:t>.39</w:t>
      </w:r>
      <w:r w:rsidRPr="009C666F" w:rsidR="009F4A3C">
        <w:t xml:space="preserve">hours × </w:t>
      </w:r>
      <w:r w:rsidRPr="00423C4E" w:rsidR="00423C4E">
        <w:t>$</w:t>
      </w:r>
      <w:r w:rsidR="00910F0A">
        <w:t>31.74</w:t>
      </w:r>
      <w:r w:rsidRPr="009C666F">
        <w:t xml:space="preserve"> = </w:t>
      </w:r>
      <w:r w:rsidRPr="002137B3" w:rsidR="002137B3">
        <w:t>$</w:t>
      </w:r>
      <w:r w:rsidR="00A64091">
        <w:t>14</w:t>
      </w:r>
      <w:r w:rsidR="007C18CF">
        <w:t>9,601</w:t>
      </w:r>
      <w:r w:rsidR="004315B1">
        <w:t xml:space="preserve"> </w:t>
      </w:r>
    </w:p>
    <w:tbl>
      <w:tblPr>
        <w:tblW w:w="14490" w:type="dxa"/>
        <w:jc w:val="center"/>
        <w:tblLayout w:type="fixed"/>
        <w:tblCellMar>
          <w:left w:w="58" w:type="dxa"/>
          <w:right w:w="58" w:type="dxa"/>
        </w:tblCellMar>
        <w:tblLook w:val="04A0"/>
      </w:tblPr>
      <w:tblGrid>
        <w:gridCol w:w="2880"/>
        <w:gridCol w:w="1800"/>
        <w:gridCol w:w="1350"/>
        <w:gridCol w:w="1440"/>
        <w:gridCol w:w="1350"/>
        <w:gridCol w:w="1260"/>
        <w:gridCol w:w="1440"/>
        <w:gridCol w:w="1260"/>
        <w:gridCol w:w="1710"/>
      </w:tblGrid>
      <w:tr w14:paraId="13A44142" w14:textId="77777777" w:rsidTr="00A022A3">
        <w:tblPrEx>
          <w:tblW w:w="14490" w:type="dxa"/>
          <w:jc w:val="center"/>
          <w:tblLayout w:type="fixed"/>
          <w:tblCellMar>
            <w:left w:w="58" w:type="dxa"/>
            <w:right w:w="58" w:type="dxa"/>
          </w:tblCellMar>
          <w:tblLook w:val="04A0"/>
        </w:tblPrEx>
        <w:trPr>
          <w:trHeight w:val="495"/>
          <w:tblHeader/>
          <w:jc w:val="center"/>
        </w:trPr>
        <w:tc>
          <w:tcPr>
            <w:tcW w:w="14490" w:type="dxa"/>
            <w:gridSpan w:val="9"/>
            <w:tcBorders>
              <w:top w:val="nil"/>
              <w:left w:val="nil"/>
              <w:bottom w:val="single" w:sz="4" w:space="0" w:color="auto"/>
              <w:right w:val="nil"/>
            </w:tcBorders>
            <w:shd w:val="clear" w:color="auto" w:fill="auto"/>
            <w:hideMark/>
          </w:tcPr>
          <w:p w:rsidR="00A30AB9" w:rsidRPr="00A30AB9" w:rsidP="00A30AB9" w14:paraId="45D83CE0" w14:textId="5A684549">
            <w:pPr>
              <w:widowControl/>
              <w:autoSpaceDE/>
              <w:autoSpaceDN/>
              <w:adjustRightInd/>
              <w:jc w:val="center"/>
              <w:rPr>
                <w:b/>
                <w:bCs/>
                <w:color w:val="000000"/>
                <w:sz w:val="22"/>
                <w:szCs w:val="22"/>
              </w:rPr>
            </w:pPr>
            <w:r w:rsidRPr="00A30AB9">
              <w:rPr>
                <w:b/>
                <w:bCs/>
                <w:color w:val="000000"/>
                <w:sz w:val="22"/>
                <w:szCs w:val="22"/>
              </w:rPr>
              <w:t xml:space="preserve">Table </w:t>
            </w:r>
            <w:r w:rsidRPr="00A30AB9">
              <w:rPr>
                <w:b/>
                <w:bCs/>
                <w:color w:val="000000"/>
                <w:sz w:val="22"/>
                <w:szCs w:val="22"/>
              </w:rPr>
              <w:fldChar w:fldCharType="begin"/>
            </w:r>
            <w:r w:rsidRPr="00A30AB9">
              <w:rPr>
                <w:b/>
                <w:bCs/>
                <w:color w:val="000000"/>
                <w:sz w:val="22"/>
                <w:szCs w:val="22"/>
              </w:rPr>
              <w:instrText xml:space="preserve"> SEQ Table \* ARABIC </w:instrText>
            </w:r>
            <w:r w:rsidRPr="00A30AB9">
              <w:rPr>
                <w:b/>
                <w:bCs/>
                <w:color w:val="000000"/>
                <w:sz w:val="22"/>
                <w:szCs w:val="22"/>
              </w:rPr>
              <w:fldChar w:fldCharType="separate"/>
            </w:r>
            <w:r w:rsidR="00330F62">
              <w:rPr>
                <w:b/>
                <w:bCs/>
                <w:noProof/>
                <w:color w:val="000000"/>
                <w:sz w:val="22"/>
                <w:szCs w:val="22"/>
              </w:rPr>
              <w:t>2</w:t>
            </w:r>
            <w:r w:rsidRPr="00A30AB9">
              <w:rPr>
                <w:b/>
                <w:bCs/>
                <w:color w:val="000000"/>
                <w:sz w:val="22"/>
                <w:szCs w:val="22"/>
              </w:rPr>
              <w:fldChar w:fldCharType="end"/>
            </w:r>
            <w:r w:rsidRPr="00A30AB9">
              <w:rPr>
                <w:b/>
                <w:bCs/>
                <w:color w:val="000000"/>
                <w:sz w:val="22"/>
                <w:szCs w:val="22"/>
              </w:rPr>
              <w:t>: Estimated Annualized Respondent Hour and Cost Burden Table</w:t>
            </w:r>
          </w:p>
        </w:tc>
      </w:tr>
      <w:tr w14:paraId="60193CAD" w14:textId="77777777" w:rsidTr="007C1922">
        <w:tblPrEx>
          <w:tblW w:w="14490" w:type="dxa"/>
          <w:jc w:val="center"/>
          <w:tblLayout w:type="fixed"/>
          <w:tblCellMar>
            <w:left w:w="58" w:type="dxa"/>
            <w:right w:w="58" w:type="dxa"/>
          </w:tblCellMar>
          <w:tblLook w:val="04A0"/>
        </w:tblPrEx>
        <w:trPr>
          <w:trHeight w:val="255"/>
          <w:tblHeader/>
          <w:jc w:val="center"/>
        </w:trPr>
        <w:tc>
          <w:tcPr>
            <w:tcW w:w="2880" w:type="dxa"/>
            <w:tcBorders>
              <w:top w:val="nil"/>
              <w:left w:val="single" w:sz="4" w:space="0" w:color="auto"/>
              <w:bottom w:val="single" w:sz="4" w:space="0" w:color="auto"/>
              <w:right w:val="single" w:sz="4" w:space="0" w:color="auto"/>
            </w:tcBorders>
            <w:shd w:val="clear" w:color="auto" w:fill="BFBFBF" w:themeFill="background1" w:themeFillShade="BF"/>
            <w:hideMark/>
          </w:tcPr>
          <w:p w:rsidR="00A30AB9" w:rsidRPr="00A30AB9" w:rsidP="00A30AB9" w14:paraId="1F683953" w14:textId="2D18489E">
            <w:pPr>
              <w:widowControl/>
              <w:autoSpaceDE/>
              <w:autoSpaceDN/>
              <w:adjustRightInd/>
              <w:jc w:val="center"/>
              <w:rPr>
                <w:b/>
                <w:bCs/>
                <w:color w:val="000000"/>
                <w:sz w:val="22"/>
                <w:szCs w:val="22"/>
              </w:rPr>
            </w:pPr>
            <w:r w:rsidRPr="00A30AB9">
              <w:rPr>
                <w:b/>
                <w:bCs/>
                <w:color w:val="000000"/>
                <w:sz w:val="22"/>
                <w:szCs w:val="22"/>
              </w:rPr>
              <w:t xml:space="preserve">Information Collection Requirement </w:t>
            </w:r>
          </w:p>
        </w:tc>
        <w:tc>
          <w:tcPr>
            <w:tcW w:w="1800" w:type="dxa"/>
            <w:tcBorders>
              <w:top w:val="nil"/>
              <w:left w:val="nil"/>
              <w:bottom w:val="single" w:sz="4" w:space="0" w:color="auto"/>
              <w:right w:val="single" w:sz="4" w:space="0" w:color="auto"/>
            </w:tcBorders>
            <w:shd w:val="clear" w:color="auto" w:fill="BFBFBF" w:themeFill="background1" w:themeFillShade="BF"/>
            <w:hideMark/>
          </w:tcPr>
          <w:p w:rsidR="00A30AB9" w:rsidRPr="00A30AB9" w:rsidP="00A30AB9" w14:paraId="7C6BEF67" w14:textId="77777777">
            <w:pPr>
              <w:widowControl/>
              <w:autoSpaceDE/>
              <w:autoSpaceDN/>
              <w:adjustRightInd/>
              <w:jc w:val="center"/>
              <w:rPr>
                <w:b/>
                <w:bCs/>
                <w:color w:val="000000"/>
                <w:sz w:val="22"/>
                <w:szCs w:val="22"/>
              </w:rPr>
            </w:pPr>
            <w:r w:rsidRPr="00A30AB9">
              <w:rPr>
                <w:b/>
                <w:bCs/>
                <w:color w:val="000000"/>
                <w:sz w:val="22"/>
                <w:szCs w:val="22"/>
              </w:rPr>
              <w:t>Type of Respondent</w:t>
            </w:r>
          </w:p>
        </w:tc>
        <w:tc>
          <w:tcPr>
            <w:tcW w:w="1350" w:type="dxa"/>
            <w:tcBorders>
              <w:top w:val="nil"/>
              <w:left w:val="nil"/>
              <w:bottom w:val="single" w:sz="4" w:space="0" w:color="auto"/>
              <w:right w:val="single" w:sz="4" w:space="0" w:color="auto"/>
            </w:tcBorders>
            <w:shd w:val="clear" w:color="auto" w:fill="BFBFBF" w:themeFill="background1" w:themeFillShade="BF"/>
            <w:hideMark/>
          </w:tcPr>
          <w:p w:rsidR="00A30AB9" w:rsidRPr="00A30AB9" w:rsidP="00A30AB9" w14:paraId="53CC42D8" w14:textId="77777777">
            <w:pPr>
              <w:widowControl/>
              <w:autoSpaceDE/>
              <w:autoSpaceDN/>
              <w:adjustRightInd/>
              <w:jc w:val="center"/>
              <w:rPr>
                <w:b/>
                <w:bCs/>
                <w:color w:val="000000"/>
                <w:sz w:val="22"/>
                <w:szCs w:val="22"/>
              </w:rPr>
            </w:pPr>
            <w:r w:rsidRPr="00A30AB9">
              <w:rPr>
                <w:b/>
                <w:bCs/>
                <w:color w:val="000000"/>
                <w:sz w:val="22"/>
                <w:szCs w:val="22"/>
              </w:rPr>
              <w:t>Number of Respondents</w:t>
            </w:r>
          </w:p>
        </w:tc>
        <w:tc>
          <w:tcPr>
            <w:tcW w:w="1440" w:type="dxa"/>
            <w:tcBorders>
              <w:top w:val="nil"/>
              <w:left w:val="nil"/>
              <w:bottom w:val="single" w:sz="4" w:space="0" w:color="auto"/>
              <w:right w:val="single" w:sz="4" w:space="0" w:color="auto"/>
            </w:tcBorders>
            <w:shd w:val="clear" w:color="auto" w:fill="BFBFBF" w:themeFill="background1" w:themeFillShade="BF"/>
            <w:hideMark/>
          </w:tcPr>
          <w:p w:rsidR="00A30AB9" w:rsidRPr="00A30AB9" w:rsidP="00A30AB9" w14:paraId="5E2D3F32" w14:textId="5DD074BD">
            <w:pPr>
              <w:widowControl/>
              <w:autoSpaceDE/>
              <w:autoSpaceDN/>
              <w:adjustRightInd/>
              <w:jc w:val="center"/>
              <w:rPr>
                <w:b/>
                <w:bCs/>
                <w:color w:val="000000"/>
                <w:sz w:val="22"/>
                <w:szCs w:val="22"/>
              </w:rPr>
            </w:pPr>
            <w:r w:rsidRPr="00A30AB9">
              <w:rPr>
                <w:b/>
                <w:bCs/>
                <w:color w:val="000000"/>
                <w:sz w:val="22"/>
                <w:szCs w:val="22"/>
              </w:rPr>
              <w:t xml:space="preserve"> Responses per Respondent</w:t>
            </w:r>
          </w:p>
        </w:tc>
        <w:tc>
          <w:tcPr>
            <w:tcW w:w="1350" w:type="dxa"/>
            <w:tcBorders>
              <w:top w:val="nil"/>
              <w:left w:val="nil"/>
              <w:bottom w:val="single" w:sz="4" w:space="0" w:color="auto"/>
              <w:right w:val="single" w:sz="4" w:space="0" w:color="auto"/>
            </w:tcBorders>
            <w:shd w:val="clear" w:color="auto" w:fill="BFBFBF" w:themeFill="background1" w:themeFillShade="BF"/>
            <w:hideMark/>
          </w:tcPr>
          <w:p w:rsidR="00A30AB9" w:rsidRPr="00A30AB9" w:rsidP="00A30AB9" w14:paraId="08DE3C21" w14:textId="5C16C0FF">
            <w:pPr>
              <w:widowControl/>
              <w:autoSpaceDE/>
              <w:autoSpaceDN/>
              <w:adjustRightInd/>
              <w:jc w:val="center"/>
              <w:rPr>
                <w:b/>
                <w:bCs/>
                <w:color w:val="000000"/>
                <w:sz w:val="22"/>
                <w:szCs w:val="22"/>
              </w:rPr>
            </w:pPr>
            <w:r w:rsidRPr="00A30AB9">
              <w:rPr>
                <w:b/>
                <w:bCs/>
                <w:color w:val="000000"/>
                <w:sz w:val="22"/>
                <w:szCs w:val="22"/>
              </w:rPr>
              <w:t>Total Responses</w:t>
            </w:r>
          </w:p>
        </w:tc>
        <w:tc>
          <w:tcPr>
            <w:tcW w:w="1260" w:type="dxa"/>
            <w:tcBorders>
              <w:top w:val="nil"/>
              <w:left w:val="nil"/>
              <w:bottom w:val="single" w:sz="4" w:space="0" w:color="auto"/>
              <w:right w:val="single" w:sz="4" w:space="0" w:color="auto"/>
            </w:tcBorders>
            <w:shd w:val="clear" w:color="auto" w:fill="BFBFBF" w:themeFill="background1" w:themeFillShade="BF"/>
            <w:hideMark/>
          </w:tcPr>
          <w:p w:rsidR="00A30AB9" w:rsidRPr="00A30AB9" w:rsidP="00A30AB9" w14:paraId="50B58518" w14:textId="2BDB2998">
            <w:pPr>
              <w:widowControl/>
              <w:autoSpaceDE/>
              <w:autoSpaceDN/>
              <w:adjustRightInd/>
              <w:jc w:val="center"/>
              <w:rPr>
                <w:b/>
                <w:bCs/>
                <w:color w:val="000000"/>
                <w:sz w:val="22"/>
                <w:szCs w:val="22"/>
              </w:rPr>
            </w:pPr>
            <w:r>
              <w:rPr>
                <w:b/>
                <w:bCs/>
                <w:color w:val="000000"/>
                <w:sz w:val="22"/>
                <w:szCs w:val="22"/>
              </w:rPr>
              <w:t>Time</w:t>
            </w:r>
            <w:r w:rsidRPr="00A30AB9">
              <w:rPr>
                <w:b/>
                <w:bCs/>
                <w:color w:val="000000"/>
                <w:sz w:val="22"/>
                <w:szCs w:val="22"/>
              </w:rPr>
              <w:t xml:space="preserve"> per Response </w:t>
            </w:r>
          </w:p>
        </w:tc>
        <w:tc>
          <w:tcPr>
            <w:tcW w:w="1440" w:type="dxa"/>
            <w:tcBorders>
              <w:top w:val="nil"/>
              <w:left w:val="nil"/>
              <w:bottom w:val="single" w:sz="4" w:space="0" w:color="auto"/>
              <w:right w:val="single" w:sz="4" w:space="0" w:color="auto"/>
            </w:tcBorders>
            <w:shd w:val="clear" w:color="auto" w:fill="BFBFBF" w:themeFill="background1" w:themeFillShade="BF"/>
            <w:hideMark/>
          </w:tcPr>
          <w:p w:rsidR="00A30AB9" w:rsidRPr="00A30AB9" w:rsidP="00A30AB9" w14:paraId="5EBFD204" w14:textId="4835ADB7">
            <w:pPr>
              <w:widowControl/>
              <w:autoSpaceDE/>
              <w:autoSpaceDN/>
              <w:adjustRightInd/>
              <w:jc w:val="center"/>
              <w:rPr>
                <w:b/>
                <w:bCs/>
                <w:color w:val="000000"/>
                <w:sz w:val="22"/>
                <w:szCs w:val="22"/>
              </w:rPr>
            </w:pPr>
            <w:r w:rsidRPr="00A30AB9">
              <w:rPr>
                <w:b/>
                <w:bCs/>
                <w:color w:val="000000"/>
                <w:sz w:val="22"/>
                <w:szCs w:val="22"/>
              </w:rPr>
              <w:t xml:space="preserve">Burden Hours </w:t>
            </w:r>
          </w:p>
        </w:tc>
        <w:tc>
          <w:tcPr>
            <w:tcW w:w="1260" w:type="dxa"/>
            <w:tcBorders>
              <w:top w:val="nil"/>
              <w:left w:val="nil"/>
              <w:bottom w:val="single" w:sz="4" w:space="0" w:color="auto"/>
              <w:right w:val="single" w:sz="4" w:space="0" w:color="auto"/>
            </w:tcBorders>
            <w:shd w:val="clear" w:color="auto" w:fill="BFBFBF" w:themeFill="background1" w:themeFillShade="BF"/>
            <w:hideMark/>
          </w:tcPr>
          <w:p w:rsidR="00A30AB9" w:rsidRPr="00A30AB9" w:rsidP="00A022A3" w14:paraId="7FE8DDA8" w14:textId="59386583">
            <w:pPr>
              <w:widowControl/>
              <w:autoSpaceDE/>
              <w:autoSpaceDN/>
              <w:adjustRightInd/>
              <w:rPr>
                <w:b/>
                <w:bCs/>
                <w:color w:val="000000"/>
                <w:sz w:val="22"/>
                <w:szCs w:val="22"/>
              </w:rPr>
            </w:pPr>
            <w:r>
              <w:rPr>
                <w:b/>
                <w:bCs/>
                <w:color w:val="000000"/>
                <w:sz w:val="22"/>
                <w:szCs w:val="22"/>
              </w:rPr>
              <w:t xml:space="preserve">Loaded </w:t>
            </w:r>
            <w:r w:rsidRPr="00A30AB9">
              <w:rPr>
                <w:b/>
                <w:bCs/>
                <w:color w:val="000000"/>
                <w:sz w:val="22"/>
                <w:szCs w:val="22"/>
              </w:rPr>
              <w:t>Hourly Wage</w:t>
            </w:r>
          </w:p>
        </w:tc>
        <w:tc>
          <w:tcPr>
            <w:tcW w:w="1710" w:type="dxa"/>
            <w:tcBorders>
              <w:top w:val="nil"/>
              <w:left w:val="nil"/>
              <w:bottom w:val="single" w:sz="4" w:space="0" w:color="auto"/>
              <w:right w:val="single" w:sz="4" w:space="0" w:color="auto"/>
            </w:tcBorders>
            <w:shd w:val="clear" w:color="auto" w:fill="BFBFBF" w:themeFill="background1" w:themeFillShade="BF"/>
            <w:hideMark/>
          </w:tcPr>
          <w:p w:rsidR="007C1922" w:rsidP="00A022A3" w14:paraId="250B87EB" w14:textId="443A515A">
            <w:pPr>
              <w:widowControl/>
              <w:autoSpaceDE/>
              <w:autoSpaceDN/>
              <w:adjustRightInd/>
              <w:rPr>
                <w:b/>
                <w:bCs/>
                <w:color w:val="000000"/>
                <w:sz w:val="22"/>
                <w:szCs w:val="22"/>
              </w:rPr>
            </w:pPr>
          </w:p>
          <w:p w:rsidR="007C1922" w:rsidP="00A30AB9" w14:paraId="5B528CEC" w14:textId="144137EF">
            <w:pPr>
              <w:widowControl/>
              <w:autoSpaceDE/>
              <w:autoSpaceDN/>
              <w:adjustRightInd/>
              <w:jc w:val="center"/>
              <w:rPr>
                <w:b/>
                <w:bCs/>
                <w:color w:val="000000"/>
                <w:sz w:val="22"/>
                <w:szCs w:val="22"/>
              </w:rPr>
            </w:pPr>
            <w:r w:rsidRPr="00A30AB9">
              <w:rPr>
                <w:b/>
                <w:bCs/>
                <w:color w:val="000000"/>
                <w:sz w:val="22"/>
                <w:szCs w:val="22"/>
              </w:rPr>
              <w:t xml:space="preserve">Burden Costs </w:t>
            </w:r>
          </w:p>
          <w:p w:rsidR="00A30AB9" w:rsidRPr="00A30AB9" w:rsidP="00A30AB9" w14:paraId="238C800D" w14:textId="019107E9">
            <w:pPr>
              <w:widowControl/>
              <w:autoSpaceDE/>
              <w:autoSpaceDN/>
              <w:adjustRightInd/>
              <w:jc w:val="center"/>
              <w:rPr>
                <w:b/>
                <w:bCs/>
                <w:color w:val="000000"/>
                <w:sz w:val="22"/>
                <w:szCs w:val="22"/>
              </w:rPr>
            </w:pPr>
          </w:p>
        </w:tc>
      </w:tr>
      <w:tr w14:paraId="1458491E" w14:textId="77777777" w:rsidTr="00201033">
        <w:tblPrEx>
          <w:tblW w:w="14490" w:type="dxa"/>
          <w:jc w:val="center"/>
          <w:tblLayout w:type="fixed"/>
          <w:tblCellMar>
            <w:left w:w="58" w:type="dxa"/>
            <w:right w:w="58" w:type="dxa"/>
          </w:tblCellMar>
          <w:tblLook w:val="04A0"/>
        </w:tblPrEx>
        <w:trPr>
          <w:trHeight w:val="255"/>
          <w:jc w:val="center"/>
        </w:trPr>
        <w:tc>
          <w:tcPr>
            <w:tcW w:w="14490" w:type="dxa"/>
            <w:gridSpan w:val="9"/>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hideMark/>
          </w:tcPr>
          <w:p w:rsidR="00A30AB9" w:rsidRPr="00A30AB9" w:rsidP="00A30AB9" w14:paraId="43399D67" w14:textId="77777777">
            <w:pPr>
              <w:widowControl/>
              <w:autoSpaceDE/>
              <w:autoSpaceDN/>
              <w:adjustRightInd/>
              <w:rPr>
                <w:b/>
                <w:bCs/>
                <w:color w:val="000000"/>
                <w:sz w:val="22"/>
                <w:szCs w:val="22"/>
              </w:rPr>
            </w:pPr>
            <w:r w:rsidRPr="00A30AB9">
              <w:rPr>
                <w:b/>
                <w:bCs/>
                <w:color w:val="000000"/>
                <w:sz w:val="22"/>
                <w:szCs w:val="22"/>
              </w:rPr>
              <w:t>A. Multi-employer worksites (§1926.1101(d))</w:t>
            </w:r>
          </w:p>
        </w:tc>
      </w:tr>
      <w:tr w14:paraId="61A94328"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19F9CF6E" w14:textId="77777777">
            <w:pPr>
              <w:widowControl/>
              <w:autoSpaceDE/>
              <w:autoSpaceDN/>
              <w:adjustRightInd/>
              <w:rPr>
                <w:color w:val="000000"/>
                <w:sz w:val="22"/>
                <w:szCs w:val="22"/>
              </w:rPr>
            </w:pPr>
            <w:r w:rsidRPr="00A30AB9">
              <w:rPr>
                <w:color w:val="000000"/>
                <w:sz w:val="22"/>
                <w:szCs w:val="22"/>
              </w:rPr>
              <w:t>Multi-employer worksites</w:t>
            </w:r>
          </w:p>
        </w:tc>
        <w:tc>
          <w:tcPr>
            <w:tcW w:w="1800" w:type="dxa"/>
            <w:tcBorders>
              <w:top w:val="nil"/>
              <w:left w:val="nil"/>
              <w:bottom w:val="single" w:sz="4" w:space="0" w:color="auto"/>
              <w:right w:val="single" w:sz="4" w:space="0" w:color="auto"/>
            </w:tcBorders>
            <w:shd w:val="clear" w:color="auto" w:fill="auto"/>
            <w:hideMark/>
          </w:tcPr>
          <w:p w:rsidR="00A30AB9" w:rsidRPr="00A30AB9" w:rsidP="00A30AB9" w14:paraId="1F976609" w14:textId="77777777">
            <w:pPr>
              <w:widowControl/>
              <w:autoSpaceDE/>
              <w:autoSpaceDN/>
              <w:adjustRightInd/>
              <w:rPr>
                <w:color w:val="000000"/>
                <w:sz w:val="22"/>
                <w:szCs w:val="22"/>
              </w:rPr>
            </w:pPr>
            <w:r w:rsidRPr="00A30AB9">
              <w:rPr>
                <w:color w:val="000000"/>
                <w:sz w:val="22"/>
                <w:szCs w:val="22"/>
              </w:rPr>
              <w:t>Clerical</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0E322E28" w14:textId="3100DF17">
            <w:pPr>
              <w:widowControl/>
              <w:autoSpaceDE/>
              <w:autoSpaceDN/>
              <w:adjustRightInd/>
              <w:jc w:val="right"/>
              <w:rPr>
                <w:color w:val="000000"/>
                <w:sz w:val="22"/>
                <w:szCs w:val="22"/>
              </w:rPr>
            </w:pPr>
            <w:r>
              <w:rPr>
                <w:color w:val="000000"/>
                <w:sz w:val="22"/>
                <w:szCs w:val="22"/>
              </w:rPr>
              <w:t>215,116</w:t>
            </w:r>
          </w:p>
        </w:tc>
        <w:tc>
          <w:tcPr>
            <w:tcW w:w="1440" w:type="dxa"/>
            <w:tcBorders>
              <w:top w:val="nil"/>
              <w:left w:val="nil"/>
              <w:bottom w:val="single" w:sz="4" w:space="0" w:color="auto"/>
              <w:right w:val="single" w:sz="4" w:space="0" w:color="auto"/>
            </w:tcBorders>
            <w:shd w:val="clear" w:color="auto" w:fill="auto"/>
            <w:hideMark/>
          </w:tcPr>
          <w:p w:rsidR="00A30AB9" w:rsidRPr="00A30AB9" w:rsidP="00A30AB9" w14:paraId="36216190" w14:textId="77777777">
            <w:pPr>
              <w:widowControl/>
              <w:autoSpaceDE/>
              <w:autoSpaceDN/>
              <w:adjustRightInd/>
              <w:jc w:val="right"/>
              <w:rPr>
                <w:color w:val="000000"/>
                <w:sz w:val="22"/>
                <w:szCs w:val="22"/>
              </w:rPr>
            </w:pPr>
            <w:r w:rsidRPr="00A30AB9">
              <w:rPr>
                <w:color w:val="000000"/>
                <w:sz w:val="22"/>
                <w:szCs w:val="22"/>
              </w:rPr>
              <w:t>3</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39A8B185" w14:textId="097B4D2D">
            <w:pPr>
              <w:widowControl/>
              <w:autoSpaceDE/>
              <w:autoSpaceDN/>
              <w:adjustRightInd/>
              <w:jc w:val="right"/>
              <w:rPr>
                <w:color w:val="000000"/>
                <w:sz w:val="22"/>
                <w:szCs w:val="22"/>
              </w:rPr>
            </w:pPr>
            <w:r>
              <w:rPr>
                <w:color w:val="000000"/>
                <w:sz w:val="22"/>
                <w:szCs w:val="22"/>
              </w:rPr>
              <w:t>645,</w:t>
            </w:r>
            <w:r w:rsidR="00336C8A">
              <w:rPr>
                <w:color w:val="000000"/>
                <w:sz w:val="22"/>
                <w:szCs w:val="22"/>
              </w:rPr>
              <w:t>348</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AB9" w:rsidRPr="00A30AB9" w:rsidP="00A30AB9" w14:paraId="17AF1DDA"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3418E234" w14:textId="5A4C6654">
            <w:pPr>
              <w:widowControl/>
              <w:autoSpaceDE/>
              <w:autoSpaceDN/>
              <w:adjustRightInd/>
              <w:jc w:val="right"/>
              <w:rPr>
                <w:color w:val="000000"/>
                <w:sz w:val="22"/>
                <w:szCs w:val="22"/>
              </w:rPr>
            </w:pPr>
            <w:r>
              <w:rPr>
                <w:color w:val="000000"/>
                <w:sz w:val="22"/>
                <w:szCs w:val="22"/>
              </w:rPr>
              <w:t>53,779</w:t>
            </w:r>
          </w:p>
        </w:tc>
        <w:tc>
          <w:tcPr>
            <w:tcW w:w="1260" w:type="dxa"/>
            <w:tcBorders>
              <w:top w:val="nil"/>
              <w:left w:val="nil"/>
              <w:bottom w:val="single" w:sz="4" w:space="0" w:color="auto"/>
              <w:right w:val="single" w:sz="4" w:space="0" w:color="auto"/>
            </w:tcBorders>
            <w:shd w:val="clear" w:color="auto" w:fill="auto"/>
            <w:hideMark/>
          </w:tcPr>
          <w:p w:rsidR="00A30AB9" w:rsidRPr="00A30AB9" w:rsidP="00A30AB9" w14:paraId="39AAAC99" w14:textId="126320C6">
            <w:pPr>
              <w:widowControl/>
              <w:autoSpaceDE/>
              <w:autoSpaceDN/>
              <w:adjustRightInd/>
              <w:jc w:val="right"/>
              <w:rPr>
                <w:color w:val="000000"/>
                <w:sz w:val="22"/>
                <w:szCs w:val="22"/>
              </w:rPr>
            </w:pPr>
            <w:r w:rsidRPr="00A30AB9">
              <w:rPr>
                <w:color w:val="000000"/>
                <w:sz w:val="22"/>
                <w:szCs w:val="22"/>
              </w:rPr>
              <w:t>$</w:t>
            </w:r>
            <w:r w:rsidR="00183ADD">
              <w:rPr>
                <w:color w:val="000000"/>
                <w:sz w:val="22"/>
                <w:szCs w:val="22"/>
              </w:rPr>
              <w:t>31.74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793018" w:rsidP="00A30AB9" w14:paraId="4B34E11F" w14:textId="188FFD9A">
            <w:pPr>
              <w:widowControl/>
              <w:autoSpaceDE/>
              <w:autoSpaceDN/>
              <w:adjustRightInd/>
              <w:jc w:val="right"/>
              <w:rPr>
                <w:color w:val="000000"/>
                <w:sz w:val="22"/>
                <w:szCs w:val="22"/>
              </w:rPr>
            </w:pPr>
            <w:r w:rsidRPr="00A30AB9">
              <w:rPr>
                <w:color w:val="000000"/>
                <w:sz w:val="22"/>
                <w:szCs w:val="22"/>
              </w:rPr>
              <w:t>$</w:t>
            </w:r>
            <w:r>
              <w:t>1,</w:t>
            </w:r>
            <w:r w:rsidR="00183ADD">
              <w:t>706,945</w:t>
            </w:r>
          </w:p>
          <w:p w:rsidR="00A30AB9" w:rsidRPr="00A30AB9" w:rsidP="00A30AB9" w14:paraId="63AC3CE7" w14:textId="77265D8D">
            <w:pPr>
              <w:widowControl/>
              <w:autoSpaceDE/>
              <w:autoSpaceDN/>
              <w:adjustRightInd/>
              <w:jc w:val="right"/>
              <w:rPr>
                <w:color w:val="000000"/>
                <w:sz w:val="22"/>
                <w:szCs w:val="22"/>
              </w:rPr>
            </w:pPr>
          </w:p>
        </w:tc>
      </w:tr>
      <w:tr w14:paraId="604BAB11" w14:textId="77777777" w:rsidTr="00201033">
        <w:tblPrEx>
          <w:tblW w:w="14490" w:type="dxa"/>
          <w:jc w:val="center"/>
          <w:tblLayout w:type="fixed"/>
          <w:tblCellMar>
            <w:left w:w="58" w:type="dxa"/>
            <w:right w:w="58" w:type="dxa"/>
          </w:tblCellMar>
          <w:tblLook w:val="04A0"/>
        </w:tblPrEx>
        <w:trPr>
          <w:trHeight w:val="255"/>
          <w:jc w:val="center"/>
        </w:trPr>
        <w:tc>
          <w:tcPr>
            <w:tcW w:w="14490" w:type="dxa"/>
            <w:gridSpan w:val="9"/>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hideMark/>
          </w:tcPr>
          <w:p w:rsidR="00A30AB9" w:rsidRPr="00A30AB9" w:rsidP="00A30AB9" w14:paraId="35823C2F" w14:textId="77777777">
            <w:pPr>
              <w:widowControl/>
              <w:autoSpaceDE/>
              <w:autoSpaceDN/>
              <w:adjustRightInd/>
              <w:rPr>
                <w:b/>
                <w:bCs/>
                <w:color w:val="000000"/>
                <w:sz w:val="22"/>
                <w:szCs w:val="22"/>
              </w:rPr>
            </w:pPr>
            <w:r w:rsidRPr="00A30AB9">
              <w:rPr>
                <w:b/>
                <w:bCs/>
                <w:color w:val="000000"/>
                <w:sz w:val="22"/>
                <w:szCs w:val="22"/>
              </w:rPr>
              <w:t>C. Exposure Assessments and monitoring (§1926.1101(f))</w:t>
            </w:r>
          </w:p>
        </w:tc>
      </w:tr>
      <w:tr w14:paraId="7074AE1D"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51EE9CC4" w14:textId="77777777">
            <w:pPr>
              <w:widowControl/>
              <w:autoSpaceDE/>
              <w:autoSpaceDN/>
              <w:adjustRightInd/>
              <w:rPr>
                <w:color w:val="000000"/>
                <w:sz w:val="22"/>
                <w:szCs w:val="22"/>
              </w:rPr>
            </w:pPr>
            <w:r w:rsidRPr="00A30AB9">
              <w:rPr>
                <w:color w:val="000000"/>
                <w:sz w:val="22"/>
                <w:szCs w:val="22"/>
              </w:rPr>
              <w:t>Initial assessments and monitoring</w:t>
            </w:r>
          </w:p>
        </w:tc>
        <w:tc>
          <w:tcPr>
            <w:tcW w:w="1800" w:type="dxa"/>
            <w:tcBorders>
              <w:top w:val="nil"/>
              <w:left w:val="nil"/>
              <w:bottom w:val="single" w:sz="4" w:space="0" w:color="auto"/>
              <w:right w:val="single" w:sz="4" w:space="0" w:color="auto"/>
            </w:tcBorders>
            <w:shd w:val="clear" w:color="auto" w:fill="auto"/>
            <w:hideMark/>
          </w:tcPr>
          <w:p w:rsidR="00A30AB9" w:rsidRPr="00A30AB9" w:rsidP="00A30AB9" w14:paraId="4A00F321" w14:textId="77777777">
            <w:pPr>
              <w:widowControl/>
              <w:autoSpaceDE/>
              <w:autoSpaceDN/>
              <w:adjustRightInd/>
              <w:rPr>
                <w:color w:val="000000"/>
                <w:sz w:val="22"/>
                <w:szCs w:val="22"/>
              </w:rPr>
            </w:pPr>
            <w:r w:rsidRPr="00A30AB9">
              <w:rPr>
                <w:color w:val="000000"/>
                <w:sz w:val="22"/>
                <w:szCs w:val="22"/>
              </w:rPr>
              <w:t>Manager</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217C105B" w14:textId="15DFEFD3">
            <w:pPr>
              <w:widowControl/>
              <w:autoSpaceDE/>
              <w:autoSpaceDN/>
              <w:adjustRightInd/>
              <w:jc w:val="right"/>
              <w:rPr>
                <w:color w:val="000000"/>
                <w:sz w:val="22"/>
                <w:szCs w:val="22"/>
              </w:rPr>
            </w:pPr>
            <w:r>
              <w:rPr>
                <w:color w:val="000000"/>
                <w:sz w:val="22"/>
                <w:szCs w:val="22"/>
              </w:rPr>
              <w:t>215,116</w:t>
            </w:r>
          </w:p>
        </w:tc>
        <w:tc>
          <w:tcPr>
            <w:tcW w:w="1440" w:type="dxa"/>
            <w:tcBorders>
              <w:top w:val="nil"/>
              <w:left w:val="nil"/>
              <w:bottom w:val="single" w:sz="4" w:space="0" w:color="auto"/>
              <w:right w:val="single" w:sz="4" w:space="0" w:color="auto"/>
            </w:tcBorders>
            <w:shd w:val="clear" w:color="auto" w:fill="auto"/>
            <w:hideMark/>
          </w:tcPr>
          <w:p w:rsidR="00A30AB9" w:rsidRPr="00A30AB9" w:rsidP="00A30AB9" w14:paraId="2F8C44F5" w14:textId="77777777">
            <w:pPr>
              <w:widowControl/>
              <w:autoSpaceDE/>
              <w:autoSpaceDN/>
              <w:adjustRightInd/>
              <w:jc w:val="right"/>
              <w:rPr>
                <w:color w:val="000000"/>
                <w:sz w:val="22"/>
                <w:szCs w:val="22"/>
              </w:rPr>
            </w:pPr>
            <w:r w:rsidRPr="00A30AB9">
              <w:rPr>
                <w:color w:val="000000"/>
                <w:sz w:val="22"/>
                <w:szCs w:val="22"/>
              </w:rPr>
              <w:t>3</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333E32F0" w14:textId="4B002008">
            <w:pPr>
              <w:widowControl/>
              <w:autoSpaceDE/>
              <w:autoSpaceDN/>
              <w:adjustRightInd/>
              <w:jc w:val="right"/>
              <w:rPr>
                <w:color w:val="000000"/>
                <w:sz w:val="22"/>
                <w:szCs w:val="22"/>
              </w:rPr>
            </w:pPr>
            <w:r>
              <w:rPr>
                <w:color w:val="000000"/>
                <w:sz w:val="22"/>
                <w:szCs w:val="22"/>
              </w:rPr>
              <w:t>645,348</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AB9" w:rsidRPr="00A30AB9" w:rsidP="00A30AB9" w14:paraId="7434E30C" w14:textId="77777777">
            <w:pPr>
              <w:widowControl/>
              <w:autoSpaceDE/>
              <w:autoSpaceDN/>
              <w:adjustRightInd/>
              <w:jc w:val="right"/>
              <w:rPr>
                <w:color w:val="000000"/>
                <w:sz w:val="22"/>
                <w:szCs w:val="22"/>
              </w:rPr>
            </w:pPr>
            <w:r w:rsidRPr="00A30AB9">
              <w:rPr>
                <w:color w:val="000000"/>
                <w:sz w:val="22"/>
                <w:szCs w:val="22"/>
              </w:rPr>
              <w:t>1</w:t>
            </w:r>
          </w:p>
        </w:tc>
        <w:tc>
          <w:tcPr>
            <w:tcW w:w="144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2BF7369A" w14:textId="5ED9BD74">
            <w:pPr>
              <w:widowControl/>
              <w:autoSpaceDE/>
              <w:autoSpaceDN/>
              <w:adjustRightInd/>
              <w:jc w:val="right"/>
              <w:rPr>
                <w:color w:val="000000"/>
                <w:sz w:val="22"/>
                <w:szCs w:val="22"/>
              </w:rPr>
            </w:pPr>
            <w:r>
              <w:rPr>
                <w:color w:val="000000"/>
                <w:sz w:val="22"/>
                <w:szCs w:val="22"/>
              </w:rPr>
              <w:t>645,</w:t>
            </w:r>
            <w:r w:rsidR="00F97160">
              <w:rPr>
                <w:color w:val="000000"/>
                <w:sz w:val="22"/>
                <w:szCs w:val="22"/>
              </w:rPr>
              <w:t xml:space="preserve">348 </w:t>
            </w:r>
          </w:p>
        </w:tc>
        <w:tc>
          <w:tcPr>
            <w:tcW w:w="1260" w:type="dxa"/>
            <w:tcBorders>
              <w:top w:val="nil"/>
              <w:left w:val="nil"/>
              <w:bottom w:val="single" w:sz="4" w:space="0" w:color="auto"/>
              <w:right w:val="single" w:sz="4" w:space="0" w:color="auto"/>
            </w:tcBorders>
            <w:shd w:val="clear" w:color="auto" w:fill="auto"/>
            <w:hideMark/>
          </w:tcPr>
          <w:p w:rsidR="00A30AB9" w:rsidRPr="00A30AB9" w:rsidP="00A30AB9" w14:paraId="45F67382" w14:textId="2414C786">
            <w:pPr>
              <w:widowControl/>
              <w:autoSpaceDE/>
              <w:autoSpaceDN/>
              <w:adjustRightInd/>
              <w:jc w:val="right"/>
              <w:rPr>
                <w:color w:val="000000"/>
                <w:sz w:val="22"/>
                <w:szCs w:val="22"/>
              </w:rPr>
            </w:pPr>
            <w:r>
              <w:rPr>
                <w:color w:val="000000"/>
                <w:sz w:val="22"/>
                <w:szCs w:val="22"/>
              </w:rPr>
              <w:t>$50.04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A30AB9" w:rsidRPr="00A30AB9" w:rsidP="00A30AB9" w14:paraId="1ABA1998" w14:textId="7B6D4E97">
            <w:pPr>
              <w:widowControl/>
              <w:autoSpaceDE/>
              <w:autoSpaceDN/>
              <w:adjustRightInd/>
              <w:jc w:val="right"/>
              <w:rPr>
                <w:color w:val="000000"/>
                <w:sz w:val="22"/>
                <w:szCs w:val="22"/>
              </w:rPr>
            </w:pPr>
            <w:r w:rsidRPr="00A30AB9">
              <w:rPr>
                <w:color w:val="000000"/>
                <w:sz w:val="22"/>
                <w:szCs w:val="22"/>
              </w:rPr>
              <w:t>$</w:t>
            </w:r>
            <w:r w:rsidR="00764C70">
              <w:rPr>
                <w:color w:val="000000"/>
                <w:sz w:val="22"/>
                <w:szCs w:val="22"/>
              </w:rPr>
              <w:t xml:space="preserve">32,293,214 </w:t>
            </w:r>
          </w:p>
        </w:tc>
      </w:tr>
      <w:tr w14:paraId="5BFA3935"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47487CD4" w14:textId="77777777">
            <w:pPr>
              <w:widowControl/>
              <w:autoSpaceDE/>
              <w:autoSpaceDN/>
              <w:adjustRightInd/>
              <w:rPr>
                <w:color w:val="000000"/>
                <w:sz w:val="22"/>
                <w:szCs w:val="22"/>
              </w:rPr>
            </w:pPr>
            <w:r w:rsidRPr="00A30AB9">
              <w:rPr>
                <w:color w:val="000000"/>
                <w:sz w:val="22"/>
                <w:szCs w:val="22"/>
              </w:rPr>
              <w:t>Monitoring triggered by alternative control methods for Class I work (§1926.1101(g)(6)(iii))</w:t>
            </w:r>
          </w:p>
        </w:tc>
        <w:tc>
          <w:tcPr>
            <w:tcW w:w="1800" w:type="dxa"/>
            <w:tcBorders>
              <w:top w:val="nil"/>
              <w:left w:val="nil"/>
              <w:bottom w:val="single" w:sz="4" w:space="0" w:color="auto"/>
              <w:right w:val="single" w:sz="4" w:space="0" w:color="auto"/>
            </w:tcBorders>
            <w:shd w:val="clear" w:color="auto" w:fill="auto"/>
            <w:hideMark/>
          </w:tcPr>
          <w:p w:rsidR="00A30AB9" w:rsidRPr="00A30AB9" w:rsidP="00A30AB9" w14:paraId="42E9B93E" w14:textId="77777777">
            <w:pPr>
              <w:widowControl/>
              <w:autoSpaceDE/>
              <w:autoSpaceDN/>
              <w:adjustRightInd/>
              <w:rPr>
                <w:color w:val="000000"/>
                <w:sz w:val="22"/>
                <w:szCs w:val="22"/>
              </w:rPr>
            </w:pPr>
            <w:r w:rsidRPr="00A30AB9">
              <w:rPr>
                <w:color w:val="000000"/>
                <w:sz w:val="22"/>
                <w:szCs w:val="22"/>
              </w:rPr>
              <w:t>Manager</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1B744C67" w14:textId="77777777">
            <w:pPr>
              <w:widowControl/>
              <w:autoSpaceDE/>
              <w:autoSpaceDN/>
              <w:adjustRightInd/>
              <w:jc w:val="right"/>
              <w:rPr>
                <w:color w:val="000000"/>
                <w:sz w:val="22"/>
                <w:szCs w:val="22"/>
              </w:rPr>
            </w:pPr>
            <w:r w:rsidRPr="00A30AB9">
              <w:rPr>
                <w:color w:val="000000"/>
                <w:sz w:val="22"/>
                <w:szCs w:val="22"/>
              </w:rPr>
              <w:t>45</w:t>
            </w:r>
          </w:p>
        </w:tc>
        <w:tc>
          <w:tcPr>
            <w:tcW w:w="1440" w:type="dxa"/>
            <w:tcBorders>
              <w:top w:val="nil"/>
              <w:left w:val="nil"/>
              <w:bottom w:val="single" w:sz="4" w:space="0" w:color="auto"/>
              <w:right w:val="single" w:sz="4" w:space="0" w:color="auto"/>
            </w:tcBorders>
            <w:shd w:val="clear" w:color="auto" w:fill="auto"/>
            <w:hideMark/>
          </w:tcPr>
          <w:p w:rsidR="00A30AB9" w:rsidRPr="00A30AB9" w:rsidP="00A30AB9" w14:paraId="57A3CCD4" w14:textId="77777777">
            <w:pPr>
              <w:widowControl/>
              <w:autoSpaceDE/>
              <w:autoSpaceDN/>
              <w:adjustRightInd/>
              <w:jc w:val="right"/>
              <w:rPr>
                <w:color w:val="000000"/>
                <w:sz w:val="22"/>
                <w:szCs w:val="22"/>
              </w:rPr>
            </w:pPr>
            <w:r w:rsidRPr="00A30AB9">
              <w:rPr>
                <w:color w:val="000000"/>
                <w:sz w:val="22"/>
                <w:szCs w:val="22"/>
              </w:rPr>
              <w:t>3</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41F5D0CF" w14:textId="77777777">
            <w:pPr>
              <w:widowControl/>
              <w:autoSpaceDE/>
              <w:autoSpaceDN/>
              <w:adjustRightInd/>
              <w:jc w:val="right"/>
              <w:rPr>
                <w:color w:val="000000"/>
                <w:sz w:val="22"/>
                <w:szCs w:val="22"/>
              </w:rPr>
            </w:pPr>
            <w:r w:rsidRPr="00A30AB9">
              <w:rPr>
                <w:color w:val="000000"/>
                <w:sz w:val="22"/>
                <w:szCs w:val="22"/>
              </w:rPr>
              <w:t>135</w:t>
            </w:r>
          </w:p>
        </w:tc>
        <w:tc>
          <w:tcPr>
            <w:tcW w:w="126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0E586F57" w14:textId="77777777">
            <w:pPr>
              <w:widowControl/>
              <w:autoSpaceDE/>
              <w:autoSpaceDN/>
              <w:adjustRightInd/>
              <w:jc w:val="right"/>
              <w:rPr>
                <w:color w:val="000000"/>
                <w:sz w:val="22"/>
                <w:szCs w:val="22"/>
              </w:rPr>
            </w:pPr>
            <w:r w:rsidRPr="00A30AB9">
              <w:rPr>
                <w:color w:val="000000"/>
                <w:sz w:val="22"/>
                <w:szCs w:val="22"/>
              </w:rPr>
              <w:t>1</w:t>
            </w:r>
          </w:p>
        </w:tc>
        <w:tc>
          <w:tcPr>
            <w:tcW w:w="144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71B423C9" w14:textId="77777777">
            <w:pPr>
              <w:widowControl/>
              <w:autoSpaceDE/>
              <w:autoSpaceDN/>
              <w:adjustRightInd/>
              <w:jc w:val="right"/>
              <w:rPr>
                <w:color w:val="000000"/>
                <w:sz w:val="22"/>
                <w:szCs w:val="22"/>
              </w:rPr>
            </w:pPr>
            <w:r w:rsidRPr="00A30AB9">
              <w:rPr>
                <w:color w:val="000000"/>
                <w:sz w:val="22"/>
                <w:szCs w:val="22"/>
              </w:rPr>
              <w:t>135.00</w:t>
            </w:r>
          </w:p>
        </w:tc>
        <w:tc>
          <w:tcPr>
            <w:tcW w:w="1260" w:type="dxa"/>
            <w:tcBorders>
              <w:top w:val="nil"/>
              <w:left w:val="nil"/>
              <w:bottom w:val="single" w:sz="4" w:space="0" w:color="auto"/>
              <w:right w:val="single" w:sz="4" w:space="0" w:color="auto"/>
            </w:tcBorders>
            <w:shd w:val="clear" w:color="auto" w:fill="auto"/>
            <w:hideMark/>
          </w:tcPr>
          <w:p w:rsidR="00A30AB9" w:rsidRPr="00A30AB9" w:rsidP="00A30AB9" w14:paraId="26CDC54A" w14:textId="2B6D00F3">
            <w:pPr>
              <w:widowControl/>
              <w:autoSpaceDE/>
              <w:autoSpaceDN/>
              <w:adjustRightInd/>
              <w:jc w:val="right"/>
              <w:rPr>
                <w:color w:val="000000"/>
                <w:sz w:val="22"/>
                <w:szCs w:val="22"/>
              </w:rPr>
            </w:pPr>
            <w:r w:rsidRPr="00A30AB9">
              <w:rPr>
                <w:color w:val="000000"/>
                <w:sz w:val="22"/>
                <w:szCs w:val="22"/>
              </w:rPr>
              <w:t>$</w:t>
            </w:r>
            <w:r w:rsidR="00764C70">
              <w:rPr>
                <w:color w:val="000000"/>
                <w:sz w:val="22"/>
                <w:szCs w:val="22"/>
              </w:rPr>
              <w:t>50.</w:t>
            </w:r>
            <w:r w:rsidR="00C25615">
              <w:rPr>
                <w:color w:val="000000"/>
                <w:sz w:val="22"/>
                <w:szCs w:val="22"/>
              </w:rPr>
              <w:t>04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A30AB9" w:rsidRPr="00A30AB9" w:rsidP="00A30AB9" w14:paraId="3F1677AF" w14:textId="0FCA3B21">
            <w:pPr>
              <w:widowControl/>
              <w:autoSpaceDE/>
              <w:autoSpaceDN/>
              <w:adjustRightInd/>
              <w:jc w:val="right"/>
              <w:rPr>
                <w:color w:val="000000"/>
                <w:sz w:val="22"/>
                <w:szCs w:val="22"/>
              </w:rPr>
            </w:pPr>
            <w:r w:rsidRPr="00A30AB9">
              <w:rPr>
                <w:color w:val="000000"/>
                <w:sz w:val="22"/>
                <w:szCs w:val="22"/>
              </w:rPr>
              <w:t>$</w:t>
            </w:r>
            <w:r w:rsidR="00C25615">
              <w:rPr>
                <w:color w:val="000000"/>
                <w:sz w:val="22"/>
                <w:szCs w:val="22"/>
              </w:rPr>
              <w:t>6,755</w:t>
            </w:r>
            <w:r w:rsidR="001B7CAE">
              <w:rPr>
                <w:color w:val="000000"/>
                <w:sz w:val="22"/>
                <w:szCs w:val="22"/>
              </w:rPr>
              <w:t xml:space="preserve"> </w:t>
            </w:r>
          </w:p>
        </w:tc>
      </w:tr>
      <w:tr w14:paraId="6C59AA02"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29718EC8" w14:textId="77777777">
            <w:pPr>
              <w:widowControl/>
              <w:autoSpaceDE/>
              <w:autoSpaceDN/>
              <w:adjustRightInd/>
              <w:rPr>
                <w:color w:val="000000"/>
                <w:sz w:val="22"/>
                <w:szCs w:val="22"/>
              </w:rPr>
            </w:pPr>
            <w:r w:rsidRPr="00A30AB9">
              <w:rPr>
                <w:color w:val="000000"/>
                <w:sz w:val="22"/>
                <w:szCs w:val="22"/>
              </w:rPr>
              <w:t>Notification of monitoring results (§1926.1101(f)(5))</w:t>
            </w:r>
          </w:p>
        </w:tc>
        <w:tc>
          <w:tcPr>
            <w:tcW w:w="1800" w:type="dxa"/>
            <w:tcBorders>
              <w:top w:val="nil"/>
              <w:left w:val="nil"/>
              <w:bottom w:val="single" w:sz="4" w:space="0" w:color="auto"/>
              <w:right w:val="single" w:sz="4" w:space="0" w:color="auto"/>
            </w:tcBorders>
            <w:shd w:val="clear" w:color="auto" w:fill="auto"/>
            <w:hideMark/>
          </w:tcPr>
          <w:p w:rsidR="00A30AB9" w:rsidRPr="00A30AB9" w:rsidP="00A30AB9" w14:paraId="047F510C" w14:textId="77777777">
            <w:pPr>
              <w:widowControl/>
              <w:autoSpaceDE/>
              <w:autoSpaceDN/>
              <w:adjustRightInd/>
              <w:rPr>
                <w:color w:val="000000"/>
                <w:sz w:val="22"/>
                <w:szCs w:val="22"/>
              </w:rPr>
            </w:pPr>
            <w:r w:rsidRPr="00A30AB9">
              <w:rPr>
                <w:color w:val="000000"/>
                <w:sz w:val="22"/>
                <w:szCs w:val="22"/>
              </w:rPr>
              <w:t>Clerical</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2354EA4A" w14:textId="01A36E1E">
            <w:pPr>
              <w:widowControl/>
              <w:autoSpaceDE/>
              <w:autoSpaceDN/>
              <w:adjustRightInd/>
              <w:jc w:val="right"/>
              <w:rPr>
                <w:color w:val="000000"/>
                <w:sz w:val="22"/>
                <w:szCs w:val="22"/>
              </w:rPr>
            </w:pPr>
            <w:r>
              <w:rPr>
                <w:color w:val="000000"/>
                <w:sz w:val="22"/>
                <w:szCs w:val="22"/>
              </w:rPr>
              <w:t>215,</w:t>
            </w:r>
            <w:r w:rsidR="00B03155">
              <w:rPr>
                <w:color w:val="000000"/>
                <w:sz w:val="22"/>
                <w:szCs w:val="22"/>
              </w:rPr>
              <w:t>116</w:t>
            </w:r>
          </w:p>
        </w:tc>
        <w:tc>
          <w:tcPr>
            <w:tcW w:w="1440" w:type="dxa"/>
            <w:tcBorders>
              <w:top w:val="nil"/>
              <w:left w:val="nil"/>
              <w:bottom w:val="single" w:sz="4" w:space="0" w:color="auto"/>
              <w:right w:val="single" w:sz="4" w:space="0" w:color="auto"/>
            </w:tcBorders>
            <w:shd w:val="clear" w:color="auto" w:fill="auto"/>
            <w:hideMark/>
          </w:tcPr>
          <w:p w:rsidR="00A30AB9" w:rsidRPr="00A30AB9" w:rsidP="00A30AB9" w14:paraId="0BACE3D1" w14:textId="77777777">
            <w:pPr>
              <w:widowControl/>
              <w:autoSpaceDE/>
              <w:autoSpaceDN/>
              <w:adjustRightInd/>
              <w:jc w:val="right"/>
              <w:rPr>
                <w:color w:val="000000"/>
                <w:sz w:val="22"/>
                <w:szCs w:val="22"/>
              </w:rPr>
            </w:pPr>
            <w:r w:rsidRPr="00A30AB9">
              <w:rPr>
                <w:color w:val="000000"/>
                <w:sz w:val="22"/>
                <w:szCs w:val="22"/>
              </w:rPr>
              <w:t>3</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02AC6E9E" w14:textId="2E5340EF">
            <w:pPr>
              <w:widowControl/>
              <w:autoSpaceDE/>
              <w:autoSpaceDN/>
              <w:adjustRightInd/>
              <w:jc w:val="right"/>
              <w:rPr>
                <w:color w:val="000000"/>
                <w:sz w:val="22"/>
                <w:szCs w:val="22"/>
              </w:rPr>
            </w:pPr>
            <w:r>
              <w:rPr>
                <w:color w:val="000000"/>
                <w:sz w:val="22"/>
                <w:szCs w:val="22"/>
              </w:rPr>
              <w:t>645</w:t>
            </w:r>
            <w:r w:rsidR="00D10ABE">
              <w:rPr>
                <w:color w:val="000000"/>
                <w:sz w:val="22"/>
                <w:szCs w:val="22"/>
              </w:rPr>
              <w:t>,34</w:t>
            </w:r>
            <w:r w:rsidR="003D4FD3">
              <w:rPr>
                <w:color w:val="000000"/>
                <w:sz w:val="22"/>
                <w:szCs w:val="22"/>
              </w:rPr>
              <w:t>8</w:t>
            </w:r>
          </w:p>
        </w:tc>
        <w:tc>
          <w:tcPr>
            <w:tcW w:w="126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2C1C64E3"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585728DD" w14:textId="5C4B1417">
            <w:pPr>
              <w:widowControl/>
              <w:autoSpaceDE/>
              <w:autoSpaceDN/>
              <w:adjustRightInd/>
              <w:jc w:val="right"/>
              <w:rPr>
                <w:color w:val="000000"/>
                <w:sz w:val="22"/>
                <w:szCs w:val="22"/>
              </w:rPr>
            </w:pPr>
            <w:r>
              <w:rPr>
                <w:color w:val="000000"/>
                <w:sz w:val="22"/>
                <w:szCs w:val="22"/>
              </w:rPr>
              <w:t>53,779</w:t>
            </w:r>
          </w:p>
        </w:tc>
        <w:tc>
          <w:tcPr>
            <w:tcW w:w="1260" w:type="dxa"/>
            <w:tcBorders>
              <w:top w:val="nil"/>
              <w:left w:val="nil"/>
              <w:bottom w:val="single" w:sz="4" w:space="0" w:color="auto"/>
              <w:right w:val="single" w:sz="4" w:space="0" w:color="auto"/>
            </w:tcBorders>
            <w:shd w:val="clear" w:color="auto" w:fill="auto"/>
            <w:hideMark/>
          </w:tcPr>
          <w:p w:rsidR="00A30AB9" w:rsidRPr="00A30AB9" w:rsidP="00A30AB9" w14:paraId="22C7934F" w14:textId="2B4C67DB">
            <w:pPr>
              <w:widowControl/>
              <w:autoSpaceDE/>
              <w:autoSpaceDN/>
              <w:adjustRightInd/>
              <w:jc w:val="right"/>
              <w:rPr>
                <w:color w:val="000000"/>
                <w:sz w:val="22"/>
                <w:szCs w:val="22"/>
              </w:rPr>
            </w:pPr>
            <w:r w:rsidRPr="00A30AB9">
              <w:rPr>
                <w:color w:val="000000"/>
                <w:sz w:val="22"/>
                <w:szCs w:val="22"/>
              </w:rPr>
              <w:t>$</w:t>
            </w:r>
            <w:r w:rsidR="00DA5638">
              <w:rPr>
                <w:color w:val="000000"/>
                <w:sz w:val="22"/>
                <w:szCs w:val="22"/>
              </w:rPr>
              <w:t>31.74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A30AB9" w:rsidRPr="00A30AB9" w:rsidP="00A30AB9" w14:paraId="5D6AFC30" w14:textId="27C7FCA4">
            <w:pPr>
              <w:widowControl/>
              <w:autoSpaceDE/>
              <w:autoSpaceDN/>
              <w:adjustRightInd/>
              <w:jc w:val="right"/>
              <w:rPr>
                <w:color w:val="000000"/>
                <w:sz w:val="22"/>
                <w:szCs w:val="22"/>
              </w:rPr>
            </w:pPr>
            <w:r w:rsidRPr="00A30AB9">
              <w:rPr>
                <w:color w:val="000000"/>
                <w:sz w:val="22"/>
                <w:szCs w:val="22"/>
              </w:rPr>
              <w:t>$</w:t>
            </w:r>
            <w:r w:rsidR="00DA5638">
              <w:rPr>
                <w:color w:val="000000"/>
                <w:sz w:val="22"/>
                <w:szCs w:val="22"/>
              </w:rPr>
              <w:t>1,706,945</w:t>
            </w:r>
            <w:r w:rsidR="009E2F1B">
              <w:rPr>
                <w:color w:val="000000"/>
                <w:sz w:val="22"/>
                <w:szCs w:val="22"/>
              </w:rPr>
              <w:t>,</w:t>
            </w:r>
          </w:p>
        </w:tc>
      </w:tr>
      <w:tr w14:paraId="297127CE"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46DBF022" w14:textId="77777777">
            <w:pPr>
              <w:widowControl/>
              <w:autoSpaceDE/>
              <w:autoSpaceDN/>
              <w:adjustRightInd/>
              <w:rPr>
                <w:b/>
                <w:bCs/>
                <w:i/>
                <w:iCs/>
                <w:color w:val="000000"/>
                <w:sz w:val="22"/>
                <w:szCs w:val="22"/>
              </w:rPr>
            </w:pPr>
            <w:r w:rsidRPr="00A30AB9">
              <w:rPr>
                <w:b/>
                <w:bCs/>
                <w:i/>
                <w:iCs/>
                <w:color w:val="000000"/>
                <w:sz w:val="22"/>
                <w:szCs w:val="22"/>
              </w:rPr>
              <w:t>Subtotal C.</w:t>
            </w:r>
          </w:p>
        </w:tc>
        <w:tc>
          <w:tcPr>
            <w:tcW w:w="1800" w:type="dxa"/>
            <w:tcBorders>
              <w:top w:val="nil"/>
              <w:left w:val="nil"/>
              <w:bottom w:val="single" w:sz="4" w:space="0" w:color="auto"/>
              <w:right w:val="single" w:sz="4" w:space="0" w:color="auto"/>
            </w:tcBorders>
            <w:shd w:val="clear" w:color="auto" w:fill="auto"/>
            <w:hideMark/>
          </w:tcPr>
          <w:p w:rsidR="00A30AB9" w:rsidRPr="00A30AB9" w:rsidP="00A30AB9" w14:paraId="7E982748" w14:textId="77777777">
            <w:pPr>
              <w:widowControl/>
              <w:autoSpaceDE/>
              <w:autoSpaceDN/>
              <w:adjustRightInd/>
              <w:rPr>
                <w:b/>
                <w:bCs/>
                <w:i/>
                <w:iCs/>
                <w:color w:val="000000"/>
                <w:sz w:val="22"/>
                <w:szCs w:val="22"/>
              </w:rPr>
            </w:pPr>
            <w:r w:rsidRPr="00A30AB9">
              <w:rPr>
                <w:b/>
                <w:bCs/>
                <w:i/>
                <w:i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2E27FAAE" w14:textId="77777777">
            <w:pPr>
              <w:widowControl/>
              <w:autoSpaceDE/>
              <w:autoSpaceDN/>
              <w:adjustRightInd/>
              <w:rPr>
                <w:b/>
                <w:bCs/>
                <w:i/>
                <w:iCs/>
                <w:color w:val="000000"/>
                <w:sz w:val="22"/>
                <w:szCs w:val="22"/>
              </w:rPr>
            </w:pPr>
            <w:r w:rsidRPr="00A30AB9">
              <w:rPr>
                <w:b/>
                <w:bCs/>
                <w:i/>
                <w:iCs/>
                <w:color w:val="000000"/>
                <w:sz w:val="22"/>
                <w:szCs w:val="22"/>
              </w:rPr>
              <w:t> </w:t>
            </w:r>
          </w:p>
        </w:tc>
        <w:tc>
          <w:tcPr>
            <w:tcW w:w="1440" w:type="dxa"/>
            <w:tcBorders>
              <w:top w:val="nil"/>
              <w:left w:val="nil"/>
              <w:bottom w:val="single" w:sz="4" w:space="0" w:color="auto"/>
              <w:right w:val="single" w:sz="4" w:space="0" w:color="auto"/>
            </w:tcBorders>
            <w:shd w:val="clear" w:color="auto" w:fill="auto"/>
            <w:hideMark/>
          </w:tcPr>
          <w:p w:rsidR="00A30AB9" w:rsidRPr="00A30AB9" w:rsidP="00A30AB9" w14:paraId="4EC8B310" w14:textId="77777777">
            <w:pPr>
              <w:widowControl/>
              <w:autoSpaceDE/>
              <w:autoSpaceDN/>
              <w:adjustRightInd/>
              <w:rPr>
                <w:b/>
                <w:bCs/>
                <w:i/>
                <w:iCs/>
                <w:color w:val="000000"/>
                <w:sz w:val="22"/>
                <w:szCs w:val="22"/>
              </w:rPr>
            </w:pPr>
            <w:r w:rsidRPr="00A30AB9">
              <w:rPr>
                <w:b/>
                <w:bCs/>
                <w:i/>
                <w:i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048A3C17" w14:textId="78759D69">
            <w:pPr>
              <w:widowControl/>
              <w:autoSpaceDE/>
              <w:autoSpaceDN/>
              <w:adjustRightInd/>
              <w:jc w:val="right"/>
              <w:rPr>
                <w:b/>
                <w:bCs/>
                <w:i/>
                <w:iCs/>
                <w:color w:val="000000"/>
                <w:sz w:val="22"/>
                <w:szCs w:val="22"/>
              </w:rPr>
            </w:pPr>
            <w:r>
              <w:rPr>
                <w:b/>
                <w:bCs/>
                <w:i/>
                <w:iCs/>
                <w:color w:val="000000"/>
                <w:sz w:val="22"/>
                <w:szCs w:val="22"/>
              </w:rPr>
              <w:t>1,</w:t>
            </w:r>
            <w:r w:rsidR="00353CDB">
              <w:rPr>
                <w:b/>
                <w:bCs/>
                <w:i/>
                <w:iCs/>
                <w:color w:val="000000"/>
                <w:sz w:val="22"/>
                <w:szCs w:val="22"/>
              </w:rPr>
              <w:t>290</w:t>
            </w:r>
            <w:r w:rsidR="00F7256B">
              <w:rPr>
                <w:b/>
                <w:bCs/>
                <w:i/>
                <w:iCs/>
                <w:color w:val="000000"/>
                <w:sz w:val="22"/>
                <w:szCs w:val="22"/>
              </w:rPr>
              <w:t>,831</w:t>
            </w:r>
          </w:p>
        </w:tc>
        <w:tc>
          <w:tcPr>
            <w:tcW w:w="1260" w:type="dxa"/>
            <w:tcBorders>
              <w:top w:val="nil"/>
              <w:left w:val="single" w:sz="4" w:space="0" w:color="auto"/>
              <w:bottom w:val="single" w:sz="4" w:space="0" w:color="auto"/>
              <w:right w:val="single" w:sz="4" w:space="0" w:color="auto"/>
            </w:tcBorders>
            <w:shd w:val="clear" w:color="auto" w:fill="auto"/>
            <w:hideMark/>
          </w:tcPr>
          <w:p w:rsidR="00A30AB9" w:rsidRPr="00A30AB9" w:rsidP="00201033" w14:paraId="462FF893" w14:textId="77777777">
            <w:pPr>
              <w:widowControl/>
              <w:autoSpaceDE/>
              <w:autoSpaceDN/>
              <w:adjustRightInd/>
              <w:rPr>
                <w:color w:val="000000"/>
                <w:sz w:val="22"/>
                <w:szCs w:val="22"/>
              </w:rPr>
            </w:pPr>
            <w:r w:rsidRPr="00A30AB9">
              <w:rPr>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395FFE6A" w14:textId="5324AD72">
            <w:pPr>
              <w:widowControl/>
              <w:autoSpaceDE/>
              <w:autoSpaceDN/>
              <w:adjustRightInd/>
              <w:jc w:val="right"/>
              <w:rPr>
                <w:b/>
                <w:bCs/>
                <w:i/>
                <w:iCs/>
                <w:color w:val="000000"/>
                <w:sz w:val="22"/>
                <w:szCs w:val="22"/>
              </w:rPr>
            </w:pPr>
            <w:r>
              <w:rPr>
                <w:b/>
                <w:bCs/>
                <w:i/>
                <w:iCs/>
                <w:color w:val="000000"/>
                <w:sz w:val="22"/>
                <w:szCs w:val="22"/>
              </w:rPr>
              <w:t>699,262</w:t>
            </w:r>
            <w:r w:rsidRPr="00A30AB9">
              <w:rPr>
                <w:b/>
                <w:bCs/>
                <w:i/>
                <w:iCs/>
                <w:color w:val="000000"/>
                <w:sz w:val="22"/>
                <w:szCs w:val="22"/>
              </w:rPr>
              <w:t>.00</w:t>
            </w:r>
          </w:p>
        </w:tc>
        <w:tc>
          <w:tcPr>
            <w:tcW w:w="1260" w:type="dxa"/>
            <w:tcBorders>
              <w:top w:val="nil"/>
              <w:left w:val="nil"/>
              <w:bottom w:val="single" w:sz="4" w:space="0" w:color="auto"/>
              <w:right w:val="single" w:sz="4" w:space="0" w:color="auto"/>
            </w:tcBorders>
            <w:shd w:val="clear" w:color="auto" w:fill="auto"/>
            <w:hideMark/>
          </w:tcPr>
          <w:p w:rsidR="00A30AB9" w:rsidRPr="00A30AB9" w:rsidP="00A30AB9" w14:paraId="32AFE846" w14:textId="77777777">
            <w:pPr>
              <w:widowControl/>
              <w:autoSpaceDE/>
              <w:autoSpaceDN/>
              <w:adjustRightInd/>
              <w:jc w:val="right"/>
              <w:rPr>
                <w:b/>
                <w:bCs/>
                <w:i/>
                <w:iCs/>
                <w:color w:val="000000"/>
                <w:sz w:val="22"/>
                <w:szCs w:val="22"/>
              </w:rPr>
            </w:pPr>
            <w:r w:rsidRPr="00A30AB9">
              <w:rPr>
                <w:b/>
                <w:bCs/>
                <w:i/>
                <w:iCs/>
                <w:color w:val="000000"/>
                <w:sz w:val="22"/>
                <w:szCs w:val="22"/>
              </w:rPr>
              <w:t> </w:t>
            </w:r>
          </w:p>
        </w:tc>
        <w:tc>
          <w:tcPr>
            <w:tcW w:w="1710" w:type="dxa"/>
            <w:tcBorders>
              <w:top w:val="nil"/>
              <w:left w:val="nil"/>
              <w:bottom w:val="single" w:sz="4" w:space="0" w:color="auto"/>
              <w:right w:val="single" w:sz="4" w:space="0" w:color="auto"/>
            </w:tcBorders>
            <w:shd w:val="clear" w:color="auto" w:fill="auto"/>
            <w:hideMark/>
          </w:tcPr>
          <w:p w:rsidR="00A30AB9" w:rsidRPr="00A30AB9" w:rsidP="00A30AB9" w14:paraId="216E8F03" w14:textId="6A9B4130">
            <w:pPr>
              <w:widowControl/>
              <w:autoSpaceDE/>
              <w:autoSpaceDN/>
              <w:adjustRightInd/>
              <w:jc w:val="right"/>
              <w:rPr>
                <w:b/>
                <w:bCs/>
                <w:i/>
                <w:iCs/>
                <w:color w:val="000000"/>
                <w:sz w:val="22"/>
                <w:szCs w:val="22"/>
              </w:rPr>
            </w:pPr>
            <w:r>
              <w:rPr>
                <w:b/>
                <w:bCs/>
                <w:i/>
                <w:iCs/>
                <w:color w:val="000000"/>
                <w:sz w:val="22"/>
                <w:szCs w:val="22"/>
              </w:rPr>
              <w:t>$</w:t>
            </w:r>
            <w:r w:rsidR="00DA5638">
              <w:rPr>
                <w:b/>
                <w:bCs/>
                <w:i/>
                <w:iCs/>
                <w:color w:val="000000"/>
                <w:sz w:val="22"/>
                <w:szCs w:val="22"/>
              </w:rPr>
              <w:t>34,</w:t>
            </w:r>
            <w:r w:rsidR="00945D4E">
              <w:rPr>
                <w:b/>
                <w:bCs/>
                <w:i/>
                <w:iCs/>
                <w:color w:val="000000"/>
                <w:sz w:val="22"/>
                <w:szCs w:val="22"/>
              </w:rPr>
              <w:t>0</w:t>
            </w:r>
            <w:r w:rsidR="005403A0">
              <w:rPr>
                <w:b/>
                <w:bCs/>
                <w:i/>
                <w:iCs/>
                <w:color w:val="000000"/>
                <w:sz w:val="22"/>
                <w:szCs w:val="22"/>
              </w:rPr>
              <w:t>06,914</w:t>
            </w:r>
          </w:p>
        </w:tc>
      </w:tr>
      <w:tr w14:paraId="1FF343F3" w14:textId="77777777" w:rsidTr="00201033">
        <w:tblPrEx>
          <w:tblW w:w="14490" w:type="dxa"/>
          <w:jc w:val="center"/>
          <w:tblLayout w:type="fixed"/>
          <w:tblCellMar>
            <w:left w:w="58" w:type="dxa"/>
            <w:right w:w="58" w:type="dxa"/>
          </w:tblCellMar>
          <w:tblLook w:val="04A0"/>
        </w:tblPrEx>
        <w:trPr>
          <w:trHeight w:val="255"/>
          <w:jc w:val="center"/>
        </w:trPr>
        <w:tc>
          <w:tcPr>
            <w:tcW w:w="14490" w:type="dxa"/>
            <w:gridSpan w:val="9"/>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hideMark/>
          </w:tcPr>
          <w:p w:rsidR="00A30AB9" w:rsidRPr="00A30AB9" w:rsidP="00A30AB9" w14:paraId="7510C8C6" w14:textId="77777777">
            <w:pPr>
              <w:widowControl/>
              <w:autoSpaceDE/>
              <w:autoSpaceDN/>
              <w:adjustRightInd/>
              <w:rPr>
                <w:b/>
                <w:bCs/>
                <w:color w:val="000000"/>
                <w:sz w:val="22"/>
                <w:szCs w:val="22"/>
              </w:rPr>
            </w:pPr>
            <w:r w:rsidRPr="00A30AB9">
              <w:rPr>
                <w:b/>
                <w:bCs/>
                <w:color w:val="000000"/>
                <w:sz w:val="22"/>
                <w:szCs w:val="22"/>
              </w:rPr>
              <w:t>D.  Methods of compliance (§1926.1101(g))</w:t>
            </w:r>
          </w:p>
        </w:tc>
      </w:tr>
      <w:tr w14:paraId="3E1A8616"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52828A08" w14:textId="77777777">
            <w:pPr>
              <w:widowControl/>
              <w:autoSpaceDE/>
              <w:autoSpaceDN/>
              <w:adjustRightInd/>
              <w:rPr>
                <w:color w:val="000000"/>
                <w:sz w:val="22"/>
                <w:szCs w:val="22"/>
              </w:rPr>
            </w:pPr>
            <w:r w:rsidRPr="00A30AB9">
              <w:rPr>
                <w:color w:val="000000"/>
                <w:sz w:val="22"/>
                <w:szCs w:val="22"/>
              </w:rPr>
              <w:t>Develop the alternative control methods</w:t>
            </w:r>
          </w:p>
        </w:tc>
        <w:tc>
          <w:tcPr>
            <w:tcW w:w="1800" w:type="dxa"/>
            <w:tcBorders>
              <w:top w:val="nil"/>
              <w:left w:val="nil"/>
              <w:bottom w:val="single" w:sz="4" w:space="0" w:color="auto"/>
              <w:right w:val="single" w:sz="4" w:space="0" w:color="auto"/>
            </w:tcBorders>
            <w:shd w:val="clear" w:color="auto" w:fill="auto"/>
            <w:hideMark/>
          </w:tcPr>
          <w:p w:rsidR="00A30AB9" w:rsidRPr="00A30AB9" w:rsidP="00A30AB9" w14:paraId="74F63D0E" w14:textId="77777777">
            <w:pPr>
              <w:widowControl/>
              <w:autoSpaceDE/>
              <w:autoSpaceDN/>
              <w:adjustRightInd/>
              <w:rPr>
                <w:color w:val="000000"/>
                <w:sz w:val="22"/>
                <w:szCs w:val="22"/>
              </w:rPr>
            </w:pPr>
            <w:r w:rsidRPr="00A30AB9">
              <w:rPr>
                <w:color w:val="000000"/>
                <w:sz w:val="22"/>
                <w:szCs w:val="22"/>
              </w:rPr>
              <w:t>Manager</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25912E5C" w14:textId="77777777">
            <w:pPr>
              <w:widowControl/>
              <w:autoSpaceDE/>
              <w:autoSpaceDN/>
              <w:adjustRightInd/>
              <w:jc w:val="right"/>
              <w:rPr>
                <w:color w:val="000000"/>
                <w:sz w:val="22"/>
                <w:szCs w:val="22"/>
              </w:rPr>
            </w:pPr>
            <w:r w:rsidRPr="00A30AB9">
              <w:rPr>
                <w:color w:val="000000"/>
                <w:sz w:val="22"/>
                <w:szCs w:val="22"/>
              </w:rPr>
              <w:t>7</w:t>
            </w:r>
          </w:p>
        </w:tc>
        <w:tc>
          <w:tcPr>
            <w:tcW w:w="1440" w:type="dxa"/>
            <w:tcBorders>
              <w:top w:val="nil"/>
              <w:left w:val="nil"/>
              <w:bottom w:val="single" w:sz="4" w:space="0" w:color="auto"/>
              <w:right w:val="single" w:sz="4" w:space="0" w:color="auto"/>
            </w:tcBorders>
            <w:shd w:val="clear" w:color="auto" w:fill="auto"/>
            <w:hideMark/>
          </w:tcPr>
          <w:p w:rsidR="00A30AB9" w:rsidRPr="00A30AB9" w:rsidP="00A30AB9" w14:paraId="4DAC4508"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64E113EE" w14:textId="77777777">
            <w:pPr>
              <w:widowControl/>
              <w:autoSpaceDE/>
              <w:autoSpaceDN/>
              <w:adjustRightInd/>
              <w:jc w:val="right"/>
              <w:rPr>
                <w:color w:val="000000"/>
                <w:sz w:val="22"/>
                <w:szCs w:val="22"/>
              </w:rPr>
            </w:pPr>
            <w:r w:rsidRPr="00A30AB9">
              <w:rPr>
                <w:color w:val="000000"/>
                <w:sz w:val="22"/>
                <w:szCs w:val="22"/>
              </w:rPr>
              <w:t>7</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AB9" w:rsidRPr="00A30AB9" w:rsidP="00A30AB9" w14:paraId="29C66B00" w14:textId="77777777">
            <w:pPr>
              <w:widowControl/>
              <w:autoSpaceDE/>
              <w:autoSpaceDN/>
              <w:adjustRightInd/>
              <w:jc w:val="right"/>
              <w:rPr>
                <w:color w:val="000000"/>
                <w:sz w:val="22"/>
                <w:szCs w:val="22"/>
              </w:rPr>
            </w:pPr>
            <w:r w:rsidRPr="00A30AB9">
              <w:rPr>
                <w:color w:val="000000"/>
                <w:sz w:val="22"/>
                <w:szCs w:val="22"/>
              </w:rPr>
              <w:t>110/60</w:t>
            </w:r>
          </w:p>
        </w:tc>
        <w:tc>
          <w:tcPr>
            <w:tcW w:w="144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3C03BB2A" w14:textId="3C6421E9">
            <w:pPr>
              <w:widowControl/>
              <w:autoSpaceDE/>
              <w:autoSpaceDN/>
              <w:adjustRightInd/>
              <w:jc w:val="right"/>
              <w:rPr>
                <w:color w:val="000000"/>
                <w:sz w:val="22"/>
                <w:szCs w:val="22"/>
              </w:rPr>
            </w:pPr>
            <w:r>
              <w:rPr>
                <w:color w:val="000000"/>
                <w:sz w:val="22"/>
                <w:szCs w:val="22"/>
              </w:rPr>
              <w:t>13</w:t>
            </w:r>
          </w:p>
        </w:tc>
        <w:tc>
          <w:tcPr>
            <w:tcW w:w="1260" w:type="dxa"/>
            <w:tcBorders>
              <w:top w:val="nil"/>
              <w:left w:val="nil"/>
              <w:bottom w:val="single" w:sz="4" w:space="0" w:color="auto"/>
              <w:right w:val="single" w:sz="4" w:space="0" w:color="auto"/>
            </w:tcBorders>
            <w:shd w:val="clear" w:color="auto" w:fill="auto"/>
            <w:hideMark/>
          </w:tcPr>
          <w:p w:rsidR="00A30AB9" w:rsidRPr="00A30AB9" w:rsidP="00A30AB9" w14:paraId="762FFDC4" w14:textId="6120B6BC">
            <w:pPr>
              <w:widowControl/>
              <w:autoSpaceDE/>
              <w:autoSpaceDN/>
              <w:adjustRightInd/>
              <w:jc w:val="right"/>
              <w:rPr>
                <w:color w:val="000000"/>
                <w:sz w:val="22"/>
                <w:szCs w:val="22"/>
              </w:rPr>
            </w:pPr>
            <w:r w:rsidRPr="00A30AB9">
              <w:rPr>
                <w:color w:val="000000"/>
                <w:sz w:val="22"/>
                <w:szCs w:val="22"/>
              </w:rPr>
              <w:t>$</w:t>
            </w:r>
            <w:r w:rsidR="008B5663">
              <w:rPr>
                <w:color w:val="000000"/>
                <w:sz w:val="22"/>
                <w:szCs w:val="22"/>
              </w:rPr>
              <w:t>50.04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A30AB9" w:rsidRPr="00A30AB9" w:rsidP="00A30AB9" w14:paraId="2A273B4B" w14:textId="3F0F4481">
            <w:pPr>
              <w:widowControl/>
              <w:autoSpaceDE/>
              <w:autoSpaceDN/>
              <w:adjustRightInd/>
              <w:jc w:val="right"/>
              <w:rPr>
                <w:color w:val="000000"/>
                <w:sz w:val="22"/>
                <w:szCs w:val="22"/>
              </w:rPr>
            </w:pPr>
            <w:r w:rsidRPr="00A30AB9">
              <w:rPr>
                <w:color w:val="000000"/>
                <w:sz w:val="22"/>
                <w:szCs w:val="22"/>
              </w:rPr>
              <w:t>$</w:t>
            </w:r>
            <w:r w:rsidR="008B5663">
              <w:rPr>
                <w:color w:val="000000"/>
                <w:sz w:val="22"/>
                <w:szCs w:val="22"/>
              </w:rPr>
              <w:t>642</w:t>
            </w:r>
            <w:r w:rsidR="003E0A1B">
              <w:rPr>
                <w:color w:val="000000"/>
                <w:sz w:val="22"/>
                <w:szCs w:val="22"/>
              </w:rPr>
              <w:t xml:space="preserve"> </w:t>
            </w:r>
          </w:p>
        </w:tc>
      </w:tr>
      <w:tr w14:paraId="59DB2BDC"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1A96CBAB" w14:textId="77777777">
            <w:pPr>
              <w:widowControl/>
              <w:autoSpaceDE/>
              <w:autoSpaceDN/>
              <w:adjustRightInd/>
              <w:rPr>
                <w:color w:val="000000"/>
                <w:sz w:val="22"/>
                <w:szCs w:val="22"/>
              </w:rPr>
            </w:pPr>
            <w:r w:rsidRPr="00A30AB9">
              <w:rPr>
                <w:color w:val="000000"/>
                <w:sz w:val="22"/>
                <w:szCs w:val="22"/>
              </w:rPr>
              <w:t>Additional controls for Class II work</w:t>
            </w:r>
          </w:p>
        </w:tc>
        <w:tc>
          <w:tcPr>
            <w:tcW w:w="1800" w:type="dxa"/>
            <w:tcBorders>
              <w:top w:val="nil"/>
              <w:left w:val="nil"/>
              <w:bottom w:val="single" w:sz="4" w:space="0" w:color="auto"/>
              <w:right w:val="single" w:sz="4" w:space="0" w:color="auto"/>
            </w:tcBorders>
            <w:shd w:val="clear" w:color="auto" w:fill="auto"/>
            <w:hideMark/>
          </w:tcPr>
          <w:p w:rsidR="00A30AB9" w:rsidRPr="00A30AB9" w:rsidP="00A30AB9" w14:paraId="26101226" w14:textId="77777777">
            <w:pPr>
              <w:widowControl/>
              <w:autoSpaceDE/>
              <w:autoSpaceDN/>
              <w:adjustRightInd/>
              <w:rPr>
                <w:color w:val="000000"/>
                <w:sz w:val="22"/>
                <w:szCs w:val="22"/>
              </w:rPr>
            </w:pPr>
            <w:r w:rsidRPr="00A30AB9">
              <w:rPr>
                <w:color w:val="000000"/>
                <w:sz w:val="22"/>
                <w:szCs w:val="22"/>
              </w:rPr>
              <w:t>Manager</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51950A07" w14:textId="7F0F9D50">
            <w:pPr>
              <w:widowControl/>
              <w:autoSpaceDE/>
              <w:autoSpaceDN/>
              <w:adjustRightInd/>
              <w:jc w:val="right"/>
              <w:rPr>
                <w:color w:val="000000"/>
                <w:sz w:val="22"/>
                <w:szCs w:val="22"/>
              </w:rPr>
            </w:pPr>
            <w:r>
              <w:rPr>
                <w:color w:val="000000"/>
                <w:sz w:val="22"/>
                <w:szCs w:val="22"/>
              </w:rPr>
              <w:t>567</w:t>
            </w:r>
          </w:p>
        </w:tc>
        <w:tc>
          <w:tcPr>
            <w:tcW w:w="1440" w:type="dxa"/>
            <w:tcBorders>
              <w:top w:val="nil"/>
              <w:left w:val="nil"/>
              <w:bottom w:val="single" w:sz="4" w:space="0" w:color="auto"/>
              <w:right w:val="single" w:sz="4" w:space="0" w:color="auto"/>
            </w:tcBorders>
            <w:shd w:val="clear" w:color="auto" w:fill="auto"/>
            <w:hideMark/>
          </w:tcPr>
          <w:p w:rsidR="00A30AB9" w:rsidRPr="00A30AB9" w:rsidP="00A30AB9" w14:paraId="5DAEA0A8"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0F563F60" w14:textId="1512F542">
            <w:pPr>
              <w:widowControl/>
              <w:autoSpaceDE/>
              <w:autoSpaceDN/>
              <w:adjustRightInd/>
              <w:jc w:val="right"/>
              <w:rPr>
                <w:color w:val="000000"/>
                <w:sz w:val="22"/>
                <w:szCs w:val="22"/>
              </w:rPr>
            </w:pPr>
            <w:r>
              <w:rPr>
                <w:color w:val="000000"/>
                <w:sz w:val="22"/>
                <w:szCs w:val="22"/>
              </w:rPr>
              <w:t>567</w:t>
            </w:r>
          </w:p>
        </w:tc>
        <w:tc>
          <w:tcPr>
            <w:tcW w:w="126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7ACA0064" w14:textId="77777777">
            <w:pPr>
              <w:widowControl/>
              <w:autoSpaceDE/>
              <w:autoSpaceDN/>
              <w:adjustRightInd/>
              <w:jc w:val="right"/>
              <w:rPr>
                <w:color w:val="000000"/>
                <w:sz w:val="22"/>
                <w:szCs w:val="22"/>
              </w:rPr>
            </w:pPr>
            <w:r w:rsidRPr="00A30AB9">
              <w:rPr>
                <w:color w:val="000000"/>
                <w:sz w:val="22"/>
                <w:szCs w:val="22"/>
              </w:rPr>
              <w:t>1</w:t>
            </w:r>
          </w:p>
        </w:tc>
        <w:tc>
          <w:tcPr>
            <w:tcW w:w="144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327DF736" w14:textId="1357ADBC">
            <w:pPr>
              <w:widowControl/>
              <w:autoSpaceDE/>
              <w:autoSpaceDN/>
              <w:adjustRightInd/>
              <w:jc w:val="right"/>
              <w:rPr>
                <w:color w:val="000000"/>
                <w:sz w:val="22"/>
                <w:szCs w:val="22"/>
              </w:rPr>
            </w:pPr>
            <w:r>
              <w:rPr>
                <w:color w:val="000000"/>
                <w:sz w:val="22"/>
                <w:szCs w:val="22"/>
              </w:rPr>
              <w:t>567</w:t>
            </w:r>
          </w:p>
        </w:tc>
        <w:tc>
          <w:tcPr>
            <w:tcW w:w="1260" w:type="dxa"/>
            <w:tcBorders>
              <w:top w:val="nil"/>
              <w:left w:val="nil"/>
              <w:bottom w:val="single" w:sz="4" w:space="0" w:color="auto"/>
              <w:right w:val="single" w:sz="4" w:space="0" w:color="auto"/>
            </w:tcBorders>
            <w:shd w:val="clear" w:color="auto" w:fill="auto"/>
            <w:hideMark/>
          </w:tcPr>
          <w:p w:rsidR="00A30AB9" w:rsidRPr="00A30AB9" w:rsidP="00A30AB9" w14:paraId="2581A843" w14:textId="47C3EC85">
            <w:pPr>
              <w:widowControl/>
              <w:autoSpaceDE/>
              <w:autoSpaceDN/>
              <w:adjustRightInd/>
              <w:jc w:val="right"/>
              <w:rPr>
                <w:color w:val="000000"/>
                <w:sz w:val="22"/>
                <w:szCs w:val="22"/>
              </w:rPr>
            </w:pPr>
            <w:r w:rsidRPr="00A30AB9">
              <w:rPr>
                <w:color w:val="000000"/>
                <w:sz w:val="22"/>
                <w:szCs w:val="22"/>
              </w:rPr>
              <w:t>$</w:t>
            </w:r>
            <w:r w:rsidR="008B5663">
              <w:rPr>
                <w:color w:val="000000"/>
                <w:sz w:val="22"/>
                <w:szCs w:val="22"/>
              </w:rPr>
              <w:t>50.04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A30AB9" w:rsidRPr="00A30AB9" w:rsidP="00A30AB9" w14:paraId="7A20DD6A" w14:textId="63549FE1">
            <w:pPr>
              <w:widowControl/>
              <w:autoSpaceDE/>
              <w:autoSpaceDN/>
              <w:adjustRightInd/>
              <w:jc w:val="right"/>
              <w:rPr>
                <w:color w:val="000000"/>
                <w:sz w:val="22"/>
                <w:szCs w:val="22"/>
              </w:rPr>
            </w:pPr>
            <w:r w:rsidRPr="00A30AB9">
              <w:rPr>
                <w:color w:val="000000"/>
                <w:sz w:val="22"/>
                <w:szCs w:val="22"/>
              </w:rPr>
              <w:t>$</w:t>
            </w:r>
            <w:r w:rsidR="008B5663">
              <w:rPr>
                <w:color w:val="000000"/>
                <w:sz w:val="22"/>
                <w:szCs w:val="22"/>
              </w:rPr>
              <w:t>28,</w:t>
            </w:r>
            <w:r w:rsidR="003B4A27">
              <w:rPr>
                <w:color w:val="000000"/>
                <w:sz w:val="22"/>
                <w:szCs w:val="22"/>
              </w:rPr>
              <w:t>369</w:t>
            </w:r>
          </w:p>
        </w:tc>
      </w:tr>
      <w:tr w14:paraId="45CDD124"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482E769B" w14:textId="77777777">
            <w:pPr>
              <w:widowControl/>
              <w:autoSpaceDE/>
              <w:autoSpaceDN/>
              <w:adjustRightInd/>
              <w:rPr>
                <w:b/>
                <w:bCs/>
                <w:i/>
                <w:iCs/>
                <w:color w:val="000000"/>
                <w:sz w:val="22"/>
                <w:szCs w:val="22"/>
              </w:rPr>
            </w:pPr>
            <w:r w:rsidRPr="00A30AB9">
              <w:rPr>
                <w:b/>
                <w:bCs/>
                <w:i/>
                <w:iCs/>
                <w:color w:val="000000"/>
                <w:sz w:val="22"/>
                <w:szCs w:val="22"/>
              </w:rPr>
              <w:t>Subtotal D.</w:t>
            </w:r>
          </w:p>
        </w:tc>
        <w:tc>
          <w:tcPr>
            <w:tcW w:w="1800" w:type="dxa"/>
            <w:tcBorders>
              <w:top w:val="nil"/>
              <w:left w:val="nil"/>
              <w:bottom w:val="single" w:sz="4" w:space="0" w:color="auto"/>
              <w:right w:val="single" w:sz="4" w:space="0" w:color="auto"/>
            </w:tcBorders>
            <w:shd w:val="clear" w:color="auto" w:fill="auto"/>
            <w:hideMark/>
          </w:tcPr>
          <w:p w:rsidR="00A30AB9" w:rsidRPr="00A30AB9" w:rsidP="00A30AB9" w14:paraId="3988F06D" w14:textId="77777777">
            <w:pPr>
              <w:widowControl/>
              <w:autoSpaceDE/>
              <w:autoSpaceDN/>
              <w:adjustRightInd/>
              <w:rPr>
                <w:b/>
                <w:bCs/>
                <w:i/>
                <w:iCs/>
                <w:color w:val="000000"/>
                <w:sz w:val="22"/>
                <w:szCs w:val="22"/>
              </w:rPr>
            </w:pPr>
            <w:r w:rsidRPr="00A30AB9">
              <w:rPr>
                <w:b/>
                <w:bCs/>
                <w:i/>
                <w:i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557C5073" w14:textId="77777777">
            <w:pPr>
              <w:widowControl/>
              <w:autoSpaceDE/>
              <w:autoSpaceDN/>
              <w:adjustRightInd/>
              <w:rPr>
                <w:b/>
                <w:bCs/>
                <w:i/>
                <w:iCs/>
                <w:color w:val="000000"/>
                <w:sz w:val="22"/>
                <w:szCs w:val="22"/>
              </w:rPr>
            </w:pPr>
            <w:r w:rsidRPr="00A30AB9">
              <w:rPr>
                <w:b/>
                <w:bCs/>
                <w:i/>
                <w:iCs/>
                <w:color w:val="000000"/>
                <w:sz w:val="22"/>
                <w:szCs w:val="22"/>
              </w:rPr>
              <w:t> </w:t>
            </w:r>
          </w:p>
        </w:tc>
        <w:tc>
          <w:tcPr>
            <w:tcW w:w="1440" w:type="dxa"/>
            <w:tcBorders>
              <w:top w:val="nil"/>
              <w:left w:val="nil"/>
              <w:bottom w:val="single" w:sz="4" w:space="0" w:color="auto"/>
              <w:right w:val="single" w:sz="4" w:space="0" w:color="auto"/>
            </w:tcBorders>
            <w:shd w:val="clear" w:color="auto" w:fill="auto"/>
            <w:hideMark/>
          </w:tcPr>
          <w:p w:rsidR="00A30AB9" w:rsidRPr="00A30AB9" w:rsidP="00A30AB9" w14:paraId="1D27373A" w14:textId="77777777">
            <w:pPr>
              <w:widowControl/>
              <w:autoSpaceDE/>
              <w:autoSpaceDN/>
              <w:adjustRightInd/>
              <w:rPr>
                <w:b/>
                <w:bCs/>
                <w:i/>
                <w:iCs/>
                <w:color w:val="000000"/>
                <w:sz w:val="22"/>
                <w:szCs w:val="22"/>
              </w:rPr>
            </w:pPr>
            <w:r w:rsidRPr="00A30AB9">
              <w:rPr>
                <w:b/>
                <w:bCs/>
                <w:i/>
                <w:i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A30AB9" w:rsidRPr="00A30AB9" w:rsidP="00A30AB9" w14:paraId="047E71AF" w14:textId="25B0C716">
            <w:pPr>
              <w:widowControl/>
              <w:autoSpaceDE/>
              <w:autoSpaceDN/>
              <w:adjustRightInd/>
              <w:jc w:val="right"/>
              <w:rPr>
                <w:b/>
                <w:bCs/>
                <w:i/>
                <w:iCs/>
                <w:color w:val="000000"/>
                <w:sz w:val="22"/>
                <w:szCs w:val="22"/>
              </w:rPr>
            </w:pPr>
            <w:r>
              <w:rPr>
                <w:b/>
                <w:bCs/>
                <w:i/>
                <w:iCs/>
                <w:color w:val="000000"/>
                <w:sz w:val="22"/>
                <w:szCs w:val="22"/>
              </w:rPr>
              <w:t>574</w:t>
            </w:r>
          </w:p>
        </w:tc>
        <w:tc>
          <w:tcPr>
            <w:tcW w:w="1260" w:type="dxa"/>
            <w:tcBorders>
              <w:top w:val="nil"/>
              <w:left w:val="single" w:sz="4" w:space="0" w:color="auto"/>
              <w:bottom w:val="single" w:sz="4" w:space="0" w:color="auto"/>
              <w:right w:val="single" w:sz="4" w:space="0" w:color="auto"/>
            </w:tcBorders>
            <w:shd w:val="clear" w:color="auto" w:fill="auto"/>
            <w:hideMark/>
          </w:tcPr>
          <w:p w:rsidR="00A30AB9" w:rsidRPr="00A30AB9" w:rsidP="00A30AB9" w14:paraId="01DBF03D" w14:textId="77777777">
            <w:pPr>
              <w:widowControl/>
              <w:autoSpaceDE/>
              <w:autoSpaceDN/>
              <w:adjustRightInd/>
              <w:rPr>
                <w:b/>
                <w:bCs/>
                <w:i/>
                <w:iCs/>
                <w:color w:val="000000"/>
                <w:sz w:val="22"/>
                <w:szCs w:val="22"/>
              </w:rPr>
            </w:pPr>
            <w:r w:rsidRPr="00A30AB9">
              <w:rPr>
                <w:b/>
                <w:bCs/>
                <w:i/>
                <w:iCs/>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hideMark/>
          </w:tcPr>
          <w:p w:rsidR="00A30AB9" w:rsidRPr="00A30AB9" w:rsidP="00C67385" w14:paraId="6D9C0755" w14:textId="408653AE">
            <w:pPr>
              <w:widowControl/>
              <w:autoSpaceDE/>
              <w:autoSpaceDN/>
              <w:adjustRightInd/>
              <w:jc w:val="center"/>
              <w:rPr>
                <w:b/>
                <w:bCs/>
                <w:i/>
                <w:iCs/>
                <w:color w:val="000000"/>
                <w:sz w:val="22"/>
                <w:szCs w:val="22"/>
              </w:rPr>
            </w:pPr>
            <w:r>
              <w:rPr>
                <w:b/>
                <w:bCs/>
                <w:i/>
                <w:iCs/>
                <w:color w:val="000000"/>
                <w:sz w:val="22"/>
                <w:szCs w:val="22"/>
              </w:rPr>
              <w:t>580</w:t>
            </w:r>
          </w:p>
        </w:tc>
        <w:tc>
          <w:tcPr>
            <w:tcW w:w="1260" w:type="dxa"/>
            <w:tcBorders>
              <w:top w:val="nil"/>
              <w:left w:val="nil"/>
              <w:bottom w:val="single" w:sz="4" w:space="0" w:color="auto"/>
              <w:right w:val="single" w:sz="4" w:space="0" w:color="auto"/>
            </w:tcBorders>
            <w:shd w:val="clear" w:color="auto" w:fill="auto"/>
            <w:hideMark/>
          </w:tcPr>
          <w:p w:rsidR="00A30AB9" w:rsidRPr="00A30AB9" w:rsidP="00A30AB9" w14:paraId="15D24A69" w14:textId="77777777">
            <w:pPr>
              <w:widowControl/>
              <w:autoSpaceDE/>
              <w:autoSpaceDN/>
              <w:adjustRightInd/>
              <w:rPr>
                <w:b/>
                <w:bCs/>
                <w:i/>
                <w:iCs/>
                <w:color w:val="000000"/>
                <w:sz w:val="22"/>
                <w:szCs w:val="22"/>
              </w:rPr>
            </w:pPr>
            <w:r w:rsidRPr="00A30AB9">
              <w:rPr>
                <w:b/>
                <w:bCs/>
                <w:i/>
                <w:iCs/>
                <w:color w:val="000000"/>
                <w:sz w:val="22"/>
                <w:szCs w:val="22"/>
              </w:rPr>
              <w:t> </w:t>
            </w:r>
          </w:p>
        </w:tc>
        <w:tc>
          <w:tcPr>
            <w:tcW w:w="1710" w:type="dxa"/>
            <w:tcBorders>
              <w:top w:val="nil"/>
              <w:left w:val="nil"/>
              <w:bottom w:val="single" w:sz="4" w:space="0" w:color="auto"/>
              <w:right w:val="single" w:sz="4" w:space="0" w:color="auto"/>
            </w:tcBorders>
            <w:shd w:val="clear" w:color="auto" w:fill="auto"/>
            <w:hideMark/>
          </w:tcPr>
          <w:p w:rsidR="00A30AB9" w:rsidRPr="00A30AB9" w:rsidP="00A30AB9" w14:paraId="3F7D525F" w14:textId="7EDD4263">
            <w:pPr>
              <w:widowControl/>
              <w:autoSpaceDE/>
              <w:autoSpaceDN/>
              <w:adjustRightInd/>
              <w:jc w:val="right"/>
              <w:rPr>
                <w:b/>
                <w:bCs/>
                <w:i/>
                <w:iCs/>
                <w:color w:val="000000"/>
                <w:sz w:val="22"/>
                <w:szCs w:val="22"/>
              </w:rPr>
            </w:pPr>
            <w:r w:rsidRPr="00A30AB9">
              <w:rPr>
                <w:b/>
                <w:bCs/>
                <w:i/>
                <w:iCs/>
                <w:color w:val="000000"/>
                <w:sz w:val="22"/>
                <w:szCs w:val="22"/>
              </w:rPr>
              <w:t>$</w:t>
            </w:r>
            <w:r w:rsidR="000863BF">
              <w:rPr>
                <w:b/>
                <w:bCs/>
                <w:i/>
                <w:iCs/>
                <w:color w:val="000000"/>
                <w:sz w:val="22"/>
                <w:szCs w:val="22"/>
              </w:rPr>
              <w:t>29</w:t>
            </w:r>
            <w:r w:rsidR="003B4A27">
              <w:rPr>
                <w:b/>
                <w:bCs/>
                <w:i/>
                <w:iCs/>
                <w:color w:val="000000"/>
                <w:sz w:val="22"/>
                <w:szCs w:val="22"/>
              </w:rPr>
              <w:t>,011</w:t>
            </w:r>
          </w:p>
        </w:tc>
      </w:tr>
      <w:tr w14:paraId="566C2DBB" w14:textId="77777777" w:rsidTr="00201033">
        <w:tblPrEx>
          <w:tblW w:w="14490" w:type="dxa"/>
          <w:jc w:val="center"/>
          <w:tblLayout w:type="fixed"/>
          <w:tblCellMar>
            <w:left w:w="58" w:type="dxa"/>
            <w:right w:w="58" w:type="dxa"/>
          </w:tblCellMar>
          <w:tblLook w:val="04A0"/>
        </w:tblPrEx>
        <w:trPr>
          <w:trHeight w:val="255"/>
          <w:jc w:val="center"/>
        </w:trPr>
        <w:tc>
          <w:tcPr>
            <w:tcW w:w="14490" w:type="dxa"/>
            <w:gridSpan w:val="9"/>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hideMark/>
          </w:tcPr>
          <w:p w:rsidR="00A30AB9" w:rsidRPr="00A30AB9" w:rsidP="00A30AB9" w14:paraId="03DD28A0" w14:textId="77777777">
            <w:pPr>
              <w:widowControl/>
              <w:autoSpaceDE/>
              <w:autoSpaceDN/>
              <w:adjustRightInd/>
              <w:rPr>
                <w:b/>
                <w:bCs/>
                <w:color w:val="000000"/>
                <w:sz w:val="22"/>
                <w:szCs w:val="22"/>
              </w:rPr>
            </w:pPr>
            <w:r w:rsidRPr="00A30AB9">
              <w:rPr>
                <w:b/>
                <w:bCs/>
                <w:color w:val="000000"/>
                <w:sz w:val="22"/>
                <w:szCs w:val="22"/>
              </w:rPr>
              <w:t>G. Communication of hazards (§1926.1101(k))</w:t>
            </w:r>
          </w:p>
        </w:tc>
      </w:tr>
      <w:tr w14:paraId="5961E644" w14:textId="77777777" w:rsidTr="00201033">
        <w:tblPrEx>
          <w:tblW w:w="14490" w:type="dxa"/>
          <w:jc w:val="center"/>
          <w:tblLayout w:type="fixed"/>
          <w:tblCellMar>
            <w:left w:w="58" w:type="dxa"/>
            <w:right w:w="58" w:type="dxa"/>
          </w:tblCellMar>
          <w:tblLook w:val="04A0"/>
        </w:tblPrEx>
        <w:trPr>
          <w:trHeight w:val="255"/>
          <w:jc w:val="center"/>
        </w:trPr>
        <w:tc>
          <w:tcPr>
            <w:tcW w:w="14490"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hideMark/>
          </w:tcPr>
          <w:p w:rsidR="00A30AB9" w:rsidRPr="00A30AB9" w:rsidP="00A30AB9" w14:paraId="0F235433" w14:textId="77777777">
            <w:pPr>
              <w:widowControl/>
              <w:autoSpaceDE/>
              <w:autoSpaceDN/>
              <w:adjustRightInd/>
              <w:rPr>
                <w:b/>
                <w:bCs/>
                <w:i/>
                <w:iCs/>
                <w:color w:val="000000"/>
                <w:sz w:val="22"/>
                <w:szCs w:val="22"/>
              </w:rPr>
            </w:pPr>
            <w:r w:rsidRPr="00A30AB9">
              <w:rPr>
                <w:b/>
                <w:bCs/>
                <w:i/>
                <w:iCs/>
                <w:color w:val="000000"/>
                <w:sz w:val="22"/>
                <w:szCs w:val="22"/>
              </w:rPr>
              <w:t>Duties of building and facility owners</w:t>
            </w:r>
          </w:p>
        </w:tc>
      </w:tr>
      <w:tr w14:paraId="7533D8AC"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1BCBB252" w14:textId="77777777">
            <w:pPr>
              <w:widowControl/>
              <w:autoSpaceDE/>
              <w:autoSpaceDN/>
              <w:adjustRightInd/>
              <w:rPr>
                <w:color w:val="000000"/>
                <w:sz w:val="22"/>
                <w:szCs w:val="22"/>
              </w:rPr>
            </w:pPr>
            <w:r w:rsidRPr="00A30AB9">
              <w:rPr>
                <w:color w:val="000000"/>
                <w:sz w:val="22"/>
                <w:szCs w:val="22"/>
              </w:rPr>
              <w:t>Identification of ACM/PACM and notification by building owners to their employees and tenants</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7084B1AD" w14:textId="77777777">
            <w:pPr>
              <w:widowControl/>
              <w:autoSpaceDE/>
              <w:autoSpaceDN/>
              <w:adjustRightInd/>
              <w:rPr>
                <w:color w:val="000000"/>
                <w:sz w:val="22"/>
                <w:szCs w:val="22"/>
              </w:rPr>
            </w:pPr>
            <w:r w:rsidRPr="00A30AB9">
              <w:rPr>
                <w:color w:val="000000"/>
                <w:sz w:val="22"/>
                <w:szCs w:val="22"/>
              </w:rPr>
              <w:t>Manager</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2DA13B66" w14:textId="21E2AB40">
            <w:pPr>
              <w:widowControl/>
              <w:autoSpaceDE/>
              <w:autoSpaceDN/>
              <w:adjustRightInd/>
              <w:jc w:val="right"/>
              <w:rPr>
                <w:color w:val="000000"/>
                <w:sz w:val="22"/>
                <w:szCs w:val="22"/>
              </w:rPr>
            </w:pPr>
            <w:r>
              <w:rPr>
                <w:color w:val="000000"/>
                <w:sz w:val="22"/>
                <w:szCs w:val="22"/>
              </w:rPr>
              <w:t>6,043,039</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1D709425"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02F00BFD" w14:textId="0FD0847A">
            <w:pPr>
              <w:widowControl/>
              <w:autoSpaceDE/>
              <w:autoSpaceDN/>
              <w:adjustRightInd/>
              <w:jc w:val="right"/>
              <w:rPr>
                <w:color w:val="000000"/>
                <w:sz w:val="22"/>
                <w:szCs w:val="22"/>
              </w:rPr>
            </w:pPr>
            <w:r>
              <w:rPr>
                <w:color w:val="000000"/>
                <w:sz w:val="22"/>
                <w:szCs w:val="22"/>
              </w:rPr>
              <w:t>6,043,039</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17F98" w:rsidRPr="00A30AB9" w:rsidP="00517F98" w14:paraId="4E089365" w14:textId="77777777">
            <w:pPr>
              <w:widowControl/>
              <w:autoSpaceDE/>
              <w:autoSpaceDN/>
              <w:adjustRightInd/>
              <w:jc w:val="right"/>
              <w:rPr>
                <w:color w:val="000000"/>
                <w:sz w:val="22"/>
                <w:szCs w:val="22"/>
              </w:rPr>
            </w:pPr>
            <w:r w:rsidRPr="00A30AB9">
              <w:rPr>
                <w:color w:val="000000"/>
                <w:sz w:val="22"/>
                <w:szCs w:val="22"/>
              </w:rPr>
              <w:t>8/60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3A0B6329" w14:textId="6A7D8CE1">
            <w:pPr>
              <w:widowControl/>
              <w:autoSpaceDE/>
              <w:autoSpaceDN/>
              <w:adjustRightInd/>
              <w:jc w:val="right"/>
              <w:rPr>
                <w:color w:val="000000"/>
                <w:sz w:val="22"/>
                <w:szCs w:val="22"/>
              </w:rPr>
            </w:pPr>
            <w:r>
              <w:rPr>
                <w:color w:val="000000"/>
                <w:sz w:val="22"/>
                <w:szCs w:val="22"/>
              </w:rPr>
              <w:t>805</w:t>
            </w:r>
            <w:r w:rsidR="00563FA0">
              <w:rPr>
                <w:color w:val="000000"/>
                <w:sz w:val="22"/>
                <w:szCs w:val="22"/>
              </w:rPr>
              <w:t>,</w:t>
            </w:r>
            <w:r w:rsidR="00A71130">
              <w:rPr>
                <w:color w:val="000000"/>
                <w:sz w:val="22"/>
                <w:szCs w:val="22"/>
              </w:rPr>
              <w:t>739</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61E7E1BA" w14:textId="0948C023">
            <w:pPr>
              <w:widowControl/>
              <w:autoSpaceDE/>
              <w:autoSpaceDN/>
              <w:adjustRightInd/>
              <w:jc w:val="right"/>
              <w:rPr>
                <w:color w:val="000000"/>
                <w:sz w:val="22"/>
                <w:szCs w:val="22"/>
              </w:rPr>
            </w:pPr>
            <w:r w:rsidRPr="00A30AB9">
              <w:rPr>
                <w:color w:val="000000"/>
                <w:sz w:val="22"/>
                <w:szCs w:val="22"/>
              </w:rPr>
              <w:t>$</w:t>
            </w:r>
            <w:r w:rsidR="0049744F">
              <w:rPr>
                <w:color w:val="000000"/>
                <w:sz w:val="22"/>
                <w:szCs w:val="22"/>
              </w:rPr>
              <w:t>50.04</w:t>
            </w:r>
            <w:r w:rsidR="00823C08">
              <w:rPr>
                <w:color w:val="000000"/>
                <w:sz w:val="22"/>
                <w:szCs w:val="22"/>
              </w:rPr>
              <w:t>7</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17CB8180" w14:textId="46FFAF0B">
            <w:pPr>
              <w:widowControl/>
              <w:autoSpaceDE/>
              <w:autoSpaceDN/>
              <w:adjustRightInd/>
              <w:jc w:val="right"/>
              <w:rPr>
                <w:color w:val="000000"/>
                <w:sz w:val="22"/>
                <w:szCs w:val="22"/>
              </w:rPr>
            </w:pPr>
            <w:r w:rsidRPr="00A30AB9">
              <w:rPr>
                <w:color w:val="000000"/>
                <w:sz w:val="22"/>
                <w:szCs w:val="22"/>
              </w:rPr>
              <w:t>$</w:t>
            </w:r>
            <w:r w:rsidR="006C7A11">
              <w:rPr>
                <w:color w:val="000000"/>
                <w:sz w:val="22"/>
                <w:szCs w:val="22"/>
              </w:rPr>
              <w:t>40,319,156</w:t>
            </w:r>
            <w:r w:rsidR="008F70C5">
              <w:rPr>
                <w:color w:val="000000"/>
                <w:sz w:val="22"/>
                <w:szCs w:val="22"/>
              </w:rPr>
              <w:t xml:space="preserve"> </w:t>
            </w:r>
          </w:p>
        </w:tc>
      </w:tr>
      <w:tr w14:paraId="45BD1448"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610C4222" w14:textId="77777777">
            <w:pPr>
              <w:widowControl/>
              <w:autoSpaceDE/>
              <w:autoSpaceDN/>
              <w:adjustRightInd/>
              <w:rPr>
                <w:color w:val="000000"/>
                <w:sz w:val="22"/>
                <w:szCs w:val="22"/>
              </w:rPr>
            </w:pPr>
            <w:r w:rsidRPr="00A30AB9">
              <w:rPr>
                <w:color w:val="000000"/>
                <w:sz w:val="22"/>
                <w:szCs w:val="22"/>
              </w:rPr>
              <w:t>Notification by building owners to contractors (other employers)</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2E51F1BD" w14:textId="77777777">
            <w:pPr>
              <w:widowControl/>
              <w:autoSpaceDE/>
              <w:autoSpaceDN/>
              <w:adjustRightInd/>
              <w:rPr>
                <w:color w:val="000000"/>
                <w:sz w:val="22"/>
                <w:szCs w:val="22"/>
              </w:rPr>
            </w:pPr>
            <w:r w:rsidRPr="00A30AB9">
              <w:rPr>
                <w:color w:val="000000"/>
                <w:sz w:val="22"/>
                <w:szCs w:val="22"/>
              </w:rPr>
              <w:t>Manager</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18B39BE8" w14:textId="0297AC8E">
            <w:pPr>
              <w:widowControl/>
              <w:autoSpaceDE/>
              <w:autoSpaceDN/>
              <w:adjustRightInd/>
              <w:jc w:val="right"/>
              <w:rPr>
                <w:color w:val="000000"/>
                <w:sz w:val="22"/>
                <w:szCs w:val="22"/>
              </w:rPr>
            </w:pPr>
            <w:r>
              <w:rPr>
                <w:color w:val="000000"/>
                <w:sz w:val="22"/>
                <w:szCs w:val="22"/>
              </w:rPr>
              <w:t>6,043,039</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3D70C842"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2ABF4F90" w14:textId="0FC37079">
            <w:pPr>
              <w:widowControl/>
              <w:autoSpaceDE/>
              <w:autoSpaceDN/>
              <w:adjustRightInd/>
              <w:jc w:val="right"/>
              <w:rPr>
                <w:color w:val="000000"/>
                <w:sz w:val="22"/>
                <w:szCs w:val="22"/>
              </w:rPr>
            </w:pPr>
            <w:r>
              <w:rPr>
                <w:color w:val="000000"/>
                <w:sz w:val="22"/>
                <w:szCs w:val="22"/>
              </w:rPr>
              <w:t>6,043,039</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085C1B03" w14:textId="77777777">
            <w:pPr>
              <w:widowControl/>
              <w:autoSpaceDE/>
              <w:autoSpaceDN/>
              <w:adjustRightInd/>
              <w:jc w:val="right"/>
              <w:rPr>
                <w:color w:val="000000"/>
                <w:sz w:val="22"/>
                <w:szCs w:val="22"/>
              </w:rPr>
            </w:pPr>
            <w:r w:rsidRPr="00A30AB9">
              <w:rPr>
                <w:color w:val="000000"/>
                <w:sz w:val="22"/>
                <w:szCs w:val="22"/>
              </w:rPr>
              <w:t>3/60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5084F172" w14:textId="57BE7DDE">
            <w:pPr>
              <w:widowControl/>
              <w:autoSpaceDE/>
              <w:autoSpaceDN/>
              <w:adjustRightInd/>
              <w:jc w:val="right"/>
              <w:rPr>
                <w:color w:val="000000"/>
                <w:sz w:val="22"/>
                <w:szCs w:val="22"/>
              </w:rPr>
            </w:pPr>
            <w:r>
              <w:rPr>
                <w:color w:val="000000"/>
                <w:sz w:val="22"/>
                <w:szCs w:val="22"/>
              </w:rPr>
              <w:t>302,</w:t>
            </w:r>
            <w:r w:rsidR="00014B35">
              <w:rPr>
                <w:color w:val="000000"/>
                <w:sz w:val="22"/>
                <w:szCs w:val="22"/>
              </w:rPr>
              <w:t>152</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172F7477" w14:textId="2B2742F1">
            <w:pPr>
              <w:widowControl/>
              <w:autoSpaceDE/>
              <w:autoSpaceDN/>
              <w:adjustRightInd/>
              <w:jc w:val="right"/>
              <w:rPr>
                <w:color w:val="000000"/>
                <w:sz w:val="22"/>
                <w:szCs w:val="22"/>
              </w:rPr>
            </w:pPr>
            <w:r w:rsidRPr="00A30AB9">
              <w:rPr>
                <w:color w:val="000000"/>
                <w:sz w:val="22"/>
                <w:szCs w:val="22"/>
              </w:rPr>
              <w:t>$</w:t>
            </w:r>
            <w:r w:rsidR="0049744F">
              <w:rPr>
                <w:color w:val="000000"/>
                <w:sz w:val="22"/>
                <w:szCs w:val="22"/>
              </w:rPr>
              <w:t>50.04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1293A8BD" w14:textId="58032A34">
            <w:pPr>
              <w:widowControl/>
              <w:autoSpaceDE/>
              <w:autoSpaceDN/>
              <w:adjustRightInd/>
              <w:jc w:val="right"/>
              <w:rPr>
                <w:color w:val="000000"/>
                <w:sz w:val="22"/>
                <w:szCs w:val="22"/>
              </w:rPr>
            </w:pPr>
            <w:r w:rsidRPr="00A30AB9">
              <w:rPr>
                <w:color w:val="000000"/>
                <w:sz w:val="22"/>
                <w:szCs w:val="22"/>
              </w:rPr>
              <w:t>$</w:t>
            </w:r>
            <w:r w:rsidR="006C7A11">
              <w:rPr>
                <w:color w:val="000000"/>
                <w:sz w:val="22"/>
                <w:szCs w:val="22"/>
              </w:rPr>
              <w:t xml:space="preserve">15,119,684 </w:t>
            </w:r>
          </w:p>
        </w:tc>
      </w:tr>
      <w:tr w14:paraId="385F6864" w14:textId="77777777" w:rsidTr="00201033">
        <w:tblPrEx>
          <w:tblW w:w="14490" w:type="dxa"/>
          <w:jc w:val="center"/>
          <w:tblLayout w:type="fixed"/>
          <w:tblCellMar>
            <w:left w:w="58" w:type="dxa"/>
            <w:right w:w="58" w:type="dxa"/>
          </w:tblCellMar>
          <w:tblLook w:val="04A0"/>
        </w:tblPrEx>
        <w:trPr>
          <w:trHeight w:val="255"/>
          <w:jc w:val="center"/>
        </w:trPr>
        <w:tc>
          <w:tcPr>
            <w:tcW w:w="14490"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hideMark/>
          </w:tcPr>
          <w:p w:rsidR="00517F98" w:rsidRPr="00A30AB9" w:rsidP="00517F98" w14:paraId="01BFDBC9" w14:textId="77777777">
            <w:pPr>
              <w:widowControl/>
              <w:autoSpaceDE/>
              <w:autoSpaceDN/>
              <w:adjustRightInd/>
              <w:rPr>
                <w:b/>
                <w:bCs/>
                <w:i/>
                <w:iCs/>
                <w:color w:val="000000"/>
                <w:sz w:val="22"/>
                <w:szCs w:val="22"/>
              </w:rPr>
            </w:pPr>
            <w:r w:rsidRPr="00A30AB9">
              <w:rPr>
                <w:b/>
                <w:bCs/>
                <w:i/>
                <w:iCs/>
                <w:color w:val="000000"/>
                <w:sz w:val="22"/>
                <w:szCs w:val="22"/>
              </w:rPr>
              <w:t>Duties of employers</w:t>
            </w:r>
          </w:p>
        </w:tc>
      </w:tr>
      <w:tr w14:paraId="16FEC29C"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3F348AEA" w14:textId="77777777">
            <w:pPr>
              <w:widowControl/>
              <w:autoSpaceDE/>
              <w:autoSpaceDN/>
              <w:adjustRightInd/>
              <w:rPr>
                <w:color w:val="000000"/>
                <w:sz w:val="22"/>
                <w:szCs w:val="22"/>
              </w:rPr>
            </w:pPr>
            <w:r w:rsidRPr="00A30AB9">
              <w:rPr>
                <w:color w:val="000000"/>
                <w:sz w:val="22"/>
                <w:szCs w:val="22"/>
              </w:rPr>
              <w:t>Identification of ACM/PACM and notification by contractors to building owners</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5DC20188" w14:textId="77777777">
            <w:pPr>
              <w:widowControl/>
              <w:autoSpaceDE/>
              <w:autoSpaceDN/>
              <w:adjustRightInd/>
              <w:rPr>
                <w:color w:val="000000"/>
                <w:sz w:val="22"/>
                <w:szCs w:val="22"/>
              </w:rPr>
            </w:pPr>
            <w:r w:rsidRPr="00A30AB9">
              <w:rPr>
                <w:color w:val="000000"/>
                <w:sz w:val="22"/>
                <w:szCs w:val="22"/>
              </w:rPr>
              <w:t>Manager</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76C1A607" w14:textId="04F6E6BA">
            <w:pPr>
              <w:widowControl/>
              <w:autoSpaceDE/>
              <w:autoSpaceDN/>
              <w:adjustRightInd/>
              <w:jc w:val="right"/>
              <w:rPr>
                <w:color w:val="000000"/>
                <w:sz w:val="22"/>
                <w:szCs w:val="22"/>
              </w:rPr>
            </w:pPr>
            <w:r>
              <w:rPr>
                <w:color w:val="000000"/>
                <w:sz w:val="22"/>
                <w:szCs w:val="22"/>
              </w:rPr>
              <w:t>6,043,039</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7E0B62C2"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15D8B560" w14:textId="0EFE1D4E">
            <w:pPr>
              <w:widowControl/>
              <w:autoSpaceDE/>
              <w:autoSpaceDN/>
              <w:adjustRightInd/>
              <w:jc w:val="right"/>
              <w:rPr>
                <w:color w:val="000000"/>
                <w:sz w:val="22"/>
                <w:szCs w:val="22"/>
              </w:rPr>
            </w:pPr>
            <w:r>
              <w:rPr>
                <w:color w:val="000000"/>
                <w:sz w:val="22"/>
                <w:szCs w:val="22"/>
              </w:rPr>
              <w:t>6,043,039</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17F98" w:rsidRPr="00A30AB9" w:rsidP="00517F98" w14:paraId="35B2D1F5" w14:textId="77777777">
            <w:pPr>
              <w:widowControl/>
              <w:autoSpaceDE/>
              <w:autoSpaceDN/>
              <w:adjustRightInd/>
              <w:jc w:val="right"/>
              <w:rPr>
                <w:color w:val="000000"/>
                <w:sz w:val="22"/>
                <w:szCs w:val="22"/>
              </w:rPr>
            </w:pPr>
            <w:r w:rsidRPr="00A30AB9">
              <w:rPr>
                <w:color w:val="000000"/>
                <w:sz w:val="22"/>
                <w:szCs w:val="22"/>
              </w:rPr>
              <w:t>3/60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282D72AE" w14:textId="45B6E17F">
            <w:pPr>
              <w:widowControl/>
              <w:autoSpaceDE/>
              <w:autoSpaceDN/>
              <w:adjustRightInd/>
              <w:jc w:val="right"/>
              <w:rPr>
                <w:color w:val="000000"/>
                <w:sz w:val="22"/>
                <w:szCs w:val="22"/>
              </w:rPr>
            </w:pPr>
            <w:r>
              <w:rPr>
                <w:color w:val="000000"/>
                <w:sz w:val="22"/>
                <w:szCs w:val="22"/>
              </w:rPr>
              <w:t>302,1</w:t>
            </w:r>
            <w:r w:rsidR="005C4E81">
              <w:rPr>
                <w:color w:val="000000"/>
                <w:sz w:val="22"/>
                <w:szCs w:val="22"/>
              </w:rPr>
              <w:t>52</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72954C68" w14:textId="0C76EE4D">
            <w:pPr>
              <w:widowControl/>
              <w:autoSpaceDE/>
              <w:autoSpaceDN/>
              <w:adjustRightInd/>
              <w:jc w:val="right"/>
              <w:rPr>
                <w:color w:val="000000"/>
                <w:sz w:val="22"/>
                <w:szCs w:val="22"/>
              </w:rPr>
            </w:pPr>
            <w:r w:rsidRPr="00A30AB9">
              <w:rPr>
                <w:color w:val="000000"/>
                <w:sz w:val="22"/>
                <w:szCs w:val="22"/>
              </w:rPr>
              <w:t>$</w:t>
            </w:r>
            <w:r w:rsidR="00206388">
              <w:rPr>
                <w:color w:val="000000"/>
                <w:sz w:val="22"/>
                <w:szCs w:val="22"/>
              </w:rPr>
              <w:t>50.0</w:t>
            </w:r>
            <w:r w:rsidR="00CD0064">
              <w:rPr>
                <w:color w:val="000000"/>
                <w:sz w:val="22"/>
                <w:szCs w:val="22"/>
              </w:rPr>
              <w:t>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64A131C2" w14:textId="35D48BA8">
            <w:pPr>
              <w:widowControl/>
              <w:autoSpaceDE/>
              <w:autoSpaceDN/>
              <w:adjustRightInd/>
              <w:jc w:val="right"/>
              <w:rPr>
                <w:color w:val="000000"/>
                <w:sz w:val="22"/>
                <w:szCs w:val="22"/>
              </w:rPr>
            </w:pPr>
            <w:r w:rsidRPr="00A30AB9">
              <w:rPr>
                <w:color w:val="000000"/>
                <w:sz w:val="22"/>
                <w:szCs w:val="22"/>
              </w:rPr>
              <w:t>$</w:t>
            </w:r>
            <w:r w:rsidR="009D1483">
              <w:rPr>
                <w:color w:val="000000"/>
                <w:sz w:val="22"/>
                <w:szCs w:val="22"/>
              </w:rPr>
              <w:t>15,119,684</w:t>
            </w:r>
          </w:p>
        </w:tc>
      </w:tr>
      <w:tr w14:paraId="49628FBA"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67C9A10" w14:textId="77777777">
            <w:pPr>
              <w:widowControl/>
              <w:autoSpaceDE/>
              <w:autoSpaceDN/>
              <w:adjustRightInd/>
              <w:rPr>
                <w:color w:val="000000"/>
                <w:sz w:val="22"/>
                <w:szCs w:val="22"/>
              </w:rPr>
            </w:pPr>
            <w:r w:rsidRPr="00A30AB9">
              <w:rPr>
                <w:color w:val="000000"/>
                <w:sz w:val="22"/>
                <w:szCs w:val="22"/>
              </w:rPr>
              <w:t>Notification by contractors to employees and employers</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352F24EA" w14:textId="77777777">
            <w:pPr>
              <w:widowControl/>
              <w:autoSpaceDE/>
              <w:autoSpaceDN/>
              <w:adjustRightInd/>
              <w:rPr>
                <w:color w:val="000000"/>
                <w:sz w:val="22"/>
                <w:szCs w:val="22"/>
              </w:rPr>
            </w:pPr>
            <w:r w:rsidRPr="00A30AB9">
              <w:rPr>
                <w:color w:val="000000"/>
                <w:sz w:val="22"/>
                <w:szCs w:val="22"/>
              </w:rPr>
              <w:t>Manager</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6CA7FB53" w14:textId="192F0D0C">
            <w:pPr>
              <w:widowControl/>
              <w:autoSpaceDE/>
              <w:autoSpaceDN/>
              <w:adjustRightInd/>
              <w:jc w:val="right"/>
              <w:rPr>
                <w:color w:val="000000"/>
                <w:sz w:val="22"/>
                <w:szCs w:val="22"/>
              </w:rPr>
            </w:pPr>
            <w:r>
              <w:rPr>
                <w:color w:val="000000"/>
                <w:sz w:val="22"/>
                <w:szCs w:val="22"/>
              </w:rPr>
              <w:t>6,043,039</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03618296"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4EDB6977" w14:textId="3D144BCB">
            <w:pPr>
              <w:widowControl/>
              <w:autoSpaceDE/>
              <w:autoSpaceDN/>
              <w:adjustRightInd/>
              <w:jc w:val="right"/>
              <w:rPr>
                <w:color w:val="000000"/>
                <w:sz w:val="22"/>
                <w:szCs w:val="22"/>
              </w:rPr>
            </w:pPr>
            <w:r>
              <w:rPr>
                <w:color w:val="000000"/>
                <w:sz w:val="22"/>
                <w:szCs w:val="22"/>
              </w:rPr>
              <w:t>6,043,039</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5269E42E"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3638C68" w14:textId="09D25CE7">
            <w:pPr>
              <w:widowControl/>
              <w:autoSpaceDE/>
              <w:autoSpaceDN/>
              <w:adjustRightInd/>
              <w:jc w:val="right"/>
              <w:rPr>
                <w:color w:val="000000"/>
                <w:sz w:val="22"/>
                <w:szCs w:val="22"/>
              </w:rPr>
            </w:pPr>
            <w:r>
              <w:rPr>
                <w:color w:val="000000"/>
                <w:sz w:val="22"/>
                <w:szCs w:val="22"/>
              </w:rPr>
              <w:t>503,587</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5D0E477F" w14:textId="35FE79BC">
            <w:pPr>
              <w:widowControl/>
              <w:autoSpaceDE/>
              <w:autoSpaceDN/>
              <w:adjustRightInd/>
              <w:jc w:val="right"/>
              <w:rPr>
                <w:color w:val="000000"/>
                <w:sz w:val="22"/>
                <w:szCs w:val="22"/>
              </w:rPr>
            </w:pPr>
            <w:r w:rsidRPr="00A30AB9">
              <w:rPr>
                <w:color w:val="000000"/>
                <w:sz w:val="22"/>
                <w:szCs w:val="22"/>
              </w:rPr>
              <w:t>$</w:t>
            </w:r>
            <w:r w:rsidR="00CD0064">
              <w:rPr>
                <w:color w:val="000000"/>
                <w:sz w:val="22"/>
                <w:szCs w:val="22"/>
              </w:rPr>
              <w:t>50.04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07D9CB8D" w14:textId="2C1D5E32">
            <w:pPr>
              <w:widowControl/>
              <w:autoSpaceDE/>
              <w:autoSpaceDN/>
              <w:adjustRightInd/>
              <w:jc w:val="right"/>
              <w:rPr>
                <w:color w:val="000000"/>
                <w:sz w:val="22"/>
                <w:szCs w:val="22"/>
              </w:rPr>
            </w:pPr>
            <w:r w:rsidRPr="00A30AB9">
              <w:rPr>
                <w:color w:val="000000"/>
                <w:sz w:val="22"/>
                <w:szCs w:val="22"/>
              </w:rPr>
              <w:t>$</w:t>
            </w:r>
            <w:r w:rsidR="009D1483">
              <w:rPr>
                <w:color w:val="000000"/>
                <w:sz w:val="22"/>
                <w:szCs w:val="22"/>
              </w:rPr>
              <w:t>25,199.4</w:t>
            </w:r>
            <w:r w:rsidR="00A276CB">
              <w:rPr>
                <w:color w:val="000000"/>
                <w:sz w:val="22"/>
                <w:szCs w:val="22"/>
              </w:rPr>
              <w:t>72</w:t>
            </w:r>
          </w:p>
        </w:tc>
      </w:tr>
      <w:tr w14:paraId="188C324D"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6530B28D" w14:textId="77777777">
            <w:pPr>
              <w:widowControl/>
              <w:autoSpaceDE/>
              <w:autoSpaceDN/>
              <w:adjustRightInd/>
              <w:rPr>
                <w:color w:val="000000"/>
                <w:sz w:val="22"/>
                <w:szCs w:val="22"/>
              </w:rPr>
            </w:pPr>
            <w:r w:rsidRPr="00A30AB9">
              <w:rPr>
                <w:color w:val="000000"/>
                <w:sz w:val="22"/>
                <w:szCs w:val="22"/>
              </w:rPr>
              <w:t>Notification by contractors to owners on asbestos remaining in the building</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183EBF37" w14:textId="77777777">
            <w:pPr>
              <w:widowControl/>
              <w:autoSpaceDE/>
              <w:autoSpaceDN/>
              <w:adjustRightInd/>
              <w:rPr>
                <w:color w:val="000000"/>
                <w:sz w:val="22"/>
                <w:szCs w:val="22"/>
              </w:rPr>
            </w:pPr>
            <w:r w:rsidRPr="00A30AB9">
              <w:rPr>
                <w:color w:val="000000"/>
                <w:sz w:val="22"/>
                <w:szCs w:val="22"/>
              </w:rPr>
              <w:t>Manager</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3A3A5B5A" w14:textId="4369A7C4">
            <w:pPr>
              <w:widowControl/>
              <w:autoSpaceDE/>
              <w:autoSpaceDN/>
              <w:adjustRightInd/>
              <w:jc w:val="right"/>
              <w:rPr>
                <w:color w:val="000000"/>
                <w:sz w:val="22"/>
                <w:szCs w:val="22"/>
              </w:rPr>
            </w:pPr>
            <w:r>
              <w:rPr>
                <w:color w:val="000000"/>
                <w:sz w:val="22"/>
                <w:szCs w:val="22"/>
              </w:rPr>
              <w:t>6,043,</w:t>
            </w:r>
            <w:r w:rsidR="00C56CCD">
              <w:rPr>
                <w:color w:val="000000"/>
                <w:sz w:val="22"/>
                <w:szCs w:val="22"/>
              </w:rPr>
              <w:t>039</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6BCF5247"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0B944BAF" w14:textId="4755DA74">
            <w:pPr>
              <w:widowControl/>
              <w:autoSpaceDE/>
              <w:autoSpaceDN/>
              <w:adjustRightInd/>
              <w:jc w:val="right"/>
              <w:rPr>
                <w:color w:val="000000"/>
                <w:sz w:val="22"/>
                <w:szCs w:val="22"/>
              </w:rPr>
            </w:pPr>
            <w:r>
              <w:rPr>
                <w:color w:val="000000"/>
                <w:sz w:val="22"/>
                <w:szCs w:val="22"/>
              </w:rPr>
              <w:t>6,043,039</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53281C9D"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4DE9B09" w14:textId="43AA5C39">
            <w:pPr>
              <w:widowControl/>
              <w:autoSpaceDE/>
              <w:autoSpaceDN/>
              <w:adjustRightInd/>
              <w:jc w:val="right"/>
              <w:rPr>
                <w:color w:val="000000"/>
                <w:sz w:val="22"/>
                <w:szCs w:val="22"/>
              </w:rPr>
            </w:pPr>
            <w:r>
              <w:rPr>
                <w:color w:val="000000"/>
                <w:sz w:val="22"/>
                <w:szCs w:val="22"/>
              </w:rPr>
              <w:t>503</w:t>
            </w:r>
            <w:r w:rsidR="000B125A">
              <w:rPr>
                <w:color w:val="000000"/>
                <w:sz w:val="22"/>
                <w:szCs w:val="22"/>
              </w:rPr>
              <w:t>,587</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2AEE869B" w14:textId="713E502E">
            <w:pPr>
              <w:widowControl/>
              <w:autoSpaceDE/>
              <w:autoSpaceDN/>
              <w:adjustRightInd/>
              <w:jc w:val="right"/>
              <w:rPr>
                <w:color w:val="000000"/>
                <w:sz w:val="22"/>
                <w:szCs w:val="22"/>
              </w:rPr>
            </w:pPr>
            <w:r w:rsidRPr="00A30AB9">
              <w:rPr>
                <w:color w:val="000000"/>
                <w:sz w:val="22"/>
                <w:szCs w:val="22"/>
              </w:rPr>
              <w:t>$</w:t>
            </w:r>
            <w:r w:rsidR="00CD0064">
              <w:rPr>
                <w:color w:val="000000"/>
                <w:sz w:val="22"/>
                <w:szCs w:val="22"/>
              </w:rPr>
              <w:t>50.04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1BAEB616" w14:textId="7DB381D2">
            <w:pPr>
              <w:widowControl/>
              <w:autoSpaceDE/>
              <w:autoSpaceDN/>
              <w:adjustRightInd/>
              <w:jc w:val="right"/>
              <w:rPr>
                <w:color w:val="000000"/>
                <w:sz w:val="22"/>
                <w:szCs w:val="22"/>
              </w:rPr>
            </w:pPr>
            <w:r w:rsidRPr="00A30AB9">
              <w:rPr>
                <w:color w:val="000000"/>
                <w:sz w:val="22"/>
                <w:szCs w:val="22"/>
              </w:rPr>
              <w:t>$</w:t>
            </w:r>
            <w:r w:rsidR="00B34B47">
              <w:rPr>
                <w:color w:val="000000"/>
                <w:sz w:val="22"/>
                <w:szCs w:val="22"/>
              </w:rPr>
              <w:t>25,199,</w:t>
            </w:r>
            <w:r w:rsidR="00685D52">
              <w:rPr>
                <w:color w:val="000000"/>
                <w:sz w:val="22"/>
                <w:szCs w:val="22"/>
              </w:rPr>
              <w:t>4</w:t>
            </w:r>
            <w:r w:rsidR="00A411F3">
              <w:rPr>
                <w:color w:val="000000"/>
                <w:sz w:val="22"/>
                <w:szCs w:val="22"/>
              </w:rPr>
              <w:t>72</w:t>
            </w:r>
          </w:p>
        </w:tc>
      </w:tr>
      <w:tr w14:paraId="229845B3" w14:textId="77777777" w:rsidTr="00201033">
        <w:tblPrEx>
          <w:tblW w:w="14490" w:type="dxa"/>
          <w:jc w:val="center"/>
          <w:tblLayout w:type="fixed"/>
          <w:tblCellMar>
            <w:left w:w="58" w:type="dxa"/>
            <w:right w:w="58" w:type="dxa"/>
          </w:tblCellMar>
          <w:tblLook w:val="04A0"/>
        </w:tblPrEx>
        <w:trPr>
          <w:trHeight w:val="255"/>
          <w:jc w:val="center"/>
        </w:trPr>
        <w:tc>
          <w:tcPr>
            <w:tcW w:w="14490"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hideMark/>
          </w:tcPr>
          <w:p w:rsidR="00517F98" w:rsidRPr="00A30AB9" w:rsidP="00517F98" w14:paraId="55727250" w14:textId="77777777">
            <w:pPr>
              <w:widowControl/>
              <w:autoSpaceDE/>
              <w:autoSpaceDN/>
              <w:adjustRightInd/>
              <w:rPr>
                <w:b/>
                <w:bCs/>
                <w:i/>
                <w:iCs/>
                <w:color w:val="000000"/>
                <w:sz w:val="22"/>
                <w:szCs w:val="22"/>
              </w:rPr>
            </w:pPr>
            <w:r w:rsidRPr="00A30AB9">
              <w:rPr>
                <w:b/>
                <w:bCs/>
                <w:i/>
                <w:iCs/>
                <w:color w:val="000000"/>
                <w:sz w:val="22"/>
                <w:szCs w:val="22"/>
              </w:rPr>
              <w:t>Subtotal</w:t>
            </w:r>
          </w:p>
        </w:tc>
      </w:tr>
      <w:tr w14:paraId="0CCE5129"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6B6A750" w14:textId="77777777">
            <w:pPr>
              <w:widowControl/>
              <w:autoSpaceDE/>
              <w:autoSpaceDN/>
              <w:adjustRightInd/>
              <w:rPr>
                <w:b/>
                <w:bCs/>
                <w:i/>
                <w:iCs/>
                <w:color w:val="000000"/>
                <w:sz w:val="22"/>
                <w:szCs w:val="22"/>
              </w:rPr>
            </w:pPr>
            <w:r w:rsidRPr="00A30AB9">
              <w:rPr>
                <w:b/>
                <w:bCs/>
                <w:i/>
                <w:iCs/>
                <w:color w:val="000000"/>
                <w:sz w:val="22"/>
                <w:szCs w:val="22"/>
              </w:rPr>
              <w:t>Subtotal G</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683D863F" w14:textId="77777777">
            <w:pPr>
              <w:widowControl/>
              <w:autoSpaceDE/>
              <w:autoSpaceDN/>
              <w:adjustRightInd/>
              <w:rPr>
                <w:b/>
                <w:bCs/>
                <w:i/>
                <w:iCs/>
                <w:color w:val="000000"/>
                <w:sz w:val="22"/>
                <w:szCs w:val="22"/>
              </w:rPr>
            </w:pPr>
            <w:r w:rsidRPr="00A30AB9">
              <w:rPr>
                <w:b/>
                <w:bCs/>
                <w:i/>
                <w:i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1B540517" w14:textId="77777777">
            <w:pPr>
              <w:widowControl/>
              <w:autoSpaceDE/>
              <w:autoSpaceDN/>
              <w:adjustRightInd/>
              <w:rPr>
                <w:b/>
                <w:bCs/>
                <w:i/>
                <w:iCs/>
                <w:color w:val="000000"/>
                <w:sz w:val="22"/>
                <w:szCs w:val="22"/>
              </w:rPr>
            </w:pPr>
            <w:r w:rsidRPr="00A30AB9">
              <w:rPr>
                <w:b/>
                <w:bCs/>
                <w:i/>
                <w:iCs/>
                <w:color w:val="000000"/>
                <w:sz w:val="22"/>
                <w:szCs w:val="22"/>
              </w:rPr>
              <w:t> </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015413E8" w14:textId="77777777">
            <w:pPr>
              <w:widowControl/>
              <w:autoSpaceDE/>
              <w:autoSpaceDN/>
              <w:adjustRightInd/>
              <w:rPr>
                <w:b/>
                <w:bCs/>
                <w:i/>
                <w:iCs/>
                <w:color w:val="000000"/>
                <w:sz w:val="22"/>
                <w:szCs w:val="22"/>
              </w:rPr>
            </w:pPr>
            <w:r w:rsidRPr="00A30AB9">
              <w:rPr>
                <w:b/>
                <w:bCs/>
                <w:i/>
                <w:i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118C68E0" w14:textId="2AA83973">
            <w:pPr>
              <w:widowControl/>
              <w:autoSpaceDE/>
              <w:autoSpaceDN/>
              <w:adjustRightInd/>
              <w:jc w:val="right"/>
              <w:rPr>
                <w:b/>
                <w:bCs/>
                <w:i/>
                <w:iCs/>
                <w:color w:val="000000"/>
                <w:sz w:val="22"/>
                <w:szCs w:val="22"/>
              </w:rPr>
            </w:pPr>
            <w:r>
              <w:rPr>
                <w:b/>
                <w:bCs/>
                <w:i/>
                <w:iCs/>
                <w:color w:val="000000"/>
                <w:sz w:val="22"/>
                <w:szCs w:val="22"/>
              </w:rPr>
              <w:t>30,215,195</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17F98" w:rsidRPr="00A30AB9" w:rsidP="00517F98" w14:paraId="52A018B1" w14:textId="77777777">
            <w:pPr>
              <w:widowControl/>
              <w:autoSpaceDE/>
              <w:autoSpaceDN/>
              <w:adjustRightInd/>
              <w:rPr>
                <w:b/>
                <w:bCs/>
                <w:i/>
                <w:iCs/>
                <w:color w:val="000000"/>
                <w:sz w:val="22"/>
                <w:szCs w:val="22"/>
              </w:rPr>
            </w:pPr>
            <w:r w:rsidRPr="00A30AB9">
              <w:rPr>
                <w:b/>
                <w:bCs/>
                <w:i/>
                <w:iCs/>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62E00FEF" w14:textId="0682C78F">
            <w:pPr>
              <w:widowControl/>
              <w:autoSpaceDE/>
              <w:autoSpaceDN/>
              <w:adjustRightInd/>
              <w:jc w:val="right"/>
              <w:rPr>
                <w:b/>
                <w:bCs/>
                <w:i/>
                <w:iCs/>
                <w:color w:val="000000"/>
                <w:sz w:val="22"/>
                <w:szCs w:val="22"/>
              </w:rPr>
            </w:pPr>
            <w:r>
              <w:rPr>
                <w:b/>
                <w:bCs/>
                <w:i/>
                <w:iCs/>
                <w:color w:val="000000"/>
                <w:sz w:val="22"/>
                <w:szCs w:val="22"/>
              </w:rPr>
              <w:t>2,417,21</w:t>
            </w:r>
            <w:r w:rsidR="005073AC">
              <w:rPr>
                <w:b/>
                <w:bCs/>
                <w:i/>
                <w:iCs/>
                <w:color w:val="000000"/>
                <w:sz w:val="22"/>
                <w:szCs w:val="22"/>
              </w:rPr>
              <w:t>7</w:t>
            </w:r>
            <w:r w:rsidR="003778A6">
              <w:rPr>
                <w:b/>
                <w:bCs/>
                <w:i/>
                <w:iCs/>
                <w:color w:val="000000"/>
                <w:sz w:val="22"/>
                <w:szCs w:val="22"/>
              </w:rPr>
              <w:t xml:space="preserve"> </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48D02CE0" w14:textId="77777777">
            <w:pPr>
              <w:widowControl/>
              <w:autoSpaceDE/>
              <w:autoSpaceDN/>
              <w:adjustRightInd/>
              <w:rPr>
                <w:b/>
                <w:bCs/>
                <w:i/>
                <w:iCs/>
                <w:color w:val="000000"/>
                <w:sz w:val="22"/>
                <w:szCs w:val="22"/>
              </w:rPr>
            </w:pPr>
            <w:r w:rsidRPr="00A30AB9">
              <w:rPr>
                <w:b/>
                <w:bCs/>
                <w:i/>
                <w:iCs/>
                <w:color w:val="000000"/>
                <w:sz w:val="22"/>
                <w:szCs w:val="22"/>
              </w:rPr>
              <w:t>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75565A2C" w14:textId="0B8F5129">
            <w:pPr>
              <w:widowControl/>
              <w:autoSpaceDE/>
              <w:autoSpaceDN/>
              <w:adjustRightInd/>
              <w:jc w:val="right"/>
              <w:rPr>
                <w:b/>
                <w:bCs/>
                <w:i/>
                <w:iCs/>
                <w:color w:val="000000"/>
                <w:sz w:val="22"/>
                <w:szCs w:val="22"/>
              </w:rPr>
            </w:pPr>
            <w:r w:rsidRPr="00A30AB9">
              <w:rPr>
                <w:b/>
                <w:bCs/>
                <w:i/>
                <w:iCs/>
                <w:color w:val="000000"/>
                <w:sz w:val="22"/>
                <w:szCs w:val="22"/>
              </w:rPr>
              <w:t>$</w:t>
            </w:r>
            <w:r w:rsidR="00AD3D29">
              <w:rPr>
                <w:b/>
                <w:bCs/>
                <w:i/>
                <w:iCs/>
                <w:color w:val="000000"/>
                <w:sz w:val="22"/>
                <w:szCs w:val="22"/>
              </w:rPr>
              <w:t>120,957,</w:t>
            </w:r>
            <w:r w:rsidR="005C5087">
              <w:rPr>
                <w:b/>
                <w:bCs/>
                <w:i/>
                <w:iCs/>
                <w:color w:val="000000"/>
                <w:sz w:val="22"/>
                <w:szCs w:val="22"/>
              </w:rPr>
              <w:t>468</w:t>
            </w:r>
            <w:r w:rsidR="00CE1D30">
              <w:rPr>
                <w:b/>
                <w:bCs/>
                <w:i/>
                <w:iCs/>
                <w:color w:val="000000"/>
                <w:sz w:val="22"/>
                <w:szCs w:val="22"/>
              </w:rPr>
              <w:t xml:space="preserve"> </w:t>
            </w:r>
            <w:r w:rsidR="00D45B74">
              <w:rPr>
                <w:b/>
                <w:bCs/>
                <w:i/>
                <w:iCs/>
                <w:color w:val="000000"/>
                <w:sz w:val="22"/>
                <w:szCs w:val="22"/>
              </w:rPr>
              <w:t xml:space="preserve"> </w:t>
            </w:r>
          </w:p>
        </w:tc>
      </w:tr>
      <w:tr w14:paraId="09F6B466" w14:textId="77777777" w:rsidTr="00201033">
        <w:tblPrEx>
          <w:tblW w:w="14490" w:type="dxa"/>
          <w:jc w:val="center"/>
          <w:tblLayout w:type="fixed"/>
          <w:tblCellMar>
            <w:left w:w="58" w:type="dxa"/>
            <w:right w:w="58" w:type="dxa"/>
          </w:tblCellMar>
          <w:tblLook w:val="04A0"/>
        </w:tblPrEx>
        <w:trPr>
          <w:trHeight w:val="255"/>
          <w:jc w:val="center"/>
        </w:trPr>
        <w:tc>
          <w:tcPr>
            <w:tcW w:w="14490" w:type="dxa"/>
            <w:gridSpan w:val="9"/>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hideMark/>
          </w:tcPr>
          <w:p w:rsidR="00517F98" w:rsidRPr="00A30AB9" w:rsidP="00517F98" w14:paraId="620C3915" w14:textId="77777777">
            <w:pPr>
              <w:widowControl/>
              <w:autoSpaceDE/>
              <w:autoSpaceDN/>
              <w:adjustRightInd/>
              <w:rPr>
                <w:b/>
                <w:bCs/>
                <w:color w:val="000000"/>
                <w:sz w:val="22"/>
                <w:szCs w:val="22"/>
              </w:rPr>
            </w:pPr>
            <w:r w:rsidRPr="00A30AB9">
              <w:rPr>
                <w:b/>
                <w:bCs/>
                <w:color w:val="000000"/>
                <w:sz w:val="22"/>
                <w:szCs w:val="22"/>
              </w:rPr>
              <w:t>H. Medical surveillance (§1926.1101(m))</w:t>
            </w:r>
          </w:p>
        </w:tc>
      </w:tr>
      <w:tr w14:paraId="567728CF"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58735165" w14:textId="77777777">
            <w:pPr>
              <w:widowControl/>
              <w:autoSpaceDE/>
              <w:autoSpaceDN/>
              <w:adjustRightInd/>
              <w:rPr>
                <w:color w:val="000000"/>
                <w:sz w:val="22"/>
                <w:szCs w:val="22"/>
              </w:rPr>
            </w:pPr>
            <w:r w:rsidRPr="00A30AB9">
              <w:rPr>
                <w:color w:val="000000"/>
                <w:sz w:val="22"/>
                <w:szCs w:val="22"/>
              </w:rPr>
              <w:t>Medical examinations</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5B066D33" w14:textId="77777777">
            <w:pPr>
              <w:widowControl/>
              <w:autoSpaceDE/>
              <w:autoSpaceDN/>
              <w:adjustRightInd/>
              <w:rPr>
                <w:color w:val="000000"/>
                <w:sz w:val="22"/>
                <w:szCs w:val="22"/>
              </w:rPr>
            </w:pPr>
            <w:r w:rsidRPr="00A30AB9">
              <w:rPr>
                <w:color w:val="000000"/>
                <w:sz w:val="22"/>
                <w:szCs w:val="22"/>
              </w:rPr>
              <w:t>Employee</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209831BE" w14:textId="7604D126">
            <w:pPr>
              <w:widowControl/>
              <w:autoSpaceDE/>
              <w:autoSpaceDN/>
              <w:adjustRightInd/>
              <w:jc w:val="right"/>
              <w:rPr>
                <w:color w:val="000000"/>
                <w:sz w:val="22"/>
                <w:szCs w:val="22"/>
              </w:rPr>
            </w:pPr>
            <w:r>
              <w:rPr>
                <w:color w:val="000000"/>
                <w:sz w:val="22"/>
                <w:szCs w:val="22"/>
              </w:rPr>
              <w:t>124,</w:t>
            </w:r>
            <w:r w:rsidR="00B35582">
              <w:rPr>
                <w:color w:val="000000"/>
                <w:sz w:val="22"/>
                <w:szCs w:val="22"/>
              </w:rPr>
              <w:t>432</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09B9154D"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1C72E532" w14:textId="31D89139">
            <w:pPr>
              <w:widowControl/>
              <w:autoSpaceDE/>
              <w:autoSpaceDN/>
              <w:adjustRightInd/>
              <w:jc w:val="right"/>
              <w:rPr>
                <w:color w:val="000000"/>
                <w:sz w:val="22"/>
                <w:szCs w:val="22"/>
              </w:rPr>
            </w:pPr>
            <w:r>
              <w:rPr>
                <w:color w:val="000000"/>
                <w:sz w:val="22"/>
                <w:szCs w:val="22"/>
              </w:rPr>
              <w:t>124,432</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17F98" w:rsidRPr="00A30AB9" w:rsidP="00517F98" w14:paraId="7ECF67CE" w14:textId="77777777">
            <w:pPr>
              <w:widowControl/>
              <w:autoSpaceDE/>
              <w:autoSpaceDN/>
              <w:adjustRightInd/>
              <w:jc w:val="right"/>
              <w:rPr>
                <w:color w:val="000000"/>
                <w:sz w:val="22"/>
                <w:szCs w:val="22"/>
              </w:rPr>
            </w:pPr>
            <w:r w:rsidRPr="00A30AB9">
              <w:rPr>
                <w:color w:val="000000"/>
                <w:sz w:val="22"/>
                <w:szCs w:val="22"/>
              </w:rPr>
              <w:t>90/60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75CE5653" w14:textId="5C47F945">
            <w:pPr>
              <w:widowControl/>
              <w:autoSpaceDE/>
              <w:autoSpaceDN/>
              <w:adjustRightInd/>
              <w:jc w:val="right"/>
              <w:rPr>
                <w:color w:val="000000"/>
                <w:sz w:val="22"/>
                <w:szCs w:val="22"/>
              </w:rPr>
            </w:pPr>
            <w:r>
              <w:rPr>
                <w:color w:val="000000"/>
                <w:sz w:val="22"/>
                <w:szCs w:val="22"/>
              </w:rPr>
              <w:t>186,</w:t>
            </w:r>
            <w:r w:rsidR="00FC1F37">
              <w:rPr>
                <w:color w:val="000000"/>
                <w:sz w:val="22"/>
                <w:szCs w:val="22"/>
              </w:rPr>
              <w:t>648</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07D29E2D" w14:textId="4288DE88">
            <w:pPr>
              <w:widowControl/>
              <w:autoSpaceDE/>
              <w:autoSpaceDN/>
              <w:adjustRightInd/>
              <w:jc w:val="right"/>
              <w:rPr>
                <w:color w:val="000000"/>
                <w:sz w:val="22"/>
                <w:szCs w:val="22"/>
              </w:rPr>
            </w:pPr>
            <w:r w:rsidRPr="00A30AB9">
              <w:rPr>
                <w:color w:val="000000"/>
                <w:sz w:val="22"/>
                <w:szCs w:val="22"/>
              </w:rPr>
              <w:t>$</w:t>
            </w:r>
            <w:r w:rsidR="00E14641">
              <w:rPr>
                <w:color w:val="000000"/>
                <w:sz w:val="22"/>
                <w:szCs w:val="22"/>
              </w:rPr>
              <w:t>3</w:t>
            </w:r>
            <w:r w:rsidR="00A61006">
              <w:rPr>
                <w:color w:val="000000"/>
                <w:sz w:val="22"/>
                <w:szCs w:val="22"/>
              </w:rPr>
              <w:t>3</w:t>
            </w:r>
            <w:r w:rsidR="00E14641">
              <w:rPr>
                <w:color w:val="000000"/>
                <w:sz w:val="22"/>
                <w:szCs w:val="22"/>
              </w:rPr>
              <w:t>.24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360AC6BE" w14:textId="17CDE79F">
            <w:pPr>
              <w:widowControl/>
              <w:autoSpaceDE/>
              <w:autoSpaceDN/>
              <w:adjustRightInd/>
              <w:jc w:val="right"/>
              <w:rPr>
                <w:color w:val="000000"/>
                <w:sz w:val="22"/>
                <w:szCs w:val="22"/>
              </w:rPr>
            </w:pPr>
            <w:r w:rsidRPr="00A30AB9">
              <w:rPr>
                <w:color w:val="000000"/>
                <w:sz w:val="22"/>
                <w:szCs w:val="22"/>
              </w:rPr>
              <w:t>$</w:t>
            </w:r>
            <w:r w:rsidR="00115995">
              <w:rPr>
                <w:color w:val="000000"/>
                <w:sz w:val="22"/>
                <w:szCs w:val="22"/>
              </w:rPr>
              <w:t>6,</w:t>
            </w:r>
            <w:r w:rsidR="004436F1">
              <w:rPr>
                <w:color w:val="000000"/>
                <w:sz w:val="22"/>
                <w:szCs w:val="22"/>
              </w:rPr>
              <w:t>204,180</w:t>
            </w:r>
            <w:r w:rsidR="00783ADA">
              <w:rPr>
                <w:color w:val="000000"/>
                <w:sz w:val="22"/>
                <w:szCs w:val="22"/>
              </w:rPr>
              <w:t xml:space="preserve"> </w:t>
            </w:r>
          </w:p>
        </w:tc>
      </w:tr>
      <w:tr w14:paraId="4B3D5B45"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34657979" w14:textId="77777777">
            <w:pPr>
              <w:widowControl/>
              <w:autoSpaceDE/>
              <w:autoSpaceDN/>
              <w:adjustRightInd/>
              <w:rPr>
                <w:color w:val="000000"/>
                <w:sz w:val="22"/>
                <w:szCs w:val="22"/>
              </w:rPr>
            </w:pPr>
            <w:r w:rsidRPr="00A30AB9">
              <w:rPr>
                <w:color w:val="000000"/>
                <w:sz w:val="22"/>
                <w:szCs w:val="22"/>
              </w:rPr>
              <w:t>Medical questionnaire (§1926.1101(m)(2)(ii)(B)) Part I</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33F1DC7E" w14:textId="77777777">
            <w:pPr>
              <w:widowControl/>
              <w:autoSpaceDE/>
              <w:autoSpaceDN/>
              <w:adjustRightInd/>
              <w:rPr>
                <w:color w:val="000000"/>
                <w:sz w:val="22"/>
                <w:szCs w:val="22"/>
              </w:rPr>
            </w:pPr>
            <w:r w:rsidRPr="00A30AB9">
              <w:rPr>
                <w:color w:val="000000"/>
                <w:sz w:val="22"/>
                <w:szCs w:val="22"/>
              </w:rPr>
              <w:t>Employee</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60A496D4" w14:textId="142953D6">
            <w:pPr>
              <w:widowControl/>
              <w:autoSpaceDE/>
              <w:autoSpaceDN/>
              <w:adjustRightInd/>
              <w:jc w:val="right"/>
              <w:rPr>
                <w:color w:val="000000"/>
                <w:sz w:val="22"/>
                <w:szCs w:val="22"/>
              </w:rPr>
            </w:pPr>
            <w:r>
              <w:rPr>
                <w:color w:val="000000"/>
                <w:sz w:val="22"/>
                <w:szCs w:val="22"/>
              </w:rPr>
              <w:t>42,891</w:t>
            </w:r>
          </w:p>
        </w:tc>
        <w:tc>
          <w:tcPr>
            <w:tcW w:w="1440" w:type="dxa"/>
            <w:tcBorders>
              <w:top w:val="nil"/>
              <w:left w:val="nil"/>
              <w:bottom w:val="single" w:sz="4" w:space="0" w:color="auto"/>
              <w:right w:val="single" w:sz="4" w:space="0" w:color="auto"/>
            </w:tcBorders>
            <w:shd w:val="clear" w:color="auto" w:fill="auto"/>
            <w:hideMark/>
          </w:tcPr>
          <w:p w:rsidR="00517F98" w:rsidRPr="00A30AB9" w:rsidP="00C67385" w14:paraId="253B20AE" w14:textId="77777777">
            <w:pPr>
              <w:widowControl/>
              <w:autoSpaceDE/>
              <w:autoSpaceDN/>
              <w:adjustRightInd/>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686168A2" w14:textId="17034598">
            <w:pPr>
              <w:widowControl/>
              <w:autoSpaceDE/>
              <w:autoSpaceDN/>
              <w:adjustRightInd/>
              <w:jc w:val="right"/>
              <w:rPr>
                <w:color w:val="000000"/>
                <w:sz w:val="22"/>
                <w:szCs w:val="22"/>
              </w:rPr>
            </w:pPr>
            <w:r>
              <w:rPr>
                <w:color w:val="000000"/>
                <w:sz w:val="22"/>
                <w:szCs w:val="22"/>
              </w:rPr>
              <w:t>42,891</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7BF7FC3E" w14:textId="77777777">
            <w:pPr>
              <w:widowControl/>
              <w:autoSpaceDE/>
              <w:autoSpaceDN/>
              <w:adjustRightInd/>
              <w:jc w:val="right"/>
              <w:rPr>
                <w:color w:val="000000"/>
                <w:sz w:val="22"/>
                <w:szCs w:val="22"/>
              </w:rPr>
            </w:pPr>
            <w:r w:rsidRPr="00A30AB9">
              <w:rPr>
                <w:color w:val="000000"/>
                <w:sz w:val="22"/>
                <w:szCs w:val="22"/>
              </w:rPr>
              <w:t>30/60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201033" w14:paraId="7394DE37" w14:textId="73918878">
            <w:pPr>
              <w:widowControl/>
              <w:autoSpaceDE/>
              <w:autoSpaceDN/>
              <w:adjustRightInd/>
              <w:jc w:val="center"/>
              <w:rPr>
                <w:color w:val="000000"/>
                <w:sz w:val="22"/>
                <w:szCs w:val="22"/>
              </w:rPr>
            </w:pPr>
            <w:r>
              <w:rPr>
                <w:color w:val="000000"/>
                <w:sz w:val="22"/>
                <w:szCs w:val="22"/>
              </w:rPr>
              <w:t>21,446</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311DE263" w14:textId="303240CE">
            <w:pPr>
              <w:widowControl/>
              <w:autoSpaceDE/>
              <w:autoSpaceDN/>
              <w:adjustRightInd/>
              <w:jc w:val="right"/>
              <w:rPr>
                <w:color w:val="000000"/>
                <w:sz w:val="22"/>
                <w:szCs w:val="22"/>
              </w:rPr>
            </w:pPr>
            <w:r w:rsidRPr="00A30AB9">
              <w:rPr>
                <w:color w:val="000000"/>
                <w:sz w:val="22"/>
                <w:szCs w:val="22"/>
              </w:rPr>
              <w:t>$</w:t>
            </w:r>
            <w:r w:rsidR="00FC74D5">
              <w:rPr>
                <w:color w:val="000000"/>
                <w:sz w:val="22"/>
                <w:szCs w:val="22"/>
              </w:rPr>
              <w:t>3</w:t>
            </w:r>
            <w:r w:rsidR="00234B9F">
              <w:rPr>
                <w:color w:val="000000"/>
                <w:sz w:val="22"/>
                <w:szCs w:val="22"/>
              </w:rPr>
              <w:t>3.24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6282B3EC" w14:textId="3537DC69">
            <w:pPr>
              <w:widowControl/>
              <w:autoSpaceDE/>
              <w:autoSpaceDN/>
              <w:adjustRightInd/>
              <w:jc w:val="right"/>
              <w:rPr>
                <w:color w:val="000000"/>
                <w:sz w:val="22"/>
                <w:szCs w:val="22"/>
              </w:rPr>
            </w:pPr>
            <w:r>
              <w:rPr>
                <w:color w:val="000000"/>
                <w:sz w:val="22"/>
                <w:szCs w:val="22"/>
              </w:rPr>
              <w:t>$712,848</w:t>
            </w:r>
          </w:p>
        </w:tc>
      </w:tr>
      <w:tr w14:paraId="5DC174EE"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0BE34D8C" w14:textId="77777777">
            <w:pPr>
              <w:widowControl/>
              <w:autoSpaceDE/>
              <w:autoSpaceDN/>
              <w:adjustRightInd/>
              <w:rPr>
                <w:color w:val="000000"/>
                <w:sz w:val="22"/>
                <w:szCs w:val="22"/>
              </w:rPr>
            </w:pPr>
            <w:r w:rsidRPr="00A30AB9">
              <w:rPr>
                <w:color w:val="000000"/>
                <w:sz w:val="22"/>
                <w:szCs w:val="22"/>
              </w:rPr>
              <w:t>Medical questionnaire (§1926.1101(m)(2)(ii)(B)) Part II</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2A22A16B" w14:textId="77777777">
            <w:pPr>
              <w:widowControl/>
              <w:autoSpaceDE/>
              <w:autoSpaceDN/>
              <w:adjustRightInd/>
              <w:rPr>
                <w:color w:val="000000"/>
                <w:sz w:val="22"/>
                <w:szCs w:val="22"/>
              </w:rPr>
            </w:pPr>
            <w:r w:rsidRPr="00A30AB9">
              <w:rPr>
                <w:color w:val="000000"/>
                <w:sz w:val="22"/>
                <w:szCs w:val="22"/>
              </w:rPr>
              <w:t>Employee</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0D974A22" w14:textId="3B0F6D3B">
            <w:pPr>
              <w:widowControl/>
              <w:autoSpaceDE/>
              <w:autoSpaceDN/>
              <w:adjustRightInd/>
              <w:jc w:val="right"/>
              <w:rPr>
                <w:color w:val="000000"/>
                <w:sz w:val="22"/>
                <w:szCs w:val="22"/>
              </w:rPr>
            </w:pPr>
            <w:r>
              <w:rPr>
                <w:color w:val="000000"/>
                <w:sz w:val="22"/>
                <w:szCs w:val="22"/>
              </w:rPr>
              <w:t>81,54</w:t>
            </w:r>
            <w:r w:rsidR="007720D5">
              <w:rPr>
                <w:color w:val="000000"/>
                <w:sz w:val="22"/>
                <w:szCs w:val="22"/>
              </w:rPr>
              <w:t>1</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0003C00A"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2AEAF043" w14:textId="59DE360A">
            <w:pPr>
              <w:widowControl/>
              <w:autoSpaceDE/>
              <w:autoSpaceDN/>
              <w:adjustRightInd/>
              <w:jc w:val="right"/>
              <w:rPr>
                <w:color w:val="000000"/>
                <w:sz w:val="22"/>
                <w:szCs w:val="22"/>
              </w:rPr>
            </w:pPr>
            <w:r>
              <w:rPr>
                <w:color w:val="000000"/>
                <w:sz w:val="22"/>
                <w:szCs w:val="22"/>
              </w:rPr>
              <w:t>81,541</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12100FC3" w14:textId="77777777">
            <w:pPr>
              <w:widowControl/>
              <w:autoSpaceDE/>
              <w:autoSpaceDN/>
              <w:adjustRightInd/>
              <w:jc w:val="right"/>
              <w:rPr>
                <w:color w:val="000000"/>
                <w:sz w:val="22"/>
                <w:szCs w:val="22"/>
              </w:rPr>
            </w:pPr>
            <w:r w:rsidRPr="00A30AB9">
              <w:rPr>
                <w:color w:val="000000"/>
                <w:sz w:val="22"/>
                <w:szCs w:val="22"/>
              </w:rPr>
              <w:t>10/60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0D396FD7" w14:textId="3CCC1405">
            <w:pPr>
              <w:widowControl/>
              <w:autoSpaceDE/>
              <w:autoSpaceDN/>
              <w:adjustRightInd/>
              <w:jc w:val="right"/>
              <w:rPr>
                <w:color w:val="000000"/>
                <w:sz w:val="22"/>
                <w:szCs w:val="22"/>
              </w:rPr>
            </w:pPr>
            <w:r>
              <w:rPr>
                <w:color w:val="000000"/>
                <w:sz w:val="22"/>
                <w:szCs w:val="22"/>
              </w:rPr>
              <w:t>13,590</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6F844B94" w14:textId="4EBA30C8">
            <w:pPr>
              <w:widowControl/>
              <w:autoSpaceDE/>
              <w:autoSpaceDN/>
              <w:adjustRightInd/>
              <w:jc w:val="right"/>
              <w:rPr>
                <w:color w:val="000000"/>
                <w:sz w:val="22"/>
                <w:szCs w:val="22"/>
              </w:rPr>
            </w:pPr>
            <w:r w:rsidRPr="00A30AB9">
              <w:rPr>
                <w:color w:val="000000"/>
                <w:sz w:val="22"/>
                <w:szCs w:val="22"/>
              </w:rPr>
              <w:t>$</w:t>
            </w:r>
            <w:r w:rsidR="002B53D1">
              <w:rPr>
                <w:color w:val="000000"/>
                <w:sz w:val="22"/>
                <w:szCs w:val="22"/>
              </w:rPr>
              <w:t xml:space="preserve">33.24 </w:t>
            </w:r>
            <w:r w:rsidR="000D70A5">
              <w:rPr>
                <w:color w:val="000000"/>
                <w:sz w:val="22"/>
                <w:szCs w:val="22"/>
              </w:rPr>
              <w:t>=</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4154655D" w14:textId="46C0C838">
            <w:pPr>
              <w:widowControl/>
              <w:autoSpaceDE/>
              <w:autoSpaceDN/>
              <w:adjustRightInd/>
              <w:jc w:val="right"/>
              <w:rPr>
                <w:color w:val="000000"/>
                <w:sz w:val="22"/>
                <w:szCs w:val="22"/>
              </w:rPr>
            </w:pPr>
            <w:r>
              <w:rPr>
                <w:color w:val="000000"/>
                <w:sz w:val="22"/>
                <w:szCs w:val="22"/>
              </w:rPr>
              <w:t>$</w:t>
            </w:r>
            <w:r w:rsidR="0066333B">
              <w:rPr>
                <w:color w:val="000000"/>
                <w:sz w:val="22"/>
                <w:szCs w:val="22"/>
              </w:rPr>
              <w:t>451,739</w:t>
            </w:r>
          </w:p>
        </w:tc>
      </w:tr>
      <w:tr w14:paraId="04260A00"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61AFA7A0" w14:textId="77777777">
            <w:pPr>
              <w:widowControl/>
              <w:autoSpaceDE/>
              <w:autoSpaceDN/>
              <w:adjustRightInd/>
              <w:rPr>
                <w:color w:val="000000"/>
                <w:sz w:val="22"/>
                <w:szCs w:val="22"/>
              </w:rPr>
            </w:pPr>
            <w:r w:rsidRPr="00A30AB9">
              <w:rPr>
                <w:color w:val="000000"/>
                <w:sz w:val="22"/>
                <w:szCs w:val="22"/>
              </w:rPr>
              <w:t>Information provided to the physician (§1926.1101(m)(3))</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2ABE84CF" w14:textId="77777777">
            <w:pPr>
              <w:widowControl/>
              <w:autoSpaceDE/>
              <w:autoSpaceDN/>
              <w:adjustRightInd/>
              <w:rPr>
                <w:color w:val="000000"/>
                <w:sz w:val="22"/>
                <w:szCs w:val="22"/>
              </w:rPr>
            </w:pPr>
            <w:r w:rsidRPr="00A30AB9">
              <w:rPr>
                <w:color w:val="000000"/>
                <w:sz w:val="22"/>
                <w:szCs w:val="22"/>
              </w:rPr>
              <w:t>Clerical</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69F9D150" w14:textId="2DC87839">
            <w:pPr>
              <w:widowControl/>
              <w:autoSpaceDE/>
              <w:autoSpaceDN/>
              <w:adjustRightInd/>
              <w:jc w:val="right"/>
              <w:rPr>
                <w:color w:val="000000"/>
                <w:sz w:val="22"/>
                <w:szCs w:val="22"/>
              </w:rPr>
            </w:pPr>
            <w:r>
              <w:rPr>
                <w:color w:val="000000"/>
                <w:sz w:val="22"/>
                <w:szCs w:val="22"/>
              </w:rPr>
              <w:t>124,432</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2FDFDB48"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39EC1E3E" w14:textId="7EB8E7F0">
            <w:pPr>
              <w:widowControl/>
              <w:autoSpaceDE/>
              <w:autoSpaceDN/>
              <w:adjustRightInd/>
              <w:jc w:val="right"/>
              <w:rPr>
                <w:color w:val="000000"/>
                <w:sz w:val="22"/>
                <w:szCs w:val="22"/>
              </w:rPr>
            </w:pPr>
            <w:r>
              <w:rPr>
                <w:color w:val="000000"/>
                <w:sz w:val="22"/>
                <w:szCs w:val="22"/>
              </w:rPr>
              <w:t>124,432</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3250F622"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66FF465F" w14:textId="16A6DC19">
            <w:pPr>
              <w:widowControl/>
              <w:autoSpaceDE/>
              <w:autoSpaceDN/>
              <w:adjustRightInd/>
              <w:jc w:val="right"/>
              <w:rPr>
                <w:color w:val="000000"/>
                <w:sz w:val="22"/>
                <w:szCs w:val="22"/>
              </w:rPr>
            </w:pPr>
            <w:r>
              <w:rPr>
                <w:color w:val="000000"/>
                <w:sz w:val="22"/>
                <w:szCs w:val="22"/>
              </w:rPr>
              <w:t xml:space="preserve">10,369 </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6A3BAA69" w14:textId="09D92017">
            <w:pPr>
              <w:widowControl/>
              <w:autoSpaceDE/>
              <w:autoSpaceDN/>
              <w:adjustRightInd/>
              <w:jc w:val="right"/>
              <w:rPr>
                <w:color w:val="000000"/>
                <w:sz w:val="22"/>
                <w:szCs w:val="22"/>
              </w:rPr>
            </w:pPr>
            <w:r w:rsidRPr="00A30AB9">
              <w:rPr>
                <w:color w:val="000000"/>
                <w:sz w:val="22"/>
                <w:szCs w:val="22"/>
              </w:rPr>
              <w:t>$</w:t>
            </w:r>
            <w:r w:rsidR="00C60B7D">
              <w:rPr>
                <w:color w:val="000000"/>
                <w:sz w:val="22"/>
                <w:szCs w:val="22"/>
              </w:rPr>
              <w:t>31.74</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0E0580AC" w14:textId="3C2F7EBC">
            <w:pPr>
              <w:widowControl/>
              <w:autoSpaceDE/>
              <w:autoSpaceDN/>
              <w:adjustRightInd/>
              <w:jc w:val="right"/>
              <w:rPr>
                <w:color w:val="000000"/>
                <w:sz w:val="22"/>
                <w:szCs w:val="22"/>
              </w:rPr>
            </w:pPr>
            <w:r w:rsidRPr="00A30AB9">
              <w:rPr>
                <w:color w:val="000000"/>
                <w:sz w:val="22"/>
                <w:szCs w:val="22"/>
              </w:rPr>
              <w:t>$</w:t>
            </w:r>
            <w:r w:rsidR="00C60B7D">
              <w:rPr>
                <w:color w:val="000000"/>
                <w:sz w:val="22"/>
                <w:szCs w:val="22"/>
              </w:rPr>
              <w:t>329,123</w:t>
            </w:r>
          </w:p>
        </w:tc>
      </w:tr>
      <w:tr w14:paraId="28C40A41"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25A485D" w14:textId="77777777">
            <w:pPr>
              <w:widowControl/>
              <w:autoSpaceDE/>
              <w:autoSpaceDN/>
              <w:adjustRightInd/>
              <w:rPr>
                <w:color w:val="000000"/>
                <w:sz w:val="22"/>
                <w:szCs w:val="22"/>
              </w:rPr>
            </w:pPr>
            <w:r w:rsidRPr="00A30AB9">
              <w:rPr>
                <w:color w:val="000000"/>
                <w:sz w:val="22"/>
                <w:szCs w:val="22"/>
              </w:rPr>
              <w:t>Physician's written opinion (§1926.1101(m)(4))</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1C96F1A0" w14:textId="77777777">
            <w:pPr>
              <w:widowControl/>
              <w:autoSpaceDE/>
              <w:autoSpaceDN/>
              <w:adjustRightInd/>
              <w:rPr>
                <w:color w:val="000000"/>
                <w:sz w:val="22"/>
                <w:szCs w:val="22"/>
              </w:rPr>
            </w:pPr>
            <w:r w:rsidRPr="00A30AB9">
              <w:rPr>
                <w:color w:val="000000"/>
                <w:sz w:val="22"/>
                <w:szCs w:val="22"/>
              </w:rPr>
              <w:t>Clerical</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65C058CB" w14:textId="49F5E069">
            <w:pPr>
              <w:widowControl/>
              <w:autoSpaceDE/>
              <w:autoSpaceDN/>
              <w:adjustRightInd/>
              <w:jc w:val="right"/>
              <w:rPr>
                <w:color w:val="000000"/>
                <w:sz w:val="22"/>
                <w:szCs w:val="22"/>
              </w:rPr>
            </w:pPr>
            <w:r>
              <w:rPr>
                <w:color w:val="000000"/>
                <w:sz w:val="22"/>
                <w:szCs w:val="22"/>
              </w:rPr>
              <w:t>124,432</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1F1B6380"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78C4F3B9" w14:textId="78AF038B">
            <w:pPr>
              <w:widowControl/>
              <w:autoSpaceDE/>
              <w:autoSpaceDN/>
              <w:adjustRightInd/>
              <w:jc w:val="right"/>
              <w:rPr>
                <w:color w:val="000000"/>
                <w:sz w:val="22"/>
                <w:szCs w:val="22"/>
              </w:rPr>
            </w:pPr>
            <w:r>
              <w:rPr>
                <w:color w:val="000000"/>
                <w:sz w:val="22"/>
                <w:szCs w:val="22"/>
              </w:rPr>
              <w:t>124,432</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36C6F253"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094B2635" w14:textId="6D27EA46">
            <w:pPr>
              <w:widowControl/>
              <w:autoSpaceDE/>
              <w:autoSpaceDN/>
              <w:adjustRightInd/>
              <w:jc w:val="right"/>
              <w:rPr>
                <w:color w:val="000000"/>
                <w:sz w:val="22"/>
                <w:szCs w:val="22"/>
              </w:rPr>
            </w:pPr>
            <w:r>
              <w:rPr>
                <w:color w:val="000000"/>
                <w:sz w:val="22"/>
                <w:szCs w:val="22"/>
              </w:rPr>
              <w:t>10,369</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230580BE" w14:textId="051DC638">
            <w:pPr>
              <w:widowControl/>
              <w:autoSpaceDE/>
              <w:autoSpaceDN/>
              <w:adjustRightInd/>
              <w:jc w:val="right"/>
              <w:rPr>
                <w:color w:val="000000"/>
                <w:sz w:val="22"/>
                <w:szCs w:val="22"/>
              </w:rPr>
            </w:pPr>
            <w:r w:rsidRPr="00A30AB9">
              <w:rPr>
                <w:color w:val="000000"/>
                <w:sz w:val="22"/>
                <w:szCs w:val="22"/>
              </w:rPr>
              <w:t>$</w:t>
            </w:r>
            <w:r w:rsidR="000D5761">
              <w:rPr>
                <w:color w:val="000000"/>
                <w:sz w:val="22"/>
                <w:szCs w:val="22"/>
              </w:rPr>
              <w:t>31.74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2528C96C" w14:textId="4F51FDFE">
            <w:pPr>
              <w:widowControl/>
              <w:autoSpaceDE/>
              <w:autoSpaceDN/>
              <w:adjustRightInd/>
              <w:jc w:val="right"/>
              <w:rPr>
                <w:color w:val="000000"/>
                <w:sz w:val="22"/>
                <w:szCs w:val="22"/>
              </w:rPr>
            </w:pPr>
            <w:r w:rsidRPr="00A30AB9">
              <w:rPr>
                <w:color w:val="000000"/>
                <w:sz w:val="22"/>
                <w:szCs w:val="22"/>
              </w:rPr>
              <w:t>$</w:t>
            </w:r>
            <w:r w:rsidR="00C60B7D">
              <w:rPr>
                <w:color w:val="000000"/>
                <w:sz w:val="22"/>
                <w:szCs w:val="22"/>
              </w:rPr>
              <w:t>329,123</w:t>
            </w:r>
          </w:p>
        </w:tc>
      </w:tr>
      <w:tr w14:paraId="4A8B1E78"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03CA272C" w14:textId="77777777">
            <w:pPr>
              <w:widowControl/>
              <w:autoSpaceDE/>
              <w:autoSpaceDN/>
              <w:adjustRightInd/>
              <w:rPr>
                <w:b/>
                <w:bCs/>
                <w:i/>
                <w:iCs/>
                <w:color w:val="000000"/>
                <w:sz w:val="22"/>
                <w:szCs w:val="22"/>
              </w:rPr>
            </w:pPr>
            <w:r w:rsidRPr="00A30AB9">
              <w:rPr>
                <w:b/>
                <w:bCs/>
                <w:i/>
                <w:iCs/>
                <w:color w:val="000000"/>
                <w:sz w:val="22"/>
                <w:szCs w:val="22"/>
              </w:rPr>
              <w:t xml:space="preserve">Subtotal H. </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7D4D885D" w14:textId="77777777">
            <w:pPr>
              <w:widowControl/>
              <w:autoSpaceDE/>
              <w:autoSpaceDN/>
              <w:adjustRightInd/>
              <w:rPr>
                <w:b/>
                <w:bCs/>
                <w:i/>
                <w:iCs/>
                <w:color w:val="000000"/>
                <w:sz w:val="22"/>
                <w:szCs w:val="22"/>
              </w:rPr>
            </w:pPr>
            <w:r w:rsidRPr="00A30AB9">
              <w:rPr>
                <w:b/>
                <w:bCs/>
                <w:i/>
                <w:i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22755FA2" w14:textId="77777777">
            <w:pPr>
              <w:widowControl/>
              <w:autoSpaceDE/>
              <w:autoSpaceDN/>
              <w:adjustRightInd/>
              <w:rPr>
                <w:b/>
                <w:bCs/>
                <w:i/>
                <w:iCs/>
                <w:color w:val="000000"/>
                <w:sz w:val="22"/>
                <w:szCs w:val="22"/>
              </w:rPr>
            </w:pPr>
            <w:r w:rsidRPr="00A30AB9">
              <w:rPr>
                <w:b/>
                <w:bCs/>
                <w:i/>
                <w:iCs/>
                <w:color w:val="000000"/>
                <w:sz w:val="22"/>
                <w:szCs w:val="22"/>
              </w:rPr>
              <w:t> </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0BE28978" w14:textId="77777777">
            <w:pPr>
              <w:widowControl/>
              <w:autoSpaceDE/>
              <w:autoSpaceDN/>
              <w:adjustRightInd/>
              <w:rPr>
                <w:b/>
                <w:bCs/>
                <w:i/>
                <w:iCs/>
                <w:color w:val="000000"/>
                <w:sz w:val="22"/>
                <w:szCs w:val="22"/>
              </w:rPr>
            </w:pPr>
            <w:r w:rsidRPr="00A30AB9">
              <w:rPr>
                <w:b/>
                <w:bCs/>
                <w:i/>
                <w:i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0CC07C3D" w14:textId="6CCDF65D">
            <w:pPr>
              <w:widowControl/>
              <w:autoSpaceDE/>
              <w:autoSpaceDN/>
              <w:adjustRightInd/>
              <w:jc w:val="right"/>
              <w:rPr>
                <w:b/>
                <w:bCs/>
                <w:i/>
                <w:iCs/>
                <w:color w:val="000000"/>
                <w:sz w:val="22"/>
                <w:szCs w:val="22"/>
              </w:rPr>
            </w:pPr>
            <w:r>
              <w:rPr>
                <w:b/>
                <w:bCs/>
                <w:i/>
                <w:iCs/>
                <w:color w:val="000000"/>
                <w:sz w:val="22"/>
                <w:szCs w:val="22"/>
              </w:rPr>
              <w:t>497,728</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F6AFA1D" w14:textId="77777777">
            <w:pPr>
              <w:widowControl/>
              <w:autoSpaceDE/>
              <w:autoSpaceDN/>
              <w:adjustRightInd/>
              <w:rPr>
                <w:b/>
                <w:bCs/>
                <w:i/>
                <w:iCs/>
                <w:color w:val="000000"/>
                <w:sz w:val="22"/>
                <w:szCs w:val="22"/>
              </w:rPr>
            </w:pPr>
            <w:r w:rsidRPr="00A30AB9">
              <w:rPr>
                <w:b/>
                <w:bCs/>
                <w:i/>
                <w:iCs/>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560A0F17" w14:textId="05ACAFB5">
            <w:pPr>
              <w:widowControl/>
              <w:autoSpaceDE/>
              <w:autoSpaceDN/>
              <w:adjustRightInd/>
              <w:jc w:val="right"/>
              <w:rPr>
                <w:b/>
                <w:bCs/>
                <w:i/>
                <w:iCs/>
                <w:color w:val="000000"/>
                <w:sz w:val="22"/>
                <w:szCs w:val="22"/>
              </w:rPr>
            </w:pPr>
            <w:r>
              <w:rPr>
                <w:b/>
                <w:bCs/>
                <w:i/>
                <w:iCs/>
                <w:color w:val="000000"/>
                <w:sz w:val="22"/>
                <w:szCs w:val="22"/>
              </w:rPr>
              <w:t>242,422</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5AF1B60D" w14:textId="77777777">
            <w:pPr>
              <w:widowControl/>
              <w:autoSpaceDE/>
              <w:autoSpaceDN/>
              <w:adjustRightInd/>
              <w:rPr>
                <w:b/>
                <w:bCs/>
                <w:i/>
                <w:iCs/>
                <w:color w:val="000000"/>
                <w:sz w:val="22"/>
                <w:szCs w:val="22"/>
              </w:rPr>
            </w:pPr>
            <w:r w:rsidRPr="00A30AB9">
              <w:rPr>
                <w:b/>
                <w:bCs/>
                <w:i/>
                <w:iCs/>
                <w:color w:val="000000"/>
                <w:sz w:val="22"/>
                <w:szCs w:val="22"/>
              </w:rPr>
              <w:t>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05E2029E" w14:textId="64B056B7">
            <w:pPr>
              <w:widowControl/>
              <w:autoSpaceDE/>
              <w:autoSpaceDN/>
              <w:adjustRightInd/>
              <w:jc w:val="right"/>
              <w:rPr>
                <w:b/>
                <w:bCs/>
                <w:i/>
                <w:iCs/>
                <w:color w:val="000000"/>
                <w:sz w:val="22"/>
                <w:szCs w:val="22"/>
              </w:rPr>
            </w:pPr>
            <w:r>
              <w:rPr>
                <w:b/>
                <w:bCs/>
                <w:i/>
                <w:iCs/>
                <w:color w:val="000000"/>
                <w:sz w:val="22"/>
                <w:szCs w:val="22"/>
              </w:rPr>
              <w:t>$8027,012</w:t>
            </w:r>
            <w:r w:rsidR="00C451D8">
              <w:rPr>
                <w:b/>
                <w:bCs/>
                <w:i/>
                <w:iCs/>
                <w:color w:val="000000"/>
                <w:sz w:val="22"/>
                <w:szCs w:val="22"/>
              </w:rPr>
              <w:t xml:space="preserve"> </w:t>
            </w:r>
            <w:r w:rsidR="00442FEE">
              <w:rPr>
                <w:b/>
                <w:bCs/>
                <w:i/>
                <w:iCs/>
                <w:color w:val="000000"/>
                <w:sz w:val="22"/>
                <w:szCs w:val="22"/>
              </w:rPr>
              <w:t xml:space="preserve"> </w:t>
            </w:r>
          </w:p>
        </w:tc>
      </w:tr>
      <w:tr w14:paraId="2A37E181" w14:textId="77777777" w:rsidTr="00201033">
        <w:tblPrEx>
          <w:tblW w:w="14490" w:type="dxa"/>
          <w:jc w:val="center"/>
          <w:tblLayout w:type="fixed"/>
          <w:tblCellMar>
            <w:left w:w="58" w:type="dxa"/>
            <w:right w:w="58" w:type="dxa"/>
          </w:tblCellMar>
          <w:tblLook w:val="04A0"/>
        </w:tblPrEx>
        <w:trPr>
          <w:trHeight w:val="255"/>
          <w:jc w:val="center"/>
        </w:trPr>
        <w:tc>
          <w:tcPr>
            <w:tcW w:w="14490" w:type="dxa"/>
            <w:gridSpan w:val="9"/>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hideMark/>
          </w:tcPr>
          <w:p w:rsidR="00517F98" w:rsidRPr="00A30AB9" w:rsidP="00517F98" w14:paraId="561CCED7" w14:textId="77777777">
            <w:pPr>
              <w:widowControl/>
              <w:autoSpaceDE/>
              <w:autoSpaceDN/>
              <w:adjustRightInd/>
              <w:rPr>
                <w:b/>
                <w:bCs/>
                <w:color w:val="000000"/>
                <w:sz w:val="22"/>
                <w:szCs w:val="22"/>
              </w:rPr>
            </w:pPr>
            <w:r w:rsidRPr="00A30AB9">
              <w:rPr>
                <w:b/>
                <w:bCs/>
                <w:color w:val="000000"/>
                <w:sz w:val="22"/>
                <w:szCs w:val="22"/>
              </w:rPr>
              <w:t>I. Recordkeeping (§1926.1101(n))</w:t>
            </w:r>
          </w:p>
        </w:tc>
      </w:tr>
      <w:tr w14:paraId="3F55BD06"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3CD2CBB5" w14:textId="77777777">
            <w:pPr>
              <w:widowControl/>
              <w:autoSpaceDE/>
              <w:autoSpaceDN/>
              <w:adjustRightInd/>
              <w:rPr>
                <w:color w:val="000000"/>
                <w:sz w:val="22"/>
                <w:szCs w:val="22"/>
              </w:rPr>
            </w:pPr>
            <w:r w:rsidRPr="00A30AB9">
              <w:rPr>
                <w:color w:val="000000"/>
                <w:sz w:val="22"/>
                <w:szCs w:val="22"/>
              </w:rPr>
              <w:t>Objective Data</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7DDDC148" w14:textId="77777777">
            <w:pPr>
              <w:widowControl/>
              <w:autoSpaceDE/>
              <w:autoSpaceDN/>
              <w:adjustRightInd/>
              <w:rPr>
                <w:color w:val="000000"/>
                <w:sz w:val="22"/>
                <w:szCs w:val="22"/>
              </w:rPr>
            </w:pPr>
            <w:r w:rsidRPr="00A30AB9">
              <w:rPr>
                <w:color w:val="000000"/>
                <w:sz w:val="22"/>
                <w:szCs w:val="22"/>
              </w:rPr>
              <w:t>Clerical</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3F4CE1E4" w14:textId="5EE4435C">
            <w:pPr>
              <w:widowControl/>
              <w:autoSpaceDE/>
              <w:autoSpaceDN/>
              <w:adjustRightInd/>
              <w:jc w:val="right"/>
              <w:rPr>
                <w:color w:val="000000"/>
                <w:sz w:val="22"/>
                <w:szCs w:val="22"/>
              </w:rPr>
            </w:pPr>
            <w:r>
              <w:rPr>
                <w:color w:val="000000"/>
                <w:sz w:val="22"/>
                <w:szCs w:val="22"/>
              </w:rPr>
              <w:t>860,463</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0382AFB0"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479AADD5" w14:textId="123F32F9">
            <w:pPr>
              <w:widowControl/>
              <w:autoSpaceDE/>
              <w:autoSpaceDN/>
              <w:adjustRightInd/>
              <w:jc w:val="right"/>
              <w:rPr>
                <w:color w:val="000000"/>
                <w:sz w:val="22"/>
                <w:szCs w:val="22"/>
              </w:rPr>
            </w:pPr>
            <w:r>
              <w:rPr>
                <w:color w:val="000000"/>
                <w:sz w:val="22"/>
                <w:szCs w:val="22"/>
              </w:rPr>
              <w:t>860</w:t>
            </w:r>
            <w:r w:rsidR="00453C05">
              <w:rPr>
                <w:color w:val="000000"/>
                <w:sz w:val="22"/>
                <w:szCs w:val="22"/>
              </w:rPr>
              <w:t>,</w:t>
            </w:r>
            <w:r>
              <w:rPr>
                <w:color w:val="000000"/>
                <w:sz w:val="22"/>
                <w:szCs w:val="22"/>
              </w:rPr>
              <w:t>463</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17F98" w:rsidRPr="00A30AB9" w:rsidP="00517F98" w14:paraId="140B9561"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1B6E6B47" w14:textId="1D932AF0">
            <w:pPr>
              <w:widowControl/>
              <w:autoSpaceDE/>
              <w:autoSpaceDN/>
              <w:adjustRightInd/>
              <w:jc w:val="right"/>
              <w:rPr>
                <w:color w:val="000000"/>
                <w:sz w:val="22"/>
                <w:szCs w:val="22"/>
              </w:rPr>
            </w:pPr>
            <w:r>
              <w:rPr>
                <w:color w:val="000000"/>
                <w:sz w:val="22"/>
                <w:szCs w:val="22"/>
              </w:rPr>
              <w:t xml:space="preserve">71,705 </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76164FBE" w14:textId="78CCB035">
            <w:pPr>
              <w:widowControl/>
              <w:autoSpaceDE/>
              <w:autoSpaceDN/>
              <w:adjustRightInd/>
              <w:jc w:val="right"/>
              <w:rPr>
                <w:color w:val="000000"/>
                <w:sz w:val="22"/>
                <w:szCs w:val="22"/>
              </w:rPr>
            </w:pPr>
            <w:r w:rsidRPr="00A30AB9">
              <w:rPr>
                <w:color w:val="000000"/>
                <w:sz w:val="22"/>
                <w:szCs w:val="22"/>
              </w:rPr>
              <w:t>$</w:t>
            </w:r>
            <w:r w:rsidR="001F74BF">
              <w:rPr>
                <w:color w:val="000000"/>
                <w:sz w:val="22"/>
                <w:szCs w:val="22"/>
              </w:rPr>
              <w:t>31.74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50FE1AC4" w14:textId="5026C54A">
            <w:pPr>
              <w:widowControl/>
              <w:autoSpaceDE/>
              <w:autoSpaceDN/>
              <w:adjustRightInd/>
              <w:jc w:val="right"/>
              <w:rPr>
                <w:color w:val="000000"/>
                <w:sz w:val="22"/>
                <w:szCs w:val="22"/>
              </w:rPr>
            </w:pPr>
            <w:r w:rsidRPr="00A30AB9">
              <w:rPr>
                <w:color w:val="000000"/>
                <w:sz w:val="22"/>
                <w:szCs w:val="22"/>
              </w:rPr>
              <w:t>$</w:t>
            </w:r>
            <w:r w:rsidR="007A79B8">
              <w:rPr>
                <w:color w:val="000000"/>
                <w:sz w:val="22"/>
                <w:szCs w:val="22"/>
              </w:rPr>
              <w:t>2,275,925</w:t>
            </w:r>
            <w:r w:rsidR="007009D2">
              <w:rPr>
                <w:color w:val="000000"/>
                <w:sz w:val="22"/>
                <w:szCs w:val="22"/>
              </w:rPr>
              <w:t xml:space="preserve"> </w:t>
            </w:r>
          </w:p>
        </w:tc>
      </w:tr>
      <w:tr w14:paraId="3D9BD758"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574177A1" w14:textId="77777777">
            <w:pPr>
              <w:widowControl/>
              <w:autoSpaceDE/>
              <w:autoSpaceDN/>
              <w:adjustRightInd/>
              <w:rPr>
                <w:color w:val="000000"/>
                <w:sz w:val="22"/>
                <w:szCs w:val="22"/>
              </w:rPr>
            </w:pPr>
            <w:r w:rsidRPr="00A30AB9">
              <w:rPr>
                <w:color w:val="000000"/>
                <w:sz w:val="22"/>
                <w:szCs w:val="22"/>
              </w:rPr>
              <w:t>Exposure Monitoring</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05973D46" w14:textId="77777777">
            <w:pPr>
              <w:widowControl/>
              <w:autoSpaceDE/>
              <w:autoSpaceDN/>
              <w:adjustRightInd/>
              <w:rPr>
                <w:color w:val="000000"/>
                <w:sz w:val="22"/>
                <w:szCs w:val="22"/>
              </w:rPr>
            </w:pPr>
            <w:r w:rsidRPr="00A30AB9">
              <w:rPr>
                <w:color w:val="000000"/>
                <w:sz w:val="22"/>
                <w:szCs w:val="22"/>
              </w:rPr>
              <w:t>Clerical</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16165B7B" w14:textId="72005128">
            <w:pPr>
              <w:widowControl/>
              <w:autoSpaceDE/>
              <w:autoSpaceDN/>
              <w:adjustRightInd/>
              <w:jc w:val="right"/>
              <w:rPr>
                <w:color w:val="000000"/>
                <w:sz w:val="22"/>
                <w:szCs w:val="22"/>
              </w:rPr>
            </w:pPr>
            <w:r>
              <w:rPr>
                <w:color w:val="000000"/>
                <w:sz w:val="22"/>
                <w:szCs w:val="22"/>
              </w:rPr>
              <w:t>215,161</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72C0483C" w14:textId="77777777">
            <w:pPr>
              <w:widowControl/>
              <w:autoSpaceDE/>
              <w:autoSpaceDN/>
              <w:adjustRightInd/>
              <w:jc w:val="right"/>
              <w:rPr>
                <w:color w:val="000000"/>
                <w:sz w:val="22"/>
                <w:szCs w:val="22"/>
              </w:rPr>
            </w:pPr>
            <w:r w:rsidRPr="00A30AB9">
              <w:rPr>
                <w:color w:val="000000"/>
                <w:sz w:val="22"/>
                <w:szCs w:val="22"/>
              </w:rPr>
              <w:t>3</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55A01BBC" w14:textId="11365110">
            <w:pPr>
              <w:widowControl/>
              <w:autoSpaceDE/>
              <w:autoSpaceDN/>
              <w:adjustRightInd/>
              <w:jc w:val="right"/>
              <w:rPr>
                <w:color w:val="000000"/>
                <w:sz w:val="22"/>
                <w:szCs w:val="22"/>
              </w:rPr>
            </w:pPr>
            <w:r>
              <w:rPr>
                <w:color w:val="000000"/>
                <w:sz w:val="22"/>
                <w:szCs w:val="22"/>
              </w:rPr>
              <w:t>645</w:t>
            </w:r>
            <w:r w:rsidR="00985367">
              <w:rPr>
                <w:color w:val="000000"/>
                <w:sz w:val="22"/>
                <w:szCs w:val="22"/>
              </w:rPr>
              <w:t>,482</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7A54D189"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22F77799" w14:textId="6BD08B15">
            <w:pPr>
              <w:widowControl/>
              <w:autoSpaceDE/>
              <w:autoSpaceDN/>
              <w:adjustRightInd/>
              <w:jc w:val="right"/>
              <w:rPr>
                <w:color w:val="000000"/>
                <w:sz w:val="22"/>
                <w:szCs w:val="22"/>
              </w:rPr>
            </w:pPr>
            <w:r>
              <w:rPr>
                <w:color w:val="000000"/>
                <w:sz w:val="22"/>
                <w:szCs w:val="22"/>
              </w:rPr>
              <w:t>53,</w:t>
            </w:r>
            <w:r w:rsidR="00891089">
              <w:rPr>
                <w:color w:val="000000"/>
                <w:sz w:val="22"/>
                <w:szCs w:val="22"/>
              </w:rPr>
              <w:t>790</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0AB3E1C2" w14:textId="7A6B9187">
            <w:pPr>
              <w:widowControl/>
              <w:autoSpaceDE/>
              <w:autoSpaceDN/>
              <w:adjustRightInd/>
              <w:jc w:val="right"/>
              <w:rPr>
                <w:color w:val="000000"/>
                <w:sz w:val="22"/>
                <w:szCs w:val="22"/>
              </w:rPr>
            </w:pPr>
            <w:r w:rsidRPr="00A30AB9">
              <w:rPr>
                <w:color w:val="000000"/>
                <w:sz w:val="22"/>
                <w:szCs w:val="22"/>
              </w:rPr>
              <w:t>$</w:t>
            </w:r>
            <w:r w:rsidR="007A79B8">
              <w:rPr>
                <w:color w:val="000000"/>
                <w:sz w:val="22"/>
                <w:szCs w:val="22"/>
              </w:rPr>
              <w:t>31.74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31E8734B" w14:textId="1D134323">
            <w:pPr>
              <w:widowControl/>
              <w:autoSpaceDE/>
              <w:autoSpaceDN/>
              <w:adjustRightInd/>
              <w:jc w:val="right"/>
              <w:rPr>
                <w:color w:val="000000"/>
                <w:sz w:val="22"/>
                <w:szCs w:val="22"/>
              </w:rPr>
            </w:pPr>
            <w:r w:rsidRPr="00A30AB9">
              <w:rPr>
                <w:color w:val="000000"/>
                <w:sz w:val="22"/>
                <w:szCs w:val="22"/>
              </w:rPr>
              <w:t>$</w:t>
            </w:r>
            <w:r w:rsidR="001428AE">
              <w:rPr>
                <w:color w:val="000000"/>
                <w:sz w:val="22"/>
                <w:szCs w:val="22"/>
              </w:rPr>
              <w:t>1,707,303</w:t>
            </w:r>
          </w:p>
        </w:tc>
      </w:tr>
      <w:tr w14:paraId="55F5B38D"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1EA10F4E" w14:textId="77777777">
            <w:pPr>
              <w:widowControl/>
              <w:autoSpaceDE/>
              <w:autoSpaceDN/>
              <w:adjustRightInd/>
              <w:rPr>
                <w:color w:val="000000"/>
                <w:sz w:val="22"/>
                <w:szCs w:val="22"/>
              </w:rPr>
            </w:pPr>
            <w:r w:rsidRPr="00A30AB9">
              <w:rPr>
                <w:color w:val="000000"/>
                <w:sz w:val="22"/>
                <w:szCs w:val="22"/>
              </w:rPr>
              <w:t>Medical Records</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23D4EFFD" w14:textId="77777777">
            <w:pPr>
              <w:widowControl/>
              <w:autoSpaceDE/>
              <w:autoSpaceDN/>
              <w:adjustRightInd/>
              <w:rPr>
                <w:color w:val="000000"/>
                <w:sz w:val="22"/>
                <w:szCs w:val="22"/>
              </w:rPr>
            </w:pPr>
            <w:r w:rsidRPr="00A30AB9">
              <w:rPr>
                <w:color w:val="000000"/>
                <w:sz w:val="22"/>
                <w:szCs w:val="22"/>
              </w:rPr>
              <w:t>Clerical</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3B078FC8" w14:textId="6889FA99">
            <w:pPr>
              <w:widowControl/>
              <w:autoSpaceDE/>
              <w:autoSpaceDN/>
              <w:adjustRightInd/>
              <w:jc w:val="right"/>
              <w:rPr>
                <w:color w:val="000000"/>
                <w:sz w:val="22"/>
                <w:szCs w:val="22"/>
              </w:rPr>
            </w:pPr>
            <w:r>
              <w:rPr>
                <w:color w:val="000000"/>
                <w:sz w:val="22"/>
                <w:szCs w:val="22"/>
              </w:rPr>
              <w:t>124,</w:t>
            </w:r>
            <w:r w:rsidR="0006125C">
              <w:rPr>
                <w:color w:val="000000"/>
                <w:sz w:val="22"/>
                <w:szCs w:val="22"/>
              </w:rPr>
              <w:t>432</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2C23C173"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72C131CA" w14:textId="105FA317">
            <w:pPr>
              <w:widowControl/>
              <w:autoSpaceDE/>
              <w:autoSpaceDN/>
              <w:adjustRightInd/>
              <w:jc w:val="right"/>
              <w:rPr>
                <w:color w:val="000000"/>
                <w:sz w:val="22"/>
                <w:szCs w:val="22"/>
              </w:rPr>
            </w:pPr>
            <w:r>
              <w:rPr>
                <w:color w:val="000000"/>
                <w:sz w:val="22"/>
                <w:szCs w:val="22"/>
              </w:rPr>
              <w:t xml:space="preserve">124,432 </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78A00A7D"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2EBF6435" w14:textId="40006539">
            <w:pPr>
              <w:widowControl/>
              <w:autoSpaceDE/>
              <w:autoSpaceDN/>
              <w:adjustRightInd/>
              <w:jc w:val="right"/>
              <w:rPr>
                <w:color w:val="000000"/>
                <w:sz w:val="22"/>
                <w:szCs w:val="22"/>
              </w:rPr>
            </w:pPr>
            <w:r>
              <w:rPr>
                <w:color w:val="000000"/>
                <w:sz w:val="22"/>
                <w:szCs w:val="22"/>
              </w:rPr>
              <w:t>10,369</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7F741666" w14:textId="070346DF">
            <w:pPr>
              <w:widowControl/>
              <w:autoSpaceDE/>
              <w:autoSpaceDN/>
              <w:adjustRightInd/>
              <w:jc w:val="right"/>
              <w:rPr>
                <w:color w:val="000000"/>
                <w:sz w:val="22"/>
                <w:szCs w:val="22"/>
              </w:rPr>
            </w:pPr>
            <w:r w:rsidRPr="00A30AB9">
              <w:rPr>
                <w:color w:val="000000"/>
                <w:sz w:val="22"/>
                <w:szCs w:val="22"/>
              </w:rPr>
              <w:t>$</w:t>
            </w:r>
            <w:r w:rsidR="00871E8B">
              <w:rPr>
                <w:color w:val="000000"/>
                <w:sz w:val="22"/>
                <w:szCs w:val="22"/>
              </w:rPr>
              <w:t>31.</w:t>
            </w:r>
            <w:r w:rsidR="00951B62">
              <w:rPr>
                <w:color w:val="000000"/>
                <w:sz w:val="22"/>
                <w:szCs w:val="22"/>
              </w:rPr>
              <w:t>74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238C3C65" w14:textId="7A7A5EBC">
            <w:pPr>
              <w:widowControl/>
              <w:autoSpaceDE/>
              <w:autoSpaceDN/>
              <w:adjustRightInd/>
              <w:jc w:val="right"/>
              <w:rPr>
                <w:color w:val="000000"/>
                <w:sz w:val="22"/>
                <w:szCs w:val="22"/>
              </w:rPr>
            </w:pPr>
            <w:r w:rsidRPr="00A30AB9">
              <w:rPr>
                <w:color w:val="000000"/>
                <w:sz w:val="22"/>
                <w:szCs w:val="22"/>
              </w:rPr>
              <w:t>$</w:t>
            </w:r>
            <w:r w:rsidR="00951B62">
              <w:rPr>
                <w:color w:val="000000"/>
                <w:sz w:val="22"/>
                <w:szCs w:val="22"/>
              </w:rPr>
              <w:t>329,123</w:t>
            </w:r>
            <w:r w:rsidR="002C5AEF">
              <w:rPr>
                <w:color w:val="000000"/>
                <w:sz w:val="22"/>
                <w:szCs w:val="22"/>
              </w:rPr>
              <w:t xml:space="preserve"> </w:t>
            </w:r>
          </w:p>
        </w:tc>
      </w:tr>
      <w:tr w14:paraId="546248E6"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DF5FF4A" w14:textId="77777777">
            <w:pPr>
              <w:widowControl/>
              <w:autoSpaceDE/>
              <w:autoSpaceDN/>
              <w:adjustRightInd/>
              <w:rPr>
                <w:color w:val="000000"/>
                <w:sz w:val="22"/>
                <w:szCs w:val="22"/>
              </w:rPr>
            </w:pPr>
            <w:r w:rsidRPr="00A30AB9">
              <w:rPr>
                <w:color w:val="000000"/>
                <w:sz w:val="22"/>
                <w:szCs w:val="22"/>
              </w:rPr>
              <w:t>Training Records</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714F9644" w14:textId="77777777">
            <w:pPr>
              <w:widowControl/>
              <w:autoSpaceDE/>
              <w:autoSpaceDN/>
              <w:adjustRightInd/>
              <w:rPr>
                <w:color w:val="000000"/>
                <w:sz w:val="22"/>
                <w:szCs w:val="22"/>
              </w:rPr>
            </w:pPr>
            <w:r w:rsidRPr="00A30AB9">
              <w:rPr>
                <w:color w:val="000000"/>
                <w:sz w:val="22"/>
                <w:szCs w:val="22"/>
              </w:rPr>
              <w:t>Clerical</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1544AD7C" w14:textId="7886A08D">
            <w:pPr>
              <w:widowControl/>
              <w:autoSpaceDE/>
              <w:autoSpaceDN/>
              <w:adjustRightInd/>
              <w:jc w:val="right"/>
              <w:rPr>
                <w:color w:val="000000"/>
                <w:sz w:val="22"/>
                <w:szCs w:val="22"/>
              </w:rPr>
            </w:pPr>
            <w:r>
              <w:rPr>
                <w:color w:val="000000"/>
                <w:sz w:val="22"/>
                <w:szCs w:val="22"/>
              </w:rPr>
              <w:t>650,491</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06C02E6A" w14:textId="77777777">
            <w:pPr>
              <w:widowControl/>
              <w:autoSpaceDE/>
              <w:autoSpaceDN/>
              <w:adjustRightInd/>
              <w:jc w:val="right"/>
              <w:rPr>
                <w:color w:val="000000"/>
                <w:sz w:val="22"/>
                <w:szCs w:val="22"/>
              </w:rPr>
            </w:pPr>
            <w:r w:rsidRPr="00A30AB9">
              <w:rPr>
                <w:color w:val="000000"/>
                <w:sz w:val="22"/>
                <w:szCs w:val="22"/>
              </w:rPr>
              <w:t>0.05</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15C14D1C" w14:textId="155F883B">
            <w:pPr>
              <w:widowControl/>
              <w:autoSpaceDE/>
              <w:autoSpaceDN/>
              <w:adjustRightInd/>
              <w:jc w:val="right"/>
              <w:rPr>
                <w:color w:val="000000"/>
                <w:sz w:val="22"/>
                <w:szCs w:val="22"/>
              </w:rPr>
            </w:pPr>
            <w:r>
              <w:rPr>
                <w:color w:val="000000"/>
                <w:sz w:val="22"/>
                <w:szCs w:val="22"/>
              </w:rPr>
              <w:t>32,525</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33B7F248"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32D67618" w14:textId="359BB257">
            <w:pPr>
              <w:widowControl/>
              <w:autoSpaceDE/>
              <w:autoSpaceDN/>
              <w:adjustRightInd/>
              <w:jc w:val="right"/>
              <w:rPr>
                <w:color w:val="000000"/>
                <w:sz w:val="22"/>
                <w:szCs w:val="22"/>
              </w:rPr>
            </w:pPr>
            <w:r>
              <w:rPr>
                <w:color w:val="000000"/>
                <w:sz w:val="22"/>
                <w:szCs w:val="22"/>
              </w:rPr>
              <w:t>2,</w:t>
            </w:r>
            <w:r w:rsidR="00B701F9">
              <w:rPr>
                <w:color w:val="000000"/>
                <w:sz w:val="22"/>
                <w:szCs w:val="22"/>
              </w:rPr>
              <w:t>710</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687D4A90" w14:textId="31157924">
            <w:pPr>
              <w:widowControl/>
              <w:autoSpaceDE/>
              <w:autoSpaceDN/>
              <w:adjustRightInd/>
              <w:jc w:val="right"/>
              <w:rPr>
                <w:color w:val="000000"/>
                <w:sz w:val="22"/>
                <w:szCs w:val="22"/>
              </w:rPr>
            </w:pPr>
            <w:r w:rsidRPr="00A30AB9">
              <w:rPr>
                <w:color w:val="000000"/>
                <w:sz w:val="22"/>
                <w:szCs w:val="22"/>
              </w:rPr>
              <w:t>$</w:t>
            </w:r>
            <w:r w:rsidR="00871E8B">
              <w:rPr>
                <w:color w:val="000000"/>
                <w:sz w:val="22"/>
                <w:szCs w:val="22"/>
              </w:rPr>
              <w:t>31.</w:t>
            </w:r>
            <w:r w:rsidR="00E26AE0">
              <w:rPr>
                <w:color w:val="000000"/>
                <w:sz w:val="22"/>
                <w:szCs w:val="22"/>
              </w:rPr>
              <w:t>74</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29A259F8" w14:textId="1FD52323">
            <w:pPr>
              <w:widowControl/>
              <w:autoSpaceDE/>
              <w:autoSpaceDN/>
              <w:adjustRightInd/>
              <w:jc w:val="right"/>
              <w:rPr>
                <w:color w:val="000000"/>
                <w:sz w:val="22"/>
                <w:szCs w:val="22"/>
              </w:rPr>
            </w:pPr>
            <w:r w:rsidRPr="00A30AB9">
              <w:rPr>
                <w:color w:val="000000"/>
                <w:sz w:val="22"/>
                <w:szCs w:val="22"/>
              </w:rPr>
              <w:t>$</w:t>
            </w:r>
            <w:r w:rsidR="00E26AE0">
              <w:rPr>
                <w:color w:val="000000"/>
                <w:sz w:val="22"/>
                <w:szCs w:val="22"/>
              </w:rPr>
              <w:t>86,029</w:t>
            </w:r>
            <w:r w:rsidR="00224F12">
              <w:rPr>
                <w:color w:val="000000"/>
                <w:sz w:val="22"/>
                <w:szCs w:val="22"/>
              </w:rPr>
              <w:t xml:space="preserve"> </w:t>
            </w:r>
          </w:p>
        </w:tc>
      </w:tr>
      <w:tr w14:paraId="35603A8D"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5993762C" w14:textId="77777777">
            <w:pPr>
              <w:widowControl/>
              <w:autoSpaceDE/>
              <w:autoSpaceDN/>
              <w:adjustRightInd/>
              <w:rPr>
                <w:color w:val="000000"/>
                <w:sz w:val="22"/>
                <w:szCs w:val="22"/>
              </w:rPr>
            </w:pPr>
            <w:r w:rsidRPr="00A30AB9">
              <w:rPr>
                <w:color w:val="000000"/>
                <w:sz w:val="22"/>
                <w:szCs w:val="22"/>
              </w:rPr>
              <w:t>Records of notifications by building owners</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09294EEE" w14:textId="77777777">
            <w:pPr>
              <w:widowControl/>
              <w:autoSpaceDE/>
              <w:autoSpaceDN/>
              <w:adjustRightInd/>
              <w:rPr>
                <w:color w:val="000000"/>
                <w:sz w:val="22"/>
                <w:szCs w:val="22"/>
              </w:rPr>
            </w:pPr>
            <w:r w:rsidRPr="00A30AB9">
              <w:rPr>
                <w:color w:val="000000"/>
                <w:sz w:val="22"/>
                <w:szCs w:val="22"/>
              </w:rPr>
              <w:t>Clerical</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10C5A4E1" w14:textId="364A67BD">
            <w:pPr>
              <w:widowControl/>
              <w:autoSpaceDE/>
              <w:autoSpaceDN/>
              <w:adjustRightInd/>
              <w:jc w:val="right"/>
              <w:rPr>
                <w:color w:val="000000"/>
                <w:sz w:val="22"/>
                <w:szCs w:val="22"/>
              </w:rPr>
            </w:pPr>
            <w:r>
              <w:rPr>
                <w:color w:val="000000"/>
                <w:sz w:val="22"/>
                <w:szCs w:val="22"/>
              </w:rPr>
              <w:t xml:space="preserve">6,043,039 </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095309DC"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51ADE04A" w14:textId="5F7A95ED">
            <w:pPr>
              <w:widowControl/>
              <w:autoSpaceDE/>
              <w:autoSpaceDN/>
              <w:adjustRightInd/>
              <w:jc w:val="right"/>
              <w:rPr>
                <w:color w:val="000000"/>
                <w:sz w:val="22"/>
                <w:szCs w:val="22"/>
              </w:rPr>
            </w:pPr>
            <w:r>
              <w:rPr>
                <w:color w:val="000000"/>
                <w:sz w:val="22"/>
                <w:szCs w:val="22"/>
              </w:rPr>
              <w:t xml:space="preserve"> 6,043,039</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16824689"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1ED8AC78" w14:textId="7CD67DE2">
            <w:pPr>
              <w:widowControl/>
              <w:autoSpaceDE/>
              <w:autoSpaceDN/>
              <w:adjustRightInd/>
              <w:jc w:val="right"/>
              <w:rPr>
                <w:color w:val="000000"/>
                <w:sz w:val="22"/>
                <w:szCs w:val="22"/>
              </w:rPr>
            </w:pPr>
            <w:r>
              <w:rPr>
                <w:color w:val="000000"/>
                <w:sz w:val="22"/>
                <w:szCs w:val="22"/>
              </w:rPr>
              <w:t>503,387</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795D41FF" w14:textId="4EB1AD03">
            <w:pPr>
              <w:widowControl/>
              <w:autoSpaceDE/>
              <w:autoSpaceDN/>
              <w:adjustRightInd/>
              <w:jc w:val="right"/>
              <w:rPr>
                <w:color w:val="000000"/>
                <w:sz w:val="22"/>
                <w:szCs w:val="22"/>
              </w:rPr>
            </w:pPr>
            <w:r w:rsidRPr="00A30AB9">
              <w:rPr>
                <w:color w:val="000000"/>
                <w:sz w:val="22"/>
                <w:szCs w:val="22"/>
              </w:rPr>
              <w:t>$</w:t>
            </w:r>
            <w:r w:rsidR="006905CD">
              <w:rPr>
                <w:color w:val="000000"/>
                <w:sz w:val="22"/>
                <w:szCs w:val="22"/>
              </w:rPr>
              <w:t>31.74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09B9BBA4" w14:textId="114727E1">
            <w:pPr>
              <w:widowControl/>
              <w:autoSpaceDE/>
              <w:autoSpaceDN/>
              <w:adjustRightInd/>
              <w:jc w:val="right"/>
              <w:rPr>
                <w:color w:val="000000"/>
                <w:sz w:val="22"/>
                <w:szCs w:val="22"/>
              </w:rPr>
            </w:pPr>
            <w:r w:rsidRPr="00A30AB9">
              <w:rPr>
                <w:color w:val="000000"/>
                <w:sz w:val="22"/>
                <w:szCs w:val="22"/>
              </w:rPr>
              <w:t>$</w:t>
            </w:r>
            <w:r w:rsidR="006905CD">
              <w:rPr>
                <w:color w:val="000000"/>
                <w:sz w:val="22"/>
                <w:szCs w:val="22"/>
              </w:rPr>
              <w:t>15,</w:t>
            </w:r>
            <w:r w:rsidR="00DF0EB6">
              <w:rPr>
                <w:color w:val="000000"/>
                <w:sz w:val="22"/>
                <w:szCs w:val="22"/>
              </w:rPr>
              <w:t>983,838,</w:t>
            </w:r>
            <w:r w:rsidR="00F8109C">
              <w:rPr>
                <w:color w:val="000000"/>
                <w:sz w:val="22"/>
                <w:szCs w:val="22"/>
              </w:rPr>
              <w:t xml:space="preserve"> </w:t>
            </w:r>
          </w:p>
        </w:tc>
      </w:tr>
      <w:tr w14:paraId="5EC19CF2"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7B30100" w14:textId="77777777">
            <w:pPr>
              <w:widowControl/>
              <w:autoSpaceDE/>
              <w:autoSpaceDN/>
              <w:adjustRightInd/>
              <w:rPr>
                <w:color w:val="000000"/>
                <w:sz w:val="22"/>
                <w:szCs w:val="22"/>
              </w:rPr>
            </w:pPr>
            <w:r w:rsidRPr="00A30AB9">
              <w:rPr>
                <w:color w:val="000000"/>
                <w:sz w:val="22"/>
                <w:szCs w:val="22"/>
              </w:rPr>
              <w:t>Employee access to records</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393A254E" w14:textId="77777777">
            <w:pPr>
              <w:widowControl/>
              <w:autoSpaceDE/>
              <w:autoSpaceDN/>
              <w:adjustRightInd/>
              <w:rPr>
                <w:color w:val="000000"/>
                <w:sz w:val="22"/>
                <w:szCs w:val="22"/>
              </w:rPr>
            </w:pPr>
            <w:r w:rsidRPr="00A30AB9">
              <w:rPr>
                <w:color w:val="000000"/>
                <w:sz w:val="22"/>
                <w:szCs w:val="22"/>
              </w:rPr>
              <w:t>Clerical</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06B6060B" w14:textId="360150DB">
            <w:pPr>
              <w:widowControl/>
              <w:autoSpaceDE/>
              <w:autoSpaceDN/>
              <w:adjustRightInd/>
              <w:jc w:val="right"/>
              <w:rPr>
                <w:color w:val="000000"/>
                <w:sz w:val="22"/>
                <w:szCs w:val="22"/>
              </w:rPr>
            </w:pPr>
            <w:r>
              <w:rPr>
                <w:color w:val="000000"/>
                <w:sz w:val="22"/>
                <w:szCs w:val="22"/>
              </w:rPr>
              <w:t>56,560</w:t>
            </w:r>
            <w:r w:rsidR="00181BEE">
              <w:rPr>
                <w:color w:val="000000"/>
                <w:sz w:val="22"/>
                <w:szCs w:val="22"/>
              </w:rPr>
              <w:t>4</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10128C45" w14:textId="77777777">
            <w:pPr>
              <w:widowControl/>
              <w:autoSpaceDE/>
              <w:autoSpaceDN/>
              <w:adjustRightInd/>
              <w:jc w:val="right"/>
              <w:rPr>
                <w:color w:val="000000"/>
                <w:sz w:val="22"/>
                <w:szCs w:val="22"/>
              </w:rPr>
            </w:pPr>
            <w:r w:rsidRPr="00A30AB9">
              <w:rPr>
                <w:color w:val="000000"/>
                <w:sz w:val="22"/>
                <w:szCs w:val="22"/>
              </w:rPr>
              <w:t>1</w:t>
            </w:r>
          </w:p>
        </w:tc>
        <w:tc>
          <w:tcPr>
            <w:tcW w:w="1350" w:type="dxa"/>
            <w:tcBorders>
              <w:top w:val="nil"/>
              <w:left w:val="nil"/>
              <w:bottom w:val="single" w:sz="4" w:space="0" w:color="auto"/>
              <w:right w:val="single" w:sz="4" w:space="0" w:color="auto"/>
            </w:tcBorders>
            <w:shd w:val="clear" w:color="auto" w:fill="auto"/>
            <w:hideMark/>
          </w:tcPr>
          <w:p w:rsidR="00517F98" w:rsidRPr="00A30AB9" w:rsidP="00201033" w14:paraId="329BF65A" w14:textId="6B87BB78">
            <w:pPr>
              <w:widowControl/>
              <w:autoSpaceDE/>
              <w:autoSpaceDN/>
              <w:adjustRightInd/>
              <w:rPr>
                <w:color w:val="000000"/>
                <w:sz w:val="22"/>
                <w:szCs w:val="22"/>
              </w:rPr>
            </w:pPr>
            <w:r>
              <w:rPr>
                <w:color w:val="000000"/>
                <w:sz w:val="22"/>
                <w:szCs w:val="22"/>
              </w:rPr>
              <w:t>56,560</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2446B8E2" w14:textId="77777777">
            <w:pPr>
              <w:widowControl/>
              <w:autoSpaceDE/>
              <w:autoSpaceDN/>
              <w:adjustRightInd/>
              <w:jc w:val="right"/>
              <w:rPr>
                <w:color w:val="000000"/>
                <w:sz w:val="22"/>
                <w:szCs w:val="22"/>
              </w:rPr>
            </w:pPr>
            <w:r w:rsidRPr="00A30AB9">
              <w:rPr>
                <w:color w:val="000000"/>
                <w:sz w:val="22"/>
                <w:szCs w:val="22"/>
              </w:rPr>
              <w:t>5/60</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82F75F1" w14:textId="512FE999">
            <w:pPr>
              <w:widowControl/>
              <w:autoSpaceDE/>
              <w:autoSpaceDN/>
              <w:adjustRightInd/>
              <w:jc w:val="right"/>
              <w:rPr>
                <w:color w:val="000000"/>
                <w:sz w:val="22"/>
                <w:szCs w:val="22"/>
              </w:rPr>
            </w:pPr>
            <w:r>
              <w:rPr>
                <w:color w:val="000000"/>
                <w:sz w:val="22"/>
                <w:szCs w:val="22"/>
              </w:rPr>
              <w:t>4,713</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5FCC6F19" w14:textId="71D1A9C5">
            <w:pPr>
              <w:widowControl/>
              <w:autoSpaceDE/>
              <w:autoSpaceDN/>
              <w:adjustRightInd/>
              <w:jc w:val="right"/>
              <w:rPr>
                <w:color w:val="000000"/>
                <w:sz w:val="22"/>
                <w:szCs w:val="22"/>
              </w:rPr>
            </w:pPr>
            <w:r w:rsidRPr="00A30AB9">
              <w:rPr>
                <w:color w:val="000000"/>
                <w:sz w:val="22"/>
                <w:szCs w:val="22"/>
              </w:rPr>
              <w:t>$</w:t>
            </w:r>
            <w:r>
              <w:rPr>
                <w:color w:val="000000"/>
                <w:sz w:val="22"/>
                <w:szCs w:val="22"/>
              </w:rPr>
              <w:t>31</w:t>
            </w:r>
            <w:r w:rsidR="007D628A">
              <w:rPr>
                <w:color w:val="000000"/>
                <w:sz w:val="22"/>
                <w:szCs w:val="22"/>
              </w:rPr>
              <w:t>.74</w:t>
            </w:r>
            <w:r w:rsidRPr="00A30AB9">
              <w:rPr>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40CEF609" w14:textId="031D0E99">
            <w:pPr>
              <w:widowControl/>
              <w:autoSpaceDE/>
              <w:autoSpaceDN/>
              <w:adjustRightInd/>
              <w:jc w:val="right"/>
              <w:rPr>
                <w:color w:val="000000"/>
                <w:sz w:val="22"/>
                <w:szCs w:val="22"/>
              </w:rPr>
            </w:pPr>
            <w:r w:rsidRPr="00A30AB9">
              <w:rPr>
                <w:color w:val="000000"/>
                <w:sz w:val="22"/>
                <w:szCs w:val="22"/>
              </w:rPr>
              <w:t>$</w:t>
            </w:r>
            <w:r w:rsidR="008E0F4C">
              <w:t>14</w:t>
            </w:r>
            <w:r w:rsidR="007D628A">
              <w:t xml:space="preserve">9,601 </w:t>
            </w:r>
          </w:p>
        </w:tc>
      </w:tr>
      <w:tr w14:paraId="27B88E92"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4AEDC69" w14:textId="77777777">
            <w:pPr>
              <w:widowControl/>
              <w:autoSpaceDE/>
              <w:autoSpaceDN/>
              <w:adjustRightInd/>
              <w:rPr>
                <w:b/>
                <w:bCs/>
                <w:i/>
                <w:iCs/>
                <w:color w:val="000000"/>
                <w:sz w:val="22"/>
                <w:szCs w:val="22"/>
              </w:rPr>
            </w:pPr>
            <w:r w:rsidRPr="00A30AB9">
              <w:rPr>
                <w:b/>
                <w:bCs/>
                <w:i/>
                <w:iCs/>
                <w:color w:val="000000"/>
                <w:sz w:val="22"/>
                <w:szCs w:val="22"/>
              </w:rPr>
              <w:t>Subtotal I.</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034A8296" w14:textId="77777777">
            <w:pPr>
              <w:widowControl/>
              <w:autoSpaceDE/>
              <w:autoSpaceDN/>
              <w:adjustRightInd/>
              <w:rPr>
                <w:b/>
                <w:bCs/>
                <w:i/>
                <w:iCs/>
                <w:color w:val="000000"/>
                <w:sz w:val="22"/>
                <w:szCs w:val="22"/>
              </w:rPr>
            </w:pPr>
            <w:r w:rsidRPr="00A30AB9">
              <w:rPr>
                <w:b/>
                <w:bCs/>
                <w:i/>
                <w:i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5C80712F" w14:textId="77777777">
            <w:pPr>
              <w:widowControl/>
              <w:autoSpaceDE/>
              <w:autoSpaceDN/>
              <w:adjustRightInd/>
              <w:rPr>
                <w:b/>
                <w:bCs/>
                <w:i/>
                <w:iCs/>
                <w:color w:val="000000"/>
                <w:sz w:val="22"/>
                <w:szCs w:val="22"/>
              </w:rPr>
            </w:pPr>
            <w:r w:rsidRPr="00A30AB9">
              <w:rPr>
                <w:b/>
                <w:bCs/>
                <w:i/>
                <w:iCs/>
                <w:color w:val="000000"/>
                <w:sz w:val="22"/>
                <w:szCs w:val="22"/>
              </w:rPr>
              <w:t> </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4682F6DC" w14:textId="77777777">
            <w:pPr>
              <w:widowControl/>
              <w:autoSpaceDE/>
              <w:autoSpaceDN/>
              <w:adjustRightInd/>
              <w:rPr>
                <w:b/>
                <w:bCs/>
                <w:i/>
                <w:iCs/>
                <w:color w:val="000000"/>
                <w:sz w:val="22"/>
                <w:szCs w:val="22"/>
              </w:rPr>
            </w:pPr>
            <w:r w:rsidRPr="00A30AB9">
              <w:rPr>
                <w:b/>
                <w:bCs/>
                <w:i/>
                <w:i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29453E26" w14:textId="653538D5">
            <w:pPr>
              <w:widowControl/>
              <w:autoSpaceDE/>
              <w:autoSpaceDN/>
              <w:adjustRightInd/>
              <w:jc w:val="right"/>
              <w:rPr>
                <w:b/>
                <w:bCs/>
                <w:i/>
                <w:iCs/>
                <w:color w:val="000000"/>
                <w:sz w:val="22"/>
                <w:szCs w:val="22"/>
              </w:rPr>
            </w:pPr>
            <w:r>
              <w:rPr>
                <w:b/>
                <w:bCs/>
                <w:i/>
                <w:iCs/>
                <w:color w:val="000000"/>
                <w:sz w:val="22"/>
                <w:szCs w:val="22"/>
              </w:rPr>
              <w:t>7,7</w:t>
            </w:r>
            <w:r w:rsidR="006F3889">
              <w:rPr>
                <w:b/>
                <w:bCs/>
                <w:i/>
                <w:iCs/>
                <w:color w:val="000000"/>
                <w:sz w:val="22"/>
                <w:szCs w:val="22"/>
              </w:rPr>
              <w:t>62,</w:t>
            </w:r>
            <w:r w:rsidR="001B7CCF">
              <w:rPr>
                <w:b/>
                <w:bCs/>
                <w:i/>
                <w:iCs/>
                <w:color w:val="000000"/>
                <w:sz w:val="22"/>
                <w:szCs w:val="22"/>
              </w:rPr>
              <w:t>502</w:t>
            </w:r>
          </w:p>
        </w:tc>
        <w:tc>
          <w:tcPr>
            <w:tcW w:w="126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606E04AE" w14:textId="77777777">
            <w:pPr>
              <w:widowControl/>
              <w:autoSpaceDE/>
              <w:autoSpaceDN/>
              <w:adjustRightInd/>
              <w:rPr>
                <w:b/>
                <w:bCs/>
                <w:i/>
                <w:iCs/>
                <w:color w:val="000000"/>
                <w:sz w:val="22"/>
                <w:szCs w:val="22"/>
              </w:rPr>
            </w:pPr>
            <w:r w:rsidRPr="00A30AB9">
              <w:rPr>
                <w:b/>
                <w:bCs/>
                <w:i/>
                <w:iCs/>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77B66EFC" w14:textId="0CC5C778">
            <w:pPr>
              <w:widowControl/>
              <w:autoSpaceDE/>
              <w:autoSpaceDN/>
              <w:adjustRightInd/>
              <w:jc w:val="right"/>
              <w:rPr>
                <w:b/>
                <w:bCs/>
                <w:i/>
                <w:iCs/>
                <w:color w:val="000000"/>
                <w:sz w:val="22"/>
                <w:szCs w:val="22"/>
              </w:rPr>
            </w:pPr>
            <w:r>
              <w:rPr>
                <w:b/>
                <w:bCs/>
                <w:i/>
                <w:iCs/>
                <w:color w:val="000000"/>
                <w:sz w:val="22"/>
                <w:szCs w:val="22"/>
              </w:rPr>
              <w:t>646,</w:t>
            </w:r>
            <w:r w:rsidR="00AE42BA">
              <w:rPr>
                <w:b/>
                <w:bCs/>
                <w:i/>
                <w:iCs/>
                <w:color w:val="000000"/>
                <w:sz w:val="22"/>
                <w:szCs w:val="22"/>
              </w:rPr>
              <w:t xml:space="preserve">674 </w:t>
            </w:r>
            <w:r>
              <w:rPr>
                <w:b/>
                <w:bCs/>
                <w:i/>
                <w:iCs/>
                <w:color w:val="000000"/>
                <w:sz w:val="22"/>
                <w:szCs w:val="22"/>
              </w:rPr>
              <w:t xml:space="preserve"> </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2CCCA957" w14:textId="77777777">
            <w:pPr>
              <w:widowControl/>
              <w:autoSpaceDE/>
              <w:autoSpaceDN/>
              <w:adjustRightInd/>
              <w:rPr>
                <w:b/>
                <w:bCs/>
                <w:i/>
                <w:iCs/>
                <w:color w:val="000000"/>
                <w:sz w:val="22"/>
                <w:szCs w:val="22"/>
              </w:rPr>
            </w:pPr>
            <w:r w:rsidRPr="00A30AB9">
              <w:rPr>
                <w:b/>
                <w:bCs/>
                <w:i/>
                <w:iCs/>
                <w:color w:val="000000"/>
                <w:sz w:val="22"/>
                <w:szCs w:val="22"/>
              </w:rPr>
              <w:t>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428948BF" w14:textId="480693EF">
            <w:pPr>
              <w:widowControl/>
              <w:autoSpaceDE/>
              <w:autoSpaceDN/>
              <w:adjustRightInd/>
              <w:jc w:val="right"/>
              <w:rPr>
                <w:b/>
                <w:bCs/>
                <w:i/>
                <w:iCs/>
                <w:color w:val="000000"/>
                <w:sz w:val="22"/>
                <w:szCs w:val="22"/>
              </w:rPr>
            </w:pPr>
            <w:r w:rsidRPr="00A30AB9">
              <w:rPr>
                <w:b/>
                <w:bCs/>
                <w:i/>
                <w:iCs/>
                <w:color w:val="000000"/>
                <w:sz w:val="22"/>
                <w:szCs w:val="22"/>
              </w:rPr>
              <w:t>$</w:t>
            </w:r>
            <w:r w:rsidR="00FC73D2">
              <w:rPr>
                <w:b/>
                <w:bCs/>
                <w:i/>
                <w:iCs/>
                <w:color w:val="000000"/>
                <w:sz w:val="22"/>
                <w:szCs w:val="22"/>
              </w:rPr>
              <w:t>20</w:t>
            </w:r>
            <w:r w:rsidR="000C181A">
              <w:rPr>
                <w:b/>
                <w:bCs/>
                <w:i/>
                <w:iCs/>
                <w:color w:val="000000"/>
                <w:sz w:val="22"/>
                <w:szCs w:val="22"/>
              </w:rPr>
              <w:t>,</w:t>
            </w:r>
            <w:r w:rsidR="00610629">
              <w:rPr>
                <w:b/>
                <w:bCs/>
                <w:i/>
                <w:iCs/>
                <w:color w:val="000000"/>
                <w:sz w:val="22"/>
                <w:szCs w:val="22"/>
              </w:rPr>
              <w:t>235,609</w:t>
            </w:r>
            <w:r w:rsidR="005E56B2">
              <w:rPr>
                <w:b/>
                <w:bCs/>
                <w:i/>
                <w:iCs/>
                <w:color w:val="000000"/>
                <w:sz w:val="22"/>
                <w:szCs w:val="22"/>
              </w:rPr>
              <w:t xml:space="preserve"> </w:t>
            </w:r>
          </w:p>
        </w:tc>
      </w:tr>
      <w:tr w14:paraId="7E9BF6A2" w14:textId="77777777" w:rsidTr="00201033">
        <w:tblPrEx>
          <w:tblW w:w="14490" w:type="dxa"/>
          <w:jc w:val="center"/>
          <w:tblLayout w:type="fixed"/>
          <w:tblCellMar>
            <w:left w:w="58" w:type="dxa"/>
            <w:right w:w="58" w:type="dxa"/>
          </w:tblCellMar>
          <w:tblLook w:val="04A0"/>
        </w:tblPrEx>
        <w:trPr>
          <w:trHeight w:val="255"/>
          <w:jc w:val="center"/>
        </w:trPr>
        <w:tc>
          <w:tcPr>
            <w:tcW w:w="14490" w:type="dxa"/>
            <w:gridSpan w:val="9"/>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hideMark/>
          </w:tcPr>
          <w:p w:rsidR="00517F98" w:rsidRPr="00A30AB9" w:rsidP="00517F98" w14:paraId="6E423FF1" w14:textId="4E562FA7">
            <w:pPr>
              <w:widowControl/>
              <w:autoSpaceDE/>
              <w:autoSpaceDN/>
              <w:adjustRightInd/>
              <w:rPr>
                <w:b/>
                <w:bCs/>
                <w:color w:val="000000"/>
                <w:sz w:val="22"/>
                <w:szCs w:val="22"/>
              </w:rPr>
            </w:pPr>
          </w:p>
        </w:tc>
      </w:tr>
      <w:tr w14:paraId="3884133E" w14:textId="77777777" w:rsidTr="00517907">
        <w:tblPrEx>
          <w:tblW w:w="14490" w:type="dxa"/>
          <w:jc w:val="center"/>
          <w:tblLayout w:type="fixed"/>
          <w:tblCellMar>
            <w:left w:w="58" w:type="dxa"/>
            <w:right w:w="58" w:type="dxa"/>
          </w:tblCellMar>
          <w:tblLook w:val="04A0"/>
        </w:tblPrEx>
        <w:trPr>
          <w:trHeight w:val="255"/>
          <w:jc w:val="center"/>
        </w:trPr>
        <w:tc>
          <w:tcPr>
            <w:tcW w:w="2880" w:type="dxa"/>
            <w:tcBorders>
              <w:top w:val="nil"/>
              <w:left w:val="single" w:sz="4" w:space="0" w:color="auto"/>
              <w:bottom w:val="single" w:sz="4" w:space="0" w:color="auto"/>
              <w:right w:val="single" w:sz="4" w:space="0" w:color="auto"/>
            </w:tcBorders>
            <w:shd w:val="clear" w:color="auto" w:fill="auto"/>
            <w:hideMark/>
          </w:tcPr>
          <w:p w:rsidR="00517F98" w:rsidRPr="00A30AB9" w:rsidP="00517F98" w14:paraId="4051AF3F" w14:textId="37185C69">
            <w:pPr>
              <w:widowControl/>
              <w:autoSpaceDE/>
              <w:autoSpaceDN/>
              <w:adjustRightInd/>
              <w:rPr>
                <w:b/>
                <w:bCs/>
                <w:color w:val="000000"/>
                <w:sz w:val="22"/>
                <w:szCs w:val="22"/>
              </w:rPr>
            </w:pPr>
            <w:r>
              <w:rPr>
                <w:b/>
                <w:bCs/>
                <w:color w:val="000000"/>
                <w:sz w:val="22"/>
                <w:szCs w:val="22"/>
              </w:rPr>
              <w:t xml:space="preserve">Total </w:t>
            </w:r>
          </w:p>
        </w:tc>
        <w:tc>
          <w:tcPr>
            <w:tcW w:w="1800" w:type="dxa"/>
            <w:tcBorders>
              <w:top w:val="nil"/>
              <w:left w:val="nil"/>
              <w:bottom w:val="single" w:sz="4" w:space="0" w:color="auto"/>
              <w:right w:val="single" w:sz="4" w:space="0" w:color="auto"/>
            </w:tcBorders>
            <w:shd w:val="clear" w:color="auto" w:fill="auto"/>
            <w:hideMark/>
          </w:tcPr>
          <w:p w:rsidR="00517F98" w:rsidRPr="00A30AB9" w:rsidP="00517F98" w14:paraId="18BCCA3F" w14:textId="77777777">
            <w:pPr>
              <w:widowControl/>
              <w:autoSpaceDE/>
              <w:autoSpaceDN/>
              <w:adjustRightInd/>
              <w:rPr>
                <w:b/>
                <w:bCs/>
                <w:color w:val="000000"/>
                <w:sz w:val="22"/>
                <w:szCs w:val="22"/>
              </w:rPr>
            </w:pPr>
            <w:r w:rsidRPr="00A30AB9">
              <w:rPr>
                <w:b/>
                <w:b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1DA79BDF" w14:textId="0D7235F1">
            <w:pPr>
              <w:widowControl/>
              <w:autoSpaceDE/>
              <w:autoSpaceDN/>
              <w:adjustRightInd/>
              <w:rPr>
                <w:b/>
                <w:bCs/>
                <w:color w:val="000000"/>
                <w:sz w:val="22"/>
                <w:szCs w:val="22"/>
              </w:rPr>
            </w:pPr>
            <w:r w:rsidRPr="00A30AB9">
              <w:rPr>
                <w:b/>
                <w:bCs/>
                <w:color w:val="000000"/>
                <w:sz w:val="22"/>
                <w:szCs w:val="22"/>
              </w:rPr>
              <w:t> </w:t>
            </w:r>
            <w:r w:rsidR="00A022A3">
              <w:rPr>
                <w:b/>
                <w:bCs/>
                <w:color w:val="000000"/>
                <w:sz w:val="22"/>
                <w:szCs w:val="22"/>
              </w:rPr>
              <w:t>1,075,579</w:t>
            </w:r>
            <w:r w:rsidR="00E60E86">
              <w:rPr>
                <w:b/>
                <w:bCs/>
                <w:color w:val="000000"/>
                <w:sz w:val="22"/>
                <w:szCs w:val="22"/>
              </w:rPr>
              <w:t>*</w:t>
            </w:r>
          </w:p>
        </w:tc>
        <w:tc>
          <w:tcPr>
            <w:tcW w:w="1440" w:type="dxa"/>
            <w:tcBorders>
              <w:top w:val="nil"/>
              <w:left w:val="nil"/>
              <w:bottom w:val="single" w:sz="4" w:space="0" w:color="auto"/>
              <w:right w:val="single" w:sz="4" w:space="0" w:color="auto"/>
            </w:tcBorders>
            <w:shd w:val="clear" w:color="auto" w:fill="auto"/>
            <w:hideMark/>
          </w:tcPr>
          <w:p w:rsidR="00517F98" w:rsidRPr="00A30AB9" w:rsidP="00517F98" w14:paraId="42136A57" w14:textId="77777777">
            <w:pPr>
              <w:widowControl/>
              <w:autoSpaceDE/>
              <w:autoSpaceDN/>
              <w:adjustRightInd/>
              <w:rPr>
                <w:b/>
                <w:bCs/>
                <w:color w:val="000000"/>
                <w:sz w:val="22"/>
                <w:szCs w:val="22"/>
              </w:rPr>
            </w:pPr>
            <w:r w:rsidRPr="00A30AB9">
              <w:rPr>
                <w:b/>
                <w:bCs/>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517F98" w:rsidRPr="00A30AB9" w:rsidP="00517F98" w14:paraId="7DE36B83" w14:textId="067C6CF3">
            <w:pPr>
              <w:widowControl/>
              <w:autoSpaceDE/>
              <w:autoSpaceDN/>
              <w:adjustRightInd/>
              <w:jc w:val="right"/>
              <w:rPr>
                <w:b/>
                <w:bCs/>
                <w:color w:val="000000"/>
                <w:sz w:val="22"/>
                <w:szCs w:val="22"/>
              </w:rPr>
            </w:pPr>
            <w:r>
              <w:rPr>
                <w:b/>
                <w:bCs/>
                <w:color w:val="000000"/>
                <w:sz w:val="22"/>
                <w:szCs w:val="22"/>
              </w:rPr>
              <w:t>40,412,178</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17F98" w:rsidRPr="00A30AB9" w:rsidP="00517F98" w14:paraId="18A06D9D" w14:textId="77777777">
            <w:pPr>
              <w:widowControl/>
              <w:autoSpaceDE/>
              <w:autoSpaceDN/>
              <w:adjustRightInd/>
              <w:rPr>
                <w:b/>
                <w:bCs/>
                <w:color w:val="000000"/>
                <w:sz w:val="22"/>
                <w:szCs w:val="22"/>
              </w:rPr>
            </w:pPr>
            <w:r w:rsidRPr="00A30AB9">
              <w:rPr>
                <w:b/>
                <w:bCs/>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hideMark/>
          </w:tcPr>
          <w:p w:rsidR="00517F98" w:rsidRPr="00A30AB9" w:rsidP="00201033" w14:paraId="5D99DE99" w14:textId="57C42B27">
            <w:pPr>
              <w:widowControl/>
              <w:autoSpaceDE/>
              <w:autoSpaceDN/>
              <w:adjustRightInd/>
              <w:jc w:val="center"/>
              <w:rPr>
                <w:b/>
                <w:bCs/>
                <w:color w:val="000000"/>
                <w:sz w:val="22"/>
                <w:szCs w:val="22"/>
              </w:rPr>
            </w:pPr>
            <w:r>
              <w:rPr>
                <w:b/>
                <w:bCs/>
                <w:color w:val="000000"/>
                <w:sz w:val="22"/>
                <w:szCs w:val="22"/>
              </w:rPr>
              <w:t>4,</w:t>
            </w:r>
            <w:r w:rsidR="00F83F85">
              <w:rPr>
                <w:b/>
                <w:bCs/>
                <w:color w:val="000000"/>
                <w:sz w:val="22"/>
                <w:szCs w:val="22"/>
              </w:rPr>
              <w:t>059,</w:t>
            </w:r>
            <w:r w:rsidR="00E46DAF">
              <w:rPr>
                <w:b/>
                <w:bCs/>
                <w:color w:val="000000"/>
                <w:sz w:val="22"/>
                <w:szCs w:val="22"/>
              </w:rPr>
              <w:t>934</w:t>
            </w:r>
          </w:p>
        </w:tc>
        <w:tc>
          <w:tcPr>
            <w:tcW w:w="1260" w:type="dxa"/>
            <w:tcBorders>
              <w:top w:val="nil"/>
              <w:left w:val="nil"/>
              <w:bottom w:val="single" w:sz="4" w:space="0" w:color="auto"/>
              <w:right w:val="single" w:sz="4" w:space="0" w:color="auto"/>
            </w:tcBorders>
            <w:shd w:val="clear" w:color="auto" w:fill="auto"/>
            <w:hideMark/>
          </w:tcPr>
          <w:p w:rsidR="00517F98" w:rsidRPr="00A30AB9" w:rsidP="00517F98" w14:paraId="72FD871E" w14:textId="77777777">
            <w:pPr>
              <w:widowControl/>
              <w:autoSpaceDE/>
              <w:autoSpaceDN/>
              <w:adjustRightInd/>
              <w:rPr>
                <w:b/>
                <w:bCs/>
                <w:color w:val="000000"/>
                <w:sz w:val="22"/>
                <w:szCs w:val="22"/>
              </w:rPr>
            </w:pPr>
            <w:r w:rsidRPr="00A30AB9">
              <w:rPr>
                <w:b/>
                <w:bCs/>
                <w:color w:val="000000"/>
                <w:sz w:val="22"/>
                <w:szCs w:val="22"/>
              </w:rPr>
              <w:t> </w:t>
            </w:r>
          </w:p>
        </w:tc>
        <w:tc>
          <w:tcPr>
            <w:tcW w:w="1710" w:type="dxa"/>
            <w:tcBorders>
              <w:top w:val="nil"/>
              <w:left w:val="nil"/>
              <w:bottom w:val="single" w:sz="4" w:space="0" w:color="auto"/>
              <w:right w:val="single" w:sz="4" w:space="0" w:color="auto"/>
            </w:tcBorders>
            <w:shd w:val="clear" w:color="auto" w:fill="auto"/>
            <w:hideMark/>
          </w:tcPr>
          <w:p w:rsidR="00517F98" w:rsidRPr="00A30AB9" w:rsidP="00517F98" w14:paraId="03358D8D" w14:textId="2B718741">
            <w:pPr>
              <w:widowControl/>
              <w:autoSpaceDE/>
              <w:autoSpaceDN/>
              <w:adjustRightInd/>
              <w:jc w:val="right"/>
              <w:rPr>
                <w:b/>
                <w:bCs/>
                <w:color w:val="000000"/>
                <w:sz w:val="22"/>
                <w:szCs w:val="22"/>
              </w:rPr>
            </w:pPr>
            <w:r w:rsidRPr="00A30AB9">
              <w:rPr>
                <w:b/>
                <w:bCs/>
                <w:color w:val="000000"/>
                <w:sz w:val="22"/>
                <w:szCs w:val="22"/>
              </w:rPr>
              <w:t>$</w:t>
            </w:r>
            <w:r w:rsidR="004764A4">
              <w:rPr>
                <w:b/>
                <w:bCs/>
                <w:color w:val="000000"/>
                <w:sz w:val="22"/>
                <w:szCs w:val="22"/>
              </w:rPr>
              <w:t>1</w:t>
            </w:r>
            <w:r w:rsidR="00EB0436">
              <w:rPr>
                <w:b/>
                <w:bCs/>
                <w:color w:val="000000"/>
                <w:sz w:val="22"/>
                <w:szCs w:val="22"/>
              </w:rPr>
              <w:t>8</w:t>
            </w:r>
            <w:r w:rsidR="000616D3">
              <w:rPr>
                <w:b/>
                <w:bCs/>
                <w:color w:val="000000"/>
                <w:sz w:val="22"/>
                <w:szCs w:val="22"/>
              </w:rPr>
              <w:t>5,259,</w:t>
            </w:r>
            <w:r w:rsidR="005A51CA">
              <w:rPr>
                <w:b/>
                <w:bCs/>
                <w:color w:val="000000"/>
                <w:sz w:val="22"/>
                <w:szCs w:val="22"/>
              </w:rPr>
              <w:t>169</w:t>
            </w:r>
            <w:r w:rsidR="00F76102">
              <w:rPr>
                <w:b/>
                <w:bCs/>
                <w:color w:val="000000"/>
                <w:sz w:val="22"/>
                <w:szCs w:val="22"/>
              </w:rPr>
              <w:t xml:space="preserve"> </w:t>
            </w:r>
            <w:r w:rsidR="004C7D68">
              <w:rPr>
                <w:b/>
                <w:bCs/>
                <w:color w:val="000000"/>
                <w:sz w:val="22"/>
                <w:szCs w:val="22"/>
              </w:rPr>
              <w:t xml:space="preserve"> </w:t>
            </w:r>
          </w:p>
        </w:tc>
      </w:tr>
    </w:tbl>
    <w:p w:rsidR="6A37D935" w14:paraId="26F7D790" w14:textId="37EE8382"/>
    <w:p w:rsidR="00423C4E" w:rsidRPr="00107983" w:rsidP="00A053BB" w14:paraId="1CCE8D2B" w14:textId="222751A4">
      <w:pPr>
        <w:widowControl/>
        <w:rPr>
          <w:sz w:val="18"/>
          <w:szCs w:val="18"/>
        </w:rPr>
        <w:sectPr w:rsidSect="00B25DC7">
          <w:pgSz w:w="15840" w:h="12240" w:orient="landscape"/>
          <w:pgMar w:top="720" w:right="720" w:bottom="720" w:left="720" w:header="720" w:footer="720" w:gutter="0"/>
          <w:cols w:space="720"/>
          <w:noEndnote/>
          <w:docGrid w:linePitch="326"/>
        </w:sectPr>
      </w:pPr>
      <w:r>
        <w:rPr>
          <w:sz w:val="18"/>
          <w:szCs w:val="18"/>
        </w:rPr>
        <w:t xml:space="preserve">* </w:t>
      </w:r>
      <w:r w:rsidRPr="00107983" w:rsidR="007C1922">
        <w:rPr>
          <w:sz w:val="18"/>
          <w:szCs w:val="18"/>
        </w:rPr>
        <w:t>Total number of respondents</w:t>
      </w:r>
      <w:r w:rsidR="00A022A3">
        <w:rPr>
          <w:sz w:val="18"/>
          <w:szCs w:val="18"/>
        </w:rPr>
        <w:t xml:space="preserve"> (non-cumulative). </w:t>
      </w:r>
    </w:p>
    <w:p w:rsidR="00A3765A" w:rsidRPr="009C666F" w:rsidP="00D0624D" w14:paraId="3B0A751A" w14:textId="77777777">
      <w:pPr>
        <w:pStyle w:val="Heading2"/>
        <w:widowControl/>
        <w:tabs>
          <w:tab w:val="left" w:pos="-36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C666F">
        <w:t>Provide an estimate of the total annual cost burden to respondents or recordkeepers resulting from the collection of information</w:t>
      </w:r>
      <w:r w:rsidRPr="009C666F" w:rsidR="00A07F70">
        <w:t xml:space="preserve">. </w:t>
      </w:r>
      <w:r w:rsidRPr="009C666F">
        <w:t>(Do not include the cost of any hour burden shown in Items 12 and 14).</w:t>
      </w:r>
    </w:p>
    <w:p w:rsidR="000273F6" w:rsidRPr="009C666F" w:rsidP="00D0624D" w14:paraId="1B3B2F0E" w14:textId="77777777">
      <w:pPr>
        <w:pStyle w:val="ListBullet"/>
        <w:rPr>
          <w:b/>
          <w:bCs/>
        </w:rPr>
      </w:pPr>
      <w:r w:rsidRPr="009C666F">
        <w:rPr>
          <w:b/>
          <w:bCs/>
        </w:rPr>
        <w:t>The cost estimate should be split into two components:  (a) a total capital and start up cost component (annualized over its expected useful life); and (b) a total operation and maintenance and purchase of service component</w:t>
      </w:r>
      <w:r w:rsidRPr="009C666F" w:rsidR="00A07F70">
        <w:rPr>
          <w:b/>
          <w:bCs/>
        </w:rPr>
        <w:t xml:space="preserve">. </w:t>
      </w:r>
      <w:r w:rsidRPr="009C666F">
        <w:rPr>
          <w:b/>
          <w:bCs/>
        </w:rPr>
        <w:t>The estimates should take into account costs associated with generating, maintaining, and disclosing or providing the information</w:t>
      </w:r>
      <w:r w:rsidRPr="009C666F" w:rsidR="00A07F70">
        <w:rPr>
          <w:b/>
          <w:bCs/>
        </w:rPr>
        <w:t xml:space="preserve">. </w:t>
      </w:r>
      <w:r w:rsidRPr="009C666F">
        <w:rPr>
          <w:b/>
          <w:bCs/>
        </w:rPr>
        <w:t>Include descriptions of methods used to estimate major cost factors including system and technology acquisition, expected useful life of capital equipment, the discount rate(s), and the time period over which costs will be incurred</w:t>
      </w:r>
      <w:r w:rsidRPr="009C666F" w:rsidR="00A07F70">
        <w:rPr>
          <w:b/>
          <w:bCs/>
        </w:rPr>
        <w:t xml:space="preserve">. </w:t>
      </w:r>
      <w:r w:rsidRPr="009C666F">
        <w:rPr>
          <w:b/>
          <w:bCs/>
        </w:rPr>
        <w:t>Capital and start-up costs include, among other items, preparations for collecting information such as purchasing computers and software; monitoring, sampling, drilling and testing equipment; and record storage facilities.</w:t>
      </w:r>
    </w:p>
    <w:p w:rsidR="000273F6" w:rsidRPr="009C666F" w:rsidP="000273F6" w14:paraId="4888DFF0" w14:textId="77777777">
      <w:pPr>
        <w:pStyle w:val="ListBullet"/>
        <w:rPr>
          <w:b/>
          <w:bCs/>
        </w:rPr>
      </w:pPr>
      <w:r w:rsidRPr="009C666F">
        <w:rPr>
          <w:b/>
          <w:bCs/>
        </w:rPr>
        <w:t>If cost estimates are expected to vary widely, agencies should present ranges of cost burdens and explain the reasons for the variance</w:t>
      </w:r>
      <w:r w:rsidRPr="009C666F" w:rsidR="00A07F70">
        <w:rPr>
          <w:b/>
          <w:bCs/>
        </w:rPr>
        <w:t xml:space="preserve">. </w:t>
      </w:r>
      <w:r w:rsidRPr="009C666F">
        <w:rPr>
          <w:b/>
          <w:bCs/>
        </w:rPr>
        <w:t>The cost of purchasing or contracting out information collection services should be a part of this cost burden estimate</w:t>
      </w:r>
      <w:r w:rsidRPr="009C666F" w:rsidR="00A07F70">
        <w:rPr>
          <w:b/>
          <w:bCs/>
        </w:rPr>
        <w:t xml:space="preserve">. </w:t>
      </w:r>
      <w:r w:rsidRPr="009C666F">
        <w:rPr>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A7B11" w:rsidRPr="009C666F" w:rsidP="000273F6" w14:paraId="2C575A73" w14:textId="6D144F8B">
      <w:pPr>
        <w:pStyle w:val="ListBullet"/>
      </w:pPr>
      <w:r w:rsidRPr="009C666F">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91C29" w:rsidRPr="009C666F" w:rsidP="000273F6" w14:paraId="2E35B962" w14:textId="77777777">
      <w:pPr>
        <w:pStyle w:val="BodyText"/>
        <w:rPr>
          <w:b/>
          <w:bCs/>
        </w:rPr>
      </w:pPr>
      <w:r w:rsidRPr="009C666F">
        <w:rPr>
          <w:b/>
          <w:bCs/>
        </w:rPr>
        <w:t>Exposure monitoring</w:t>
      </w:r>
    </w:p>
    <w:p w:rsidR="00A91C29" w:rsidRPr="009C666F" w:rsidP="000273F6" w14:paraId="5E15A2A4" w14:textId="1C153AA2">
      <w:pPr>
        <w:pStyle w:val="BodyText"/>
      </w:pPr>
      <w:r w:rsidRPr="009C666F">
        <w:t>The Agency assumes that employers incur costs for purchasing exposure monitoring supplies and analyzing monitoring samples used to monitor their employees</w:t>
      </w:r>
      <w:r w:rsidRPr="00206A96">
        <w:t xml:space="preserve">. </w:t>
      </w:r>
      <w:r w:rsidRPr="00872CE2">
        <w:t xml:space="preserve">The Agency estimates a total cost </w:t>
      </w:r>
      <w:r w:rsidRPr="00872CE2" w:rsidR="00154730">
        <w:t>of</w:t>
      </w:r>
      <w:r w:rsidRPr="00872CE2" w:rsidR="00283690">
        <w:t xml:space="preserve"> $</w:t>
      </w:r>
      <w:r w:rsidR="00505D79">
        <w:t>20.35</w:t>
      </w:r>
      <w:r w:rsidRPr="00872CE2">
        <w:t xml:space="preserve"> per sample; this includes supplies used and the analysis of the sample taken.</w:t>
      </w:r>
      <w:r>
        <w:rPr>
          <w:rStyle w:val="FootnoteReference"/>
          <w:vertAlign w:val="superscript"/>
        </w:rPr>
        <w:footnoteReference w:id="13"/>
      </w:r>
      <w:r w:rsidRPr="00206A96" w:rsidR="00154730">
        <w:rPr>
          <w:vertAlign w:val="superscript"/>
        </w:rPr>
        <w:t xml:space="preserve"> </w:t>
      </w:r>
      <w:r w:rsidRPr="00206A96">
        <w:t>The costs are as follows:</w:t>
      </w:r>
    </w:p>
    <w:p w:rsidR="00B265C2" w:rsidRPr="009C666F" w:rsidP="00A053BB" w14:paraId="7F0D56B3" w14:textId="77777777">
      <w:pPr>
        <w:widowControl/>
      </w:pPr>
    </w:p>
    <w:p w:rsidR="00A91C29" w:rsidRPr="009C666F" w:rsidP="00342F66" w14:paraId="3DC40B29" w14:textId="639B3678">
      <w:pPr>
        <w:widowControl/>
        <w:ind w:left="2160" w:hanging="1440"/>
      </w:pPr>
      <w:r w:rsidRPr="009C666F">
        <w:rPr>
          <w:b/>
          <w:bCs/>
        </w:rPr>
        <w:t>Cost:</w:t>
      </w:r>
      <w:r w:rsidRPr="009C666F" w:rsidR="009F4A3C">
        <w:tab/>
      </w:r>
      <w:r w:rsidR="006A11D2">
        <w:t>1,</w:t>
      </w:r>
      <w:r w:rsidR="004F6098">
        <w:t>075,579</w:t>
      </w:r>
      <w:r w:rsidRPr="009C666F">
        <w:t xml:space="preserve"> employers × 20</w:t>
      </w:r>
      <w:r w:rsidRPr="009C666F" w:rsidR="006069F7">
        <w:t xml:space="preserve"> percent</w:t>
      </w:r>
      <w:r w:rsidRPr="009C666F">
        <w:t xml:space="preserve"> × 3 samp</w:t>
      </w:r>
      <w:r w:rsidRPr="009C666F" w:rsidR="009F4A3C">
        <w:t xml:space="preserve">les per year × </w:t>
      </w:r>
      <w:r w:rsidRPr="00190AD0" w:rsidR="00190AD0">
        <w:t>$</w:t>
      </w:r>
      <w:r w:rsidR="00993E7F">
        <w:t>20.35</w:t>
      </w:r>
      <w:r w:rsidRPr="009C666F" w:rsidR="009F4A3C">
        <w:t xml:space="preserve"> = </w:t>
      </w:r>
      <w:r w:rsidRPr="002137B3" w:rsidR="002137B3">
        <w:t>$</w:t>
      </w:r>
      <w:r w:rsidR="00A14C42">
        <w:t>13,132,</w:t>
      </w:r>
      <w:r w:rsidR="00A35185">
        <w:t>820</w:t>
      </w:r>
    </w:p>
    <w:p w:rsidR="00F973CF" w:rsidRPr="009C666F" w:rsidP="001B41EB" w14:paraId="24ED00BC" w14:textId="77777777"/>
    <w:p w:rsidR="00A91C29" w:rsidRPr="009C666F" w:rsidP="00A053BB" w14:paraId="3341E1CC" w14:textId="0C0FE3CD">
      <w:pPr>
        <w:widowControl/>
        <w:ind w:left="1440" w:firstLine="720"/>
      </w:pPr>
      <w:r w:rsidRPr="009C666F">
        <w:t xml:space="preserve">45 employers × 3 samples per year × </w:t>
      </w:r>
      <w:r w:rsidRPr="00190AD0" w:rsidR="00190AD0">
        <w:t>$</w:t>
      </w:r>
      <w:r w:rsidR="00505D79">
        <w:t>20.35</w:t>
      </w:r>
      <w:r w:rsidRPr="009C666F">
        <w:t xml:space="preserve"> = </w:t>
      </w:r>
      <w:r w:rsidRPr="00190AD0" w:rsidR="00190AD0">
        <w:t>$</w:t>
      </w:r>
      <w:r w:rsidR="006C4EC2">
        <w:t>2,</w:t>
      </w:r>
      <w:r w:rsidR="00416619">
        <w:t xml:space="preserve">747 </w:t>
      </w:r>
    </w:p>
    <w:p w:rsidR="00A91C29" w:rsidRPr="009C666F" w:rsidP="000273F6" w14:paraId="01801D1D" w14:textId="77777777">
      <w:pPr>
        <w:pStyle w:val="BodyText"/>
        <w:rPr>
          <w:b/>
          <w:bCs/>
        </w:rPr>
      </w:pPr>
      <w:r w:rsidRPr="009C666F">
        <w:rPr>
          <w:b/>
          <w:bCs/>
        </w:rPr>
        <w:t>Medical examinations</w:t>
      </w:r>
    </w:p>
    <w:p w:rsidR="007A71F4" w:rsidRPr="009C666F" w:rsidP="000273F6" w14:paraId="2AE99862" w14:textId="7B8D5A16">
      <w:pPr>
        <w:pStyle w:val="BodyText"/>
        <w:rPr>
          <w:b/>
        </w:rPr>
      </w:pPr>
      <w:r w:rsidRPr="00872CE2">
        <w:t xml:space="preserve">The Agency assumes that employers will incur a cost of </w:t>
      </w:r>
      <w:r w:rsidRPr="00872CE2" w:rsidR="00C33880">
        <w:t>$</w:t>
      </w:r>
      <w:r w:rsidR="005151AA">
        <w:t>396.40</w:t>
      </w:r>
      <w:r w:rsidRPr="00872CE2">
        <w:t>per exam.</w:t>
      </w:r>
      <w:r>
        <w:rPr>
          <w:rStyle w:val="FootnoteReference"/>
          <w:sz w:val="22"/>
          <w:vertAlign w:val="superscript"/>
        </w:rPr>
        <w:footnoteReference w:id="14"/>
      </w:r>
      <w:r w:rsidRPr="00206A96">
        <w:t xml:space="preserve"> </w:t>
      </w:r>
      <w:r w:rsidRPr="00206A96" w:rsidR="00296CE0">
        <w:t xml:space="preserve"> </w:t>
      </w:r>
      <w:r w:rsidRPr="00206A96">
        <w:t>The</w:t>
      </w:r>
      <w:r w:rsidRPr="009C666F">
        <w:t xml:space="preserve"> total cost is as follows:</w:t>
      </w:r>
    </w:p>
    <w:p w:rsidR="00A91C29" w:rsidRPr="009C666F" w:rsidP="00A053BB" w14:paraId="5E87BFF1" w14:textId="1F651298">
      <w:pPr>
        <w:widowControl/>
        <w:ind w:firstLine="720"/>
        <w:rPr>
          <w:b/>
          <w:bCs/>
        </w:rPr>
      </w:pPr>
      <w:r w:rsidRPr="009C666F">
        <w:rPr>
          <w:b/>
        </w:rPr>
        <w:t>Cost:</w:t>
      </w:r>
      <w:r w:rsidRPr="009C666F">
        <w:tab/>
      </w:r>
      <w:r w:rsidRPr="009C666F">
        <w:tab/>
      </w:r>
      <w:r w:rsidR="00ED2DFD">
        <w:t>81,541</w:t>
      </w:r>
      <w:r w:rsidRPr="009C666F">
        <w:t xml:space="preserve"> empl</w:t>
      </w:r>
      <w:r w:rsidRPr="009C666F" w:rsidR="00067447">
        <w:t xml:space="preserve">oyees × </w:t>
      </w:r>
      <w:r w:rsidR="005D57F2">
        <w:t xml:space="preserve">1.526 </w:t>
      </w:r>
      <w:r w:rsidRPr="009C666F" w:rsidR="00067447">
        <w:t xml:space="preserve">turnover rate × </w:t>
      </w:r>
      <w:r w:rsidRPr="00C33880" w:rsidR="00C33880">
        <w:t>$</w:t>
      </w:r>
      <w:r w:rsidR="00D61CCC">
        <w:t>396.40</w:t>
      </w:r>
      <w:r w:rsidRPr="009C666F">
        <w:t xml:space="preserve"> = </w:t>
      </w:r>
      <w:r w:rsidRPr="002137B3" w:rsidR="002137B3">
        <w:t>$</w:t>
      </w:r>
      <w:r w:rsidR="00380641">
        <w:t>49,324,</w:t>
      </w:r>
      <w:r w:rsidR="004B5754">
        <w:t>673</w:t>
      </w:r>
      <w:r w:rsidR="00DF4636">
        <w:t xml:space="preserve"> </w:t>
      </w:r>
    </w:p>
    <w:p w:rsidR="00A91C29" w:rsidRPr="009C666F" w:rsidP="00A053BB" w14:paraId="18DB6BD0" w14:textId="77777777">
      <w:pPr>
        <w:widowControl/>
        <w:rPr>
          <w:b/>
          <w:bCs/>
        </w:rPr>
      </w:pPr>
    </w:p>
    <w:p w:rsidR="00F973CF" w:rsidRPr="009C666F" w:rsidP="00F973CF" w14:paraId="34C3D1E5" w14:textId="2894F359">
      <w:pPr>
        <w:widowControl/>
        <w:autoSpaceDE/>
        <w:autoSpaceDN/>
        <w:adjustRightInd/>
        <w:rPr>
          <w:color w:val="000000"/>
        </w:rPr>
      </w:pPr>
      <w:r w:rsidRPr="009C666F">
        <w:rPr>
          <w:b/>
        </w:rPr>
        <w:t>TOTAL:</w:t>
      </w:r>
      <w:r w:rsidR="00A52D27">
        <w:rPr>
          <w:b/>
        </w:rPr>
        <w:t xml:space="preserve"> </w:t>
      </w:r>
      <w:r w:rsidRPr="002137B3" w:rsidR="002137B3">
        <w:rPr>
          <w:b/>
        </w:rPr>
        <w:t>$</w:t>
      </w:r>
      <w:r w:rsidR="0025275C">
        <w:rPr>
          <w:b/>
        </w:rPr>
        <w:t>13,132,</w:t>
      </w:r>
      <w:r w:rsidR="00A35185">
        <w:rPr>
          <w:b/>
        </w:rPr>
        <w:t>820</w:t>
      </w:r>
      <w:r w:rsidRPr="00A26992" w:rsidR="00A26992">
        <w:rPr>
          <w:b/>
        </w:rPr>
        <w:t xml:space="preserve"> + </w:t>
      </w:r>
      <w:r w:rsidR="00416619">
        <w:rPr>
          <w:b/>
        </w:rPr>
        <w:t>$2,</w:t>
      </w:r>
      <w:r w:rsidR="0025275C">
        <w:rPr>
          <w:b/>
        </w:rPr>
        <w:t>747</w:t>
      </w:r>
      <w:r w:rsidRPr="00A26992" w:rsidR="00A26992">
        <w:rPr>
          <w:b/>
        </w:rPr>
        <w:t xml:space="preserve">+ </w:t>
      </w:r>
      <w:r w:rsidRPr="002137B3" w:rsidR="002137B3">
        <w:rPr>
          <w:b/>
        </w:rPr>
        <w:t>$</w:t>
      </w:r>
      <w:r w:rsidR="008E6AF1">
        <w:rPr>
          <w:b/>
        </w:rPr>
        <w:t>49,324,</w:t>
      </w:r>
      <w:r w:rsidR="003241B6">
        <w:rPr>
          <w:b/>
        </w:rPr>
        <w:t>673</w:t>
      </w:r>
      <w:r w:rsidRPr="00A26992" w:rsidR="00A26992">
        <w:rPr>
          <w:b/>
        </w:rPr>
        <w:t xml:space="preserve"> = </w:t>
      </w:r>
      <w:r w:rsidRPr="002137B3" w:rsidR="002137B3">
        <w:rPr>
          <w:b/>
        </w:rPr>
        <w:t>$</w:t>
      </w:r>
      <w:r w:rsidR="00412605">
        <w:rPr>
          <w:b/>
        </w:rPr>
        <w:t>62,</w:t>
      </w:r>
      <w:r w:rsidR="004A42B3">
        <w:rPr>
          <w:b/>
        </w:rPr>
        <w:t>460,240</w:t>
      </w:r>
      <w:r w:rsidR="000F36A1">
        <w:rPr>
          <w:b/>
        </w:rPr>
        <w:t xml:space="preserve"> </w:t>
      </w:r>
    </w:p>
    <w:p w:rsidR="00A91C29" w:rsidRPr="009C666F" w:rsidP="0061400C" w14:paraId="57581508" w14:textId="77777777">
      <w:pPr>
        <w:widowControl/>
        <w:autoSpaceDE/>
        <w:autoSpaceDN/>
        <w:adjustRightInd/>
        <w:rPr>
          <w:b/>
          <w:sz w:val="22"/>
          <w:szCs w:val="22"/>
        </w:rPr>
      </w:pPr>
    </w:p>
    <w:p w:rsidR="00A3765A" w:rsidRPr="009C666F" w:rsidP="000273F6" w14:paraId="692BC1C0" w14:textId="77777777">
      <w:pPr>
        <w:pStyle w:val="Heading2"/>
      </w:pPr>
      <w:r w:rsidRPr="009C666F">
        <w:t>Provide estimates of the annualized cost to the Federal Government</w:t>
      </w:r>
      <w:r w:rsidRPr="009C666F" w:rsidR="00A07F70">
        <w:t xml:space="preserve">. </w:t>
      </w:r>
      <w:r w:rsidRPr="009C666F">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Pr="009C666F" w:rsidR="00A07F70">
        <w:t xml:space="preserve">. </w:t>
      </w:r>
      <w:r w:rsidRPr="009C666F">
        <w:t>Agencies also may aggregate cost estimates from Items 12, 13, and 14 into a single table.</w:t>
      </w:r>
    </w:p>
    <w:p w:rsidR="0076499A" w:rsidRPr="009C666F" w:rsidP="0057286C" w14:paraId="1CC97E79" w14:textId="77777777">
      <w:pPr>
        <w:pStyle w:val="BodyText"/>
        <w:rPr>
          <w:b/>
          <w:bCs/>
          <w:sz w:val="20"/>
          <w:szCs w:val="20"/>
        </w:rPr>
      </w:pPr>
      <w:r w:rsidRPr="009C666F">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A91C29" w:rsidRPr="009C666F" w:rsidP="004E7CDA" w14:paraId="67DDDAD9" w14:textId="339C3698">
      <w:pPr>
        <w:pStyle w:val="Heading2"/>
      </w:pPr>
      <w:r w:rsidRPr="009C666F">
        <w:t>Explain the reasons for any program changes or adjustments.</w:t>
      </w:r>
    </w:p>
    <w:p w:rsidR="008D2DFC" w:rsidRPr="00084E8A" w:rsidP="001B41EB" w14:paraId="2E9B2614" w14:textId="038704EC">
      <w:pPr>
        <w:pStyle w:val="BodyText"/>
      </w:pPr>
      <w:r w:rsidRPr="00084E8A">
        <w:t xml:space="preserve">The Agency is requesting </w:t>
      </w:r>
      <w:r w:rsidRPr="00084E8A" w:rsidR="00E61ABF">
        <w:t xml:space="preserve">an adjustment </w:t>
      </w:r>
      <w:r w:rsidRPr="00084E8A" w:rsidR="00C01E74">
        <w:t>de</w:t>
      </w:r>
      <w:r w:rsidRPr="00084E8A">
        <w:t xml:space="preserve">crease </w:t>
      </w:r>
      <w:r w:rsidRPr="00084E8A" w:rsidR="00E61ABF">
        <w:t>of</w:t>
      </w:r>
      <w:r w:rsidRPr="00084E8A">
        <w:t xml:space="preserve"> </w:t>
      </w:r>
      <w:r w:rsidR="00BB6B40">
        <w:t>139,40</w:t>
      </w:r>
      <w:r w:rsidR="00360330">
        <w:t>1</w:t>
      </w:r>
      <w:r w:rsidRPr="00084E8A" w:rsidR="00DB2A18">
        <w:t xml:space="preserve"> </w:t>
      </w:r>
      <w:r w:rsidRPr="00084E8A" w:rsidR="00AD3FBE">
        <w:t xml:space="preserve">burden </w:t>
      </w:r>
      <w:r w:rsidRPr="00084E8A" w:rsidR="00E61ABF">
        <w:t xml:space="preserve">hours, from </w:t>
      </w:r>
      <w:r w:rsidRPr="00084E8A" w:rsidR="00663406">
        <w:t>4,</w:t>
      </w:r>
      <w:r w:rsidRPr="00084E8A" w:rsidR="00886EAC">
        <w:t>199,335</w:t>
      </w:r>
      <w:r w:rsidRPr="00084E8A" w:rsidR="00423226">
        <w:t xml:space="preserve"> </w:t>
      </w:r>
      <w:r w:rsidRPr="00084E8A" w:rsidR="00E61ABF">
        <w:t xml:space="preserve">to </w:t>
      </w:r>
      <w:r w:rsidRPr="00084E8A" w:rsidR="00F80CC0">
        <w:t>4,</w:t>
      </w:r>
      <w:r w:rsidR="00F80CC0">
        <w:t>059,93</w:t>
      </w:r>
      <w:r w:rsidR="0064097E">
        <w:t>4</w:t>
      </w:r>
      <w:r w:rsidR="00F80CC0">
        <w:t xml:space="preserve"> </w:t>
      </w:r>
      <w:r w:rsidRPr="00084E8A" w:rsidR="00E61ABF">
        <w:t xml:space="preserve">hours. </w:t>
      </w:r>
      <w:r w:rsidRPr="00084E8A">
        <w:t xml:space="preserve">There are several reasons for this </w:t>
      </w:r>
      <w:r w:rsidRPr="00084E8A" w:rsidR="00733444">
        <w:t>adjustment</w:t>
      </w:r>
      <w:r w:rsidRPr="00084E8A">
        <w:t xml:space="preserve"> in burden</w:t>
      </w:r>
      <w:r w:rsidRPr="00084E8A" w:rsidR="00733444">
        <w:t xml:space="preserve"> hours</w:t>
      </w:r>
      <w:r w:rsidRPr="00084E8A">
        <w:t xml:space="preserve">. </w:t>
      </w:r>
      <w:r w:rsidRPr="00084E8A" w:rsidR="00AE4465">
        <w:t>First, the Agency updated the data sources used to estimate the number of respondents and unit costs</w:t>
      </w:r>
      <w:r w:rsidRPr="00084E8A" w:rsidR="00D06057">
        <w:t>.</w:t>
      </w:r>
      <w:r w:rsidRPr="00084E8A" w:rsidR="00970923">
        <w:t xml:space="preserve"> </w:t>
      </w:r>
      <w:r w:rsidRPr="00084E8A" w:rsidR="00AE4D28">
        <w:t>Second</w:t>
      </w:r>
      <w:r w:rsidRPr="00084E8A" w:rsidR="00733444">
        <w:t>ly</w:t>
      </w:r>
      <w:r w:rsidRPr="00084E8A" w:rsidR="00AE4D28">
        <w:t xml:space="preserve">, </w:t>
      </w:r>
      <w:r w:rsidRPr="00084E8A" w:rsidR="008963A4">
        <w:t xml:space="preserve">there was a </w:t>
      </w:r>
      <w:r w:rsidRPr="00084E8A" w:rsidR="007F2A97">
        <w:t>de</w:t>
      </w:r>
      <w:r w:rsidRPr="00084E8A" w:rsidR="008963A4">
        <w:t>crease in</w:t>
      </w:r>
      <w:r w:rsidRPr="00084E8A" w:rsidR="00D40EAC">
        <w:t xml:space="preserve"> the number of </w:t>
      </w:r>
      <w:r w:rsidRPr="00084E8A" w:rsidR="00790208">
        <w:t>buildings</w:t>
      </w:r>
      <w:r w:rsidRPr="00084E8A" w:rsidR="008963A4">
        <w:t xml:space="preserve"> affected</w:t>
      </w:r>
      <w:r w:rsidR="004B7F4F">
        <w:t>.</w:t>
      </w:r>
      <w:r w:rsidRPr="00084E8A" w:rsidR="00790208">
        <w:t xml:space="preserve"> </w:t>
      </w:r>
      <w:r w:rsidRPr="00084E8A" w:rsidR="008963A4">
        <w:t>A</w:t>
      </w:r>
      <w:r w:rsidRPr="00084E8A" w:rsidR="00790208">
        <w:t>s a result</w:t>
      </w:r>
      <w:r w:rsidRPr="00084E8A" w:rsidR="008963A4">
        <w:t>,</w:t>
      </w:r>
      <w:r w:rsidRPr="00084E8A" w:rsidR="00790208">
        <w:t xml:space="preserve"> </w:t>
      </w:r>
      <w:r w:rsidRPr="00084E8A" w:rsidR="008963A4">
        <w:t>there was a</w:t>
      </w:r>
      <w:r w:rsidRPr="00084E8A" w:rsidR="001E1DA4">
        <w:t xml:space="preserve"> </w:t>
      </w:r>
      <w:r w:rsidRPr="00084E8A" w:rsidR="00961DFA">
        <w:t>de</w:t>
      </w:r>
      <w:r w:rsidRPr="00084E8A" w:rsidR="008963A4">
        <w:t>crease in</w:t>
      </w:r>
      <w:r w:rsidRPr="00084E8A" w:rsidR="00D40EAC">
        <w:t xml:space="preserve"> </w:t>
      </w:r>
      <w:r w:rsidR="00453682">
        <w:t>t</w:t>
      </w:r>
      <w:r w:rsidR="00D53947">
        <w:t xml:space="preserve">he total </w:t>
      </w:r>
      <w:r w:rsidRPr="00084E8A" w:rsidR="00790208">
        <w:t>burden</w:t>
      </w:r>
      <w:r w:rsidR="00D53947">
        <w:t xml:space="preserve"> hours</w:t>
      </w:r>
      <w:r w:rsidRPr="00084E8A" w:rsidR="00790208">
        <w:t>.</w:t>
      </w:r>
      <w:r w:rsidRPr="00084E8A" w:rsidR="008963A4">
        <w:t xml:space="preserve"> </w:t>
      </w:r>
    </w:p>
    <w:p w:rsidR="00970923" w:rsidRPr="00451314" w:rsidP="001B41EB" w14:paraId="5530E7DE" w14:textId="6DD491F2">
      <w:pPr>
        <w:pStyle w:val="BodyText"/>
        <w:rPr>
          <w:bCs/>
        </w:rPr>
      </w:pPr>
      <w:r>
        <w:t xml:space="preserve">Although </w:t>
      </w:r>
      <w:r w:rsidR="008878E7">
        <w:t>t</w:t>
      </w:r>
      <w:r w:rsidRPr="00451314">
        <w:t xml:space="preserve">here was </w:t>
      </w:r>
      <w:r w:rsidR="00892137">
        <w:t>in</w:t>
      </w:r>
      <w:r w:rsidRPr="00451314">
        <w:t xml:space="preserve">crease in cost of </w:t>
      </w:r>
      <w:r w:rsidRPr="00451314" w:rsidR="00556065">
        <w:t xml:space="preserve">medical </w:t>
      </w:r>
      <w:r w:rsidRPr="00451314">
        <w:t>exams from</w:t>
      </w:r>
      <w:r w:rsidRPr="00451314" w:rsidR="00556065">
        <w:t xml:space="preserve"> $</w:t>
      </w:r>
      <w:r w:rsidRPr="00451314" w:rsidR="0070561A">
        <w:t>382</w:t>
      </w:r>
      <w:r w:rsidRPr="00451314" w:rsidR="008C70E9">
        <w:t xml:space="preserve"> </w:t>
      </w:r>
      <w:r w:rsidRPr="00451314" w:rsidR="00556065">
        <w:t>to $</w:t>
      </w:r>
      <w:r w:rsidRPr="00451314" w:rsidR="00A90927">
        <w:t xml:space="preserve">396, </w:t>
      </w:r>
      <w:r w:rsidRPr="00451314" w:rsidR="00556065">
        <w:t xml:space="preserve">the </w:t>
      </w:r>
      <w:r w:rsidR="00F60D7E">
        <w:t xml:space="preserve">overall </w:t>
      </w:r>
      <w:r w:rsidRPr="00451314" w:rsidR="00763FC9">
        <w:t xml:space="preserve">medical </w:t>
      </w:r>
      <w:r w:rsidRPr="00451314" w:rsidR="00556065">
        <w:t>cost</w:t>
      </w:r>
      <w:r w:rsidR="007C7C17">
        <w:t xml:space="preserve">s decreased </w:t>
      </w:r>
      <w:r w:rsidRPr="00451314" w:rsidR="00556065">
        <w:t>from $</w:t>
      </w:r>
      <w:r w:rsidRPr="00451314" w:rsidR="00C14643">
        <w:t>66,912,65</w:t>
      </w:r>
      <w:r w:rsidRPr="00451314" w:rsidR="005012D1">
        <w:t>8</w:t>
      </w:r>
      <w:r w:rsidRPr="00451314" w:rsidR="00556065">
        <w:t xml:space="preserve"> to $</w:t>
      </w:r>
      <w:r w:rsidRPr="00451314" w:rsidR="00C14643">
        <w:rPr>
          <w:bCs/>
        </w:rPr>
        <w:t>62,460,240</w:t>
      </w:r>
      <w:r w:rsidR="00F60D7E">
        <w:rPr>
          <w:bCs/>
        </w:rPr>
        <w:t>,</w:t>
      </w:r>
      <w:r>
        <w:rPr>
          <w:bCs/>
        </w:rPr>
        <w:t xml:space="preserve"> </w:t>
      </w:r>
      <w:r w:rsidRPr="00481C91">
        <w:rPr>
          <w:bCs/>
        </w:rPr>
        <w:t>due to the decrease in the number of employees affected</w:t>
      </w:r>
      <w:r w:rsidRPr="00451314" w:rsidR="00556065">
        <w:rPr>
          <w:bCs/>
        </w:rPr>
        <w:t>.</w:t>
      </w:r>
      <w:r w:rsidRPr="00451314" w:rsidR="005012D1">
        <w:rPr>
          <w:bCs/>
        </w:rPr>
        <w:t xml:space="preserve"> </w:t>
      </w:r>
    </w:p>
    <w:p w:rsidR="00A91C29" w:rsidRPr="009C666F" w:rsidP="004E7CDA" w14:paraId="0467B77D" w14:textId="62F23260">
      <w:pPr>
        <w:pStyle w:val="Heading2"/>
      </w:pPr>
      <w:r>
        <w:t xml:space="preserve">For collections </w:t>
      </w:r>
      <w:r w:rsidRPr="009C666F" w:rsidR="00A3765A">
        <w:t>of information whose results will be published, outline plans for tabulations, and publication</w:t>
      </w:r>
      <w:r w:rsidRPr="009C666F" w:rsidR="00A07F70">
        <w:t xml:space="preserve">. </w:t>
      </w:r>
      <w:r w:rsidRPr="009C666F" w:rsidR="00A3765A">
        <w:t>Address any complex analytical techniques that will be used</w:t>
      </w:r>
      <w:r w:rsidRPr="009C666F" w:rsidR="00A07F70">
        <w:t xml:space="preserve">. </w:t>
      </w:r>
      <w:r w:rsidRPr="009C666F" w:rsidR="00A3765A">
        <w:t xml:space="preserve">Provide the time schedule for the entire project, including beginning and ending dates of the </w:t>
      </w:r>
      <w:r w:rsidRPr="009C666F" w:rsidR="00A3765A">
        <w:t>collection of information, completion of report, publication dates, and other actions.</w:t>
      </w:r>
    </w:p>
    <w:p w:rsidR="00A91C29" w:rsidRPr="009C666F" w:rsidP="001B41EB" w14:paraId="19F6E29F" w14:textId="77777777">
      <w:pPr>
        <w:pStyle w:val="BodyText"/>
        <w:rPr>
          <w:rFonts w:cs="Courier"/>
        </w:rPr>
      </w:pPr>
      <w:r w:rsidRPr="009C666F">
        <w:t xml:space="preserve">The information required to be collected by the Asbestos in Construction Standard will not have results that will be published for statistical use. </w:t>
      </w:r>
    </w:p>
    <w:p w:rsidR="00A91C29" w:rsidRPr="009C666F" w:rsidP="001B41EB" w14:paraId="2A0DA7B6" w14:textId="4CE4292C">
      <w:pPr>
        <w:pStyle w:val="Heading2"/>
      </w:pPr>
      <w:r w:rsidRPr="009C666F">
        <w:t>If seeking approval to not display the expiration date for OMB approval of the information collection, explain the reasons that display would be inappropriate.</w:t>
      </w:r>
    </w:p>
    <w:p w:rsidR="00A91C29" w:rsidRPr="009C666F" w:rsidP="001B41EB" w14:paraId="68E7C15D" w14:textId="77777777">
      <w:pPr>
        <w:pStyle w:val="BodyText"/>
      </w:pPr>
      <w:r w:rsidRPr="009C666F">
        <w:t>OSHA lists current valid control numbers in §§1910.8, 1915.8, 1917.4, 1918.4, and 1926.5 and publishes the expiration date in the Federal Register notice announcing OMB approval of the information-collection requirement. (See 5 CFR 1320.3(f)(3).) OSHA believes that this is the most appropriate and accurate mechanism to inform interested parties of these expiration dates</w:t>
      </w:r>
      <w:r w:rsidRPr="009C666F" w:rsidR="001B41EB">
        <w:t>.</w:t>
      </w:r>
    </w:p>
    <w:p w:rsidR="000E4EE8" w:rsidRPr="009C666F" w:rsidP="001B41EB" w14:paraId="673FD63B" w14:textId="529A81D4">
      <w:pPr>
        <w:pStyle w:val="Heading2"/>
      </w:pPr>
      <w:r w:rsidRPr="009C666F">
        <w:t>Explain each exception to the certification statement.</w:t>
      </w:r>
    </w:p>
    <w:p w:rsidR="006F5385" w:rsidRPr="009C666F" w:rsidP="001B41EB" w14:paraId="170A806F" w14:textId="77777777">
      <w:pPr>
        <w:pStyle w:val="BodyText"/>
        <w:rPr>
          <w:b/>
        </w:rPr>
      </w:pPr>
      <w:r w:rsidRPr="009C666F">
        <w:t>OSHA is not seek</w:t>
      </w:r>
      <w:r w:rsidRPr="009C666F" w:rsidR="00A91C29">
        <w:t>ing an exception to</w:t>
      </w:r>
      <w:r w:rsidRPr="009C666F" w:rsidR="002A3BD2">
        <w:t xml:space="preserve"> the certification statement</w:t>
      </w:r>
      <w:r w:rsidRPr="009C666F" w:rsidR="00A91C29">
        <w:t>.</w:t>
      </w:r>
      <w:r w:rsidRPr="009C666F" w:rsidR="009D6A71">
        <w:t xml:space="preserve"> </w:t>
      </w:r>
    </w:p>
    <w:p w:rsidR="000E4EE8" w:rsidRPr="009C666F" w:rsidP="001B41EB" w14:paraId="08EDE47D" w14:textId="77777777">
      <w:pPr>
        <w:pStyle w:val="Heading1"/>
      </w:pPr>
      <w:r w:rsidRPr="009C666F">
        <w:t>COLLE</w:t>
      </w:r>
      <w:r w:rsidRPr="009C666F" w:rsidR="00C602AB">
        <w:t>C</w:t>
      </w:r>
      <w:r w:rsidRPr="009C666F">
        <w:t>TIONS OF INFORMATION EMPLOYING STATISTICAL METHODS</w:t>
      </w:r>
    </w:p>
    <w:p w:rsidR="00844B9F" w:rsidP="001B41EB" w14:paraId="296351CC" w14:textId="77777777">
      <w:pPr>
        <w:pStyle w:val="BodyText"/>
      </w:pPr>
      <w:r w:rsidRPr="009C666F">
        <w:t>This Supporting Statement does not contain any collection of information requirements that employ statistical methods.</w:t>
      </w:r>
    </w:p>
    <w:p w:rsidR="00844B9F" w14:paraId="6245D666" w14:textId="77777777">
      <w:pPr>
        <w:widowControl/>
        <w:autoSpaceDE/>
        <w:autoSpaceDN/>
        <w:adjustRightInd/>
      </w:pPr>
      <w:r>
        <w:br w:type="page"/>
      </w:r>
    </w:p>
    <w:p w:rsidR="00107A2E" w14:paraId="4B0D4F54" w14:textId="53BEB535">
      <w:pPr>
        <w:widowControl/>
        <w:autoSpaceDE/>
        <w:autoSpaceDN/>
        <w:adjustRightInd/>
      </w:pPr>
    </w:p>
    <w:p w:rsidR="00107A2E" w:rsidRPr="00EB27FE" w:rsidP="00107A2E" w14:paraId="58A9138B" w14:textId="77777777">
      <w:pPr>
        <w:pStyle w:val="Title"/>
        <w:rPr>
          <w:b w:val="0"/>
        </w:rPr>
      </w:pPr>
      <w:r>
        <w:rPr>
          <w:b w:val="0"/>
        </w:rPr>
        <w:t>Attachment</w:t>
      </w:r>
      <w:r w:rsidRPr="00EB27FE">
        <w:t xml:space="preserve"> A</w:t>
      </w:r>
    </w:p>
    <w:p w:rsidR="00E87E77" w:rsidP="00107A2E" w14:paraId="556B4425" w14:textId="77777777">
      <w:pPr>
        <w:pStyle w:val="BodyText"/>
      </w:pPr>
      <w:r w:rsidRPr="004F3F06">
        <w:t>This addendum to the ICR update is intended to describe ERG</w:t>
      </w:r>
    </w:p>
    <w:p w:rsidR="00107A2E" w:rsidP="00107A2E" w14:paraId="695FA704" w14:textId="73105A76">
      <w:pPr>
        <w:pStyle w:val="BodyText"/>
      </w:pPr>
      <w:r w:rsidRPr="004F3F06">
        <w:t xml:space="preserve">’s methodology and reasoning behind updates to the number of </w:t>
      </w:r>
      <w:r>
        <w:t xml:space="preserve">employees and </w:t>
      </w:r>
      <w:r w:rsidRPr="004F3F06">
        <w:t xml:space="preserve">establishments affected by the </w:t>
      </w:r>
      <w:r>
        <w:t>Asbestos</w:t>
      </w:r>
      <w:r w:rsidRPr="004F3F06">
        <w:t xml:space="preserve"> in Construction Standard (29 CFR 1926.</w:t>
      </w:r>
      <w:r>
        <w:t>1101</w:t>
      </w:r>
      <w:r w:rsidRPr="004F3F06">
        <w:t xml:space="preserve">) on an annual basis. </w:t>
      </w:r>
    </w:p>
    <w:p w:rsidR="00107A2E" w:rsidP="00107A2E" w14:paraId="15973765" w14:textId="718B5E17">
      <w:pPr>
        <w:pStyle w:val="BodyText"/>
      </w:pPr>
      <w:r w:rsidRPr="004F3F06">
        <w:t>In an effort to provide updated statistics, ERG examined the OSHA document “Final Regulatory Impact and Regulatory Flexibility</w:t>
      </w:r>
      <w:r w:rsidRPr="005341FF">
        <w:t xml:space="preserve"> Analysis of the Revised Asbestos Standard for Construction, General Industry, and Shipyards,” published July 21, 1994</w:t>
      </w:r>
      <w:r>
        <w:t xml:space="preserve"> (the “RIA”)</w:t>
      </w:r>
      <w:r w:rsidRPr="005341FF">
        <w:t xml:space="preserve">. This </w:t>
      </w:r>
      <w:r w:rsidR="00E60E86">
        <w:t>supporting statement</w:t>
      </w:r>
      <w:r w:rsidRPr="005341FF" w:rsidR="00E60E86">
        <w:t xml:space="preserve"> </w:t>
      </w:r>
      <w:r w:rsidR="00E60E86">
        <w:t>updates</w:t>
      </w:r>
      <w:r w:rsidRPr="005341FF">
        <w:t xml:space="preserve"> the most recent and comprehensive number of firms and employees working in specific construction activities as covered by the Asbestos in Construction Standard. Based on the discussion presented in this </w:t>
      </w:r>
      <w:r w:rsidR="00E60E86">
        <w:t>supporting statement</w:t>
      </w:r>
      <w:r w:rsidRPr="005341FF">
        <w:t>, ERG updated employment estimates based on current</w:t>
      </w:r>
      <w:r>
        <w:t>ly</w:t>
      </w:r>
      <w:r w:rsidRPr="005341FF">
        <w:t xml:space="preserve"> available information, </w:t>
      </w:r>
      <w:r>
        <w:t>using</w:t>
      </w:r>
      <w:r w:rsidRPr="005341FF">
        <w:t xml:space="preserve"> these </w:t>
      </w:r>
      <w:r>
        <w:t>estimates</w:t>
      </w:r>
      <w:r w:rsidRPr="005341FF">
        <w:t xml:space="preserve"> to provide new estimations of employers and employees covered by the Standard. ERG’s explanation o</w:t>
      </w:r>
      <w:r>
        <w:t>f changes and assumptions made</w:t>
      </w:r>
      <w:r w:rsidR="00E60E86">
        <w:t xml:space="preserve"> are as follows</w:t>
      </w:r>
      <w:r>
        <w:t>.</w:t>
      </w:r>
    </w:p>
    <w:p w:rsidR="00107A2E" w:rsidRPr="000D4993" w:rsidP="00107A2E" w14:paraId="6534E998" w14:textId="77777777">
      <w:pPr>
        <w:pStyle w:val="Heading1"/>
      </w:pPr>
      <w:r w:rsidRPr="000D4993">
        <w:t>New Construction</w:t>
      </w:r>
    </w:p>
    <w:p w:rsidR="00107A2E" w:rsidP="00107A2E" w14:paraId="39F24622" w14:textId="77777777">
      <w:pPr>
        <w:pStyle w:val="Heading2"/>
        <w:rPr>
          <w:szCs w:val="22"/>
        </w:rPr>
      </w:pPr>
      <w:r w:rsidRPr="000D4993">
        <w:t>Asbestos/</w:t>
      </w:r>
      <w:r>
        <w:t>Cement</w:t>
      </w:r>
      <w:r w:rsidRPr="000D4993">
        <w:t xml:space="preserve"> Pipe</w:t>
      </w:r>
      <w:r>
        <w:t xml:space="preserve"> and Sheet</w:t>
      </w:r>
      <w:r w:rsidRPr="000D4993">
        <w:t xml:space="preserve"> Installation</w:t>
      </w:r>
    </w:p>
    <w:p w:rsidR="00107A2E" w:rsidRPr="00197415" w:rsidP="00107A2E" w14:paraId="1E795EFE" w14:textId="77777777">
      <w:pPr>
        <w:pStyle w:val="BodyText"/>
      </w:pPr>
      <w:r w:rsidRPr="00197415">
        <w:t>According to United States Geological Survey, installation of new asbestos-cement (AC) pipe and sheet no longer occurs in the United States (USGS, 2021).</w:t>
      </w:r>
      <w:r>
        <w:rPr>
          <w:rStyle w:val="FootnoteReference"/>
          <w:vertAlign w:val="superscript"/>
        </w:rPr>
        <w:footnoteReference w:id="15"/>
      </w:r>
      <w:r w:rsidRPr="00197415">
        <w:rPr>
          <w:rStyle w:val="FootnoteReference"/>
        </w:rPr>
        <w:t xml:space="preserve"> </w:t>
      </w:r>
      <w:r w:rsidRPr="00197415">
        <w:t>While not technically banned, health and liability issues preclude the use of these products. US production of AC pipe and sheet ceased in the 1970s and the EPA issued a complete ban of asbestos containing products in 1979. This ban, however, was not upheld by the courts (EPA, 2018).</w:t>
      </w:r>
      <w:r>
        <w:rPr>
          <w:rStyle w:val="FootnoteReference"/>
          <w:vertAlign w:val="superscript"/>
        </w:rPr>
        <w:footnoteReference w:id="16"/>
      </w:r>
      <w:r w:rsidRPr="00872CE2">
        <w:rPr>
          <w:vertAlign w:val="superscript"/>
        </w:rPr>
        <w:t xml:space="preserve"> </w:t>
      </w:r>
      <w:r w:rsidRPr="00197415">
        <w:t xml:space="preserve">Also, the last domestic producer of asbestos ceased operations in 2002. While AC products are still currently available in the international market, import data compiled by the USGS indicates that virtually all asbestos imports are accounted for by the chloralkali industry (USGS, 2021). </w:t>
      </w:r>
    </w:p>
    <w:p w:rsidR="00107A2E" w:rsidP="00107A2E" w14:paraId="313E0B8B" w14:textId="77777777">
      <w:pPr>
        <w:pStyle w:val="Heading1"/>
      </w:pPr>
      <w:r>
        <w:t>Asbestos Abatement and Demolition</w:t>
      </w:r>
    </w:p>
    <w:p w:rsidR="00107A2E" w:rsidRPr="004C6E77" w:rsidP="00107A2E" w14:paraId="344DA219" w14:textId="0AA584C8">
      <w:pPr>
        <w:pStyle w:val="BodyText"/>
      </w:pPr>
      <w:r>
        <w:t>The RIA estimated that an average of 67,231 workers were potentially exposed annually to asbestos during abatement and demolition activities. In addition, the RIA estimated that there were 2,100 asbestos abatement contractors in the U.S in 1990. While remediation efforts are no doubt on-going, much of the remediation of asbestos products has likely taken place in the fifteen years since publication of the RIA. In the 2010 Occupational Outlook Handbook, the U.S. Bureau of Labor Statistics reports that “s</w:t>
      </w:r>
      <w:r w:rsidRPr="004C6E77">
        <w:t xml:space="preserve">ince the 1970s, asbestos and lead-based paints and plumbing fixtures and pipes have not been used and much of the remediation stemming from </w:t>
      </w:r>
      <w:r w:rsidRPr="004C6E77">
        <w:t>those products has taken place. With the continuing decline in the number of structures that contain asbestos and lead, demand for asbestos and lead abatement workers will be somewhat limited</w:t>
      </w:r>
      <w:r w:rsidRPr="00155DE3">
        <w:t xml:space="preserve">.  </w:t>
      </w:r>
      <w:r w:rsidRPr="006A0759">
        <w:t>Some demand, however, will result from the need to abate lead and asbestos from office buildings, schools, or historic buildings that are being renovated or torn down, or in confined spaces.</w:t>
      </w:r>
      <w:r>
        <w:t>”</w:t>
      </w:r>
      <w:r>
        <w:rPr>
          <w:rStyle w:val="FootnoteReference"/>
          <w:szCs w:val="22"/>
          <w:vertAlign w:val="superscript"/>
        </w:rPr>
        <w:footnoteReference w:id="17"/>
      </w:r>
      <w:r w:rsidRPr="006A0759">
        <w:rPr>
          <w:rStyle w:val="FootnoteReference"/>
        </w:rPr>
        <w:t xml:space="preserve"> </w:t>
      </w:r>
      <w:r>
        <w:t>Based on the 2018 County Business Patterns</w:t>
      </w:r>
      <w:r>
        <w:rPr>
          <w:rStyle w:val="FootnoteReference"/>
          <w:szCs w:val="22"/>
          <w:vertAlign w:val="superscript"/>
        </w:rPr>
        <w:footnoteReference w:id="18"/>
      </w:r>
      <w:r>
        <w:t xml:space="preserve"> and the Economic Census Data for 2012,</w:t>
      </w:r>
      <w:r w:rsidR="004D29AF">
        <w:t xml:space="preserve"> </w:t>
      </w:r>
      <w:r>
        <w:rPr>
          <w:rStyle w:val="FootnoteReference"/>
          <w:szCs w:val="22"/>
        </w:rPr>
        <w:footnoteReference w:id="19"/>
      </w:r>
      <w:r w:rsidRPr="00F837C5">
        <w:t>1,650</w:t>
      </w:r>
      <w:r>
        <w:t xml:space="preserve"> establishments were estimated to be operating within NAICS 5629102 (Waste Management and Remediation Services – Asbestos Abatement and Lead Paint Removal).</w:t>
      </w:r>
      <w:r w:rsidRPr="00327E32">
        <w:rPr>
          <w:rStyle w:val="FootnoteReference"/>
        </w:rPr>
        <w:t xml:space="preserve"> </w:t>
      </w:r>
      <w:r>
        <w:t xml:space="preserve"> Assuming that the ratio of firms to employees has remained constant, ERG estimates that there are potentially </w:t>
      </w:r>
      <w:r w:rsidR="00132B14">
        <w:rPr>
          <w:color w:val="000000"/>
          <w:szCs w:val="22"/>
        </w:rPr>
        <w:t>37,024</w:t>
      </w:r>
      <w:r w:rsidRPr="003C3B90">
        <w:rPr>
          <w:bCs/>
        </w:rPr>
        <w:t xml:space="preserve"> </w:t>
      </w:r>
      <w:r>
        <w:t xml:space="preserve">workers exposed to asbestos during abatement and demolition activities on an annual basis.  </w:t>
      </w:r>
      <w:r w:rsidR="00437EE4">
        <w:t xml:space="preserve"> </w:t>
      </w:r>
    </w:p>
    <w:p w:rsidR="00107A2E" w:rsidP="00107A2E" w14:paraId="21506151" w14:textId="77777777">
      <w:pPr>
        <w:pStyle w:val="Heading1"/>
      </w:pPr>
      <w:r>
        <w:t>Change in Building Stock</w:t>
      </w:r>
    </w:p>
    <w:p w:rsidR="00107A2E" w:rsidP="00107A2E" w14:paraId="23B217CD" w14:textId="77777777">
      <w:pPr>
        <w:pStyle w:val="BodyText"/>
      </w:pPr>
      <w:r>
        <w:t xml:space="preserve">The remainder of the estimates of the number of workers in scope by activity are based on the change in the stock of buildings that contain </w:t>
      </w:r>
      <w:r w:rsidRPr="001C1BC8">
        <w:t>asbestos and/or presumed asbestos containing material</w:t>
      </w:r>
      <w:r>
        <w:t>.</w:t>
      </w:r>
    </w:p>
    <w:p w:rsidR="00107A2E" w:rsidP="00107A2E" w14:paraId="0247CFDE" w14:textId="77777777">
      <w:pPr>
        <w:pStyle w:val="BodyText"/>
      </w:pPr>
      <w:r>
        <w:t>Because the widespread use of asbestos in construction ceased in the mid-1970s, the number of workers potentially exposed to asbestos in renovation and maintenance activities has gradually reduced over time. This reduction can be through one of two means:</w:t>
      </w:r>
    </w:p>
    <w:p w:rsidR="00107A2E" w:rsidP="00107A2E" w14:paraId="17FE3A90" w14:textId="77777777">
      <w:pPr>
        <w:pStyle w:val="ListNumber"/>
      </w:pPr>
      <w:r>
        <w:t xml:space="preserve">Entire buildings containing asbestos are </w:t>
      </w:r>
      <w:r w:rsidRPr="00735264">
        <w:rPr>
          <w:b/>
          <w:bCs/>
        </w:rPr>
        <w:t xml:space="preserve">demolished </w:t>
      </w:r>
      <w:r>
        <w:t>(e.g., to build a new building in its place).</w:t>
      </w:r>
    </w:p>
    <w:p w:rsidR="00107A2E" w:rsidP="00107A2E" w14:paraId="0F1961A9" w14:textId="77777777">
      <w:pPr>
        <w:pStyle w:val="ListNumber"/>
      </w:pPr>
      <w:r>
        <w:t xml:space="preserve">All or part of the asbestos containing material in a building is </w:t>
      </w:r>
      <w:r w:rsidRPr="00735264">
        <w:rPr>
          <w:b/>
          <w:bCs/>
        </w:rPr>
        <w:t>remediated</w:t>
      </w:r>
      <w:r>
        <w:t>, either because the building is being renovated or because the asbestos hazard is specifically targeted.</w:t>
      </w:r>
    </w:p>
    <w:p w:rsidR="00107A2E" w:rsidP="00107A2E" w14:paraId="5BC4557A" w14:textId="0AE399D7">
      <w:pPr>
        <w:pStyle w:val="BodyText"/>
      </w:pPr>
      <w:r>
        <w:t>The last several versions of OSHA’s asbestos in construction ICR already account</w:t>
      </w:r>
      <w:r w:rsidR="0075257B">
        <w:t>ed</w:t>
      </w:r>
      <w:r>
        <w:t xml:space="preserve"> for the first of these two processes, demolition (although the exact approach used has varied over time). The 202</w:t>
      </w:r>
      <w:r w:rsidR="0075257B">
        <w:t>4</w:t>
      </w:r>
      <w:r>
        <w:t xml:space="preserve"> ICR renewal request additionally accounts for the second process, remediation and renovation.</w:t>
      </w:r>
    </w:p>
    <w:p w:rsidR="00107A2E" w:rsidP="00107A2E" w14:paraId="1610154B" w14:textId="77777777">
      <w:pPr>
        <w:pStyle w:val="Heading2"/>
      </w:pPr>
      <w:r>
        <w:t>Estimating Demolition Rates</w:t>
      </w:r>
    </w:p>
    <w:p w:rsidR="00107A2E" w:rsidP="00107A2E" w14:paraId="020DAE46" w14:textId="77777777">
      <w:pPr>
        <w:pStyle w:val="BodyText"/>
      </w:pPr>
      <w:r>
        <w:t xml:space="preserve">Since at least 2011, </w:t>
      </w:r>
      <w:r w:rsidRPr="00770E1C">
        <w:t xml:space="preserve">OSHA’s Asbestos in Construction ICR renewal process </w:t>
      </w:r>
      <w:r>
        <w:t>has accounted</w:t>
      </w:r>
      <w:r w:rsidRPr="00770E1C">
        <w:t xml:space="preserve"> for asbestos removed through demolition using the U.S. Census Bureau (2021) American Community Survey (ACS) data</w:t>
      </w:r>
      <w:r>
        <w:rPr>
          <w:rStyle w:val="FootnoteReference"/>
          <w:vertAlign w:val="superscript"/>
        </w:rPr>
        <w:footnoteReference w:id="20"/>
      </w:r>
      <w:r w:rsidRPr="00770E1C">
        <w:t xml:space="preserve"> on the declining number of residential buildings</w:t>
      </w:r>
      <w:r>
        <w:t xml:space="preserve"> that may contain asbestos</w:t>
      </w:r>
      <w:r w:rsidRPr="00770E1C">
        <w:t xml:space="preserve"> and using the rate of decline to reduce the number of exposed workers.</w:t>
      </w:r>
    </w:p>
    <w:p w:rsidR="00107A2E" w:rsidP="00107A2E" w14:paraId="61E3669B" w14:textId="77777777">
      <w:pPr>
        <w:pStyle w:val="BodyText"/>
      </w:pPr>
      <w:r>
        <w:t xml:space="preserve">The RIA estimated that in 1993 there were </w:t>
      </w:r>
      <w:r w:rsidRPr="000136F2">
        <w:t>72,500,000</w:t>
      </w:r>
      <w:r>
        <w:t xml:space="preserve"> </w:t>
      </w:r>
      <w:r w:rsidRPr="000136F2">
        <w:t>residential buildings built before 1975</w:t>
      </w:r>
      <w:r>
        <w:t xml:space="preserve">. For this ICR renewal, ERG estimates the </w:t>
      </w:r>
      <w:r w:rsidRPr="00133D47">
        <w:t xml:space="preserve">average number of buildings built in each year of the decades reported in the ACS data, and then sums the number of </w:t>
      </w:r>
      <w:r>
        <w:t xml:space="preserve">residential </w:t>
      </w:r>
      <w:r w:rsidRPr="00133D47">
        <w:t>buildings built before 1975</w:t>
      </w:r>
      <w:r>
        <w:t xml:space="preserve"> (</w:t>
      </w:r>
      <w:r w:rsidRPr="00133D47">
        <w:t>65,273,238</w:t>
      </w:r>
      <w:r>
        <w:t>). This represents a change of 10 percent (</w:t>
      </w:r>
      <w:r w:rsidRPr="00CD336E">
        <w:t>72,500,000</w:t>
      </w:r>
      <w:r>
        <w:t xml:space="preserve"> - </w:t>
      </w:r>
      <w:r w:rsidRPr="00CD336E">
        <w:t>65,273,238</w:t>
      </w:r>
      <w:r>
        <w:t xml:space="preserve"> = </w:t>
      </w:r>
      <w:r w:rsidRPr="00CD336E">
        <w:t>7,226,762</w:t>
      </w:r>
      <w:r>
        <w:t xml:space="preserve">, </w:t>
      </w:r>
      <w:r w:rsidRPr="00CD336E">
        <w:t>7,226,762</w:t>
      </w:r>
      <w:r>
        <w:t xml:space="preserve"> ÷ </w:t>
      </w:r>
      <w:r w:rsidRPr="00CD336E">
        <w:t>72,500,000</w:t>
      </w:r>
      <w:r>
        <w:t xml:space="preserve"> = 10 percent).</w:t>
      </w:r>
    </w:p>
    <w:p w:rsidR="00107A2E" w:rsidP="00107A2E" w14:paraId="6BE42478" w14:textId="77777777">
      <w:pPr>
        <w:pStyle w:val="Heading2"/>
      </w:pPr>
      <w:r>
        <w:t>Estimating Renovation/Remediation Rates</w:t>
      </w:r>
    </w:p>
    <w:p w:rsidR="00107A2E" w:rsidP="00107A2E" w14:paraId="2A581079" w14:textId="60B59B3B">
      <w:pPr>
        <w:pStyle w:val="BodyText"/>
      </w:pPr>
      <w:r>
        <w:t>In the</w:t>
      </w:r>
      <w:r w:rsidR="00B0181E">
        <w:t xml:space="preserve"> 202</w:t>
      </w:r>
      <w:r w:rsidR="00F4731A">
        <w:t>4</w:t>
      </w:r>
      <w:r w:rsidR="00B0181E">
        <w:t xml:space="preserve"> ICR renewal request, ERG additionally accounts for the change in buildings that may contain asbestos due to renovation or remediation. After reviewing available data, ERG selected the Massachusetts database</w:t>
      </w:r>
      <w:r>
        <w:rPr>
          <w:rStyle w:val="FootnoteReference"/>
          <w:vertAlign w:val="superscript"/>
        </w:rPr>
        <w:footnoteReference w:id="21"/>
      </w:r>
      <w:r w:rsidR="00B0181E">
        <w:t xml:space="preserve"> of asbestos projects as the most comprehensive and most amendable to future updates. </w:t>
      </w:r>
    </w:p>
    <w:p w:rsidR="00107A2E" w:rsidP="00107A2E" w14:paraId="0F7CB59F" w14:textId="77777777">
      <w:pPr>
        <w:pStyle w:val="BodyText"/>
      </w:pPr>
      <w:r>
        <w:t xml:space="preserve">Using the available asbestos project type data in the Massachusetts database, ERG excluded projects where the project type either (1) contained the text string “dem” (i.e., “demolition” or some variation or misspelling thereof) or (2) had a blank project type field. ERG then counted the number of abatement and renovation projects for 2002 to 2019 (the years for which ACS building data are available). </w:t>
      </w:r>
    </w:p>
    <w:p w:rsidR="00107A2E" w:rsidP="00107A2E" w14:paraId="3E504910" w14:textId="77777777">
      <w:pPr>
        <w:pStyle w:val="BodyText"/>
      </w:pPr>
      <w:r>
        <w:t>ERG also compiled ACS data on the total number of housing units by year built for Massachusetts in each year from 2002 to 2019.</w:t>
      </w:r>
      <w:r>
        <w:rPr>
          <w:rStyle w:val="FootnoteReference"/>
          <w:vertAlign w:val="superscript"/>
        </w:rPr>
        <w:footnoteReference w:id="22"/>
      </w:r>
      <w:r>
        <w:t xml:space="preserve"> The ACS has housing units grouped by year built. ERG used these groupings to determine how many residential buildings were built prior to </w:t>
      </w:r>
      <w:r>
        <w:t>1975.</w:t>
      </w:r>
      <w:r>
        <w:rPr>
          <w:rStyle w:val="FootnoteReference"/>
          <w:vertAlign w:val="superscript"/>
        </w:rPr>
        <w:footnoteReference w:id="23"/>
      </w:r>
      <w:r>
        <w:t xml:space="preserve"> </w:t>
      </w:r>
    </w:p>
    <w:p w:rsidR="00107A2E" w:rsidP="00107A2E" w14:paraId="290FBC69" w14:textId="77777777">
      <w:pPr>
        <w:pStyle w:val="BodyText"/>
      </w:pPr>
      <w:r w:rsidRPr="006B1247">
        <w:t>ERG then calculated the remediation rates by dividing the number of recorded remediation and renovation projects by the number of pre-1975 housing units for each year.</w:t>
      </w:r>
      <w:r>
        <w:t xml:space="preserve"> </w:t>
      </w:r>
      <w:r w:rsidRPr="006B1247">
        <w:t xml:space="preserve">Summing the percentages from 2002 to 2019, </w:t>
      </w:r>
      <w:r>
        <w:t xml:space="preserve">renovation and </w:t>
      </w:r>
      <w:r w:rsidRPr="006B1247">
        <w:t xml:space="preserve">remediation projects </w:t>
      </w:r>
      <w:r>
        <w:t>amounted to</w:t>
      </w:r>
      <w:r w:rsidRPr="006B1247">
        <w:t xml:space="preserve"> 13.94 percent of the number of pre-1975 residential buildings</w:t>
      </w:r>
      <w:r>
        <w:t>. This same percentage is used for the entire U.S.</w:t>
      </w:r>
    </w:p>
    <w:p w:rsidR="00107A2E" w:rsidP="00107A2E" w14:paraId="5BBBDA90" w14:textId="77777777">
      <w:pPr>
        <w:pStyle w:val="Heading2"/>
      </w:pPr>
      <w:r>
        <w:t>Summing Demolition and Renovation/Remediation</w:t>
      </w:r>
    </w:p>
    <w:p w:rsidR="00107A2E" w:rsidP="00107A2E" w14:paraId="50BCBF05" w14:textId="5EE210A7">
      <w:pPr>
        <w:pStyle w:val="BodyText"/>
      </w:pPr>
      <w:r>
        <w:t xml:space="preserve">The demolition rate and renovation/remediation rate are summed. This results in a </w:t>
      </w:r>
      <w:r w:rsidR="00832798">
        <w:t>25.54</w:t>
      </w:r>
      <w:r>
        <w:t xml:space="preserve"> percent reduction in buildings that may contain asbestos since the RIA (1</w:t>
      </w:r>
      <w:r w:rsidR="00A5552C">
        <w:t>0</w:t>
      </w:r>
      <w:r>
        <w:t xml:space="preserve"> percent + 1</w:t>
      </w:r>
      <w:r w:rsidR="00CB6975">
        <w:t>5.5</w:t>
      </w:r>
      <w:r>
        <w:t xml:space="preserve">4 percent = </w:t>
      </w:r>
      <w:r w:rsidR="00832798">
        <w:t>25.5</w:t>
      </w:r>
      <w:r>
        <w:t>4 percent).</w:t>
      </w:r>
    </w:p>
    <w:p w:rsidR="00107A2E" w:rsidRPr="00175DF1" w:rsidP="00107A2E" w14:paraId="73F9148E" w14:textId="77777777">
      <w:pPr>
        <w:pStyle w:val="BodyText"/>
      </w:pPr>
      <w:r>
        <w:t>This change is applied to the employment estimates that follow.</w:t>
      </w:r>
    </w:p>
    <w:p w:rsidR="00107A2E" w:rsidP="00107A2E" w14:paraId="35968173" w14:textId="77777777">
      <w:pPr>
        <w:rPr>
          <w:szCs w:val="22"/>
        </w:rPr>
      </w:pPr>
      <w:r>
        <w:rPr>
          <w:b/>
          <w:szCs w:val="22"/>
        </w:rPr>
        <w:t>Renovation/Remodeling</w:t>
      </w:r>
    </w:p>
    <w:p w:rsidR="00107A2E" w:rsidP="00107A2E" w14:paraId="69F0E7F9" w14:textId="77777777">
      <w:pPr>
        <w:rPr>
          <w:szCs w:val="22"/>
        </w:rPr>
      </w:pPr>
    </w:p>
    <w:p w:rsidR="00107A2E" w:rsidP="00107A2E" w14:paraId="5A003B6F" w14:textId="77777777">
      <w:pPr>
        <w:pStyle w:val="BodyText"/>
      </w:pPr>
      <w:r>
        <w:t xml:space="preserve">The RIA estimated that </w:t>
      </w:r>
      <w:r w:rsidRPr="00D30505">
        <w:t>51,300</w:t>
      </w:r>
      <w:r>
        <w:t xml:space="preserve"> workers in renovation and remodeling of asbestos-containing buildings are affected by the Standard, the majority of which would have been exposed to asbestos from spackling, tape, and joint compounds during drywall demolition. According to the RIA, the use of asbestos for these applications was stopped in the mid-1970s and that exposure to friable asbestos would only likely occur during demolition projects in buildings constructed before this time. </w:t>
      </w:r>
    </w:p>
    <w:p w:rsidR="00107A2E" w:rsidP="00107A2E" w14:paraId="55F4F474" w14:textId="152DDCBD">
      <w:pPr>
        <w:pStyle w:val="BodyText"/>
      </w:pPr>
      <w:r>
        <w:t xml:space="preserve">ERG uses the </w:t>
      </w:r>
      <w:r w:rsidR="00B46A39">
        <w:t>25.54</w:t>
      </w:r>
      <w:r>
        <w:t xml:space="preserve"> percent change in building stock discussed above to estimate the current number of workers in renovation and remodeling of asbestos-containing buildings as </w:t>
      </w:r>
      <w:r w:rsidR="00953623">
        <w:t>38,198</w:t>
      </w:r>
      <w:r>
        <w:t xml:space="preserve"> [51,300 × (1 </w:t>
      </w:r>
      <w:r w:rsidR="007C60C7">
        <w:t>–</w:t>
      </w:r>
      <w:r>
        <w:t xml:space="preserve"> </w:t>
      </w:r>
      <w:r w:rsidR="0036720F">
        <w:t>25</w:t>
      </w:r>
      <w:r w:rsidR="007C60C7">
        <w:t>.5</w:t>
      </w:r>
      <w:r w:rsidR="00953623">
        <w:t>4</w:t>
      </w:r>
      <w:r>
        <w:t xml:space="preserve"> percent) = </w:t>
      </w:r>
      <w:r w:rsidR="00953623">
        <w:t>38,198</w:t>
      </w:r>
      <w:r>
        <w:t>].</w:t>
      </w:r>
    </w:p>
    <w:p w:rsidR="00107A2E" w:rsidP="00107A2E" w14:paraId="3152EBE5" w14:textId="77777777">
      <w:pPr>
        <w:pStyle w:val="BodyText"/>
      </w:pPr>
      <w:r w:rsidRPr="000F479B">
        <w:t>T</w:t>
      </w:r>
      <w:r>
        <w:t xml:space="preserve">he RIA notes that built up roofs constructed with asbestos roofing felts generally have long useful lives of roughly twenty years. Assuming that roofing felts have not been used substantially since the mid-1970s, ERG assumes that all asbestos roofing felts would have been removed and that there is currently </w:t>
      </w:r>
      <w:r w:rsidRPr="00864742">
        <w:rPr>
          <w:b/>
        </w:rPr>
        <w:t>no</w:t>
      </w:r>
      <w:r>
        <w:t xml:space="preserve"> worker exposure to asbestos stemming from this work activity. Similarly, the RIA notes that, while asbestos flooring products “have a useful life of approximately 25-30 years, they are generally replaced more often.” ERG assumes that asbestos flooring products have not been produced since roughly 1980 and that all but a small percentage of these products would have been removed since publication of the RIA. ERG assumes </w:t>
      </w:r>
      <w:r>
        <w:rPr>
          <w:b/>
        </w:rPr>
        <w:t>no</w:t>
      </w:r>
      <w:r>
        <w:t xml:space="preserve"> worker exposure to asbestos stemming from this work activity. </w:t>
      </w:r>
    </w:p>
    <w:p w:rsidR="00107A2E" w:rsidP="00107A2E" w14:paraId="55307D4B" w14:textId="77777777">
      <w:pPr>
        <w:pStyle w:val="Heading1"/>
      </w:pPr>
      <w:r>
        <w:t>Routine Maintenance in Public, Commercial, and Residential Buildings</w:t>
      </w:r>
    </w:p>
    <w:p w:rsidR="00107A2E" w:rsidP="00107A2E" w14:paraId="40437C90" w14:textId="77777777">
      <w:pPr>
        <w:pStyle w:val="BodyText"/>
      </w:pPr>
      <w:r>
        <w:t>Worker exposure to asbestos during routine maintenance was assumed to occur during eight separate work activities: adjustment or repair of HVAC ductwork or lighting (above a drop ceiling); replacement of drop ceiling tiles; repair of leaking water or steam pipes; boiler maintenance or repair activities; and repairs to roofing, drywall or flooring. In total, the RIA assumed that a total 128,867 workers would be potentially exposed to asbestos during these construction activities</w:t>
      </w:r>
      <w:r>
        <w:rPr>
          <w:rStyle w:val="FootnoteReference"/>
          <w:szCs w:val="22"/>
          <w:vertAlign w:val="superscript"/>
        </w:rPr>
        <w:footnoteReference w:id="24"/>
      </w:r>
      <w:r>
        <w:t xml:space="preserve">. As discussed earlier, ERG assumes no worker exposure during the repair of flooring and roofing as it assumed that the lifespan of these products would have required removal and replacement prior to this ICR update. Additionally, ERG assumes that all drop ceiling tiles containing asbestos have since been replaced and that no worker exposure will result from this specific work activity. Excluding these workers reduces the number of workers in this category in the RIA to </w:t>
      </w:r>
      <w:r w:rsidRPr="003F1292">
        <w:t>62,293</w:t>
      </w:r>
      <w:r>
        <w:t>.</w:t>
      </w:r>
    </w:p>
    <w:p w:rsidR="00107A2E" w:rsidP="00107A2E" w14:paraId="780E83BD" w14:textId="53549894">
      <w:pPr>
        <w:pStyle w:val="BodyText"/>
      </w:pPr>
      <w:r>
        <w:t xml:space="preserve">The agency </w:t>
      </w:r>
      <w:r w:rsidRPr="003F1292" w:rsidR="00B0181E">
        <w:t xml:space="preserve">uses the </w:t>
      </w:r>
      <w:r w:rsidR="00953623">
        <w:t>25.54</w:t>
      </w:r>
      <w:r w:rsidRPr="003F1292" w:rsidR="00B0181E">
        <w:t xml:space="preserve"> percent change in building stock discussed above to estimate the </w:t>
      </w:r>
      <w:r w:rsidRPr="003F1292" w:rsidR="003A594F">
        <w:t xml:space="preserve">current </w:t>
      </w:r>
      <w:r w:rsidR="003A594F">
        <w:t>number</w:t>
      </w:r>
      <w:r w:rsidR="00B0181E">
        <w:t xml:space="preserve"> of workers exposed during routine maintenance in public, commercial, and residential buildings as </w:t>
      </w:r>
      <w:r w:rsidR="004912A7">
        <w:t>4</w:t>
      </w:r>
      <w:r w:rsidR="00D86D56">
        <w:t>6,383</w:t>
      </w:r>
      <w:r w:rsidRPr="003F1292" w:rsidR="00B0181E">
        <w:t xml:space="preserve"> [62,293 × (1 </w:t>
      </w:r>
      <w:r w:rsidR="00D86D56">
        <w:t>–</w:t>
      </w:r>
      <w:r w:rsidRPr="003F1292" w:rsidR="00B0181E">
        <w:t xml:space="preserve"> </w:t>
      </w:r>
      <w:r w:rsidR="00D86D56">
        <w:t>25.54</w:t>
      </w:r>
      <w:r w:rsidRPr="003F1292" w:rsidR="00B0181E">
        <w:t xml:space="preserve"> </w:t>
      </w:r>
      <w:r w:rsidR="00B0181E">
        <w:t>percent)</w:t>
      </w:r>
      <w:r w:rsidRPr="003F1292" w:rsidR="00B0181E">
        <w:t xml:space="preserve"> = </w:t>
      </w:r>
      <w:r w:rsidR="00D86D56">
        <w:t>46,383</w:t>
      </w:r>
      <w:r w:rsidR="00B0181E">
        <w:t>]</w:t>
      </w:r>
      <w:r w:rsidRPr="003F1292" w:rsidR="00B0181E">
        <w:t>.</w:t>
      </w:r>
    </w:p>
    <w:p w:rsidR="00107A2E" w:rsidP="00107A2E" w14:paraId="5FE0EB49" w14:textId="77777777">
      <w:pPr>
        <w:pStyle w:val="Heading1"/>
      </w:pPr>
      <w:r>
        <w:t>Routine Maintenance in Industrial Facilities</w:t>
      </w:r>
    </w:p>
    <w:p w:rsidR="00107A2E" w:rsidP="00107A2E" w14:paraId="52AF32A6" w14:textId="77777777">
      <w:pPr>
        <w:pStyle w:val="BodyText"/>
      </w:pPr>
      <w:r>
        <w:t xml:space="preserve">The RIA estimated </w:t>
      </w:r>
      <w:r w:rsidRPr="007C0F81">
        <w:t>243,454</w:t>
      </w:r>
      <w:r>
        <w:t xml:space="preserve"> workers exposed to asbestos during routine maintenance in industrial facilities. Worker exposure was assumed to occur during five separate work activities: gasket removal and installation; boiler removal and installation; pipe removal and installation; miscellaneous maintenance; and, miscellaneous telecommunications maintenance. The RIA notes that miscellaneous maintenance activities include the variety of building maintenance activities described earlier; as such, ERG assumes that the number of workers engaged in these activities will decline by the same overall percentage as the number of workers engaged in public, commercial and residential building maintenance. </w:t>
      </w:r>
    </w:p>
    <w:p w:rsidR="00107A2E" w:rsidP="00107A2E" w14:paraId="2636F00F" w14:textId="74088CBD">
      <w:pPr>
        <w:pStyle w:val="BodyText"/>
      </w:pPr>
      <w:r>
        <w:t>The agency</w:t>
      </w:r>
      <w:r w:rsidRPr="007C0F81" w:rsidR="00B0181E">
        <w:t xml:space="preserve"> uses the </w:t>
      </w:r>
      <w:r w:rsidR="00D86D56">
        <w:t>25.54</w:t>
      </w:r>
      <w:r w:rsidRPr="007C0F81" w:rsidR="00B0181E">
        <w:t xml:space="preserve"> percent change in building stock discussed above to estimate the current number of workers exposed during routine maintenance</w:t>
      </w:r>
      <w:r w:rsidR="00B0181E">
        <w:t xml:space="preserve"> in industrial facilities as </w:t>
      </w:r>
      <w:r w:rsidR="005325E1">
        <w:t>181</w:t>
      </w:r>
      <w:r w:rsidR="00B92074">
        <w:t>,276</w:t>
      </w:r>
      <w:r w:rsidRPr="007C0F81" w:rsidR="00B0181E">
        <w:t xml:space="preserve"> [243,454 × (1 - </w:t>
      </w:r>
      <w:r w:rsidR="00D86D56">
        <w:t>25.54</w:t>
      </w:r>
      <w:r w:rsidRPr="007C0F81" w:rsidR="00B0181E">
        <w:t xml:space="preserve"> percent) = </w:t>
      </w:r>
      <w:r w:rsidR="005325E1">
        <w:t>181,276</w:t>
      </w:r>
      <w:r w:rsidRPr="007C0F81" w:rsidR="00B0181E">
        <w:t>].</w:t>
      </w:r>
    </w:p>
    <w:p w:rsidR="00107A2E" w:rsidP="00107A2E" w14:paraId="24A43C8D" w14:textId="77777777">
      <w:pPr>
        <w:pStyle w:val="Heading1"/>
      </w:pPr>
      <w:r>
        <w:t>Custodial Work in Public, Commercial and Residential Buildings</w:t>
      </w:r>
    </w:p>
    <w:p w:rsidR="00107A2E" w:rsidP="00107A2E" w14:paraId="4BB3C38A" w14:textId="77777777">
      <w:pPr>
        <w:pStyle w:val="BodyText"/>
      </w:pPr>
      <w:r>
        <w:t xml:space="preserve">The RIA estimated </w:t>
      </w:r>
      <w:r w:rsidRPr="004E2DE9">
        <w:t xml:space="preserve">2,395,500 </w:t>
      </w:r>
      <w:r>
        <w:t xml:space="preserve">workers exposed to asbestos during custodial work in public, commercial and residential buildings. The RIA notes that “asbestos exposure in public and commercial buildings can occur during a variety of tasks involving disturbance of asbestos or </w:t>
      </w:r>
      <w:r>
        <w:t xml:space="preserve">asbestos-containing materials, in addition to routine maintenance activities described above,” and can occur during sweeping, cleaning, dusting, mopping, vacuuming, stripping and buffing of floor tile, and clean-up after asbestos removal or other significant construction work. </w:t>
      </w:r>
    </w:p>
    <w:p w:rsidR="00107A2E" w:rsidP="00107A2E" w14:paraId="4A616890" w14:textId="5E13ABFB">
      <w:pPr>
        <w:pStyle w:val="BodyText"/>
      </w:pPr>
      <w:r>
        <w:t>THE AGENCY</w:t>
      </w:r>
      <w:r w:rsidRPr="004E2DE9" w:rsidR="00B0181E">
        <w:t xml:space="preserve"> uses the </w:t>
      </w:r>
      <w:r w:rsidR="00B46A39">
        <w:t>25.54</w:t>
      </w:r>
      <w:r w:rsidRPr="004E2DE9" w:rsidR="00B0181E">
        <w:t xml:space="preserve"> percent change in building stock discussed above to estimate the current number of workers exposed during</w:t>
      </w:r>
      <w:r w:rsidR="00B0181E">
        <w:t xml:space="preserve"> c</w:t>
      </w:r>
      <w:r w:rsidRPr="004E2DE9" w:rsidR="00B0181E">
        <w:t>ustodial work in public, commercial and residential buildings</w:t>
      </w:r>
      <w:r w:rsidR="00B0181E">
        <w:t xml:space="preserve"> as </w:t>
      </w:r>
      <w:r w:rsidR="00490A20">
        <w:t>1,783,</w:t>
      </w:r>
      <w:r w:rsidR="00311B10">
        <w:t>689</w:t>
      </w:r>
      <w:r w:rsidRPr="004E2DE9" w:rsidR="00B0181E">
        <w:t xml:space="preserve"> [2,395,500 × (1 - </w:t>
      </w:r>
      <w:r w:rsidR="00B46A39">
        <w:t>25.54</w:t>
      </w:r>
      <w:r w:rsidRPr="004E2DE9" w:rsidR="00B0181E">
        <w:t xml:space="preserve"> percent) = </w:t>
      </w:r>
      <w:r w:rsidR="00490A20">
        <w:t>1,783,689</w:t>
      </w:r>
      <w:r w:rsidRPr="004E2DE9" w:rsidR="00B0181E">
        <w:t>].</w:t>
      </w:r>
    </w:p>
    <w:p w:rsidR="00107A2E" w:rsidP="00107A2E" w14:paraId="15F53794" w14:textId="77777777">
      <w:pPr>
        <w:pStyle w:val="Heading1"/>
      </w:pPr>
      <w:r>
        <w:t>Custodial Work in Industrial Facilities</w:t>
      </w:r>
    </w:p>
    <w:p w:rsidR="00107A2E" w:rsidP="00107A2E" w14:paraId="7B61E561" w14:textId="77777777">
      <w:pPr>
        <w:pStyle w:val="BodyText"/>
      </w:pPr>
      <w:r>
        <w:t xml:space="preserve">The RIA estimated </w:t>
      </w:r>
      <w:r w:rsidRPr="0008150D">
        <w:t>339,562</w:t>
      </w:r>
      <w:r>
        <w:t xml:space="preserve"> workers exposed to asbestos during custodial work in industrial facilities. The RIA notes that “custodial work in industrial facilities largely resembles custodial work in public, commercial, and residential buildings and was identically modeled by CONSAD.” </w:t>
      </w:r>
    </w:p>
    <w:p w:rsidR="00107A2E" w:rsidP="00107A2E" w14:paraId="75A9B86A" w14:textId="11E78793">
      <w:pPr>
        <w:pStyle w:val="BodyText"/>
      </w:pPr>
      <w:r>
        <w:t>THE AGENCY</w:t>
      </w:r>
      <w:r w:rsidRPr="007A2901" w:rsidR="00B0181E">
        <w:t xml:space="preserve"> uses the </w:t>
      </w:r>
      <w:r w:rsidR="00B46A39">
        <w:t>25.54</w:t>
      </w:r>
      <w:r w:rsidRPr="007A2901" w:rsidR="00B0181E">
        <w:t xml:space="preserve"> percent change in building stock discussed above to estimate the current number of workers exposed during custodial work in</w:t>
      </w:r>
      <w:r w:rsidR="00B0181E">
        <w:t xml:space="preserve"> industrial facilities as </w:t>
      </w:r>
      <w:r w:rsidRPr="007A2901" w:rsidR="00B0181E">
        <w:t>25</w:t>
      </w:r>
      <w:r w:rsidR="007629CD">
        <w:t>2,838</w:t>
      </w:r>
      <w:r w:rsidRPr="007A2901" w:rsidR="00B0181E">
        <w:t xml:space="preserve"> [339,562 × (1 - </w:t>
      </w:r>
      <w:r w:rsidR="00B46A39">
        <w:t>25.54</w:t>
      </w:r>
      <w:r w:rsidRPr="007A2901" w:rsidR="00B0181E">
        <w:t xml:space="preserve"> </w:t>
      </w:r>
      <w:r w:rsidR="00B0181E">
        <w:t>percent)</w:t>
      </w:r>
      <w:r w:rsidRPr="007A2901" w:rsidR="00B0181E">
        <w:t xml:space="preserve"> = 25</w:t>
      </w:r>
      <w:r w:rsidR="00F94794">
        <w:t>2,</w:t>
      </w:r>
      <w:r w:rsidR="007629CD">
        <w:t>838</w:t>
      </w:r>
      <w:r w:rsidRPr="007A2901" w:rsidR="00B0181E">
        <w:t>].</w:t>
      </w:r>
    </w:p>
    <w:p w:rsidR="00107A2E" w:rsidP="00107A2E" w14:paraId="0B14B638" w14:textId="77777777">
      <w:pPr>
        <w:pStyle w:val="Heading1"/>
      </w:pPr>
      <w:r>
        <w:t>Total Covered Employees and Employers</w:t>
      </w:r>
    </w:p>
    <w:p w:rsidR="00107A2E" w:rsidP="00107A2E" w14:paraId="349F31A0" w14:textId="77777777">
      <w:pPr>
        <w:pStyle w:val="BodyText"/>
      </w:pPr>
      <w:r>
        <w:t>Following the approach used in ICR renewals since 2011, estimates of workers in each of the categories above are summed and compared to the RIA number to estimate the employment numbers actually used to update Supporting Statement A.</w:t>
      </w:r>
    </w:p>
    <w:p w:rsidR="00107A2E" w:rsidP="00107A2E" w14:paraId="5A3F9234" w14:textId="585A1230">
      <w:pPr>
        <w:pStyle w:val="BodyText"/>
      </w:pPr>
      <w:r>
        <w:t xml:space="preserve">As described above and shown in </w:t>
      </w:r>
      <w:r>
        <w:rPr>
          <w:color w:val="2B579A"/>
          <w:shd w:val="clear" w:color="auto" w:fill="E6E6E6"/>
        </w:rPr>
        <w:fldChar w:fldCharType="begin"/>
      </w:r>
      <w:r>
        <w:instrText xml:space="preserve"> REF _Ref69218151 \h </w:instrText>
      </w:r>
      <w:r>
        <w:rPr>
          <w:color w:val="2B579A"/>
          <w:shd w:val="clear" w:color="auto" w:fill="E6E6E6"/>
        </w:rPr>
        <w:fldChar w:fldCharType="separate"/>
      </w:r>
      <w:r w:rsidR="00330F62">
        <w:t>Table</w:t>
      </w:r>
      <w:r>
        <w:rPr>
          <w:color w:val="2B579A"/>
          <w:shd w:val="clear" w:color="auto" w:fill="E6E6E6"/>
        </w:rPr>
        <w:fldChar w:fldCharType="end"/>
      </w:r>
      <w:r w:rsidR="0018100B">
        <w:rPr>
          <w:color w:val="2B579A"/>
          <w:shd w:val="clear" w:color="auto" w:fill="E6E6E6"/>
        </w:rPr>
        <w:t>3</w:t>
      </w:r>
      <w:r>
        <w:t xml:space="preserve">, summing all the worker categories yields a total of </w:t>
      </w:r>
      <w:r w:rsidRPr="001A18BD">
        <w:t>2,</w:t>
      </w:r>
      <w:r w:rsidR="004C2666">
        <w:t>339,408</w:t>
      </w:r>
      <w:r>
        <w:t xml:space="preserve">. This is a decrease of </w:t>
      </w:r>
      <w:r w:rsidR="00BD136A">
        <w:t>25</w:t>
      </w:r>
      <w:r>
        <w:t xml:space="preserve"> percent from the RIA figures of </w:t>
      </w:r>
      <w:r w:rsidRPr="005D60DB">
        <w:t>3,130,751</w:t>
      </w:r>
      <w:r>
        <w:t>.</w:t>
      </w:r>
    </w:p>
    <w:tbl>
      <w:tblPr>
        <w:tblW w:w="9503" w:type="dxa"/>
        <w:jc w:val="center"/>
        <w:tblLayout w:type="fixed"/>
        <w:tblCellMar>
          <w:left w:w="58" w:type="dxa"/>
          <w:right w:w="58" w:type="dxa"/>
        </w:tblCellMar>
        <w:tblLook w:val="04A0"/>
      </w:tblPr>
      <w:tblGrid>
        <w:gridCol w:w="5919"/>
        <w:gridCol w:w="1337"/>
        <w:gridCol w:w="1152"/>
        <w:gridCol w:w="1088"/>
        <w:gridCol w:w="7"/>
      </w:tblGrid>
      <w:tr w14:paraId="3AB9CD59" w14:textId="77777777" w:rsidTr="00872CE2">
        <w:tblPrEx>
          <w:tblW w:w="9503" w:type="dxa"/>
          <w:jc w:val="center"/>
          <w:tblLayout w:type="fixed"/>
          <w:tblCellMar>
            <w:left w:w="58" w:type="dxa"/>
            <w:right w:w="58" w:type="dxa"/>
          </w:tblCellMar>
          <w:tblLook w:val="04A0"/>
        </w:tblPrEx>
        <w:trPr>
          <w:trHeight w:val="255"/>
          <w:jc w:val="center"/>
        </w:trPr>
        <w:tc>
          <w:tcPr>
            <w:tcW w:w="9503" w:type="dxa"/>
            <w:gridSpan w:val="5"/>
            <w:tcBorders>
              <w:top w:val="nil"/>
              <w:left w:val="nil"/>
              <w:bottom w:val="single" w:sz="4" w:space="0" w:color="auto"/>
              <w:right w:val="nil"/>
            </w:tcBorders>
            <w:shd w:val="clear" w:color="auto" w:fill="auto"/>
            <w:noWrap/>
            <w:hideMark/>
          </w:tcPr>
          <w:p w:rsidR="00107A2E" w:rsidRPr="006C6DEF" w:rsidP="0018100B" w14:paraId="53D8AEE1" w14:textId="2964589C">
            <w:pPr>
              <w:pStyle w:val="Caption"/>
              <w:keepNext/>
              <w:rPr>
                <w:bCs/>
                <w:color w:val="000000"/>
                <w:szCs w:val="22"/>
              </w:rPr>
            </w:pPr>
            <w:bookmarkStart w:id="96" w:name="_Ref69218151"/>
            <w:r>
              <w:t>Table</w:t>
            </w:r>
            <w:bookmarkEnd w:id="96"/>
            <w:r w:rsidR="0018100B">
              <w:t xml:space="preserve"> 3</w:t>
            </w:r>
            <w:r>
              <w:t xml:space="preserve">. </w:t>
            </w:r>
            <w:r w:rsidRPr="006C6DEF">
              <w:rPr>
                <w:bCs/>
                <w:color w:val="000000"/>
                <w:szCs w:val="22"/>
              </w:rPr>
              <w:t>Estimated Change in Employment by Worker Category</w:t>
            </w:r>
          </w:p>
        </w:tc>
      </w:tr>
      <w:tr w14:paraId="2B4488D1" w14:textId="77777777" w:rsidTr="00872CE2">
        <w:tblPrEx>
          <w:tblW w:w="9503" w:type="dxa"/>
          <w:jc w:val="center"/>
          <w:tblLayout w:type="fixed"/>
          <w:tblCellMar>
            <w:left w:w="58" w:type="dxa"/>
            <w:right w:w="58" w:type="dxa"/>
          </w:tblCellMar>
          <w:tblLook w:val="04A0"/>
        </w:tblPrEx>
        <w:trPr>
          <w:gridAfter w:val="1"/>
          <w:wAfter w:w="7" w:type="dxa"/>
          <w:trHeight w:val="255"/>
          <w:jc w:val="center"/>
        </w:trPr>
        <w:tc>
          <w:tcPr>
            <w:tcW w:w="5919" w:type="dxa"/>
            <w:tcBorders>
              <w:top w:val="single" w:sz="4" w:space="0" w:color="auto"/>
              <w:left w:val="single" w:sz="4" w:space="0" w:color="auto"/>
              <w:bottom w:val="single" w:sz="4" w:space="0" w:color="auto"/>
              <w:right w:val="single" w:sz="4" w:space="0" w:color="auto"/>
            </w:tcBorders>
            <w:shd w:val="clear" w:color="000000" w:fill="BFBFBF"/>
            <w:hideMark/>
          </w:tcPr>
          <w:p w:rsidR="00107A2E" w:rsidRPr="006C6DEF" w:rsidP="00F64942" w14:paraId="0507A07C" w14:textId="77777777">
            <w:pPr>
              <w:widowControl/>
              <w:autoSpaceDE/>
              <w:autoSpaceDN/>
              <w:adjustRightInd/>
              <w:jc w:val="center"/>
              <w:rPr>
                <w:b/>
                <w:bCs/>
                <w:color w:val="000000"/>
                <w:szCs w:val="22"/>
              </w:rPr>
            </w:pPr>
            <w:r w:rsidRPr="006C6DEF">
              <w:rPr>
                <w:b/>
                <w:bCs/>
                <w:color w:val="000000"/>
                <w:szCs w:val="22"/>
              </w:rPr>
              <w:t>Category</w:t>
            </w:r>
          </w:p>
        </w:tc>
        <w:tc>
          <w:tcPr>
            <w:tcW w:w="1337" w:type="dxa"/>
            <w:tcBorders>
              <w:top w:val="single" w:sz="4" w:space="0" w:color="auto"/>
              <w:left w:val="nil"/>
              <w:bottom w:val="single" w:sz="4" w:space="0" w:color="auto"/>
              <w:right w:val="single" w:sz="4" w:space="0" w:color="auto"/>
            </w:tcBorders>
            <w:shd w:val="clear" w:color="000000" w:fill="BFBFBF"/>
            <w:hideMark/>
          </w:tcPr>
          <w:p w:rsidR="00107A2E" w:rsidRPr="006C6DEF" w:rsidP="00F64942" w14:paraId="10A45DA9" w14:textId="77777777">
            <w:pPr>
              <w:widowControl/>
              <w:autoSpaceDE/>
              <w:autoSpaceDN/>
              <w:adjustRightInd/>
              <w:jc w:val="center"/>
              <w:rPr>
                <w:b/>
                <w:bCs/>
                <w:color w:val="000000"/>
                <w:szCs w:val="22"/>
              </w:rPr>
            </w:pPr>
            <w:r w:rsidRPr="006C6DEF">
              <w:rPr>
                <w:b/>
                <w:bCs/>
                <w:color w:val="000000"/>
                <w:szCs w:val="22"/>
              </w:rPr>
              <w:t>RIA Estimate</w:t>
            </w:r>
          </w:p>
        </w:tc>
        <w:tc>
          <w:tcPr>
            <w:tcW w:w="1152" w:type="dxa"/>
            <w:tcBorders>
              <w:top w:val="single" w:sz="4" w:space="0" w:color="auto"/>
              <w:left w:val="nil"/>
              <w:bottom w:val="single" w:sz="4" w:space="0" w:color="auto"/>
              <w:right w:val="single" w:sz="4" w:space="0" w:color="auto"/>
            </w:tcBorders>
            <w:shd w:val="clear" w:color="000000" w:fill="BFBFBF"/>
            <w:hideMark/>
          </w:tcPr>
          <w:p w:rsidR="00107A2E" w:rsidRPr="006C6DEF" w:rsidP="00F64942" w14:paraId="0CA9E11B" w14:textId="77777777">
            <w:pPr>
              <w:widowControl/>
              <w:autoSpaceDE/>
              <w:autoSpaceDN/>
              <w:adjustRightInd/>
              <w:jc w:val="center"/>
              <w:rPr>
                <w:b/>
                <w:bCs/>
                <w:color w:val="000000"/>
                <w:szCs w:val="22"/>
              </w:rPr>
            </w:pPr>
            <w:r w:rsidRPr="006C6DEF">
              <w:rPr>
                <w:b/>
                <w:bCs/>
                <w:color w:val="000000"/>
                <w:szCs w:val="22"/>
              </w:rPr>
              <w:t>ICR</w:t>
            </w:r>
          </w:p>
        </w:tc>
        <w:tc>
          <w:tcPr>
            <w:tcW w:w="1088" w:type="dxa"/>
            <w:tcBorders>
              <w:top w:val="single" w:sz="4" w:space="0" w:color="auto"/>
              <w:left w:val="nil"/>
              <w:bottom w:val="single" w:sz="4" w:space="0" w:color="auto"/>
              <w:right w:val="single" w:sz="4" w:space="0" w:color="auto"/>
            </w:tcBorders>
            <w:shd w:val="clear" w:color="000000" w:fill="BFBFBF"/>
            <w:hideMark/>
          </w:tcPr>
          <w:p w:rsidR="00107A2E" w:rsidRPr="006C6DEF" w:rsidP="00F64942" w14:paraId="6C2D91F0" w14:textId="77777777">
            <w:pPr>
              <w:widowControl/>
              <w:autoSpaceDE/>
              <w:autoSpaceDN/>
              <w:adjustRightInd/>
              <w:jc w:val="center"/>
              <w:rPr>
                <w:b/>
                <w:bCs/>
                <w:color w:val="000000"/>
                <w:szCs w:val="22"/>
              </w:rPr>
            </w:pPr>
            <w:r w:rsidRPr="006C6DEF">
              <w:rPr>
                <w:b/>
                <w:bCs/>
                <w:color w:val="000000"/>
                <w:szCs w:val="22"/>
              </w:rPr>
              <w:t>% Change</w:t>
            </w:r>
          </w:p>
        </w:tc>
      </w:tr>
      <w:tr w14:paraId="44C7132A" w14:textId="77777777" w:rsidTr="00872CE2">
        <w:tblPrEx>
          <w:tblW w:w="9503" w:type="dxa"/>
          <w:jc w:val="center"/>
          <w:tblLayout w:type="fixed"/>
          <w:tblCellMar>
            <w:left w:w="58" w:type="dxa"/>
            <w:right w:w="58" w:type="dxa"/>
          </w:tblCellMar>
          <w:tblLook w:val="04A0"/>
        </w:tblPrEx>
        <w:trPr>
          <w:gridAfter w:val="1"/>
          <w:wAfter w:w="7" w:type="dxa"/>
          <w:trHeight w:val="255"/>
          <w:jc w:val="center"/>
        </w:trPr>
        <w:tc>
          <w:tcPr>
            <w:tcW w:w="5919" w:type="dxa"/>
            <w:tcBorders>
              <w:top w:val="single" w:sz="4" w:space="0" w:color="auto"/>
              <w:left w:val="single" w:sz="4" w:space="0" w:color="auto"/>
              <w:bottom w:val="single" w:sz="4" w:space="0" w:color="auto"/>
              <w:right w:val="single" w:sz="4" w:space="0" w:color="auto"/>
            </w:tcBorders>
            <w:shd w:val="clear" w:color="auto" w:fill="auto"/>
            <w:hideMark/>
          </w:tcPr>
          <w:p w:rsidR="00107A2E" w:rsidRPr="006C6DEF" w:rsidP="00F64942" w14:paraId="7F4191AA" w14:textId="77777777">
            <w:pPr>
              <w:widowControl/>
              <w:autoSpaceDE/>
              <w:autoSpaceDN/>
              <w:adjustRightInd/>
              <w:rPr>
                <w:color w:val="000000"/>
                <w:szCs w:val="22"/>
              </w:rPr>
            </w:pPr>
            <w:r w:rsidRPr="006C6DEF">
              <w:rPr>
                <w:color w:val="000000"/>
                <w:szCs w:val="22"/>
              </w:rPr>
              <w:t>New Construction</w:t>
            </w:r>
          </w:p>
        </w:tc>
        <w:tc>
          <w:tcPr>
            <w:tcW w:w="1337"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117E1B80" w14:textId="77777777">
            <w:pPr>
              <w:widowControl/>
              <w:autoSpaceDE/>
              <w:autoSpaceDN/>
              <w:adjustRightInd/>
              <w:jc w:val="right"/>
              <w:rPr>
                <w:color w:val="000000"/>
                <w:szCs w:val="22"/>
              </w:rPr>
            </w:pPr>
            <w:r w:rsidRPr="006C6DEF">
              <w:rPr>
                <w:color w:val="000000"/>
                <w:szCs w:val="22"/>
              </w:rPr>
              <w:t>—</w:t>
            </w:r>
          </w:p>
        </w:tc>
        <w:tc>
          <w:tcPr>
            <w:tcW w:w="1152" w:type="dxa"/>
            <w:tcBorders>
              <w:top w:val="nil"/>
              <w:left w:val="nil"/>
              <w:bottom w:val="single" w:sz="4" w:space="0" w:color="auto"/>
              <w:right w:val="single" w:sz="4" w:space="0" w:color="auto"/>
            </w:tcBorders>
            <w:shd w:val="clear" w:color="auto" w:fill="auto"/>
            <w:hideMark/>
          </w:tcPr>
          <w:p w:rsidR="00107A2E" w:rsidRPr="006C6DEF" w:rsidP="00F64942" w14:paraId="2DF1B0FA" w14:textId="77777777">
            <w:pPr>
              <w:widowControl/>
              <w:autoSpaceDE/>
              <w:autoSpaceDN/>
              <w:adjustRightInd/>
              <w:jc w:val="right"/>
              <w:rPr>
                <w:color w:val="000000"/>
                <w:szCs w:val="22"/>
              </w:rPr>
            </w:pPr>
            <w:r w:rsidRPr="006C6DEF">
              <w:rPr>
                <w:color w:val="000000"/>
                <w:szCs w:val="22"/>
              </w:rPr>
              <w:t>—</w:t>
            </w:r>
          </w:p>
        </w:tc>
        <w:tc>
          <w:tcPr>
            <w:tcW w:w="1088" w:type="dxa"/>
            <w:tcBorders>
              <w:top w:val="nil"/>
              <w:left w:val="nil"/>
              <w:bottom w:val="single" w:sz="4" w:space="0" w:color="auto"/>
              <w:right w:val="single" w:sz="4" w:space="0" w:color="auto"/>
            </w:tcBorders>
            <w:shd w:val="clear" w:color="auto" w:fill="auto"/>
            <w:hideMark/>
          </w:tcPr>
          <w:p w:rsidR="00107A2E" w:rsidRPr="006C6DEF" w:rsidP="00F64942" w14:paraId="2C1F387E" w14:textId="77777777">
            <w:pPr>
              <w:widowControl/>
              <w:autoSpaceDE/>
              <w:autoSpaceDN/>
              <w:adjustRightInd/>
              <w:jc w:val="right"/>
              <w:rPr>
                <w:color w:val="000000"/>
                <w:szCs w:val="22"/>
              </w:rPr>
            </w:pPr>
            <w:r w:rsidRPr="006C6DEF">
              <w:rPr>
                <w:color w:val="000000"/>
                <w:szCs w:val="22"/>
              </w:rPr>
              <w:t>—</w:t>
            </w:r>
          </w:p>
        </w:tc>
      </w:tr>
      <w:tr w14:paraId="3B6697A8" w14:textId="77777777" w:rsidTr="00872CE2">
        <w:tblPrEx>
          <w:tblW w:w="9503" w:type="dxa"/>
          <w:jc w:val="center"/>
          <w:tblLayout w:type="fixed"/>
          <w:tblCellMar>
            <w:left w:w="58" w:type="dxa"/>
            <w:right w:w="58" w:type="dxa"/>
          </w:tblCellMar>
          <w:tblLook w:val="04A0"/>
        </w:tblPrEx>
        <w:trPr>
          <w:gridAfter w:val="1"/>
          <w:wAfter w:w="7" w:type="dxa"/>
          <w:trHeight w:val="255"/>
          <w:jc w:val="center"/>
        </w:trPr>
        <w:tc>
          <w:tcPr>
            <w:tcW w:w="5919"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2437007C" w14:textId="77777777">
            <w:pPr>
              <w:widowControl/>
              <w:autoSpaceDE/>
              <w:autoSpaceDN/>
              <w:adjustRightInd/>
              <w:rPr>
                <w:color w:val="000000"/>
                <w:szCs w:val="22"/>
              </w:rPr>
            </w:pPr>
            <w:r w:rsidRPr="006C6DEF">
              <w:rPr>
                <w:color w:val="000000"/>
                <w:szCs w:val="22"/>
              </w:rPr>
              <w:t>Asbestos Abatement and Demolition</w:t>
            </w:r>
          </w:p>
        </w:tc>
        <w:tc>
          <w:tcPr>
            <w:tcW w:w="1337"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6D1A60CC" w14:textId="77777777">
            <w:pPr>
              <w:widowControl/>
              <w:autoSpaceDE/>
              <w:autoSpaceDN/>
              <w:adjustRightInd/>
              <w:jc w:val="right"/>
              <w:rPr>
                <w:color w:val="000000"/>
                <w:szCs w:val="22"/>
              </w:rPr>
            </w:pPr>
            <w:r w:rsidRPr="006C6DEF">
              <w:rPr>
                <w:color w:val="000000"/>
                <w:szCs w:val="22"/>
              </w:rPr>
              <w:t>38,642</w:t>
            </w:r>
          </w:p>
        </w:tc>
        <w:tc>
          <w:tcPr>
            <w:tcW w:w="1152" w:type="dxa"/>
            <w:tcBorders>
              <w:top w:val="nil"/>
              <w:left w:val="nil"/>
              <w:bottom w:val="single" w:sz="4" w:space="0" w:color="auto"/>
              <w:right w:val="single" w:sz="4" w:space="0" w:color="auto"/>
            </w:tcBorders>
            <w:shd w:val="clear" w:color="auto" w:fill="auto"/>
            <w:hideMark/>
          </w:tcPr>
          <w:p w:rsidR="00107A2E" w:rsidRPr="006C6DEF" w:rsidP="00F64942" w14:paraId="28006474" w14:textId="1365349D">
            <w:pPr>
              <w:widowControl/>
              <w:autoSpaceDE/>
              <w:autoSpaceDN/>
              <w:adjustRightInd/>
              <w:jc w:val="right"/>
              <w:rPr>
                <w:color w:val="000000"/>
                <w:szCs w:val="22"/>
              </w:rPr>
            </w:pPr>
            <w:r>
              <w:rPr>
                <w:color w:val="000000"/>
                <w:szCs w:val="22"/>
              </w:rPr>
              <w:t>37,024</w:t>
            </w:r>
          </w:p>
        </w:tc>
        <w:tc>
          <w:tcPr>
            <w:tcW w:w="1088" w:type="dxa"/>
            <w:tcBorders>
              <w:top w:val="nil"/>
              <w:left w:val="nil"/>
              <w:bottom w:val="single" w:sz="4" w:space="0" w:color="auto"/>
              <w:right w:val="single" w:sz="4" w:space="0" w:color="auto"/>
            </w:tcBorders>
            <w:shd w:val="clear" w:color="auto" w:fill="auto"/>
            <w:hideMark/>
          </w:tcPr>
          <w:p w:rsidR="00107A2E" w:rsidRPr="006C6DEF" w:rsidP="00F64942" w14:paraId="321A70D0" w14:textId="7C05AFF4">
            <w:pPr>
              <w:widowControl/>
              <w:autoSpaceDE/>
              <w:autoSpaceDN/>
              <w:adjustRightInd/>
              <w:jc w:val="right"/>
              <w:rPr>
                <w:color w:val="000000"/>
                <w:szCs w:val="22"/>
              </w:rPr>
            </w:pPr>
            <w:r>
              <w:rPr>
                <w:color w:val="000000"/>
                <w:szCs w:val="22"/>
              </w:rPr>
              <w:t>-</w:t>
            </w:r>
            <w:r w:rsidR="00A51D76">
              <w:rPr>
                <w:color w:val="000000"/>
                <w:szCs w:val="22"/>
              </w:rPr>
              <w:t>4.2</w:t>
            </w:r>
            <w:r w:rsidRPr="006C6DEF">
              <w:rPr>
                <w:color w:val="000000"/>
                <w:szCs w:val="22"/>
              </w:rPr>
              <w:t>%</w:t>
            </w:r>
          </w:p>
        </w:tc>
      </w:tr>
      <w:tr w14:paraId="7515C7A6" w14:textId="77777777" w:rsidTr="00872CE2">
        <w:tblPrEx>
          <w:tblW w:w="9503" w:type="dxa"/>
          <w:jc w:val="center"/>
          <w:tblLayout w:type="fixed"/>
          <w:tblCellMar>
            <w:left w:w="58" w:type="dxa"/>
            <w:right w:w="58" w:type="dxa"/>
          </w:tblCellMar>
          <w:tblLook w:val="04A0"/>
        </w:tblPrEx>
        <w:trPr>
          <w:gridAfter w:val="1"/>
          <w:wAfter w:w="7" w:type="dxa"/>
          <w:trHeight w:val="255"/>
          <w:jc w:val="center"/>
        </w:trPr>
        <w:tc>
          <w:tcPr>
            <w:tcW w:w="5919"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69D4D56E" w14:textId="77777777">
            <w:pPr>
              <w:widowControl/>
              <w:autoSpaceDE/>
              <w:autoSpaceDN/>
              <w:adjustRightInd/>
              <w:rPr>
                <w:color w:val="000000"/>
                <w:szCs w:val="22"/>
              </w:rPr>
            </w:pPr>
            <w:r w:rsidRPr="006C6DEF">
              <w:rPr>
                <w:color w:val="000000"/>
                <w:szCs w:val="22"/>
              </w:rPr>
              <w:t>Renovation/Remodeling</w:t>
            </w:r>
          </w:p>
        </w:tc>
        <w:tc>
          <w:tcPr>
            <w:tcW w:w="1337"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250CCF27" w14:textId="77777777">
            <w:pPr>
              <w:widowControl/>
              <w:autoSpaceDE/>
              <w:autoSpaceDN/>
              <w:adjustRightInd/>
              <w:jc w:val="right"/>
              <w:rPr>
                <w:color w:val="000000"/>
                <w:szCs w:val="22"/>
              </w:rPr>
            </w:pPr>
            <w:r w:rsidRPr="006C6DEF">
              <w:rPr>
                <w:color w:val="000000"/>
                <w:szCs w:val="22"/>
              </w:rPr>
              <w:t>51,300</w:t>
            </w:r>
          </w:p>
        </w:tc>
        <w:tc>
          <w:tcPr>
            <w:tcW w:w="1152" w:type="dxa"/>
            <w:tcBorders>
              <w:top w:val="nil"/>
              <w:left w:val="nil"/>
              <w:bottom w:val="single" w:sz="4" w:space="0" w:color="auto"/>
              <w:right w:val="single" w:sz="4" w:space="0" w:color="auto"/>
            </w:tcBorders>
            <w:shd w:val="clear" w:color="auto" w:fill="auto"/>
            <w:hideMark/>
          </w:tcPr>
          <w:p w:rsidR="00107A2E" w:rsidRPr="006C6DEF" w:rsidP="00F64942" w14:paraId="7773DE1C" w14:textId="1278AB9C">
            <w:pPr>
              <w:widowControl/>
              <w:autoSpaceDE/>
              <w:autoSpaceDN/>
              <w:adjustRightInd/>
              <w:jc w:val="right"/>
              <w:rPr>
                <w:color w:val="000000"/>
                <w:szCs w:val="22"/>
              </w:rPr>
            </w:pPr>
            <w:r>
              <w:rPr>
                <w:color w:val="000000"/>
                <w:szCs w:val="22"/>
              </w:rPr>
              <w:t>38,198</w:t>
            </w:r>
          </w:p>
        </w:tc>
        <w:tc>
          <w:tcPr>
            <w:tcW w:w="1088" w:type="dxa"/>
            <w:tcBorders>
              <w:top w:val="nil"/>
              <w:left w:val="nil"/>
              <w:bottom w:val="single" w:sz="4" w:space="0" w:color="auto"/>
              <w:right w:val="single" w:sz="4" w:space="0" w:color="auto"/>
            </w:tcBorders>
            <w:shd w:val="clear" w:color="auto" w:fill="auto"/>
            <w:hideMark/>
          </w:tcPr>
          <w:p w:rsidR="00107A2E" w:rsidRPr="006C6DEF" w:rsidP="00F64942" w14:paraId="331CDB4C" w14:textId="3A5C2FED">
            <w:pPr>
              <w:widowControl/>
              <w:autoSpaceDE/>
              <w:autoSpaceDN/>
              <w:adjustRightInd/>
              <w:jc w:val="right"/>
              <w:rPr>
                <w:color w:val="000000"/>
                <w:szCs w:val="22"/>
              </w:rPr>
            </w:pPr>
            <w:r>
              <w:rPr>
                <w:color w:val="000000"/>
                <w:szCs w:val="22"/>
              </w:rPr>
              <w:t>-</w:t>
            </w:r>
            <w:r w:rsidR="0045697A">
              <w:rPr>
                <w:color w:val="000000"/>
                <w:szCs w:val="22"/>
              </w:rPr>
              <w:t>25.54</w:t>
            </w:r>
            <w:r w:rsidRPr="006C6DEF">
              <w:rPr>
                <w:color w:val="000000"/>
                <w:szCs w:val="22"/>
              </w:rPr>
              <w:t>%</w:t>
            </w:r>
          </w:p>
        </w:tc>
      </w:tr>
      <w:tr w14:paraId="5AE095DD" w14:textId="77777777" w:rsidTr="00872CE2">
        <w:tblPrEx>
          <w:tblW w:w="9503" w:type="dxa"/>
          <w:jc w:val="center"/>
          <w:tblLayout w:type="fixed"/>
          <w:tblCellMar>
            <w:left w:w="58" w:type="dxa"/>
            <w:right w:w="58" w:type="dxa"/>
          </w:tblCellMar>
          <w:tblLook w:val="04A0"/>
        </w:tblPrEx>
        <w:trPr>
          <w:gridAfter w:val="1"/>
          <w:wAfter w:w="7" w:type="dxa"/>
          <w:trHeight w:val="255"/>
          <w:jc w:val="center"/>
        </w:trPr>
        <w:tc>
          <w:tcPr>
            <w:tcW w:w="5919"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5F9931B9" w14:textId="77777777">
            <w:pPr>
              <w:widowControl/>
              <w:autoSpaceDE/>
              <w:autoSpaceDN/>
              <w:adjustRightInd/>
              <w:rPr>
                <w:color w:val="000000"/>
                <w:szCs w:val="22"/>
              </w:rPr>
            </w:pPr>
            <w:r w:rsidRPr="006C6DEF">
              <w:rPr>
                <w:color w:val="000000"/>
                <w:szCs w:val="22"/>
              </w:rPr>
              <w:t>Routine Maintenance in Public, Commercial, and Residential Buildings</w:t>
            </w:r>
          </w:p>
        </w:tc>
        <w:tc>
          <w:tcPr>
            <w:tcW w:w="1337"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13158151" w14:textId="77777777">
            <w:pPr>
              <w:widowControl/>
              <w:autoSpaceDE/>
              <w:autoSpaceDN/>
              <w:adjustRightInd/>
              <w:jc w:val="right"/>
              <w:rPr>
                <w:color w:val="000000"/>
                <w:szCs w:val="22"/>
              </w:rPr>
            </w:pPr>
            <w:r w:rsidRPr="006C6DEF">
              <w:rPr>
                <w:color w:val="000000"/>
                <w:szCs w:val="22"/>
              </w:rPr>
              <w:t>62,293</w:t>
            </w:r>
          </w:p>
        </w:tc>
        <w:tc>
          <w:tcPr>
            <w:tcW w:w="1152" w:type="dxa"/>
            <w:tcBorders>
              <w:top w:val="nil"/>
              <w:left w:val="nil"/>
              <w:bottom w:val="single" w:sz="4" w:space="0" w:color="auto"/>
              <w:right w:val="single" w:sz="4" w:space="0" w:color="auto"/>
            </w:tcBorders>
            <w:shd w:val="clear" w:color="auto" w:fill="auto"/>
            <w:hideMark/>
          </w:tcPr>
          <w:p w:rsidR="00107A2E" w:rsidRPr="006C6DEF" w:rsidP="00F64942" w14:paraId="3B0EC49C" w14:textId="7DA77009">
            <w:pPr>
              <w:widowControl/>
              <w:autoSpaceDE/>
              <w:autoSpaceDN/>
              <w:adjustRightInd/>
              <w:jc w:val="right"/>
              <w:rPr>
                <w:color w:val="000000"/>
                <w:szCs w:val="22"/>
              </w:rPr>
            </w:pPr>
            <w:r>
              <w:rPr>
                <w:color w:val="000000"/>
                <w:szCs w:val="22"/>
              </w:rPr>
              <w:t>46,383</w:t>
            </w:r>
          </w:p>
        </w:tc>
        <w:tc>
          <w:tcPr>
            <w:tcW w:w="1088" w:type="dxa"/>
            <w:tcBorders>
              <w:top w:val="nil"/>
              <w:left w:val="nil"/>
              <w:bottom w:val="single" w:sz="4" w:space="0" w:color="auto"/>
              <w:right w:val="single" w:sz="4" w:space="0" w:color="auto"/>
            </w:tcBorders>
            <w:shd w:val="clear" w:color="auto" w:fill="auto"/>
            <w:hideMark/>
          </w:tcPr>
          <w:p w:rsidR="00107A2E" w:rsidRPr="006C6DEF" w:rsidP="00F64942" w14:paraId="409979C0" w14:textId="647072C5">
            <w:pPr>
              <w:widowControl/>
              <w:autoSpaceDE/>
              <w:autoSpaceDN/>
              <w:adjustRightInd/>
              <w:jc w:val="right"/>
              <w:rPr>
                <w:color w:val="000000"/>
                <w:szCs w:val="22"/>
              </w:rPr>
            </w:pPr>
            <w:r w:rsidRPr="006C6DEF">
              <w:rPr>
                <w:color w:val="000000"/>
                <w:szCs w:val="22"/>
              </w:rPr>
              <w:t>-</w:t>
            </w:r>
            <w:r w:rsidR="00601AA4">
              <w:rPr>
                <w:color w:val="000000"/>
                <w:szCs w:val="22"/>
              </w:rPr>
              <w:t>25.54</w:t>
            </w:r>
            <w:r w:rsidRPr="006C6DEF">
              <w:rPr>
                <w:color w:val="000000"/>
                <w:szCs w:val="22"/>
              </w:rPr>
              <w:t>%</w:t>
            </w:r>
          </w:p>
        </w:tc>
      </w:tr>
      <w:tr w14:paraId="6D5DADFC" w14:textId="77777777" w:rsidTr="00872CE2">
        <w:tblPrEx>
          <w:tblW w:w="9503" w:type="dxa"/>
          <w:jc w:val="center"/>
          <w:tblLayout w:type="fixed"/>
          <w:tblCellMar>
            <w:left w:w="58" w:type="dxa"/>
            <w:right w:w="58" w:type="dxa"/>
          </w:tblCellMar>
          <w:tblLook w:val="04A0"/>
        </w:tblPrEx>
        <w:trPr>
          <w:gridAfter w:val="1"/>
          <w:wAfter w:w="7" w:type="dxa"/>
          <w:trHeight w:val="255"/>
          <w:jc w:val="center"/>
        </w:trPr>
        <w:tc>
          <w:tcPr>
            <w:tcW w:w="5919"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74E21453" w14:textId="77777777">
            <w:pPr>
              <w:widowControl/>
              <w:autoSpaceDE/>
              <w:autoSpaceDN/>
              <w:adjustRightInd/>
              <w:rPr>
                <w:color w:val="000000"/>
                <w:szCs w:val="22"/>
              </w:rPr>
            </w:pPr>
            <w:r w:rsidRPr="006C6DEF">
              <w:rPr>
                <w:color w:val="000000"/>
                <w:szCs w:val="22"/>
              </w:rPr>
              <w:t>Routine Maintenance in Industrial Facilities</w:t>
            </w:r>
          </w:p>
        </w:tc>
        <w:tc>
          <w:tcPr>
            <w:tcW w:w="1337"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2032BA93" w14:textId="77777777">
            <w:pPr>
              <w:widowControl/>
              <w:autoSpaceDE/>
              <w:autoSpaceDN/>
              <w:adjustRightInd/>
              <w:jc w:val="right"/>
              <w:rPr>
                <w:color w:val="000000"/>
                <w:szCs w:val="22"/>
              </w:rPr>
            </w:pPr>
            <w:r w:rsidRPr="006C6DEF">
              <w:rPr>
                <w:color w:val="000000"/>
                <w:szCs w:val="22"/>
              </w:rPr>
              <w:t>243,454</w:t>
            </w:r>
          </w:p>
        </w:tc>
        <w:tc>
          <w:tcPr>
            <w:tcW w:w="1152" w:type="dxa"/>
            <w:tcBorders>
              <w:top w:val="nil"/>
              <w:left w:val="nil"/>
              <w:bottom w:val="single" w:sz="4" w:space="0" w:color="auto"/>
              <w:right w:val="single" w:sz="4" w:space="0" w:color="auto"/>
            </w:tcBorders>
            <w:shd w:val="clear" w:color="auto" w:fill="auto"/>
            <w:hideMark/>
          </w:tcPr>
          <w:p w:rsidR="00107A2E" w:rsidRPr="006C6DEF" w:rsidP="00F64942" w14:paraId="552C6E25" w14:textId="48EFED98">
            <w:pPr>
              <w:widowControl/>
              <w:autoSpaceDE/>
              <w:autoSpaceDN/>
              <w:adjustRightInd/>
              <w:jc w:val="right"/>
              <w:rPr>
                <w:color w:val="000000"/>
                <w:szCs w:val="22"/>
              </w:rPr>
            </w:pPr>
            <w:r>
              <w:rPr>
                <w:color w:val="000000"/>
                <w:szCs w:val="22"/>
              </w:rPr>
              <w:t>181,276</w:t>
            </w:r>
          </w:p>
        </w:tc>
        <w:tc>
          <w:tcPr>
            <w:tcW w:w="1088" w:type="dxa"/>
            <w:tcBorders>
              <w:top w:val="nil"/>
              <w:left w:val="nil"/>
              <w:bottom w:val="single" w:sz="4" w:space="0" w:color="auto"/>
              <w:right w:val="single" w:sz="4" w:space="0" w:color="auto"/>
            </w:tcBorders>
            <w:shd w:val="clear" w:color="auto" w:fill="auto"/>
            <w:hideMark/>
          </w:tcPr>
          <w:p w:rsidR="00107A2E" w:rsidRPr="006C6DEF" w:rsidP="00F64942" w14:paraId="248A6BFE" w14:textId="7D3D40B8">
            <w:pPr>
              <w:widowControl/>
              <w:autoSpaceDE/>
              <w:autoSpaceDN/>
              <w:adjustRightInd/>
              <w:jc w:val="right"/>
              <w:rPr>
                <w:color w:val="000000"/>
                <w:szCs w:val="22"/>
              </w:rPr>
            </w:pPr>
            <w:r w:rsidRPr="006C6DEF">
              <w:rPr>
                <w:color w:val="000000"/>
                <w:szCs w:val="22"/>
              </w:rPr>
              <w:t>-</w:t>
            </w:r>
            <w:r w:rsidR="00601AA4">
              <w:rPr>
                <w:color w:val="000000"/>
                <w:szCs w:val="22"/>
              </w:rPr>
              <w:t>25.54</w:t>
            </w:r>
            <w:r w:rsidRPr="006C6DEF">
              <w:rPr>
                <w:color w:val="000000"/>
                <w:szCs w:val="22"/>
              </w:rPr>
              <w:t>%</w:t>
            </w:r>
          </w:p>
        </w:tc>
      </w:tr>
      <w:tr w14:paraId="2AFBD4B9" w14:textId="77777777" w:rsidTr="00872CE2">
        <w:tblPrEx>
          <w:tblW w:w="9503" w:type="dxa"/>
          <w:jc w:val="center"/>
          <w:tblLayout w:type="fixed"/>
          <w:tblCellMar>
            <w:left w:w="58" w:type="dxa"/>
            <w:right w:w="58" w:type="dxa"/>
          </w:tblCellMar>
          <w:tblLook w:val="04A0"/>
        </w:tblPrEx>
        <w:trPr>
          <w:gridAfter w:val="1"/>
          <w:wAfter w:w="7" w:type="dxa"/>
          <w:trHeight w:val="255"/>
          <w:jc w:val="center"/>
        </w:trPr>
        <w:tc>
          <w:tcPr>
            <w:tcW w:w="5919"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3DE89E06" w14:textId="77777777">
            <w:pPr>
              <w:widowControl/>
              <w:autoSpaceDE/>
              <w:autoSpaceDN/>
              <w:adjustRightInd/>
              <w:rPr>
                <w:color w:val="000000"/>
                <w:szCs w:val="22"/>
              </w:rPr>
            </w:pPr>
            <w:r w:rsidRPr="006C6DEF">
              <w:rPr>
                <w:color w:val="000000"/>
                <w:szCs w:val="22"/>
              </w:rPr>
              <w:t>Custodial Work in Public, Commercial and Residential Buildings</w:t>
            </w:r>
          </w:p>
        </w:tc>
        <w:tc>
          <w:tcPr>
            <w:tcW w:w="1337"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2003213A" w14:textId="77777777">
            <w:pPr>
              <w:widowControl/>
              <w:autoSpaceDE/>
              <w:autoSpaceDN/>
              <w:adjustRightInd/>
              <w:jc w:val="right"/>
              <w:rPr>
                <w:color w:val="000000"/>
                <w:szCs w:val="22"/>
              </w:rPr>
            </w:pPr>
            <w:r w:rsidRPr="006C6DEF">
              <w:rPr>
                <w:color w:val="000000"/>
                <w:szCs w:val="22"/>
              </w:rPr>
              <w:t>2,395,500</w:t>
            </w:r>
          </w:p>
        </w:tc>
        <w:tc>
          <w:tcPr>
            <w:tcW w:w="1152" w:type="dxa"/>
            <w:tcBorders>
              <w:top w:val="nil"/>
              <w:left w:val="nil"/>
              <w:bottom w:val="single" w:sz="4" w:space="0" w:color="auto"/>
              <w:right w:val="single" w:sz="4" w:space="0" w:color="auto"/>
            </w:tcBorders>
            <w:shd w:val="clear" w:color="auto" w:fill="auto"/>
            <w:hideMark/>
          </w:tcPr>
          <w:p w:rsidR="00107A2E" w:rsidRPr="006C6DEF" w:rsidP="00F64942" w14:paraId="331E67C4" w14:textId="1EBE2E48">
            <w:pPr>
              <w:widowControl/>
              <w:autoSpaceDE/>
              <w:autoSpaceDN/>
              <w:adjustRightInd/>
              <w:jc w:val="right"/>
              <w:rPr>
                <w:color w:val="000000"/>
                <w:szCs w:val="22"/>
              </w:rPr>
            </w:pPr>
            <w:r>
              <w:rPr>
                <w:color w:val="000000"/>
                <w:szCs w:val="22"/>
              </w:rPr>
              <w:t>1,783,689</w:t>
            </w:r>
          </w:p>
        </w:tc>
        <w:tc>
          <w:tcPr>
            <w:tcW w:w="1088" w:type="dxa"/>
            <w:tcBorders>
              <w:top w:val="nil"/>
              <w:left w:val="nil"/>
              <w:bottom w:val="single" w:sz="4" w:space="0" w:color="auto"/>
              <w:right w:val="single" w:sz="4" w:space="0" w:color="auto"/>
            </w:tcBorders>
            <w:shd w:val="clear" w:color="auto" w:fill="auto"/>
            <w:hideMark/>
          </w:tcPr>
          <w:p w:rsidR="00107A2E" w:rsidRPr="006C6DEF" w:rsidP="00F64942" w14:paraId="307F9ECC" w14:textId="512C89DA">
            <w:pPr>
              <w:widowControl/>
              <w:autoSpaceDE/>
              <w:autoSpaceDN/>
              <w:adjustRightInd/>
              <w:jc w:val="right"/>
              <w:rPr>
                <w:color w:val="000000"/>
                <w:szCs w:val="22"/>
              </w:rPr>
            </w:pPr>
            <w:r w:rsidRPr="006C6DEF">
              <w:rPr>
                <w:color w:val="000000"/>
                <w:szCs w:val="22"/>
              </w:rPr>
              <w:t>-</w:t>
            </w:r>
            <w:r w:rsidR="00601AA4">
              <w:rPr>
                <w:color w:val="000000"/>
                <w:szCs w:val="22"/>
              </w:rPr>
              <w:t>25.54</w:t>
            </w:r>
            <w:r w:rsidRPr="006C6DEF">
              <w:rPr>
                <w:color w:val="000000"/>
                <w:szCs w:val="22"/>
              </w:rPr>
              <w:t>%</w:t>
            </w:r>
          </w:p>
        </w:tc>
      </w:tr>
      <w:tr w14:paraId="739D7281" w14:textId="77777777" w:rsidTr="00872CE2">
        <w:tblPrEx>
          <w:tblW w:w="9503" w:type="dxa"/>
          <w:jc w:val="center"/>
          <w:tblLayout w:type="fixed"/>
          <w:tblCellMar>
            <w:left w:w="58" w:type="dxa"/>
            <w:right w:w="58" w:type="dxa"/>
          </w:tblCellMar>
          <w:tblLook w:val="04A0"/>
        </w:tblPrEx>
        <w:trPr>
          <w:gridAfter w:val="1"/>
          <w:wAfter w:w="7" w:type="dxa"/>
          <w:trHeight w:val="255"/>
          <w:jc w:val="center"/>
        </w:trPr>
        <w:tc>
          <w:tcPr>
            <w:tcW w:w="5919"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1A1C842B" w14:textId="77777777">
            <w:pPr>
              <w:widowControl/>
              <w:autoSpaceDE/>
              <w:autoSpaceDN/>
              <w:adjustRightInd/>
              <w:rPr>
                <w:color w:val="000000"/>
                <w:szCs w:val="22"/>
              </w:rPr>
            </w:pPr>
            <w:r w:rsidRPr="006C6DEF">
              <w:rPr>
                <w:color w:val="000000"/>
                <w:szCs w:val="22"/>
              </w:rPr>
              <w:t>Custodial Work in Industrial Facilities</w:t>
            </w:r>
          </w:p>
        </w:tc>
        <w:tc>
          <w:tcPr>
            <w:tcW w:w="1337"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5307199F" w14:textId="77777777">
            <w:pPr>
              <w:widowControl/>
              <w:autoSpaceDE/>
              <w:autoSpaceDN/>
              <w:adjustRightInd/>
              <w:jc w:val="right"/>
              <w:rPr>
                <w:color w:val="000000"/>
                <w:szCs w:val="22"/>
              </w:rPr>
            </w:pPr>
            <w:r w:rsidRPr="006C6DEF">
              <w:rPr>
                <w:color w:val="000000"/>
                <w:szCs w:val="22"/>
              </w:rPr>
              <w:t>339,562</w:t>
            </w:r>
          </w:p>
        </w:tc>
        <w:tc>
          <w:tcPr>
            <w:tcW w:w="1152" w:type="dxa"/>
            <w:tcBorders>
              <w:top w:val="nil"/>
              <w:left w:val="nil"/>
              <w:bottom w:val="single" w:sz="4" w:space="0" w:color="auto"/>
              <w:right w:val="single" w:sz="4" w:space="0" w:color="auto"/>
            </w:tcBorders>
            <w:shd w:val="clear" w:color="auto" w:fill="auto"/>
            <w:hideMark/>
          </w:tcPr>
          <w:p w:rsidR="00107A2E" w:rsidRPr="006C6DEF" w:rsidP="00F64942" w14:paraId="526EC4D9" w14:textId="34B159B2">
            <w:pPr>
              <w:widowControl/>
              <w:autoSpaceDE/>
              <w:autoSpaceDN/>
              <w:adjustRightInd/>
              <w:jc w:val="right"/>
              <w:rPr>
                <w:color w:val="000000"/>
                <w:szCs w:val="22"/>
              </w:rPr>
            </w:pPr>
            <w:r>
              <w:rPr>
                <w:color w:val="000000"/>
                <w:szCs w:val="22"/>
              </w:rPr>
              <w:t>252,838</w:t>
            </w:r>
          </w:p>
        </w:tc>
        <w:tc>
          <w:tcPr>
            <w:tcW w:w="1088" w:type="dxa"/>
            <w:tcBorders>
              <w:top w:val="nil"/>
              <w:left w:val="nil"/>
              <w:bottom w:val="single" w:sz="4" w:space="0" w:color="auto"/>
              <w:right w:val="single" w:sz="4" w:space="0" w:color="auto"/>
            </w:tcBorders>
            <w:shd w:val="clear" w:color="auto" w:fill="auto"/>
            <w:hideMark/>
          </w:tcPr>
          <w:p w:rsidR="00107A2E" w:rsidRPr="006C6DEF" w:rsidP="00F64942" w14:paraId="7E829BBC" w14:textId="12CADD61">
            <w:pPr>
              <w:widowControl/>
              <w:autoSpaceDE/>
              <w:autoSpaceDN/>
              <w:adjustRightInd/>
              <w:jc w:val="right"/>
              <w:rPr>
                <w:color w:val="000000"/>
                <w:szCs w:val="22"/>
              </w:rPr>
            </w:pPr>
            <w:r w:rsidRPr="006C6DEF">
              <w:rPr>
                <w:color w:val="000000"/>
                <w:szCs w:val="22"/>
              </w:rPr>
              <w:t>-</w:t>
            </w:r>
            <w:r w:rsidR="00601AA4">
              <w:rPr>
                <w:color w:val="000000"/>
                <w:szCs w:val="22"/>
              </w:rPr>
              <w:t>25.54</w:t>
            </w:r>
            <w:r w:rsidRPr="006C6DEF">
              <w:rPr>
                <w:color w:val="000000"/>
                <w:szCs w:val="22"/>
              </w:rPr>
              <w:t>%</w:t>
            </w:r>
          </w:p>
        </w:tc>
      </w:tr>
      <w:tr w14:paraId="061D7F33" w14:textId="77777777" w:rsidTr="00872CE2">
        <w:tblPrEx>
          <w:tblW w:w="9503" w:type="dxa"/>
          <w:jc w:val="center"/>
          <w:tblLayout w:type="fixed"/>
          <w:tblCellMar>
            <w:left w:w="58" w:type="dxa"/>
            <w:right w:w="58" w:type="dxa"/>
          </w:tblCellMar>
          <w:tblLook w:val="04A0"/>
        </w:tblPrEx>
        <w:trPr>
          <w:gridAfter w:val="1"/>
          <w:wAfter w:w="7" w:type="dxa"/>
          <w:trHeight w:val="255"/>
          <w:jc w:val="center"/>
        </w:trPr>
        <w:tc>
          <w:tcPr>
            <w:tcW w:w="5919"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7A3EBEC3" w14:textId="77777777">
            <w:pPr>
              <w:widowControl/>
              <w:autoSpaceDE/>
              <w:autoSpaceDN/>
              <w:adjustRightInd/>
              <w:rPr>
                <w:b/>
                <w:bCs/>
                <w:color w:val="000000"/>
                <w:szCs w:val="22"/>
              </w:rPr>
            </w:pPr>
            <w:r w:rsidRPr="006C6DEF">
              <w:rPr>
                <w:b/>
                <w:bCs/>
                <w:color w:val="000000"/>
                <w:szCs w:val="22"/>
              </w:rPr>
              <w:t>Total</w:t>
            </w:r>
          </w:p>
        </w:tc>
        <w:tc>
          <w:tcPr>
            <w:tcW w:w="1337"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54294170" w14:textId="77777777">
            <w:pPr>
              <w:widowControl/>
              <w:autoSpaceDE/>
              <w:autoSpaceDN/>
              <w:adjustRightInd/>
              <w:jc w:val="right"/>
              <w:rPr>
                <w:b/>
                <w:bCs/>
                <w:color w:val="000000"/>
                <w:szCs w:val="22"/>
              </w:rPr>
            </w:pPr>
            <w:r w:rsidRPr="006C6DEF">
              <w:rPr>
                <w:b/>
                <w:bCs/>
                <w:color w:val="000000"/>
                <w:szCs w:val="22"/>
              </w:rPr>
              <w:t>3,130,751</w:t>
            </w:r>
          </w:p>
        </w:tc>
        <w:tc>
          <w:tcPr>
            <w:tcW w:w="1152" w:type="dxa"/>
            <w:tcBorders>
              <w:top w:val="nil"/>
              <w:left w:val="nil"/>
              <w:bottom w:val="single" w:sz="4" w:space="0" w:color="auto"/>
              <w:right w:val="single" w:sz="4" w:space="0" w:color="auto"/>
            </w:tcBorders>
            <w:shd w:val="clear" w:color="auto" w:fill="auto"/>
            <w:hideMark/>
          </w:tcPr>
          <w:p w:rsidR="00107A2E" w:rsidRPr="006C6DEF" w:rsidP="00F64942" w14:paraId="4DC0569B" w14:textId="08652964">
            <w:pPr>
              <w:widowControl/>
              <w:autoSpaceDE/>
              <w:autoSpaceDN/>
              <w:adjustRightInd/>
              <w:jc w:val="right"/>
              <w:rPr>
                <w:b/>
                <w:bCs/>
                <w:color w:val="000000"/>
                <w:szCs w:val="22"/>
              </w:rPr>
            </w:pPr>
            <w:r w:rsidRPr="006C6DEF">
              <w:rPr>
                <w:b/>
                <w:bCs/>
                <w:color w:val="000000"/>
                <w:szCs w:val="22"/>
              </w:rPr>
              <w:t>2,</w:t>
            </w:r>
            <w:r w:rsidR="001816D3">
              <w:rPr>
                <w:b/>
                <w:bCs/>
                <w:color w:val="000000"/>
                <w:szCs w:val="22"/>
              </w:rPr>
              <w:t>339,408</w:t>
            </w:r>
          </w:p>
        </w:tc>
        <w:tc>
          <w:tcPr>
            <w:tcW w:w="1088" w:type="dxa"/>
            <w:tcBorders>
              <w:top w:val="nil"/>
              <w:left w:val="nil"/>
              <w:bottom w:val="single" w:sz="4" w:space="0" w:color="auto"/>
              <w:right w:val="single" w:sz="4" w:space="0" w:color="auto"/>
            </w:tcBorders>
            <w:shd w:val="clear" w:color="auto" w:fill="auto"/>
            <w:hideMark/>
          </w:tcPr>
          <w:p w:rsidR="00107A2E" w:rsidRPr="006C6DEF" w:rsidP="00F64942" w14:paraId="66C747E1" w14:textId="397A4216">
            <w:pPr>
              <w:widowControl/>
              <w:autoSpaceDE/>
              <w:autoSpaceDN/>
              <w:adjustRightInd/>
              <w:jc w:val="right"/>
              <w:rPr>
                <w:b/>
                <w:bCs/>
                <w:color w:val="000000"/>
                <w:szCs w:val="22"/>
              </w:rPr>
            </w:pPr>
            <w:r w:rsidRPr="006C6DEF">
              <w:rPr>
                <w:b/>
                <w:bCs/>
                <w:color w:val="000000"/>
                <w:szCs w:val="22"/>
              </w:rPr>
              <w:t>-2</w:t>
            </w:r>
            <w:r w:rsidR="00C2030F">
              <w:rPr>
                <w:b/>
                <w:bCs/>
                <w:color w:val="000000"/>
                <w:szCs w:val="22"/>
              </w:rPr>
              <w:t>5</w:t>
            </w:r>
            <w:r w:rsidR="0031616F">
              <w:rPr>
                <w:b/>
                <w:bCs/>
                <w:color w:val="000000"/>
                <w:szCs w:val="22"/>
              </w:rPr>
              <w:t>.3</w:t>
            </w:r>
            <w:r w:rsidRPr="006C6DEF">
              <w:rPr>
                <w:b/>
                <w:bCs/>
                <w:color w:val="000000"/>
                <w:szCs w:val="22"/>
              </w:rPr>
              <w:t>%</w:t>
            </w:r>
          </w:p>
        </w:tc>
      </w:tr>
    </w:tbl>
    <w:p w:rsidR="00CA0B15" w:rsidRPr="008B40CD" w:rsidP="00107A2E" w14:paraId="3661BB19" w14:textId="77777777"/>
    <w:p w:rsidR="00107A2E" w:rsidP="00107A2E" w14:paraId="49BA9A90" w14:textId="74B759D9">
      <w:pPr>
        <w:pStyle w:val="BodyText"/>
      </w:pPr>
      <w:r>
        <w:t>The percentage change is then rounded to the nearest percent, 2</w:t>
      </w:r>
      <w:r w:rsidR="00981F49">
        <w:t>5</w:t>
      </w:r>
      <w:r>
        <w:t xml:space="preserve"> percent. </w:t>
      </w:r>
    </w:p>
    <w:p w:rsidR="00107A2E" w:rsidRPr="005D60DB" w:rsidP="00107A2E" w14:paraId="16C8682C" w14:textId="67434B14">
      <w:pPr>
        <w:pStyle w:val="BodyText"/>
      </w:pPr>
      <w:r>
        <w:t>Finally, the RIA estimates of covered employees and employers, 1,833,429 and 1,434,105 respectively, are multiplied by the 2</w:t>
      </w:r>
      <w:r w:rsidR="00702663">
        <w:t>5</w:t>
      </w:r>
      <w:r>
        <w:t xml:space="preserve"> percent decrease estimated above to estimate the new number of covered employees and employers (1,</w:t>
      </w:r>
      <w:r w:rsidR="00EC250A">
        <w:t>375,072</w:t>
      </w:r>
      <w:r>
        <w:t xml:space="preserve"> and 1,</w:t>
      </w:r>
      <w:r w:rsidR="003642C3">
        <w:t>075,579</w:t>
      </w:r>
      <w:r>
        <w:t>, respectively).</w:t>
      </w:r>
    </w:p>
    <w:p w:rsidR="00107A2E" w:rsidP="00107A2E" w14:paraId="21511C01" w14:textId="77777777">
      <w:pPr>
        <w:pStyle w:val="BodyText"/>
      </w:pPr>
      <w:r>
        <w:t>These covered employee and employer estimates are ultimately the ones used in the Supporting Statement to derive the number of respondents and responses.</w:t>
      </w:r>
    </w:p>
    <w:tbl>
      <w:tblPr>
        <w:tblW w:w="0" w:type="auto"/>
        <w:jc w:val="center"/>
        <w:tblLayout w:type="fixed"/>
        <w:tblCellMar>
          <w:left w:w="58" w:type="dxa"/>
          <w:right w:w="58" w:type="dxa"/>
        </w:tblCellMar>
        <w:tblLook w:val="04A0"/>
      </w:tblPr>
      <w:tblGrid>
        <w:gridCol w:w="3162"/>
        <w:gridCol w:w="1506"/>
        <w:gridCol w:w="1213"/>
        <w:gridCol w:w="1096"/>
      </w:tblGrid>
      <w:tr w14:paraId="48401A0F" w14:textId="77777777" w:rsidTr="00F64942">
        <w:tblPrEx>
          <w:tblW w:w="0" w:type="auto"/>
          <w:jc w:val="center"/>
          <w:tblLayout w:type="fixed"/>
          <w:tblCellMar>
            <w:left w:w="58" w:type="dxa"/>
            <w:right w:w="58" w:type="dxa"/>
          </w:tblCellMar>
          <w:tblLook w:val="04A0"/>
        </w:tblPrEx>
        <w:trPr>
          <w:trHeight w:val="255"/>
          <w:jc w:val="center"/>
        </w:trPr>
        <w:tc>
          <w:tcPr>
            <w:tcW w:w="6977" w:type="dxa"/>
            <w:gridSpan w:val="4"/>
            <w:tcBorders>
              <w:top w:val="nil"/>
              <w:left w:val="nil"/>
              <w:bottom w:val="single" w:sz="4" w:space="0" w:color="auto"/>
              <w:right w:val="nil"/>
            </w:tcBorders>
            <w:shd w:val="clear" w:color="auto" w:fill="auto"/>
            <w:noWrap/>
            <w:hideMark/>
          </w:tcPr>
          <w:p w:rsidR="00107A2E" w:rsidRPr="006C6DEF" w:rsidP="0018100B" w14:paraId="3FAC18CC" w14:textId="1D3150E8">
            <w:pPr>
              <w:pStyle w:val="Caption"/>
              <w:keepNext/>
              <w:rPr>
                <w:bCs/>
                <w:color w:val="000000"/>
                <w:szCs w:val="22"/>
              </w:rPr>
            </w:pPr>
            <w:r>
              <w:t xml:space="preserve">Table </w:t>
            </w:r>
            <w:r w:rsidR="0018100B">
              <w:t>4</w:t>
            </w:r>
            <w:r>
              <w:t xml:space="preserve">. </w:t>
            </w:r>
            <w:r w:rsidRPr="006C6DEF">
              <w:rPr>
                <w:bCs/>
                <w:color w:val="000000"/>
                <w:szCs w:val="22"/>
              </w:rPr>
              <w:t>Extrapolating to Total and Covered Employees</w:t>
            </w:r>
          </w:p>
        </w:tc>
      </w:tr>
      <w:tr w14:paraId="28933152" w14:textId="77777777" w:rsidTr="00F64942">
        <w:tblPrEx>
          <w:tblW w:w="0" w:type="auto"/>
          <w:jc w:val="center"/>
          <w:tblLayout w:type="fixed"/>
          <w:tblCellMar>
            <w:left w:w="58" w:type="dxa"/>
            <w:right w:w="58" w:type="dxa"/>
          </w:tblCellMar>
          <w:tblLook w:val="04A0"/>
        </w:tblPrEx>
        <w:trPr>
          <w:trHeight w:val="255"/>
          <w:jc w:val="center"/>
        </w:trPr>
        <w:tc>
          <w:tcPr>
            <w:tcW w:w="3162" w:type="dxa"/>
            <w:tcBorders>
              <w:top w:val="single" w:sz="4" w:space="0" w:color="auto"/>
              <w:left w:val="single" w:sz="4" w:space="0" w:color="auto"/>
              <w:bottom w:val="single" w:sz="4" w:space="0" w:color="auto"/>
              <w:right w:val="single" w:sz="4" w:space="0" w:color="auto"/>
            </w:tcBorders>
            <w:shd w:val="clear" w:color="000000" w:fill="BFBFBF"/>
            <w:hideMark/>
          </w:tcPr>
          <w:p w:rsidR="00107A2E" w:rsidRPr="006C6DEF" w:rsidP="00F64942" w14:paraId="5E348405" w14:textId="77777777">
            <w:pPr>
              <w:widowControl/>
              <w:autoSpaceDE/>
              <w:autoSpaceDN/>
              <w:adjustRightInd/>
              <w:jc w:val="center"/>
              <w:rPr>
                <w:b/>
                <w:bCs/>
                <w:color w:val="000000"/>
                <w:szCs w:val="22"/>
              </w:rPr>
            </w:pPr>
            <w:r w:rsidRPr="00806D7E">
              <w:t>Estimate</w:t>
            </w:r>
          </w:p>
        </w:tc>
        <w:tc>
          <w:tcPr>
            <w:tcW w:w="1506" w:type="dxa"/>
            <w:tcBorders>
              <w:top w:val="single" w:sz="4" w:space="0" w:color="auto"/>
              <w:left w:val="nil"/>
              <w:bottom w:val="single" w:sz="4" w:space="0" w:color="auto"/>
              <w:right w:val="single" w:sz="4" w:space="0" w:color="auto"/>
            </w:tcBorders>
            <w:shd w:val="clear" w:color="000000" w:fill="BFBFBF"/>
            <w:hideMark/>
          </w:tcPr>
          <w:p w:rsidR="00107A2E" w:rsidRPr="006C6DEF" w:rsidP="00F64942" w14:paraId="1FB9941A" w14:textId="77777777">
            <w:pPr>
              <w:widowControl/>
              <w:autoSpaceDE/>
              <w:autoSpaceDN/>
              <w:adjustRightInd/>
              <w:jc w:val="center"/>
              <w:rPr>
                <w:b/>
                <w:bCs/>
                <w:color w:val="000000"/>
                <w:szCs w:val="22"/>
              </w:rPr>
            </w:pPr>
            <w:r w:rsidRPr="006C6DEF">
              <w:rPr>
                <w:b/>
                <w:bCs/>
                <w:color w:val="000000"/>
                <w:szCs w:val="22"/>
              </w:rPr>
              <w:t>RIA Estimate</w:t>
            </w:r>
          </w:p>
        </w:tc>
        <w:tc>
          <w:tcPr>
            <w:tcW w:w="1213" w:type="dxa"/>
            <w:tcBorders>
              <w:top w:val="single" w:sz="4" w:space="0" w:color="auto"/>
              <w:left w:val="nil"/>
              <w:bottom w:val="single" w:sz="4" w:space="0" w:color="auto"/>
              <w:right w:val="single" w:sz="4" w:space="0" w:color="auto"/>
            </w:tcBorders>
            <w:shd w:val="clear" w:color="000000" w:fill="BFBFBF"/>
            <w:hideMark/>
          </w:tcPr>
          <w:p w:rsidR="00107A2E" w:rsidRPr="006C6DEF" w:rsidP="00F64942" w14:paraId="2D736C95" w14:textId="77777777">
            <w:pPr>
              <w:widowControl/>
              <w:autoSpaceDE/>
              <w:autoSpaceDN/>
              <w:adjustRightInd/>
              <w:jc w:val="center"/>
              <w:rPr>
                <w:b/>
                <w:bCs/>
                <w:color w:val="000000"/>
                <w:szCs w:val="22"/>
              </w:rPr>
            </w:pPr>
            <w:r w:rsidRPr="006C6DEF">
              <w:rPr>
                <w:b/>
                <w:bCs/>
                <w:color w:val="000000"/>
                <w:szCs w:val="22"/>
              </w:rPr>
              <w:t>% Change</w:t>
            </w:r>
            <w:r>
              <w:rPr>
                <w:b/>
                <w:bCs/>
                <w:color w:val="000000"/>
                <w:szCs w:val="22"/>
              </w:rPr>
              <w:t xml:space="preserve"> (Rounded)</w:t>
            </w:r>
          </w:p>
        </w:tc>
        <w:tc>
          <w:tcPr>
            <w:tcW w:w="1096" w:type="dxa"/>
            <w:tcBorders>
              <w:top w:val="single" w:sz="4" w:space="0" w:color="auto"/>
              <w:left w:val="nil"/>
              <w:bottom w:val="single" w:sz="4" w:space="0" w:color="auto"/>
              <w:right w:val="single" w:sz="4" w:space="0" w:color="auto"/>
            </w:tcBorders>
            <w:shd w:val="clear" w:color="000000" w:fill="BFBFBF"/>
            <w:hideMark/>
          </w:tcPr>
          <w:p w:rsidR="00107A2E" w:rsidRPr="006C6DEF" w:rsidP="00F64942" w14:paraId="40196061" w14:textId="77777777">
            <w:pPr>
              <w:widowControl/>
              <w:autoSpaceDE/>
              <w:autoSpaceDN/>
              <w:adjustRightInd/>
              <w:jc w:val="center"/>
              <w:rPr>
                <w:b/>
                <w:bCs/>
                <w:color w:val="000000"/>
                <w:szCs w:val="22"/>
              </w:rPr>
            </w:pPr>
            <w:r w:rsidRPr="006C6DEF">
              <w:rPr>
                <w:b/>
                <w:bCs/>
                <w:color w:val="000000"/>
                <w:szCs w:val="22"/>
              </w:rPr>
              <w:t>ICR</w:t>
            </w:r>
          </w:p>
        </w:tc>
      </w:tr>
      <w:tr w14:paraId="37DFCDB2" w14:textId="77777777" w:rsidTr="00F64942">
        <w:tblPrEx>
          <w:tblW w:w="0" w:type="auto"/>
          <w:jc w:val="center"/>
          <w:tblLayout w:type="fixed"/>
          <w:tblCellMar>
            <w:left w:w="58" w:type="dxa"/>
            <w:right w:w="58" w:type="dxa"/>
          </w:tblCellMar>
          <w:tblLook w:val="04A0"/>
        </w:tblPrEx>
        <w:trPr>
          <w:trHeight w:val="255"/>
          <w:jc w:val="center"/>
        </w:trPr>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107A2E" w:rsidRPr="006C6DEF" w:rsidP="00F64942" w14:paraId="31D7E697" w14:textId="77777777">
            <w:pPr>
              <w:widowControl/>
              <w:autoSpaceDE/>
              <w:autoSpaceDN/>
              <w:adjustRightInd/>
              <w:rPr>
                <w:color w:val="000000"/>
                <w:szCs w:val="22"/>
              </w:rPr>
            </w:pPr>
            <w:r w:rsidRPr="00806D7E">
              <w:t>Covered Employees</w:t>
            </w:r>
          </w:p>
        </w:tc>
        <w:tc>
          <w:tcPr>
            <w:tcW w:w="1506" w:type="dxa"/>
            <w:tcBorders>
              <w:top w:val="nil"/>
              <w:left w:val="single" w:sz="4" w:space="0" w:color="auto"/>
              <w:bottom w:val="single" w:sz="4" w:space="0" w:color="auto"/>
              <w:right w:val="single" w:sz="4" w:space="0" w:color="auto"/>
            </w:tcBorders>
            <w:shd w:val="clear" w:color="auto" w:fill="auto"/>
            <w:hideMark/>
          </w:tcPr>
          <w:p w:rsidR="00107A2E" w:rsidRPr="006C6DEF" w:rsidP="00F64942" w14:paraId="42B5F37D" w14:textId="77777777">
            <w:pPr>
              <w:widowControl/>
              <w:autoSpaceDE/>
              <w:autoSpaceDN/>
              <w:adjustRightInd/>
              <w:jc w:val="right"/>
              <w:rPr>
                <w:color w:val="000000"/>
                <w:szCs w:val="22"/>
              </w:rPr>
            </w:pPr>
            <w:r w:rsidRPr="006C6DEF">
              <w:rPr>
                <w:color w:val="000000"/>
                <w:szCs w:val="22"/>
              </w:rPr>
              <w:t>1,833,429</w:t>
            </w:r>
          </w:p>
        </w:tc>
        <w:tc>
          <w:tcPr>
            <w:tcW w:w="1213" w:type="dxa"/>
            <w:tcBorders>
              <w:top w:val="nil"/>
              <w:left w:val="nil"/>
              <w:bottom w:val="single" w:sz="4" w:space="0" w:color="auto"/>
              <w:right w:val="single" w:sz="4" w:space="0" w:color="auto"/>
            </w:tcBorders>
            <w:shd w:val="clear" w:color="auto" w:fill="auto"/>
            <w:hideMark/>
          </w:tcPr>
          <w:p w:rsidR="00107A2E" w:rsidRPr="006C6DEF" w:rsidP="00F64942" w14:paraId="594AEAEF" w14:textId="34B8E081">
            <w:pPr>
              <w:widowControl/>
              <w:autoSpaceDE/>
              <w:autoSpaceDN/>
              <w:adjustRightInd/>
              <w:jc w:val="right"/>
              <w:rPr>
                <w:color w:val="000000"/>
                <w:szCs w:val="22"/>
              </w:rPr>
            </w:pPr>
            <w:r w:rsidRPr="006C6DEF">
              <w:rPr>
                <w:color w:val="000000"/>
                <w:szCs w:val="22"/>
              </w:rPr>
              <w:t>-2</w:t>
            </w:r>
            <w:r w:rsidR="00995BFD">
              <w:rPr>
                <w:color w:val="000000"/>
                <w:szCs w:val="22"/>
              </w:rPr>
              <w:t>5</w:t>
            </w:r>
            <w:r w:rsidRPr="006C6DEF">
              <w:rPr>
                <w:color w:val="000000"/>
                <w:szCs w:val="22"/>
              </w:rPr>
              <w:t>.0%</w:t>
            </w:r>
          </w:p>
        </w:tc>
        <w:tc>
          <w:tcPr>
            <w:tcW w:w="1096" w:type="dxa"/>
            <w:tcBorders>
              <w:top w:val="nil"/>
              <w:left w:val="nil"/>
              <w:bottom w:val="single" w:sz="4" w:space="0" w:color="auto"/>
              <w:right w:val="single" w:sz="4" w:space="0" w:color="auto"/>
            </w:tcBorders>
            <w:shd w:val="clear" w:color="auto" w:fill="auto"/>
            <w:hideMark/>
          </w:tcPr>
          <w:p w:rsidR="00107A2E" w:rsidRPr="006C6DEF" w:rsidP="00F64942" w14:paraId="2A23BB93" w14:textId="7E197972">
            <w:pPr>
              <w:widowControl/>
              <w:autoSpaceDE/>
              <w:autoSpaceDN/>
              <w:adjustRightInd/>
              <w:jc w:val="right"/>
              <w:rPr>
                <w:color w:val="000000"/>
                <w:szCs w:val="22"/>
              </w:rPr>
            </w:pPr>
            <w:r w:rsidRPr="006C6DEF">
              <w:rPr>
                <w:color w:val="000000"/>
                <w:szCs w:val="22"/>
              </w:rPr>
              <w:t>1,</w:t>
            </w:r>
            <w:r w:rsidR="003642C3">
              <w:rPr>
                <w:color w:val="000000"/>
                <w:szCs w:val="22"/>
              </w:rPr>
              <w:t>375,072</w:t>
            </w:r>
          </w:p>
        </w:tc>
      </w:tr>
      <w:tr w14:paraId="1F0C6396" w14:textId="77777777" w:rsidTr="00FD3626">
        <w:tblPrEx>
          <w:tblW w:w="0" w:type="auto"/>
          <w:jc w:val="center"/>
          <w:tblLayout w:type="fixed"/>
          <w:tblCellMar>
            <w:left w:w="58" w:type="dxa"/>
            <w:right w:w="58" w:type="dxa"/>
          </w:tblCellMar>
          <w:tblLook w:val="04A0"/>
        </w:tblPrEx>
        <w:trPr>
          <w:trHeight w:val="255"/>
          <w:jc w:val="center"/>
        </w:trPr>
        <w:tc>
          <w:tcPr>
            <w:tcW w:w="3162" w:type="dxa"/>
            <w:tcBorders>
              <w:top w:val="nil"/>
              <w:left w:val="single" w:sz="4" w:space="0" w:color="auto"/>
              <w:bottom w:val="nil"/>
              <w:right w:val="single" w:sz="4" w:space="0" w:color="auto"/>
            </w:tcBorders>
            <w:shd w:val="clear" w:color="auto" w:fill="auto"/>
            <w:hideMark/>
          </w:tcPr>
          <w:p w:rsidR="00107A2E" w:rsidRPr="006C6DEF" w:rsidP="00F64942" w14:paraId="1FE2F098" w14:textId="77777777">
            <w:pPr>
              <w:widowControl/>
              <w:autoSpaceDE/>
              <w:autoSpaceDN/>
              <w:adjustRightInd/>
              <w:rPr>
                <w:color w:val="000000"/>
                <w:szCs w:val="22"/>
              </w:rPr>
            </w:pPr>
            <w:r w:rsidRPr="00806D7E">
              <w:t>Covered Employers</w:t>
            </w:r>
          </w:p>
        </w:tc>
        <w:tc>
          <w:tcPr>
            <w:tcW w:w="1506" w:type="dxa"/>
            <w:tcBorders>
              <w:top w:val="nil"/>
              <w:left w:val="single" w:sz="4" w:space="0" w:color="auto"/>
              <w:bottom w:val="nil"/>
              <w:right w:val="single" w:sz="4" w:space="0" w:color="auto"/>
            </w:tcBorders>
            <w:shd w:val="clear" w:color="auto" w:fill="auto"/>
            <w:hideMark/>
          </w:tcPr>
          <w:p w:rsidR="00107A2E" w:rsidRPr="006C6DEF" w:rsidP="00F64942" w14:paraId="6034C345" w14:textId="77777777">
            <w:pPr>
              <w:widowControl/>
              <w:autoSpaceDE/>
              <w:autoSpaceDN/>
              <w:adjustRightInd/>
              <w:jc w:val="right"/>
              <w:rPr>
                <w:color w:val="000000"/>
                <w:szCs w:val="22"/>
              </w:rPr>
            </w:pPr>
            <w:r w:rsidRPr="006C6DEF">
              <w:rPr>
                <w:color w:val="000000"/>
                <w:szCs w:val="22"/>
              </w:rPr>
              <w:t>1,434,105</w:t>
            </w:r>
          </w:p>
        </w:tc>
        <w:tc>
          <w:tcPr>
            <w:tcW w:w="1213" w:type="dxa"/>
            <w:tcBorders>
              <w:top w:val="nil"/>
              <w:left w:val="nil"/>
              <w:bottom w:val="nil"/>
              <w:right w:val="single" w:sz="4" w:space="0" w:color="auto"/>
            </w:tcBorders>
            <w:shd w:val="clear" w:color="auto" w:fill="auto"/>
            <w:hideMark/>
          </w:tcPr>
          <w:p w:rsidR="00107A2E" w:rsidRPr="006C6DEF" w:rsidP="00F64942" w14:paraId="633415EA" w14:textId="3CB07E08">
            <w:pPr>
              <w:widowControl/>
              <w:autoSpaceDE/>
              <w:autoSpaceDN/>
              <w:adjustRightInd/>
              <w:jc w:val="right"/>
              <w:rPr>
                <w:color w:val="000000"/>
                <w:szCs w:val="22"/>
              </w:rPr>
            </w:pPr>
            <w:r w:rsidRPr="006C6DEF">
              <w:rPr>
                <w:color w:val="000000"/>
                <w:szCs w:val="22"/>
              </w:rPr>
              <w:t>-2</w:t>
            </w:r>
            <w:r w:rsidR="00995BFD">
              <w:rPr>
                <w:color w:val="000000"/>
                <w:szCs w:val="22"/>
              </w:rPr>
              <w:t>5</w:t>
            </w:r>
            <w:r w:rsidRPr="006C6DEF">
              <w:rPr>
                <w:color w:val="000000"/>
                <w:szCs w:val="22"/>
              </w:rPr>
              <w:t>.0%</w:t>
            </w:r>
          </w:p>
        </w:tc>
        <w:tc>
          <w:tcPr>
            <w:tcW w:w="1096" w:type="dxa"/>
            <w:tcBorders>
              <w:top w:val="nil"/>
              <w:left w:val="nil"/>
              <w:bottom w:val="nil"/>
              <w:right w:val="single" w:sz="4" w:space="0" w:color="auto"/>
            </w:tcBorders>
            <w:shd w:val="clear" w:color="auto" w:fill="auto"/>
            <w:hideMark/>
          </w:tcPr>
          <w:p w:rsidR="00107A2E" w:rsidRPr="006C6DEF" w:rsidP="00F64942" w14:paraId="6039A8C4" w14:textId="24900E5B">
            <w:pPr>
              <w:widowControl/>
              <w:autoSpaceDE/>
              <w:autoSpaceDN/>
              <w:adjustRightInd/>
              <w:jc w:val="right"/>
              <w:rPr>
                <w:color w:val="000000"/>
                <w:szCs w:val="22"/>
              </w:rPr>
            </w:pPr>
            <w:r w:rsidRPr="006C6DEF">
              <w:rPr>
                <w:color w:val="000000"/>
                <w:szCs w:val="22"/>
              </w:rPr>
              <w:t>1,</w:t>
            </w:r>
            <w:r w:rsidR="003642C3">
              <w:rPr>
                <w:color w:val="000000"/>
                <w:szCs w:val="22"/>
              </w:rPr>
              <w:t>075</w:t>
            </w:r>
            <w:r w:rsidR="006D40D4">
              <w:rPr>
                <w:color w:val="000000"/>
                <w:szCs w:val="22"/>
              </w:rPr>
              <w:t>,</w:t>
            </w:r>
            <w:r w:rsidR="00995BFD">
              <w:rPr>
                <w:color w:val="000000"/>
                <w:szCs w:val="22"/>
              </w:rPr>
              <w:t>579</w:t>
            </w:r>
          </w:p>
        </w:tc>
      </w:tr>
      <w:tr w14:paraId="4A456422" w14:textId="77777777" w:rsidTr="00F64942">
        <w:tblPrEx>
          <w:tblW w:w="0" w:type="auto"/>
          <w:jc w:val="center"/>
          <w:tblLayout w:type="fixed"/>
          <w:tblCellMar>
            <w:left w:w="58" w:type="dxa"/>
            <w:right w:w="58" w:type="dxa"/>
          </w:tblCellMar>
          <w:tblLook w:val="04A0"/>
        </w:tblPrEx>
        <w:trPr>
          <w:trHeight w:val="255"/>
          <w:jc w:val="center"/>
        </w:trPr>
        <w:tc>
          <w:tcPr>
            <w:tcW w:w="3162" w:type="dxa"/>
            <w:tcBorders>
              <w:top w:val="nil"/>
              <w:left w:val="single" w:sz="4" w:space="0" w:color="auto"/>
              <w:bottom w:val="single" w:sz="4" w:space="0" w:color="auto"/>
              <w:right w:val="single" w:sz="4" w:space="0" w:color="auto"/>
            </w:tcBorders>
            <w:shd w:val="clear" w:color="auto" w:fill="auto"/>
          </w:tcPr>
          <w:p w:rsidR="00462849" w:rsidRPr="00806D7E" w:rsidP="00F64942" w14:paraId="68E9537E" w14:textId="77777777">
            <w:pPr>
              <w:widowControl/>
              <w:autoSpaceDE/>
              <w:autoSpaceDN/>
              <w:adjustRightInd/>
            </w:pPr>
          </w:p>
        </w:tc>
        <w:tc>
          <w:tcPr>
            <w:tcW w:w="1506" w:type="dxa"/>
            <w:tcBorders>
              <w:top w:val="nil"/>
              <w:left w:val="single" w:sz="4" w:space="0" w:color="auto"/>
              <w:bottom w:val="single" w:sz="4" w:space="0" w:color="auto"/>
              <w:right w:val="single" w:sz="4" w:space="0" w:color="auto"/>
            </w:tcBorders>
            <w:shd w:val="clear" w:color="auto" w:fill="auto"/>
          </w:tcPr>
          <w:p w:rsidR="00462849" w:rsidRPr="006C6DEF" w:rsidP="00F64942" w14:paraId="5A34E9CE" w14:textId="77777777">
            <w:pPr>
              <w:widowControl/>
              <w:autoSpaceDE/>
              <w:autoSpaceDN/>
              <w:adjustRightInd/>
              <w:jc w:val="right"/>
              <w:rPr>
                <w:color w:val="000000"/>
                <w:szCs w:val="22"/>
              </w:rPr>
            </w:pPr>
          </w:p>
        </w:tc>
        <w:tc>
          <w:tcPr>
            <w:tcW w:w="1213" w:type="dxa"/>
            <w:tcBorders>
              <w:top w:val="nil"/>
              <w:left w:val="nil"/>
              <w:bottom w:val="single" w:sz="4" w:space="0" w:color="auto"/>
              <w:right w:val="single" w:sz="4" w:space="0" w:color="auto"/>
            </w:tcBorders>
            <w:shd w:val="clear" w:color="auto" w:fill="auto"/>
          </w:tcPr>
          <w:p w:rsidR="00462849" w:rsidRPr="006C6DEF" w:rsidP="00F64942" w14:paraId="3AFA664B" w14:textId="77777777">
            <w:pPr>
              <w:widowControl/>
              <w:autoSpaceDE/>
              <w:autoSpaceDN/>
              <w:adjustRightInd/>
              <w:jc w:val="right"/>
              <w:rPr>
                <w:color w:val="000000"/>
                <w:szCs w:val="22"/>
              </w:rPr>
            </w:pPr>
          </w:p>
        </w:tc>
        <w:tc>
          <w:tcPr>
            <w:tcW w:w="1096" w:type="dxa"/>
            <w:tcBorders>
              <w:top w:val="nil"/>
              <w:left w:val="nil"/>
              <w:bottom w:val="single" w:sz="4" w:space="0" w:color="auto"/>
              <w:right w:val="single" w:sz="4" w:space="0" w:color="auto"/>
            </w:tcBorders>
            <w:shd w:val="clear" w:color="auto" w:fill="auto"/>
          </w:tcPr>
          <w:p w:rsidR="00462849" w:rsidRPr="006C6DEF" w:rsidP="00F64942" w14:paraId="333318A6" w14:textId="77777777">
            <w:pPr>
              <w:widowControl/>
              <w:autoSpaceDE/>
              <w:autoSpaceDN/>
              <w:adjustRightInd/>
              <w:jc w:val="right"/>
              <w:rPr>
                <w:color w:val="000000"/>
                <w:szCs w:val="22"/>
              </w:rPr>
            </w:pPr>
          </w:p>
        </w:tc>
      </w:tr>
    </w:tbl>
    <w:p w:rsidR="00A30F7A" w:rsidRPr="009C666F" w:rsidP="00C162AD" w14:paraId="157A6D1C" w14:textId="77777777">
      <w:pPr>
        <w:widowControl/>
      </w:pPr>
    </w:p>
    <w:sectPr w:rsidSect="004E7CD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21053AFF" w:usb1="0000008D" w:usb2="00000000" w:usb3="00000000" w:csb0="006609FF" w:csb1="00BD5CC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593" w:rsidP="0057232F" w14:paraId="37144BB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A77593" w14:paraId="20A8B6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593" w14:paraId="26041093" w14:textId="77777777">
    <w:pPr>
      <w:spacing w:line="240" w:lineRule="exact"/>
    </w:pPr>
  </w:p>
  <w:p w:rsidR="00A77593" w:rsidP="00FF3EE7" w14:paraId="04FCA58E" w14:textId="16D7A4F9">
    <w:pPr>
      <w:framePr w:wrap="around" w:vAnchor="text" w:hAnchor="margin" w:xAlign="center" w:y="1"/>
      <w:jc w:val="center"/>
    </w:pPr>
    <w:r>
      <w:rPr>
        <w:color w:val="2B579A"/>
        <w:shd w:val="clear" w:color="auto" w:fill="E6E6E6"/>
      </w:rPr>
      <w:fldChar w:fldCharType="begin"/>
    </w:r>
    <w:r>
      <w:instrText xml:space="preserve">PAGE </w:instrText>
    </w:r>
    <w:r>
      <w:rPr>
        <w:color w:val="2B579A"/>
        <w:shd w:val="clear" w:color="auto" w:fill="E6E6E6"/>
      </w:rPr>
      <w:fldChar w:fldCharType="separate"/>
    </w:r>
    <w:r w:rsidR="00375039">
      <w:rPr>
        <w:noProof/>
      </w:rPr>
      <w:t>1</w:t>
    </w:r>
    <w:r>
      <w:rPr>
        <w:color w:val="2B579A"/>
        <w:shd w:val="clear" w:color="auto" w:fill="E6E6E6"/>
      </w:rPr>
      <w:fldChar w:fldCharType="end"/>
    </w:r>
  </w:p>
  <w:p w:rsidR="00A77593" w14:paraId="6B67FD5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2D82" w14:paraId="0C1F2380" w14:textId="77777777">
      <w:r>
        <w:separator/>
      </w:r>
    </w:p>
  </w:footnote>
  <w:footnote w:type="continuationSeparator" w:id="1">
    <w:p w:rsidR="00EB2D82" w14:paraId="507C14B9" w14:textId="77777777">
      <w:r>
        <w:continuationSeparator/>
      </w:r>
    </w:p>
  </w:footnote>
  <w:footnote w:type="continuationNotice" w:id="2">
    <w:p w:rsidR="00EB2D82" w14:paraId="38070AEF" w14:textId="77777777"/>
  </w:footnote>
  <w:footnote w:id="3">
    <w:p w:rsidR="00A77593" w:rsidP="00A91C29" w14:paraId="2961B120" w14:textId="77777777">
      <w:pPr>
        <w:spacing w:after="240"/>
        <w:ind w:firstLine="720"/>
      </w:pPr>
      <w:r>
        <w:rPr>
          <w:rStyle w:val="FootnoteReference"/>
          <w:vertAlign w:val="superscript"/>
        </w:rPr>
        <w:footnoteRef/>
      </w:r>
      <w:r>
        <w:rPr>
          <w:sz w:val="20"/>
          <w:szCs w:val="20"/>
        </w:rPr>
        <w:t>The purpose of this supporting statement is to analyze and describe the burden hours and costs associated with provisions of the Asbestos in Construction Standard that contain collection of information requirements; this supporting statement does not provide information or guidance on how to comply with, or how to enforce, the Standard</w:t>
      </w:r>
      <w:r>
        <w:t>.</w:t>
      </w:r>
    </w:p>
  </w:footnote>
  <w:footnote w:id="4">
    <w:p w:rsidR="00A77593" w:rsidP="00A91C29" w14:paraId="23D4D3D2" w14:textId="34864773">
      <w:pPr>
        <w:spacing w:after="240"/>
        <w:ind w:firstLine="720"/>
      </w:pPr>
      <w:r>
        <w:rPr>
          <w:rStyle w:val="FootnoteReference"/>
          <w:vertAlign w:val="superscript"/>
        </w:rPr>
        <w:footnoteRef/>
      </w:r>
      <w:r>
        <w:rPr>
          <w:sz w:val="20"/>
          <w:szCs w:val="20"/>
        </w:rPr>
        <w:t xml:space="preserve">Class I asbestos work means activities involving the removal of thermal system insulation (TSI) or surfacing asbestos containing material (ACM) or PACM. Class II work means activities involving removal of ACM which is neither TSI or surfacing ACM. Class III asbestos work means repair and maintenance operations where “ACM”, including TSI and surfacing ACM and PACM, is likely to be disturbed. </w:t>
      </w:r>
    </w:p>
  </w:footnote>
  <w:footnote w:id="5">
    <w:p w:rsidR="00A77593" w:rsidP="00A91C29" w14:paraId="36CEE5CC" w14:textId="77777777">
      <w:pPr>
        <w:spacing w:after="240"/>
        <w:ind w:firstLine="720"/>
      </w:pPr>
      <w:r>
        <w:rPr>
          <w:rStyle w:val="FootnoteReference"/>
          <w:vertAlign w:val="superscript"/>
        </w:rPr>
        <w:footnoteRef/>
      </w:r>
      <w:r>
        <w:rPr>
          <w:sz w:val="20"/>
          <w:szCs w:val="20"/>
        </w:rPr>
        <w:t xml:space="preserve"> Competent person means, in addition to the definition in 29 CFR 1926.32(f), one who is capable of identifying existing asbestos hazards in the workplace and selecting the appropriate control strategy for asbestos exposure, who has the authority to take prompt corrective measures to eliminate them, as specified in 29 CFR 1926.32(f); in addition for Class I and Class II work who is specially trained in a training course which meets the criteria of the Environmental Protection Agency's (EPA) Model Accreditation Plan (40 CFR Part 763) for supervisor, or its equivalent, and for Class III and Class IV work, who is trained in a manner consistent with EPA requirements for training of local education agency maintenance and custodial staff as set forth at 40 CFR 763.92(a)(2). </w:t>
      </w:r>
    </w:p>
  </w:footnote>
  <w:footnote w:id="6">
    <w:p w:rsidR="00A77593" w:rsidP="00BC4F84" w14:paraId="3A529A07" w14:textId="77777777">
      <w:pPr>
        <w:pStyle w:val="FootnoteText"/>
        <w:ind w:firstLine="720"/>
      </w:pPr>
      <w:r w:rsidRPr="0061400C">
        <w:rPr>
          <w:rStyle w:val="FootnoteReference"/>
          <w:vertAlign w:val="superscript"/>
        </w:rPr>
        <w:footnoteRef/>
      </w:r>
      <w:r w:rsidRPr="00613636">
        <w:rPr>
          <w:lang w:val="en-JM"/>
        </w:rPr>
        <w:t>The Agency accounts for the burden hours and costs associated with compliance with the HCS, such as the development of a hazard communication program, under the Information Collection Request (ICR) for the HCS, OMB Control No. 1218-0072</w:t>
      </w:r>
      <w:r>
        <w:rPr>
          <w:lang w:val="en-JM"/>
        </w:rPr>
        <w:t xml:space="preserve">. </w:t>
      </w:r>
      <w:r w:rsidRPr="00710B93">
        <w:rPr>
          <w:lang w:val="en-JM"/>
        </w:rPr>
        <w:t xml:space="preserve">The labels required by the HCS as it pertains to </w:t>
      </w:r>
      <w:r>
        <w:rPr>
          <w:lang w:val="en-JM"/>
        </w:rPr>
        <w:t xml:space="preserve">the Asbestos in Construction Standard </w:t>
      </w:r>
      <w:r w:rsidRPr="00710B93">
        <w:rPr>
          <w:lang w:val="en-JM"/>
        </w:rPr>
        <w:t>are addressed in this Supporting Statement</w:t>
      </w:r>
      <w:r>
        <w:rPr>
          <w:lang w:val="en-JM"/>
        </w:rPr>
        <w:t>.</w:t>
      </w:r>
    </w:p>
  </w:footnote>
  <w:footnote w:id="7">
    <w:p w:rsidR="00A77593" w:rsidRPr="00A84186" w:rsidP="00BC4F84" w14:paraId="0DEBCCFF" w14:textId="77777777">
      <w:pPr>
        <w:widowControl/>
        <w:ind w:firstLine="720"/>
        <w:rPr>
          <w:bCs/>
        </w:rPr>
      </w:pPr>
      <w:r w:rsidRPr="0096341D">
        <w:rPr>
          <w:rStyle w:val="FootnoteReference"/>
          <w:sz w:val="22"/>
          <w:szCs w:val="22"/>
          <w:vertAlign w:val="superscript"/>
        </w:rPr>
        <w:footnoteRef/>
      </w:r>
      <w:r w:rsidRPr="006D1FC6">
        <w:rPr>
          <w:sz w:val="20"/>
          <w:szCs w:val="20"/>
        </w:rPr>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r w:rsidRPr="0096341D">
        <w:rPr>
          <w:bCs/>
          <w:sz w:val="20"/>
          <w:szCs w:val="20"/>
        </w:rPr>
        <w:t>.</w:t>
      </w:r>
    </w:p>
    <w:p w:rsidR="00A77593" w14:paraId="2A240CEF" w14:textId="77777777">
      <w:pPr>
        <w:pStyle w:val="FootnoteText"/>
      </w:pPr>
    </w:p>
  </w:footnote>
  <w:footnote w:id="8">
    <w:p w:rsidR="00A77593" w:rsidP="00772E53" w14:paraId="4410EC70" w14:textId="77777777">
      <w:pPr>
        <w:pStyle w:val="FootnoteText"/>
        <w:ind w:firstLine="720"/>
      </w:pPr>
      <w:r w:rsidRPr="0061400C">
        <w:rPr>
          <w:rStyle w:val="FootnoteReference"/>
          <w:sz w:val="22"/>
          <w:szCs w:val="22"/>
          <w:vertAlign w:val="superscript"/>
        </w:rPr>
        <w:footnoteRef/>
      </w:r>
      <w:r w:rsidRPr="00772E53">
        <w:rPr>
          <w:rStyle w:val="FootnoteReference"/>
          <w:vertAlign w:val="superscript"/>
        </w:rPr>
        <w:t xml:space="preserve"> </w:t>
      </w:r>
      <w:r w:rsidRPr="0061400C">
        <w:rPr>
          <w:rStyle w:val="FootnoteReference"/>
        </w:rPr>
        <w:t xml:space="preserve">Installation of new asbestos-cement (AC) pipe and sheet no longer occurs in the United States. </w:t>
      </w:r>
      <w:r w:rsidRPr="0061400C">
        <w:t>T</w:t>
      </w:r>
      <w:r w:rsidRPr="0061400C">
        <w:rPr>
          <w:rStyle w:val="FootnoteReference"/>
        </w:rPr>
        <w:t>he last domestic producer of asbestos ceased operations in 2002. While AC products are still currently available in the international market, import data compiled by the USGS indicates that virtually all asbestos imports are accounted for by the chloroalkali industry</w:t>
      </w:r>
      <w:r w:rsidRPr="0061400C">
        <w:t xml:space="preserve"> (USGS, 2018). Hence new construction activities have been removed from the analysis.</w:t>
      </w:r>
    </w:p>
  </w:footnote>
  <w:footnote w:id="9">
    <w:p w:rsidR="00A77593" w:rsidP="0096341D" w14:paraId="584B66B1" w14:textId="77777777">
      <w:pPr>
        <w:pStyle w:val="FootnoteText"/>
        <w:ind w:firstLine="720"/>
      </w:pPr>
      <w:r w:rsidRPr="0096341D">
        <w:rPr>
          <w:rStyle w:val="FootnoteReference"/>
          <w:sz w:val="22"/>
          <w:vertAlign w:val="superscript"/>
        </w:rPr>
        <w:footnoteRef/>
      </w:r>
      <w:r w:rsidRPr="0096341D">
        <w:rPr>
          <w:sz w:val="22"/>
          <w:vertAlign w:val="superscript"/>
        </w:rPr>
        <w:t xml:space="preserve"> </w:t>
      </w:r>
      <w:r>
        <w:t xml:space="preserve">According to previous ICRs, this figure was an estimate in the RIA. </w:t>
      </w:r>
    </w:p>
    <w:p w:rsidR="00A77593" w:rsidP="0096341D" w14:paraId="5FAF849E" w14:textId="77777777">
      <w:pPr>
        <w:pStyle w:val="FootnoteText"/>
        <w:ind w:firstLine="720"/>
      </w:pPr>
    </w:p>
  </w:footnote>
  <w:footnote w:id="10">
    <w:p w:rsidR="00A77593" w:rsidP="006071B8" w14:paraId="17C07F36" w14:textId="77777777">
      <w:pPr>
        <w:pStyle w:val="FootnoteText"/>
        <w:ind w:firstLine="720"/>
      </w:pPr>
      <w:r w:rsidRPr="0096341D">
        <w:rPr>
          <w:rStyle w:val="FootnoteReference"/>
          <w:sz w:val="22"/>
          <w:vertAlign w:val="superscript"/>
        </w:rPr>
        <w:footnoteRef/>
      </w:r>
      <w:r w:rsidRPr="0096341D">
        <w:rPr>
          <w:sz w:val="22"/>
          <w:vertAlign w:val="superscript"/>
        </w:rPr>
        <w:t xml:space="preserve"> </w:t>
      </w:r>
      <w:r>
        <w:t>The Agency attempted to obtain new data but no sources were found. Estimate based on Agency’s professional judgment.</w:t>
      </w:r>
    </w:p>
  </w:footnote>
  <w:footnote w:id="11">
    <w:p w:rsidR="00A77593" w:rsidP="006071B8" w14:paraId="4EDCF8A8" w14:textId="77777777">
      <w:pPr>
        <w:pStyle w:val="FootnoteText"/>
        <w:ind w:firstLine="720"/>
      </w:pPr>
      <w:r w:rsidRPr="0096341D">
        <w:rPr>
          <w:rStyle w:val="FootnoteReference"/>
          <w:sz w:val="22"/>
          <w:szCs w:val="22"/>
          <w:vertAlign w:val="superscript"/>
        </w:rPr>
        <w:footnoteRef/>
      </w:r>
      <w:r w:rsidRPr="0096341D">
        <w:rPr>
          <w:sz w:val="22"/>
          <w:szCs w:val="22"/>
          <w:vertAlign w:val="superscript"/>
        </w:rPr>
        <w:t xml:space="preserve"> </w:t>
      </w:r>
      <w:r>
        <w:t>The Agency attempted to obtain new data but no sources were found. Estimate based on Agency’s professional judgment.</w:t>
      </w:r>
    </w:p>
  </w:footnote>
  <w:footnote w:id="12">
    <w:p w:rsidR="00EA36D0" w:rsidRPr="00C67385" w:rsidP="00EA36D0" w14:paraId="655C53C9" w14:textId="1AE962D4">
      <w:pPr>
        <w:widowControl/>
        <w:autoSpaceDE/>
        <w:autoSpaceDN/>
        <w:adjustRightInd/>
        <w:rPr>
          <w:rFonts w:ascii="Calibri" w:hAnsi="Calibri" w:cs="Calibri"/>
          <w:color w:val="000000"/>
          <w:sz w:val="20"/>
          <w:szCs w:val="20"/>
        </w:rPr>
      </w:pPr>
      <w:r w:rsidRPr="00872CE2">
        <w:rPr>
          <w:rStyle w:val="FootnoteReference"/>
          <w:sz w:val="22"/>
          <w:vertAlign w:val="superscript"/>
        </w:rPr>
        <w:footnoteRef/>
      </w:r>
      <w:r w:rsidRPr="00872CE2">
        <w:t xml:space="preserve"> Based on BLS’s 2016 Job Openings and Labor Turnover Survey, the total annual separations rate for the construction industry in 2020 was </w:t>
      </w:r>
      <w:r w:rsidR="005E17E2">
        <w:t xml:space="preserve">52.6 </w:t>
      </w:r>
      <w:r w:rsidRPr="00872CE2">
        <w:t xml:space="preserve">percent. Available at </w:t>
      </w:r>
      <w:r w:rsidRPr="009A7331" w:rsidR="009A7331">
        <w:rPr>
          <w:rFonts w:ascii="Calibri" w:hAnsi="Calibri" w:cs="Calibri"/>
          <w:color w:val="000000"/>
          <w:sz w:val="20"/>
          <w:szCs w:val="20"/>
        </w:rPr>
        <w:t>Bureau of Labor Statistics Job Openings and Labor Turnover Survey (JOLTS) 3/2024 - Construction Separations, Not Seasonally Adjusted (Series ID JTU230000000000000TSR) Accessed 5/31/2024</w:t>
      </w:r>
      <w:r w:rsidRPr="00872CE2">
        <w:t xml:space="preserve"> (Accessed Ma</w:t>
      </w:r>
      <w:r w:rsidR="001A0C16">
        <w:t>y</w:t>
      </w:r>
      <w:r w:rsidRPr="00872CE2">
        <w:t xml:space="preserve"> </w:t>
      </w:r>
      <w:r w:rsidR="001A0C16">
        <w:t>31</w:t>
      </w:r>
      <w:r w:rsidRPr="00872CE2">
        <w:t>, 202</w:t>
      </w:r>
      <w:r w:rsidR="00651650">
        <w:t>4</w:t>
      </w:r>
      <w:r w:rsidRPr="00872CE2">
        <w:t>).</w:t>
      </w:r>
      <w:r w:rsidRPr="00EA36D0">
        <w:rPr>
          <w:rFonts w:ascii="Calibri" w:hAnsi="Calibri" w:cs="Calibri"/>
          <w:sz w:val="20"/>
          <w:szCs w:val="20"/>
        </w:rPr>
        <w:t xml:space="preserve"> </w:t>
      </w:r>
    </w:p>
    <w:p w:rsidR="00A77593" w:rsidP="000C62F5" w14:paraId="0E3C2E29" w14:textId="37AE98B1">
      <w:pPr>
        <w:pStyle w:val="FootnoteText"/>
        <w:ind w:firstLine="720"/>
      </w:pPr>
    </w:p>
  </w:footnote>
  <w:footnote w:id="13">
    <w:p w:rsidR="00A77593" w:rsidRPr="00450D5A" w:rsidP="006071B8" w14:paraId="6B60DB07" w14:textId="51E9C52C">
      <w:pPr>
        <w:ind w:firstLine="720"/>
        <w:rPr>
          <w:sz w:val="20"/>
          <w:szCs w:val="20"/>
        </w:rPr>
      </w:pPr>
      <w:r w:rsidRPr="00872CE2">
        <w:rPr>
          <w:rStyle w:val="FootnoteReference"/>
          <w:sz w:val="22"/>
          <w:vertAlign w:val="superscript"/>
        </w:rPr>
        <w:footnoteRef/>
      </w:r>
      <w:r w:rsidRPr="00872CE2">
        <w:t xml:space="preserve"> </w:t>
      </w:r>
      <w:r w:rsidRPr="00872CE2">
        <w:rPr>
          <w:sz w:val="18"/>
          <w:szCs w:val="18"/>
        </w:rPr>
        <w:t>The</w:t>
      </w:r>
      <w:r w:rsidRPr="00872CE2">
        <w:rPr>
          <w:sz w:val="20"/>
          <w:szCs w:val="20"/>
        </w:rPr>
        <w:t xml:space="preserve"> cost for an OSHA-accredited laboratory to analyze air monitoring samples (using the PCM NIOSH 7400 method) is estimated at $</w:t>
      </w:r>
      <w:r w:rsidR="00E85BBF">
        <w:rPr>
          <w:sz w:val="20"/>
          <w:szCs w:val="20"/>
        </w:rPr>
        <w:t>19.72</w:t>
      </w:r>
      <w:r w:rsidRPr="00872CE2">
        <w:rPr>
          <w:sz w:val="20"/>
          <w:szCs w:val="20"/>
        </w:rPr>
        <w:t xml:space="preserve"> per sample (City of Brentwood, 2019. 2019 Hazardous Materials / Abatement Bid Results for 8746 Eulalie. Available at </w:t>
      </w:r>
      <w:hyperlink r:id="rId1" w:history="1">
        <w:r w:rsidRPr="00872CE2">
          <w:rPr>
            <w:rStyle w:val="Hyperlink"/>
            <w:sz w:val="20"/>
            <w:szCs w:val="20"/>
          </w:rPr>
          <w:t>http://www.brentwoodmo.org/DocumentCenter/View/26662/2019-Bid-Results-for-Hazardous-Material-and-Abatement</w:t>
        </w:r>
      </w:hyperlink>
      <w:r w:rsidRPr="00872CE2">
        <w:rPr>
          <w:sz w:val="20"/>
          <w:szCs w:val="20"/>
        </w:rPr>
        <w:t xml:space="preserve"> (Accessed February 24, 2021). In addition to the above sampling costs, 25 mm, 0.8 micron filters were needed to conduct monitoring. A box of 50 costs</w:t>
      </w:r>
      <w:r>
        <w:rPr>
          <w:sz w:val="20"/>
          <w:szCs w:val="20"/>
        </w:rPr>
        <w:t xml:space="preserve"> </w:t>
      </w:r>
      <w:r w:rsidRPr="00872CE2">
        <w:rPr>
          <w:sz w:val="20"/>
          <w:szCs w:val="20"/>
        </w:rPr>
        <w:t>$</w:t>
      </w:r>
      <w:r w:rsidR="00C96E73">
        <w:rPr>
          <w:sz w:val="20"/>
          <w:szCs w:val="20"/>
        </w:rPr>
        <w:t>31.75</w:t>
      </w:r>
      <w:r w:rsidRPr="00872CE2">
        <w:rPr>
          <w:sz w:val="20"/>
          <w:szCs w:val="20"/>
        </w:rPr>
        <w:t>, or $0.6</w:t>
      </w:r>
      <w:r w:rsidR="0093411D">
        <w:rPr>
          <w:sz w:val="20"/>
          <w:szCs w:val="20"/>
        </w:rPr>
        <w:t>4</w:t>
      </w:r>
      <w:r w:rsidRPr="00872CE2">
        <w:rPr>
          <w:sz w:val="20"/>
          <w:szCs w:val="20"/>
        </w:rPr>
        <w:t>per cassette (Zefon International, 2021. PCM Cassette (25 mm) &amp; MCE Asbestos Monitoring Cassette 3PC, 0.8µm 50/BX. Available at</w:t>
      </w:r>
      <w:hyperlink r:id="rId2" w:history="1">
        <w:r w:rsidRPr="00872CE2">
          <w:rPr>
            <w:rStyle w:val="Hyperlink"/>
            <w:sz w:val="20"/>
            <w:szCs w:val="20"/>
          </w:rPr>
          <w:t xml:space="preserve"> https://www.zefon.com/cassette-25mm-3pc-08m-mce-pcm-50bx</w:t>
        </w:r>
      </w:hyperlink>
      <w:r w:rsidRPr="00872CE2">
        <w:rPr>
          <w:sz w:val="20"/>
          <w:szCs w:val="20"/>
        </w:rPr>
        <w:t xml:space="preserve"> (Accessed February 24, 2021).). Thus total cost per sample (for analysis and cassette) was $</w:t>
      </w:r>
      <w:r w:rsidR="002877AE">
        <w:rPr>
          <w:sz w:val="20"/>
          <w:szCs w:val="20"/>
        </w:rPr>
        <w:t>20.35</w:t>
      </w:r>
      <w:r w:rsidRPr="00872CE2">
        <w:rPr>
          <w:sz w:val="20"/>
          <w:szCs w:val="20"/>
        </w:rPr>
        <w:t>.</w:t>
      </w:r>
    </w:p>
    <w:p w:rsidR="00A77593" w:rsidP="00296CE0" w14:paraId="7DBF9E5D" w14:textId="77777777">
      <w:pPr>
        <w:pStyle w:val="FootnoteText"/>
        <w:ind w:firstLine="720"/>
      </w:pPr>
    </w:p>
  </w:footnote>
  <w:footnote w:id="14">
    <w:p w:rsidR="00A77593" w:rsidP="00872CE2" w14:paraId="096912D5" w14:textId="103E0C58">
      <w:pPr>
        <w:pStyle w:val="FootnoteText"/>
        <w:ind w:firstLine="720"/>
      </w:pPr>
      <w:r w:rsidRPr="00296CE0">
        <w:rPr>
          <w:rStyle w:val="FootnoteReference"/>
          <w:sz w:val="22"/>
          <w:szCs w:val="22"/>
          <w:vertAlign w:val="superscript"/>
        </w:rPr>
        <w:footnoteRef/>
      </w:r>
      <w:r>
        <w:t xml:space="preserve"> </w:t>
      </w:r>
      <w:r w:rsidRPr="00872CE2">
        <w:t>The estimated cost of a new patient outpatient visit requiring 15-29 minutes (CPT Code 99202) is $</w:t>
      </w:r>
      <w:r w:rsidR="00884ACD">
        <w:t>396</w:t>
      </w:r>
      <w:r w:rsidRPr="00872CE2">
        <w:t xml:space="preserve"> (FAIR Health, 2021. New Patient Outpatient Visit, Total Time 15-29 Minutes (CPT Code 99202). Available at </w:t>
      </w:r>
      <w:hyperlink r:id="rId3" w:history="1">
        <w:r w:rsidRPr="00872CE2">
          <w:rPr>
            <w:rStyle w:val="Hyperlink"/>
          </w:rPr>
          <w:t>https://www.fairhealthconsumer.org/medical</w:t>
        </w:r>
      </w:hyperlink>
      <w:r>
        <w:rPr>
          <w:rStyle w:val="Hyperlink"/>
        </w:rPr>
        <w:t xml:space="preserve"> </w:t>
      </w:r>
      <w:r w:rsidRPr="00872CE2">
        <w:t>(Accessed February 24, 2021).</w:t>
      </w:r>
    </w:p>
  </w:footnote>
  <w:footnote w:id="15">
    <w:p w:rsidR="00A77593" w:rsidP="00107A2E" w14:paraId="1F042915" w14:textId="77777777">
      <w:pPr>
        <w:pStyle w:val="FootnoteText"/>
      </w:pPr>
      <w:r>
        <w:rPr>
          <w:sz w:val="22"/>
          <w:szCs w:val="22"/>
          <w:vertAlign w:val="superscript"/>
        </w:rPr>
        <w:tab/>
      </w:r>
      <w:r w:rsidRPr="00872CE2">
        <w:rPr>
          <w:rStyle w:val="FootnoteReference"/>
          <w:sz w:val="22"/>
          <w:szCs w:val="22"/>
          <w:vertAlign w:val="superscript"/>
        </w:rPr>
        <w:footnoteRef/>
      </w:r>
      <w:r w:rsidRPr="00872CE2">
        <w:rPr>
          <w:rStyle w:val="FootnoteReference"/>
          <w:sz w:val="22"/>
          <w:szCs w:val="22"/>
          <w:vertAlign w:val="superscript"/>
        </w:rPr>
        <w:t xml:space="preserve"> </w:t>
      </w:r>
      <w:r w:rsidRPr="00C64B11">
        <w:t xml:space="preserve">U.S. Geological Survey (USGS), 2021. Mineral Commodity Summaries 2021. Available at </w:t>
      </w:r>
      <w:hyperlink r:id="rId4" w:history="1">
        <w:r w:rsidRPr="00C64B11">
          <w:rPr>
            <w:rStyle w:val="Hyperlink"/>
          </w:rPr>
          <w:t>https://www.usgs.gov/centers/nmic/mineral-commodity-summaries</w:t>
        </w:r>
      </w:hyperlink>
      <w:r w:rsidRPr="00C64B11">
        <w:t xml:space="preserve"> (Accessed February 4, 2021).</w:t>
      </w:r>
    </w:p>
    <w:p w:rsidR="00A77593" w:rsidP="00107A2E" w14:paraId="7DA8CAD7" w14:textId="77777777">
      <w:pPr>
        <w:pStyle w:val="FootnoteText"/>
      </w:pPr>
    </w:p>
  </w:footnote>
  <w:footnote w:id="16">
    <w:p w:rsidR="00A77593" w:rsidP="00107A2E" w14:paraId="4F7A8D7F" w14:textId="77777777">
      <w:pPr>
        <w:pStyle w:val="FootnoteText"/>
      </w:pPr>
      <w:r>
        <w:rPr>
          <w:sz w:val="22"/>
          <w:szCs w:val="22"/>
        </w:rPr>
        <w:tab/>
      </w:r>
      <w:r w:rsidRPr="00872CE2">
        <w:rPr>
          <w:rStyle w:val="FootnoteReference"/>
          <w:sz w:val="22"/>
          <w:szCs w:val="22"/>
          <w:vertAlign w:val="superscript"/>
        </w:rPr>
        <w:footnoteRef/>
      </w:r>
      <w:r w:rsidRPr="006A0759">
        <w:rPr>
          <w:rStyle w:val="FootnoteReference"/>
          <w:sz w:val="22"/>
          <w:szCs w:val="22"/>
        </w:rPr>
        <w:t xml:space="preserve"> </w:t>
      </w:r>
      <w:r>
        <w:t>EPA Webpage on U.S. Federal Bans on Asbestos:</w:t>
      </w:r>
    </w:p>
    <w:p w:rsidR="00A77593" w:rsidP="00107A2E" w14:paraId="2B93107D" w14:textId="77777777">
      <w:pPr>
        <w:pStyle w:val="FootnoteText"/>
      </w:pPr>
      <w:r>
        <w:t xml:space="preserve">Available at: </w:t>
      </w:r>
      <w:hyperlink r:id="rId5" w:history="1">
        <w:r w:rsidRPr="00CE4317">
          <w:rPr>
            <w:rStyle w:val="Hyperlink"/>
          </w:rPr>
          <w:t>https://www.epa.gov/asbestos/us-federal-bans-asbestos</w:t>
        </w:r>
        <w:r w:rsidRPr="00D45CA0">
          <w:rPr>
            <w:rStyle w:val="Hyperlink"/>
          </w:rPr>
          <w:t>. Accessed 3/20/2018</w:t>
        </w:r>
      </w:hyperlink>
      <w:r>
        <w:t>.</w:t>
      </w:r>
    </w:p>
  </w:footnote>
  <w:footnote w:id="17">
    <w:p w:rsidR="00A77593" w:rsidP="00107A2E" w14:paraId="43EC4C99" w14:textId="77777777">
      <w:pPr>
        <w:pStyle w:val="FootnoteText"/>
      </w:pPr>
      <w:r>
        <w:rPr>
          <w:sz w:val="22"/>
          <w:szCs w:val="22"/>
        </w:rPr>
        <w:tab/>
      </w:r>
      <w:r w:rsidRPr="00872CE2">
        <w:rPr>
          <w:rStyle w:val="FootnoteReference"/>
          <w:sz w:val="22"/>
          <w:szCs w:val="22"/>
          <w:vertAlign w:val="superscript"/>
        </w:rPr>
        <w:footnoteRef/>
      </w:r>
      <w:r w:rsidRPr="00327E32">
        <w:rPr>
          <w:rStyle w:val="FootnoteReference"/>
          <w:sz w:val="22"/>
          <w:szCs w:val="22"/>
        </w:rPr>
        <w:t xml:space="preserve"> </w:t>
      </w:r>
      <w:r w:rsidRPr="006A0759">
        <w:t xml:space="preserve">Source: Bureau of Labor Statistics (BLS), 2018. Occupational Outlook Handbook - Construction and Extraction - Hazardous Materials Removal Workers. U.S. Department of Labor (DOL). Available at </w:t>
      </w:r>
      <w:hyperlink r:id="rId6" w:anchor="tab-3" w:history="1">
        <w:r w:rsidRPr="006A0759">
          <w:rPr>
            <w:rStyle w:val="Hyperlink"/>
          </w:rPr>
          <w:t>https://www.bls.gov/ooh/construction-and-extraction/hazardous-materials-removal-workers.htm#tab-3</w:t>
        </w:r>
      </w:hyperlink>
      <w:r>
        <w:t xml:space="preserve">. </w:t>
      </w:r>
      <w:r w:rsidRPr="006A0759">
        <w:t xml:space="preserve"> (Accessed March 5, 2018).</w:t>
      </w:r>
    </w:p>
    <w:p w:rsidR="00A77593" w:rsidRPr="006A0759" w:rsidP="00107A2E" w14:paraId="5B436478" w14:textId="77777777">
      <w:pPr>
        <w:pStyle w:val="FootnoteText"/>
      </w:pPr>
      <w:r>
        <w:tab/>
      </w:r>
    </w:p>
  </w:footnote>
  <w:footnote w:id="18">
    <w:p w:rsidR="00A77593" w:rsidP="00107A2E" w14:paraId="43723619" w14:textId="0497723E">
      <w:pPr>
        <w:pStyle w:val="FootnoteText"/>
      </w:pPr>
      <w:r>
        <w:rPr>
          <w:sz w:val="22"/>
          <w:szCs w:val="22"/>
        </w:rPr>
        <w:tab/>
      </w:r>
      <w:r w:rsidRPr="00872CE2">
        <w:rPr>
          <w:rStyle w:val="FootnoteReference"/>
          <w:sz w:val="22"/>
          <w:szCs w:val="22"/>
          <w:vertAlign w:val="superscript"/>
        </w:rPr>
        <w:footnoteRef/>
      </w:r>
      <w:r w:rsidRPr="00327E32">
        <w:rPr>
          <w:rStyle w:val="FootnoteReference"/>
          <w:sz w:val="22"/>
          <w:szCs w:val="22"/>
        </w:rPr>
        <w:t xml:space="preserve"> </w:t>
      </w:r>
      <w:r w:rsidRPr="006A0759">
        <w:t xml:space="preserve">Source: </w:t>
      </w:r>
      <w:r w:rsidRPr="00F837C5">
        <w:t>U.S. Census Bureau, 2020. 20</w:t>
      </w:r>
      <w:r w:rsidR="00C75C2B">
        <w:t>21</w:t>
      </w:r>
      <w:r w:rsidRPr="00F837C5">
        <w:t xml:space="preserve"> County Business Patterns. Complete U.S. File. Released June 25, 202</w:t>
      </w:r>
      <w:r w:rsidR="00AB5144">
        <w:t>3</w:t>
      </w:r>
      <w:r w:rsidRPr="00F837C5">
        <w:t xml:space="preserve">. Available at </w:t>
      </w:r>
      <w:hyperlink r:id="rId7" w:history="1">
        <w:r w:rsidRPr="00C75C2B" w:rsidR="00C75C2B">
          <w:rPr>
            <w:rStyle w:val="Hyperlink"/>
          </w:rPr>
          <w:t>https://www.census.gov/data/datasets/2021/econ/cbp/2018-cbp.html</w:t>
        </w:r>
      </w:hyperlink>
      <w:r w:rsidRPr="00F837C5">
        <w:t xml:space="preserve"> (Accessed </w:t>
      </w:r>
      <w:r w:rsidR="001905BE">
        <w:t>May</w:t>
      </w:r>
      <w:r w:rsidR="00C75C2B">
        <w:t xml:space="preserve"> 31, 2024</w:t>
      </w:r>
      <w:r w:rsidRPr="00F837C5">
        <w:t>).</w:t>
      </w:r>
    </w:p>
    <w:p w:rsidR="00A77593" w:rsidRPr="00CD4EFF" w:rsidP="00107A2E" w14:paraId="0F922325" w14:textId="77777777">
      <w:pPr>
        <w:pStyle w:val="FootnoteText"/>
        <w:rPr>
          <w:sz w:val="16"/>
          <w:szCs w:val="16"/>
        </w:rPr>
      </w:pPr>
    </w:p>
  </w:footnote>
  <w:footnote w:id="19">
    <w:p w:rsidR="00A77593" w:rsidP="00107A2E" w14:paraId="745AEF8C" w14:textId="77777777">
      <w:pPr>
        <w:pStyle w:val="FootnoteText"/>
      </w:pPr>
      <w:r>
        <w:tab/>
      </w:r>
      <w:r w:rsidRPr="00872CE2">
        <w:rPr>
          <w:rStyle w:val="FootnoteReference"/>
          <w:vertAlign w:val="superscript"/>
        </w:rPr>
        <w:footnoteRef/>
      </w:r>
      <w:r>
        <w:t xml:space="preserve"> Source: </w:t>
      </w:r>
      <w:r w:rsidRPr="00F837C5">
        <w:t>U.S. Census Bureau, 2021. 2017 Economic Census. All Sectors: Summary Statistics for the U.S., States, and Selected Geographies: 2017 (Table</w:t>
      </w:r>
      <w:r>
        <w:t xml:space="preserve"> </w:t>
      </w:r>
      <w:r w:rsidRPr="00F837C5">
        <w:t xml:space="preserve">ID: EC1700BASIC). Available at </w:t>
      </w:r>
      <w:hyperlink r:id="rId8" w:history="1">
        <w:r w:rsidRPr="00F837C5">
          <w:rPr>
            <w:rStyle w:val="Hyperlink"/>
          </w:rPr>
          <w:t>https://data.census.gov/cedsci/table?n=562910&amp;tid=ECNBASIC2017.EC1700BASIC&amp;hidePreview=true</w:t>
        </w:r>
      </w:hyperlink>
      <w:r w:rsidRPr="00F837C5">
        <w:t xml:space="preserve"> (Accessed February 23, 2021).</w:t>
      </w:r>
    </w:p>
    <w:p w:rsidR="00A77593" w:rsidP="00107A2E" w14:paraId="5FA4B509" w14:textId="77777777">
      <w:pPr>
        <w:pStyle w:val="FootnoteText"/>
      </w:pPr>
    </w:p>
  </w:footnote>
  <w:footnote w:id="20">
    <w:p w:rsidR="00A77593" w:rsidP="00107A2E" w14:paraId="4CC1F8C1" w14:textId="38BF1980">
      <w:pPr>
        <w:pStyle w:val="FootnoteText"/>
      </w:pPr>
      <w:r>
        <w:tab/>
      </w:r>
      <w:r w:rsidRPr="00872CE2">
        <w:rPr>
          <w:rStyle w:val="FootnoteReference"/>
          <w:vertAlign w:val="superscript"/>
        </w:rPr>
        <w:footnoteRef/>
      </w:r>
      <w:r>
        <w:t xml:space="preserve"> </w:t>
      </w:r>
      <w:r w:rsidRPr="00770E1C">
        <w:t>U.S. Census Bureau, 2021. American Community Survey. 20</w:t>
      </w:r>
      <w:r w:rsidR="00B776EC">
        <w:t>22</w:t>
      </w:r>
      <w:r w:rsidRPr="00770E1C">
        <w:t xml:space="preserve"> ACS-5-Year Estimates 2015-20</w:t>
      </w:r>
      <w:r w:rsidR="00F147D4">
        <w:t>22</w:t>
      </w:r>
      <w:r w:rsidRPr="00770E1C">
        <w:t xml:space="preserve">. Selected Housing Characteristics (Table ID DP04). Available at </w:t>
      </w:r>
      <w:hyperlink r:id="rId9" w:history="1">
        <w:r w:rsidRPr="00FA1C27" w:rsidR="00FA1C27">
          <w:rPr>
            <w:rStyle w:val="Hyperlink"/>
          </w:rPr>
          <w:t>https://data.ce</w:t>
        </w:r>
        <w:r w:rsidRPr="00FA1C27" w:rsidR="00FA1C27">
          <w:rPr>
            <w:rStyle w:val="Hyperlink"/>
          </w:rPr>
          <w:t>n</w:t>
        </w:r>
        <w:r w:rsidRPr="00FA1C27" w:rsidR="00FA1C27">
          <w:rPr>
            <w:rStyle w:val="Hyperlink"/>
          </w:rPr>
          <w:t>sus.gov/cedsci/table?d=ACS%205-Year%20Estimates%20Data%20Profiles&amp;tid=ACSDP5Y2022.DP04</w:t>
        </w:r>
      </w:hyperlink>
      <w:r w:rsidRPr="00770E1C">
        <w:t xml:space="preserve"> (Accessed February 23, 2021).</w:t>
      </w:r>
    </w:p>
    <w:p w:rsidR="00A77593" w:rsidP="00107A2E" w14:paraId="4870DFD3" w14:textId="77777777">
      <w:pPr>
        <w:pStyle w:val="FootnoteText"/>
      </w:pPr>
    </w:p>
  </w:footnote>
  <w:footnote w:id="21">
    <w:p w:rsidR="00A77593" w:rsidP="00107A2E" w14:paraId="2D478815" w14:textId="50F02465">
      <w:pPr>
        <w:pStyle w:val="FootnoteText"/>
      </w:pPr>
      <w:r>
        <w:tab/>
      </w:r>
      <w:r w:rsidRPr="00872CE2">
        <w:rPr>
          <w:rStyle w:val="FootnoteReference"/>
          <w:vertAlign w:val="superscript"/>
        </w:rPr>
        <w:footnoteRef/>
      </w:r>
      <w:r w:rsidRPr="00757E30">
        <w:t xml:space="preserve">Massachusetts Department of Energy and Environmental Affairs (MA EEA), 2021. Search for Asbestos Projects. Available at </w:t>
      </w:r>
      <w:hyperlink r:id="rId10" w:history="1">
        <w:r w:rsidRPr="00757E30">
          <w:rPr>
            <w:rStyle w:val="Hyperlink"/>
          </w:rPr>
          <w:t>https://eeaonline.eea.state.ma.us/portal#!/search/asbestos</w:t>
        </w:r>
      </w:hyperlink>
      <w:r w:rsidRPr="00757E30">
        <w:t xml:space="preserve"> (Accessed January 28, 2021).</w:t>
      </w:r>
    </w:p>
    <w:p w:rsidR="00A77593" w:rsidP="00107A2E" w14:paraId="2C3C4CB8" w14:textId="77777777">
      <w:pPr>
        <w:pStyle w:val="FootnoteText"/>
      </w:pPr>
    </w:p>
  </w:footnote>
  <w:footnote w:id="22">
    <w:p w:rsidR="00A77593" w:rsidP="00107A2E" w14:paraId="20580670" w14:textId="77777777">
      <w:pPr>
        <w:pStyle w:val="FootnoteText"/>
      </w:pPr>
      <w:r>
        <w:tab/>
      </w:r>
      <w:r w:rsidRPr="00872CE2">
        <w:rPr>
          <w:rStyle w:val="FootnoteReference"/>
          <w:vertAlign w:val="superscript"/>
        </w:rPr>
        <w:footnoteRef/>
      </w:r>
      <w:r>
        <w:t xml:space="preserve"> Sources: (1) </w:t>
      </w:r>
      <w:r w:rsidRPr="007D7ACB">
        <w:t xml:space="preserve">U.S. Census Bureau, 2008. American Community Survey (ACS)-ftp Site. Available at </w:t>
      </w:r>
      <w:hyperlink r:id="rId11" w:history="1">
        <w:r w:rsidRPr="006B1247">
          <w:rPr>
            <w:rStyle w:val="Hyperlink"/>
          </w:rPr>
          <w:t>https://www2.census.gov/programs-surveys/acs/data/archive/</w:t>
        </w:r>
      </w:hyperlink>
      <w:r w:rsidRPr="007D7ACB">
        <w:t xml:space="preserve"> (Accessed March 16, 2021).</w:t>
      </w:r>
    </w:p>
    <w:p w:rsidR="00A77593" w:rsidP="00107A2E" w14:paraId="6BFBB720" w14:textId="77777777">
      <w:pPr>
        <w:pStyle w:val="FootnoteText"/>
      </w:pPr>
      <w:r>
        <w:t xml:space="preserve">(2) </w:t>
      </w:r>
      <w:r w:rsidRPr="007D7ACB">
        <w:t xml:space="preserve">U.S. Census Bureau, 2013. American Community Survey (ACS)-Accessing PUMS Data. Available at </w:t>
      </w:r>
      <w:hyperlink r:id="rId12" w:history="1">
        <w:r w:rsidRPr="006B1247">
          <w:rPr>
            <w:rStyle w:val="Hyperlink"/>
          </w:rPr>
          <w:t>https://www.census.gov/programs-surveys/acs/microdata/access.2009.html</w:t>
        </w:r>
      </w:hyperlink>
      <w:r w:rsidRPr="007D7ACB">
        <w:t xml:space="preserve"> (Accessed March 16, 2021).</w:t>
      </w:r>
    </w:p>
    <w:p w:rsidR="00A77593" w:rsidP="00107A2E" w14:paraId="32AD288F" w14:textId="77777777">
      <w:pPr>
        <w:pStyle w:val="FootnoteText"/>
      </w:pPr>
      <w:r>
        <w:t xml:space="preserve">(3) </w:t>
      </w:r>
      <w:r w:rsidRPr="007D7ACB">
        <w:t xml:space="preserve">U.S. Census Bureau, 2021. American Community Survey. 2019 ACS-5-Year Estimates 2015-2019. Selected Housing Characteristics (Table ID DP04). Available at </w:t>
      </w:r>
      <w:hyperlink r:id="rId13" w:history="1">
        <w:r w:rsidRPr="006B1247">
          <w:rPr>
            <w:rStyle w:val="Hyperlink"/>
          </w:rPr>
          <w:t>https://data.census.gov/cedsci/table?d=ACS%205-Year%20Estimates%20Data%20Profiles&amp;tid=ACSDP5Y2019.DP04</w:t>
        </w:r>
      </w:hyperlink>
      <w:r w:rsidRPr="007D7ACB">
        <w:t xml:space="preserve"> (Accessed February 23, 2021).</w:t>
      </w:r>
    </w:p>
    <w:p w:rsidR="00A77593" w:rsidP="00107A2E" w14:paraId="37F9B903" w14:textId="77777777">
      <w:pPr>
        <w:pStyle w:val="FootnoteText"/>
      </w:pPr>
      <w:r>
        <w:tab/>
      </w:r>
    </w:p>
  </w:footnote>
  <w:footnote w:id="23">
    <w:p w:rsidR="00A77593" w:rsidP="00107A2E" w14:paraId="023B7160" w14:textId="77777777">
      <w:pPr>
        <w:pStyle w:val="FootnoteText"/>
      </w:pPr>
      <w:r>
        <w:tab/>
      </w:r>
      <w:r w:rsidRPr="00872CE2">
        <w:rPr>
          <w:rStyle w:val="FootnoteReference"/>
          <w:vertAlign w:val="superscript"/>
        </w:rPr>
        <w:footnoteRef/>
      </w:r>
      <w:r w:rsidRPr="00872CE2">
        <w:rPr>
          <w:vertAlign w:val="superscript"/>
        </w:rPr>
        <w:t xml:space="preserve"> </w:t>
      </w:r>
      <w:r>
        <w:t>The ACS data are grouped by decade. To limit the 1970 to 1979 data for buildings built before 1975, we multiply the total for the decade by 60 percent. This assumes an even distribution of housing units were built each year, with six of the 10 years between 1970 and 1975 (inclusive).</w:t>
      </w:r>
    </w:p>
  </w:footnote>
  <w:footnote w:id="24">
    <w:p w:rsidR="00A77593" w:rsidRPr="006A0759" w:rsidP="00107A2E" w14:paraId="3D7915B7" w14:textId="77777777">
      <w:pPr>
        <w:pStyle w:val="FootnoteText"/>
      </w:pPr>
      <w:r>
        <w:rPr>
          <w:sz w:val="16"/>
          <w:szCs w:val="16"/>
        </w:rPr>
        <w:tab/>
      </w:r>
      <w:r w:rsidRPr="00872CE2">
        <w:rPr>
          <w:rStyle w:val="FootnoteReference"/>
          <w:sz w:val="22"/>
          <w:szCs w:val="22"/>
          <w:vertAlign w:val="superscript"/>
        </w:rPr>
        <w:footnoteRef/>
      </w:r>
      <w:r w:rsidRPr="00CD4EFF">
        <w:rPr>
          <w:sz w:val="16"/>
          <w:szCs w:val="16"/>
        </w:rPr>
        <w:t xml:space="preserve"> </w:t>
      </w:r>
      <w:r w:rsidRPr="006A0759">
        <w:t xml:space="preserve">Source: Occupational Safety and Health Administration (OSHA), 1994. Final Regulatory Impact and Regulatory Flexibility Analysis of the Revised Asbestos Standard for Construction, General Industry, and Shipyards. Available at </w:t>
      </w:r>
      <w:hyperlink r:id="rId14" w:history="1">
        <w:r w:rsidRPr="006A0759">
          <w:rPr>
            <w:rStyle w:val="Hyperlink"/>
          </w:rPr>
          <w:t>https://www.osha.gov/pls/oshaweb/owadisp.show_document?p_table=FEDERAL_REGISTER&amp;p_id=13404</w:t>
        </w:r>
      </w:hyperlink>
      <w:r>
        <w:t xml:space="preserve"> </w:t>
      </w:r>
      <w:r w:rsidRPr="006A0759">
        <w:t xml:space="preserve"> (Accessed January 5,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C93" w:rsidRPr="000A0B5A" w:rsidP="00AF0C93" w14:paraId="35A78FC1" w14:textId="77777777">
    <w:pPr>
      <w:pStyle w:val="Header"/>
      <w:rPr>
        <w:rFonts w:cs="Shruti"/>
        <w:bCs/>
        <w:sz w:val="22"/>
        <w:szCs w:val="22"/>
      </w:rPr>
    </w:pPr>
    <w:r w:rsidRPr="000A0B5A">
      <w:rPr>
        <w:rFonts w:cs="Shruti"/>
        <w:bCs/>
        <w:sz w:val="22"/>
        <w:szCs w:val="22"/>
      </w:rPr>
      <w:t>ASBESTOS IN CONSTRUCTION STANDARD (29 CFR 1926.1101)</w:t>
    </w:r>
  </w:p>
  <w:p w:rsidR="00AF0C93" w:rsidRPr="000A0B5A" w:rsidP="00AF0C93" w14:paraId="7842BE6B" w14:textId="0DC98B16">
    <w:pPr>
      <w:pStyle w:val="Header"/>
      <w:rPr>
        <w:rFonts w:cs="Shruti"/>
        <w:bCs/>
        <w:sz w:val="22"/>
        <w:szCs w:val="22"/>
      </w:rPr>
    </w:pPr>
    <w:r w:rsidRPr="000A0B5A">
      <w:rPr>
        <w:rFonts w:cs="Shruti"/>
        <w:bCs/>
        <w:sz w:val="22"/>
        <w:szCs w:val="22"/>
      </w:rPr>
      <w:t>OMB Control Number</w:t>
    </w:r>
    <w:r w:rsidR="00A022A3">
      <w:rPr>
        <w:rFonts w:cs="Shruti"/>
        <w:bCs/>
        <w:sz w:val="22"/>
        <w:szCs w:val="22"/>
      </w:rPr>
      <w:t>:</w:t>
    </w:r>
    <w:r w:rsidRPr="000A0B5A">
      <w:rPr>
        <w:rFonts w:cs="Shruti"/>
        <w:bCs/>
        <w:sz w:val="22"/>
        <w:szCs w:val="22"/>
      </w:rPr>
      <w:t xml:space="preserve"> 1218-0134</w:t>
    </w:r>
  </w:p>
  <w:p w:rsidR="00AF0C93" w:rsidRPr="000A0B5A" w:rsidP="00AF0C93" w14:paraId="339010DF" w14:textId="0178AE76">
    <w:pPr>
      <w:pStyle w:val="Header"/>
      <w:rPr>
        <w:rFonts w:cs="Shruti"/>
        <w:bCs/>
        <w:sz w:val="22"/>
        <w:szCs w:val="22"/>
      </w:rPr>
    </w:pPr>
    <w:r>
      <w:rPr>
        <w:rFonts w:cs="Shruti"/>
        <w:bCs/>
        <w:sz w:val="22"/>
        <w:szCs w:val="22"/>
      </w:rPr>
      <w:t>Expiration Date: Decem</w:t>
    </w:r>
    <w:r w:rsidRPr="000A0B5A">
      <w:rPr>
        <w:rFonts w:cs="Shruti"/>
        <w:bCs/>
        <w:sz w:val="22"/>
        <w:szCs w:val="22"/>
      </w:rPr>
      <w:t>ber 31, 202</w:t>
    </w:r>
    <w:r>
      <w:rPr>
        <w:rFonts w:cs="Shruti"/>
        <w:bCs/>
        <w:sz w:val="22"/>
        <w:szCs w:val="22"/>
      </w:rPr>
      <w:t>4</w:t>
    </w:r>
  </w:p>
  <w:p w:rsidR="00AF0C93" w:rsidP="00AF0C93" w14:paraId="38E41A8C" w14:textId="77777777">
    <w:pPr>
      <w:pStyle w:val="Header"/>
    </w:pPr>
  </w:p>
  <w:p w:rsidR="00A77593" w:rsidP="00513724" w14:paraId="16ED28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593" w:rsidRPr="00F63FB6" w:rsidP="00772E53" w14:paraId="552E4241" w14:textId="77777777">
    <w:pPr>
      <w:tabs>
        <w:tab w:val="center" w:pos="4680"/>
        <w:tab w:val="right" w:pos="9360"/>
      </w:tabs>
    </w:pPr>
    <w:r w:rsidRPr="00F63FB6">
      <w:t>U.S. Department of Labor</w:t>
    </w:r>
  </w:p>
  <w:p w:rsidR="00A77593" w:rsidRPr="00F63FB6" w:rsidP="00772E53" w14:paraId="6AB0969F" w14:textId="77777777">
    <w:pPr>
      <w:tabs>
        <w:tab w:val="center" w:pos="4680"/>
        <w:tab w:val="right" w:pos="9360"/>
      </w:tabs>
    </w:pPr>
    <w:r w:rsidRPr="00F63FB6">
      <w:t>Occupational Safety and Health Administration</w:t>
    </w:r>
  </w:p>
  <w:p w:rsidR="00A77593" w:rsidRPr="00F63FB6" w:rsidP="00772E53" w14:paraId="138F37E4" w14:textId="77777777">
    <w:pPr>
      <w:tabs>
        <w:tab w:val="center" w:pos="4680"/>
        <w:tab w:val="right" w:pos="9360"/>
      </w:tabs>
    </w:pPr>
    <w:r w:rsidRPr="00F63FB6">
      <w:t>Preclearance Supporting Statement</w:t>
    </w:r>
  </w:p>
  <w:p w:rsidR="00A77593" w:rsidRPr="00566891" w:rsidP="00566891" w14:paraId="785FEF68" w14:textId="77777777">
    <w:pPr>
      <w:keepLines/>
      <w:widowControl/>
      <w:tabs>
        <w:tab w:val="center" w:pos="4680"/>
      </w:tabs>
      <w:autoSpaceDE/>
      <w:autoSpaceDN/>
      <w:adjustRightInd/>
      <w:rPr>
        <w:b/>
        <w:bCs/>
        <w:sz w:val="20"/>
        <w:szCs w:val="20"/>
      </w:rPr>
    </w:pPr>
  </w:p>
  <w:p w:rsidR="00A77593" w14:paraId="137050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C14345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hybridMultilevel"/>
    <w:tmpl w:val="0FA460EC"/>
    <w:lvl w:ilvl="0">
      <w:start w:val="1"/>
      <w:numFmt w:val="decimal"/>
      <w:pStyle w:val="ListNumber"/>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9"/>
    <w:multiLevelType w:val="hybridMultilevel"/>
    <w:tmpl w:val="CA141ABE"/>
    <w:lvl w:ilvl="0">
      <w:start w:val="0"/>
      <w:numFmt w:val="bullet"/>
      <w:pStyle w:val="ListBullet"/>
      <w:lvlText w:val="·"/>
      <w:lvlJc w:val="left"/>
      <w:pPr>
        <w:ind w:left="720" w:hanging="360"/>
      </w:pPr>
      <w:rPr>
        <w:rFonts w:ascii="Times New Roman" w:hAnsi="Times New Roman" w:cs="Times New Roman" w:hint="default"/>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FE"/>
    <w:multiLevelType w:val="hybridMultilevel"/>
    <w:tmpl w:val="28DA8BC6"/>
    <w:lvl w:ilvl="0">
      <w:start w:val="0"/>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B9F7316"/>
    <w:multiLevelType w:val="hybridMultilevel"/>
    <w:tmpl w:val="AF086592"/>
    <w:lvl w:ilvl="0">
      <w:start w:val="1"/>
      <w:numFmt w:val="upperLetter"/>
      <w:suff w:val="space"/>
      <w:lvlText w:val="%1."/>
      <w:lvlJc w:val="left"/>
      <w:pPr>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CF2587A"/>
    <w:multiLevelType w:val="hybridMultilevel"/>
    <w:tmpl w:val="1728D6AA"/>
    <w:lvl w:ilvl="0">
      <w:start w:val="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C33636C"/>
    <w:multiLevelType w:val="multilevel"/>
    <w:tmpl w:val="E5FA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A40775"/>
    <w:multiLevelType w:val="hybridMultilevel"/>
    <w:tmpl w:val="69F6745E"/>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04A6F92"/>
    <w:multiLevelType w:val="hybridMultilevel"/>
    <w:tmpl w:val="829AF1C4"/>
    <w:lvl w:ilvl="0">
      <w:start w:val="1"/>
      <w:numFmt w:val="upperLetter"/>
      <w:pStyle w:val="Heading1"/>
      <w:suff w:val="space"/>
      <w:lvlText w:val="%1."/>
      <w:lvlJc w:val="left"/>
      <w:pPr>
        <w:ind w:left="360" w:hanging="360"/>
      </w:pPr>
      <w:rPr>
        <w:rFonts w:hint="default"/>
      </w:rPr>
    </w:lvl>
    <w:lvl w:ilvl="1">
      <w:start w:val="1"/>
      <w:numFmt w:val="decimal"/>
      <w:pStyle w:val="Heading2"/>
      <w:suff w:val="space"/>
      <w:lvlText w:val="%2."/>
      <w:lvlJc w:val="left"/>
      <w:pPr>
        <w:ind w:left="0" w:firstLine="0"/>
      </w:pPr>
      <w:rPr>
        <w:rFonts w:hint="default"/>
      </w:rPr>
    </w:lvl>
    <w:lvl w:ilvl="2">
      <w:start w:val="1"/>
      <w:numFmt w:val="upperLetter"/>
      <w:pStyle w:val="Heading3"/>
      <w:suff w:val="space"/>
      <w:lvlText w:val="%3."/>
      <w:lvlJc w:val="left"/>
      <w:pPr>
        <w:ind w:left="0" w:firstLine="0"/>
      </w:pPr>
      <w:rPr>
        <w:rFonts w:hint="default"/>
      </w:rPr>
    </w:lvl>
    <w:lvl w:ilvl="3">
      <w:start w:val="1"/>
      <w:numFmt w:val="none"/>
      <w:pStyle w:val="Heading4"/>
      <w:suff w:val="nothing"/>
      <w:lvlJc w:val="left"/>
      <w:pPr>
        <w:ind w:left="0" w:firstLine="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554E6873"/>
    <w:multiLevelType w:val="hybridMultilevel"/>
    <w:tmpl w:val="96805C36"/>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2CF7D61"/>
    <w:multiLevelType w:val="hybridMultilevel"/>
    <w:tmpl w:val="42A412F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5">
    <w:nsid w:val="7B8A4022"/>
    <w:multiLevelType w:val="hybridMultilevel"/>
    <w:tmpl w:val="1728D6AA"/>
    <w:lvl w:ilvl="0">
      <w:start w:val="4"/>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58709569">
    <w:abstractNumId w:val="12"/>
  </w:num>
  <w:num w:numId="2" w16cid:durableId="133377129">
    <w:abstractNumId w:val="10"/>
  </w:num>
  <w:num w:numId="3" w16cid:durableId="1461074777">
    <w:abstractNumId w:val="5"/>
  </w:num>
  <w:num w:numId="4" w16cid:durableId="1947885476">
    <w:abstractNumId w:val="15"/>
  </w:num>
  <w:num w:numId="5" w16cid:durableId="9390228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40593">
    <w:abstractNumId w:val="0"/>
  </w:num>
  <w:num w:numId="7" w16cid:durableId="659117762">
    <w:abstractNumId w:val="4"/>
  </w:num>
  <w:num w:numId="8" w16cid:durableId="788207935">
    <w:abstractNumId w:val="3"/>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9" w16cid:durableId="317419589">
    <w:abstractNumId w:val="6"/>
  </w:num>
  <w:num w:numId="10" w16cid:durableId="1479685809">
    <w:abstractNumId w:val="9"/>
  </w:num>
  <w:num w:numId="11" w16cid:durableId="1385330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955062">
    <w:abstractNumId w:val="11"/>
  </w:num>
  <w:num w:numId="13" w16cid:durableId="437481016">
    <w:abstractNumId w:val="2"/>
  </w:num>
  <w:num w:numId="14" w16cid:durableId="2000694813">
    <w:abstractNumId w:val="1"/>
  </w:num>
  <w:num w:numId="15" w16cid:durableId="1924950006">
    <w:abstractNumId w:val="8"/>
  </w:num>
  <w:num w:numId="16" w16cid:durableId="1712806228">
    <w:abstractNumId w:val="7"/>
  </w:num>
  <w:num w:numId="17" w16cid:durableId="1479344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C29"/>
    <w:rsid w:val="00000061"/>
    <w:rsid w:val="000033F2"/>
    <w:rsid w:val="00004EAB"/>
    <w:rsid w:val="0000636D"/>
    <w:rsid w:val="00006952"/>
    <w:rsid w:val="00006C89"/>
    <w:rsid w:val="000071A9"/>
    <w:rsid w:val="00007A8E"/>
    <w:rsid w:val="00007CC7"/>
    <w:rsid w:val="000122F1"/>
    <w:rsid w:val="000136F2"/>
    <w:rsid w:val="00014881"/>
    <w:rsid w:val="00014B35"/>
    <w:rsid w:val="00016017"/>
    <w:rsid w:val="00017CEB"/>
    <w:rsid w:val="0002002C"/>
    <w:rsid w:val="000204EB"/>
    <w:rsid w:val="0002136E"/>
    <w:rsid w:val="00022EDB"/>
    <w:rsid w:val="00023C1C"/>
    <w:rsid w:val="00024270"/>
    <w:rsid w:val="00024381"/>
    <w:rsid w:val="00026E88"/>
    <w:rsid w:val="000273F6"/>
    <w:rsid w:val="0003035C"/>
    <w:rsid w:val="00031315"/>
    <w:rsid w:val="00031C2E"/>
    <w:rsid w:val="00031C36"/>
    <w:rsid w:val="0003212D"/>
    <w:rsid w:val="0003299A"/>
    <w:rsid w:val="00034877"/>
    <w:rsid w:val="00035ECC"/>
    <w:rsid w:val="0003743F"/>
    <w:rsid w:val="00040A50"/>
    <w:rsid w:val="00040C57"/>
    <w:rsid w:val="000414A7"/>
    <w:rsid w:val="000465D5"/>
    <w:rsid w:val="000473A2"/>
    <w:rsid w:val="00051225"/>
    <w:rsid w:val="00054564"/>
    <w:rsid w:val="0005483E"/>
    <w:rsid w:val="000548F2"/>
    <w:rsid w:val="00055A58"/>
    <w:rsid w:val="00060F2C"/>
    <w:rsid w:val="0006125C"/>
    <w:rsid w:val="000616D3"/>
    <w:rsid w:val="000624CF"/>
    <w:rsid w:val="00062D1B"/>
    <w:rsid w:val="000673A8"/>
    <w:rsid w:val="00067447"/>
    <w:rsid w:val="00071599"/>
    <w:rsid w:val="00072C4E"/>
    <w:rsid w:val="00073378"/>
    <w:rsid w:val="00073F55"/>
    <w:rsid w:val="00075585"/>
    <w:rsid w:val="00075A5D"/>
    <w:rsid w:val="00076569"/>
    <w:rsid w:val="00077F12"/>
    <w:rsid w:val="0008150D"/>
    <w:rsid w:val="00081996"/>
    <w:rsid w:val="00081D8B"/>
    <w:rsid w:val="0008249F"/>
    <w:rsid w:val="000836AC"/>
    <w:rsid w:val="000839C3"/>
    <w:rsid w:val="00084921"/>
    <w:rsid w:val="000849C8"/>
    <w:rsid w:val="00084E8A"/>
    <w:rsid w:val="00085BE1"/>
    <w:rsid w:val="000863BF"/>
    <w:rsid w:val="000863D7"/>
    <w:rsid w:val="00086DAF"/>
    <w:rsid w:val="00090DC6"/>
    <w:rsid w:val="000910DB"/>
    <w:rsid w:val="00091173"/>
    <w:rsid w:val="00091A12"/>
    <w:rsid w:val="00093223"/>
    <w:rsid w:val="000951A0"/>
    <w:rsid w:val="00095594"/>
    <w:rsid w:val="000969DB"/>
    <w:rsid w:val="00096BA4"/>
    <w:rsid w:val="00096DBE"/>
    <w:rsid w:val="0009759C"/>
    <w:rsid w:val="00097A01"/>
    <w:rsid w:val="000A08BC"/>
    <w:rsid w:val="000A0B5A"/>
    <w:rsid w:val="000A0C51"/>
    <w:rsid w:val="000A1008"/>
    <w:rsid w:val="000A18C3"/>
    <w:rsid w:val="000A1EAE"/>
    <w:rsid w:val="000A2512"/>
    <w:rsid w:val="000A30E0"/>
    <w:rsid w:val="000A31C9"/>
    <w:rsid w:val="000A34A3"/>
    <w:rsid w:val="000A4439"/>
    <w:rsid w:val="000A530B"/>
    <w:rsid w:val="000A7EFD"/>
    <w:rsid w:val="000B1208"/>
    <w:rsid w:val="000B125A"/>
    <w:rsid w:val="000B285B"/>
    <w:rsid w:val="000B2884"/>
    <w:rsid w:val="000B3304"/>
    <w:rsid w:val="000B4B49"/>
    <w:rsid w:val="000B4F51"/>
    <w:rsid w:val="000B6E35"/>
    <w:rsid w:val="000B6E48"/>
    <w:rsid w:val="000C0720"/>
    <w:rsid w:val="000C0DB7"/>
    <w:rsid w:val="000C181A"/>
    <w:rsid w:val="000C21AB"/>
    <w:rsid w:val="000C2385"/>
    <w:rsid w:val="000C3C6B"/>
    <w:rsid w:val="000C5432"/>
    <w:rsid w:val="000C5DAB"/>
    <w:rsid w:val="000C6033"/>
    <w:rsid w:val="000C62F5"/>
    <w:rsid w:val="000C770A"/>
    <w:rsid w:val="000C7B81"/>
    <w:rsid w:val="000C7BE4"/>
    <w:rsid w:val="000C7C0B"/>
    <w:rsid w:val="000D030F"/>
    <w:rsid w:val="000D0439"/>
    <w:rsid w:val="000D0607"/>
    <w:rsid w:val="000D18D7"/>
    <w:rsid w:val="000D1FF6"/>
    <w:rsid w:val="000D2DC5"/>
    <w:rsid w:val="000D3B69"/>
    <w:rsid w:val="000D4993"/>
    <w:rsid w:val="000D4AFF"/>
    <w:rsid w:val="000D5061"/>
    <w:rsid w:val="000D5761"/>
    <w:rsid w:val="000D5FD5"/>
    <w:rsid w:val="000D70A5"/>
    <w:rsid w:val="000E0C1D"/>
    <w:rsid w:val="000E15B2"/>
    <w:rsid w:val="000E1905"/>
    <w:rsid w:val="000E3E1A"/>
    <w:rsid w:val="000E3F87"/>
    <w:rsid w:val="000E49C6"/>
    <w:rsid w:val="000E4EE8"/>
    <w:rsid w:val="000E58D4"/>
    <w:rsid w:val="000E6089"/>
    <w:rsid w:val="000E64B5"/>
    <w:rsid w:val="000E7B0A"/>
    <w:rsid w:val="000E7C4B"/>
    <w:rsid w:val="000F05B5"/>
    <w:rsid w:val="000F05EC"/>
    <w:rsid w:val="000F1203"/>
    <w:rsid w:val="000F1641"/>
    <w:rsid w:val="000F31D7"/>
    <w:rsid w:val="000F36A1"/>
    <w:rsid w:val="000F479B"/>
    <w:rsid w:val="000F47E9"/>
    <w:rsid w:val="000F4D24"/>
    <w:rsid w:val="000F4E0E"/>
    <w:rsid w:val="000F502F"/>
    <w:rsid w:val="000F51AB"/>
    <w:rsid w:val="000F5372"/>
    <w:rsid w:val="000F586C"/>
    <w:rsid w:val="000F6359"/>
    <w:rsid w:val="000F7BBF"/>
    <w:rsid w:val="00100AF1"/>
    <w:rsid w:val="00102DFD"/>
    <w:rsid w:val="00105519"/>
    <w:rsid w:val="00105DD2"/>
    <w:rsid w:val="0010602F"/>
    <w:rsid w:val="0010694A"/>
    <w:rsid w:val="00106E21"/>
    <w:rsid w:val="00107983"/>
    <w:rsid w:val="00107A2E"/>
    <w:rsid w:val="00107F50"/>
    <w:rsid w:val="001141B7"/>
    <w:rsid w:val="001145DA"/>
    <w:rsid w:val="00115136"/>
    <w:rsid w:val="00115995"/>
    <w:rsid w:val="00116D78"/>
    <w:rsid w:val="00117FF0"/>
    <w:rsid w:val="001209AB"/>
    <w:rsid w:val="001231DB"/>
    <w:rsid w:val="00123503"/>
    <w:rsid w:val="00123CD1"/>
    <w:rsid w:val="00123DB5"/>
    <w:rsid w:val="00124F7A"/>
    <w:rsid w:val="001258FC"/>
    <w:rsid w:val="001269FA"/>
    <w:rsid w:val="00127CB9"/>
    <w:rsid w:val="00130248"/>
    <w:rsid w:val="00130528"/>
    <w:rsid w:val="00131498"/>
    <w:rsid w:val="00132B14"/>
    <w:rsid w:val="00133D47"/>
    <w:rsid w:val="00134507"/>
    <w:rsid w:val="00134C44"/>
    <w:rsid w:val="001363C2"/>
    <w:rsid w:val="00137C23"/>
    <w:rsid w:val="0014089B"/>
    <w:rsid w:val="00141A4E"/>
    <w:rsid w:val="001428AE"/>
    <w:rsid w:val="001437FF"/>
    <w:rsid w:val="00143E5E"/>
    <w:rsid w:val="001452AD"/>
    <w:rsid w:val="00146702"/>
    <w:rsid w:val="00146B1F"/>
    <w:rsid w:val="00146D7A"/>
    <w:rsid w:val="00150EF1"/>
    <w:rsid w:val="001513F0"/>
    <w:rsid w:val="00151AA1"/>
    <w:rsid w:val="00152A70"/>
    <w:rsid w:val="00154730"/>
    <w:rsid w:val="00154E7D"/>
    <w:rsid w:val="00155DE3"/>
    <w:rsid w:val="00157F92"/>
    <w:rsid w:val="001609AD"/>
    <w:rsid w:val="001634EB"/>
    <w:rsid w:val="00163B8B"/>
    <w:rsid w:val="0016445D"/>
    <w:rsid w:val="001647B6"/>
    <w:rsid w:val="0016499B"/>
    <w:rsid w:val="00165053"/>
    <w:rsid w:val="001716D6"/>
    <w:rsid w:val="00173A01"/>
    <w:rsid w:val="00174361"/>
    <w:rsid w:val="00174873"/>
    <w:rsid w:val="00174D5B"/>
    <w:rsid w:val="00175AA2"/>
    <w:rsid w:val="00175DF1"/>
    <w:rsid w:val="00180711"/>
    <w:rsid w:val="0018100B"/>
    <w:rsid w:val="001816D3"/>
    <w:rsid w:val="00181934"/>
    <w:rsid w:val="00181BEE"/>
    <w:rsid w:val="001823A0"/>
    <w:rsid w:val="001833B3"/>
    <w:rsid w:val="00183ADD"/>
    <w:rsid w:val="00185844"/>
    <w:rsid w:val="00185D89"/>
    <w:rsid w:val="00185E1E"/>
    <w:rsid w:val="00186A7B"/>
    <w:rsid w:val="00186AE6"/>
    <w:rsid w:val="00186F03"/>
    <w:rsid w:val="001905BE"/>
    <w:rsid w:val="00190AD0"/>
    <w:rsid w:val="00190D00"/>
    <w:rsid w:val="001914F1"/>
    <w:rsid w:val="00192216"/>
    <w:rsid w:val="00193631"/>
    <w:rsid w:val="001946AD"/>
    <w:rsid w:val="00194897"/>
    <w:rsid w:val="00194B5F"/>
    <w:rsid w:val="001953D4"/>
    <w:rsid w:val="00196317"/>
    <w:rsid w:val="0019639B"/>
    <w:rsid w:val="00196DDF"/>
    <w:rsid w:val="00197072"/>
    <w:rsid w:val="00197415"/>
    <w:rsid w:val="00197A42"/>
    <w:rsid w:val="00197BBD"/>
    <w:rsid w:val="001A000B"/>
    <w:rsid w:val="001A0C16"/>
    <w:rsid w:val="001A18BD"/>
    <w:rsid w:val="001A4BD0"/>
    <w:rsid w:val="001A4EEB"/>
    <w:rsid w:val="001A5284"/>
    <w:rsid w:val="001A78D1"/>
    <w:rsid w:val="001A7B0A"/>
    <w:rsid w:val="001B0497"/>
    <w:rsid w:val="001B0772"/>
    <w:rsid w:val="001B257C"/>
    <w:rsid w:val="001B2760"/>
    <w:rsid w:val="001B41EB"/>
    <w:rsid w:val="001B4246"/>
    <w:rsid w:val="001B43CE"/>
    <w:rsid w:val="001B5399"/>
    <w:rsid w:val="001B689E"/>
    <w:rsid w:val="001B7CAE"/>
    <w:rsid w:val="001B7CCF"/>
    <w:rsid w:val="001C00EC"/>
    <w:rsid w:val="001C01A0"/>
    <w:rsid w:val="001C0714"/>
    <w:rsid w:val="001C17F7"/>
    <w:rsid w:val="001C1BC8"/>
    <w:rsid w:val="001C232B"/>
    <w:rsid w:val="001C2486"/>
    <w:rsid w:val="001C2ED0"/>
    <w:rsid w:val="001C4D38"/>
    <w:rsid w:val="001C5559"/>
    <w:rsid w:val="001C5CF8"/>
    <w:rsid w:val="001C6334"/>
    <w:rsid w:val="001D0524"/>
    <w:rsid w:val="001D065F"/>
    <w:rsid w:val="001D0FC5"/>
    <w:rsid w:val="001D27AE"/>
    <w:rsid w:val="001D2932"/>
    <w:rsid w:val="001D38EB"/>
    <w:rsid w:val="001D5976"/>
    <w:rsid w:val="001D5D29"/>
    <w:rsid w:val="001D6122"/>
    <w:rsid w:val="001D7081"/>
    <w:rsid w:val="001D70E3"/>
    <w:rsid w:val="001D71E8"/>
    <w:rsid w:val="001E0042"/>
    <w:rsid w:val="001E14D5"/>
    <w:rsid w:val="001E1DA4"/>
    <w:rsid w:val="001F03A0"/>
    <w:rsid w:val="001F34B6"/>
    <w:rsid w:val="001F3DD6"/>
    <w:rsid w:val="001F470C"/>
    <w:rsid w:val="001F5205"/>
    <w:rsid w:val="001F5D6F"/>
    <w:rsid w:val="001F681C"/>
    <w:rsid w:val="001F6D72"/>
    <w:rsid w:val="001F74BF"/>
    <w:rsid w:val="00201033"/>
    <w:rsid w:val="00201E69"/>
    <w:rsid w:val="00202049"/>
    <w:rsid w:val="002020B3"/>
    <w:rsid w:val="00203410"/>
    <w:rsid w:val="00203AEB"/>
    <w:rsid w:val="00206388"/>
    <w:rsid w:val="00206A96"/>
    <w:rsid w:val="00206D18"/>
    <w:rsid w:val="00206FC7"/>
    <w:rsid w:val="00207698"/>
    <w:rsid w:val="00207D4A"/>
    <w:rsid w:val="00211383"/>
    <w:rsid w:val="00211B80"/>
    <w:rsid w:val="00211D95"/>
    <w:rsid w:val="002120E9"/>
    <w:rsid w:val="00212CD5"/>
    <w:rsid w:val="002137B3"/>
    <w:rsid w:val="00215531"/>
    <w:rsid w:val="002156F0"/>
    <w:rsid w:val="00217D80"/>
    <w:rsid w:val="0022035D"/>
    <w:rsid w:val="00221001"/>
    <w:rsid w:val="002248B5"/>
    <w:rsid w:val="00224F12"/>
    <w:rsid w:val="00226716"/>
    <w:rsid w:val="002270F2"/>
    <w:rsid w:val="00227E2A"/>
    <w:rsid w:val="002314D5"/>
    <w:rsid w:val="00231CF3"/>
    <w:rsid w:val="00232559"/>
    <w:rsid w:val="002329FB"/>
    <w:rsid w:val="00232ED6"/>
    <w:rsid w:val="002339EF"/>
    <w:rsid w:val="00233F36"/>
    <w:rsid w:val="00234B9F"/>
    <w:rsid w:val="00235482"/>
    <w:rsid w:val="00240794"/>
    <w:rsid w:val="00240930"/>
    <w:rsid w:val="0024134D"/>
    <w:rsid w:val="002414E8"/>
    <w:rsid w:val="00242590"/>
    <w:rsid w:val="00243956"/>
    <w:rsid w:val="00245681"/>
    <w:rsid w:val="0024632D"/>
    <w:rsid w:val="002463DE"/>
    <w:rsid w:val="00247C0B"/>
    <w:rsid w:val="00247CCC"/>
    <w:rsid w:val="00250867"/>
    <w:rsid w:val="00251C50"/>
    <w:rsid w:val="0025275C"/>
    <w:rsid w:val="00252A33"/>
    <w:rsid w:val="00255103"/>
    <w:rsid w:val="00255B0E"/>
    <w:rsid w:val="0026009B"/>
    <w:rsid w:val="00261309"/>
    <w:rsid w:val="002613EF"/>
    <w:rsid w:val="00261916"/>
    <w:rsid w:val="002634EA"/>
    <w:rsid w:val="002637FA"/>
    <w:rsid w:val="00266134"/>
    <w:rsid w:val="002663DA"/>
    <w:rsid w:val="002669CC"/>
    <w:rsid w:val="00266F55"/>
    <w:rsid w:val="00267225"/>
    <w:rsid w:val="002676B3"/>
    <w:rsid w:val="002710D9"/>
    <w:rsid w:val="00271118"/>
    <w:rsid w:val="0027481D"/>
    <w:rsid w:val="002756D3"/>
    <w:rsid w:val="00276221"/>
    <w:rsid w:val="0027648A"/>
    <w:rsid w:val="00276ADF"/>
    <w:rsid w:val="00276CC5"/>
    <w:rsid w:val="0027747F"/>
    <w:rsid w:val="00277B61"/>
    <w:rsid w:val="002805E3"/>
    <w:rsid w:val="002821B5"/>
    <w:rsid w:val="0028228E"/>
    <w:rsid w:val="002829F6"/>
    <w:rsid w:val="00283690"/>
    <w:rsid w:val="00283D87"/>
    <w:rsid w:val="002840CD"/>
    <w:rsid w:val="002862CA"/>
    <w:rsid w:val="002877AE"/>
    <w:rsid w:val="00291DD3"/>
    <w:rsid w:val="00293545"/>
    <w:rsid w:val="00295802"/>
    <w:rsid w:val="00296CE0"/>
    <w:rsid w:val="002977A1"/>
    <w:rsid w:val="00297911"/>
    <w:rsid w:val="002A0675"/>
    <w:rsid w:val="002A0E8D"/>
    <w:rsid w:val="002A0EE5"/>
    <w:rsid w:val="002A165E"/>
    <w:rsid w:val="002A3BD2"/>
    <w:rsid w:val="002A3DDF"/>
    <w:rsid w:val="002A458E"/>
    <w:rsid w:val="002A4F30"/>
    <w:rsid w:val="002A6970"/>
    <w:rsid w:val="002A6B8D"/>
    <w:rsid w:val="002B268B"/>
    <w:rsid w:val="002B4434"/>
    <w:rsid w:val="002B49CB"/>
    <w:rsid w:val="002B53D1"/>
    <w:rsid w:val="002B63CF"/>
    <w:rsid w:val="002B7375"/>
    <w:rsid w:val="002B7571"/>
    <w:rsid w:val="002B7900"/>
    <w:rsid w:val="002C3335"/>
    <w:rsid w:val="002C401F"/>
    <w:rsid w:val="002C4E78"/>
    <w:rsid w:val="002C5629"/>
    <w:rsid w:val="002C58F9"/>
    <w:rsid w:val="002C5AEF"/>
    <w:rsid w:val="002C716F"/>
    <w:rsid w:val="002D0519"/>
    <w:rsid w:val="002D174A"/>
    <w:rsid w:val="002D3F94"/>
    <w:rsid w:val="002D53F0"/>
    <w:rsid w:val="002D5A1F"/>
    <w:rsid w:val="002D615E"/>
    <w:rsid w:val="002D66E3"/>
    <w:rsid w:val="002D66E4"/>
    <w:rsid w:val="002E044E"/>
    <w:rsid w:val="002E0FC8"/>
    <w:rsid w:val="002E21B3"/>
    <w:rsid w:val="002E485A"/>
    <w:rsid w:val="002E5D38"/>
    <w:rsid w:val="002E6078"/>
    <w:rsid w:val="002E6E1A"/>
    <w:rsid w:val="002E71C4"/>
    <w:rsid w:val="002E7925"/>
    <w:rsid w:val="002F0957"/>
    <w:rsid w:val="002F0BE4"/>
    <w:rsid w:val="002F0CD2"/>
    <w:rsid w:val="002F21D5"/>
    <w:rsid w:val="002F3345"/>
    <w:rsid w:val="002F47D6"/>
    <w:rsid w:val="002F54D5"/>
    <w:rsid w:val="002F5DB4"/>
    <w:rsid w:val="002F6189"/>
    <w:rsid w:val="00301038"/>
    <w:rsid w:val="0030128F"/>
    <w:rsid w:val="0030183A"/>
    <w:rsid w:val="00301CDD"/>
    <w:rsid w:val="00302626"/>
    <w:rsid w:val="00302F47"/>
    <w:rsid w:val="00303E5B"/>
    <w:rsid w:val="003047F6"/>
    <w:rsid w:val="00304910"/>
    <w:rsid w:val="00304F8C"/>
    <w:rsid w:val="003052A7"/>
    <w:rsid w:val="00311B10"/>
    <w:rsid w:val="003128C9"/>
    <w:rsid w:val="00312908"/>
    <w:rsid w:val="00313717"/>
    <w:rsid w:val="00316124"/>
    <w:rsid w:val="0031616F"/>
    <w:rsid w:val="0031663F"/>
    <w:rsid w:val="00320CB5"/>
    <w:rsid w:val="00321FB6"/>
    <w:rsid w:val="00323274"/>
    <w:rsid w:val="00323462"/>
    <w:rsid w:val="003241B6"/>
    <w:rsid w:val="00325153"/>
    <w:rsid w:val="00325AD3"/>
    <w:rsid w:val="00327E32"/>
    <w:rsid w:val="00330F62"/>
    <w:rsid w:val="0033187E"/>
    <w:rsid w:val="00331AF6"/>
    <w:rsid w:val="003336A3"/>
    <w:rsid w:val="003341A7"/>
    <w:rsid w:val="00334E04"/>
    <w:rsid w:val="00335F20"/>
    <w:rsid w:val="00336C8A"/>
    <w:rsid w:val="00340403"/>
    <w:rsid w:val="0034274E"/>
    <w:rsid w:val="00342F66"/>
    <w:rsid w:val="00343A9F"/>
    <w:rsid w:val="00344183"/>
    <w:rsid w:val="00344539"/>
    <w:rsid w:val="003460BD"/>
    <w:rsid w:val="003467D4"/>
    <w:rsid w:val="003501AE"/>
    <w:rsid w:val="003514F3"/>
    <w:rsid w:val="00351EA7"/>
    <w:rsid w:val="00352D46"/>
    <w:rsid w:val="00353B37"/>
    <w:rsid w:val="00353CDB"/>
    <w:rsid w:val="0035473C"/>
    <w:rsid w:val="00354D6A"/>
    <w:rsid w:val="00355BCB"/>
    <w:rsid w:val="0035742B"/>
    <w:rsid w:val="00357CD2"/>
    <w:rsid w:val="00360330"/>
    <w:rsid w:val="00361FE1"/>
    <w:rsid w:val="00362271"/>
    <w:rsid w:val="003642C3"/>
    <w:rsid w:val="00364C19"/>
    <w:rsid w:val="00364C1B"/>
    <w:rsid w:val="00365B3E"/>
    <w:rsid w:val="00366216"/>
    <w:rsid w:val="0036720F"/>
    <w:rsid w:val="00370041"/>
    <w:rsid w:val="0037092F"/>
    <w:rsid w:val="00370E21"/>
    <w:rsid w:val="00370F7A"/>
    <w:rsid w:val="003733AC"/>
    <w:rsid w:val="003737F3"/>
    <w:rsid w:val="003741AD"/>
    <w:rsid w:val="00375039"/>
    <w:rsid w:val="0037634A"/>
    <w:rsid w:val="00376F76"/>
    <w:rsid w:val="00377175"/>
    <w:rsid w:val="003778A6"/>
    <w:rsid w:val="00380641"/>
    <w:rsid w:val="00380676"/>
    <w:rsid w:val="0038447E"/>
    <w:rsid w:val="003848A0"/>
    <w:rsid w:val="00384D23"/>
    <w:rsid w:val="003855DB"/>
    <w:rsid w:val="00387011"/>
    <w:rsid w:val="00396192"/>
    <w:rsid w:val="0039625A"/>
    <w:rsid w:val="003A450E"/>
    <w:rsid w:val="003A45ED"/>
    <w:rsid w:val="003A4C98"/>
    <w:rsid w:val="003A4F83"/>
    <w:rsid w:val="003A5384"/>
    <w:rsid w:val="003A571A"/>
    <w:rsid w:val="003A594F"/>
    <w:rsid w:val="003A6308"/>
    <w:rsid w:val="003A6B61"/>
    <w:rsid w:val="003A7B11"/>
    <w:rsid w:val="003B103A"/>
    <w:rsid w:val="003B1BD2"/>
    <w:rsid w:val="003B2A0C"/>
    <w:rsid w:val="003B3557"/>
    <w:rsid w:val="003B4A27"/>
    <w:rsid w:val="003B4F1F"/>
    <w:rsid w:val="003B6344"/>
    <w:rsid w:val="003B7A0A"/>
    <w:rsid w:val="003B7CE1"/>
    <w:rsid w:val="003C3A2D"/>
    <w:rsid w:val="003C3A3D"/>
    <w:rsid w:val="003C3A4F"/>
    <w:rsid w:val="003C3B90"/>
    <w:rsid w:val="003C3CAC"/>
    <w:rsid w:val="003C5156"/>
    <w:rsid w:val="003D0763"/>
    <w:rsid w:val="003D1295"/>
    <w:rsid w:val="003D29F2"/>
    <w:rsid w:val="003D3868"/>
    <w:rsid w:val="003D3EBA"/>
    <w:rsid w:val="003D3FAE"/>
    <w:rsid w:val="003D4FD3"/>
    <w:rsid w:val="003D5CBA"/>
    <w:rsid w:val="003D62ED"/>
    <w:rsid w:val="003D760E"/>
    <w:rsid w:val="003D7BCB"/>
    <w:rsid w:val="003D7D96"/>
    <w:rsid w:val="003E03F9"/>
    <w:rsid w:val="003E0A1B"/>
    <w:rsid w:val="003E0C18"/>
    <w:rsid w:val="003E1468"/>
    <w:rsid w:val="003E1542"/>
    <w:rsid w:val="003E1E39"/>
    <w:rsid w:val="003E2244"/>
    <w:rsid w:val="003E56E5"/>
    <w:rsid w:val="003E5A32"/>
    <w:rsid w:val="003E683F"/>
    <w:rsid w:val="003E7076"/>
    <w:rsid w:val="003F038E"/>
    <w:rsid w:val="003F1292"/>
    <w:rsid w:val="003F15F8"/>
    <w:rsid w:val="003F2109"/>
    <w:rsid w:val="003F2A3D"/>
    <w:rsid w:val="003F33A8"/>
    <w:rsid w:val="003F4FE7"/>
    <w:rsid w:val="003F6588"/>
    <w:rsid w:val="003F6898"/>
    <w:rsid w:val="003F74F5"/>
    <w:rsid w:val="0040002B"/>
    <w:rsid w:val="00401B02"/>
    <w:rsid w:val="0040344E"/>
    <w:rsid w:val="004059FE"/>
    <w:rsid w:val="00406079"/>
    <w:rsid w:val="004062FB"/>
    <w:rsid w:val="004063FD"/>
    <w:rsid w:val="004067FC"/>
    <w:rsid w:val="00407EB4"/>
    <w:rsid w:val="00410ABD"/>
    <w:rsid w:val="00410D73"/>
    <w:rsid w:val="00412605"/>
    <w:rsid w:val="0041437E"/>
    <w:rsid w:val="0041491F"/>
    <w:rsid w:val="00414F58"/>
    <w:rsid w:val="00416619"/>
    <w:rsid w:val="004166E4"/>
    <w:rsid w:val="00416FA6"/>
    <w:rsid w:val="004220F3"/>
    <w:rsid w:val="00423226"/>
    <w:rsid w:val="00423C4E"/>
    <w:rsid w:val="00426A0C"/>
    <w:rsid w:val="00427A2C"/>
    <w:rsid w:val="00427F72"/>
    <w:rsid w:val="00430E9C"/>
    <w:rsid w:val="004315B1"/>
    <w:rsid w:val="0043175A"/>
    <w:rsid w:val="0043398D"/>
    <w:rsid w:val="00433E3F"/>
    <w:rsid w:val="00434832"/>
    <w:rsid w:val="00435F6A"/>
    <w:rsid w:val="00437004"/>
    <w:rsid w:val="00437EE4"/>
    <w:rsid w:val="0044043D"/>
    <w:rsid w:val="00440604"/>
    <w:rsid w:val="00442FEE"/>
    <w:rsid w:val="004436F1"/>
    <w:rsid w:val="004460FE"/>
    <w:rsid w:val="00447D89"/>
    <w:rsid w:val="00450D5A"/>
    <w:rsid w:val="00451314"/>
    <w:rsid w:val="004531F6"/>
    <w:rsid w:val="00453682"/>
    <w:rsid w:val="00453C05"/>
    <w:rsid w:val="0045429B"/>
    <w:rsid w:val="00454D8D"/>
    <w:rsid w:val="004561A9"/>
    <w:rsid w:val="0045697A"/>
    <w:rsid w:val="0046197B"/>
    <w:rsid w:val="00462849"/>
    <w:rsid w:val="00462C8A"/>
    <w:rsid w:val="00462DD7"/>
    <w:rsid w:val="00464056"/>
    <w:rsid w:val="00465003"/>
    <w:rsid w:val="0046614C"/>
    <w:rsid w:val="00466B70"/>
    <w:rsid w:val="00473E2B"/>
    <w:rsid w:val="00474322"/>
    <w:rsid w:val="004746DE"/>
    <w:rsid w:val="004764A4"/>
    <w:rsid w:val="004777F7"/>
    <w:rsid w:val="004815EE"/>
    <w:rsid w:val="0048161B"/>
    <w:rsid w:val="004816B2"/>
    <w:rsid w:val="00481C91"/>
    <w:rsid w:val="00481D4C"/>
    <w:rsid w:val="00484064"/>
    <w:rsid w:val="00486742"/>
    <w:rsid w:val="004877D5"/>
    <w:rsid w:val="00490A20"/>
    <w:rsid w:val="004912A7"/>
    <w:rsid w:val="00491346"/>
    <w:rsid w:val="004914ED"/>
    <w:rsid w:val="004916CB"/>
    <w:rsid w:val="004920A9"/>
    <w:rsid w:val="004940E2"/>
    <w:rsid w:val="00494F99"/>
    <w:rsid w:val="00496155"/>
    <w:rsid w:val="004963F4"/>
    <w:rsid w:val="00497290"/>
    <w:rsid w:val="0049744F"/>
    <w:rsid w:val="004A0386"/>
    <w:rsid w:val="004A06E7"/>
    <w:rsid w:val="004A16C2"/>
    <w:rsid w:val="004A36F8"/>
    <w:rsid w:val="004A42B3"/>
    <w:rsid w:val="004A6AF6"/>
    <w:rsid w:val="004B0B19"/>
    <w:rsid w:val="004B0B90"/>
    <w:rsid w:val="004B21D7"/>
    <w:rsid w:val="004B251E"/>
    <w:rsid w:val="004B2739"/>
    <w:rsid w:val="004B27E2"/>
    <w:rsid w:val="004B5754"/>
    <w:rsid w:val="004B5A5D"/>
    <w:rsid w:val="004B778E"/>
    <w:rsid w:val="004B7F4F"/>
    <w:rsid w:val="004C07BB"/>
    <w:rsid w:val="004C09A5"/>
    <w:rsid w:val="004C140A"/>
    <w:rsid w:val="004C2655"/>
    <w:rsid w:val="004C2666"/>
    <w:rsid w:val="004C3637"/>
    <w:rsid w:val="004C366B"/>
    <w:rsid w:val="004C3728"/>
    <w:rsid w:val="004C43A4"/>
    <w:rsid w:val="004C6E77"/>
    <w:rsid w:val="004C7C5C"/>
    <w:rsid w:val="004C7D68"/>
    <w:rsid w:val="004D0283"/>
    <w:rsid w:val="004D12E8"/>
    <w:rsid w:val="004D14DC"/>
    <w:rsid w:val="004D270E"/>
    <w:rsid w:val="004D29AF"/>
    <w:rsid w:val="004D2B11"/>
    <w:rsid w:val="004D4225"/>
    <w:rsid w:val="004D4747"/>
    <w:rsid w:val="004D4CD7"/>
    <w:rsid w:val="004D556A"/>
    <w:rsid w:val="004D6345"/>
    <w:rsid w:val="004D6AB7"/>
    <w:rsid w:val="004D7A45"/>
    <w:rsid w:val="004E2DE9"/>
    <w:rsid w:val="004E459E"/>
    <w:rsid w:val="004E4ADD"/>
    <w:rsid w:val="004E4F77"/>
    <w:rsid w:val="004E5B2D"/>
    <w:rsid w:val="004E7CDA"/>
    <w:rsid w:val="004F0C11"/>
    <w:rsid w:val="004F127A"/>
    <w:rsid w:val="004F26A8"/>
    <w:rsid w:val="004F2A6D"/>
    <w:rsid w:val="004F2B77"/>
    <w:rsid w:val="004F3B7E"/>
    <w:rsid w:val="004F3F06"/>
    <w:rsid w:val="004F547C"/>
    <w:rsid w:val="004F569A"/>
    <w:rsid w:val="004F6098"/>
    <w:rsid w:val="004F640E"/>
    <w:rsid w:val="004F66E8"/>
    <w:rsid w:val="004F7B20"/>
    <w:rsid w:val="005012D1"/>
    <w:rsid w:val="005016D8"/>
    <w:rsid w:val="0050328B"/>
    <w:rsid w:val="0050357A"/>
    <w:rsid w:val="00504426"/>
    <w:rsid w:val="005047B2"/>
    <w:rsid w:val="005047D7"/>
    <w:rsid w:val="00504C7D"/>
    <w:rsid w:val="00505D79"/>
    <w:rsid w:val="0050638F"/>
    <w:rsid w:val="005073AC"/>
    <w:rsid w:val="00510DE7"/>
    <w:rsid w:val="00510EFC"/>
    <w:rsid w:val="00511D54"/>
    <w:rsid w:val="00512769"/>
    <w:rsid w:val="00513073"/>
    <w:rsid w:val="00513724"/>
    <w:rsid w:val="00514EFF"/>
    <w:rsid w:val="005151AA"/>
    <w:rsid w:val="00516BC5"/>
    <w:rsid w:val="00517907"/>
    <w:rsid w:val="00517F98"/>
    <w:rsid w:val="00521958"/>
    <w:rsid w:val="00523C96"/>
    <w:rsid w:val="00524F14"/>
    <w:rsid w:val="005269E0"/>
    <w:rsid w:val="005325E1"/>
    <w:rsid w:val="00532647"/>
    <w:rsid w:val="00532FDF"/>
    <w:rsid w:val="005341FF"/>
    <w:rsid w:val="00535F38"/>
    <w:rsid w:val="00536A7F"/>
    <w:rsid w:val="005403A0"/>
    <w:rsid w:val="0054185E"/>
    <w:rsid w:val="00546F82"/>
    <w:rsid w:val="00547299"/>
    <w:rsid w:val="00547928"/>
    <w:rsid w:val="00551D8E"/>
    <w:rsid w:val="00555B54"/>
    <w:rsid w:val="00556065"/>
    <w:rsid w:val="0056039C"/>
    <w:rsid w:val="005611D0"/>
    <w:rsid w:val="005623E0"/>
    <w:rsid w:val="0056270B"/>
    <w:rsid w:val="00563FA0"/>
    <w:rsid w:val="00564871"/>
    <w:rsid w:val="005662AC"/>
    <w:rsid w:val="00566775"/>
    <w:rsid w:val="00566891"/>
    <w:rsid w:val="00567C09"/>
    <w:rsid w:val="0057232F"/>
    <w:rsid w:val="0057286C"/>
    <w:rsid w:val="00572C70"/>
    <w:rsid w:val="00573996"/>
    <w:rsid w:val="00575A17"/>
    <w:rsid w:val="00575FEE"/>
    <w:rsid w:val="00576290"/>
    <w:rsid w:val="00576A14"/>
    <w:rsid w:val="00577793"/>
    <w:rsid w:val="00577A47"/>
    <w:rsid w:val="005836F5"/>
    <w:rsid w:val="00584370"/>
    <w:rsid w:val="00584DB4"/>
    <w:rsid w:val="00584EE7"/>
    <w:rsid w:val="00587C63"/>
    <w:rsid w:val="00590B8A"/>
    <w:rsid w:val="00590E81"/>
    <w:rsid w:val="00591011"/>
    <w:rsid w:val="005915F9"/>
    <w:rsid w:val="00593794"/>
    <w:rsid w:val="00593CF1"/>
    <w:rsid w:val="00596BD6"/>
    <w:rsid w:val="00597CCA"/>
    <w:rsid w:val="005A30ED"/>
    <w:rsid w:val="005A430E"/>
    <w:rsid w:val="005A4970"/>
    <w:rsid w:val="005A51CA"/>
    <w:rsid w:val="005A6D39"/>
    <w:rsid w:val="005A6E0F"/>
    <w:rsid w:val="005A7ADC"/>
    <w:rsid w:val="005B0B7A"/>
    <w:rsid w:val="005B1234"/>
    <w:rsid w:val="005B3475"/>
    <w:rsid w:val="005B58EE"/>
    <w:rsid w:val="005B5D71"/>
    <w:rsid w:val="005B638F"/>
    <w:rsid w:val="005B6669"/>
    <w:rsid w:val="005B7BF6"/>
    <w:rsid w:val="005C0B27"/>
    <w:rsid w:val="005C0F69"/>
    <w:rsid w:val="005C2FA6"/>
    <w:rsid w:val="005C306B"/>
    <w:rsid w:val="005C31F4"/>
    <w:rsid w:val="005C4B51"/>
    <w:rsid w:val="005C4E81"/>
    <w:rsid w:val="005C5087"/>
    <w:rsid w:val="005D05B3"/>
    <w:rsid w:val="005D0895"/>
    <w:rsid w:val="005D1176"/>
    <w:rsid w:val="005D324F"/>
    <w:rsid w:val="005D3CF2"/>
    <w:rsid w:val="005D4EE1"/>
    <w:rsid w:val="005D57F2"/>
    <w:rsid w:val="005D5DAA"/>
    <w:rsid w:val="005D60DB"/>
    <w:rsid w:val="005D66CC"/>
    <w:rsid w:val="005D68E9"/>
    <w:rsid w:val="005E047D"/>
    <w:rsid w:val="005E0ECC"/>
    <w:rsid w:val="005E119E"/>
    <w:rsid w:val="005E11F7"/>
    <w:rsid w:val="005E17E2"/>
    <w:rsid w:val="005E3E95"/>
    <w:rsid w:val="005E45E4"/>
    <w:rsid w:val="005E48EC"/>
    <w:rsid w:val="005E4B3F"/>
    <w:rsid w:val="005E4CC6"/>
    <w:rsid w:val="005E56B2"/>
    <w:rsid w:val="005E56DE"/>
    <w:rsid w:val="005E6542"/>
    <w:rsid w:val="005F09DB"/>
    <w:rsid w:val="005F15D5"/>
    <w:rsid w:val="005F43D8"/>
    <w:rsid w:val="005F5B24"/>
    <w:rsid w:val="005F74F7"/>
    <w:rsid w:val="00601091"/>
    <w:rsid w:val="00601AA4"/>
    <w:rsid w:val="00602038"/>
    <w:rsid w:val="006069F7"/>
    <w:rsid w:val="006070B0"/>
    <w:rsid w:val="006071B8"/>
    <w:rsid w:val="00607346"/>
    <w:rsid w:val="00610454"/>
    <w:rsid w:val="00610629"/>
    <w:rsid w:val="006116A3"/>
    <w:rsid w:val="0061178B"/>
    <w:rsid w:val="0061277D"/>
    <w:rsid w:val="00612C60"/>
    <w:rsid w:val="00613636"/>
    <w:rsid w:val="006137A3"/>
    <w:rsid w:val="0061400C"/>
    <w:rsid w:val="00614B29"/>
    <w:rsid w:val="00615113"/>
    <w:rsid w:val="006161B9"/>
    <w:rsid w:val="00616EA7"/>
    <w:rsid w:val="00620013"/>
    <w:rsid w:val="006238C3"/>
    <w:rsid w:val="0062527F"/>
    <w:rsid w:val="00625ED5"/>
    <w:rsid w:val="006310AB"/>
    <w:rsid w:val="0063321E"/>
    <w:rsid w:val="00633A76"/>
    <w:rsid w:val="00636817"/>
    <w:rsid w:val="006368E7"/>
    <w:rsid w:val="006370A0"/>
    <w:rsid w:val="0064097E"/>
    <w:rsid w:val="00640C5A"/>
    <w:rsid w:val="006421D5"/>
    <w:rsid w:val="006425B4"/>
    <w:rsid w:val="0064608D"/>
    <w:rsid w:val="00646690"/>
    <w:rsid w:val="0064719F"/>
    <w:rsid w:val="00650F0D"/>
    <w:rsid w:val="0065158B"/>
    <w:rsid w:val="00651650"/>
    <w:rsid w:val="00651D24"/>
    <w:rsid w:val="00655668"/>
    <w:rsid w:val="0066020E"/>
    <w:rsid w:val="0066048D"/>
    <w:rsid w:val="0066151F"/>
    <w:rsid w:val="00661913"/>
    <w:rsid w:val="0066274F"/>
    <w:rsid w:val="0066333B"/>
    <w:rsid w:val="00663406"/>
    <w:rsid w:val="006655C7"/>
    <w:rsid w:val="00667665"/>
    <w:rsid w:val="006679E4"/>
    <w:rsid w:val="00671E01"/>
    <w:rsid w:val="00671F11"/>
    <w:rsid w:val="0067207C"/>
    <w:rsid w:val="0067338B"/>
    <w:rsid w:val="0067486B"/>
    <w:rsid w:val="006770DA"/>
    <w:rsid w:val="00681DEC"/>
    <w:rsid w:val="00682914"/>
    <w:rsid w:val="00682DA6"/>
    <w:rsid w:val="00684901"/>
    <w:rsid w:val="00685035"/>
    <w:rsid w:val="00685D52"/>
    <w:rsid w:val="006905CD"/>
    <w:rsid w:val="00691883"/>
    <w:rsid w:val="0069261F"/>
    <w:rsid w:val="0069442D"/>
    <w:rsid w:val="0069732C"/>
    <w:rsid w:val="006A0759"/>
    <w:rsid w:val="006A07FC"/>
    <w:rsid w:val="006A0DE5"/>
    <w:rsid w:val="006A11D2"/>
    <w:rsid w:val="006A346D"/>
    <w:rsid w:val="006A51EB"/>
    <w:rsid w:val="006A58F2"/>
    <w:rsid w:val="006B102A"/>
    <w:rsid w:val="006B1247"/>
    <w:rsid w:val="006B18E7"/>
    <w:rsid w:val="006B1EE6"/>
    <w:rsid w:val="006B3A3F"/>
    <w:rsid w:val="006B5564"/>
    <w:rsid w:val="006B6A4A"/>
    <w:rsid w:val="006C1521"/>
    <w:rsid w:val="006C1983"/>
    <w:rsid w:val="006C2D64"/>
    <w:rsid w:val="006C435F"/>
    <w:rsid w:val="006C44F2"/>
    <w:rsid w:val="006C4EC2"/>
    <w:rsid w:val="006C5266"/>
    <w:rsid w:val="006C558A"/>
    <w:rsid w:val="006C681F"/>
    <w:rsid w:val="006C6DEF"/>
    <w:rsid w:val="006C7A11"/>
    <w:rsid w:val="006D1057"/>
    <w:rsid w:val="006D121A"/>
    <w:rsid w:val="006D1557"/>
    <w:rsid w:val="006D1E4D"/>
    <w:rsid w:val="006D1FC6"/>
    <w:rsid w:val="006D3586"/>
    <w:rsid w:val="006D40D4"/>
    <w:rsid w:val="006D5526"/>
    <w:rsid w:val="006D6BE4"/>
    <w:rsid w:val="006D74B2"/>
    <w:rsid w:val="006D7D90"/>
    <w:rsid w:val="006E0D73"/>
    <w:rsid w:val="006E1740"/>
    <w:rsid w:val="006E18B7"/>
    <w:rsid w:val="006E1C77"/>
    <w:rsid w:val="006E2483"/>
    <w:rsid w:val="006E2E47"/>
    <w:rsid w:val="006E4744"/>
    <w:rsid w:val="006E4F06"/>
    <w:rsid w:val="006E5E06"/>
    <w:rsid w:val="006E6DA4"/>
    <w:rsid w:val="006E6F16"/>
    <w:rsid w:val="006E75E6"/>
    <w:rsid w:val="006E7E9E"/>
    <w:rsid w:val="006F3889"/>
    <w:rsid w:val="006F3A37"/>
    <w:rsid w:val="006F5385"/>
    <w:rsid w:val="006F6091"/>
    <w:rsid w:val="006F72BC"/>
    <w:rsid w:val="007009D2"/>
    <w:rsid w:val="007009DA"/>
    <w:rsid w:val="00701547"/>
    <w:rsid w:val="00702663"/>
    <w:rsid w:val="007028D8"/>
    <w:rsid w:val="007031D2"/>
    <w:rsid w:val="007031EE"/>
    <w:rsid w:val="00703B90"/>
    <w:rsid w:val="007046BB"/>
    <w:rsid w:val="0070561A"/>
    <w:rsid w:val="007057FB"/>
    <w:rsid w:val="00706D69"/>
    <w:rsid w:val="00706FC9"/>
    <w:rsid w:val="00707C03"/>
    <w:rsid w:val="00707C33"/>
    <w:rsid w:val="007109BD"/>
    <w:rsid w:val="00710B48"/>
    <w:rsid w:val="00710B93"/>
    <w:rsid w:val="007127C4"/>
    <w:rsid w:val="007129AA"/>
    <w:rsid w:val="00714C93"/>
    <w:rsid w:val="00715174"/>
    <w:rsid w:val="0071616E"/>
    <w:rsid w:val="00716F51"/>
    <w:rsid w:val="00717256"/>
    <w:rsid w:val="00717DC8"/>
    <w:rsid w:val="007218D0"/>
    <w:rsid w:val="00722427"/>
    <w:rsid w:val="0072260D"/>
    <w:rsid w:val="0072290D"/>
    <w:rsid w:val="00722A35"/>
    <w:rsid w:val="00723A3E"/>
    <w:rsid w:val="00723AA5"/>
    <w:rsid w:val="00723E1B"/>
    <w:rsid w:val="007240EA"/>
    <w:rsid w:val="007249B2"/>
    <w:rsid w:val="00725795"/>
    <w:rsid w:val="0073151A"/>
    <w:rsid w:val="00733444"/>
    <w:rsid w:val="00734E07"/>
    <w:rsid w:val="00735264"/>
    <w:rsid w:val="00735932"/>
    <w:rsid w:val="0073643A"/>
    <w:rsid w:val="00736C06"/>
    <w:rsid w:val="00736F19"/>
    <w:rsid w:val="0074052E"/>
    <w:rsid w:val="00742A60"/>
    <w:rsid w:val="007431E4"/>
    <w:rsid w:val="00743A6D"/>
    <w:rsid w:val="00743D49"/>
    <w:rsid w:val="00745D2A"/>
    <w:rsid w:val="00747ED1"/>
    <w:rsid w:val="0075256A"/>
    <w:rsid w:val="0075257B"/>
    <w:rsid w:val="0075313A"/>
    <w:rsid w:val="007532D4"/>
    <w:rsid w:val="00753CD9"/>
    <w:rsid w:val="007545C6"/>
    <w:rsid w:val="00754E0B"/>
    <w:rsid w:val="00755416"/>
    <w:rsid w:val="00757689"/>
    <w:rsid w:val="00757E30"/>
    <w:rsid w:val="00760294"/>
    <w:rsid w:val="007604FA"/>
    <w:rsid w:val="007608D0"/>
    <w:rsid w:val="007629CD"/>
    <w:rsid w:val="00763BAE"/>
    <w:rsid w:val="00763FC9"/>
    <w:rsid w:val="0076499A"/>
    <w:rsid w:val="00764C70"/>
    <w:rsid w:val="00766D93"/>
    <w:rsid w:val="00767F2B"/>
    <w:rsid w:val="00770E1C"/>
    <w:rsid w:val="0077138D"/>
    <w:rsid w:val="00771E34"/>
    <w:rsid w:val="007720D5"/>
    <w:rsid w:val="00772E53"/>
    <w:rsid w:val="00774498"/>
    <w:rsid w:val="00775197"/>
    <w:rsid w:val="007751A4"/>
    <w:rsid w:val="007811EE"/>
    <w:rsid w:val="00781858"/>
    <w:rsid w:val="007819CE"/>
    <w:rsid w:val="0078262B"/>
    <w:rsid w:val="00783ADA"/>
    <w:rsid w:val="00783BF7"/>
    <w:rsid w:val="00784134"/>
    <w:rsid w:val="007857E9"/>
    <w:rsid w:val="00786739"/>
    <w:rsid w:val="007874F5"/>
    <w:rsid w:val="00787664"/>
    <w:rsid w:val="00787754"/>
    <w:rsid w:val="00790208"/>
    <w:rsid w:val="007924E6"/>
    <w:rsid w:val="00792BC9"/>
    <w:rsid w:val="00792E30"/>
    <w:rsid w:val="00793018"/>
    <w:rsid w:val="007936E7"/>
    <w:rsid w:val="00793A00"/>
    <w:rsid w:val="007948AF"/>
    <w:rsid w:val="0079567F"/>
    <w:rsid w:val="0079656F"/>
    <w:rsid w:val="007969CB"/>
    <w:rsid w:val="00796E4B"/>
    <w:rsid w:val="007970D6"/>
    <w:rsid w:val="007972EF"/>
    <w:rsid w:val="00797B80"/>
    <w:rsid w:val="00797BD1"/>
    <w:rsid w:val="007A07AB"/>
    <w:rsid w:val="007A1085"/>
    <w:rsid w:val="007A22D5"/>
    <w:rsid w:val="007A2901"/>
    <w:rsid w:val="007A2D58"/>
    <w:rsid w:val="007A36FE"/>
    <w:rsid w:val="007A3D52"/>
    <w:rsid w:val="007A71F4"/>
    <w:rsid w:val="007A79B8"/>
    <w:rsid w:val="007B0D7B"/>
    <w:rsid w:val="007B1218"/>
    <w:rsid w:val="007B168C"/>
    <w:rsid w:val="007B333B"/>
    <w:rsid w:val="007B50FE"/>
    <w:rsid w:val="007B5812"/>
    <w:rsid w:val="007B599E"/>
    <w:rsid w:val="007B628E"/>
    <w:rsid w:val="007C07BA"/>
    <w:rsid w:val="007C0F81"/>
    <w:rsid w:val="007C18CF"/>
    <w:rsid w:val="007C1922"/>
    <w:rsid w:val="007C212C"/>
    <w:rsid w:val="007C37AD"/>
    <w:rsid w:val="007C3B17"/>
    <w:rsid w:val="007C46A9"/>
    <w:rsid w:val="007C60C7"/>
    <w:rsid w:val="007C7610"/>
    <w:rsid w:val="007C7819"/>
    <w:rsid w:val="007C7C17"/>
    <w:rsid w:val="007D009C"/>
    <w:rsid w:val="007D277C"/>
    <w:rsid w:val="007D2B4A"/>
    <w:rsid w:val="007D2CEE"/>
    <w:rsid w:val="007D3928"/>
    <w:rsid w:val="007D58CD"/>
    <w:rsid w:val="007D5F65"/>
    <w:rsid w:val="007D628A"/>
    <w:rsid w:val="007D62FA"/>
    <w:rsid w:val="007D634D"/>
    <w:rsid w:val="007D6644"/>
    <w:rsid w:val="007D7ACB"/>
    <w:rsid w:val="007D7BEB"/>
    <w:rsid w:val="007E021B"/>
    <w:rsid w:val="007E0AAF"/>
    <w:rsid w:val="007E2569"/>
    <w:rsid w:val="007E31E3"/>
    <w:rsid w:val="007E32CA"/>
    <w:rsid w:val="007E3A2D"/>
    <w:rsid w:val="007E5668"/>
    <w:rsid w:val="007E6AAB"/>
    <w:rsid w:val="007E72FD"/>
    <w:rsid w:val="007E7564"/>
    <w:rsid w:val="007E78AF"/>
    <w:rsid w:val="007F0C9C"/>
    <w:rsid w:val="007F1731"/>
    <w:rsid w:val="007F2A97"/>
    <w:rsid w:val="007F3588"/>
    <w:rsid w:val="007F3B34"/>
    <w:rsid w:val="007F4B7A"/>
    <w:rsid w:val="007F4CD9"/>
    <w:rsid w:val="007F52BA"/>
    <w:rsid w:val="007F5E9E"/>
    <w:rsid w:val="007F7D84"/>
    <w:rsid w:val="00800370"/>
    <w:rsid w:val="00803294"/>
    <w:rsid w:val="008035FB"/>
    <w:rsid w:val="008069E5"/>
    <w:rsid w:val="00806D7E"/>
    <w:rsid w:val="0081202C"/>
    <w:rsid w:val="0081244A"/>
    <w:rsid w:val="00813147"/>
    <w:rsid w:val="008138DE"/>
    <w:rsid w:val="008142F4"/>
    <w:rsid w:val="0082121E"/>
    <w:rsid w:val="008212A8"/>
    <w:rsid w:val="00822C3E"/>
    <w:rsid w:val="00823727"/>
    <w:rsid w:val="00823B29"/>
    <w:rsid w:val="00823C08"/>
    <w:rsid w:val="008240DD"/>
    <w:rsid w:val="00825568"/>
    <w:rsid w:val="00826744"/>
    <w:rsid w:val="0082681E"/>
    <w:rsid w:val="00826A18"/>
    <w:rsid w:val="00830B98"/>
    <w:rsid w:val="0083131B"/>
    <w:rsid w:val="00832063"/>
    <w:rsid w:val="00832555"/>
    <w:rsid w:val="00832798"/>
    <w:rsid w:val="00835A4C"/>
    <w:rsid w:val="008360DE"/>
    <w:rsid w:val="00844B07"/>
    <w:rsid w:val="00844B9F"/>
    <w:rsid w:val="00845178"/>
    <w:rsid w:val="00845B97"/>
    <w:rsid w:val="008465D3"/>
    <w:rsid w:val="00850E3A"/>
    <w:rsid w:val="0085176E"/>
    <w:rsid w:val="00854DE8"/>
    <w:rsid w:val="00856610"/>
    <w:rsid w:val="008576A9"/>
    <w:rsid w:val="008576D0"/>
    <w:rsid w:val="00861919"/>
    <w:rsid w:val="00864742"/>
    <w:rsid w:val="008662F1"/>
    <w:rsid w:val="00870014"/>
    <w:rsid w:val="00870DF8"/>
    <w:rsid w:val="00870E04"/>
    <w:rsid w:val="00871E8B"/>
    <w:rsid w:val="0087217C"/>
    <w:rsid w:val="00872CE2"/>
    <w:rsid w:val="0087461B"/>
    <w:rsid w:val="008761C5"/>
    <w:rsid w:val="008768FC"/>
    <w:rsid w:val="008818E5"/>
    <w:rsid w:val="008823FE"/>
    <w:rsid w:val="00884ACD"/>
    <w:rsid w:val="00885360"/>
    <w:rsid w:val="00885DDC"/>
    <w:rsid w:val="00886EAC"/>
    <w:rsid w:val="008872BB"/>
    <w:rsid w:val="00887444"/>
    <w:rsid w:val="008878E7"/>
    <w:rsid w:val="00887A2A"/>
    <w:rsid w:val="00890150"/>
    <w:rsid w:val="00890B34"/>
    <w:rsid w:val="00891089"/>
    <w:rsid w:val="00891986"/>
    <w:rsid w:val="00892137"/>
    <w:rsid w:val="00893CF8"/>
    <w:rsid w:val="00894E98"/>
    <w:rsid w:val="008953D2"/>
    <w:rsid w:val="00895D0A"/>
    <w:rsid w:val="008963A4"/>
    <w:rsid w:val="00897566"/>
    <w:rsid w:val="00897853"/>
    <w:rsid w:val="008A0D23"/>
    <w:rsid w:val="008A1EC1"/>
    <w:rsid w:val="008B00D0"/>
    <w:rsid w:val="008B0FF5"/>
    <w:rsid w:val="008B126C"/>
    <w:rsid w:val="008B1827"/>
    <w:rsid w:val="008B2A23"/>
    <w:rsid w:val="008B3016"/>
    <w:rsid w:val="008B40CD"/>
    <w:rsid w:val="008B4E94"/>
    <w:rsid w:val="008B4ECA"/>
    <w:rsid w:val="008B5663"/>
    <w:rsid w:val="008C032F"/>
    <w:rsid w:val="008C20DE"/>
    <w:rsid w:val="008C35F3"/>
    <w:rsid w:val="008C3E1B"/>
    <w:rsid w:val="008C48F7"/>
    <w:rsid w:val="008C4AFB"/>
    <w:rsid w:val="008C5254"/>
    <w:rsid w:val="008C52CB"/>
    <w:rsid w:val="008C559D"/>
    <w:rsid w:val="008C5C12"/>
    <w:rsid w:val="008C70E9"/>
    <w:rsid w:val="008C70F1"/>
    <w:rsid w:val="008C724D"/>
    <w:rsid w:val="008C7483"/>
    <w:rsid w:val="008C78EF"/>
    <w:rsid w:val="008D28CF"/>
    <w:rsid w:val="008D2DFC"/>
    <w:rsid w:val="008D3BA6"/>
    <w:rsid w:val="008D68AF"/>
    <w:rsid w:val="008E0DCE"/>
    <w:rsid w:val="008E0F4C"/>
    <w:rsid w:val="008E1A18"/>
    <w:rsid w:val="008E282A"/>
    <w:rsid w:val="008E632A"/>
    <w:rsid w:val="008E6AF1"/>
    <w:rsid w:val="008E6DDC"/>
    <w:rsid w:val="008E6F8D"/>
    <w:rsid w:val="008F04C1"/>
    <w:rsid w:val="008F2B8F"/>
    <w:rsid w:val="008F36C7"/>
    <w:rsid w:val="008F5282"/>
    <w:rsid w:val="008F5B94"/>
    <w:rsid w:val="008F6BE7"/>
    <w:rsid w:val="008F70C5"/>
    <w:rsid w:val="00901D2D"/>
    <w:rsid w:val="00901F80"/>
    <w:rsid w:val="0090200B"/>
    <w:rsid w:val="0090275D"/>
    <w:rsid w:val="00902D22"/>
    <w:rsid w:val="00903DEA"/>
    <w:rsid w:val="009042B5"/>
    <w:rsid w:val="00904A17"/>
    <w:rsid w:val="009053A4"/>
    <w:rsid w:val="00907AD6"/>
    <w:rsid w:val="00910F0A"/>
    <w:rsid w:val="0091142F"/>
    <w:rsid w:val="009134F2"/>
    <w:rsid w:val="00913A3B"/>
    <w:rsid w:val="00913B3D"/>
    <w:rsid w:val="00914E1E"/>
    <w:rsid w:val="009169E4"/>
    <w:rsid w:val="00917737"/>
    <w:rsid w:val="009207B8"/>
    <w:rsid w:val="00920F7C"/>
    <w:rsid w:val="00921000"/>
    <w:rsid w:val="00921C5B"/>
    <w:rsid w:val="009229E7"/>
    <w:rsid w:val="009242AE"/>
    <w:rsid w:val="00924409"/>
    <w:rsid w:val="00925A36"/>
    <w:rsid w:val="00926671"/>
    <w:rsid w:val="00930B90"/>
    <w:rsid w:val="00932395"/>
    <w:rsid w:val="00933DC1"/>
    <w:rsid w:val="0093411D"/>
    <w:rsid w:val="00934722"/>
    <w:rsid w:val="0093475B"/>
    <w:rsid w:val="009349B9"/>
    <w:rsid w:val="00934CB4"/>
    <w:rsid w:val="009351FE"/>
    <w:rsid w:val="00935777"/>
    <w:rsid w:val="00935CB1"/>
    <w:rsid w:val="00937D53"/>
    <w:rsid w:val="00940498"/>
    <w:rsid w:val="0094181B"/>
    <w:rsid w:val="00941CB0"/>
    <w:rsid w:val="00941DCA"/>
    <w:rsid w:val="00941DF9"/>
    <w:rsid w:val="00941F28"/>
    <w:rsid w:val="00942477"/>
    <w:rsid w:val="0094444A"/>
    <w:rsid w:val="0094571E"/>
    <w:rsid w:val="00945D4E"/>
    <w:rsid w:val="00947168"/>
    <w:rsid w:val="00951B62"/>
    <w:rsid w:val="00951E12"/>
    <w:rsid w:val="00952CB8"/>
    <w:rsid w:val="00952E18"/>
    <w:rsid w:val="00953490"/>
    <w:rsid w:val="00953623"/>
    <w:rsid w:val="009537EC"/>
    <w:rsid w:val="00954162"/>
    <w:rsid w:val="00954889"/>
    <w:rsid w:val="00954DED"/>
    <w:rsid w:val="009550EC"/>
    <w:rsid w:val="00955891"/>
    <w:rsid w:val="00955FD3"/>
    <w:rsid w:val="009567B8"/>
    <w:rsid w:val="009569DC"/>
    <w:rsid w:val="009576A6"/>
    <w:rsid w:val="00960C2B"/>
    <w:rsid w:val="00961DFA"/>
    <w:rsid w:val="00962EAB"/>
    <w:rsid w:val="0096341D"/>
    <w:rsid w:val="00963580"/>
    <w:rsid w:val="009651C3"/>
    <w:rsid w:val="009651D1"/>
    <w:rsid w:val="009677B6"/>
    <w:rsid w:val="00967CC3"/>
    <w:rsid w:val="0097013D"/>
    <w:rsid w:val="00970923"/>
    <w:rsid w:val="0097361E"/>
    <w:rsid w:val="00973756"/>
    <w:rsid w:val="009740C2"/>
    <w:rsid w:val="00977910"/>
    <w:rsid w:val="00981F49"/>
    <w:rsid w:val="00983B8D"/>
    <w:rsid w:val="00983D08"/>
    <w:rsid w:val="00984037"/>
    <w:rsid w:val="00984D79"/>
    <w:rsid w:val="00985141"/>
    <w:rsid w:val="00985367"/>
    <w:rsid w:val="00991BF1"/>
    <w:rsid w:val="009928B7"/>
    <w:rsid w:val="009938BD"/>
    <w:rsid w:val="00993B0E"/>
    <w:rsid w:val="00993E7F"/>
    <w:rsid w:val="0099415B"/>
    <w:rsid w:val="00994DB0"/>
    <w:rsid w:val="00995BFD"/>
    <w:rsid w:val="00996E0C"/>
    <w:rsid w:val="00997667"/>
    <w:rsid w:val="009A0062"/>
    <w:rsid w:val="009A14C5"/>
    <w:rsid w:val="009A1782"/>
    <w:rsid w:val="009A1C45"/>
    <w:rsid w:val="009A39D0"/>
    <w:rsid w:val="009A48B0"/>
    <w:rsid w:val="009A4C25"/>
    <w:rsid w:val="009A711F"/>
    <w:rsid w:val="009A7331"/>
    <w:rsid w:val="009B053C"/>
    <w:rsid w:val="009B0965"/>
    <w:rsid w:val="009B4079"/>
    <w:rsid w:val="009B543C"/>
    <w:rsid w:val="009B55B4"/>
    <w:rsid w:val="009B6569"/>
    <w:rsid w:val="009B7A51"/>
    <w:rsid w:val="009C06FB"/>
    <w:rsid w:val="009C107C"/>
    <w:rsid w:val="009C436A"/>
    <w:rsid w:val="009C5BA0"/>
    <w:rsid w:val="009C65DA"/>
    <w:rsid w:val="009C666F"/>
    <w:rsid w:val="009D0583"/>
    <w:rsid w:val="009D1300"/>
    <w:rsid w:val="009D1483"/>
    <w:rsid w:val="009D22FF"/>
    <w:rsid w:val="009D3EBC"/>
    <w:rsid w:val="009D4CAD"/>
    <w:rsid w:val="009D4F44"/>
    <w:rsid w:val="009D52E8"/>
    <w:rsid w:val="009D56F5"/>
    <w:rsid w:val="009D5952"/>
    <w:rsid w:val="009D6A71"/>
    <w:rsid w:val="009D7139"/>
    <w:rsid w:val="009E10F8"/>
    <w:rsid w:val="009E1208"/>
    <w:rsid w:val="009E1EBB"/>
    <w:rsid w:val="009E2300"/>
    <w:rsid w:val="009E2F1B"/>
    <w:rsid w:val="009E6888"/>
    <w:rsid w:val="009F2153"/>
    <w:rsid w:val="009F22DA"/>
    <w:rsid w:val="009F284C"/>
    <w:rsid w:val="009F4537"/>
    <w:rsid w:val="009F4895"/>
    <w:rsid w:val="009F4A3C"/>
    <w:rsid w:val="009F5FE3"/>
    <w:rsid w:val="00A0083B"/>
    <w:rsid w:val="00A00B1D"/>
    <w:rsid w:val="00A00C88"/>
    <w:rsid w:val="00A018B3"/>
    <w:rsid w:val="00A01EC2"/>
    <w:rsid w:val="00A022A3"/>
    <w:rsid w:val="00A02713"/>
    <w:rsid w:val="00A0493B"/>
    <w:rsid w:val="00A053BB"/>
    <w:rsid w:val="00A058AF"/>
    <w:rsid w:val="00A07339"/>
    <w:rsid w:val="00A0733C"/>
    <w:rsid w:val="00A07F70"/>
    <w:rsid w:val="00A102F6"/>
    <w:rsid w:val="00A11506"/>
    <w:rsid w:val="00A115C0"/>
    <w:rsid w:val="00A12E97"/>
    <w:rsid w:val="00A147EF"/>
    <w:rsid w:val="00A14C42"/>
    <w:rsid w:val="00A16BC6"/>
    <w:rsid w:val="00A171B0"/>
    <w:rsid w:val="00A17291"/>
    <w:rsid w:val="00A210A3"/>
    <w:rsid w:val="00A21E4C"/>
    <w:rsid w:val="00A237A5"/>
    <w:rsid w:val="00A23E01"/>
    <w:rsid w:val="00A24907"/>
    <w:rsid w:val="00A25BF0"/>
    <w:rsid w:val="00A26992"/>
    <w:rsid w:val="00A27210"/>
    <w:rsid w:val="00A273BC"/>
    <w:rsid w:val="00A276CB"/>
    <w:rsid w:val="00A30AB9"/>
    <w:rsid w:val="00A30F7A"/>
    <w:rsid w:val="00A3141F"/>
    <w:rsid w:val="00A34FB5"/>
    <w:rsid w:val="00A35185"/>
    <w:rsid w:val="00A36870"/>
    <w:rsid w:val="00A3765A"/>
    <w:rsid w:val="00A411F3"/>
    <w:rsid w:val="00A42090"/>
    <w:rsid w:val="00A42197"/>
    <w:rsid w:val="00A45531"/>
    <w:rsid w:val="00A458B6"/>
    <w:rsid w:val="00A45D0F"/>
    <w:rsid w:val="00A47CDB"/>
    <w:rsid w:val="00A506EE"/>
    <w:rsid w:val="00A50A1F"/>
    <w:rsid w:val="00A51D76"/>
    <w:rsid w:val="00A52D27"/>
    <w:rsid w:val="00A53B55"/>
    <w:rsid w:val="00A54B54"/>
    <w:rsid w:val="00A5552C"/>
    <w:rsid w:val="00A56068"/>
    <w:rsid w:val="00A5617A"/>
    <w:rsid w:val="00A56E9A"/>
    <w:rsid w:val="00A57846"/>
    <w:rsid w:val="00A57EDA"/>
    <w:rsid w:val="00A61006"/>
    <w:rsid w:val="00A61770"/>
    <w:rsid w:val="00A622A7"/>
    <w:rsid w:val="00A64091"/>
    <w:rsid w:val="00A6598B"/>
    <w:rsid w:val="00A65C3E"/>
    <w:rsid w:val="00A7052F"/>
    <w:rsid w:val="00A71130"/>
    <w:rsid w:val="00A72529"/>
    <w:rsid w:val="00A736D6"/>
    <w:rsid w:val="00A74040"/>
    <w:rsid w:val="00A77593"/>
    <w:rsid w:val="00A77FD5"/>
    <w:rsid w:val="00A802AD"/>
    <w:rsid w:val="00A83846"/>
    <w:rsid w:val="00A84186"/>
    <w:rsid w:val="00A84B7F"/>
    <w:rsid w:val="00A84DBD"/>
    <w:rsid w:val="00A85904"/>
    <w:rsid w:val="00A86970"/>
    <w:rsid w:val="00A870A1"/>
    <w:rsid w:val="00A90927"/>
    <w:rsid w:val="00A91164"/>
    <w:rsid w:val="00A912A3"/>
    <w:rsid w:val="00A91C29"/>
    <w:rsid w:val="00A91D41"/>
    <w:rsid w:val="00A92C2E"/>
    <w:rsid w:val="00A930B1"/>
    <w:rsid w:val="00A94B90"/>
    <w:rsid w:val="00A97040"/>
    <w:rsid w:val="00AA06A5"/>
    <w:rsid w:val="00AA103A"/>
    <w:rsid w:val="00AA1983"/>
    <w:rsid w:val="00AA257A"/>
    <w:rsid w:val="00AA2754"/>
    <w:rsid w:val="00AA297B"/>
    <w:rsid w:val="00AA41DA"/>
    <w:rsid w:val="00AA4345"/>
    <w:rsid w:val="00AA494E"/>
    <w:rsid w:val="00AA59AC"/>
    <w:rsid w:val="00AA6547"/>
    <w:rsid w:val="00AA7718"/>
    <w:rsid w:val="00AB049B"/>
    <w:rsid w:val="00AB1F47"/>
    <w:rsid w:val="00AB24AE"/>
    <w:rsid w:val="00AB4DB7"/>
    <w:rsid w:val="00AB5144"/>
    <w:rsid w:val="00AB5558"/>
    <w:rsid w:val="00AB5BEB"/>
    <w:rsid w:val="00AB645D"/>
    <w:rsid w:val="00AB6DB6"/>
    <w:rsid w:val="00AB77B4"/>
    <w:rsid w:val="00AC0299"/>
    <w:rsid w:val="00AC042D"/>
    <w:rsid w:val="00AC048F"/>
    <w:rsid w:val="00AC3671"/>
    <w:rsid w:val="00AC6096"/>
    <w:rsid w:val="00AC68FD"/>
    <w:rsid w:val="00AC6A36"/>
    <w:rsid w:val="00AC7460"/>
    <w:rsid w:val="00AC7E3D"/>
    <w:rsid w:val="00AD1D5D"/>
    <w:rsid w:val="00AD2101"/>
    <w:rsid w:val="00AD3A8D"/>
    <w:rsid w:val="00AD3C6E"/>
    <w:rsid w:val="00AD3CB7"/>
    <w:rsid w:val="00AD3D29"/>
    <w:rsid w:val="00AD3E12"/>
    <w:rsid w:val="00AD3FBE"/>
    <w:rsid w:val="00AD611C"/>
    <w:rsid w:val="00AD64F5"/>
    <w:rsid w:val="00AD6767"/>
    <w:rsid w:val="00AD7F44"/>
    <w:rsid w:val="00AE04E0"/>
    <w:rsid w:val="00AE0B92"/>
    <w:rsid w:val="00AE179A"/>
    <w:rsid w:val="00AE24C6"/>
    <w:rsid w:val="00AE3325"/>
    <w:rsid w:val="00AE33DC"/>
    <w:rsid w:val="00AE37DF"/>
    <w:rsid w:val="00AE38F5"/>
    <w:rsid w:val="00AE3DD4"/>
    <w:rsid w:val="00AE42BA"/>
    <w:rsid w:val="00AE4465"/>
    <w:rsid w:val="00AE4D28"/>
    <w:rsid w:val="00AE539D"/>
    <w:rsid w:val="00AF0C93"/>
    <w:rsid w:val="00AF26C5"/>
    <w:rsid w:val="00AF2DD2"/>
    <w:rsid w:val="00AF3E39"/>
    <w:rsid w:val="00AF7A0D"/>
    <w:rsid w:val="00B0077D"/>
    <w:rsid w:val="00B01159"/>
    <w:rsid w:val="00B0125F"/>
    <w:rsid w:val="00B01364"/>
    <w:rsid w:val="00B0181E"/>
    <w:rsid w:val="00B028DE"/>
    <w:rsid w:val="00B03149"/>
    <w:rsid w:val="00B03155"/>
    <w:rsid w:val="00B03CAD"/>
    <w:rsid w:val="00B04160"/>
    <w:rsid w:val="00B04F0A"/>
    <w:rsid w:val="00B06E54"/>
    <w:rsid w:val="00B07AC0"/>
    <w:rsid w:val="00B11F69"/>
    <w:rsid w:val="00B1377A"/>
    <w:rsid w:val="00B13B74"/>
    <w:rsid w:val="00B14DB7"/>
    <w:rsid w:val="00B1561D"/>
    <w:rsid w:val="00B16C57"/>
    <w:rsid w:val="00B20E4D"/>
    <w:rsid w:val="00B22793"/>
    <w:rsid w:val="00B23028"/>
    <w:rsid w:val="00B231AF"/>
    <w:rsid w:val="00B248BE"/>
    <w:rsid w:val="00B25381"/>
    <w:rsid w:val="00B25DC7"/>
    <w:rsid w:val="00B26188"/>
    <w:rsid w:val="00B265C2"/>
    <w:rsid w:val="00B26CF8"/>
    <w:rsid w:val="00B31364"/>
    <w:rsid w:val="00B32849"/>
    <w:rsid w:val="00B32AAA"/>
    <w:rsid w:val="00B32C55"/>
    <w:rsid w:val="00B33B48"/>
    <w:rsid w:val="00B33C44"/>
    <w:rsid w:val="00B349F6"/>
    <w:rsid w:val="00B34B47"/>
    <w:rsid w:val="00B34B70"/>
    <w:rsid w:val="00B35582"/>
    <w:rsid w:val="00B35AC6"/>
    <w:rsid w:val="00B361D8"/>
    <w:rsid w:val="00B3639E"/>
    <w:rsid w:val="00B37CD8"/>
    <w:rsid w:val="00B4030F"/>
    <w:rsid w:val="00B41AE5"/>
    <w:rsid w:val="00B4294F"/>
    <w:rsid w:val="00B42D71"/>
    <w:rsid w:val="00B45771"/>
    <w:rsid w:val="00B45AB0"/>
    <w:rsid w:val="00B45D5C"/>
    <w:rsid w:val="00B46522"/>
    <w:rsid w:val="00B46A39"/>
    <w:rsid w:val="00B471F6"/>
    <w:rsid w:val="00B47324"/>
    <w:rsid w:val="00B47D43"/>
    <w:rsid w:val="00B5052F"/>
    <w:rsid w:val="00B50984"/>
    <w:rsid w:val="00B51EB5"/>
    <w:rsid w:val="00B52F1D"/>
    <w:rsid w:val="00B53AF0"/>
    <w:rsid w:val="00B53C02"/>
    <w:rsid w:val="00B571A3"/>
    <w:rsid w:val="00B575EC"/>
    <w:rsid w:val="00B609E8"/>
    <w:rsid w:val="00B6146A"/>
    <w:rsid w:val="00B625EE"/>
    <w:rsid w:val="00B636FB"/>
    <w:rsid w:val="00B64EAB"/>
    <w:rsid w:val="00B663E4"/>
    <w:rsid w:val="00B701F9"/>
    <w:rsid w:val="00B708DF"/>
    <w:rsid w:val="00B72925"/>
    <w:rsid w:val="00B7561C"/>
    <w:rsid w:val="00B75960"/>
    <w:rsid w:val="00B773FB"/>
    <w:rsid w:val="00B77636"/>
    <w:rsid w:val="00B776EC"/>
    <w:rsid w:val="00B77EF4"/>
    <w:rsid w:val="00B80057"/>
    <w:rsid w:val="00B80616"/>
    <w:rsid w:val="00B818FE"/>
    <w:rsid w:val="00B8246D"/>
    <w:rsid w:val="00B8250D"/>
    <w:rsid w:val="00B82FCD"/>
    <w:rsid w:val="00B8343E"/>
    <w:rsid w:val="00B83827"/>
    <w:rsid w:val="00B84025"/>
    <w:rsid w:val="00B846AD"/>
    <w:rsid w:val="00B846C3"/>
    <w:rsid w:val="00B850ED"/>
    <w:rsid w:val="00B8526F"/>
    <w:rsid w:val="00B856FF"/>
    <w:rsid w:val="00B918C5"/>
    <w:rsid w:val="00B92074"/>
    <w:rsid w:val="00B93C8A"/>
    <w:rsid w:val="00B94877"/>
    <w:rsid w:val="00B9596D"/>
    <w:rsid w:val="00B959D9"/>
    <w:rsid w:val="00B968CD"/>
    <w:rsid w:val="00B97695"/>
    <w:rsid w:val="00BA00F2"/>
    <w:rsid w:val="00BA0D97"/>
    <w:rsid w:val="00BA2807"/>
    <w:rsid w:val="00BA2A4D"/>
    <w:rsid w:val="00BA310C"/>
    <w:rsid w:val="00BA32E0"/>
    <w:rsid w:val="00BA3F37"/>
    <w:rsid w:val="00BA4843"/>
    <w:rsid w:val="00BA592F"/>
    <w:rsid w:val="00BA5A70"/>
    <w:rsid w:val="00BA5D4C"/>
    <w:rsid w:val="00BA683B"/>
    <w:rsid w:val="00BB08AB"/>
    <w:rsid w:val="00BB1DBC"/>
    <w:rsid w:val="00BB2C7D"/>
    <w:rsid w:val="00BB33A0"/>
    <w:rsid w:val="00BB388B"/>
    <w:rsid w:val="00BB4B1F"/>
    <w:rsid w:val="00BB6B40"/>
    <w:rsid w:val="00BB7230"/>
    <w:rsid w:val="00BB7869"/>
    <w:rsid w:val="00BC16D1"/>
    <w:rsid w:val="00BC209C"/>
    <w:rsid w:val="00BC2C68"/>
    <w:rsid w:val="00BC4F84"/>
    <w:rsid w:val="00BC5019"/>
    <w:rsid w:val="00BC5AC9"/>
    <w:rsid w:val="00BC5CBA"/>
    <w:rsid w:val="00BC5D14"/>
    <w:rsid w:val="00BD136A"/>
    <w:rsid w:val="00BD1CBC"/>
    <w:rsid w:val="00BD22D7"/>
    <w:rsid w:val="00BD3391"/>
    <w:rsid w:val="00BD7366"/>
    <w:rsid w:val="00BD7C03"/>
    <w:rsid w:val="00BD7C23"/>
    <w:rsid w:val="00BD7D84"/>
    <w:rsid w:val="00BE0700"/>
    <w:rsid w:val="00BE0A60"/>
    <w:rsid w:val="00BE0DBE"/>
    <w:rsid w:val="00BE16E6"/>
    <w:rsid w:val="00BE224D"/>
    <w:rsid w:val="00BE58D4"/>
    <w:rsid w:val="00BE6161"/>
    <w:rsid w:val="00BE76AC"/>
    <w:rsid w:val="00BF048C"/>
    <w:rsid w:val="00BF329E"/>
    <w:rsid w:val="00BF3D06"/>
    <w:rsid w:val="00BF478E"/>
    <w:rsid w:val="00C01C71"/>
    <w:rsid w:val="00C01E74"/>
    <w:rsid w:val="00C026DB"/>
    <w:rsid w:val="00C028F0"/>
    <w:rsid w:val="00C02F77"/>
    <w:rsid w:val="00C0367B"/>
    <w:rsid w:val="00C10B68"/>
    <w:rsid w:val="00C1426E"/>
    <w:rsid w:val="00C14643"/>
    <w:rsid w:val="00C15324"/>
    <w:rsid w:val="00C162AD"/>
    <w:rsid w:val="00C168AD"/>
    <w:rsid w:val="00C16D23"/>
    <w:rsid w:val="00C17942"/>
    <w:rsid w:val="00C202A8"/>
    <w:rsid w:val="00C2030F"/>
    <w:rsid w:val="00C23009"/>
    <w:rsid w:val="00C244CC"/>
    <w:rsid w:val="00C2522B"/>
    <w:rsid w:val="00C25615"/>
    <w:rsid w:val="00C27EE6"/>
    <w:rsid w:val="00C30077"/>
    <w:rsid w:val="00C309C3"/>
    <w:rsid w:val="00C3236E"/>
    <w:rsid w:val="00C32712"/>
    <w:rsid w:val="00C32AA1"/>
    <w:rsid w:val="00C33880"/>
    <w:rsid w:val="00C33D9B"/>
    <w:rsid w:val="00C34A90"/>
    <w:rsid w:val="00C34DD9"/>
    <w:rsid w:val="00C378EC"/>
    <w:rsid w:val="00C44D74"/>
    <w:rsid w:val="00C451D8"/>
    <w:rsid w:val="00C46F55"/>
    <w:rsid w:val="00C47F6E"/>
    <w:rsid w:val="00C506A9"/>
    <w:rsid w:val="00C50C4B"/>
    <w:rsid w:val="00C50DF5"/>
    <w:rsid w:val="00C50E5B"/>
    <w:rsid w:val="00C54A62"/>
    <w:rsid w:val="00C54DFC"/>
    <w:rsid w:val="00C55186"/>
    <w:rsid w:val="00C56CCD"/>
    <w:rsid w:val="00C602AB"/>
    <w:rsid w:val="00C60755"/>
    <w:rsid w:val="00C60B7D"/>
    <w:rsid w:val="00C616D4"/>
    <w:rsid w:val="00C64AA4"/>
    <w:rsid w:val="00C64B11"/>
    <w:rsid w:val="00C65036"/>
    <w:rsid w:val="00C67092"/>
    <w:rsid w:val="00C67385"/>
    <w:rsid w:val="00C678E2"/>
    <w:rsid w:val="00C67C86"/>
    <w:rsid w:val="00C67E70"/>
    <w:rsid w:val="00C70C68"/>
    <w:rsid w:val="00C7389F"/>
    <w:rsid w:val="00C75C2B"/>
    <w:rsid w:val="00C76B30"/>
    <w:rsid w:val="00C81506"/>
    <w:rsid w:val="00C82C48"/>
    <w:rsid w:val="00C82F66"/>
    <w:rsid w:val="00C83EB4"/>
    <w:rsid w:val="00C86067"/>
    <w:rsid w:val="00C90E2F"/>
    <w:rsid w:val="00C9233B"/>
    <w:rsid w:val="00C94ED0"/>
    <w:rsid w:val="00C95CA9"/>
    <w:rsid w:val="00C95F82"/>
    <w:rsid w:val="00C96E73"/>
    <w:rsid w:val="00C973CA"/>
    <w:rsid w:val="00CA0B15"/>
    <w:rsid w:val="00CA0CF0"/>
    <w:rsid w:val="00CA1A68"/>
    <w:rsid w:val="00CA1E4E"/>
    <w:rsid w:val="00CA4E1D"/>
    <w:rsid w:val="00CA50E6"/>
    <w:rsid w:val="00CA547A"/>
    <w:rsid w:val="00CA73E5"/>
    <w:rsid w:val="00CB1B20"/>
    <w:rsid w:val="00CB236B"/>
    <w:rsid w:val="00CB390D"/>
    <w:rsid w:val="00CB52CD"/>
    <w:rsid w:val="00CB6358"/>
    <w:rsid w:val="00CB6975"/>
    <w:rsid w:val="00CB7A5E"/>
    <w:rsid w:val="00CC1412"/>
    <w:rsid w:val="00CC1E66"/>
    <w:rsid w:val="00CC1F14"/>
    <w:rsid w:val="00CC330A"/>
    <w:rsid w:val="00CC5E07"/>
    <w:rsid w:val="00CC6063"/>
    <w:rsid w:val="00CC7B77"/>
    <w:rsid w:val="00CC7E5A"/>
    <w:rsid w:val="00CC7EB1"/>
    <w:rsid w:val="00CD0064"/>
    <w:rsid w:val="00CD336E"/>
    <w:rsid w:val="00CD39DE"/>
    <w:rsid w:val="00CD4EFF"/>
    <w:rsid w:val="00CD558B"/>
    <w:rsid w:val="00CE1D30"/>
    <w:rsid w:val="00CE26CA"/>
    <w:rsid w:val="00CE287B"/>
    <w:rsid w:val="00CE4165"/>
    <w:rsid w:val="00CE4317"/>
    <w:rsid w:val="00CE718B"/>
    <w:rsid w:val="00CF0C95"/>
    <w:rsid w:val="00CF0ECF"/>
    <w:rsid w:val="00CF1C44"/>
    <w:rsid w:val="00CF360C"/>
    <w:rsid w:val="00CF3EEB"/>
    <w:rsid w:val="00CF4D69"/>
    <w:rsid w:val="00CF56D1"/>
    <w:rsid w:val="00CF70FC"/>
    <w:rsid w:val="00D028F2"/>
    <w:rsid w:val="00D02EF7"/>
    <w:rsid w:val="00D03FBA"/>
    <w:rsid w:val="00D04D78"/>
    <w:rsid w:val="00D06057"/>
    <w:rsid w:val="00D0610B"/>
    <w:rsid w:val="00D0624D"/>
    <w:rsid w:val="00D10ABE"/>
    <w:rsid w:val="00D13227"/>
    <w:rsid w:val="00D13A3D"/>
    <w:rsid w:val="00D14A30"/>
    <w:rsid w:val="00D1700B"/>
    <w:rsid w:val="00D213A8"/>
    <w:rsid w:val="00D2356D"/>
    <w:rsid w:val="00D26720"/>
    <w:rsid w:val="00D270DC"/>
    <w:rsid w:val="00D273DC"/>
    <w:rsid w:val="00D30505"/>
    <w:rsid w:val="00D30717"/>
    <w:rsid w:val="00D309E0"/>
    <w:rsid w:val="00D32364"/>
    <w:rsid w:val="00D33516"/>
    <w:rsid w:val="00D34974"/>
    <w:rsid w:val="00D35650"/>
    <w:rsid w:val="00D36E3D"/>
    <w:rsid w:val="00D370B6"/>
    <w:rsid w:val="00D40EAC"/>
    <w:rsid w:val="00D411FD"/>
    <w:rsid w:val="00D45B74"/>
    <w:rsid w:val="00D45CA0"/>
    <w:rsid w:val="00D5165B"/>
    <w:rsid w:val="00D53947"/>
    <w:rsid w:val="00D53DB4"/>
    <w:rsid w:val="00D5457E"/>
    <w:rsid w:val="00D54AB3"/>
    <w:rsid w:val="00D5752C"/>
    <w:rsid w:val="00D6153B"/>
    <w:rsid w:val="00D6199F"/>
    <w:rsid w:val="00D61CCC"/>
    <w:rsid w:val="00D61E0D"/>
    <w:rsid w:val="00D65269"/>
    <w:rsid w:val="00D66501"/>
    <w:rsid w:val="00D70120"/>
    <w:rsid w:val="00D715EA"/>
    <w:rsid w:val="00D71776"/>
    <w:rsid w:val="00D71C4F"/>
    <w:rsid w:val="00D71F69"/>
    <w:rsid w:val="00D72053"/>
    <w:rsid w:val="00D729B0"/>
    <w:rsid w:val="00D73C64"/>
    <w:rsid w:val="00D7420F"/>
    <w:rsid w:val="00D74488"/>
    <w:rsid w:val="00D744ED"/>
    <w:rsid w:val="00D75534"/>
    <w:rsid w:val="00D75565"/>
    <w:rsid w:val="00D76EFE"/>
    <w:rsid w:val="00D76F74"/>
    <w:rsid w:val="00D811D4"/>
    <w:rsid w:val="00D8136A"/>
    <w:rsid w:val="00D83716"/>
    <w:rsid w:val="00D83C51"/>
    <w:rsid w:val="00D84F90"/>
    <w:rsid w:val="00D86D56"/>
    <w:rsid w:val="00D8742F"/>
    <w:rsid w:val="00D874DC"/>
    <w:rsid w:val="00D87744"/>
    <w:rsid w:val="00D90F8D"/>
    <w:rsid w:val="00D93206"/>
    <w:rsid w:val="00D94A96"/>
    <w:rsid w:val="00D94DFF"/>
    <w:rsid w:val="00D97D7A"/>
    <w:rsid w:val="00D97DE3"/>
    <w:rsid w:val="00DA085E"/>
    <w:rsid w:val="00DA1EBC"/>
    <w:rsid w:val="00DA1FAE"/>
    <w:rsid w:val="00DA2008"/>
    <w:rsid w:val="00DA2E85"/>
    <w:rsid w:val="00DA5638"/>
    <w:rsid w:val="00DA5C96"/>
    <w:rsid w:val="00DA5EFA"/>
    <w:rsid w:val="00DB11A3"/>
    <w:rsid w:val="00DB1CAA"/>
    <w:rsid w:val="00DB2A18"/>
    <w:rsid w:val="00DB2D92"/>
    <w:rsid w:val="00DB552A"/>
    <w:rsid w:val="00DB6D93"/>
    <w:rsid w:val="00DB774B"/>
    <w:rsid w:val="00DC05F3"/>
    <w:rsid w:val="00DC0CAE"/>
    <w:rsid w:val="00DC17E5"/>
    <w:rsid w:val="00DC1908"/>
    <w:rsid w:val="00DC4826"/>
    <w:rsid w:val="00DC4B14"/>
    <w:rsid w:val="00DC6FF2"/>
    <w:rsid w:val="00DD02CB"/>
    <w:rsid w:val="00DD0327"/>
    <w:rsid w:val="00DD0963"/>
    <w:rsid w:val="00DD17F6"/>
    <w:rsid w:val="00DD1C80"/>
    <w:rsid w:val="00DD2577"/>
    <w:rsid w:val="00DD277E"/>
    <w:rsid w:val="00DD3586"/>
    <w:rsid w:val="00DD4F96"/>
    <w:rsid w:val="00DD51A6"/>
    <w:rsid w:val="00DD68C9"/>
    <w:rsid w:val="00DE3828"/>
    <w:rsid w:val="00DE5A11"/>
    <w:rsid w:val="00DE625E"/>
    <w:rsid w:val="00DE7D3E"/>
    <w:rsid w:val="00DF04FD"/>
    <w:rsid w:val="00DF0EB6"/>
    <w:rsid w:val="00DF127A"/>
    <w:rsid w:val="00DF13F5"/>
    <w:rsid w:val="00DF17E4"/>
    <w:rsid w:val="00DF257A"/>
    <w:rsid w:val="00DF2BBB"/>
    <w:rsid w:val="00DF4636"/>
    <w:rsid w:val="00DF4A58"/>
    <w:rsid w:val="00DF4F86"/>
    <w:rsid w:val="00DF5B24"/>
    <w:rsid w:val="00DF60F8"/>
    <w:rsid w:val="00DF6705"/>
    <w:rsid w:val="00DF689B"/>
    <w:rsid w:val="00DF6EF7"/>
    <w:rsid w:val="00E02911"/>
    <w:rsid w:val="00E033D6"/>
    <w:rsid w:val="00E03DCF"/>
    <w:rsid w:val="00E0441B"/>
    <w:rsid w:val="00E046B5"/>
    <w:rsid w:val="00E04BF3"/>
    <w:rsid w:val="00E07107"/>
    <w:rsid w:val="00E11F23"/>
    <w:rsid w:val="00E12300"/>
    <w:rsid w:val="00E13DB2"/>
    <w:rsid w:val="00E14641"/>
    <w:rsid w:val="00E16328"/>
    <w:rsid w:val="00E163EC"/>
    <w:rsid w:val="00E21CA4"/>
    <w:rsid w:val="00E21ED0"/>
    <w:rsid w:val="00E23C7B"/>
    <w:rsid w:val="00E246C5"/>
    <w:rsid w:val="00E26AE0"/>
    <w:rsid w:val="00E274E5"/>
    <w:rsid w:val="00E2780C"/>
    <w:rsid w:val="00E27CEF"/>
    <w:rsid w:val="00E31ACF"/>
    <w:rsid w:val="00E31D9E"/>
    <w:rsid w:val="00E322E2"/>
    <w:rsid w:val="00E32EF3"/>
    <w:rsid w:val="00E33F21"/>
    <w:rsid w:val="00E35E25"/>
    <w:rsid w:val="00E364FF"/>
    <w:rsid w:val="00E373B5"/>
    <w:rsid w:val="00E42DBB"/>
    <w:rsid w:val="00E435DD"/>
    <w:rsid w:val="00E443B6"/>
    <w:rsid w:val="00E444A6"/>
    <w:rsid w:val="00E45C49"/>
    <w:rsid w:val="00E45DCA"/>
    <w:rsid w:val="00E46746"/>
    <w:rsid w:val="00E468FB"/>
    <w:rsid w:val="00E46DAF"/>
    <w:rsid w:val="00E47C57"/>
    <w:rsid w:val="00E47C87"/>
    <w:rsid w:val="00E47E62"/>
    <w:rsid w:val="00E51CE6"/>
    <w:rsid w:val="00E53769"/>
    <w:rsid w:val="00E56521"/>
    <w:rsid w:val="00E56532"/>
    <w:rsid w:val="00E5787A"/>
    <w:rsid w:val="00E601E2"/>
    <w:rsid w:val="00E60361"/>
    <w:rsid w:val="00E60E86"/>
    <w:rsid w:val="00E61ABF"/>
    <w:rsid w:val="00E630D6"/>
    <w:rsid w:val="00E635F8"/>
    <w:rsid w:val="00E63CB7"/>
    <w:rsid w:val="00E645F0"/>
    <w:rsid w:val="00E64ACD"/>
    <w:rsid w:val="00E65D52"/>
    <w:rsid w:val="00E6622A"/>
    <w:rsid w:val="00E71357"/>
    <w:rsid w:val="00E740DE"/>
    <w:rsid w:val="00E76AA6"/>
    <w:rsid w:val="00E777C1"/>
    <w:rsid w:val="00E80388"/>
    <w:rsid w:val="00E81430"/>
    <w:rsid w:val="00E81762"/>
    <w:rsid w:val="00E82B5D"/>
    <w:rsid w:val="00E836D9"/>
    <w:rsid w:val="00E839E2"/>
    <w:rsid w:val="00E83CA6"/>
    <w:rsid w:val="00E84775"/>
    <w:rsid w:val="00E85845"/>
    <w:rsid w:val="00E85B40"/>
    <w:rsid w:val="00E85BBF"/>
    <w:rsid w:val="00E85C75"/>
    <w:rsid w:val="00E86A05"/>
    <w:rsid w:val="00E87E77"/>
    <w:rsid w:val="00E9361D"/>
    <w:rsid w:val="00E95984"/>
    <w:rsid w:val="00E962CC"/>
    <w:rsid w:val="00E971B9"/>
    <w:rsid w:val="00EA0AEC"/>
    <w:rsid w:val="00EA1117"/>
    <w:rsid w:val="00EA1FC4"/>
    <w:rsid w:val="00EA25F7"/>
    <w:rsid w:val="00EA30E7"/>
    <w:rsid w:val="00EA36D0"/>
    <w:rsid w:val="00EA4B3E"/>
    <w:rsid w:val="00EA57F4"/>
    <w:rsid w:val="00EA6014"/>
    <w:rsid w:val="00EA6031"/>
    <w:rsid w:val="00EA68A5"/>
    <w:rsid w:val="00EA704F"/>
    <w:rsid w:val="00EB0436"/>
    <w:rsid w:val="00EB21C9"/>
    <w:rsid w:val="00EB27FE"/>
    <w:rsid w:val="00EB2D82"/>
    <w:rsid w:val="00EB4400"/>
    <w:rsid w:val="00EB4C32"/>
    <w:rsid w:val="00EB4D5F"/>
    <w:rsid w:val="00EB4F1D"/>
    <w:rsid w:val="00EB5BCD"/>
    <w:rsid w:val="00EB6080"/>
    <w:rsid w:val="00EB7E81"/>
    <w:rsid w:val="00EC250A"/>
    <w:rsid w:val="00EC2A25"/>
    <w:rsid w:val="00EC2B64"/>
    <w:rsid w:val="00EC2C3D"/>
    <w:rsid w:val="00EC356F"/>
    <w:rsid w:val="00EC3B74"/>
    <w:rsid w:val="00EC5212"/>
    <w:rsid w:val="00EC56F8"/>
    <w:rsid w:val="00EC57BA"/>
    <w:rsid w:val="00EC57F8"/>
    <w:rsid w:val="00EC70D2"/>
    <w:rsid w:val="00EC7158"/>
    <w:rsid w:val="00EC7741"/>
    <w:rsid w:val="00EC7D03"/>
    <w:rsid w:val="00ED21F0"/>
    <w:rsid w:val="00ED24C4"/>
    <w:rsid w:val="00ED2DFD"/>
    <w:rsid w:val="00ED38B0"/>
    <w:rsid w:val="00ED454E"/>
    <w:rsid w:val="00ED5BD6"/>
    <w:rsid w:val="00ED61DD"/>
    <w:rsid w:val="00ED64BD"/>
    <w:rsid w:val="00EE1C44"/>
    <w:rsid w:val="00EE2536"/>
    <w:rsid w:val="00EE26F1"/>
    <w:rsid w:val="00EE3F6C"/>
    <w:rsid w:val="00EE52A2"/>
    <w:rsid w:val="00EE72B8"/>
    <w:rsid w:val="00EE78E3"/>
    <w:rsid w:val="00EF0AC7"/>
    <w:rsid w:val="00EF1238"/>
    <w:rsid w:val="00EF1931"/>
    <w:rsid w:val="00EF3913"/>
    <w:rsid w:val="00EF3CF4"/>
    <w:rsid w:val="00EF49DC"/>
    <w:rsid w:val="00EF6D6D"/>
    <w:rsid w:val="00EF76CC"/>
    <w:rsid w:val="00EF7D30"/>
    <w:rsid w:val="00F009F3"/>
    <w:rsid w:val="00F0101F"/>
    <w:rsid w:val="00F0108E"/>
    <w:rsid w:val="00F03125"/>
    <w:rsid w:val="00F03463"/>
    <w:rsid w:val="00F036E2"/>
    <w:rsid w:val="00F03784"/>
    <w:rsid w:val="00F03EC3"/>
    <w:rsid w:val="00F10C67"/>
    <w:rsid w:val="00F12970"/>
    <w:rsid w:val="00F136FC"/>
    <w:rsid w:val="00F13AC5"/>
    <w:rsid w:val="00F13ADE"/>
    <w:rsid w:val="00F13D62"/>
    <w:rsid w:val="00F141DB"/>
    <w:rsid w:val="00F147D4"/>
    <w:rsid w:val="00F14A23"/>
    <w:rsid w:val="00F161B6"/>
    <w:rsid w:val="00F16532"/>
    <w:rsid w:val="00F171F1"/>
    <w:rsid w:val="00F17FA8"/>
    <w:rsid w:val="00F22288"/>
    <w:rsid w:val="00F22732"/>
    <w:rsid w:val="00F22BCC"/>
    <w:rsid w:val="00F23280"/>
    <w:rsid w:val="00F2396E"/>
    <w:rsid w:val="00F23BB2"/>
    <w:rsid w:val="00F243D6"/>
    <w:rsid w:val="00F24767"/>
    <w:rsid w:val="00F24824"/>
    <w:rsid w:val="00F24852"/>
    <w:rsid w:val="00F26069"/>
    <w:rsid w:val="00F26468"/>
    <w:rsid w:val="00F26658"/>
    <w:rsid w:val="00F26874"/>
    <w:rsid w:val="00F27D39"/>
    <w:rsid w:val="00F319A6"/>
    <w:rsid w:val="00F323C1"/>
    <w:rsid w:val="00F3267D"/>
    <w:rsid w:val="00F327FE"/>
    <w:rsid w:val="00F32B44"/>
    <w:rsid w:val="00F3348A"/>
    <w:rsid w:val="00F37339"/>
    <w:rsid w:val="00F37CB7"/>
    <w:rsid w:val="00F40FBA"/>
    <w:rsid w:val="00F42999"/>
    <w:rsid w:val="00F42C34"/>
    <w:rsid w:val="00F44644"/>
    <w:rsid w:val="00F46D43"/>
    <w:rsid w:val="00F4731A"/>
    <w:rsid w:val="00F47DB0"/>
    <w:rsid w:val="00F500EA"/>
    <w:rsid w:val="00F5099C"/>
    <w:rsid w:val="00F50C02"/>
    <w:rsid w:val="00F51F3E"/>
    <w:rsid w:val="00F526D0"/>
    <w:rsid w:val="00F52D45"/>
    <w:rsid w:val="00F53A09"/>
    <w:rsid w:val="00F55F8C"/>
    <w:rsid w:val="00F5713C"/>
    <w:rsid w:val="00F5744B"/>
    <w:rsid w:val="00F60893"/>
    <w:rsid w:val="00F60D7E"/>
    <w:rsid w:val="00F615C9"/>
    <w:rsid w:val="00F62A9A"/>
    <w:rsid w:val="00F62EE3"/>
    <w:rsid w:val="00F63672"/>
    <w:rsid w:val="00F63FB6"/>
    <w:rsid w:val="00F64942"/>
    <w:rsid w:val="00F65405"/>
    <w:rsid w:val="00F7022F"/>
    <w:rsid w:val="00F70A41"/>
    <w:rsid w:val="00F7256B"/>
    <w:rsid w:val="00F746BE"/>
    <w:rsid w:val="00F74F6D"/>
    <w:rsid w:val="00F75772"/>
    <w:rsid w:val="00F75899"/>
    <w:rsid w:val="00F76102"/>
    <w:rsid w:val="00F77307"/>
    <w:rsid w:val="00F77FED"/>
    <w:rsid w:val="00F80182"/>
    <w:rsid w:val="00F80CC0"/>
    <w:rsid w:val="00F80E4D"/>
    <w:rsid w:val="00F8109C"/>
    <w:rsid w:val="00F8162A"/>
    <w:rsid w:val="00F81D36"/>
    <w:rsid w:val="00F81DF6"/>
    <w:rsid w:val="00F837C5"/>
    <w:rsid w:val="00F83F85"/>
    <w:rsid w:val="00F85837"/>
    <w:rsid w:val="00F868A1"/>
    <w:rsid w:val="00F90191"/>
    <w:rsid w:val="00F90C04"/>
    <w:rsid w:val="00F90F65"/>
    <w:rsid w:val="00F9226A"/>
    <w:rsid w:val="00F92589"/>
    <w:rsid w:val="00F92F1C"/>
    <w:rsid w:val="00F945E4"/>
    <w:rsid w:val="00F94794"/>
    <w:rsid w:val="00F94E59"/>
    <w:rsid w:val="00F9668A"/>
    <w:rsid w:val="00F96E6F"/>
    <w:rsid w:val="00F97160"/>
    <w:rsid w:val="00F973CF"/>
    <w:rsid w:val="00F97444"/>
    <w:rsid w:val="00F9798D"/>
    <w:rsid w:val="00FA1C27"/>
    <w:rsid w:val="00FA23CA"/>
    <w:rsid w:val="00FA3748"/>
    <w:rsid w:val="00FA4AF2"/>
    <w:rsid w:val="00FA5BF6"/>
    <w:rsid w:val="00FA6A2A"/>
    <w:rsid w:val="00FA74A0"/>
    <w:rsid w:val="00FB0960"/>
    <w:rsid w:val="00FB205C"/>
    <w:rsid w:val="00FB3EDC"/>
    <w:rsid w:val="00FB418E"/>
    <w:rsid w:val="00FB455E"/>
    <w:rsid w:val="00FB5A4A"/>
    <w:rsid w:val="00FB676C"/>
    <w:rsid w:val="00FB6B52"/>
    <w:rsid w:val="00FC0B75"/>
    <w:rsid w:val="00FC1F37"/>
    <w:rsid w:val="00FC3504"/>
    <w:rsid w:val="00FC4748"/>
    <w:rsid w:val="00FC5C51"/>
    <w:rsid w:val="00FC680C"/>
    <w:rsid w:val="00FC6986"/>
    <w:rsid w:val="00FC6C8C"/>
    <w:rsid w:val="00FC73D2"/>
    <w:rsid w:val="00FC74D5"/>
    <w:rsid w:val="00FD0BD7"/>
    <w:rsid w:val="00FD2DE7"/>
    <w:rsid w:val="00FD3626"/>
    <w:rsid w:val="00FD3D4A"/>
    <w:rsid w:val="00FD4EF7"/>
    <w:rsid w:val="00FD5236"/>
    <w:rsid w:val="00FD776F"/>
    <w:rsid w:val="00FE011B"/>
    <w:rsid w:val="00FE668F"/>
    <w:rsid w:val="00FE7FA7"/>
    <w:rsid w:val="00FF10A3"/>
    <w:rsid w:val="00FF1796"/>
    <w:rsid w:val="00FF2DF8"/>
    <w:rsid w:val="00FF2EB5"/>
    <w:rsid w:val="00FF3349"/>
    <w:rsid w:val="00FF3EE7"/>
    <w:rsid w:val="00FF5D17"/>
    <w:rsid w:val="00FF71B7"/>
    <w:rsid w:val="00FF726D"/>
    <w:rsid w:val="00FF79FC"/>
    <w:rsid w:val="00FF7BB2"/>
    <w:rsid w:val="1175FAD6"/>
    <w:rsid w:val="1F99F440"/>
    <w:rsid w:val="28686756"/>
    <w:rsid w:val="2F080A9C"/>
    <w:rsid w:val="499FAB42"/>
    <w:rsid w:val="5A7C8394"/>
    <w:rsid w:val="6A37D9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E49929"/>
  <w15:chartTrackingRefBased/>
  <w15:docId w15:val="{2FE6D7D9-5481-4FED-97E5-97DE4DA6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Number" w:uiPriority="99"/>
    <w:lsdException w:name="Title" w:qFormat="1"/>
    <w:lsdException w:name="Default Paragraph Font" w:uiPriority="1"/>
    <w:lsdException w:name="Body Text" w:qFormat="1"/>
    <w:lsdException w:name="Body Text Indent" w:qFormat="1"/>
    <w:lsdException w:name="Hyperlink" w:uiPriority="99"/>
    <w:lsdException w:name="FollowedHyperlink" w:uiPriority="99"/>
    <w:lsdException w:name="Strong" w:uiPriority="22"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319A6"/>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E13DB2"/>
    <w:pPr>
      <w:keepNext/>
      <w:keepLines/>
      <w:numPr>
        <w:numId w:val="12"/>
      </w:numPr>
      <w:spacing w:before="240" w:after="240"/>
      <w:outlineLvl w:val="0"/>
    </w:pPr>
    <w:rPr>
      <w:rFonts w:ascii="Times New Roman Bold" w:hAnsi="Times New Roman Bold" w:eastAsiaTheme="majorEastAsia" w:cstheme="majorBidi"/>
      <w:b/>
      <w:caps/>
      <w:szCs w:val="32"/>
    </w:rPr>
  </w:style>
  <w:style w:type="paragraph" w:styleId="Heading2">
    <w:name w:val="heading 2"/>
    <w:basedOn w:val="Normal"/>
    <w:next w:val="Normal"/>
    <w:link w:val="Heading2Char"/>
    <w:uiPriority w:val="9"/>
    <w:qFormat/>
    <w:rsid w:val="007B333B"/>
    <w:pPr>
      <w:keepNext/>
      <w:numPr>
        <w:ilvl w:val="1"/>
        <w:numId w:val="12"/>
      </w:numPr>
      <w:tabs>
        <w:tab w:val="left" w:pos="0"/>
      </w:tabs>
      <w:spacing w:before="240" w:after="240"/>
      <w:jc w:val="both"/>
      <w:outlineLvl w:val="1"/>
    </w:pPr>
    <w:rPr>
      <w:b/>
    </w:rPr>
  </w:style>
  <w:style w:type="paragraph" w:styleId="Heading3">
    <w:name w:val="heading 3"/>
    <w:basedOn w:val="Normal"/>
    <w:next w:val="Normal"/>
    <w:link w:val="Heading3Char"/>
    <w:uiPriority w:val="9"/>
    <w:unhideWhenUsed/>
    <w:qFormat/>
    <w:rsid w:val="005611D0"/>
    <w:pPr>
      <w:keepNext/>
      <w:keepLines/>
      <w:numPr>
        <w:ilvl w:val="2"/>
        <w:numId w:val="12"/>
      </w:numPr>
      <w:spacing w:before="240" w:after="240"/>
      <w:outlineLvl w:val="2"/>
    </w:pPr>
    <w:rPr>
      <w:rFonts w:eastAsiaTheme="majorEastAsia" w:cstheme="majorBidi"/>
      <w:b/>
    </w:rPr>
  </w:style>
  <w:style w:type="paragraph" w:styleId="Heading4">
    <w:name w:val="heading 4"/>
    <w:basedOn w:val="Normal"/>
    <w:next w:val="Normal"/>
    <w:link w:val="Heading4Char"/>
    <w:unhideWhenUsed/>
    <w:qFormat/>
    <w:rsid w:val="00967CC3"/>
    <w:pPr>
      <w:keepNext/>
      <w:keepLines/>
      <w:numPr>
        <w:ilvl w:val="3"/>
        <w:numId w:val="12"/>
      </w:numPr>
      <w:spacing w:before="240" w:after="2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91C29"/>
  </w:style>
  <w:style w:type="paragraph" w:styleId="BalloonText">
    <w:name w:val="Balloon Text"/>
    <w:basedOn w:val="Normal"/>
    <w:semiHidden/>
    <w:rsid w:val="00A91C29"/>
    <w:rPr>
      <w:rFonts w:ascii="Tahoma" w:hAnsi="Tahoma" w:cs="Tahoma"/>
      <w:sz w:val="16"/>
      <w:szCs w:val="16"/>
    </w:rPr>
  </w:style>
  <w:style w:type="character" w:customStyle="1" w:styleId="blueten1">
    <w:name w:val="blueten1"/>
    <w:rsid w:val="00A91C29"/>
    <w:rPr>
      <w:rFonts w:ascii="Verdana" w:hAnsi="Verdana" w:hint="default"/>
      <w:color w:val="003399"/>
      <w:sz w:val="19"/>
      <w:szCs w:val="19"/>
    </w:rPr>
  </w:style>
  <w:style w:type="paragraph" w:styleId="Header">
    <w:name w:val="header"/>
    <w:basedOn w:val="Normal"/>
    <w:rsid w:val="00A91C29"/>
    <w:pPr>
      <w:tabs>
        <w:tab w:val="center" w:pos="4320"/>
        <w:tab w:val="right" w:pos="8640"/>
      </w:tabs>
    </w:pPr>
  </w:style>
  <w:style w:type="paragraph" w:styleId="Footer">
    <w:name w:val="footer"/>
    <w:basedOn w:val="Normal"/>
    <w:rsid w:val="00A91C29"/>
    <w:pPr>
      <w:tabs>
        <w:tab w:val="center" w:pos="4320"/>
        <w:tab w:val="right" w:pos="8640"/>
      </w:tabs>
    </w:pPr>
  </w:style>
  <w:style w:type="character" w:customStyle="1" w:styleId="Hypertext">
    <w:name w:val="Hypertext"/>
    <w:rsid w:val="00A91C29"/>
    <w:rPr>
      <w:color w:val="0000FF"/>
      <w:u w:val="single"/>
    </w:rPr>
  </w:style>
  <w:style w:type="paragraph" w:styleId="DocumentMap">
    <w:name w:val="Document Map"/>
    <w:basedOn w:val="Normal"/>
    <w:semiHidden/>
    <w:rsid w:val="00A91C29"/>
    <w:pPr>
      <w:shd w:val="clear" w:color="auto" w:fill="000080"/>
    </w:pPr>
    <w:rPr>
      <w:rFonts w:ascii="Tahoma" w:hAnsi="Tahoma" w:cs="Tahoma"/>
      <w:sz w:val="20"/>
      <w:szCs w:val="20"/>
    </w:rPr>
  </w:style>
  <w:style w:type="character" w:styleId="Hyperlink">
    <w:name w:val="Hyperlink"/>
    <w:uiPriority w:val="99"/>
    <w:rsid w:val="00A91C29"/>
    <w:rPr>
      <w:color w:val="003399"/>
      <w:u w:val="single"/>
    </w:rPr>
  </w:style>
  <w:style w:type="paragraph" w:styleId="FootnoteText">
    <w:name w:val="footnote text"/>
    <w:basedOn w:val="Normal"/>
    <w:link w:val="FootnoteTextChar"/>
    <w:uiPriority w:val="99"/>
    <w:semiHidden/>
    <w:rsid w:val="00A91C29"/>
    <w:rPr>
      <w:sz w:val="20"/>
      <w:szCs w:val="20"/>
    </w:rPr>
  </w:style>
  <w:style w:type="character" w:styleId="FollowedHyperlink">
    <w:name w:val="FollowedHyperlink"/>
    <w:uiPriority w:val="99"/>
    <w:rsid w:val="00A91C29"/>
    <w:rPr>
      <w:color w:val="606420"/>
      <w:u w:val="single"/>
    </w:rPr>
  </w:style>
  <w:style w:type="paragraph" w:styleId="NormalWeb">
    <w:name w:val="Normal (Web)"/>
    <w:basedOn w:val="Normal"/>
    <w:uiPriority w:val="99"/>
    <w:rsid w:val="006A346D"/>
    <w:pPr>
      <w:widowControl/>
      <w:autoSpaceDE/>
      <w:autoSpaceDN/>
      <w:adjustRightInd/>
      <w:spacing w:before="100" w:beforeAutospacing="1" w:after="100" w:afterAutospacing="1"/>
    </w:pPr>
  </w:style>
  <w:style w:type="character" w:styleId="PageNumber">
    <w:name w:val="page number"/>
    <w:basedOn w:val="DefaultParagraphFont"/>
    <w:rsid w:val="00FF3EE7"/>
  </w:style>
  <w:style w:type="character" w:styleId="CommentReference">
    <w:name w:val="annotation reference"/>
    <w:rsid w:val="000A4439"/>
    <w:rPr>
      <w:sz w:val="16"/>
      <w:szCs w:val="16"/>
    </w:rPr>
  </w:style>
  <w:style w:type="paragraph" w:styleId="CommentText">
    <w:name w:val="annotation text"/>
    <w:basedOn w:val="Normal"/>
    <w:link w:val="CommentTextChar"/>
    <w:rsid w:val="000A4439"/>
    <w:rPr>
      <w:sz w:val="20"/>
      <w:szCs w:val="20"/>
    </w:rPr>
  </w:style>
  <w:style w:type="character" w:customStyle="1" w:styleId="CommentTextChar">
    <w:name w:val="Comment Text Char"/>
    <w:basedOn w:val="DefaultParagraphFont"/>
    <w:link w:val="CommentText"/>
    <w:rsid w:val="000A4439"/>
  </w:style>
  <w:style w:type="paragraph" w:styleId="CommentSubject">
    <w:name w:val="annotation subject"/>
    <w:basedOn w:val="CommentText"/>
    <w:next w:val="CommentText"/>
    <w:link w:val="CommentSubjectChar"/>
    <w:rsid w:val="000A4439"/>
    <w:rPr>
      <w:b/>
      <w:bCs/>
      <w:lang w:val="x-none" w:eastAsia="x-none"/>
    </w:rPr>
  </w:style>
  <w:style w:type="character" w:customStyle="1" w:styleId="CommentSubjectChar">
    <w:name w:val="Comment Subject Char"/>
    <w:link w:val="CommentSubject"/>
    <w:rsid w:val="000A4439"/>
    <w:rPr>
      <w:b/>
      <w:bCs/>
    </w:rPr>
  </w:style>
  <w:style w:type="character" w:styleId="Strong">
    <w:name w:val="Strong"/>
    <w:uiPriority w:val="22"/>
    <w:qFormat/>
    <w:rsid w:val="000C21AB"/>
    <w:rPr>
      <w:b/>
      <w:bCs/>
    </w:rPr>
  </w:style>
  <w:style w:type="paragraph" w:customStyle="1" w:styleId="ColorfulShading-Accent11">
    <w:name w:val="Colorful Shading - Accent 11"/>
    <w:hidden/>
    <w:uiPriority w:val="99"/>
    <w:semiHidden/>
    <w:rsid w:val="00243956"/>
    <w:rPr>
      <w:sz w:val="24"/>
      <w:szCs w:val="24"/>
    </w:rPr>
  </w:style>
  <w:style w:type="character" w:customStyle="1" w:styleId="FootnoteTextChar">
    <w:name w:val="Footnote Text Char"/>
    <w:link w:val="FootnoteText"/>
    <w:uiPriority w:val="99"/>
    <w:semiHidden/>
    <w:rsid w:val="00E45C49"/>
  </w:style>
  <w:style w:type="character" w:styleId="Emphasis">
    <w:name w:val="Emphasis"/>
    <w:rsid w:val="00ED38B0"/>
    <w:rPr>
      <w:i/>
      <w:iCs/>
    </w:rPr>
  </w:style>
  <w:style w:type="paragraph" w:styleId="Revision">
    <w:name w:val="Revision"/>
    <w:hidden/>
    <w:uiPriority w:val="99"/>
    <w:semiHidden/>
    <w:rsid w:val="00A30F7A"/>
    <w:rPr>
      <w:sz w:val="24"/>
      <w:szCs w:val="24"/>
    </w:rPr>
  </w:style>
  <w:style w:type="character" w:customStyle="1" w:styleId="Heading2Char">
    <w:name w:val="Heading 2 Char"/>
    <w:link w:val="Heading2"/>
    <w:uiPriority w:val="9"/>
    <w:rsid w:val="007B333B"/>
    <w:rPr>
      <w:b/>
      <w:sz w:val="24"/>
      <w:szCs w:val="24"/>
    </w:rPr>
  </w:style>
  <w:style w:type="table" w:styleId="TableGrid">
    <w:name w:val="Table Grid"/>
    <w:basedOn w:val="TableNormal"/>
    <w:rsid w:val="00AE3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rsid w:val="00A34FB5"/>
    <w:pPr>
      <w:widowControl/>
      <w:autoSpaceDE/>
      <w:autoSpaceDN/>
      <w:adjustRightInd/>
      <w:spacing w:before="100" w:beforeAutospacing="1" w:after="100" w:afterAutospacing="1"/>
    </w:pPr>
  </w:style>
  <w:style w:type="character" w:customStyle="1" w:styleId="Heading1Char">
    <w:name w:val="Heading 1 Char"/>
    <w:basedOn w:val="DefaultParagraphFont"/>
    <w:link w:val="Heading1"/>
    <w:uiPriority w:val="9"/>
    <w:rsid w:val="00E13DB2"/>
    <w:rPr>
      <w:rFonts w:ascii="Times New Roman Bold" w:hAnsi="Times New Roman Bold" w:eastAsiaTheme="majorEastAsia" w:cstheme="majorBidi"/>
      <w:b/>
      <w:caps/>
      <w:sz w:val="24"/>
      <w:szCs w:val="32"/>
    </w:rPr>
  </w:style>
  <w:style w:type="paragraph" w:styleId="BodyText">
    <w:name w:val="Body Text"/>
    <w:basedOn w:val="Normal"/>
    <w:link w:val="BodyTextChar"/>
    <w:qFormat/>
    <w:rsid w:val="005611D0"/>
    <w:pPr>
      <w:spacing w:before="240" w:after="240"/>
    </w:pPr>
  </w:style>
  <w:style w:type="character" w:customStyle="1" w:styleId="BodyTextChar">
    <w:name w:val="Body Text Char"/>
    <w:basedOn w:val="DefaultParagraphFont"/>
    <w:link w:val="BodyText"/>
    <w:rsid w:val="005611D0"/>
    <w:rPr>
      <w:sz w:val="24"/>
      <w:szCs w:val="24"/>
    </w:rPr>
  </w:style>
  <w:style w:type="character" w:customStyle="1" w:styleId="Heading3Char">
    <w:name w:val="Heading 3 Char"/>
    <w:basedOn w:val="DefaultParagraphFont"/>
    <w:link w:val="Heading3"/>
    <w:uiPriority w:val="9"/>
    <w:rsid w:val="005611D0"/>
    <w:rPr>
      <w:rFonts w:eastAsiaTheme="majorEastAsia" w:cstheme="majorBidi"/>
      <w:b/>
      <w:sz w:val="24"/>
      <w:szCs w:val="24"/>
    </w:rPr>
  </w:style>
  <w:style w:type="character" w:customStyle="1" w:styleId="Heading4Char">
    <w:name w:val="Heading 4 Char"/>
    <w:basedOn w:val="DefaultParagraphFont"/>
    <w:link w:val="Heading4"/>
    <w:rsid w:val="00967CC3"/>
    <w:rPr>
      <w:rFonts w:eastAsiaTheme="majorEastAsia" w:cstheme="majorBidi"/>
      <w:b/>
      <w:i/>
      <w:iCs/>
      <w:sz w:val="24"/>
      <w:szCs w:val="24"/>
    </w:rPr>
  </w:style>
  <w:style w:type="paragraph" w:styleId="BodyTextIndent">
    <w:name w:val="Body Text Indent"/>
    <w:basedOn w:val="Normal"/>
    <w:link w:val="BodyTextIndentChar"/>
    <w:qFormat/>
    <w:rsid w:val="00E5787A"/>
    <w:pPr>
      <w:spacing w:before="240" w:after="240"/>
      <w:ind w:left="720"/>
    </w:pPr>
  </w:style>
  <w:style w:type="character" w:customStyle="1" w:styleId="BodyTextIndentChar">
    <w:name w:val="Body Text Indent Char"/>
    <w:basedOn w:val="DefaultParagraphFont"/>
    <w:link w:val="BodyTextIndent"/>
    <w:rsid w:val="00E5787A"/>
    <w:rPr>
      <w:sz w:val="24"/>
      <w:szCs w:val="24"/>
    </w:rPr>
  </w:style>
  <w:style w:type="paragraph" w:styleId="ListBullet">
    <w:name w:val="List Bullet"/>
    <w:basedOn w:val="Normal"/>
    <w:rsid w:val="00EC57F8"/>
    <w:pPr>
      <w:numPr>
        <w:numId w:val="13"/>
      </w:numPr>
      <w:spacing w:before="240" w:after="240"/>
    </w:pPr>
  </w:style>
  <w:style w:type="character" w:customStyle="1" w:styleId="UnresolvedMention1">
    <w:name w:val="Unresolved Mention1"/>
    <w:basedOn w:val="DefaultParagraphFont"/>
    <w:uiPriority w:val="99"/>
    <w:semiHidden/>
    <w:unhideWhenUsed/>
    <w:rsid w:val="002F3345"/>
    <w:rPr>
      <w:color w:val="605E5C"/>
      <w:shd w:val="clear" w:color="auto" w:fill="E1DFDD"/>
    </w:rPr>
  </w:style>
  <w:style w:type="paragraph" w:styleId="Caption">
    <w:name w:val="caption"/>
    <w:basedOn w:val="Normal"/>
    <w:next w:val="Normal"/>
    <w:unhideWhenUsed/>
    <w:qFormat/>
    <w:rsid w:val="002A0E8D"/>
    <w:pPr>
      <w:jc w:val="center"/>
    </w:pPr>
    <w:rPr>
      <w:b/>
      <w:iCs/>
      <w:szCs w:val="18"/>
    </w:rPr>
  </w:style>
  <w:style w:type="table" w:customStyle="1" w:styleId="TableGrid1">
    <w:name w:val="Table Grid1"/>
    <w:basedOn w:val="TableNormal"/>
    <w:next w:val="TableGrid"/>
    <w:uiPriority w:val="39"/>
    <w:rsid w:val="002E48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07A2E"/>
    <w:pPr>
      <w:spacing w:after="240"/>
      <w:jc w:val="center"/>
    </w:pPr>
    <w:rPr>
      <w:rFonts w:ascii="Times New Roman Bold" w:hAnsi="Times New Roman Bold" w:eastAsiaTheme="majorEastAsia" w:cstheme="majorBidi"/>
      <w:b/>
      <w:caps/>
      <w:spacing w:val="-10"/>
      <w:kern w:val="28"/>
      <w:sz w:val="22"/>
      <w:szCs w:val="56"/>
    </w:rPr>
  </w:style>
  <w:style w:type="character" w:customStyle="1" w:styleId="TitleChar">
    <w:name w:val="Title Char"/>
    <w:basedOn w:val="DefaultParagraphFont"/>
    <w:link w:val="Title"/>
    <w:rsid w:val="00107A2E"/>
    <w:rPr>
      <w:rFonts w:ascii="Times New Roman Bold" w:hAnsi="Times New Roman Bold" w:eastAsiaTheme="majorEastAsia" w:cstheme="majorBidi"/>
      <w:b/>
      <w:caps/>
      <w:spacing w:val="-10"/>
      <w:kern w:val="28"/>
      <w:sz w:val="22"/>
      <w:szCs w:val="56"/>
    </w:rPr>
  </w:style>
  <w:style w:type="paragraph" w:styleId="ListNumber">
    <w:name w:val="List Number"/>
    <w:basedOn w:val="Normal"/>
    <w:uiPriority w:val="99"/>
    <w:unhideWhenUsed/>
    <w:rsid w:val="00107A2E"/>
    <w:pPr>
      <w:widowControl/>
      <w:numPr>
        <w:numId w:val="14"/>
      </w:numPr>
      <w:autoSpaceDE/>
      <w:autoSpaceDN/>
      <w:adjustRightInd/>
      <w:spacing w:after="120"/>
      <w:ind w:left="1080"/>
    </w:pPr>
    <w:rPr>
      <w:sz w:val="22"/>
      <w:szCs w:val="22"/>
    </w:rPr>
  </w:style>
  <w:style w:type="character" w:customStyle="1" w:styleId="Mention1">
    <w:name w:val="Mention1"/>
    <w:basedOn w:val="DefaultParagraphFont"/>
    <w:uiPriority w:val="99"/>
    <w:unhideWhenUsed/>
    <w:rsid w:val="002A3DDF"/>
    <w:rPr>
      <w:color w:val="2B579A"/>
      <w:shd w:val="clear" w:color="auto" w:fill="E6E6E6"/>
    </w:rPr>
  </w:style>
  <w:style w:type="paragraph" w:customStyle="1" w:styleId="Default">
    <w:name w:val="Default"/>
    <w:rsid w:val="00462849"/>
    <w:pPr>
      <w:autoSpaceDE w:val="0"/>
      <w:autoSpaceDN w:val="0"/>
      <w:adjustRightInd w:val="0"/>
    </w:pPr>
    <w:rPr>
      <w:rFonts w:ascii="Verdana" w:hAnsi="Verdana" w:cs="Verdana"/>
      <w:color w:val="000000"/>
      <w:sz w:val="24"/>
      <w:szCs w:val="24"/>
    </w:rPr>
  </w:style>
  <w:style w:type="paragraph" w:customStyle="1" w:styleId="msonormal">
    <w:name w:val="msonormal"/>
    <w:basedOn w:val="Normal"/>
    <w:rsid w:val="00462849"/>
    <w:pPr>
      <w:widowControl/>
      <w:autoSpaceDE/>
      <w:autoSpaceDN/>
      <w:adjustRightInd/>
      <w:spacing w:before="100" w:beforeAutospacing="1" w:after="100" w:afterAutospacing="1"/>
    </w:pPr>
  </w:style>
  <w:style w:type="paragraph" w:customStyle="1" w:styleId="updated">
    <w:name w:val="updated"/>
    <w:basedOn w:val="Normal"/>
    <w:rsid w:val="00462849"/>
    <w:pPr>
      <w:widowControl/>
      <w:autoSpaceDE/>
      <w:autoSpaceDN/>
      <w:adjustRightInd/>
      <w:spacing w:before="100" w:beforeAutospacing="1" w:after="100" w:afterAutospacing="1"/>
    </w:pPr>
  </w:style>
  <w:style w:type="paragraph" w:customStyle="1" w:styleId="fp">
    <w:name w:val="fp"/>
    <w:basedOn w:val="Normal"/>
    <w:rsid w:val="00462849"/>
    <w:pPr>
      <w:widowControl/>
      <w:autoSpaceDE/>
      <w:autoSpaceDN/>
      <w:adjustRightInd/>
      <w:spacing w:before="100" w:beforeAutospacing="1" w:after="100" w:afterAutospacing="1"/>
    </w:pPr>
  </w:style>
  <w:style w:type="paragraph" w:customStyle="1" w:styleId="fp-1">
    <w:name w:val="fp-1"/>
    <w:basedOn w:val="Normal"/>
    <w:rsid w:val="00462849"/>
    <w:pPr>
      <w:widowControl/>
      <w:autoSpaceDE/>
      <w:autoSpaceDN/>
      <w:adjustRightInd/>
      <w:spacing w:before="100" w:beforeAutospacing="1" w:after="100" w:afterAutospacing="1"/>
    </w:pPr>
  </w:style>
  <w:style w:type="character" w:customStyle="1" w:styleId="su">
    <w:name w:val="su"/>
    <w:basedOn w:val="DefaultParagraphFont"/>
    <w:rsid w:val="00462849"/>
  </w:style>
  <w:style w:type="paragraph" w:customStyle="1" w:styleId="fp-2">
    <w:name w:val="fp-2"/>
    <w:basedOn w:val="Normal"/>
    <w:rsid w:val="00462849"/>
    <w:pPr>
      <w:widowControl/>
      <w:autoSpaceDE/>
      <w:autoSpaceDN/>
      <w:adjustRightInd/>
      <w:spacing w:before="100" w:beforeAutospacing="1" w:after="100" w:afterAutospacing="1"/>
    </w:pPr>
  </w:style>
  <w:style w:type="paragraph" w:customStyle="1" w:styleId="gpotbltitle">
    <w:name w:val="gpotbl_title"/>
    <w:basedOn w:val="Normal"/>
    <w:rsid w:val="00462849"/>
    <w:pPr>
      <w:widowControl/>
      <w:autoSpaceDE/>
      <w:autoSpaceDN/>
      <w:adjustRightInd/>
      <w:spacing w:before="100" w:beforeAutospacing="1" w:after="100" w:afterAutospacing="1"/>
    </w:pPr>
  </w:style>
  <w:style w:type="paragraph" w:customStyle="1" w:styleId="fp1-2">
    <w:name w:val="fp1-2"/>
    <w:basedOn w:val="Normal"/>
    <w:rsid w:val="00462849"/>
    <w:pPr>
      <w:widowControl/>
      <w:autoSpaceDE/>
      <w:autoSpaceDN/>
      <w:adjustRightInd/>
      <w:spacing w:before="100" w:beforeAutospacing="1" w:after="100" w:afterAutospacing="1"/>
    </w:pPr>
  </w:style>
  <w:style w:type="paragraph" w:customStyle="1" w:styleId="cita">
    <w:name w:val="cita"/>
    <w:basedOn w:val="Normal"/>
    <w:rsid w:val="00462849"/>
    <w:pPr>
      <w:widowControl/>
      <w:autoSpaceDE/>
      <w:autoSpaceDN/>
      <w:adjustRightInd/>
      <w:spacing w:before="100" w:beforeAutospacing="1" w:after="100" w:afterAutospacing="1"/>
    </w:pPr>
  </w:style>
  <w:style w:type="paragraph" w:customStyle="1" w:styleId="paragraph">
    <w:name w:val="paragraph"/>
    <w:basedOn w:val="Normal"/>
    <w:rsid w:val="00671F11"/>
    <w:pPr>
      <w:widowControl/>
      <w:autoSpaceDE/>
      <w:autoSpaceDN/>
      <w:adjustRightInd/>
      <w:spacing w:before="100" w:beforeAutospacing="1" w:after="100" w:afterAutospacing="1"/>
    </w:pPr>
  </w:style>
  <w:style w:type="character" w:customStyle="1" w:styleId="normaltextrun">
    <w:name w:val="normaltextrun"/>
    <w:basedOn w:val="DefaultParagraphFont"/>
    <w:rsid w:val="00671F11"/>
  </w:style>
  <w:style w:type="character" w:customStyle="1" w:styleId="eop">
    <w:name w:val="eop"/>
    <w:basedOn w:val="DefaultParagraphFont"/>
    <w:rsid w:val="00671F11"/>
  </w:style>
  <w:style w:type="character" w:styleId="Mention">
    <w:name w:val="Mention"/>
    <w:basedOn w:val="DefaultParagraphFont"/>
    <w:uiPriority w:val="99"/>
    <w:unhideWhenUsed/>
    <w:rsid w:val="00024381"/>
    <w:rPr>
      <w:color w:val="2B579A"/>
      <w:shd w:val="clear" w:color="auto" w:fill="E1DFDD"/>
    </w:rPr>
  </w:style>
  <w:style w:type="character" w:styleId="UnresolvedMention">
    <w:name w:val="Unresolved Mention"/>
    <w:basedOn w:val="DefaultParagraphFont"/>
    <w:uiPriority w:val="99"/>
    <w:semiHidden/>
    <w:unhideWhenUsed/>
    <w:rsid w:val="008B3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sha.gov/pls/oshaweb/owalink.query_links?src_doc_type=STANDARDS&amp;src_unique_file=1926_1101&amp;src_anchor_name=1926.1101(f)(2)" TargetMode="External" /><Relationship Id="rId11" Type="http://schemas.openxmlformats.org/officeDocument/2006/relationships/hyperlink" Target="http://www.osha.gov/pls/oshaweb/owalink.query_links?src_doc_type=STANDARDS&amp;src_unique_file=1926_1101&amp;src_anchor_name=1926.1101(g)(8)(vi)" TargetMode="External" /><Relationship Id="rId12" Type="http://schemas.openxmlformats.org/officeDocument/2006/relationships/hyperlink" Target="http://www.osha.gov/pls/oshaweb/owalink.query_links?src_doc_type=STANDARDS&amp;src_unique_file=1926_1101&amp;src_anchor_name=1926.1101(k)(2)(ii)" TargetMode="External" /><Relationship Id="rId13" Type="http://schemas.openxmlformats.org/officeDocument/2006/relationships/hyperlink" Target="http://www.osha.gov/pls/oshaweb/owalink.query_links?src_doc_type=STANDARDS&amp;src_unique_file=1926_1101&amp;src_anchor_name=1926.1101(k)(2)(ii)(D)" TargetMode="External" /><Relationship Id="rId14" Type="http://schemas.openxmlformats.org/officeDocument/2006/relationships/hyperlink" Target="http://www.osha.gov/pls/oshaweb/owalink.query_links?src_doc_type=STANDARDS&amp;src_unique_file=1926_1101&amp;src_anchor_name=1926.1101(k)(5)(ii)(B)" TargetMode="External" /><Relationship Id="rId15" Type="http://schemas.openxmlformats.org/officeDocument/2006/relationships/hyperlink" Target="http://www.osha.gov/pls/oshaweb/owalink.query_links?src_doc_type=STANDARDS&amp;src_unique_file=1926_1101&amp;src_anchor_name=1926.1101(k)(8)(iii)" TargetMode="External" /><Relationship Id="rId16" Type="http://schemas.openxmlformats.org/officeDocument/2006/relationships/hyperlink" Target="http://www.osha.gov/pls/oshaweb/owalink.query_links?src_doc_type=STANDARDS&amp;src_unique_file=1926_1101&amp;src_anchor_name=1926.1101(m)(4)(i)" TargetMode="External" /><Relationship Id="rId17" Type="http://schemas.openxmlformats.org/officeDocument/2006/relationships/hyperlink" Target="http://www.osha.gov/pls/oshaweb/owalink.query_links?src_doc_type=STANDARDS&amp;src_unique_file=1926_1101&amp;src_anchor_name=1926.1101(n)(2)(ii)(F)"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2.xml" /><Relationship Id="rId22" Type="http://schemas.openxmlformats.org/officeDocument/2006/relationships/hyperlink" Target="https://www.bls.gov/news.release/pdf/ecec.pdf"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26_1101&amp;src_anchor_name=1926.1101(e)(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rentwoodmo.org/DocumentCenter/View/26662/2019-Bid-Results-for-Hazardous-Material-and-Abatement" TargetMode="External" /><Relationship Id="rId10" Type="http://schemas.openxmlformats.org/officeDocument/2006/relationships/hyperlink" Target="https://eeaonline.eea.state.ma.us/portal%23!/search/asbestos" TargetMode="External" /><Relationship Id="rId11" Type="http://schemas.openxmlformats.org/officeDocument/2006/relationships/hyperlink" Target="https://www2.census.gov/programs-surveys/acs/data/archive/" TargetMode="External" /><Relationship Id="rId12" Type="http://schemas.openxmlformats.org/officeDocument/2006/relationships/hyperlink" Target="https://www.census.gov/programs-surveys/acs/microdata/access.2009.html" TargetMode="External" /><Relationship Id="rId13" Type="http://schemas.openxmlformats.org/officeDocument/2006/relationships/hyperlink" Target="https://data.census.gov/cedsci/table?d=ACS%205-Year%20Estimates%20Data%20Profiles&amp;tid=ACSDP5Y2019.DP04" TargetMode="External" /><Relationship Id="rId14" Type="http://schemas.openxmlformats.org/officeDocument/2006/relationships/hyperlink" Target="https://www.osha.gov/pls/oshaweb/owadisp.show_document?p_table=FEDERAL_REGISTER&amp;p_id=13404" TargetMode="External" /><Relationship Id="rId2" Type="http://schemas.openxmlformats.org/officeDocument/2006/relationships/hyperlink" Target="https://www.zefon.com/cassette-25mm-3pc-08m-mce-pcm-50bx" TargetMode="External" /><Relationship Id="rId3" Type="http://schemas.openxmlformats.org/officeDocument/2006/relationships/hyperlink" Target="https://www.fairhealthconsumer.org/medical" TargetMode="External" /><Relationship Id="rId4" Type="http://schemas.openxmlformats.org/officeDocument/2006/relationships/hyperlink" Target="https://www.usgs.gov/centers/nmic/mineral-commodity-summaries" TargetMode="External" /><Relationship Id="rId5" Type="http://schemas.openxmlformats.org/officeDocument/2006/relationships/hyperlink" Target="https://www.epa.gov/asbestos/us-federal-bans-asbestos.%20Accessed%203/20/2018" TargetMode="External" /><Relationship Id="rId6" Type="http://schemas.openxmlformats.org/officeDocument/2006/relationships/hyperlink" Target="https://www.bls.gov/ooh/construction-and-extraction/hazardous-materials-removal-workers.htm" TargetMode="External" /><Relationship Id="rId7" Type="http://schemas.openxmlformats.org/officeDocument/2006/relationships/hyperlink" Target="https://www.census.gov/data/datasets/2021/econ/cbp/2018-cbp.html" TargetMode="External" /><Relationship Id="rId8" Type="http://schemas.openxmlformats.org/officeDocument/2006/relationships/hyperlink" Target="https://data.census.gov/cedsci/table?n=562910&amp;tid=ECNBASIC2017.EC1700BASIC&amp;hidePreview=true" TargetMode="External" /><Relationship Id="rId9" Type="http://schemas.openxmlformats.org/officeDocument/2006/relationships/hyperlink" Target="https://data.census.gov/cedsci/table?d=ACS%205-Year%20Estimates%20Data%20Profiles&amp;tid=ACSDP5Y2022.DP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EDCF30-193C-4DA7-8A2C-16765A677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93961-4CC6-48B2-AC8D-734721F86EFA}">
  <ds:schemaRefs>
    <ds:schemaRef ds:uri="http://schemas.openxmlformats.org/officeDocument/2006/bibliography"/>
  </ds:schemaRefs>
</ds:datastoreItem>
</file>

<file path=customXml/itemProps3.xml><?xml version="1.0" encoding="utf-8"?>
<ds:datastoreItem xmlns:ds="http://schemas.openxmlformats.org/officeDocument/2006/customXml" ds:itemID="{7CECCD07-A7A4-4BB1-A859-0FB12614E53D}">
  <ds:schemaRefs>
    <ds:schemaRef ds:uri="http://schemas.microsoft.com/sharepoint/v3/contenttype/forms"/>
  </ds:schemaRefs>
</ds:datastoreItem>
</file>

<file path=customXml/itemProps4.xml><?xml version="1.0" encoding="utf-8"?>
<ds:datastoreItem xmlns:ds="http://schemas.openxmlformats.org/officeDocument/2006/customXml" ds:itemID="{CD73C80F-A55E-436B-91DE-492930FA2F3C}">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14519</Words>
  <Characters>82759</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97084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OSHA-USER</dc:creator>
  <cp:lastModifiedBy>Cannon, Belinda - OSHA</cp:lastModifiedBy>
  <cp:revision>10</cp:revision>
  <cp:lastPrinted>2024-06-10T23:17:00Z</cp:lastPrinted>
  <dcterms:created xsi:type="dcterms:W3CDTF">2024-10-28T21:56:00Z</dcterms:created>
  <dcterms:modified xsi:type="dcterms:W3CDTF">2024-10-28T22:08:00Z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