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848C6" w:rsidR="009848C6" w:rsidP="009848C6" w:rsidRDefault="009848C6" w14:paraId="34CCBEF8" w14:textId="77777777">
      <w:pPr>
        <w:pStyle w:val="Heading1"/>
        <w:shd w:val="clear" w:color="auto" w:fill="FFFFFF"/>
        <w:spacing w:before="150" w:beforeAutospacing="0" w:after="0" w:afterAutospacing="0"/>
        <w:rPr>
          <w:color w:val="000000" w:themeColor="text1"/>
          <w:sz w:val="60"/>
          <w:szCs w:val="60"/>
        </w:rPr>
      </w:pPr>
      <w:bookmarkStart w:name="_GoBack" w:id="0"/>
      <w:bookmarkEnd w:id="0"/>
      <w:r w:rsidRPr="009848C6">
        <w:rPr>
          <w:color w:val="000000" w:themeColor="text1"/>
          <w:sz w:val="60"/>
          <w:szCs w:val="60"/>
        </w:rPr>
        <w:t>Instructions for Forms WH-200, WH-201, and WH-202</w:t>
      </w:r>
    </w:p>
    <w:p w:rsidRPr="009848C6" w:rsidR="009848C6" w:rsidP="009848C6" w:rsidRDefault="009848C6" w14:paraId="2DC6F4F4" w14:textId="77777777">
      <w:pPr>
        <w:pStyle w:val="NormalWeb"/>
        <w:spacing w:before="0" w:beforeAutospacing="0" w:after="300" w:afterAutospacing="0"/>
        <w:rPr>
          <w:color w:val="000000" w:themeColor="text1"/>
          <w:sz w:val="25"/>
          <w:szCs w:val="25"/>
        </w:rPr>
      </w:pPr>
      <w:r w:rsidRPr="009848C6">
        <w:rPr>
          <w:rStyle w:val="Strong"/>
          <w:color w:val="000000" w:themeColor="text1"/>
          <w:sz w:val="25"/>
          <w:szCs w:val="25"/>
        </w:rPr>
        <w:t xml:space="preserve">The Payment of Subminimum Wages to Full-Time Students </w:t>
      </w:r>
      <w:proofErr w:type="gramStart"/>
      <w:r w:rsidRPr="009848C6">
        <w:rPr>
          <w:rStyle w:val="Strong"/>
          <w:color w:val="000000" w:themeColor="text1"/>
          <w:sz w:val="25"/>
          <w:szCs w:val="25"/>
        </w:rPr>
        <w:t>Under</w:t>
      </w:r>
      <w:proofErr w:type="gramEnd"/>
      <w:r w:rsidRPr="009848C6">
        <w:rPr>
          <w:rStyle w:val="Strong"/>
          <w:color w:val="000000" w:themeColor="text1"/>
          <w:sz w:val="25"/>
          <w:szCs w:val="25"/>
        </w:rPr>
        <w:t xml:space="preserve"> Section 14(b) of the Fair Labor Standards Act</w:t>
      </w:r>
    </w:p>
    <w:p w:rsidR="009848C6" w:rsidP="009848C6" w:rsidRDefault="009848C6" w14:paraId="44B00BB5" w14:textId="77777777">
      <w:pPr>
        <w:pStyle w:val="NormalWeb"/>
        <w:spacing w:before="0" w:beforeAutospacing="0" w:after="300" w:afterAutospacing="0"/>
        <w:rPr>
          <w:sz w:val="25"/>
          <w:szCs w:val="25"/>
        </w:rPr>
      </w:pPr>
      <w:r>
        <w:rPr>
          <w:sz w:val="25"/>
          <w:szCs w:val="25"/>
        </w:rPr>
        <w:t>Section 14(b) of the Fair Labor Standards Act (FLSA) authorizes certain types of employers to pay subminimum wages – wages less than the federal minimum wage – to full-time students, but only after applying for and receiving a certificate from the U. S. Department of Labor.</w:t>
      </w:r>
    </w:p>
    <w:p w:rsidR="009848C6" w:rsidP="009848C6" w:rsidRDefault="009848C6" w14:paraId="30BDFB24" w14:textId="77777777">
      <w:pPr>
        <w:pStyle w:val="NormalWeb"/>
        <w:spacing w:before="0" w:beforeAutospacing="0" w:after="300" w:afterAutospacing="0"/>
        <w:rPr>
          <w:sz w:val="25"/>
          <w:szCs w:val="25"/>
        </w:rPr>
      </w:pPr>
      <w:r>
        <w:rPr>
          <w:sz w:val="25"/>
          <w:szCs w:val="25"/>
        </w:rPr>
        <w:t>A full-time student, for purposes of this limited exception, is a student who receives primarily daytime instruction at the physical location of a bona fide educational institution, in accordance with the institution’s accepted definition of a full-time student. A full-time student retains that status during the student’s holiday recess, summer, and other vacations if local law requires attendance at the end of the vacation period. If attendance is not mandatory, full-time student status is determined by the student’s intention stated to the employer. A student who has graduated from high school and informs the employer of plans to attend a college or university on a full-time basis at the end of the vacation period may be presumed to be a full-time student.</w:t>
      </w:r>
    </w:p>
    <w:p w:rsidR="009848C6" w:rsidP="009848C6" w:rsidRDefault="009848C6" w14:paraId="03586C7F" w14:textId="77777777">
      <w:pPr>
        <w:pStyle w:val="NormalWeb"/>
        <w:spacing w:before="0" w:beforeAutospacing="0" w:after="300" w:afterAutospacing="0"/>
        <w:rPr>
          <w:sz w:val="25"/>
          <w:szCs w:val="25"/>
        </w:rPr>
      </w:pPr>
      <w:r>
        <w:rPr>
          <w:sz w:val="25"/>
          <w:szCs w:val="25"/>
        </w:rPr>
        <w:t>Full-time students may be employed under the subminimum wage provisions of section 14(b) in retail or service establishments or in agriculture. An institution of higher education may also employ its full-time students at subminimum wages after making proper application. Such employment is permitted to the extent necessary in order to prevent the curtailment of opportunities for employment of full-time students.</w:t>
      </w:r>
    </w:p>
    <w:p w:rsidR="009848C6" w:rsidP="009848C6" w:rsidRDefault="009848C6" w14:paraId="7247047F" w14:textId="77777777">
      <w:pPr>
        <w:pStyle w:val="NormalWeb"/>
        <w:spacing w:before="0" w:beforeAutospacing="0" w:after="300" w:afterAutospacing="0"/>
        <w:rPr>
          <w:sz w:val="25"/>
          <w:szCs w:val="25"/>
        </w:rPr>
      </w:pPr>
      <w:r>
        <w:rPr>
          <w:sz w:val="25"/>
          <w:szCs w:val="25"/>
        </w:rPr>
        <w:t>The subminimum wage rate for full-time students may not be less than 85 percent of the applicable statutory minimum. It can, of course, be more than 85 percent. The chart below displays the federal minimum wages as determined by Congress, their effective dates, and the minimum amount a full-time student may be paid under FLSA section 14(b):</w:t>
      </w:r>
    </w:p>
    <w:tbl>
      <w:tblPr>
        <w:tblW w:w="13500" w:type="dxa"/>
        <w:tblCellMar>
          <w:left w:w="0" w:type="dxa"/>
          <w:right w:w="0" w:type="dxa"/>
        </w:tblCellMar>
        <w:tblLook w:val="04A0" w:firstRow="1" w:lastRow="0" w:firstColumn="1" w:lastColumn="0" w:noHBand="0" w:noVBand="1"/>
        <w:tblDescription w:val="This is a simple table minimum and subminimum wage rates effective July 24, 2009."/>
      </w:tblPr>
      <w:tblGrid>
        <w:gridCol w:w="3499"/>
        <w:gridCol w:w="4042"/>
        <w:gridCol w:w="5959"/>
      </w:tblGrid>
      <w:tr w:rsidR="009848C6" w:rsidTr="009848C6" w14:paraId="5ACE057C" w14:textId="77777777">
        <w:trPr>
          <w:tblHeader/>
        </w:trPr>
        <w:tc>
          <w:tcPr>
            <w:tcW w:w="0" w:type="auto"/>
            <w:gridSpan w:val="3"/>
            <w:tcBorders>
              <w:top w:val="nil"/>
              <w:left w:val="nil"/>
              <w:bottom w:val="nil"/>
              <w:right w:val="nil"/>
            </w:tcBorders>
            <w:shd w:val="clear" w:color="auto" w:fill="F1F1F1"/>
            <w:vAlign w:val="center"/>
            <w:hideMark/>
          </w:tcPr>
          <w:p w:rsidR="009848C6" w:rsidRDefault="009848C6" w14:paraId="29847D77" w14:textId="77777777">
            <w:pPr>
              <w:spacing w:before="150" w:after="150"/>
              <w:rPr>
                <w:color w:val="212121"/>
                <w:sz w:val="26"/>
                <w:szCs w:val="26"/>
              </w:rPr>
            </w:pPr>
            <w:r>
              <w:rPr>
                <w:color w:val="212121"/>
                <w:sz w:val="26"/>
                <w:szCs w:val="26"/>
              </w:rPr>
              <w:t>This is a simple table minimum and subminimum wage rates effective July 24, 2009</w:t>
            </w:r>
          </w:p>
        </w:tc>
      </w:tr>
      <w:tr w:rsidR="009848C6" w:rsidTr="009848C6" w14:paraId="7DB48FE1" w14:textId="77777777">
        <w:trPr>
          <w:tblHeader/>
        </w:trPr>
        <w:tc>
          <w:tcPr>
            <w:tcW w:w="0" w:type="auto"/>
            <w:tcBorders>
              <w:top w:val="single" w:color="5B616B" w:sz="6" w:space="0"/>
              <w:left w:val="single" w:color="5B616B" w:sz="6" w:space="0"/>
              <w:bottom w:val="single" w:color="5B616B" w:sz="6" w:space="0"/>
              <w:right w:val="single" w:color="5B616B" w:sz="6" w:space="0"/>
            </w:tcBorders>
            <w:shd w:val="clear" w:color="auto" w:fill="F1F1F1"/>
            <w:vAlign w:val="center"/>
            <w:hideMark/>
          </w:tcPr>
          <w:p w:rsidR="009848C6" w:rsidRDefault="009848C6" w14:paraId="2CB55C49" w14:textId="77777777">
            <w:pPr>
              <w:pStyle w:val="NormalWeb"/>
              <w:spacing w:before="0" w:beforeAutospacing="0" w:after="0" w:afterAutospacing="0"/>
              <w:rPr>
                <w:b/>
                <w:bCs/>
                <w:color w:val="212121"/>
                <w:sz w:val="25"/>
                <w:szCs w:val="25"/>
              </w:rPr>
            </w:pPr>
            <w:r>
              <w:rPr>
                <w:rStyle w:val="Strong"/>
                <w:color w:val="212121"/>
                <w:sz w:val="25"/>
                <w:szCs w:val="25"/>
              </w:rPr>
              <w:t>Effective Date</w:t>
            </w:r>
          </w:p>
        </w:tc>
        <w:tc>
          <w:tcPr>
            <w:tcW w:w="0" w:type="auto"/>
            <w:tcBorders>
              <w:top w:val="single" w:color="5B616B" w:sz="6" w:space="0"/>
              <w:left w:val="single" w:color="5B616B" w:sz="6" w:space="0"/>
              <w:bottom w:val="single" w:color="5B616B" w:sz="6" w:space="0"/>
              <w:right w:val="single" w:color="5B616B" w:sz="6" w:space="0"/>
            </w:tcBorders>
            <w:shd w:val="clear" w:color="auto" w:fill="F1F1F1"/>
            <w:vAlign w:val="center"/>
            <w:hideMark/>
          </w:tcPr>
          <w:p w:rsidR="009848C6" w:rsidRDefault="009848C6" w14:paraId="44A2281F" w14:textId="77777777">
            <w:pPr>
              <w:pStyle w:val="NormalWeb"/>
              <w:spacing w:before="0" w:beforeAutospacing="0" w:after="0" w:afterAutospacing="0"/>
              <w:rPr>
                <w:b/>
                <w:bCs/>
                <w:color w:val="212121"/>
                <w:sz w:val="25"/>
                <w:szCs w:val="25"/>
              </w:rPr>
            </w:pPr>
            <w:r>
              <w:rPr>
                <w:rStyle w:val="Strong"/>
                <w:color w:val="212121"/>
                <w:sz w:val="25"/>
                <w:szCs w:val="25"/>
              </w:rPr>
              <w:t>Minimum Wage</w:t>
            </w:r>
          </w:p>
        </w:tc>
        <w:tc>
          <w:tcPr>
            <w:tcW w:w="0" w:type="auto"/>
            <w:tcBorders>
              <w:top w:val="single" w:color="5B616B" w:sz="6" w:space="0"/>
              <w:left w:val="single" w:color="5B616B" w:sz="6" w:space="0"/>
              <w:bottom w:val="single" w:color="5B616B" w:sz="6" w:space="0"/>
              <w:right w:val="single" w:color="5B616B" w:sz="6" w:space="0"/>
            </w:tcBorders>
            <w:shd w:val="clear" w:color="auto" w:fill="F1F1F1"/>
            <w:vAlign w:val="center"/>
            <w:hideMark/>
          </w:tcPr>
          <w:p w:rsidR="009848C6" w:rsidRDefault="009848C6" w14:paraId="1BEA11AB" w14:textId="77777777">
            <w:pPr>
              <w:pStyle w:val="NormalWeb"/>
              <w:spacing w:before="0" w:beforeAutospacing="0" w:after="0" w:afterAutospacing="0"/>
              <w:rPr>
                <w:b/>
                <w:bCs/>
                <w:color w:val="212121"/>
                <w:sz w:val="25"/>
                <w:szCs w:val="25"/>
              </w:rPr>
            </w:pPr>
            <w:r>
              <w:rPr>
                <w:rStyle w:val="Strong"/>
                <w:color w:val="212121"/>
                <w:sz w:val="25"/>
                <w:szCs w:val="25"/>
              </w:rPr>
              <w:t>85% of Minimum Wage</w:t>
            </w:r>
          </w:p>
        </w:tc>
      </w:tr>
      <w:tr w:rsidR="009848C6" w:rsidTr="009848C6" w14:paraId="3CC74DAA" w14:textId="77777777">
        <w:tc>
          <w:tcPr>
            <w:tcW w:w="0" w:type="auto"/>
            <w:tcBorders>
              <w:top w:val="single" w:color="E9ECEF" w:sz="6" w:space="0"/>
              <w:left w:val="single" w:color="5B616B" w:sz="6" w:space="0"/>
              <w:bottom w:val="single" w:color="5B616B" w:sz="6" w:space="0"/>
              <w:right w:val="single" w:color="5B616B" w:sz="6" w:space="0"/>
            </w:tcBorders>
            <w:shd w:val="clear" w:color="auto" w:fill="FFFFFF"/>
            <w:hideMark/>
          </w:tcPr>
          <w:p w:rsidR="009848C6" w:rsidRDefault="009848C6" w14:paraId="1300A4E0" w14:textId="77777777">
            <w:pPr>
              <w:pStyle w:val="NormalWeb"/>
              <w:spacing w:before="0" w:beforeAutospacing="0" w:after="0" w:afterAutospacing="0"/>
              <w:rPr>
                <w:sz w:val="25"/>
                <w:szCs w:val="25"/>
              </w:rPr>
            </w:pPr>
            <w:r>
              <w:rPr>
                <w:sz w:val="25"/>
                <w:szCs w:val="25"/>
              </w:rPr>
              <w:t>July 24, 2009</w:t>
            </w:r>
          </w:p>
        </w:tc>
        <w:tc>
          <w:tcPr>
            <w:tcW w:w="0" w:type="auto"/>
            <w:tcBorders>
              <w:top w:val="single" w:color="E9ECEF" w:sz="6" w:space="0"/>
              <w:left w:val="single" w:color="5B616B" w:sz="6" w:space="0"/>
              <w:bottom w:val="single" w:color="5B616B" w:sz="6" w:space="0"/>
              <w:right w:val="single" w:color="5B616B" w:sz="6" w:space="0"/>
            </w:tcBorders>
            <w:shd w:val="clear" w:color="auto" w:fill="FFFFFF"/>
            <w:hideMark/>
          </w:tcPr>
          <w:p w:rsidR="009848C6" w:rsidRDefault="009848C6" w14:paraId="1AC1DBDA" w14:textId="77777777">
            <w:pPr>
              <w:pStyle w:val="NormalWeb"/>
              <w:spacing w:before="0" w:beforeAutospacing="0" w:after="0" w:afterAutospacing="0"/>
              <w:rPr>
                <w:sz w:val="25"/>
                <w:szCs w:val="25"/>
              </w:rPr>
            </w:pPr>
            <w:r>
              <w:rPr>
                <w:sz w:val="25"/>
                <w:szCs w:val="25"/>
              </w:rPr>
              <w:t>$7.25</w:t>
            </w:r>
          </w:p>
        </w:tc>
        <w:tc>
          <w:tcPr>
            <w:tcW w:w="0" w:type="auto"/>
            <w:tcBorders>
              <w:top w:val="single" w:color="E9ECEF" w:sz="6" w:space="0"/>
              <w:left w:val="single" w:color="5B616B" w:sz="6" w:space="0"/>
              <w:bottom w:val="single" w:color="5B616B" w:sz="6" w:space="0"/>
              <w:right w:val="single" w:color="5B616B" w:sz="6" w:space="0"/>
            </w:tcBorders>
            <w:shd w:val="clear" w:color="auto" w:fill="FFFFFF"/>
            <w:hideMark/>
          </w:tcPr>
          <w:p w:rsidR="009848C6" w:rsidRDefault="009848C6" w14:paraId="1A1BEFB2" w14:textId="77777777">
            <w:pPr>
              <w:pStyle w:val="NormalWeb"/>
              <w:spacing w:before="0" w:beforeAutospacing="0" w:after="0" w:afterAutospacing="0"/>
              <w:rPr>
                <w:sz w:val="25"/>
                <w:szCs w:val="25"/>
              </w:rPr>
            </w:pPr>
            <w:r>
              <w:rPr>
                <w:sz w:val="25"/>
                <w:szCs w:val="25"/>
              </w:rPr>
              <w:t>$6.17</w:t>
            </w:r>
          </w:p>
        </w:tc>
      </w:tr>
    </w:tbl>
    <w:p w:rsidR="009848C6" w:rsidP="009848C6" w:rsidRDefault="009848C6" w14:paraId="44FB4FF8" w14:textId="77777777">
      <w:pPr>
        <w:pStyle w:val="NormalWeb"/>
        <w:spacing w:before="0" w:beforeAutospacing="0" w:after="300" w:afterAutospacing="0"/>
        <w:rPr>
          <w:sz w:val="25"/>
          <w:szCs w:val="25"/>
        </w:rPr>
      </w:pPr>
      <w:r>
        <w:rPr>
          <w:sz w:val="25"/>
          <w:szCs w:val="25"/>
        </w:rPr>
        <w:t>If the minimum wage increases, the student may be paid not less than 85 percent of the new minimum wage on the effective date of the new minimum wage. The factor of 85 percent may not be applied against (used to reduce) any other subminimum wage program such as the Youth Minimum Wage authorized by section 6(g) of the FLSA. Please note that the scheduled increases in the federal minimum wage do not impact the Youth Minimum Wage which will remain $4.25 per hour.</w:t>
      </w:r>
    </w:p>
    <w:p w:rsidR="009848C6" w:rsidP="009848C6" w:rsidRDefault="009848C6" w14:paraId="7837B56E" w14:textId="77777777">
      <w:pPr>
        <w:pStyle w:val="NormalWeb"/>
        <w:spacing w:before="0" w:beforeAutospacing="0" w:after="300" w:afterAutospacing="0"/>
        <w:rPr>
          <w:sz w:val="25"/>
          <w:szCs w:val="25"/>
        </w:rPr>
      </w:pPr>
      <w:r>
        <w:rPr>
          <w:sz w:val="25"/>
          <w:szCs w:val="25"/>
        </w:rPr>
        <w:t>There are three different kinds of applications that may be used to apply for authority to pay full-time students subminimum wages under section 14(b):</w:t>
      </w:r>
    </w:p>
    <w:tbl>
      <w:tblPr>
        <w:tblW w:w="13500" w:type="dxa"/>
        <w:tblCellMar>
          <w:left w:w="0" w:type="dxa"/>
          <w:right w:w="0" w:type="dxa"/>
        </w:tblCellMar>
        <w:tblLook w:val="04A0" w:firstRow="1" w:lastRow="0" w:firstColumn="1" w:lastColumn="0" w:noHBand="0" w:noVBand="1"/>
        <w:tblDescription w:val="There are three different kinds of applications that may be used to apply for authority to pay full-time students subminimum wages under section 14(b):"/>
      </w:tblPr>
      <w:tblGrid>
        <w:gridCol w:w="682"/>
        <w:gridCol w:w="12818"/>
      </w:tblGrid>
      <w:tr w:rsidR="009848C6" w:rsidTr="009848C6" w14:paraId="6F3B01F4" w14:textId="77777777">
        <w:tc>
          <w:tcPr>
            <w:tcW w:w="0" w:type="auto"/>
            <w:tcBorders>
              <w:top w:val="single" w:color="E9ECEF" w:sz="6" w:space="0"/>
              <w:left w:val="single" w:color="5B616B" w:sz="6" w:space="0"/>
              <w:bottom w:val="single" w:color="5B616B" w:sz="6" w:space="0"/>
              <w:right w:val="single" w:color="5B616B" w:sz="6" w:space="0"/>
            </w:tcBorders>
            <w:shd w:val="clear" w:color="auto" w:fill="FFFFFF"/>
            <w:hideMark/>
          </w:tcPr>
          <w:p w:rsidR="009848C6" w:rsidRDefault="00516570" w14:paraId="0C384316" w14:textId="77777777">
            <w:pPr>
              <w:pStyle w:val="NormalWeb"/>
              <w:spacing w:before="0" w:beforeAutospacing="0" w:after="0" w:afterAutospacing="0"/>
              <w:rPr>
                <w:sz w:val="25"/>
                <w:szCs w:val="25"/>
              </w:rPr>
            </w:pPr>
            <w:hyperlink w:history="1" r:id="rId8">
              <w:r w:rsidR="009848C6">
                <w:rPr>
                  <w:rStyle w:val="Hyperlink"/>
                  <w:b/>
                  <w:bCs/>
                  <w:color w:val="981B1E"/>
                  <w:sz w:val="25"/>
                  <w:szCs w:val="25"/>
                </w:rPr>
                <w:t>WH-200</w:t>
              </w:r>
            </w:hyperlink>
          </w:p>
        </w:tc>
        <w:tc>
          <w:tcPr>
            <w:tcW w:w="0" w:type="auto"/>
            <w:tcBorders>
              <w:top w:val="single" w:color="E9ECEF" w:sz="6" w:space="0"/>
              <w:left w:val="single" w:color="5B616B" w:sz="6" w:space="0"/>
              <w:bottom w:val="single" w:color="5B616B" w:sz="6" w:space="0"/>
              <w:right w:val="single" w:color="5B616B" w:sz="6" w:space="0"/>
            </w:tcBorders>
            <w:shd w:val="clear" w:color="auto" w:fill="FFFFFF"/>
            <w:hideMark/>
          </w:tcPr>
          <w:p w:rsidR="009848C6" w:rsidRDefault="009848C6" w14:paraId="65725BDC" w14:textId="77777777">
            <w:pPr>
              <w:pStyle w:val="NormalWeb"/>
              <w:spacing w:before="0" w:beforeAutospacing="0" w:after="0" w:afterAutospacing="0"/>
              <w:rPr>
                <w:sz w:val="25"/>
                <w:szCs w:val="25"/>
              </w:rPr>
            </w:pPr>
            <w:r>
              <w:rPr>
                <w:rStyle w:val="Strong"/>
                <w:sz w:val="25"/>
                <w:szCs w:val="25"/>
              </w:rPr>
              <w:t>Designed to be used by Retail or Service Establishments or Agricultural employers to request authority to employ full-time students at subminimum wages for a total number of hours that:</w:t>
            </w:r>
            <w:r>
              <w:rPr>
                <w:b/>
                <w:bCs/>
                <w:sz w:val="25"/>
                <w:szCs w:val="25"/>
              </w:rPr>
              <w:br/>
            </w:r>
            <w:r>
              <w:rPr>
                <w:rStyle w:val="Strong"/>
                <w:sz w:val="25"/>
                <w:szCs w:val="25"/>
              </w:rPr>
              <w:t>(1) equal 10% of the total monthly hours of employment, or</w:t>
            </w:r>
            <w:r>
              <w:rPr>
                <w:b/>
                <w:bCs/>
                <w:sz w:val="25"/>
                <w:szCs w:val="25"/>
              </w:rPr>
              <w:br/>
            </w:r>
            <w:r>
              <w:rPr>
                <w:rStyle w:val="Strong"/>
                <w:sz w:val="25"/>
                <w:szCs w:val="25"/>
              </w:rPr>
              <w:t>(2) are greater than 10% of the total monthly hours of employment.</w:t>
            </w:r>
            <w:r>
              <w:rPr>
                <w:b/>
                <w:bCs/>
                <w:sz w:val="25"/>
                <w:szCs w:val="25"/>
              </w:rPr>
              <w:br/>
            </w:r>
            <w:r>
              <w:rPr>
                <w:rStyle w:val="Strong"/>
                <w:sz w:val="25"/>
                <w:szCs w:val="25"/>
              </w:rPr>
              <w:t>Employers must submit a separate application for every establishment where he or she will employ such students.</w:t>
            </w:r>
          </w:p>
        </w:tc>
      </w:tr>
      <w:tr w:rsidR="009848C6" w:rsidTr="009848C6" w14:paraId="1BB6A11C" w14:textId="77777777">
        <w:tc>
          <w:tcPr>
            <w:tcW w:w="0" w:type="auto"/>
            <w:tcBorders>
              <w:top w:val="single" w:color="E9ECEF" w:sz="6" w:space="0"/>
              <w:left w:val="single" w:color="5B616B" w:sz="6" w:space="0"/>
              <w:bottom w:val="single" w:color="5B616B" w:sz="6" w:space="0"/>
              <w:right w:val="single" w:color="5B616B" w:sz="6" w:space="0"/>
            </w:tcBorders>
            <w:shd w:val="clear" w:color="auto" w:fill="F1F1F1"/>
            <w:hideMark/>
          </w:tcPr>
          <w:p w:rsidR="009848C6" w:rsidRDefault="00516570" w14:paraId="45C6D138" w14:textId="77777777">
            <w:pPr>
              <w:pStyle w:val="NormalWeb"/>
              <w:spacing w:before="0" w:beforeAutospacing="0" w:after="0" w:afterAutospacing="0"/>
              <w:rPr>
                <w:sz w:val="25"/>
                <w:szCs w:val="25"/>
              </w:rPr>
            </w:pPr>
            <w:hyperlink w:history="1" r:id="rId9">
              <w:r w:rsidR="009848C6">
                <w:rPr>
                  <w:rStyle w:val="Hyperlink"/>
                  <w:b/>
                  <w:bCs/>
                  <w:color w:val="981B1E"/>
                  <w:sz w:val="25"/>
                  <w:szCs w:val="25"/>
                </w:rPr>
                <w:t>WH-201</w:t>
              </w:r>
            </w:hyperlink>
          </w:p>
        </w:tc>
        <w:tc>
          <w:tcPr>
            <w:tcW w:w="0" w:type="auto"/>
            <w:tcBorders>
              <w:top w:val="single" w:color="E9ECEF" w:sz="6" w:space="0"/>
              <w:left w:val="single" w:color="5B616B" w:sz="6" w:space="0"/>
              <w:bottom w:val="single" w:color="5B616B" w:sz="6" w:space="0"/>
              <w:right w:val="single" w:color="5B616B" w:sz="6" w:space="0"/>
            </w:tcBorders>
            <w:shd w:val="clear" w:color="auto" w:fill="F1F1F1"/>
            <w:hideMark/>
          </w:tcPr>
          <w:p w:rsidR="009848C6" w:rsidRDefault="009848C6" w14:paraId="77553A9D" w14:textId="77777777">
            <w:pPr>
              <w:pStyle w:val="NormalWeb"/>
              <w:spacing w:before="0" w:beforeAutospacing="0" w:after="0" w:afterAutospacing="0"/>
              <w:rPr>
                <w:sz w:val="25"/>
                <w:szCs w:val="25"/>
              </w:rPr>
            </w:pPr>
            <w:r>
              <w:rPr>
                <w:rStyle w:val="Strong"/>
                <w:sz w:val="25"/>
                <w:szCs w:val="25"/>
              </w:rPr>
              <w:t xml:space="preserve">Designed to </w:t>
            </w:r>
            <w:proofErr w:type="spellStart"/>
            <w:r>
              <w:rPr>
                <w:rStyle w:val="Strong"/>
                <w:sz w:val="25"/>
                <w:szCs w:val="25"/>
              </w:rPr>
              <w:t>by</w:t>
            </w:r>
            <w:proofErr w:type="spellEnd"/>
            <w:r>
              <w:rPr>
                <w:rStyle w:val="Strong"/>
                <w:sz w:val="25"/>
                <w:szCs w:val="25"/>
              </w:rPr>
              <w:t xml:space="preserve"> </w:t>
            </w:r>
            <w:proofErr w:type="gramStart"/>
            <w:r>
              <w:rPr>
                <w:rStyle w:val="Strong"/>
                <w:sz w:val="25"/>
                <w:szCs w:val="25"/>
              </w:rPr>
              <w:t>used</w:t>
            </w:r>
            <w:proofErr w:type="gramEnd"/>
            <w:r>
              <w:rPr>
                <w:rStyle w:val="Strong"/>
                <w:sz w:val="25"/>
                <w:szCs w:val="25"/>
              </w:rPr>
              <w:t xml:space="preserve"> by an Institution of Higher Education that wishes to employ its student’s at special minimum wages. A separate application must be submitted for every campus where such students will be employed at less than the minimum wage.</w:t>
            </w:r>
          </w:p>
        </w:tc>
      </w:tr>
      <w:tr w:rsidR="009848C6" w:rsidTr="009848C6" w14:paraId="0C09C716" w14:textId="77777777">
        <w:tc>
          <w:tcPr>
            <w:tcW w:w="0" w:type="auto"/>
            <w:tcBorders>
              <w:top w:val="single" w:color="E9ECEF" w:sz="6" w:space="0"/>
              <w:left w:val="single" w:color="5B616B" w:sz="6" w:space="0"/>
              <w:bottom w:val="single" w:color="5B616B" w:sz="6" w:space="0"/>
              <w:right w:val="single" w:color="5B616B" w:sz="6" w:space="0"/>
            </w:tcBorders>
            <w:shd w:val="clear" w:color="auto" w:fill="FFFFFF"/>
            <w:hideMark/>
          </w:tcPr>
          <w:p w:rsidR="009848C6" w:rsidRDefault="00516570" w14:paraId="484F5D41" w14:textId="77777777">
            <w:pPr>
              <w:pStyle w:val="NormalWeb"/>
              <w:spacing w:before="0" w:beforeAutospacing="0" w:after="0" w:afterAutospacing="0"/>
              <w:rPr>
                <w:sz w:val="25"/>
                <w:szCs w:val="25"/>
              </w:rPr>
            </w:pPr>
            <w:hyperlink w:history="1" r:id="rId10">
              <w:r w:rsidR="009848C6">
                <w:rPr>
                  <w:rStyle w:val="Hyperlink"/>
                  <w:b/>
                  <w:bCs/>
                  <w:color w:val="981B1E"/>
                  <w:sz w:val="25"/>
                  <w:szCs w:val="25"/>
                </w:rPr>
                <w:t>WH-202</w:t>
              </w:r>
            </w:hyperlink>
          </w:p>
        </w:tc>
        <w:tc>
          <w:tcPr>
            <w:tcW w:w="0" w:type="auto"/>
            <w:tcBorders>
              <w:top w:val="single" w:color="E9ECEF" w:sz="6" w:space="0"/>
              <w:left w:val="single" w:color="5B616B" w:sz="6" w:space="0"/>
              <w:bottom w:val="single" w:color="5B616B" w:sz="6" w:space="0"/>
              <w:right w:val="single" w:color="5B616B" w:sz="6" w:space="0"/>
            </w:tcBorders>
            <w:shd w:val="clear" w:color="auto" w:fill="FFFFFF"/>
            <w:hideMark/>
          </w:tcPr>
          <w:p w:rsidR="009848C6" w:rsidRDefault="009848C6" w14:paraId="27B9554A" w14:textId="77777777">
            <w:pPr>
              <w:pStyle w:val="NormalWeb"/>
              <w:spacing w:before="0" w:beforeAutospacing="0" w:after="0" w:afterAutospacing="0"/>
              <w:rPr>
                <w:sz w:val="25"/>
                <w:szCs w:val="25"/>
              </w:rPr>
            </w:pPr>
            <w:r>
              <w:rPr>
                <w:rStyle w:val="Strong"/>
                <w:sz w:val="25"/>
                <w:szCs w:val="25"/>
              </w:rPr>
              <w:t>Designed to be used by Retail or Service Establishments or Agricultural employers to request authority to employ 6 OR FEWER full-time students at subminimum wages. Employers need to submit only one application to cover all establishments, but may not employ more than 6 full-time students at subminimum wages on any one work day throughout the entire enterprise.</w:t>
            </w:r>
          </w:p>
        </w:tc>
      </w:tr>
    </w:tbl>
    <w:p w:rsidR="009848C6" w:rsidP="009848C6" w:rsidRDefault="009848C6" w14:paraId="6E274A3E" w14:textId="77777777">
      <w:pPr>
        <w:pStyle w:val="NormalWeb"/>
        <w:spacing w:before="0" w:beforeAutospacing="0" w:after="300" w:afterAutospacing="0"/>
        <w:rPr>
          <w:sz w:val="25"/>
          <w:szCs w:val="25"/>
        </w:rPr>
      </w:pPr>
      <w:r>
        <w:rPr>
          <w:sz w:val="25"/>
          <w:szCs w:val="25"/>
        </w:rPr>
        <w:t>Completed applications should be forwarded to the Wage and Hour Division National Certification Team:</w:t>
      </w:r>
    </w:p>
    <w:p w:rsidR="009848C6" w:rsidP="009848C6" w:rsidRDefault="009848C6" w14:paraId="74580FA7" w14:textId="77777777">
      <w:pPr>
        <w:pStyle w:val="NormalWeb"/>
        <w:spacing w:before="0" w:beforeAutospacing="0" w:after="300" w:afterAutospacing="0"/>
        <w:rPr>
          <w:sz w:val="25"/>
          <w:szCs w:val="25"/>
        </w:rPr>
      </w:pPr>
      <w:r>
        <w:rPr>
          <w:sz w:val="25"/>
          <w:szCs w:val="25"/>
        </w:rPr>
        <w:t>U.S. Department of Labor</w:t>
      </w:r>
      <w:r>
        <w:rPr>
          <w:sz w:val="25"/>
          <w:szCs w:val="25"/>
        </w:rPr>
        <w:br/>
        <w:t>Wage and Hour Division</w:t>
      </w:r>
      <w:r>
        <w:rPr>
          <w:sz w:val="25"/>
          <w:szCs w:val="25"/>
        </w:rPr>
        <w:br/>
        <w:t>Attn: National Certification Team</w:t>
      </w:r>
      <w:r>
        <w:rPr>
          <w:sz w:val="25"/>
          <w:szCs w:val="25"/>
        </w:rPr>
        <w:br/>
        <w:t>230 S. Dearborn Street, Room 530</w:t>
      </w:r>
      <w:r>
        <w:rPr>
          <w:sz w:val="25"/>
          <w:szCs w:val="25"/>
        </w:rPr>
        <w:br/>
        <w:t>Chicago, IL 60604-1757</w:t>
      </w:r>
      <w:r>
        <w:rPr>
          <w:sz w:val="25"/>
          <w:szCs w:val="25"/>
        </w:rPr>
        <w:br/>
        <w:t>Telephone: (312) 596-7195</w:t>
      </w:r>
    </w:p>
    <w:p w:rsidR="009848C6" w:rsidP="009848C6" w:rsidRDefault="009848C6" w14:paraId="715D5F7E" w14:textId="77777777">
      <w:pPr>
        <w:pStyle w:val="NormalWeb"/>
        <w:spacing w:before="0" w:beforeAutospacing="0" w:after="300" w:afterAutospacing="0"/>
        <w:rPr>
          <w:sz w:val="25"/>
          <w:szCs w:val="25"/>
        </w:rPr>
      </w:pPr>
      <w:r>
        <w:rPr>
          <w:rStyle w:val="Strong"/>
          <w:sz w:val="25"/>
          <w:szCs w:val="25"/>
        </w:rPr>
        <w:t>What if I have questions as I complete the application?</w:t>
      </w:r>
    </w:p>
    <w:p w:rsidR="009848C6" w:rsidP="009848C6" w:rsidRDefault="009848C6" w14:paraId="26255F48" w14:textId="77777777">
      <w:pPr>
        <w:pStyle w:val="NormalWeb"/>
        <w:spacing w:before="0" w:beforeAutospacing="0" w:after="300" w:afterAutospacing="0"/>
        <w:rPr>
          <w:sz w:val="25"/>
          <w:szCs w:val="25"/>
        </w:rPr>
      </w:pPr>
      <w:r>
        <w:rPr>
          <w:sz w:val="25"/>
          <w:szCs w:val="25"/>
        </w:rPr>
        <w:t>Both the WH-226 and the WH-226A include detailed instructions. Read them carefully. However, if you still have questions, you may wish to contact the Certification Team member who covers your state.</w:t>
      </w:r>
    </w:p>
    <w:p w:rsidR="009848C6" w:rsidP="009848C6" w:rsidRDefault="009848C6" w14:paraId="02C52666" w14:textId="77777777">
      <w:pPr>
        <w:pStyle w:val="NormalWeb"/>
        <w:spacing w:before="0" w:beforeAutospacing="0" w:after="300" w:afterAutospacing="0"/>
        <w:rPr>
          <w:sz w:val="25"/>
          <w:szCs w:val="25"/>
        </w:rPr>
      </w:pPr>
      <w:r>
        <w:rPr>
          <w:sz w:val="25"/>
          <w:szCs w:val="25"/>
        </w:rPr>
        <w:t xml:space="preserve">For questions concerning the processing of certificates, mail questions to ATTN: National Certification Program Manager at the U.S. Department of Labor, Wage Hour Division, National Certification Team, 230 S. Dearborn Street, Room 514, </w:t>
      </w:r>
      <w:proofErr w:type="gramStart"/>
      <w:r>
        <w:rPr>
          <w:sz w:val="25"/>
          <w:szCs w:val="25"/>
        </w:rPr>
        <w:t>Chicago</w:t>
      </w:r>
      <w:proofErr w:type="gramEnd"/>
      <w:r>
        <w:rPr>
          <w:sz w:val="25"/>
          <w:szCs w:val="25"/>
        </w:rPr>
        <w:t>, IL 60604-1757.</w:t>
      </w:r>
    </w:p>
    <w:p w:rsidR="009848C6" w:rsidP="009848C6" w:rsidRDefault="009848C6" w14:paraId="605ED757" w14:textId="77777777">
      <w:pPr>
        <w:pStyle w:val="NormalWeb"/>
        <w:spacing w:before="0" w:beforeAutospacing="0" w:after="300" w:afterAutospacing="0"/>
        <w:rPr>
          <w:sz w:val="25"/>
          <w:szCs w:val="25"/>
        </w:rPr>
      </w:pPr>
      <w:r>
        <w:rPr>
          <w:rStyle w:val="Strong"/>
          <w:sz w:val="25"/>
          <w:szCs w:val="25"/>
        </w:rPr>
        <w:t>Note:</w:t>
      </w:r>
      <w:r>
        <w:rPr>
          <w:sz w:val="25"/>
          <w:szCs w:val="25"/>
        </w:rPr>
        <w:t> In order to view, fill out, and print PDF forms, you need Adobe® Acrobat® Reader® version 5 or later, which you may download for free at </w:t>
      </w:r>
      <w:hyperlink w:tgtFrame="_blank" w:history="1" r:id="rId11">
        <w:r>
          <w:rPr>
            <w:rStyle w:val="Hyperlink"/>
            <w:color w:val="981B1E"/>
            <w:sz w:val="25"/>
            <w:szCs w:val="25"/>
          </w:rPr>
          <w:t>http://www.adobe.com/products/acrobat/readstep2.html</w:t>
        </w:r>
      </w:hyperlink>
      <w:r>
        <w:rPr>
          <w:sz w:val="25"/>
          <w:szCs w:val="25"/>
        </w:rPr>
        <w:t>.</w:t>
      </w:r>
    </w:p>
    <w:p w:rsidR="009848C6" w:rsidP="009848C6" w:rsidRDefault="009848C6" w14:paraId="31781EF8" w14:textId="77777777">
      <w:pPr>
        <w:pStyle w:val="NormalWeb"/>
        <w:spacing w:before="0" w:beforeAutospacing="0" w:after="300" w:afterAutospacing="0"/>
        <w:rPr>
          <w:sz w:val="25"/>
          <w:szCs w:val="25"/>
        </w:rPr>
      </w:pPr>
      <w:r>
        <w:rPr>
          <w:sz w:val="25"/>
          <w:szCs w:val="25"/>
        </w:rPr>
        <w:t> </w:t>
      </w:r>
    </w:p>
    <w:p w:rsidRPr="009848C6" w:rsidR="00DB2B35" w:rsidP="009848C6" w:rsidRDefault="00516570" w14:paraId="6848CBF6" w14:textId="77777777">
      <w:hyperlink w:history="1" r:id="rId12">
        <w:r w:rsidR="009848C6">
          <w:rPr>
            <w:color w:val="562B97"/>
            <w:u w:val="single"/>
          </w:rPr>
          <w:br/>
        </w:r>
      </w:hyperlink>
    </w:p>
    <w:sectPr w:rsidRPr="009848C6" w:rsidR="00DB2B35" w:rsidSect="009848C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771"/>
    <w:multiLevelType w:val="multilevel"/>
    <w:tmpl w:val="1B46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A2"/>
    <w:rsid w:val="00516570"/>
    <w:rsid w:val="00653566"/>
    <w:rsid w:val="006A65A7"/>
    <w:rsid w:val="009848C6"/>
    <w:rsid w:val="00EB3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342A"/>
  <w15:chartTrackingRefBased/>
  <w15:docId w15:val="{BC7E9E7D-84BF-4E08-9542-D9E84460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B35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5A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B35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35A2"/>
    <w:rPr>
      <w:color w:val="0000FF"/>
      <w:u w:val="single"/>
    </w:rPr>
  </w:style>
  <w:style w:type="character" w:styleId="Strong">
    <w:name w:val="Strong"/>
    <w:basedOn w:val="DefaultParagraphFont"/>
    <w:uiPriority w:val="22"/>
    <w:qFormat/>
    <w:rsid w:val="00EB35A2"/>
    <w:rPr>
      <w:b/>
      <w:bCs/>
    </w:rPr>
  </w:style>
  <w:style w:type="character" w:styleId="Emphasis">
    <w:name w:val="Emphasis"/>
    <w:basedOn w:val="DefaultParagraphFont"/>
    <w:uiPriority w:val="20"/>
    <w:qFormat/>
    <w:rsid w:val="00EB35A2"/>
    <w:rPr>
      <w:i/>
      <w:iCs/>
    </w:rPr>
  </w:style>
  <w:style w:type="paragraph" w:styleId="BalloonText">
    <w:name w:val="Balloon Text"/>
    <w:basedOn w:val="Normal"/>
    <w:link w:val="BalloonTextChar"/>
    <w:uiPriority w:val="99"/>
    <w:semiHidden/>
    <w:unhideWhenUsed/>
    <w:rsid w:val="00516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5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98763">
      <w:bodyDiv w:val="1"/>
      <w:marLeft w:val="0"/>
      <w:marRight w:val="0"/>
      <w:marTop w:val="0"/>
      <w:marBottom w:val="0"/>
      <w:divBdr>
        <w:top w:val="none" w:sz="0" w:space="0" w:color="auto"/>
        <w:left w:val="none" w:sz="0" w:space="0" w:color="auto"/>
        <w:bottom w:val="none" w:sz="0" w:space="0" w:color="auto"/>
        <w:right w:val="none" w:sz="0" w:space="0" w:color="auto"/>
      </w:divBdr>
      <w:divsChild>
        <w:div w:id="1478183024">
          <w:marLeft w:val="0"/>
          <w:marRight w:val="0"/>
          <w:marTop w:val="0"/>
          <w:marBottom w:val="0"/>
          <w:divBdr>
            <w:top w:val="none" w:sz="0" w:space="0" w:color="auto"/>
            <w:left w:val="none" w:sz="0" w:space="0" w:color="auto"/>
            <w:bottom w:val="none" w:sz="0" w:space="0" w:color="auto"/>
            <w:right w:val="none" w:sz="0" w:space="0" w:color="auto"/>
          </w:divBdr>
          <w:divsChild>
            <w:div w:id="822550609">
              <w:marLeft w:val="0"/>
              <w:marRight w:val="0"/>
              <w:marTop w:val="0"/>
              <w:marBottom w:val="0"/>
              <w:divBdr>
                <w:top w:val="none" w:sz="0" w:space="0" w:color="auto"/>
                <w:left w:val="none" w:sz="0" w:space="0" w:color="auto"/>
                <w:bottom w:val="none" w:sz="0" w:space="0" w:color="auto"/>
                <w:right w:val="none" w:sz="0" w:space="0" w:color="auto"/>
              </w:divBdr>
              <w:divsChild>
                <w:div w:id="1145119097">
                  <w:marLeft w:val="0"/>
                  <w:marRight w:val="0"/>
                  <w:marTop w:val="0"/>
                  <w:marBottom w:val="0"/>
                  <w:divBdr>
                    <w:top w:val="none" w:sz="0" w:space="0" w:color="auto"/>
                    <w:left w:val="none" w:sz="0" w:space="0" w:color="auto"/>
                    <w:bottom w:val="none" w:sz="0" w:space="0" w:color="auto"/>
                    <w:right w:val="none" w:sz="0" w:space="0" w:color="auto"/>
                  </w:divBdr>
                  <w:divsChild>
                    <w:div w:id="137575757">
                      <w:marLeft w:val="0"/>
                      <w:marRight w:val="0"/>
                      <w:marTop w:val="0"/>
                      <w:marBottom w:val="0"/>
                      <w:divBdr>
                        <w:top w:val="none" w:sz="0" w:space="0" w:color="auto"/>
                        <w:left w:val="none" w:sz="0" w:space="0" w:color="auto"/>
                        <w:bottom w:val="none" w:sz="0" w:space="0" w:color="auto"/>
                        <w:right w:val="none" w:sz="0" w:space="0" w:color="auto"/>
                      </w:divBdr>
                      <w:divsChild>
                        <w:div w:id="663169531">
                          <w:marLeft w:val="0"/>
                          <w:marRight w:val="0"/>
                          <w:marTop w:val="0"/>
                          <w:marBottom w:val="0"/>
                          <w:divBdr>
                            <w:top w:val="none" w:sz="0" w:space="0" w:color="auto"/>
                            <w:left w:val="none" w:sz="0" w:space="0" w:color="auto"/>
                            <w:bottom w:val="none" w:sz="0" w:space="0" w:color="auto"/>
                            <w:right w:val="none" w:sz="0" w:space="0" w:color="auto"/>
                          </w:divBdr>
                          <w:divsChild>
                            <w:div w:id="191917848">
                              <w:marLeft w:val="0"/>
                              <w:marRight w:val="0"/>
                              <w:marTop w:val="0"/>
                              <w:marBottom w:val="0"/>
                              <w:divBdr>
                                <w:top w:val="none" w:sz="0" w:space="0" w:color="auto"/>
                                <w:left w:val="none" w:sz="0" w:space="0" w:color="auto"/>
                                <w:bottom w:val="none" w:sz="0" w:space="0" w:color="auto"/>
                                <w:right w:val="none" w:sz="0" w:space="0" w:color="auto"/>
                              </w:divBdr>
                              <w:divsChild>
                                <w:div w:id="4247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252341">
          <w:marLeft w:val="0"/>
          <w:marRight w:val="0"/>
          <w:marTop w:val="0"/>
          <w:marBottom w:val="0"/>
          <w:divBdr>
            <w:top w:val="none" w:sz="0" w:space="0" w:color="auto"/>
            <w:left w:val="none" w:sz="0" w:space="0" w:color="auto"/>
            <w:bottom w:val="none" w:sz="0" w:space="0" w:color="auto"/>
            <w:right w:val="none" w:sz="0" w:space="0" w:color="auto"/>
          </w:divBdr>
          <w:divsChild>
            <w:div w:id="419451354">
              <w:marLeft w:val="0"/>
              <w:marRight w:val="0"/>
              <w:marTop w:val="0"/>
              <w:marBottom w:val="0"/>
              <w:divBdr>
                <w:top w:val="none" w:sz="0" w:space="0" w:color="auto"/>
                <w:left w:val="none" w:sz="0" w:space="0" w:color="auto"/>
                <w:bottom w:val="none" w:sz="0" w:space="0" w:color="auto"/>
                <w:right w:val="none" w:sz="0" w:space="0" w:color="auto"/>
              </w:divBdr>
              <w:divsChild>
                <w:div w:id="1548176794">
                  <w:marLeft w:val="0"/>
                  <w:marRight w:val="0"/>
                  <w:marTop w:val="0"/>
                  <w:marBottom w:val="0"/>
                  <w:divBdr>
                    <w:top w:val="none" w:sz="0" w:space="0" w:color="auto"/>
                    <w:left w:val="none" w:sz="0" w:space="0" w:color="auto"/>
                    <w:bottom w:val="none" w:sz="0" w:space="0" w:color="auto"/>
                    <w:right w:val="none" w:sz="0" w:space="0" w:color="auto"/>
                  </w:divBdr>
                  <w:divsChild>
                    <w:div w:id="300815974">
                      <w:marLeft w:val="0"/>
                      <w:marRight w:val="0"/>
                      <w:marTop w:val="0"/>
                      <w:marBottom w:val="0"/>
                      <w:divBdr>
                        <w:top w:val="none" w:sz="0" w:space="0" w:color="auto"/>
                        <w:left w:val="none" w:sz="0" w:space="0" w:color="auto"/>
                        <w:bottom w:val="none" w:sz="0" w:space="0" w:color="auto"/>
                        <w:right w:val="none" w:sz="0" w:space="0" w:color="auto"/>
                      </w:divBdr>
                      <w:divsChild>
                        <w:div w:id="400058853">
                          <w:marLeft w:val="0"/>
                          <w:marRight w:val="0"/>
                          <w:marTop w:val="0"/>
                          <w:marBottom w:val="0"/>
                          <w:divBdr>
                            <w:top w:val="none" w:sz="0" w:space="0" w:color="auto"/>
                            <w:left w:val="none" w:sz="0" w:space="0" w:color="auto"/>
                            <w:bottom w:val="none" w:sz="0" w:space="0" w:color="auto"/>
                            <w:right w:val="none" w:sz="0" w:space="0" w:color="auto"/>
                          </w:divBdr>
                          <w:divsChild>
                            <w:div w:id="971789488">
                              <w:marLeft w:val="-225"/>
                              <w:marRight w:val="-225"/>
                              <w:marTop w:val="0"/>
                              <w:marBottom w:val="0"/>
                              <w:divBdr>
                                <w:top w:val="none" w:sz="0" w:space="0" w:color="auto"/>
                                <w:left w:val="none" w:sz="0" w:space="0" w:color="auto"/>
                                <w:bottom w:val="none" w:sz="0" w:space="0" w:color="auto"/>
                                <w:right w:val="none" w:sz="0" w:space="0" w:color="auto"/>
                              </w:divBdr>
                              <w:divsChild>
                                <w:div w:id="440682769">
                                  <w:marLeft w:val="0"/>
                                  <w:marRight w:val="0"/>
                                  <w:marTop w:val="0"/>
                                  <w:marBottom w:val="0"/>
                                  <w:divBdr>
                                    <w:top w:val="none" w:sz="0" w:space="0" w:color="auto"/>
                                    <w:left w:val="none" w:sz="0" w:space="0" w:color="auto"/>
                                    <w:bottom w:val="none" w:sz="0" w:space="0" w:color="auto"/>
                                    <w:right w:val="none" w:sz="0" w:space="0" w:color="auto"/>
                                  </w:divBdr>
                                  <w:divsChild>
                                    <w:div w:id="1290236753">
                                      <w:marLeft w:val="0"/>
                                      <w:marRight w:val="0"/>
                                      <w:marTop w:val="0"/>
                                      <w:marBottom w:val="0"/>
                                      <w:divBdr>
                                        <w:top w:val="none" w:sz="0" w:space="0" w:color="auto"/>
                                        <w:left w:val="none" w:sz="0" w:space="0" w:color="auto"/>
                                        <w:bottom w:val="none" w:sz="0" w:space="0" w:color="auto"/>
                                        <w:right w:val="none" w:sz="0" w:space="0" w:color="auto"/>
                                      </w:divBdr>
                                      <w:divsChild>
                                        <w:div w:id="2030907974">
                                          <w:marLeft w:val="0"/>
                                          <w:marRight w:val="0"/>
                                          <w:marTop w:val="0"/>
                                          <w:marBottom w:val="0"/>
                                          <w:divBdr>
                                            <w:top w:val="none" w:sz="0" w:space="0" w:color="auto"/>
                                            <w:left w:val="none" w:sz="0" w:space="0" w:color="auto"/>
                                            <w:bottom w:val="none" w:sz="0" w:space="0" w:color="auto"/>
                                            <w:right w:val="none" w:sz="0" w:space="0" w:color="auto"/>
                                          </w:divBdr>
                                          <w:divsChild>
                                            <w:div w:id="903486716">
                                              <w:marLeft w:val="0"/>
                                              <w:marRight w:val="0"/>
                                              <w:marTop w:val="0"/>
                                              <w:marBottom w:val="0"/>
                                              <w:divBdr>
                                                <w:top w:val="none" w:sz="0" w:space="0" w:color="auto"/>
                                                <w:left w:val="none" w:sz="0" w:space="0" w:color="auto"/>
                                                <w:bottom w:val="none" w:sz="0" w:space="0" w:color="auto"/>
                                                <w:right w:val="none" w:sz="0" w:space="0" w:color="auto"/>
                                              </w:divBdr>
                                              <w:divsChild>
                                                <w:div w:id="203341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518286">
          <w:marLeft w:val="0"/>
          <w:marRight w:val="0"/>
          <w:marTop w:val="0"/>
          <w:marBottom w:val="0"/>
          <w:divBdr>
            <w:top w:val="none" w:sz="0" w:space="0" w:color="auto"/>
            <w:left w:val="none" w:sz="0" w:space="0" w:color="auto"/>
            <w:bottom w:val="none" w:sz="0" w:space="0" w:color="auto"/>
            <w:right w:val="none" w:sz="0" w:space="0" w:color="auto"/>
          </w:divBdr>
        </w:div>
      </w:divsChild>
    </w:div>
    <w:div w:id="1946499911">
      <w:bodyDiv w:val="1"/>
      <w:marLeft w:val="0"/>
      <w:marRight w:val="0"/>
      <w:marTop w:val="0"/>
      <w:marBottom w:val="0"/>
      <w:divBdr>
        <w:top w:val="none" w:sz="0" w:space="0" w:color="auto"/>
        <w:left w:val="none" w:sz="0" w:space="0" w:color="auto"/>
        <w:bottom w:val="none" w:sz="0" w:space="0" w:color="auto"/>
        <w:right w:val="none" w:sz="0" w:space="0" w:color="auto"/>
      </w:divBdr>
      <w:divsChild>
        <w:div w:id="490215153">
          <w:marLeft w:val="0"/>
          <w:marRight w:val="0"/>
          <w:marTop w:val="0"/>
          <w:marBottom w:val="0"/>
          <w:divBdr>
            <w:top w:val="none" w:sz="0" w:space="0" w:color="auto"/>
            <w:left w:val="none" w:sz="0" w:space="0" w:color="auto"/>
            <w:bottom w:val="none" w:sz="0" w:space="0" w:color="auto"/>
            <w:right w:val="none" w:sz="0" w:space="0" w:color="auto"/>
          </w:divBdr>
          <w:divsChild>
            <w:div w:id="1628928102">
              <w:marLeft w:val="0"/>
              <w:marRight w:val="0"/>
              <w:marTop w:val="0"/>
              <w:marBottom w:val="0"/>
              <w:divBdr>
                <w:top w:val="none" w:sz="0" w:space="0" w:color="auto"/>
                <w:left w:val="none" w:sz="0" w:space="0" w:color="auto"/>
                <w:bottom w:val="none" w:sz="0" w:space="0" w:color="auto"/>
                <w:right w:val="none" w:sz="0" w:space="0" w:color="auto"/>
              </w:divBdr>
              <w:divsChild>
                <w:div w:id="235283177">
                  <w:marLeft w:val="0"/>
                  <w:marRight w:val="0"/>
                  <w:marTop w:val="0"/>
                  <w:marBottom w:val="0"/>
                  <w:divBdr>
                    <w:top w:val="none" w:sz="0" w:space="0" w:color="auto"/>
                    <w:left w:val="none" w:sz="0" w:space="0" w:color="auto"/>
                    <w:bottom w:val="none" w:sz="0" w:space="0" w:color="auto"/>
                    <w:right w:val="none" w:sz="0" w:space="0" w:color="auto"/>
                  </w:divBdr>
                  <w:divsChild>
                    <w:div w:id="1040126267">
                      <w:marLeft w:val="0"/>
                      <w:marRight w:val="0"/>
                      <w:marTop w:val="0"/>
                      <w:marBottom w:val="0"/>
                      <w:divBdr>
                        <w:top w:val="none" w:sz="0" w:space="0" w:color="auto"/>
                        <w:left w:val="none" w:sz="0" w:space="0" w:color="auto"/>
                        <w:bottom w:val="none" w:sz="0" w:space="0" w:color="auto"/>
                        <w:right w:val="none" w:sz="0" w:space="0" w:color="auto"/>
                      </w:divBdr>
                      <w:divsChild>
                        <w:div w:id="1969823894">
                          <w:marLeft w:val="0"/>
                          <w:marRight w:val="0"/>
                          <w:marTop w:val="0"/>
                          <w:marBottom w:val="0"/>
                          <w:divBdr>
                            <w:top w:val="none" w:sz="0" w:space="0" w:color="auto"/>
                            <w:left w:val="none" w:sz="0" w:space="0" w:color="auto"/>
                            <w:bottom w:val="none" w:sz="0" w:space="0" w:color="auto"/>
                            <w:right w:val="none" w:sz="0" w:space="0" w:color="auto"/>
                          </w:divBdr>
                          <w:divsChild>
                            <w:div w:id="1137606017">
                              <w:marLeft w:val="0"/>
                              <w:marRight w:val="0"/>
                              <w:marTop w:val="0"/>
                              <w:marBottom w:val="0"/>
                              <w:divBdr>
                                <w:top w:val="none" w:sz="0" w:space="0" w:color="auto"/>
                                <w:left w:val="none" w:sz="0" w:space="0" w:color="auto"/>
                                <w:bottom w:val="none" w:sz="0" w:space="0" w:color="auto"/>
                                <w:right w:val="none" w:sz="0" w:space="0" w:color="auto"/>
                              </w:divBdr>
                              <w:divsChild>
                                <w:div w:id="4386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606630">
          <w:marLeft w:val="0"/>
          <w:marRight w:val="0"/>
          <w:marTop w:val="0"/>
          <w:marBottom w:val="0"/>
          <w:divBdr>
            <w:top w:val="none" w:sz="0" w:space="0" w:color="auto"/>
            <w:left w:val="none" w:sz="0" w:space="0" w:color="auto"/>
            <w:bottom w:val="none" w:sz="0" w:space="0" w:color="auto"/>
            <w:right w:val="none" w:sz="0" w:space="0" w:color="auto"/>
          </w:divBdr>
          <w:divsChild>
            <w:div w:id="1790322698">
              <w:marLeft w:val="0"/>
              <w:marRight w:val="0"/>
              <w:marTop w:val="0"/>
              <w:marBottom w:val="0"/>
              <w:divBdr>
                <w:top w:val="none" w:sz="0" w:space="0" w:color="auto"/>
                <w:left w:val="none" w:sz="0" w:space="0" w:color="auto"/>
                <w:bottom w:val="none" w:sz="0" w:space="0" w:color="auto"/>
                <w:right w:val="none" w:sz="0" w:space="0" w:color="auto"/>
              </w:divBdr>
              <w:divsChild>
                <w:div w:id="1743333785">
                  <w:marLeft w:val="0"/>
                  <w:marRight w:val="0"/>
                  <w:marTop w:val="0"/>
                  <w:marBottom w:val="0"/>
                  <w:divBdr>
                    <w:top w:val="none" w:sz="0" w:space="0" w:color="auto"/>
                    <w:left w:val="none" w:sz="0" w:space="0" w:color="auto"/>
                    <w:bottom w:val="none" w:sz="0" w:space="0" w:color="auto"/>
                    <w:right w:val="none" w:sz="0" w:space="0" w:color="auto"/>
                  </w:divBdr>
                  <w:divsChild>
                    <w:div w:id="1177039211">
                      <w:marLeft w:val="0"/>
                      <w:marRight w:val="0"/>
                      <w:marTop w:val="0"/>
                      <w:marBottom w:val="0"/>
                      <w:divBdr>
                        <w:top w:val="none" w:sz="0" w:space="0" w:color="auto"/>
                        <w:left w:val="none" w:sz="0" w:space="0" w:color="auto"/>
                        <w:bottom w:val="none" w:sz="0" w:space="0" w:color="auto"/>
                        <w:right w:val="none" w:sz="0" w:space="0" w:color="auto"/>
                      </w:divBdr>
                      <w:divsChild>
                        <w:div w:id="1912617483">
                          <w:marLeft w:val="0"/>
                          <w:marRight w:val="0"/>
                          <w:marTop w:val="0"/>
                          <w:marBottom w:val="0"/>
                          <w:divBdr>
                            <w:top w:val="none" w:sz="0" w:space="0" w:color="auto"/>
                            <w:left w:val="none" w:sz="0" w:space="0" w:color="auto"/>
                            <w:bottom w:val="none" w:sz="0" w:space="0" w:color="auto"/>
                            <w:right w:val="none" w:sz="0" w:space="0" w:color="auto"/>
                          </w:divBdr>
                          <w:divsChild>
                            <w:div w:id="1180855934">
                              <w:marLeft w:val="-225"/>
                              <w:marRight w:val="-225"/>
                              <w:marTop w:val="0"/>
                              <w:marBottom w:val="0"/>
                              <w:divBdr>
                                <w:top w:val="none" w:sz="0" w:space="0" w:color="auto"/>
                                <w:left w:val="none" w:sz="0" w:space="0" w:color="auto"/>
                                <w:bottom w:val="none" w:sz="0" w:space="0" w:color="auto"/>
                                <w:right w:val="none" w:sz="0" w:space="0" w:color="auto"/>
                              </w:divBdr>
                              <w:divsChild>
                                <w:div w:id="763960931">
                                  <w:marLeft w:val="0"/>
                                  <w:marRight w:val="0"/>
                                  <w:marTop w:val="0"/>
                                  <w:marBottom w:val="0"/>
                                  <w:divBdr>
                                    <w:top w:val="none" w:sz="0" w:space="0" w:color="auto"/>
                                    <w:left w:val="none" w:sz="0" w:space="0" w:color="auto"/>
                                    <w:bottom w:val="none" w:sz="0" w:space="0" w:color="auto"/>
                                    <w:right w:val="none" w:sz="0" w:space="0" w:color="auto"/>
                                  </w:divBdr>
                                  <w:divsChild>
                                    <w:div w:id="574432239">
                                      <w:marLeft w:val="0"/>
                                      <w:marRight w:val="0"/>
                                      <w:marTop w:val="0"/>
                                      <w:marBottom w:val="0"/>
                                      <w:divBdr>
                                        <w:top w:val="none" w:sz="0" w:space="0" w:color="auto"/>
                                        <w:left w:val="none" w:sz="0" w:space="0" w:color="auto"/>
                                        <w:bottom w:val="none" w:sz="0" w:space="0" w:color="auto"/>
                                        <w:right w:val="none" w:sz="0" w:space="0" w:color="auto"/>
                                      </w:divBdr>
                                      <w:divsChild>
                                        <w:div w:id="75055913">
                                          <w:marLeft w:val="0"/>
                                          <w:marRight w:val="0"/>
                                          <w:marTop w:val="0"/>
                                          <w:marBottom w:val="0"/>
                                          <w:divBdr>
                                            <w:top w:val="none" w:sz="0" w:space="0" w:color="auto"/>
                                            <w:left w:val="none" w:sz="0" w:space="0" w:color="auto"/>
                                            <w:bottom w:val="none" w:sz="0" w:space="0" w:color="auto"/>
                                            <w:right w:val="none" w:sz="0" w:space="0" w:color="auto"/>
                                          </w:divBdr>
                                          <w:divsChild>
                                            <w:div w:id="111680330">
                                              <w:marLeft w:val="0"/>
                                              <w:marRight w:val="0"/>
                                              <w:marTop w:val="0"/>
                                              <w:marBottom w:val="0"/>
                                              <w:divBdr>
                                                <w:top w:val="none" w:sz="0" w:space="0" w:color="auto"/>
                                                <w:left w:val="none" w:sz="0" w:space="0" w:color="auto"/>
                                                <w:bottom w:val="none" w:sz="0" w:space="0" w:color="auto"/>
                                                <w:right w:val="none" w:sz="0" w:space="0" w:color="auto"/>
                                              </w:divBdr>
                                              <w:divsChild>
                                                <w:div w:id="1876499772">
                                                  <w:marLeft w:val="0"/>
                                                  <w:marRight w:val="0"/>
                                                  <w:marTop w:val="0"/>
                                                  <w:marBottom w:val="0"/>
                                                  <w:divBdr>
                                                    <w:top w:val="none" w:sz="0" w:space="0" w:color="auto"/>
                                                    <w:left w:val="none" w:sz="0" w:space="0" w:color="auto"/>
                                                    <w:bottom w:val="none" w:sz="0" w:space="0" w:color="auto"/>
                                                    <w:right w:val="none" w:sz="0" w:space="0" w:color="auto"/>
                                                  </w:divBdr>
                                                  <w:divsChild>
                                                    <w:div w:id="1402558776">
                                                      <w:marLeft w:val="0"/>
                                                      <w:marRight w:val="0"/>
                                                      <w:marTop w:val="0"/>
                                                      <w:marBottom w:val="0"/>
                                                      <w:divBdr>
                                                        <w:top w:val="none" w:sz="0" w:space="0" w:color="auto"/>
                                                        <w:left w:val="none" w:sz="0" w:space="0" w:color="auto"/>
                                                        <w:bottom w:val="none" w:sz="0" w:space="0" w:color="auto"/>
                                                        <w:right w:val="none" w:sz="0" w:space="0" w:color="auto"/>
                                                      </w:divBdr>
                                                    </w:div>
                                                    <w:div w:id="8789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l.gov/sites/dolgov/files/WHD/legacy/files/wh-200.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l.gov/agencies/whd/forms/wh200-wh201-wh20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obe.com/products/acrobat/readstep2.html" TargetMode="External"/><Relationship Id="rId5" Type="http://schemas.openxmlformats.org/officeDocument/2006/relationships/styles" Target="styles.xml"/><Relationship Id="rId10" Type="http://schemas.openxmlformats.org/officeDocument/2006/relationships/hyperlink" Target="https://www.dol.gov/sites/dolgov/files/WHD/legacy/files/wh-202.pdf" TargetMode="External"/><Relationship Id="rId4" Type="http://schemas.openxmlformats.org/officeDocument/2006/relationships/numbering" Target="numbering.xml"/><Relationship Id="rId9" Type="http://schemas.openxmlformats.org/officeDocument/2006/relationships/hyperlink" Target="https://www.dol.gov/sites/dolgov/files/WHD/legacy/files/wh-20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0" ma:contentTypeDescription="Create a new document." ma:contentTypeScope="" ma:versionID="1ee52b1c8e1cbad4fedbd0a8e9a921e9">
  <xsd:schema xmlns:xsd="http://www.w3.org/2001/XMLSchema" xmlns:xs="http://www.w3.org/2001/XMLSchema" xmlns:p="http://schemas.microsoft.com/office/2006/metadata/properties" xmlns:ns3="9f75c5af-d26c-4511-82f9-262aceebea2e" xmlns:ns4="14ca70b7-b93c-4334-ab56-eeed2676982a" targetNamespace="http://schemas.microsoft.com/office/2006/metadata/properties" ma:root="true" ma:fieldsID="7ff1ccddf6d7bd470ec5a1041d278b14" ns3:_="" ns4:_="">
    <xsd:import namespace="9f75c5af-d26c-4511-82f9-262aceebea2e"/>
    <xsd:import namespace="14ca70b7-b93c-4334-ab56-eeed2676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E45471-BF45-4377-BA02-BB64AC966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5af-d26c-4511-82f9-262aceebea2e"/>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828D5-71FF-4F85-B435-1B8048DC6896}">
  <ds:schemaRefs>
    <ds:schemaRef ds:uri="http://schemas.microsoft.com/sharepoint/v3/contenttype/forms"/>
  </ds:schemaRefs>
</ds:datastoreItem>
</file>

<file path=customXml/itemProps3.xml><?xml version="1.0" encoding="utf-8"?>
<ds:datastoreItem xmlns:ds="http://schemas.openxmlformats.org/officeDocument/2006/customXml" ds:itemID="{55CCEA0F-A4B5-4499-8F4A-4173FB6E8AEB}">
  <ds:schemaRefs>
    <ds:schemaRef ds:uri="http://www.w3.org/XML/1998/namespace"/>
    <ds:schemaRef ds:uri="http://schemas.microsoft.com/office/infopath/2007/PartnerControls"/>
    <ds:schemaRef ds:uri="http://purl.org/dc/terms/"/>
    <ds:schemaRef ds:uri="14ca70b7-b93c-4334-ab56-eeed2676982a"/>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9f75c5af-d26c-4511-82f9-262aceebea2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Wendy D - WHD</dc:creator>
  <cp:keywords/>
  <dc:description/>
  <cp:lastModifiedBy>Waterman, Robert - WHD</cp:lastModifiedBy>
  <cp:revision>2</cp:revision>
  <cp:lastPrinted>2020-02-21T12:50:00Z</cp:lastPrinted>
  <dcterms:created xsi:type="dcterms:W3CDTF">2020-02-21T12:50:00Z</dcterms:created>
  <dcterms:modified xsi:type="dcterms:W3CDTF">2020-02-21T12:50:00Z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