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F8E" w:rsidP="00D11F8E" w14:paraId="5D6E6C44" w14:textId="77777777">
      <w:pPr>
        <w:suppressAutoHyphens/>
        <w:rPr>
          <w:rFonts w:ascii="Times New Roman" w:hAnsi="Times New Roman"/>
          <w:b/>
          <w:spacing w:val="-3"/>
          <w:szCs w:val="24"/>
        </w:rPr>
      </w:pPr>
    </w:p>
    <w:p w:rsidR="0001485B" w:rsidRPr="008C539C" w:rsidP="00DC3353" w14:paraId="703C57EC" w14:textId="1E9C6BDC">
      <w:pPr>
        <w:suppressAutoHyphens/>
        <w:jc w:val="center"/>
        <w:rPr>
          <w:rFonts w:ascii="Times New Roman" w:hAnsi="Times New Roman"/>
          <w:b/>
          <w:spacing w:val="-3"/>
          <w:szCs w:val="24"/>
        </w:rPr>
      </w:pPr>
      <w:r w:rsidRPr="008C539C">
        <w:rPr>
          <w:rFonts w:ascii="Times New Roman" w:hAnsi="Times New Roman"/>
          <w:b/>
          <w:spacing w:val="-3"/>
          <w:szCs w:val="24"/>
        </w:rPr>
        <w:t>SUPPORTING STATEMENT</w:t>
      </w:r>
      <w:r w:rsidRPr="008C539C" w:rsidR="008C539C">
        <w:rPr>
          <w:rFonts w:ascii="Times New Roman" w:hAnsi="Times New Roman"/>
          <w:b/>
          <w:spacing w:val="-3"/>
          <w:szCs w:val="24"/>
        </w:rPr>
        <w:t xml:space="preserve"> FOR</w:t>
      </w:r>
    </w:p>
    <w:p w:rsidR="0001485B" w:rsidRPr="006F5EDE" w:rsidP="00DC3353" w14:paraId="3DC185CB" w14:textId="783FC916">
      <w:pPr>
        <w:suppressAutoHyphens/>
        <w:jc w:val="center"/>
        <w:rPr>
          <w:rFonts w:ascii="Times New Roman" w:hAnsi="Times New Roman"/>
          <w:b/>
          <w:spacing w:val="-3"/>
          <w:szCs w:val="24"/>
        </w:rPr>
      </w:pPr>
      <w:r w:rsidRPr="006F5EDE">
        <w:rPr>
          <w:rFonts w:ascii="Times New Roman" w:hAnsi="Times New Roman"/>
          <w:b/>
          <w:spacing w:val="-3"/>
          <w:szCs w:val="24"/>
        </w:rPr>
        <w:t>Notice of Law Enforcement Officer’s Injury or Occupational Disease (CA-721)</w:t>
      </w:r>
      <w:r w:rsidR="00D94FF6">
        <w:rPr>
          <w:rFonts w:ascii="Times New Roman" w:hAnsi="Times New Roman"/>
          <w:b/>
          <w:spacing w:val="-3"/>
          <w:szCs w:val="24"/>
        </w:rPr>
        <w:t>;</w:t>
      </w:r>
      <w:r w:rsidRPr="006F5EDE">
        <w:rPr>
          <w:rFonts w:ascii="Times New Roman" w:hAnsi="Times New Roman"/>
          <w:b/>
          <w:spacing w:val="-3"/>
          <w:szCs w:val="24"/>
        </w:rPr>
        <w:t xml:space="preserve"> and Notice of Law Enforcement Officer’s Death (CA-722)</w:t>
      </w:r>
    </w:p>
    <w:p w:rsidR="008C539C" w:rsidRPr="001775CF" w:rsidP="00DC3353" w14:paraId="5F20AA7B" w14:textId="77777777">
      <w:pPr>
        <w:suppressAutoHyphens/>
        <w:jc w:val="center"/>
        <w:rPr>
          <w:rFonts w:ascii="Times New Roman" w:hAnsi="Times New Roman"/>
          <w:b/>
          <w:spacing w:val="-3"/>
          <w:szCs w:val="24"/>
        </w:rPr>
      </w:pPr>
    </w:p>
    <w:p w:rsidR="008C539C" w:rsidRPr="008C539C" w:rsidP="006F5EDE" w14:paraId="21EAEBBA" w14:textId="35B58F25">
      <w:pPr>
        <w:tabs>
          <w:tab w:val="center" w:pos="4680"/>
          <w:tab w:val="left" w:pos="7000"/>
        </w:tabs>
        <w:suppressAutoHyphens/>
        <w:rPr>
          <w:rFonts w:ascii="Times New Roman" w:hAnsi="Times New Roman"/>
          <w:b/>
          <w:spacing w:val="-3"/>
          <w:szCs w:val="24"/>
        </w:rPr>
      </w:pPr>
      <w:r>
        <w:rPr>
          <w:rFonts w:ascii="Times New Roman" w:hAnsi="Times New Roman"/>
          <w:b/>
          <w:spacing w:val="-3"/>
          <w:szCs w:val="24"/>
        </w:rPr>
        <w:tab/>
      </w:r>
      <w:r w:rsidRPr="008C539C">
        <w:rPr>
          <w:rFonts w:ascii="Times New Roman" w:hAnsi="Times New Roman"/>
          <w:b/>
          <w:spacing w:val="-3"/>
          <w:szCs w:val="24"/>
        </w:rPr>
        <w:t>OMB CONTROL NO. 1240-0022</w:t>
      </w:r>
      <w:r>
        <w:rPr>
          <w:rFonts w:ascii="Times New Roman" w:hAnsi="Times New Roman"/>
          <w:b/>
          <w:spacing w:val="-3"/>
          <w:szCs w:val="24"/>
        </w:rPr>
        <w:tab/>
      </w:r>
    </w:p>
    <w:p w:rsidR="00880F3D" w:rsidP="00880F3D" w14:paraId="1952BEC3" w14:textId="5A4A32F6">
      <w:pPr>
        <w:suppressAutoHyphens/>
        <w:rPr>
          <w:rFonts w:ascii="Times New Roman" w:hAnsi="Times New Roman"/>
          <w:b/>
          <w:spacing w:val="-3"/>
          <w:sz w:val="28"/>
          <w:szCs w:val="28"/>
        </w:rPr>
      </w:pPr>
    </w:p>
    <w:p w:rsidR="00880F3D" w:rsidRPr="001775CF" w:rsidP="00106ABC" w14:paraId="6B91E2B4" w14:textId="3AF72523">
      <w:pPr>
        <w:suppressAutoHyphens/>
        <w:rPr>
          <w:rFonts w:ascii="Times New Roman" w:hAnsi="Times New Roman"/>
          <w:bCs/>
          <w:spacing w:val="-3"/>
          <w:szCs w:val="24"/>
        </w:rPr>
      </w:pPr>
      <w:r w:rsidRPr="001775CF">
        <w:rPr>
          <w:rFonts w:ascii="Times New Roman" w:hAnsi="Times New Roman"/>
          <w:bCs/>
          <w:spacing w:val="-3"/>
          <w:szCs w:val="24"/>
        </w:rPr>
        <w:t>This ICR seeks to extend this information collection.</w:t>
      </w:r>
    </w:p>
    <w:p w:rsidR="00FE4166" w:rsidRPr="006C7351" w:rsidP="00DC3353" w14:paraId="69B69A63" w14:textId="77777777">
      <w:pPr>
        <w:suppressAutoHyphens/>
        <w:jc w:val="center"/>
        <w:rPr>
          <w:rFonts w:ascii="Times New Roman" w:hAnsi="Times New Roman"/>
          <w:b/>
          <w:spacing w:val="-3"/>
          <w:szCs w:val="24"/>
        </w:rPr>
      </w:pPr>
    </w:p>
    <w:p w:rsidR="00173C1E" w:rsidRPr="006C7351" w:rsidP="00FE4166" w14:paraId="1D4DAE65" w14:textId="08B1B8EE">
      <w:pPr>
        <w:suppressAutoHyphens/>
        <w:rPr>
          <w:rFonts w:ascii="Times New Roman" w:hAnsi="Times New Roman"/>
          <w:b/>
          <w:spacing w:val="-3"/>
          <w:szCs w:val="24"/>
        </w:rPr>
      </w:pPr>
      <w:r w:rsidRPr="006C7351">
        <w:rPr>
          <w:rFonts w:ascii="Times New Roman" w:hAnsi="Times New Roman"/>
          <w:b/>
          <w:spacing w:val="-3"/>
          <w:szCs w:val="24"/>
        </w:rPr>
        <w:t>A.</w:t>
      </w:r>
      <w:r w:rsidRPr="006C7351" w:rsidR="00260337">
        <w:rPr>
          <w:rFonts w:ascii="Times New Roman" w:hAnsi="Times New Roman"/>
          <w:b/>
          <w:spacing w:val="-3"/>
          <w:szCs w:val="24"/>
        </w:rPr>
        <w:tab/>
      </w:r>
      <w:r w:rsidR="008C539C">
        <w:rPr>
          <w:rFonts w:ascii="Times New Roman" w:hAnsi="Times New Roman"/>
          <w:b/>
          <w:spacing w:val="-3"/>
          <w:szCs w:val="24"/>
        </w:rPr>
        <w:t>JUSTIFICATION</w:t>
      </w:r>
    </w:p>
    <w:p w:rsidR="00FE4166" w:rsidRPr="006C7351" w:rsidP="00DC3353" w14:paraId="482817C8" w14:textId="77777777">
      <w:pPr>
        <w:suppressAutoHyphens/>
        <w:jc w:val="center"/>
        <w:rPr>
          <w:rFonts w:ascii="Times New Roman" w:hAnsi="Times New Roman"/>
          <w:b/>
          <w:spacing w:val="-3"/>
          <w:szCs w:val="24"/>
        </w:rPr>
      </w:pPr>
    </w:p>
    <w:p w:rsidR="00790B06" w:rsidP="00790B06" w14:paraId="5294C73B" w14:textId="0A163B4D">
      <w:pPr>
        <w:widowControl/>
        <w:rPr>
          <w:rFonts w:ascii="Times New Roman" w:hAnsi="Times New Roman"/>
        </w:rPr>
      </w:pPr>
      <w:r w:rsidRPr="006C7351">
        <w:rPr>
          <w:rFonts w:ascii="Times New Roman" w:hAnsi="Times New Roman"/>
          <w:b/>
          <w:szCs w:val="24"/>
        </w:rPr>
        <w:t>1.</w:t>
      </w:r>
      <w:r>
        <w:rPr>
          <w:rFonts w:ascii="Times New Roman" w:hAnsi="Times New Roman"/>
          <w:b/>
          <w:bCs/>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73C1E" w:rsidRPr="006C7351" w:rsidP="00790B06" w14:paraId="3DF8F6B0" w14:textId="77777777">
      <w:pPr>
        <w:suppressAutoHyphens/>
        <w:jc w:val="both"/>
        <w:rPr>
          <w:rFonts w:ascii="Times New Roman" w:hAnsi="Times New Roman"/>
          <w:b/>
          <w:spacing w:val="-3"/>
          <w:szCs w:val="24"/>
        </w:rPr>
      </w:pPr>
    </w:p>
    <w:p w:rsidR="004E218B" w:rsidRPr="004E218B" w:rsidP="00790B06" w14:paraId="131C9FDF" w14:textId="31BDEBF5">
      <w:pPr>
        <w:rPr>
          <w:rFonts w:ascii="Times New Roman" w:hAnsi="Times New Roman"/>
        </w:rPr>
      </w:pPr>
      <w:r w:rsidRPr="004E218B">
        <w:rPr>
          <w:rFonts w:ascii="Times New Roman" w:hAnsi="Times New Roman"/>
          <w:spacing w:val="-3"/>
          <w:szCs w:val="24"/>
        </w:rPr>
        <w:t>The Federal Employees</w:t>
      </w:r>
      <w:r w:rsidR="00D42188">
        <w:rPr>
          <w:rFonts w:ascii="Times New Roman" w:hAnsi="Times New Roman"/>
          <w:spacing w:val="-3"/>
          <w:szCs w:val="24"/>
        </w:rPr>
        <w:t>’</w:t>
      </w:r>
      <w:r w:rsidRPr="004E218B">
        <w:rPr>
          <w:rFonts w:ascii="Times New Roman" w:hAnsi="Times New Roman"/>
          <w:spacing w:val="-3"/>
          <w:szCs w:val="24"/>
        </w:rPr>
        <w:t xml:space="preserve"> Compensation Act (FECA) provides, under 5 U.S.C. 8191, et.seq. and 20 CFR 10.735, that non-Federal law enforcement officers injured or killed under certain circumstances are entitled to the benefits of the Act, to the same extent as if they were employees of the Federal Government.  The CA-721 and CA-722 are used by non-Federal law enforcement officers and their survivors to claim compensation under the FECA.  Form CA-721 is used for claims for injury.  Form CA-722 is used for claims for death.</w:t>
      </w:r>
      <w:r w:rsidRPr="004E218B" w:rsidR="0055410E">
        <w:rPr>
          <w:rFonts w:ascii="Times New Roman" w:hAnsi="Times New Roman"/>
          <w:szCs w:val="24"/>
        </w:rPr>
        <w:t xml:space="preserve"> </w:t>
      </w:r>
      <w:r w:rsidRPr="004E218B">
        <w:rPr>
          <w:rFonts w:ascii="Times New Roman" w:hAnsi="Times New Roman"/>
          <w:szCs w:val="24"/>
        </w:rPr>
        <w:t xml:space="preserve">  </w:t>
      </w:r>
      <w:r w:rsidRPr="004E218B">
        <w:rPr>
          <w:rFonts w:ascii="Times New Roman" w:hAnsi="Times New Roman"/>
        </w:rPr>
        <w:t>The authority for this collection is 5 U.S.C. 8191-8193.</w:t>
      </w:r>
    </w:p>
    <w:p w:rsidR="00243433" w:rsidRPr="006C7351" w:rsidP="00DC3353" w14:paraId="4C2DF0FF" w14:textId="77777777">
      <w:pPr>
        <w:widowControl/>
        <w:autoSpaceDE w:val="0"/>
        <w:autoSpaceDN w:val="0"/>
        <w:adjustRightInd w:val="0"/>
        <w:rPr>
          <w:rFonts w:ascii="Times New Roman" w:hAnsi="Times New Roman"/>
          <w:szCs w:val="24"/>
        </w:rPr>
      </w:pPr>
    </w:p>
    <w:p w:rsidR="00790B06" w:rsidP="00790B06" w14:paraId="02BF617B" w14:textId="77777777">
      <w:pPr>
        <w:widowControl/>
        <w:rPr>
          <w:rFonts w:ascii="Times New Roman" w:hAnsi="Times New Roman"/>
          <w:b/>
          <w:bCs/>
        </w:rPr>
      </w:pPr>
      <w:r w:rsidRPr="006C7351">
        <w:rPr>
          <w:rFonts w:ascii="Times New Roman" w:hAnsi="Times New Roman"/>
          <w:b/>
          <w:szCs w:val="24"/>
        </w:rPr>
        <w:t>2.</w:t>
      </w:r>
      <w:r>
        <w:rPr>
          <w:rFonts w:ascii="Times New Roman" w:hAnsi="Times New Roman"/>
          <w:b/>
          <w:szCs w:val="24"/>
        </w:rPr>
        <w:t xml:space="preserve">  </w:t>
      </w:r>
      <w:r>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790B06" w:rsidP="00790B06" w14:paraId="030B5F63" w14:textId="77777777">
      <w:pPr>
        <w:widowControl/>
        <w:rPr>
          <w:rFonts w:ascii="Times New Roman" w:hAnsi="Times New Roman"/>
        </w:rPr>
      </w:pPr>
    </w:p>
    <w:p w:rsidR="002148D4" w:rsidRPr="006C7351" w:rsidP="00790B06" w14:paraId="0BF82505" w14:textId="3470D22E">
      <w:pPr>
        <w:suppressAutoHyphens/>
        <w:rPr>
          <w:rFonts w:ascii="Times New Roman" w:hAnsi="Times New Roman"/>
          <w:spacing w:val="-3"/>
          <w:szCs w:val="24"/>
        </w:rPr>
      </w:pPr>
      <w:r w:rsidRPr="006C7351">
        <w:rPr>
          <w:rFonts w:ascii="Times New Roman" w:hAnsi="Times New Roman"/>
          <w:spacing w:val="-3"/>
          <w:szCs w:val="24"/>
        </w:rPr>
        <w:t>These forms are the device by which notices of injury, claims for compensation, and claims for death benefits are filed by non-Federal law enforcement officers and their survivors.  The information contained in the forms is used to help determine if the c</w:t>
      </w:r>
      <w:r w:rsidR="001775CF">
        <w:rPr>
          <w:rFonts w:ascii="Times New Roman" w:hAnsi="Times New Roman"/>
          <w:spacing w:val="-3"/>
          <w:szCs w:val="24"/>
        </w:rPr>
        <w:t>laim</w:t>
      </w:r>
      <w:r w:rsidRPr="006C7351">
        <w:rPr>
          <w:rFonts w:ascii="Times New Roman" w:hAnsi="Times New Roman"/>
          <w:spacing w:val="-3"/>
          <w:szCs w:val="24"/>
        </w:rPr>
        <w:t xml:space="preserve"> is covered and what further issues to develop</w:t>
      </w:r>
      <w:r w:rsidR="00CF4009">
        <w:rPr>
          <w:rFonts w:ascii="Times New Roman" w:hAnsi="Times New Roman"/>
          <w:spacing w:val="-3"/>
          <w:szCs w:val="24"/>
        </w:rPr>
        <w:t>:</w:t>
      </w:r>
      <w:r w:rsidRPr="006C7351">
        <w:rPr>
          <w:rFonts w:ascii="Times New Roman" w:hAnsi="Times New Roman"/>
          <w:spacing w:val="-3"/>
          <w:szCs w:val="24"/>
        </w:rPr>
        <w:t xml:space="preserve">  </w:t>
      </w:r>
      <w:r w:rsidR="005D5842">
        <w:rPr>
          <w:rFonts w:ascii="Times New Roman" w:hAnsi="Times New Roman"/>
          <w:spacing w:val="-3"/>
          <w:szCs w:val="24"/>
        </w:rPr>
        <w:t>a)</w:t>
      </w:r>
      <w:r w:rsidRPr="006C7351">
        <w:rPr>
          <w:rFonts w:ascii="Times New Roman" w:hAnsi="Times New Roman"/>
          <w:spacing w:val="-3"/>
          <w:szCs w:val="24"/>
        </w:rPr>
        <w:t xml:space="preserve"> was the injury sustained under circumstances bringing it within 5 U.S.C. 8191</w:t>
      </w:r>
      <w:r w:rsidR="00CF4009">
        <w:rPr>
          <w:rFonts w:ascii="Times New Roman" w:hAnsi="Times New Roman"/>
          <w:spacing w:val="-3"/>
          <w:szCs w:val="24"/>
        </w:rPr>
        <w:t>;</w:t>
      </w:r>
      <w:r w:rsidRPr="006C7351">
        <w:rPr>
          <w:rFonts w:ascii="Times New Roman" w:hAnsi="Times New Roman"/>
          <w:spacing w:val="-3"/>
          <w:szCs w:val="24"/>
        </w:rPr>
        <w:t xml:space="preserve"> </w:t>
      </w:r>
      <w:r w:rsidR="005D5842">
        <w:rPr>
          <w:rFonts w:ascii="Times New Roman" w:hAnsi="Times New Roman"/>
          <w:spacing w:val="-3"/>
          <w:szCs w:val="24"/>
        </w:rPr>
        <w:t xml:space="preserve">b) </w:t>
      </w:r>
      <w:r w:rsidRPr="006C7351">
        <w:rPr>
          <w:rFonts w:ascii="Times New Roman" w:hAnsi="Times New Roman"/>
          <w:spacing w:val="-3"/>
          <w:szCs w:val="24"/>
        </w:rPr>
        <w:t>was the injury disabling</w:t>
      </w:r>
      <w:r w:rsidR="00CF4009">
        <w:rPr>
          <w:rFonts w:ascii="Times New Roman" w:hAnsi="Times New Roman"/>
          <w:spacing w:val="-3"/>
          <w:szCs w:val="24"/>
        </w:rPr>
        <w:t>;</w:t>
      </w:r>
      <w:r w:rsidRPr="006C7351">
        <w:rPr>
          <w:rFonts w:ascii="Times New Roman" w:hAnsi="Times New Roman"/>
          <w:spacing w:val="-3"/>
          <w:szCs w:val="24"/>
        </w:rPr>
        <w:t xml:space="preserve"> </w:t>
      </w:r>
      <w:r w:rsidR="005D5842">
        <w:rPr>
          <w:rFonts w:ascii="Times New Roman" w:hAnsi="Times New Roman"/>
          <w:spacing w:val="-3"/>
          <w:szCs w:val="24"/>
        </w:rPr>
        <w:t xml:space="preserve">c) </w:t>
      </w:r>
      <w:r w:rsidRPr="006C7351">
        <w:rPr>
          <w:rFonts w:ascii="Times New Roman" w:hAnsi="Times New Roman"/>
          <w:spacing w:val="-3"/>
          <w:szCs w:val="24"/>
        </w:rPr>
        <w:t>is the disability due to the injury</w:t>
      </w:r>
      <w:r w:rsidR="00CF4009">
        <w:rPr>
          <w:rFonts w:ascii="Times New Roman" w:hAnsi="Times New Roman"/>
          <w:spacing w:val="-3"/>
          <w:szCs w:val="24"/>
        </w:rPr>
        <w:t>;</w:t>
      </w:r>
      <w:r w:rsidRPr="006C7351">
        <w:rPr>
          <w:rFonts w:ascii="Times New Roman" w:hAnsi="Times New Roman"/>
          <w:spacing w:val="-3"/>
          <w:szCs w:val="24"/>
        </w:rPr>
        <w:t xml:space="preserve"> </w:t>
      </w:r>
      <w:r w:rsidR="005D5842">
        <w:rPr>
          <w:rFonts w:ascii="Times New Roman" w:hAnsi="Times New Roman"/>
          <w:spacing w:val="-3"/>
          <w:szCs w:val="24"/>
        </w:rPr>
        <w:t xml:space="preserve">d) </w:t>
      </w:r>
      <w:r w:rsidRPr="006C7351">
        <w:rPr>
          <w:rFonts w:ascii="Times New Roman" w:hAnsi="Times New Roman"/>
          <w:spacing w:val="-3"/>
          <w:szCs w:val="24"/>
        </w:rPr>
        <w:t>are those filing a claim entitled to compensation</w:t>
      </w:r>
      <w:r w:rsidR="00CF4009">
        <w:rPr>
          <w:rFonts w:ascii="Times New Roman" w:hAnsi="Times New Roman"/>
          <w:spacing w:val="-3"/>
          <w:szCs w:val="24"/>
        </w:rPr>
        <w:t>;</w:t>
      </w:r>
      <w:r w:rsidRPr="006C7351">
        <w:rPr>
          <w:rFonts w:ascii="Times New Roman" w:hAnsi="Times New Roman"/>
          <w:spacing w:val="-3"/>
          <w:szCs w:val="24"/>
        </w:rPr>
        <w:t xml:space="preserve"> </w:t>
      </w:r>
      <w:r w:rsidR="005D5842">
        <w:rPr>
          <w:rFonts w:ascii="Times New Roman" w:hAnsi="Times New Roman"/>
          <w:spacing w:val="-3"/>
          <w:szCs w:val="24"/>
        </w:rPr>
        <w:t xml:space="preserve">e) </w:t>
      </w:r>
      <w:r w:rsidRPr="006C7351">
        <w:rPr>
          <w:rFonts w:ascii="Times New Roman" w:hAnsi="Times New Roman"/>
          <w:spacing w:val="-3"/>
          <w:szCs w:val="24"/>
        </w:rPr>
        <w:t>what further information is required to reach a decision, etc.</w:t>
      </w:r>
    </w:p>
    <w:p w:rsidR="00D11F8E" w:rsidP="00DC3353" w14:paraId="49B0D621" w14:textId="77777777">
      <w:pPr>
        <w:ind w:left="720" w:hanging="720"/>
        <w:rPr>
          <w:rFonts w:ascii="Times New Roman" w:hAnsi="Times New Roman"/>
          <w:b/>
          <w:szCs w:val="24"/>
        </w:rPr>
      </w:pPr>
    </w:p>
    <w:p w:rsidR="00790B06" w:rsidP="00790B06" w14:paraId="482DE965"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C7351">
        <w:rPr>
          <w:rFonts w:ascii="Times New Roman" w:hAnsi="Times New Roman"/>
          <w:b/>
          <w:szCs w:val="24"/>
        </w:rPr>
        <w:t>3.</w:t>
      </w:r>
      <w:r w:rsidRPr="006C7351" w:rsidR="00260337">
        <w:rPr>
          <w:rFonts w:ascii="Times New Roman" w:hAnsi="Times New Roman"/>
          <w:b/>
          <w:szCs w:val="24"/>
        </w:rPr>
        <w:tab/>
      </w:r>
      <w:r>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2F4216" w:rsidRPr="00402DA3" w:rsidP="001775CF" w14:paraId="4040FD1F" w14:textId="03647074">
      <w:pPr>
        <w:rPr>
          <w:rFonts w:ascii="Times New Roman" w:hAnsi="Times New Roman"/>
          <w:color w:val="0070C0"/>
          <w:spacing w:val="-3"/>
          <w:szCs w:val="24"/>
        </w:rPr>
      </w:pPr>
      <w:r w:rsidRPr="00F32798">
        <w:rPr>
          <w:rFonts w:ascii="Times New Roman" w:hAnsi="Times New Roman"/>
        </w:rPr>
        <w:t>The CA-721/CA-722 are not submitted electronically because our electronic filing system, ECOMP, has not yet been updated to accept electronic filing of these forms.  Resource availability and budget constraints limit the number of forms we can create within ECOMP.  Further, the law enforcement entities who complete these forms are not federal agencies; only federal agencies have access to claim filing in ECOMP at this time</w:t>
      </w:r>
      <w:r>
        <w:rPr>
          <w:rFonts w:ascii="Times New Roman" w:hAnsi="Times New Roman"/>
        </w:rPr>
        <w:t xml:space="preserve">.  </w:t>
      </w:r>
      <w:r w:rsidRPr="00D11F8E">
        <w:rPr>
          <w:rFonts w:ascii="Times New Roman" w:hAnsi="Times New Roman"/>
          <w:spacing w:val="-3"/>
          <w:szCs w:val="24"/>
        </w:rPr>
        <w:t>The forms CA-721 and CA-722 can be completed on-line</w:t>
      </w:r>
      <w:r w:rsidRPr="00B10EAA" w:rsidR="00C5025D">
        <w:rPr>
          <w:rFonts w:ascii="Times New Roman" w:hAnsi="Times New Roman"/>
          <w:spacing w:val="-3"/>
          <w:szCs w:val="24"/>
        </w:rPr>
        <w:t>,</w:t>
      </w:r>
      <w:r w:rsidRPr="00D11F8E">
        <w:rPr>
          <w:rFonts w:ascii="Times New Roman" w:hAnsi="Times New Roman"/>
          <w:spacing w:val="-3"/>
          <w:szCs w:val="24"/>
        </w:rPr>
        <w:t xml:space="preserve"> printed and are available for downloading from the Internet at</w:t>
      </w:r>
      <w:r>
        <w:rPr>
          <w:rFonts w:ascii="Times New Roman" w:hAnsi="Times New Roman"/>
          <w:spacing w:val="-3"/>
          <w:szCs w:val="24"/>
        </w:rPr>
        <w:t>:</w:t>
      </w:r>
      <w:r w:rsidRPr="00D11F8E">
        <w:rPr>
          <w:rFonts w:ascii="Times New Roman" w:hAnsi="Times New Roman"/>
          <w:szCs w:val="24"/>
        </w:rPr>
        <w:t xml:space="preserve"> </w:t>
      </w:r>
      <w:hyperlink r:id="rId10" w:history="1">
        <w:r w:rsidRPr="00402DA3" w:rsidR="007E5460">
          <w:rPr>
            <w:rStyle w:val="Hyperlink"/>
            <w:rFonts w:ascii="Times New Roman" w:hAnsi="Times New Roman"/>
            <w:color w:val="0070C0"/>
            <w:spacing w:val="-3"/>
            <w:szCs w:val="24"/>
          </w:rPr>
          <w:t>https://www.dol.gov/owcp/dfec/regs/compliance/forms.htm</w:t>
        </w:r>
      </w:hyperlink>
      <w:r w:rsidRPr="00402DA3" w:rsidR="007E5460">
        <w:rPr>
          <w:rFonts w:ascii="Times New Roman" w:hAnsi="Times New Roman"/>
          <w:color w:val="0070C0"/>
          <w:spacing w:val="-3"/>
          <w:szCs w:val="24"/>
        </w:rPr>
        <w:t xml:space="preserve"> </w:t>
      </w:r>
    </w:p>
    <w:p w:rsidR="007F42B5" w:rsidRPr="00B10EAA" w:rsidP="00D11F8E" w14:paraId="183B6661" w14:textId="77777777">
      <w:pPr>
        <w:suppressAutoHyphens/>
        <w:ind w:left="720"/>
        <w:rPr>
          <w:rFonts w:ascii="Times New Roman" w:hAnsi="Times New Roman"/>
          <w:color w:val="0070C0"/>
          <w:spacing w:val="-3"/>
          <w:szCs w:val="24"/>
        </w:rPr>
      </w:pPr>
    </w:p>
    <w:p w:rsidR="00790B06" w:rsidP="00790B06" w14:paraId="2170B2B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4.  Describe efforts to identify duplication.  Show specifically why any similar information already available cannot be used or modified for use for the purposes described in Item A.2 above.</w:t>
      </w:r>
    </w:p>
    <w:p w:rsidR="00790B06" w:rsidP="00DC3353" w14:paraId="472B3CC4" w14:textId="77777777">
      <w:pPr>
        <w:suppressAutoHyphens/>
        <w:ind w:left="720"/>
        <w:rPr>
          <w:rFonts w:ascii="Times New Roman" w:hAnsi="Times New Roman"/>
          <w:b/>
          <w:szCs w:val="24"/>
        </w:rPr>
      </w:pPr>
    </w:p>
    <w:p w:rsidR="002148D4" w:rsidRPr="006C7351" w:rsidP="00790B06" w14:paraId="474D4A2C" w14:textId="64698191">
      <w:pPr>
        <w:suppressAutoHyphens/>
        <w:rPr>
          <w:rFonts w:ascii="Times New Roman" w:hAnsi="Times New Roman"/>
          <w:spacing w:val="-3"/>
          <w:szCs w:val="24"/>
        </w:rPr>
      </w:pPr>
      <w:r w:rsidRPr="006C7351">
        <w:rPr>
          <w:rFonts w:ascii="Times New Roman" w:hAnsi="Times New Roman"/>
          <w:spacing w:val="-3"/>
          <w:szCs w:val="24"/>
        </w:rPr>
        <w:t>The information requested on these forms is not duplicative of any information available elsewhere.  The claimant, beneficiary, employer, and physician are the only sources of the required information.</w:t>
      </w:r>
      <w:r w:rsidRPr="006C7351" w:rsidR="00466975">
        <w:rPr>
          <w:rFonts w:ascii="Times New Roman" w:hAnsi="Times New Roman"/>
          <w:spacing w:val="-3"/>
          <w:szCs w:val="24"/>
        </w:rPr>
        <w:t xml:space="preserve"> </w:t>
      </w:r>
    </w:p>
    <w:p w:rsidR="0039057D" w:rsidP="00DC3353" w14:paraId="7B2358FD" w14:textId="77777777">
      <w:pPr>
        <w:ind w:left="720" w:hanging="720"/>
        <w:jc w:val="both"/>
        <w:rPr>
          <w:rFonts w:ascii="Times New Roman" w:hAnsi="Times New Roman"/>
          <w:b/>
          <w:szCs w:val="24"/>
        </w:rPr>
      </w:pPr>
    </w:p>
    <w:p w:rsidR="00790B06" w:rsidP="00790B06" w14:paraId="151D7FE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5.</w:t>
      </w:r>
      <w:r>
        <w:rPr>
          <w:rFonts w:ascii="Times New Roman" w:hAnsi="Times New Roman"/>
        </w:rPr>
        <w:t xml:space="preserve">  </w:t>
      </w:r>
      <w:r>
        <w:rPr>
          <w:rFonts w:ascii="Times New Roman" w:hAnsi="Times New Roman"/>
          <w:b/>
          <w:bCs/>
        </w:rPr>
        <w:t>If the collection of information impacts small businesses or other small entities, describe any methods used to minimize burden.</w:t>
      </w:r>
    </w:p>
    <w:p w:rsidR="00660CCD" w:rsidRPr="006C7351" w:rsidP="00DC3353" w14:paraId="7BDBAF12" w14:textId="77777777">
      <w:pPr>
        <w:ind w:left="360"/>
        <w:jc w:val="both"/>
        <w:rPr>
          <w:rFonts w:ascii="Times New Roman" w:hAnsi="Times New Roman"/>
          <w:b/>
          <w:szCs w:val="24"/>
        </w:rPr>
      </w:pPr>
    </w:p>
    <w:p w:rsidR="002148D4" w:rsidRPr="007C2CE3" w:rsidP="00790B06" w14:paraId="35D83495" w14:textId="77777777">
      <w:pPr>
        <w:suppressAutoHyphens/>
        <w:rPr>
          <w:rFonts w:ascii="Times New Roman" w:hAnsi="Times New Roman"/>
          <w:color w:val="000000" w:themeColor="text1"/>
          <w:spacing w:val="-3"/>
          <w:szCs w:val="24"/>
        </w:rPr>
      </w:pPr>
      <w:r w:rsidRPr="008926DE">
        <w:rPr>
          <w:rFonts w:ascii="Times New Roman" w:hAnsi="Times New Roman"/>
          <w:color w:val="000000" w:themeColor="text1"/>
          <w:spacing w:val="-3"/>
          <w:szCs w:val="24"/>
        </w:rPr>
        <w:t xml:space="preserve">The only involvement of small businesses is physicians who complete the medical documentation portion of the form.  </w:t>
      </w:r>
      <w:r w:rsidRPr="008926DE" w:rsidR="0001485B">
        <w:rPr>
          <w:rFonts w:ascii="Times New Roman" w:hAnsi="Times New Roman"/>
          <w:color w:val="000000" w:themeColor="text1"/>
          <w:spacing w:val="-3"/>
          <w:szCs w:val="24"/>
        </w:rPr>
        <w:t>This information collection does not have a significant economic impact on a substantial number of small business entities</w:t>
      </w:r>
      <w:r w:rsidRPr="008926DE">
        <w:rPr>
          <w:rFonts w:ascii="Times New Roman" w:hAnsi="Times New Roman"/>
          <w:color w:val="000000" w:themeColor="text1"/>
          <w:spacing w:val="-3"/>
          <w:szCs w:val="24"/>
        </w:rPr>
        <w:t>.</w:t>
      </w:r>
    </w:p>
    <w:p w:rsidR="00B10EAA" w:rsidP="00260337" w14:paraId="42661976" w14:textId="207F0EF2">
      <w:pPr>
        <w:ind w:left="720" w:hanging="720"/>
        <w:rPr>
          <w:rFonts w:ascii="Times New Roman" w:hAnsi="Times New Roman"/>
          <w:b/>
          <w:szCs w:val="24"/>
        </w:rPr>
      </w:pPr>
    </w:p>
    <w:p w:rsidR="00790B06" w:rsidP="00790B06" w14:paraId="43B69518" w14:textId="1CECD05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C7351">
        <w:rPr>
          <w:rFonts w:ascii="Times New Roman" w:hAnsi="Times New Roman"/>
          <w:b/>
          <w:szCs w:val="24"/>
        </w:rPr>
        <w:t>6.</w:t>
      </w:r>
      <w:r w:rsidRPr="00790B06">
        <w:rPr>
          <w:rFonts w:ascii="Times New Roman" w:hAnsi="Times New Roman"/>
          <w:b/>
          <w:bCs/>
        </w:rPr>
        <w:t xml:space="preserve"> </w:t>
      </w:r>
      <w:r>
        <w:rPr>
          <w:rFonts w:ascii="Times New Roman" w:hAnsi="Times New Roman"/>
          <w:b/>
          <w:bCs/>
        </w:rPr>
        <w:t xml:space="preserve"> Describe the consequence to federal program or policy activities if the collection is not conducted or is conducted less frequently, as well as any technical or legal obstacles to reducing burden.</w:t>
      </w:r>
    </w:p>
    <w:p w:rsidR="005959E5" w:rsidRPr="006C7351" w:rsidP="00DC3353" w14:paraId="26C61DA9" w14:textId="77777777">
      <w:pPr>
        <w:rPr>
          <w:rFonts w:ascii="Times New Roman" w:hAnsi="Times New Roman"/>
          <w:spacing w:val="-3"/>
          <w:szCs w:val="24"/>
        </w:rPr>
      </w:pPr>
      <w:r w:rsidRPr="006C7351">
        <w:rPr>
          <w:rFonts w:ascii="Times New Roman" w:hAnsi="Times New Roman"/>
          <w:spacing w:val="-3"/>
          <w:szCs w:val="24"/>
        </w:rPr>
        <w:t> </w:t>
      </w:r>
    </w:p>
    <w:p w:rsidR="002148D4" w:rsidRPr="006C7351" w:rsidP="00790B06" w14:paraId="196CA9B9" w14:textId="77777777">
      <w:pPr>
        <w:suppressAutoHyphens/>
        <w:rPr>
          <w:rFonts w:ascii="Times New Roman" w:hAnsi="Times New Roman"/>
          <w:spacing w:val="-3"/>
          <w:szCs w:val="24"/>
        </w:rPr>
      </w:pPr>
      <w:r w:rsidRPr="006C7351">
        <w:rPr>
          <w:rFonts w:ascii="Times New Roman" w:hAnsi="Times New Roman"/>
          <w:spacing w:val="-3"/>
          <w:szCs w:val="24"/>
        </w:rPr>
        <w:t xml:space="preserve">The information is collected only once.  Without the requested information, </w:t>
      </w:r>
      <w:r w:rsidRPr="006C7351" w:rsidR="00837D91">
        <w:rPr>
          <w:rFonts w:ascii="Times New Roman" w:hAnsi="Times New Roman"/>
          <w:spacing w:val="-3"/>
          <w:szCs w:val="24"/>
        </w:rPr>
        <w:t>no determination could be made regarding the payment of benefits.</w:t>
      </w:r>
    </w:p>
    <w:p w:rsidR="00790B06" w:rsidP="00DC3353" w14:paraId="635FF122" w14:textId="77777777">
      <w:pPr>
        <w:suppressAutoHyphens/>
        <w:ind w:firstLine="720"/>
        <w:rPr>
          <w:rFonts w:ascii="Times New Roman" w:hAnsi="Times New Roman"/>
          <w:spacing w:val="-3"/>
          <w:szCs w:val="24"/>
        </w:rPr>
      </w:pPr>
    </w:p>
    <w:p w:rsidR="00790B06" w:rsidP="00790B06" w14:paraId="3E140B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7.  Explain any special circumstances that would cause an information collection to be conducted in a manner:</w:t>
      </w:r>
    </w:p>
    <w:p w:rsidR="00790B06" w:rsidP="00790B06" w14:paraId="221644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90B06" w:rsidP="00790B06" w14:paraId="4B4A86A5"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requiring respondents to report information to the agency more often than quarterly;</w:t>
      </w:r>
    </w:p>
    <w:p w:rsidR="00790B06" w:rsidP="00790B06" w14:paraId="051C4B6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90B06" w:rsidP="00790B06" w14:paraId="298456C7"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requiring respondents to prepare a written response to a collection of information in fewer than 30 days after receipt of it;</w:t>
      </w:r>
    </w:p>
    <w:p w:rsidR="00790B06" w:rsidP="00790B06" w14:paraId="5501CCE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90B06" w:rsidP="00790B06" w14:paraId="411EDE76"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requiring respondents to submit more than an original and two copies of any document;</w:t>
      </w:r>
    </w:p>
    <w:p w:rsidR="00790B06" w:rsidP="00790B06" w14:paraId="09E52F30"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requiring respondents to retain records, other than health, medical, government contract, grant-in-aid, or tax records for more than three years;</w:t>
      </w:r>
    </w:p>
    <w:p w:rsidR="00790B06" w:rsidP="00790B06" w14:paraId="3850088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90B06" w:rsidP="00790B06" w14:paraId="7164C0F7"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in connection with a statistical survey, that is not designed to produce valid and reliable results that can be generalized to the universe of study;</w:t>
      </w:r>
    </w:p>
    <w:p w:rsidR="00790B06" w:rsidP="00790B06" w14:paraId="414BC95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90B06" w:rsidP="00790B06" w14:paraId="13777043"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requiring the use of statistical data classification that has not been reviewed and approved by OMB;</w:t>
      </w:r>
    </w:p>
    <w:p w:rsidR="00790B06" w:rsidP="00790B06" w14:paraId="681A7E8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790B06" w:rsidP="00790B06" w14:paraId="5B74BFC2" w14:textId="77777777">
      <w:pPr>
        <w:pStyle w:val="Level1"/>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90B06" w:rsidP="00790B06" w14:paraId="28ED509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90B06" w:rsidP="00790B06" w14:paraId="333985E6" w14:textId="77777777">
      <w:pPr>
        <w:pStyle w:val="Level1"/>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requiring respondents to submit proprietary, trade secret, or other confidential information unless the agency can demonstrate that it has instituted procedures to protect the information's  confidentiality to the extent permitted by law.</w:t>
      </w:r>
    </w:p>
    <w:p w:rsidR="00790B06" w:rsidP="00790B06" w14:paraId="40D2A89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148D4" w:rsidRPr="006C7351" w:rsidP="00402DA3" w14:paraId="703A9DBB" w14:textId="46D611FA">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pacing w:val="-3"/>
        </w:rPr>
      </w:pPr>
      <w:r>
        <w:t>There are no special circumstances for conducting this information collection.</w:t>
      </w:r>
      <w:r w:rsidR="00402DA3">
        <w:t xml:space="preserve">  </w:t>
      </w:r>
    </w:p>
    <w:p w:rsidR="00614FED" w:rsidP="00614FED" w14:paraId="6559BCB6" w14:textId="77387AE8">
      <w:pPr>
        <w:suppressAutoHyphens/>
        <w:ind w:left="270"/>
        <w:rPr>
          <w:rFonts w:ascii="Times New Roman" w:hAnsi="Times New Roman"/>
          <w:spacing w:val="-3"/>
          <w:szCs w:val="24"/>
        </w:rPr>
      </w:pPr>
    </w:p>
    <w:p w:rsidR="00F85FD7" w:rsidP="00F85FD7" w14:paraId="771AD7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 xml:space="preserve"> 8.  If applicable, provide a copy and identify the date and page number of publication in the </w:t>
      </w:r>
      <w:r>
        <w:rPr>
          <w:rStyle w:val="Heading2Char"/>
          <w:rFonts w:ascii="Times New Roman" w:hAnsi="Times New Roman"/>
        </w:rPr>
        <w:t>Federal Register</w:t>
      </w:r>
      <w:r>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85FD7" w:rsidP="00F85FD7" w14:paraId="5BD4C5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85FD7" w:rsidP="00F85FD7" w14:paraId="0CABD7E4"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85FD7" w:rsidP="00F85FD7" w14:paraId="378610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85FD7" w:rsidP="00F85FD7" w14:paraId="2D37EECA"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F85FD7" w:rsidP="00614FED" w14:paraId="4CD015BC" w14:textId="65DEA616">
      <w:pPr>
        <w:suppressAutoHyphens/>
        <w:ind w:left="270"/>
        <w:rPr>
          <w:rFonts w:ascii="Times New Roman" w:hAnsi="Times New Roman"/>
          <w:spacing w:val="-3"/>
          <w:szCs w:val="24"/>
        </w:rPr>
      </w:pPr>
    </w:p>
    <w:p w:rsidR="000E7A3B" w:rsidP="00F71801" w14:paraId="6C8DB274" w14:textId="4D14A1C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6C7351">
        <w:rPr>
          <w:spacing w:val="-3"/>
        </w:rPr>
        <w:t>A</w:t>
      </w:r>
      <w:r w:rsidRPr="006C7351" w:rsidR="00AD4877">
        <w:rPr>
          <w:spacing w:val="-3"/>
        </w:rPr>
        <w:t xml:space="preserve"> notice inviting public comment</w:t>
      </w:r>
      <w:r w:rsidRPr="006C7351" w:rsidR="0098197D">
        <w:rPr>
          <w:spacing w:val="-3"/>
        </w:rPr>
        <w:t xml:space="preserve"> </w:t>
      </w:r>
      <w:r w:rsidRPr="006C7351" w:rsidR="00AD4877">
        <w:rPr>
          <w:spacing w:val="-3"/>
        </w:rPr>
        <w:t xml:space="preserve">on this information </w:t>
      </w:r>
      <w:r w:rsidRPr="006C7351">
        <w:rPr>
          <w:spacing w:val="-3"/>
        </w:rPr>
        <w:t xml:space="preserve">collection </w:t>
      </w:r>
      <w:r w:rsidRPr="006C7351" w:rsidR="00AD4877">
        <w:rPr>
          <w:spacing w:val="-3"/>
        </w:rPr>
        <w:t>was</w:t>
      </w:r>
      <w:r w:rsidRPr="006C7351" w:rsidR="002148D4">
        <w:rPr>
          <w:spacing w:val="-3"/>
        </w:rPr>
        <w:t xml:space="preserve"> published </w:t>
      </w:r>
      <w:r w:rsidRPr="006C7351" w:rsidR="00AD4877">
        <w:rPr>
          <w:spacing w:val="-3"/>
        </w:rPr>
        <w:t xml:space="preserve">in the Federal Register </w:t>
      </w:r>
      <w:r w:rsidRPr="006C7351" w:rsidR="002148D4">
        <w:rPr>
          <w:spacing w:val="-3"/>
        </w:rPr>
        <w:t xml:space="preserve">on </w:t>
      </w:r>
      <w:r w:rsidR="00BF23F3">
        <w:rPr>
          <w:spacing w:val="-3"/>
        </w:rPr>
        <w:t>05-08-2023</w:t>
      </w:r>
      <w:r w:rsidR="00C740B2">
        <w:rPr>
          <w:color w:val="FF0000"/>
          <w:spacing w:val="-3"/>
        </w:rPr>
        <w:t xml:space="preserve"> </w:t>
      </w:r>
      <w:r w:rsidRPr="008926DE" w:rsidR="005866A6">
        <w:rPr>
          <w:spacing w:val="-3"/>
        </w:rPr>
        <w:t>(</w:t>
      </w:r>
      <w:r w:rsidR="00011A43">
        <w:t>88 FR 29696</w:t>
      </w:r>
      <w:r w:rsidRPr="008926DE" w:rsidR="005866A6">
        <w:rPr>
          <w:spacing w:val="-3"/>
        </w:rPr>
        <w:t>)</w:t>
      </w:r>
      <w:r w:rsidRPr="008926DE" w:rsidR="002148D4">
        <w:rPr>
          <w:spacing w:val="-3"/>
        </w:rPr>
        <w:t>.</w:t>
      </w:r>
      <w:r w:rsidRPr="006C7351" w:rsidR="002148D4">
        <w:rPr>
          <w:spacing w:val="-3"/>
        </w:rPr>
        <w:t xml:space="preserve">  </w:t>
      </w:r>
      <w:r w:rsidR="00E4732A">
        <w:rPr>
          <w:spacing w:val="-3"/>
        </w:rPr>
        <w:t xml:space="preserve"> </w:t>
      </w:r>
      <w:r w:rsidR="00210724">
        <w:rPr>
          <w:spacing w:val="-3"/>
        </w:rPr>
        <w:t>Comments were/were not received.</w:t>
      </w:r>
      <w:r w:rsidRPr="00402DA3" w:rsidR="00402DA3">
        <w:rPr>
          <w:spacing w:val="-3"/>
        </w:rPr>
        <w:t xml:space="preserve"> </w:t>
      </w:r>
      <w:r w:rsidR="00E7632F">
        <w:rPr>
          <w:spacing w:val="-3"/>
        </w:rPr>
        <w:t xml:space="preserve"> </w:t>
      </w:r>
      <w:r w:rsidRPr="000E7A3B">
        <w:t xml:space="preserve">OWCP has not </w:t>
      </w:r>
      <w:r w:rsidRPr="000E7A3B">
        <w:t>consulted with the public for this specific ICR</w:t>
      </w:r>
      <w:r w:rsidR="00F71801">
        <w:t xml:space="preserve">.  </w:t>
      </w:r>
      <w:r w:rsidRPr="000E7A3B">
        <w:t>We are in the process of reviewing all our ICR requirements and implementing procedures to comply with M-22-10.  We anticipate this process to be implemented by FY</w:t>
      </w:r>
      <w:r w:rsidR="00570AC9">
        <w:t>-</w:t>
      </w:r>
      <w:r w:rsidRPr="000E7A3B">
        <w:t>2024.</w:t>
      </w:r>
      <w:r>
        <w:t xml:space="preserve">  </w:t>
      </w:r>
    </w:p>
    <w:p w:rsidR="00C81B82" w:rsidRPr="006C7351" w:rsidP="00402DA3" w14:paraId="1AB9392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pacing w:val="-3"/>
        </w:rPr>
      </w:pPr>
    </w:p>
    <w:p w:rsidR="00F85FD7" w:rsidP="00F85FD7" w14:paraId="5AB506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9.  Explain any decision to provide any payments or gifts to respondents, other than remuneration of contractors or grantees.</w:t>
      </w:r>
    </w:p>
    <w:p w:rsidR="00F85FD7" w:rsidP="00F85FD7" w14:paraId="6DC933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148D4" w:rsidRPr="006C7351" w:rsidP="00F85FD7" w14:paraId="6290ACBB" w14:textId="0B5004CB">
      <w:pPr>
        <w:rPr>
          <w:rFonts w:ascii="Times New Roman" w:hAnsi="Times New Roman"/>
          <w:spacing w:val="-3"/>
          <w:szCs w:val="24"/>
        </w:rPr>
      </w:pPr>
      <w:r w:rsidRPr="006C7351">
        <w:rPr>
          <w:rFonts w:ascii="Times New Roman" w:hAnsi="Times New Roman"/>
          <w:spacing w:val="-3"/>
          <w:szCs w:val="24"/>
        </w:rPr>
        <w:t>No payment or gifts are</w:t>
      </w:r>
      <w:r w:rsidR="007C3B5E">
        <w:rPr>
          <w:rFonts w:ascii="Times New Roman" w:hAnsi="Times New Roman"/>
          <w:spacing w:val="-3"/>
          <w:szCs w:val="24"/>
        </w:rPr>
        <w:t xml:space="preserve"> </w:t>
      </w:r>
      <w:r w:rsidRPr="006C7351">
        <w:rPr>
          <w:rFonts w:ascii="Times New Roman" w:hAnsi="Times New Roman"/>
          <w:spacing w:val="-3"/>
          <w:szCs w:val="24"/>
        </w:rPr>
        <w:t>provided to respondents.</w:t>
      </w:r>
    </w:p>
    <w:p w:rsidR="00A04A22" w:rsidP="00DC3353" w14:paraId="0ECC30D5" w14:textId="4733A585">
      <w:pPr>
        <w:rPr>
          <w:rFonts w:ascii="Times New Roman" w:hAnsi="Times New Roman"/>
          <w:szCs w:val="24"/>
        </w:rPr>
      </w:pPr>
    </w:p>
    <w:p w:rsidR="00F85FD7" w:rsidP="00F85FD7" w14:paraId="094FED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10.  Describe any assurance of confidentiality provided to respondents and the basis for the assurance in statute, regulation, or agency policy.</w:t>
      </w:r>
    </w:p>
    <w:p w:rsidR="00F85FD7" w:rsidRPr="006C7351" w:rsidP="00DC3353" w14:paraId="4D99BB18" w14:textId="77777777">
      <w:pPr>
        <w:rPr>
          <w:rFonts w:ascii="Times New Roman" w:hAnsi="Times New Roman"/>
          <w:szCs w:val="24"/>
        </w:rPr>
      </w:pPr>
    </w:p>
    <w:p w:rsidR="002740C9" w:rsidRPr="00106ABC" w:rsidP="002740C9" w14:paraId="2A218091" w14:textId="77777777">
      <w:pPr>
        <w:suppressAutoHyphens/>
        <w:rPr>
          <w:rFonts w:ascii="Times New Roman" w:hAnsi="Times New Roman"/>
          <w:szCs w:val="24"/>
        </w:rPr>
      </w:pPr>
      <w:r w:rsidRPr="00106ABC">
        <w:rPr>
          <w:rFonts w:ascii="Times New Roman" w:hAnsi="Times New Roman"/>
          <w:szCs w:val="24"/>
        </w:rPr>
        <w:t>The CA-721 and CA-722 include a Privacy Act statement that defines when and for what purposes</w:t>
      </w:r>
      <w:r>
        <w:rPr>
          <w:rFonts w:ascii="Times New Roman" w:hAnsi="Times New Roman"/>
          <w:szCs w:val="24"/>
        </w:rPr>
        <w:t xml:space="preserve"> the information</w:t>
      </w:r>
      <w:r w:rsidRPr="00106ABC">
        <w:rPr>
          <w:rFonts w:ascii="Times New Roman" w:hAnsi="Times New Roman"/>
          <w:szCs w:val="24"/>
        </w:rPr>
        <w:t xml:space="preserve"> may be disclosed</w:t>
      </w:r>
      <w:r>
        <w:rPr>
          <w:rFonts w:ascii="Times New Roman" w:hAnsi="Times New Roman"/>
          <w:szCs w:val="24"/>
        </w:rPr>
        <w:t>.</w:t>
      </w:r>
      <w:r w:rsidRPr="00106ABC">
        <w:rPr>
          <w:rFonts w:ascii="Times New Roman" w:hAnsi="Times New Roman"/>
          <w:szCs w:val="24"/>
        </w:rPr>
        <w:t xml:space="preserve"> The Privacy Act Statements on the forms reads as follows:  </w:t>
      </w:r>
    </w:p>
    <w:p w:rsidR="002740C9" w:rsidRPr="00787D6F" w:rsidP="002740C9" w14:paraId="624E084D" w14:textId="77777777">
      <w:pPr>
        <w:suppressAutoHyphens/>
        <w:ind w:left="720"/>
        <w:rPr>
          <w:rFonts w:ascii="Times New Roman" w:hAnsi="Times New Roman"/>
          <w:szCs w:val="24"/>
          <w:highlight w:val="yellow"/>
        </w:rPr>
      </w:pPr>
    </w:p>
    <w:p w:rsidR="00787D6F" w:rsidRPr="008E08B8" w:rsidP="00787D6F" w14:paraId="538A7623" w14:textId="77777777">
      <w:pPr>
        <w:pStyle w:val="BodyText"/>
        <w:spacing w:line="249" w:lineRule="auto"/>
        <w:ind w:left="868" w:right="874"/>
        <w:rPr>
          <w:rFonts w:ascii="Times New Roman" w:hAnsi="Times New Roman" w:cs="Times New Roman"/>
          <w:sz w:val="24"/>
          <w:szCs w:val="24"/>
        </w:rPr>
      </w:pPr>
      <w:r w:rsidRPr="008E08B8">
        <w:rPr>
          <w:rFonts w:ascii="Times New Roman" w:hAnsi="Times New Roman" w:cs="Times New Roman"/>
          <w:sz w:val="24"/>
          <w:szCs w:val="24"/>
        </w:rPr>
        <w:t>The Privacy Act of 1974 as amended, (5 U.S.C. 552a), and the Federal Employees’ Compensation Act, as amended and extended (5 U.S.C 8101, et. seq) authorizes collection of this information. The information will be used to determine continuing entitlement to benefits. Furnishing the requested information is required for a claimant to obtain or retain a benefit. Failure to provide the information may result in the delay of a claim or payment of benefits, or may result in an unfavorable in a delay of a claim or payment</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of</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benefits,</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or</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result</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in</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an</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unfavorable</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decision</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or</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reduced</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levels</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of</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benefits.</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Additional</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disclosures</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of</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this</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information</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may be to: (1) to determine eligibility for and the amount of benefits payable under the FECA, and may be verified through computer matches or other appropriate means. (2) to the Federal agency which employed the claimant at the time of injury in order to verify statements made, answer questions concerning the status of the claim, verify billing, and to consider issues relating to retention, rehire, or other relevant matters. (3) to other Federal agencies, other government entities, and to private-sector agencies and/or employers</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as</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part</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of</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rehabilitative</w:t>
      </w:r>
      <w:r w:rsidRPr="008E08B8">
        <w:rPr>
          <w:rFonts w:ascii="Times New Roman" w:hAnsi="Times New Roman" w:cs="Times New Roman"/>
          <w:spacing w:val="-1"/>
          <w:sz w:val="24"/>
          <w:szCs w:val="24"/>
        </w:rPr>
        <w:t xml:space="preserve"> </w:t>
      </w:r>
      <w:r w:rsidRPr="008E08B8">
        <w:rPr>
          <w:rFonts w:ascii="Times New Roman" w:hAnsi="Times New Roman" w:cs="Times New Roman"/>
          <w:sz w:val="24"/>
          <w:szCs w:val="24"/>
        </w:rPr>
        <w:t>and</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other</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return-to-work</w:t>
      </w:r>
      <w:r w:rsidRPr="008E08B8">
        <w:rPr>
          <w:rFonts w:ascii="Times New Roman" w:hAnsi="Times New Roman" w:cs="Times New Roman"/>
          <w:spacing w:val="-1"/>
          <w:sz w:val="24"/>
          <w:szCs w:val="24"/>
        </w:rPr>
        <w:t xml:space="preserve"> </w:t>
      </w:r>
      <w:r w:rsidRPr="008E08B8">
        <w:rPr>
          <w:rFonts w:ascii="Times New Roman" w:hAnsi="Times New Roman" w:cs="Times New Roman"/>
          <w:sz w:val="24"/>
          <w:szCs w:val="24"/>
        </w:rPr>
        <w:t>programs</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and</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services.</w:t>
      </w:r>
      <w:r w:rsidRPr="008E08B8">
        <w:rPr>
          <w:rFonts w:ascii="Times New Roman" w:hAnsi="Times New Roman" w:cs="Times New Roman"/>
          <w:spacing w:val="-1"/>
          <w:sz w:val="24"/>
          <w:szCs w:val="24"/>
        </w:rPr>
        <w:t xml:space="preserve"> </w:t>
      </w:r>
      <w:r w:rsidRPr="008E08B8">
        <w:rPr>
          <w:rFonts w:ascii="Times New Roman" w:hAnsi="Times New Roman" w:cs="Times New Roman"/>
          <w:sz w:val="24"/>
          <w:szCs w:val="24"/>
        </w:rPr>
        <w:t>(4)</w:t>
      </w:r>
      <w:r w:rsidRPr="008E08B8">
        <w:rPr>
          <w:rFonts w:ascii="Times New Roman" w:hAnsi="Times New Roman" w:cs="Times New Roman"/>
          <w:spacing w:val="-1"/>
          <w:sz w:val="24"/>
          <w:szCs w:val="24"/>
        </w:rPr>
        <w:t xml:space="preserve"> </w:t>
      </w:r>
      <w:r w:rsidRPr="008E08B8">
        <w:rPr>
          <w:rFonts w:ascii="Times New Roman" w:hAnsi="Times New Roman" w:cs="Times New Roman"/>
          <w:sz w:val="24"/>
          <w:szCs w:val="24"/>
        </w:rPr>
        <w:t>to</w:t>
      </w:r>
      <w:r w:rsidRPr="008E08B8">
        <w:rPr>
          <w:rFonts w:ascii="Times New Roman" w:hAnsi="Times New Roman" w:cs="Times New Roman"/>
          <w:spacing w:val="-1"/>
          <w:sz w:val="24"/>
          <w:szCs w:val="24"/>
        </w:rPr>
        <w:t xml:space="preserve"> </w:t>
      </w:r>
      <w:r w:rsidRPr="008E08B8">
        <w:rPr>
          <w:rFonts w:ascii="Times New Roman" w:hAnsi="Times New Roman" w:cs="Times New Roman"/>
          <w:sz w:val="24"/>
          <w:szCs w:val="24"/>
        </w:rPr>
        <w:t>physicians</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and</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other</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healthcare</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providers for use in providing treatment or medical/vocational rehabilitation, making evaluations for the Office, and for other purposes related to the medical management of the claim. (5) to Federal, state and local agencies for law enforcement purposes, to obtain information relevant to a decision under the FECA, to determine whether benefits are being paid properly, including whether prohibited</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dual</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payments</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are</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being</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made,</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and,</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where</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appropriate,</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to</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pursue</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salary/administrative</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offset</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and</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debt</w:t>
      </w:r>
      <w:r w:rsidRPr="008E08B8">
        <w:rPr>
          <w:rFonts w:ascii="Times New Roman" w:hAnsi="Times New Roman" w:cs="Times New Roman"/>
          <w:spacing w:val="-3"/>
          <w:sz w:val="24"/>
          <w:szCs w:val="24"/>
        </w:rPr>
        <w:t xml:space="preserve"> </w:t>
      </w:r>
      <w:r w:rsidRPr="008E08B8">
        <w:rPr>
          <w:rFonts w:ascii="Times New Roman" w:hAnsi="Times New Roman" w:cs="Times New Roman"/>
          <w:sz w:val="24"/>
          <w:szCs w:val="24"/>
        </w:rPr>
        <w:t>collection</w:t>
      </w:r>
      <w:r w:rsidRPr="008E08B8">
        <w:rPr>
          <w:rFonts w:ascii="Times New Roman" w:hAnsi="Times New Roman" w:cs="Times New Roman"/>
          <w:spacing w:val="-2"/>
          <w:sz w:val="24"/>
          <w:szCs w:val="24"/>
        </w:rPr>
        <w:t xml:space="preserve"> </w:t>
      </w:r>
      <w:r w:rsidRPr="008E08B8">
        <w:rPr>
          <w:rFonts w:ascii="Times New Roman" w:hAnsi="Times New Roman" w:cs="Times New Roman"/>
          <w:sz w:val="24"/>
          <w:szCs w:val="24"/>
        </w:rPr>
        <w:t xml:space="preserve">actions required or </w:t>
      </w:r>
      <w:r w:rsidRPr="008E08B8">
        <w:rPr>
          <w:rFonts w:ascii="Times New Roman" w:hAnsi="Times New Roman" w:cs="Times New Roman"/>
          <w:sz w:val="24"/>
          <w:szCs w:val="24"/>
        </w:rPr>
        <w:t>permitted by the FECA and/or the Debt Collection Act.</w:t>
      </w:r>
    </w:p>
    <w:p w:rsidR="005E33DB" w:rsidP="00DC3353" w14:paraId="4A059D4C" w14:textId="77777777">
      <w:pPr>
        <w:ind w:left="720"/>
        <w:rPr>
          <w:rFonts w:ascii="Times New Roman" w:hAnsi="Times New Roman"/>
          <w:szCs w:val="24"/>
        </w:rPr>
      </w:pPr>
    </w:p>
    <w:p w:rsidR="00452B65" w:rsidRPr="00402DA3" w:rsidP="00F85FD7" w14:paraId="54703E35" w14:textId="77777777">
      <w:pPr>
        <w:rPr>
          <w:rFonts w:ascii="Times New Roman" w:hAnsi="Times New Roman"/>
          <w:color w:val="0070C0"/>
          <w:szCs w:val="24"/>
        </w:rPr>
      </w:pPr>
      <w:r w:rsidRPr="00784931">
        <w:rPr>
          <w:rFonts w:ascii="Times New Roman" w:hAnsi="Times New Roman"/>
          <w:szCs w:val="24"/>
        </w:rPr>
        <w:t xml:space="preserve">Reference:  </w:t>
      </w:r>
      <w:hyperlink r:id="rId11" w:history="1">
        <w:r w:rsidRPr="00402DA3" w:rsidR="007E5460">
          <w:rPr>
            <w:rStyle w:val="Hyperlink"/>
            <w:rFonts w:ascii="Times New Roman" w:hAnsi="Times New Roman"/>
            <w:color w:val="0070C0"/>
            <w:szCs w:val="24"/>
          </w:rPr>
          <w:t>https://www.dol.gov/sol/privacy/dol-govt-1.htm</w:t>
        </w:r>
      </w:hyperlink>
      <w:r w:rsidRPr="00402DA3" w:rsidR="007E5460">
        <w:rPr>
          <w:rFonts w:ascii="Times New Roman" w:hAnsi="Times New Roman"/>
          <w:color w:val="0070C0"/>
          <w:szCs w:val="24"/>
        </w:rPr>
        <w:t xml:space="preserve"> </w:t>
      </w:r>
    </w:p>
    <w:p w:rsidR="00B811D0" w:rsidRPr="00402DA3" w:rsidP="00DC3353" w14:paraId="710F49AC" w14:textId="77777777">
      <w:pPr>
        <w:suppressAutoHyphens/>
        <w:rPr>
          <w:rFonts w:ascii="Times New Roman" w:hAnsi="Times New Roman"/>
          <w:color w:val="0070C0"/>
          <w:spacing w:val="-3"/>
          <w:szCs w:val="24"/>
        </w:rPr>
      </w:pPr>
    </w:p>
    <w:p w:rsidR="00F85FD7" w:rsidP="00F85FD7" w14:paraId="64A839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5FD7" w:rsidP="00F85FD7" w14:paraId="24C492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34FE1" w:rsidRPr="00E94945" w:rsidP="008E08B8" w14:paraId="040BEB2F" w14:textId="25D0CEEB">
      <w:pPr>
        <w:autoSpaceDE w:val="0"/>
        <w:autoSpaceDN w:val="0"/>
        <w:adjustRightInd w:val="0"/>
      </w:pPr>
      <w:r w:rsidRPr="009341CC">
        <w:rPr>
          <w:rStyle w:val="cf01"/>
          <w:rFonts w:ascii="Times New Roman" w:hAnsi="Times New Roman" w:cs="Times New Roman"/>
          <w:sz w:val="24"/>
          <w:szCs w:val="24"/>
        </w:rPr>
        <w:t xml:space="preserve">Under the Debt Collection Improvement Act of 1996, Title 31 U.S.C. amended section 7701(c)(1), the DOL shall require persons doing business with it to furnish such person’s taxpayer identification number (TIN) or Social Security Number (SSN). </w:t>
      </w:r>
      <w:r w:rsidRPr="008E08B8">
        <w:rPr>
          <w:rFonts w:ascii="Times New Roman" w:hAnsi="Times New Roman"/>
        </w:rPr>
        <w:t xml:space="preserve">The SSN or TIN, and other information maintained by the Office, may be used for identification, to support debt collection efforts, carried on by the Federal government and for other purposes required or authorized by law.  </w:t>
      </w:r>
    </w:p>
    <w:p w:rsidR="009341CC" w:rsidP="00F85FD7" w14:paraId="0A416F51" w14:textId="77777777">
      <w:pPr>
        <w:autoSpaceDE w:val="0"/>
        <w:autoSpaceDN w:val="0"/>
        <w:adjustRightInd w:val="0"/>
        <w:rPr>
          <w:rFonts w:ascii="Times New Roman" w:hAnsi="Times New Roman"/>
          <w:szCs w:val="24"/>
        </w:rPr>
      </w:pPr>
    </w:p>
    <w:p w:rsidR="009341CC" w:rsidP="009341CC" w14:paraId="3C7610E9" w14:textId="77777777">
      <w:pPr>
        <w:autoSpaceDE w:val="0"/>
        <w:autoSpaceDN w:val="0"/>
        <w:adjustRightInd w:val="0"/>
        <w:rPr>
          <w:rFonts w:ascii="Times New Roman" w:hAnsi="Times New Roman"/>
          <w:szCs w:val="24"/>
        </w:rPr>
      </w:pPr>
      <w:r>
        <w:rPr>
          <w:rFonts w:ascii="Times New Roman" w:hAnsi="Times New Roman"/>
          <w:szCs w:val="24"/>
        </w:rPr>
        <w:t xml:space="preserve">There are no questions of a sensitive nature.  </w:t>
      </w:r>
    </w:p>
    <w:p w:rsidR="008A2142" w:rsidP="00F85FD7" w14:paraId="282B4433" w14:textId="77777777">
      <w:pPr>
        <w:autoSpaceDE w:val="0"/>
        <w:autoSpaceDN w:val="0"/>
        <w:adjustRightInd w:val="0"/>
        <w:rPr>
          <w:rFonts w:ascii="Times New Roman" w:hAnsi="Times New Roman"/>
          <w:szCs w:val="24"/>
        </w:rPr>
      </w:pPr>
    </w:p>
    <w:p w:rsidR="00F85FD7" w:rsidP="00F85FD7" w14:paraId="446196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12.  Provide estimates of the hour burden of the collection of information.  The statement should:</w:t>
      </w:r>
    </w:p>
    <w:p w:rsidR="00F85FD7" w:rsidP="00F85FD7" w14:paraId="6EE35E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770C3" w:rsidP="00784931" w14:paraId="2BC92F37" w14:textId="55457DEF">
      <w:pPr>
        <w:widowControl/>
        <w:numPr>
          <w:ilvl w:val="0"/>
          <w:numId w:val="14"/>
        </w:numPr>
        <w:tabs>
          <w:tab w:val="left" w:pos="-360"/>
          <w:tab w:val="left" w:pos="0"/>
          <w:tab w:val="left" w:pos="360"/>
          <w:tab w:val="left" w:pos="54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rPr>
          <w:rFonts w:ascii="Times New Roman" w:hAnsi="Times New Roman"/>
          <w:b/>
          <w:bCs/>
        </w:rPr>
      </w:pPr>
      <w:r w:rsidRPr="008770C3">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Pr>
          <w:rStyle w:val="FootnoteReference"/>
          <w:rFonts w:ascii="Times New Roman" w:hAnsi="Times New Roman"/>
          <w:b/>
          <w:bCs/>
        </w:rPr>
        <w:footnoteReference w:id="2"/>
      </w:r>
    </w:p>
    <w:p w:rsidR="00F85FD7" w:rsidRPr="008770C3" w:rsidP="00784931" w14:paraId="0DB8D7BA" w14:textId="77777777">
      <w:pPr>
        <w:widowControl/>
        <w:tabs>
          <w:tab w:val="left" w:pos="-360"/>
          <w:tab w:val="left" w:pos="0"/>
          <w:tab w:val="left" w:pos="360"/>
          <w:tab w:val="left" w:pos="54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rPr>
          <w:rFonts w:ascii="Times New Roman" w:hAnsi="Times New Roman"/>
          <w:b/>
          <w:bCs/>
        </w:rPr>
      </w:pPr>
    </w:p>
    <w:p w:rsidR="00F85FD7" w:rsidP="00F85FD7" w14:paraId="0738B086" w14:textId="77777777">
      <w:pPr>
        <w:pStyle w:val="Level1"/>
        <w:widowControl/>
        <w:numPr>
          <w:ilvl w:val="0"/>
          <w:numId w:val="14"/>
        </w:numPr>
        <w:tabs>
          <w:tab w:val="left" w:pos="0"/>
          <w:tab w:val="left" w:pos="360"/>
          <w:tab w:val="left" w:pos="720"/>
          <w:tab w:val="num" w:pos="1080"/>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Pr>
          <w:b/>
        </w:rPr>
        <w:t xml:space="preserve">If this </w:t>
      </w:r>
      <w:r>
        <w:rPr>
          <w:b/>
          <w:bCs/>
        </w:rPr>
        <w:t>request for approval covers more than one form, provide separate hour burden estimates for each form.</w:t>
      </w:r>
    </w:p>
    <w:p w:rsidR="00F85FD7" w:rsidP="00F85FD7" w14:paraId="24D8AFC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0369B0" w:rsidRPr="00ED5081" w:rsidP="00784931" w14:paraId="4EA36597" w14:textId="30A9A023">
      <w:pPr>
        <w:widowControl/>
        <w:numPr>
          <w:ilvl w:val="0"/>
          <w:numId w:val="14"/>
        </w:numPr>
        <w:tabs>
          <w:tab w:val="left" w:pos="-360"/>
          <w:tab w:val="left" w:pos="0"/>
          <w:tab w:val="left" w:pos="360"/>
          <w:tab w:val="left" w:pos="54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rPr>
          <w:rFonts w:ascii="Times New Roman" w:hAnsi="Times New Roman"/>
          <w:b/>
          <w:bCs/>
        </w:rPr>
      </w:pPr>
      <w:r>
        <w:rPr>
          <w:rFonts w:ascii="Times New Roman" w:hAnsi="Times New Roman"/>
          <w:b/>
          <w:bCs/>
        </w:rPr>
        <w:t xml:space="preserve">Provide estimates of annualized cost to respondents for the hour burdens for collections of information, identifying and using appropriate wage rate </w:t>
      </w:r>
      <w:r>
        <w:rPr>
          <w:rFonts w:ascii="Times New Roman" w:hAnsi="Times New Roman"/>
          <w:b/>
          <w:bCs/>
        </w:rPr>
        <w:t>categories.  The cost of contracting out or paying outside parties for information collection activities should not be included here.  Instead, this cost should be included in Item 13.</w:t>
      </w:r>
    </w:p>
    <w:p w:rsidR="00EE4FFF" w:rsidP="000369B0" w14:paraId="1C00973D" w14:textId="77777777">
      <w:pPr>
        <w:widowControl/>
        <w:tabs>
          <w:tab w:val="left" w:pos="-360"/>
          <w:tab w:val="left" w:pos="0"/>
          <w:tab w:val="left" w:pos="360"/>
          <w:tab w:val="left" w:pos="54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rPr>
          <w:rFonts w:ascii="Times New Roman" w:hAnsi="Times New Roman"/>
          <w:b/>
          <w:bCs/>
        </w:rPr>
      </w:pPr>
    </w:p>
    <w:p w:rsidR="00BE75E5" w:rsidP="00BE75E5" w14:paraId="3921AFB3" w14:textId="77777777">
      <w:pPr>
        <w:tabs>
          <w:tab w:val="left" w:pos="1327"/>
          <w:tab w:val="center" w:pos="5040"/>
        </w:tabs>
        <w:ind w:left="720"/>
        <w:rPr>
          <w:rFonts w:ascii="Times New Roman" w:hAnsi="Times New Roman"/>
          <w:b/>
        </w:rPr>
      </w:pPr>
      <w:r>
        <w:rPr>
          <w:rFonts w:ascii="Times New Roman" w:hAnsi="Times New Roman"/>
          <w:b/>
        </w:rPr>
        <w:tab/>
      </w:r>
      <w:r>
        <w:rPr>
          <w:rFonts w:ascii="Times New Roman" w:hAnsi="Times New Roman"/>
          <w:b/>
        </w:rPr>
        <w:tab/>
        <w:t>Estimated Annualized Respondent Cost and Hour Burden</w:t>
      </w:r>
    </w:p>
    <w:p w:rsidR="00EE4FFF" w:rsidP="00BE75E5" w14:paraId="1755B6C6" w14:textId="77777777">
      <w:pPr>
        <w:tabs>
          <w:tab w:val="left" w:pos="1327"/>
          <w:tab w:val="center" w:pos="5040"/>
        </w:tabs>
        <w:ind w:left="720"/>
        <w:rPr>
          <w:rFonts w:ascii="Times New Roman" w:hAnsi="Times New Roman"/>
          <w:b/>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1415"/>
        <w:gridCol w:w="1219"/>
        <w:gridCol w:w="1182"/>
        <w:gridCol w:w="1097"/>
        <w:gridCol w:w="950"/>
        <w:gridCol w:w="1316"/>
        <w:gridCol w:w="1426"/>
      </w:tblGrid>
      <w:tr w14:paraId="4EF6C983" w14:textId="77777777" w:rsidTr="00106ABC">
        <w:tblPrEx>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0" w:type="dxa"/>
            <w:shd w:val="clear" w:color="auto" w:fill="ACB9CA"/>
          </w:tcPr>
          <w:p w:rsidR="007B0E00" w:rsidRPr="00F85FD7" w:rsidP="002B769F" w14:paraId="3F2E5862" w14:textId="2905C9CE">
            <w:pPr>
              <w:rPr>
                <w:rFonts w:ascii="Times New Roman" w:eastAsia="Calibri" w:hAnsi="Times New Roman"/>
                <w:b/>
                <w:sz w:val="22"/>
                <w:szCs w:val="22"/>
              </w:rPr>
            </w:pPr>
            <w:r w:rsidRPr="00AC3355">
              <w:rPr>
                <w:rFonts w:ascii="Times New Roman" w:hAnsi="Times New Roman"/>
                <w:spacing w:val="-3"/>
                <w:szCs w:val="24"/>
              </w:rPr>
              <w:t xml:space="preserve"> </w:t>
            </w:r>
            <w:bookmarkStart w:id="0" w:name="_Hlk132968914"/>
            <w:r w:rsidRPr="00F85FD7">
              <w:rPr>
                <w:rFonts w:ascii="Times New Roman" w:eastAsia="Calibri" w:hAnsi="Times New Roman"/>
                <w:b/>
                <w:sz w:val="22"/>
                <w:szCs w:val="22"/>
              </w:rPr>
              <w:t>Activity</w:t>
            </w:r>
          </w:p>
        </w:tc>
        <w:tc>
          <w:tcPr>
            <w:tcW w:w="1415" w:type="dxa"/>
            <w:shd w:val="clear" w:color="auto" w:fill="ACB9CA"/>
          </w:tcPr>
          <w:p w:rsidR="007B0E00" w:rsidRPr="00F85FD7" w:rsidP="002B769F" w14:paraId="70018C87" w14:textId="77777777">
            <w:pPr>
              <w:rPr>
                <w:rFonts w:ascii="Times New Roman" w:eastAsia="Calibri" w:hAnsi="Times New Roman"/>
                <w:b/>
                <w:sz w:val="22"/>
                <w:szCs w:val="22"/>
              </w:rPr>
            </w:pPr>
            <w:r w:rsidRPr="00F85FD7">
              <w:rPr>
                <w:rFonts w:ascii="Times New Roman" w:eastAsia="Calibri" w:hAnsi="Times New Roman"/>
                <w:b/>
                <w:sz w:val="22"/>
                <w:szCs w:val="22"/>
              </w:rPr>
              <w:t>Number of Respondents</w:t>
            </w:r>
          </w:p>
        </w:tc>
        <w:tc>
          <w:tcPr>
            <w:tcW w:w="1219" w:type="dxa"/>
            <w:shd w:val="clear" w:color="auto" w:fill="ACB9CA"/>
          </w:tcPr>
          <w:p w:rsidR="007B0E00" w:rsidRPr="00F85FD7" w:rsidP="002B769F" w14:paraId="06790A96" w14:textId="77777777">
            <w:pPr>
              <w:rPr>
                <w:rFonts w:ascii="Times New Roman" w:eastAsia="Calibri" w:hAnsi="Times New Roman"/>
                <w:b/>
                <w:sz w:val="22"/>
                <w:szCs w:val="22"/>
              </w:rPr>
            </w:pPr>
            <w:r w:rsidRPr="00F85FD7">
              <w:rPr>
                <w:rFonts w:ascii="Times New Roman" w:eastAsia="Calibri" w:hAnsi="Times New Roman"/>
                <w:b/>
                <w:sz w:val="22"/>
                <w:szCs w:val="22"/>
              </w:rPr>
              <w:t>Frequency</w:t>
            </w:r>
          </w:p>
        </w:tc>
        <w:tc>
          <w:tcPr>
            <w:tcW w:w="1182" w:type="dxa"/>
            <w:shd w:val="clear" w:color="auto" w:fill="ACB9CA"/>
          </w:tcPr>
          <w:p w:rsidR="007B0E00" w:rsidRPr="00F85FD7" w:rsidP="002B769F" w14:paraId="6C97D390" w14:textId="77777777">
            <w:pPr>
              <w:rPr>
                <w:rFonts w:ascii="Times New Roman" w:eastAsia="Calibri" w:hAnsi="Times New Roman"/>
                <w:b/>
                <w:sz w:val="22"/>
                <w:szCs w:val="22"/>
              </w:rPr>
            </w:pPr>
            <w:r w:rsidRPr="00F85FD7">
              <w:rPr>
                <w:rFonts w:ascii="Times New Roman" w:eastAsia="Calibri" w:hAnsi="Times New Roman"/>
                <w:b/>
                <w:sz w:val="22"/>
                <w:szCs w:val="22"/>
              </w:rPr>
              <w:t>Total Annual Responses</w:t>
            </w:r>
          </w:p>
        </w:tc>
        <w:tc>
          <w:tcPr>
            <w:tcW w:w="1097" w:type="dxa"/>
            <w:shd w:val="clear" w:color="auto" w:fill="ACB9CA"/>
          </w:tcPr>
          <w:p w:rsidR="007B0E00" w:rsidP="002B769F" w14:paraId="68022F94" w14:textId="77777777">
            <w:pPr>
              <w:rPr>
                <w:rFonts w:ascii="Times New Roman" w:eastAsia="Calibri" w:hAnsi="Times New Roman"/>
                <w:b/>
                <w:sz w:val="22"/>
                <w:szCs w:val="22"/>
              </w:rPr>
            </w:pPr>
            <w:r w:rsidRPr="00F85FD7">
              <w:rPr>
                <w:rFonts w:ascii="Times New Roman" w:eastAsia="Calibri" w:hAnsi="Times New Roman"/>
                <w:b/>
                <w:sz w:val="22"/>
                <w:szCs w:val="22"/>
              </w:rPr>
              <w:t>Time Per Response</w:t>
            </w:r>
          </w:p>
          <w:p w:rsidR="001D3D34" w:rsidRPr="00F85FD7" w:rsidP="002B769F" w14:paraId="179C2890" w14:textId="018BE7D1">
            <w:pPr>
              <w:rPr>
                <w:rFonts w:ascii="Times New Roman" w:eastAsia="Calibri" w:hAnsi="Times New Roman"/>
                <w:b/>
                <w:sz w:val="22"/>
                <w:szCs w:val="22"/>
              </w:rPr>
            </w:pPr>
            <w:r>
              <w:rPr>
                <w:rFonts w:ascii="Times New Roman" w:eastAsia="Calibri" w:hAnsi="Times New Roman"/>
                <w:b/>
                <w:sz w:val="22"/>
                <w:szCs w:val="22"/>
              </w:rPr>
              <w:t>(Hours)</w:t>
            </w:r>
          </w:p>
        </w:tc>
        <w:tc>
          <w:tcPr>
            <w:tcW w:w="950" w:type="dxa"/>
            <w:shd w:val="clear" w:color="auto" w:fill="ACB9CA"/>
          </w:tcPr>
          <w:p w:rsidR="00E44E7B" w:rsidRPr="00F85FD7" w:rsidP="002B769F" w14:paraId="5CCCC97E" w14:textId="3B39D70B">
            <w:pPr>
              <w:rPr>
                <w:rFonts w:ascii="Times New Roman" w:eastAsia="Calibri" w:hAnsi="Times New Roman"/>
                <w:b/>
                <w:sz w:val="22"/>
                <w:szCs w:val="22"/>
              </w:rPr>
            </w:pPr>
            <w:r w:rsidRPr="00F85FD7">
              <w:rPr>
                <w:rFonts w:ascii="Times New Roman" w:eastAsia="Calibri" w:hAnsi="Times New Roman"/>
                <w:b/>
                <w:sz w:val="22"/>
                <w:szCs w:val="22"/>
              </w:rPr>
              <w:t>Total Annual Burden (Hours)</w:t>
            </w:r>
          </w:p>
        </w:tc>
        <w:tc>
          <w:tcPr>
            <w:tcW w:w="1316" w:type="dxa"/>
            <w:shd w:val="clear" w:color="auto" w:fill="ACB9CA"/>
          </w:tcPr>
          <w:p w:rsidR="007B0E00" w:rsidRPr="00F85FD7" w:rsidP="002B769F" w14:paraId="375AD4EB" w14:textId="77777777">
            <w:pPr>
              <w:rPr>
                <w:rFonts w:ascii="Times New Roman" w:eastAsia="Calibri" w:hAnsi="Times New Roman"/>
                <w:b/>
                <w:sz w:val="22"/>
                <w:szCs w:val="22"/>
              </w:rPr>
            </w:pPr>
            <w:r w:rsidRPr="00F85FD7">
              <w:rPr>
                <w:rFonts w:ascii="Times New Roman" w:eastAsia="Calibri" w:hAnsi="Times New Roman"/>
                <w:b/>
                <w:sz w:val="22"/>
                <w:szCs w:val="22"/>
              </w:rPr>
              <w:t>Hourly Rate*</w:t>
            </w:r>
          </w:p>
        </w:tc>
        <w:tc>
          <w:tcPr>
            <w:tcW w:w="1426" w:type="dxa"/>
            <w:shd w:val="clear" w:color="auto" w:fill="ACB9CA"/>
          </w:tcPr>
          <w:p w:rsidR="007B0E00" w:rsidRPr="00F85FD7" w:rsidP="002B769F" w14:paraId="32A715A9" w14:textId="77777777">
            <w:pPr>
              <w:rPr>
                <w:rFonts w:ascii="Times New Roman" w:eastAsia="Calibri" w:hAnsi="Times New Roman"/>
                <w:b/>
                <w:sz w:val="22"/>
                <w:szCs w:val="22"/>
              </w:rPr>
            </w:pPr>
            <w:r w:rsidRPr="00F85FD7">
              <w:rPr>
                <w:rFonts w:ascii="Times New Roman" w:eastAsia="Calibri" w:hAnsi="Times New Roman"/>
                <w:b/>
                <w:sz w:val="22"/>
                <w:szCs w:val="22"/>
              </w:rPr>
              <w:t>Monetized Value of Respondent Time</w:t>
            </w:r>
          </w:p>
        </w:tc>
      </w:tr>
      <w:tr w14:paraId="1821193D" w14:textId="77777777" w:rsidTr="00106ABC">
        <w:tblPrEx>
          <w:tblW w:w="9695" w:type="dxa"/>
          <w:tblLook w:val="04A0"/>
        </w:tblPrEx>
        <w:tc>
          <w:tcPr>
            <w:tcW w:w="1090" w:type="dxa"/>
            <w:shd w:val="clear" w:color="auto" w:fill="auto"/>
            <w:vAlign w:val="bottom"/>
          </w:tcPr>
          <w:p w:rsidR="007B0E00" w:rsidRPr="00F85FD7" w:rsidP="007B0E00" w14:paraId="6C9D8D9D" w14:textId="137BECBC">
            <w:pPr>
              <w:rPr>
                <w:rFonts w:ascii="Times New Roman" w:eastAsia="Calibri" w:hAnsi="Times New Roman"/>
                <w:sz w:val="22"/>
                <w:szCs w:val="22"/>
              </w:rPr>
            </w:pPr>
            <w:r w:rsidRPr="00F85FD7">
              <w:rPr>
                <w:rFonts w:ascii="Times New Roman" w:eastAsia="Calibri" w:hAnsi="Times New Roman"/>
                <w:sz w:val="22"/>
                <w:szCs w:val="22"/>
              </w:rPr>
              <w:t>CA-721</w:t>
            </w:r>
            <w:r w:rsidRPr="00F85FD7" w:rsidR="00210724">
              <w:rPr>
                <w:rFonts w:ascii="Times New Roman" w:eastAsia="Calibri" w:hAnsi="Times New Roman"/>
                <w:sz w:val="22"/>
                <w:szCs w:val="22"/>
              </w:rPr>
              <w:t xml:space="preserve"> </w:t>
            </w:r>
          </w:p>
        </w:tc>
        <w:tc>
          <w:tcPr>
            <w:tcW w:w="1415" w:type="dxa"/>
            <w:shd w:val="clear" w:color="auto" w:fill="auto"/>
            <w:vAlign w:val="bottom"/>
          </w:tcPr>
          <w:p w:rsidR="007B0E00" w:rsidRPr="00F85FD7" w:rsidP="002B769F" w14:paraId="734EB6DE" w14:textId="629A467F">
            <w:pPr>
              <w:jc w:val="center"/>
              <w:rPr>
                <w:rFonts w:ascii="Times New Roman" w:eastAsia="Calibri" w:hAnsi="Times New Roman"/>
                <w:sz w:val="22"/>
                <w:szCs w:val="22"/>
              </w:rPr>
            </w:pPr>
            <w:r w:rsidRPr="00F85FD7">
              <w:rPr>
                <w:rFonts w:ascii="Times New Roman" w:eastAsia="Calibri" w:hAnsi="Times New Roman"/>
                <w:sz w:val="22"/>
                <w:szCs w:val="22"/>
              </w:rPr>
              <w:t>1</w:t>
            </w:r>
          </w:p>
        </w:tc>
        <w:tc>
          <w:tcPr>
            <w:tcW w:w="1219" w:type="dxa"/>
            <w:shd w:val="clear" w:color="auto" w:fill="auto"/>
            <w:vAlign w:val="bottom"/>
          </w:tcPr>
          <w:p w:rsidR="007B0E00" w:rsidRPr="00F85FD7" w:rsidP="002B769F" w14:paraId="2DCA6626" w14:textId="77777777">
            <w:pPr>
              <w:jc w:val="center"/>
              <w:rPr>
                <w:rFonts w:ascii="Times New Roman" w:eastAsia="Calibri" w:hAnsi="Times New Roman"/>
                <w:sz w:val="22"/>
                <w:szCs w:val="22"/>
              </w:rPr>
            </w:pPr>
            <w:r w:rsidRPr="00F85FD7">
              <w:rPr>
                <w:rFonts w:ascii="Times New Roman" w:eastAsia="Calibri" w:hAnsi="Times New Roman"/>
                <w:sz w:val="22"/>
                <w:szCs w:val="22"/>
              </w:rPr>
              <w:t>1</w:t>
            </w:r>
          </w:p>
        </w:tc>
        <w:tc>
          <w:tcPr>
            <w:tcW w:w="1182" w:type="dxa"/>
            <w:shd w:val="clear" w:color="auto" w:fill="auto"/>
            <w:vAlign w:val="bottom"/>
          </w:tcPr>
          <w:p w:rsidR="007B0E00" w:rsidRPr="00F85FD7" w:rsidP="002B769F" w14:paraId="48BD9140" w14:textId="538F56B8">
            <w:pPr>
              <w:jc w:val="center"/>
              <w:rPr>
                <w:rFonts w:ascii="Times New Roman" w:eastAsia="Calibri" w:hAnsi="Times New Roman"/>
                <w:sz w:val="22"/>
                <w:szCs w:val="22"/>
              </w:rPr>
            </w:pPr>
            <w:r w:rsidRPr="00F85FD7">
              <w:rPr>
                <w:rFonts w:ascii="Times New Roman" w:eastAsia="Calibri" w:hAnsi="Times New Roman"/>
                <w:sz w:val="22"/>
                <w:szCs w:val="22"/>
              </w:rPr>
              <w:t>1</w:t>
            </w:r>
          </w:p>
        </w:tc>
        <w:tc>
          <w:tcPr>
            <w:tcW w:w="1097" w:type="dxa"/>
            <w:shd w:val="clear" w:color="auto" w:fill="auto"/>
            <w:vAlign w:val="bottom"/>
          </w:tcPr>
          <w:p w:rsidR="007B0E00" w:rsidRPr="00F85FD7" w:rsidP="002B769F" w14:paraId="2B7A2F19" w14:textId="77777777">
            <w:pPr>
              <w:jc w:val="center"/>
              <w:rPr>
                <w:rFonts w:ascii="Times New Roman" w:eastAsia="Calibri" w:hAnsi="Times New Roman"/>
                <w:sz w:val="22"/>
                <w:szCs w:val="22"/>
              </w:rPr>
            </w:pPr>
            <w:r w:rsidRPr="00F85FD7">
              <w:rPr>
                <w:rFonts w:ascii="Times New Roman" w:eastAsia="Calibri" w:hAnsi="Times New Roman"/>
                <w:sz w:val="22"/>
                <w:szCs w:val="22"/>
              </w:rPr>
              <w:t>1</w:t>
            </w:r>
            <w:r w:rsidRPr="00F85FD7" w:rsidR="008E643B">
              <w:rPr>
                <w:rFonts w:ascii="Times New Roman" w:eastAsia="Calibri" w:hAnsi="Times New Roman"/>
                <w:sz w:val="22"/>
                <w:szCs w:val="22"/>
              </w:rPr>
              <w:t>.</w:t>
            </w:r>
          </w:p>
        </w:tc>
        <w:tc>
          <w:tcPr>
            <w:tcW w:w="950" w:type="dxa"/>
            <w:shd w:val="clear" w:color="auto" w:fill="auto"/>
            <w:vAlign w:val="bottom"/>
          </w:tcPr>
          <w:p w:rsidR="007B0E00" w:rsidRPr="00F85FD7" w:rsidP="002B769F" w14:paraId="096DACAD" w14:textId="3CFEAFDA">
            <w:pPr>
              <w:jc w:val="center"/>
              <w:rPr>
                <w:rFonts w:ascii="Times New Roman" w:eastAsia="Calibri" w:hAnsi="Times New Roman"/>
                <w:sz w:val="22"/>
                <w:szCs w:val="22"/>
              </w:rPr>
            </w:pPr>
            <w:r w:rsidRPr="00F85FD7">
              <w:rPr>
                <w:rFonts w:ascii="Times New Roman" w:eastAsia="Calibri" w:hAnsi="Times New Roman"/>
                <w:sz w:val="22"/>
                <w:szCs w:val="22"/>
              </w:rPr>
              <w:t>1</w:t>
            </w:r>
          </w:p>
        </w:tc>
        <w:tc>
          <w:tcPr>
            <w:tcW w:w="1316" w:type="dxa"/>
            <w:shd w:val="clear" w:color="auto" w:fill="auto"/>
            <w:vAlign w:val="bottom"/>
          </w:tcPr>
          <w:p w:rsidR="007B0E00" w:rsidRPr="00F85FD7" w:rsidP="002B769F" w14:paraId="4F860D1D" w14:textId="3A574DBC">
            <w:pPr>
              <w:jc w:val="center"/>
              <w:rPr>
                <w:rFonts w:ascii="Times New Roman" w:eastAsia="Calibri" w:hAnsi="Times New Roman"/>
                <w:sz w:val="22"/>
                <w:szCs w:val="22"/>
              </w:rPr>
            </w:pPr>
            <w:r w:rsidRPr="00F85FD7">
              <w:rPr>
                <w:rFonts w:ascii="Times New Roman" w:eastAsia="Calibri" w:hAnsi="Times New Roman"/>
                <w:sz w:val="22"/>
                <w:szCs w:val="22"/>
              </w:rPr>
              <w:t>$15.83</w:t>
            </w:r>
          </w:p>
        </w:tc>
        <w:tc>
          <w:tcPr>
            <w:tcW w:w="1426" w:type="dxa"/>
            <w:shd w:val="clear" w:color="auto" w:fill="auto"/>
            <w:vAlign w:val="bottom"/>
          </w:tcPr>
          <w:p w:rsidR="007B0E00" w:rsidRPr="00F85FD7" w:rsidP="002B769F" w14:paraId="64B1E813" w14:textId="4F364824">
            <w:pPr>
              <w:jc w:val="center"/>
              <w:rPr>
                <w:rFonts w:ascii="Times New Roman" w:eastAsia="Calibri" w:hAnsi="Times New Roman"/>
                <w:sz w:val="22"/>
                <w:szCs w:val="22"/>
              </w:rPr>
            </w:pPr>
            <w:r w:rsidRPr="00F85FD7">
              <w:rPr>
                <w:rFonts w:ascii="Times New Roman" w:eastAsia="Calibri" w:hAnsi="Times New Roman"/>
                <w:sz w:val="22"/>
                <w:szCs w:val="22"/>
              </w:rPr>
              <w:t xml:space="preserve">$16.00 </w:t>
            </w:r>
          </w:p>
        </w:tc>
      </w:tr>
      <w:tr w14:paraId="3035A8F1" w14:textId="77777777" w:rsidTr="00106ABC">
        <w:tblPrEx>
          <w:tblW w:w="9695" w:type="dxa"/>
          <w:tblLook w:val="04A0"/>
        </w:tblPrEx>
        <w:tc>
          <w:tcPr>
            <w:tcW w:w="1090" w:type="dxa"/>
            <w:shd w:val="clear" w:color="auto" w:fill="auto"/>
            <w:vAlign w:val="bottom"/>
          </w:tcPr>
          <w:p w:rsidR="007B0E00" w:rsidRPr="00F85FD7" w:rsidP="007B0E00" w14:paraId="48D2080F" w14:textId="41A41D08">
            <w:pPr>
              <w:rPr>
                <w:rFonts w:ascii="Times New Roman" w:eastAsia="Calibri" w:hAnsi="Times New Roman"/>
                <w:sz w:val="22"/>
                <w:szCs w:val="22"/>
              </w:rPr>
            </w:pPr>
            <w:r w:rsidRPr="00F85FD7">
              <w:rPr>
                <w:rFonts w:ascii="Times New Roman" w:eastAsia="Calibri" w:hAnsi="Times New Roman"/>
                <w:sz w:val="22"/>
                <w:szCs w:val="22"/>
              </w:rPr>
              <w:t>CA-722</w:t>
            </w:r>
          </w:p>
        </w:tc>
        <w:tc>
          <w:tcPr>
            <w:tcW w:w="1415" w:type="dxa"/>
            <w:shd w:val="clear" w:color="auto" w:fill="auto"/>
            <w:vAlign w:val="bottom"/>
          </w:tcPr>
          <w:p w:rsidR="007B0E00" w:rsidRPr="00F85FD7" w:rsidP="002B769F" w14:paraId="3C8C0B8E" w14:textId="4FFA858F">
            <w:pPr>
              <w:jc w:val="center"/>
              <w:rPr>
                <w:rFonts w:ascii="Times New Roman" w:eastAsia="Calibri" w:hAnsi="Times New Roman"/>
                <w:sz w:val="22"/>
                <w:szCs w:val="22"/>
              </w:rPr>
            </w:pPr>
            <w:r w:rsidRPr="00F85FD7">
              <w:rPr>
                <w:rFonts w:ascii="Times New Roman" w:eastAsia="Calibri" w:hAnsi="Times New Roman"/>
                <w:sz w:val="22"/>
                <w:szCs w:val="22"/>
              </w:rPr>
              <w:t>1</w:t>
            </w:r>
          </w:p>
        </w:tc>
        <w:tc>
          <w:tcPr>
            <w:tcW w:w="1219" w:type="dxa"/>
            <w:shd w:val="clear" w:color="auto" w:fill="auto"/>
            <w:vAlign w:val="bottom"/>
          </w:tcPr>
          <w:p w:rsidR="007B0E00" w:rsidRPr="00F85FD7" w:rsidP="002B769F" w14:paraId="63A413D6" w14:textId="58E2ADFE">
            <w:pPr>
              <w:jc w:val="center"/>
              <w:rPr>
                <w:rFonts w:ascii="Times New Roman" w:eastAsia="Calibri" w:hAnsi="Times New Roman"/>
                <w:sz w:val="22"/>
                <w:szCs w:val="22"/>
              </w:rPr>
            </w:pPr>
            <w:r w:rsidRPr="00F85FD7">
              <w:rPr>
                <w:rFonts w:ascii="Times New Roman" w:eastAsia="Calibri" w:hAnsi="Times New Roman"/>
                <w:sz w:val="22"/>
                <w:szCs w:val="22"/>
              </w:rPr>
              <w:t>1</w:t>
            </w:r>
          </w:p>
        </w:tc>
        <w:tc>
          <w:tcPr>
            <w:tcW w:w="1182" w:type="dxa"/>
            <w:shd w:val="clear" w:color="auto" w:fill="auto"/>
            <w:vAlign w:val="bottom"/>
          </w:tcPr>
          <w:p w:rsidR="007B0E00" w:rsidRPr="00F85FD7" w:rsidP="002B769F" w14:paraId="2899DCFF" w14:textId="0B39CA75">
            <w:pPr>
              <w:jc w:val="center"/>
              <w:rPr>
                <w:rFonts w:ascii="Times New Roman" w:eastAsia="Calibri" w:hAnsi="Times New Roman"/>
                <w:sz w:val="22"/>
                <w:szCs w:val="22"/>
              </w:rPr>
            </w:pPr>
            <w:r w:rsidRPr="00F85FD7">
              <w:rPr>
                <w:rFonts w:ascii="Times New Roman" w:eastAsia="Calibri" w:hAnsi="Times New Roman"/>
                <w:sz w:val="22"/>
                <w:szCs w:val="22"/>
              </w:rPr>
              <w:t>1</w:t>
            </w:r>
          </w:p>
        </w:tc>
        <w:tc>
          <w:tcPr>
            <w:tcW w:w="1097" w:type="dxa"/>
            <w:shd w:val="clear" w:color="auto" w:fill="auto"/>
            <w:vAlign w:val="bottom"/>
          </w:tcPr>
          <w:p w:rsidR="007B0E00" w:rsidRPr="00F85FD7" w:rsidP="002B769F" w14:paraId="31BFFDD3" w14:textId="4318B488">
            <w:pPr>
              <w:jc w:val="center"/>
              <w:rPr>
                <w:rFonts w:ascii="Times New Roman" w:eastAsia="Calibri" w:hAnsi="Times New Roman"/>
                <w:sz w:val="22"/>
                <w:szCs w:val="22"/>
              </w:rPr>
            </w:pPr>
            <w:r w:rsidRPr="00F85FD7">
              <w:rPr>
                <w:rFonts w:ascii="Times New Roman" w:eastAsia="Calibri" w:hAnsi="Times New Roman"/>
                <w:sz w:val="22"/>
                <w:szCs w:val="22"/>
              </w:rPr>
              <w:t>1.50</w:t>
            </w:r>
          </w:p>
        </w:tc>
        <w:tc>
          <w:tcPr>
            <w:tcW w:w="950" w:type="dxa"/>
            <w:shd w:val="clear" w:color="auto" w:fill="auto"/>
            <w:vAlign w:val="bottom"/>
          </w:tcPr>
          <w:p w:rsidR="007B0E00" w:rsidRPr="00F85FD7" w:rsidP="002B769F" w14:paraId="2D7963AA" w14:textId="25D2B0EE">
            <w:pPr>
              <w:jc w:val="center"/>
              <w:rPr>
                <w:rFonts w:ascii="Times New Roman" w:eastAsia="Calibri" w:hAnsi="Times New Roman"/>
                <w:sz w:val="22"/>
                <w:szCs w:val="22"/>
              </w:rPr>
            </w:pPr>
            <w:r w:rsidRPr="00F85FD7">
              <w:rPr>
                <w:rFonts w:ascii="Times New Roman" w:eastAsia="Calibri" w:hAnsi="Times New Roman"/>
                <w:sz w:val="22"/>
                <w:szCs w:val="22"/>
              </w:rPr>
              <w:t>1.5</w:t>
            </w:r>
          </w:p>
        </w:tc>
        <w:tc>
          <w:tcPr>
            <w:tcW w:w="1316" w:type="dxa"/>
            <w:shd w:val="clear" w:color="auto" w:fill="auto"/>
            <w:vAlign w:val="bottom"/>
          </w:tcPr>
          <w:p w:rsidR="007B0E00" w:rsidRPr="00F85FD7" w:rsidP="002B769F" w14:paraId="24F14CB2" w14:textId="1EDA670A">
            <w:pPr>
              <w:jc w:val="center"/>
              <w:rPr>
                <w:rFonts w:ascii="Times New Roman" w:eastAsia="Calibri" w:hAnsi="Times New Roman"/>
                <w:sz w:val="22"/>
                <w:szCs w:val="22"/>
              </w:rPr>
            </w:pPr>
            <w:r w:rsidRPr="00F85FD7">
              <w:rPr>
                <w:rFonts w:ascii="Times New Roman" w:eastAsia="Calibri" w:hAnsi="Times New Roman"/>
                <w:sz w:val="22"/>
                <w:szCs w:val="22"/>
              </w:rPr>
              <w:t>15.83</w:t>
            </w:r>
          </w:p>
        </w:tc>
        <w:tc>
          <w:tcPr>
            <w:tcW w:w="1426" w:type="dxa"/>
            <w:shd w:val="clear" w:color="auto" w:fill="auto"/>
            <w:vAlign w:val="bottom"/>
          </w:tcPr>
          <w:p w:rsidR="007B0E00" w:rsidRPr="00F85FD7" w:rsidP="002B769F" w14:paraId="58181DA2" w14:textId="22639BB3">
            <w:pPr>
              <w:jc w:val="center"/>
              <w:rPr>
                <w:rFonts w:ascii="Times New Roman" w:eastAsia="Calibri" w:hAnsi="Times New Roman"/>
                <w:sz w:val="22"/>
                <w:szCs w:val="22"/>
              </w:rPr>
            </w:pPr>
            <w:r w:rsidRPr="00F85FD7">
              <w:rPr>
                <w:rFonts w:ascii="Times New Roman" w:eastAsia="Calibri" w:hAnsi="Times New Roman"/>
                <w:sz w:val="22"/>
                <w:szCs w:val="22"/>
              </w:rPr>
              <w:t xml:space="preserve">$24.00 </w:t>
            </w:r>
          </w:p>
        </w:tc>
      </w:tr>
      <w:tr w14:paraId="26D84B59" w14:textId="77777777" w:rsidTr="00106ABC">
        <w:tblPrEx>
          <w:tblW w:w="9695" w:type="dxa"/>
          <w:tblLook w:val="04A0"/>
        </w:tblPrEx>
        <w:tc>
          <w:tcPr>
            <w:tcW w:w="1090" w:type="dxa"/>
            <w:shd w:val="clear" w:color="auto" w:fill="auto"/>
            <w:vAlign w:val="bottom"/>
          </w:tcPr>
          <w:p w:rsidR="007B0E00" w:rsidRPr="00F85FD7" w:rsidP="002B769F" w14:paraId="159EFE45" w14:textId="77777777">
            <w:pPr>
              <w:jc w:val="right"/>
              <w:rPr>
                <w:rFonts w:ascii="Times New Roman" w:eastAsia="Calibri" w:hAnsi="Times New Roman"/>
                <w:sz w:val="22"/>
                <w:szCs w:val="22"/>
              </w:rPr>
            </w:pPr>
          </w:p>
        </w:tc>
        <w:tc>
          <w:tcPr>
            <w:tcW w:w="1415" w:type="dxa"/>
            <w:shd w:val="clear" w:color="auto" w:fill="auto"/>
            <w:vAlign w:val="bottom"/>
          </w:tcPr>
          <w:p w:rsidR="007B0E00" w:rsidRPr="00F85FD7" w:rsidP="002B769F" w14:paraId="0F8D52F1" w14:textId="77777777">
            <w:pPr>
              <w:jc w:val="center"/>
              <w:rPr>
                <w:rFonts w:ascii="Times New Roman" w:eastAsia="Calibri" w:hAnsi="Times New Roman"/>
                <w:sz w:val="22"/>
                <w:szCs w:val="22"/>
              </w:rPr>
            </w:pPr>
          </w:p>
        </w:tc>
        <w:tc>
          <w:tcPr>
            <w:tcW w:w="1219" w:type="dxa"/>
            <w:shd w:val="clear" w:color="auto" w:fill="auto"/>
            <w:vAlign w:val="bottom"/>
          </w:tcPr>
          <w:p w:rsidR="007B0E00" w:rsidRPr="00F85FD7" w:rsidP="002B769F" w14:paraId="3BB3B208" w14:textId="77777777">
            <w:pPr>
              <w:jc w:val="center"/>
              <w:rPr>
                <w:rFonts w:ascii="Times New Roman" w:eastAsia="Calibri" w:hAnsi="Times New Roman"/>
                <w:sz w:val="22"/>
                <w:szCs w:val="22"/>
              </w:rPr>
            </w:pPr>
          </w:p>
        </w:tc>
        <w:tc>
          <w:tcPr>
            <w:tcW w:w="1182" w:type="dxa"/>
            <w:shd w:val="clear" w:color="auto" w:fill="auto"/>
            <w:vAlign w:val="bottom"/>
          </w:tcPr>
          <w:p w:rsidR="007B0E00" w:rsidRPr="00F85FD7" w:rsidP="002B769F" w14:paraId="77C1A582" w14:textId="77777777">
            <w:pPr>
              <w:jc w:val="center"/>
              <w:rPr>
                <w:rFonts w:ascii="Times New Roman" w:eastAsia="Calibri" w:hAnsi="Times New Roman"/>
                <w:sz w:val="22"/>
                <w:szCs w:val="22"/>
              </w:rPr>
            </w:pPr>
          </w:p>
        </w:tc>
        <w:tc>
          <w:tcPr>
            <w:tcW w:w="1097" w:type="dxa"/>
            <w:shd w:val="clear" w:color="auto" w:fill="auto"/>
            <w:vAlign w:val="bottom"/>
          </w:tcPr>
          <w:p w:rsidR="007B0E00" w:rsidRPr="00F85FD7" w:rsidP="002B769F" w14:paraId="5AF76CCD" w14:textId="77777777">
            <w:pPr>
              <w:jc w:val="center"/>
              <w:rPr>
                <w:rFonts w:ascii="Times New Roman" w:eastAsia="Calibri" w:hAnsi="Times New Roman"/>
                <w:sz w:val="22"/>
                <w:szCs w:val="22"/>
              </w:rPr>
            </w:pPr>
          </w:p>
        </w:tc>
        <w:tc>
          <w:tcPr>
            <w:tcW w:w="950" w:type="dxa"/>
            <w:shd w:val="clear" w:color="auto" w:fill="auto"/>
            <w:vAlign w:val="bottom"/>
          </w:tcPr>
          <w:p w:rsidR="007B0E00" w:rsidRPr="00F85FD7" w:rsidP="002B769F" w14:paraId="6115E8FC" w14:textId="77777777">
            <w:pPr>
              <w:jc w:val="center"/>
              <w:rPr>
                <w:rFonts w:ascii="Times New Roman" w:eastAsia="Calibri" w:hAnsi="Times New Roman"/>
                <w:sz w:val="22"/>
                <w:szCs w:val="22"/>
              </w:rPr>
            </w:pPr>
          </w:p>
        </w:tc>
        <w:tc>
          <w:tcPr>
            <w:tcW w:w="1316" w:type="dxa"/>
            <w:shd w:val="clear" w:color="auto" w:fill="auto"/>
            <w:vAlign w:val="bottom"/>
          </w:tcPr>
          <w:p w:rsidR="007B0E00" w:rsidRPr="00F85FD7" w:rsidP="002B769F" w14:paraId="2097F6B2" w14:textId="77777777">
            <w:pPr>
              <w:jc w:val="center"/>
              <w:rPr>
                <w:rFonts w:ascii="Times New Roman" w:eastAsia="Calibri" w:hAnsi="Times New Roman"/>
                <w:sz w:val="22"/>
                <w:szCs w:val="22"/>
              </w:rPr>
            </w:pPr>
          </w:p>
        </w:tc>
        <w:tc>
          <w:tcPr>
            <w:tcW w:w="1426" w:type="dxa"/>
            <w:shd w:val="clear" w:color="auto" w:fill="auto"/>
            <w:vAlign w:val="bottom"/>
          </w:tcPr>
          <w:p w:rsidR="007B0E00" w:rsidRPr="00F85FD7" w:rsidP="002B769F" w14:paraId="00DFDAC4" w14:textId="77777777">
            <w:pPr>
              <w:jc w:val="center"/>
              <w:rPr>
                <w:rFonts w:ascii="Times New Roman" w:eastAsia="Calibri" w:hAnsi="Times New Roman"/>
                <w:sz w:val="22"/>
                <w:szCs w:val="22"/>
              </w:rPr>
            </w:pPr>
          </w:p>
        </w:tc>
      </w:tr>
      <w:tr w14:paraId="44DFEAF0" w14:textId="77777777" w:rsidTr="00A22D6E">
        <w:tblPrEx>
          <w:tblW w:w="9695" w:type="dxa"/>
          <w:tblLook w:val="04A0"/>
        </w:tblPrEx>
        <w:tc>
          <w:tcPr>
            <w:tcW w:w="1090" w:type="dxa"/>
            <w:shd w:val="clear" w:color="auto" w:fill="auto"/>
          </w:tcPr>
          <w:p w:rsidR="007B0E00" w:rsidRPr="00F85FD7" w:rsidP="002B769F" w14:paraId="52CF6D60" w14:textId="77777777">
            <w:pPr>
              <w:rPr>
                <w:rFonts w:ascii="Times New Roman" w:eastAsia="Calibri" w:hAnsi="Times New Roman"/>
                <w:b/>
                <w:i/>
                <w:sz w:val="22"/>
                <w:szCs w:val="22"/>
              </w:rPr>
            </w:pPr>
            <w:r w:rsidRPr="00F85FD7">
              <w:rPr>
                <w:rFonts w:ascii="Times New Roman" w:eastAsia="Calibri" w:hAnsi="Times New Roman"/>
                <w:b/>
                <w:i/>
                <w:sz w:val="22"/>
                <w:szCs w:val="22"/>
              </w:rPr>
              <w:t xml:space="preserve"> Totals</w:t>
            </w:r>
          </w:p>
        </w:tc>
        <w:tc>
          <w:tcPr>
            <w:tcW w:w="1415" w:type="dxa"/>
            <w:shd w:val="clear" w:color="auto" w:fill="auto"/>
            <w:vAlign w:val="bottom"/>
          </w:tcPr>
          <w:p w:rsidR="007B0E00" w:rsidRPr="00F85FD7" w:rsidP="002B769F" w14:paraId="7AA3CB42" w14:textId="5EFA7FAF">
            <w:pPr>
              <w:jc w:val="center"/>
              <w:rPr>
                <w:rFonts w:ascii="Times New Roman" w:eastAsia="Calibri" w:hAnsi="Times New Roman"/>
                <w:b/>
                <w:i/>
                <w:sz w:val="22"/>
                <w:szCs w:val="22"/>
              </w:rPr>
            </w:pPr>
            <w:r w:rsidRPr="00F85FD7">
              <w:rPr>
                <w:rFonts w:ascii="Times New Roman" w:eastAsia="Calibri" w:hAnsi="Times New Roman"/>
                <w:b/>
                <w:i/>
                <w:sz w:val="22"/>
                <w:szCs w:val="22"/>
              </w:rPr>
              <w:t>2</w:t>
            </w:r>
          </w:p>
        </w:tc>
        <w:tc>
          <w:tcPr>
            <w:tcW w:w="1219" w:type="dxa"/>
            <w:shd w:val="clear" w:color="auto" w:fill="000000" w:themeFill="text1"/>
            <w:vAlign w:val="bottom"/>
          </w:tcPr>
          <w:p w:rsidR="007B0E00" w:rsidRPr="00F85FD7" w:rsidP="002B769F" w14:paraId="78B9A127" w14:textId="77777777">
            <w:pPr>
              <w:jc w:val="center"/>
              <w:rPr>
                <w:rFonts w:ascii="Times New Roman" w:eastAsia="Calibri" w:hAnsi="Times New Roman"/>
                <w:b/>
                <w:i/>
                <w:sz w:val="22"/>
                <w:szCs w:val="22"/>
              </w:rPr>
            </w:pPr>
          </w:p>
        </w:tc>
        <w:tc>
          <w:tcPr>
            <w:tcW w:w="1182" w:type="dxa"/>
            <w:shd w:val="clear" w:color="auto" w:fill="auto"/>
            <w:vAlign w:val="bottom"/>
          </w:tcPr>
          <w:p w:rsidR="007B0E00" w:rsidRPr="00F85FD7" w:rsidP="002B769F" w14:paraId="046850E1" w14:textId="4B013537">
            <w:pPr>
              <w:jc w:val="center"/>
              <w:rPr>
                <w:rFonts w:ascii="Times New Roman" w:eastAsia="Calibri" w:hAnsi="Times New Roman"/>
                <w:b/>
                <w:i/>
                <w:sz w:val="22"/>
                <w:szCs w:val="22"/>
              </w:rPr>
            </w:pPr>
            <w:r w:rsidRPr="00F85FD7">
              <w:rPr>
                <w:rFonts w:ascii="Times New Roman" w:eastAsia="Calibri" w:hAnsi="Times New Roman"/>
                <w:b/>
                <w:i/>
                <w:sz w:val="22"/>
                <w:szCs w:val="22"/>
              </w:rPr>
              <w:t>2</w:t>
            </w:r>
          </w:p>
        </w:tc>
        <w:tc>
          <w:tcPr>
            <w:tcW w:w="1097" w:type="dxa"/>
            <w:shd w:val="clear" w:color="auto" w:fill="000000" w:themeFill="text1"/>
            <w:vAlign w:val="bottom"/>
          </w:tcPr>
          <w:p w:rsidR="007B0E00" w:rsidRPr="00F85FD7" w:rsidP="002B769F" w14:paraId="30F37705" w14:textId="65A3E9D9">
            <w:pPr>
              <w:jc w:val="center"/>
              <w:rPr>
                <w:rFonts w:ascii="Times New Roman" w:eastAsia="Calibri" w:hAnsi="Times New Roman"/>
                <w:b/>
                <w:i/>
                <w:sz w:val="22"/>
                <w:szCs w:val="22"/>
              </w:rPr>
            </w:pPr>
          </w:p>
        </w:tc>
        <w:tc>
          <w:tcPr>
            <w:tcW w:w="950" w:type="dxa"/>
            <w:shd w:val="clear" w:color="auto" w:fill="auto"/>
            <w:vAlign w:val="bottom"/>
          </w:tcPr>
          <w:p w:rsidR="007B0E00" w:rsidRPr="00F85FD7" w:rsidP="002B769F" w14:paraId="0729C5E6" w14:textId="103E0655">
            <w:pPr>
              <w:jc w:val="center"/>
              <w:rPr>
                <w:rFonts w:ascii="Times New Roman" w:eastAsia="Calibri" w:hAnsi="Times New Roman"/>
                <w:b/>
                <w:i/>
                <w:sz w:val="22"/>
                <w:szCs w:val="22"/>
              </w:rPr>
            </w:pPr>
            <w:r>
              <w:rPr>
                <w:rFonts w:ascii="Times New Roman" w:eastAsia="Calibri" w:hAnsi="Times New Roman"/>
                <w:b/>
                <w:i/>
                <w:sz w:val="22"/>
                <w:szCs w:val="22"/>
              </w:rPr>
              <w:t>3</w:t>
            </w:r>
          </w:p>
        </w:tc>
        <w:tc>
          <w:tcPr>
            <w:tcW w:w="1316" w:type="dxa"/>
            <w:shd w:val="clear" w:color="auto" w:fill="auto"/>
            <w:vAlign w:val="bottom"/>
          </w:tcPr>
          <w:p w:rsidR="007B0E00" w:rsidRPr="00F85FD7" w:rsidP="002B769F" w14:paraId="6899BC2E" w14:textId="1118FEA3">
            <w:pPr>
              <w:jc w:val="center"/>
              <w:rPr>
                <w:rFonts w:ascii="Times New Roman" w:eastAsia="Calibri" w:hAnsi="Times New Roman"/>
                <w:b/>
                <w:i/>
                <w:sz w:val="22"/>
                <w:szCs w:val="22"/>
              </w:rPr>
            </w:pPr>
            <w:r w:rsidRPr="00F85FD7">
              <w:rPr>
                <w:rFonts w:ascii="Times New Roman" w:eastAsia="Calibri" w:hAnsi="Times New Roman"/>
                <w:b/>
                <w:i/>
                <w:sz w:val="22"/>
                <w:szCs w:val="22"/>
              </w:rPr>
              <w:t>$15.83</w:t>
            </w:r>
          </w:p>
        </w:tc>
        <w:tc>
          <w:tcPr>
            <w:tcW w:w="1426" w:type="dxa"/>
            <w:shd w:val="clear" w:color="auto" w:fill="auto"/>
            <w:vAlign w:val="bottom"/>
          </w:tcPr>
          <w:p w:rsidR="007B0E00" w:rsidRPr="00F85FD7" w:rsidP="002B769F" w14:paraId="6CD51051" w14:textId="09F44EA3">
            <w:pPr>
              <w:jc w:val="center"/>
              <w:rPr>
                <w:rFonts w:ascii="Times New Roman" w:eastAsia="Calibri" w:hAnsi="Times New Roman"/>
                <w:b/>
                <w:i/>
                <w:sz w:val="22"/>
                <w:szCs w:val="22"/>
              </w:rPr>
            </w:pPr>
            <w:r w:rsidRPr="00F85FD7">
              <w:rPr>
                <w:rFonts w:ascii="Times New Roman" w:eastAsia="Calibri" w:hAnsi="Times New Roman"/>
                <w:b/>
                <w:i/>
                <w:sz w:val="22"/>
                <w:szCs w:val="22"/>
              </w:rPr>
              <w:t xml:space="preserve">$40.00 </w:t>
            </w:r>
          </w:p>
        </w:tc>
      </w:tr>
    </w:tbl>
    <w:bookmarkEnd w:id="0"/>
    <w:p w:rsidR="00EC351F" w:rsidP="00F85FD7" w14:paraId="6E4FF3F7" w14:textId="71023BF2">
      <w:pPr>
        <w:suppressAutoHyphens/>
        <w:spacing w:before="240"/>
        <w:rPr>
          <w:rFonts w:ascii="Times New Roman" w:hAnsi="Times New Roman"/>
        </w:rPr>
      </w:pPr>
      <w:r w:rsidRPr="00364F04">
        <w:rPr>
          <w:rFonts w:ascii="Times New Roman" w:hAnsi="Times New Roman"/>
          <w:b/>
          <w:bCs/>
        </w:rPr>
        <w:t>Burden Hours:</w:t>
      </w:r>
      <w:r>
        <w:rPr>
          <w:rFonts w:ascii="Times New Roman" w:hAnsi="Times New Roman"/>
        </w:rPr>
        <w:t xml:space="preserve">  </w:t>
      </w:r>
      <w:r w:rsidR="0076247F">
        <w:rPr>
          <w:rFonts w:ascii="Times New Roman" w:hAnsi="Times New Roman"/>
        </w:rPr>
        <w:t xml:space="preserve">Burden hour estimates are derived from estimated actual respondent usage of this form.  </w:t>
      </w:r>
      <w:r w:rsidR="00F03407">
        <w:rPr>
          <w:rFonts w:ascii="Times New Roman" w:hAnsi="Times New Roman"/>
        </w:rPr>
        <w:t xml:space="preserve">It is estimated that it will take approximately </w:t>
      </w:r>
      <w:r w:rsidR="00E44E7B">
        <w:rPr>
          <w:rFonts w:ascii="Times New Roman" w:hAnsi="Times New Roman"/>
        </w:rPr>
        <w:t>3 (</w:t>
      </w:r>
      <w:r>
        <w:rPr>
          <w:rFonts w:ascii="Times New Roman" w:hAnsi="Times New Roman"/>
        </w:rPr>
        <w:t>2.5</w:t>
      </w:r>
      <w:r w:rsidR="00E44E7B">
        <w:rPr>
          <w:rFonts w:ascii="Times New Roman" w:hAnsi="Times New Roman"/>
        </w:rPr>
        <w:t xml:space="preserve"> rounded up)</w:t>
      </w:r>
      <w:r>
        <w:rPr>
          <w:rFonts w:ascii="Times New Roman" w:hAnsi="Times New Roman"/>
        </w:rPr>
        <w:t xml:space="preserve"> </w:t>
      </w:r>
      <w:r w:rsidR="00094D3D">
        <w:rPr>
          <w:rFonts w:ascii="Times New Roman" w:hAnsi="Times New Roman"/>
        </w:rPr>
        <w:t xml:space="preserve">total </w:t>
      </w:r>
      <w:r>
        <w:rPr>
          <w:rFonts w:ascii="Times New Roman" w:hAnsi="Times New Roman"/>
        </w:rPr>
        <w:t>burden hours to prepare</w:t>
      </w:r>
      <w:r w:rsidR="00094D3D">
        <w:rPr>
          <w:rFonts w:ascii="Times New Roman" w:hAnsi="Times New Roman"/>
        </w:rPr>
        <w:t xml:space="preserve"> both forms</w:t>
      </w:r>
      <w:r>
        <w:rPr>
          <w:rFonts w:ascii="Times New Roman" w:hAnsi="Times New Roman"/>
        </w:rPr>
        <w:t>:</w:t>
      </w:r>
    </w:p>
    <w:p w:rsidR="00EC351F" w:rsidRPr="00106ABC" w:rsidP="00F85FD7" w14:paraId="24D69A9D" w14:textId="28BB8F64">
      <w:pPr>
        <w:suppressAutoHyphens/>
        <w:spacing w:before="240"/>
        <w:rPr>
          <w:rFonts w:ascii="Times New Roman" w:hAnsi="Times New Roman"/>
        </w:rPr>
      </w:pPr>
      <w:r w:rsidRPr="00106ABC">
        <w:rPr>
          <w:rFonts w:ascii="Times New Roman" w:hAnsi="Times New Roman"/>
        </w:rPr>
        <w:t xml:space="preserve">CA-721:  1 response X </w:t>
      </w:r>
      <w:r w:rsidR="001D3D34">
        <w:rPr>
          <w:rFonts w:ascii="Times New Roman" w:hAnsi="Times New Roman"/>
        </w:rPr>
        <w:t>1 hour =</w:t>
      </w:r>
      <w:r w:rsidRPr="00106ABC">
        <w:rPr>
          <w:rFonts w:ascii="Times New Roman" w:hAnsi="Times New Roman"/>
        </w:rPr>
        <w:t xml:space="preserve"> 1</w:t>
      </w:r>
      <w:r w:rsidR="001D3D34">
        <w:rPr>
          <w:rFonts w:ascii="Times New Roman" w:hAnsi="Times New Roman"/>
        </w:rPr>
        <w:t xml:space="preserve"> burden hour</w:t>
      </w:r>
    </w:p>
    <w:p w:rsidR="00EC351F" w:rsidRPr="00106ABC" w:rsidP="00F85FD7" w14:paraId="4AF3A26D" w14:textId="197931EC">
      <w:pPr>
        <w:suppressAutoHyphens/>
        <w:spacing w:before="240"/>
        <w:rPr>
          <w:rFonts w:ascii="Times New Roman" w:hAnsi="Times New Roman"/>
        </w:rPr>
      </w:pPr>
      <w:r w:rsidRPr="00106ABC">
        <w:rPr>
          <w:rFonts w:ascii="Times New Roman" w:hAnsi="Times New Roman"/>
        </w:rPr>
        <w:t>CA-722:  1 response X 1.5</w:t>
      </w:r>
      <w:r w:rsidR="001D3D34">
        <w:rPr>
          <w:rFonts w:ascii="Times New Roman" w:hAnsi="Times New Roman"/>
        </w:rPr>
        <w:t xml:space="preserve"> hour = 1.5 burden hours</w:t>
      </w:r>
    </w:p>
    <w:p w:rsidR="00EC351F" w:rsidP="00F85FD7" w14:paraId="1BF399CC" w14:textId="1E98805A">
      <w:pPr>
        <w:suppressAutoHyphens/>
        <w:spacing w:before="240"/>
        <w:rPr>
          <w:rFonts w:ascii="Times New Roman" w:hAnsi="Times New Roman"/>
        </w:rPr>
      </w:pPr>
      <w:r w:rsidRPr="00106ABC">
        <w:rPr>
          <w:rFonts w:ascii="Times New Roman" w:hAnsi="Times New Roman"/>
        </w:rPr>
        <w:t>Tot</w:t>
      </w:r>
      <w:r w:rsidRPr="00106ABC" w:rsidR="00166902">
        <w:rPr>
          <w:rFonts w:ascii="Times New Roman" w:hAnsi="Times New Roman"/>
        </w:rPr>
        <w:t>al Burden Hours</w:t>
      </w:r>
      <w:r w:rsidRPr="00106ABC">
        <w:rPr>
          <w:rFonts w:ascii="Times New Roman" w:hAnsi="Times New Roman"/>
        </w:rPr>
        <w:t xml:space="preserve">:  1 + 1.5 </w:t>
      </w:r>
      <w:r w:rsidR="001D3D34">
        <w:rPr>
          <w:rFonts w:ascii="Times New Roman" w:hAnsi="Times New Roman"/>
        </w:rPr>
        <w:t>=</w:t>
      </w:r>
      <w:r w:rsidRPr="00106ABC" w:rsidR="001D3D34">
        <w:rPr>
          <w:rFonts w:ascii="Times New Roman" w:hAnsi="Times New Roman"/>
        </w:rPr>
        <w:t xml:space="preserve"> </w:t>
      </w:r>
      <w:r w:rsidRPr="00106ABC">
        <w:rPr>
          <w:rFonts w:ascii="Times New Roman" w:hAnsi="Times New Roman"/>
        </w:rPr>
        <w:t>2.5</w:t>
      </w:r>
      <w:r w:rsidR="003F0B64">
        <w:rPr>
          <w:rFonts w:ascii="Times New Roman" w:hAnsi="Times New Roman"/>
        </w:rPr>
        <w:t xml:space="preserve"> hours, or 3 hours rounded</w:t>
      </w:r>
    </w:p>
    <w:p w:rsidR="00402DA3" w:rsidP="00F85FD7" w14:paraId="39B0C351" w14:textId="77777777">
      <w:pPr>
        <w:widowControl/>
        <w:rPr>
          <w:rFonts w:ascii="Times New Roman" w:hAnsi="Times New Roman"/>
          <w:b/>
          <w:bCs/>
        </w:rPr>
      </w:pPr>
    </w:p>
    <w:p w:rsidR="002514AF" w:rsidP="00F85FD7" w14:paraId="3133EC46" w14:textId="0A2B8FDA">
      <w:pPr>
        <w:widowControl/>
        <w:rPr>
          <w:rFonts w:ascii="Times New Roman" w:hAnsi="Times New Roman"/>
          <w:highlight w:val="yellow"/>
        </w:rPr>
      </w:pPr>
      <w:r w:rsidRPr="00D158D0">
        <w:rPr>
          <w:rFonts w:ascii="Times New Roman" w:hAnsi="Times New Roman"/>
          <w:b/>
          <w:bCs/>
        </w:rPr>
        <w:t>Monetized Value of Respondent Times</w:t>
      </w:r>
      <w:r>
        <w:rPr>
          <w:rFonts w:ascii="Times New Roman" w:hAnsi="Times New Roman"/>
        </w:rPr>
        <w:t xml:space="preserve">:  </w:t>
      </w:r>
      <w:r w:rsidRPr="008B288F" w:rsidR="002A6403">
        <w:rPr>
          <w:rFonts w:ascii="Times New Roman" w:hAnsi="Times New Roman"/>
        </w:rPr>
        <w:t xml:space="preserve">  </w:t>
      </w:r>
    </w:p>
    <w:p w:rsidR="002514AF" w:rsidP="002A6403" w14:paraId="3DE93D47" w14:textId="77777777">
      <w:pPr>
        <w:widowControl/>
        <w:ind w:left="720"/>
        <w:rPr>
          <w:rFonts w:ascii="Times New Roman" w:hAnsi="Times New Roman"/>
          <w:highlight w:val="yellow"/>
        </w:rPr>
      </w:pPr>
    </w:p>
    <w:p w:rsidR="00D65E8B" w:rsidRPr="008B288F" w:rsidP="00F85FD7" w14:paraId="711B1F46" w14:textId="7A68A136">
      <w:pPr>
        <w:widowControl/>
        <w:rPr>
          <w:rFonts w:ascii="Times New Roman" w:hAnsi="Times New Roman"/>
        </w:rPr>
      </w:pPr>
      <w:r w:rsidRPr="00990301">
        <w:rPr>
          <w:rFonts w:ascii="Times New Roman" w:hAnsi="Times New Roman"/>
        </w:rPr>
        <w:t>For the CA-721, the</w:t>
      </w:r>
      <w:r w:rsidRPr="00990301" w:rsidR="002514AF">
        <w:rPr>
          <w:rFonts w:ascii="Times New Roman" w:hAnsi="Times New Roman"/>
        </w:rPr>
        <w:t xml:space="preserve"> wage category of the respondent is unknown.  Using the National Average </w:t>
      </w:r>
      <w:r w:rsidRPr="008B288F" w:rsidR="002514AF">
        <w:rPr>
          <w:rFonts w:ascii="Times New Roman" w:hAnsi="Times New Roman"/>
        </w:rPr>
        <w:t>Weekly Wage median wage of production workers as computed by the Bureau of Labor Statistics (BLS), this figure is $15.83.</w:t>
      </w:r>
      <w:r>
        <w:rPr>
          <w:rStyle w:val="FootnoteReference"/>
          <w:rFonts w:ascii="Times New Roman" w:hAnsi="Times New Roman"/>
        </w:rPr>
        <w:footnoteReference w:id="3"/>
      </w:r>
      <w:r w:rsidRPr="008B288F" w:rsidR="002514AF">
        <w:rPr>
          <w:rFonts w:ascii="Times New Roman" w:hAnsi="Times New Roman"/>
        </w:rPr>
        <w:t xml:space="preserve">  Using the burden hour formula for the form, the monetized amount is computed as follows:  1 response x hourly burden (1) x hourly rate of $15.83, which equates to $15.83.   </w:t>
      </w:r>
    </w:p>
    <w:p w:rsidR="002514AF" w:rsidRPr="008B288F" w:rsidP="00D65E8B" w14:paraId="1C28E9B6" w14:textId="77777777">
      <w:pPr>
        <w:widowControl/>
        <w:ind w:left="720"/>
        <w:rPr>
          <w:rFonts w:ascii="Times New Roman" w:hAnsi="Times New Roman"/>
        </w:rPr>
      </w:pPr>
    </w:p>
    <w:p w:rsidR="0076247F" w:rsidP="00F85FD7" w14:paraId="00037756" w14:textId="233F237D">
      <w:pPr>
        <w:widowControl/>
        <w:rPr>
          <w:rFonts w:ascii="Times New Roman" w:hAnsi="Times New Roman"/>
        </w:rPr>
      </w:pPr>
      <w:r w:rsidRPr="008B288F">
        <w:rPr>
          <w:rFonts w:ascii="Times New Roman" w:hAnsi="Times New Roman"/>
        </w:rPr>
        <w:t>For the</w:t>
      </w:r>
      <w:r w:rsidRPr="008B288F" w:rsidR="00044B62">
        <w:rPr>
          <w:rFonts w:ascii="Times New Roman" w:hAnsi="Times New Roman"/>
        </w:rPr>
        <w:t xml:space="preserve"> CA-722, </w:t>
      </w:r>
      <w:r w:rsidRPr="008B288F">
        <w:rPr>
          <w:rFonts w:ascii="Times New Roman" w:hAnsi="Times New Roman"/>
        </w:rPr>
        <w:t xml:space="preserve">the wage category of the respondent is unknown.  Using the formula above, the estimated cost of burden hours using the National Average Weekly Wage median wages of production </w:t>
      </w:r>
      <w:r w:rsidRPr="008B288F" w:rsidR="00726EA6">
        <w:rPr>
          <w:rFonts w:ascii="Times New Roman" w:hAnsi="Times New Roman"/>
        </w:rPr>
        <w:t>workers as computed by BLS is $15.83</w:t>
      </w:r>
      <w:r w:rsidRPr="008B288F">
        <w:rPr>
          <w:rFonts w:ascii="Times New Roman" w:hAnsi="Times New Roman"/>
        </w:rPr>
        <w:t xml:space="preserve">.  </w:t>
      </w:r>
      <w:r w:rsidRPr="008B288F" w:rsidR="00917AE0">
        <w:rPr>
          <w:rFonts w:ascii="Times New Roman" w:hAnsi="Times New Roman"/>
        </w:rPr>
        <w:t>Using the burden hour for the form, the monetized amount is computed as follows:  1 response x hourly burden (1.5) x $15.83 = $23.745 or $24.00</w:t>
      </w:r>
      <w:r w:rsidR="001D3D34">
        <w:rPr>
          <w:rFonts w:ascii="Times New Roman" w:hAnsi="Times New Roman"/>
        </w:rPr>
        <w:t xml:space="preserve"> rounded</w:t>
      </w:r>
      <w:r w:rsidRPr="008B288F" w:rsidR="00917AE0">
        <w:rPr>
          <w:rFonts w:ascii="Times New Roman" w:hAnsi="Times New Roman"/>
        </w:rPr>
        <w:t xml:space="preserve">.  </w:t>
      </w:r>
    </w:p>
    <w:p w:rsidR="00C54D6C" w:rsidP="00F85FD7" w14:paraId="59B846CD" w14:textId="77777777">
      <w:pPr>
        <w:widowControl/>
        <w:rPr>
          <w:rFonts w:ascii="Times New Roman" w:hAnsi="Times New Roman"/>
        </w:rPr>
      </w:pPr>
    </w:p>
    <w:p w:rsidR="00FF35E3" w:rsidP="00F85FD7" w14:paraId="45443C96" w14:textId="1A33348E">
      <w:pPr>
        <w:widowControl/>
        <w:rPr>
          <w:rFonts w:ascii="Times New Roman" w:hAnsi="Times New Roman"/>
        </w:rPr>
      </w:pPr>
      <w:r w:rsidRPr="008B288F">
        <w:rPr>
          <w:rFonts w:ascii="Times New Roman" w:hAnsi="Times New Roman"/>
        </w:rPr>
        <w:t>The combined respondent annualized cost for this collection is $</w:t>
      </w:r>
      <w:r w:rsidRPr="008B288F" w:rsidR="00917AE0">
        <w:rPr>
          <w:rFonts w:ascii="Times New Roman" w:hAnsi="Times New Roman"/>
        </w:rPr>
        <w:t>40.00</w:t>
      </w:r>
      <w:r w:rsidRPr="008B288F" w:rsidR="00ED3B4B">
        <w:rPr>
          <w:rFonts w:ascii="Times New Roman" w:hAnsi="Times New Roman"/>
        </w:rPr>
        <w:t xml:space="preserve">, </w:t>
      </w:r>
      <w:r w:rsidR="00C75034">
        <w:rPr>
          <w:rFonts w:ascii="Times New Roman" w:hAnsi="Times New Roman"/>
        </w:rPr>
        <w:t>(</w:t>
      </w:r>
      <w:r w:rsidRPr="008B288F" w:rsidR="00ED3B4B">
        <w:rPr>
          <w:rFonts w:ascii="Times New Roman" w:hAnsi="Times New Roman"/>
        </w:rPr>
        <w:t>$</w:t>
      </w:r>
      <w:r w:rsidRPr="008B288F" w:rsidR="00917AE0">
        <w:rPr>
          <w:rFonts w:ascii="Times New Roman" w:hAnsi="Times New Roman"/>
        </w:rPr>
        <w:t>16</w:t>
      </w:r>
      <w:r w:rsidRPr="008B288F" w:rsidR="00A54CB2">
        <w:rPr>
          <w:rFonts w:ascii="Times New Roman" w:hAnsi="Times New Roman"/>
        </w:rPr>
        <w:t>.00 +</w:t>
      </w:r>
      <w:r w:rsidRPr="008B288F" w:rsidR="00ED3B4B">
        <w:rPr>
          <w:rFonts w:ascii="Times New Roman" w:hAnsi="Times New Roman"/>
        </w:rPr>
        <w:t>$</w:t>
      </w:r>
      <w:r w:rsidRPr="008B288F" w:rsidR="00A54CB2">
        <w:rPr>
          <w:rFonts w:ascii="Times New Roman" w:hAnsi="Times New Roman"/>
        </w:rPr>
        <w:t>24.00)</w:t>
      </w:r>
      <w:r w:rsidRPr="008B288F">
        <w:rPr>
          <w:rFonts w:ascii="Times New Roman" w:hAnsi="Times New Roman"/>
        </w:rPr>
        <w:t>.</w:t>
      </w:r>
      <w:r>
        <w:rPr>
          <w:rFonts w:ascii="Times New Roman" w:hAnsi="Times New Roman"/>
        </w:rPr>
        <w:t xml:space="preserve">  </w:t>
      </w:r>
    </w:p>
    <w:p w:rsidR="00FF35E3" w:rsidP="00E118D7" w14:paraId="00B1A79E" w14:textId="77777777">
      <w:pPr>
        <w:widowControl/>
        <w:ind w:left="720"/>
        <w:rPr>
          <w:rFonts w:ascii="Times New Roman" w:hAnsi="Times New Roman"/>
          <w:szCs w:val="24"/>
        </w:rPr>
      </w:pPr>
    </w:p>
    <w:p w:rsidR="00402DA3" w:rsidP="00402DA3" w14:paraId="63961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00402DA3" w:rsidP="00402DA3" w14:paraId="0FF47F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402DA3" w:rsidP="00402DA3" w14:paraId="31D79518" w14:textId="77777777">
      <w:pPr>
        <w:widowControl/>
        <w:numPr>
          <w:ilvl w:val="0"/>
          <w:numId w:val="1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rPr>
      </w:pPr>
      <w:r>
        <w:rPr>
          <w:rFonts w:ascii="Times New Roman" w:hAnsi="Times New Roman"/>
          <w:b/>
        </w:rPr>
        <w:t>The cost estimate should be split into two components:  (a) a total capital</w:t>
      </w:r>
    </w:p>
    <w:p w:rsidR="00402DA3" w:rsidP="00402DA3" w14:paraId="367F8758"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and start up cost component (annualized over its expected useful life); and (b) a</w:t>
      </w:r>
    </w:p>
    <w:p w:rsidR="00402DA3" w:rsidP="00402DA3" w14:paraId="55781BB3"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 xml:space="preserve">total operation, maintenance and purchase of service component.  </w:t>
      </w:r>
    </w:p>
    <w:p w:rsidR="00402DA3" w:rsidP="00402DA3" w14:paraId="7BCB8EF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should take into account costs associated with generating, </w:t>
      </w:r>
    </w:p>
    <w:p w:rsidR="00402DA3" w:rsidP="00402DA3" w14:paraId="4B38C45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maintaining, and disclosing or providing the information.  Include descriptions of </w:t>
      </w:r>
    </w:p>
    <w:p w:rsidR="00402DA3" w:rsidP="00402DA3" w14:paraId="5BD12E5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02DA3" w:rsidP="00402DA3" w14:paraId="02ECDA84"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402DA3" w:rsidP="00402DA3" w14:paraId="5387B1EC" w14:textId="77777777">
      <w:pPr>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02DA3" w:rsidP="00402DA3" w14:paraId="17C19E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02DA3" w:rsidP="00402DA3" w14:paraId="79F8D6AE" w14:textId="77777777">
      <w:pPr>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51521" w:rsidP="00F85FD7" w14:paraId="5C08C988" w14:textId="582846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402DFE" w:rsidRPr="00AC3355" w:rsidP="00F85FD7" w14:paraId="71D5243A" w14:textId="35EAC195">
      <w:pPr>
        <w:rPr>
          <w:rFonts w:ascii="Times New Roman" w:hAnsi="Times New Roman"/>
          <w:szCs w:val="24"/>
        </w:rPr>
      </w:pPr>
      <w:r w:rsidRPr="00D11F8E">
        <w:rPr>
          <w:rFonts w:ascii="Times New Roman" w:hAnsi="Times New Roman"/>
          <w:szCs w:val="24"/>
        </w:rPr>
        <w:t xml:space="preserve">There is no capital/startup or ongoing operation/maintenance costs associated with this information collection.  Operation and maintenance costs consist solely of mailing </w:t>
      </w:r>
      <w:r w:rsidRPr="00D11F8E" w:rsidR="007E51E6">
        <w:rPr>
          <w:rFonts w:ascii="Times New Roman" w:hAnsi="Times New Roman"/>
          <w:szCs w:val="24"/>
        </w:rPr>
        <w:t>costs, which</w:t>
      </w:r>
      <w:r w:rsidRPr="00D11F8E" w:rsidR="006C7351">
        <w:rPr>
          <w:rFonts w:ascii="Times New Roman" w:hAnsi="Times New Roman"/>
          <w:szCs w:val="24"/>
        </w:rPr>
        <w:t xml:space="preserve"> equates to $</w:t>
      </w:r>
      <w:r w:rsidR="00D57A74">
        <w:rPr>
          <w:rFonts w:ascii="Times New Roman" w:hAnsi="Times New Roman"/>
          <w:szCs w:val="24"/>
        </w:rPr>
        <w:t>1.38</w:t>
      </w:r>
      <w:r w:rsidR="005111C9">
        <w:rPr>
          <w:rFonts w:ascii="Times New Roman" w:hAnsi="Times New Roman"/>
          <w:szCs w:val="24"/>
        </w:rPr>
        <w:t xml:space="preserve"> or $</w:t>
      </w:r>
      <w:r w:rsidR="00064A21">
        <w:rPr>
          <w:rFonts w:ascii="Times New Roman" w:hAnsi="Times New Roman"/>
          <w:szCs w:val="24"/>
        </w:rPr>
        <w:t>1</w:t>
      </w:r>
      <w:r w:rsidR="005111C9">
        <w:rPr>
          <w:rFonts w:ascii="Times New Roman" w:hAnsi="Times New Roman"/>
          <w:szCs w:val="24"/>
        </w:rPr>
        <w:t xml:space="preserve">.00 rounded.  (2 </w:t>
      </w:r>
      <w:r w:rsidRPr="00D11F8E" w:rsidR="004268F0">
        <w:rPr>
          <w:rFonts w:ascii="Times New Roman" w:hAnsi="Times New Roman"/>
          <w:szCs w:val="24"/>
        </w:rPr>
        <w:t>annual</w:t>
      </w:r>
      <w:r w:rsidRPr="00D11F8E" w:rsidR="00F34BE1">
        <w:rPr>
          <w:rFonts w:ascii="Times New Roman" w:hAnsi="Times New Roman"/>
          <w:szCs w:val="24"/>
        </w:rPr>
        <w:t xml:space="preserve"> response</w:t>
      </w:r>
      <w:r w:rsidR="00FA3A5A">
        <w:rPr>
          <w:rFonts w:ascii="Times New Roman" w:hAnsi="Times New Roman"/>
          <w:szCs w:val="24"/>
        </w:rPr>
        <w:t>s</w:t>
      </w:r>
      <w:r w:rsidRPr="00D11F8E" w:rsidR="00874279">
        <w:rPr>
          <w:rFonts w:ascii="Times New Roman" w:hAnsi="Times New Roman"/>
          <w:szCs w:val="24"/>
        </w:rPr>
        <w:t xml:space="preserve"> x </w:t>
      </w:r>
      <w:r w:rsidRPr="00D11F8E">
        <w:rPr>
          <w:rFonts w:ascii="Times New Roman" w:hAnsi="Times New Roman"/>
          <w:szCs w:val="24"/>
        </w:rPr>
        <w:t>($0.</w:t>
      </w:r>
      <w:r w:rsidR="009B2F83">
        <w:rPr>
          <w:rFonts w:ascii="Times New Roman" w:hAnsi="Times New Roman"/>
          <w:szCs w:val="24"/>
        </w:rPr>
        <w:t>6</w:t>
      </w:r>
      <w:r w:rsidR="00D57A74">
        <w:rPr>
          <w:rFonts w:ascii="Times New Roman" w:hAnsi="Times New Roman"/>
          <w:szCs w:val="24"/>
        </w:rPr>
        <w:t>6</w:t>
      </w:r>
      <w:r w:rsidRPr="00D11F8E">
        <w:rPr>
          <w:rFonts w:ascii="Times New Roman" w:hAnsi="Times New Roman"/>
          <w:szCs w:val="24"/>
        </w:rPr>
        <w:t xml:space="preserve"> for postage + $0.03 for an envelope) =</w:t>
      </w:r>
      <w:r w:rsidRPr="00D11F8E" w:rsidR="00874279">
        <w:rPr>
          <w:rFonts w:ascii="Times New Roman" w:hAnsi="Times New Roman"/>
          <w:szCs w:val="24"/>
        </w:rPr>
        <w:t xml:space="preserve"> </w:t>
      </w:r>
      <w:r w:rsidR="00FA3A5A">
        <w:rPr>
          <w:rFonts w:ascii="Times New Roman" w:hAnsi="Times New Roman"/>
          <w:szCs w:val="24"/>
        </w:rPr>
        <w:t>2</w:t>
      </w:r>
      <w:r w:rsidRPr="00D11F8E" w:rsidR="00874279">
        <w:rPr>
          <w:rFonts w:ascii="Times New Roman" w:hAnsi="Times New Roman"/>
          <w:szCs w:val="24"/>
        </w:rPr>
        <w:t xml:space="preserve"> x .</w:t>
      </w:r>
      <w:r w:rsidR="009B2F83">
        <w:rPr>
          <w:rFonts w:ascii="Times New Roman" w:hAnsi="Times New Roman"/>
          <w:szCs w:val="24"/>
        </w:rPr>
        <w:t>6</w:t>
      </w:r>
      <w:r w:rsidR="00D57A74">
        <w:rPr>
          <w:rFonts w:ascii="Times New Roman" w:hAnsi="Times New Roman"/>
          <w:szCs w:val="24"/>
        </w:rPr>
        <w:t>9</w:t>
      </w:r>
      <w:r w:rsidR="00C54D6C">
        <w:rPr>
          <w:rFonts w:ascii="Times New Roman" w:hAnsi="Times New Roman"/>
          <w:szCs w:val="24"/>
        </w:rPr>
        <w:t xml:space="preserve"> </w:t>
      </w:r>
      <w:r w:rsidRPr="00D11F8E" w:rsidR="00696290">
        <w:rPr>
          <w:rFonts w:ascii="Times New Roman" w:hAnsi="Times New Roman"/>
          <w:szCs w:val="24"/>
        </w:rPr>
        <w:t>= $</w:t>
      </w:r>
      <w:r w:rsidR="00D57A74">
        <w:rPr>
          <w:rFonts w:ascii="Times New Roman" w:hAnsi="Times New Roman"/>
          <w:szCs w:val="24"/>
        </w:rPr>
        <w:t>1.38</w:t>
      </w:r>
      <w:r w:rsidR="005111C9">
        <w:rPr>
          <w:rFonts w:ascii="Times New Roman" w:hAnsi="Times New Roman"/>
          <w:szCs w:val="24"/>
        </w:rPr>
        <w:t xml:space="preserve"> or $</w:t>
      </w:r>
      <w:r w:rsidR="00064A21">
        <w:rPr>
          <w:rFonts w:ascii="Times New Roman" w:hAnsi="Times New Roman"/>
          <w:szCs w:val="24"/>
        </w:rPr>
        <w:t>1</w:t>
      </w:r>
      <w:r w:rsidR="005111C9">
        <w:rPr>
          <w:rFonts w:ascii="Times New Roman" w:hAnsi="Times New Roman"/>
          <w:szCs w:val="24"/>
        </w:rPr>
        <w:t>.00 rounded.</w:t>
      </w:r>
      <w:r w:rsidR="00926365">
        <w:rPr>
          <w:rFonts w:ascii="Times New Roman" w:hAnsi="Times New Roman"/>
          <w:szCs w:val="24"/>
        </w:rPr>
        <w:t>)</w:t>
      </w:r>
      <w:r w:rsidR="00624A20">
        <w:rPr>
          <w:rFonts w:ascii="Times New Roman" w:hAnsi="Times New Roman"/>
          <w:szCs w:val="24"/>
        </w:rPr>
        <w:t xml:space="preserve">  </w:t>
      </w:r>
    </w:p>
    <w:p w:rsidR="00571CF8" w:rsidP="00571CF8" w14:paraId="05033A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71CF8" w:rsidP="00571CF8" w14:paraId="67F162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 xml:space="preserve">14.  Provide estimates of the annualized cost to the Federal Government.  Also, provide a description of the method used to estimate cost, which should include quantification of </w:t>
      </w:r>
      <w:r>
        <w:rPr>
          <w:rFonts w:ascii="Times New Roman" w:hAnsi="Times New Roman"/>
          <w:b/>
          <w:bCs/>
        </w:rPr>
        <w:t>hours, operational expenses (such as equipment, overhead, printing, and support staff), and any other expense that would not have been incurred</w:t>
      </w:r>
      <w:r>
        <w:rPr>
          <w:rFonts w:ascii="Times New Roman" w:hAnsi="Times New Roman"/>
        </w:rPr>
        <w:t xml:space="preserve"> </w:t>
      </w:r>
      <w:r>
        <w:rPr>
          <w:rFonts w:ascii="Times New Roman" w:hAnsi="Times New Roman"/>
          <w:b/>
          <w:bCs/>
        </w:rPr>
        <w:t>without this collection of information.  Agencies also may aggregate cost estimates from Items 12, 13, and 14 into a single table.</w:t>
      </w:r>
    </w:p>
    <w:p w:rsidR="00827D26" w:rsidP="006C4718" w14:paraId="0A71D8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02F8A" w:rsidRPr="00402DA3" w:rsidP="00571CF8" w14:paraId="7E4034EF" w14:textId="1799AD3F">
      <w:pPr>
        <w:suppressAutoHyphens/>
        <w:rPr>
          <w:rFonts w:ascii="Times New Roman" w:hAnsi="Times New Roman"/>
          <w:color w:val="0070C0"/>
          <w:spacing w:val="-3"/>
          <w:szCs w:val="24"/>
        </w:rPr>
      </w:pPr>
      <w:r>
        <w:rPr>
          <w:rFonts w:ascii="Times New Roman" w:hAnsi="Times New Roman"/>
          <w:spacing w:val="-3"/>
          <w:szCs w:val="24"/>
        </w:rPr>
        <w:t>The only cost</w:t>
      </w:r>
      <w:r w:rsidR="005568EA">
        <w:rPr>
          <w:rFonts w:ascii="Times New Roman" w:hAnsi="Times New Roman"/>
          <w:spacing w:val="-3"/>
          <w:szCs w:val="24"/>
        </w:rPr>
        <w:t>s</w:t>
      </w:r>
      <w:r>
        <w:rPr>
          <w:rFonts w:ascii="Times New Roman" w:hAnsi="Times New Roman"/>
          <w:spacing w:val="-3"/>
          <w:szCs w:val="24"/>
        </w:rPr>
        <w:t xml:space="preserve"> to the Federal Government </w:t>
      </w:r>
      <w:r w:rsidR="005568EA">
        <w:rPr>
          <w:rFonts w:ascii="Times New Roman" w:hAnsi="Times New Roman"/>
          <w:spacing w:val="-3"/>
          <w:szCs w:val="24"/>
        </w:rPr>
        <w:t>associated with these collections are</w:t>
      </w:r>
      <w:r>
        <w:rPr>
          <w:rFonts w:ascii="Times New Roman" w:hAnsi="Times New Roman"/>
          <w:spacing w:val="-3"/>
          <w:szCs w:val="24"/>
        </w:rPr>
        <w:t xml:space="preserve"> </w:t>
      </w:r>
      <w:r w:rsidR="005568EA">
        <w:rPr>
          <w:rFonts w:ascii="Times New Roman" w:hAnsi="Times New Roman"/>
          <w:spacing w:val="-3"/>
          <w:szCs w:val="24"/>
        </w:rPr>
        <w:t>R</w:t>
      </w:r>
      <w:r>
        <w:rPr>
          <w:rFonts w:ascii="Times New Roman" w:hAnsi="Times New Roman"/>
          <w:spacing w:val="-3"/>
          <w:szCs w:val="24"/>
        </w:rPr>
        <w:t xml:space="preserve">eview </w:t>
      </w:r>
      <w:r w:rsidR="005568EA">
        <w:rPr>
          <w:rFonts w:ascii="Times New Roman" w:hAnsi="Times New Roman"/>
          <w:spacing w:val="-3"/>
          <w:szCs w:val="24"/>
        </w:rPr>
        <w:t>C</w:t>
      </w:r>
      <w:r>
        <w:rPr>
          <w:rFonts w:ascii="Times New Roman" w:hAnsi="Times New Roman"/>
          <w:spacing w:val="-3"/>
          <w:szCs w:val="24"/>
        </w:rPr>
        <w:t xml:space="preserve">osts.  It takes our </w:t>
      </w:r>
      <w:r w:rsidR="00CF7475">
        <w:rPr>
          <w:rFonts w:ascii="Times New Roman" w:hAnsi="Times New Roman"/>
          <w:spacing w:val="-3"/>
          <w:szCs w:val="24"/>
        </w:rPr>
        <w:t>Claims Examiner</w:t>
      </w:r>
      <w:r>
        <w:rPr>
          <w:rFonts w:ascii="Times New Roman" w:hAnsi="Times New Roman"/>
          <w:spacing w:val="-3"/>
          <w:szCs w:val="24"/>
        </w:rPr>
        <w:t>s 20 minutes (0.333 hour), on average, to review each form.  O</w:t>
      </w:r>
      <w:r w:rsidR="00CF7475">
        <w:rPr>
          <w:rFonts w:ascii="Times New Roman" w:hAnsi="Times New Roman"/>
          <w:spacing w:val="-3"/>
          <w:szCs w:val="24"/>
        </w:rPr>
        <w:t xml:space="preserve">ur </w:t>
      </w:r>
      <w:r w:rsidRPr="00635890" w:rsidR="00C71C16">
        <w:rPr>
          <w:rFonts w:ascii="Times New Roman" w:hAnsi="Times New Roman"/>
          <w:spacing w:val="-3"/>
          <w:szCs w:val="24"/>
        </w:rPr>
        <w:t xml:space="preserve">staff of six </w:t>
      </w:r>
      <w:r w:rsidR="00D57A74">
        <w:rPr>
          <w:rFonts w:ascii="Times New Roman" w:hAnsi="Times New Roman"/>
          <w:spacing w:val="-3"/>
          <w:szCs w:val="24"/>
        </w:rPr>
        <w:t xml:space="preserve">Claims Examiners </w:t>
      </w:r>
      <w:r w:rsidR="00CF7475">
        <w:rPr>
          <w:rFonts w:ascii="Times New Roman" w:hAnsi="Times New Roman"/>
          <w:spacing w:val="-3"/>
          <w:szCs w:val="24"/>
        </w:rPr>
        <w:t>earn an average hourly rate of $51.64.</w:t>
      </w:r>
      <w:r>
        <w:rPr>
          <w:rStyle w:val="FootnoteReference"/>
          <w:rFonts w:ascii="Times New Roman" w:hAnsi="Times New Roman"/>
          <w:spacing w:val="-3"/>
          <w:szCs w:val="24"/>
        </w:rPr>
        <w:footnoteReference w:id="4"/>
      </w:r>
      <w:r w:rsidR="00CF7475">
        <w:rPr>
          <w:rFonts w:ascii="Times New Roman" w:hAnsi="Times New Roman"/>
          <w:spacing w:val="-3"/>
          <w:szCs w:val="24"/>
        </w:rPr>
        <w:t xml:space="preserve">  </w:t>
      </w:r>
      <w:r w:rsidRPr="0044522C" w:rsidR="00DC03AE">
        <w:rPr>
          <w:rFonts w:ascii="Times New Roman" w:hAnsi="Times New Roman"/>
          <w:i/>
          <w:iCs/>
          <w:spacing w:val="-3"/>
          <w:szCs w:val="24"/>
        </w:rPr>
        <w:t>See</w:t>
      </w:r>
      <w:r w:rsidR="00DC03AE">
        <w:rPr>
          <w:rFonts w:ascii="Times New Roman" w:hAnsi="Times New Roman"/>
          <w:spacing w:val="-3"/>
          <w:szCs w:val="24"/>
        </w:rPr>
        <w:t xml:space="preserve"> </w:t>
      </w:r>
      <w:r w:rsidRPr="00635890" w:rsidR="00EE2262">
        <w:rPr>
          <w:rFonts w:ascii="Times New Roman" w:hAnsi="Times New Roman"/>
          <w:spacing w:val="-3"/>
          <w:szCs w:val="24"/>
        </w:rPr>
        <w:t>OPM 2023 General Schedule Locality Pay Tables</w:t>
      </w:r>
      <w:r w:rsidR="002B47BC">
        <w:rPr>
          <w:rFonts w:ascii="Times New Roman" w:hAnsi="Times New Roman"/>
          <w:spacing w:val="-3"/>
          <w:szCs w:val="24"/>
        </w:rPr>
        <w:t>:</w:t>
      </w:r>
      <w:r w:rsidRPr="00635890" w:rsidR="00C71C16">
        <w:rPr>
          <w:rFonts w:ascii="Times New Roman" w:hAnsi="Times New Roman"/>
          <w:spacing w:val="-3"/>
          <w:szCs w:val="24"/>
        </w:rPr>
        <w:t xml:space="preserve"> </w:t>
      </w:r>
      <w:hyperlink r:id="rId12" w:history="1">
        <w:r w:rsidRPr="00402DA3" w:rsidR="00004546">
          <w:rPr>
            <w:rStyle w:val="Hyperlink"/>
            <w:rFonts w:ascii="Times New Roman" w:hAnsi="Times New Roman"/>
            <w:color w:val="0070C0"/>
            <w:spacing w:val="-3"/>
            <w:szCs w:val="24"/>
          </w:rPr>
          <w:t>https://www.opm.gov/policy-data-oversight/pay-leave/salaries-wages/2023/general-schedule</w:t>
        </w:r>
      </w:hyperlink>
      <w:r>
        <w:rPr>
          <w:rStyle w:val="Hyperlink"/>
          <w:rFonts w:ascii="Times New Roman" w:hAnsi="Times New Roman"/>
          <w:color w:val="0070C0"/>
          <w:spacing w:val="-3"/>
          <w:szCs w:val="24"/>
        </w:rPr>
        <w:t xml:space="preserve">.  </w:t>
      </w:r>
    </w:p>
    <w:p w:rsidR="00571CF8" w:rsidRPr="00402DA3" w:rsidP="00571CF8" w14:paraId="3BF357FE" w14:textId="77777777">
      <w:pPr>
        <w:suppressAutoHyphens/>
        <w:rPr>
          <w:rFonts w:ascii="Times New Roman" w:hAnsi="Times New Roman"/>
          <w:color w:val="0070C0"/>
          <w:spacing w:val="-3"/>
          <w:szCs w:val="24"/>
        </w:rPr>
      </w:pPr>
    </w:p>
    <w:p w:rsidR="00451100" w:rsidRPr="006F4644" w:rsidP="00571CF8" w14:paraId="117F9EED" w14:textId="0F4483AA">
      <w:pPr>
        <w:suppressAutoHyphens/>
        <w:rPr>
          <w:rFonts w:ascii="Times New Roman" w:hAnsi="Times New Roman"/>
          <w:spacing w:val="-3"/>
          <w:szCs w:val="24"/>
        </w:rPr>
      </w:pPr>
      <w:r>
        <w:rPr>
          <w:rFonts w:ascii="Times New Roman" w:hAnsi="Times New Roman"/>
          <w:spacing w:val="-3"/>
          <w:szCs w:val="24"/>
        </w:rPr>
        <w:t>G</w:t>
      </w:r>
      <w:r w:rsidR="009255C5">
        <w:rPr>
          <w:rFonts w:ascii="Times New Roman" w:hAnsi="Times New Roman"/>
          <w:spacing w:val="-3"/>
          <w:szCs w:val="24"/>
        </w:rPr>
        <w:t>iven the above-</w:t>
      </w:r>
      <w:r w:rsidR="009C3741">
        <w:rPr>
          <w:rFonts w:ascii="Times New Roman" w:hAnsi="Times New Roman"/>
          <w:spacing w:val="-3"/>
          <w:szCs w:val="24"/>
        </w:rPr>
        <w:t>estimated one respon</w:t>
      </w:r>
      <w:r w:rsidR="009255C5">
        <w:rPr>
          <w:rFonts w:ascii="Times New Roman" w:hAnsi="Times New Roman"/>
          <w:spacing w:val="-3"/>
          <w:szCs w:val="24"/>
        </w:rPr>
        <w:t>se</w:t>
      </w:r>
      <w:r w:rsidR="009C3741">
        <w:rPr>
          <w:rFonts w:ascii="Times New Roman" w:hAnsi="Times New Roman"/>
          <w:spacing w:val="-3"/>
          <w:szCs w:val="24"/>
        </w:rPr>
        <w:t xml:space="preserve"> per </w:t>
      </w:r>
      <w:r w:rsidR="009255C5">
        <w:rPr>
          <w:rFonts w:ascii="Times New Roman" w:hAnsi="Times New Roman"/>
          <w:spacing w:val="-3"/>
          <w:szCs w:val="24"/>
        </w:rPr>
        <w:t>collection</w:t>
      </w:r>
      <w:r w:rsidR="009C3741">
        <w:rPr>
          <w:rFonts w:ascii="Times New Roman" w:hAnsi="Times New Roman"/>
          <w:spacing w:val="-3"/>
          <w:szCs w:val="24"/>
        </w:rPr>
        <w:t>, two responses total</w:t>
      </w:r>
      <w:r w:rsidR="00BB1ED3">
        <w:rPr>
          <w:rFonts w:ascii="Times New Roman" w:hAnsi="Times New Roman"/>
          <w:spacing w:val="-3"/>
          <w:szCs w:val="24"/>
        </w:rPr>
        <w:t xml:space="preserve">, the Total </w:t>
      </w:r>
      <w:r w:rsidR="00250161">
        <w:rPr>
          <w:rFonts w:ascii="Times New Roman" w:hAnsi="Times New Roman"/>
          <w:spacing w:val="-3"/>
          <w:szCs w:val="24"/>
        </w:rPr>
        <w:t xml:space="preserve">Review </w:t>
      </w:r>
      <w:r w:rsidRPr="006F4644" w:rsidR="00004546">
        <w:rPr>
          <w:rFonts w:ascii="Times New Roman" w:hAnsi="Times New Roman"/>
          <w:spacing w:val="-3"/>
          <w:szCs w:val="24"/>
        </w:rPr>
        <w:t>Cost</w:t>
      </w:r>
      <w:r w:rsidR="00BB1ED3">
        <w:rPr>
          <w:rFonts w:ascii="Times New Roman" w:hAnsi="Times New Roman"/>
          <w:spacing w:val="-3"/>
          <w:szCs w:val="24"/>
        </w:rPr>
        <w:t xml:space="preserve"> to the Federal Government is</w:t>
      </w:r>
      <w:r w:rsidRPr="008E08B8" w:rsidR="009255C5">
        <w:rPr>
          <w:rFonts w:ascii="Times New Roman" w:hAnsi="Times New Roman"/>
          <w:spacing w:val="-3"/>
          <w:sz w:val="22"/>
          <w:szCs w:val="22"/>
        </w:rPr>
        <w:t xml:space="preserve">:  </w:t>
      </w:r>
      <w:r w:rsidRPr="008E08B8" w:rsidR="009C3741">
        <w:rPr>
          <w:rFonts w:ascii="Times New Roman" w:hAnsi="Times New Roman"/>
          <w:spacing w:val="-3"/>
          <w:sz w:val="22"/>
          <w:szCs w:val="22"/>
        </w:rPr>
        <w:t>2 Response</w:t>
      </w:r>
      <w:r w:rsidRPr="008E08B8" w:rsidR="009255C5">
        <w:rPr>
          <w:rFonts w:ascii="Times New Roman" w:hAnsi="Times New Roman"/>
          <w:spacing w:val="-3"/>
          <w:sz w:val="22"/>
          <w:szCs w:val="22"/>
        </w:rPr>
        <w:t>s</w:t>
      </w:r>
      <w:r w:rsidRPr="008E08B8" w:rsidR="009C3741">
        <w:rPr>
          <w:rFonts w:ascii="Times New Roman" w:hAnsi="Times New Roman"/>
          <w:spacing w:val="-3"/>
          <w:sz w:val="22"/>
          <w:szCs w:val="22"/>
        </w:rPr>
        <w:t xml:space="preserve"> x 0.</w:t>
      </w:r>
      <w:r w:rsidR="009C3741">
        <w:rPr>
          <w:rFonts w:ascii="Times New Roman" w:hAnsi="Times New Roman"/>
          <w:spacing w:val="-3"/>
          <w:szCs w:val="24"/>
        </w:rPr>
        <w:t>333 h</w:t>
      </w:r>
      <w:r w:rsidR="0044522C">
        <w:rPr>
          <w:rFonts w:ascii="Times New Roman" w:hAnsi="Times New Roman"/>
          <w:spacing w:val="-3"/>
          <w:szCs w:val="24"/>
        </w:rPr>
        <w:t>ou</w:t>
      </w:r>
      <w:r w:rsidR="009C3741">
        <w:rPr>
          <w:rFonts w:ascii="Times New Roman" w:hAnsi="Times New Roman"/>
          <w:spacing w:val="-3"/>
          <w:szCs w:val="24"/>
        </w:rPr>
        <w:t>r</w:t>
      </w:r>
      <w:r w:rsidR="009255C5">
        <w:rPr>
          <w:rFonts w:ascii="Times New Roman" w:hAnsi="Times New Roman"/>
          <w:spacing w:val="-3"/>
          <w:szCs w:val="24"/>
        </w:rPr>
        <w:t xml:space="preserve"> review time </w:t>
      </w:r>
      <w:r w:rsidRPr="006F4644" w:rsidR="00004546">
        <w:rPr>
          <w:rFonts w:ascii="Times New Roman" w:hAnsi="Times New Roman"/>
          <w:spacing w:val="-3"/>
          <w:szCs w:val="24"/>
        </w:rPr>
        <w:t>x</w:t>
      </w:r>
      <w:r w:rsidR="009255C5">
        <w:rPr>
          <w:rFonts w:ascii="Times New Roman" w:hAnsi="Times New Roman"/>
          <w:spacing w:val="-3"/>
          <w:szCs w:val="24"/>
        </w:rPr>
        <w:t xml:space="preserve"> </w:t>
      </w:r>
      <w:r w:rsidRPr="006F4644" w:rsidR="00FA01D3">
        <w:rPr>
          <w:rFonts w:ascii="Times New Roman" w:hAnsi="Times New Roman"/>
          <w:spacing w:val="-3"/>
          <w:szCs w:val="24"/>
        </w:rPr>
        <w:t>$51.64</w:t>
      </w:r>
      <w:r w:rsidR="009C3741">
        <w:rPr>
          <w:rFonts w:ascii="Times New Roman" w:hAnsi="Times New Roman"/>
          <w:spacing w:val="-3"/>
          <w:szCs w:val="24"/>
        </w:rPr>
        <w:t>/</w:t>
      </w:r>
      <w:r w:rsidR="00303D0F">
        <w:rPr>
          <w:rFonts w:ascii="Times New Roman" w:hAnsi="Times New Roman"/>
          <w:spacing w:val="-3"/>
          <w:szCs w:val="24"/>
        </w:rPr>
        <w:t xml:space="preserve">hour </w:t>
      </w:r>
      <w:r w:rsidRPr="006F4644" w:rsidR="00303D0F">
        <w:rPr>
          <w:rFonts w:ascii="Times New Roman" w:hAnsi="Times New Roman"/>
          <w:spacing w:val="-3"/>
          <w:szCs w:val="24"/>
        </w:rPr>
        <w:t>=</w:t>
      </w:r>
      <w:r w:rsidR="009C3741">
        <w:rPr>
          <w:rFonts w:ascii="Times New Roman" w:hAnsi="Times New Roman"/>
          <w:spacing w:val="-3"/>
          <w:szCs w:val="24"/>
        </w:rPr>
        <w:t xml:space="preserve"> </w:t>
      </w:r>
      <w:r w:rsidRPr="006F4644" w:rsidR="00845B0E">
        <w:rPr>
          <w:rFonts w:ascii="Times New Roman" w:hAnsi="Times New Roman"/>
          <w:spacing w:val="-3"/>
          <w:szCs w:val="24"/>
        </w:rPr>
        <w:t xml:space="preserve"> </w:t>
      </w:r>
      <w:r w:rsidR="000A3158">
        <w:rPr>
          <w:rFonts w:ascii="Times New Roman" w:hAnsi="Times New Roman"/>
          <w:spacing w:val="-3"/>
          <w:szCs w:val="24"/>
        </w:rPr>
        <w:t>$</w:t>
      </w:r>
      <w:r w:rsidR="0091086A">
        <w:rPr>
          <w:rFonts w:ascii="Times New Roman" w:hAnsi="Times New Roman"/>
          <w:spacing w:val="-3"/>
          <w:szCs w:val="24"/>
        </w:rPr>
        <w:t>34.39</w:t>
      </w:r>
      <w:r w:rsidR="000A3158">
        <w:rPr>
          <w:rFonts w:ascii="Times New Roman" w:hAnsi="Times New Roman"/>
          <w:spacing w:val="-3"/>
          <w:szCs w:val="24"/>
        </w:rPr>
        <w:t xml:space="preserve">224 </w:t>
      </w:r>
      <w:r w:rsidR="00571CF8">
        <w:rPr>
          <w:rFonts w:ascii="Times New Roman" w:hAnsi="Times New Roman"/>
          <w:spacing w:val="-3"/>
          <w:szCs w:val="24"/>
        </w:rPr>
        <w:t xml:space="preserve">or $34.00 </w:t>
      </w:r>
      <w:r w:rsidRPr="006F4644" w:rsidR="00845B0E">
        <w:rPr>
          <w:rFonts w:ascii="Times New Roman" w:hAnsi="Times New Roman"/>
          <w:spacing w:val="-3"/>
          <w:szCs w:val="24"/>
        </w:rPr>
        <w:t>rounded</w:t>
      </w:r>
      <w:r w:rsidR="009C3741">
        <w:rPr>
          <w:rFonts w:ascii="Times New Roman" w:hAnsi="Times New Roman"/>
          <w:spacing w:val="-3"/>
          <w:szCs w:val="24"/>
        </w:rPr>
        <w:t>)</w:t>
      </w:r>
      <w:r w:rsidR="00571CF8">
        <w:rPr>
          <w:rFonts w:ascii="Times New Roman" w:hAnsi="Times New Roman"/>
          <w:spacing w:val="-3"/>
          <w:szCs w:val="24"/>
        </w:rPr>
        <w:t>.</w:t>
      </w:r>
    </w:p>
    <w:p w:rsidR="00B549F1" w:rsidP="00335B65" w14:paraId="7C77346B" w14:textId="0422DC25">
      <w:pPr>
        <w:suppressAutoHyphens/>
        <w:ind w:left="720"/>
        <w:rPr>
          <w:rFonts w:ascii="Times New Roman" w:hAnsi="Times New Roman"/>
          <w:spacing w:val="-3"/>
          <w:szCs w:val="24"/>
          <w:highlight w:val="yellow"/>
        </w:rPr>
      </w:pPr>
    </w:p>
    <w:p w:rsidR="00250161" w:rsidRPr="0044522C" w:rsidP="0044522C" w14:paraId="34BD8C33" w14:textId="13BDE682">
      <w:pPr>
        <w:suppressAutoHyphens/>
        <w:jc w:val="center"/>
        <w:rPr>
          <w:rFonts w:ascii="Times New Roman" w:hAnsi="Times New Roman"/>
          <w:b/>
          <w:bCs/>
          <w:spacing w:val="-3"/>
          <w:szCs w:val="24"/>
        </w:rPr>
      </w:pPr>
      <w:r>
        <w:rPr>
          <w:rFonts w:ascii="Times New Roman" w:hAnsi="Times New Roman"/>
          <w:b/>
          <w:bCs/>
          <w:spacing w:val="-3"/>
          <w:szCs w:val="24"/>
        </w:rPr>
        <w:t xml:space="preserve">Total Review </w:t>
      </w:r>
      <w:r w:rsidRPr="0044522C">
        <w:rPr>
          <w:rFonts w:ascii="Times New Roman" w:hAnsi="Times New Roman"/>
          <w:b/>
          <w:bCs/>
          <w:spacing w:val="-3"/>
          <w:szCs w:val="24"/>
        </w:rPr>
        <w:t>Cost Estimate</w:t>
      </w:r>
    </w:p>
    <w:p w:rsidR="0001636D" w:rsidRPr="00AC3355" w:rsidP="00EE2262" w14:paraId="4099F081" w14:textId="77777777">
      <w:pPr>
        <w:suppressAutoHyphens/>
        <w:ind w:firstLine="720"/>
        <w:rPr>
          <w:rFonts w:ascii="Times New Roman" w:hAnsi="Times New Roman"/>
          <w:spacing w:val="-3"/>
          <w:szCs w:val="24"/>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7"/>
        <w:gridCol w:w="2855"/>
        <w:gridCol w:w="1858"/>
        <w:gridCol w:w="1323"/>
        <w:gridCol w:w="1391"/>
      </w:tblGrid>
      <w:tr w14:paraId="5717F941" w14:textId="77777777" w:rsidTr="0044522C">
        <w:tblPrEx>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97"/>
        </w:trPr>
        <w:tc>
          <w:tcPr>
            <w:tcW w:w="1947" w:type="dxa"/>
            <w:shd w:val="clear" w:color="auto" w:fill="ACB9CA"/>
          </w:tcPr>
          <w:p w:rsidR="009C3741" w:rsidP="0044522C" w14:paraId="5BDC1146" w14:textId="426BA3AB">
            <w:pPr>
              <w:jc w:val="center"/>
              <w:rPr>
                <w:rFonts w:ascii="Times New Roman" w:eastAsia="Calibri" w:hAnsi="Times New Roman"/>
                <w:b/>
                <w:sz w:val="22"/>
                <w:szCs w:val="22"/>
              </w:rPr>
            </w:pPr>
            <w:r>
              <w:rPr>
                <w:rFonts w:ascii="Times New Roman" w:eastAsia="Calibri" w:hAnsi="Times New Roman"/>
                <w:b/>
                <w:sz w:val="22"/>
                <w:szCs w:val="22"/>
              </w:rPr>
              <w:t>Collection</w:t>
            </w:r>
          </w:p>
          <w:p w:rsidR="009255C5" w:rsidRPr="002B769F" w:rsidP="0044522C" w14:paraId="75E1F483" w14:textId="4A029904">
            <w:pPr>
              <w:jc w:val="center"/>
              <w:rPr>
                <w:rFonts w:ascii="Times New Roman" w:eastAsia="Calibri" w:hAnsi="Times New Roman"/>
                <w:b/>
                <w:sz w:val="22"/>
                <w:szCs w:val="22"/>
              </w:rPr>
            </w:pPr>
          </w:p>
        </w:tc>
        <w:tc>
          <w:tcPr>
            <w:tcW w:w="2855" w:type="dxa"/>
            <w:shd w:val="clear" w:color="auto" w:fill="ACB9CA"/>
          </w:tcPr>
          <w:p w:rsidR="009255C5" w:rsidP="00250161" w14:paraId="19DEB3E5" w14:textId="2B0ABEC4">
            <w:pPr>
              <w:jc w:val="center"/>
              <w:rPr>
                <w:rFonts w:ascii="Times New Roman" w:eastAsia="Calibri" w:hAnsi="Times New Roman"/>
                <w:b/>
                <w:sz w:val="22"/>
                <w:szCs w:val="22"/>
              </w:rPr>
            </w:pPr>
            <w:r w:rsidRPr="002B769F">
              <w:rPr>
                <w:rFonts w:ascii="Times New Roman" w:eastAsia="Calibri" w:hAnsi="Times New Roman"/>
                <w:b/>
                <w:sz w:val="22"/>
                <w:szCs w:val="22"/>
              </w:rPr>
              <w:t>Number of</w:t>
            </w:r>
          </w:p>
          <w:p w:rsidR="009C3741" w:rsidRPr="002B769F" w:rsidP="00250161" w14:paraId="786E38AD" w14:textId="1C4AC7BC">
            <w:pPr>
              <w:jc w:val="center"/>
              <w:rPr>
                <w:rFonts w:ascii="Times New Roman" w:eastAsia="Calibri" w:hAnsi="Times New Roman"/>
                <w:b/>
                <w:sz w:val="22"/>
                <w:szCs w:val="22"/>
              </w:rPr>
            </w:pPr>
            <w:r>
              <w:rPr>
                <w:rFonts w:ascii="Times New Roman" w:eastAsia="Calibri" w:hAnsi="Times New Roman"/>
                <w:b/>
                <w:sz w:val="22"/>
                <w:szCs w:val="22"/>
              </w:rPr>
              <w:t>Respondents</w:t>
            </w:r>
          </w:p>
        </w:tc>
        <w:tc>
          <w:tcPr>
            <w:tcW w:w="1858" w:type="dxa"/>
            <w:shd w:val="clear" w:color="auto" w:fill="ACB9CA"/>
          </w:tcPr>
          <w:p w:rsidR="009C3741" w:rsidP="0044522C" w14:paraId="780619E0" w14:textId="77777777">
            <w:pPr>
              <w:jc w:val="center"/>
              <w:rPr>
                <w:rFonts w:ascii="Times New Roman" w:eastAsia="Calibri" w:hAnsi="Times New Roman"/>
                <w:b/>
                <w:sz w:val="22"/>
                <w:szCs w:val="22"/>
              </w:rPr>
            </w:pPr>
            <w:r>
              <w:rPr>
                <w:rFonts w:ascii="Times New Roman" w:eastAsia="Calibri" w:hAnsi="Times New Roman"/>
                <w:b/>
                <w:sz w:val="22"/>
                <w:szCs w:val="22"/>
              </w:rPr>
              <w:t>Time to Review</w:t>
            </w:r>
          </w:p>
          <w:p w:rsidR="009C3741" w:rsidRPr="002B769F" w:rsidP="0044522C" w14:paraId="3781450D" w14:textId="5972885A">
            <w:pPr>
              <w:jc w:val="center"/>
              <w:rPr>
                <w:rFonts w:ascii="Times New Roman" w:eastAsia="Calibri" w:hAnsi="Times New Roman"/>
                <w:b/>
                <w:sz w:val="22"/>
                <w:szCs w:val="22"/>
              </w:rPr>
            </w:pPr>
            <w:r>
              <w:rPr>
                <w:rFonts w:ascii="Times New Roman" w:eastAsia="Calibri" w:hAnsi="Times New Roman"/>
                <w:b/>
                <w:sz w:val="22"/>
                <w:szCs w:val="22"/>
              </w:rPr>
              <w:t>(hours)</w:t>
            </w:r>
          </w:p>
        </w:tc>
        <w:tc>
          <w:tcPr>
            <w:tcW w:w="1323" w:type="dxa"/>
            <w:shd w:val="clear" w:color="auto" w:fill="ACB9CA"/>
          </w:tcPr>
          <w:p w:rsidR="009C3741" w:rsidRPr="002B769F" w:rsidP="0044522C" w14:paraId="20043CF4" w14:textId="2854BAA7">
            <w:pPr>
              <w:jc w:val="center"/>
              <w:rPr>
                <w:rFonts w:ascii="Times New Roman" w:eastAsia="Calibri" w:hAnsi="Times New Roman"/>
                <w:b/>
                <w:sz w:val="22"/>
                <w:szCs w:val="22"/>
              </w:rPr>
            </w:pPr>
            <w:r>
              <w:rPr>
                <w:rFonts w:ascii="Times New Roman" w:eastAsia="Calibri" w:hAnsi="Times New Roman"/>
                <w:b/>
                <w:sz w:val="22"/>
                <w:szCs w:val="22"/>
              </w:rPr>
              <w:t>Claims Examiner Average Hourly Rate</w:t>
            </w:r>
          </w:p>
        </w:tc>
        <w:tc>
          <w:tcPr>
            <w:tcW w:w="1391" w:type="dxa"/>
            <w:shd w:val="clear" w:color="auto" w:fill="ACB9CA"/>
          </w:tcPr>
          <w:p w:rsidR="009C3741" w:rsidP="00250161" w14:paraId="56E114DC" w14:textId="77777777">
            <w:pPr>
              <w:jc w:val="center"/>
              <w:rPr>
                <w:rFonts w:ascii="Times New Roman" w:eastAsia="Calibri" w:hAnsi="Times New Roman"/>
                <w:b/>
                <w:sz w:val="22"/>
                <w:szCs w:val="22"/>
              </w:rPr>
            </w:pPr>
            <w:r>
              <w:rPr>
                <w:rFonts w:ascii="Times New Roman" w:eastAsia="Calibri" w:hAnsi="Times New Roman"/>
                <w:b/>
                <w:sz w:val="22"/>
                <w:szCs w:val="22"/>
              </w:rPr>
              <w:t>Review Cost</w:t>
            </w:r>
          </w:p>
          <w:p w:rsidR="008770C3" w:rsidRPr="002B769F" w:rsidP="0044522C" w14:paraId="5DA326E5" w14:textId="46228960">
            <w:pPr>
              <w:jc w:val="center"/>
              <w:rPr>
                <w:rFonts w:ascii="Times New Roman" w:eastAsia="Calibri" w:hAnsi="Times New Roman"/>
                <w:b/>
                <w:sz w:val="22"/>
                <w:szCs w:val="22"/>
              </w:rPr>
            </w:pPr>
            <w:r>
              <w:rPr>
                <w:rFonts w:ascii="Times New Roman" w:eastAsia="Calibri" w:hAnsi="Times New Roman"/>
                <w:b/>
                <w:sz w:val="22"/>
                <w:szCs w:val="22"/>
              </w:rPr>
              <w:t>(rounded)</w:t>
            </w:r>
          </w:p>
        </w:tc>
      </w:tr>
      <w:tr w14:paraId="6E7CED9C" w14:textId="77777777" w:rsidTr="009255C5">
        <w:tblPrEx>
          <w:tblW w:w="9374" w:type="dxa"/>
          <w:tblLook w:val="04A0"/>
        </w:tblPrEx>
        <w:trPr>
          <w:trHeight w:val="335"/>
        </w:trPr>
        <w:tc>
          <w:tcPr>
            <w:tcW w:w="1947" w:type="dxa"/>
            <w:shd w:val="clear" w:color="auto" w:fill="auto"/>
            <w:vAlign w:val="bottom"/>
          </w:tcPr>
          <w:p w:rsidR="009C3741" w:rsidRPr="002B769F" w:rsidP="0044522C" w14:paraId="4DC21931" w14:textId="27682054">
            <w:pPr>
              <w:jc w:val="center"/>
              <w:rPr>
                <w:rFonts w:ascii="Times New Roman" w:eastAsia="Calibri" w:hAnsi="Times New Roman"/>
                <w:sz w:val="22"/>
                <w:szCs w:val="22"/>
              </w:rPr>
            </w:pPr>
            <w:r w:rsidRPr="002B769F">
              <w:rPr>
                <w:rFonts w:ascii="Times New Roman" w:eastAsia="Calibri" w:hAnsi="Times New Roman"/>
                <w:sz w:val="22"/>
                <w:szCs w:val="22"/>
              </w:rPr>
              <w:t>CA-721</w:t>
            </w:r>
          </w:p>
        </w:tc>
        <w:tc>
          <w:tcPr>
            <w:tcW w:w="2855" w:type="dxa"/>
            <w:shd w:val="clear" w:color="auto" w:fill="auto"/>
            <w:vAlign w:val="bottom"/>
          </w:tcPr>
          <w:p w:rsidR="009C3741" w:rsidRPr="002B769F" w:rsidP="00250161" w14:paraId="2A4D39D4" w14:textId="77777777">
            <w:pPr>
              <w:jc w:val="center"/>
              <w:rPr>
                <w:rFonts w:ascii="Times New Roman" w:eastAsia="Calibri" w:hAnsi="Times New Roman"/>
                <w:sz w:val="22"/>
                <w:szCs w:val="22"/>
              </w:rPr>
            </w:pPr>
            <w:r>
              <w:rPr>
                <w:rFonts w:ascii="Times New Roman" w:eastAsia="Calibri" w:hAnsi="Times New Roman"/>
                <w:sz w:val="22"/>
                <w:szCs w:val="22"/>
              </w:rPr>
              <w:t>1</w:t>
            </w:r>
          </w:p>
        </w:tc>
        <w:tc>
          <w:tcPr>
            <w:tcW w:w="1858" w:type="dxa"/>
            <w:shd w:val="clear" w:color="auto" w:fill="auto"/>
            <w:vAlign w:val="bottom"/>
          </w:tcPr>
          <w:p w:rsidR="009C3741" w:rsidRPr="002B769F" w:rsidP="00250161" w14:paraId="6FB0495D" w14:textId="558962D9">
            <w:pPr>
              <w:jc w:val="center"/>
              <w:rPr>
                <w:rFonts w:ascii="Times New Roman" w:eastAsia="Calibri" w:hAnsi="Times New Roman"/>
                <w:sz w:val="22"/>
                <w:szCs w:val="22"/>
              </w:rPr>
            </w:pPr>
            <w:r>
              <w:rPr>
                <w:rFonts w:ascii="Times New Roman" w:eastAsia="Calibri" w:hAnsi="Times New Roman"/>
                <w:sz w:val="22"/>
                <w:szCs w:val="22"/>
              </w:rPr>
              <w:t>0.333</w:t>
            </w:r>
          </w:p>
        </w:tc>
        <w:tc>
          <w:tcPr>
            <w:tcW w:w="1323" w:type="dxa"/>
            <w:shd w:val="clear" w:color="auto" w:fill="auto"/>
            <w:vAlign w:val="bottom"/>
          </w:tcPr>
          <w:p w:rsidR="009C3741" w:rsidRPr="002B769F" w:rsidP="00250161" w14:paraId="3E122A48" w14:textId="77777777">
            <w:pPr>
              <w:jc w:val="center"/>
              <w:rPr>
                <w:rFonts w:ascii="Times New Roman" w:eastAsia="Calibri" w:hAnsi="Times New Roman"/>
                <w:sz w:val="22"/>
                <w:szCs w:val="22"/>
              </w:rPr>
            </w:pPr>
            <w:r>
              <w:rPr>
                <w:rFonts w:ascii="Times New Roman" w:eastAsia="Calibri" w:hAnsi="Times New Roman"/>
                <w:sz w:val="22"/>
                <w:szCs w:val="22"/>
              </w:rPr>
              <w:t>$51.64</w:t>
            </w:r>
          </w:p>
        </w:tc>
        <w:tc>
          <w:tcPr>
            <w:tcW w:w="1391" w:type="dxa"/>
            <w:shd w:val="clear" w:color="auto" w:fill="auto"/>
            <w:vAlign w:val="bottom"/>
          </w:tcPr>
          <w:p w:rsidR="009C3741" w:rsidRPr="00751521" w:rsidP="00250161" w14:paraId="59ECDA3B" w14:textId="775CD7B3">
            <w:pPr>
              <w:jc w:val="center"/>
              <w:rPr>
                <w:rFonts w:ascii="Times New Roman" w:eastAsia="Calibri" w:hAnsi="Times New Roman"/>
                <w:sz w:val="22"/>
                <w:szCs w:val="22"/>
              </w:rPr>
            </w:pPr>
            <w:r w:rsidRPr="00751521">
              <w:rPr>
                <w:rFonts w:ascii="Times New Roman" w:eastAsia="Calibri" w:hAnsi="Times New Roman"/>
                <w:sz w:val="22"/>
                <w:szCs w:val="22"/>
              </w:rPr>
              <w:t>$17.00</w:t>
            </w:r>
          </w:p>
        </w:tc>
      </w:tr>
      <w:tr w14:paraId="320B0D6E" w14:textId="77777777" w:rsidTr="009255C5">
        <w:tblPrEx>
          <w:tblW w:w="9374" w:type="dxa"/>
          <w:tblLook w:val="04A0"/>
        </w:tblPrEx>
        <w:trPr>
          <w:trHeight w:val="691"/>
        </w:trPr>
        <w:tc>
          <w:tcPr>
            <w:tcW w:w="1947" w:type="dxa"/>
            <w:shd w:val="clear" w:color="auto" w:fill="auto"/>
            <w:vAlign w:val="bottom"/>
          </w:tcPr>
          <w:p w:rsidR="009C3741" w:rsidRPr="002B769F" w:rsidP="0044522C" w14:paraId="49B47441" w14:textId="77777777">
            <w:pPr>
              <w:jc w:val="center"/>
              <w:rPr>
                <w:rFonts w:ascii="Times New Roman" w:eastAsia="Calibri" w:hAnsi="Times New Roman"/>
                <w:sz w:val="22"/>
                <w:szCs w:val="22"/>
              </w:rPr>
            </w:pPr>
            <w:r>
              <w:rPr>
                <w:rFonts w:ascii="Times New Roman" w:eastAsia="Calibri" w:hAnsi="Times New Roman"/>
                <w:sz w:val="22"/>
                <w:szCs w:val="22"/>
              </w:rPr>
              <w:t>CA-722</w:t>
            </w:r>
          </w:p>
        </w:tc>
        <w:tc>
          <w:tcPr>
            <w:tcW w:w="2855" w:type="dxa"/>
            <w:shd w:val="clear" w:color="auto" w:fill="auto"/>
            <w:vAlign w:val="bottom"/>
          </w:tcPr>
          <w:p w:rsidR="009C3741" w:rsidRPr="002B769F" w:rsidP="00250161" w14:paraId="2ADCC1BF" w14:textId="77777777">
            <w:pPr>
              <w:jc w:val="center"/>
              <w:rPr>
                <w:rFonts w:ascii="Times New Roman" w:eastAsia="Calibri" w:hAnsi="Times New Roman"/>
                <w:sz w:val="22"/>
                <w:szCs w:val="22"/>
              </w:rPr>
            </w:pPr>
            <w:r>
              <w:rPr>
                <w:rFonts w:ascii="Times New Roman" w:eastAsia="Calibri" w:hAnsi="Times New Roman"/>
                <w:sz w:val="22"/>
                <w:szCs w:val="22"/>
              </w:rPr>
              <w:t>1</w:t>
            </w:r>
          </w:p>
        </w:tc>
        <w:tc>
          <w:tcPr>
            <w:tcW w:w="1858" w:type="dxa"/>
            <w:shd w:val="clear" w:color="auto" w:fill="auto"/>
            <w:vAlign w:val="bottom"/>
          </w:tcPr>
          <w:p w:rsidR="009C3741" w:rsidRPr="002B769F" w:rsidP="00250161" w14:paraId="720197F2" w14:textId="12A1F1EE">
            <w:pPr>
              <w:jc w:val="center"/>
              <w:rPr>
                <w:rFonts w:ascii="Times New Roman" w:eastAsia="Calibri" w:hAnsi="Times New Roman"/>
                <w:sz w:val="22"/>
                <w:szCs w:val="22"/>
              </w:rPr>
            </w:pPr>
            <w:r>
              <w:rPr>
                <w:rFonts w:ascii="Times New Roman" w:eastAsia="Calibri" w:hAnsi="Times New Roman"/>
                <w:sz w:val="22"/>
                <w:szCs w:val="22"/>
              </w:rPr>
              <w:t>0.333</w:t>
            </w:r>
          </w:p>
        </w:tc>
        <w:tc>
          <w:tcPr>
            <w:tcW w:w="1323" w:type="dxa"/>
            <w:shd w:val="clear" w:color="auto" w:fill="auto"/>
            <w:vAlign w:val="bottom"/>
          </w:tcPr>
          <w:p w:rsidR="009C3741" w:rsidRPr="002B769F" w:rsidP="00250161" w14:paraId="2495D5FA" w14:textId="77777777">
            <w:pPr>
              <w:jc w:val="center"/>
              <w:rPr>
                <w:rFonts w:ascii="Times New Roman" w:eastAsia="Calibri" w:hAnsi="Times New Roman"/>
                <w:sz w:val="22"/>
                <w:szCs w:val="22"/>
              </w:rPr>
            </w:pPr>
            <w:r>
              <w:rPr>
                <w:rFonts w:ascii="Times New Roman" w:eastAsia="Calibri" w:hAnsi="Times New Roman"/>
                <w:sz w:val="22"/>
                <w:szCs w:val="22"/>
              </w:rPr>
              <w:t>$51.64</w:t>
            </w:r>
          </w:p>
        </w:tc>
        <w:tc>
          <w:tcPr>
            <w:tcW w:w="1391" w:type="dxa"/>
            <w:shd w:val="clear" w:color="auto" w:fill="auto"/>
            <w:vAlign w:val="bottom"/>
          </w:tcPr>
          <w:p w:rsidR="009C3741" w:rsidRPr="00751521" w:rsidP="0044522C" w14:paraId="233E8F45" w14:textId="357D117D">
            <w:pPr>
              <w:jc w:val="center"/>
              <w:rPr>
                <w:rFonts w:ascii="Times New Roman" w:eastAsia="Calibri" w:hAnsi="Times New Roman"/>
                <w:sz w:val="22"/>
                <w:szCs w:val="22"/>
              </w:rPr>
            </w:pPr>
            <w:r w:rsidRPr="00751521">
              <w:rPr>
                <w:rFonts w:ascii="Times New Roman" w:eastAsia="Calibri" w:hAnsi="Times New Roman"/>
                <w:sz w:val="22"/>
                <w:szCs w:val="22"/>
              </w:rPr>
              <w:t>$17.00</w:t>
            </w:r>
          </w:p>
        </w:tc>
      </w:tr>
      <w:tr w14:paraId="147D3A15" w14:textId="77777777" w:rsidTr="009255C5">
        <w:tblPrEx>
          <w:tblW w:w="9374" w:type="dxa"/>
          <w:tblLook w:val="04A0"/>
        </w:tblPrEx>
        <w:trPr>
          <w:trHeight w:val="80"/>
        </w:trPr>
        <w:tc>
          <w:tcPr>
            <w:tcW w:w="1947" w:type="dxa"/>
            <w:shd w:val="clear" w:color="auto" w:fill="auto"/>
            <w:vAlign w:val="bottom"/>
          </w:tcPr>
          <w:p w:rsidR="009C3741" w:rsidRPr="002B769F" w:rsidP="0044522C" w14:paraId="6D0EF3C0" w14:textId="77777777">
            <w:pPr>
              <w:jc w:val="center"/>
              <w:rPr>
                <w:rFonts w:ascii="Times New Roman" w:eastAsia="Calibri" w:hAnsi="Times New Roman"/>
                <w:sz w:val="22"/>
                <w:szCs w:val="22"/>
              </w:rPr>
            </w:pPr>
          </w:p>
        </w:tc>
        <w:tc>
          <w:tcPr>
            <w:tcW w:w="2855" w:type="dxa"/>
            <w:shd w:val="clear" w:color="auto" w:fill="auto"/>
            <w:vAlign w:val="bottom"/>
          </w:tcPr>
          <w:p w:rsidR="009C3741" w:rsidRPr="002B769F" w:rsidP="00250161" w14:paraId="71A9EED4" w14:textId="77777777">
            <w:pPr>
              <w:jc w:val="center"/>
              <w:rPr>
                <w:rFonts w:ascii="Times New Roman" w:eastAsia="Calibri" w:hAnsi="Times New Roman"/>
                <w:sz w:val="22"/>
                <w:szCs w:val="22"/>
              </w:rPr>
            </w:pPr>
          </w:p>
        </w:tc>
        <w:tc>
          <w:tcPr>
            <w:tcW w:w="1858" w:type="dxa"/>
            <w:shd w:val="clear" w:color="auto" w:fill="auto"/>
            <w:vAlign w:val="bottom"/>
          </w:tcPr>
          <w:p w:rsidR="009C3741" w:rsidRPr="002B769F" w:rsidP="00250161" w14:paraId="1F3C3261" w14:textId="77777777">
            <w:pPr>
              <w:jc w:val="center"/>
              <w:rPr>
                <w:rFonts w:ascii="Times New Roman" w:eastAsia="Calibri" w:hAnsi="Times New Roman"/>
                <w:sz w:val="22"/>
                <w:szCs w:val="22"/>
              </w:rPr>
            </w:pPr>
          </w:p>
        </w:tc>
        <w:tc>
          <w:tcPr>
            <w:tcW w:w="1323" w:type="dxa"/>
            <w:shd w:val="clear" w:color="auto" w:fill="auto"/>
            <w:vAlign w:val="bottom"/>
          </w:tcPr>
          <w:p w:rsidR="009C3741" w:rsidRPr="002B769F" w:rsidP="00250161" w14:paraId="462D749D" w14:textId="77777777">
            <w:pPr>
              <w:jc w:val="center"/>
              <w:rPr>
                <w:rFonts w:ascii="Times New Roman" w:eastAsia="Calibri" w:hAnsi="Times New Roman"/>
                <w:sz w:val="22"/>
                <w:szCs w:val="22"/>
              </w:rPr>
            </w:pPr>
          </w:p>
        </w:tc>
        <w:tc>
          <w:tcPr>
            <w:tcW w:w="1391" w:type="dxa"/>
            <w:shd w:val="clear" w:color="auto" w:fill="auto"/>
            <w:vAlign w:val="bottom"/>
          </w:tcPr>
          <w:p w:rsidR="009C3741" w:rsidRPr="00751521" w:rsidP="00250161" w14:paraId="58DF95A8" w14:textId="77777777">
            <w:pPr>
              <w:jc w:val="center"/>
              <w:rPr>
                <w:rFonts w:ascii="Times New Roman" w:eastAsia="Calibri" w:hAnsi="Times New Roman"/>
                <w:sz w:val="22"/>
                <w:szCs w:val="22"/>
              </w:rPr>
            </w:pPr>
          </w:p>
        </w:tc>
      </w:tr>
      <w:tr w14:paraId="6A703BCB" w14:textId="77777777" w:rsidTr="009255C5">
        <w:tblPrEx>
          <w:tblW w:w="9374" w:type="dxa"/>
          <w:tblLook w:val="04A0"/>
        </w:tblPrEx>
        <w:trPr>
          <w:trHeight w:val="335"/>
        </w:trPr>
        <w:tc>
          <w:tcPr>
            <w:tcW w:w="1947" w:type="dxa"/>
            <w:shd w:val="clear" w:color="auto" w:fill="auto"/>
          </w:tcPr>
          <w:p w:rsidR="009C3741" w:rsidRPr="002B769F" w:rsidP="0044522C" w14:paraId="2329E842" w14:textId="692B724F">
            <w:pPr>
              <w:jc w:val="center"/>
              <w:rPr>
                <w:rFonts w:ascii="Times New Roman" w:eastAsia="Calibri" w:hAnsi="Times New Roman"/>
                <w:b/>
                <w:i/>
                <w:sz w:val="22"/>
                <w:szCs w:val="22"/>
              </w:rPr>
            </w:pPr>
            <w:r w:rsidRPr="002B769F">
              <w:rPr>
                <w:rFonts w:ascii="Times New Roman" w:eastAsia="Calibri" w:hAnsi="Times New Roman"/>
                <w:b/>
                <w:i/>
                <w:sz w:val="22"/>
                <w:szCs w:val="22"/>
              </w:rPr>
              <w:t>Totals</w:t>
            </w:r>
          </w:p>
        </w:tc>
        <w:tc>
          <w:tcPr>
            <w:tcW w:w="2855" w:type="dxa"/>
            <w:shd w:val="clear" w:color="auto" w:fill="auto"/>
            <w:vAlign w:val="bottom"/>
          </w:tcPr>
          <w:p w:rsidR="009C3741" w:rsidRPr="002B769F" w:rsidP="00250161" w14:paraId="19C00166" w14:textId="77777777">
            <w:pPr>
              <w:jc w:val="center"/>
              <w:rPr>
                <w:rFonts w:ascii="Times New Roman" w:eastAsia="Calibri" w:hAnsi="Times New Roman"/>
                <w:b/>
                <w:i/>
                <w:sz w:val="22"/>
                <w:szCs w:val="22"/>
              </w:rPr>
            </w:pPr>
            <w:r>
              <w:rPr>
                <w:rFonts w:ascii="Times New Roman" w:eastAsia="Calibri" w:hAnsi="Times New Roman"/>
                <w:b/>
                <w:i/>
                <w:sz w:val="22"/>
                <w:szCs w:val="22"/>
              </w:rPr>
              <w:t>2</w:t>
            </w:r>
          </w:p>
        </w:tc>
        <w:tc>
          <w:tcPr>
            <w:tcW w:w="1858" w:type="dxa"/>
            <w:shd w:val="clear" w:color="auto" w:fill="auto"/>
            <w:vAlign w:val="bottom"/>
          </w:tcPr>
          <w:p w:rsidR="009C3741" w:rsidRPr="002B769F" w:rsidP="00250161" w14:paraId="76025C3A" w14:textId="32ED9551">
            <w:pPr>
              <w:jc w:val="center"/>
              <w:rPr>
                <w:rFonts w:ascii="Times New Roman" w:eastAsia="Calibri" w:hAnsi="Times New Roman"/>
                <w:b/>
                <w:i/>
                <w:sz w:val="22"/>
                <w:szCs w:val="22"/>
              </w:rPr>
            </w:pPr>
            <w:r>
              <w:rPr>
                <w:rFonts w:ascii="Times New Roman" w:eastAsia="Calibri" w:hAnsi="Times New Roman"/>
                <w:b/>
                <w:i/>
                <w:sz w:val="22"/>
                <w:szCs w:val="22"/>
              </w:rPr>
              <w:t>0.666</w:t>
            </w:r>
          </w:p>
        </w:tc>
        <w:tc>
          <w:tcPr>
            <w:tcW w:w="1323" w:type="dxa"/>
            <w:shd w:val="clear" w:color="auto" w:fill="000000" w:themeFill="text1"/>
            <w:vAlign w:val="bottom"/>
          </w:tcPr>
          <w:p w:rsidR="009C3741" w:rsidRPr="002B769F" w:rsidP="00250161" w14:paraId="302524DF" w14:textId="77777777">
            <w:pPr>
              <w:jc w:val="center"/>
              <w:rPr>
                <w:rFonts w:ascii="Times New Roman" w:eastAsia="Calibri" w:hAnsi="Times New Roman"/>
                <w:b/>
                <w:i/>
                <w:sz w:val="22"/>
                <w:szCs w:val="22"/>
              </w:rPr>
            </w:pPr>
          </w:p>
        </w:tc>
        <w:tc>
          <w:tcPr>
            <w:tcW w:w="1391" w:type="dxa"/>
            <w:shd w:val="clear" w:color="auto" w:fill="auto"/>
            <w:vAlign w:val="bottom"/>
          </w:tcPr>
          <w:p w:rsidR="009C3741" w:rsidRPr="00751521" w:rsidP="00250161" w14:paraId="1C04424D" w14:textId="42CD24CE">
            <w:pPr>
              <w:jc w:val="center"/>
              <w:rPr>
                <w:rFonts w:ascii="Times New Roman" w:eastAsia="Calibri" w:hAnsi="Times New Roman"/>
                <w:b/>
                <w:i/>
                <w:sz w:val="22"/>
                <w:szCs w:val="22"/>
              </w:rPr>
            </w:pPr>
            <w:r w:rsidRPr="00751521">
              <w:rPr>
                <w:rFonts w:ascii="Times New Roman" w:eastAsia="Calibri" w:hAnsi="Times New Roman"/>
                <w:b/>
                <w:i/>
                <w:sz w:val="22"/>
                <w:szCs w:val="22"/>
              </w:rPr>
              <w:t>$34.00</w:t>
            </w:r>
          </w:p>
        </w:tc>
      </w:tr>
    </w:tbl>
    <w:p w:rsidR="00CD7458" w:rsidP="008E08B8" w14:paraId="53C64898" w14:textId="47769AEA">
      <w:pPr>
        <w:suppressAutoHyphens/>
        <w:rPr>
          <w:rFonts w:ascii="Times New Roman" w:hAnsi="Times New Roman"/>
          <w:b/>
          <w:bCs/>
          <w:spacing w:val="-3"/>
          <w:szCs w:val="24"/>
        </w:rPr>
      </w:pPr>
      <w:bookmarkStart w:id="1" w:name="_Hlk132379084"/>
    </w:p>
    <w:p w:rsidR="00CD7458" w:rsidP="00083154" w14:paraId="251B9AD6" w14:textId="77777777">
      <w:pPr>
        <w:suppressAutoHyphens/>
        <w:ind w:firstLine="720"/>
        <w:rPr>
          <w:rFonts w:ascii="Times New Roman" w:hAnsi="Times New Roman"/>
          <w:b/>
          <w:bCs/>
          <w:spacing w:val="-3"/>
          <w:szCs w:val="24"/>
        </w:rPr>
      </w:pPr>
    </w:p>
    <w:p w:rsidR="00C71C16" w:rsidRPr="00106ABC" w:rsidP="0044522C" w14:paraId="1A1C4A16" w14:textId="0BF5D6CF">
      <w:pPr>
        <w:suppressAutoHyphens/>
        <w:rPr>
          <w:rFonts w:ascii="Times New Roman" w:hAnsi="Times New Roman"/>
          <w:b/>
          <w:bCs/>
          <w:spacing w:val="-3"/>
          <w:szCs w:val="24"/>
        </w:rPr>
      </w:pPr>
      <w:r w:rsidRPr="006F4644">
        <w:rPr>
          <w:rFonts w:ascii="Times New Roman" w:hAnsi="Times New Roman"/>
          <w:b/>
          <w:bCs/>
          <w:spacing w:val="-3"/>
          <w:szCs w:val="24"/>
        </w:rPr>
        <w:t>Total F</w:t>
      </w:r>
      <w:r w:rsidRPr="0043512E">
        <w:rPr>
          <w:rFonts w:ascii="Times New Roman" w:hAnsi="Times New Roman"/>
          <w:b/>
          <w:bCs/>
          <w:spacing w:val="-3"/>
          <w:szCs w:val="24"/>
        </w:rPr>
        <w:t>ederal Cost Estimate</w:t>
      </w:r>
      <w:r w:rsidRPr="00106ABC">
        <w:rPr>
          <w:rFonts w:ascii="Times New Roman" w:hAnsi="Times New Roman"/>
          <w:b/>
          <w:bCs/>
          <w:spacing w:val="-3"/>
          <w:szCs w:val="24"/>
        </w:rPr>
        <w:t>:</w:t>
      </w:r>
      <w:r w:rsidR="00250161">
        <w:rPr>
          <w:rFonts w:ascii="Times New Roman" w:hAnsi="Times New Roman"/>
          <w:b/>
          <w:bCs/>
          <w:spacing w:val="-3"/>
          <w:szCs w:val="24"/>
        </w:rPr>
        <w:t xml:space="preserve">  </w:t>
      </w:r>
      <w:r w:rsidR="003539A4">
        <w:rPr>
          <w:rFonts w:ascii="Times New Roman" w:hAnsi="Times New Roman"/>
          <w:spacing w:val="-3"/>
          <w:szCs w:val="24"/>
        </w:rPr>
        <w:t>As the only cost to the Federal Government for this collection is</w:t>
      </w:r>
      <w:r w:rsidR="00250161">
        <w:rPr>
          <w:rFonts w:ascii="Times New Roman" w:hAnsi="Times New Roman"/>
          <w:spacing w:val="-3"/>
          <w:szCs w:val="24"/>
        </w:rPr>
        <w:t xml:space="preserve"> Review Costs, the Total </w:t>
      </w:r>
      <w:r w:rsidR="005568EA">
        <w:rPr>
          <w:rFonts w:ascii="Times New Roman" w:hAnsi="Times New Roman"/>
          <w:spacing w:val="-3"/>
          <w:szCs w:val="24"/>
        </w:rPr>
        <w:t xml:space="preserve">Federal Cost Estimate is $34.00 (rounded).  </w:t>
      </w:r>
      <w:r w:rsidR="00250161">
        <w:rPr>
          <w:rFonts w:ascii="Times New Roman" w:hAnsi="Times New Roman"/>
          <w:spacing w:val="-3"/>
          <w:szCs w:val="24"/>
        </w:rPr>
        <w:t xml:space="preserve"> </w:t>
      </w:r>
    </w:p>
    <w:p w:rsidR="00C71C16" w:rsidP="00C71C16" w14:paraId="682D8F70" w14:textId="46C6876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p>
    <w:bookmarkEnd w:id="1"/>
    <w:p w:rsidR="00CD7458" w:rsidP="00A544AF" w14:paraId="0AD1DB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A544AF" w:rsidP="00A544AF" w14:paraId="4A4DDB22" w14:textId="2F0FC3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Pr>
          <w:rFonts w:ascii="Times New Roman" w:hAnsi="Times New Roman"/>
          <w:b/>
          <w:bCs/>
        </w:rPr>
        <w:t>15.</w:t>
      </w:r>
      <w:r>
        <w:rPr>
          <w:rFonts w:ascii="Times New Roman" w:hAnsi="Times New Roman"/>
          <w:b/>
          <w:bCs/>
        </w:rPr>
        <w:tab/>
        <w:t>Explain the reasons for any program changes or adjustments.</w:t>
      </w:r>
    </w:p>
    <w:p w:rsidR="00A544AF" w:rsidRPr="0039057D" w:rsidP="00DC3353" w14:paraId="44E5AC14" w14:textId="77777777">
      <w:pPr>
        <w:suppressAutoHyphens/>
        <w:ind w:left="720"/>
        <w:rPr>
          <w:rFonts w:ascii="Times New Roman" w:hAnsi="Times New Roman"/>
          <w:color w:val="FF0000"/>
          <w:spacing w:val="-3"/>
          <w:szCs w:val="24"/>
        </w:rPr>
      </w:pPr>
    </w:p>
    <w:p w:rsidR="007D2284" w:rsidRPr="002F639E" w:rsidP="00A544AF" w14:paraId="46BB03D5" w14:textId="6DB842F0">
      <w:pPr>
        <w:widowControl/>
        <w:rPr>
          <w:rFonts w:ascii="Times New Roman" w:hAnsi="Times New Roman"/>
          <w:szCs w:val="24"/>
        </w:rPr>
      </w:pPr>
      <w:r w:rsidRPr="00D11F8E">
        <w:rPr>
          <w:rFonts w:ascii="Times New Roman" w:hAnsi="Times New Roman"/>
          <w:szCs w:val="24"/>
        </w:rPr>
        <w:t>The previous</w:t>
      </w:r>
      <w:r w:rsidR="00D57A74">
        <w:rPr>
          <w:rFonts w:ascii="Times New Roman" w:hAnsi="Times New Roman"/>
          <w:szCs w:val="24"/>
        </w:rPr>
        <w:t>ly</w:t>
      </w:r>
      <w:r w:rsidRPr="00D11F8E">
        <w:rPr>
          <w:rFonts w:ascii="Times New Roman" w:hAnsi="Times New Roman"/>
          <w:szCs w:val="24"/>
        </w:rPr>
        <w:t xml:space="preserve"> approved number of annual respondents</w:t>
      </w:r>
      <w:r w:rsidRPr="00D11F8E" w:rsidR="00DC3353">
        <w:rPr>
          <w:rFonts w:ascii="Times New Roman" w:hAnsi="Times New Roman"/>
          <w:szCs w:val="24"/>
        </w:rPr>
        <w:t xml:space="preserve"> (</w:t>
      </w:r>
      <w:r w:rsidR="005E2A30">
        <w:rPr>
          <w:rFonts w:ascii="Times New Roman" w:hAnsi="Times New Roman"/>
          <w:szCs w:val="24"/>
        </w:rPr>
        <w:t>6</w:t>
      </w:r>
      <w:r w:rsidRPr="00D11F8E" w:rsidR="000B6A5F">
        <w:rPr>
          <w:rFonts w:ascii="Times New Roman" w:hAnsi="Times New Roman"/>
          <w:szCs w:val="24"/>
        </w:rPr>
        <w:t>)</w:t>
      </w:r>
      <w:r w:rsidRPr="00D11F8E" w:rsidR="00DC3353">
        <w:rPr>
          <w:rFonts w:ascii="Times New Roman" w:hAnsi="Times New Roman"/>
          <w:szCs w:val="24"/>
        </w:rPr>
        <w:t xml:space="preserve"> i</w:t>
      </w:r>
      <w:r w:rsidRPr="00D11F8E">
        <w:rPr>
          <w:rFonts w:ascii="Times New Roman" w:hAnsi="Times New Roman"/>
          <w:szCs w:val="24"/>
        </w:rPr>
        <w:t>s now</w:t>
      </w:r>
      <w:r w:rsidR="00034A37">
        <w:rPr>
          <w:rFonts w:ascii="Times New Roman" w:hAnsi="Times New Roman"/>
          <w:szCs w:val="24"/>
        </w:rPr>
        <w:t xml:space="preserve"> </w:t>
      </w:r>
      <w:r w:rsidRPr="00034A37" w:rsidR="00513E1D">
        <w:rPr>
          <w:rFonts w:ascii="Times New Roman" w:hAnsi="Times New Roman"/>
          <w:szCs w:val="24"/>
        </w:rPr>
        <w:t>2</w:t>
      </w:r>
      <w:r w:rsidRPr="00D11F8E">
        <w:rPr>
          <w:rFonts w:ascii="Times New Roman" w:hAnsi="Times New Roman"/>
          <w:szCs w:val="24"/>
        </w:rPr>
        <w:t xml:space="preserve">, which represents a decrease of </w:t>
      </w:r>
      <w:r w:rsidRPr="00034A37" w:rsidR="00513E1D">
        <w:rPr>
          <w:rFonts w:ascii="Times New Roman" w:hAnsi="Times New Roman"/>
          <w:szCs w:val="24"/>
        </w:rPr>
        <w:t>4</w:t>
      </w:r>
      <w:r w:rsidRPr="00D11F8E">
        <w:rPr>
          <w:rFonts w:ascii="Times New Roman" w:hAnsi="Times New Roman"/>
          <w:szCs w:val="24"/>
        </w:rPr>
        <w:t xml:space="preserve">. </w:t>
      </w:r>
      <w:r w:rsidR="007645D6">
        <w:rPr>
          <w:rFonts w:ascii="Times New Roman" w:hAnsi="Times New Roman"/>
          <w:szCs w:val="24"/>
        </w:rPr>
        <w:t xml:space="preserve"> </w:t>
      </w:r>
      <w:r w:rsidRPr="00D11F8E">
        <w:rPr>
          <w:rFonts w:ascii="Times New Roman" w:hAnsi="Times New Roman"/>
          <w:szCs w:val="24"/>
        </w:rPr>
        <w:t xml:space="preserve">The previously approved number for burden hours was </w:t>
      </w:r>
      <w:r w:rsidR="00055680">
        <w:rPr>
          <w:rFonts w:ascii="Times New Roman" w:hAnsi="Times New Roman"/>
          <w:szCs w:val="24"/>
        </w:rPr>
        <w:t>6</w:t>
      </w:r>
      <w:r w:rsidRPr="00D11F8E">
        <w:rPr>
          <w:rFonts w:ascii="Times New Roman" w:hAnsi="Times New Roman"/>
          <w:szCs w:val="24"/>
        </w:rPr>
        <w:t>, and the requested number now is</w:t>
      </w:r>
      <w:r w:rsidR="001A3D70">
        <w:rPr>
          <w:rFonts w:ascii="Times New Roman" w:hAnsi="Times New Roman"/>
          <w:szCs w:val="24"/>
        </w:rPr>
        <w:t xml:space="preserve"> </w:t>
      </w:r>
      <w:r w:rsidR="00E44E7B">
        <w:rPr>
          <w:rFonts w:ascii="Times New Roman" w:hAnsi="Times New Roman"/>
          <w:szCs w:val="24"/>
        </w:rPr>
        <w:t>3</w:t>
      </w:r>
      <w:r w:rsidR="007E78DC">
        <w:rPr>
          <w:rFonts w:ascii="Times New Roman" w:hAnsi="Times New Roman"/>
          <w:szCs w:val="24"/>
        </w:rPr>
        <w:t xml:space="preserve">, a decrease of </w:t>
      </w:r>
      <w:r w:rsidR="00E44E7B">
        <w:rPr>
          <w:rFonts w:ascii="Times New Roman" w:hAnsi="Times New Roman"/>
          <w:szCs w:val="24"/>
        </w:rPr>
        <w:t>3</w:t>
      </w:r>
      <w:r w:rsidR="00034A37">
        <w:rPr>
          <w:rFonts w:ascii="Times New Roman" w:hAnsi="Times New Roman"/>
          <w:szCs w:val="24"/>
        </w:rPr>
        <w:t xml:space="preserve">.  </w:t>
      </w:r>
      <w:r w:rsidRPr="0010247B" w:rsidR="002F639E">
        <w:rPr>
          <w:rFonts w:ascii="Times New Roman" w:hAnsi="Times New Roman"/>
          <w:color w:val="000000" w:themeColor="text1"/>
          <w:szCs w:val="24"/>
        </w:rPr>
        <w:t>The number of these claims will remain low as jurisdictions ar</w:t>
      </w:r>
      <w:r w:rsidRPr="0010247B" w:rsidR="00034A37">
        <w:rPr>
          <w:rFonts w:ascii="Times New Roman" w:hAnsi="Times New Roman"/>
          <w:color w:val="000000" w:themeColor="text1"/>
          <w:szCs w:val="24"/>
        </w:rPr>
        <w:t xml:space="preserve">e </w:t>
      </w:r>
      <w:r w:rsidRPr="0010247B" w:rsidR="002F639E">
        <w:rPr>
          <w:rFonts w:ascii="Times New Roman" w:hAnsi="Times New Roman"/>
          <w:color w:val="000000" w:themeColor="text1"/>
          <w:szCs w:val="24"/>
        </w:rPr>
        <w:t>using less non-federal law enforcement officers to assist in circumstances involving a crime against the United States</w:t>
      </w:r>
      <w:r w:rsidRPr="0010247B" w:rsidR="00034A37">
        <w:rPr>
          <w:rFonts w:ascii="Times New Roman" w:hAnsi="Times New Roman"/>
          <w:szCs w:val="24"/>
        </w:rPr>
        <w:t>.</w:t>
      </w:r>
      <w:r w:rsidR="00034A37">
        <w:rPr>
          <w:rFonts w:ascii="Times New Roman" w:hAnsi="Times New Roman"/>
          <w:szCs w:val="24"/>
        </w:rPr>
        <w:t xml:space="preserve">  </w:t>
      </w:r>
      <w:r w:rsidR="00787D6F">
        <w:rPr>
          <w:rFonts w:ascii="Times New Roman" w:hAnsi="Times New Roman"/>
          <w:szCs w:val="24"/>
        </w:rPr>
        <w:t>While t</w:t>
      </w:r>
      <w:r w:rsidR="002F639E">
        <w:rPr>
          <w:rFonts w:ascii="Times New Roman" w:hAnsi="Times New Roman"/>
          <w:szCs w:val="24"/>
        </w:rPr>
        <w:t>here are no changes to either form</w:t>
      </w:r>
      <w:r w:rsidR="00787D6F">
        <w:rPr>
          <w:rFonts w:ascii="Times New Roman" w:hAnsi="Times New Roman"/>
          <w:szCs w:val="24"/>
        </w:rPr>
        <w:t xml:space="preserve">, we did revise the Privacy Act and Burden Statements. </w:t>
      </w:r>
      <w:r w:rsidR="002F639E">
        <w:rPr>
          <w:rFonts w:ascii="Times New Roman" w:hAnsi="Times New Roman"/>
          <w:szCs w:val="24"/>
        </w:rPr>
        <w:t xml:space="preserve"> </w:t>
      </w:r>
    </w:p>
    <w:p w:rsidR="0039057D" w:rsidP="00DC3353" w14:paraId="0F8EED14" w14:textId="77777777">
      <w:pPr>
        <w:widowControl/>
        <w:tabs>
          <w:tab w:val="right" w:pos="720"/>
        </w:tabs>
        <w:suppressAutoHyphens/>
        <w:ind w:left="720"/>
        <w:rPr>
          <w:rFonts w:ascii="Times New Roman" w:hAnsi="Times New Roman"/>
          <w:szCs w:val="24"/>
        </w:rPr>
      </w:pPr>
    </w:p>
    <w:p w:rsidR="00A544AF" w:rsidP="00A544AF" w14:paraId="2CB89B13" w14:textId="165785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7351">
        <w:rPr>
          <w:rFonts w:ascii="Times New Roman" w:hAnsi="Times New Roman"/>
          <w:b/>
          <w:szCs w:val="24"/>
        </w:rPr>
        <w:t>16.</w:t>
      </w:r>
      <w:r w:rsidRPr="00A544AF">
        <w:rPr>
          <w:rFonts w:ascii="Times New Roman" w:hAnsi="Times New Roman"/>
          <w:b/>
          <w:bCs/>
        </w:rPr>
        <w:t xml:space="preserve"> </w:t>
      </w:r>
      <w:r>
        <w:rPr>
          <w:rFonts w:ascii="Times New Roman" w:hAnsi="Times New Roman"/>
          <w:b/>
          <w:bCs/>
        </w:rPr>
        <w:t xml:space="preserve">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w:t>
      </w:r>
    </w:p>
    <w:p w:rsidR="00A544AF" w:rsidP="00A544AF" w14:paraId="4121F8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148D4" w:rsidRPr="006C7351" w:rsidP="00A544AF" w14:paraId="483DC677" w14:textId="77777777">
      <w:pPr>
        <w:suppressAutoHyphens/>
        <w:rPr>
          <w:rFonts w:ascii="Times New Roman" w:hAnsi="Times New Roman"/>
          <w:spacing w:val="-3"/>
          <w:szCs w:val="24"/>
        </w:rPr>
      </w:pPr>
      <w:r w:rsidRPr="006C7351">
        <w:rPr>
          <w:rFonts w:ascii="Times New Roman" w:hAnsi="Times New Roman"/>
          <w:spacing w:val="-3"/>
          <w:szCs w:val="24"/>
        </w:rPr>
        <w:t>Data collected with these forms will not be published.</w:t>
      </w:r>
    </w:p>
    <w:p w:rsidR="0067448E" w:rsidRPr="006C7351" w:rsidP="00DC3353" w14:paraId="04F3AA30" w14:textId="77777777">
      <w:pPr>
        <w:suppressAutoHyphens/>
        <w:rPr>
          <w:rFonts w:ascii="Times New Roman" w:hAnsi="Times New Roman"/>
          <w:spacing w:val="-3"/>
          <w:szCs w:val="24"/>
        </w:rPr>
      </w:pPr>
    </w:p>
    <w:p w:rsidR="00A544AF" w:rsidP="00A544AF" w14:paraId="6F2E46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17.  If seeking approval to not display the expiration date for OMB approval of the information collection, explain the reasons that display would be inappropriate.</w:t>
      </w:r>
    </w:p>
    <w:p w:rsidR="005B26AC" w:rsidRPr="006C7351" w:rsidP="00DC3353" w14:paraId="00A18CE0" w14:textId="77777777">
      <w:pPr>
        <w:suppressAutoHyphens/>
        <w:rPr>
          <w:rFonts w:ascii="Times New Roman" w:hAnsi="Times New Roman"/>
          <w:spacing w:val="-3"/>
          <w:szCs w:val="24"/>
        </w:rPr>
      </w:pPr>
    </w:p>
    <w:p w:rsidR="002148D4" w:rsidP="00A544AF" w14:paraId="50A6306F" w14:textId="77777777">
      <w:pPr>
        <w:suppressAutoHyphens/>
        <w:rPr>
          <w:rFonts w:ascii="Times New Roman" w:hAnsi="Times New Roman"/>
          <w:spacing w:val="-3"/>
          <w:szCs w:val="24"/>
        </w:rPr>
      </w:pPr>
      <w:r w:rsidRPr="006C7351">
        <w:rPr>
          <w:rFonts w:ascii="Times New Roman" w:hAnsi="Times New Roman"/>
          <w:spacing w:val="-3"/>
          <w:szCs w:val="24"/>
        </w:rPr>
        <w:t>The form will display the expiration date.</w:t>
      </w:r>
    </w:p>
    <w:p w:rsidR="00D57A74" w:rsidRPr="006C7351" w:rsidP="00A544AF" w14:paraId="4D48AA40" w14:textId="77777777">
      <w:pPr>
        <w:suppressAutoHyphens/>
        <w:rPr>
          <w:rFonts w:ascii="Times New Roman" w:hAnsi="Times New Roman"/>
          <w:spacing w:val="-3"/>
          <w:szCs w:val="24"/>
        </w:rPr>
      </w:pPr>
    </w:p>
    <w:p w:rsidR="00A544AF" w:rsidP="00A544AF" w14:paraId="647F50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18.  Explain each exception to the certification statement.</w:t>
      </w:r>
    </w:p>
    <w:p w:rsidR="00A544AF" w:rsidP="00A544AF" w14:paraId="034617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544AF" w:rsidP="00A544AF" w14:paraId="331078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exceptions to the certification statement.</w:t>
      </w:r>
    </w:p>
    <w:p w:rsidR="00A544AF" w:rsidP="00A544AF" w14:paraId="19F9EF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544AF" w:rsidP="00A544AF" w14:paraId="24635FCD" w14:textId="2127BC85">
      <w:pPr>
        <w:widowControl/>
        <w:spacing w:after="200" w:line="276" w:lineRule="auto"/>
        <w:rPr>
          <w:rFonts w:ascii="Times New Roman" w:hAnsi="Times New Roman"/>
        </w:rPr>
      </w:pPr>
      <w:r>
        <w:rPr>
          <w:rFonts w:ascii="Times New Roman" w:hAnsi="Times New Roman"/>
          <w:b/>
          <w:bCs/>
        </w:rPr>
        <w:t>B. COLLECTIONS OF INFORMATION EMPLOYING STATISTICAL METHODS.</w:t>
      </w:r>
    </w:p>
    <w:p w:rsidR="00A544AF" w:rsidP="00A544AF" w14:paraId="135EF339" w14:textId="77777777">
      <w:pPr>
        <w:rPr>
          <w:rFonts w:ascii="Times New Roman" w:hAnsi="Times New Roman"/>
        </w:rPr>
      </w:pPr>
      <w:r>
        <w:rPr>
          <w:rFonts w:ascii="Times New Roman" w:hAnsi="Times New Roman"/>
        </w:rPr>
        <w:t>Statistical methods are not used in these collections of information.</w:t>
      </w:r>
    </w:p>
    <w:p w:rsidR="00311E87" w:rsidRPr="006C7351" w:rsidP="00DC3353" w14:paraId="4A481774" w14:textId="77777777">
      <w:pPr>
        <w:suppressAutoHyphens/>
        <w:rPr>
          <w:rFonts w:ascii="Times New Roman" w:hAnsi="Times New Roman"/>
          <w:spacing w:val="-3"/>
          <w:szCs w:val="24"/>
        </w:rPr>
      </w:pPr>
    </w:p>
    <w:sectPr w:rsidSect="00AC3355">
      <w:headerReference w:type="default" r:id="rId13"/>
      <w:footerReference w:type="even" r:id="rId14"/>
      <w:footerReference w:type="default" r:id="rId15"/>
      <w:endnotePr>
        <w:numFmt w:val="decimal"/>
      </w:endnotePr>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727C7" w14:paraId="2A441FB7" w14:textId="77777777">
      <w:pPr>
        <w:spacing w:line="20" w:lineRule="exact"/>
      </w:pPr>
    </w:p>
  </w:endnote>
  <w:endnote w:type="continuationSeparator" w:id="1">
    <w:p w:rsidR="00E727C7" w14:paraId="0A816E60" w14:textId="77777777">
      <w:r>
        <w:t xml:space="preserve"> </w:t>
      </w:r>
    </w:p>
  </w:endnote>
  <w:endnote w:type="continuationNotice" w:id="2">
    <w:p w:rsidR="00E727C7" w14:paraId="59BFC23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7C0" w:rsidP="000A32A3" w14:paraId="14D7FA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77C0" w14:paraId="3CB584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7C0" w:rsidP="000A32A3" w14:paraId="502545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A20">
      <w:rPr>
        <w:rStyle w:val="PageNumber"/>
        <w:noProof/>
      </w:rPr>
      <w:t>6</w:t>
    </w:r>
    <w:r>
      <w:rPr>
        <w:rStyle w:val="PageNumber"/>
      </w:rPr>
      <w:fldChar w:fldCharType="end"/>
    </w:r>
  </w:p>
  <w:p w:rsidR="004477C0" w14:paraId="40F0A1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27C7" w14:paraId="31BF2BCF" w14:textId="77777777">
      <w:r>
        <w:separator/>
      </w:r>
    </w:p>
  </w:footnote>
  <w:footnote w:type="continuationSeparator" w:id="1">
    <w:p w:rsidR="00E727C7" w14:paraId="412A1740" w14:textId="77777777">
      <w:r>
        <w:continuationSeparator/>
      </w:r>
    </w:p>
  </w:footnote>
  <w:footnote w:id="2">
    <w:p w:rsidR="00F85FD7" w:rsidP="00F85FD7" w14:paraId="32FC5887" w14:textId="77777777">
      <w:pPr>
        <w:pStyle w:val="FootnoteText"/>
        <w:rPr>
          <w:rFonts w:ascii="Courier 12cpi" w:hAnsi="Courier 12cpi"/>
        </w:rPr>
      </w:pPr>
      <w:r>
        <w:rPr>
          <w:rStyle w:val="FootnoteReference"/>
        </w:rPr>
        <w:footnoteRef/>
      </w:r>
      <w:r>
        <w:t xml:space="preserve"> </w:t>
      </w:r>
      <w:r w:rsidRPr="00EC2D4E">
        <w:rPr>
          <w:rFonts w:ascii="Times New Roman" w:hAnsi="Times New Roman"/>
        </w:rPr>
        <w:t>Indicate the retention period for any recordkeeping requirements that pertain to the ICR.</w:t>
      </w:r>
      <w:r>
        <w:t xml:space="preserve">  </w:t>
      </w:r>
    </w:p>
  </w:footnote>
  <w:footnote w:id="3">
    <w:p w:rsidR="005D34D4" w:rsidP="00C54D6C" w14:paraId="0EF798BF" w14:textId="6D991138">
      <w:pPr>
        <w:suppressAutoHyphens/>
      </w:pPr>
      <w:r>
        <w:rPr>
          <w:rStyle w:val="FootnoteReference"/>
        </w:rPr>
        <w:footnoteRef/>
      </w:r>
      <w:r>
        <w:t xml:space="preserve"> </w:t>
      </w:r>
      <w:r w:rsidRPr="003F0B64">
        <w:rPr>
          <w:rFonts w:ascii="Times New Roman" w:hAnsi="Times New Roman"/>
          <w:szCs w:val="24"/>
        </w:rPr>
        <w:t xml:space="preserve">Reference:  </w:t>
      </w:r>
      <w:hyperlink r:id="rId1" w:history="1">
        <w:r w:rsidRPr="003F0B64">
          <w:rPr>
            <w:rStyle w:val="Hyperlink"/>
            <w:rFonts w:ascii="Times New Roman" w:hAnsi="Times New Roman"/>
            <w:color w:val="0070C0"/>
            <w:szCs w:val="24"/>
          </w:rPr>
          <w:t>http://www.bls.gov/oes/current/oes519199.htm</w:t>
        </w:r>
      </w:hyperlink>
      <w:r w:rsidRPr="00BA0594">
        <w:rPr>
          <w:rFonts w:ascii="Times New Roman" w:hAnsi="Times New Roman"/>
          <w:color w:val="0070C0"/>
          <w:szCs w:val="24"/>
        </w:rPr>
        <w:t xml:space="preserve">   </w:t>
      </w:r>
    </w:p>
  </w:footnote>
  <w:footnote w:id="4">
    <w:p w:rsidR="00DC03AE" w14:paraId="4CFE4FF2" w14:textId="77777777">
      <w:pPr>
        <w:pStyle w:val="FootnoteText"/>
      </w:pPr>
      <w:r>
        <w:rPr>
          <w:rStyle w:val="FootnoteReference"/>
        </w:rPr>
        <w:footnoteRef/>
      </w:r>
      <w:r>
        <w:t xml:space="preserve"> </w:t>
      </w:r>
    </w:p>
    <w:tbl>
      <w:tblPr>
        <w:tblW w:w="9176" w:type="dxa"/>
        <w:tblLook w:val="04A0"/>
      </w:tblPr>
      <w:tblGrid>
        <w:gridCol w:w="2867"/>
        <w:gridCol w:w="3394"/>
        <w:gridCol w:w="222"/>
        <w:gridCol w:w="2698"/>
      </w:tblGrid>
      <w:tr w14:paraId="205F26F0" w14:textId="77777777" w:rsidTr="00C54D6C">
        <w:tblPrEx>
          <w:tblW w:w="9176" w:type="dxa"/>
          <w:tblLook w:val="04A0"/>
        </w:tblPrEx>
        <w:trPr>
          <w:trHeight w:val="1070"/>
        </w:trPr>
        <w:tc>
          <w:tcPr>
            <w:tcW w:w="286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DC03AE" w:rsidRPr="00EC2D4E" w:rsidP="00DC03AE" w14:paraId="534DDCAA" w14:textId="77777777">
            <w:pPr>
              <w:widowControl/>
              <w:jc w:val="center"/>
              <w:rPr>
                <w:rFonts w:ascii="Times New Roman" w:hAnsi="Times New Roman"/>
                <w:b/>
                <w:bCs/>
                <w:color w:val="000000"/>
                <w:szCs w:val="24"/>
              </w:rPr>
            </w:pPr>
            <w:r w:rsidRPr="00EC2D4E">
              <w:rPr>
                <w:rFonts w:ascii="Times New Roman" w:hAnsi="Times New Roman"/>
                <w:b/>
                <w:bCs/>
                <w:color w:val="000000"/>
                <w:szCs w:val="24"/>
              </w:rPr>
              <w:t>Claims Examiner Location</w:t>
            </w:r>
          </w:p>
        </w:tc>
        <w:tc>
          <w:tcPr>
            <w:tcW w:w="3394" w:type="dxa"/>
            <w:tcBorders>
              <w:top w:val="single" w:sz="4" w:space="0" w:color="auto"/>
              <w:left w:val="nil"/>
              <w:bottom w:val="single" w:sz="4" w:space="0" w:color="auto"/>
              <w:right w:val="single" w:sz="4" w:space="0" w:color="auto"/>
            </w:tcBorders>
            <w:shd w:val="clear" w:color="000000" w:fill="D9E1F2"/>
            <w:vAlign w:val="center"/>
            <w:hideMark/>
          </w:tcPr>
          <w:p w:rsidR="00DC03AE" w:rsidRPr="00EC2D4E" w:rsidP="00DC03AE" w14:paraId="6D175938" w14:textId="77777777">
            <w:pPr>
              <w:widowControl/>
              <w:jc w:val="center"/>
              <w:rPr>
                <w:rFonts w:ascii="Times New Roman" w:hAnsi="Times New Roman"/>
                <w:b/>
                <w:bCs/>
                <w:color w:val="000000"/>
                <w:szCs w:val="24"/>
              </w:rPr>
            </w:pPr>
            <w:r w:rsidRPr="00EC2D4E">
              <w:rPr>
                <w:rFonts w:ascii="Times New Roman" w:hAnsi="Times New Roman"/>
                <w:b/>
                <w:bCs/>
                <w:color w:val="000000"/>
                <w:szCs w:val="24"/>
              </w:rPr>
              <w:t>General Pay Schedule Grade &amp; Step</w:t>
            </w:r>
          </w:p>
        </w:tc>
        <w:tc>
          <w:tcPr>
            <w:tcW w:w="217" w:type="dxa"/>
            <w:tcBorders>
              <w:top w:val="single" w:sz="4" w:space="0" w:color="auto"/>
              <w:left w:val="nil"/>
              <w:bottom w:val="single" w:sz="4" w:space="0" w:color="auto"/>
              <w:right w:val="nil"/>
            </w:tcBorders>
            <w:shd w:val="clear" w:color="000000" w:fill="D9E1F2"/>
          </w:tcPr>
          <w:p w:rsidR="00DC03AE" w:rsidRPr="00EC2D4E" w:rsidP="00DC03AE" w14:paraId="33C6B607" w14:textId="77777777">
            <w:pPr>
              <w:widowControl/>
              <w:jc w:val="center"/>
              <w:rPr>
                <w:rFonts w:ascii="Times New Roman" w:hAnsi="Times New Roman"/>
                <w:b/>
                <w:bCs/>
                <w:color w:val="000000"/>
                <w:szCs w:val="24"/>
              </w:rPr>
            </w:pPr>
          </w:p>
        </w:tc>
        <w:tc>
          <w:tcPr>
            <w:tcW w:w="2698" w:type="dxa"/>
            <w:tcBorders>
              <w:top w:val="single" w:sz="4" w:space="0" w:color="auto"/>
              <w:left w:val="nil"/>
              <w:bottom w:val="single" w:sz="4" w:space="0" w:color="auto"/>
              <w:right w:val="single" w:sz="4" w:space="0" w:color="auto"/>
            </w:tcBorders>
            <w:shd w:val="clear" w:color="000000" w:fill="D9E1F2"/>
            <w:vAlign w:val="center"/>
            <w:hideMark/>
          </w:tcPr>
          <w:p w:rsidR="00DC03AE" w:rsidRPr="00EC2D4E" w:rsidP="00DC03AE" w14:paraId="6941E79B" w14:textId="77777777">
            <w:pPr>
              <w:widowControl/>
              <w:jc w:val="center"/>
              <w:rPr>
                <w:rFonts w:ascii="Times New Roman" w:hAnsi="Times New Roman"/>
                <w:b/>
                <w:bCs/>
                <w:color w:val="000000"/>
                <w:szCs w:val="24"/>
              </w:rPr>
            </w:pPr>
            <w:r w:rsidRPr="00EC2D4E">
              <w:rPr>
                <w:rFonts w:ascii="Times New Roman" w:hAnsi="Times New Roman"/>
                <w:b/>
                <w:bCs/>
                <w:color w:val="000000"/>
                <w:szCs w:val="24"/>
              </w:rPr>
              <w:t>Corresponding General Schedule Table Pay Rate (hourly salary)</w:t>
            </w:r>
          </w:p>
        </w:tc>
      </w:tr>
      <w:tr w14:paraId="569EDA81" w14:textId="77777777" w:rsidTr="00C54D6C">
        <w:tblPrEx>
          <w:tblW w:w="9176" w:type="dxa"/>
          <w:tblLook w:val="04A0"/>
        </w:tblPrEx>
        <w:trPr>
          <w:trHeight w:val="555"/>
        </w:trPr>
        <w:tc>
          <w:tcPr>
            <w:tcW w:w="2867" w:type="dxa"/>
            <w:tcBorders>
              <w:top w:val="nil"/>
              <w:left w:val="single" w:sz="4" w:space="0" w:color="auto"/>
              <w:bottom w:val="single" w:sz="4" w:space="0" w:color="auto"/>
              <w:right w:val="single" w:sz="4" w:space="0" w:color="auto"/>
            </w:tcBorders>
            <w:shd w:val="clear" w:color="auto" w:fill="auto"/>
            <w:vAlign w:val="center"/>
            <w:hideMark/>
          </w:tcPr>
          <w:p w:rsidR="00DC03AE" w:rsidRPr="00EC2D4E" w:rsidP="00DC03AE" w14:paraId="7D6581CD" w14:textId="77777777">
            <w:pPr>
              <w:widowControl/>
              <w:jc w:val="center"/>
              <w:rPr>
                <w:rFonts w:ascii="Times New Roman" w:hAnsi="Times New Roman"/>
                <w:color w:val="000000"/>
                <w:szCs w:val="24"/>
              </w:rPr>
            </w:pPr>
            <w:r w:rsidRPr="00EC2D4E">
              <w:rPr>
                <w:rFonts w:ascii="Times New Roman" w:hAnsi="Times New Roman"/>
                <w:color w:val="000000"/>
                <w:szCs w:val="24"/>
              </w:rPr>
              <w:t>Parma Heights, OH (Cleveland)</w:t>
            </w:r>
          </w:p>
        </w:tc>
        <w:tc>
          <w:tcPr>
            <w:tcW w:w="3394"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3A3193A7" w14:textId="77777777">
            <w:pPr>
              <w:widowControl/>
              <w:jc w:val="center"/>
              <w:rPr>
                <w:rFonts w:ascii="Times New Roman" w:hAnsi="Times New Roman"/>
                <w:color w:val="000000"/>
                <w:szCs w:val="24"/>
              </w:rPr>
            </w:pPr>
            <w:r w:rsidRPr="00EC2D4E">
              <w:rPr>
                <w:rFonts w:ascii="Times New Roman" w:hAnsi="Times New Roman"/>
                <w:color w:val="000000"/>
                <w:szCs w:val="24"/>
              </w:rPr>
              <w:t>12, 2</w:t>
            </w:r>
          </w:p>
        </w:tc>
        <w:tc>
          <w:tcPr>
            <w:tcW w:w="217" w:type="dxa"/>
            <w:tcBorders>
              <w:top w:val="nil"/>
              <w:left w:val="nil"/>
              <w:bottom w:val="single" w:sz="4" w:space="0" w:color="auto"/>
              <w:right w:val="nil"/>
            </w:tcBorders>
          </w:tcPr>
          <w:p w:rsidR="00DC03AE" w:rsidRPr="00EC2D4E" w:rsidP="00DC03AE" w14:paraId="1AFA4304" w14:textId="77777777">
            <w:pPr>
              <w:widowControl/>
              <w:jc w:val="center"/>
              <w:rPr>
                <w:rFonts w:ascii="Times New Roman" w:hAnsi="Times New Roman"/>
                <w:color w:val="000000"/>
                <w:szCs w:val="24"/>
              </w:rPr>
            </w:pPr>
          </w:p>
        </w:tc>
        <w:tc>
          <w:tcPr>
            <w:tcW w:w="2698"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0DE99FA9" w14:textId="77777777">
            <w:pPr>
              <w:widowControl/>
              <w:jc w:val="center"/>
              <w:rPr>
                <w:rFonts w:ascii="Times New Roman" w:hAnsi="Times New Roman"/>
                <w:color w:val="000000"/>
                <w:szCs w:val="24"/>
              </w:rPr>
            </w:pPr>
            <w:r w:rsidRPr="00EC2D4E">
              <w:rPr>
                <w:rFonts w:ascii="Times New Roman" w:hAnsi="Times New Roman"/>
                <w:color w:val="000000"/>
                <w:szCs w:val="24"/>
              </w:rPr>
              <w:t xml:space="preserve"> $                       42.84 </w:t>
            </w:r>
          </w:p>
        </w:tc>
      </w:tr>
      <w:tr w14:paraId="47DCA1AF" w14:textId="77777777" w:rsidTr="00C54D6C">
        <w:tblPrEx>
          <w:tblW w:w="9176" w:type="dxa"/>
          <w:tblLook w:val="04A0"/>
        </w:tblPrEx>
        <w:trPr>
          <w:trHeight w:val="555"/>
        </w:trPr>
        <w:tc>
          <w:tcPr>
            <w:tcW w:w="2867" w:type="dxa"/>
            <w:tcBorders>
              <w:top w:val="nil"/>
              <w:left w:val="single" w:sz="4" w:space="0" w:color="auto"/>
              <w:bottom w:val="single" w:sz="4" w:space="0" w:color="auto"/>
              <w:right w:val="single" w:sz="4" w:space="0" w:color="auto"/>
            </w:tcBorders>
            <w:shd w:val="clear" w:color="auto" w:fill="auto"/>
            <w:vAlign w:val="center"/>
            <w:hideMark/>
          </w:tcPr>
          <w:p w:rsidR="00DC03AE" w:rsidRPr="00EC2D4E" w:rsidP="00DC03AE" w14:paraId="273164FA" w14:textId="77777777">
            <w:pPr>
              <w:widowControl/>
              <w:jc w:val="center"/>
              <w:rPr>
                <w:rFonts w:ascii="Times New Roman" w:hAnsi="Times New Roman"/>
                <w:color w:val="000000"/>
                <w:szCs w:val="24"/>
              </w:rPr>
            </w:pPr>
            <w:r w:rsidRPr="00EC2D4E">
              <w:rPr>
                <w:rFonts w:ascii="Times New Roman" w:hAnsi="Times New Roman"/>
                <w:color w:val="000000"/>
                <w:szCs w:val="24"/>
              </w:rPr>
              <w:t>Jacksonville, FL (Rest of US)</w:t>
            </w:r>
          </w:p>
        </w:tc>
        <w:tc>
          <w:tcPr>
            <w:tcW w:w="3394"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2CFB83B1" w14:textId="77777777">
            <w:pPr>
              <w:widowControl/>
              <w:jc w:val="center"/>
              <w:rPr>
                <w:rFonts w:ascii="Times New Roman" w:hAnsi="Times New Roman"/>
                <w:color w:val="000000"/>
                <w:szCs w:val="24"/>
              </w:rPr>
            </w:pPr>
            <w:r w:rsidRPr="00EC2D4E">
              <w:rPr>
                <w:rFonts w:ascii="Times New Roman" w:hAnsi="Times New Roman"/>
                <w:color w:val="000000"/>
                <w:szCs w:val="24"/>
              </w:rPr>
              <w:t>12, 3</w:t>
            </w:r>
          </w:p>
        </w:tc>
        <w:tc>
          <w:tcPr>
            <w:tcW w:w="217" w:type="dxa"/>
            <w:tcBorders>
              <w:top w:val="nil"/>
              <w:left w:val="nil"/>
              <w:bottom w:val="single" w:sz="4" w:space="0" w:color="auto"/>
              <w:right w:val="nil"/>
            </w:tcBorders>
          </w:tcPr>
          <w:p w:rsidR="00DC03AE" w:rsidRPr="00EC2D4E" w:rsidP="00DC03AE" w14:paraId="47F7F1F8" w14:textId="77777777">
            <w:pPr>
              <w:widowControl/>
              <w:jc w:val="center"/>
              <w:rPr>
                <w:rFonts w:ascii="Times New Roman" w:hAnsi="Times New Roman"/>
                <w:color w:val="000000"/>
                <w:szCs w:val="24"/>
              </w:rPr>
            </w:pPr>
          </w:p>
        </w:tc>
        <w:tc>
          <w:tcPr>
            <w:tcW w:w="2698"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0E0A9AAD" w14:textId="77777777">
            <w:pPr>
              <w:widowControl/>
              <w:jc w:val="center"/>
              <w:rPr>
                <w:rFonts w:ascii="Times New Roman" w:hAnsi="Times New Roman"/>
                <w:color w:val="000000"/>
                <w:szCs w:val="24"/>
              </w:rPr>
            </w:pPr>
            <w:r w:rsidRPr="00EC2D4E">
              <w:rPr>
                <w:rFonts w:ascii="Times New Roman" w:hAnsi="Times New Roman"/>
                <w:color w:val="000000"/>
                <w:szCs w:val="24"/>
              </w:rPr>
              <w:t xml:space="preserve"> $                       42.33 </w:t>
            </w:r>
          </w:p>
        </w:tc>
      </w:tr>
      <w:tr w14:paraId="3DDEC772" w14:textId="77777777" w:rsidTr="00C54D6C">
        <w:tblPrEx>
          <w:tblW w:w="9176" w:type="dxa"/>
          <w:tblLook w:val="04A0"/>
        </w:tblPrEx>
        <w:trPr>
          <w:trHeight w:val="555"/>
        </w:trPr>
        <w:tc>
          <w:tcPr>
            <w:tcW w:w="2867" w:type="dxa"/>
            <w:tcBorders>
              <w:top w:val="nil"/>
              <w:left w:val="single" w:sz="4" w:space="0" w:color="auto"/>
              <w:bottom w:val="single" w:sz="4" w:space="0" w:color="auto"/>
              <w:right w:val="single" w:sz="4" w:space="0" w:color="auto"/>
            </w:tcBorders>
            <w:shd w:val="clear" w:color="auto" w:fill="auto"/>
            <w:vAlign w:val="center"/>
            <w:hideMark/>
          </w:tcPr>
          <w:p w:rsidR="00DC03AE" w:rsidRPr="00EC2D4E" w:rsidP="00DC03AE" w14:paraId="7633914F" w14:textId="77777777">
            <w:pPr>
              <w:widowControl/>
              <w:jc w:val="center"/>
              <w:rPr>
                <w:rFonts w:ascii="Times New Roman" w:hAnsi="Times New Roman"/>
                <w:color w:val="000000"/>
                <w:szCs w:val="24"/>
              </w:rPr>
            </w:pPr>
            <w:r w:rsidRPr="00EC2D4E">
              <w:rPr>
                <w:rFonts w:ascii="Times New Roman" w:hAnsi="Times New Roman"/>
                <w:color w:val="000000"/>
                <w:szCs w:val="24"/>
              </w:rPr>
              <w:t>Locust Grove, GA (Atlanta)</w:t>
            </w:r>
          </w:p>
        </w:tc>
        <w:tc>
          <w:tcPr>
            <w:tcW w:w="3394"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335A82A1" w14:textId="77777777">
            <w:pPr>
              <w:widowControl/>
              <w:jc w:val="center"/>
              <w:rPr>
                <w:rFonts w:ascii="Times New Roman" w:hAnsi="Times New Roman"/>
                <w:color w:val="000000"/>
                <w:szCs w:val="24"/>
              </w:rPr>
            </w:pPr>
            <w:r w:rsidRPr="00EC2D4E">
              <w:rPr>
                <w:rFonts w:ascii="Times New Roman" w:hAnsi="Times New Roman"/>
                <w:color w:val="000000"/>
                <w:szCs w:val="24"/>
              </w:rPr>
              <w:t>12, 7</w:t>
            </w:r>
          </w:p>
        </w:tc>
        <w:tc>
          <w:tcPr>
            <w:tcW w:w="217" w:type="dxa"/>
            <w:tcBorders>
              <w:top w:val="nil"/>
              <w:left w:val="nil"/>
              <w:bottom w:val="single" w:sz="4" w:space="0" w:color="auto"/>
              <w:right w:val="nil"/>
            </w:tcBorders>
          </w:tcPr>
          <w:p w:rsidR="00DC03AE" w:rsidRPr="00EC2D4E" w:rsidP="00DC03AE" w14:paraId="325228F0" w14:textId="77777777">
            <w:pPr>
              <w:widowControl/>
              <w:jc w:val="center"/>
              <w:rPr>
                <w:rFonts w:ascii="Times New Roman" w:hAnsi="Times New Roman"/>
                <w:color w:val="000000"/>
                <w:szCs w:val="24"/>
              </w:rPr>
            </w:pPr>
          </w:p>
        </w:tc>
        <w:tc>
          <w:tcPr>
            <w:tcW w:w="2698"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14F95FD9" w14:textId="77777777">
            <w:pPr>
              <w:widowControl/>
              <w:jc w:val="center"/>
              <w:rPr>
                <w:rFonts w:ascii="Times New Roman" w:hAnsi="Times New Roman"/>
                <w:color w:val="000000"/>
                <w:szCs w:val="24"/>
              </w:rPr>
            </w:pPr>
            <w:r w:rsidRPr="00EC2D4E">
              <w:rPr>
                <w:rFonts w:ascii="Times New Roman" w:hAnsi="Times New Roman"/>
                <w:color w:val="000000"/>
                <w:szCs w:val="24"/>
              </w:rPr>
              <w:t xml:space="preserve"> $                       50.29 </w:t>
            </w:r>
          </w:p>
        </w:tc>
      </w:tr>
      <w:tr w14:paraId="658B77B9" w14:textId="77777777" w:rsidTr="00C54D6C">
        <w:tblPrEx>
          <w:tblW w:w="9176" w:type="dxa"/>
          <w:tblLook w:val="04A0"/>
        </w:tblPrEx>
        <w:trPr>
          <w:trHeight w:val="555"/>
        </w:trPr>
        <w:tc>
          <w:tcPr>
            <w:tcW w:w="2867" w:type="dxa"/>
            <w:tcBorders>
              <w:top w:val="nil"/>
              <w:left w:val="single" w:sz="4" w:space="0" w:color="auto"/>
              <w:bottom w:val="single" w:sz="4" w:space="0" w:color="auto"/>
              <w:right w:val="single" w:sz="4" w:space="0" w:color="auto"/>
            </w:tcBorders>
            <w:shd w:val="clear" w:color="auto" w:fill="auto"/>
            <w:vAlign w:val="center"/>
            <w:hideMark/>
          </w:tcPr>
          <w:p w:rsidR="00DC03AE" w:rsidRPr="00EC2D4E" w:rsidP="00DC03AE" w14:paraId="2696426C" w14:textId="77777777">
            <w:pPr>
              <w:widowControl/>
              <w:jc w:val="center"/>
              <w:rPr>
                <w:rFonts w:ascii="Times New Roman" w:hAnsi="Times New Roman"/>
                <w:color w:val="000000"/>
                <w:szCs w:val="24"/>
              </w:rPr>
            </w:pPr>
            <w:r w:rsidRPr="00EC2D4E">
              <w:rPr>
                <w:rFonts w:ascii="Times New Roman" w:hAnsi="Times New Roman"/>
                <w:color w:val="000000"/>
                <w:szCs w:val="24"/>
              </w:rPr>
              <w:t>Medina, OH (Cleveland)</w:t>
            </w:r>
          </w:p>
        </w:tc>
        <w:tc>
          <w:tcPr>
            <w:tcW w:w="3394"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6D7EF330" w14:textId="77777777">
            <w:pPr>
              <w:widowControl/>
              <w:jc w:val="center"/>
              <w:rPr>
                <w:rFonts w:ascii="Times New Roman" w:hAnsi="Times New Roman"/>
                <w:color w:val="000000"/>
                <w:szCs w:val="24"/>
              </w:rPr>
            </w:pPr>
            <w:r w:rsidRPr="00EC2D4E">
              <w:rPr>
                <w:rFonts w:ascii="Times New Roman" w:hAnsi="Times New Roman"/>
                <w:color w:val="000000"/>
                <w:szCs w:val="24"/>
              </w:rPr>
              <w:t>12, 9</w:t>
            </w:r>
          </w:p>
        </w:tc>
        <w:tc>
          <w:tcPr>
            <w:tcW w:w="217" w:type="dxa"/>
            <w:tcBorders>
              <w:top w:val="nil"/>
              <w:left w:val="nil"/>
              <w:bottom w:val="single" w:sz="4" w:space="0" w:color="auto"/>
              <w:right w:val="nil"/>
            </w:tcBorders>
          </w:tcPr>
          <w:p w:rsidR="00DC03AE" w:rsidRPr="00EC2D4E" w:rsidP="00DC03AE" w14:paraId="3A445CFE" w14:textId="77777777">
            <w:pPr>
              <w:widowControl/>
              <w:jc w:val="center"/>
              <w:rPr>
                <w:rFonts w:ascii="Times New Roman" w:hAnsi="Times New Roman"/>
                <w:color w:val="000000"/>
                <w:szCs w:val="24"/>
              </w:rPr>
            </w:pPr>
          </w:p>
        </w:tc>
        <w:tc>
          <w:tcPr>
            <w:tcW w:w="2698"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6BB04D1E" w14:textId="77777777">
            <w:pPr>
              <w:widowControl/>
              <w:jc w:val="center"/>
              <w:rPr>
                <w:rFonts w:ascii="Times New Roman" w:hAnsi="Times New Roman"/>
                <w:color w:val="000000"/>
                <w:szCs w:val="24"/>
              </w:rPr>
            </w:pPr>
            <w:r w:rsidRPr="00EC2D4E">
              <w:rPr>
                <w:rFonts w:ascii="Times New Roman" w:hAnsi="Times New Roman"/>
                <w:color w:val="000000"/>
                <w:szCs w:val="24"/>
              </w:rPr>
              <w:t xml:space="preserve"> $                       52.51 </w:t>
            </w:r>
          </w:p>
        </w:tc>
      </w:tr>
      <w:tr w14:paraId="2A9E7D27" w14:textId="77777777" w:rsidTr="00C54D6C">
        <w:tblPrEx>
          <w:tblW w:w="9176" w:type="dxa"/>
          <w:tblLook w:val="04A0"/>
        </w:tblPrEx>
        <w:trPr>
          <w:trHeight w:val="555"/>
        </w:trPr>
        <w:tc>
          <w:tcPr>
            <w:tcW w:w="2867" w:type="dxa"/>
            <w:tcBorders>
              <w:top w:val="nil"/>
              <w:left w:val="single" w:sz="4" w:space="0" w:color="auto"/>
              <w:bottom w:val="single" w:sz="4" w:space="0" w:color="auto"/>
              <w:right w:val="single" w:sz="4" w:space="0" w:color="auto"/>
            </w:tcBorders>
            <w:shd w:val="clear" w:color="auto" w:fill="auto"/>
            <w:vAlign w:val="center"/>
            <w:hideMark/>
          </w:tcPr>
          <w:p w:rsidR="00DC03AE" w:rsidRPr="00EC2D4E" w:rsidP="00DC03AE" w14:paraId="327CEFEA" w14:textId="77777777">
            <w:pPr>
              <w:widowControl/>
              <w:jc w:val="center"/>
              <w:rPr>
                <w:rFonts w:ascii="Times New Roman" w:hAnsi="Times New Roman"/>
                <w:color w:val="000000"/>
                <w:szCs w:val="24"/>
              </w:rPr>
            </w:pPr>
            <w:r w:rsidRPr="00EC2D4E">
              <w:rPr>
                <w:rFonts w:ascii="Times New Roman" w:hAnsi="Times New Roman"/>
                <w:color w:val="000000"/>
                <w:szCs w:val="24"/>
              </w:rPr>
              <w:t>Weston, MA (Boston)</w:t>
            </w:r>
          </w:p>
        </w:tc>
        <w:tc>
          <w:tcPr>
            <w:tcW w:w="3394"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7E0CB993" w14:textId="77777777">
            <w:pPr>
              <w:widowControl/>
              <w:jc w:val="center"/>
              <w:rPr>
                <w:rFonts w:ascii="Times New Roman" w:hAnsi="Times New Roman"/>
                <w:color w:val="000000"/>
                <w:szCs w:val="24"/>
              </w:rPr>
            </w:pPr>
            <w:r w:rsidRPr="00EC2D4E">
              <w:rPr>
                <w:rFonts w:ascii="Times New Roman" w:hAnsi="Times New Roman"/>
                <w:color w:val="000000"/>
                <w:szCs w:val="24"/>
              </w:rPr>
              <w:t>12, 10</w:t>
            </w:r>
          </w:p>
        </w:tc>
        <w:tc>
          <w:tcPr>
            <w:tcW w:w="217" w:type="dxa"/>
            <w:tcBorders>
              <w:top w:val="nil"/>
              <w:left w:val="nil"/>
              <w:bottom w:val="single" w:sz="4" w:space="0" w:color="auto"/>
              <w:right w:val="nil"/>
            </w:tcBorders>
          </w:tcPr>
          <w:p w:rsidR="00DC03AE" w:rsidRPr="00EC2D4E" w:rsidP="00DC03AE" w14:paraId="493826E0" w14:textId="77777777">
            <w:pPr>
              <w:widowControl/>
              <w:jc w:val="center"/>
              <w:rPr>
                <w:rFonts w:ascii="Times New Roman" w:hAnsi="Times New Roman"/>
                <w:color w:val="000000"/>
                <w:szCs w:val="24"/>
              </w:rPr>
            </w:pPr>
          </w:p>
        </w:tc>
        <w:tc>
          <w:tcPr>
            <w:tcW w:w="2698"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0A383D90" w14:textId="77777777">
            <w:pPr>
              <w:widowControl/>
              <w:jc w:val="center"/>
              <w:rPr>
                <w:rFonts w:ascii="Times New Roman" w:hAnsi="Times New Roman"/>
                <w:color w:val="000000"/>
                <w:szCs w:val="24"/>
              </w:rPr>
            </w:pPr>
            <w:r w:rsidRPr="00EC2D4E">
              <w:rPr>
                <w:rFonts w:ascii="Times New Roman" w:hAnsi="Times New Roman"/>
                <w:color w:val="000000"/>
                <w:szCs w:val="24"/>
              </w:rPr>
              <w:t xml:space="preserve"> $                       58.04 </w:t>
            </w:r>
          </w:p>
        </w:tc>
      </w:tr>
      <w:tr w14:paraId="4A16B773" w14:textId="77777777" w:rsidTr="00C54D6C">
        <w:tblPrEx>
          <w:tblW w:w="9176" w:type="dxa"/>
          <w:tblLook w:val="04A0"/>
        </w:tblPrEx>
        <w:trPr>
          <w:trHeight w:val="833"/>
        </w:trPr>
        <w:tc>
          <w:tcPr>
            <w:tcW w:w="2867" w:type="dxa"/>
            <w:tcBorders>
              <w:top w:val="nil"/>
              <w:left w:val="single" w:sz="4" w:space="0" w:color="auto"/>
              <w:bottom w:val="single" w:sz="4" w:space="0" w:color="auto"/>
              <w:right w:val="single" w:sz="4" w:space="0" w:color="auto"/>
            </w:tcBorders>
            <w:shd w:val="clear" w:color="auto" w:fill="auto"/>
            <w:vAlign w:val="center"/>
            <w:hideMark/>
          </w:tcPr>
          <w:p w:rsidR="00DC03AE" w:rsidRPr="00EC2D4E" w:rsidP="00DC03AE" w14:paraId="1D3411B8" w14:textId="77777777">
            <w:pPr>
              <w:widowControl/>
              <w:jc w:val="center"/>
              <w:rPr>
                <w:rFonts w:ascii="Times New Roman" w:hAnsi="Times New Roman"/>
                <w:color w:val="000000"/>
                <w:szCs w:val="24"/>
              </w:rPr>
            </w:pPr>
            <w:r w:rsidRPr="00EC2D4E">
              <w:rPr>
                <w:rFonts w:ascii="Times New Roman" w:hAnsi="Times New Roman"/>
                <w:color w:val="000000"/>
                <w:szCs w:val="24"/>
              </w:rPr>
              <w:t>Walnut Creek, CA (San Francisco)</w:t>
            </w:r>
          </w:p>
        </w:tc>
        <w:tc>
          <w:tcPr>
            <w:tcW w:w="3394"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71987D6F" w14:textId="77777777">
            <w:pPr>
              <w:widowControl/>
              <w:jc w:val="center"/>
              <w:rPr>
                <w:rFonts w:ascii="Times New Roman" w:hAnsi="Times New Roman"/>
                <w:color w:val="000000"/>
                <w:szCs w:val="24"/>
              </w:rPr>
            </w:pPr>
            <w:r w:rsidRPr="00EC2D4E">
              <w:rPr>
                <w:rFonts w:ascii="Times New Roman" w:hAnsi="Times New Roman"/>
                <w:color w:val="000000"/>
                <w:szCs w:val="24"/>
              </w:rPr>
              <w:t>12, 10</w:t>
            </w:r>
          </w:p>
        </w:tc>
        <w:tc>
          <w:tcPr>
            <w:tcW w:w="217" w:type="dxa"/>
            <w:tcBorders>
              <w:top w:val="nil"/>
              <w:left w:val="nil"/>
              <w:bottom w:val="single" w:sz="4" w:space="0" w:color="auto"/>
              <w:right w:val="nil"/>
            </w:tcBorders>
          </w:tcPr>
          <w:p w:rsidR="00DC03AE" w:rsidRPr="00EC2D4E" w:rsidP="00DC03AE" w14:paraId="0210F102" w14:textId="77777777">
            <w:pPr>
              <w:widowControl/>
              <w:jc w:val="center"/>
              <w:rPr>
                <w:rFonts w:ascii="Times New Roman" w:hAnsi="Times New Roman"/>
                <w:color w:val="000000"/>
                <w:szCs w:val="24"/>
              </w:rPr>
            </w:pPr>
          </w:p>
        </w:tc>
        <w:tc>
          <w:tcPr>
            <w:tcW w:w="2698"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5EFA7992" w14:textId="77777777">
            <w:pPr>
              <w:widowControl/>
              <w:jc w:val="center"/>
              <w:rPr>
                <w:rFonts w:ascii="Times New Roman" w:hAnsi="Times New Roman"/>
                <w:color w:val="000000"/>
                <w:szCs w:val="24"/>
              </w:rPr>
            </w:pPr>
            <w:r w:rsidRPr="00EC2D4E">
              <w:rPr>
                <w:rFonts w:ascii="Times New Roman" w:hAnsi="Times New Roman"/>
                <w:color w:val="000000"/>
                <w:szCs w:val="24"/>
              </w:rPr>
              <w:t xml:space="preserve"> $                       63.84 </w:t>
            </w:r>
          </w:p>
        </w:tc>
      </w:tr>
      <w:tr w14:paraId="4CAEB023" w14:textId="77777777" w:rsidTr="00C54D6C">
        <w:tblPrEx>
          <w:tblW w:w="9176" w:type="dxa"/>
          <w:tblLook w:val="04A0"/>
        </w:tblPrEx>
        <w:trPr>
          <w:trHeight w:val="277"/>
        </w:trPr>
        <w:tc>
          <w:tcPr>
            <w:tcW w:w="2867" w:type="dxa"/>
            <w:tcBorders>
              <w:top w:val="nil"/>
              <w:left w:val="single" w:sz="4" w:space="0" w:color="auto"/>
              <w:bottom w:val="single" w:sz="4" w:space="0" w:color="auto"/>
              <w:right w:val="single" w:sz="4" w:space="0" w:color="auto"/>
            </w:tcBorders>
            <w:shd w:val="clear" w:color="auto" w:fill="auto"/>
            <w:noWrap/>
            <w:vAlign w:val="center"/>
            <w:hideMark/>
          </w:tcPr>
          <w:p w:rsidR="00DC03AE" w:rsidRPr="00EC2D4E" w:rsidP="00DC03AE" w14:paraId="64888659" w14:textId="77777777">
            <w:pPr>
              <w:widowControl/>
              <w:jc w:val="center"/>
              <w:rPr>
                <w:rFonts w:ascii="Times New Roman" w:hAnsi="Times New Roman"/>
                <w:color w:val="000000"/>
                <w:szCs w:val="24"/>
              </w:rPr>
            </w:pPr>
            <w:r w:rsidRPr="00EC2D4E">
              <w:rPr>
                <w:rFonts w:ascii="Times New Roman" w:hAnsi="Times New Roman"/>
                <w:color w:val="000000"/>
                <w:szCs w:val="24"/>
              </w:rPr>
              <w:t> </w:t>
            </w:r>
          </w:p>
        </w:tc>
        <w:tc>
          <w:tcPr>
            <w:tcW w:w="3394"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649700C9" w14:textId="77777777">
            <w:pPr>
              <w:widowControl/>
              <w:jc w:val="center"/>
              <w:rPr>
                <w:rFonts w:ascii="Times New Roman" w:hAnsi="Times New Roman"/>
                <w:color w:val="000000"/>
                <w:szCs w:val="24"/>
              </w:rPr>
            </w:pPr>
            <w:r w:rsidRPr="00EC2D4E">
              <w:rPr>
                <w:rFonts w:ascii="Times New Roman" w:hAnsi="Times New Roman"/>
                <w:color w:val="000000"/>
                <w:szCs w:val="24"/>
              </w:rPr>
              <w:t> </w:t>
            </w:r>
          </w:p>
        </w:tc>
        <w:tc>
          <w:tcPr>
            <w:tcW w:w="217" w:type="dxa"/>
            <w:tcBorders>
              <w:top w:val="nil"/>
              <w:left w:val="nil"/>
              <w:bottom w:val="single" w:sz="4" w:space="0" w:color="auto"/>
              <w:right w:val="nil"/>
            </w:tcBorders>
          </w:tcPr>
          <w:p w:rsidR="00DC03AE" w:rsidRPr="00EC2D4E" w:rsidP="00DC03AE" w14:paraId="100613E9" w14:textId="77777777">
            <w:pPr>
              <w:widowControl/>
              <w:jc w:val="center"/>
              <w:rPr>
                <w:rFonts w:ascii="Times New Roman" w:hAnsi="Times New Roman"/>
                <w:color w:val="000000"/>
                <w:szCs w:val="24"/>
              </w:rPr>
            </w:pPr>
          </w:p>
        </w:tc>
        <w:tc>
          <w:tcPr>
            <w:tcW w:w="2698"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543692E8" w14:textId="77777777">
            <w:pPr>
              <w:widowControl/>
              <w:jc w:val="center"/>
              <w:rPr>
                <w:rFonts w:ascii="Times New Roman" w:hAnsi="Times New Roman"/>
                <w:color w:val="000000"/>
                <w:szCs w:val="24"/>
              </w:rPr>
            </w:pPr>
            <w:r w:rsidRPr="00EC2D4E">
              <w:rPr>
                <w:rFonts w:ascii="Times New Roman" w:hAnsi="Times New Roman"/>
                <w:color w:val="000000"/>
                <w:szCs w:val="24"/>
              </w:rPr>
              <w:t> </w:t>
            </w:r>
          </w:p>
        </w:tc>
      </w:tr>
      <w:tr w14:paraId="055454B2" w14:textId="77777777" w:rsidTr="00C54D6C">
        <w:tblPrEx>
          <w:tblW w:w="9176" w:type="dxa"/>
          <w:tblLook w:val="04A0"/>
        </w:tblPrEx>
        <w:trPr>
          <w:trHeight w:val="395"/>
        </w:trPr>
        <w:tc>
          <w:tcPr>
            <w:tcW w:w="2867" w:type="dxa"/>
            <w:tcBorders>
              <w:top w:val="nil"/>
              <w:left w:val="single" w:sz="4" w:space="0" w:color="auto"/>
              <w:bottom w:val="single" w:sz="4" w:space="0" w:color="auto"/>
              <w:right w:val="single" w:sz="4" w:space="0" w:color="auto"/>
            </w:tcBorders>
            <w:shd w:val="clear" w:color="auto" w:fill="auto"/>
            <w:vAlign w:val="center"/>
            <w:hideMark/>
          </w:tcPr>
          <w:p w:rsidR="00DC03AE" w:rsidRPr="00EC2D4E" w:rsidP="00DC03AE" w14:paraId="64A81118" w14:textId="77777777">
            <w:pPr>
              <w:widowControl/>
              <w:jc w:val="center"/>
              <w:rPr>
                <w:rFonts w:ascii="Times New Roman" w:hAnsi="Times New Roman"/>
                <w:b/>
                <w:bCs/>
                <w:color w:val="000000"/>
                <w:szCs w:val="24"/>
              </w:rPr>
            </w:pPr>
            <w:r w:rsidRPr="00EC2D4E">
              <w:rPr>
                <w:rFonts w:ascii="Times New Roman" w:hAnsi="Times New Roman"/>
                <w:b/>
                <w:bCs/>
                <w:color w:val="000000"/>
                <w:szCs w:val="24"/>
              </w:rPr>
              <w:t>Claims Examiner Average Pay</w:t>
            </w:r>
          </w:p>
        </w:tc>
        <w:tc>
          <w:tcPr>
            <w:tcW w:w="3394" w:type="dxa"/>
            <w:tcBorders>
              <w:top w:val="nil"/>
              <w:left w:val="nil"/>
              <w:bottom w:val="single" w:sz="4" w:space="0" w:color="auto"/>
              <w:right w:val="single" w:sz="4" w:space="0" w:color="auto"/>
            </w:tcBorders>
            <w:shd w:val="clear" w:color="000000" w:fill="000000"/>
            <w:noWrap/>
            <w:vAlign w:val="center"/>
            <w:hideMark/>
          </w:tcPr>
          <w:p w:rsidR="00DC03AE" w:rsidRPr="00EC2D4E" w:rsidP="00DC03AE" w14:paraId="1EA4B284" w14:textId="77777777">
            <w:pPr>
              <w:widowControl/>
              <w:jc w:val="center"/>
              <w:rPr>
                <w:rFonts w:ascii="Times New Roman" w:hAnsi="Times New Roman"/>
                <w:b/>
                <w:bCs/>
                <w:color w:val="000000"/>
                <w:szCs w:val="24"/>
              </w:rPr>
            </w:pPr>
            <w:r w:rsidRPr="00EC2D4E">
              <w:rPr>
                <w:rFonts w:ascii="Times New Roman" w:hAnsi="Times New Roman"/>
                <w:b/>
                <w:bCs/>
                <w:color w:val="000000"/>
                <w:szCs w:val="24"/>
              </w:rPr>
              <w:t> </w:t>
            </w:r>
          </w:p>
        </w:tc>
        <w:tc>
          <w:tcPr>
            <w:tcW w:w="217" w:type="dxa"/>
            <w:tcBorders>
              <w:top w:val="nil"/>
              <w:left w:val="nil"/>
              <w:bottom w:val="single" w:sz="4" w:space="0" w:color="auto"/>
              <w:right w:val="nil"/>
            </w:tcBorders>
          </w:tcPr>
          <w:p w:rsidR="00DC03AE" w:rsidRPr="00EC2D4E" w:rsidP="00DC03AE" w14:paraId="2F6141E7" w14:textId="77777777">
            <w:pPr>
              <w:widowControl/>
              <w:jc w:val="center"/>
              <w:rPr>
                <w:rFonts w:ascii="Times New Roman" w:hAnsi="Times New Roman"/>
                <w:b/>
                <w:bCs/>
                <w:color w:val="000000"/>
                <w:szCs w:val="24"/>
              </w:rPr>
            </w:pPr>
          </w:p>
        </w:tc>
        <w:tc>
          <w:tcPr>
            <w:tcW w:w="2698" w:type="dxa"/>
            <w:tcBorders>
              <w:top w:val="nil"/>
              <w:left w:val="nil"/>
              <w:bottom w:val="single" w:sz="4" w:space="0" w:color="auto"/>
              <w:right w:val="single" w:sz="4" w:space="0" w:color="auto"/>
            </w:tcBorders>
            <w:shd w:val="clear" w:color="auto" w:fill="auto"/>
            <w:noWrap/>
            <w:vAlign w:val="center"/>
            <w:hideMark/>
          </w:tcPr>
          <w:p w:rsidR="00DC03AE" w:rsidRPr="00EC2D4E" w:rsidP="00DC03AE" w14:paraId="412A0D7D" w14:textId="17B986C7">
            <w:pPr>
              <w:widowControl/>
              <w:jc w:val="center"/>
              <w:rPr>
                <w:rFonts w:ascii="Times New Roman" w:hAnsi="Times New Roman"/>
                <w:b/>
                <w:bCs/>
                <w:color w:val="000000"/>
                <w:szCs w:val="24"/>
              </w:rPr>
            </w:pPr>
            <w:r w:rsidRPr="00EC2D4E">
              <w:rPr>
                <w:rFonts w:ascii="Times New Roman" w:hAnsi="Times New Roman"/>
                <w:b/>
                <w:bCs/>
                <w:color w:val="000000"/>
                <w:szCs w:val="24"/>
              </w:rPr>
              <w:t xml:space="preserve"> $                       51.64 </w:t>
            </w:r>
            <w:r w:rsidRPr="00EC2D4E" w:rsidR="002B47BC">
              <w:rPr>
                <w:rFonts w:ascii="Times New Roman" w:hAnsi="Times New Roman"/>
                <w:b/>
                <w:bCs/>
                <w:color w:val="000000"/>
                <w:szCs w:val="24"/>
              </w:rPr>
              <w:t>*</w:t>
            </w:r>
          </w:p>
        </w:tc>
      </w:tr>
    </w:tbl>
    <w:p w:rsidR="00CF7475" w:rsidRPr="00E44E7B" w:rsidP="00C54D6C" w14:paraId="2623016C" w14:textId="527901AD">
      <w:pPr>
        <w:suppressAutoHyphens/>
        <w:spacing w:before="120" w:after="120"/>
        <w:rPr>
          <w:rFonts w:ascii="Times New Roman" w:hAnsi="Times New Roman"/>
          <w:spacing w:val="-3"/>
          <w:sz w:val="20"/>
        </w:rPr>
      </w:pPr>
      <w:r w:rsidRPr="00EC2D4E">
        <w:rPr>
          <w:rFonts w:ascii="Times New Roman" w:hAnsi="Times New Roman"/>
          <w:b/>
          <w:bCs/>
          <w:szCs w:val="24"/>
        </w:rPr>
        <w:t>*</w:t>
      </w:r>
      <w:r w:rsidRPr="00EC2D4E">
        <w:rPr>
          <w:rFonts w:ascii="Times New Roman" w:hAnsi="Times New Roman"/>
          <w:szCs w:val="24"/>
        </w:rPr>
        <w:t>(</w:t>
      </w:r>
      <w:r w:rsidRPr="00EC2D4E">
        <w:rPr>
          <w:rFonts w:ascii="Times New Roman" w:hAnsi="Times New Roman"/>
          <w:spacing w:val="-3"/>
          <w:szCs w:val="24"/>
        </w:rPr>
        <w:t>$42.84 + $42.33 + $50.29 + $52.51 + $58.04 + $63.84) / 6 =  $51.64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F8E" w:rsidRPr="00BB08C3" w14:paraId="6A9788D2" w14:textId="552AD9F6">
    <w:pPr>
      <w:pStyle w:val="Header"/>
      <w:rPr>
        <w:rFonts w:ascii="Times New Roman" w:hAnsi="Times New Roman"/>
        <w:sz w:val="20"/>
      </w:rPr>
    </w:pPr>
  </w:p>
  <w:p w:rsidR="00D11F8E" w:rsidRPr="00C54D6C" w14:paraId="5268D94C" w14:textId="0FBBA6B5">
    <w:pPr>
      <w:pStyle w:val="Header"/>
      <w:rPr>
        <w:rFonts w:ascii="Times New Roman" w:hAnsi="Times New Roman"/>
        <w:sz w:val="20"/>
      </w:rPr>
    </w:pPr>
    <w:r w:rsidRPr="00BB08C3">
      <w:rPr>
        <w:rFonts w:ascii="Times New Roman" w:hAnsi="Times New Roman"/>
        <w:sz w:val="20"/>
      </w:rPr>
      <w:t>Notice of Law Enforcement Officer</w:t>
    </w:r>
    <w:r w:rsidR="008C539C">
      <w:rPr>
        <w:rFonts w:ascii="Times New Roman" w:hAnsi="Times New Roman"/>
        <w:sz w:val="20"/>
      </w:rPr>
      <w:t>’</w:t>
    </w:r>
    <w:r w:rsidRPr="00BB08C3">
      <w:rPr>
        <w:rFonts w:ascii="Times New Roman" w:hAnsi="Times New Roman"/>
        <w:sz w:val="20"/>
      </w:rPr>
      <w:t>s</w:t>
    </w:r>
    <w:r w:rsidRPr="00C54D6C">
      <w:rPr>
        <w:rFonts w:ascii="Times New Roman" w:hAnsi="Times New Roman"/>
        <w:sz w:val="20"/>
      </w:rPr>
      <w:t xml:space="preserve"> Injury or Occupational Disease and Notice of Law Enforcement </w:t>
    </w:r>
    <w:r w:rsidRPr="00BB08C3">
      <w:rPr>
        <w:rFonts w:ascii="Times New Roman" w:hAnsi="Times New Roman"/>
        <w:sz w:val="20"/>
      </w:rPr>
      <w:t>Officer</w:t>
    </w:r>
    <w:r w:rsidR="008C539C">
      <w:rPr>
        <w:rFonts w:ascii="Times New Roman" w:hAnsi="Times New Roman"/>
        <w:sz w:val="20"/>
      </w:rPr>
      <w:t>’</w:t>
    </w:r>
    <w:r w:rsidRPr="00BB08C3">
      <w:rPr>
        <w:rFonts w:ascii="Times New Roman" w:hAnsi="Times New Roman"/>
        <w:sz w:val="20"/>
      </w:rPr>
      <w:t xml:space="preserve">s </w:t>
    </w:r>
    <w:r w:rsidRPr="00C54D6C">
      <w:rPr>
        <w:rFonts w:ascii="Times New Roman" w:hAnsi="Times New Roman"/>
        <w:sz w:val="20"/>
      </w:rPr>
      <w:t>Death</w:t>
    </w:r>
  </w:p>
  <w:p w:rsidR="00BE75E5" w:rsidRPr="00C54D6C" w14:paraId="1AAB883F" w14:textId="15094583">
    <w:pPr>
      <w:pStyle w:val="Header"/>
      <w:rPr>
        <w:rFonts w:ascii="Times New Roman" w:hAnsi="Times New Roman"/>
        <w:sz w:val="20"/>
      </w:rPr>
    </w:pPr>
    <w:r w:rsidRPr="00C54D6C">
      <w:rPr>
        <w:rFonts w:ascii="Times New Roman" w:hAnsi="Times New Roman"/>
        <w:sz w:val="20"/>
      </w:rPr>
      <w:t>OMB Control Number: 1240-0022</w:t>
    </w:r>
  </w:p>
  <w:p w:rsidR="00B37FEC" w:rsidRPr="00C54D6C" w14:paraId="1B651FDD" w14:textId="26574DCB">
    <w:pPr>
      <w:pStyle w:val="Header"/>
      <w:rPr>
        <w:rFonts w:ascii="Times New Roman" w:hAnsi="Times New Roman"/>
        <w:sz w:val="20"/>
      </w:rPr>
    </w:pPr>
    <w:r w:rsidRPr="00C54D6C">
      <w:rPr>
        <w:rFonts w:ascii="Times New Roman" w:hAnsi="Times New Roman"/>
        <w:sz w:val="20"/>
      </w:rPr>
      <w:t xml:space="preserve">OMB </w:t>
    </w:r>
    <w:r w:rsidRPr="00C54D6C" w:rsidR="00BE75E5">
      <w:rPr>
        <w:rFonts w:ascii="Times New Roman" w:hAnsi="Times New Roman"/>
        <w:sz w:val="20"/>
      </w:rPr>
      <w:t>Expiration Date:  October 31, 2023</w:t>
    </w:r>
  </w:p>
  <w:p w:rsidR="00614FED" w:rsidRPr="00696290" w14:paraId="7E503C1C" w14:textId="7777777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7421C7"/>
    <w:multiLevelType w:val="hybridMultilevel"/>
    <w:tmpl w:val="85D828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
    <w:nsid w:val="12F029FA"/>
    <w:multiLevelType w:val="hybridMultilevel"/>
    <w:tmpl w:val="E8E2A70C"/>
    <w:lvl w:ilvl="0">
      <w:start w:val="1"/>
      <w:numFmt w:val="decimal"/>
      <w:lvlText w:val="%1."/>
      <w:lvlJc w:val="left"/>
      <w:pPr>
        <w:tabs>
          <w:tab w:val="num" w:pos="630"/>
        </w:tabs>
        <w:ind w:left="63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98581D"/>
    <w:multiLevelType w:val="hybridMultilevel"/>
    <w:tmpl w:val="2EE43F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2C84D92"/>
    <w:multiLevelType w:val="hybridMultilevel"/>
    <w:tmpl w:val="238CFF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3BE44A4"/>
    <w:multiLevelType w:val="singleLevel"/>
    <w:tmpl w:val="1D4C2D50"/>
    <w:lvl w:ilvl="0">
      <w:start w:val="1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7">
    <w:nsid w:val="3B724905"/>
    <w:multiLevelType w:val="singleLevel"/>
    <w:tmpl w:val="D58CFFB6"/>
    <w:lvl w:ilvl="0">
      <w:start w:val="16"/>
      <w:numFmt w:val="decimal"/>
      <w:lvlText w:val="%1. "/>
      <w:legacy w:legacy="1" w:legacySpace="0" w:legacyIndent="360"/>
      <w:lvlJc w:val="left"/>
      <w:pPr>
        <w:ind w:left="630" w:hanging="360"/>
      </w:pPr>
      <w:rPr>
        <w:rFonts w:ascii="Courier" w:hAnsi="Courier" w:hint="default"/>
        <w:b w:val="0"/>
        <w:i w:val="0"/>
        <w:sz w:val="24"/>
        <w:u w:val="none"/>
      </w:rPr>
    </w:lvl>
  </w:abstractNum>
  <w:abstractNum w:abstractNumId="8">
    <w:nsid w:val="3C856F09"/>
    <w:multiLevelType w:val="hybridMultilevel"/>
    <w:tmpl w:val="E1003F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C3B4B9D"/>
    <w:multiLevelType w:val="hybridMultilevel"/>
    <w:tmpl w:val="FE5EE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nsid w:val="5F8F2C8E"/>
    <w:multiLevelType w:val="hybridMultilevel"/>
    <w:tmpl w:val="B31E3454"/>
    <w:lvl w:ilvl="0">
      <w:start w:val="15"/>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FC66CD3"/>
    <w:multiLevelType w:val="hybridMultilevel"/>
    <w:tmpl w:val="B1F2209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66353F09"/>
    <w:multiLevelType w:val="hybridMultilevel"/>
    <w:tmpl w:val="6B0C0674"/>
    <w:lvl w:ilvl="0">
      <w:start w:val="15"/>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7C05510"/>
    <w:multiLevelType w:val="hybridMultilevel"/>
    <w:tmpl w:val="0D2E1E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85946F2"/>
    <w:multiLevelType w:val="singleLevel"/>
    <w:tmpl w:val="E7843086"/>
    <w:lvl w:ilvl="0">
      <w:start w:val="18"/>
      <w:numFmt w:val="decimal"/>
      <w:lvlText w:val="%1. "/>
      <w:legacy w:legacy="1" w:legacySpace="0" w:legacyIndent="360"/>
      <w:lvlJc w:val="left"/>
      <w:pPr>
        <w:ind w:left="360" w:hanging="360"/>
      </w:pPr>
      <w:rPr>
        <w:rFonts w:ascii="Courier" w:hAnsi="Courier" w:hint="default"/>
        <w:b w:val="0"/>
        <w:i w:val="0"/>
        <w:sz w:val="24"/>
        <w:u w:val="none"/>
      </w:rPr>
    </w:lvl>
  </w:abstractNum>
  <w:num w:numId="1" w16cid:durableId="565922998">
    <w:abstractNumId w:val="6"/>
  </w:num>
  <w:num w:numId="2" w16cid:durableId="1987279596">
    <w:abstractNumId w:val="7"/>
  </w:num>
  <w:num w:numId="3" w16cid:durableId="673411636">
    <w:abstractNumId w:val="15"/>
  </w:num>
  <w:num w:numId="4" w16cid:durableId="1134525782">
    <w:abstractNumId w:val="11"/>
  </w:num>
  <w:num w:numId="5" w16cid:durableId="1427531339">
    <w:abstractNumId w:val="13"/>
  </w:num>
  <w:num w:numId="6" w16cid:durableId="624045385">
    <w:abstractNumId w:val="14"/>
  </w:num>
  <w:num w:numId="7" w16cid:durableId="830870360">
    <w:abstractNumId w:val="12"/>
  </w:num>
  <w:num w:numId="8" w16cid:durableId="1728264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373854">
    <w:abstractNumId w:val="0"/>
  </w:num>
  <w:num w:numId="10" w16cid:durableId="866673846">
    <w:abstractNumId w:val="3"/>
  </w:num>
  <w:num w:numId="11" w16cid:durableId="668825615">
    <w:abstractNumId w:val="2"/>
  </w:num>
  <w:num w:numId="12" w16cid:durableId="786194994">
    <w:abstractNumId w:val="10"/>
  </w:num>
  <w:num w:numId="13" w16cid:durableId="1660769203">
    <w:abstractNumId w:val="9"/>
  </w:num>
  <w:num w:numId="14" w16cid:durableId="705525957">
    <w:abstractNumId w:val="12"/>
  </w:num>
  <w:num w:numId="15" w16cid:durableId="1244990689">
    <w:abstractNumId w:val="3"/>
  </w:num>
  <w:num w:numId="16" w16cid:durableId="1508709719">
    <w:abstractNumId w:val="2"/>
  </w:num>
  <w:num w:numId="17" w16cid:durableId="520902876">
    <w:abstractNumId w:val="4"/>
  </w:num>
  <w:num w:numId="18" w16cid:durableId="1324820179">
    <w:abstractNumId w:val="5"/>
  </w:num>
  <w:num w:numId="19" w16cid:durableId="59255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91"/>
    <w:rsid w:val="00003364"/>
    <w:rsid w:val="00004546"/>
    <w:rsid w:val="0000569A"/>
    <w:rsid w:val="00007535"/>
    <w:rsid w:val="00011A43"/>
    <w:rsid w:val="0001485B"/>
    <w:rsid w:val="0001636D"/>
    <w:rsid w:val="0002391E"/>
    <w:rsid w:val="000239CE"/>
    <w:rsid w:val="00024F97"/>
    <w:rsid w:val="00025298"/>
    <w:rsid w:val="00034A37"/>
    <w:rsid w:val="000369B0"/>
    <w:rsid w:val="0004444E"/>
    <w:rsid w:val="00044B62"/>
    <w:rsid w:val="00055680"/>
    <w:rsid w:val="00062297"/>
    <w:rsid w:val="00064A21"/>
    <w:rsid w:val="0007288F"/>
    <w:rsid w:val="00076DBD"/>
    <w:rsid w:val="00083154"/>
    <w:rsid w:val="000832CC"/>
    <w:rsid w:val="00084C6A"/>
    <w:rsid w:val="000862FF"/>
    <w:rsid w:val="00090CD9"/>
    <w:rsid w:val="000944B5"/>
    <w:rsid w:val="0009487A"/>
    <w:rsid w:val="00094D3D"/>
    <w:rsid w:val="00097037"/>
    <w:rsid w:val="000A1552"/>
    <w:rsid w:val="000A25B1"/>
    <w:rsid w:val="000A3158"/>
    <w:rsid w:val="000A32A3"/>
    <w:rsid w:val="000A796C"/>
    <w:rsid w:val="000B6A5F"/>
    <w:rsid w:val="000C4069"/>
    <w:rsid w:val="000C4694"/>
    <w:rsid w:val="000C46A3"/>
    <w:rsid w:val="000C5C2A"/>
    <w:rsid w:val="000E29FB"/>
    <w:rsid w:val="000E7A3B"/>
    <w:rsid w:val="000F397D"/>
    <w:rsid w:val="000F490F"/>
    <w:rsid w:val="000F5F84"/>
    <w:rsid w:val="0010247B"/>
    <w:rsid w:val="00105CD5"/>
    <w:rsid w:val="00106ABC"/>
    <w:rsid w:val="001206C7"/>
    <w:rsid w:val="00130453"/>
    <w:rsid w:val="0013489F"/>
    <w:rsid w:val="00136836"/>
    <w:rsid w:val="00136E66"/>
    <w:rsid w:val="00140C5E"/>
    <w:rsid w:val="00143C3C"/>
    <w:rsid w:val="00144126"/>
    <w:rsid w:val="001460B8"/>
    <w:rsid w:val="00166750"/>
    <w:rsid w:val="00166902"/>
    <w:rsid w:val="00173C1E"/>
    <w:rsid w:val="00176F7B"/>
    <w:rsid w:val="0017713B"/>
    <w:rsid w:val="001775CF"/>
    <w:rsid w:val="00190C22"/>
    <w:rsid w:val="0019213D"/>
    <w:rsid w:val="001A3D70"/>
    <w:rsid w:val="001B0619"/>
    <w:rsid w:val="001B1171"/>
    <w:rsid w:val="001B4A7D"/>
    <w:rsid w:val="001C0993"/>
    <w:rsid w:val="001C1299"/>
    <w:rsid w:val="001C1C59"/>
    <w:rsid w:val="001C3055"/>
    <w:rsid w:val="001D3D34"/>
    <w:rsid w:val="001D51E5"/>
    <w:rsid w:val="001E37D0"/>
    <w:rsid w:val="001F3192"/>
    <w:rsid w:val="001F7BE4"/>
    <w:rsid w:val="0020471F"/>
    <w:rsid w:val="00210724"/>
    <w:rsid w:val="002148D4"/>
    <w:rsid w:val="00214FDA"/>
    <w:rsid w:val="00217935"/>
    <w:rsid w:val="00217F76"/>
    <w:rsid w:val="00220FAB"/>
    <w:rsid w:val="0023359B"/>
    <w:rsid w:val="00236A78"/>
    <w:rsid w:val="00237B39"/>
    <w:rsid w:val="002407B2"/>
    <w:rsid w:val="002425D7"/>
    <w:rsid w:val="00243433"/>
    <w:rsid w:val="00245618"/>
    <w:rsid w:val="00246484"/>
    <w:rsid w:val="00250161"/>
    <w:rsid w:val="002514AF"/>
    <w:rsid w:val="00256986"/>
    <w:rsid w:val="00260337"/>
    <w:rsid w:val="002619CB"/>
    <w:rsid w:val="00265C98"/>
    <w:rsid w:val="002740C9"/>
    <w:rsid w:val="00281025"/>
    <w:rsid w:val="002851B7"/>
    <w:rsid w:val="00291F99"/>
    <w:rsid w:val="002A422D"/>
    <w:rsid w:val="002A542A"/>
    <w:rsid w:val="002A6403"/>
    <w:rsid w:val="002B0527"/>
    <w:rsid w:val="002B21E0"/>
    <w:rsid w:val="002B33A7"/>
    <w:rsid w:val="002B47BC"/>
    <w:rsid w:val="002B4AEA"/>
    <w:rsid w:val="002B4E94"/>
    <w:rsid w:val="002B7109"/>
    <w:rsid w:val="002B769F"/>
    <w:rsid w:val="002B7EB1"/>
    <w:rsid w:val="002C63F6"/>
    <w:rsid w:val="002D22D1"/>
    <w:rsid w:val="002D51C2"/>
    <w:rsid w:val="002D76A9"/>
    <w:rsid w:val="002E4A90"/>
    <w:rsid w:val="002F4216"/>
    <w:rsid w:val="002F52E3"/>
    <w:rsid w:val="002F639E"/>
    <w:rsid w:val="002F7783"/>
    <w:rsid w:val="002F7EDF"/>
    <w:rsid w:val="0030240A"/>
    <w:rsid w:val="00303D0F"/>
    <w:rsid w:val="00306D1E"/>
    <w:rsid w:val="00311CD5"/>
    <w:rsid w:val="00311E2C"/>
    <w:rsid w:val="00311E87"/>
    <w:rsid w:val="0031605D"/>
    <w:rsid w:val="00321513"/>
    <w:rsid w:val="00322389"/>
    <w:rsid w:val="00324331"/>
    <w:rsid w:val="00333426"/>
    <w:rsid w:val="00335B65"/>
    <w:rsid w:val="00347EC9"/>
    <w:rsid w:val="003539A4"/>
    <w:rsid w:val="00356F44"/>
    <w:rsid w:val="00357DA6"/>
    <w:rsid w:val="00364B07"/>
    <w:rsid w:val="00364F04"/>
    <w:rsid w:val="00387E07"/>
    <w:rsid w:val="0039025A"/>
    <w:rsid w:val="0039057D"/>
    <w:rsid w:val="003A069F"/>
    <w:rsid w:val="003A4200"/>
    <w:rsid w:val="003B1237"/>
    <w:rsid w:val="003B60C1"/>
    <w:rsid w:val="003B708D"/>
    <w:rsid w:val="003B7C2A"/>
    <w:rsid w:val="003E38A3"/>
    <w:rsid w:val="003E3984"/>
    <w:rsid w:val="003E42DC"/>
    <w:rsid w:val="003E652B"/>
    <w:rsid w:val="003E7079"/>
    <w:rsid w:val="003E71C8"/>
    <w:rsid w:val="003F0B64"/>
    <w:rsid w:val="003F4DD6"/>
    <w:rsid w:val="003F7DC6"/>
    <w:rsid w:val="004001BD"/>
    <w:rsid w:val="00401A16"/>
    <w:rsid w:val="00401EFA"/>
    <w:rsid w:val="00402DA3"/>
    <w:rsid w:val="00402DFE"/>
    <w:rsid w:val="00403E6A"/>
    <w:rsid w:val="004047D5"/>
    <w:rsid w:val="00404DC0"/>
    <w:rsid w:val="00406DFD"/>
    <w:rsid w:val="004157EB"/>
    <w:rsid w:val="004268F0"/>
    <w:rsid w:val="0043512E"/>
    <w:rsid w:val="00435BB5"/>
    <w:rsid w:val="00443D72"/>
    <w:rsid w:val="0044522C"/>
    <w:rsid w:val="00446567"/>
    <w:rsid w:val="004477C0"/>
    <w:rsid w:val="00451100"/>
    <w:rsid w:val="00452B65"/>
    <w:rsid w:val="00456329"/>
    <w:rsid w:val="00466975"/>
    <w:rsid w:val="00467AF0"/>
    <w:rsid w:val="00477EAB"/>
    <w:rsid w:val="00487184"/>
    <w:rsid w:val="004A7E13"/>
    <w:rsid w:val="004B46C1"/>
    <w:rsid w:val="004B5544"/>
    <w:rsid w:val="004C2F3D"/>
    <w:rsid w:val="004D3EDE"/>
    <w:rsid w:val="004D4128"/>
    <w:rsid w:val="004D7EE4"/>
    <w:rsid w:val="004E03E1"/>
    <w:rsid w:val="004E167D"/>
    <w:rsid w:val="004E218B"/>
    <w:rsid w:val="004E496C"/>
    <w:rsid w:val="004F635B"/>
    <w:rsid w:val="00507845"/>
    <w:rsid w:val="005111C9"/>
    <w:rsid w:val="00512273"/>
    <w:rsid w:val="00513E1D"/>
    <w:rsid w:val="0051634F"/>
    <w:rsid w:val="00516A59"/>
    <w:rsid w:val="00524F9C"/>
    <w:rsid w:val="00534AD0"/>
    <w:rsid w:val="00537CC4"/>
    <w:rsid w:val="00540233"/>
    <w:rsid w:val="00541252"/>
    <w:rsid w:val="00541DC9"/>
    <w:rsid w:val="00541FE1"/>
    <w:rsid w:val="00543E55"/>
    <w:rsid w:val="005451F2"/>
    <w:rsid w:val="0055410E"/>
    <w:rsid w:val="00555001"/>
    <w:rsid w:val="005568EA"/>
    <w:rsid w:val="00563297"/>
    <w:rsid w:val="00563E81"/>
    <w:rsid w:val="00570AC9"/>
    <w:rsid w:val="00571689"/>
    <w:rsid w:val="00571CF8"/>
    <w:rsid w:val="005722D9"/>
    <w:rsid w:val="00582FBB"/>
    <w:rsid w:val="005841E9"/>
    <w:rsid w:val="005866A6"/>
    <w:rsid w:val="005906D2"/>
    <w:rsid w:val="005959E5"/>
    <w:rsid w:val="005A05DC"/>
    <w:rsid w:val="005A4CD3"/>
    <w:rsid w:val="005B26AC"/>
    <w:rsid w:val="005B7E03"/>
    <w:rsid w:val="005D34D4"/>
    <w:rsid w:val="005D5842"/>
    <w:rsid w:val="005D66F3"/>
    <w:rsid w:val="005E2A30"/>
    <w:rsid w:val="005E33DB"/>
    <w:rsid w:val="005F36E6"/>
    <w:rsid w:val="00605F60"/>
    <w:rsid w:val="00613460"/>
    <w:rsid w:val="00614FED"/>
    <w:rsid w:val="00624A20"/>
    <w:rsid w:val="00634F9A"/>
    <w:rsid w:val="00635890"/>
    <w:rsid w:val="006364AE"/>
    <w:rsid w:val="00646972"/>
    <w:rsid w:val="00660164"/>
    <w:rsid w:val="00660CCD"/>
    <w:rsid w:val="006613F0"/>
    <w:rsid w:val="0067448E"/>
    <w:rsid w:val="00674734"/>
    <w:rsid w:val="00683F1A"/>
    <w:rsid w:val="00685CE9"/>
    <w:rsid w:val="006952DD"/>
    <w:rsid w:val="00696290"/>
    <w:rsid w:val="006B150C"/>
    <w:rsid w:val="006B323C"/>
    <w:rsid w:val="006C3E3A"/>
    <w:rsid w:val="006C4718"/>
    <w:rsid w:val="006C4FDD"/>
    <w:rsid w:val="006C69BF"/>
    <w:rsid w:val="006C6AD0"/>
    <w:rsid w:val="006C7351"/>
    <w:rsid w:val="006D0327"/>
    <w:rsid w:val="006D44F7"/>
    <w:rsid w:val="006E50CA"/>
    <w:rsid w:val="006E64A3"/>
    <w:rsid w:val="006E720E"/>
    <w:rsid w:val="006F0608"/>
    <w:rsid w:val="006F38C8"/>
    <w:rsid w:val="006F3A24"/>
    <w:rsid w:val="006F4644"/>
    <w:rsid w:val="006F47B6"/>
    <w:rsid w:val="006F5EDE"/>
    <w:rsid w:val="006F6D62"/>
    <w:rsid w:val="006F7B48"/>
    <w:rsid w:val="00702EAA"/>
    <w:rsid w:val="00702FE9"/>
    <w:rsid w:val="00704AE5"/>
    <w:rsid w:val="00707CB2"/>
    <w:rsid w:val="00712047"/>
    <w:rsid w:val="0071322C"/>
    <w:rsid w:val="00715609"/>
    <w:rsid w:val="00715DFA"/>
    <w:rsid w:val="00723982"/>
    <w:rsid w:val="00724C2B"/>
    <w:rsid w:val="00726EA6"/>
    <w:rsid w:val="007339B4"/>
    <w:rsid w:val="00741B19"/>
    <w:rsid w:val="00751521"/>
    <w:rsid w:val="0076247F"/>
    <w:rsid w:val="00762DE9"/>
    <w:rsid w:val="007645D6"/>
    <w:rsid w:val="007677C1"/>
    <w:rsid w:val="007712C7"/>
    <w:rsid w:val="00773E67"/>
    <w:rsid w:val="00775697"/>
    <w:rsid w:val="007826C7"/>
    <w:rsid w:val="007843AA"/>
    <w:rsid w:val="00784931"/>
    <w:rsid w:val="007873E4"/>
    <w:rsid w:val="00787D6F"/>
    <w:rsid w:val="00790B06"/>
    <w:rsid w:val="00791082"/>
    <w:rsid w:val="00791752"/>
    <w:rsid w:val="007A46F7"/>
    <w:rsid w:val="007B0E00"/>
    <w:rsid w:val="007C1469"/>
    <w:rsid w:val="007C2CE3"/>
    <w:rsid w:val="007C3B5E"/>
    <w:rsid w:val="007D101F"/>
    <w:rsid w:val="007D2284"/>
    <w:rsid w:val="007D4E6F"/>
    <w:rsid w:val="007D596C"/>
    <w:rsid w:val="007D71D9"/>
    <w:rsid w:val="007E04EF"/>
    <w:rsid w:val="007E51E6"/>
    <w:rsid w:val="007E5460"/>
    <w:rsid w:val="007E5A6D"/>
    <w:rsid w:val="007E78DC"/>
    <w:rsid w:val="007F2FF6"/>
    <w:rsid w:val="007F31A7"/>
    <w:rsid w:val="007F42B5"/>
    <w:rsid w:val="007F5B92"/>
    <w:rsid w:val="00804F48"/>
    <w:rsid w:val="00810AA2"/>
    <w:rsid w:val="00821344"/>
    <w:rsid w:val="0082343A"/>
    <w:rsid w:val="00823B9B"/>
    <w:rsid w:val="00823CB2"/>
    <w:rsid w:val="00827D26"/>
    <w:rsid w:val="00830DA9"/>
    <w:rsid w:val="00831DF9"/>
    <w:rsid w:val="00832123"/>
    <w:rsid w:val="00834AEE"/>
    <w:rsid w:val="00837D91"/>
    <w:rsid w:val="00845B0E"/>
    <w:rsid w:val="0084626F"/>
    <w:rsid w:val="00846632"/>
    <w:rsid w:val="00854B3A"/>
    <w:rsid w:val="00870813"/>
    <w:rsid w:val="00871FDF"/>
    <w:rsid w:val="00874005"/>
    <w:rsid w:val="00874279"/>
    <w:rsid w:val="008770C3"/>
    <w:rsid w:val="00880F3D"/>
    <w:rsid w:val="008875C5"/>
    <w:rsid w:val="008875F4"/>
    <w:rsid w:val="008926DE"/>
    <w:rsid w:val="00892FC9"/>
    <w:rsid w:val="00896261"/>
    <w:rsid w:val="0089626C"/>
    <w:rsid w:val="008A2142"/>
    <w:rsid w:val="008A281C"/>
    <w:rsid w:val="008A38CC"/>
    <w:rsid w:val="008A4824"/>
    <w:rsid w:val="008A5F87"/>
    <w:rsid w:val="008A6903"/>
    <w:rsid w:val="008B20D4"/>
    <w:rsid w:val="008B288F"/>
    <w:rsid w:val="008B44CB"/>
    <w:rsid w:val="008C0548"/>
    <w:rsid w:val="008C539C"/>
    <w:rsid w:val="008C646E"/>
    <w:rsid w:val="008D2D4D"/>
    <w:rsid w:val="008D3184"/>
    <w:rsid w:val="008D4AC6"/>
    <w:rsid w:val="008E08B8"/>
    <w:rsid w:val="008E22FD"/>
    <w:rsid w:val="008E643B"/>
    <w:rsid w:val="008F4416"/>
    <w:rsid w:val="00902F75"/>
    <w:rsid w:val="0090496A"/>
    <w:rsid w:val="00906D2E"/>
    <w:rsid w:val="00907BDA"/>
    <w:rsid w:val="0091086A"/>
    <w:rsid w:val="00911C29"/>
    <w:rsid w:val="0091584C"/>
    <w:rsid w:val="00917AE0"/>
    <w:rsid w:val="00924B10"/>
    <w:rsid w:val="009255C5"/>
    <w:rsid w:val="00926365"/>
    <w:rsid w:val="00926E65"/>
    <w:rsid w:val="009341CC"/>
    <w:rsid w:val="0093508E"/>
    <w:rsid w:val="00935621"/>
    <w:rsid w:val="009412F6"/>
    <w:rsid w:val="00944702"/>
    <w:rsid w:val="00950669"/>
    <w:rsid w:val="00952388"/>
    <w:rsid w:val="00976DD4"/>
    <w:rsid w:val="0098197D"/>
    <w:rsid w:val="009838A3"/>
    <w:rsid w:val="00984619"/>
    <w:rsid w:val="00990301"/>
    <w:rsid w:val="009929AB"/>
    <w:rsid w:val="009930F7"/>
    <w:rsid w:val="009948A8"/>
    <w:rsid w:val="00995F4B"/>
    <w:rsid w:val="009A4092"/>
    <w:rsid w:val="009A598C"/>
    <w:rsid w:val="009B2F83"/>
    <w:rsid w:val="009C1860"/>
    <w:rsid w:val="009C19FE"/>
    <w:rsid w:val="009C1F5C"/>
    <w:rsid w:val="009C3741"/>
    <w:rsid w:val="009D3877"/>
    <w:rsid w:val="009D44DC"/>
    <w:rsid w:val="009D4D26"/>
    <w:rsid w:val="009E2AC6"/>
    <w:rsid w:val="009E2E24"/>
    <w:rsid w:val="009E696C"/>
    <w:rsid w:val="009F52F0"/>
    <w:rsid w:val="009F5A7E"/>
    <w:rsid w:val="00A00769"/>
    <w:rsid w:val="00A02F8A"/>
    <w:rsid w:val="00A0352A"/>
    <w:rsid w:val="00A04A22"/>
    <w:rsid w:val="00A126E5"/>
    <w:rsid w:val="00A139CC"/>
    <w:rsid w:val="00A22D6E"/>
    <w:rsid w:val="00A27858"/>
    <w:rsid w:val="00A544AF"/>
    <w:rsid w:val="00A54CB2"/>
    <w:rsid w:val="00A67C59"/>
    <w:rsid w:val="00A703B9"/>
    <w:rsid w:val="00A7197A"/>
    <w:rsid w:val="00A73743"/>
    <w:rsid w:val="00A74902"/>
    <w:rsid w:val="00A74C59"/>
    <w:rsid w:val="00A80B6D"/>
    <w:rsid w:val="00A8697C"/>
    <w:rsid w:val="00A97CBF"/>
    <w:rsid w:val="00AA27D8"/>
    <w:rsid w:val="00AB73FD"/>
    <w:rsid w:val="00AC0413"/>
    <w:rsid w:val="00AC3355"/>
    <w:rsid w:val="00AD1444"/>
    <w:rsid w:val="00AD4877"/>
    <w:rsid w:val="00AE264F"/>
    <w:rsid w:val="00AE5AA3"/>
    <w:rsid w:val="00AF2E37"/>
    <w:rsid w:val="00B012B8"/>
    <w:rsid w:val="00B01C20"/>
    <w:rsid w:val="00B069B0"/>
    <w:rsid w:val="00B07A43"/>
    <w:rsid w:val="00B10EAA"/>
    <w:rsid w:val="00B17DD4"/>
    <w:rsid w:val="00B22125"/>
    <w:rsid w:val="00B321D4"/>
    <w:rsid w:val="00B36668"/>
    <w:rsid w:val="00B373FF"/>
    <w:rsid w:val="00B37FEC"/>
    <w:rsid w:val="00B51B4F"/>
    <w:rsid w:val="00B53C6E"/>
    <w:rsid w:val="00B549F1"/>
    <w:rsid w:val="00B55619"/>
    <w:rsid w:val="00B55D9B"/>
    <w:rsid w:val="00B72B50"/>
    <w:rsid w:val="00B74DE9"/>
    <w:rsid w:val="00B75C3F"/>
    <w:rsid w:val="00B761FC"/>
    <w:rsid w:val="00B8002B"/>
    <w:rsid w:val="00B811D0"/>
    <w:rsid w:val="00B818FB"/>
    <w:rsid w:val="00B87D75"/>
    <w:rsid w:val="00B90DA5"/>
    <w:rsid w:val="00B914A8"/>
    <w:rsid w:val="00B9393B"/>
    <w:rsid w:val="00B93A00"/>
    <w:rsid w:val="00B94202"/>
    <w:rsid w:val="00B94916"/>
    <w:rsid w:val="00B94DB5"/>
    <w:rsid w:val="00BA0594"/>
    <w:rsid w:val="00BB08C3"/>
    <w:rsid w:val="00BB1ED3"/>
    <w:rsid w:val="00BB2F5F"/>
    <w:rsid w:val="00BB3264"/>
    <w:rsid w:val="00BC42BD"/>
    <w:rsid w:val="00BC4AA5"/>
    <w:rsid w:val="00BC5755"/>
    <w:rsid w:val="00BC5D64"/>
    <w:rsid w:val="00BC7916"/>
    <w:rsid w:val="00BE0D05"/>
    <w:rsid w:val="00BE24CE"/>
    <w:rsid w:val="00BE75E5"/>
    <w:rsid w:val="00BF0253"/>
    <w:rsid w:val="00BF23F3"/>
    <w:rsid w:val="00BF4E5C"/>
    <w:rsid w:val="00BF5E63"/>
    <w:rsid w:val="00C05FF5"/>
    <w:rsid w:val="00C104B4"/>
    <w:rsid w:val="00C10EDE"/>
    <w:rsid w:val="00C12A2D"/>
    <w:rsid w:val="00C14F77"/>
    <w:rsid w:val="00C17CB6"/>
    <w:rsid w:val="00C22570"/>
    <w:rsid w:val="00C2487A"/>
    <w:rsid w:val="00C313E9"/>
    <w:rsid w:val="00C32223"/>
    <w:rsid w:val="00C44338"/>
    <w:rsid w:val="00C445F1"/>
    <w:rsid w:val="00C46EEE"/>
    <w:rsid w:val="00C5025D"/>
    <w:rsid w:val="00C504DE"/>
    <w:rsid w:val="00C52418"/>
    <w:rsid w:val="00C54D6C"/>
    <w:rsid w:val="00C6407E"/>
    <w:rsid w:val="00C71C16"/>
    <w:rsid w:val="00C73740"/>
    <w:rsid w:val="00C740B2"/>
    <w:rsid w:val="00C75034"/>
    <w:rsid w:val="00C81B82"/>
    <w:rsid w:val="00C84999"/>
    <w:rsid w:val="00C85426"/>
    <w:rsid w:val="00C8692A"/>
    <w:rsid w:val="00C872DC"/>
    <w:rsid w:val="00C917E3"/>
    <w:rsid w:val="00CA07BE"/>
    <w:rsid w:val="00CA0EAD"/>
    <w:rsid w:val="00CA2A93"/>
    <w:rsid w:val="00CA68DA"/>
    <w:rsid w:val="00CB2310"/>
    <w:rsid w:val="00CC1771"/>
    <w:rsid w:val="00CC65DA"/>
    <w:rsid w:val="00CD550A"/>
    <w:rsid w:val="00CD5A6B"/>
    <w:rsid w:val="00CD7458"/>
    <w:rsid w:val="00CE04D0"/>
    <w:rsid w:val="00CE19E7"/>
    <w:rsid w:val="00CE2049"/>
    <w:rsid w:val="00CF4009"/>
    <w:rsid w:val="00CF7475"/>
    <w:rsid w:val="00D0286B"/>
    <w:rsid w:val="00D029BC"/>
    <w:rsid w:val="00D10E13"/>
    <w:rsid w:val="00D11F8E"/>
    <w:rsid w:val="00D14FD9"/>
    <w:rsid w:val="00D158D0"/>
    <w:rsid w:val="00D274F7"/>
    <w:rsid w:val="00D338A9"/>
    <w:rsid w:val="00D4045A"/>
    <w:rsid w:val="00D42188"/>
    <w:rsid w:val="00D42747"/>
    <w:rsid w:val="00D43238"/>
    <w:rsid w:val="00D57A74"/>
    <w:rsid w:val="00D61E0B"/>
    <w:rsid w:val="00D631A8"/>
    <w:rsid w:val="00D6569D"/>
    <w:rsid w:val="00D65E8B"/>
    <w:rsid w:val="00D76774"/>
    <w:rsid w:val="00D7780F"/>
    <w:rsid w:val="00D80BEF"/>
    <w:rsid w:val="00D825F9"/>
    <w:rsid w:val="00D858D5"/>
    <w:rsid w:val="00D91CE9"/>
    <w:rsid w:val="00D92BD5"/>
    <w:rsid w:val="00D9321B"/>
    <w:rsid w:val="00D94FF6"/>
    <w:rsid w:val="00D97651"/>
    <w:rsid w:val="00DA183F"/>
    <w:rsid w:val="00DA594C"/>
    <w:rsid w:val="00DC03AE"/>
    <w:rsid w:val="00DC3353"/>
    <w:rsid w:val="00DD15CF"/>
    <w:rsid w:val="00DD2A52"/>
    <w:rsid w:val="00DD2EE0"/>
    <w:rsid w:val="00DD470D"/>
    <w:rsid w:val="00DD4827"/>
    <w:rsid w:val="00DE4BC2"/>
    <w:rsid w:val="00DE6995"/>
    <w:rsid w:val="00DF292D"/>
    <w:rsid w:val="00E03476"/>
    <w:rsid w:val="00E06A6F"/>
    <w:rsid w:val="00E118D7"/>
    <w:rsid w:val="00E13B5A"/>
    <w:rsid w:val="00E2079A"/>
    <w:rsid w:val="00E30B3A"/>
    <w:rsid w:val="00E31771"/>
    <w:rsid w:val="00E3465D"/>
    <w:rsid w:val="00E34FE1"/>
    <w:rsid w:val="00E359AD"/>
    <w:rsid w:val="00E40750"/>
    <w:rsid w:val="00E42FE7"/>
    <w:rsid w:val="00E44BD5"/>
    <w:rsid w:val="00E44E7B"/>
    <w:rsid w:val="00E4732A"/>
    <w:rsid w:val="00E50005"/>
    <w:rsid w:val="00E600E5"/>
    <w:rsid w:val="00E700EC"/>
    <w:rsid w:val="00E727C7"/>
    <w:rsid w:val="00E72909"/>
    <w:rsid w:val="00E7632F"/>
    <w:rsid w:val="00E822DC"/>
    <w:rsid w:val="00E83152"/>
    <w:rsid w:val="00E83F93"/>
    <w:rsid w:val="00E87FE3"/>
    <w:rsid w:val="00E934A4"/>
    <w:rsid w:val="00E94945"/>
    <w:rsid w:val="00EA706F"/>
    <w:rsid w:val="00EA7EA6"/>
    <w:rsid w:val="00EB01F3"/>
    <w:rsid w:val="00EB2899"/>
    <w:rsid w:val="00EC2D4E"/>
    <w:rsid w:val="00EC351F"/>
    <w:rsid w:val="00EC6678"/>
    <w:rsid w:val="00ED3B4B"/>
    <w:rsid w:val="00ED5081"/>
    <w:rsid w:val="00EE18EB"/>
    <w:rsid w:val="00EE2262"/>
    <w:rsid w:val="00EE291E"/>
    <w:rsid w:val="00EE4FFF"/>
    <w:rsid w:val="00EE587E"/>
    <w:rsid w:val="00EE67AE"/>
    <w:rsid w:val="00F03407"/>
    <w:rsid w:val="00F05551"/>
    <w:rsid w:val="00F0749F"/>
    <w:rsid w:val="00F1317C"/>
    <w:rsid w:val="00F32798"/>
    <w:rsid w:val="00F33C7A"/>
    <w:rsid w:val="00F34B82"/>
    <w:rsid w:val="00F34BE1"/>
    <w:rsid w:val="00F3726C"/>
    <w:rsid w:val="00F405E0"/>
    <w:rsid w:val="00F45D48"/>
    <w:rsid w:val="00F50B54"/>
    <w:rsid w:val="00F51490"/>
    <w:rsid w:val="00F52CC2"/>
    <w:rsid w:val="00F5337E"/>
    <w:rsid w:val="00F5342D"/>
    <w:rsid w:val="00F53A1E"/>
    <w:rsid w:val="00F5543C"/>
    <w:rsid w:val="00F56C48"/>
    <w:rsid w:val="00F57F38"/>
    <w:rsid w:val="00F6385C"/>
    <w:rsid w:val="00F6433F"/>
    <w:rsid w:val="00F669AB"/>
    <w:rsid w:val="00F67AEC"/>
    <w:rsid w:val="00F71801"/>
    <w:rsid w:val="00F72127"/>
    <w:rsid w:val="00F72AD2"/>
    <w:rsid w:val="00F756ED"/>
    <w:rsid w:val="00F757F9"/>
    <w:rsid w:val="00F76477"/>
    <w:rsid w:val="00F8144C"/>
    <w:rsid w:val="00F85FD7"/>
    <w:rsid w:val="00F86BED"/>
    <w:rsid w:val="00F96EDC"/>
    <w:rsid w:val="00FA01D3"/>
    <w:rsid w:val="00FA3A5A"/>
    <w:rsid w:val="00FA50A3"/>
    <w:rsid w:val="00FA7458"/>
    <w:rsid w:val="00FB627C"/>
    <w:rsid w:val="00FB722C"/>
    <w:rsid w:val="00FC4567"/>
    <w:rsid w:val="00FC4E13"/>
    <w:rsid w:val="00FD65EC"/>
    <w:rsid w:val="00FE4166"/>
    <w:rsid w:val="00FE4EBF"/>
    <w:rsid w:val="00FF1E4D"/>
    <w:rsid w:val="00FF35E3"/>
    <w:rsid w:val="00FF4C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CA411B"/>
  <w15:chartTrackingRefBased/>
  <w15:docId w15:val="{23E897E4-0BBC-4326-98B8-E1517B9B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z w:val="24"/>
    </w:rPr>
  </w:style>
  <w:style w:type="paragraph" w:styleId="Heading2">
    <w:name w:val="heading 2"/>
    <w:basedOn w:val="Normal"/>
    <w:next w:val="Normal"/>
    <w:link w:val="Heading2Char"/>
    <w:semiHidden/>
    <w:unhideWhenUsed/>
    <w:qFormat/>
    <w:rsid w:val="00F85FD7"/>
    <w:pPr>
      <w:keepNext/>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837D91"/>
    <w:rPr>
      <w:color w:val="0000FF"/>
      <w:u w:val="single"/>
    </w:rPr>
  </w:style>
  <w:style w:type="character" w:styleId="FollowedHyperlink">
    <w:name w:val="FollowedHyperlink"/>
    <w:rsid w:val="006C3E3A"/>
    <w:rPr>
      <w:color w:val="800080"/>
      <w:u w:val="single"/>
    </w:rPr>
  </w:style>
  <w:style w:type="paragraph" w:styleId="Footer">
    <w:name w:val="footer"/>
    <w:basedOn w:val="Normal"/>
    <w:rsid w:val="005B26AC"/>
    <w:pPr>
      <w:tabs>
        <w:tab w:val="center" w:pos="4320"/>
        <w:tab w:val="right" w:pos="8640"/>
      </w:tabs>
    </w:pPr>
  </w:style>
  <w:style w:type="character" w:styleId="PageNumber">
    <w:name w:val="page number"/>
    <w:basedOn w:val="DefaultParagraphFont"/>
    <w:rsid w:val="005B26AC"/>
  </w:style>
  <w:style w:type="paragraph" w:styleId="BalloonText">
    <w:name w:val="Balloon Text"/>
    <w:basedOn w:val="Normal"/>
    <w:semiHidden/>
    <w:rsid w:val="00702FE9"/>
    <w:rPr>
      <w:rFonts w:ascii="Tahoma" w:hAnsi="Tahoma" w:cs="Tahoma"/>
      <w:sz w:val="16"/>
      <w:szCs w:val="16"/>
    </w:rPr>
  </w:style>
  <w:style w:type="paragraph" w:customStyle="1" w:styleId="Default">
    <w:name w:val="Default"/>
    <w:rsid w:val="00E31771"/>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11F8E"/>
    <w:pPr>
      <w:tabs>
        <w:tab w:val="center" w:pos="4680"/>
        <w:tab w:val="right" w:pos="9360"/>
      </w:tabs>
    </w:pPr>
  </w:style>
  <w:style w:type="character" w:customStyle="1" w:styleId="HeaderChar">
    <w:name w:val="Header Char"/>
    <w:link w:val="Header"/>
    <w:uiPriority w:val="99"/>
    <w:rsid w:val="00D11F8E"/>
    <w:rPr>
      <w:rFonts w:ascii="Courier" w:hAnsi="Courier"/>
      <w:sz w:val="24"/>
    </w:rPr>
  </w:style>
  <w:style w:type="paragraph" w:styleId="Revision">
    <w:name w:val="Revision"/>
    <w:hidden/>
    <w:uiPriority w:val="99"/>
    <w:semiHidden/>
    <w:rsid w:val="0039057D"/>
    <w:rPr>
      <w:rFonts w:ascii="Courier" w:hAnsi="Courier"/>
      <w:sz w:val="24"/>
    </w:rPr>
  </w:style>
  <w:style w:type="character" w:styleId="CommentReference">
    <w:name w:val="annotation reference"/>
    <w:rsid w:val="002F7EDF"/>
    <w:rPr>
      <w:sz w:val="16"/>
      <w:szCs w:val="16"/>
    </w:rPr>
  </w:style>
  <w:style w:type="paragraph" w:styleId="CommentText">
    <w:name w:val="annotation text"/>
    <w:basedOn w:val="Normal"/>
    <w:link w:val="CommentTextChar"/>
    <w:rsid w:val="002F7EDF"/>
    <w:rPr>
      <w:sz w:val="20"/>
    </w:rPr>
  </w:style>
  <w:style w:type="character" w:customStyle="1" w:styleId="CommentTextChar">
    <w:name w:val="Comment Text Char"/>
    <w:link w:val="CommentText"/>
    <w:rsid w:val="002F7EDF"/>
    <w:rPr>
      <w:rFonts w:ascii="Courier" w:hAnsi="Courier"/>
    </w:rPr>
  </w:style>
  <w:style w:type="paragraph" w:styleId="CommentSubject">
    <w:name w:val="annotation subject"/>
    <w:basedOn w:val="CommentText"/>
    <w:next w:val="CommentText"/>
    <w:link w:val="CommentSubjectChar"/>
    <w:rsid w:val="002F7EDF"/>
    <w:rPr>
      <w:b/>
      <w:bCs/>
    </w:rPr>
  </w:style>
  <w:style w:type="character" w:customStyle="1" w:styleId="CommentSubjectChar">
    <w:name w:val="Comment Subject Char"/>
    <w:link w:val="CommentSubject"/>
    <w:rsid w:val="002F7EDF"/>
    <w:rPr>
      <w:rFonts w:ascii="Courier" w:hAnsi="Courier"/>
      <w:b/>
      <w:bCs/>
    </w:rPr>
  </w:style>
  <w:style w:type="table" w:styleId="TableGrid">
    <w:name w:val="Table Grid"/>
    <w:basedOn w:val="TableNormal"/>
    <w:rsid w:val="007B0E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C4694"/>
    <w:rPr>
      <w:rFonts w:ascii="Courier" w:hAnsi="Courier"/>
      <w:sz w:val="24"/>
    </w:rPr>
  </w:style>
  <w:style w:type="character" w:styleId="UnresolvedMention">
    <w:name w:val="Unresolved Mention"/>
    <w:basedOn w:val="DefaultParagraphFont"/>
    <w:uiPriority w:val="99"/>
    <w:semiHidden/>
    <w:unhideWhenUsed/>
    <w:rsid w:val="00451100"/>
    <w:rPr>
      <w:color w:val="605E5C"/>
      <w:shd w:val="clear" w:color="auto" w:fill="E1DFDD"/>
    </w:rPr>
  </w:style>
  <w:style w:type="paragraph" w:customStyle="1" w:styleId="Level1">
    <w:name w:val="Level 1"/>
    <w:basedOn w:val="Normal"/>
    <w:rsid w:val="00BE75E5"/>
    <w:pPr>
      <w:autoSpaceDE w:val="0"/>
      <w:autoSpaceDN w:val="0"/>
      <w:adjustRightInd w:val="0"/>
      <w:ind w:left="360" w:hanging="360"/>
    </w:pPr>
    <w:rPr>
      <w:rFonts w:ascii="Times New Roman" w:hAnsi="Times New Roman"/>
      <w:szCs w:val="24"/>
    </w:rPr>
  </w:style>
  <w:style w:type="character" w:customStyle="1" w:styleId="Heading2Char">
    <w:name w:val="Heading 2 Char"/>
    <w:basedOn w:val="DefaultParagraphFont"/>
    <w:link w:val="Heading2"/>
    <w:semiHidden/>
    <w:rsid w:val="00F85FD7"/>
    <w:rPr>
      <w:rFonts w:ascii="Arial" w:hAnsi="Arial" w:cs="Arial"/>
      <w:b/>
      <w:bCs/>
      <w:i/>
      <w:iCs/>
      <w:sz w:val="28"/>
      <w:szCs w:val="28"/>
    </w:rPr>
  </w:style>
  <w:style w:type="paragraph" w:styleId="ListParagraph">
    <w:name w:val="List Paragraph"/>
    <w:basedOn w:val="Normal"/>
    <w:uiPriority w:val="34"/>
    <w:qFormat/>
    <w:rsid w:val="00751521"/>
    <w:pPr>
      <w:ind w:left="720"/>
      <w:contextualSpacing/>
    </w:pPr>
  </w:style>
  <w:style w:type="paragraph" w:customStyle="1" w:styleId="pf0">
    <w:name w:val="pf0"/>
    <w:basedOn w:val="Normal"/>
    <w:rsid w:val="00E06A6F"/>
    <w:pPr>
      <w:widowControl/>
      <w:spacing w:before="100" w:beforeAutospacing="1" w:after="100" w:afterAutospacing="1"/>
    </w:pPr>
    <w:rPr>
      <w:rFonts w:ascii="Times New Roman" w:hAnsi="Times New Roman"/>
      <w:szCs w:val="24"/>
    </w:rPr>
  </w:style>
  <w:style w:type="character" w:customStyle="1" w:styleId="cf01">
    <w:name w:val="cf01"/>
    <w:basedOn w:val="DefaultParagraphFont"/>
    <w:rsid w:val="00E06A6F"/>
    <w:rPr>
      <w:rFonts w:ascii="Segoe UI" w:hAnsi="Segoe UI" w:cs="Segoe UI" w:hint="default"/>
      <w:sz w:val="18"/>
      <w:szCs w:val="18"/>
    </w:rPr>
  </w:style>
  <w:style w:type="paragraph" w:styleId="BodyText">
    <w:name w:val="Body Text"/>
    <w:basedOn w:val="Normal"/>
    <w:link w:val="BodyTextChar"/>
    <w:uiPriority w:val="1"/>
    <w:qFormat/>
    <w:rsid w:val="00787D6F"/>
    <w:pPr>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787D6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owcp/dfec/regs/compliance/forms.htm" TargetMode="External" /><Relationship Id="rId11" Type="http://schemas.openxmlformats.org/officeDocument/2006/relationships/hyperlink" Target="https://www.dol.gov/sol/privacy/dol-govt-1.htm" TargetMode="External" /><Relationship Id="rId12" Type="http://schemas.openxmlformats.org/officeDocument/2006/relationships/hyperlink" Target="https://www.opm.gov/policy-data-oversight/pay-leave/salaries-wages/2023/general-schedule"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519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E24B7-A4F9-4B5C-BD6D-29EF4EC16A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5DBC6A-6BA7-489B-AF99-DCDBEABE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F2904-9FEF-4F8F-B2CC-6E939BC496CD}">
  <ds:schemaRefs>
    <ds:schemaRef ds:uri="http://schemas.microsoft.com/sharepoint/v3/contenttype/forms"/>
  </ds:schemaRefs>
</ds:datastoreItem>
</file>

<file path=customXml/itemProps4.xml><?xml version="1.0" encoding="utf-8"?>
<ds:datastoreItem xmlns:ds="http://schemas.openxmlformats.org/officeDocument/2006/customXml" ds:itemID="{5C938AB3-525E-421C-A9D0-CD2354D2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US Department of Labor</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US Department of Labor</dc:creator>
  <cp:lastModifiedBy>Suggs, Anjanette C - OWCP</cp:lastModifiedBy>
  <cp:revision>3</cp:revision>
  <cp:lastPrinted>2020-03-16T16:44:00Z</cp:lastPrinted>
  <dcterms:created xsi:type="dcterms:W3CDTF">2023-09-05T20:21:00Z</dcterms:created>
  <dcterms:modified xsi:type="dcterms:W3CDTF">2023-09-05T20:21:00Z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