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72AC9" w:rsidRPr="00172AC9" w:rsidP="00172AC9" w14:paraId="41882A8E" w14:textId="32031966">
      <w:pPr>
        <w:spacing w:after="0" w:line="240" w:lineRule="auto"/>
        <w:jc w:val="center"/>
        <w:rPr>
          <w:b/>
        </w:rPr>
      </w:pPr>
      <w:r w:rsidRPr="00172AC9">
        <w:rPr>
          <w:b/>
        </w:rPr>
        <w:t xml:space="preserve">Justification for Non-Material Change to OMB </w:t>
      </w:r>
      <w:r w:rsidRPr="006A2BAB" w:rsidR="006A2BAB">
        <w:rPr>
          <w:b/>
        </w:rPr>
        <w:t>1290-0046</w:t>
      </w:r>
    </w:p>
    <w:p w:rsidR="00172AC9" w:rsidP="00172AC9" w14:paraId="1FD569CC" w14:textId="77777777">
      <w:pPr>
        <w:spacing w:after="0" w:line="240" w:lineRule="auto"/>
      </w:pPr>
    </w:p>
    <w:p w:rsidR="00726FB4" w:rsidRPr="00726FB4" w:rsidP="00726FB4" w14:paraId="0430B892" w14:textId="77777777">
      <w:pPr>
        <w:spacing w:after="0" w:line="240" w:lineRule="auto"/>
        <w:rPr>
          <w:highlight w:val="yellow"/>
        </w:rPr>
      </w:pPr>
      <w:r>
        <w:t xml:space="preserve">This memo requests a non-material change to the Paperwork Reduction Act (PRA) package previously approved by the Office of Management and Budget (OMB Control No. </w:t>
      </w:r>
      <w:r w:rsidRPr="006A2BAB" w:rsidR="006A2BAB">
        <w:t>1290-0046</w:t>
      </w:r>
      <w:r>
        <w:t xml:space="preserve">) for data collection for the </w:t>
      </w:r>
      <w:r w:rsidRPr="006A2BAB" w:rsidR="006A2BAB">
        <w:t>Evaluating Registered Apprenticeship Initiative Study</w:t>
      </w:r>
      <w:r>
        <w:t xml:space="preserve">. These changes are requested </w:t>
      </w:r>
      <w:r>
        <w:t>as a result of</w:t>
      </w:r>
      <w:r>
        <w:t xml:space="preserve"> </w:t>
      </w:r>
    </w:p>
    <w:p w:rsidR="00172AC9" w:rsidP="00172AC9" w14:paraId="4B7B3F29" w14:textId="1E64B3CA">
      <w:pPr>
        <w:spacing w:after="0" w:line="240" w:lineRule="auto"/>
      </w:pPr>
      <w:r w:rsidRPr="000D2A0B">
        <w:t>the realiz</w:t>
      </w:r>
      <w:r>
        <w:t>ation</w:t>
      </w:r>
      <w:r w:rsidRPr="000D2A0B">
        <w:t xml:space="preserve"> that increasing the Hubs site visit data collection by two sites and decreasing Youth/Pre-apprentice site visit data collection (category 2/3) by two sites would improve the Hubs Implementation Study while not hurting </w:t>
      </w:r>
      <w:r w:rsidR="000D2A0B">
        <w:t>t</w:t>
      </w:r>
      <w:r w:rsidRPr="000D2A0B">
        <w:t xml:space="preserve">he Youth/Pre-apprenticeship Implementation Study, by allowing approximately half of each category (7 of 15 sites of Hub grantees and 10 of 19 of Youth/Pre-apprenticeship grantees) to be visited.  This change would allow for more coverage of the Hub sites, as well as a deeper understanding of the capacity building and expansion strategies these grantees are using to expand apprenticeship. </w:t>
      </w:r>
    </w:p>
    <w:p w:rsidR="00632B3E" w:rsidP="00172AC9" w14:paraId="1709A6C8" w14:textId="77777777">
      <w:pPr>
        <w:spacing w:after="0" w:line="240" w:lineRule="auto"/>
        <w:rPr>
          <w:b/>
        </w:rPr>
      </w:pPr>
    </w:p>
    <w:p w:rsidR="00172AC9" w:rsidP="00172AC9" w14:paraId="5232F5F7" w14:textId="54568A6F">
      <w:pPr>
        <w:spacing w:after="0" w:line="240" w:lineRule="auto"/>
        <w:rPr>
          <w:b/>
        </w:rPr>
      </w:pPr>
      <w:r w:rsidRPr="00172AC9">
        <w:rPr>
          <w:b/>
        </w:rPr>
        <w:t>Background</w:t>
      </w:r>
    </w:p>
    <w:p w:rsidR="00172AC9" w:rsidRPr="00172AC9" w:rsidP="00172AC9" w14:paraId="0812D80E" w14:textId="77777777">
      <w:pPr>
        <w:spacing w:after="0" w:line="240" w:lineRule="auto"/>
        <w:rPr>
          <w:b/>
        </w:rPr>
      </w:pPr>
    </w:p>
    <w:p w:rsidR="00172AC9" w:rsidP="00F90218" w14:paraId="67D462CF" w14:textId="07F8FA2E">
      <w:pPr>
        <w:spacing w:after="0" w:line="240" w:lineRule="auto"/>
      </w:pPr>
      <w:r w:rsidRPr="00F90218">
        <w:t xml:space="preserve">DOL and various industries have invested billions of dollars over the past decade to encourage, develop and expand industry-driven apprenticeship training nationwide. Further, through the Build Back Better (BBB) and Infrastructure Investment and Jobs Act (IIJA), the need for a coordinated national investment strategy for Registered Apprenticeship is critical to support the Administration’s goals and priorities. </w:t>
      </w:r>
      <w:r>
        <w:t xml:space="preserve">The ABA grant program builds on the Department’s previous and ongoing efforts to expand and modernize Registered Apprenticeship. </w:t>
      </w:r>
      <w:r w:rsidRPr="00F90218">
        <w:t>DOL awarded the ABA grants in 2022, investing $171 million to fund 39 grantees, including a focus on equity and partnerships as well as pre-apprenticeship activities.</w:t>
      </w:r>
      <w:r>
        <w:t xml:space="preserve"> </w:t>
      </w:r>
      <w:r w:rsidR="00F54B9D">
        <w:t>DOL’s</w:t>
      </w:r>
      <w:r w:rsidRPr="00E05954" w:rsidR="00F54B9D">
        <w:t xml:space="preserve"> Chief Evaluation Office (CEO) has commissioned </w:t>
      </w:r>
      <w:r w:rsidRPr="00F90218">
        <w:t>the Evaluating Registered Apprenticeship Initiatives Study (ERAI) with a goal of understanding the implementation of these recent investments in apprenticeship sponsored by the Department</w:t>
      </w:r>
      <w:r w:rsidRPr="00E05954" w:rsidR="00F54B9D">
        <w:t xml:space="preserve">. </w:t>
      </w:r>
      <w:r w:rsidR="00726FB4">
        <w:t xml:space="preserve">At the time of the evaluation team’s proposal </w:t>
      </w:r>
      <w:r w:rsidR="00A1766E">
        <w:t>including the</w:t>
      </w:r>
      <w:r w:rsidR="00726FB4">
        <w:t xml:space="preserve"> number of site visits, DOL planned on awarding only $121 million, funding grantees. </w:t>
      </w:r>
      <w:r w:rsidR="00A1766E">
        <w:t>Supplemental funding allowed $50 million in additional awards and 9 more grantees.</w:t>
      </w:r>
      <w:r>
        <w:rPr>
          <w:rStyle w:val="FootnoteReference"/>
        </w:rPr>
        <w:footnoteReference w:id="2"/>
      </w:r>
      <w:r w:rsidR="00A1766E">
        <w:t xml:space="preserve"> The ICR was based on the original numbers of grantees proposed.</w:t>
      </w:r>
    </w:p>
    <w:p w:rsidR="00E873A0" w:rsidP="00172AC9" w14:paraId="6F1883FD" w14:textId="5A99256B">
      <w:pPr>
        <w:spacing w:after="0" w:line="240" w:lineRule="auto"/>
        <w:rPr>
          <w:rFonts w:ascii="Calibri" w:hAnsi="Calibri" w:cs="Calibri"/>
        </w:rPr>
      </w:pPr>
    </w:p>
    <w:p w:rsidR="00E873A0" w:rsidRPr="009A200C" w:rsidP="00172AC9" w14:paraId="63F115BB" w14:textId="61356EEA">
      <w:pPr>
        <w:spacing w:after="0" w:line="240" w:lineRule="auto"/>
        <w:rPr>
          <w:rFonts w:ascii="Calibri" w:hAnsi="Calibri" w:cs="Calibri"/>
        </w:rPr>
      </w:pPr>
      <w:r w:rsidRPr="00AE319A">
        <w:rPr>
          <w:rFonts w:ascii="Calibri" w:hAnsi="Calibri" w:cs="Calibri"/>
        </w:rPr>
        <w:t xml:space="preserve">In </w:t>
      </w:r>
      <w:r w:rsidR="00F90218">
        <w:rPr>
          <w:rFonts w:ascii="Calibri" w:hAnsi="Calibri" w:cs="Calibri"/>
        </w:rPr>
        <w:t>January</w:t>
      </w:r>
      <w:r w:rsidRPr="00AE319A">
        <w:rPr>
          <w:rFonts w:ascii="Calibri" w:hAnsi="Calibri" w:cs="Calibri"/>
        </w:rPr>
        <w:t xml:space="preserve"> 202</w:t>
      </w:r>
      <w:r w:rsidR="00F90218">
        <w:rPr>
          <w:rFonts w:ascii="Calibri" w:hAnsi="Calibri" w:cs="Calibri"/>
        </w:rPr>
        <w:t>4</w:t>
      </w:r>
      <w:r w:rsidRPr="00AE319A">
        <w:rPr>
          <w:rFonts w:ascii="Calibri" w:hAnsi="Calibri" w:cs="Calibri"/>
        </w:rPr>
        <w:t xml:space="preserve">, OMB approved the new information collection request (ICR) for </w:t>
      </w:r>
      <w:r w:rsidR="00F90218">
        <w:rPr>
          <w:rFonts w:ascii="Calibri" w:hAnsi="Calibri" w:cs="Calibri"/>
        </w:rPr>
        <w:t>14</w:t>
      </w:r>
      <w:r w:rsidRPr="00AE319A">
        <w:rPr>
          <w:rFonts w:ascii="Calibri" w:hAnsi="Calibri" w:cs="Calibri"/>
        </w:rPr>
        <w:t xml:space="preserve"> instruments </w:t>
      </w:r>
      <w:r>
        <w:rPr>
          <w:rFonts w:ascii="Calibri" w:hAnsi="Calibri" w:cs="Calibri"/>
        </w:rPr>
        <w:t xml:space="preserve">to be used in the evaluation. </w:t>
      </w:r>
      <w:r w:rsidR="00F90218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hese instruments </w:t>
      </w:r>
      <w:r w:rsidR="00F90218">
        <w:rPr>
          <w:rFonts w:ascii="Calibri" w:hAnsi="Calibri" w:cs="Calibri"/>
        </w:rPr>
        <w:t>included</w:t>
      </w:r>
      <w:r w:rsidRPr="00B93AD4" w:rsidR="00B93AD4">
        <w:t xml:space="preserve"> </w:t>
      </w:r>
      <w:r w:rsidR="00B93AD4">
        <w:t xml:space="preserve">the </w:t>
      </w:r>
      <w:r w:rsidRPr="000D2A0B" w:rsidR="000D2A0B">
        <w:rPr>
          <w:rFonts w:ascii="Calibri" w:hAnsi="Calibri" w:cs="Calibri"/>
        </w:rPr>
        <w:t>ABA Youth Apprenticeship and Pre-Apprenticeship Grantee Staff Interview Protocol</w:t>
      </w:r>
      <w:r w:rsidR="000D2A0B">
        <w:rPr>
          <w:rFonts w:ascii="Calibri" w:hAnsi="Calibri" w:cs="Calibri"/>
        </w:rPr>
        <w:t xml:space="preserve">, </w:t>
      </w:r>
      <w:r w:rsidRPr="000D2A0B" w:rsidR="000D2A0B">
        <w:rPr>
          <w:rFonts w:ascii="Calibri" w:hAnsi="Calibri" w:cs="Calibri"/>
        </w:rPr>
        <w:t>ABA Youth Apprenticeship and Pre-Apprenticeship Partner/Employer Interview Protocol</w:t>
      </w:r>
      <w:r w:rsidR="000D2A0B">
        <w:rPr>
          <w:rFonts w:ascii="Calibri" w:hAnsi="Calibri" w:cs="Calibri"/>
        </w:rPr>
        <w:t xml:space="preserve">, </w:t>
      </w:r>
      <w:r w:rsidRPr="000D2A0B" w:rsidR="000D2A0B">
        <w:rPr>
          <w:rFonts w:ascii="Calibri" w:hAnsi="Calibri" w:cs="Calibri"/>
        </w:rPr>
        <w:t>ABA Registered Apprenticeship Hub Grantee Staff Interview Protocol</w:t>
      </w:r>
      <w:r w:rsidR="000D2A0B">
        <w:rPr>
          <w:rFonts w:ascii="Calibri" w:hAnsi="Calibri" w:cs="Calibri"/>
        </w:rPr>
        <w:t xml:space="preserve">, </w:t>
      </w:r>
      <w:r w:rsidRPr="000D2A0B" w:rsidR="000D2A0B">
        <w:rPr>
          <w:rFonts w:ascii="Calibri" w:hAnsi="Calibri" w:cs="Calibri"/>
        </w:rPr>
        <w:t>ABA Registered Apprenticeship Hub Partner Interview Protocol</w:t>
      </w:r>
      <w:r w:rsidR="000D2A0B">
        <w:rPr>
          <w:rFonts w:ascii="Calibri" w:hAnsi="Calibri" w:cs="Calibri"/>
        </w:rPr>
        <w:t xml:space="preserve">, and the </w:t>
      </w:r>
      <w:r w:rsidRPr="000D2A0B" w:rsidR="000D2A0B">
        <w:rPr>
          <w:rFonts w:ascii="Calibri" w:hAnsi="Calibri" w:cs="Calibri"/>
        </w:rPr>
        <w:t>ABA Registered Apprenticeship Hub Customer Interview Protocol</w:t>
      </w:r>
      <w:r w:rsidR="000D2A0B">
        <w:rPr>
          <w:rFonts w:ascii="Calibri" w:hAnsi="Calibri" w:cs="Calibri"/>
        </w:rPr>
        <w:t>.</w:t>
      </w:r>
      <w:r w:rsidRPr="000D2A0B" w:rsidR="000D2A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172AC9" w:rsidP="00172AC9" w14:paraId="59DF90CA" w14:textId="77777777">
      <w:pPr>
        <w:spacing w:after="0" w:line="240" w:lineRule="auto"/>
      </w:pPr>
    </w:p>
    <w:p w:rsidR="00172AC9" w:rsidRPr="00172AC9" w:rsidP="00172AC9" w14:paraId="70C27D4E" w14:textId="77777777">
      <w:pPr>
        <w:spacing w:after="0" w:line="240" w:lineRule="auto"/>
        <w:rPr>
          <w:b/>
        </w:rPr>
      </w:pPr>
      <w:r w:rsidRPr="00172AC9">
        <w:rPr>
          <w:b/>
        </w:rPr>
        <w:t>Change Requests</w:t>
      </w:r>
    </w:p>
    <w:p w:rsidR="00172AC9" w:rsidP="00172AC9" w14:paraId="704E1710" w14:textId="77777777">
      <w:pPr>
        <w:spacing w:after="0" w:line="240" w:lineRule="auto"/>
      </w:pPr>
    </w:p>
    <w:p w:rsidR="00172AC9" w:rsidP="00172AC9" w14:paraId="7ED7B938" w14:textId="33440A93">
      <w:pPr>
        <w:spacing w:after="0" w:line="240" w:lineRule="auto"/>
      </w:pPr>
      <w:r>
        <w:t xml:space="preserve">DOL requests minor changes </w:t>
      </w:r>
      <w:r w:rsidRPr="003835DF" w:rsidR="003835DF">
        <w:t xml:space="preserve">to reduce the number of </w:t>
      </w:r>
      <w:r w:rsidR="008E5DD7">
        <w:t xml:space="preserve">estimated </w:t>
      </w:r>
      <w:r w:rsidRPr="003835DF" w:rsidR="003835DF">
        <w:t xml:space="preserve">respondent grantees in one category and increase the number of </w:t>
      </w:r>
      <w:r w:rsidR="008E5DD7">
        <w:t xml:space="preserve">estimated </w:t>
      </w:r>
      <w:r w:rsidRPr="003835DF" w:rsidR="003835DF">
        <w:t>respondent grantees in another category for data collection. The total burden to grantees will be unchanged</w:t>
      </w:r>
      <w:r w:rsidR="003835DF">
        <w:t xml:space="preserve">. Specifically, </w:t>
      </w:r>
      <w:r w:rsidR="008E5DD7">
        <w:t>the request is to change from</w:t>
      </w:r>
      <w:r w:rsidRPr="003835DF" w:rsidR="003835DF">
        <w:t xml:space="preserve"> </w:t>
      </w:r>
      <w:r w:rsidR="000D2A0B">
        <w:t xml:space="preserve">16 to 13 </w:t>
      </w:r>
      <w:r w:rsidR="00632B3E">
        <w:t xml:space="preserve">estimated </w:t>
      </w:r>
      <w:r w:rsidRPr="000D2A0B" w:rsidR="000D2A0B">
        <w:t xml:space="preserve">ABA Youth Apprenticeship and Pre-Apprenticeship Grantee Staff Interview Protocol </w:t>
      </w:r>
      <w:r w:rsidR="000D2A0B">
        <w:t xml:space="preserve">respondents, from 12 to 10 </w:t>
      </w:r>
      <w:r w:rsidR="00632B3E">
        <w:t xml:space="preserve">estimated </w:t>
      </w:r>
      <w:r w:rsidRPr="000D2A0B" w:rsidR="000D2A0B">
        <w:t xml:space="preserve">ABA Youth Apprenticeship and Pre-Apprenticeship Partner/Employer Interview Protocol </w:t>
      </w:r>
      <w:r w:rsidR="000D2A0B">
        <w:t>respondents, from 7 to 9</w:t>
      </w:r>
      <w:r w:rsidRPr="000D2A0B" w:rsidR="000D2A0B">
        <w:t xml:space="preserve"> </w:t>
      </w:r>
      <w:r w:rsidR="00632B3E">
        <w:t xml:space="preserve">estimated </w:t>
      </w:r>
      <w:r w:rsidRPr="000D2A0B" w:rsidR="000D2A0B">
        <w:t>ABA Registered Apprenticeship Hub Grantee Staff Interview Protocol</w:t>
      </w:r>
      <w:r w:rsidR="000D2A0B">
        <w:t xml:space="preserve"> respondents, from 7 to 9 </w:t>
      </w:r>
      <w:r w:rsidR="00632B3E">
        <w:t xml:space="preserve">estimated </w:t>
      </w:r>
      <w:r w:rsidRPr="000D2A0B" w:rsidR="000D2A0B">
        <w:t>ABA Registered Apprenticeship Hub Partner Interview Protocol</w:t>
      </w:r>
      <w:r w:rsidR="000D2A0B">
        <w:t xml:space="preserve"> respondents, and from 5 to 7 </w:t>
      </w:r>
      <w:r w:rsidR="00632B3E">
        <w:t xml:space="preserve">estimated </w:t>
      </w:r>
      <w:r w:rsidRPr="000D2A0B" w:rsidR="000D2A0B">
        <w:t xml:space="preserve">ABA Registered Apprenticeship Hub Customer Interview Protocol </w:t>
      </w:r>
      <w:r w:rsidR="000D2A0B">
        <w:t xml:space="preserve"> respondents. </w:t>
      </w:r>
    </w:p>
    <w:p w:rsidR="00172AC9" w:rsidP="00172AC9" w14:paraId="34E995A7" w14:textId="77777777">
      <w:pPr>
        <w:spacing w:after="0" w:line="240" w:lineRule="auto"/>
      </w:pPr>
    </w:p>
    <w:p w:rsidR="00172AC9" w:rsidRPr="006F74B3" w:rsidP="006F74B3" w14:paraId="6319610E" w14:textId="52F3A4DA">
      <w:pPr>
        <w:pStyle w:val="Paragraph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These requested non-substantive changes do not require any changes to the burden estimates. </w:t>
      </w:r>
      <w:r w:rsidRPr="006F74B3">
        <w:rPr>
          <w:rFonts w:ascii="Calibri" w:hAnsi="Calibri" w:cs="Calibri"/>
          <w:sz w:val="22"/>
          <w:szCs w:val="22"/>
        </w:rPr>
        <w:t xml:space="preserve">The field period for the </w:t>
      </w:r>
      <w:r w:rsidR="008E5DD7">
        <w:rPr>
          <w:rFonts w:ascii="Calibri" w:hAnsi="Calibri" w:cs="Calibri"/>
          <w:sz w:val="22"/>
          <w:szCs w:val="22"/>
        </w:rPr>
        <w:t>grantee</w:t>
      </w:r>
      <w:r w:rsidRPr="006F74B3">
        <w:rPr>
          <w:rFonts w:ascii="Calibri" w:hAnsi="Calibri" w:cs="Calibri"/>
          <w:sz w:val="22"/>
          <w:szCs w:val="22"/>
        </w:rPr>
        <w:t xml:space="preserve"> survey</w:t>
      </w:r>
      <w:r w:rsidR="008E5DD7">
        <w:rPr>
          <w:rFonts w:ascii="Calibri" w:hAnsi="Calibri" w:cs="Calibri"/>
          <w:sz w:val="22"/>
          <w:szCs w:val="22"/>
        </w:rPr>
        <w:t>s</w:t>
      </w:r>
      <w:r w:rsidRPr="006F74B3">
        <w:rPr>
          <w:rFonts w:ascii="Calibri" w:hAnsi="Calibri" w:cs="Calibri"/>
          <w:sz w:val="22"/>
          <w:szCs w:val="22"/>
        </w:rPr>
        <w:t xml:space="preserve"> will begin in </w:t>
      </w:r>
      <w:r w:rsidR="00A1766E">
        <w:rPr>
          <w:rFonts w:ascii="Calibri" w:hAnsi="Calibri" w:cs="Calibri"/>
          <w:sz w:val="22"/>
          <w:szCs w:val="22"/>
        </w:rPr>
        <w:t>November 2024 to March 2025.</w:t>
      </w:r>
    </w:p>
    <w:p w:rsidR="00172AC9" w:rsidP="00172AC9" w14:paraId="5FAD4D4C" w14:textId="77777777">
      <w:pPr>
        <w:spacing w:after="0" w:line="240" w:lineRule="auto"/>
        <w:rPr>
          <w:rFonts w:ascii="Calibri" w:eastAsia="Times New Roman" w:hAnsi="Calibri" w:cs="Calibri"/>
        </w:rPr>
      </w:pPr>
    </w:p>
    <w:p w:rsidR="000D2A0B" w:rsidP="00172AC9" w14:paraId="3A449253" w14:textId="66683CEA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An updated burden table with these changes is provided below:</w:t>
      </w:r>
    </w:p>
    <w:p w:rsidR="000D2A0B" w:rsidP="000D2A0B" w14:paraId="7C80FFB2" w14:textId="08A7E8B2">
      <w:pPr>
        <w:rPr>
          <w:rFonts w:ascii="Arial Black" w:hAnsi="Arial Black" w:cs="Times New Roman"/>
          <w:iCs/>
          <w:sz w:val="24"/>
          <w:szCs w:val="24"/>
        </w:rPr>
      </w:pPr>
      <w:bookmarkStart w:id="0" w:name="_Toc384973519"/>
      <w:bookmarkStart w:id="1" w:name="_Toc436904539"/>
    </w:p>
    <w:tbl>
      <w:tblPr>
        <w:tblStyle w:val="TableGrid"/>
        <w:tblW w:w="9720" w:type="dxa"/>
        <w:tblLayout w:type="fixed"/>
        <w:tblLook w:val="04A0"/>
      </w:tblPr>
      <w:tblGrid>
        <w:gridCol w:w="1783"/>
        <w:gridCol w:w="1097"/>
        <w:gridCol w:w="1170"/>
        <w:gridCol w:w="1242"/>
        <w:gridCol w:w="1159"/>
        <w:gridCol w:w="1159"/>
        <w:gridCol w:w="927"/>
        <w:gridCol w:w="1183"/>
      </w:tblGrid>
      <w:tr w14:paraId="4A502E3C" w14:textId="77777777" w:rsidTr="008E0A39">
        <w:tblPrEx>
          <w:tblW w:w="9720" w:type="dxa"/>
          <w:tblLayout w:type="fixed"/>
          <w:tblLook w:val="04A0"/>
        </w:tblPrEx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A0B" w:rsidRPr="00283AD1" w:rsidP="008E0A39" w14:paraId="7BDE593B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135892641"/>
            <w:bookmarkEnd w:id="0"/>
            <w:bookmarkEnd w:id="1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Type of instrument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A0B" w:rsidP="008E0A39" w14:paraId="1C121928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Number </w:t>
            </w:r>
          </w:p>
          <w:p w:rsidR="000D2A0B" w:rsidRPr="00283AD1" w:rsidP="008E0A39" w14:paraId="7D5BDC95" w14:textId="77777777">
            <w:pPr>
              <w:ind w:left="-2" w:right="74" w:firstLine="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Respon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-dents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A0B" w:rsidRPr="00283AD1" w:rsidP="008E0A39" w14:paraId="482A4427" w14:textId="77777777">
            <w:pPr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Number of Responses Per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Respon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-dent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A0B" w:rsidRPr="00283AD1" w:rsidP="008E0A39" w14:paraId="1885681C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Number of Responses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A0B" w:rsidRPr="00283AD1" w:rsidP="008E0A39" w14:paraId="50F7A8C7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Average Burden Per Response (in hours)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A0B" w:rsidRPr="00065586" w:rsidP="008E0A39" w14:paraId="4812B362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Estimated burden hours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2A0B" w:rsidP="008E0A39" w14:paraId="10788F52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30AF">
              <w:rPr>
                <w:rFonts w:ascii="Arial" w:eastAsia="Times New Roman" w:hAnsi="Arial" w:cs="Times New Roman"/>
                <w:b/>
                <w:sz w:val="18"/>
                <w:szCs w:val="18"/>
              </w:rPr>
              <w:t>Average Hourly Wage</w:t>
            </w: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($)</w:t>
            </w:r>
            <w:r w:rsidRPr="00D530AF">
              <w:rPr>
                <w:rFonts w:ascii="Arial" w:eastAsia="Times New Roman" w:hAnsi="Arial"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2A0B" w:rsidP="008E0A39" w14:paraId="7C1EF2A9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30AF">
              <w:rPr>
                <w:rFonts w:ascii="Arial" w:eastAsia="Times New Roman" w:hAnsi="Arial" w:cs="Times New Roman"/>
                <w:b/>
                <w:sz w:val="18"/>
                <w:szCs w:val="18"/>
              </w:rPr>
              <w:t>Annual Burden Costs</w:t>
            </w:r>
          </w:p>
        </w:tc>
      </w:tr>
      <w:tr w14:paraId="311737B7" w14:textId="77777777" w:rsidTr="008E0A39">
        <w:tblPrEx>
          <w:tblW w:w="9720" w:type="dxa"/>
          <w:tblLayout w:type="fixed"/>
          <w:tblLook w:val="04A0"/>
        </w:tblPrEx>
        <w:tc>
          <w:tcPr>
            <w:tcW w:w="178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D2A0B" w:rsidRPr="00065586" w:rsidP="008E0A39" w14:paraId="010AA2E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ABA Youth</w:t>
            </w:r>
            <w:r w:rsidRPr="00D2179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D21794">
              <w:rPr>
                <w:rFonts w:ascii="Arial" w:hAnsi="Arial" w:cs="Arial"/>
                <w:sz w:val="18"/>
                <w:szCs w:val="18"/>
              </w:rPr>
              <w:t>Apprenticeship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Pre-Apprenticeship Grantee Survey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D2A0B" w:rsidRPr="0037041F" w:rsidP="008E0A39" w14:paraId="1018D329" w14:textId="77777777">
            <w:pPr>
              <w:ind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DD254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D2A0B" w:rsidRPr="00065586" w:rsidP="008E0A39" w14:paraId="236991C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D2A0B" w:rsidRPr="00065586" w:rsidP="008E0A39" w14:paraId="240B5CD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D2A0B" w:rsidRPr="00065586" w:rsidP="008E0A39" w14:paraId="62F6AEB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D2A0B" w:rsidRPr="00065586" w:rsidP="008E0A39" w14:paraId="2C99808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D2A0B" w:rsidP="008E0A39" w14:paraId="17E5901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D2A0B" w:rsidP="008E0A39" w14:paraId="5CD6A22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800.73</w:t>
            </w:r>
          </w:p>
        </w:tc>
      </w:tr>
      <w:tr w14:paraId="046B4ED2" w14:textId="77777777" w:rsidTr="008E0A39">
        <w:tblPrEx>
          <w:tblW w:w="9720" w:type="dxa"/>
          <w:tblLayout w:type="fixed"/>
          <w:tblLook w:val="04A0"/>
        </w:tblPrEx>
        <w:tc>
          <w:tcPr>
            <w:tcW w:w="1783" w:type="dxa"/>
            <w:tcBorders>
              <w:left w:val="nil"/>
              <w:right w:val="nil"/>
            </w:tcBorders>
            <w:vAlign w:val="center"/>
          </w:tcPr>
          <w:p w:rsidR="000D2A0B" w:rsidP="008E0A39" w14:paraId="62C12BE3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ABA State Apprenticeship System Grantee Survey</w:t>
            </w:r>
          </w:p>
        </w:tc>
        <w:tc>
          <w:tcPr>
            <w:tcW w:w="1097" w:type="dxa"/>
            <w:tcBorders>
              <w:left w:val="nil"/>
              <w:right w:val="nil"/>
            </w:tcBorders>
            <w:vAlign w:val="center"/>
          </w:tcPr>
          <w:p w:rsidR="000D2A0B" w:rsidRPr="0037041F" w:rsidP="008E0A39" w14:paraId="27BD9D7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DD254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0D2A0B" w:rsidRPr="00065586" w:rsidP="008E0A39" w14:paraId="304E138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1242" w:type="dxa"/>
            <w:tcBorders>
              <w:left w:val="nil"/>
              <w:right w:val="nil"/>
            </w:tcBorders>
            <w:vAlign w:val="center"/>
          </w:tcPr>
          <w:p w:rsidR="000D2A0B" w:rsidRPr="00065586" w:rsidP="008E0A39" w14:paraId="3E4FF83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59" w:type="dxa"/>
            <w:tcBorders>
              <w:left w:val="nil"/>
              <w:right w:val="nil"/>
            </w:tcBorders>
            <w:vAlign w:val="center"/>
          </w:tcPr>
          <w:p w:rsidR="000D2A0B" w:rsidRPr="00065586" w:rsidP="008E0A39" w14:paraId="1CF2051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left w:val="nil"/>
              <w:right w:val="nil"/>
            </w:tcBorders>
            <w:vAlign w:val="center"/>
          </w:tcPr>
          <w:p w:rsidR="000D2A0B" w:rsidRPr="00065586" w:rsidP="008E0A39" w14:paraId="0BBAE6A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7" w:type="dxa"/>
            <w:tcBorders>
              <w:left w:val="nil"/>
              <w:right w:val="nil"/>
            </w:tcBorders>
            <w:vAlign w:val="center"/>
          </w:tcPr>
          <w:p w:rsidR="000D2A0B" w:rsidP="008E0A39" w14:paraId="1C305D1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1183" w:type="dxa"/>
            <w:tcBorders>
              <w:left w:val="nil"/>
              <w:right w:val="nil"/>
            </w:tcBorders>
            <w:vAlign w:val="center"/>
          </w:tcPr>
          <w:p w:rsidR="000D2A0B" w:rsidP="008E0A39" w14:paraId="066FA72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76.26</w:t>
            </w:r>
          </w:p>
        </w:tc>
      </w:tr>
      <w:tr w14:paraId="350B1E37" w14:textId="77777777" w:rsidTr="008E0A39">
        <w:tblPrEx>
          <w:tblW w:w="9720" w:type="dxa"/>
          <w:tblLayout w:type="fixed"/>
          <w:tblLook w:val="04A0"/>
        </w:tblPrEx>
        <w:tc>
          <w:tcPr>
            <w:tcW w:w="17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P="008E0A39" w14:paraId="23BB79C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385119">
              <w:rPr>
                <w:rFonts w:ascii="Arial" w:hAnsi="Arial" w:cs="Arial"/>
                <w:sz w:val="18"/>
                <w:szCs w:val="18"/>
              </w:rPr>
              <w:t xml:space="preserve">ABA </w:t>
            </w:r>
            <w:r>
              <w:rPr>
                <w:rFonts w:ascii="Arial" w:hAnsi="Arial" w:cs="Arial"/>
                <w:sz w:val="18"/>
                <w:szCs w:val="18"/>
              </w:rPr>
              <w:t xml:space="preserve">Registered Apprenticeship </w:t>
            </w:r>
            <w:r w:rsidRPr="00385119">
              <w:rPr>
                <w:rFonts w:ascii="Arial" w:hAnsi="Arial" w:cs="Arial"/>
                <w:sz w:val="18"/>
                <w:szCs w:val="18"/>
              </w:rPr>
              <w:t xml:space="preserve">Hub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385119">
              <w:rPr>
                <w:rFonts w:ascii="Arial" w:hAnsi="Arial" w:cs="Arial"/>
                <w:sz w:val="18"/>
                <w:szCs w:val="18"/>
              </w:rPr>
              <w:t xml:space="preserve">rantee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385119">
              <w:rPr>
                <w:rFonts w:ascii="Arial" w:hAnsi="Arial" w:cs="Arial"/>
                <w:sz w:val="18"/>
                <w:szCs w:val="18"/>
              </w:rPr>
              <w:t>urvey</w:t>
            </w:r>
          </w:p>
        </w:tc>
        <w:tc>
          <w:tcPr>
            <w:tcW w:w="10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RPr="0037041F" w:rsidP="008E0A39" w14:paraId="6A3A7BB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D254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RPr="00065586" w:rsidP="008E0A39" w14:paraId="60A8E17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RPr="00065586" w:rsidP="008E0A39" w14:paraId="49DE5EB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40D24A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RPr="00065586" w:rsidP="008E0A39" w14:paraId="72E5173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RPr="00065586" w:rsidP="008E0A39" w14:paraId="59B9107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P="008E0A39" w14:paraId="2BB9A3F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P="008E0A39" w14:paraId="0BD2E79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190.65</w:t>
            </w:r>
          </w:p>
        </w:tc>
      </w:tr>
      <w:tr w14:paraId="7E1EAF0B" w14:textId="77777777" w:rsidTr="008E0A39">
        <w:tblPrEx>
          <w:tblW w:w="9720" w:type="dxa"/>
          <w:tblLayout w:type="fixed"/>
          <w:tblLook w:val="04A0"/>
        </w:tblPrEx>
        <w:tc>
          <w:tcPr>
            <w:tcW w:w="1783" w:type="dxa"/>
            <w:tcBorders>
              <w:left w:val="nil"/>
              <w:right w:val="nil"/>
            </w:tcBorders>
            <w:vAlign w:val="center"/>
          </w:tcPr>
          <w:p w:rsidR="000D2A0B" w:rsidRPr="00065586" w:rsidP="008E0A39" w14:paraId="0692EAB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ABA Pre-apprenticeship Participant Survey </w:t>
            </w:r>
          </w:p>
        </w:tc>
        <w:tc>
          <w:tcPr>
            <w:tcW w:w="1097" w:type="dxa"/>
            <w:tcBorders>
              <w:left w:val="nil"/>
              <w:right w:val="nil"/>
            </w:tcBorders>
            <w:vAlign w:val="center"/>
          </w:tcPr>
          <w:p w:rsidR="000D2A0B" w:rsidRPr="0037041F" w:rsidP="008E0A39" w14:paraId="4D4333F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0D2A0B" w:rsidRPr="00065586" w:rsidP="008E0A39" w14:paraId="262C66A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left w:val="nil"/>
              <w:right w:val="nil"/>
            </w:tcBorders>
            <w:vAlign w:val="center"/>
          </w:tcPr>
          <w:p w:rsidR="000D2A0B" w:rsidRPr="00065586" w:rsidP="008E0A39" w14:paraId="106A5D0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1159" w:type="dxa"/>
            <w:tcBorders>
              <w:left w:val="nil"/>
              <w:right w:val="nil"/>
            </w:tcBorders>
            <w:vAlign w:val="center"/>
          </w:tcPr>
          <w:p w:rsidR="000D2A0B" w:rsidRPr="00065586" w:rsidP="008E0A39" w14:paraId="5B7E7E0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left w:val="nil"/>
              <w:right w:val="nil"/>
            </w:tcBorders>
            <w:vAlign w:val="center"/>
          </w:tcPr>
          <w:p w:rsidR="000D2A0B" w:rsidRPr="00065586" w:rsidP="008E0A39" w14:paraId="1EB6834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927" w:type="dxa"/>
            <w:tcBorders>
              <w:left w:val="nil"/>
              <w:right w:val="nil"/>
            </w:tcBorders>
            <w:vAlign w:val="center"/>
          </w:tcPr>
          <w:p w:rsidR="000D2A0B" w:rsidP="008E0A39" w14:paraId="5AD70A5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7.25</w:t>
            </w:r>
          </w:p>
        </w:tc>
        <w:tc>
          <w:tcPr>
            <w:tcW w:w="1183" w:type="dxa"/>
            <w:tcBorders>
              <w:left w:val="nil"/>
              <w:right w:val="nil"/>
            </w:tcBorders>
            <w:vAlign w:val="center"/>
          </w:tcPr>
          <w:p w:rsidR="000D2A0B" w:rsidP="008E0A39" w14:paraId="06B58E3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2,421.5</w:t>
            </w:r>
          </w:p>
        </w:tc>
      </w:tr>
      <w:tr w14:paraId="1E045D61" w14:textId="77777777" w:rsidTr="008E0A39">
        <w:tblPrEx>
          <w:tblW w:w="9720" w:type="dxa"/>
          <w:tblLayout w:type="fixed"/>
          <w:tblLook w:val="04A0"/>
        </w:tblPrEx>
        <w:tc>
          <w:tcPr>
            <w:tcW w:w="17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P="008E0A39" w14:paraId="7A2E46F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ABA Apprenticeship Survey</w:t>
            </w:r>
          </w:p>
        </w:tc>
        <w:tc>
          <w:tcPr>
            <w:tcW w:w="10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RPr="0037041F" w:rsidP="008E0A39" w14:paraId="5C66137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</w:t>
            </w:r>
            <w:r w:rsidRPr="00065A6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RPr="00065586" w:rsidP="008E0A39" w14:paraId="530618B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RPr="00065586" w:rsidP="008E0A39" w14:paraId="2BF020A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11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RPr="00065586" w:rsidP="008E0A39" w14:paraId="36220C5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RPr="00065586" w:rsidP="008E0A39" w14:paraId="533F9B9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9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P="008E0A39" w14:paraId="4A4044E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7.25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P="008E0A39" w14:paraId="1EA0E88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2,421.5</w:t>
            </w:r>
          </w:p>
        </w:tc>
      </w:tr>
      <w:tr w14:paraId="594F31E0" w14:textId="77777777" w:rsidTr="008E0A39">
        <w:tblPrEx>
          <w:tblW w:w="9720" w:type="dxa"/>
          <w:tblLayout w:type="fixed"/>
          <w:tblLook w:val="04A0"/>
        </w:tblPrEx>
        <w:tc>
          <w:tcPr>
            <w:tcW w:w="17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RPr="00065586" w:rsidP="008E0A39" w14:paraId="287F14C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ABA Participant Focus Group Protocol </w:t>
            </w:r>
          </w:p>
        </w:tc>
        <w:tc>
          <w:tcPr>
            <w:tcW w:w="10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RPr="0037041F" w:rsidP="008E0A39" w14:paraId="2E4CD52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647836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RPr="00065586" w:rsidP="008E0A39" w14:paraId="549A489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RPr="00065586" w:rsidP="008E0A39" w14:paraId="3DDF48E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1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RPr="00065586" w:rsidP="008E0A39" w14:paraId="39FDB34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11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RPr="00065586" w:rsidP="008E0A39" w14:paraId="54D32B9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</w:t>
            </w:r>
          </w:p>
        </w:tc>
        <w:tc>
          <w:tcPr>
            <w:tcW w:w="9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P="008E0A39" w14:paraId="443D262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7.25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P="008E0A39" w14:paraId="78EDE3F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293.63</w:t>
            </w:r>
          </w:p>
        </w:tc>
      </w:tr>
      <w:tr w14:paraId="1B507FDA" w14:textId="77777777" w:rsidTr="008E0A39">
        <w:tblPrEx>
          <w:tblW w:w="9720" w:type="dxa"/>
          <w:tblLayout w:type="fixed"/>
          <w:tblLook w:val="04A0"/>
        </w:tblPrEx>
        <w:trPr>
          <w:trHeight w:val="684"/>
        </w:trPr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4E39529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ABA Youth </w:t>
            </w:r>
            <w:r w:rsidRPr="00D21794">
              <w:rPr>
                <w:rFonts w:ascii="Arial" w:hAnsi="Arial" w:cs="Arial"/>
                <w:sz w:val="18"/>
                <w:szCs w:val="18"/>
              </w:rPr>
              <w:t xml:space="preserve">Apprenticeship </w:t>
            </w:r>
            <w:r>
              <w:rPr>
                <w:rFonts w:ascii="Arial" w:hAnsi="Arial" w:cs="Arial"/>
                <w:sz w:val="18"/>
                <w:szCs w:val="18"/>
              </w:rPr>
              <w:t xml:space="preserve">and Pre-Apprenticeship Grantee Staff Interview Protocol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37041F" w:rsidP="008E0A39" w14:paraId="08223A22" w14:textId="37E389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2A0B">
              <w:rPr>
                <w:rFonts w:ascii="Arial" w:hAnsi="Arial" w:cs="Arial"/>
                <w:strike/>
                <w:sz w:val="18"/>
                <w:szCs w:val="18"/>
              </w:rPr>
              <w:t>16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647836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241CE49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0379940D" w14:textId="5D9AF1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2A0B">
              <w:rPr>
                <w:rFonts w:ascii="Arial" w:hAnsi="Arial" w:cs="Arial"/>
                <w:strike/>
                <w:sz w:val="18"/>
                <w:szCs w:val="18"/>
              </w:rPr>
              <w:t>16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6A31767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069B62FE" w14:textId="59BE4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2A0B">
              <w:rPr>
                <w:rFonts w:ascii="Arial" w:hAnsi="Arial" w:cs="Arial"/>
                <w:strike/>
                <w:sz w:val="18"/>
                <w:szCs w:val="18"/>
              </w:rPr>
              <w:t>16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P="008E0A39" w14:paraId="12316BF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P="008E0A39" w14:paraId="0D0887DA" w14:textId="72E47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2A0B">
              <w:rPr>
                <w:rFonts w:ascii="Arial" w:hAnsi="Arial" w:cs="Arial"/>
                <w:strike/>
                <w:sz w:val="18"/>
                <w:szCs w:val="18"/>
              </w:rPr>
              <w:t>610.08</w:t>
            </w:r>
            <w:r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495.69</w:t>
            </w:r>
          </w:p>
        </w:tc>
      </w:tr>
      <w:tr w14:paraId="4BC01A68" w14:textId="77777777" w:rsidTr="008E0A39">
        <w:tblPrEx>
          <w:tblW w:w="9720" w:type="dxa"/>
          <w:tblLayout w:type="fixed"/>
          <w:tblLook w:val="04A0"/>
        </w:tblPrEx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7A4596DF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ABA Youth</w:t>
            </w:r>
            <w:r w:rsidRPr="00D2179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D21794">
              <w:rPr>
                <w:rFonts w:ascii="Arial" w:hAnsi="Arial" w:cs="Arial"/>
                <w:sz w:val="18"/>
                <w:szCs w:val="18"/>
              </w:rPr>
              <w:t>Apprenticeship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Pre-Apprenticeship Partner/Employer Interview Protocol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37041F" w:rsidP="008E0A39" w14:paraId="5AB9F08E" w14:textId="71A82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2A0B">
              <w:rPr>
                <w:rFonts w:ascii="Arial" w:hAnsi="Arial" w:cs="Arial"/>
                <w:strike/>
                <w:sz w:val="18"/>
                <w:szCs w:val="18"/>
              </w:rPr>
              <w:t>1</w:t>
            </w:r>
            <w:r>
              <w:rPr>
                <w:rFonts w:ascii="Arial" w:hAnsi="Arial" w:cs="Arial"/>
                <w:strike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647836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2A4E680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1CFAAD37" w14:textId="46BE5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57D3DF6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762F97F6" w14:textId="179D2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2A0B">
              <w:rPr>
                <w:rFonts w:ascii="Arial" w:hAnsi="Arial" w:cs="Arial"/>
                <w:strike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P="008E0A39" w14:paraId="1AE5B52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P="008E0A39" w14:paraId="796250BB" w14:textId="421987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2A0B">
              <w:rPr>
                <w:rFonts w:ascii="Arial" w:hAnsi="Arial" w:cs="Arial"/>
                <w:strike/>
                <w:sz w:val="18"/>
                <w:szCs w:val="18"/>
              </w:rPr>
              <w:t>457.56</w:t>
            </w:r>
            <w:r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381.30</w:t>
            </w:r>
          </w:p>
        </w:tc>
      </w:tr>
      <w:tr w14:paraId="056121A2" w14:textId="77777777" w:rsidTr="008E0A39">
        <w:tblPrEx>
          <w:tblW w:w="9720" w:type="dxa"/>
          <w:tblLayout w:type="fixed"/>
          <w:tblLook w:val="04A0"/>
        </w:tblPrEx>
        <w:tc>
          <w:tcPr>
            <w:tcW w:w="178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D2A0B" w:rsidRPr="00065586" w:rsidP="008E0A39" w14:paraId="23C1E704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ABA State Apprenticeship System Grantee Staff/Partner Interview Protocol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D2A0B" w:rsidRPr="0037041F" w:rsidP="008E0A39" w14:paraId="60C8591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D2A0B" w:rsidRPr="00065586" w:rsidP="008E0A39" w14:paraId="010FDDD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D2A0B" w:rsidRPr="00065586" w:rsidP="008E0A39" w14:paraId="58BE6A4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D2A0B" w:rsidRPr="00065586" w:rsidP="008E0A39" w14:paraId="1C010D1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D2A0B" w:rsidRPr="00065586" w:rsidP="008E0A39" w14:paraId="6F5F75E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D2A0B" w:rsidP="008E0A39" w14:paraId="3C3C181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D2A0B" w:rsidP="008E0A39" w14:paraId="6875AC5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381.3</w:t>
            </w:r>
          </w:p>
        </w:tc>
      </w:tr>
      <w:tr w14:paraId="1447F169" w14:textId="77777777" w:rsidTr="008E0A39">
        <w:tblPrEx>
          <w:tblW w:w="9720" w:type="dxa"/>
          <w:tblLayout w:type="fixed"/>
          <w:tblLook w:val="04A0"/>
        </w:tblPrEx>
        <w:tc>
          <w:tcPr>
            <w:tcW w:w="1783" w:type="dxa"/>
            <w:tcBorders>
              <w:left w:val="nil"/>
              <w:right w:val="nil"/>
            </w:tcBorders>
            <w:vAlign w:val="center"/>
          </w:tcPr>
          <w:p w:rsidR="000D2A0B" w:rsidRPr="00065586" w:rsidP="008E0A39" w14:paraId="7A53F4C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ABA State Apprenticeship System Employer Interview Protocol </w:t>
            </w:r>
          </w:p>
        </w:tc>
        <w:tc>
          <w:tcPr>
            <w:tcW w:w="1097" w:type="dxa"/>
            <w:tcBorders>
              <w:left w:val="nil"/>
              <w:right w:val="nil"/>
            </w:tcBorders>
            <w:vAlign w:val="center"/>
          </w:tcPr>
          <w:p w:rsidR="000D2A0B" w:rsidRPr="0037041F" w:rsidP="008E0A39" w14:paraId="01E2679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0D2A0B" w:rsidRPr="00065586" w:rsidP="008E0A39" w14:paraId="65ACB18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left w:val="nil"/>
              <w:right w:val="nil"/>
            </w:tcBorders>
            <w:vAlign w:val="center"/>
          </w:tcPr>
          <w:p w:rsidR="000D2A0B" w:rsidRPr="00065586" w:rsidP="008E0A39" w14:paraId="2D24095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59" w:type="dxa"/>
            <w:tcBorders>
              <w:left w:val="nil"/>
              <w:right w:val="nil"/>
            </w:tcBorders>
            <w:vAlign w:val="center"/>
          </w:tcPr>
          <w:p w:rsidR="000D2A0B" w:rsidRPr="00065586" w:rsidP="008E0A39" w14:paraId="5A8782B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left w:val="nil"/>
              <w:right w:val="nil"/>
            </w:tcBorders>
            <w:vAlign w:val="center"/>
          </w:tcPr>
          <w:p w:rsidR="000D2A0B" w:rsidRPr="00065586" w:rsidP="008E0A39" w14:paraId="1BAF334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7" w:type="dxa"/>
            <w:tcBorders>
              <w:left w:val="nil"/>
              <w:right w:val="nil"/>
            </w:tcBorders>
            <w:vAlign w:val="center"/>
          </w:tcPr>
          <w:p w:rsidR="000D2A0B" w:rsidP="008E0A39" w14:paraId="2B4DE6A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1183" w:type="dxa"/>
            <w:tcBorders>
              <w:left w:val="nil"/>
              <w:right w:val="nil"/>
            </w:tcBorders>
            <w:vAlign w:val="center"/>
          </w:tcPr>
          <w:p w:rsidR="000D2A0B" w:rsidP="008E0A39" w14:paraId="66959A2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152.52</w:t>
            </w:r>
          </w:p>
        </w:tc>
      </w:tr>
      <w:tr w14:paraId="534900F4" w14:textId="77777777" w:rsidTr="008E0A39">
        <w:tblPrEx>
          <w:tblW w:w="9720" w:type="dxa"/>
          <w:tblLayout w:type="fixed"/>
          <w:tblLook w:val="04A0"/>
        </w:tblPrEx>
        <w:tc>
          <w:tcPr>
            <w:tcW w:w="1783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P="008E0A39" w14:paraId="27050CC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ABA Registered Apprenticeship Hub Grantee Staff Interview Protocol </w:t>
            </w:r>
          </w:p>
        </w:tc>
        <w:tc>
          <w:tcPr>
            <w:tcW w:w="109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37041F" w:rsidP="008E0A39" w14:paraId="07C91581" w14:textId="686288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484AA11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72130E80" w14:textId="6CF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59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60203D3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4FD90C12" w14:textId="2DF7C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2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P="008E0A39" w14:paraId="54B0E50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P="008E0A39" w14:paraId="214E48BB" w14:textId="23C06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sz w:val="18"/>
                <w:szCs w:val="18"/>
              </w:rPr>
              <w:t xml:space="preserve">266.91 </w:t>
            </w:r>
            <w:r>
              <w:rPr>
                <w:rFonts w:ascii="Arial" w:hAnsi="Arial" w:cs="Arial"/>
                <w:sz w:val="18"/>
                <w:szCs w:val="18"/>
              </w:rPr>
              <w:t>343.17</w:t>
            </w:r>
          </w:p>
        </w:tc>
      </w:tr>
      <w:tr w14:paraId="12D1D4E1" w14:textId="77777777" w:rsidTr="008E0A39">
        <w:tblPrEx>
          <w:tblW w:w="9720" w:type="dxa"/>
          <w:tblLayout w:type="fixed"/>
          <w:tblLook w:val="04A0"/>
        </w:tblPrEx>
        <w:tc>
          <w:tcPr>
            <w:tcW w:w="1783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P="008E0A39" w14:paraId="32B6745F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ABA Registered Apprenticeship Hub Partner Interview Protocol </w:t>
            </w:r>
          </w:p>
        </w:tc>
        <w:tc>
          <w:tcPr>
            <w:tcW w:w="109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37041F" w:rsidP="008E0A39" w14:paraId="1C9B3149" w14:textId="27292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08BE900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11A7C2C5" w14:textId="5EF2E2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59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6BE7C6D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35C35C87" w14:textId="154863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B3E">
              <w:rPr>
                <w:rFonts w:ascii="Arial" w:hAnsi="Arial" w:cs="Arial"/>
                <w:strike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2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P="008E0A39" w14:paraId="22C172C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632B3E" w:rsidP="008E0A39" w14:paraId="0E8C264B" w14:textId="31A5D5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sz w:val="18"/>
                <w:szCs w:val="18"/>
              </w:rPr>
              <w:t>266.91</w:t>
            </w:r>
          </w:p>
          <w:p w:rsidR="000D2A0B" w:rsidP="008E0A39" w14:paraId="725DC815" w14:textId="2F37E6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343.17</w:t>
            </w:r>
          </w:p>
        </w:tc>
      </w:tr>
      <w:tr w14:paraId="4A520242" w14:textId="77777777" w:rsidTr="008E0A39">
        <w:tblPrEx>
          <w:tblW w:w="9720" w:type="dxa"/>
          <w:tblLayout w:type="fixed"/>
          <w:tblLook w:val="04A0"/>
        </w:tblPrEx>
        <w:tc>
          <w:tcPr>
            <w:tcW w:w="1783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P="008E0A39" w14:paraId="16E069F9" w14:textId="77777777">
            <w:pPr>
              <w:rPr>
                <w:rFonts w:ascii="Arial" w:hAnsi="Arial" w:cs="Arial"/>
                <w:sz w:val="18"/>
                <w:szCs w:val="18"/>
              </w:rPr>
            </w:pPr>
            <w:bookmarkStart w:id="3" w:name="_Hlk142323455"/>
            <w:r>
              <w:rPr>
                <w:rFonts w:ascii="Arial" w:hAnsi="Arial" w:cs="Arial"/>
                <w:sz w:val="18"/>
                <w:szCs w:val="18"/>
              </w:rPr>
              <w:t xml:space="preserve">ABA Registered Apprenticeship Hub Customer Interview Protocol </w:t>
            </w:r>
          </w:p>
        </w:tc>
        <w:tc>
          <w:tcPr>
            <w:tcW w:w="109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37041F" w:rsidP="008E0A39" w14:paraId="3A4E2BB5" w14:textId="6FF38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63EF85B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76E9717A" w14:textId="26E88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59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74B357C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1159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RPr="00065586" w:rsidP="008E0A39" w14:paraId="1F3B038D" w14:textId="0D533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sz w:val="18"/>
                <w:szCs w:val="18"/>
              </w:rPr>
              <w:t>2.5</w:t>
            </w: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92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0D2A0B" w:rsidP="008E0A39" w14:paraId="3603E9C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632B3E" w:rsidRPr="00632B3E" w:rsidP="008E0A39" w14:paraId="44844774" w14:textId="5EBFF5E5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trike/>
                <w:sz w:val="18"/>
                <w:szCs w:val="18"/>
              </w:rPr>
              <w:t>95.33</w:t>
            </w:r>
          </w:p>
          <w:p w:rsidR="000D2A0B" w:rsidP="008E0A39" w14:paraId="4F2B4710" w14:textId="4207E9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133.46</w:t>
            </w:r>
          </w:p>
        </w:tc>
      </w:tr>
      <w:bookmarkEnd w:id="3"/>
      <w:tr w14:paraId="461A1D84" w14:textId="77777777" w:rsidTr="008E0A39">
        <w:tblPrEx>
          <w:tblW w:w="9720" w:type="dxa"/>
          <w:tblLayout w:type="fixed"/>
          <w:tblLook w:val="04A0"/>
        </w:tblPrEx>
        <w:tc>
          <w:tcPr>
            <w:tcW w:w="17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2A0B" w:rsidRPr="00E53681" w:rsidP="008E0A39" w14:paraId="472D88D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53681">
              <w:rPr>
                <w:rFonts w:ascii="Arial" w:hAnsi="Arial" w:cs="Arial"/>
                <w:sz w:val="18"/>
                <w:szCs w:val="18"/>
              </w:rPr>
              <w:t xml:space="preserve">ABA Impact </w:t>
            </w:r>
            <w:r>
              <w:rPr>
                <w:rFonts w:ascii="Arial" w:hAnsi="Arial" w:cs="Arial"/>
                <w:sz w:val="18"/>
                <w:szCs w:val="18"/>
              </w:rPr>
              <w:t xml:space="preserve">Evaluation </w:t>
            </w:r>
            <w:r w:rsidRPr="00E53681">
              <w:rPr>
                <w:rFonts w:ascii="Arial" w:hAnsi="Arial" w:cs="Arial"/>
                <w:sz w:val="18"/>
                <w:szCs w:val="18"/>
              </w:rPr>
              <w:t xml:space="preserve">Baseline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53681">
              <w:rPr>
                <w:rFonts w:ascii="Arial" w:hAnsi="Arial" w:cs="Arial"/>
                <w:sz w:val="18"/>
                <w:szCs w:val="18"/>
              </w:rPr>
              <w:t>urvey</w:t>
            </w:r>
            <w:r>
              <w:rPr>
                <w:rFonts w:ascii="Arial" w:hAnsi="Arial" w:cs="Arial"/>
                <w:sz w:val="18"/>
                <w:szCs w:val="18"/>
              </w:rPr>
              <w:t xml:space="preserve"> – participants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A0B" w:rsidRPr="001664F2" w:rsidP="008E0A39" w14:paraId="38E6E13E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1,334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A0B" w:rsidRPr="00041A1F" w:rsidP="008E0A39" w14:paraId="0C5BD228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A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A0B" w:rsidRPr="00041A1F" w:rsidP="008E0A39" w14:paraId="3999F8B6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1,334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A0B" w:rsidRPr="00041A1F" w:rsidP="008E0A39" w14:paraId="62E73016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A1F"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A0B" w:rsidRPr="00041A1F" w:rsidP="008E0A39" w14:paraId="5A2CB141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440.2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A0B" w:rsidRPr="00041A1F" w:rsidP="008E0A39" w14:paraId="7F98EEB7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A1F">
              <w:rPr>
                <w:rFonts w:ascii="Arial" w:hAnsi="Arial" w:cs="Arial"/>
                <w:sz w:val="18"/>
                <w:szCs w:val="18"/>
              </w:rPr>
              <w:t>7.25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A0B" w:rsidP="008E0A39" w14:paraId="290AD61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3,191.45</w:t>
            </w:r>
          </w:p>
          <w:p w:rsidR="000D2A0B" w:rsidRPr="00041A1F" w:rsidP="008E0A39" w14:paraId="1FC43B0D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  <w:tr w14:paraId="1C2F9F80" w14:textId="77777777" w:rsidTr="008E0A39">
        <w:tblPrEx>
          <w:tblW w:w="9720" w:type="dxa"/>
          <w:tblLayout w:type="fixed"/>
          <w:tblLook w:val="04A0"/>
        </w:tblPrEx>
        <w:trPr>
          <w:trHeight w:val="242"/>
        </w:trPr>
        <w:tc>
          <w:tcPr>
            <w:tcW w:w="1783" w:type="dxa"/>
            <w:tcBorders>
              <w:left w:val="nil"/>
              <w:bottom w:val="nil"/>
              <w:right w:val="nil"/>
            </w:tcBorders>
            <w:vAlign w:val="center"/>
          </w:tcPr>
          <w:p w:rsidR="000D2A0B" w:rsidRPr="00F73850" w:rsidP="008E0A39" w14:paraId="72EB28D7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1097" w:type="dxa"/>
            <w:tcBorders>
              <w:left w:val="nil"/>
              <w:bottom w:val="nil"/>
              <w:right w:val="nil"/>
            </w:tcBorders>
            <w:vAlign w:val="center"/>
          </w:tcPr>
          <w:p w:rsidR="000D2A0B" w:rsidRPr="00F73850" w:rsidP="008E0A39" w14:paraId="428AC2C8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2,104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:rsidR="000D2A0B" w:rsidRPr="00F73850" w:rsidP="008E0A39" w14:paraId="605F441A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42" w:type="dxa"/>
            <w:tcBorders>
              <w:left w:val="nil"/>
              <w:bottom w:val="nil"/>
              <w:right w:val="nil"/>
            </w:tcBorders>
            <w:vAlign w:val="center"/>
          </w:tcPr>
          <w:p w:rsidR="000D2A0B" w:rsidRPr="00F73850" w:rsidP="008E0A39" w14:paraId="41C4844B" w14:textId="77777777">
            <w:pPr>
              <w:tabs>
                <w:tab w:val="left" w:pos="320"/>
                <w:tab w:val="center" w:pos="513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2,104</w:t>
            </w:r>
          </w:p>
        </w:tc>
        <w:tc>
          <w:tcPr>
            <w:tcW w:w="1159" w:type="dxa"/>
            <w:tcBorders>
              <w:left w:val="nil"/>
              <w:bottom w:val="nil"/>
              <w:right w:val="nil"/>
            </w:tcBorders>
            <w:vAlign w:val="center"/>
          </w:tcPr>
          <w:p w:rsidR="000D2A0B" w:rsidRPr="00F73850" w:rsidP="008E0A39" w14:paraId="2B140BD6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15.33</w:t>
            </w:r>
          </w:p>
        </w:tc>
        <w:tc>
          <w:tcPr>
            <w:tcW w:w="1159" w:type="dxa"/>
            <w:tcBorders>
              <w:left w:val="nil"/>
              <w:bottom w:val="nil"/>
              <w:right w:val="nil"/>
            </w:tcBorders>
            <w:vAlign w:val="center"/>
          </w:tcPr>
          <w:p w:rsidR="000D2A0B" w:rsidRPr="00F73850" w:rsidP="008E0A39" w14:paraId="3B16DB5F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1,235.13</w:t>
            </w:r>
          </w:p>
        </w:tc>
        <w:tc>
          <w:tcPr>
            <w:tcW w:w="927" w:type="dxa"/>
            <w:tcBorders>
              <w:left w:val="nil"/>
              <w:bottom w:val="nil"/>
              <w:right w:val="nil"/>
            </w:tcBorders>
            <w:vAlign w:val="center"/>
          </w:tcPr>
          <w:p w:rsidR="000D2A0B" w:rsidP="008E0A39" w14:paraId="76EAA20D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410.3</w:t>
            </w:r>
          </w:p>
        </w:tc>
        <w:tc>
          <w:tcPr>
            <w:tcW w:w="1183" w:type="dxa"/>
            <w:tcBorders>
              <w:left w:val="nil"/>
              <w:bottom w:val="nil"/>
              <w:right w:val="nil"/>
            </w:tcBorders>
            <w:vAlign w:val="center"/>
          </w:tcPr>
          <w:p w:rsidR="000D2A0B" w:rsidP="008E0A39" w14:paraId="2257C50F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11,626.33</w:t>
            </w:r>
          </w:p>
        </w:tc>
      </w:tr>
      <w:tr w14:paraId="1C2406C2" w14:textId="77777777" w:rsidTr="008E0A39">
        <w:tblPrEx>
          <w:tblW w:w="9720" w:type="dxa"/>
          <w:tblLayout w:type="fixed"/>
          <w:tblLook w:val="04A0"/>
        </w:tblPrEx>
        <w:trPr>
          <w:trHeight w:val="242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A0B" w:rsidP="008E0A39" w14:paraId="6A06BD2D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A0B" w:rsidP="008E0A39" w14:paraId="1F9452B9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A0B" w:rsidP="008E0A39" w14:paraId="183641DA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A0B" w:rsidP="008E0A39" w14:paraId="7488F5F9" w14:textId="77777777">
            <w:pPr>
              <w:tabs>
                <w:tab w:val="left" w:pos="320"/>
                <w:tab w:val="center" w:pos="513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A0B" w:rsidP="008E0A39" w14:paraId="455150FC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A0B" w:rsidP="008E0A39" w14:paraId="5B9CB361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A0B" w:rsidP="008E0A39" w14:paraId="259A764B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A0B" w:rsidP="008E0A39" w14:paraId="31B8DDDC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bookmarkEnd w:id="2"/>
    <w:p w:rsidR="000D2A0B" w:rsidRPr="00CD61C8" w:rsidP="000D2A0B" w14:paraId="2D23FF0B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D61C8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CD61C8">
        <w:rPr>
          <w:rFonts w:ascii="Arial" w:hAnsi="Arial" w:cs="Arial"/>
          <w:sz w:val="18"/>
          <w:szCs w:val="18"/>
        </w:rPr>
        <w:t>Hourly wage for program staff and partners reflects the May 20</w:t>
      </w:r>
      <w:r>
        <w:rPr>
          <w:rFonts w:ascii="Arial" w:hAnsi="Arial" w:cs="Arial"/>
          <w:sz w:val="18"/>
          <w:szCs w:val="18"/>
        </w:rPr>
        <w:t xml:space="preserve">22 </w:t>
      </w:r>
      <w:r w:rsidRPr="00CD61C8">
        <w:rPr>
          <w:rFonts w:ascii="Arial" w:hAnsi="Arial" w:cs="Arial"/>
          <w:sz w:val="18"/>
          <w:szCs w:val="18"/>
        </w:rPr>
        <w:t xml:space="preserve"> mean hourly wage estimate for “social and community service managers” as reported by the U.S. Department of Labor, Bureau of Labor Statistics, Occupational Employment and Wage Estimates, 20</w:t>
      </w:r>
      <w:r>
        <w:rPr>
          <w:rFonts w:ascii="Arial" w:hAnsi="Arial" w:cs="Arial"/>
          <w:sz w:val="18"/>
          <w:szCs w:val="18"/>
        </w:rPr>
        <w:t>22</w:t>
      </w:r>
      <w:r w:rsidRPr="00CD61C8">
        <w:rPr>
          <w:rFonts w:ascii="Arial" w:hAnsi="Arial" w:cs="Arial"/>
          <w:sz w:val="18"/>
          <w:szCs w:val="18"/>
        </w:rPr>
        <w:t>, “May 20</w:t>
      </w:r>
      <w:r>
        <w:rPr>
          <w:rFonts w:ascii="Arial" w:hAnsi="Arial" w:cs="Arial"/>
          <w:sz w:val="18"/>
          <w:szCs w:val="18"/>
        </w:rPr>
        <w:t>22</w:t>
      </w:r>
      <w:r w:rsidRPr="00CD61C8">
        <w:rPr>
          <w:rFonts w:ascii="Arial" w:hAnsi="Arial" w:cs="Arial"/>
          <w:sz w:val="18"/>
          <w:szCs w:val="18"/>
        </w:rPr>
        <w:t xml:space="preserve"> National Occupational Employment and Wage Estimates United States,” (accessed from the following web site as of </w:t>
      </w:r>
      <w:r>
        <w:rPr>
          <w:rFonts w:ascii="Arial" w:hAnsi="Arial" w:cs="Arial"/>
          <w:sz w:val="18"/>
          <w:szCs w:val="18"/>
        </w:rPr>
        <w:t>May 1, 2023</w:t>
      </w:r>
      <w:r w:rsidRPr="00CD61C8">
        <w:rPr>
          <w:rFonts w:ascii="Arial" w:hAnsi="Arial" w:cs="Arial"/>
          <w:sz w:val="18"/>
          <w:szCs w:val="18"/>
        </w:rPr>
        <w:t xml:space="preserve">: </w:t>
      </w:r>
      <w:r>
        <w:fldChar w:fldCharType="begin"/>
      </w:r>
      <w:r w:rsidRPr="00CD61C8">
        <w:rPr>
          <w:rStyle w:val="Hyperlink"/>
          <w:rFonts w:ascii="Arial" w:hAnsi="Arial" w:cs="Arial"/>
          <w:sz w:val="18"/>
          <w:szCs w:val="18"/>
        </w:rPr>
        <w:instrText xml:space="preserve"> HYPERLINK "https://www.bls.gov/oes/current/oes_nat.htm" </w:instrText>
      </w:r>
      <w:r>
        <w:fldChar w:fldCharType="separate"/>
      </w:r>
      <w:r w:rsidRPr="00CD61C8">
        <w:rPr>
          <w:rStyle w:val="Hyperlink"/>
          <w:rFonts w:ascii="Arial" w:hAnsi="Arial" w:cs="Arial"/>
          <w:sz w:val="18"/>
          <w:szCs w:val="18"/>
        </w:rPr>
        <w:t>https://www.bls.gov/oes/current/oes_nat.htm</w:t>
      </w:r>
      <w:r>
        <w:fldChar w:fldCharType="end"/>
      </w:r>
      <w:r>
        <w:rPr>
          <w:rFonts w:ascii="Arial" w:hAnsi="Arial" w:cs="Arial"/>
          <w:sz w:val="18"/>
          <w:szCs w:val="18"/>
        </w:rPr>
        <w:t>.</w:t>
      </w:r>
      <w:r w:rsidRPr="00CD61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For apprentices and </w:t>
      </w:r>
      <w:r>
        <w:rPr>
          <w:rFonts w:ascii="Arial" w:hAnsi="Arial" w:cs="Arial"/>
          <w:sz w:val="18"/>
          <w:szCs w:val="18"/>
        </w:rPr>
        <w:t>pre-apprentices</w:t>
      </w:r>
      <w:r>
        <w:rPr>
          <w:rFonts w:ascii="Arial" w:hAnsi="Arial" w:cs="Arial"/>
          <w:sz w:val="18"/>
          <w:szCs w:val="18"/>
        </w:rPr>
        <w:t xml:space="preserve"> the hourly wage listed is the minimum wage.</w:t>
      </w:r>
    </w:p>
    <w:p w:rsidR="000D2A0B" w:rsidRPr="001C6752" w:rsidP="000D2A0B" w14:paraId="58FC162C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D61C8">
        <w:rPr>
          <w:rFonts w:ascii="Arial" w:hAnsi="Arial" w:cs="Arial"/>
          <w:sz w:val="18"/>
          <w:szCs w:val="18"/>
          <w:vertAlign w:val="superscript"/>
        </w:rPr>
        <w:t>2</w:t>
      </w:r>
      <w:r w:rsidRPr="00CD61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Assumes each of the ABA grantees is surveyed. </w:t>
      </w:r>
      <w:bookmarkStart w:id="4" w:name="_Hlk142816223"/>
      <w:r>
        <w:rPr>
          <w:rFonts w:ascii="Arial" w:hAnsi="Arial" w:cs="Arial"/>
          <w:sz w:val="18"/>
          <w:szCs w:val="18"/>
        </w:rPr>
        <w:t xml:space="preserve">Number of respondents per year are rounded to nearest whole </w:t>
      </w:r>
      <w:r w:rsidRPr="001C6752">
        <w:rPr>
          <w:rFonts w:ascii="Arial" w:hAnsi="Arial" w:cs="Arial"/>
          <w:sz w:val="18"/>
          <w:szCs w:val="18"/>
        </w:rPr>
        <w:t>unit.</w:t>
      </w:r>
    </w:p>
    <w:bookmarkEnd w:id="4"/>
    <w:p w:rsidR="000D2A0B" w:rsidRPr="001C6752" w:rsidP="000D2A0B" w14:paraId="59EB7345" w14:textId="77777777">
      <w:pPr>
        <w:spacing w:after="0" w:line="240" w:lineRule="auto"/>
        <w:rPr>
          <w:rFonts w:ascii="Arial" w:hAnsi="Arial" w:cs="Arial"/>
          <w:sz w:val="18"/>
          <w:szCs w:val="18"/>
          <w:vertAlign w:val="superscript"/>
        </w:rPr>
      </w:pPr>
      <w:r w:rsidRPr="001C6752"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Pr="001C6752">
        <w:rPr>
          <w:rFonts w:ascii="Arial" w:hAnsi="Arial" w:cs="Arial"/>
          <w:sz w:val="18"/>
          <w:szCs w:val="18"/>
        </w:rPr>
        <w:t>This assumes that we survey roughly 3,000 apprentices and 3,000 pre-apprentices with a 33 percent response rate over three years.</w:t>
      </w:r>
    </w:p>
    <w:p w:rsidR="000D2A0B" w:rsidRPr="001C6752" w:rsidP="000D2A0B" w14:paraId="38B1FD60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C6752">
        <w:rPr>
          <w:rFonts w:ascii="Arial" w:hAnsi="Arial" w:cs="Arial"/>
          <w:sz w:val="18"/>
          <w:szCs w:val="18"/>
          <w:vertAlign w:val="superscript"/>
        </w:rPr>
        <w:t xml:space="preserve">4 </w:t>
      </w:r>
      <w:r w:rsidRPr="001C6752">
        <w:rPr>
          <w:rFonts w:ascii="Arial" w:hAnsi="Arial" w:cs="Arial"/>
          <w:sz w:val="18"/>
          <w:szCs w:val="18"/>
        </w:rPr>
        <w:t xml:space="preserve">Assumes 5 focus groups (one per state) in study 1 and 4 focus groups in study 2 over three years. Assumes  </w:t>
      </w:r>
    </w:p>
    <w:p w:rsidR="000D2A0B" w:rsidRPr="001C6752" w:rsidP="000D2A0B" w14:paraId="1F522784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C6752">
        <w:rPr>
          <w:rFonts w:ascii="Arial" w:hAnsi="Arial" w:cs="Arial"/>
          <w:sz w:val="18"/>
          <w:szCs w:val="18"/>
        </w:rPr>
        <w:t xml:space="preserve">a maximum of 9 participants per group over three years. </w:t>
      </w:r>
    </w:p>
    <w:p w:rsidR="000D2A0B" w:rsidRPr="001C6752" w:rsidP="000D2A0B" w14:paraId="2DC2AC0D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C6752">
        <w:rPr>
          <w:rFonts w:ascii="Arial" w:hAnsi="Arial" w:cs="Arial"/>
          <w:sz w:val="18"/>
          <w:szCs w:val="18"/>
          <w:vertAlign w:val="superscript"/>
        </w:rPr>
        <w:t xml:space="preserve">5 </w:t>
      </w:r>
      <w:r w:rsidRPr="001C6752">
        <w:rPr>
          <w:rFonts w:ascii="Arial" w:hAnsi="Arial" w:cs="Arial"/>
          <w:sz w:val="18"/>
          <w:szCs w:val="18"/>
        </w:rPr>
        <w:t xml:space="preserve">Assumes </w:t>
      </w:r>
      <w:bookmarkStart w:id="5" w:name="_Hlk42788877"/>
      <w:r w:rsidRPr="001C6752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0</w:t>
      </w:r>
      <w:r w:rsidRPr="001C6752">
        <w:rPr>
          <w:rFonts w:ascii="Arial" w:hAnsi="Arial" w:cs="Arial"/>
          <w:sz w:val="18"/>
          <w:szCs w:val="18"/>
        </w:rPr>
        <w:t xml:space="preserve"> grantees visited for study 2 and interview 4 program staff and 3 partners (including employers) per site</w:t>
      </w:r>
      <w:bookmarkEnd w:id="5"/>
      <w:r w:rsidRPr="001C6752">
        <w:rPr>
          <w:rFonts w:ascii="Arial" w:hAnsi="Arial" w:cs="Arial"/>
          <w:sz w:val="18"/>
          <w:szCs w:val="18"/>
        </w:rPr>
        <w:t xml:space="preserve"> over three years.</w:t>
      </w:r>
      <w:r w:rsidRPr="009F3E5E">
        <w:rPr>
          <w:rFonts w:ascii="Arial" w:hAnsi="Arial" w:cs="Arial"/>
          <w:sz w:val="18"/>
          <w:szCs w:val="18"/>
        </w:rPr>
        <w:t xml:space="preserve"> Number of respondents per year are rounded to nearest whole unit.</w:t>
      </w:r>
    </w:p>
    <w:p w:rsidR="000D2A0B" w:rsidRPr="001C6752" w:rsidP="000D2A0B" w14:paraId="204F31F0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C6752">
        <w:rPr>
          <w:rFonts w:ascii="Arial" w:hAnsi="Arial" w:cs="Arial"/>
          <w:sz w:val="18"/>
          <w:szCs w:val="18"/>
          <w:vertAlign w:val="superscript"/>
        </w:rPr>
        <w:t xml:space="preserve">6 </w:t>
      </w:r>
      <w:r w:rsidRPr="001C6752">
        <w:rPr>
          <w:rFonts w:ascii="Arial" w:hAnsi="Arial" w:cs="Arial"/>
          <w:sz w:val="18"/>
          <w:szCs w:val="18"/>
        </w:rPr>
        <w:t>Assumes 5 grantees visited for study 1 and interview 4 grantee staff and 2 partners (other than employers) and 2 employers interviewed over three years. Number of respondents per year are rounded to nearest whole unit.</w:t>
      </w:r>
    </w:p>
    <w:p w:rsidR="000D2A0B" w:rsidRPr="001C6752" w:rsidP="000D2A0B" w14:paraId="193B750B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C6752">
        <w:rPr>
          <w:rFonts w:ascii="Arial" w:hAnsi="Arial" w:cs="Arial"/>
          <w:sz w:val="18"/>
          <w:szCs w:val="18"/>
          <w:vertAlign w:val="superscript"/>
        </w:rPr>
        <w:t xml:space="preserve">7 </w:t>
      </w:r>
      <w:r w:rsidRPr="001C6752">
        <w:rPr>
          <w:rFonts w:ascii="Arial" w:hAnsi="Arial" w:cs="Arial"/>
          <w:sz w:val="18"/>
          <w:szCs w:val="18"/>
        </w:rPr>
        <w:t xml:space="preserve">Assumes </w:t>
      </w:r>
      <w:r>
        <w:rPr>
          <w:rFonts w:ascii="Arial" w:hAnsi="Arial" w:cs="Arial"/>
          <w:sz w:val="18"/>
          <w:szCs w:val="18"/>
        </w:rPr>
        <w:t xml:space="preserve">7 </w:t>
      </w:r>
      <w:r w:rsidRPr="001C6752">
        <w:rPr>
          <w:rFonts w:ascii="Arial" w:hAnsi="Arial" w:cs="Arial"/>
          <w:sz w:val="18"/>
          <w:szCs w:val="18"/>
        </w:rPr>
        <w:t xml:space="preserve">grantees visited for study 3 interviews with 4 grantee staff, 4 partners (including employers) and 3 customers total over three years. </w:t>
      </w:r>
      <w:bookmarkStart w:id="6" w:name="_Hlk178752705"/>
      <w:r w:rsidRPr="001C6752">
        <w:rPr>
          <w:rFonts w:ascii="Arial" w:hAnsi="Arial" w:cs="Arial"/>
          <w:sz w:val="18"/>
          <w:szCs w:val="18"/>
        </w:rPr>
        <w:t>Number of respondents per year are rounded to nearest whole unit.</w:t>
      </w:r>
    </w:p>
    <w:bookmarkEnd w:id="6"/>
    <w:p w:rsidR="000D2A0B" w:rsidRPr="00CD61C8" w:rsidP="000D2A0B" w14:paraId="1905EAF5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C6752">
        <w:rPr>
          <w:rFonts w:ascii="Arial" w:hAnsi="Arial" w:cs="Arial"/>
          <w:sz w:val="18"/>
          <w:szCs w:val="18"/>
          <w:vertAlign w:val="superscript"/>
        </w:rPr>
        <w:t>8</w:t>
      </w:r>
      <w:r w:rsidRPr="001C6752">
        <w:rPr>
          <w:rFonts w:ascii="Arial" w:hAnsi="Arial" w:cs="Arial"/>
          <w:sz w:val="18"/>
          <w:szCs w:val="18"/>
        </w:rPr>
        <w:t>Assumes</w:t>
      </w:r>
      <w:r w:rsidRPr="00CD61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1,334</w:t>
      </w:r>
      <w:r w:rsidRPr="00CD61C8">
        <w:rPr>
          <w:rFonts w:ascii="Arial" w:hAnsi="Arial" w:cs="Arial"/>
          <w:sz w:val="18"/>
          <w:szCs w:val="18"/>
        </w:rPr>
        <w:t xml:space="preserve"> participants randomized </w:t>
      </w:r>
      <w:r>
        <w:rPr>
          <w:rFonts w:ascii="Arial" w:hAnsi="Arial" w:cs="Arial"/>
          <w:sz w:val="18"/>
          <w:szCs w:val="18"/>
        </w:rPr>
        <w:t>every</w:t>
      </w:r>
      <w:r w:rsidRPr="00CD61C8">
        <w:rPr>
          <w:rFonts w:ascii="Arial" w:hAnsi="Arial" w:cs="Arial"/>
          <w:sz w:val="18"/>
          <w:szCs w:val="18"/>
        </w:rPr>
        <w:t xml:space="preserve"> year</w:t>
      </w:r>
      <w:r>
        <w:rPr>
          <w:rFonts w:ascii="Arial" w:hAnsi="Arial" w:cs="Arial"/>
          <w:sz w:val="18"/>
          <w:szCs w:val="18"/>
        </w:rPr>
        <w:t xml:space="preserve"> for three years.</w:t>
      </w:r>
      <w:r w:rsidRPr="0040355A">
        <w:rPr>
          <w:rFonts w:ascii="Arial" w:hAnsi="Arial" w:cs="Arial"/>
          <w:sz w:val="18"/>
          <w:szCs w:val="18"/>
        </w:rPr>
        <w:t xml:space="preserve"> Number of respondents per year are rounded to nearest whole unit.</w:t>
      </w:r>
    </w:p>
    <w:p w:rsidR="000D2A0B" w:rsidRPr="006F74B3" w:rsidP="00172AC9" w14:paraId="08218581" w14:textId="77777777">
      <w:pPr>
        <w:spacing w:after="0" w:line="240" w:lineRule="auto"/>
        <w:rPr>
          <w:rFonts w:ascii="Calibri" w:eastAsia="Times New Roman" w:hAnsi="Calibri" w:cs="Calibr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642DC" w:rsidP="00A1766E" w14:paraId="282028D1" w14:textId="77777777">
      <w:pPr>
        <w:spacing w:after="0" w:line="240" w:lineRule="auto"/>
      </w:pPr>
      <w:r>
        <w:separator/>
      </w:r>
    </w:p>
  </w:footnote>
  <w:footnote w:type="continuationSeparator" w:id="1">
    <w:p w:rsidR="006642DC" w:rsidP="00A1766E" w14:paraId="1A463297" w14:textId="77777777">
      <w:pPr>
        <w:spacing w:after="0" w:line="240" w:lineRule="auto"/>
      </w:pPr>
      <w:r>
        <w:continuationSeparator/>
      </w:r>
    </w:p>
  </w:footnote>
  <w:footnote w:id="2">
    <w:p w:rsidR="00A1766E" w14:paraId="630B217A" w14:textId="54ADEE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1766E">
        <w:t>https://www.dol.gov/newsroom/releases/eta/eta20220824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17"/>
    <w:rsid w:val="00041A1F"/>
    <w:rsid w:val="00065586"/>
    <w:rsid w:val="00065A60"/>
    <w:rsid w:val="000D2A0B"/>
    <w:rsid w:val="001172FC"/>
    <w:rsid w:val="001664F2"/>
    <w:rsid w:val="00172AC9"/>
    <w:rsid w:val="001C6752"/>
    <w:rsid w:val="00283AD1"/>
    <w:rsid w:val="00342158"/>
    <w:rsid w:val="0037041F"/>
    <w:rsid w:val="003835DF"/>
    <w:rsid w:val="00385119"/>
    <w:rsid w:val="0040355A"/>
    <w:rsid w:val="004869A8"/>
    <w:rsid w:val="004E6D76"/>
    <w:rsid w:val="00530079"/>
    <w:rsid w:val="00632B3E"/>
    <w:rsid w:val="00647836"/>
    <w:rsid w:val="006642DC"/>
    <w:rsid w:val="006A18C8"/>
    <w:rsid w:val="006A2BAB"/>
    <w:rsid w:val="006F74B3"/>
    <w:rsid w:val="00726FB4"/>
    <w:rsid w:val="007C1817"/>
    <w:rsid w:val="00835E5D"/>
    <w:rsid w:val="008E0A39"/>
    <w:rsid w:val="008E5DD7"/>
    <w:rsid w:val="009A200C"/>
    <w:rsid w:val="009B4FD9"/>
    <w:rsid w:val="009C6A01"/>
    <w:rsid w:val="009F3E5E"/>
    <w:rsid w:val="00A1766E"/>
    <w:rsid w:val="00A76746"/>
    <w:rsid w:val="00AD3B5F"/>
    <w:rsid w:val="00AE319A"/>
    <w:rsid w:val="00B93AD4"/>
    <w:rsid w:val="00CC0C7D"/>
    <w:rsid w:val="00CD61C8"/>
    <w:rsid w:val="00D21794"/>
    <w:rsid w:val="00D530AF"/>
    <w:rsid w:val="00DD254A"/>
    <w:rsid w:val="00E05954"/>
    <w:rsid w:val="00E53681"/>
    <w:rsid w:val="00E873A0"/>
    <w:rsid w:val="00F54B9D"/>
    <w:rsid w:val="00F73850"/>
    <w:rsid w:val="00F90218"/>
    <w:rsid w:val="040D24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D64C19"/>
  <w15:chartTrackingRefBased/>
  <w15:docId w15:val="{43FDE4E5-EB5F-4A38-85DF-C4345617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qFormat/>
    <w:rsid w:val="00172AC9"/>
    <w:pPr>
      <w:spacing w:after="0" w:line="240" w:lineRule="auto"/>
    </w:pPr>
    <w:rPr>
      <w:rFonts w:ascii="Lucida Sans" w:eastAsia="Times New Roman" w:hAnsi="Lucida Sans" w:cs="Times New Roman"/>
      <w:sz w:val="18"/>
      <w:szCs w:val="24"/>
    </w:rPr>
  </w:style>
  <w:style w:type="paragraph" w:customStyle="1" w:styleId="TableHeaderCenter">
    <w:name w:val="Table Header Center"/>
    <w:basedOn w:val="Normal"/>
    <w:qFormat/>
    <w:rsid w:val="00172AC9"/>
    <w:pPr>
      <w:tabs>
        <w:tab w:val="left" w:pos="432"/>
      </w:tabs>
      <w:spacing w:before="120" w:after="60" w:line="240" w:lineRule="auto"/>
      <w:jc w:val="center"/>
    </w:pPr>
    <w:rPr>
      <w:rFonts w:ascii="Lucida Sans" w:eastAsia="Times New Roman" w:hAnsi="Lucida Sans" w:cs="Times New Roman"/>
      <w:sz w:val="18"/>
      <w:szCs w:val="24"/>
    </w:rPr>
  </w:style>
  <w:style w:type="paragraph" w:customStyle="1" w:styleId="TableHeaderLeft">
    <w:name w:val="Table Header Left"/>
    <w:basedOn w:val="Normal"/>
    <w:qFormat/>
    <w:rsid w:val="00172AC9"/>
    <w:pPr>
      <w:tabs>
        <w:tab w:val="left" w:pos="432"/>
      </w:tabs>
      <w:spacing w:before="120" w:after="60" w:line="240" w:lineRule="auto"/>
    </w:pPr>
    <w:rPr>
      <w:rFonts w:ascii="Lucida Sans" w:eastAsia="Times New Roman" w:hAnsi="Lucida Sans" w:cs="Times New Roman"/>
      <w:sz w:val="18"/>
      <w:szCs w:val="24"/>
    </w:rPr>
  </w:style>
  <w:style w:type="table" w:customStyle="1" w:styleId="SMPRTableBlack">
    <w:name w:val="SMPR_Table_Black"/>
    <w:basedOn w:val="TableNormal"/>
    <w:uiPriority w:val="99"/>
    <w:rsid w:val="00172AC9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72AC9"/>
    <w:rPr>
      <w:color w:val="0563C1" w:themeColor="hyperlink"/>
      <w:u w:val="single"/>
    </w:rPr>
  </w:style>
  <w:style w:type="paragraph" w:customStyle="1" w:styleId="Paragraph">
    <w:name w:val="Paragraph"/>
    <w:basedOn w:val="Normal"/>
    <w:qFormat/>
    <w:rsid w:val="006F74B3"/>
    <w:pPr>
      <w:spacing w:after="240" w:line="290" w:lineRule="exact"/>
    </w:pPr>
    <w:rPr>
      <w:rFonts w:eastAsia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4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B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4B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B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6FB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176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76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766E"/>
    <w:rPr>
      <w:vertAlign w:val="superscript"/>
    </w:rPr>
  </w:style>
  <w:style w:type="table" w:styleId="TableGrid">
    <w:name w:val="Table Grid"/>
    <w:basedOn w:val="TableNormal"/>
    <w:uiPriority w:val="39"/>
    <w:rsid w:val="000D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0AF27-298D-4CB8-BA9C-5F0C6AB5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1060</Words>
  <Characters>6098</Characters>
  <Application>Microsoft Office Word</Application>
  <DocSecurity>0</DocSecurity>
  <Lines>145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Martierrez, Deborah - ASP</dc:creator>
  <cp:lastModifiedBy>Hannon, Bradley - ASP</cp:lastModifiedBy>
  <cp:revision>2</cp:revision>
  <dcterms:created xsi:type="dcterms:W3CDTF">2024-10-18T20:25:00Z</dcterms:created>
  <dcterms:modified xsi:type="dcterms:W3CDTF">2024-10-18T20:25:00Z</dcterms:modified>
</cp:coreProperties>
</file>