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2B68" w:rsidRPr="00AA6051" w:rsidP="00322F15" w14:paraId="63221429" w14:textId="51EBF63E">
      <w:pPr>
        <w:pStyle w:val="PlainText"/>
        <w:spacing w:after="240"/>
        <w:jc w:val="center"/>
        <w:rPr>
          <w:rFonts w:ascii="Times New Roman" w:eastAsia="MS Mincho" w:hAnsi="Times New Roman" w:cs="Times New Roman"/>
          <w:sz w:val="24"/>
          <w:u w:val="single"/>
        </w:rPr>
      </w:pPr>
      <w:r w:rsidRPr="00AA6051">
        <w:rPr>
          <w:rFonts w:ascii="Times New Roman" w:eastAsia="MS Mincho" w:hAnsi="Times New Roman" w:cs="Times New Roman"/>
          <w:sz w:val="24"/>
          <w:u w:val="single"/>
        </w:rPr>
        <w:t>Supp</w:t>
      </w:r>
      <w:r w:rsidRPr="00AA6051" w:rsidR="00C538B7">
        <w:rPr>
          <w:rFonts w:ascii="Times New Roman" w:eastAsia="MS Mincho" w:hAnsi="Times New Roman" w:cs="Times New Roman"/>
          <w:sz w:val="24"/>
          <w:u w:val="single"/>
        </w:rPr>
        <w:t xml:space="preserve">orting </w:t>
      </w:r>
      <w:r w:rsidRPr="00AA6051">
        <w:rPr>
          <w:rFonts w:ascii="Times New Roman" w:eastAsia="MS Mincho" w:hAnsi="Times New Roman" w:cs="Times New Roman"/>
          <w:sz w:val="24"/>
          <w:u w:val="single"/>
        </w:rPr>
        <w:t>Statement</w:t>
      </w:r>
      <w:r w:rsidR="00322F15">
        <w:rPr>
          <w:rFonts w:ascii="Times New Roman" w:eastAsia="MS Mincho" w:hAnsi="Times New Roman" w:cs="Times New Roman"/>
          <w:sz w:val="24"/>
          <w:u w:val="single"/>
        </w:rPr>
        <w:br/>
      </w:r>
      <w:r w:rsidRPr="00AA6051">
        <w:rPr>
          <w:rFonts w:ascii="Times New Roman" w:eastAsia="MS Mincho" w:hAnsi="Times New Roman" w:cs="Times New Roman"/>
          <w:sz w:val="24"/>
          <w:u w:val="single"/>
        </w:rPr>
        <w:t>OMB Control Number 1506-</w:t>
      </w:r>
      <w:r w:rsidRPr="00AA6051" w:rsidR="00567616">
        <w:rPr>
          <w:rFonts w:ascii="Times New Roman" w:eastAsia="MS Mincho" w:hAnsi="Times New Roman" w:cs="Times New Roman"/>
          <w:sz w:val="24"/>
          <w:u w:val="single"/>
        </w:rPr>
        <w:t>00</w:t>
      </w:r>
      <w:r w:rsidR="00567616">
        <w:rPr>
          <w:rFonts w:ascii="Times New Roman" w:eastAsia="MS Mincho" w:hAnsi="Times New Roman" w:cs="Times New Roman"/>
          <w:sz w:val="24"/>
          <w:u w:val="single"/>
        </w:rPr>
        <w:t>12</w:t>
      </w:r>
    </w:p>
    <w:p w:rsidR="00643252" w:rsidRPr="00322F15" w:rsidP="00322F15" w14:paraId="2EC466E6" w14:textId="2F847C6E">
      <w:pPr>
        <w:pStyle w:val="PlainText"/>
        <w:spacing w:after="240"/>
        <w:rPr>
          <w:rFonts w:ascii="Times New Roman" w:eastAsia="MS Mincho" w:hAnsi="Times New Roman" w:cs="Times New Roman"/>
          <w:sz w:val="24"/>
          <w:szCs w:val="24"/>
          <w:u w:val="single"/>
        </w:rPr>
      </w:pPr>
      <w:r>
        <w:rPr>
          <w:rFonts w:ascii="Times New Roman" w:eastAsia="MS Mincho" w:hAnsi="Times New Roman" w:cs="Times New Roman"/>
          <w:bCs/>
          <w:sz w:val="24"/>
          <w:szCs w:val="24"/>
          <w:u w:val="single"/>
        </w:rPr>
        <w:t>Transactions of Exempt Person</w:t>
      </w:r>
      <w:r w:rsidR="009A22A3">
        <w:rPr>
          <w:rFonts w:ascii="Times New Roman" w:eastAsia="MS Mincho" w:hAnsi="Times New Roman" w:cs="Times New Roman"/>
          <w:bCs/>
          <w:sz w:val="24"/>
          <w:szCs w:val="24"/>
          <w:u w:val="single"/>
        </w:rPr>
        <w:t>s</w:t>
      </w:r>
      <w:r>
        <w:rPr>
          <w:rFonts w:ascii="Times New Roman" w:eastAsia="MS Mincho" w:hAnsi="Times New Roman" w:cs="Times New Roman"/>
          <w:bCs/>
          <w:sz w:val="24"/>
          <w:szCs w:val="24"/>
          <w:u w:val="single"/>
        </w:rPr>
        <w:t xml:space="preserve"> </w:t>
      </w:r>
      <w:r w:rsidR="00B0737E">
        <w:rPr>
          <w:rFonts w:ascii="Times New Roman" w:eastAsia="MS Mincho" w:hAnsi="Times New Roman" w:cs="Times New Roman"/>
          <w:bCs/>
          <w:sz w:val="24"/>
          <w:szCs w:val="24"/>
          <w:u w:val="single"/>
        </w:rPr>
        <w:t>Regulations</w:t>
      </w:r>
      <w:r w:rsidR="000319AD">
        <w:rPr>
          <w:rFonts w:ascii="Times New Roman" w:eastAsia="MS Mincho" w:hAnsi="Times New Roman" w:cs="Times New Roman"/>
          <w:bCs/>
          <w:sz w:val="24"/>
          <w:szCs w:val="24"/>
          <w:u w:val="single"/>
        </w:rPr>
        <w:t>,</w:t>
      </w:r>
      <w:r w:rsidR="00EA41CE">
        <w:rPr>
          <w:rFonts w:ascii="Times New Roman" w:eastAsia="MS Mincho" w:hAnsi="Times New Roman" w:cs="Times New Roman"/>
          <w:bCs/>
          <w:sz w:val="24"/>
          <w:szCs w:val="24"/>
          <w:u w:val="single"/>
        </w:rPr>
        <w:t xml:space="preserve"> and FinCEN </w:t>
      </w:r>
      <w:r w:rsidR="000319AD">
        <w:rPr>
          <w:rFonts w:ascii="Times New Roman" w:eastAsia="MS Mincho" w:hAnsi="Times New Roman" w:cs="Times New Roman"/>
          <w:bCs/>
          <w:sz w:val="24"/>
          <w:szCs w:val="24"/>
          <w:u w:val="single"/>
        </w:rPr>
        <w:t>Form</w:t>
      </w:r>
      <w:r w:rsidR="00EA41CE">
        <w:rPr>
          <w:rFonts w:ascii="Times New Roman" w:eastAsia="MS Mincho" w:hAnsi="Times New Roman" w:cs="Times New Roman"/>
          <w:bCs/>
          <w:sz w:val="24"/>
          <w:szCs w:val="24"/>
          <w:u w:val="single"/>
        </w:rPr>
        <w:t xml:space="preserve"> 110</w:t>
      </w:r>
      <w:r w:rsidR="000319AD">
        <w:rPr>
          <w:rFonts w:ascii="Times New Roman" w:eastAsia="MS Mincho" w:hAnsi="Times New Roman" w:cs="Times New Roman"/>
          <w:bCs/>
          <w:sz w:val="24"/>
          <w:szCs w:val="24"/>
          <w:u w:val="single"/>
        </w:rPr>
        <w:t xml:space="preserve">, </w:t>
      </w:r>
      <w:r w:rsidR="002205E0">
        <w:rPr>
          <w:rFonts w:ascii="Times New Roman" w:eastAsia="MS Mincho" w:hAnsi="Times New Roman" w:cs="Times New Roman"/>
          <w:bCs/>
          <w:sz w:val="24"/>
          <w:szCs w:val="24"/>
          <w:u w:val="single"/>
        </w:rPr>
        <w:t>Designation of Exempt Persons</w:t>
      </w:r>
      <w:r w:rsidR="00EA41CE">
        <w:rPr>
          <w:rFonts w:ascii="Times New Roman" w:eastAsia="MS Mincho" w:hAnsi="Times New Roman" w:cs="Times New Roman"/>
          <w:bCs/>
          <w:sz w:val="24"/>
          <w:szCs w:val="24"/>
          <w:u w:val="single"/>
        </w:rPr>
        <w:t xml:space="preserve"> Report</w:t>
      </w:r>
      <w:r w:rsidRPr="00417F2A" w:rsidR="00417F2A">
        <w:rPr>
          <w:rFonts w:ascii="Times New Roman" w:eastAsia="MS Mincho" w:hAnsi="Times New Roman" w:cs="Times New Roman"/>
          <w:bCs/>
          <w:sz w:val="24"/>
          <w:szCs w:val="24"/>
          <w:u w:val="single"/>
        </w:rPr>
        <w:t>.</w:t>
      </w:r>
      <w:r w:rsidRPr="00AA6051" w:rsidR="00F22B68">
        <w:rPr>
          <w:rFonts w:ascii="Times New Roman" w:hAnsi="Times New Roman" w:cs="Times New Roman"/>
          <w:sz w:val="24"/>
          <w:szCs w:val="24"/>
          <w:u w:val="single"/>
        </w:rPr>
        <w:t xml:space="preserve"> </w:t>
      </w:r>
    </w:p>
    <w:p w:rsidR="00F22B68" w:rsidRPr="00322F15" w:rsidP="00322F15" w14:paraId="51BAC409" w14:textId="08A64B40">
      <w:pPr>
        <w:pStyle w:val="PlainText"/>
        <w:spacing w:after="240"/>
        <w:rPr>
          <w:rFonts w:ascii="Times New Roman" w:eastAsia="MS Mincho" w:hAnsi="Times New Roman" w:cs="Times New Roman"/>
          <w:sz w:val="24"/>
        </w:rPr>
      </w:pPr>
      <w:r w:rsidRPr="00AA6051">
        <w:rPr>
          <w:rFonts w:ascii="Times New Roman" w:eastAsia="MS Mincho" w:hAnsi="Times New Roman" w:cs="Times New Roman"/>
          <w:sz w:val="24"/>
        </w:rPr>
        <w:t xml:space="preserve">1. </w:t>
      </w:r>
      <w:r w:rsidRPr="00AA6051">
        <w:rPr>
          <w:rFonts w:ascii="Times New Roman" w:hAnsi="Times New Roman" w:cs="Times New Roman"/>
          <w:sz w:val="24"/>
          <w:szCs w:val="22"/>
          <w:u w:val="single"/>
        </w:rPr>
        <w:t>Circumstances necessitating collection of information.</w:t>
      </w:r>
    </w:p>
    <w:p w:rsidR="000148CE" w:rsidP="00322F15" w14:paraId="5C8FB38A" w14:textId="6EA18E12">
      <w:pPr>
        <w:pStyle w:val="BodyTextIndent"/>
        <w:spacing w:after="240"/>
        <w:ind w:left="0" w:firstLine="720"/>
      </w:pPr>
      <w:r w:rsidRPr="000148CE">
        <w:t xml:space="preserve">The legislative framework </w:t>
      </w:r>
      <w:r w:rsidRPr="000148CE">
        <w:t>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rPr>
        <w:footnoteReference w:id="2"/>
      </w:r>
      <w:r w:rsidRPr="000148CE">
        <w:t xml:space="preserve"> and other legislation, including the Anti-Money Laundering Act of 2020 (AML Act).</w:t>
      </w:r>
      <w:r>
        <w:rPr>
          <w:rStyle w:val="FootnoteReference"/>
        </w:rPr>
        <w:footnoteReference w:id="3"/>
      </w:r>
      <w:r w:rsidRPr="000148CE">
        <w:t xml:space="preserve">  The BSA is codified at 12 U.S.C. 1829b, 1951–1960 and 31 U.S.C. 5311–5314, 5316–5336, including notes thereto, with implementing regulations at 31 CFR chapter X.   </w:t>
      </w:r>
    </w:p>
    <w:p w:rsidR="009903B8" w:rsidRPr="000148CE" w:rsidP="00322F15" w14:paraId="30D32B06" w14:textId="46D42EBE">
      <w:pPr>
        <w:pStyle w:val="BodyTextIndent"/>
        <w:spacing w:after="240"/>
        <w:ind w:left="0" w:firstLine="720"/>
      </w:pPr>
      <w:r w:rsidRPr="000148CE">
        <w:t xml:space="preserve">The BSA authorizes the Secretary of the Treasury (Secretary) to, </w:t>
      </w:r>
      <w:r w:rsidRPr="000148CE">
        <w:rPr>
          <w:i/>
        </w:rPr>
        <w:t>inter alia</w:t>
      </w:r>
      <w:r w:rsidRPr="000148CE">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 anti-money laundering/countering the financing of terrorism (AML/CFT) programs and compliance procedures.</w:t>
      </w:r>
      <w:r>
        <w:rPr>
          <w:rStyle w:val="FootnoteReference"/>
        </w:rPr>
        <w:footnoteReference w:id="4"/>
      </w:r>
      <w:r w:rsidRPr="000148CE">
        <w:t xml:space="preserve">  The authority of the Secretary to administer the BSA has been delegated to the Director of FinCEN.</w:t>
      </w:r>
      <w:r>
        <w:rPr>
          <w:rStyle w:val="FootnoteReference"/>
        </w:rPr>
        <w:footnoteReference w:id="5"/>
      </w:r>
    </w:p>
    <w:p w:rsidR="00F16912" w:rsidP="00F16912" w14:paraId="42C1AD68" w14:textId="77777777">
      <w:pPr>
        <w:shd w:val="clear" w:color="auto" w:fill="FFFFFF"/>
        <w:spacing w:after="240"/>
        <w:ind w:firstLine="720"/>
      </w:pPr>
      <w:r w:rsidRPr="000148CE">
        <w:t xml:space="preserve">Under 31 U.S.C. 5313, the Secretary is authorized to require financial institutions to report </w:t>
      </w:r>
      <w:r w:rsidR="00945B73">
        <w:t xml:space="preserve">certain </w:t>
      </w:r>
      <w:r w:rsidRPr="000148CE">
        <w:t>currency transactions.  Regulations implementing 31 U.S.C. 5313 are found at 31 CFR 1010.310 through 1010.314, 31 CFR 1021.311, and 31 CFR 1021.313.  The Money Laundering Suppression Act of 1994 amended the BSA to create certain mandatory exemptions applicable to banks from the requirement for financial institutions to file currency transaction reports (CTRs), and to give the Secretary authority to create additional such exemptions.</w:t>
      </w:r>
      <w:r>
        <w:rPr>
          <w:rStyle w:val="FootnoteReference"/>
        </w:rPr>
        <w:footnoteReference w:id="6"/>
      </w:r>
      <w:r w:rsidRPr="000148CE">
        <w:t xml:space="preserve">  Regulations implementing this exemption authority, including by requiring the collection of information on </w:t>
      </w:r>
      <w:r w:rsidRPr="000148CE">
        <w:rPr>
          <w:rFonts w:eastAsia="MS Mincho"/>
        </w:rPr>
        <w:t>FinCEN Form 110, Designation of Exempt Person (</w:t>
      </w:r>
      <w:r w:rsidRPr="000148CE">
        <w:t xml:space="preserve">DOEP Report), are found at 31 CFR 1020.315. </w:t>
      </w:r>
    </w:p>
    <w:p w:rsidR="009743C2" w:rsidRPr="00EB3876" w:rsidP="00F16912" w14:paraId="307CD6C3" w14:textId="5BE38712">
      <w:pPr>
        <w:shd w:val="clear" w:color="auto" w:fill="FFFFFF"/>
        <w:spacing w:after="240"/>
        <w:ind w:firstLine="720"/>
        <w:rPr>
          <w:rStyle w:val="Hyperlink"/>
          <w:color w:val="auto"/>
          <w:u w:val="none"/>
        </w:rPr>
      </w:pPr>
      <w:r w:rsidRPr="000148CE">
        <w:t xml:space="preserve">Under </w:t>
      </w:r>
      <w:hyperlink r:id="rId6" w:tgtFrame="_blank" w:history="1">
        <w:r w:rsidRPr="00EB3876">
          <w:rPr>
            <w:rStyle w:val="Hyperlink"/>
            <w:color w:val="auto"/>
            <w:u w:val="none"/>
          </w:rPr>
          <w:t>31 CFR 1020.315(a), a bank is not required to file a CTR with respect to any transaction in currency between exempt persons and the bank, or between an exempt person and other banks that are affiliated with the bank.</w:t>
        </w:r>
        <w:r>
          <w:rPr>
            <w:rStyle w:val="FootnoteReference"/>
          </w:rPr>
          <w:footnoteReference w:id="7"/>
        </w:r>
        <w:r w:rsidRPr="00EB3876">
          <w:rPr>
            <w:rStyle w:val="Hyperlink"/>
            <w:color w:val="auto"/>
            <w:u w:val="none"/>
          </w:rPr>
          <w:t xml:space="preserve"> </w:t>
        </w:r>
      </w:hyperlink>
    </w:p>
    <w:p w:rsidR="009743C2" w:rsidRPr="000148CE" w:rsidP="00322F15" w14:paraId="489C871B" w14:textId="755060F3">
      <w:pPr>
        <w:shd w:val="clear" w:color="auto" w:fill="FFFFFF"/>
        <w:spacing w:after="240"/>
        <w:ind w:firstLine="720"/>
        <w:rPr>
          <w:color w:val="000000"/>
        </w:rPr>
      </w:pPr>
      <w:r w:rsidRPr="000148CE">
        <w:rPr>
          <w:color w:val="000000"/>
        </w:rPr>
        <w:t xml:space="preserve">31 CFR 1020.315(b) sets out that an exempt person is: (1) a bank, to the extent of such bank’s domestic operations; (2) a department or agency of the United States, of any State, or of any political subdivision of any State; (3) any entity established under the laws of the United States, </w:t>
      </w:r>
      <w:r w:rsidR="00A776BD">
        <w:rPr>
          <w:color w:val="000000"/>
        </w:rPr>
        <w:t xml:space="preserve">of </w:t>
      </w:r>
      <w:r w:rsidRPr="000148CE">
        <w:rPr>
          <w:color w:val="000000"/>
        </w:rPr>
        <w:t xml:space="preserve">any State, or </w:t>
      </w:r>
      <w:r w:rsidR="00A776BD">
        <w:rPr>
          <w:color w:val="000000"/>
        </w:rPr>
        <w:t xml:space="preserve">of </w:t>
      </w:r>
      <w:r w:rsidRPr="000148CE">
        <w:rPr>
          <w:color w:val="000000"/>
        </w:rPr>
        <w:t>any political subdivision of any State, or under an interstate compact, that exercises governmental authority on behalf of the United States, any such State, or any such political subdivision; (4) any entity, other than a bank, whose common stock or analogous equity interests are listed on the New York Stock Exchange, the American Exchange, or the NASDAQ Stock Market (a “listed entity”), provided that, if the listed entity is a financial institution other than a bank, it is an exempt per</w:t>
      </w:r>
      <w:r w:rsidRPr="000148CE">
        <w:rPr>
          <w:color w:val="000000"/>
        </w:rPr>
        <w:t>son only to the extent of its domestic operations; (5) any subsidiary, other than a bank, of a listed entity mentioned in the previous item (4) that is organized under the laws of the United States or of any State, provided that the listed entity owns at least 51 percent of the equity interest of the subsidiary, and subject to the qualification that if the subsidiary is a financial institution other than a bank, it is an exempt person only to the extent of its domestic operations; (6) any other commercial e</w:t>
      </w:r>
      <w:r w:rsidRPr="000148CE">
        <w:rPr>
          <w:color w:val="000000"/>
        </w:rPr>
        <w:t xml:space="preserve">nterprise, with certain exceptions, that maintains a transaction account at the bank for at least two months, frequently engages in transactions with the bank in currency in excess of $10,000, and is incorporated or organized under the laws of, </w:t>
      </w:r>
      <w:r w:rsidRPr="000148CE">
        <w:rPr>
          <w:rFonts w:eastAsia="MS Mincho"/>
        </w:rPr>
        <w:t xml:space="preserve">or is registered as and eligible to do business within, the United States or a State </w:t>
      </w:r>
      <w:r w:rsidRPr="000148CE">
        <w:rPr>
          <w:color w:val="000000"/>
        </w:rPr>
        <w:t>(a “non-listed business”)</w:t>
      </w:r>
      <w:r w:rsidRPr="000148CE">
        <w:rPr>
          <w:rFonts w:eastAsia="MS Mincho"/>
        </w:rPr>
        <w:t>, but only</w:t>
      </w:r>
      <w:r w:rsidRPr="000148CE">
        <w:rPr>
          <w:color w:val="000000"/>
        </w:rPr>
        <w:t xml:space="preserve"> to the extent of the non-listed business customer’s domestic operations and only with respect to transactions conducted through the non-listed bus</w:t>
      </w:r>
      <w:r w:rsidRPr="000148CE">
        <w:rPr>
          <w:color w:val="000000"/>
        </w:rPr>
        <w:t xml:space="preserve">iness customer’s exemptible accounts; or (7) any other person, with certain exceptions, that maintains a transaction account at the bank for at least two months, operates a firm that frequently withdraws more than $10,000 in order to pay its U.S. employees in currency, and is incorporated or organized under the laws of, </w:t>
      </w:r>
      <w:r w:rsidRPr="000148CE">
        <w:rPr>
          <w:rFonts w:eastAsia="MS Mincho"/>
        </w:rPr>
        <w:t>or is registered as and eligible to do business within, the United States or a State (a “payroll customer”), but solely with respect to withdrawals for payroll purposes from existing exempti</w:t>
      </w:r>
      <w:r w:rsidRPr="000148CE">
        <w:rPr>
          <w:rFonts w:eastAsia="MS Mincho"/>
        </w:rPr>
        <w:t>ble accounts</w:t>
      </w:r>
      <w:r w:rsidRPr="000148CE">
        <w:rPr>
          <w:color w:val="000000"/>
        </w:rPr>
        <w:t>.</w:t>
      </w:r>
      <w:r>
        <w:rPr>
          <w:rStyle w:val="FootnoteReference"/>
          <w:color w:val="000000"/>
        </w:rPr>
        <w:footnoteReference w:id="8"/>
      </w:r>
      <w:r w:rsidRPr="000148CE">
        <w:rPr>
          <w:color w:val="000000"/>
        </w:rPr>
        <w:t xml:space="preserve">  </w:t>
      </w:r>
    </w:p>
    <w:p w:rsidR="009743C2" w:rsidRPr="000148CE" w:rsidP="00322F15" w14:paraId="49E2CF24" w14:textId="27A436C6">
      <w:pPr>
        <w:shd w:val="clear" w:color="auto" w:fill="FFFFFF"/>
        <w:spacing w:after="240"/>
        <w:ind w:firstLine="720"/>
        <w:rPr>
          <w:rFonts w:eastAsia="MS Mincho"/>
        </w:rPr>
      </w:pPr>
      <w:r w:rsidRPr="000148CE">
        <w:rPr>
          <w:rFonts w:eastAsia="MS Mincho"/>
        </w:rPr>
        <w:t>31 CFR 1020.315(c)(1) requires a bank to designate an exempt person by filing the DOEP Report</w:t>
      </w:r>
      <w:r>
        <w:rPr>
          <w:rStyle w:val="FootnoteReference"/>
          <w:rFonts w:eastAsia="MS Mincho"/>
        </w:rPr>
        <w:footnoteReference w:id="9"/>
      </w:r>
      <w:r w:rsidRPr="000148CE">
        <w:rPr>
          <w:rFonts w:eastAsia="MS Mincho"/>
        </w:rPr>
        <w:t xml:space="preserve"> within 30 calendar days after the day of the first reportable transaction in currency with the person that the bank seeks to exempt from reporting.  A bank holding company or one of its bank subsidiaries may make such a designation on behalf of any or all of the bank holding company’s bank subsidiaries by listing those bank subsidiaries in the DOEP Report that it files.</w:t>
      </w:r>
      <w:r>
        <w:rPr>
          <w:rStyle w:val="FootnoteReference"/>
          <w:rFonts w:eastAsia="MS Mincho"/>
        </w:rPr>
        <w:footnoteReference w:id="10"/>
      </w:r>
      <w:r w:rsidRPr="000148CE">
        <w:rPr>
          <w:rFonts w:eastAsia="MS Mincho"/>
        </w:rPr>
        <w:t xml:space="preserve">  However, a bank is not required to file a </w:t>
      </w:r>
      <w:r w:rsidRPr="000148CE">
        <w:rPr>
          <w:rFonts w:eastAsia="MS Mincho"/>
        </w:rPr>
        <w:t xml:space="preserve">DOEP Report for transfer of currency to or from: (1) any of the 12 Federal Reserve Banks; (2) a bank, to the extent of such bank’s domestic operations; </w:t>
      </w:r>
      <w:r w:rsidRPr="000148CE">
        <w:rPr>
          <w:color w:val="000000"/>
        </w:rPr>
        <w:t xml:space="preserve">(3) a department or agency of the United States, of any State, or of any political subdivision of any State; or (4) any entity established under the laws of the United States, </w:t>
      </w:r>
      <w:r w:rsidRPr="000148CE">
        <w:t>any State, or any political subdivision of any State, or under an interstate compact between two or more States, that exercises governmental</w:t>
      </w:r>
      <w:r w:rsidRPr="000148CE">
        <w:t xml:space="preserve"> authority on behalf of the United States or any such State or political subdivision</w:t>
      </w:r>
      <w:r w:rsidRPr="000148CE">
        <w:rPr>
          <w:color w:val="000000"/>
        </w:rPr>
        <w:t>.</w:t>
      </w:r>
      <w:r>
        <w:rPr>
          <w:rStyle w:val="FootnoteReference"/>
          <w:rFonts w:eastAsia="MS Mincho"/>
        </w:rPr>
        <w:footnoteReference w:id="11"/>
      </w:r>
      <w:r w:rsidRPr="000148CE">
        <w:rPr>
          <w:rFonts w:eastAsia="MS Mincho"/>
        </w:rPr>
        <w:t xml:space="preserve">    </w:t>
      </w:r>
    </w:p>
    <w:p w:rsidR="009743C2" w:rsidRPr="000148CE" w:rsidP="00322F15" w14:paraId="0A832C3B" w14:textId="61D6245E">
      <w:pPr>
        <w:pStyle w:val="NormalWeb"/>
        <w:shd w:val="clear" w:color="auto" w:fill="FFFFFF"/>
        <w:spacing w:before="0" w:beforeAutospacing="0" w:after="240" w:afterAutospacing="0"/>
        <w:ind w:firstLine="720"/>
        <w:rPr>
          <w:rFonts w:eastAsia="MS Mincho"/>
        </w:rPr>
      </w:pPr>
      <w:r w:rsidRPr="000148CE">
        <w:rPr>
          <w:rFonts w:eastAsia="MS Mincho"/>
        </w:rPr>
        <w:t xml:space="preserve">31 CFR 1020.315(d) requires a bank to review at least once annually the continued eligibility of an exempt person that is a (1) listed entity, (2) subsidiary of a listed entity, (3) non-listed business customer, or (4) payroll customer.  As part of the annual review, a bank must also review the application to each existing account of a non-listed business or payroll customer of the monitoring system that 31 CFR 1020.315(h)(2) requires the bank to maintain (related to suspicious activity monitoring). </w:t>
      </w:r>
    </w:p>
    <w:p w:rsidR="000148CE" w:rsidP="00322F15" w14:paraId="1EDA9BED" w14:textId="6F3E0D33">
      <w:pPr>
        <w:pStyle w:val="NormalWeb"/>
        <w:shd w:val="clear" w:color="auto" w:fill="FFFFFF"/>
        <w:spacing w:before="0" w:beforeAutospacing="0" w:after="240" w:afterAutospacing="0"/>
        <w:ind w:firstLine="720"/>
        <w:rPr>
          <w:rFonts w:eastAsia="MS Mincho"/>
        </w:rPr>
      </w:pPr>
      <w:r w:rsidRPr="000148CE">
        <w:rPr>
          <w:rFonts w:eastAsia="MS Mincho"/>
        </w:rPr>
        <w:t>Under 31 CFR 1020.315(e), a bank must take steps to assure itself that an exempt person meets the definition of that term (</w:t>
      </w:r>
      <w:r w:rsidRPr="000148CE">
        <w:rPr>
          <w:rFonts w:eastAsia="MS Mincho"/>
          <w:i/>
          <w:iCs/>
        </w:rPr>
        <w:t>see</w:t>
      </w:r>
      <w:r w:rsidRPr="000148CE">
        <w:rPr>
          <w:rFonts w:eastAsia="MS Mincho"/>
        </w:rPr>
        <w:t xml:space="preserve"> 31 CFR 1020.315(b), summarized above), document the basis for its conclusion, and document its compliance with the terms of the exemption, including the operating rules in 31 CFR 1020.315(e)(2)-(9).  A bank must also take steps to document compliance with its suspicious activity monitoring obligations under 31 CFR 1020.315(h)(2).  The steps that the bank takes under 31 CFR 1020.315(e) must be those that a reasonable and prudent bank would take and document to protect itself from fraud or loss based on m</w:t>
      </w:r>
      <w:r w:rsidRPr="000148CE">
        <w:rPr>
          <w:rFonts w:eastAsia="MS Mincho"/>
        </w:rPr>
        <w:t xml:space="preserve">isidentification of a person’s status and, in the case of the suspicious activity monitoring obligations, to identify suspicious transactions.  </w:t>
      </w:r>
    </w:p>
    <w:p w:rsidR="009743C2" w:rsidRPr="000148CE" w:rsidP="00322F15" w14:paraId="5498DC00" w14:textId="3A8D62AD">
      <w:pPr>
        <w:pStyle w:val="NormalWeb"/>
        <w:shd w:val="clear" w:color="auto" w:fill="FFFFFF"/>
        <w:spacing w:before="0" w:beforeAutospacing="0" w:after="240" w:afterAutospacing="0"/>
        <w:ind w:firstLine="720"/>
        <w:rPr>
          <w:rFonts w:eastAsia="MS Mincho"/>
        </w:rPr>
      </w:pPr>
      <w:r w:rsidRPr="000148CE">
        <w:rPr>
          <w:rFonts w:eastAsia="MS Mincho"/>
        </w:rPr>
        <w:t xml:space="preserve">31 CFR 1020.315(h)(1) states that the CTR exemption rules do not relieve a bank of its obligation to report any suspicious transactions pursuant to 31 CFR 1020.320, including any suspicious transactions or attempted transactions in currency associated with the accounts of an exempt person, or relieve a bank of any other reporting or recordkeeping obligation imposed under the authority of the BSA.    </w:t>
      </w:r>
    </w:p>
    <w:p w:rsidR="009743C2" w:rsidRPr="00322F15" w:rsidP="00322F15" w14:paraId="4FF85DB4" w14:textId="5D0F5825">
      <w:pPr>
        <w:pStyle w:val="NormalWeb"/>
        <w:shd w:val="clear" w:color="auto" w:fill="FFFFFF"/>
        <w:spacing w:before="0" w:beforeAutospacing="0" w:after="240" w:afterAutospacing="0"/>
        <w:ind w:firstLine="720"/>
        <w:rPr>
          <w:rFonts w:eastAsia="MS Mincho"/>
        </w:rPr>
      </w:pPr>
      <w:r w:rsidRPr="000148CE">
        <w:rPr>
          <w:rFonts w:eastAsia="MS Mincho"/>
        </w:rPr>
        <w:t xml:space="preserve">Under 31 CFR 1020.315(h)(2), a bank must establish and maintain a monitoring system that is reasonably designed to detect, for each account of a non-listed business or payroll customer, transactions in currency that would require a bank to file a suspicious activity report.  </w:t>
      </w:r>
      <w:r w:rsidRPr="000148CE">
        <w:rPr>
          <w:color w:val="000000"/>
        </w:rPr>
        <w:t xml:space="preserve"> </w:t>
      </w:r>
    </w:p>
    <w:p w:rsidR="00114579" w:rsidRPr="000148CE" w:rsidP="00322F15" w14:paraId="14D7F305" w14:textId="30B5605B">
      <w:pPr>
        <w:spacing w:after="240"/>
        <w:rPr>
          <w:bCs/>
        </w:rPr>
      </w:pPr>
      <w:r w:rsidRPr="000148CE">
        <w:rPr>
          <w:bCs/>
        </w:rPr>
        <w:t xml:space="preserve">2. </w:t>
      </w:r>
      <w:r w:rsidRPr="000148CE">
        <w:rPr>
          <w:bCs/>
          <w:u w:val="single"/>
        </w:rPr>
        <w:t>M</w:t>
      </w:r>
      <w:r w:rsidRPr="000148CE" w:rsidR="00E667ED">
        <w:rPr>
          <w:bCs/>
          <w:u w:val="single"/>
        </w:rPr>
        <w:t>ethod of collection and use of d</w:t>
      </w:r>
      <w:r w:rsidRPr="000148CE">
        <w:rPr>
          <w:bCs/>
          <w:u w:val="single"/>
        </w:rPr>
        <w:t>ata.</w:t>
      </w:r>
      <w:r w:rsidRPr="000148CE">
        <w:rPr>
          <w:bCs/>
        </w:rPr>
        <w:t xml:space="preserve"> </w:t>
      </w:r>
    </w:p>
    <w:p w:rsidR="00A32508" w:rsidP="00322F15" w14:paraId="54EC7688" w14:textId="3DF4CA21">
      <w:pPr>
        <w:spacing w:after="240"/>
        <w:ind w:firstLine="720"/>
      </w:pPr>
      <w:r w:rsidRPr="000148CE">
        <w:rPr>
          <w:bCs/>
        </w:rPr>
        <w:t>The DOEP Report</w:t>
      </w:r>
      <w:r w:rsidRPr="000148CE" w:rsidR="00A71303">
        <w:rPr>
          <w:bCs/>
        </w:rPr>
        <w:t xml:space="preserve"> is filed </w:t>
      </w:r>
      <w:r w:rsidRPr="000148CE" w:rsidR="00114579">
        <w:rPr>
          <w:bCs/>
        </w:rPr>
        <w:t xml:space="preserve">electronically </w:t>
      </w:r>
      <w:r w:rsidRPr="000148CE" w:rsidR="00A71303">
        <w:rPr>
          <w:bCs/>
        </w:rPr>
        <w:t>through the FinCEN BSA E-Filing system</w:t>
      </w:r>
      <w:r w:rsidRPr="000148CE" w:rsidR="00114579">
        <w:rPr>
          <w:bCs/>
        </w:rPr>
        <w:t xml:space="preserve">. </w:t>
      </w:r>
      <w:r w:rsidR="007161FC">
        <w:rPr>
          <w:bCs/>
        </w:rPr>
        <w:t xml:space="preserve"> </w:t>
      </w:r>
      <w:r w:rsidRPr="000148CE" w:rsidR="00307BBF">
        <w:t>The purpose of this</w:t>
      </w:r>
      <w:r w:rsidR="00FC6B1F">
        <w:t xml:space="preserve"> </w:t>
      </w:r>
      <w:r w:rsidRPr="000148CE" w:rsidR="00307BBF">
        <w:rPr>
          <w:bCs/>
        </w:rPr>
        <w:t>report</w:t>
      </w:r>
      <w:r w:rsidR="00FC6B1F">
        <w:t xml:space="preserve"> </w:t>
      </w:r>
      <w:r w:rsidRPr="000148CE" w:rsidR="00307BBF">
        <w:t>is to provide a</w:t>
      </w:r>
      <w:r w:rsidRPr="000148CE" w:rsidR="00F653B9">
        <w:t xml:space="preserve"> tra</w:t>
      </w:r>
      <w:r w:rsidRPr="000148CE" w:rsidR="00307BBF">
        <w:t>n</w:t>
      </w:r>
      <w:r w:rsidRPr="000148CE" w:rsidR="00F653B9">
        <w:t>sparent, reviewable</w:t>
      </w:r>
      <w:r w:rsidRPr="000148CE" w:rsidR="00307BBF">
        <w:t xml:space="preserve"> means for banks</w:t>
      </w:r>
      <w:r w:rsidR="002205E0">
        <w:t xml:space="preserve"> to exempt</w:t>
      </w:r>
      <w:r w:rsidRPr="0055341F" w:rsidR="00307BBF">
        <w:t xml:space="preserve"> eligible c</w:t>
      </w:r>
      <w:r w:rsidR="00307BBF">
        <w:t xml:space="preserve">ustomers and their transactions </w:t>
      </w:r>
      <w:r w:rsidRPr="0055341F" w:rsidR="00307BBF">
        <w:t xml:space="preserve">from </w:t>
      </w:r>
      <w:r>
        <w:t>CTR filing</w:t>
      </w:r>
      <w:r w:rsidR="0028556F">
        <w:t>s</w:t>
      </w:r>
      <w:r w:rsidR="00F653B9">
        <w:t xml:space="preserve"> when the bank considers exemption appropriate</w:t>
      </w:r>
      <w:r w:rsidR="00307BBF">
        <w:t>.</w:t>
      </w:r>
      <w:r w:rsidRPr="00A71303" w:rsidR="00307BBF">
        <w:t xml:space="preserve"> </w:t>
      </w:r>
      <w:r w:rsidR="00805FCC">
        <w:t xml:space="preserve"> </w:t>
      </w:r>
    </w:p>
    <w:p w:rsidR="00114579" w:rsidP="00322F15" w14:paraId="3EF1BD07" w14:textId="44292652">
      <w:pPr>
        <w:spacing w:after="240"/>
        <w:ind w:firstLine="720"/>
      </w:pPr>
      <w:r w:rsidRPr="00223235">
        <w:t>FinCEN’s system of record</w:t>
      </w:r>
      <w:r>
        <w:t>s</w:t>
      </w:r>
      <w:r w:rsidRPr="00223235">
        <w:t xml:space="preserve"> for </w:t>
      </w:r>
      <w:r>
        <w:t>DOEP Reports</w:t>
      </w:r>
      <w:r w:rsidRPr="00223235">
        <w:t xml:space="preserve"> is the Bank Secrecy Act Reports System (the “BSA System”) - Treasury/FinCEN.003.</w:t>
      </w:r>
      <w:r>
        <w:rPr>
          <w:rStyle w:val="FootnoteReference"/>
        </w:rPr>
        <w:footnoteReference w:id="12"/>
      </w:r>
      <w:r>
        <w:t xml:space="preserve"> </w:t>
      </w:r>
      <w:r w:rsidRPr="00223235">
        <w:t xml:space="preserve"> </w:t>
      </w:r>
      <w:r>
        <w:t>I</w:t>
      </w:r>
      <w:r w:rsidRPr="00223235">
        <w:t>nformation</w:t>
      </w:r>
      <w:r>
        <w:t xml:space="preserve"> in the BSA System</w:t>
      </w:r>
      <w:r w:rsidRPr="00223235">
        <w:t xml:space="preserve"> is </w:t>
      </w:r>
      <w:r w:rsidR="009B1378">
        <w:t xml:space="preserve">made available </w:t>
      </w:r>
      <w:r w:rsidRPr="00223235">
        <w:t xml:space="preserve">to </w:t>
      </w:r>
      <w:r>
        <w:t>F</w:t>
      </w:r>
      <w:r w:rsidRPr="00223235">
        <w:t>ederal, state</w:t>
      </w:r>
      <w:r>
        <w:t>,</w:t>
      </w:r>
      <w:r w:rsidRPr="00223235">
        <w:t xml:space="preserve"> and local agencies that engage in criminal, regulatory and tax investigations and proceedings, agencies that engage in intelligence and counterintelligence activities, certain self-regulatory organizations, </w:t>
      </w:r>
      <w:r w:rsidRPr="00387DFE">
        <w:t>appropriate foreign agencies, and foreign financial intelligence units.</w:t>
      </w:r>
      <w:r w:rsidRPr="000B3FF1">
        <w:t xml:space="preserve"> </w:t>
      </w:r>
    </w:p>
    <w:p w:rsidR="00C879E5" w:rsidRPr="00322F15" w:rsidP="00322F15" w14:paraId="3D0C06BD" w14:textId="79AFEC9B">
      <w:pPr>
        <w:spacing w:after="240"/>
        <w:rPr>
          <w:szCs w:val="22"/>
        </w:rPr>
      </w:pPr>
      <w:r w:rsidRPr="00C34B95">
        <w:rPr>
          <w:szCs w:val="22"/>
        </w:rPr>
        <w:t xml:space="preserve">3. </w:t>
      </w:r>
      <w:r w:rsidRPr="00C34B95" w:rsidR="00E667ED">
        <w:rPr>
          <w:szCs w:val="22"/>
          <w:u w:val="single"/>
        </w:rPr>
        <w:t>Use of i</w:t>
      </w:r>
      <w:r w:rsidRPr="00C34B95">
        <w:rPr>
          <w:szCs w:val="22"/>
          <w:u w:val="single"/>
        </w:rPr>
        <w:t xml:space="preserve">mproved </w:t>
      </w:r>
      <w:r w:rsidRPr="00C34B95" w:rsidR="00E667ED">
        <w:rPr>
          <w:szCs w:val="22"/>
          <w:u w:val="single"/>
        </w:rPr>
        <w:t>i</w:t>
      </w:r>
      <w:r w:rsidRPr="000B513E" w:rsidR="00E667ED">
        <w:rPr>
          <w:szCs w:val="22"/>
          <w:u w:val="single"/>
        </w:rPr>
        <w:t>nformation</w:t>
      </w:r>
      <w:r w:rsidRPr="00C34B95" w:rsidR="00E667ED">
        <w:rPr>
          <w:szCs w:val="22"/>
          <w:u w:val="single"/>
        </w:rPr>
        <w:t xml:space="preserve"> technology to reduce b</w:t>
      </w:r>
      <w:r w:rsidRPr="00C34B95">
        <w:rPr>
          <w:szCs w:val="22"/>
          <w:u w:val="single"/>
        </w:rPr>
        <w:t>urden.</w:t>
      </w:r>
      <w:r w:rsidRPr="00C34B95">
        <w:rPr>
          <w:szCs w:val="22"/>
        </w:rPr>
        <w:t xml:space="preserve"> </w:t>
      </w:r>
    </w:p>
    <w:p w:rsidR="009829C3" w:rsidRPr="00322F15" w:rsidP="00322F15" w14:paraId="5495A9E6" w14:textId="6D14E7D3">
      <w:pPr>
        <w:spacing w:after="240"/>
        <w:ind w:firstLine="720"/>
      </w:pPr>
      <w:r w:rsidRPr="003B6371">
        <w:rPr>
          <w:color w:val="1B1B1B"/>
          <w:shd w:val="clear" w:color="auto" w:fill="FFFFFF"/>
        </w:rPr>
        <w:t xml:space="preserve">The BSA E-filing system supports electronic filing of BSA reports, including </w:t>
      </w:r>
      <w:r w:rsidR="00853E2B">
        <w:rPr>
          <w:color w:val="1B1B1B"/>
          <w:shd w:val="clear" w:color="auto" w:fill="FFFFFF"/>
        </w:rPr>
        <w:t>DOEP Reports</w:t>
      </w:r>
      <w:r w:rsidRPr="003B6371">
        <w:rPr>
          <w:color w:val="1B1B1B"/>
          <w:shd w:val="clear" w:color="auto" w:fill="FFFFFF"/>
        </w:rPr>
        <w:t xml:space="preserve"> (either individually or in batches)</w:t>
      </w:r>
      <w:r>
        <w:rPr>
          <w:rStyle w:val="FootnoteReference"/>
          <w:color w:val="1B1B1B"/>
          <w:shd w:val="clear" w:color="auto" w:fill="FFFFFF"/>
        </w:rPr>
        <w:footnoteReference w:id="13"/>
      </w:r>
      <w:r w:rsidRPr="00223235">
        <w:rPr>
          <w:color w:val="1B1B1B"/>
          <w:shd w:val="clear" w:color="auto" w:fill="FFFFFF"/>
        </w:rPr>
        <w:t xml:space="preserve"> through a FinCEN secure network. </w:t>
      </w:r>
      <w:r>
        <w:rPr>
          <w:color w:val="1B1B1B"/>
          <w:shd w:val="clear" w:color="auto" w:fill="FFFFFF"/>
        </w:rPr>
        <w:t xml:space="preserve"> </w:t>
      </w:r>
      <w:r w:rsidRPr="00223235">
        <w:rPr>
          <w:color w:val="1B1B1B"/>
          <w:shd w:val="clear" w:color="auto" w:fill="FFFFFF"/>
        </w:rPr>
        <w:t>BSA E-filing provides a faster</w:t>
      </w:r>
      <w:r w:rsidRPr="00EF1E39">
        <w:rPr>
          <w:color w:val="1B1B1B"/>
          <w:shd w:val="clear" w:color="auto" w:fill="FFFFFF"/>
        </w:rPr>
        <w:t xml:space="preserve"> and more convenient, secure</w:t>
      </w:r>
      <w:r>
        <w:rPr>
          <w:color w:val="1B1B1B"/>
          <w:shd w:val="clear" w:color="auto" w:fill="FFFFFF"/>
        </w:rPr>
        <w:t>,</w:t>
      </w:r>
      <w:r w:rsidRPr="00EF1E39">
        <w:rPr>
          <w:color w:val="1B1B1B"/>
          <w:shd w:val="clear" w:color="auto" w:fill="FFFFFF"/>
        </w:rPr>
        <w:t xml:space="preserve"> and cost-effective method for submitting BSA reports. </w:t>
      </w:r>
      <w:r>
        <w:rPr>
          <w:color w:val="1B1B1B"/>
          <w:shd w:val="clear" w:color="auto" w:fill="FFFFFF"/>
        </w:rPr>
        <w:t xml:space="preserve"> </w:t>
      </w:r>
      <w:r w:rsidRPr="003B6371">
        <w:t xml:space="preserve">Discrete and batch versions are available on the FinCEN BSA E-File website at </w:t>
      </w:r>
      <w:hyperlink r:id="rId7" w:history="1">
        <w:r w:rsidRPr="00223235">
          <w:rPr>
            <w:rStyle w:val="Hyperlink"/>
          </w:rPr>
          <w:t>http://bsaefiling.fincen.treas.gov/main.html</w:t>
        </w:r>
      </w:hyperlink>
      <w:r w:rsidRPr="00223235">
        <w:t xml:space="preserve">. </w:t>
      </w:r>
      <w:r>
        <w:t xml:space="preserve"> </w:t>
      </w:r>
      <w:r w:rsidRPr="00223235">
        <w:t xml:space="preserve">FinCEN also upgraded to the industry standard of XML file format for both discrete and batch filers of </w:t>
      </w:r>
      <w:r w:rsidR="006F5F17">
        <w:t>DOEP Reports</w:t>
      </w:r>
      <w:r w:rsidRPr="00223235">
        <w:t>.</w:t>
      </w:r>
    </w:p>
    <w:p w:rsidR="009829C3" w:rsidRPr="00AA6051" w:rsidP="00322F15" w14:paraId="7E967501" w14:textId="560E6AAF">
      <w:pPr>
        <w:spacing w:after="240"/>
        <w:rPr>
          <w:szCs w:val="22"/>
          <w:u w:val="single"/>
        </w:rPr>
      </w:pPr>
      <w:r w:rsidRPr="00AA6051">
        <w:rPr>
          <w:szCs w:val="22"/>
        </w:rPr>
        <w:t xml:space="preserve">4. </w:t>
      </w:r>
      <w:r w:rsidRPr="00AA6051" w:rsidR="00E667ED">
        <w:rPr>
          <w:szCs w:val="22"/>
          <w:u w:val="single"/>
        </w:rPr>
        <w:t>Efforts to identify d</w:t>
      </w:r>
      <w:r w:rsidRPr="00AA6051">
        <w:rPr>
          <w:szCs w:val="22"/>
          <w:u w:val="single"/>
        </w:rPr>
        <w:t>uplication</w:t>
      </w:r>
      <w:r w:rsidRPr="00AA6051" w:rsidR="003E69DC">
        <w:rPr>
          <w:szCs w:val="22"/>
          <w:u w:val="single"/>
        </w:rPr>
        <w:t>.</w:t>
      </w:r>
      <w:r w:rsidRPr="00AA6051">
        <w:rPr>
          <w:szCs w:val="22"/>
          <w:u w:val="single"/>
        </w:rPr>
        <w:t xml:space="preserve"> </w:t>
      </w:r>
    </w:p>
    <w:p w:rsidR="009829C3" w:rsidRPr="00AA6051" w:rsidP="00322F15" w14:paraId="22BA7DE9" w14:textId="021F9E1C">
      <w:pPr>
        <w:spacing w:after="240"/>
        <w:ind w:firstLine="720"/>
      </w:pPr>
      <w:r w:rsidRPr="005F57F6">
        <w:t>There is no similar information available; thus, there is no duplication.</w:t>
      </w:r>
    </w:p>
    <w:p w:rsidR="009829C3" w:rsidRPr="00322F15" w:rsidP="00322F15" w14:paraId="440270DD" w14:textId="1201462E">
      <w:pPr>
        <w:spacing w:after="240"/>
        <w:rPr>
          <w:szCs w:val="22"/>
          <w:u w:val="single"/>
        </w:rPr>
      </w:pPr>
      <w:r w:rsidRPr="00AA6051">
        <w:rPr>
          <w:szCs w:val="22"/>
        </w:rPr>
        <w:t xml:space="preserve">5. </w:t>
      </w:r>
      <w:r w:rsidRPr="00AA6051" w:rsidR="00E667ED">
        <w:rPr>
          <w:szCs w:val="22"/>
          <w:u w:val="single"/>
        </w:rPr>
        <w:t>Methods to minimize burden on small businesses or other small e</w:t>
      </w:r>
      <w:r w:rsidRPr="00AA6051">
        <w:rPr>
          <w:szCs w:val="22"/>
          <w:u w:val="single"/>
        </w:rPr>
        <w:t>ntities</w:t>
      </w:r>
      <w:r w:rsidRPr="00AA6051" w:rsidR="003E69DC">
        <w:rPr>
          <w:szCs w:val="22"/>
          <w:u w:val="single"/>
        </w:rPr>
        <w:t>.</w:t>
      </w:r>
    </w:p>
    <w:p w:rsidR="0047679C" w:rsidP="00322F15" w14:paraId="1C92E682" w14:textId="55EE1A6B">
      <w:pPr>
        <w:spacing w:after="240"/>
        <w:ind w:firstLine="720"/>
        <w:rPr>
          <w:szCs w:val="22"/>
        </w:rPr>
      </w:pPr>
      <w:r w:rsidRPr="0063375B">
        <w:rPr>
          <w:szCs w:val="22"/>
        </w:rPr>
        <w:t xml:space="preserve">The reporting and recordkeeping requirements of these regulations should not pose any adverse impact on small businesses. </w:t>
      </w:r>
      <w:r w:rsidR="00A52EF8">
        <w:rPr>
          <w:szCs w:val="22"/>
        </w:rPr>
        <w:t xml:space="preserve"> </w:t>
      </w:r>
      <w:r w:rsidRPr="005609B3" w:rsidR="005609B3">
        <w:rPr>
          <w:szCs w:val="22"/>
        </w:rPr>
        <w:t xml:space="preserve">The </w:t>
      </w:r>
      <w:r w:rsidR="005609B3">
        <w:rPr>
          <w:szCs w:val="22"/>
        </w:rPr>
        <w:t xml:space="preserve">BSA implementing </w:t>
      </w:r>
      <w:r w:rsidRPr="005609B3" w:rsidR="005609B3">
        <w:rPr>
          <w:szCs w:val="22"/>
        </w:rPr>
        <w:t xml:space="preserve">regulations require banks to file </w:t>
      </w:r>
      <w:r w:rsidR="00E05BAF">
        <w:rPr>
          <w:szCs w:val="22"/>
        </w:rPr>
        <w:t>CTRs</w:t>
      </w:r>
      <w:r w:rsidRPr="005609B3" w:rsidR="005609B3">
        <w:rPr>
          <w:szCs w:val="22"/>
        </w:rPr>
        <w:t xml:space="preserve"> on transactions in currency of more than $10,000. </w:t>
      </w:r>
      <w:r w:rsidR="00A52EF8">
        <w:rPr>
          <w:szCs w:val="22"/>
        </w:rPr>
        <w:t xml:space="preserve"> </w:t>
      </w:r>
      <w:r w:rsidRPr="005609B3" w:rsidR="005609B3">
        <w:rPr>
          <w:szCs w:val="22"/>
        </w:rPr>
        <w:t>The regulations also permit bank</w:t>
      </w:r>
      <w:r w:rsidR="005609B3">
        <w:rPr>
          <w:szCs w:val="22"/>
        </w:rPr>
        <w:t>s</w:t>
      </w:r>
      <w:r w:rsidRPr="005609B3" w:rsidR="005609B3">
        <w:rPr>
          <w:szCs w:val="22"/>
        </w:rPr>
        <w:t xml:space="preserve"> to exempt </w:t>
      </w:r>
      <w:r w:rsidR="00307BBF">
        <w:rPr>
          <w:szCs w:val="22"/>
        </w:rPr>
        <w:t xml:space="preserve">eligible </w:t>
      </w:r>
      <w:r w:rsidRPr="005609B3" w:rsidR="005609B3">
        <w:rPr>
          <w:szCs w:val="22"/>
        </w:rPr>
        <w:t>customer</w:t>
      </w:r>
      <w:r w:rsidR="00990BF5">
        <w:rPr>
          <w:szCs w:val="22"/>
        </w:rPr>
        <w:t>s</w:t>
      </w:r>
      <w:r w:rsidR="00307BBF">
        <w:rPr>
          <w:szCs w:val="22"/>
        </w:rPr>
        <w:t>’</w:t>
      </w:r>
      <w:r w:rsidRPr="005609B3" w:rsidR="005609B3">
        <w:rPr>
          <w:szCs w:val="22"/>
        </w:rPr>
        <w:t xml:space="preserve"> </w:t>
      </w:r>
      <w:r w:rsidR="00307BBF">
        <w:rPr>
          <w:szCs w:val="22"/>
        </w:rPr>
        <w:t xml:space="preserve">transactions </w:t>
      </w:r>
      <w:r w:rsidRPr="005609B3" w:rsidR="005609B3">
        <w:rPr>
          <w:szCs w:val="22"/>
        </w:rPr>
        <w:t xml:space="preserve">from </w:t>
      </w:r>
      <w:r w:rsidR="00307BBF">
        <w:rPr>
          <w:szCs w:val="22"/>
        </w:rPr>
        <w:t xml:space="preserve">CTR reporting requirements by filing a </w:t>
      </w:r>
      <w:r w:rsidR="00B15D6B">
        <w:rPr>
          <w:szCs w:val="22"/>
        </w:rPr>
        <w:t>DOEP Report</w:t>
      </w:r>
      <w:r w:rsidRPr="005609B3" w:rsidR="005609B3">
        <w:rPr>
          <w:szCs w:val="22"/>
        </w:rPr>
        <w:t xml:space="preserve">. </w:t>
      </w:r>
      <w:r w:rsidR="00A52EF8">
        <w:rPr>
          <w:szCs w:val="22"/>
        </w:rPr>
        <w:t xml:space="preserve"> </w:t>
      </w:r>
      <w:r w:rsidRPr="005609B3" w:rsidR="005609B3">
        <w:rPr>
          <w:szCs w:val="22"/>
        </w:rPr>
        <w:t xml:space="preserve">Banks are the only type of financial institutions that may exempt customers from </w:t>
      </w:r>
      <w:r w:rsidR="0028556F">
        <w:rPr>
          <w:szCs w:val="22"/>
        </w:rPr>
        <w:t xml:space="preserve">the </w:t>
      </w:r>
      <w:r w:rsidRPr="005609B3" w:rsidR="005609B3">
        <w:rPr>
          <w:szCs w:val="22"/>
        </w:rPr>
        <w:t xml:space="preserve">CTR </w:t>
      </w:r>
      <w:r w:rsidRPr="005609B3" w:rsidR="003F25C8">
        <w:rPr>
          <w:szCs w:val="22"/>
        </w:rPr>
        <w:t>filing requirements</w:t>
      </w:r>
      <w:r w:rsidRPr="005609B3" w:rsidR="005609B3">
        <w:rPr>
          <w:szCs w:val="22"/>
        </w:rPr>
        <w:t>.</w:t>
      </w:r>
      <w:r w:rsidR="005609B3">
        <w:rPr>
          <w:szCs w:val="22"/>
        </w:rPr>
        <w:t xml:space="preserve"> </w:t>
      </w:r>
      <w:r w:rsidR="00A52EF8">
        <w:rPr>
          <w:szCs w:val="22"/>
        </w:rPr>
        <w:t xml:space="preserve"> </w:t>
      </w:r>
      <w:r w:rsidR="003F25C8">
        <w:rPr>
          <w:szCs w:val="22"/>
        </w:rPr>
        <w:t xml:space="preserve">DOEP </w:t>
      </w:r>
      <w:r w:rsidR="00687C34">
        <w:rPr>
          <w:szCs w:val="22"/>
        </w:rPr>
        <w:t>R</w:t>
      </w:r>
      <w:r w:rsidR="003F25C8">
        <w:rPr>
          <w:szCs w:val="22"/>
        </w:rPr>
        <w:t>eports</w:t>
      </w:r>
      <w:r w:rsidRPr="00AF4B96" w:rsidR="0050501F">
        <w:rPr>
          <w:szCs w:val="22"/>
        </w:rPr>
        <w:t xml:space="preserve"> </w:t>
      </w:r>
      <w:r w:rsidRPr="00AF4B96" w:rsidR="007A6454">
        <w:rPr>
          <w:szCs w:val="22"/>
        </w:rPr>
        <w:t>are optional</w:t>
      </w:r>
      <w:r w:rsidR="007A6454">
        <w:rPr>
          <w:szCs w:val="22"/>
        </w:rPr>
        <w:t xml:space="preserve"> and </w:t>
      </w:r>
      <w:r w:rsidRPr="0063375B">
        <w:rPr>
          <w:szCs w:val="22"/>
        </w:rPr>
        <w:t xml:space="preserve">only need to be filed when a </w:t>
      </w:r>
      <w:r>
        <w:rPr>
          <w:szCs w:val="22"/>
        </w:rPr>
        <w:t xml:space="preserve">bank elects to </w:t>
      </w:r>
      <w:r w:rsidRPr="00F95630" w:rsidR="007A6454">
        <w:t>exempt</w:t>
      </w:r>
      <w:r w:rsidR="00AF4B96">
        <w:t xml:space="preserve"> customers from </w:t>
      </w:r>
      <w:r w:rsidR="00307BBF">
        <w:t xml:space="preserve">CTR </w:t>
      </w:r>
      <w:r w:rsidR="00AF4B96">
        <w:t>filing</w:t>
      </w:r>
      <w:r w:rsidR="007A6454">
        <w:t xml:space="preserve">. </w:t>
      </w:r>
      <w:r w:rsidR="00A52EF8">
        <w:t xml:space="preserve"> </w:t>
      </w:r>
      <w:r w:rsidR="00990BF5">
        <w:t>Banks that qualify as s</w:t>
      </w:r>
      <w:r w:rsidRPr="0063375B" w:rsidR="008A5BC7">
        <w:rPr>
          <w:szCs w:val="22"/>
        </w:rPr>
        <w:t xml:space="preserve">mall </w:t>
      </w:r>
      <w:r w:rsidRPr="0063375B">
        <w:rPr>
          <w:szCs w:val="22"/>
        </w:rPr>
        <w:t xml:space="preserve">businesses are less likely to </w:t>
      </w:r>
      <w:r w:rsidR="0050501F">
        <w:rPr>
          <w:szCs w:val="22"/>
        </w:rPr>
        <w:t xml:space="preserve">maintain accounts for customers that meet the definition of exempt persons.  </w:t>
      </w:r>
    </w:p>
    <w:p w:rsidR="00C96B45" w:rsidP="00322F15" w14:paraId="7023AE97" w14:textId="731A732E">
      <w:pPr>
        <w:spacing w:after="240"/>
        <w:rPr>
          <w:szCs w:val="22"/>
        </w:rPr>
      </w:pPr>
      <w:r w:rsidRPr="00AA6051">
        <w:rPr>
          <w:szCs w:val="22"/>
        </w:rPr>
        <w:t xml:space="preserve">6. </w:t>
      </w:r>
      <w:r w:rsidRPr="00AA6051" w:rsidR="00E667ED">
        <w:rPr>
          <w:szCs w:val="22"/>
          <w:u w:val="single"/>
        </w:rPr>
        <w:t xml:space="preserve">Consequences to </w:t>
      </w:r>
      <w:r w:rsidRPr="002248E9" w:rsidR="00E667ED">
        <w:rPr>
          <w:szCs w:val="22"/>
          <w:u w:val="single"/>
        </w:rPr>
        <w:t>the Federal g</w:t>
      </w:r>
      <w:r w:rsidRPr="002248E9">
        <w:rPr>
          <w:szCs w:val="22"/>
          <w:u w:val="single"/>
        </w:rPr>
        <w:t>o</w:t>
      </w:r>
      <w:r w:rsidRPr="002248E9" w:rsidR="00E667ED">
        <w:rPr>
          <w:szCs w:val="22"/>
          <w:u w:val="single"/>
        </w:rPr>
        <w:t>vernment</w:t>
      </w:r>
      <w:r w:rsidRPr="00AA6051" w:rsidR="00E667ED">
        <w:rPr>
          <w:szCs w:val="22"/>
          <w:u w:val="single"/>
        </w:rPr>
        <w:t xml:space="preserve"> of not collecting the i</w:t>
      </w:r>
      <w:r w:rsidRPr="00AA6051">
        <w:rPr>
          <w:szCs w:val="22"/>
          <w:u w:val="single"/>
        </w:rPr>
        <w:t>nformation.</w:t>
      </w:r>
      <w:r w:rsidRPr="00AA6051">
        <w:rPr>
          <w:szCs w:val="22"/>
        </w:rPr>
        <w:t xml:space="preserve"> </w:t>
      </w:r>
    </w:p>
    <w:p w:rsidR="009829C3" w:rsidRPr="00AA6051" w:rsidP="00322F15" w14:paraId="26F97DCD" w14:textId="35479E7C">
      <w:pPr>
        <w:spacing w:after="240"/>
        <w:ind w:firstLine="720"/>
        <w:rPr>
          <w:szCs w:val="22"/>
        </w:rPr>
      </w:pPr>
      <w:r>
        <w:t xml:space="preserve">DOEP </w:t>
      </w:r>
      <w:r w:rsidR="007D3406">
        <w:t xml:space="preserve">reporting and </w:t>
      </w:r>
      <w:r w:rsidRPr="00C832D9" w:rsidR="001B4884">
        <w:t>re</w:t>
      </w:r>
      <w:r w:rsidRPr="003F25C8" w:rsidR="001B4884">
        <w:t>cordkeeping</w:t>
      </w:r>
      <w:r w:rsidRPr="00C832D9" w:rsidR="001B4884">
        <w:t xml:space="preserve"> requirement</w:t>
      </w:r>
      <w:r w:rsidRPr="00065A1A" w:rsidR="001B4884">
        <w:t xml:space="preserve">s are intended to </w:t>
      </w:r>
      <w:r w:rsidRPr="0055341F" w:rsidR="007D3406">
        <w:t xml:space="preserve">provide an effective means for banks </w:t>
      </w:r>
      <w:r w:rsidR="00B371E1">
        <w:t xml:space="preserve">to </w:t>
      </w:r>
      <w:r w:rsidR="00055942">
        <w:t xml:space="preserve">reduce </w:t>
      </w:r>
      <w:r w:rsidR="00B371E1">
        <w:t>the need to file CTRs for transactions with designated exempt persons</w:t>
      </w:r>
      <w:r>
        <w:t>, and thus increase the share of CTRs available to law enforcement and regulatory authorities that are likely to include actionable information</w:t>
      </w:r>
      <w:r w:rsidR="00B371E1">
        <w:t xml:space="preserve">. </w:t>
      </w:r>
      <w:r w:rsidR="0047679C">
        <w:t xml:space="preserve"> </w:t>
      </w:r>
      <w:r w:rsidR="00B371E1">
        <w:t xml:space="preserve">This information </w:t>
      </w:r>
      <w:r w:rsidR="00990BF5">
        <w:t xml:space="preserve">helps </w:t>
      </w:r>
      <w:r w:rsidRPr="00065A1A" w:rsidR="00055942">
        <w:t>law</w:t>
      </w:r>
      <w:r w:rsidRPr="00065A1A" w:rsidR="001B4884">
        <w:t xml:space="preserve"> enforcement and regulatory authorities</w:t>
      </w:r>
      <w:r w:rsidR="0028556F">
        <w:t xml:space="preserve"> </w:t>
      </w:r>
      <w:r w:rsidRPr="00065A1A" w:rsidR="001B4884">
        <w:t>detect, investigate, and prosecute money laundering and other financial crimes</w:t>
      </w:r>
      <w:r w:rsidR="00C633BA">
        <w:t xml:space="preserve">. </w:t>
      </w:r>
    </w:p>
    <w:p w:rsidR="00643252" w:rsidRPr="00322F15" w:rsidP="00322F15" w14:paraId="7C4FA590" w14:textId="1B264FE4">
      <w:pPr>
        <w:spacing w:after="240"/>
        <w:rPr>
          <w:szCs w:val="22"/>
          <w:u w:val="single"/>
        </w:rPr>
      </w:pPr>
      <w:r w:rsidRPr="00AA6051">
        <w:rPr>
          <w:szCs w:val="22"/>
        </w:rPr>
        <w:t xml:space="preserve">7. </w:t>
      </w:r>
      <w:r w:rsidRPr="00AA6051" w:rsidR="00E667ED">
        <w:rPr>
          <w:szCs w:val="22"/>
          <w:u w:val="single"/>
        </w:rPr>
        <w:t>Special circumstances requiring data collection inconsistent with g</w:t>
      </w:r>
      <w:r w:rsidRPr="00AA6051">
        <w:rPr>
          <w:szCs w:val="22"/>
          <w:u w:val="single"/>
        </w:rPr>
        <w:t>uidelines.</w:t>
      </w:r>
    </w:p>
    <w:p w:rsidR="00D52D6F" w:rsidRPr="00AA6051" w:rsidP="00322F15" w14:paraId="12096D3C" w14:textId="798E5730">
      <w:pPr>
        <w:spacing w:after="240"/>
        <w:ind w:right="-90" w:firstLine="720"/>
      </w:pPr>
      <w:r>
        <w:rPr>
          <w:lang w:val="en"/>
        </w:rPr>
        <w:t>Pursuant to</w:t>
      </w:r>
      <w:r w:rsidRPr="0018713B">
        <w:rPr>
          <w:lang w:val="en"/>
        </w:rPr>
        <w:t xml:space="preserve"> </w:t>
      </w:r>
      <w:r w:rsidRPr="00A67F9F" w:rsidR="00A67F9F">
        <w:t xml:space="preserve">31 CFR 1010.430(d), </w:t>
      </w:r>
      <w:r w:rsidRPr="00A67F9F" w:rsidR="00A67F9F">
        <w:rPr>
          <w:lang w:val="en"/>
        </w:rPr>
        <w:t xml:space="preserve">all records that are required to be retained by 31 CFR Chapter X must be retained for a period of five years. </w:t>
      </w:r>
      <w:r w:rsidR="00EE3D09">
        <w:rPr>
          <w:lang w:val="en"/>
        </w:rPr>
        <w:t xml:space="preserve"> </w:t>
      </w:r>
      <w:r w:rsidRPr="00432288" w:rsidR="00F4361E">
        <w:rPr>
          <w:lang w:val="en"/>
        </w:rPr>
        <w:t xml:space="preserve">This retention period is necessary </w:t>
      </w:r>
      <w:r w:rsidRPr="00432288" w:rsidR="00F4361E">
        <w:t>to allow for verification of compliance with the reporting requirement and because such records may relate to substantive violations of law that are subject to statutes of limitation longer than three years.</w:t>
      </w:r>
    </w:p>
    <w:p w:rsidR="00643252" w:rsidRPr="00AA6051" w:rsidP="00322F15" w14:paraId="1BE4B3B1" w14:textId="64B3D568">
      <w:pPr>
        <w:spacing w:after="240"/>
        <w:rPr>
          <w:szCs w:val="22"/>
        </w:rPr>
      </w:pPr>
      <w:r w:rsidRPr="00AA6051">
        <w:rPr>
          <w:szCs w:val="22"/>
        </w:rPr>
        <w:t xml:space="preserve">8. </w:t>
      </w:r>
      <w:r w:rsidRPr="00AA6051">
        <w:rPr>
          <w:szCs w:val="22"/>
          <w:u w:val="single"/>
        </w:rPr>
        <w:t>Consultation w</w:t>
      </w:r>
      <w:r w:rsidRPr="00AA6051" w:rsidR="00E667ED">
        <w:rPr>
          <w:szCs w:val="22"/>
          <w:u w:val="single"/>
        </w:rPr>
        <w:t>ith individuals outside of the a</w:t>
      </w:r>
      <w:r w:rsidRPr="00AA6051">
        <w:rPr>
          <w:szCs w:val="22"/>
          <w:u w:val="single"/>
        </w:rPr>
        <w:t>g</w:t>
      </w:r>
      <w:r w:rsidRPr="00AA6051" w:rsidR="00E667ED">
        <w:rPr>
          <w:szCs w:val="22"/>
          <w:u w:val="single"/>
        </w:rPr>
        <w:t xml:space="preserve">ency on availability of </w:t>
      </w:r>
      <w:r w:rsidRPr="00C9357B" w:rsidR="00E667ED">
        <w:rPr>
          <w:szCs w:val="22"/>
          <w:u w:val="single"/>
        </w:rPr>
        <w:t>data</w:t>
      </w:r>
      <w:r w:rsidRPr="00C9357B" w:rsidR="00033554">
        <w:rPr>
          <w:szCs w:val="22"/>
          <w:u w:val="single"/>
        </w:rPr>
        <w:t>,</w:t>
      </w:r>
      <w:r w:rsidRPr="00C9357B" w:rsidR="00E667ED">
        <w:rPr>
          <w:szCs w:val="22"/>
          <w:u w:val="single"/>
        </w:rPr>
        <w:t xml:space="preserve"> f</w:t>
      </w:r>
      <w:r w:rsidRPr="00C9357B">
        <w:rPr>
          <w:szCs w:val="22"/>
          <w:u w:val="single"/>
        </w:rPr>
        <w:t>requ</w:t>
      </w:r>
      <w:r w:rsidRPr="00C9357B" w:rsidR="00E667ED">
        <w:rPr>
          <w:szCs w:val="22"/>
          <w:u w:val="single"/>
        </w:rPr>
        <w:t>ency</w:t>
      </w:r>
      <w:r w:rsidRPr="00AA6051" w:rsidR="00E667ED">
        <w:rPr>
          <w:szCs w:val="22"/>
          <w:u w:val="single"/>
        </w:rPr>
        <w:t xml:space="preserve"> of collection, clarity of i</w:t>
      </w:r>
      <w:r w:rsidRPr="00AA6051">
        <w:rPr>
          <w:szCs w:val="22"/>
          <w:u w:val="single"/>
        </w:rPr>
        <w:t>n</w:t>
      </w:r>
      <w:r w:rsidRPr="00AA6051" w:rsidR="00E667ED">
        <w:rPr>
          <w:szCs w:val="22"/>
          <w:u w:val="single"/>
        </w:rPr>
        <w:t>structions and forms, and data e</w:t>
      </w:r>
      <w:r w:rsidRPr="00AA6051">
        <w:rPr>
          <w:szCs w:val="22"/>
          <w:u w:val="single"/>
        </w:rPr>
        <w:t>lements.</w:t>
      </w:r>
      <w:r w:rsidRPr="00AA6051">
        <w:rPr>
          <w:szCs w:val="22"/>
        </w:rPr>
        <w:t xml:space="preserve"> </w:t>
      </w:r>
    </w:p>
    <w:p w:rsidR="00A9343D" w:rsidP="00322F15" w14:paraId="368F7A52" w14:textId="1797C2E8">
      <w:pPr>
        <w:spacing w:after="240"/>
        <w:ind w:firstLine="720"/>
      </w:pPr>
      <w:r>
        <w:t xml:space="preserve">On </w:t>
      </w:r>
      <w:r w:rsidR="00DC7F78">
        <w:t xml:space="preserve">August 8, 2024, FinCEN published in the Federal Register a notice and request for comments of its intention to renew, without change, information collection requirements for </w:t>
      </w:r>
      <w:r w:rsidR="00191FBB">
        <w:t xml:space="preserve">transactions of exempt persons </w:t>
      </w:r>
      <w:r w:rsidR="00A55B81">
        <w:t>regulations, and FinCEN Form 110, DOEP Report.</w:t>
      </w:r>
      <w:r>
        <w:rPr>
          <w:rStyle w:val="FootnoteReference"/>
        </w:rPr>
        <w:footnoteReference w:id="14"/>
      </w:r>
      <w:r w:rsidR="002A33DC">
        <w:t xml:space="preserve">  The comment period closed on October 7, 2024. </w:t>
      </w:r>
      <w:r w:rsidR="000066AF">
        <w:t xml:space="preserve"> FinCEN received </w:t>
      </w:r>
      <w:r w:rsidR="00693E9E">
        <w:t>seven</w:t>
      </w:r>
      <w:r w:rsidR="000066AF">
        <w:t xml:space="preserve"> comments in response to the notice. </w:t>
      </w:r>
      <w:r w:rsidR="00693E9E">
        <w:t xml:space="preserve"> </w:t>
      </w:r>
      <w:r w:rsidR="009A7C98">
        <w:t>Two</w:t>
      </w:r>
      <w:r w:rsidR="00693E9E">
        <w:t xml:space="preserve"> comment</w:t>
      </w:r>
      <w:r w:rsidR="00BF704A">
        <w:t>er</w:t>
      </w:r>
      <w:r w:rsidR="009A7C98">
        <w:t>s</w:t>
      </w:r>
      <w:r w:rsidR="00693E9E">
        <w:t xml:space="preserve"> </w:t>
      </w:r>
      <w:r w:rsidR="008B0A44">
        <w:t>expressed that</w:t>
      </w:r>
      <w:r w:rsidR="00154C03">
        <w:t xml:space="preserve"> no one should be exempt from the CTR filing requirements.</w:t>
      </w:r>
      <w:r w:rsidR="0081796F">
        <w:t xml:space="preserve"> </w:t>
      </w:r>
      <w:r w:rsidR="00FD25D7">
        <w:t xml:space="preserve"> </w:t>
      </w:r>
      <w:r w:rsidR="00CD3B95">
        <w:t>A</w:t>
      </w:r>
      <w:r w:rsidR="00FD25D7">
        <w:t xml:space="preserve">nother commenter noted that </w:t>
      </w:r>
      <w:r w:rsidR="007E0916">
        <w:t xml:space="preserve">utilizing the CTR-filing exemption saves </w:t>
      </w:r>
      <w:r w:rsidR="004318AA">
        <w:t xml:space="preserve">the institution much more work than filing CTRs on </w:t>
      </w:r>
      <w:r w:rsidR="00156646">
        <w:t xml:space="preserve">those exempt entities.  </w:t>
      </w:r>
      <w:r w:rsidR="0081796F">
        <w:t xml:space="preserve">Another commenter noted that the analysis </w:t>
      </w:r>
      <w:r w:rsidR="00B52508">
        <w:t>required to identify CTR exemptions is very labor intensive</w:t>
      </w:r>
      <w:r w:rsidR="00CD3B95">
        <w:t>;</w:t>
      </w:r>
      <w:r w:rsidR="00B52508">
        <w:t xml:space="preserve"> however, the commenter did not </w:t>
      </w:r>
      <w:r w:rsidR="001D0841">
        <w:t>offer an alternative burden estimate.</w:t>
      </w:r>
      <w:r w:rsidR="00554DE3">
        <w:t xml:space="preserve">  A different comment</w:t>
      </w:r>
      <w:r w:rsidR="00F91A37">
        <w:t>er</w:t>
      </w:r>
      <w:r w:rsidR="00554DE3">
        <w:t xml:space="preserve"> suggested </w:t>
      </w:r>
      <w:r w:rsidR="00A50F99">
        <w:t>that for cash-intensive businesses</w:t>
      </w:r>
      <w:r w:rsidR="005553B9">
        <w:t xml:space="preserve">, FinCEN should consider making the DOEP </w:t>
      </w:r>
      <w:r w:rsidR="00F91A37">
        <w:t xml:space="preserve">exemption </w:t>
      </w:r>
      <w:r w:rsidR="005553B9">
        <w:t>review semiannual</w:t>
      </w:r>
      <w:r w:rsidR="00AD6730">
        <w:t xml:space="preserve"> and</w:t>
      </w:r>
      <w:r w:rsidR="005553B9">
        <w:t xml:space="preserve"> allowing an entity to qualify </w:t>
      </w:r>
      <w:r w:rsidR="00F91A37">
        <w:t xml:space="preserve">for the </w:t>
      </w:r>
      <w:r w:rsidR="00AD6730">
        <w:t xml:space="preserve">exemption </w:t>
      </w:r>
      <w:r w:rsidR="005553B9">
        <w:t xml:space="preserve">if </w:t>
      </w:r>
      <w:r w:rsidR="00B74E03">
        <w:t>it</w:t>
      </w:r>
      <w:r w:rsidR="005553B9">
        <w:t xml:space="preserve"> </w:t>
      </w:r>
      <w:r w:rsidR="004E7FF0">
        <w:t>conduct</w:t>
      </w:r>
      <w:r w:rsidR="00D275D0">
        <w:t>s</w:t>
      </w:r>
      <w:r w:rsidR="004E7FF0">
        <w:t xml:space="preserve"> </w:t>
      </w:r>
      <w:r w:rsidR="00D275D0">
        <w:t xml:space="preserve">five </w:t>
      </w:r>
      <w:r w:rsidR="004E7FF0">
        <w:t>transactions that would warrant a CTR</w:t>
      </w:r>
      <w:r w:rsidR="00F91A37">
        <w:t>-filing</w:t>
      </w:r>
      <w:r w:rsidR="004E7FF0">
        <w:t xml:space="preserve"> in a six-month period, or </w:t>
      </w:r>
      <w:r w:rsidR="00D275D0">
        <w:t xml:space="preserve">allowing an entity to qualify for the exemption </w:t>
      </w:r>
      <w:r w:rsidR="00776742">
        <w:t>if it conducts 12 transaction</w:t>
      </w:r>
      <w:r w:rsidR="00181071">
        <w:t>s</w:t>
      </w:r>
      <w:r w:rsidR="00776742">
        <w:t xml:space="preserve"> </w:t>
      </w:r>
      <w:r w:rsidR="00AD6730">
        <w:t>that would warrant a CTR</w:t>
      </w:r>
      <w:r w:rsidR="00F05B2B">
        <w:t>-</w:t>
      </w:r>
      <w:r w:rsidR="00AD6730">
        <w:t>filing in a 12-month period</w:t>
      </w:r>
      <w:r w:rsidR="00337054">
        <w:t xml:space="preserve">. </w:t>
      </w:r>
    </w:p>
    <w:p w:rsidR="000066AF" w:rsidRPr="00322F15" w:rsidP="00322F15" w14:paraId="6ED15C78" w14:textId="69DEB001">
      <w:pPr>
        <w:spacing w:after="240"/>
        <w:ind w:firstLine="720"/>
        <w:rPr>
          <w:rFonts w:eastAsia="Calibri"/>
        </w:rPr>
      </w:pPr>
      <w:r w:rsidRPr="00A9343D">
        <w:t>These suggestions for modifications to the applicable regulations will be considered in FinCEN’s ongoing review of CTR and SAR forms, processes, and thresholds, as required by sections 6204 and 6205 of the AML Act</w:t>
      </w:r>
      <w:r w:rsidR="00FC6B1F">
        <w:t xml:space="preserve">.  </w:t>
      </w:r>
      <w:r w:rsidRPr="00A9343D">
        <w:t>FinCEN appreciates these recommendations and will continue to evaluate ways to clarify CTR reporting</w:t>
      </w:r>
      <w:r w:rsidR="00E85DDD">
        <w:t xml:space="preserve"> exemptions</w:t>
      </w:r>
      <w:r w:rsidRPr="00A9343D">
        <w:t xml:space="preserve"> and minimize burden to the public.  I</w:t>
      </w:r>
      <w:r w:rsidRPr="00A9343D">
        <w:rPr>
          <w:rStyle w:val="CommentReference"/>
          <w:sz w:val="24"/>
          <w:szCs w:val="24"/>
        </w:rPr>
        <w:t>n connection with a variety of initiatives FinCEN is undertaking to implement the AML Act, F</w:t>
      </w:r>
      <w:r w:rsidRPr="00A9343D">
        <w:t>inCEN intends to conduct, in the future, additional assessments of the PRA burden associated with BSA requirements.</w:t>
      </w:r>
    </w:p>
    <w:p w:rsidR="009829C3" w:rsidRPr="00A16AFB" w:rsidP="00322F15" w14:paraId="7F125B57" w14:textId="33BBD9BF">
      <w:pPr>
        <w:spacing w:after="240"/>
        <w:rPr>
          <w:szCs w:val="22"/>
        </w:rPr>
      </w:pPr>
      <w:r w:rsidRPr="00A16AFB">
        <w:rPr>
          <w:szCs w:val="22"/>
        </w:rPr>
        <w:t xml:space="preserve">9. </w:t>
      </w:r>
      <w:r w:rsidRPr="00A16AFB">
        <w:rPr>
          <w:u w:val="single"/>
        </w:rPr>
        <w:t>Explanation of decision to provide any payment or gift to respondents.</w:t>
      </w:r>
    </w:p>
    <w:p w:rsidR="009829C3" w:rsidRPr="00AA6051" w:rsidP="00322F15" w14:paraId="09810416" w14:textId="489D4708">
      <w:pPr>
        <w:spacing w:after="240"/>
        <w:ind w:firstLine="720"/>
        <w:rPr>
          <w:szCs w:val="22"/>
        </w:rPr>
      </w:pPr>
      <w:r w:rsidRPr="00A16AFB">
        <w:rPr>
          <w:szCs w:val="22"/>
        </w:rPr>
        <w:t>No payments or gifts were made to respondents.</w:t>
      </w:r>
      <w:r w:rsidRPr="00AA6051">
        <w:rPr>
          <w:szCs w:val="22"/>
        </w:rPr>
        <w:t xml:space="preserve"> </w:t>
      </w:r>
    </w:p>
    <w:p w:rsidR="00C80BC9" w:rsidRPr="00322F15" w:rsidP="00322F15" w14:paraId="3586FAB5" w14:textId="001F2C61">
      <w:pPr>
        <w:pStyle w:val="BodyText"/>
        <w:spacing w:before="0" w:after="240"/>
        <w:rPr>
          <w:sz w:val="24"/>
          <w:u w:val="single"/>
        </w:rPr>
      </w:pPr>
      <w:r w:rsidRPr="00AA6051">
        <w:rPr>
          <w:sz w:val="24"/>
        </w:rPr>
        <w:t xml:space="preserve">10. </w:t>
      </w:r>
      <w:r w:rsidRPr="00AA6051">
        <w:rPr>
          <w:sz w:val="24"/>
          <w:u w:val="single"/>
        </w:rPr>
        <w:t>Assurance of confidentiality of responses.</w:t>
      </w:r>
    </w:p>
    <w:p w:rsidR="004127EE" w:rsidRPr="00322F15" w:rsidP="00322F15" w14:paraId="5FEFD033" w14:textId="684DBA4F">
      <w:pPr>
        <w:tabs>
          <w:tab w:val="left" w:pos="0"/>
        </w:tabs>
        <w:spacing w:after="240"/>
        <w:ind w:firstLine="720"/>
      </w:pPr>
      <w:r w:rsidRPr="006A0111">
        <w:t>Information collected on t</w:t>
      </w:r>
      <w:r>
        <w:t xml:space="preserve">he </w:t>
      </w:r>
      <w:r>
        <w:t>DOEP Report</w:t>
      </w:r>
      <w:r w:rsidRPr="006A0111">
        <w:t xml:space="preserve"> is made available to appropriate agencies and organizations as disclosed in FinCEN's Privacy Act System of Records Notice (SORN) relating to BSA reports.</w:t>
      </w:r>
      <w:r>
        <w:rPr>
          <w:rStyle w:val="FootnoteReference"/>
        </w:rPr>
        <w:footnoteReference w:id="15"/>
      </w:r>
    </w:p>
    <w:p w:rsidR="009F04CE" w:rsidRPr="00322F15" w:rsidP="00322F15" w14:paraId="2BB231BE" w14:textId="08F1495C">
      <w:pPr>
        <w:spacing w:after="240"/>
        <w:rPr>
          <w:szCs w:val="22"/>
        </w:rPr>
      </w:pPr>
      <w:r w:rsidRPr="00AA6051">
        <w:rPr>
          <w:szCs w:val="22"/>
        </w:rPr>
        <w:t xml:space="preserve">11. </w:t>
      </w:r>
      <w:r w:rsidRPr="00AA6051">
        <w:rPr>
          <w:szCs w:val="22"/>
          <w:u w:val="single"/>
        </w:rPr>
        <w:t>Justification of sensitive questions.</w:t>
      </w:r>
      <w:r w:rsidRPr="00AA6051">
        <w:rPr>
          <w:szCs w:val="22"/>
        </w:rPr>
        <w:t xml:space="preserve"> </w:t>
      </w:r>
    </w:p>
    <w:p w:rsidR="006606CD" w:rsidRPr="00AA6051" w:rsidP="00322F15" w14:paraId="7F23D8A4" w14:textId="2B980E0A">
      <w:pPr>
        <w:spacing w:after="240"/>
        <w:ind w:firstLine="720"/>
        <w:rPr>
          <w:szCs w:val="22"/>
        </w:rPr>
      </w:pPr>
      <w:r>
        <w:t>The information requested concerns</w:t>
      </w:r>
      <w:r w:rsidRPr="00DF2016">
        <w:t xml:space="preserve"> </w:t>
      </w:r>
      <w:r w:rsidR="00DF23CE">
        <w:t xml:space="preserve">identifying entities and individuals that a bank </w:t>
      </w:r>
      <w:r w:rsidR="00687F32">
        <w:t>designates as exempt from the CTR reporting requirements</w:t>
      </w:r>
      <w:r w:rsidRPr="00223235">
        <w:t>.</w:t>
      </w:r>
      <w:r>
        <w:t xml:space="preserve">  Personally identifiable information, such as name, address, and taxpayer identification number, are necessary to identify </w:t>
      </w:r>
      <w:r w:rsidR="00A13741">
        <w:t>an entity or individual for a CTR-filing exemption</w:t>
      </w:r>
      <w:r>
        <w:t xml:space="preserve">. </w:t>
      </w:r>
      <w:r w:rsidRPr="00DF2016">
        <w:t xml:space="preserve"> Any personally identifiable information collected under the BSA is strictly controlled as outlined in FinCEN’s S</w:t>
      </w:r>
      <w:r>
        <w:rPr>
          <w:szCs w:val="22"/>
        </w:rPr>
        <w:t>ORN.</w:t>
      </w:r>
      <w:r w:rsidRPr="008341FC">
        <w:rPr>
          <w:vertAlign w:val="superscript"/>
        </w:rPr>
        <w:t xml:space="preserve"> </w:t>
      </w:r>
      <w:r>
        <w:rPr>
          <w:rStyle w:val="FootnoteReference"/>
        </w:rPr>
        <w:footnoteReference w:id="16"/>
      </w:r>
    </w:p>
    <w:p w:rsidR="00AC4543" w:rsidRPr="00322F15" w:rsidP="00322F15" w14:paraId="643521CF" w14:textId="5570BD8A">
      <w:pPr>
        <w:spacing w:after="240"/>
        <w:rPr>
          <w:szCs w:val="22"/>
          <w:u w:val="single"/>
        </w:rPr>
      </w:pPr>
      <w:r w:rsidRPr="00AA6051">
        <w:rPr>
          <w:szCs w:val="22"/>
        </w:rPr>
        <w:t xml:space="preserve">12. </w:t>
      </w:r>
      <w:r w:rsidRPr="00AA6051">
        <w:rPr>
          <w:szCs w:val="22"/>
          <w:u w:val="single"/>
        </w:rPr>
        <w:t>Estimated burden of information collection.</w:t>
      </w:r>
    </w:p>
    <w:p w:rsidR="00643252" w:rsidRPr="00AA6051" w:rsidP="00322F15" w14:paraId="04CA2AB0" w14:textId="7ABDDABE">
      <w:pPr>
        <w:spacing w:after="240"/>
        <w:rPr>
          <w:szCs w:val="22"/>
        </w:rPr>
      </w:pPr>
      <w:r w:rsidRPr="00A16AFB">
        <w:rPr>
          <w:szCs w:val="22"/>
          <w:u w:val="single"/>
        </w:rPr>
        <w:t>Frequency</w:t>
      </w:r>
      <w:r w:rsidRPr="00225418">
        <w:rPr>
          <w:szCs w:val="22"/>
        </w:rPr>
        <w:t>:</w:t>
      </w:r>
      <w:r w:rsidRPr="005755B4">
        <w:rPr>
          <w:szCs w:val="22"/>
        </w:rPr>
        <w:t xml:space="preserve"> </w:t>
      </w:r>
      <w:r w:rsidR="005755B4">
        <w:rPr>
          <w:szCs w:val="22"/>
        </w:rPr>
        <w:t xml:space="preserve"> </w:t>
      </w:r>
      <w:r w:rsidRPr="00AA6051">
        <w:rPr>
          <w:szCs w:val="22"/>
        </w:rPr>
        <w:t xml:space="preserve">As required. </w:t>
      </w:r>
    </w:p>
    <w:p w:rsidR="009F1ECE" w:rsidP="00322F15" w14:paraId="1D422BDC" w14:textId="607DB5F0">
      <w:pPr>
        <w:widowControl w:val="0"/>
        <w:autoSpaceDE w:val="0"/>
        <w:autoSpaceDN w:val="0"/>
        <w:adjustRightInd w:val="0"/>
        <w:spacing w:after="240" w:line="273" w:lineRule="exact"/>
        <w:jc w:val="both"/>
        <w:rPr>
          <w:szCs w:val="22"/>
        </w:rPr>
      </w:pPr>
      <w:r w:rsidRPr="00335FA8">
        <w:rPr>
          <w:szCs w:val="22"/>
          <w:u w:val="single"/>
        </w:rPr>
        <w:t>Est</w:t>
      </w:r>
      <w:r w:rsidRPr="00335FA8" w:rsidR="007F6DDB">
        <w:rPr>
          <w:szCs w:val="22"/>
          <w:u w:val="single"/>
        </w:rPr>
        <w:t>imated Number of Respondents</w:t>
      </w:r>
      <w:r w:rsidRPr="00225418" w:rsidR="007F6DDB">
        <w:rPr>
          <w:szCs w:val="22"/>
        </w:rPr>
        <w:t>:</w:t>
      </w:r>
      <w:r w:rsidRPr="005755B4" w:rsidR="007F6DDB">
        <w:rPr>
          <w:szCs w:val="22"/>
        </w:rPr>
        <w:t xml:space="preserve"> </w:t>
      </w:r>
      <w:r w:rsidR="00047053">
        <w:rPr>
          <w:szCs w:val="22"/>
        </w:rPr>
        <w:t xml:space="preserve"> 10,062</w:t>
      </w:r>
      <w:r w:rsidR="001B6495">
        <w:rPr>
          <w:szCs w:val="22"/>
        </w:rPr>
        <w:t xml:space="preserve"> banks</w:t>
      </w:r>
      <w:r w:rsidR="00BC3EEA">
        <w:rPr>
          <w:szCs w:val="22"/>
        </w:rPr>
        <w:t>.</w:t>
      </w:r>
      <w:r>
        <w:rPr>
          <w:rStyle w:val="FootnoteReference"/>
          <w:szCs w:val="22"/>
        </w:rPr>
        <w:footnoteReference w:id="17"/>
      </w:r>
    </w:p>
    <w:p w:rsidR="009F1ECE" w:rsidRPr="00BB49CF" w:rsidP="00182B36" w14:paraId="1EE5AEFF" w14:textId="77777777">
      <w:pPr>
        <w:spacing w:after="120"/>
        <w:rPr>
          <w:b/>
          <w:bCs/>
          <w:lang w:val="en-GB"/>
        </w:rPr>
      </w:pPr>
      <w:r w:rsidRPr="00BB49CF">
        <w:rPr>
          <w:b/>
          <w:bCs/>
          <w:lang w:val="en-GB"/>
        </w:rPr>
        <w:t>Table 1. Distribution of financial institutions covered by this notice, by type of financial institution</w:t>
      </w:r>
    </w:p>
    <w:tbl>
      <w:tblPr>
        <w:tblW w:w="8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4"/>
        <w:gridCol w:w="1892"/>
      </w:tblGrid>
      <w:tr w14:paraId="11ACFBB1" w14:textId="77777777" w:rsidTr="002E5A45">
        <w:tblPrEx>
          <w:tblW w:w="8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3"/>
          <w:tblHeader/>
          <w:jc w:val="center"/>
        </w:trPr>
        <w:tc>
          <w:tcPr>
            <w:tcW w:w="6214" w:type="dxa"/>
          </w:tcPr>
          <w:p w:rsidR="009F1ECE" w:rsidRPr="00917181" w:rsidP="00322F15" w14:paraId="6C773970" w14:textId="77777777">
            <w:pPr>
              <w:spacing w:after="240"/>
              <w:ind w:left="180"/>
              <w:rPr>
                <w:rFonts w:eastAsia="Calibri"/>
                <w:b/>
              </w:rPr>
            </w:pPr>
            <w:r w:rsidRPr="00917181">
              <w:rPr>
                <w:rFonts w:eastAsia="Calibri"/>
                <w:b/>
              </w:rPr>
              <w:t>Type of financial institution</w:t>
            </w:r>
          </w:p>
        </w:tc>
        <w:tc>
          <w:tcPr>
            <w:tcW w:w="1892" w:type="dxa"/>
          </w:tcPr>
          <w:p w:rsidR="009F1ECE" w:rsidRPr="00917181" w:rsidP="00322F15" w14:paraId="34E35E7F" w14:textId="77777777">
            <w:pPr>
              <w:spacing w:after="240"/>
              <w:ind w:left="180"/>
              <w:jc w:val="center"/>
              <w:rPr>
                <w:rFonts w:eastAsia="Calibri"/>
                <w:b/>
              </w:rPr>
            </w:pPr>
            <w:r w:rsidRPr="00917181">
              <w:rPr>
                <w:rFonts w:eastAsia="Calibri"/>
                <w:b/>
              </w:rPr>
              <w:t>Number of financial institutions</w:t>
            </w:r>
          </w:p>
        </w:tc>
      </w:tr>
      <w:tr w14:paraId="0AF4523C" w14:textId="77777777" w:rsidTr="002E5A45">
        <w:tblPrEx>
          <w:tblW w:w="8106" w:type="dxa"/>
          <w:jc w:val="center"/>
          <w:tblLayout w:type="fixed"/>
          <w:tblCellMar>
            <w:left w:w="0" w:type="dxa"/>
            <w:right w:w="0" w:type="dxa"/>
          </w:tblCellMar>
          <w:tblLook w:val="01E0"/>
        </w:tblPrEx>
        <w:trPr>
          <w:trHeight w:val="440"/>
          <w:jc w:val="center"/>
        </w:trPr>
        <w:tc>
          <w:tcPr>
            <w:tcW w:w="6214" w:type="dxa"/>
          </w:tcPr>
          <w:p w:rsidR="009F1ECE" w:rsidRPr="00917181" w:rsidP="00322F15" w14:paraId="344068B4" w14:textId="77777777">
            <w:pPr>
              <w:spacing w:after="240"/>
              <w:ind w:left="180"/>
              <w:rPr>
                <w:rFonts w:eastAsia="Calibri"/>
              </w:rPr>
            </w:pPr>
            <w:r w:rsidRPr="00917181">
              <w:rPr>
                <w:rFonts w:eastAsia="Calibri"/>
              </w:rPr>
              <w:t>Banks with a Federal functional regulator (FFR)</w:t>
            </w:r>
            <w:r w:rsidRPr="00917181">
              <w:rPr>
                <w:rFonts w:eastAsia="Calibri"/>
                <w:vertAlign w:val="superscript"/>
              </w:rPr>
              <w:t>a</w:t>
            </w:r>
          </w:p>
        </w:tc>
        <w:tc>
          <w:tcPr>
            <w:tcW w:w="1892" w:type="dxa"/>
          </w:tcPr>
          <w:p w:rsidR="009F1ECE" w:rsidRPr="00917181" w:rsidP="00322F15" w14:paraId="25FD8C19" w14:textId="77777777">
            <w:pPr>
              <w:spacing w:after="240"/>
              <w:ind w:left="180"/>
              <w:jc w:val="center"/>
              <w:rPr>
                <w:rFonts w:eastAsia="Calibri"/>
              </w:rPr>
            </w:pPr>
            <w:r w:rsidRPr="00917181">
              <w:rPr>
                <w:rFonts w:eastAsia="Calibri"/>
              </w:rPr>
              <w:t xml:space="preserve">9,462  </w:t>
            </w:r>
          </w:p>
        </w:tc>
      </w:tr>
      <w:tr w14:paraId="7FCAD653" w14:textId="77777777" w:rsidTr="002E5A45">
        <w:tblPrEx>
          <w:tblW w:w="8106" w:type="dxa"/>
          <w:jc w:val="center"/>
          <w:tblLayout w:type="fixed"/>
          <w:tblCellMar>
            <w:left w:w="0" w:type="dxa"/>
            <w:right w:w="0" w:type="dxa"/>
          </w:tblCellMar>
          <w:tblLook w:val="01E0"/>
        </w:tblPrEx>
        <w:trPr>
          <w:trHeight w:val="440"/>
          <w:jc w:val="center"/>
        </w:trPr>
        <w:tc>
          <w:tcPr>
            <w:tcW w:w="6214" w:type="dxa"/>
          </w:tcPr>
          <w:p w:rsidR="009F1ECE" w:rsidRPr="00917181" w:rsidP="00322F15" w14:paraId="5A036F48" w14:textId="77777777">
            <w:pPr>
              <w:spacing w:after="240"/>
              <w:ind w:left="180"/>
              <w:rPr>
                <w:rFonts w:eastAsia="Calibri"/>
              </w:rPr>
            </w:pPr>
            <w:r w:rsidRPr="00917181">
              <w:rPr>
                <w:rFonts w:eastAsia="Calibri"/>
              </w:rPr>
              <w:t>Banks lacking an FFR</w:t>
            </w:r>
            <w:r w:rsidRPr="00917181">
              <w:rPr>
                <w:rFonts w:eastAsia="Calibri"/>
                <w:vertAlign w:val="superscript"/>
              </w:rPr>
              <w:t>b</w:t>
            </w:r>
          </w:p>
        </w:tc>
        <w:tc>
          <w:tcPr>
            <w:tcW w:w="1892" w:type="dxa"/>
          </w:tcPr>
          <w:p w:rsidR="009F1ECE" w:rsidRPr="00917181" w:rsidP="00322F15" w14:paraId="50D112CB" w14:textId="77777777">
            <w:pPr>
              <w:spacing w:after="240"/>
              <w:ind w:left="180"/>
              <w:jc w:val="center"/>
              <w:rPr>
                <w:rFonts w:eastAsia="Calibri"/>
              </w:rPr>
            </w:pPr>
            <w:r w:rsidRPr="00917181">
              <w:rPr>
                <w:rFonts w:eastAsia="Calibri"/>
              </w:rPr>
              <w:t>600</w:t>
            </w:r>
          </w:p>
        </w:tc>
      </w:tr>
      <w:tr w14:paraId="10C6ABC8" w14:textId="77777777" w:rsidTr="002E5A45">
        <w:tblPrEx>
          <w:tblW w:w="8106" w:type="dxa"/>
          <w:jc w:val="center"/>
          <w:tblLayout w:type="fixed"/>
          <w:tblCellMar>
            <w:left w:w="0" w:type="dxa"/>
            <w:right w:w="0" w:type="dxa"/>
          </w:tblCellMar>
          <w:tblLook w:val="01E0"/>
        </w:tblPrEx>
        <w:trPr>
          <w:trHeight w:val="275"/>
          <w:jc w:val="center"/>
        </w:trPr>
        <w:tc>
          <w:tcPr>
            <w:tcW w:w="6214" w:type="dxa"/>
            <w:tcBorders>
              <w:bottom w:val="single" w:sz="4" w:space="0" w:color="auto"/>
            </w:tcBorders>
          </w:tcPr>
          <w:p w:rsidR="009F1ECE" w:rsidRPr="00917181" w:rsidP="00322F15" w14:paraId="238D3387" w14:textId="77777777">
            <w:pPr>
              <w:spacing w:after="240"/>
              <w:ind w:left="180"/>
              <w:rPr>
                <w:rFonts w:eastAsia="Calibri"/>
                <w:b/>
              </w:rPr>
            </w:pPr>
            <w:r w:rsidRPr="00917181">
              <w:rPr>
                <w:rFonts w:eastAsia="Calibri"/>
                <w:b/>
              </w:rPr>
              <w:t>Total</w:t>
            </w:r>
          </w:p>
        </w:tc>
        <w:tc>
          <w:tcPr>
            <w:tcW w:w="1892" w:type="dxa"/>
            <w:tcBorders>
              <w:bottom w:val="single" w:sz="4" w:space="0" w:color="auto"/>
            </w:tcBorders>
          </w:tcPr>
          <w:p w:rsidR="009F1ECE" w:rsidRPr="00917181" w:rsidP="00322F15" w14:paraId="7AFE81CE" w14:textId="77777777">
            <w:pPr>
              <w:spacing w:after="240"/>
              <w:ind w:left="180"/>
              <w:jc w:val="center"/>
              <w:rPr>
                <w:rFonts w:eastAsia="Calibri"/>
                <w:b/>
                <w:highlight w:val="yellow"/>
              </w:rPr>
            </w:pPr>
            <w:r w:rsidRPr="00917181">
              <w:rPr>
                <w:rFonts w:eastAsia="Calibri"/>
                <w:b/>
              </w:rPr>
              <w:t>10,062</w:t>
            </w:r>
          </w:p>
        </w:tc>
      </w:tr>
      <w:tr w14:paraId="72118F93" w14:textId="77777777" w:rsidTr="002E5A45">
        <w:tblPrEx>
          <w:tblW w:w="8106" w:type="dxa"/>
          <w:jc w:val="center"/>
          <w:tblLayout w:type="fixed"/>
          <w:tblCellMar>
            <w:left w:w="0" w:type="dxa"/>
            <w:right w:w="0" w:type="dxa"/>
          </w:tblCellMar>
          <w:tblLook w:val="01E0"/>
        </w:tblPrEx>
        <w:trPr>
          <w:trHeight w:val="275"/>
          <w:jc w:val="center"/>
        </w:trPr>
        <w:tc>
          <w:tcPr>
            <w:tcW w:w="8106" w:type="dxa"/>
            <w:gridSpan w:val="2"/>
            <w:tcBorders>
              <w:top w:val="single" w:sz="4" w:space="0" w:color="auto"/>
              <w:left w:val="nil"/>
              <w:bottom w:val="nil"/>
              <w:right w:val="nil"/>
            </w:tcBorders>
          </w:tcPr>
          <w:p w:rsidR="009F1ECE" w:rsidRPr="00225418" w:rsidP="008F1AD9" w14:paraId="30B8D985" w14:textId="7B9821C5">
            <w:pPr>
              <w:spacing w:after="120"/>
              <w:ind w:left="180"/>
              <w:rPr>
                <w:sz w:val="22"/>
                <w:szCs w:val="22"/>
              </w:rPr>
            </w:pPr>
            <w:r w:rsidRPr="00225418">
              <w:rPr>
                <w:rStyle w:val="FootnoteReference"/>
                <w:sz w:val="22"/>
                <w:szCs w:val="22"/>
              </w:rPr>
              <w:t>a</w:t>
            </w:r>
            <w:r w:rsidRPr="00225418">
              <w:rPr>
                <w:sz w:val="22"/>
                <w:szCs w:val="22"/>
              </w:rPr>
              <w:t xml:space="preserve"> This estimate of the total number of banks with a federal functional regulator, including credit unions, is based on end of year 2023 data as provided by the FFR</w:t>
            </w:r>
            <w:r w:rsidR="00744648">
              <w:rPr>
                <w:sz w:val="22"/>
                <w:szCs w:val="22"/>
              </w:rPr>
              <w:t>s</w:t>
            </w:r>
            <w:r w:rsidRPr="00225418">
              <w:rPr>
                <w:sz w:val="22"/>
                <w:szCs w:val="22"/>
              </w:rPr>
              <w:t xml:space="preserve">: the Board of Governors of the Federal Reserve System, the Federal Deposit </w:t>
            </w:r>
            <w:r w:rsidRPr="00225418">
              <w:rPr>
                <w:sz w:val="22"/>
                <w:szCs w:val="22"/>
              </w:rPr>
              <w:t>Insurance Corporation, the Office of the Comptroller of the Currency, and the National Credit Union Administration.</w:t>
            </w:r>
          </w:p>
          <w:p w:rsidR="009F1ECE" w:rsidRPr="00917181" w:rsidP="008F1AD9" w14:paraId="3E7D9031" w14:textId="77777777">
            <w:pPr>
              <w:spacing w:after="120"/>
              <w:ind w:left="180"/>
              <w:rPr>
                <w:rStyle w:val="FootnoteReference"/>
              </w:rPr>
            </w:pPr>
            <w:r w:rsidRPr="00225418">
              <w:rPr>
                <w:rStyle w:val="FootnoteReference"/>
                <w:sz w:val="22"/>
                <w:szCs w:val="22"/>
              </w:rPr>
              <w:t>b</w:t>
            </w:r>
            <w:r w:rsidRPr="00225418">
              <w:rPr>
                <w:sz w:val="22"/>
                <w:szCs w:val="22"/>
              </w:rPr>
              <w:t xml:space="preserve"> This estimate of active entries as of year-end 2023 incorporates data from both public and non-public sources, including: Call Reports; various State banking/financial institution regulators’ websites and directories; the Federal Reserve Board of Governors’ Master Account and Services database (</w:t>
            </w:r>
            <w:hyperlink r:id="rId8" w:history="1">
              <w:r w:rsidRPr="00225418">
                <w:rPr>
                  <w:rStyle w:val="Hyperlink"/>
                  <w:sz w:val="22"/>
                  <w:szCs w:val="22"/>
                </w:rPr>
                <w:t>https://federalreserve.gov/paymentsystems/master-account-and services-database-exisiting-access.htm</w:t>
              </w:r>
            </w:hyperlink>
            <w:r w:rsidRPr="00225418">
              <w:rPr>
                <w:sz w:val="22"/>
                <w:szCs w:val="22"/>
              </w:rPr>
              <w:t>); and data from the OCIF (Oficina del Comisionado de Instituciones Financieras); and was derived in consultation with staff from the Internal Revenue Service’s Small Business/Self-Employed Division.</w:t>
            </w:r>
          </w:p>
        </w:tc>
      </w:tr>
    </w:tbl>
    <w:p w:rsidR="00F16912" w:rsidP="00322F15" w14:paraId="73D61DE4" w14:textId="77777777">
      <w:pPr>
        <w:widowControl w:val="0"/>
        <w:autoSpaceDE w:val="0"/>
        <w:autoSpaceDN w:val="0"/>
        <w:adjustRightInd w:val="0"/>
        <w:spacing w:before="240" w:after="240" w:line="268" w:lineRule="exact"/>
        <w:jc w:val="both"/>
        <w:rPr>
          <w:szCs w:val="22"/>
          <w:u w:val="single"/>
        </w:rPr>
      </w:pPr>
    </w:p>
    <w:p w:rsidR="00415C3E" w:rsidRPr="00322F15" w:rsidP="00322F15" w14:paraId="2E90597A" w14:textId="3E559230">
      <w:pPr>
        <w:widowControl w:val="0"/>
        <w:autoSpaceDE w:val="0"/>
        <w:autoSpaceDN w:val="0"/>
        <w:adjustRightInd w:val="0"/>
        <w:spacing w:before="240" w:after="240" w:line="268" w:lineRule="exact"/>
        <w:jc w:val="both"/>
        <w:rPr>
          <w:szCs w:val="22"/>
        </w:rPr>
      </w:pPr>
      <w:r w:rsidRPr="00A16AFB">
        <w:rPr>
          <w:szCs w:val="22"/>
          <w:u w:val="single"/>
        </w:rPr>
        <w:t xml:space="preserve">Estimated </w:t>
      </w:r>
      <w:r w:rsidR="00AD6D86">
        <w:rPr>
          <w:szCs w:val="22"/>
          <w:u w:val="single"/>
        </w:rPr>
        <w:t>Number of</w:t>
      </w:r>
      <w:r w:rsidRPr="00335FA8">
        <w:rPr>
          <w:szCs w:val="22"/>
          <w:u w:val="single"/>
        </w:rPr>
        <w:t xml:space="preserve"> Reponses</w:t>
      </w:r>
      <w:r w:rsidRPr="00225418">
        <w:rPr>
          <w:szCs w:val="22"/>
        </w:rPr>
        <w:t>:</w:t>
      </w:r>
      <w:r w:rsidRPr="008B1369">
        <w:rPr>
          <w:szCs w:val="22"/>
        </w:rPr>
        <w:t xml:space="preserve"> </w:t>
      </w:r>
      <w:r w:rsidR="00182B36">
        <w:rPr>
          <w:szCs w:val="22"/>
        </w:rPr>
        <w:t xml:space="preserve"> </w:t>
      </w:r>
      <w:r w:rsidR="008B1369">
        <w:rPr>
          <w:szCs w:val="22"/>
        </w:rPr>
        <w:t xml:space="preserve">15,105 </w:t>
      </w:r>
      <w:r w:rsidR="00336586">
        <w:rPr>
          <w:szCs w:val="22"/>
        </w:rPr>
        <w:t xml:space="preserve">DOEP </w:t>
      </w:r>
      <w:r w:rsidR="005E2869">
        <w:rPr>
          <w:szCs w:val="22"/>
        </w:rPr>
        <w:t>R</w:t>
      </w:r>
      <w:r w:rsidR="00336586">
        <w:rPr>
          <w:szCs w:val="22"/>
        </w:rPr>
        <w:t>eport</w:t>
      </w:r>
      <w:r>
        <w:rPr>
          <w:szCs w:val="22"/>
        </w:rPr>
        <w:t>s</w:t>
      </w:r>
      <w:r w:rsidR="008B1369">
        <w:rPr>
          <w:szCs w:val="22"/>
        </w:rPr>
        <w:t>.</w:t>
      </w:r>
      <w:r>
        <w:rPr>
          <w:rStyle w:val="FootnoteReference"/>
          <w:szCs w:val="22"/>
        </w:rPr>
        <w:footnoteReference w:id="18"/>
      </w:r>
    </w:p>
    <w:p w:rsidR="00B739C1" w:rsidRPr="00322F15" w:rsidP="00322F15" w14:paraId="2BE489AC" w14:textId="5B8AB585">
      <w:pPr>
        <w:widowControl w:val="0"/>
        <w:autoSpaceDE w:val="0"/>
        <w:autoSpaceDN w:val="0"/>
        <w:adjustRightInd w:val="0"/>
        <w:spacing w:after="240"/>
        <w:rPr>
          <w:szCs w:val="22"/>
        </w:rPr>
      </w:pPr>
      <w:r w:rsidRPr="00A16AFB">
        <w:rPr>
          <w:szCs w:val="22"/>
          <w:u w:val="single"/>
        </w:rPr>
        <w:t>Estimate</w:t>
      </w:r>
      <w:r w:rsidR="00172FE6">
        <w:rPr>
          <w:szCs w:val="22"/>
          <w:u w:val="single"/>
        </w:rPr>
        <w:t xml:space="preserve">d Total </w:t>
      </w:r>
      <w:r w:rsidR="00F83A38">
        <w:rPr>
          <w:szCs w:val="22"/>
          <w:u w:val="single"/>
        </w:rPr>
        <w:t>Recordkeeping</w:t>
      </w:r>
      <w:r w:rsidR="0055123D">
        <w:rPr>
          <w:szCs w:val="22"/>
          <w:u w:val="single"/>
        </w:rPr>
        <w:t xml:space="preserve"> </w:t>
      </w:r>
      <w:r w:rsidR="00E02797">
        <w:rPr>
          <w:szCs w:val="22"/>
          <w:u w:val="single"/>
        </w:rPr>
        <w:t>Burden</w:t>
      </w:r>
      <w:r w:rsidR="00BF5E0B">
        <w:rPr>
          <w:szCs w:val="22"/>
          <w:u w:val="single"/>
        </w:rPr>
        <w:t xml:space="preserve"> Hours</w:t>
      </w:r>
      <w:r w:rsidRPr="00225418">
        <w:rPr>
          <w:szCs w:val="22"/>
        </w:rPr>
        <w:t>:</w:t>
      </w:r>
      <w:r>
        <w:rPr>
          <w:szCs w:val="22"/>
        </w:rPr>
        <w:t xml:space="preserve"> </w:t>
      </w:r>
    </w:p>
    <w:p w:rsidR="00EB5192" w:rsidP="00322F15" w14:paraId="194B24D1" w14:textId="055E8A69">
      <w:pPr>
        <w:spacing w:after="240"/>
        <w:ind w:firstLine="720"/>
        <w:rPr>
          <w:lang w:val="en-GB"/>
        </w:rPr>
      </w:pPr>
      <w:r w:rsidRPr="00BB49CF">
        <w:rPr>
          <w:lang w:val="en-GB"/>
        </w:rPr>
        <w:t xml:space="preserve">FinCEN continues to estimate the annual hourly </w:t>
      </w:r>
      <w:r w:rsidRPr="00BB49CF">
        <w:rPr>
          <w:lang w:val="en-GB"/>
        </w:rPr>
        <w:t>burden of the designation of exempt persons as one hour per report.  This estimate covers the burden of: (1)</w:t>
      </w:r>
      <w:r w:rsidR="00182B36">
        <w:rPr>
          <w:lang w:val="en-GB"/>
        </w:rPr>
        <w:t> </w:t>
      </w:r>
      <w:r w:rsidRPr="00BB49CF">
        <w:rPr>
          <w:lang w:val="en-GB"/>
        </w:rPr>
        <w:t>reporting, which is estimated to require an average of 45 minutes to fill out and file the report; and (2)</w:t>
      </w:r>
      <w:r w:rsidR="00182B36">
        <w:rPr>
          <w:lang w:val="en-GB"/>
        </w:rPr>
        <w:t> </w:t>
      </w:r>
      <w:r w:rsidRPr="00BB49CF">
        <w:rPr>
          <w:lang w:val="en-GB"/>
        </w:rPr>
        <w:t>recordkeeping and maintenance, which is estimated to require an average of 15</w:t>
      </w:r>
      <w:r w:rsidRPr="00BB49CF">
        <w:t xml:space="preserve"> </w:t>
      </w:r>
      <w:r w:rsidRPr="00BB49CF">
        <w:rPr>
          <w:lang w:val="en-GB"/>
        </w:rPr>
        <w:t xml:space="preserve">minutes per report.  </w:t>
      </w:r>
      <w:r w:rsidRPr="00BB49CF">
        <w:t xml:space="preserve">FinCEN believes that the information required to be included on the DOEP Report is basic information that banks need to maintain to conduct business.  The BSA E-filing system prompts banks to save </w:t>
      </w:r>
      <w:r w:rsidRPr="00BB49CF">
        <w:t>the report after submission.</w:t>
      </w:r>
    </w:p>
    <w:p w:rsidR="005E1F41" w:rsidRPr="00225418" w:rsidP="00322F15" w14:paraId="0F8AC23B" w14:textId="25825D39">
      <w:pPr>
        <w:spacing w:after="240"/>
        <w:ind w:firstLine="720"/>
        <w:rPr>
          <w:lang w:val="en-GB"/>
        </w:rPr>
      </w:pPr>
      <w:r w:rsidRPr="00BB49CF">
        <w:rPr>
          <w:lang w:val="en-GB"/>
        </w:rPr>
        <w:t>FinCEN’s estimate of the annual PRA burden, which is based on reporting activity in the previous calendar year, therefore, is 15,105 hours, as detailed in table 2 below:</w:t>
      </w:r>
    </w:p>
    <w:p w:rsidR="00EB5192" w:rsidRPr="00917181" w:rsidP="00182B36" w14:paraId="136BCE7D" w14:textId="719BD413">
      <w:pPr>
        <w:spacing w:after="120"/>
        <w:rPr>
          <w:b/>
        </w:rPr>
      </w:pPr>
      <w:r w:rsidRPr="00917181">
        <w:rPr>
          <w:b/>
        </w:rPr>
        <w:t>Table 2 – Estimated total annual burden hours associated with completion and maintenance of the DOEP Reports</w:t>
      </w:r>
    </w:p>
    <w:tbl>
      <w:tblPr>
        <w:tblStyle w:val="TableGrid"/>
        <w:tblW w:w="9450" w:type="dxa"/>
        <w:tblInd w:w="-185" w:type="dxa"/>
        <w:tblLayout w:type="fixed"/>
        <w:tblLook w:val="0600"/>
      </w:tblPr>
      <w:tblGrid>
        <w:gridCol w:w="1445"/>
        <w:gridCol w:w="1080"/>
        <w:gridCol w:w="1255"/>
        <w:gridCol w:w="1710"/>
        <w:gridCol w:w="1260"/>
        <w:gridCol w:w="1710"/>
        <w:gridCol w:w="990"/>
      </w:tblGrid>
      <w:tr w14:paraId="57BF4B94" w14:textId="77777777" w:rsidTr="002E5A45">
        <w:tblPrEx>
          <w:tblW w:w="9450" w:type="dxa"/>
          <w:tblInd w:w="-185" w:type="dxa"/>
          <w:tblLayout w:type="fixed"/>
          <w:tblLook w:val="0600"/>
        </w:tblPrEx>
        <w:trPr>
          <w:trHeight w:val="890"/>
        </w:trPr>
        <w:tc>
          <w:tcPr>
            <w:tcW w:w="1445" w:type="dxa"/>
            <w:vMerge w:val="restart"/>
          </w:tcPr>
          <w:p w:rsidR="00EB5192" w:rsidRPr="00225418" w:rsidP="00322F15" w14:paraId="29DD57C5" w14:textId="77777777">
            <w:pPr>
              <w:spacing w:after="240"/>
              <w:rPr>
                <w:rFonts w:ascii="Times New Roman" w:hAnsi="Times New Roman" w:cs="Times New Roman"/>
                <w:b/>
                <w:lang w:val="en-US"/>
              </w:rPr>
            </w:pPr>
            <w:r w:rsidRPr="00225418">
              <w:rPr>
                <w:rFonts w:ascii="Times New Roman" w:hAnsi="Times New Roman" w:cs="Times New Roman"/>
                <w:b/>
                <w:lang w:val="en-US"/>
              </w:rPr>
              <w:t>Type of financial institution</w:t>
            </w:r>
          </w:p>
        </w:tc>
        <w:tc>
          <w:tcPr>
            <w:tcW w:w="1080" w:type="dxa"/>
          </w:tcPr>
          <w:p w:rsidR="00EB5192" w:rsidRPr="00225418" w:rsidP="00322F15" w14:paraId="2B7CE98C" w14:textId="77777777">
            <w:pPr>
              <w:spacing w:after="240"/>
              <w:rPr>
                <w:rFonts w:ascii="Times New Roman" w:hAnsi="Times New Roman" w:cs="Times New Roman"/>
                <w:b/>
                <w:lang w:val="en-US"/>
              </w:rPr>
            </w:pPr>
            <w:r w:rsidRPr="00225418">
              <w:rPr>
                <w:rFonts w:ascii="Times New Roman" w:hAnsi="Times New Roman" w:cs="Times New Roman"/>
                <w:b/>
                <w:lang w:val="en-US"/>
              </w:rPr>
              <w:t>Number of DOEP Reports filed in 2023</w:t>
            </w:r>
          </w:p>
        </w:tc>
        <w:tc>
          <w:tcPr>
            <w:tcW w:w="2965" w:type="dxa"/>
            <w:gridSpan w:val="2"/>
          </w:tcPr>
          <w:p w:rsidR="00EB5192" w:rsidRPr="00225418" w:rsidP="00322F15" w14:paraId="7218768C" w14:textId="77777777">
            <w:pPr>
              <w:spacing w:after="240"/>
              <w:jc w:val="center"/>
              <w:rPr>
                <w:rFonts w:ascii="Times New Roman" w:hAnsi="Times New Roman" w:cs="Times New Roman"/>
                <w:b/>
                <w:lang w:val="en-US"/>
              </w:rPr>
            </w:pPr>
            <w:r w:rsidRPr="00225418">
              <w:rPr>
                <w:rFonts w:ascii="Times New Roman" w:hAnsi="Times New Roman" w:cs="Times New Roman"/>
                <w:b/>
                <w:lang w:val="en-US"/>
              </w:rPr>
              <w:t>Time per report in minutes</w:t>
            </w:r>
          </w:p>
        </w:tc>
        <w:tc>
          <w:tcPr>
            <w:tcW w:w="2970" w:type="dxa"/>
            <w:gridSpan w:val="2"/>
          </w:tcPr>
          <w:p w:rsidR="00EB5192" w:rsidRPr="00225418" w:rsidP="00322F15" w14:paraId="2F88DF22" w14:textId="77777777">
            <w:pPr>
              <w:spacing w:after="240"/>
              <w:rPr>
                <w:rFonts w:ascii="Times New Roman" w:hAnsi="Times New Roman" w:cs="Times New Roman"/>
                <w:b/>
                <w:lang w:val="en-US"/>
              </w:rPr>
            </w:pPr>
            <w:r w:rsidRPr="00225418">
              <w:rPr>
                <w:rFonts w:ascii="Times New Roman" w:hAnsi="Times New Roman" w:cs="Times New Roman"/>
                <w:b/>
                <w:lang w:val="en-US"/>
              </w:rPr>
              <w:t>Total burden hours per step</w:t>
            </w:r>
          </w:p>
        </w:tc>
        <w:tc>
          <w:tcPr>
            <w:tcW w:w="990" w:type="dxa"/>
            <w:vMerge w:val="restart"/>
          </w:tcPr>
          <w:p w:rsidR="00EB5192" w:rsidRPr="00225418" w:rsidP="00322F15" w14:paraId="30E4E203" w14:textId="77777777">
            <w:pPr>
              <w:spacing w:after="240"/>
              <w:rPr>
                <w:rFonts w:ascii="Times New Roman" w:hAnsi="Times New Roman" w:cs="Times New Roman"/>
                <w:b/>
                <w:lang w:val="en-US"/>
              </w:rPr>
            </w:pPr>
            <w:r w:rsidRPr="00225418">
              <w:rPr>
                <w:rFonts w:ascii="Times New Roman" w:hAnsi="Times New Roman" w:cs="Times New Roman"/>
                <w:b/>
                <w:lang w:val="en-US"/>
              </w:rPr>
              <w:t>Total burden hours</w:t>
            </w:r>
          </w:p>
        </w:tc>
      </w:tr>
      <w:tr w14:paraId="2B54AD91" w14:textId="77777777" w:rsidTr="00182B36">
        <w:tblPrEx>
          <w:tblW w:w="9450" w:type="dxa"/>
          <w:tblInd w:w="-185" w:type="dxa"/>
          <w:tblLayout w:type="fixed"/>
          <w:tblLook w:val="0600"/>
        </w:tblPrEx>
        <w:trPr>
          <w:trHeight w:val="1088"/>
        </w:trPr>
        <w:tc>
          <w:tcPr>
            <w:tcW w:w="1445" w:type="dxa"/>
            <w:vMerge/>
          </w:tcPr>
          <w:p w:rsidR="00EB5192" w:rsidRPr="00225418" w:rsidP="00322F15" w14:paraId="60C35956" w14:textId="77777777">
            <w:pPr>
              <w:spacing w:after="240"/>
              <w:jc w:val="center"/>
              <w:rPr>
                <w:rFonts w:ascii="Times New Roman" w:hAnsi="Times New Roman" w:cs="Times New Roman"/>
                <w:lang w:val="en-US"/>
              </w:rPr>
            </w:pPr>
          </w:p>
        </w:tc>
        <w:tc>
          <w:tcPr>
            <w:tcW w:w="1080" w:type="dxa"/>
            <w:tcBorders>
              <w:bottom w:val="single" w:sz="4" w:space="0" w:color="auto"/>
            </w:tcBorders>
          </w:tcPr>
          <w:p w:rsidR="00EB5192" w:rsidRPr="00225418" w:rsidP="00182B36" w14:paraId="5FAFD43D" w14:textId="77777777">
            <w:pPr>
              <w:spacing w:after="240"/>
              <w:rPr>
                <w:rFonts w:ascii="Times New Roman" w:hAnsi="Times New Roman" w:cs="Times New Roman"/>
                <w:lang w:val="en-US"/>
              </w:rPr>
            </w:pPr>
          </w:p>
        </w:tc>
        <w:tc>
          <w:tcPr>
            <w:tcW w:w="1255" w:type="dxa"/>
            <w:tcBorders>
              <w:bottom w:val="single" w:sz="4" w:space="0" w:color="auto"/>
            </w:tcBorders>
            <w:vAlign w:val="center"/>
          </w:tcPr>
          <w:p w:rsidR="00EB5192" w:rsidRPr="00225418" w:rsidP="00182B36" w14:paraId="776E0751" w14:textId="77777777">
            <w:pPr>
              <w:spacing w:after="240"/>
              <w:jc w:val="center"/>
              <w:rPr>
                <w:rFonts w:ascii="Times New Roman" w:hAnsi="Times New Roman" w:cs="Times New Roman"/>
                <w:lang w:val="en-US"/>
              </w:rPr>
            </w:pPr>
            <w:r w:rsidRPr="00225418">
              <w:rPr>
                <w:rFonts w:ascii="Times New Roman" w:hAnsi="Times New Roman" w:cs="Times New Roman"/>
                <w:lang w:val="en-US"/>
              </w:rPr>
              <w:t>Reporting</w:t>
            </w:r>
          </w:p>
        </w:tc>
        <w:tc>
          <w:tcPr>
            <w:tcW w:w="1710" w:type="dxa"/>
            <w:tcBorders>
              <w:bottom w:val="single" w:sz="4" w:space="0" w:color="auto"/>
            </w:tcBorders>
            <w:vAlign w:val="center"/>
          </w:tcPr>
          <w:p w:rsidR="00EB5192" w:rsidRPr="00225418" w:rsidP="00182B36" w14:paraId="531BA27D" w14:textId="77777777">
            <w:pPr>
              <w:spacing w:after="240"/>
              <w:jc w:val="center"/>
              <w:rPr>
                <w:rFonts w:ascii="Times New Roman" w:hAnsi="Times New Roman" w:cs="Times New Roman"/>
                <w:lang w:val="en-US"/>
              </w:rPr>
            </w:pPr>
            <w:r w:rsidRPr="00225418">
              <w:rPr>
                <w:rFonts w:ascii="Times New Roman" w:hAnsi="Times New Roman" w:cs="Times New Roman"/>
                <w:lang w:val="en-US"/>
              </w:rPr>
              <w:t>Recordkeeping</w:t>
            </w:r>
          </w:p>
        </w:tc>
        <w:tc>
          <w:tcPr>
            <w:tcW w:w="1260" w:type="dxa"/>
            <w:tcBorders>
              <w:bottom w:val="single" w:sz="4" w:space="0" w:color="auto"/>
            </w:tcBorders>
            <w:vAlign w:val="center"/>
          </w:tcPr>
          <w:p w:rsidR="00EB5192" w:rsidRPr="00225418" w:rsidP="00182B36" w14:paraId="66357D2F" w14:textId="77777777">
            <w:pPr>
              <w:spacing w:after="240"/>
              <w:jc w:val="center"/>
              <w:rPr>
                <w:rFonts w:ascii="Times New Roman" w:hAnsi="Times New Roman" w:cs="Times New Roman"/>
                <w:lang w:val="en-US"/>
              </w:rPr>
            </w:pPr>
            <w:r w:rsidRPr="00225418">
              <w:rPr>
                <w:rFonts w:ascii="Times New Roman" w:hAnsi="Times New Roman" w:cs="Times New Roman"/>
                <w:lang w:val="en-US"/>
              </w:rPr>
              <w:t>Reporting</w:t>
            </w:r>
          </w:p>
        </w:tc>
        <w:tc>
          <w:tcPr>
            <w:tcW w:w="1710" w:type="dxa"/>
            <w:tcBorders>
              <w:bottom w:val="single" w:sz="4" w:space="0" w:color="auto"/>
            </w:tcBorders>
            <w:vAlign w:val="center"/>
          </w:tcPr>
          <w:p w:rsidR="00EB5192" w:rsidRPr="00225418" w:rsidP="00182B36" w14:paraId="2D1063DE" w14:textId="77777777">
            <w:pPr>
              <w:spacing w:after="240"/>
              <w:jc w:val="center"/>
              <w:rPr>
                <w:rFonts w:ascii="Times New Roman" w:hAnsi="Times New Roman" w:cs="Times New Roman"/>
                <w:lang w:val="en-US"/>
              </w:rPr>
            </w:pPr>
            <w:r w:rsidRPr="00225418">
              <w:rPr>
                <w:rFonts w:ascii="Times New Roman" w:hAnsi="Times New Roman" w:cs="Times New Roman"/>
                <w:lang w:val="en-US"/>
              </w:rPr>
              <w:t>Recordkeeping</w:t>
            </w:r>
          </w:p>
        </w:tc>
        <w:tc>
          <w:tcPr>
            <w:tcW w:w="990" w:type="dxa"/>
            <w:vMerge/>
          </w:tcPr>
          <w:p w:rsidR="00EB5192" w:rsidRPr="00225418" w:rsidP="00322F15" w14:paraId="68D415C9" w14:textId="77777777">
            <w:pPr>
              <w:spacing w:after="240"/>
              <w:jc w:val="center"/>
              <w:rPr>
                <w:rFonts w:ascii="Times New Roman" w:hAnsi="Times New Roman" w:cs="Times New Roman"/>
                <w:lang w:val="en-US"/>
              </w:rPr>
            </w:pPr>
          </w:p>
        </w:tc>
      </w:tr>
      <w:tr w14:paraId="54C2AAAF" w14:textId="77777777" w:rsidTr="00182B36">
        <w:tblPrEx>
          <w:tblW w:w="9450" w:type="dxa"/>
          <w:tblInd w:w="-185" w:type="dxa"/>
          <w:tblLayout w:type="fixed"/>
          <w:tblLook w:val="0600"/>
        </w:tblPrEx>
        <w:trPr>
          <w:trHeight w:val="70"/>
        </w:trPr>
        <w:tc>
          <w:tcPr>
            <w:tcW w:w="1445" w:type="dxa"/>
            <w:tcBorders>
              <w:bottom w:val="single" w:sz="4" w:space="0" w:color="auto"/>
            </w:tcBorders>
            <w:vAlign w:val="center"/>
          </w:tcPr>
          <w:p w:rsidR="00EB5192" w:rsidRPr="00225418" w:rsidP="00322F15" w14:paraId="6A935C94" w14:textId="77777777">
            <w:pPr>
              <w:spacing w:after="240"/>
              <w:jc w:val="center"/>
              <w:rPr>
                <w:rFonts w:ascii="Times New Roman" w:hAnsi="Times New Roman" w:cs="Times New Roman"/>
                <w:lang w:val="en-US"/>
              </w:rPr>
            </w:pPr>
            <w:r w:rsidRPr="00225418">
              <w:rPr>
                <w:rFonts w:ascii="Times New Roman" w:hAnsi="Times New Roman" w:cs="Times New Roman"/>
                <w:lang w:val="en-US"/>
              </w:rPr>
              <w:t>Banks</w:t>
            </w:r>
          </w:p>
        </w:tc>
        <w:tc>
          <w:tcPr>
            <w:tcW w:w="1080" w:type="dxa"/>
            <w:tcBorders>
              <w:bottom w:val="single" w:sz="4" w:space="0" w:color="auto"/>
            </w:tcBorders>
            <w:vAlign w:val="center"/>
          </w:tcPr>
          <w:p w:rsidR="00EB5192" w:rsidRPr="00225418" w:rsidP="00322F15" w14:paraId="32538FDB" w14:textId="77777777">
            <w:pPr>
              <w:spacing w:after="240"/>
              <w:jc w:val="center"/>
              <w:rPr>
                <w:rFonts w:ascii="Times New Roman" w:hAnsi="Times New Roman" w:cs="Times New Roman"/>
                <w:lang w:val="en-US"/>
              </w:rPr>
            </w:pPr>
            <w:r w:rsidRPr="00225418">
              <w:rPr>
                <w:rFonts w:ascii="Times New Roman" w:hAnsi="Times New Roman" w:cs="Times New Roman"/>
                <w:lang w:val="en-US"/>
              </w:rPr>
              <w:t>15,105</w:t>
            </w:r>
          </w:p>
        </w:tc>
        <w:tc>
          <w:tcPr>
            <w:tcW w:w="1255" w:type="dxa"/>
            <w:tcBorders>
              <w:bottom w:val="single" w:sz="4" w:space="0" w:color="auto"/>
            </w:tcBorders>
            <w:vAlign w:val="center"/>
          </w:tcPr>
          <w:p w:rsidR="00EB5192" w:rsidRPr="00225418" w:rsidP="00322F15" w14:paraId="4AC28239" w14:textId="77777777">
            <w:pPr>
              <w:spacing w:after="240"/>
              <w:jc w:val="center"/>
              <w:rPr>
                <w:rFonts w:ascii="Times New Roman" w:hAnsi="Times New Roman" w:cs="Times New Roman"/>
                <w:lang w:val="en-US"/>
              </w:rPr>
            </w:pPr>
            <w:r w:rsidRPr="00225418">
              <w:rPr>
                <w:rFonts w:ascii="Times New Roman" w:hAnsi="Times New Roman" w:cs="Times New Roman"/>
                <w:lang w:val="en-US"/>
              </w:rPr>
              <w:t>45 minutes</w:t>
            </w:r>
          </w:p>
        </w:tc>
        <w:tc>
          <w:tcPr>
            <w:tcW w:w="1710" w:type="dxa"/>
            <w:tcBorders>
              <w:bottom w:val="single" w:sz="4" w:space="0" w:color="auto"/>
            </w:tcBorders>
            <w:vAlign w:val="center"/>
          </w:tcPr>
          <w:p w:rsidR="00EB5192" w:rsidRPr="00225418" w:rsidP="00322F15" w14:paraId="230AB15B" w14:textId="77777777">
            <w:pPr>
              <w:spacing w:after="240"/>
              <w:jc w:val="center"/>
              <w:rPr>
                <w:rFonts w:ascii="Times New Roman" w:hAnsi="Times New Roman" w:cs="Times New Roman"/>
                <w:lang w:val="en-US"/>
              </w:rPr>
            </w:pPr>
            <w:r w:rsidRPr="00225418">
              <w:rPr>
                <w:rFonts w:ascii="Times New Roman" w:hAnsi="Times New Roman" w:cs="Times New Roman"/>
                <w:lang w:val="en-US"/>
              </w:rPr>
              <w:t>15 minutes</w:t>
            </w:r>
          </w:p>
        </w:tc>
        <w:tc>
          <w:tcPr>
            <w:tcW w:w="1260" w:type="dxa"/>
            <w:tcBorders>
              <w:bottom w:val="single" w:sz="4" w:space="0" w:color="auto"/>
            </w:tcBorders>
            <w:vAlign w:val="center"/>
          </w:tcPr>
          <w:p w:rsidR="00EB5192" w:rsidRPr="00225418" w:rsidP="00322F15" w14:paraId="6C42B211" w14:textId="77777777">
            <w:pPr>
              <w:spacing w:after="240"/>
              <w:jc w:val="center"/>
              <w:rPr>
                <w:rFonts w:ascii="Times New Roman" w:hAnsi="Times New Roman" w:cs="Times New Roman"/>
                <w:lang w:val="en-US"/>
              </w:rPr>
            </w:pPr>
            <w:r w:rsidRPr="00225418">
              <w:rPr>
                <w:rFonts w:ascii="Times New Roman" w:hAnsi="Times New Roman" w:cs="Times New Roman"/>
                <w:lang w:val="en-US"/>
              </w:rPr>
              <w:t>11,329</w:t>
            </w:r>
          </w:p>
        </w:tc>
        <w:tc>
          <w:tcPr>
            <w:tcW w:w="1710" w:type="dxa"/>
            <w:tcBorders>
              <w:bottom w:val="single" w:sz="4" w:space="0" w:color="auto"/>
            </w:tcBorders>
            <w:vAlign w:val="center"/>
          </w:tcPr>
          <w:p w:rsidR="00EB5192" w:rsidRPr="00225418" w:rsidP="00322F15" w14:paraId="55B6375A" w14:textId="77777777">
            <w:pPr>
              <w:spacing w:after="240"/>
              <w:jc w:val="center"/>
              <w:rPr>
                <w:rFonts w:ascii="Times New Roman" w:hAnsi="Times New Roman" w:cs="Times New Roman"/>
                <w:lang w:val="en-US"/>
              </w:rPr>
            </w:pPr>
            <w:r w:rsidRPr="00225418">
              <w:rPr>
                <w:rFonts w:ascii="Times New Roman" w:hAnsi="Times New Roman" w:cs="Times New Roman"/>
                <w:lang w:val="en-US"/>
              </w:rPr>
              <w:t>3,776</w:t>
            </w:r>
          </w:p>
        </w:tc>
        <w:tc>
          <w:tcPr>
            <w:tcW w:w="990" w:type="dxa"/>
            <w:tcBorders>
              <w:bottom w:val="single" w:sz="4" w:space="0" w:color="auto"/>
            </w:tcBorders>
            <w:vAlign w:val="center"/>
          </w:tcPr>
          <w:p w:rsidR="00EB5192" w:rsidRPr="00225418" w:rsidP="00182B36" w14:paraId="660B2621" w14:textId="10DAAD8F">
            <w:pPr>
              <w:spacing w:after="240"/>
              <w:jc w:val="center"/>
              <w:rPr>
                <w:rFonts w:ascii="Times New Roman" w:hAnsi="Times New Roman" w:cs="Times New Roman"/>
                <w:color w:val="000000"/>
                <w:lang w:val="en-US"/>
              </w:rPr>
            </w:pPr>
            <w:bookmarkStart w:id="3" w:name="_Hlk171602433"/>
            <w:r w:rsidRPr="00225418">
              <w:rPr>
                <w:rFonts w:ascii="Times New Roman" w:hAnsi="Times New Roman" w:cs="Times New Roman"/>
                <w:color w:val="000000"/>
                <w:lang w:val="en-US"/>
              </w:rPr>
              <w:t>15,105</w:t>
            </w:r>
            <w:r w:rsidRPr="00225418">
              <w:rPr>
                <w:rFonts w:ascii="Times New Roman" w:hAnsi="Times New Roman" w:cs="Times New Roman"/>
                <w:color w:val="000000" w:themeColor="text1"/>
                <w:vertAlign w:val="superscript"/>
                <w:lang w:val="en-US"/>
              </w:rPr>
              <w:t>a</w:t>
            </w:r>
            <w:bookmarkEnd w:id="3"/>
          </w:p>
        </w:tc>
      </w:tr>
      <w:tr w14:paraId="633FE9B9" w14:textId="77777777" w:rsidTr="002E5A45">
        <w:tblPrEx>
          <w:tblW w:w="9450" w:type="dxa"/>
          <w:tblInd w:w="-185" w:type="dxa"/>
          <w:tblLayout w:type="fixed"/>
          <w:tblLook w:val="0600"/>
        </w:tblPrEx>
        <w:trPr>
          <w:trHeight w:val="70"/>
        </w:trPr>
        <w:tc>
          <w:tcPr>
            <w:tcW w:w="9450" w:type="dxa"/>
            <w:gridSpan w:val="7"/>
            <w:tcBorders>
              <w:top w:val="single" w:sz="4" w:space="0" w:color="auto"/>
              <w:left w:val="nil"/>
              <w:bottom w:val="nil"/>
              <w:right w:val="nil"/>
            </w:tcBorders>
          </w:tcPr>
          <w:p w:rsidR="00EB5192" w:rsidRPr="00225418" w:rsidP="00322F15" w14:paraId="4B1AEE97" w14:textId="77777777">
            <w:pPr>
              <w:spacing w:after="240"/>
              <w:rPr>
                <w:rFonts w:ascii="Times New Roman" w:hAnsi="Times New Roman" w:cs="Times New Roman"/>
                <w:color w:val="000000"/>
                <w:sz w:val="22"/>
                <w:szCs w:val="22"/>
                <w:lang w:val="en-US"/>
              </w:rPr>
            </w:pPr>
            <w:r w:rsidRPr="00225418">
              <w:rPr>
                <w:rFonts w:ascii="Times New Roman" w:hAnsi="Times New Roman" w:cs="Times New Roman"/>
                <w:color w:val="000000"/>
                <w:sz w:val="22"/>
                <w:szCs w:val="22"/>
                <w:vertAlign w:val="superscript"/>
                <w:lang w:val="en-US"/>
              </w:rPr>
              <w:t>a</w:t>
            </w:r>
            <w:r w:rsidRPr="00225418">
              <w:rPr>
                <w:rFonts w:ascii="Times New Roman" w:hAnsi="Times New Roman" w:cs="Times New Roman"/>
                <w:color w:val="000000"/>
                <w:sz w:val="22"/>
                <w:szCs w:val="22"/>
                <w:lang w:val="en-US"/>
              </w:rPr>
              <w:t xml:space="preserve"> FinCEN estimates that the burden to complete and file the DOEP Report for banks was one hour (45 minutes for completion of the report and 15 minutes for recordkeeping).  15,105 DOEP Reports multiplied by 45 minutes and converted to hours equals 11,329 hours.  15,105 DOEP Reports multiplied by 15 minutes and converted to hours equals 3,776 hours.  The summation of 11,329 hours and 3,776 hours is 15,105 hours.</w:t>
            </w:r>
          </w:p>
        </w:tc>
      </w:tr>
    </w:tbl>
    <w:p w:rsidR="00642110" w:rsidRPr="00322F15" w:rsidP="00322F15" w14:paraId="030372E2" w14:textId="153F2010">
      <w:pPr>
        <w:spacing w:after="240"/>
        <w:rPr>
          <w:szCs w:val="22"/>
        </w:rPr>
      </w:pPr>
      <w:r>
        <w:t xml:space="preserve">13. </w:t>
      </w:r>
      <w:r>
        <w:rPr>
          <w:u w:val="single"/>
        </w:rPr>
        <w:t xml:space="preserve">Estimated </w:t>
      </w:r>
      <w:r w:rsidR="00125BE6">
        <w:rPr>
          <w:u w:val="single"/>
        </w:rPr>
        <w:t xml:space="preserve">total annual cost </w:t>
      </w:r>
      <w:r w:rsidR="000B696D">
        <w:rPr>
          <w:u w:val="single"/>
        </w:rPr>
        <w:t xml:space="preserve">burden of the information collection. </w:t>
      </w:r>
      <w:r>
        <w:t xml:space="preserve"> </w:t>
      </w:r>
    </w:p>
    <w:p w:rsidR="00BF5E0B" w:rsidP="00322F15" w14:paraId="57D0E0B3" w14:textId="31BDBCD0">
      <w:pPr>
        <w:spacing w:after="240"/>
      </w:pPr>
      <w:r w:rsidRPr="00225418">
        <w:rPr>
          <w:u w:val="single"/>
        </w:rPr>
        <w:t>Estimated Total Annual Recordkeeping Cost</w:t>
      </w:r>
      <w:r>
        <w:t>:</w:t>
      </w:r>
    </w:p>
    <w:p w:rsidR="001844F6" w:rsidP="00322F15" w14:paraId="30466445" w14:textId="5701377A">
      <w:pPr>
        <w:spacing w:after="240"/>
        <w:ind w:firstLine="720"/>
      </w:pPr>
      <w:r w:rsidRPr="00BB49CF">
        <w:t xml:space="preserve">FinCEN is utilizing the same fully loaded composite hourly wage rate of $106.30 utilized in the 2024 notices of proposed rulemaking (NPRMs) entitled Customer Identification Programs for Registered Investment Advisers and Exempt Reporting Companies and Anti-Money Laundering and Countering the Financing of Terrorism </w:t>
      </w:r>
      <w:r w:rsidRPr="00BB49CF">
        <w:t>Programs, as well as in recent 60-Day Notices to renew OMB control numbers corresponding to specific BSA regulations.</w:t>
      </w:r>
      <w:r>
        <w:rPr>
          <w:rStyle w:val="FootnoteReference"/>
        </w:rPr>
        <w:footnoteReference w:id="19"/>
      </w:r>
    </w:p>
    <w:p w:rsidR="00BF5E0B" w:rsidRPr="00225418" w:rsidP="00322F15" w14:paraId="02B0B19F" w14:textId="64BA1AD6">
      <w:pPr>
        <w:spacing w:after="240"/>
        <w:ind w:firstLine="720"/>
      </w:pPr>
      <w:r w:rsidRPr="00BB49CF">
        <w:t xml:space="preserve">The </w:t>
      </w:r>
      <w:r w:rsidRPr="00BB49CF">
        <w:t xml:space="preserve">total estimated cost of the annual PRA burden is </w:t>
      </w:r>
      <w:r w:rsidRPr="00BB49CF">
        <w:t>$2,421,331.50, as reflected in table 3 below:</w:t>
      </w:r>
    </w:p>
    <w:p w:rsidR="001844F6" w:rsidRPr="00BB49CF" w:rsidP="00182B36" w14:paraId="3208B469" w14:textId="2FFD2ADD">
      <w:pPr>
        <w:spacing w:after="120"/>
      </w:pPr>
      <w:r w:rsidRPr="00BB49CF">
        <w:rPr>
          <w:b/>
        </w:rPr>
        <w:t>Table 3. Estimated total cost of annual PRA burden</w:t>
      </w:r>
    </w:p>
    <w:tbl>
      <w:tblPr>
        <w:tblStyle w:val="TableGrid"/>
        <w:tblW w:w="9540" w:type="dxa"/>
        <w:tblInd w:w="-5" w:type="dxa"/>
        <w:tblLook w:val="04A0"/>
      </w:tblPr>
      <w:tblGrid>
        <w:gridCol w:w="3493"/>
        <w:gridCol w:w="2248"/>
        <w:gridCol w:w="1915"/>
        <w:gridCol w:w="1884"/>
      </w:tblGrid>
      <w:tr w14:paraId="279E2C31" w14:textId="77777777" w:rsidTr="002E5A45">
        <w:tblPrEx>
          <w:tblW w:w="9540" w:type="dxa"/>
          <w:tblInd w:w="-5" w:type="dxa"/>
          <w:tblLook w:val="04A0"/>
        </w:tblPrEx>
        <w:trPr>
          <w:tblHeader/>
        </w:trPr>
        <w:tc>
          <w:tcPr>
            <w:tcW w:w="3493" w:type="dxa"/>
            <w:vAlign w:val="center"/>
          </w:tcPr>
          <w:p w:rsidR="001844F6" w:rsidRPr="00225418" w:rsidP="00322F15" w14:paraId="12FDE9FD" w14:textId="77777777">
            <w:pPr>
              <w:spacing w:after="240"/>
              <w:rPr>
                <w:rFonts w:ascii="Times New Roman" w:hAnsi="Times New Roman" w:cs="Times New Roman"/>
                <w:b/>
                <w:lang w:val="en-US"/>
              </w:rPr>
            </w:pPr>
            <w:r w:rsidRPr="00225418">
              <w:rPr>
                <w:rFonts w:ascii="Times New Roman" w:hAnsi="Times New Roman" w:cs="Times New Roman"/>
                <w:b/>
                <w:lang w:val="en-US"/>
              </w:rPr>
              <w:t>Steps</w:t>
            </w:r>
          </w:p>
        </w:tc>
        <w:tc>
          <w:tcPr>
            <w:tcW w:w="2248" w:type="dxa"/>
          </w:tcPr>
          <w:p w:rsidR="001844F6" w:rsidRPr="00225418" w:rsidP="00322F15" w14:paraId="320655D5" w14:textId="77777777">
            <w:pPr>
              <w:spacing w:after="240"/>
              <w:rPr>
                <w:rFonts w:ascii="Times New Roman" w:hAnsi="Times New Roman" w:cs="Times New Roman"/>
                <w:b/>
                <w:lang w:val="en-US"/>
              </w:rPr>
            </w:pPr>
            <w:r w:rsidRPr="00225418">
              <w:rPr>
                <w:rFonts w:ascii="Times New Roman" w:hAnsi="Times New Roman" w:cs="Times New Roman"/>
                <w:b/>
                <w:lang w:val="en-US"/>
              </w:rPr>
              <w:t>Burden hours per step</w:t>
            </w:r>
          </w:p>
        </w:tc>
        <w:tc>
          <w:tcPr>
            <w:tcW w:w="1915" w:type="dxa"/>
            <w:vAlign w:val="center"/>
          </w:tcPr>
          <w:p w:rsidR="001844F6" w:rsidRPr="00225418" w:rsidP="00322F15" w14:paraId="38179014" w14:textId="77777777">
            <w:pPr>
              <w:spacing w:after="240"/>
              <w:rPr>
                <w:rFonts w:ascii="Times New Roman" w:hAnsi="Times New Roman" w:cs="Times New Roman"/>
                <w:b/>
                <w:lang w:val="en-US"/>
              </w:rPr>
            </w:pPr>
            <w:r w:rsidRPr="00225418">
              <w:rPr>
                <w:rFonts w:ascii="Times New Roman" w:hAnsi="Times New Roman" w:cs="Times New Roman"/>
                <w:b/>
                <w:lang w:val="en-US"/>
              </w:rPr>
              <w:t>Wage rate</w:t>
            </w:r>
          </w:p>
        </w:tc>
        <w:tc>
          <w:tcPr>
            <w:tcW w:w="1884" w:type="dxa"/>
            <w:vAlign w:val="center"/>
          </w:tcPr>
          <w:p w:rsidR="001844F6" w:rsidRPr="00225418" w:rsidP="00322F15" w14:paraId="7AFF1A3A" w14:textId="77777777">
            <w:pPr>
              <w:spacing w:after="240"/>
              <w:rPr>
                <w:rFonts w:ascii="Times New Roman" w:hAnsi="Times New Roman" w:cs="Times New Roman"/>
                <w:b/>
                <w:lang w:val="en-US"/>
              </w:rPr>
            </w:pPr>
            <w:r w:rsidRPr="00225418">
              <w:rPr>
                <w:rFonts w:ascii="Times New Roman" w:hAnsi="Times New Roman" w:cs="Times New Roman"/>
                <w:b/>
                <w:lang w:val="en-US"/>
              </w:rPr>
              <w:t>Total cost</w:t>
            </w:r>
          </w:p>
        </w:tc>
      </w:tr>
      <w:tr w14:paraId="7D95A131" w14:textId="77777777" w:rsidTr="002E5A45">
        <w:tblPrEx>
          <w:tblW w:w="9540" w:type="dxa"/>
          <w:tblInd w:w="-5" w:type="dxa"/>
          <w:tblLook w:val="04A0"/>
        </w:tblPrEx>
        <w:trPr>
          <w:trHeight w:val="339"/>
        </w:trPr>
        <w:tc>
          <w:tcPr>
            <w:tcW w:w="3493" w:type="dxa"/>
            <w:vAlign w:val="center"/>
          </w:tcPr>
          <w:p w:rsidR="001844F6" w:rsidRPr="00225418" w:rsidP="00322F15" w14:paraId="7A1216DC" w14:textId="77777777">
            <w:pPr>
              <w:spacing w:after="240"/>
              <w:rPr>
                <w:rFonts w:ascii="Times New Roman" w:hAnsi="Times New Roman" w:cs="Times New Roman"/>
                <w:lang w:val="en-US"/>
              </w:rPr>
            </w:pPr>
            <w:r w:rsidRPr="00225418">
              <w:rPr>
                <w:rFonts w:ascii="Times New Roman" w:hAnsi="Times New Roman" w:cs="Times New Roman"/>
                <w:lang w:val="en-US"/>
              </w:rPr>
              <w:t>Report completion</w:t>
            </w:r>
          </w:p>
        </w:tc>
        <w:tc>
          <w:tcPr>
            <w:tcW w:w="2248" w:type="dxa"/>
            <w:vAlign w:val="center"/>
          </w:tcPr>
          <w:p w:rsidR="001844F6" w:rsidRPr="00225418" w:rsidP="00322F15" w14:paraId="2303E591" w14:textId="77777777">
            <w:pPr>
              <w:spacing w:after="240"/>
              <w:jc w:val="center"/>
              <w:rPr>
                <w:rFonts w:ascii="Times New Roman" w:hAnsi="Times New Roman" w:cs="Times New Roman"/>
                <w:lang w:val="en-US"/>
              </w:rPr>
            </w:pPr>
            <w:r w:rsidRPr="00225418">
              <w:rPr>
                <w:rFonts w:ascii="Times New Roman" w:hAnsi="Times New Roman" w:cs="Times New Roman"/>
                <w:lang w:val="en-US"/>
              </w:rPr>
              <w:t>11,329</w:t>
            </w:r>
          </w:p>
        </w:tc>
        <w:tc>
          <w:tcPr>
            <w:tcW w:w="1915" w:type="dxa"/>
            <w:vAlign w:val="center"/>
          </w:tcPr>
          <w:p w:rsidR="001844F6" w:rsidRPr="00225418" w:rsidP="00322F15" w14:paraId="678AB807" w14:textId="77777777">
            <w:pPr>
              <w:spacing w:after="240"/>
              <w:jc w:val="center"/>
              <w:rPr>
                <w:rFonts w:ascii="Times New Roman" w:hAnsi="Times New Roman" w:cs="Times New Roman"/>
                <w:lang w:val="en-US"/>
              </w:rPr>
            </w:pPr>
            <w:r w:rsidRPr="00225418">
              <w:rPr>
                <w:rFonts w:ascii="Times New Roman" w:hAnsi="Times New Roman" w:cs="Times New Roman"/>
                <w:lang w:val="en-US"/>
              </w:rPr>
              <w:t>$106.30</w:t>
            </w:r>
          </w:p>
        </w:tc>
        <w:tc>
          <w:tcPr>
            <w:tcW w:w="1884" w:type="dxa"/>
            <w:vAlign w:val="center"/>
          </w:tcPr>
          <w:p w:rsidR="001844F6" w:rsidRPr="00225418" w:rsidP="00322F15" w14:paraId="4FC2C1E7" w14:textId="77777777">
            <w:pPr>
              <w:spacing w:after="240"/>
              <w:jc w:val="center"/>
              <w:rPr>
                <w:rFonts w:ascii="Times New Roman" w:hAnsi="Times New Roman" w:cs="Times New Roman"/>
                <w:lang w:val="en-US"/>
              </w:rPr>
            </w:pPr>
            <w:r w:rsidRPr="00225418">
              <w:rPr>
                <w:rFonts w:ascii="Times New Roman" w:hAnsi="Times New Roman" w:cs="Times New Roman"/>
                <w:lang w:val="en-US"/>
              </w:rPr>
              <w:t>$1,816,038.70</w:t>
            </w:r>
          </w:p>
        </w:tc>
      </w:tr>
      <w:tr w14:paraId="3886F11E" w14:textId="77777777" w:rsidTr="002E5A45">
        <w:tblPrEx>
          <w:tblW w:w="9540" w:type="dxa"/>
          <w:tblInd w:w="-5" w:type="dxa"/>
          <w:tblLook w:val="04A0"/>
        </w:tblPrEx>
        <w:trPr>
          <w:trHeight w:val="339"/>
        </w:trPr>
        <w:tc>
          <w:tcPr>
            <w:tcW w:w="3493" w:type="dxa"/>
            <w:vAlign w:val="center"/>
          </w:tcPr>
          <w:p w:rsidR="001844F6" w:rsidRPr="00225418" w:rsidP="00322F15" w14:paraId="7055D2AD" w14:textId="77777777">
            <w:pPr>
              <w:spacing w:after="240"/>
              <w:rPr>
                <w:rFonts w:ascii="Times New Roman" w:hAnsi="Times New Roman" w:cs="Times New Roman"/>
                <w:lang w:val="en-US"/>
              </w:rPr>
            </w:pPr>
            <w:r w:rsidRPr="00225418">
              <w:rPr>
                <w:rFonts w:ascii="Times New Roman" w:hAnsi="Times New Roman" w:cs="Times New Roman"/>
                <w:lang w:val="en-US"/>
              </w:rPr>
              <w:t xml:space="preserve">Maintenance/recordkeeping </w:t>
            </w:r>
          </w:p>
        </w:tc>
        <w:tc>
          <w:tcPr>
            <w:tcW w:w="2248" w:type="dxa"/>
            <w:vAlign w:val="center"/>
          </w:tcPr>
          <w:p w:rsidR="001844F6" w:rsidRPr="00225418" w:rsidP="00322F15" w14:paraId="27803D0C" w14:textId="77777777">
            <w:pPr>
              <w:spacing w:after="240"/>
              <w:jc w:val="center"/>
              <w:rPr>
                <w:rFonts w:ascii="Times New Roman" w:hAnsi="Times New Roman" w:cs="Times New Roman"/>
                <w:lang w:val="en-US"/>
              </w:rPr>
            </w:pPr>
            <w:r w:rsidRPr="00225418">
              <w:rPr>
                <w:rFonts w:ascii="Times New Roman" w:hAnsi="Times New Roman" w:cs="Times New Roman"/>
                <w:lang w:val="en-US"/>
              </w:rPr>
              <w:t>3,776</w:t>
            </w:r>
          </w:p>
        </w:tc>
        <w:tc>
          <w:tcPr>
            <w:tcW w:w="1915" w:type="dxa"/>
            <w:vAlign w:val="center"/>
          </w:tcPr>
          <w:p w:rsidR="001844F6" w:rsidRPr="00225418" w:rsidP="00322F15" w14:paraId="7DB2B51F" w14:textId="77777777">
            <w:pPr>
              <w:spacing w:after="240"/>
              <w:jc w:val="center"/>
              <w:rPr>
                <w:rFonts w:ascii="Times New Roman" w:hAnsi="Times New Roman" w:cs="Times New Roman"/>
                <w:lang w:val="en-US"/>
              </w:rPr>
            </w:pPr>
            <w:r w:rsidRPr="00225418">
              <w:rPr>
                <w:rFonts w:ascii="Times New Roman" w:hAnsi="Times New Roman" w:cs="Times New Roman"/>
                <w:lang w:val="en-US"/>
              </w:rPr>
              <w:t>$106.30</w:t>
            </w:r>
          </w:p>
        </w:tc>
        <w:tc>
          <w:tcPr>
            <w:tcW w:w="1884" w:type="dxa"/>
            <w:vAlign w:val="center"/>
          </w:tcPr>
          <w:p w:rsidR="001844F6" w:rsidRPr="00225418" w:rsidP="00322F15" w14:paraId="4BDB5634" w14:textId="77777777">
            <w:pPr>
              <w:spacing w:after="240"/>
              <w:jc w:val="center"/>
              <w:rPr>
                <w:rFonts w:ascii="Times New Roman" w:hAnsi="Times New Roman" w:cs="Times New Roman"/>
                <w:lang w:val="en-US"/>
              </w:rPr>
            </w:pPr>
            <w:r w:rsidRPr="00225418">
              <w:rPr>
                <w:rFonts w:ascii="Times New Roman" w:hAnsi="Times New Roman" w:cs="Times New Roman"/>
                <w:lang w:val="en-US"/>
              </w:rPr>
              <w:t>$605,292.80</w:t>
            </w:r>
          </w:p>
        </w:tc>
      </w:tr>
      <w:tr w14:paraId="6F4EE82E" w14:textId="77777777" w:rsidTr="002E5A45">
        <w:tblPrEx>
          <w:tblW w:w="9540" w:type="dxa"/>
          <w:tblInd w:w="-5" w:type="dxa"/>
          <w:tblLook w:val="04A0"/>
        </w:tblPrEx>
        <w:trPr>
          <w:trHeight w:val="339"/>
        </w:trPr>
        <w:tc>
          <w:tcPr>
            <w:tcW w:w="7656" w:type="dxa"/>
            <w:gridSpan w:val="3"/>
          </w:tcPr>
          <w:p w:rsidR="001844F6" w:rsidRPr="00225418" w:rsidP="00322F15" w14:paraId="2BDCD8C7" w14:textId="77777777">
            <w:pPr>
              <w:spacing w:after="240"/>
              <w:rPr>
                <w:rFonts w:ascii="Times New Roman" w:hAnsi="Times New Roman" w:cs="Times New Roman"/>
                <w:b/>
                <w:lang w:val="en-US"/>
              </w:rPr>
            </w:pPr>
            <w:r w:rsidRPr="00225418">
              <w:rPr>
                <w:rFonts w:ascii="Times New Roman" w:hAnsi="Times New Roman" w:cs="Times New Roman"/>
                <w:b/>
                <w:lang w:val="en-US"/>
              </w:rPr>
              <w:t>Total cost</w:t>
            </w:r>
          </w:p>
        </w:tc>
        <w:tc>
          <w:tcPr>
            <w:tcW w:w="1884" w:type="dxa"/>
            <w:vAlign w:val="center"/>
          </w:tcPr>
          <w:p w:rsidR="001844F6" w:rsidRPr="00225418" w:rsidP="00322F15" w14:paraId="52750BB4" w14:textId="77777777">
            <w:pPr>
              <w:spacing w:after="240"/>
              <w:jc w:val="center"/>
              <w:rPr>
                <w:rFonts w:ascii="Times New Roman" w:hAnsi="Times New Roman" w:cs="Times New Roman"/>
                <w:b/>
                <w:lang w:val="en-US"/>
              </w:rPr>
            </w:pPr>
            <w:r w:rsidRPr="00225418">
              <w:rPr>
                <w:rFonts w:ascii="Times New Roman" w:hAnsi="Times New Roman" w:cs="Times New Roman"/>
                <w:b/>
                <w:lang w:val="en-US"/>
              </w:rPr>
              <w:t>$2,421,331.50</w:t>
            </w:r>
          </w:p>
        </w:tc>
      </w:tr>
    </w:tbl>
    <w:p w:rsidR="009829C3" w:rsidRPr="00322F15" w:rsidP="00D47C88" w14:paraId="7FD3C98A" w14:textId="02A1E0A8">
      <w:pPr>
        <w:spacing w:before="240" w:after="240"/>
        <w:ind w:firstLine="720"/>
        <w:rPr>
          <w:iCs/>
        </w:rPr>
      </w:pPr>
      <w:r w:rsidRPr="00225418">
        <w:rPr>
          <w:iCs/>
        </w:rPr>
        <w:t xml:space="preserve">There are no </w:t>
      </w:r>
      <w:r>
        <w:rPr>
          <w:iCs/>
        </w:rPr>
        <w:t xml:space="preserve">estimates of </w:t>
      </w:r>
      <w:r w:rsidRPr="00225418">
        <w:rPr>
          <w:iCs/>
        </w:rPr>
        <w:t>non-labor costs associated with this collection of information.</w:t>
      </w:r>
    </w:p>
    <w:p w:rsidR="009829C3" w:rsidRPr="00322F15" w:rsidP="00322F15" w14:paraId="26BAD1D9" w14:textId="4DFFD47A">
      <w:pPr>
        <w:spacing w:after="240"/>
        <w:rPr>
          <w:szCs w:val="22"/>
        </w:rPr>
      </w:pPr>
      <w:r w:rsidRPr="00D700D9">
        <w:rPr>
          <w:szCs w:val="22"/>
        </w:rPr>
        <w:t xml:space="preserve">14. </w:t>
      </w:r>
      <w:r w:rsidRPr="00D700D9">
        <w:rPr>
          <w:szCs w:val="22"/>
          <w:u w:val="single"/>
        </w:rPr>
        <w:t>Estima</w:t>
      </w:r>
      <w:r w:rsidRPr="00D700D9" w:rsidR="00D8554E">
        <w:rPr>
          <w:szCs w:val="22"/>
          <w:u w:val="single"/>
        </w:rPr>
        <w:t>ted annual cost to the Federal g</w:t>
      </w:r>
      <w:r w:rsidRPr="00D700D9">
        <w:rPr>
          <w:szCs w:val="22"/>
          <w:u w:val="single"/>
        </w:rPr>
        <w:t>overnment.</w:t>
      </w:r>
      <w:r w:rsidRPr="00AA6051">
        <w:rPr>
          <w:szCs w:val="22"/>
        </w:rPr>
        <w:t xml:space="preserve"> </w:t>
      </w:r>
    </w:p>
    <w:p w:rsidR="009829C3" w:rsidRPr="00AA6051" w:rsidP="00322F15" w14:paraId="79CD5FF2" w14:textId="6A872B8D">
      <w:pPr>
        <w:spacing w:after="240"/>
        <w:ind w:firstLine="720"/>
      </w:pPr>
      <w:r w:rsidRPr="00C34A34">
        <w:t>Electronic processing cost to the Federal Government</w:t>
      </w:r>
      <w:r>
        <w:t>:</w:t>
      </w:r>
      <w:r w:rsidRPr="00C34A34">
        <w:t xml:space="preserve"> </w:t>
      </w:r>
      <w:r w:rsidR="00BC45C1">
        <w:rPr>
          <w:szCs w:val="22"/>
        </w:rPr>
        <w:t>15,105</w:t>
      </w:r>
      <w:r w:rsidR="00DE120C">
        <w:t xml:space="preserve"> DOEP </w:t>
      </w:r>
      <w:r w:rsidR="005E2869">
        <w:t>R</w:t>
      </w:r>
      <w:r w:rsidR="00DE120C">
        <w:t>eports</w:t>
      </w:r>
      <w:r w:rsidR="00E56BDC">
        <w:t xml:space="preserve"> </w:t>
      </w:r>
      <w:r w:rsidRPr="00223235" w:rsidR="00BC45C1">
        <w:t>x $0.10</w:t>
      </w:r>
      <w:r>
        <w:rPr>
          <w:rStyle w:val="FootnoteReference"/>
        </w:rPr>
        <w:footnoteReference w:id="20"/>
      </w:r>
      <w:r w:rsidRPr="00223235" w:rsidR="00BC45C1">
        <w:t xml:space="preserve"> per filing = $</w:t>
      </w:r>
      <w:r w:rsidR="00250030">
        <w:t>1,510.50</w:t>
      </w:r>
      <w:r w:rsidR="00B45EE0">
        <w:t>.</w:t>
      </w:r>
    </w:p>
    <w:p w:rsidR="00F2243A" w:rsidRPr="00AA6051" w:rsidP="00322F15" w14:paraId="7020C83E" w14:textId="4DE29100">
      <w:pPr>
        <w:spacing w:after="240"/>
        <w:rPr>
          <w:szCs w:val="22"/>
        </w:rPr>
      </w:pPr>
      <w:r w:rsidRPr="00AA6051">
        <w:rPr>
          <w:szCs w:val="22"/>
        </w:rPr>
        <w:t xml:space="preserve">15. </w:t>
      </w:r>
      <w:r w:rsidRPr="00AA6051" w:rsidR="00D8554E">
        <w:rPr>
          <w:szCs w:val="22"/>
          <w:u w:val="single"/>
        </w:rPr>
        <w:t xml:space="preserve">Reason </w:t>
      </w:r>
      <w:r w:rsidRPr="0028556F" w:rsidR="00D8554E">
        <w:rPr>
          <w:szCs w:val="22"/>
          <w:u w:val="single"/>
        </w:rPr>
        <w:t>for change</w:t>
      </w:r>
      <w:r w:rsidRPr="00AA6051" w:rsidR="00D8554E">
        <w:rPr>
          <w:szCs w:val="22"/>
          <w:u w:val="single"/>
        </w:rPr>
        <w:t xml:space="preserve"> in b</w:t>
      </w:r>
      <w:r w:rsidRPr="00AA6051">
        <w:rPr>
          <w:szCs w:val="22"/>
          <w:u w:val="single"/>
        </w:rPr>
        <w:t>urden.</w:t>
      </w:r>
      <w:r w:rsidRPr="00AA6051">
        <w:rPr>
          <w:szCs w:val="22"/>
        </w:rPr>
        <w:t xml:space="preserve"> </w:t>
      </w:r>
    </w:p>
    <w:p w:rsidR="009829C3" w:rsidRPr="00322F15" w:rsidP="00322F15" w14:paraId="36F5F77E" w14:textId="07E187BE">
      <w:pPr>
        <w:widowControl w:val="0"/>
        <w:spacing w:after="240"/>
        <w:ind w:firstLine="720"/>
        <w:rPr>
          <w:snapToGrid w:val="0"/>
        </w:rPr>
      </w:pPr>
      <w:r w:rsidRPr="00AA6051">
        <w:rPr>
          <w:snapToGrid w:val="0"/>
        </w:rPr>
        <w:t xml:space="preserve">The </w:t>
      </w:r>
      <w:r w:rsidRPr="00AA6051" w:rsidR="005C739E">
        <w:rPr>
          <w:snapToGrid w:val="0"/>
        </w:rPr>
        <w:t xml:space="preserve">estimated </w:t>
      </w:r>
      <w:r w:rsidRPr="00AA6051">
        <w:rPr>
          <w:snapToGrid w:val="0"/>
        </w:rPr>
        <w:t xml:space="preserve">total annual burden decreased </w:t>
      </w:r>
      <w:r w:rsidR="00B032D1">
        <w:rPr>
          <w:snapToGrid w:val="0"/>
        </w:rPr>
        <w:t xml:space="preserve">by </w:t>
      </w:r>
      <w:r w:rsidR="00FD3CE5">
        <w:rPr>
          <w:snapToGrid w:val="0"/>
        </w:rPr>
        <w:t>3,036 hours</w:t>
      </w:r>
      <w:r w:rsidR="00B032D1">
        <w:rPr>
          <w:snapToGrid w:val="0"/>
        </w:rPr>
        <w:t xml:space="preserve"> from </w:t>
      </w:r>
      <w:r w:rsidR="003C2074">
        <w:rPr>
          <w:snapToGrid w:val="0"/>
        </w:rPr>
        <w:t>18,141</w:t>
      </w:r>
      <w:r w:rsidR="00B032D1">
        <w:rPr>
          <w:snapToGrid w:val="0"/>
        </w:rPr>
        <w:t xml:space="preserve"> hours in 20</w:t>
      </w:r>
      <w:r w:rsidR="003C2074">
        <w:rPr>
          <w:snapToGrid w:val="0"/>
        </w:rPr>
        <w:t>20</w:t>
      </w:r>
      <w:r w:rsidR="00C9357B">
        <w:rPr>
          <w:snapToGrid w:val="0"/>
        </w:rPr>
        <w:t xml:space="preserve"> </w:t>
      </w:r>
      <w:r w:rsidR="00B032D1">
        <w:rPr>
          <w:snapToGrid w:val="0"/>
        </w:rPr>
        <w:t xml:space="preserve">to </w:t>
      </w:r>
      <w:r w:rsidR="003C2074">
        <w:rPr>
          <w:snapToGrid w:val="0"/>
        </w:rPr>
        <w:t>15,105</w:t>
      </w:r>
      <w:r w:rsidR="00B032D1">
        <w:rPr>
          <w:snapToGrid w:val="0"/>
        </w:rPr>
        <w:t xml:space="preserve"> </w:t>
      </w:r>
      <w:r w:rsidR="00F82FD9">
        <w:rPr>
          <w:snapToGrid w:val="0"/>
        </w:rPr>
        <w:t>hours in</w:t>
      </w:r>
      <w:r w:rsidR="00B032D1">
        <w:rPr>
          <w:snapToGrid w:val="0"/>
        </w:rPr>
        <w:t xml:space="preserve"> 202</w:t>
      </w:r>
      <w:r w:rsidR="003143A8">
        <w:rPr>
          <w:snapToGrid w:val="0"/>
        </w:rPr>
        <w:t>4</w:t>
      </w:r>
      <w:r w:rsidR="009A0CF1">
        <w:rPr>
          <w:snapToGrid w:val="0"/>
        </w:rPr>
        <w:t>,</w:t>
      </w:r>
      <w:r w:rsidRPr="00B032D1" w:rsidR="00B032D1">
        <w:t xml:space="preserve"> </w:t>
      </w:r>
      <w:r w:rsidRPr="00B032D1" w:rsidR="00B032D1">
        <w:rPr>
          <w:snapToGrid w:val="0"/>
        </w:rPr>
        <w:t>although the annual hourly burden estimates per regulatory requirement remained the same as in 20</w:t>
      </w:r>
      <w:r w:rsidR="003143A8">
        <w:rPr>
          <w:snapToGrid w:val="0"/>
        </w:rPr>
        <w:t>20</w:t>
      </w:r>
      <w:r w:rsidR="00687C47">
        <w:rPr>
          <w:snapToGrid w:val="0"/>
        </w:rPr>
        <w:t xml:space="preserve"> (one hour per report)</w:t>
      </w:r>
      <w:r w:rsidRPr="00AA6051">
        <w:rPr>
          <w:snapToGrid w:val="0"/>
        </w:rPr>
        <w:t xml:space="preserve">. </w:t>
      </w:r>
      <w:r w:rsidR="003143A8">
        <w:rPr>
          <w:snapToGrid w:val="0"/>
        </w:rPr>
        <w:t xml:space="preserve"> </w:t>
      </w:r>
      <w:r w:rsidRPr="00F82FD9" w:rsidR="00F82FD9">
        <w:rPr>
          <w:snapToGrid w:val="0"/>
        </w:rPr>
        <w:t xml:space="preserve">The reduction in burden is a result of a decrease in the number of </w:t>
      </w:r>
      <w:r w:rsidR="00961BCF">
        <w:rPr>
          <w:snapToGrid w:val="0"/>
        </w:rPr>
        <w:t>reports filed</w:t>
      </w:r>
      <w:r w:rsidRPr="00F82FD9" w:rsidR="00961BCF">
        <w:rPr>
          <w:snapToGrid w:val="0"/>
        </w:rPr>
        <w:t xml:space="preserve"> </w:t>
      </w:r>
      <w:r w:rsidRPr="00F82FD9" w:rsidR="00F82FD9">
        <w:rPr>
          <w:snapToGrid w:val="0"/>
        </w:rPr>
        <w:t xml:space="preserve">from </w:t>
      </w:r>
      <w:r w:rsidR="00961BCF">
        <w:rPr>
          <w:snapToGrid w:val="0"/>
        </w:rPr>
        <w:t>18,141</w:t>
      </w:r>
      <w:r w:rsidRPr="00F82FD9" w:rsidR="00F82FD9">
        <w:rPr>
          <w:snapToGrid w:val="0"/>
        </w:rPr>
        <w:t xml:space="preserve"> in </w:t>
      </w:r>
      <w:r w:rsidR="00961BCF">
        <w:rPr>
          <w:snapToGrid w:val="0"/>
        </w:rPr>
        <w:t>2019</w:t>
      </w:r>
      <w:r w:rsidR="00FD3CE5">
        <w:rPr>
          <w:snapToGrid w:val="0"/>
        </w:rPr>
        <w:t xml:space="preserve"> to </w:t>
      </w:r>
      <w:r w:rsidR="00EA5E89">
        <w:rPr>
          <w:snapToGrid w:val="0"/>
        </w:rPr>
        <w:t>15,105 in 2023</w:t>
      </w:r>
      <w:r w:rsidR="00961BCF">
        <w:rPr>
          <w:snapToGrid w:val="0"/>
        </w:rPr>
        <w:t>.  Additionally, there was a reduction in</w:t>
      </w:r>
      <w:r w:rsidR="00147553">
        <w:rPr>
          <w:snapToGrid w:val="0"/>
        </w:rPr>
        <w:t xml:space="preserve"> the number of respondents since the last approval</w:t>
      </w:r>
      <w:r w:rsidR="00831EB4">
        <w:rPr>
          <w:snapToGrid w:val="0"/>
        </w:rPr>
        <w:t xml:space="preserve"> from 11,161 banks in 2019</w:t>
      </w:r>
      <w:r w:rsidR="00EA5E89">
        <w:rPr>
          <w:snapToGrid w:val="0"/>
        </w:rPr>
        <w:t xml:space="preserve"> to </w:t>
      </w:r>
      <w:r w:rsidR="00EA5E89">
        <w:rPr>
          <w:szCs w:val="22"/>
        </w:rPr>
        <w:t>10,062 in 2023</w:t>
      </w:r>
      <w:r w:rsidR="00831EB4">
        <w:rPr>
          <w:snapToGrid w:val="0"/>
        </w:rPr>
        <w:t>.</w:t>
      </w:r>
    </w:p>
    <w:p w:rsidR="009829C3" w:rsidRPr="00322F15" w:rsidP="00322F15" w14:paraId="322C5F1D" w14:textId="20E98CBA">
      <w:pPr>
        <w:spacing w:after="240"/>
        <w:rPr>
          <w:szCs w:val="22"/>
        </w:rPr>
      </w:pPr>
      <w:r w:rsidRPr="00A16AFB">
        <w:rPr>
          <w:szCs w:val="22"/>
        </w:rPr>
        <w:t xml:space="preserve">16. </w:t>
      </w:r>
      <w:r w:rsidRPr="00A16AFB">
        <w:rPr>
          <w:szCs w:val="22"/>
          <w:u w:val="single"/>
        </w:rPr>
        <w:t>Plans for tabulation, statistical analysis, and publication.</w:t>
      </w:r>
    </w:p>
    <w:p w:rsidR="009829C3" w:rsidRPr="00AA6051" w:rsidP="00322F15" w14:paraId="0594D77E" w14:textId="3AC88167">
      <w:pPr>
        <w:spacing w:after="240"/>
        <w:ind w:firstLine="720"/>
        <w:rPr>
          <w:szCs w:val="22"/>
        </w:rPr>
      </w:pPr>
      <w:r w:rsidRPr="00A16AFB">
        <w:t>This collection of information will not be published.</w:t>
      </w:r>
      <w:r w:rsidRPr="00AA6051">
        <w:rPr>
          <w:szCs w:val="22"/>
        </w:rPr>
        <w:t xml:space="preserve"> </w:t>
      </w:r>
    </w:p>
    <w:p w:rsidR="009829C3" w:rsidRPr="00D700D9" w:rsidP="00322F15" w14:paraId="50FAF34E" w14:textId="39193159">
      <w:pPr>
        <w:spacing w:after="240"/>
        <w:rPr>
          <w:szCs w:val="22"/>
          <w:highlight w:val="lightGray"/>
        </w:rPr>
      </w:pPr>
      <w:r w:rsidRPr="00CA04F1">
        <w:rPr>
          <w:szCs w:val="22"/>
        </w:rPr>
        <w:t xml:space="preserve">17. </w:t>
      </w:r>
      <w:r w:rsidRPr="00CA04F1">
        <w:rPr>
          <w:u w:val="single"/>
        </w:rPr>
        <w:t>Request not to display the expiration date of the OMB control number.</w:t>
      </w:r>
    </w:p>
    <w:p w:rsidR="00D8554E" w:rsidRPr="00322F15" w:rsidP="00322F15" w14:paraId="3E59C37C" w14:textId="1686F083">
      <w:pPr>
        <w:spacing w:after="240"/>
        <w:ind w:firstLine="720"/>
      </w:pPr>
      <w:r w:rsidRPr="001F7618">
        <w:t>FinCEN requests that the expiration date of th</w:t>
      </w:r>
      <w:r>
        <w:t xml:space="preserve">e control </w:t>
      </w:r>
      <w:r w:rsidR="002125F2">
        <w:t xml:space="preserve">number </w:t>
      </w:r>
      <w:r w:rsidR="00EA5E89">
        <w:t>relating to the D</w:t>
      </w:r>
      <w:r w:rsidR="004F6E3B">
        <w:t xml:space="preserve">OEP regulations and report </w:t>
      </w:r>
      <w:r w:rsidRPr="001F7618">
        <w:t xml:space="preserve">not be displayed on the </w:t>
      </w:r>
      <w:r w:rsidR="004F6E3B">
        <w:t>regulation/</w:t>
      </w:r>
      <w:r w:rsidRPr="001F7618">
        <w:t>report so that there is no c</w:t>
      </w:r>
      <w:r>
        <w:t>onfusion as to whether the</w:t>
      </w:r>
      <w:r w:rsidRPr="001F7618">
        <w:t xml:space="preserve"> report is still valid. </w:t>
      </w:r>
      <w:r w:rsidR="004F6E3B">
        <w:t xml:space="preserve"> </w:t>
      </w:r>
      <w:r w:rsidRPr="001F7618">
        <w:t xml:space="preserve">This request will not affect the normal </w:t>
      </w:r>
      <w:r w:rsidR="004F6E3B">
        <w:t>three</w:t>
      </w:r>
      <w:r w:rsidRPr="001F7618">
        <w:t>-year PRA renewal process.</w:t>
      </w:r>
    </w:p>
    <w:p w:rsidR="00D8554E" w:rsidRPr="00322F15" w:rsidP="00322F15" w14:paraId="586FCF57" w14:textId="51C58883">
      <w:pPr>
        <w:widowControl w:val="0"/>
        <w:autoSpaceDE w:val="0"/>
        <w:autoSpaceDN w:val="0"/>
        <w:adjustRightInd w:val="0"/>
        <w:spacing w:after="240" w:line="240" w:lineRule="exact"/>
        <w:ind w:right="220"/>
        <w:jc w:val="both"/>
        <w:rPr>
          <w:szCs w:val="22"/>
          <w:u w:val="single"/>
        </w:rPr>
      </w:pPr>
      <w:r w:rsidRPr="00A16AFB">
        <w:rPr>
          <w:szCs w:val="22"/>
        </w:rPr>
        <w:t xml:space="preserve">18. </w:t>
      </w:r>
      <w:r w:rsidRPr="00A16AFB">
        <w:rPr>
          <w:szCs w:val="22"/>
          <w:u w:val="single"/>
        </w:rPr>
        <w:t>Exceptions to the certification statement.</w:t>
      </w:r>
    </w:p>
    <w:p w:rsidR="00643252" w:rsidP="00322F15" w14:paraId="6DE272F1" w14:textId="3F3DA067">
      <w:pPr>
        <w:spacing w:after="240"/>
        <w:ind w:firstLine="720"/>
      </w:pPr>
      <w:r w:rsidRPr="00A16AFB">
        <w:rPr>
          <w:szCs w:val="22"/>
        </w:rPr>
        <w:t>There are no exceptions to the certification statement.</w:t>
      </w:r>
    </w:p>
    <w:sectPr>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1270776"/>
      <w:docPartObj>
        <w:docPartGallery w:val="Page Numbers (Bottom of Page)"/>
        <w:docPartUnique/>
      </w:docPartObj>
    </w:sdtPr>
    <w:sdtEndPr>
      <w:rPr>
        <w:noProof/>
      </w:rPr>
    </w:sdtEndPr>
    <w:sdtContent>
      <w:p w:rsidR="007750AF" w14:paraId="70F19450" w14:textId="534B8983">
        <w:pPr>
          <w:pStyle w:val="Footer"/>
          <w:jc w:val="center"/>
        </w:pPr>
        <w:r>
          <w:fldChar w:fldCharType="begin"/>
        </w:r>
        <w:r>
          <w:instrText xml:space="preserve"> PAGE   \* MERGEFORMAT </w:instrText>
        </w:r>
        <w:r>
          <w:fldChar w:fldCharType="separate"/>
        </w:r>
        <w:r w:rsidR="00F76673">
          <w:rPr>
            <w:noProof/>
          </w:rPr>
          <w:t>7</w:t>
        </w:r>
        <w:r>
          <w:rPr>
            <w:noProof/>
          </w:rPr>
          <w:fldChar w:fldCharType="end"/>
        </w:r>
      </w:p>
    </w:sdtContent>
  </w:sdt>
  <w:p w:rsidR="007750AF" w14:paraId="7ED3A5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670D" w14:paraId="240AFFD4" w14:textId="77777777">
      <w:r>
        <w:separator/>
      </w:r>
    </w:p>
  </w:footnote>
  <w:footnote w:type="continuationSeparator" w:id="1">
    <w:p w:rsidR="00A8670D" w14:paraId="4132F47A" w14:textId="77777777">
      <w:r>
        <w:continuationSeparator/>
      </w:r>
    </w:p>
  </w:footnote>
  <w:footnote w:id="2">
    <w:p w:rsidR="00CD1B3E" w:rsidRPr="005667C4" w:rsidP="00CD1B3E" w14:paraId="32EF6F98" w14:textId="46409B27">
      <w:pPr>
        <w:pStyle w:val="FootnoteText"/>
      </w:pPr>
      <w:r w:rsidRPr="005667C4">
        <w:rPr>
          <w:rStyle w:val="FootnoteReference"/>
        </w:rPr>
        <w:footnoteRef/>
      </w:r>
      <w:r w:rsidRPr="005667C4">
        <w:t xml:space="preserve"> USA PATRIOT Act, Pub. L. 107-56</w:t>
      </w:r>
      <w:bookmarkStart w:id="0" w:name="_Hlk173880181"/>
      <w:bookmarkStart w:id="1" w:name="_Hlk173882507"/>
      <w:r w:rsidRPr="005667C4">
        <w:t>, 115 Stat. 272 (</w:t>
      </w:r>
      <w:r w:rsidR="002B341A">
        <w:t xml:space="preserve">Oct. 26, </w:t>
      </w:r>
      <w:r w:rsidRPr="005667C4">
        <w:t>2001)</w:t>
      </w:r>
      <w:bookmarkEnd w:id="0"/>
      <w:r w:rsidRPr="005667C4">
        <w:t>.</w:t>
      </w:r>
      <w:bookmarkEnd w:id="1"/>
    </w:p>
  </w:footnote>
  <w:footnote w:id="3">
    <w:p w:rsidR="00CD1B3E" w:rsidRPr="005667C4" w:rsidP="00CD1B3E" w14:paraId="2698DAA9" w14:textId="414A2ED6">
      <w:pPr>
        <w:pStyle w:val="FootnoteText"/>
      </w:pPr>
      <w:r w:rsidRPr="005667C4">
        <w:rPr>
          <w:rStyle w:val="FootnoteReference"/>
        </w:rPr>
        <w:footnoteRef/>
      </w:r>
      <w:r w:rsidRPr="005667C4">
        <w:t xml:space="preserve"> The AML Act was enacted as Division F, sections 6001-6511 of the William M. (Mac) Thornberry National Defense Authorization Act for Fiscal Year 2021, Pub. L. 116-283, 134 Stat. 3388</w:t>
      </w:r>
      <w:r w:rsidR="00A36DB8">
        <w:t xml:space="preserve"> (</w:t>
      </w:r>
      <w:r w:rsidR="00CB2157">
        <w:t>Jan. 1, 2021)</w:t>
      </w:r>
      <w:r w:rsidRPr="005667C4">
        <w:t>.</w:t>
      </w:r>
    </w:p>
  </w:footnote>
  <w:footnote w:id="4">
    <w:p w:rsidR="00CD1B3E" w:rsidRPr="005667C4" w:rsidP="00CD1B3E" w14:paraId="510940F6" w14:textId="77777777">
      <w:pPr>
        <w:pStyle w:val="FootnoteText"/>
      </w:pPr>
      <w:r w:rsidRPr="005667C4">
        <w:rPr>
          <w:rStyle w:val="FootnoteReference"/>
        </w:rPr>
        <w:footnoteRef/>
      </w:r>
      <w:r w:rsidRPr="005667C4">
        <w:t xml:space="preserve"> </w:t>
      </w:r>
      <w:r w:rsidRPr="005667C4">
        <w:rPr>
          <w:i/>
          <w:iCs/>
        </w:rPr>
        <w:t>See</w:t>
      </w:r>
      <w:r w:rsidRPr="005667C4">
        <w:t xml:space="preserve"> 31 U.S.C. 5311.</w:t>
      </w:r>
    </w:p>
  </w:footnote>
  <w:footnote w:id="5">
    <w:p w:rsidR="00CD1B3E" w:rsidRPr="005667C4" w:rsidP="00CD1B3E" w14:paraId="6B0E06B7" w14:textId="77777777">
      <w:pPr>
        <w:autoSpaceDE w:val="0"/>
        <w:autoSpaceDN w:val="0"/>
        <w:adjustRightInd w:val="0"/>
        <w:rPr>
          <w:sz w:val="20"/>
          <w:szCs w:val="20"/>
        </w:rPr>
      </w:pPr>
      <w:r w:rsidRPr="005667C4">
        <w:rPr>
          <w:rStyle w:val="FootnoteReference"/>
          <w:sz w:val="20"/>
          <w:szCs w:val="20"/>
        </w:rPr>
        <w:footnoteRef/>
      </w:r>
      <w:r w:rsidRPr="005667C4">
        <w:rPr>
          <w:sz w:val="20"/>
          <w:szCs w:val="20"/>
        </w:rPr>
        <w:t xml:space="preserve"> Treasury Order 180–01 (Jan. 14, 2020)</w:t>
      </w:r>
      <w:bookmarkStart w:id="2" w:name="_Hlk173882542"/>
      <w:r w:rsidRPr="005667C4">
        <w:rPr>
          <w:color w:val="000000"/>
          <w:sz w:val="20"/>
          <w:szCs w:val="20"/>
        </w:rPr>
        <w:t xml:space="preserve">; </w:t>
      </w:r>
      <w:r w:rsidRPr="005667C4">
        <w:rPr>
          <w:i/>
          <w:iCs/>
          <w:color w:val="000000"/>
          <w:sz w:val="20"/>
          <w:szCs w:val="20"/>
        </w:rPr>
        <w:t xml:space="preserve">see also </w:t>
      </w:r>
      <w:r w:rsidRPr="005667C4">
        <w:rPr>
          <w:color w:val="000000"/>
          <w:sz w:val="20"/>
          <w:szCs w:val="20"/>
        </w:rPr>
        <w:t xml:space="preserve">31 U.S.C. 310(b)(2)(I) (providing that </w:t>
      </w:r>
      <w:r>
        <w:rPr>
          <w:color w:val="000000"/>
          <w:sz w:val="20"/>
          <w:szCs w:val="20"/>
        </w:rPr>
        <w:t xml:space="preserve">the </w:t>
      </w:r>
      <w:r w:rsidRPr="005667C4">
        <w:rPr>
          <w:color w:val="000000"/>
          <w:sz w:val="20"/>
          <w:szCs w:val="20"/>
        </w:rPr>
        <w:t xml:space="preserve">FinCEN Director </w:t>
      </w:r>
      <w:r>
        <w:rPr>
          <w:color w:val="000000"/>
          <w:sz w:val="20"/>
          <w:szCs w:val="20"/>
        </w:rPr>
        <w:t xml:space="preserve">shall </w:t>
      </w:r>
      <w:r w:rsidRPr="005667C4">
        <w:rPr>
          <w:color w:val="000000"/>
          <w:sz w:val="20"/>
          <w:szCs w:val="20"/>
        </w:rPr>
        <w:t>“[a]dminister</w:t>
      </w:r>
      <w:r w:rsidRPr="005667C4">
        <w:rPr>
          <w:color w:val="000000"/>
          <w:sz w:val="20"/>
          <w:szCs w:val="20"/>
        </w:rPr>
        <w:t xml:space="preserve"> the requirements of subchapter II of chapter 53 of this title, chapter 2 of title I of Public Law 91–508, and section 21 of the Federal Deposit Insurance Act, to the extent delegated such authority by the Secretary.”)</w:t>
      </w:r>
      <w:r w:rsidRPr="005667C4">
        <w:rPr>
          <w:sz w:val="20"/>
          <w:szCs w:val="20"/>
        </w:rPr>
        <w:t>.</w:t>
      </w:r>
      <w:bookmarkEnd w:id="2"/>
    </w:p>
  </w:footnote>
  <w:footnote w:id="6">
    <w:p w:rsidR="00205A82" w:rsidRPr="00936212" w:rsidP="00205A82" w14:paraId="06533307" w14:textId="77777777">
      <w:pPr>
        <w:pStyle w:val="FootnoteText"/>
      </w:pPr>
      <w:r w:rsidRPr="00936212">
        <w:rPr>
          <w:rStyle w:val="FootnoteReference"/>
        </w:rPr>
        <w:footnoteRef/>
      </w:r>
      <w:r w:rsidRPr="00936212">
        <w:t xml:space="preserve"> Pub. L. 103-325, Title IV, Section 402 (Sep. 23, 1994), 108 Stat. 2243.  These authorities are codified at 31 U.S.C. 5313(d) (mandatory exemptions) and (e) (discretionary exemptions).</w:t>
      </w:r>
    </w:p>
  </w:footnote>
  <w:footnote w:id="7">
    <w:p w:rsidR="009743C2" w:rsidP="009743C2" w14:paraId="228FB9B3" w14:textId="65E8D2B5">
      <w:pPr>
        <w:pStyle w:val="FootnoteText"/>
      </w:pPr>
      <w:r w:rsidRPr="00936212">
        <w:rPr>
          <w:rStyle w:val="FootnoteReference"/>
        </w:rPr>
        <w:footnoteRef/>
      </w:r>
      <w:r w:rsidRPr="00936212">
        <w:t xml:space="preserve"> 31 CFR </w:t>
      </w:r>
      <w:r w:rsidRPr="00936212" w:rsidR="00871870">
        <w:t>10</w:t>
      </w:r>
      <w:r w:rsidR="00871870">
        <w:t>2</w:t>
      </w:r>
      <w:r w:rsidRPr="00936212" w:rsidR="00871870">
        <w:t>0</w:t>
      </w:r>
      <w:r w:rsidRPr="00936212">
        <w:t xml:space="preserve">.315(a).  The exemption does not apply when the exempt person is acting as agent for another person who is the beneficial owner of the funds that are the subject of the transaction.  31 CFR </w:t>
      </w:r>
      <w:r w:rsidRPr="00936212" w:rsidR="00581D54">
        <w:t>10</w:t>
      </w:r>
      <w:r w:rsidR="00581D54">
        <w:t>2</w:t>
      </w:r>
      <w:r w:rsidRPr="00936212" w:rsidR="00581D54">
        <w:t>0</w:t>
      </w:r>
      <w:r w:rsidRPr="00936212">
        <w:t>.315(f).</w:t>
      </w:r>
    </w:p>
  </w:footnote>
  <w:footnote w:id="8">
    <w:p w:rsidR="009743C2" w:rsidRPr="00936212" w:rsidP="009743C2" w14:paraId="7ED3D80C" w14:textId="77777777">
      <w:pPr>
        <w:pStyle w:val="FootnoteText"/>
      </w:pPr>
      <w:r w:rsidRPr="00936212">
        <w:rPr>
          <w:vertAlign w:val="superscript"/>
        </w:rPr>
        <w:footnoteRef/>
      </w:r>
      <w:r w:rsidRPr="00936212">
        <w:rPr>
          <w:vertAlign w:val="superscript"/>
        </w:rPr>
        <w:t xml:space="preserve"> </w:t>
      </w:r>
      <w:r w:rsidRPr="00936212">
        <w:t>In certain circumstances, a limited exemption from the two</w:t>
      </w:r>
      <w:r>
        <w:t>-</w:t>
      </w:r>
      <w:r w:rsidRPr="00936212">
        <w:t>month transaction account holding requirement may apply to non-listed business and payroll customers pursuant to the special rule at 31 CFR 1010.315(c)(2)(ii).</w:t>
      </w:r>
    </w:p>
  </w:footnote>
  <w:footnote w:id="9">
    <w:p w:rsidR="009743C2" w:rsidRPr="00936212" w:rsidP="009743C2" w14:paraId="20144444" w14:textId="77777777">
      <w:pPr>
        <w:pStyle w:val="FootnoteText"/>
      </w:pPr>
      <w:r w:rsidRPr="00936212">
        <w:rPr>
          <w:rStyle w:val="FootnoteReference"/>
        </w:rPr>
        <w:footnoteRef/>
      </w:r>
      <w:r w:rsidRPr="00936212">
        <w:t xml:space="preserve"> This is referred to in the regulations as “FinCEN Form 110.”  FinCEN has referred to its forms as “reports” since moving to electronic filing.</w:t>
      </w:r>
    </w:p>
  </w:footnote>
  <w:footnote w:id="10">
    <w:p w:rsidR="009743C2" w:rsidRPr="00936212" w:rsidP="009743C2" w14:paraId="448B9A94" w14:textId="77777777">
      <w:pPr>
        <w:pStyle w:val="FootnoteText"/>
      </w:pPr>
      <w:r w:rsidRPr="00936212">
        <w:rPr>
          <w:rStyle w:val="FootnoteReference"/>
        </w:rPr>
        <w:footnoteRef/>
      </w:r>
      <w:r w:rsidRPr="00936212">
        <w:t xml:space="preserve"> 31 CFR 1020.315(c)(1) and (e)(6).</w:t>
      </w:r>
    </w:p>
  </w:footnote>
  <w:footnote w:id="11">
    <w:p w:rsidR="009743C2" w:rsidP="009743C2" w14:paraId="3AB5EA3F" w14:textId="77777777">
      <w:pPr>
        <w:pStyle w:val="FootnoteText"/>
      </w:pPr>
      <w:r w:rsidRPr="00936212">
        <w:rPr>
          <w:rStyle w:val="FootnoteReference"/>
        </w:rPr>
        <w:footnoteRef/>
      </w:r>
      <w:r w:rsidRPr="00936212">
        <w:t xml:space="preserve"> 31 CFR 1020.315(c)(2)</w:t>
      </w:r>
      <w:r>
        <w:t>(i)</w:t>
      </w:r>
      <w:r w:rsidRPr="00936212">
        <w:t>(A) and (B).</w:t>
      </w:r>
    </w:p>
  </w:footnote>
  <w:footnote w:id="12">
    <w:p w:rsidR="00A32508" w:rsidRPr="000D1224" w:rsidP="00A32508" w14:paraId="4314A547" w14:textId="77777777">
      <w:pPr>
        <w:pStyle w:val="HTMLPreformatted"/>
        <w:shd w:val="clear" w:color="auto" w:fill="FFFFFF"/>
        <w:rPr>
          <w:rFonts w:ascii="Times New Roman" w:hAnsi="Times New Roman"/>
          <w:color w:val="000000"/>
        </w:rPr>
      </w:pPr>
      <w:r w:rsidRPr="004C7FA7">
        <w:rPr>
          <w:rStyle w:val="FootnoteReference"/>
          <w:rFonts w:ascii="Times New Roman" w:hAnsi="Times New Roman"/>
        </w:rPr>
        <w:footnoteRef/>
      </w:r>
      <w:r>
        <w:rPr>
          <w:rFonts w:ascii="Times New Roman" w:hAnsi="Times New Roman"/>
        </w:rPr>
        <w:t xml:space="preserve"> </w:t>
      </w:r>
      <w:r w:rsidRPr="000B7E8F">
        <w:rPr>
          <w:rFonts w:ascii="Times New Roman" w:hAnsi="Times New Roman"/>
          <w:i/>
          <w:iCs/>
        </w:rPr>
        <w:t>See</w:t>
      </w:r>
      <w:r>
        <w:rPr>
          <w:rFonts w:ascii="Times New Roman" w:hAnsi="Times New Roman"/>
        </w:rPr>
        <w:t xml:space="preserve"> </w:t>
      </w:r>
      <w:r w:rsidRPr="004C7FA7">
        <w:rPr>
          <w:rFonts w:ascii="Times New Roman" w:hAnsi="Times New Roman"/>
          <w:color w:val="000000"/>
        </w:rPr>
        <w:t>FinCEN</w:t>
      </w:r>
      <w:r>
        <w:rPr>
          <w:rFonts w:ascii="Times New Roman" w:hAnsi="Times New Roman"/>
          <w:color w:val="000000"/>
        </w:rPr>
        <w:t>,</w:t>
      </w:r>
      <w:r w:rsidRPr="004C7FA7">
        <w:rPr>
          <w:rFonts w:ascii="Times New Roman" w:hAnsi="Times New Roman"/>
          <w:color w:val="000000"/>
        </w:rPr>
        <w:t xml:space="preserve"> </w:t>
      </w:r>
      <w:r w:rsidRPr="001C1240">
        <w:rPr>
          <w:rFonts w:ascii="Times New Roman" w:hAnsi="Times New Roman"/>
          <w:i/>
          <w:iCs/>
          <w:color w:val="000000"/>
        </w:rPr>
        <w:t>Privacy Act of 1974, System of Records Notice</w:t>
      </w:r>
      <w:r>
        <w:rPr>
          <w:rFonts w:ascii="Times New Roman" w:hAnsi="Times New Roman"/>
        </w:rPr>
        <w:t xml:space="preserve">, </w:t>
      </w:r>
      <w:hyperlink r:id="rId1" w:history="1">
        <w:r>
          <w:rPr>
            <w:rStyle w:val="Hyperlink"/>
            <w:rFonts w:ascii="Times New Roman" w:hAnsi="Times New Roman"/>
          </w:rPr>
          <w:t>79 FR 20969</w:t>
        </w:r>
      </w:hyperlink>
      <w:r>
        <w:rPr>
          <w:rFonts w:ascii="Times New Roman" w:hAnsi="Times New Roman"/>
        </w:rPr>
        <w:t xml:space="preserve"> (Apr. 14, 2014)</w:t>
      </w:r>
      <w:r w:rsidRPr="004C7FA7">
        <w:rPr>
          <w:rFonts w:ascii="Times New Roman" w:hAnsi="Times New Roman"/>
          <w:color w:val="000000"/>
        </w:rPr>
        <w:t xml:space="preserve">. </w:t>
      </w:r>
    </w:p>
  </w:footnote>
  <w:footnote w:id="13">
    <w:p w:rsidR="00AE67C0" w:rsidP="00AE67C0" w14:paraId="2AE975F3" w14:textId="77777777">
      <w:pPr>
        <w:pStyle w:val="FootnoteText"/>
      </w:pPr>
      <w:r>
        <w:rPr>
          <w:rStyle w:val="FootnoteReference"/>
        </w:rPr>
        <w:footnoteRef/>
      </w:r>
      <w:r>
        <w:t xml:space="preserve"> </w:t>
      </w:r>
      <w:r w:rsidRPr="00D64CB2">
        <w:t>In batch-filing, a filer submits a single electronic file containing several reports.</w:t>
      </w:r>
      <w:r>
        <w:t xml:space="preserve"> </w:t>
      </w:r>
      <w:r w:rsidRPr="00D64CB2">
        <w:t xml:space="preserve"> In discrete-filing, the filer fills in an electronic form individually, using a data entry screen that FinCEN provides.</w:t>
      </w:r>
    </w:p>
  </w:footnote>
  <w:footnote w:id="14">
    <w:p w:rsidR="00E761FD" w:rsidRPr="006D49C8" w14:paraId="67A91F18" w14:textId="2FBDE1BC">
      <w:pPr>
        <w:pStyle w:val="FootnoteText"/>
      </w:pPr>
      <w:r>
        <w:rPr>
          <w:rStyle w:val="FootnoteReference"/>
        </w:rPr>
        <w:footnoteRef/>
      </w:r>
      <w:r>
        <w:t xml:space="preserve"> </w:t>
      </w:r>
      <w:r w:rsidRPr="00415D97" w:rsidR="00921E56">
        <w:rPr>
          <w:i/>
          <w:iCs/>
        </w:rPr>
        <w:t>See</w:t>
      </w:r>
      <w:r w:rsidR="00921E56">
        <w:t xml:space="preserve"> FinCEN, </w:t>
      </w:r>
      <w:r w:rsidR="00921E56">
        <w:rPr>
          <w:i/>
          <w:iCs/>
        </w:rPr>
        <w:t>Agency Information Collection Activities; Proposed Renewal; Comment Request; Renewal Without Change of</w:t>
      </w:r>
      <w:r w:rsidR="007D19E0">
        <w:rPr>
          <w:i/>
          <w:iCs/>
        </w:rPr>
        <w:t xml:space="preserve"> Transactions of Exempt Persons Regulations, and FinCEN Form 110, Designation of Exempt Person Report</w:t>
      </w:r>
      <w:r w:rsidR="006D49C8">
        <w:t xml:space="preserve">, </w:t>
      </w:r>
      <w:hyperlink r:id="rId2" w:history="1">
        <w:r>
          <w:rPr>
            <w:rStyle w:val="Hyperlink"/>
          </w:rPr>
          <w:t>89 FR 65012</w:t>
        </w:r>
      </w:hyperlink>
      <w:r>
        <w:t xml:space="preserve"> (</w:t>
      </w:r>
      <w:r w:rsidR="00C631A9">
        <w:t>Aug. 8, 2024).</w:t>
      </w:r>
    </w:p>
  </w:footnote>
  <w:footnote w:id="15">
    <w:p w:rsidR="00026662" w:rsidRPr="004F39AB" w:rsidP="00026662" w14:paraId="6944AA05" w14:textId="43C30486">
      <w:pPr>
        <w:pStyle w:val="HTMLPreformatted"/>
        <w:shd w:val="clear" w:color="auto" w:fill="FFFFFF"/>
      </w:pPr>
      <w:r w:rsidRPr="001F7618">
        <w:rPr>
          <w:rStyle w:val="FootnoteReference"/>
          <w:rFonts w:ascii="Times New Roman" w:hAnsi="Times New Roman"/>
        </w:rPr>
        <w:footnoteRef/>
      </w:r>
      <w:r>
        <w:rPr>
          <w:rFonts w:ascii="Times New Roman" w:hAnsi="Times New Roman"/>
          <w:i/>
          <w:iCs/>
        </w:rPr>
        <w:t xml:space="preserve"> </w:t>
      </w:r>
      <w:r w:rsidRPr="004B3BE0">
        <w:rPr>
          <w:rFonts w:ascii="Times New Roman" w:hAnsi="Times New Roman"/>
          <w:i/>
          <w:iCs/>
        </w:rPr>
        <w:t>Se</w:t>
      </w:r>
      <w:r w:rsidR="004F39AB">
        <w:rPr>
          <w:rFonts w:ascii="Times New Roman" w:hAnsi="Times New Roman"/>
          <w:i/>
          <w:iCs/>
        </w:rPr>
        <w:t xml:space="preserve">e supra </w:t>
      </w:r>
      <w:r w:rsidRPr="004F39AB" w:rsidR="004F39AB">
        <w:rPr>
          <w:rFonts w:ascii="Times New Roman" w:hAnsi="Times New Roman"/>
        </w:rPr>
        <w:t>note 11.</w:t>
      </w:r>
    </w:p>
  </w:footnote>
  <w:footnote w:id="16">
    <w:p w:rsidR="00851E5B" w:rsidRPr="008341FC" w:rsidP="00851E5B" w14:paraId="24EF835B" w14:textId="77777777">
      <w:pPr>
        <w:pStyle w:val="FootnoteText"/>
        <w:rPr>
          <w:i/>
          <w:iCs/>
        </w:rPr>
      </w:pPr>
      <w:r w:rsidRPr="001F7618">
        <w:rPr>
          <w:rStyle w:val="FootnoteReference"/>
        </w:rPr>
        <w:footnoteRef/>
      </w:r>
      <w:r w:rsidRPr="001F7618">
        <w:t xml:space="preserve"> </w:t>
      </w:r>
      <w:r w:rsidRPr="008341FC">
        <w:rPr>
          <w:i/>
          <w:iCs/>
        </w:rPr>
        <w:t>Id.</w:t>
      </w:r>
    </w:p>
  </w:footnote>
  <w:footnote w:id="17">
    <w:p w:rsidR="007750AF" w:rsidP="001B6495" w14:paraId="17A9767A" w14:textId="5A18E1B2">
      <w:pPr>
        <w:pStyle w:val="FootnoteText"/>
      </w:pPr>
      <w:r>
        <w:rPr>
          <w:rStyle w:val="FootnoteReference"/>
        </w:rPr>
        <w:footnoteRef/>
      </w:r>
      <w:r>
        <w:t xml:space="preserve"> </w:t>
      </w:r>
      <w:r w:rsidRPr="00936212" w:rsidR="00037315">
        <w:t xml:space="preserve">Table 1 below </w:t>
      </w:r>
      <w:r w:rsidR="00037315">
        <w:t>describes the</w:t>
      </w:r>
      <w:r w:rsidRPr="00936212" w:rsidR="00037315">
        <w:t xml:space="preserve"> distribution of the types of financial institutions covered by this </w:t>
      </w:r>
      <w:r w:rsidR="00037315">
        <w:t>supporting statement.</w:t>
      </w:r>
    </w:p>
  </w:footnote>
  <w:footnote w:id="18">
    <w:p w:rsidR="008B1369" w14:paraId="1AA0B913" w14:textId="609BD2F0">
      <w:pPr>
        <w:pStyle w:val="FootnoteText"/>
      </w:pPr>
      <w:r>
        <w:rPr>
          <w:rStyle w:val="FootnoteReference"/>
        </w:rPr>
        <w:footnoteRef/>
      </w:r>
      <w:r>
        <w:t xml:space="preserve"> </w:t>
      </w:r>
      <w:r w:rsidRPr="00936212" w:rsidR="00F83A38">
        <w:t>Based on 2023 filings, FinCEN received 15,105 DOEP Reports</w:t>
      </w:r>
      <w:r w:rsidR="00F83A38">
        <w:t>.</w:t>
      </w:r>
    </w:p>
  </w:footnote>
  <w:footnote w:id="19">
    <w:p w:rsidR="001844F6" w:rsidP="001844F6" w14:paraId="412E2D37" w14:textId="26756577">
      <w:pPr>
        <w:pStyle w:val="FootnoteText"/>
      </w:pPr>
      <w:r>
        <w:rPr>
          <w:rStyle w:val="FootnoteReference"/>
        </w:rPr>
        <w:footnoteRef/>
      </w:r>
      <w:r>
        <w:t xml:space="preserve"> </w:t>
      </w:r>
      <w:r w:rsidRPr="000041CA">
        <w:rPr>
          <w:i/>
          <w:iCs/>
        </w:rPr>
        <w:t>See</w:t>
      </w:r>
      <w:r w:rsidRPr="00470681">
        <w:rPr>
          <w:i/>
          <w:iCs/>
        </w:rPr>
        <w:t>, e.g.,</w:t>
      </w:r>
      <w:r>
        <w:t xml:space="preserve"> FinCEN and SEC, </w:t>
      </w:r>
      <w:r>
        <w:rPr>
          <w:i/>
          <w:iCs/>
        </w:rPr>
        <w:t xml:space="preserve">NPRM </w:t>
      </w:r>
      <w:r w:rsidRPr="000041CA">
        <w:rPr>
          <w:i/>
          <w:iCs/>
        </w:rPr>
        <w:t xml:space="preserve">Customer Identification Programs for Registered Investment </w:t>
      </w:r>
      <w:r w:rsidRPr="000041CA">
        <w:rPr>
          <w:i/>
          <w:iCs/>
        </w:rPr>
        <w:t>Advisers and Exempt Reporting Advisers</w:t>
      </w:r>
      <w:r>
        <w:t xml:space="preserve">, </w:t>
      </w:r>
      <w:hyperlink r:id="rId3" w:history="1">
        <w:r>
          <w:rPr>
            <w:rStyle w:val="Hyperlink"/>
          </w:rPr>
          <w:t>89 FR 44571</w:t>
        </w:r>
      </w:hyperlink>
      <w:r>
        <w:t xml:space="preserve"> (May 21, 2024); FinCEN, </w:t>
      </w:r>
      <w:r>
        <w:rPr>
          <w:i/>
          <w:iCs/>
        </w:rPr>
        <w:t xml:space="preserve">NPRM Anti-Money Laundering and Countering the Financing of Terrorism Programs NPRM, </w:t>
      </w:r>
      <w:hyperlink r:id="rId4" w:history="1">
        <w:r w:rsidRPr="00A82A0D">
          <w:rPr>
            <w:rStyle w:val="Hyperlink"/>
          </w:rPr>
          <w:t>89 FR 55428</w:t>
        </w:r>
      </w:hyperlink>
      <w:r w:rsidRPr="00A82A0D">
        <w:t xml:space="preserve"> </w:t>
      </w:r>
      <w:r>
        <w:t>(Jul</w:t>
      </w:r>
      <w:r w:rsidR="00182B36">
        <w:t>y</w:t>
      </w:r>
      <w:r>
        <w:t xml:space="preserve"> 3, 2024); FinCEN, </w:t>
      </w:r>
      <w:r>
        <w:rPr>
          <w:i/>
          <w:iCs/>
        </w:rPr>
        <w:t xml:space="preserve">Agency Information Collection Activities; Proposed Renewal; Comment Request; Renewal Without Change of the Customer Identification Program Regulatory Requirements for Certain Financial Institutions, </w:t>
      </w:r>
      <w:hyperlink r:id="rId5" w:history="1">
        <w:r w:rsidRPr="00A82A0D">
          <w:rPr>
            <w:rStyle w:val="Hyperlink"/>
          </w:rPr>
          <w:t>89 FR 51940</w:t>
        </w:r>
      </w:hyperlink>
      <w:r>
        <w:t xml:space="preserve"> (Jun</w:t>
      </w:r>
      <w:r w:rsidR="00182B36">
        <w:t>e</w:t>
      </w:r>
      <w:r>
        <w:t xml:space="preserve"> 20, 2024); FinCEN, </w:t>
      </w:r>
      <w:r>
        <w:rPr>
          <w:i/>
          <w:iCs/>
        </w:rPr>
        <w:t>Agency Information Collection Activities; Proposed Renewal; Comment Request; Renewal Without Change of Due Diligence Programs for Correspondent Accounts for Foreign Financial Institutions and for Private Banking Accounts</w:t>
      </w:r>
      <w:r>
        <w:t xml:space="preserve">, </w:t>
      </w:r>
      <w:hyperlink r:id="rId6" w:history="1">
        <w:r>
          <w:rPr>
            <w:rStyle w:val="Hyperlink"/>
          </w:rPr>
          <w:t>89 FR 49273</w:t>
        </w:r>
      </w:hyperlink>
      <w:r>
        <w:t>, (Jun</w:t>
      </w:r>
      <w:r w:rsidR="00182B36">
        <w:t>e</w:t>
      </w:r>
      <w:r>
        <w:t xml:space="preserve"> 11, 2024).</w:t>
      </w:r>
    </w:p>
  </w:footnote>
  <w:footnote w:id="20">
    <w:p w:rsidR="00BC45C1" w:rsidP="00BC45C1" w14:paraId="4C81A1C0" w14:textId="0135D8B2">
      <w:pPr>
        <w:pStyle w:val="FootnoteText"/>
      </w:pPr>
      <w:r>
        <w:rPr>
          <w:rStyle w:val="FootnoteReference"/>
        </w:rPr>
        <w:footnoteRef/>
      </w:r>
      <w:r>
        <w:t xml:space="preserve"> </w:t>
      </w:r>
      <w:r w:rsidRPr="008A536D">
        <w:rPr>
          <w:color w:val="000000" w:themeColor="text1"/>
        </w:rPr>
        <w:t xml:space="preserve">The estimated cost per electronic response </w:t>
      </w:r>
      <w:r w:rsidRPr="008A536D">
        <w:t xml:space="preserve">is calculated as part of an annual report FinCEN creates and provides to the Department of the Treasury and OMB, entitled </w:t>
      </w:r>
      <w:r>
        <w:t>T</w:t>
      </w:r>
      <w:r w:rsidRPr="008A536D">
        <w:t>he Cost per BSA Filing Transaction.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2"/>
      <w:numFmt w:val="lowerLetter"/>
      <w:lvlText w:val="(%1)"/>
      <w:lvlJc w:val="left"/>
      <w:pPr>
        <w:ind w:left="412" w:hanging="301"/>
      </w:pPr>
      <w:rPr>
        <w:rFonts w:ascii="Arial" w:hAnsi="Arial" w:cs="Arial"/>
        <w:b w:val="0"/>
        <w:bCs w:val="0"/>
        <w:w w:val="100"/>
        <w:sz w:val="20"/>
        <w:szCs w:val="20"/>
      </w:rPr>
    </w:lvl>
    <w:lvl w:ilvl="1">
      <w:start w:val="0"/>
      <w:numFmt w:val="bullet"/>
      <w:lvlText w:val="•"/>
      <w:lvlJc w:val="left"/>
      <w:pPr>
        <w:ind w:left="1404" w:hanging="301"/>
      </w:pPr>
    </w:lvl>
    <w:lvl w:ilvl="2">
      <w:start w:val="0"/>
      <w:numFmt w:val="bullet"/>
      <w:lvlText w:val="•"/>
      <w:lvlJc w:val="left"/>
      <w:pPr>
        <w:ind w:left="2388" w:hanging="301"/>
      </w:pPr>
    </w:lvl>
    <w:lvl w:ilvl="3">
      <w:start w:val="0"/>
      <w:numFmt w:val="bullet"/>
      <w:lvlText w:val="•"/>
      <w:lvlJc w:val="left"/>
      <w:pPr>
        <w:ind w:left="3372" w:hanging="301"/>
      </w:pPr>
    </w:lvl>
    <w:lvl w:ilvl="4">
      <w:start w:val="0"/>
      <w:numFmt w:val="bullet"/>
      <w:lvlText w:val="•"/>
      <w:lvlJc w:val="left"/>
      <w:pPr>
        <w:ind w:left="4356" w:hanging="301"/>
      </w:pPr>
    </w:lvl>
    <w:lvl w:ilvl="5">
      <w:start w:val="0"/>
      <w:numFmt w:val="bullet"/>
      <w:lvlText w:val="•"/>
      <w:lvlJc w:val="left"/>
      <w:pPr>
        <w:ind w:left="5340" w:hanging="301"/>
      </w:pPr>
    </w:lvl>
    <w:lvl w:ilvl="6">
      <w:start w:val="0"/>
      <w:numFmt w:val="bullet"/>
      <w:lvlText w:val="•"/>
      <w:lvlJc w:val="left"/>
      <w:pPr>
        <w:ind w:left="6324" w:hanging="301"/>
      </w:pPr>
    </w:lvl>
    <w:lvl w:ilvl="7">
      <w:start w:val="0"/>
      <w:numFmt w:val="bullet"/>
      <w:lvlText w:val="•"/>
      <w:lvlJc w:val="left"/>
      <w:pPr>
        <w:ind w:left="7308" w:hanging="301"/>
      </w:pPr>
    </w:lvl>
    <w:lvl w:ilvl="8">
      <w:start w:val="0"/>
      <w:numFmt w:val="bullet"/>
      <w:lvlText w:val="•"/>
      <w:lvlJc w:val="left"/>
      <w:pPr>
        <w:ind w:left="8292" w:hanging="301"/>
      </w:pPr>
    </w:lvl>
  </w:abstractNum>
  <w:abstractNum w:abstractNumId="1">
    <w:nsid w:val="00000403"/>
    <w:multiLevelType w:val="multilevel"/>
    <w:tmpl w:val="00000886"/>
    <w:lvl w:ilvl="0">
      <w:start w:val="4"/>
      <w:numFmt w:val="lowerLetter"/>
      <w:lvlText w:val="(%1)"/>
      <w:lvlJc w:val="left"/>
      <w:pPr>
        <w:ind w:left="413" w:hanging="302"/>
      </w:pPr>
      <w:rPr>
        <w:rFonts w:ascii="Arial" w:hAnsi="Arial" w:cs="Arial"/>
        <w:b w:val="0"/>
        <w:bCs w:val="0"/>
        <w:w w:val="100"/>
        <w:sz w:val="20"/>
        <w:szCs w:val="20"/>
      </w:rPr>
    </w:lvl>
    <w:lvl w:ilvl="1">
      <w:start w:val="1"/>
      <w:numFmt w:val="lowerRoman"/>
      <w:lvlText w:val="(%2)"/>
      <w:lvlJc w:val="left"/>
      <w:pPr>
        <w:ind w:left="732" w:hanging="344"/>
      </w:pPr>
      <w:rPr>
        <w:rFonts w:ascii="Arial" w:hAnsi="Arial" w:cs="Arial"/>
        <w:b w:val="0"/>
        <w:bCs w:val="0"/>
        <w:spacing w:val="-1"/>
        <w:w w:val="100"/>
        <w:sz w:val="20"/>
        <w:szCs w:val="20"/>
      </w:rPr>
    </w:lvl>
    <w:lvl w:ilvl="2">
      <w:start w:val="0"/>
      <w:numFmt w:val="bullet"/>
      <w:lvlText w:val="•"/>
      <w:lvlJc w:val="left"/>
      <w:pPr>
        <w:ind w:left="1797" w:hanging="344"/>
      </w:pPr>
    </w:lvl>
    <w:lvl w:ilvl="3">
      <w:start w:val="0"/>
      <w:numFmt w:val="bullet"/>
      <w:lvlText w:val="•"/>
      <w:lvlJc w:val="left"/>
      <w:pPr>
        <w:ind w:left="2855" w:hanging="344"/>
      </w:pPr>
    </w:lvl>
    <w:lvl w:ilvl="4">
      <w:start w:val="0"/>
      <w:numFmt w:val="bullet"/>
      <w:lvlText w:val="•"/>
      <w:lvlJc w:val="left"/>
      <w:pPr>
        <w:ind w:left="3913" w:hanging="344"/>
      </w:pPr>
    </w:lvl>
    <w:lvl w:ilvl="5">
      <w:start w:val="0"/>
      <w:numFmt w:val="bullet"/>
      <w:lvlText w:val="•"/>
      <w:lvlJc w:val="left"/>
      <w:pPr>
        <w:ind w:left="4971" w:hanging="344"/>
      </w:pPr>
    </w:lvl>
    <w:lvl w:ilvl="6">
      <w:start w:val="0"/>
      <w:numFmt w:val="bullet"/>
      <w:lvlText w:val="•"/>
      <w:lvlJc w:val="left"/>
      <w:pPr>
        <w:ind w:left="6028" w:hanging="344"/>
      </w:pPr>
    </w:lvl>
    <w:lvl w:ilvl="7">
      <w:start w:val="0"/>
      <w:numFmt w:val="bullet"/>
      <w:lvlText w:val="•"/>
      <w:lvlJc w:val="left"/>
      <w:pPr>
        <w:ind w:left="7086" w:hanging="344"/>
      </w:pPr>
    </w:lvl>
    <w:lvl w:ilvl="8">
      <w:start w:val="0"/>
      <w:numFmt w:val="bullet"/>
      <w:lvlText w:val="•"/>
      <w:lvlJc w:val="left"/>
      <w:pPr>
        <w:ind w:left="8144" w:hanging="344"/>
      </w:pPr>
    </w:lvl>
  </w:abstractNum>
  <w:abstractNum w:abstractNumId="2">
    <w:nsid w:val="00000404"/>
    <w:multiLevelType w:val="multilevel"/>
    <w:tmpl w:val="00000887"/>
    <w:lvl w:ilvl="0">
      <w:start w:val="2"/>
      <w:numFmt w:val="lowerRoman"/>
      <w:lvlText w:val="(%1)"/>
      <w:lvlJc w:val="left"/>
      <w:pPr>
        <w:ind w:left="721" w:hanging="333"/>
      </w:pPr>
      <w:rPr>
        <w:rFonts w:ascii="Arial" w:hAnsi="Arial" w:cs="Arial"/>
        <w:b w:val="0"/>
        <w:bCs w:val="0"/>
        <w:spacing w:val="-1"/>
        <w:w w:val="100"/>
        <w:sz w:val="20"/>
        <w:szCs w:val="20"/>
      </w:rPr>
    </w:lvl>
    <w:lvl w:ilvl="1">
      <w:start w:val="0"/>
      <w:numFmt w:val="bullet"/>
      <w:lvlText w:val="•"/>
      <w:lvlJc w:val="left"/>
      <w:pPr>
        <w:ind w:left="1674" w:hanging="333"/>
      </w:pPr>
    </w:lvl>
    <w:lvl w:ilvl="2">
      <w:start w:val="0"/>
      <w:numFmt w:val="bullet"/>
      <w:lvlText w:val="•"/>
      <w:lvlJc w:val="left"/>
      <w:pPr>
        <w:ind w:left="2628" w:hanging="333"/>
      </w:pPr>
    </w:lvl>
    <w:lvl w:ilvl="3">
      <w:start w:val="0"/>
      <w:numFmt w:val="bullet"/>
      <w:lvlText w:val="•"/>
      <w:lvlJc w:val="left"/>
      <w:pPr>
        <w:ind w:left="3582" w:hanging="333"/>
      </w:pPr>
    </w:lvl>
    <w:lvl w:ilvl="4">
      <w:start w:val="0"/>
      <w:numFmt w:val="bullet"/>
      <w:lvlText w:val="•"/>
      <w:lvlJc w:val="left"/>
      <w:pPr>
        <w:ind w:left="4536" w:hanging="333"/>
      </w:pPr>
    </w:lvl>
    <w:lvl w:ilvl="5">
      <w:start w:val="0"/>
      <w:numFmt w:val="bullet"/>
      <w:lvlText w:val="•"/>
      <w:lvlJc w:val="left"/>
      <w:pPr>
        <w:ind w:left="5490" w:hanging="333"/>
      </w:pPr>
    </w:lvl>
    <w:lvl w:ilvl="6">
      <w:start w:val="0"/>
      <w:numFmt w:val="bullet"/>
      <w:lvlText w:val="•"/>
      <w:lvlJc w:val="left"/>
      <w:pPr>
        <w:ind w:left="6444" w:hanging="333"/>
      </w:pPr>
    </w:lvl>
    <w:lvl w:ilvl="7">
      <w:start w:val="0"/>
      <w:numFmt w:val="bullet"/>
      <w:lvlText w:val="•"/>
      <w:lvlJc w:val="left"/>
      <w:pPr>
        <w:ind w:left="7398" w:hanging="333"/>
      </w:pPr>
    </w:lvl>
    <w:lvl w:ilvl="8">
      <w:start w:val="0"/>
      <w:numFmt w:val="bullet"/>
      <w:lvlText w:val="•"/>
      <w:lvlJc w:val="left"/>
      <w:pPr>
        <w:ind w:left="8352" w:hanging="333"/>
      </w:pPr>
    </w:lvl>
  </w:abstractNum>
  <w:num w:numId="1" w16cid:durableId="803618054">
    <w:abstractNumId w:val="2"/>
  </w:num>
  <w:num w:numId="2" w16cid:durableId="118256881">
    <w:abstractNumId w:val="1"/>
  </w:num>
  <w:num w:numId="3" w16cid:durableId="76048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38"/>
    <w:rsid w:val="00002504"/>
    <w:rsid w:val="000041CA"/>
    <w:rsid w:val="000046AB"/>
    <w:rsid w:val="000053C2"/>
    <w:rsid w:val="000066AF"/>
    <w:rsid w:val="00006B4C"/>
    <w:rsid w:val="0000789D"/>
    <w:rsid w:val="00012EFF"/>
    <w:rsid w:val="000148CE"/>
    <w:rsid w:val="00015AE3"/>
    <w:rsid w:val="00026662"/>
    <w:rsid w:val="000300DC"/>
    <w:rsid w:val="000319AD"/>
    <w:rsid w:val="00033554"/>
    <w:rsid w:val="00037315"/>
    <w:rsid w:val="000377C7"/>
    <w:rsid w:val="000434A7"/>
    <w:rsid w:val="00045ECF"/>
    <w:rsid w:val="00047053"/>
    <w:rsid w:val="00047959"/>
    <w:rsid w:val="00053A47"/>
    <w:rsid w:val="00055942"/>
    <w:rsid w:val="000575B6"/>
    <w:rsid w:val="00060110"/>
    <w:rsid w:val="00065A1A"/>
    <w:rsid w:val="0007036C"/>
    <w:rsid w:val="0007127E"/>
    <w:rsid w:val="00071576"/>
    <w:rsid w:val="00073267"/>
    <w:rsid w:val="00073D6C"/>
    <w:rsid w:val="0007435E"/>
    <w:rsid w:val="00077DB6"/>
    <w:rsid w:val="00080748"/>
    <w:rsid w:val="00081EE2"/>
    <w:rsid w:val="000821DE"/>
    <w:rsid w:val="00083C2F"/>
    <w:rsid w:val="00083C7B"/>
    <w:rsid w:val="00085C49"/>
    <w:rsid w:val="00093082"/>
    <w:rsid w:val="00097749"/>
    <w:rsid w:val="000A1838"/>
    <w:rsid w:val="000B126D"/>
    <w:rsid w:val="000B3FF1"/>
    <w:rsid w:val="000B513E"/>
    <w:rsid w:val="000B5DD0"/>
    <w:rsid w:val="000B696D"/>
    <w:rsid w:val="000B7E8F"/>
    <w:rsid w:val="000D1224"/>
    <w:rsid w:val="000D2B64"/>
    <w:rsid w:val="000D31D0"/>
    <w:rsid w:val="000D6DE3"/>
    <w:rsid w:val="000E0A10"/>
    <w:rsid w:val="000E1332"/>
    <w:rsid w:val="000E2C00"/>
    <w:rsid w:val="000E5EFC"/>
    <w:rsid w:val="000F0E89"/>
    <w:rsid w:val="00100905"/>
    <w:rsid w:val="00100930"/>
    <w:rsid w:val="00100D77"/>
    <w:rsid w:val="00100FD3"/>
    <w:rsid w:val="00104F2C"/>
    <w:rsid w:val="0010722B"/>
    <w:rsid w:val="00110493"/>
    <w:rsid w:val="0011197A"/>
    <w:rsid w:val="00112AF0"/>
    <w:rsid w:val="00114579"/>
    <w:rsid w:val="00114F02"/>
    <w:rsid w:val="001168CE"/>
    <w:rsid w:val="00117650"/>
    <w:rsid w:val="00120A4D"/>
    <w:rsid w:val="001230A6"/>
    <w:rsid w:val="00123CA3"/>
    <w:rsid w:val="00125470"/>
    <w:rsid w:val="00125BE6"/>
    <w:rsid w:val="00127FAF"/>
    <w:rsid w:val="00133DEB"/>
    <w:rsid w:val="001352A8"/>
    <w:rsid w:val="00136C99"/>
    <w:rsid w:val="00136E39"/>
    <w:rsid w:val="0013772F"/>
    <w:rsid w:val="001406A8"/>
    <w:rsid w:val="00140F5C"/>
    <w:rsid w:val="001423FB"/>
    <w:rsid w:val="0014288C"/>
    <w:rsid w:val="00147553"/>
    <w:rsid w:val="001517C2"/>
    <w:rsid w:val="001533D5"/>
    <w:rsid w:val="00154790"/>
    <w:rsid w:val="00154C03"/>
    <w:rsid w:val="00155EC8"/>
    <w:rsid w:val="00156646"/>
    <w:rsid w:val="0015749B"/>
    <w:rsid w:val="00160621"/>
    <w:rsid w:val="00161621"/>
    <w:rsid w:val="001623E4"/>
    <w:rsid w:val="00170F67"/>
    <w:rsid w:val="00172FE6"/>
    <w:rsid w:val="00173458"/>
    <w:rsid w:val="0017516A"/>
    <w:rsid w:val="001801A2"/>
    <w:rsid w:val="00181071"/>
    <w:rsid w:val="00181256"/>
    <w:rsid w:val="00182B36"/>
    <w:rsid w:val="001844F6"/>
    <w:rsid w:val="00184BE7"/>
    <w:rsid w:val="0018713B"/>
    <w:rsid w:val="00191FBB"/>
    <w:rsid w:val="001A01B1"/>
    <w:rsid w:val="001A0F9A"/>
    <w:rsid w:val="001A271C"/>
    <w:rsid w:val="001A607A"/>
    <w:rsid w:val="001B0BFD"/>
    <w:rsid w:val="001B1740"/>
    <w:rsid w:val="001B2FB5"/>
    <w:rsid w:val="001B4884"/>
    <w:rsid w:val="001B6495"/>
    <w:rsid w:val="001B7CC4"/>
    <w:rsid w:val="001C1240"/>
    <w:rsid w:val="001C5B9B"/>
    <w:rsid w:val="001D0841"/>
    <w:rsid w:val="001D4496"/>
    <w:rsid w:val="001D4B02"/>
    <w:rsid w:val="001D647A"/>
    <w:rsid w:val="001E7569"/>
    <w:rsid w:val="001F4036"/>
    <w:rsid w:val="001F6A7C"/>
    <w:rsid w:val="001F7618"/>
    <w:rsid w:val="0020076C"/>
    <w:rsid w:val="002015CC"/>
    <w:rsid w:val="0020343E"/>
    <w:rsid w:val="00205A82"/>
    <w:rsid w:val="00211F04"/>
    <w:rsid w:val="002125F2"/>
    <w:rsid w:val="0021290E"/>
    <w:rsid w:val="00212D01"/>
    <w:rsid w:val="00213F40"/>
    <w:rsid w:val="002205E0"/>
    <w:rsid w:val="00222771"/>
    <w:rsid w:val="00223235"/>
    <w:rsid w:val="002248E9"/>
    <w:rsid w:val="00225418"/>
    <w:rsid w:val="002266B8"/>
    <w:rsid w:val="00226AF1"/>
    <w:rsid w:val="00240765"/>
    <w:rsid w:val="00240B22"/>
    <w:rsid w:val="00241BD1"/>
    <w:rsid w:val="00242A50"/>
    <w:rsid w:val="00246ED2"/>
    <w:rsid w:val="0024739E"/>
    <w:rsid w:val="00250030"/>
    <w:rsid w:val="00250B4A"/>
    <w:rsid w:val="00256988"/>
    <w:rsid w:val="002646FA"/>
    <w:rsid w:val="00274354"/>
    <w:rsid w:val="0028556F"/>
    <w:rsid w:val="00293155"/>
    <w:rsid w:val="002A20A2"/>
    <w:rsid w:val="002A271A"/>
    <w:rsid w:val="002A33DC"/>
    <w:rsid w:val="002A446B"/>
    <w:rsid w:val="002A4A6F"/>
    <w:rsid w:val="002A6A00"/>
    <w:rsid w:val="002A7D1B"/>
    <w:rsid w:val="002B198A"/>
    <w:rsid w:val="002B341A"/>
    <w:rsid w:val="002C2BFB"/>
    <w:rsid w:val="002C3647"/>
    <w:rsid w:val="002C658C"/>
    <w:rsid w:val="002E72EC"/>
    <w:rsid w:val="002F5C8D"/>
    <w:rsid w:val="0030221B"/>
    <w:rsid w:val="00302EAE"/>
    <w:rsid w:val="00306F07"/>
    <w:rsid w:val="00307BBF"/>
    <w:rsid w:val="00307E1F"/>
    <w:rsid w:val="003143A8"/>
    <w:rsid w:val="00314E8B"/>
    <w:rsid w:val="00322F15"/>
    <w:rsid w:val="00324A84"/>
    <w:rsid w:val="00325298"/>
    <w:rsid w:val="0032568B"/>
    <w:rsid w:val="00334808"/>
    <w:rsid w:val="003359D8"/>
    <w:rsid w:val="00335FA8"/>
    <w:rsid w:val="00336586"/>
    <w:rsid w:val="00337054"/>
    <w:rsid w:val="003408A6"/>
    <w:rsid w:val="00340D0E"/>
    <w:rsid w:val="00353A24"/>
    <w:rsid w:val="00354599"/>
    <w:rsid w:val="0037370B"/>
    <w:rsid w:val="00381A59"/>
    <w:rsid w:val="00387DFE"/>
    <w:rsid w:val="00392AE3"/>
    <w:rsid w:val="00392EA3"/>
    <w:rsid w:val="00394327"/>
    <w:rsid w:val="00394359"/>
    <w:rsid w:val="00394FF7"/>
    <w:rsid w:val="00395D42"/>
    <w:rsid w:val="003A1392"/>
    <w:rsid w:val="003A525C"/>
    <w:rsid w:val="003A7D55"/>
    <w:rsid w:val="003B53D6"/>
    <w:rsid w:val="003B6371"/>
    <w:rsid w:val="003C1A61"/>
    <w:rsid w:val="003C2074"/>
    <w:rsid w:val="003C3D66"/>
    <w:rsid w:val="003C5B92"/>
    <w:rsid w:val="003D0EAC"/>
    <w:rsid w:val="003D54B7"/>
    <w:rsid w:val="003D5A80"/>
    <w:rsid w:val="003E1728"/>
    <w:rsid w:val="003E69DC"/>
    <w:rsid w:val="003E7BF2"/>
    <w:rsid w:val="003F25C8"/>
    <w:rsid w:val="003F54D0"/>
    <w:rsid w:val="003F5AA4"/>
    <w:rsid w:val="00407A8D"/>
    <w:rsid w:val="00410409"/>
    <w:rsid w:val="004127EE"/>
    <w:rsid w:val="00412FE3"/>
    <w:rsid w:val="00414797"/>
    <w:rsid w:val="00415C3E"/>
    <w:rsid w:val="00415D97"/>
    <w:rsid w:val="00417F2A"/>
    <w:rsid w:val="00422AC0"/>
    <w:rsid w:val="0042337C"/>
    <w:rsid w:val="0042486C"/>
    <w:rsid w:val="004277FD"/>
    <w:rsid w:val="004318AA"/>
    <w:rsid w:val="00432288"/>
    <w:rsid w:val="00435364"/>
    <w:rsid w:val="0043638D"/>
    <w:rsid w:val="004423A6"/>
    <w:rsid w:val="004459B3"/>
    <w:rsid w:val="00446329"/>
    <w:rsid w:val="00450F3E"/>
    <w:rsid w:val="00452B2C"/>
    <w:rsid w:val="00456E96"/>
    <w:rsid w:val="00461D10"/>
    <w:rsid w:val="00461F7C"/>
    <w:rsid w:val="00464257"/>
    <w:rsid w:val="00470681"/>
    <w:rsid w:val="0047679C"/>
    <w:rsid w:val="004811B1"/>
    <w:rsid w:val="00482709"/>
    <w:rsid w:val="004827E5"/>
    <w:rsid w:val="004841EC"/>
    <w:rsid w:val="00485FF0"/>
    <w:rsid w:val="00491091"/>
    <w:rsid w:val="00492399"/>
    <w:rsid w:val="0049415C"/>
    <w:rsid w:val="00496D32"/>
    <w:rsid w:val="004975D0"/>
    <w:rsid w:val="004A4EB5"/>
    <w:rsid w:val="004A7103"/>
    <w:rsid w:val="004B32BE"/>
    <w:rsid w:val="004B373F"/>
    <w:rsid w:val="004B3BE0"/>
    <w:rsid w:val="004B4B43"/>
    <w:rsid w:val="004B4B68"/>
    <w:rsid w:val="004C2D27"/>
    <w:rsid w:val="004C4791"/>
    <w:rsid w:val="004C4B62"/>
    <w:rsid w:val="004C7594"/>
    <w:rsid w:val="004C7FA7"/>
    <w:rsid w:val="004D15F4"/>
    <w:rsid w:val="004D2C40"/>
    <w:rsid w:val="004D66F6"/>
    <w:rsid w:val="004E042A"/>
    <w:rsid w:val="004E5C06"/>
    <w:rsid w:val="004E7AA2"/>
    <w:rsid w:val="004E7FF0"/>
    <w:rsid w:val="004F39AB"/>
    <w:rsid w:val="004F3B43"/>
    <w:rsid w:val="004F6E3B"/>
    <w:rsid w:val="004F7737"/>
    <w:rsid w:val="004F77C1"/>
    <w:rsid w:val="005014FE"/>
    <w:rsid w:val="00501DC2"/>
    <w:rsid w:val="0050233F"/>
    <w:rsid w:val="0050501F"/>
    <w:rsid w:val="0050625B"/>
    <w:rsid w:val="00507566"/>
    <w:rsid w:val="005164C2"/>
    <w:rsid w:val="0051798E"/>
    <w:rsid w:val="00527A6E"/>
    <w:rsid w:val="0053693B"/>
    <w:rsid w:val="00544A40"/>
    <w:rsid w:val="00545D32"/>
    <w:rsid w:val="0055123D"/>
    <w:rsid w:val="00551A6C"/>
    <w:rsid w:val="0055341F"/>
    <w:rsid w:val="00553D43"/>
    <w:rsid w:val="00554DE3"/>
    <w:rsid w:val="00554F9B"/>
    <w:rsid w:val="005553B9"/>
    <w:rsid w:val="005609B3"/>
    <w:rsid w:val="00562228"/>
    <w:rsid w:val="00563FE6"/>
    <w:rsid w:val="0056442E"/>
    <w:rsid w:val="005667C4"/>
    <w:rsid w:val="00567616"/>
    <w:rsid w:val="005701BC"/>
    <w:rsid w:val="005707D4"/>
    <w:rsid w:val="00571B1F"/>
    <w:rsid w:val="005721E0"/>
    <w:rsid w:val="00572D22"/>
    <w:rsid w:val="005755B4"/>
    <w:rsid w:val="005778A3"/>
    <w:rsid w:val="005815DA"/>
    <w:rsid w:val="00581D54"/>
    <w:rsid w:val="00583B56"/>
    <w:rsid w:val="00590FF8"/>
    <w:rsid w:val="005923DE"/>
    <w:rsid w:val="00592436"/>
    <w:rsid w:val="00592B1D"/>
    <w:rsid w:val="00594904"/>
    <w:rsid w:val="005A7DEE"/>
    <w:rsid w:val="005B1E97"/>
    <w:rsid w:val="005B2B77"/>
    <w:rsid w:val="005B3BA9"/>
    <w:rsid w:val="005B617B"/>
    <w:rsid w:val="005C065F"/>
    <w:rsid w:val="005C6114"/>
    <w:rsid w:val="005C62B0"/>
    <w:rsid w:val="005C739E"/>
    <w:rsid w:val="005D0161"/>
    <w:rsid w:val="005D0671"/>
    <w:rsid w:val="005D18FC"/>
    <w:rsid w:val="005E120A"/>
    <w:rsid w:val="005E1F41"/>
    <w:rsid w:val="005E23FA"/>
    <w:rsid w:val="005E2869"/>
    <w:rsid w:val="005E2A5B"/>
    <w:rsid w:val="005E5DA8"/>
    <w:rsid w:val="005F09CC"/>
    <w:rsid w:val="005F57F6"/>
    <w:rsid w:val="00603DE7"/>
    <w:rsid w:val="0060596B"/>
    <w:rsid w:val="0061083D"/>
    <w:rsid w:val="00616FDD"/>
    <w:rsid w:val="00622D68"/>
    <w:rsid w:val="0063375B"/>
    <w:rsid w:val="006356D5"/>
    <w:rsid w:val="006365F6"/>
    <w:rsid w:val="00642110"/>
    <w:rsid w:val="00642760"/>
    <w:rsid w:val="00643252"/>
    <w:rsid w:val="00646D87"/>
    <w:rsid w:val="00655AA2"/>
    <w:rsid w:val="00655FD2"/>
    <w:rsid w:val="006606CD"/>
    <w:rsid w:val="00670C7F"/>
    <w:rsid w:val="00671888"/>
    <w:rsid w:val="0067540B"/>
    <w:rsid w:val="0067734C"/>
    <w:rsid w:val="006804DF"/>
    <w:rsid w:val="00681794"/>
    <w:rsid w:val="00687C34"/>
    <w:rsid w:val="00687C47"/>
    <w:rsid w:val="00687F32"/>
    <w:rsid w:val="006902DC"/>
    <w:rsid w:val="00692CAE"/>
    <w:rsid w:val="006936CB"/>
    <w:rsid w:val="00693E9E"/>
    <w:rsid w:val="006A0111"/>
    <w:rsid w:val="006A48AC"/>
    <w:rsid w:val="006A5B07"/>
    <w:rsid w:val="006A60EB"/>
    <w:rsid w:val="006A63A8"/>
    <w:rsid w:val="006C5EF4"/>
    <w:rsid w:val="006D0A90"/>
    <w:rsid w:val="006D49C8"/>
    <w:rsid w:val="006D4A97"/>
    <w:rsid w:val="006D58D4"/>
    <w:rsid w:val="006E3962"/>
    <w:rsid w:val="006E609E"/>
    <w:rsid w:val="006E7A9B"/>
    <w:rsid w:val="006F29C7"/>
    <w:rsid w:val="006F3925"/>
    <w:rsid w:val="006F5F17"/>
    <w:rsid w:val="00700E3B"/>
    <w:rsid w:val="0070383B"/>
    <w:rsid w:val="007070F2"/>
    <w:rsid w:val="0071417F"/>
    <w:rsid w:val="00714FE5"/>
    <w:rsid w:val="0071519C"/>
    <w:rsid w:val="007161FC"/>
    <w:rsid w:val="00716BE2"/>
    <w:rsid w:val="007257E4"/>
    <w:rsid w:val="00726BA4"/>
    <w:rsid w:val="00732031"/>
    <w:rsid w:val="00734FA7"/>
    <w:rsid w:val="00744648"/>
    <w:rsid w:val="007458BE"/>
    <w:rsid w:val="00746F61"/>
    <w:rsid w:val="007502E7"/>
    <w:rsid w:val="00751E07"/>
    <w:rsid w:val="007534B0"/>
    <w:rsid w:val="00755229"/>
    <w:rsid w:val="00755252"/>
    <w:rsid w:val="00755302"/>
    <w:rsid w:val="00757666"/>
    <w:rsid w:val="00766F62"/>
    <w:rsid w:val="00771CB2"/>
    <w:rsid w:val="00773249"/>
    <w:rsid w:val="007750AF"/>
    <w:rsid w:val="007764F3"/>
    <w:rsid w:val="00776742"/>
    <w:rsid w:val="007976A1"/>
    <w:rsid w:val="007A28A6"/>
    <w:rsid w:val="007A5948"/>
    <w:rsid w:val="007A6454"/>
    <w:rsid w:val="007B27F1"/>
    <w:rsid w:val="007B3D19"/>
    <w:rsid w:val="007B3EFD"/>
    <w:rsid w:val="007B770B"/>
    <w:rsid w:val="007C157E"/>
    <w:rsid w:val="007D19E0"/>
    <w:rsid w:val="007D1A95"/>
    <w:rsid w:val="007D3406"/>
    <w:rsid w:val="007D7305"/>
    <w:rsid w:val="007D7E85"/>
    <w:rsid w:val="007E0916"/>
    <w:rsid w:val="007E0B6A"/>
    <w:rsid w:val="007E568B"/>
    <w:rsid w:val="007F6DDB"/>
    <w:rsid w:val="007F754A"/>
    <w:rsid w:val="00803ABB"/>
    <w:rsid w:val="00803C63"/>
    <w:rsid w:val="00803FF5"/>
    <w:rsid w:val="00805FCC"/>
    <w:rsid w:val="00811A5F"/>
    <w:rsid w:val="00812177"/>
    <w:rsid w:val="00813249"/>
    <w:rsid w:val="00816D07"/>
    <w:rsid w:val="008174B5"/>
    <w:rsid w:val="0081796F"/>
    <w:rsid w:val="00821391"/>
    <w:rsid w:val="00831EB4"/>
    <w:rsid w:val="00832239"/>
    <w:rsid w:val="0083259B"/>
    <w:rsid w:val="0083337A"/>
    <w:rsid w:val="008341FC"/>
    <w:rsid w:val="008342C4"/>
    <w:rsid w:val="00836C10"/>
    <w:rsid w:val="008412E7"/>
    <w:rsid w:val="00844128"/>
    <w:rsid w:val="00845225"/>
    <w:rsid w:val="00847B93"/>
    <w:rsid w:val="00851E5B"/>
    <w:rsid w:val="0085254E"/>
    <w:rsid w:val="00852936"/>
    <w:rsid w:val="00853E2B"/>
    <w:rsid w:val="0086040B"/>
    <w:rsid w:val="008657F9"/>
    <w:rsid w:val="0086686A"/>
    <w:rsid w:val="00871870"/>
    <w:rsid w:val="008722D3"/>
    <w:rsid w:val="008745C3"/>
    <w:rsid w:val="00874CE3"/>
    <w:rsid w:val="00877CBB"/>
    <w:rsid w:val="008807FB"/>
    <w:rsid w:val="0088143A"/>
    <w:rsid w:val="00885FC7"/>
    <w:rsid w:val="008872D8"/>
    <w:rsid w:val="008903AF"/>
    <w:rsid w:val="0089545E"/>
    <w:rsid w:val="008965A2"/>
    <w:rsid w:val="00897FFD"/>
    <w:rsid w:val="008A536D"/>
    <w:rsid w:val="008A5BC7"/>
    <w:rsid w:val="008A6F4A"/>
    <w:rsid w:val="008A7CB3"/>
    <w:rsid w:val="008B0A44"/>
    <w:rsid w:val="008B0EB3"/>
    <w:rsid w:val="008B1369"/>
    <w:rsid w:val="008C299E"/>
    <w:rsid w:val="008C3360"/>
    <w:rsid w:val="008C54F0"/>
    <w:rsid w:val="008D36AB"/>
    <w:rsid w:val="008D5A03"/>
    <w:rsid w:val="008D785C"/>
    <w:rsid w:val="008E0229"/>
    <w:rsid w:val="008E323C"/>
    <w:rsid w:val="008E721A"/>
    <w:rsid w:val="008F0894"/>
    <w:rsid w:val="008F1AD9"/>
    <w:rsid w:val="008F3E3E"/>
    <w:rsid w:val="008F7673"/>
    <w:rsid w:val="00901485"/>
    <w:rsid w:val="00903B04"/>
    <w:rsid w:val="0090605F"/>
    <w:rsid w:val="00915695"/>
    <w:rsid w:val="00917181"/>
    <w:rsid w:val="009206B1"/>
    <w:rsid w:val="00921E56"/>
    <w:rsid w:val="00924FB2"/>
    <w:rsid w:val="00930573"/>
    <w:rsid w:val="00933877"/>
    <w:rsid w:val="00936212"/>
    <w:rsid w:val="00942AFC"/>
    <w:rsid w:val="00945B73"/>
    <w:rsid w:val="00946774"/>
    <w:rsid w:val="00952BEC"/>
    <w:rsid w:val="00961725"/>
    <w:rsid w:val="00961BCF"/>
    <w:rsid w:val="00970915"/>
    <w:rsid w:val="009743C2"/>
    <w:rsid w:val="009748B8"/>
    <w:rsid w:val="00975778"/>
    <w:rsid w:val="009821B4"/>
    <w:rsid w:val="00982440"/>
    <w:rsid w:val="009829C3"/>
    <w:rsid w:val="00982B62"/>
    <w:rsid w:val="00983FCE"/>
    <w:rsid w:val="00984FDE"/>
    <w:rsid w:val="0098532F"/>
    <w:rsid w:val="00985453"/>
    <w:rsid w:val="009903B8"/>
    <w:rsid w:val="00990BF5"/>
    <w:rsid w:val="00993F48"/>
    <w:rsid w:val="009943E9"/>
    <w:rsid w:val="0099567F"/>
    <w:rsid w:val="00995764"/>
    <w:rsid w:val="00995B77"/>
    <w:rsid w:val="009A0B37"/>
    <w:rsid w:val="009A0CF1"/>
    <w:rsid w:val="009A22A3"/>
    <w:rsid w:val="009A405A"/>
    <w:rsid w:val="009A5F8C"/>
    <w:rsid w:val="009A6864"/>
    <w:rsid w:val="009A6C50"/>
    <w:rsid w:val="009A7C98"/>
    <w:rsid w:val="009B1378"/>
    <w:rsid w:val="009B26A9"/>
    <w:rsid w:val="009B5E03"/>
    <w:rsid w:val="009C3005"/>
    <w:rsid w:val="009C4C6C"/>
    <w:rsid w:val="009C6CDB"/>
    <w:rsid w:val="009D1D5F"/>
    <w:rsid w:val="009D4E08"/>
    <w:rsid w:val="009E0F28"/>
    <w:rsid w:val="009E75DB"/>
    <w:rsid w:val="009F04CE"/>
    <w:rsid w:val="009F1ECE"/>
    <w:rsid w:val="009F7312"/>
    <w:rsid w:val="009F7703"/>
    <w:rsid w:val="009F7758"/>
    <w:rsid w:val="00A071E6"/>
    <w:rsid w:val="00A11208"/>
    <w:rsid w:val="00A13741"/>
    <w:rsid w:val="00A1429B"/>
    <w:rsid w:val="00A153C2"/>
    <w:rsid w:val="00A16AFB"/>
    <w:rsid w:val="00A17DAB"/>
    <w:rsid w:val="00A30B6E"/>
    <w:rsid w:val="00A32382"/>
    <w:rsid w:val="00A32508"/>
    <w:rsid w:val="00A36DB8"/>
    <w:rsid w:val="00A3749C"/>
    <w:rsid w:val="00A406C0"/>
    <w:rsid w:val="00A509FD"/>
    <w:rsid w:val="00A50F99"/>
    <w:rsid w:val="00A52EF8"/>
    <w:rsid w:val="00A55B81"/>
    <w:rsid w:val="00A64806"/>
    <w:rsid w:val="00A6557A"/>
    <w:rsid w:val="00A665E7"/>
    <w:rsid w:val="00A67F9F"/>
    <w:rsid w:val="00A71303"/>
    <w:rsid w:val="00A776BD"/>
    <w:rsid w:val="00A82A0D"/>
    <w:rsid w:val="00A83301"/>
    <w:rsid w:val="00A8670D"/>
    <w:rsid w:val="00A87124"/>
    <w:rsid w:val="00A91DFC"/>
    <w:rsid w:val="00A921D0"/>
    <w:rsid w:val="00A9343D"/>
    <w:rsid w:val="00A939D9"/>
    <w:rsid w:val="00A93AE0"/>
    <w:rsid w:val="00A9710A"/>
    <w:rsid w:val="00AA6051"/>
    <w:rsid w:val="00AA6D89"/>
    <w:rsid w:val="00AB2F3F"/>
    <w:rsid w:val="00AB5DDE"/>
    <w:rsid w:val="00AB5E47"/>
    <w:rsid w:val="00AC4543"/>
    <w:rsid w:val="00AC5340"/>
    <w:rsid w:val="00AC6DA4"/>
    <w:rsid w:val="00AC7753"/>
    <w:rsid w:val="00AD1062"/>
    <w:rsid w:val="00AD6730"/>
    <w:rsid w:val="00AD6D86"/>
    <w:rsid w:val="00AE0CE1"/>
    <w:rsid w:val="00AE67C0"/>
    <w:rsid w:val="00AE6BFA"/>
    <w:rsid w:val="00AE7EE8"/>
    <w:rsid w:val="00AF152A"/>
    <w:rsid w:val="00AF3DAE"/>
    <w:rsid w:val="00AF4B96"/>
    <w:rsid w:val="00B00EA7"/>
    <w:rsid w:val="00B00FFF"/>
    <w:rsid w:val="00B02D80"/>
    <w:rsid w:val="00B032D1"/>
    <w:rsid w:val="00B0737E"/>
    <w:rsid w:val="00B15D6B"/>
    <w:rsid w:val="00B1626E"/>
    <w:rsid w:val="00B209B2"/>
    <w:rsid w:val="00B21FFF"/>
    <w:rsid w:val="00B371E1"/>
    <w:rsid w:val="00B41559"/>
    <w:rsid w:val="00B42608"/>
    <w:rsid w:val="00B45EE0"/>
    <w:rsid w:val="00B4709E"/>
    <w:rsid w:val="00B50B8D"/>
    <w:rsid w:val="00B50EA2"/>
    <w:rsid w:val="00B512E2"/>
    <w:rsid w:val="00B52508"/>
    <w:rsid w:val="00B6644C"/>
    <w:rsid w:val="00B67F2D"/>
    <w:rsid w:val="00B7103A"/>
    <w:rsid w:val="00B7246F"/>
    <w:rsid w:val="00B739C1"/>
    <w:rsid w:val="00B74E03"/>
    <w:rsid w:val="00B83216"/>
    <w:rsid w:val="00B90564"/>
    <w:rsid w:val="00B960EE"/>
    <w:rsid w:val="00B96C39"/>
    <w:rsid w:val="00B96E9D"/>
    <w:rsid w:val="00B970D7"/>
    <w:rsid w:val="00BA144F"/>
    <w:rsid w:val="00BA2C75"/>
    <w:rsid w:val="00BA381A"/>
    <w:rsid w:val="00BA552A"/>
    <w:rsid w:val="00BB0F0A"/>
    <w:rsid w:val="00BB31F6"/>
    <w:rsid w:val="00BB3954"/>
    <w:rsid w:val="00BB49CF"/>
    <w:rsid w:val="00BB6976"/>
    <w:rsid w:val="00BB7C05"/>
    <w:rsid w:val="00BC061C"/>
    <w:rsid w:val="00BC086C"/>
    <w:rsid w:val="00BC127C"/>
    <w:rsid w:val="00BC1675"/>
    <w:rsid w:val="00BC1C24"/>
    <w:rsid w:val="00BC2C11"/>
    <w:rsid w:val="00BC33EF"/>
    <w:rsid w:val="00BC3EEA"/>
    <w:rsid w:val="00BC45C1"/>
    <w:rsid w:val="00BD3C3D"/>
    <w:rsid w:val="00BD47AF"/>
    <w:rsid w:val="00BD6354"/>
    <w:rsid w:val="00BE2CFF"/>
    <w:rsid w:val="00BF4B59"/>
    <w:rsid w:val="00BF5E0B"/>
    <w:rsid w:val="00BF704A"/>
    <w:rsid w:val="00C0248A"/>
    <w:rsid w:val="00C03111"/>
    <w:rsid w:val="00C0338C"/>
    <w:rsid w:val="00C03484"/>
    <w:rsid w:val="00C05B2A"/>
    <w:rsid w:val="00C07C5C"/>
    <w:rsid w:val="00C111B4"/>
    <w:rsid w:val="00C13E8A"/>
    <w:rsid w:val="00C241A6"/>
    <w:rsid w:val="00C24AA8"/>
    <w:rsid w:val="00C24EF8"/>
    <w:rsid w:val="00C2534D"/>
    <w:rsid w:val="00C30872"/>
    <w:rsid w:val="00C339FC"/>
    <w:rsid w:val="00C34A34"/>
    <w:rsid w:val="00C34B95"/>
    <w:rsid w:val="00C400D5"/>
    <w:rsid w:val="00C41175"/>
    <w:rsid w:val="00C4238E"/>
    <w:rsid w:val="00C42394"/>
    <w:rsid w:val="00C43F70"/>
    <w:rsid w:val="00C45315"/>
    <w:rsid w:val="00C45D1A"/>
    <w:rsid w:val="00C5326A"/>
    <w:rsid w:val="00C538B7"/>
    <w:rsid w:val="00C61041"/>
    <w:rsid w:val="00C6267A"/>
    <w:rsid w:val="00C631A9"/>
    <w:rsid w:val="00C633BA"/>
    <w:rsid w:val="00C70EA9"/>
    <w:rsid w:val="00C80BC9"/>
    <w:rsid w:val="00C832D9"/>
    <w:rsid w:val="00C869DF"/>
    <w:rsid w:val="00C869E2"/>
    <w:rsid w:val="00C879E5"/>
    <w:rsid w:val="00C90EF6"/>
    <w:rsid w:val="00C910F4"/>
    <w:rsid w:val="00C92FD2"/>
    <w:rsid w:val="00C9357B"/>
    <w:rsid w:val="00C96B45"/>
    <w:rsid w:val="00C97510"/>
    <w:rsid w:val="00CA04F1"/>
    <w:rsid w:val="00CA11F0"/>
    <w:rsid w:val="00CA1AC7"/>
    <w:rsid w:val="00CA6948"/>
    <w:rsid w:val="00CB1F51"/>
    <w:rsid w:val="00CB2157"/>
    <w:rsid w:val="00CB237E"/>
    <w:rsid w:val="00CB45A6"/>
    <w:rsid w:val="00CB59D2"/>
    <w:rsid w:val="00CC0D17"/>
    <w:rsid w:val="00CC22E5"/>
    <w:rsid w:val="00CC377C"/>
    <w:rsid w:val="00CC7B8B"/>
    <w:rsid w:val="00CC7BCE"/>
    <w:rsid w:val="00CD1B3E"/>
    <w:rsid w:val="00CD3B95"/>
    <w:rsid w:val="00CD7229"/>
    <w:rsid w:val="00CD7306"/>
    <w:rsid w:val="00CD7498"/>
    <w:rsid w:val="00CE0096"/>
    <w:rsid w:val="00CE1B91"/>
    <w:rsid w:val="00CE3E82"/>
    <w:rsid w:val="00CE5EA4"/>
    <w:rsid w:val="00CE5EFE"/>
    <w:rsid w:val="00CF52D5"/>
    <w:rsid w:val="00CF7CFF"/>
    <w:rsid w:val="00D01527"/>
    <w:rsid w:val="00D04CB2"/>
    <w:rsid w:val="00D05303"/>
    <w:rsid w:val="00D06181"/>
    <w:rsid w:val="00D06A32"/>
    <w:rsid w:val="00D06EA5"/>
    <w:rsid w:val="00D122AC"/>
    <w:rsid w:val="00D1485B"/>
    <w:rsid w:val="00D15A59"/>
    <w:rsid w:val="00D17EF3"/>
    <w:rsid w:val="00D20750"/>
    <w:rsid w:val="00D21A48"/>
    <w:rsid w:val="00D26691"/>
    <w:rsid w:val="00D275D0"/>
    <w:rsid w:val="00D2761F"/>
    <w:rsid w:val="00D34104"/>
    <w:rsid w:val="00D34F2E"/>
    <w:rsid w:val="00D3774C"/>
    <w:rsid w:val="00D47C88"/>
    <w:rsid w:val="00D47FF1"/>
    <w:rsid w:val="00D500B8"/>
    <w:rsid w:val="00D52D6F"/>
    <w:rsid w:val="00D53ED6"/>
    <w:rsid w:val="00D546A8"/>
    <w:rsid w:val="00D608B9"/>
    <w:rsid w:val="00D60B5B"/>
    <w:rsid w:val="00D6157C"/>
    <w:rsid w:val="00D64CB2"/>
    <w:rsid w:val="00D700D9"/>
    <w:rsid w:val="00D761EF"/>
    <w:rsid w:val="00D77E1D"/>
    <w:rsid w:val="00D844A4"/>
    <w:rsid w:val="00D845E8"/>
    <w:rsid w:val="00D8554E"/>
    <w:rsid w:val="00D87A8B"/>
    <w:rsid w:val="00D90DDF"/>
    <w:rsid w:val="00D95B43"/>
    <w:rsid w:val="00D9645C"/>
    <w:rsid w:val="00DA4362"/>
    <w:rsid w:val="00DA77E0"/>
    <w:rsid w:val="00DB1137"/>
    <w:rsid w:val="00DB22A3"/>
    <w:rsid w:val="00DB6B70"/>
    <w:rsid w:val="00DC351A"/>
    <w:rsid w:val="00DC6851"/>
    <w:rsid w:val="00DC7F78"/>
    <w:rsid w:val="00DD2C65"/>
    <w:rsid w:val="00DD5DE6"/>
    <w:rsid w:val="00DE120C"/>
    <w:rsid w:val="00DF0F7A"/>
    <w:rsid w:val="00DF2016"/>
    <w:rsid w:val="00DF227D"/>
    <w:rsid w:val="00DF23CE"/>
    <w:rsid w:val="00DF28DD"/>
    <w:rsid w:val="00DF594D"/>
    <w:rsid w:val="00E0252C"/>
    <w:rsid w:val="00E02797"/>
    <w:rsid w:val="00E05BAF"/>
    <w:rsid w:val="00E06083"/>
    <w:rsid w:val="00E13A83"/>
    <w:rsid w:val="00E155B1"/>
    <w:rsid w:val="00E156C7"/>
    <w:rsid w:val="00E23A40"/>
    <w:rsid w:val="00E25824"/>
    <w:rsid w:val="00E35061"/>
    <w:rsid w:val="00E40159"/>
    <w:rsid w:val="00E46C31"/>
    <w:rsid w:val="00E52698"/>
    <w:rsid w:val="00E56BDC"/>
    <w:rsid w:val="00E61555"/>
    <w:rsid w:val="00E6449E"/>
    <w:rsid w:val="00E667ED"/>
    <w:rsid w:val="00E667FB"/>
    <w:rsid w:val="00E74816"/>
    <w:rsid w:val="00E761FD"/>
    <w:rsid w:val="00E76A9F"/>
    <w:rsid w:val="00E85DDD"/>
    <w:rsid w:val="00E8723F"/>
    <w:rsid w:val="00E9072D"/>
    <w:rsid w:val="00E91D80"/>
    <w:rsid w:val="00EA2F26"/>
    <w:rsid w:val="00EA41CE"/>
    <w:rsid w:val="00EA5E89"/>
    <w:rsid w:val="00EB0B5B"/>
    <w:rsid w:val="00EB2CBC"/>
    <w:rsid w:val="00EB3876"/>
    <w:rsid w:val="00EB5192"/>
    <w:rsid w:val="00EB6516"/>
    <w:rsid w:val="00EB7764"/>
    <w:rsid w:val="00EC4954"/>
    <w:rsid w:val="00ED0358"/>
    <w:rsid w:val="00ED0685"/>
    <w:rsid w:val="00ED0AB9"/>
    <w:rsid w:val="00ED0BE9"/>
    <w:rsid w:val="00ED21FB"/>
    <w:rsid w:val="00EE1121"/>
    <w:rsid w:val="00EE3D09"/>
    <w:rsid w:val="00EE5400"/>
    <w:rsid w:val="00EF1E39"/>
    <w:rsid w:val="00EF4ED4"/>
    <w:rsid w:val="00EF7C39"/>
    <w:rsid w:val="00F02EA6"/>
    <w:rsid w:val="00F03E0D"/>
    <w:rsid w:val="00F05B2B"/>
    <w:rsid w:val="00F1271B"/>
    <w:rsid w:val="00F13112"/>
    <w:rsid w:val="00F16912"/>
    <w:rsid w:val="00F177F3"/>
    <w:rsid w:val="00F17E12"/>
    <w:rsid w:val="00F2243A"/>
    <w:rsid w:val="00F22B68"/>
    <w:rsid w:val="00F231D7"/>
    <w:rsid w:val="00F31537"/>
    <w:rsid w:val="00F326B9"/>
    <w:rsid w:val="00F367FB"/>
    <w:rsid w:val="00F36DD1"/>
    <w:rsid w:val="00F4014B"/>
    <w:rsid w:val="00F4361E"/>
    <w:rsid w:val="00F47494"/>
    <w:rsid w:val="00F50EE6"/>
    <w:rsid w:val="00F56074"/>
    <w:rsid w:val="00F6507B"/>
    <w:rsid w:val="00F653B9"/>
    <w:rsid w:val="00F66AFE"/>
    <w:rsid w:val="00F670FC"/>
    <w:rsid w:val="00F6712B"/>
    <w:rsid w:val="00F70029"/>
    <w:rsid w:val="00F70456"/>
    <w:rsid w:val="00F76673"/>
    <w:rsid w:val="00F80F5C"/>
    <w:rsid w:val="00F8126F"/>
    <w:rsid w:val="00F82FD9"/>
    <w:rsid w:val="00F837A8"/>
    <w:rsid w:val="00F83A38"/>
    <w:rsid w:val="00F84FBD"/>
    <w:rsid w:val="00F913B5"/>
    <w:rsid w:val="00F91A37"/>
    <w:rsid w:val="00F91C42"/>
    <w:rsid w:val="00F92F1A"/>
    <w:rsid w:val="00F95630"/>
    <w:rsid w:val="00F97FE0"/>
    <w:rsid w:val="00FA20D9"/>
    <w:rsid w:val="00FA668C"/>
    <w:rsid w:val="00FA73E2"/>
    <w:rsid w:val="00FA7C44"/>
    <w:rsid w:val="00FB077C"/>
    <w:rsid w:val="00FB493C"/>
    <w:rsid w:val="00FC195D"/>
    <w:rsid w:val="00FC6B1F"/>
    <w:rsid w:val="00FD004B"/>
    <w:rsid w:val="00FD0573"/>
    <w:rsid w:val="00FD25D7"/>
    <w:rsid w:val="00FD3CE5"/>
    <w:rsid w:val="00FD49E4"/>
    <w:rsid w:val="00FD4DAC"/>
    <w:rsid w:val="00FF3C88"/>
    <w:rsid w:val="00FF7DAD"/>
  </w:rsids>
  <w:docVars>
    <w:docVar w:name="_AMO_ReportControlsVisible"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D49157"/>
  <w15:docId w15:val="{83DB78AD-E59F-459B-BD04-7853874D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3">
    <w:name w:val="heading 3"/>
    <w:basedOn w:val="Normal"/>
    <w:next w:val="Normal"/>
    <w:link w:val="Heading3Char"/>
    <w:uiPriority w:val="9"/>
    <w:semiHidden/>
    <w:unhideWhenUsed/>
    <w:qFormat/>
    <w:rsid w:val="00184BE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
    <w:basedOn w:val="Normal"/>
    <w:link w:val="FootnoteTextChar"/>
    <w:uiPriority w:val="99"/>
    <w:unhideWhenUsed/>
    <w:qFormat/>
    <w:rsid w:val="003E69DC"/>
    <w:rPr>
      <w:sz w:val="20"/>
      <w:szCs w:val="20"/>
    </w:rPr>
  </w:style>
  <w:style w:type="character" w:customStyle="1" w:styleId="FootnoteTextChar">
    <w:name w:val="Footnote Text Char"/>
    <w:aliases w:val=" Char Char,Car Char,Char Char,Footnote Text Char Char Char Char,Footnote Text Char Char Char Char Char Char,Footnote Text Char1 Char Char Char1,Footnote Text Char1 Char Char1,Footnote Text Char1 Char1"/>
    <w:basedOn w:val="DefaultParagraphFont"/>
    <w:link w:val="FootnoteText"/>
    <w:uiPriority w:val="99"/>
    <w:rsid w:val="003E69DC"/>
  </w:style>
  <w:style w:type="character" w:styleId="CommentReference">
    <w:name w:val="annotation reference"/>
    <w:uiPriority w:val="99"/>
    <w:unhideWhenUsed/>
    <w:rsid w:val="00A93AE0"/>
    <w:rPr>
      <w:sz w:val="16"/>
      <w:szCs w:val="16"/>
    </w:rPr>
  </w:style>
  <w:style w:type="paragraph" w:styleId="CommentText">
    <w:name w:val="annotation text"/>
    <w:basedOn w:val="Normal"/>
    <w:link w:val="CommentTextChar"/>
    <w:uiPriority w:val="99"/>
    <w:unhideWhenUsed/>
    <w:rsid w:val="00A93AE0"/>
    <w:rPr>
      <w:sz w:val="20"/>
      <w:szCs w:val="20"/>
    </w:rPr>
  </w:style>
  <w:style w:type="character" w:customStyle="1" w:styleId="CommentTextChar">
    <w:name w:val="Comment Text Char"/>
    <w:basedOn w:val="DefaultParagraphFont"/>
    <w:link w:val="CommentText"/>
    <w:uiPriority w:val="99"/>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 w:type="character" w:customStyle="1" w:styleId="PlainTextChar">
    <w:name w:val="Plain Text Char"/>
    <w:link w:val="PlainText"/>
    <w:rsid w:val="00F22B68"/>
    <w:rPr>
      <w:rFonts w:ascii="Courier New" w:hAnsi="Courier New" w:cs="Courier New"/>
    </w:rPr>
  </w:style>
  <w:style w:type="paragraph" w:styleId="NormalWeb">
    <w:name w:val="Normal (Web)"/>
    <w:basedOn w:val="Normal"/>
    <w:uiPriority w:val="99"/>
    <w:unhideWhenUsed/>
    <w:rsid w:val="005A7DEE"/>
    <w:pPr>
      <w:spacing w:before="100" w:beforeAutospacing="1" w:after="100" w:afterAutospacing="1"/>
    </w:pPr>
  </w:style>
  <w:style w:type="paragraph" w:styleId="ListParagraph">
    <w:name w:val="List Paragraph"/>
    <w:basedOn w:val="Normal"/>
    <w:uiPriority w:val="34"/>
    <w:qFormat/>
    <w:rsid w:val="00414797"/>
    <w:pPr>
      <w:ind w:left="720"/>
      <w:contextualSpacing/>
    </w:pPr>
  </w:style>
  <w:style w:type="table" w:styleId="TableGrid">
    <w:name w:val="Table Grid"/>
    <w:basedOn w:val="TableNormal"/>
    <w:uiPriority w:val="39"/>
    <w:rsid w:val="007F6DDB"/>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F02"/>
    <w:pPr>
      <w:tabs>
        <w:tab w:val="center" w:pos="4680"/>
        <w:tab w:val="right" w:pos="9360"/>
      </w:tabs>
    </w:pPr>
  </w:style>
  <w:style w:type="character" w:customStyle="1" w:styleId="HeaderChar">
    <w:name w:val="Header Char"/>
    <w:basedOn w:val="DefaultParagraphFont"/>
    <w:link w:val="Header"/>
    <w:uiPriority w:val="99"/>
    <w:rsid w:val="00114F02"/>
    <w:rPr>
      <w:sz w:val="24"/>
      <w:szCs w:val="24"/>
    </w:rPr>
  </w:style>
  <w:style w:type="paragraph" w:styleId="Footer">
    <w:name w:val="footer"/>
    <w:basedOn w:val="Normal"/>
    <w:link w:val="FooterChar"/>
    <w:uiPriority w:val="99"/>
    <w:unhideWhenUsed/>
    <w:rsid w:val="00114F02"/>
    <w:pPr>
      <w:tabs>
        <w:tab w:val="center" w:pos="4680"/>
        <w:tab w:val="right" w:pos="9360"/>
      </w:tabs>
    </w:pPr>
  </w:style>
  <w:style w:type="character" w:customStyle="1" w:styleId="FooterChar">
    <w:name w:val="Footer Char"/>
    <w:basedOn w:val="DefaultParagraphFont"/>
    <w:link w:val="Footer"/>
    <w:uiPriority w:val="99"/>
    <w:rsid w:val="00114F02"/>
    <w:rPr>
      <w:sz w:val="24"/>
      <w:szCs w:val="24"/>
    </w:rPr>
  </w:style>
  <w:style w:type="paragraph" w:styleId="BodyTextIndent">
    <w:name w:val="Body Text Indent"/>
    <w:basedOn w:val="Normal"/>
    <w:link w:val="BodyTextIndentChar"/>
    <w:unhideWhenUsed/>
    <w:rsid w:val="000821DE"/>
    <w:pPr>
      <w:spacing w:after="120"/>
      <w:ind w:left="360"/>
    </w:pPr>
  </w:style>
  <w:style w:type="character" w:customStyle="1" w:styleId="BodyTextIndentChar">
    <w:name w:val="Body Text Indent Char"/>
    <w:basedOn w:val="DefaultParagraphFont"/>
    <w:link w:val="BodyTextIndent"/>
    <w:uiPriority w:val="99"/>
    <w:rsid w:val="000821DE"/>
    <w:rPr>
      <w:sz w:val="24"/>
      <w:szCs w:val="24"/>
    </w:rPr>
  </w:style>
  <w:style w:type="character" w:styleId="FollowedHyperlink">
    <w:name w:val="FollowedHyperlink"/>
    <w:basedOn w:val="DefaultParagraphFont"/>
    <w:uiPriority w:val="99"/>
    <w:semiHidden/>
    <w:unhideWhenUsed/>
    <w:rsid w:val="009A405A"/>
    <w:rPr>
      <w:color w:val="800080" w:themeColor="followedHyperlink"/>
      <w:u w:val="single"/>
    </w:rPr>
  </w:style>
  <w:style w:type="paragraph" w:styleId="BodyTextIndent3">
    <w:name w:val="Body Text Indent 3"/>
    <w:basedOn w:val="Normal"/>
    <w:link w:val="BodyTextIndent3Char"/>
    <w:uiPriority w:val="99"/>
    <w:unhideWhenUsed/>
    <w:rsid w:val="004277FD"/>
    <w:pPr>
      <w:spacing w:after="120"/>
      <w:ind w:left="360"/>
    </w:pPr>
    <w:rPr>
      <w:sz w:val="16"/>
      <w:szCs w:val="16"/>
    </w:rPr>
  </w:style>
  <w:style w:type="character" w:customStyle="1" w:styleId="BodyTextIndent3Char">
    <w:name w:val="Body Text Indent 3 Char"/>
    <w:basedOn w:val="DefaultParagraphFont"/>
    <w:link w:val="BodyTextIndent3"/>
    <w:uiPriority w:val="99"/>
    <w:rsid w:val="004277FD"/>
    <w:rPr>
      <w:sz w:val="16"/>
      <w:szCs w:val="16"/>
    </w:rPr>
  </w:style>
  <w:style w:type="paragraph" w:styleId="HTMLPreformatted">
    <w:name w:val="HTML Preformatted"/>
    <w:basedOn w:val="Normal"/>
    <w:link w:val="HTMLPreformattedChar"/>
    <w:unhideWhenUsed/>
    <w:rsid w:val="008D785C"/>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8D785C"/>
    <w:rPr>
      <w:rFonts w:ascii="Consolas" w:hAnsi="Consolas" w:cs="Consolas"/>
    </w:rPr>
  </w:style>
  <w:style w:type="character" w:customStyle="1" w:styleId="Heading3Char">
    <w:name w:val="Heading 3 Char"/>
    <w:basedOn w:val="DefaultParagraphFont"/>
    <w:link w:val="Heading3"/>
    <w:uiPriority w:val="9"/>
    <w:semiHidden/>
    <w:rsid w:val="00184BE7"/>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B0B5B"/>
    <w:rPr>
      <w:sz w:val="24"/>
      <w:szCs w:val="24"/>
    </w:rPr>
  </w:style>
  <w:style w:type="character" w:styleId="UnresolvedMention">
    <w:name w:val="Unresolved Mention"/>
    <w:basedOn w:val="DefaultParagraphFont"/>
    <w:uiPriority w:val="99"/>
    <w:semiHidden/>
    <w:unhideWhenUsed/>
    <w:rsid w:val="00E76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bsaaml.ffiec.gov/docs/manual/regulations/31CFR1010_610.pdf" TargetMode="External" /><Relationship Id="rId7" Type="http://schemas.openxmlformats.org/officeDocument/2006/relationships/hyperlink" Target="http://bsaefiling.fincen.treas.gov/main.html" TargetMode="External" /><Relationship Id="rId8" Type="http://schemas.openxmlformats.org/officeDocument/2006/relationships/hyperlink" Target="https://federalreserve.gov/paymentsystems/master-account-and%20services-database-exisiting-access.htm"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14/04/14/2014-08254/privacy-act-of-1974-as-amended-system-of-records-notice" TargetMode="External" /><Relationship Id="rId2" Type="http://schemas.openxmlformats.org/officeDocument/2006/relationships/hyperlink" Target="https://www.federalregister.gov/documents/2024/08/08/2024-17605/agency-information-collection-activities-proposed-renewal-comment-request-renewal-without-change-of" TargetMode="External" /><Relationship Id="rId3" Type="http://schemas.openxmlformats.org/officeDocument/2006/relationships/hyperlink" Target="https://www.federalregister.gov/documents/2024/05/21/2024-10738/customer-identification-programs-for-registered-investment-advisers-and-exempt-reporting-advisers" TargetMode="External" /><Relationship Id="rId4" Type="http://schemas.openxmlformats.org/officeDocument/2006/relationships/hyperlink" Target="https://www.federalregister.gov/documents/2024/07/03/2024-14414/anti-money-laundering-and-countering-the-financing-of-terrorism-programs" TargetMode="External" /><Relationship Id="rId5" Type="http://schemas.openxmlformats.org/officeDocument/2006/relationships/hyperlink" Target="https://www.federalregister.gov/documents/2024/06/20/2024-13590/agency-information-collection-activities-proposed-renewal-comment-request-renewal-without-change-of" TargetMode="External" /><Relationship Id="rId6" Type="http://schemas.openxmlformats.org/officeDocument/2006/relationships/hyperlink" Target="https://www.federalregister.gov/documents/2024/06/11/2024-12728/agency-information-collection-activities-proposed-renewal-comment-request-renewal-without-change-o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74598-4E38-4F6C-B216-FAD0A46B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2899</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2</cp:revision>
  <cp:lastPrinted>2017-05-18T13:14:00Z</cp:lastPrinted>
  <dcterms:created xsi:type="dcterms:W3CDTF">2024-10-28T18:53:00Z</dcterms:created>
  <dcterms:modified xsi:type="dcterms:W3CDTF">2024-10-28T18:53:00Z</dcterms:modified>
</cp:coreProperties>
</file>