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252" w:rsidRPr="00561AE5" w:rsidP="009829C3" w14:paraId="659ABA22" w14:textId="77777777">
      <w:pPr>
        <w:pStyle w:val="PlainText"/>
        <w:jc w:val="center"/>
        <w:rPr>
          <w:rFonts w:ascii="Times New Roman" w:eastAsia="MS Mincho" w:hAnsi="Times New Roman" w:cs="Times New Roman"/>
          <w:sz w:val="24"/>
          <w:szCs w:val="24"/>
          <w:u w:val="single"/>
        </w:rPr>
      </w:pPr>
      <w:r w:rsidRPr="00561AE5">
        <w:rPr>
          <w:rFonts w:ascii="Times New Roman" w:eastAsia="MS Mincho" w:hAnsi="Times New Roman" w:cs="Times New Roman"/>
          <w:sz w:val="24"/>
          <w:szCs w:val="24"/>
          <w:u w:val="single"/>
        </w:rPr>
        <w:t>Supp</w:t>
      </w:r>
      <w:r w:rsidRPr="00561AE5" w:rsidR="00C538B7">
        <w:rPr>
          <w:rFonts w:ascii="Times New Roman" w:eastAsia="MS Mincho" w:hAnsi="Times New Roman" w:cs="Times New Roman"/>
          <w:sz w:val="24"/>
          <w:szCs w:val="24"/>
          <w:u w:val="single"/>
        </w:rPr>
        <w:t xml:space="preserve">orting </w:t>
      </w:r>
      <w:r w:rsidRPr="00561AE5">
        <w:rPr>
          <w:rFonts w:ascii="Times New Roman" w:eastAsia="MS Mincho" w:hAnsi="Times New Roman" w:cs="Times New Roman"/>
          <w:sz w:val="24"/>
          <w:szCs w:val="24"/>
          <w:u w:val="single"/>
        </w:rPr>
        <w:t>Statement</w:t>
      </w:r>
    </w:p>
    <w:p w:rsidR="00F22B68" w:rsidRPr="00561AE5" w:rsidP="009829C3" w14:paraId="7BE38995" w14:textId="40BCF257">
      <w:pPr>
        <w:pStyle w:val="PlainText"/>
        <w:jc w:val="center"/>
        <w:rPr>
          <w:rFonts w:ascii="Times New Roman" w:eastAsia="MS Mincho" w:hAnsi="Times New Roman" w:cs="Times New Roman"/>
          <w:sz w:val="24"/>
          <w:szCs w:val="24"/>
          <w:u w:val="single"/>
        </w:rPr>
      </w:pPr>
      <w:r w:rsidRPr="00561AE5">
        <w:rPr>
          <w:rFonts w:ascii="Times New Roman" w:eastAsia="MS Mincho" w:hAnsi="Times New Roman" w:cs="Times New Roman"/>
          <w:sz w:val="24"/>
          <w:szCs w:val="24"/>
          <w:u w:val="single"/>
        </w:rPr>
        <w:t>OMB Control Number 1506-00</w:t>
      </w:r>
      <w:r w:rsidRPr="00561AE5" w:rsidR="0025100D">
        <w:rPr>
          <w:rFonts w:ascii="Times New Roman" w:eastAsia="MS Mincho" w:hAnsi="Times New Roman" w:cs="Times New Roman"/>
          <w:sz w:val="24"/>
          <w:szCs w:val="24"/>
          <w:u w:val="single"/>
        </w:rPr>
        <w:t>51</w:t>
      </w:r>
    </w:p>
    <w:p w:rsidR="00F22B68" w:rsidRPr="00561AE5" w:rsidP="009829C3" w14:paraId="63221429" w14:textId="77777777">
      <w:pPr>
        <w:pStyle w:val="PlainText"/>
        <w:jc w:val="center"/>
        <w:rPr>
          <w:rFonts w:ascii="Times New Roman" w:eastAsia="MS Mincho" w:hAnsi="Times New Roman" w:cs="Times New Roman"/>
          <w:sz w:val="24"/>
          <w:szCs w:val="24"/>
          <w:u w:val="single"/>
        </w:rPr>
      </w:pPr>
    </w:p>
    <w:p w:rsidR="00F22B68" w:rsidRPr="00561AE5" w:rsidP="009829C3" w14:paraId="2D6C4CA0" w14:textId="62AA0D01">
      <w:pPr>
        <w:pStyle w:val="PlainText"/>
        <w:rPr>
          <w:rFonts w:ascii="Times New Roman" w:eastAsia="MS Mincho" w:hAnsi="Times New Roman" w:cs="Times New Roman"/>
          <w:sz w:val="24"/>
          <w:szCs w:val="24"/>
          <w:u w:val="single"/>
        </w:rPr>
      </w:pPr>
      <w:r w:rsidRPr="00561AE5">
        <w:rPr>
          <w:rFonts w:ascii="Times New Roman" w:eastAsia="MS Mincho" w:hAnsi="Times New Roman" w:cs="Times New Roman"/>
          <w:bCs/>
          <w:sz w:val="24"/>
          <w:szCs w:val="24"/>
          <w:u w:val="single"/>
        </w:rPr>
        <w:t>Anti-Money Laundering Program</w:t>
      </w:r>
      <w:r w:rsidRPr="00561AE5" w:rsidR="00013CDB">
        <w:rPr>
          <w:rFonts w:ascii="Times New Roman" w:eastAsia="MS Mincho" w:hAnsi="Times New Roman" w:cs="Times New Roman"/>
          <w:bCs/>
          <w:sz w:val="24"/>
          <w:szCs w:val="24"/>
          <w:u w:val="single"/>
        </w:rPr>
        <w:t xml:space="preserve"> Require</w:t>
      </w:r>
      <w:r w:rsidRPr="00561AE5" w:rsidR="004416DC">
        <w:rPr>
          <w:rFonts w:ascii="Times New Roman" w:eastAsia="MS Mincho" w:hAnsi="Times New Roman" w:cs="Times New Roman"/>
          <w:bCs/>
          <w:sz w:val="24"/>
          <w:szCs w:val="24"/>
          <w:u w:val="single"/>
        </w:rPr>
        <w:t>ment</w:t>
      </w:r>
      <w:r w:rsidRPr="00561AE5" w:rsidR="00013CDB">
        <w:rPr>
          <w:rFonts w:ascii="Times New Roman" w:eastAsia="MS Mincho" w:hAnsi="Times New Roman" w:cs="Times New Roman"/>
          <w:bCs/>
          <w:sz w:val="24"/>
          <w:szCs w:val="24"/>
          <w:u w:val="single"/>
        </w:rPr>
        <w:t>s</w:t>
      </w:r>
      <w:r w:rsidRPr="00561AE5" w:rsidR="0025100D">
        <w:rPr>
          <w:rFonts w:ascii="Times New Roman" w:hAnsi="Times New Roman" w:cs="Times New Roman"/>
          <w:sz w:val="24"/>
          <w:szCs w:val="24"/>
          <w:u w:val="single"/>
        </w:rPr>
        <w:t xml:space="preserve"> for Casinos</w:t>
      </w:r>
      <w:r w:rsidRPr="00561AE5">
        <w:rPr>
          <w:rFonts w:ascii="Times New Roman" w:hAnsi="Times New Roman" w:cs="Times New Roman"/>
          <w:sz w:val="24"/>
          <w:szCs w:val="24"/>
          <w:u w:val="single"/>
        </w:rPr>
        <w:t>.</w:t>
      </w:r>
    </w:p>
    <w:p w:rsidR="00643252" w:rsidRPr="00561AE5" w:rsidP="009829C3" w14:paraId="2EC466E6" w14:textId="77777777">
      <w:pPr>
        <w:pStyle w:val="PlainText"/>
        <w:rPr>
          <w:rFonts w:ascii="Times New Roman" w:eastAsia="MS Mincho" w:hAnsi="Times New Roman" w:cs="Times New Roman"/>
          <w:sz w:val="24"/>
          <w:szCs w:val="24"/>
        </w:rPr>
      </w:pPr>
    </w:p>
    <w:p w:rsidR="00643252" w:rsidRPr="00561AE5" w:rsidP="009829C3" w14:paraId="3FAC580D" w14:textId="77777777">
      <w:pPr>
        <w:pStyle w:val="PlainText"/>
        <w:rPr>
          <w:rFonts w:ascii="Times New Roman" w:eastAsia="MS Mincho" w:hAnsi="Times New Roman" w:cs="Times New Roman"/>
          <w:sz w:val="24"/>
          <w:szCs w:val="24"/>
        </w:rPr>
      </w:pPr>
      <w:r w:rsidRPr="00561AE5">
        <w:rPr>
          <w:rFonts w:ascii="Times New Roman" w:eastAsia="MS Mincho" w:hAnsi="Times New Roman" w:cs="Times New Roman"/>
          <w:sz w:val="24"/>
          <w:szCs w:val="24"/>
        </w:rPr>
        <w:t xml:space="preserve">1. </w:t>
      </w:r>
      <w:r w:rsidRPr="00561AE5">
        <w:rPr>
          <w:rFonts w:ascii="Times New Roman" w:hAnsi="Times New Roman" w:cs="Times New Roman"/>
          <w:sz w:val="24"/>
          <w:szCs w:val="24"/>
          <w:u w:val="single"/>
        </w:rPr>
        <w:t xml:space="preserve">Circumstances </w:t>
      </w:r>
      <w:r w:rsidRPr="00561AE5" w:rsidR="00F22B68">
        <w:rPr>
          <w:rFonts w:ascii="Times New Roman" w:hAnsi="Times New Roman" w:cs="Times New Roman"/>
          <w:sz w:val="24"/>
          <w:szCs w:val="24"/>
          <w:u w:val="single"/>
        </w:rPr>
        <w:t>n</w:t>
      </w:r>
      <w:r w:rsidRPr="00561AE5">
        <w:rPr>
          <w:rFonts w:ascii="Times New Roman" w:hAnsi="Times New Roman" w:cs="Times New Roman"/>
          <w:sz w:val="24"/>
          <w:szCs w:val="24"/>
          <w:u w:val="single"/>
        </w:rPr>
        <w:t xml:space="preserve">ecessitating </w:t>
      </w:r>
      <w:r w:rsidRPr="00561AE5" w:rsidR="00F22B68">
        <w:rPr>
          <w:rFonts w:ascii="Times New Roman" w:hAnsi="Times New Roman" w:cs="Times New Roman"/>
          <w:sz w:val="24"/>
          <w:szCs w:val="24"/>
          <w:u w:val="single"/>
        </w:rPr>
        <w:t>c</w:t>
      </w:r>
      <w:r w:rsidRPr="00561AE5">
        <w:rPr>
          <w:rFonts w:ascii="Times New Roman" w:hAnsi="Times New Roman" w:cs="Times New Roman"/>
          <w:sz w:val="24"/>
          <w:szCs w:val="24"/>
          <w:u w:val="single"/>
        </w:rPr>
        <w:t xml:space="preserve">ollection of </w:t>
      </w:r>
      <w:r w:rsidRPr="00561AE5" w:rsidR="00F22B68">
        <w:rPr>
          <w:rFonts w:ascii="Times New Roman" w:hAnsi="Times New Roman" w:cs="Times New Roman"/>
          <w:sz w:val="24"/>
          <w:szCs w:val="24"/>
          <w:u w:val="single"/>
        </w:rPr>
        <w:t>i</w:t>
      </w:r>
      <w:r w:rsidRPr="00561AE5">
        <w:rPr>
          <w:rFonts w:ascii="Times New Roman" w:hAnsi="Times New Roman" w:cs="Times New Roman"/>
          <w:sz w:val="24"/>
          <w:szCs w:val="24"/>
          <w:u w:val="single"/>
        </w:rPr>
        <w:t>nformation.</w:t>
      </w:r>
      <w:r w:rsidRPr="00561AE5">
        <w:rPr>
          <w:rFonts w:ascii="Times New Roman" w:eastAsia="MS Mincho" w:hAnsi="Times New Roman" w:cs="Times New Roman"/>
          <w:sz w:val="24"/>
          <w:szCs w:val="24"/>
        </w:rPr>
        <w:tab/>
      </w:r>
    </w:p>
    <w:p w:rsidR="00F22B68" w:rsidRPr="00561AE5" w:rsidP="009829C3" w14:paraId="51BAC409" w14:textId="77777777">
      <w:pPr>
        <w:pStyle w:val="PlainText"/>
        <w:rPr>
          <w:rFonts w:ascii="Times New Roman" w:eastAsia="MS Mincho" w:hAnsi="Times New Roman" w:cs="Times New Roman"/>
          <w:sz w:val="24"/>
          <w:szCs w:val="24"/>
        </w:rPr>
      </w:pPr>
    </w:p>
    <w:p w:rsidR="00C051A3" w:rsidRPr="00561AE5" w:rsidP="00C051A3" w14:paraId="31326B16" w14:textId="77777777">
      <w:pPr>
        <w:pStyle w:val="BodyTextIndent"/>
        <w:spacing w:after="0"/>
        <w:ind w:left="0" w:firstLine="720"/>
      </w:pPr>
      <w:r w:rsidRPr="00561AE5">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561AE5">
        <w:t xml:space="preserve"> and other legislation, including the Anti-Money Laundering Act of 2020 (AML Act).</w:t>
      </w:r>
      <w:r>
        <w:rPr>
          <w:rStyle w:val="FootnoteReference"/>
        </w:rPr>
        <w:footnoteReference w:id="3"/>
      </w:r>
      <w:r w:rsidRPr="00561AE5">
        <w:t xml:space="preserve">  The BSA is codified at 12 U.S.C. 1829b, 1951–1960 and 31 U.S.C. 5311–5314, 5316–5336, including notes thereto, with implementing regulations at 31 CFR chapter X.   </w:t>
      </w:r>
    </w:p>
    <w:p w:rsidR="00C051A3" w:rsidRPr="00561AE5" w:rsidP="00C051A3" w14:paraId="76430BB9" w14:textId="77777777">
      <w:pPr>
        <w:pStyle w:val="BodyTextIndent"/>
        <w:spacing w:after="0"/>
        <w:ind w:left="0"/>
      </w:pPr>
    </w:p>
    <w:p w:rsidR="00C051A3" w:rsidRPr="00561AE5" w:rsidP="00C051A3" w14:paraId="0525A528" w14:textId="77777777">
      <w:pPr>
        <w:pStyle w:val="BodyTextIndent"/>
        <w:spacing w:after="0"/>
        <w:ind w:left="0" w:firstLine="720"/>
      </w:pPr>
      <w:r w:rsidRPr="00561AE5">
        <w:t xml:space="preserve">The BSA authorizes the Secretary of the Treasury (Secretary) to, </w:t>
      </w:r>
      <w:r w:rsidRPr="00561AE5">
        <w:rPr>
          <w:i/>
        </w:rPr>
        <w:t>inter alia</w:t>
      </w:r>
      <w:r w:rsidRPr="00561AE5">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561AE5">
        <w:t xml:space="preserve">  The authority of the Secretary to administer the BSA has been delegated to the Director of FinCEN.</w:t>
      </w:r>
      <w:r>
        <w:rPr>
          <w:rStyle w:val="FootnoteReference"/>
        </w:rPr>
        <w:footnoteReference w:id="5"/>
      </w:r>
    </w:p>
    <w:p w:rsidR="005A7DEE" w:rsidRPr="00561AE5" w:rsidP="009829C3" w14:paraId="581A4CB3" w14:textId="77777777">
      <w:pPr>
        <w:pStyle w:val="PlainText"/>
        <w:ind w:firstLine="720"/>
        <w:rPr>
          <w:rFonts w:ascii="Times New Roman" w:hAnsi="Times New Roman" w:cs="Times New Roman"/>
          <w:sz w:val="24"/>
          <w:szCs w:val="24"/>
        </w:rPr>
      </w:pPr>
    </w:p>
    <w:p w:rsidR="00643252" w:rsidRPr="00561AE5" w:rsidP="00902026" w14:paraId="03FD60FF" w14:textId="31705F4D">
      <w:pPr>
        <w:pStyle w:val="PlainText"/>
        <w:ind w:firstLine="720"/>
        <w:rPr>
          <w:rFonts w:ascii="Times New Roman" w:hAnsi="Times New Roman" w:cs="Times New Roman"/>
          <w:sz w:val="24"/>
          <w:szCs w:val="24"/>
        </w:rPr>
      </w:pPr>
      <w:r w:rsidRPr="00561AE5">
        <w:rPr>
          <w:rFonts w:ascii="Times New Roman" w:eastAsia="MS Mincho" w:hAnsi="Times New Roman" w:cs="Times New Roman"/>
          <w:sz w:val="24"/>
          <w:szCs w:val="24"/>
        </w:rPr>
        <w:t>Pursuant to 31 U.S.C. 5318(h)(1), financial institutions must establish AML/CFT programs to guard against money laundering and the financing of terrorism.</w:t>
      </w:r>
      <w:r>
        <w:rPr>
          <w:rStyle w:val="FootnoteReference"/>
          <w:rFonts w:ascii="Times New Roman" w:hAnsi="Times New Roman" w:cs="Times New Roman"/>
          <w:sz w:val="24"/>
          <w:szCs w:val="24"/>
        </w:rPr>
        <w:footnoteReference w:id="6"/>
      </w:r>
      <w:r w:rsidRPr="00561AE5">
        <w:rPr>
          <w:rFonts w:ascii="Times New Roman" w:hAnsi="Times New Roman" w:cs="Times New Roman"/>
          <w:sz w:val="24"/>
          <w:szCs w:val="24"/>
        </w:rPr>
        <w:t xml:space="preserve">  Such programs must include, at a minimum: (a) </w:t>
      </w:r>
      <w:r w:rsidRPr="00561AE5">
        <w:rPr>
          <w:rFonts w:ascii="Times New Roman" w:hAnsi="Times New Roman" w:cs="Times New Roman"/>
          <w:sz w:val="24"/>
          <w:szCs w:val="24"/>
        </w:rPr>
        <w:t xml:space="preserve">the </w:t>
      </w:r>
      <w:r w:rsidRPr="00561AE5">
        <w:rPr>
          <w:rFonts w:ascii="Times New Roman" w:hAnsi="Times New Roman" w:cs="Times New Roman"/>
          <w:sz w:val="24"/>
          <w:szCs w:val="24"/>
        </w:rPr>
        <w:t xml:space="preserve">development of internal policies, procedures, and controls; (b) </w:t>
      </w:r>
      <w:r w:rsidRPr="00561AE5">
        <w:rPr>
          <w:rFonts w:ascii="Times New Roman" w:hAnsi="Times New Roman" w:cs="Times New Roman"/>
          <w:sz w:val="24"/>
          <w:szCs w:val="24"/>
        </w:rPr>
        <w:t xml:space="preserve">the </w:t>
      </w:r>
      <w:r w:rsidRPr="00561AE5">
        <w:rPr>
          <w:rFonts w:ascii="Times New Roman" w:hAnsi="Times New Roman" w:cs="Times New Roman"/>
          <w:sz w:val="24"/>
          <w:szCs w:val="24"/>
        </w:rPr>
        <w:t>designation of a compliance officer; (c) an ongoing employee training program; and (d) an independent audit function to test programs.</w:t>
      </w:r>
      <w:r>
        <w:rPr>
          <w:rStyle w:val="FootnoteReference"/>
          <w:rFonts w:ascii="Times New Roman" w:hAnsi="Times New Roman" w:cs="Times New Roman"/>
          <w:sz w:val="24"/>
          <w:szCs w:val="24"/>
        </w:rPr>
        <w:footnoteReference w:id="7"/>
      </w:r>
      <w:r w:rsidRPr="00561AE5">
        <w:rPr>
          <w:rFonts w:ascii="Times New Roman" w:hAnsi="Times New Roman" w:cs="Times New Roman"/>
          <w:sz w:val="24"/>
          <w:szCs w:val="24"/>
        </w:rPr>
        <w:t xml:space="preserve">  On March 12, 1993, FinCEN issued regulations, under separate statutory authority codified at </w:t>
      </w:r>
      <w:r w:rsidRPr="00561AE5">
        <w:rPr>
          <w:rFonts w:ascii="Times New Roman" w:eastAsia="MS Mincho" w:hAnsi="Times New Roman" w:cs="Times New Roman"/>
          <w:sz w:val="24"/>
          <w:szCs w:val="24"/>
        </w:rPr>
        <w:t>31 U.S.C. 5318(a)(2)</w:t>
      </w:r>
      <w:r w:rsidRPr="00561AE5">
        <w:rPr>
          <w:rFonts w:ascii="Times New Roman" w:hAnsi="Times New Roman" w:cs="Times New Roman"/>
          <w:sz w:val="24"/>
          <w:szCs w:val="24"/>
        </w:rPr>
        <w:t>, requiring casinos to develop and implement written BSA compliance programs.</w:t>
      </w:r>
      <w:r>
        <w:rPr>
          <w:rStyle w:val="FootnoteReference"/>
          <w:rFonts w:ascii="Times New Roman" w:hAnsi="Times New Roman" w:cs="Times New Roman"/>
          <w:sz w:val="24"/>
          <w:szCs w:val="24"/>
        </w:rPr>
        <w:footnoteReference w:id="8"/>
      </w:r>
      <w:r w:rsidRPr="00561AE5">
        <w:rPr>
          <w:rFonts w:ascii="Times New Roman" w:hAnsi="Times New Roman" w:cs="Times New Roman"/>
          <w:sz w:val="24"/>
          <w:szCs w:val="24"/>
        </w:rPr>
        <w:t xml:space="preserve">  FinCEN subsequently amended those regulations after passage of </w:t>
      </w:r>
      <w:r w:rsidRPr="00561AE5">
        <w:rPr>
          <w:rFonts w:ascii="Times New Roman" w:hAnsi="Times New Roman" w:cs="Times New Roman"/>
          <w:sz w:val="24"/>
          <w:szCs w:val="24"/>
        </w:rPr>
        <w:t xml:space="preserve">the USA PATRIOT Act to state that a casino would be “deemed to satisfy the requirements of </w:t>
      </w:r>
      <w:r w:rsidRPr="00561AE5">
        <w:rPr>
          <w:rFonts w:ascii="Times New Roman" w:eastAsia="MS Mincho" w:hAnsi="Times New Roman" w:cs="Times New Roman"/>
          <w:sz w:val="24"/>
          <w:szCs w:val="24"/>
        </w:rPr>
        <w:t xml:space="preserve">31 U.S.C. 5318(h)(1) </w:t>
      </w:r>
      <w:r w:rsidRPr="00561AE5">
        <w:rPr>
          <w:rFonts w:ascii="Times New Roman" w:hAnsi="Times New Roman" w:cs="Times New Roman"/>
          <w:sz w:val="24"/>
          <w:szCs w:val="24"/>
        </w:rPr>
        <w:t>if it implements and maintains” an AML program, as described in</w:t>
      </w:r>
      <w:r w:rsidRPr="00561AE5">
        <w:rPr>
          <w:rFonts w:ascii="Times New Roman" w:eastAsia="MS Mincho" w:hAnsi="Times New Roman" w:cs="Times New Roman"/>
          <w:sz w:val="24"/>
          <w:szCs w:val="24"/>
        </w:rPr>
        <w:t>” 31 CFR 1021.210(b).</w:t>
      </w:r>
      <w:r>
        <w:rPr>
          <w:rStyle w:val="FootnoteReference"/>
          <w:rFonts w:ascii="Times New Roman" w:hAnsi="Times New Roman" w:cs="Times New Roman"/>
          <w:sz w:val="24"/>
          <w:szCs w:val="24"/>
        </w:rPr>
        <w:footnoteReference w:id="9"/>
      </w:r>
    </w:p>
    <w:p w:rsidR="00C70EA9" w:rsidRPr="00561AE5" w:rsidP="009829C3" w14:paraId="2A7ED4AE" w14:textId="77777777">
      <w:pPr>
        <w:shd w:val="clear" w:color="auto" w:fill="FFFFFF"/>
        <w:ind w:firstLine="720"/>
        <w:rPr>
          <w:rFonts w:eastAsia="MS Mincho"/>
          <w:bCs/>
        </w:rPr>
      </w:pPr>
    </w:p>
    <w:p w:rsidR="00643252" w:rsidRPr="00561AE5" w:rsidP="009829C3" w14:paraId="5EB1D9F8" w14:textId="77777777">
      <w:pPr>
        <w:rPr>
          <w:bCs/>
        </w:rPr>
      </w:pPr>
      <w:r w:rsidRPr="00561AE5">
        <w:rPr>
          <w:bCs/>
        </w:rPr>
        <w:t xml:space="preserve">2. </w:t>
      </w:r>
      <w:r w:rsidRPr="00561AE5">
        <w:rPr>
          <w:bCs/>
          <w:u w:val="single"/>
        </w:rPr>
        <w:t>M</w:t>
      </w:r>
      <w:r w:rsidRPr="00561AE5" w:rsidR="00E667ED">
        <w:rPr>
          <w:bCs/>
          <w:u w:val="single"/>
        </w:rPr>
        <w:t>ethod of collection and use of d</w:t>
      </w:r>
      <w:r w:rsidRPr="00561AE5">
        <w:rPr>
          <w:bCs/>
          <w:u w:val="single"/>
        </w:rPr>
        <w:t>ata.</w:t>
      </w:r>
      <w:r w:rsidRPr="00561AE5">
        <w:rPr>
          <w:bCs/>
        </w:rPr>
        <w:t xml:space="preserve"> </w:t>
      </w:r>
    </w:p>
    <w:p w:rsidR="009829C3" w:rsidRPr="00561AE5" w:rsidP="009829C3" w14:paraId="6803F93A" w14:textId="77777777">
      <w:pPr>
        <w:rPr>
          <w:bCs/>
        </w:rPr>
      </w:pPr>
    </w:p>
    <w:p w:rsidR="009829C3" w:rsidRPr="00561AE5" w:rsidP="00893B14" w14:paraId="05DF9A68" w14:textId="697D24DA">
      <w:pPr>
        <w:pStyle w:val="BodyTextIndent"/>
        <w:ind w:left="0" w:firstLine="720"/>
      </w:pPr>
      <w:r w:rsidRPr="00561AE5">
        <w:t xml:space="preserve">AML programs help to ensure that casinos comply with the BSA, including requirements related to retention and maintenance of reports and records, and ensure that such institutions are not used to facilitate money laundering or terrorist financing.  </w:t>
      </w:r>
      <w:r w:rsidRPr="00561AE5">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561AE5">
        <w:t xml:space="preserve">  Compliance with these requirements will be reviewed by Federal agencies during BSA examinations.</w:t>
      </w:r>
    </w:p>
    <w:p w:rsidR="00643252" w:rsidRPr="00561AE5" w:rsidP="009829C3" w14:paraId="6E3337A8" w14:textId="77777777">
      <w:r w:rsidRPr="00561AE5">
        <w:t xml:space="preserve">3. </w:t>
      </w:r>
      <w:r w:rsidRPr="00561AE5" w:rsidR="00E667ED">
        <w:rPr>
          <w:u w:val="single"/>
        </w:rPr>
        <w:t>Use of i</w:t>
      </w:r>
      <w:r w:rsidRPr="00561AE5">
        <w:rPr>
          <w:u w:val="single"/>
        </w:rPr>
        <w:t xml:space="preserve">mproved </w:t>
      </w:r>
      <w:r w:rsidRPr="00561AE5" w:rsidR="00E667ED">
        <w:rPr>
          <w:u w:val="single"/>
        </w:rPr>
        <w:t>information technology to reduce b</w:t>
      </w:r>
      <w:r w:rsidRPr="00561AE5">
        <w:rPr>
          <w:u w:val="single"/>
        </w:rPr>
        <w:t>urden.</w:t>
      </w:r>
      <w:r w:rsidRPr="00561AE5">
        <w:t xml:space="preserve"> </w:t>
      </w:r>
    </w:p>
    <w:p w:rsidR="009829C3" w:rsidRPr="00561AE5" w:rsidP="009829C3" w14:paraId="3DEB2ADB" w14:textId="77777777"/>
    <w:p w:rsidR="00643252" w:rsidRPr="00561AE5" w:rsidP="009829C3" w14:paraId="01D7F319" w14:textId="7C362FB0">
      <w:pPr>
        <w:ind w:firstLine="720"/>
      </w:pPr>
      <w:r w:rsidRPr="00561AE5">
        <w:t>Casinos are not required to automate their systems to meet AML requirements, but 31 CFR 1021.210(b)(2)(vi) provides that</w:t>
      </w:r>
      <w:r w:rsidRPr="00561AE5">
        <w:rPr>
          <w:lang w:val="en-GB"/>
        </w:rPr>
        <w:t xml:space="preserve">, if the casino has automated data processing systems, it </w:t>
      </w:r>
      <w:r w:rsidRPr="00561AE5">
        <w:t xml:space="preserve">must </w:t>
      </w:r>
      <w:r w:rsidRPr="00561AE5">
        <w:rPr>
          <w:lang w:val="en-GB"/>
        </w:rPr>
        <w:t>use automated programs to aid in ensuring compliance</w:t>
      </w:r>
      <w:r w:rsidRPr="00561AE5">
        <w:t>.</w:t>
      </w:r>
    </w:p>
    <w:p w:rsidR="009829C3" w:rsidRPr="00561AE5" w:rsidP="009829C3" w14:paraId="5495A9E6" w14:textId="77777777">
      <w:pPr>
        <w:ind w:firstLine="720"/>
      </w:pPr>
    </w:p>
    <w:p w:rsidR="00643252" w:rsidRPr="00561AE5" w:rsidP="009829C3" w14:paraId="0CA3AFA8" w14:textId="77777777">
      <w:pPr>
        <w:rPr>
          <w:u w:val="single"/>
        </w:rPr>
      </w:pPr>
      <w:r w:rsidRPr="00561AE5">
        <w:t xml:space="preserve">4. </w:t>
      </w:r>
      <w:r w:rsidRPr="00561AE5" w:rsidR="00E667ED">
        <w:rPr>
          <w:u w:val="single"/>
        </w:rPr>
        <w:t>Efforts to identify d</w:t>
      </w:r>
      <w:r w:rsidRPr="00561AE5">
        <w:rPr>
          <w:u w:val="single"/>
        </w:rPr>
        <w:t>uplication</w:t>
      </w:r>
      <w:r w:rsidRPr="00561AE5" w:rsidR="003E69DC">
        <w:rPr>
          <w:u w:val="single"/>
        </w:rPr>
        <w:t>.</w:t>
      </w:r>
      <w:r w:rsidRPr="00561AE5">
        <w:rPr>
          <w:u w:val="single"/>
        </w:rPr>
        <w:t xml:space="preserve"> </w:t>
      </w:r>
    </w:p>
    <w:p w:rsidR="009829C3" w:rsidRPr="00561AE5" w:rsidP="009829C3" w14:paraId="7E967501" w14:textId="77777777">
      <w:pPr>
        <w:rPr>
          <w:u w:val="single"/>
        </w:rPr>
      </w:pPr>
    </w:p>
    <w:p w:rsidR="00C4238E" w:rsidRPr="00561AE5" w:rsidP="009829C3" w14:paraId="6D13914F" w14:textId="77777777">
      <w:pPr>
        <w:ind w:firstLine="720"/>
      </w:pPr>
      <w:r w:rsidRPr="00561AE5">
        <w:t xml:space="preserve">There is no similar information available; </w:t>
      </w:r>
      <w:r w:rsidRPr="00561AE5">
        <w:t>thus</w:t>
      </w:r>
      <w:r w:rsidRPr="00561AE5">
        <w:t xml:space="preserve"> there is no duplication.</w:t>
      </w:r>
    </w:p>
    <w:p w:rsidR="009829C3" w:rsidRPr="00561AE5" w:rsidP="009829C3" w14:paraId="22BA7DE9" w14:textId="77777777">
      <w:pPr>
        <w:ind w:firstLine="720"/>
      </w:pPr>
    </w:p>
    <w:p w:rsidR="00643252" w:rsidRPr="00561AE5" w:rsidP="009829C3" w14:paraId="677D1102" w14:textId="77777777">
      <w:pPr>
        <w:rPr>
          <w:u w:val="single"/>
        </w:rPr>
      </w:pPr>
      <w:r w:rsidRPr="00561AE5">
        <w:t xml:space="preserve">5. </w:t>
      </w:r>
      <w:r w:rsidRPr="00561AE5" w:rsidR="00E667ED">
        <w:rPr>
          <w:u w:val="single"/>
        </w:rPr>
        <w:t>Methods to minimize burden on small businesses or other small e</w:t>
      </w:r>
      <w:r w:rsidRPr="00561AE5">
        <w:rPr>
          <w:u w:val="single"/>
        </w:rPr>
        <w:t>ntities</w:t>
      </w:r>
      <w:r w:rsidRPr="00561AE5" w:rsidR="003E69DC">
        <w:rPr>
          <w:u w:val="single"/>
        </w:rPr>
        <w:t>.</w:t>
      </w:r>
    </w:p>
    <w:p w:rsidR="009829C3" w:rsidRPr="00561AE5" w:rsidP="009829C3" w14:paraId="440270DD" w14:textId="77777777">
      <w:pPr>
        <w:ind w:firstLine="720"/>
      </w:pPr>
    </w:p>
    <w:p w:rsidR="00643252" w:rsidRPr="00561AE5" w:rsidP="009829C3" w14:paraId="2CB0A0C8" w14:textId="23D6B0F3">
      <w:pPr>
        <w:ind w:firstLine="720"/>
      </w:pPr>
      <w:r w:rsidRPr="00561AE5">
        <w:t>Casinos</w:t>
      </w:r>
      <w:r w:rsidRPr="00561AE5">
        <w:t xml:space="preserve"> </w:t>
      </w:r>
      <w:r w:rsidRPr="00561AE5" w:rsidR="00E20E5E">
        <w:t>are required to document their AML programs and are permitted to use the method most suitable to their requirements.</w:t>
      </w:r>
    </w:p>
    <w:p w:rsidR="009829C3" w:rsidRPr="00561AE5" w:rsidP="009829C3" w14:paraId="0F14F1F9" w14:textId="77777777">
      <w:pPr>
        <w:ind w:firstLine="720"/>
      </w:pPr>
    </w:p>
    <w:p w:rsidR="00643252" w:rsidRPr="000A7EC9" w:rsidP="009829C3" w14:paraId="3193A4B7" w14:textId="77777777">
      <w:r w:rsidRPr="000A7EC9">
        <w:t xml:space="preserve">6. </w:t>
      </w:r>
      <w:r w:rsidRPr="000A7EC9" w:rsidR="00E667ED">
        <w:rPr>
          <w:u w:val="single"/>
        </w:rPr>
        <w:t>Consequences to the Federal g</w:t>
      </w:r>
      <w:r w:rsidRPr="000A7EC9">
        <w:rPr>
          <w:u w:val="single"/>
        </w:rPr>
        <w:t>o</w:t>
      </w:r>
      <w:r w:rsidRPr="000A7EC9" w:rsidR="00E667ED">
        <w:rPr>
          <w:u w:val="single"/>
        </w:rPr>
        <w:t>vernment of not collecting the i</w:t>
      </w:r>
      <w:r w:rsidRPr="000A7EC9">
        <w:rPr>
          <w:u w:val="single"/>
        </w:rPr>
        <w:t>nformation.</w:t>
      </w:r>
      <w:r w:rsidRPr="000A7EC9">
        <w:t xml:space="preserve"> </w:t>
      </w:r>
    </w:p>
    <w:p w:rsidR="009829C3" w:rsidRPr="000A7EC9" w:rsidP="009829C3" w14:paraId="0822D05C" w14:textId="77777777">
      <w:pPr>
        <w:ind w:firstLine="720"/>
      </w:pPr>
    </w:p>
    <w:p w:rsidR="00643252" w:rsidRPr="00561AE5" w:rsidP="009829C3" w14:paraId="3A9FFEA9" w14:textId="1615B27A">
      <w:pPr>
        <w:ind w:firstLine="720"/>
      </w:pPr>
      <w:r>
        <w:t xml:space="preserve">A copy of the AML program must be made available for inspection by the Department of the Treasury or </w:t>
      </w:r>
      <w:r w:rsidR="006A68A4">
        <w:t xml:space="preserve">an </w:t>
      </w:r>
      <w:r>
        <w:t>appropriate regulatory agenc</w:t>
      </w:r>
      <w:r w:rsidR="006A68A4">
        <w:t>y</w:t>
      </w:r>
      <w:r>
        <w:t xml:space="preserve"> only upon request</w:t>
      </w:r>
      <w:r w:rsidRPr="000A7EC9" w:rsidR="00576484">
        <w:t>.</w:t>
      </w:r>
      <w:r w:rsidRPr="00576484" w:rsidR="00576484">
        <w:t xml:space="preserve">  </w:t>
      </w:r>
    </w:p>
    <w:p w:rsidR="009829C3" w:rsidRPr="00561AE5" w:rsidP="009829C3" w14:paraId="26F97DCD" w14:textId="77777777">
      <w:pPr>
        <w:ind w:firstLine="720"/>
      </w:pPr>
    </w:p>
    <w:p w:rsidR="00643252" w:rsidRPr="00561AE5" w:rsidP="009829C3" w14:paraId="4C5BE43C" w14:textId="77777777">
      <w:pPr>
        <w:rPr>
          <w:u w:val="single"/>
        </w:rPr>
      </w:pPr>
      <w:r w:rsidRPr="00561AE5">
        <w:t xml:space="preserve">7. </w:t>
      </w:r>
      <w:r w:rsidRPr="00561AE5" w:rsidR="00E667ED">
        <w:rPr>
          <w:u w:val="single"/>
        </w:rPr>
        <w:t>Special circumstances requiring data collection inconsistent with g</w:t>
      </w:r>
      <w:r w:rsidRPr="00561AE5">
        <w:rPr>
          <w:u w:val="single"/>
        </w:rPr>
        <w:t>uidelines.</w:t>
      </w:r>
    </w:p>
    <w:p w:rsidR="00643252" w:rsidRPr="00561AE5" w:rsidP="009829C3" w14:paraId="7C4FA590" w14:textId="77777777">
      <w:pPr>
        <w:widowControl w:val="0"/>
        <w:autoSpaceDE w:val="0"/>
        <w:autoSpaceDN w:val="0"/>
        <w:adjustRightInd w:val="0"/>
        <w:spacing w:line="240" w:lineRule="exact"/>
        <w:ind w:firstLine="710"/>
      </w:pPr>
    </w:p>
    <w:p w:rsidR="00104F2C" w:rsidRPr="00561AE5" w:rsidP="00104F2C" w14:paraId="168F885D" w14:textId="6BFB8747">
      <w:pPr>
        <w:ind w:firstLine="720"/>
      </w:pPr>
      <w:r w:rsidRPr="00561AE5">
        <w:t xml:space="preserve">Under 31 CFR 1010.430(d), </w:t>
      </w:r>
      <w:r w:rsidRPr="00561AE5">
        <w:rPr>
          <w:lang w:val="en"/>
        </w:rPr>
        <w:t xml:space="preserve">all records that are required to be retained by 31 CFR Chapter X, including a written copy of the AML program, must be retained for a period of five years.  </w:t>
      </w:r>
      <w:r w:rsidRPr="00CC1DD8">
        <w:rPr>
          <w:lang w:val="en"/>
        </w:rPr>
        <w:t xml:space="preserve">Records </w:t>
      </w:r>
      <w:r w:rsidRPr="00765134" w:rsidR="00694B18">
        <w:t>may be used</w:t>
      </w:r>
      <w:r w:rsidR="00CC1DD8">
        <w:t xml:space="preserve"> in connection with civil penalty actions that are subject to statutes of limitation longer than three years, </w:t>
      </w:r>
      <w:r w:rsidRPr="00CC1DD8">
        <w:t>to verify compliance with</w:t>
      </w:r>
      <w:r w:rsidRPr="00765134" w:rsidR="00C25EC9">
        <w:t>, among other BSA requirements,</w:t>
      </w:r>
      <w:r w:rsidRPr="00CC1DD8">
        <w:t xml:space="preserve"> the requirement to maintain </w:t>
      </w:r>
      <w:r w:rsidRPr="00765134" w:rsidR="00C25EC9">
        <w:t>an AML</w:t>
      </w:r>
      <w:r w:rsidRPr="00CC1DD8">
        <w:t xml:space="preserve"> program</w:t>
      </w:r>
      <w:r w:rsidR="00CC1DD8">
        <w:t xml:space="preserve">.  </w:t>
      </w:r>
    </w:p>
    <w:p w:rsidR="00D52D6F" w:rsidRPr="00561AE5" w:rsidP="00AA6051" w14:paraId="12096D3C" w14:textId="5CEECF43"/>
    <w:p w:rsidR="00643252" w:rsidRPr="00561AE5" w:rsidP="009829C3" w14:paraId="0EB048C7" w14:textId="326CD220">
      <w:r w:rsidRPr="00561AE5">
        <w:t xml:space="preserve">8. </w:t>
      </w:r>
      <w:r w:rsidRPr="00561AE5">
        <w:rPr>
          <w:u w:val="single"/>
        </w:rPr>
        <w:t>Consultation w</w:t>
      </w:r>
      <w:r w:rsidRPr="00561AE5" w:rsidR="00E667ED">
        <w:rPr>
          <w:u w:val="single"/>
        </w:rPr>
        <w:t>ith individuals outside of the a</w:t>
      </w:r>
      <w:r w:rsidRPr="00561AE5">
        <w:rPr>
          <w:u w:val="single"/>
        </w:rPr>
        <w:t>g</w:t>
      </w:r>
      <w:r w:rsidRPr="00561AE5" w:rsidR="00E667ED">
        <w:rPr>
          <w:u w:val="single"/>
        </w:rPr>
        <w:t>ency on availability of data</w:t>
      </w:r>
      <w:r w:rsidRPr="00561AE5" w:rsidR="004B3F83">
        <w:rPr>
          <w:u w:val="single"/>
        </w:rPr>
        <w:t>,</w:t>
      </w:r>
      <w:r w:rsidRPr="00561AE5" w:rsidR="00E667ED">
        <w:rPr>
          <w:u w:val="single"/>
        </w:rPr>
        <w:t xml:space="preserve"> f</w:t>
      </w:r>
      <w:r w:rsidRPr="00561AE5">
        <w:rPr>
          <w:u w:val="single"/>
        </w:rPr>
        <w:t>requ</w:t>
      </w:r>
      <w:r w:rsidRPr="00561AE5" w:rsidR="00E667ED">
        <w:rPr>
          <w:u w:val="single"/>
        </w:rPr>
        <w:t>ency of collection, clarity of i</w:t>
      </w:r>
      <w:r w:rsidRPr="00561AE5">
        <w:rPr>
          <w:u w:val="single"/>
        </w:rPr>
        <w:t>n</w:t>
      </w:r>
      <w:r w:rsidRPr="00561AE5" w:rsidR="00E667ED">
        <w:rPr>
          <w:u w:val="single"/>
        </w:rPr>
        <w:t>structions and forms, and data e</w:t>
      </w:r>
      <w:r w:rsidRPr="00561AE5">
        <w:rPr>
          <w:u w:val="single"/>
        </w:rPr>
        <w:t>lements.</w:t>
      </w:r>
      <w:r w:rsidRPr="00561AE5">
        <w:t xml:space="preserve"> </w:t>
      </w:r>
    </w:p>
    <w:p w:rsidR="00643252" w:rsidRPr="00561AE5" w:rsidP="009829C3" w14:paraId="1BE4B3B1" w14:textId="77777777"/>
    <w:p w:rsidR="00414797" w:rsidRPr="00561AE5" w14:paraId="521AB2D0" w14:textId="52B42DD3">
      <w:pPr>
        <w:ind w:firstLine="720"/>
      </w:pPr>
      <w:r w:rsidRPr="00561AE5">
        <w:t>On August 13, 2024, FinCEN published in the Federal Register a notice and reques</w:t>
      </w:r>
      <w:r w:rsidRPr="00561AE5" w:rsidR="00846C2C">
        <w:t>t</w:t>
      </w:r>
      <w:r w:rsidRPr="00561AE5">
        <w:t xml:space="preserve"> for comments of its intention to renew, without change, information collection requirements for </w:t>
      </w:r>
      <w:r w:rsidRPr="00561AE5" w:rsidR="00846C2C">
        <w:t>AML programs for casinos.</w:t>
      </w:r>
      <w:r>
        <w:rPr>
          <w:rStyle w:val="FootnoteReference"/>
        </w:rPr>
        <w:footnoteReference w:id="10"/>
      </w:r>
      <w:r w:rsidRPr="00561AE5" w:rsidR="00846C2C">
        <w:t xml:space="preserve"> </w:t>
      </w:r>
      <w:r w:rsidRPr="00561AE5" w:rsidR="00156129">
        <w:t xml:space="preserve">The comment period closed on </w:t>
      </w:r>
      <w:r w:rsidRPr="00561AE5" w:rsidR="002D7EB4">
        <w:t xml:space="preserve">October 15, 2024.  FinCEN received </w:t>
      </w:r>
      <w:r w:rsidR="00392593">
        <w:t>two</w:t>
      </w:r>
      <w:r w:rsidRPr="00561AE5" w:rsidR="002D7EB4">
        <w:t xml:space="preserve"> comments in response to the notice. </w:t>
      </w:r>
      <w:r w:rsidR="00E9253F">
        <w:t xml:space="preserve"> However, neither of  the comments addressed the casino AML program requirements or burden estimates.</w:t>
      </w:r>
    </w:p>
    <w:p w:rsidR="00561AE5" w:rsidRPr="00EE69DC" w:rsidP="00EE69DC" w14:paraId="26CB0021" w14:textId="77777777"/>
    <w:p w:rsidR="00C75D4A" w:rsidRPr="00EE69DC" w:rsidP="00EE69DC" w14:paraId="002708F9" w14:textId="4B9F89E8">
      <w:pPr>
        <w:ind w:firstLine="720"/>
        <w:rPr>
          <w:b/>
          <w:lang w:val="en-GB"/>
        </w:rPr>
      </w:pPr>
      <w:r w:rsidRPr="00EE69DC">
        <w:t>FinCEN appreciates feedback provided by commenters and will take</w:t>
      </w:r>
      <w:r w:rsidRPr="00EE69DC" w:rsidR="00E953A2">
        <w:t xml:space="preserve"> </w:t>
      </w:r>
      <w:r w:rsidRPr="00EE69DC">
        <w:t>recommendations into consideration as part of the future rulemaking.  In addition,</w:t>
      </w:r>
      <w:r w:rsidRPr="00EE69DC">
        <w:rPr>
          <w:rStyle w:val="cf01"/>
          <w:rFonts w:ascii="Times New Roman" w:hAnsi="Times New Roman" w:cs="Times New Roman"/>
          <w:sz w:val="24"/>
          <w:szCs w:val="24"/>
        </w:rPr>
        <w:t xml:space="preserve"> as noted in the 60-day notice to renew this information collection, </w:t>
      </w:r>
      <w:r w:rsidR="00EE69DC">
        <w:rPr>
          <w:rStyle w:val="cf01"/>
          <w:rFonts w:ascii="Times New Roman" w:hAnsi="Times New Roman" w:cs="Times New Roman"/>
          <w:sz w:val="24"/>
          <w:szCs w:val="24"/>
        </w:rPr>
        <w:t>i</w:t>
      </w:r>
      <w:r w:rsidRPr="00EE69DC" w:rsidR="00EE69DC">
        <w:rPr>
          <w:rStyle w:val="cf01"/>
          <w:rFonts w:ascii="Times New Roman" w:hAnsi="Times New Roman" w:cs="Times New Roman"/>
          <w:sz w:val="24"/>
          <w:szCs w:val="24"/>
        </w:rPr>
        <w:t>n connection with a variety of initiatives FinCEN is undertaking to implement the AML Act, FinCEN intends to conduct, in the future, additional assessments of the PRA burden associated with BSA requirements.</w:t>
      </w:r>
      <w:r w:rsidR="00EE69DC">
        <w:rPr>
          <w:b/>
          <w:lang w:val="en-GB"/>
        </w:rPr>
        <w:t xml:space="preserve">  </w:t>
      </w:r>
      <w:r w:rsidRPr="00765134">
        <w:rPr>
          <w:rFonts w:eastAsia="Calibri"/>
        </w:rPr>
        <w:t xml:space="preserve">This supporting statement does not address requirements that may be imposed under section 6101(b) of the AML Act.  Paperwork and respondent burden for those requirements will be addressed in a separate </w:t>
      </w:r>
      <w:r w:rsidRPr="00765134" w:rsidR="00EE69DC">
        <w:rPr>
          <w:rFonts w:eastAsia="Calibri"/>
        </w:rPr>
        <w:t>final rule</w:t>
      </w:r>
      <w:r w:rsidRPr="00765134">
        <w:rPr>
          <w:rFonts w:eastAsia="Calibri"/>
        </w:rPr>
        <w:t xml:space="preserve">.  </w:t>
      </w:r>
    </w:p>
    <w:p w:rsidR="009829C3" w:rsidRPr="00561AE5" w:rsidP="009829C3" w14:paraId="654ABAA4" w14:textId="77777777">
      <w:pPr>
        <w:widowControl w:val="0"/>
        <w:autoSpaceDE w:val="0"/>
        <w:autoSpaceDN w:val="0"/>
        <w:adjustRightInd w:val="0"/>
        <w:ind w:right="220" w:firstLine="720"/>
      </w:pPr>
    </w:p>
    <w:p w:rsidR="00F70456" w:rsidRPr="00561AE5" w:rsidP="009829C3" w14:paraId="7EE700B0" w14:textId="77777777">
      <w:r w:rsidRPr="00561AE5">
        <w:t xml:space="preserve">9. </w:t>
      </w:r>
      <w:r w:rsidRPr="00561AE5">
        <w:rPr>
          <w:u w:val="single"/>
        </w:rPr>
        <w:t>Explanation of decision to provide any payment or gift to respondents.</w:t>
      </w:r>
    </w:p>
    <w:p w:rsidR="009829C3" w:rsidRPr="00561AE5" w:rsidP="009829C3" w14:paraId="7F125B57" w14:textId="77777777">
      <w:pPr>
        <w:ind w:firstLine="720"/>
      </w:pPr>
    </w:p>
    <w:p w:rsidR="00F70456" w:rsidRPr="00561AE5" w:rsidP="009829C3" w14:paraId="7E471F19" w14:textId="77777777">
      <w:pPr>
        <w:ind w:firstLine="720"/>
      </w:pPr>
      <w:r w:rsidRPr="00561AE5">
        <w:t xml:space="preserve">No payments or gifts were made to respondents. </w:t>
      </w:r>
    </w:p>
    <w:p w:rsidR="009829C3" w:rsidRPr="00561AE5" w:rsidP="009829C3" w14:paraId="09810416" w14:textId="77777777">
      <w:pPr>
        <w:ind w:firstLine="720"/>
      </w:pPr>
    </w:p>
    <w:p w:rsidR="009829C3" w:rsidRPr="00561AE5" w:rsidP="009829C3" w14:paraId="02E30A71" w14:textId="6CBE5C2B">
      <w:pPr>
        <w:pStyle w:val="BodyText"/>
        <w:spacing w:before="0"/>
        <w:rPr>
          <w:sz w:val="24"/>
          <w:szCs w:val="24"/>
        </w:rPr>
      </w:pPr>
      <w:r w:rsidRPr="00561AE5">
        <w:rPr>
          <w:sz w:val="24"/>
          <w:szCs w:val="24"/>
        </w:rPr>
        <w:t xml:space="preserve">10. </w:t>
      </w:r>
      <w:r w:rsidRPr="00561AE5">
        <w:rPr>
          <w:sz w:val="24"/>
          <w:szCs w:val="24"/>
          <w:u w:val="single"/>
        </w:rPr>
        <w:t>Assurance of confidentiality of responses.</w:t>
      </w:r>
    </w:p>
    <w:p w:rsidR="0000789D" w:rsidRPr="00561AE5" w:rsidP="00096863" w14:paraId="5B143DC8" w14:textId="71A1FD64">
      <w:pPr>
        <w:widowControl w:val="0"/>
        <w:autoSpaceDE w:val="0"/>
        <w:autoSpaceDN w:val="0"/>
        <w:adjustRightInd w:val="0"/>
        <w:spacing w:before="244" w:line="235" w:lineRule="exact"/>
        <w:ind w:firstLine="720"/>
      </w:pPr>
      <w:r w:rsidRPr="00561AE5">
        <w:t>Information collected under an AML program established pursuant to 31 U.S.C. 5318(h) may be made available to appropriate law enforcement agencies and supervisory agencies.</w:t>
      </w:r>
    </w:p>
    <w:p w:rsidR="009829C3" w:rsidRPr="00561AE5" w:rsidP="009829C3" w14:paraId="32930C5C" w14:textId="77777777">
      <w:pPr>
        <w:widowControl w:val="0"/>
        <w:autoSpaceDE w:val="0"/>
        <w:autoSpaceDN w:val="0"/>
        <w:adjustRightInd w:val="0"/>
        <w:spacing w:line="235" w:lineRule="exact"/>
        <w:ind w:firstLine="720"/>
      </w:pPr>
    </w:p>
    <w:p w:rsidR="009F04CE" w:rsidRPr="00561AE5" w:rsidP="00EE5FA6" w14:paraId="2BB231BE" w14:textId="5037EB7D">
      <w:r w:rsidRPr="00561AE5">
        <w:t xml:space="preserve">11. </w:t>
      </w:r>
      <w:r w:rsidRPr="00561AE5">
        <w:rPr>
          <w:u w:val="single"/>
        </w:rPr>
        <w:t>Justification of sensitive questions.</w:t>
      </w:r>
      <w:r w:rsidRPr="00561AE5">
        <w:t xml:space="preserve"> </w:t>
      </w:r>
    </w:p>
    <w:p w:rsidR="00EC3C67" w:rsidRPr="00561AE5" w:rsidP="00EC3C67" w14:paraId="14FA5CF3" w14:textId="77777777">
      <w:pPr>
        <w:spacing w:before="254"/>
        <w:ind w:firstLine="720"/>
      </w:pPr>
      <w:r w:rsidRPr="00561AE5">
        <w:t>There are no questions of a sensitive nature in the collection of information.  Any personally identifiable information collected under the BSA is strictly controlled as outlined in FinCEN’s Systems of Records Notice</w:t>
      </w:r>
      <w:hyperlink w:history="1"/>
      <w:r w:rsidRPr="00561AE5">
        <w:t>.</w:t>
      </w:r>
      <w:r>
        <w:rPr>
          <w:rStyle w:val="FootnoteReference"/>
        </w:rPr>
        <w:footnoteReference w:id="11"/>
      </w:r>
      <w:r w:rsidRPr="00561AE5">
        <w:t xml:space="preserve">  </w:t>
      </w:r>
    </w:p>
    <w:p w:rsidR="009829C3" w:rsidRPr="00561AE5" w:rsidP="009829C3" w14:paraId="09B7D724" w14:textId="77777777">
      <w:pPr>
        <w:ind w:firstLine="720"/>
      </w:pPr>
    </w:p>
    <w:p w:rsidR="00643252" w:rsidRPr="00561AE5" w:rsidP="009829C3" w14:paraId="6CC532A7" w14:textId="7CFADCA3">
      <w:pPr>
        <w:rPr>
          <w:u w:val="single"/>
        </w:rPr>
      </w:pPr>
      <w:r w:rsidRPr="00561AE5">
        <w:t>12</w:t>
      </w:r>
      <w:r w:rsidRPr="00561AE5" w:rsidR="002B4B55">
        <w:t xml:space="preserve">. </w:t>
      </w:r>
      <w:r w:rsidRPr="00561AE5">
        <w:rPr>
          <w:u w:val="single"/>
        </w:rPr>
        <w:t>Estimated burden  of information collection.</w:t>
      </w:r>
    </w:p>
    <w:p w:rsidR="00AC4543" w:rsidRPr="00561AE5" w:rsidP="009829C3" w14:paraId="643521CF" w14:textId="77777777"/>
    <w:p w:rsidR="00643252" w:rsidRPr="00561AE5" w:rsidP="009829C3" w14:paraId="655EE6D3" w14:textId="77777777">
      <w:r w:rsidRPr="00561AE5">
        <w:rPr>
          <w:u w:val="single"/>
        </w:rPr>
        <w:t>Frequency</w:t>
      </w:r>
      <w:r w:rsidRPr="00561AE5">
        <w:t xml:space="preserve">:  As required. </w:t>
      </w:r>
    </w:p>
    <w:p w:rsidR="00B65C77" w:rsidRPr="00561AE5" w:rsidP="009829C3" w14:paraId="4DCE369A" w14:textId="77777777">
      <w:pPr>
        <w:widowControl w:val="0"/>
        <w:autoSpaceDE w:val="0"/>
        <w:autoSpaceDN w:val="0"/>
        <w:adjustRightInd w:val="0"/>
        <w:spacing w:line="273" w:lineRule="exact"/>
        <w:jc w:val="both"/>
      </w:pPr>
    </w:p>
    <w:p w:rsidR="00643252" w:rsidRPr="00561AE5" w:rsidP="009829C3" w14:paraId="5AD442FB" w14:textId="1B2BB2D9">
      <w:pPr>
        <w:widowControl w:val="0"/>
        <w:autoSpaceDE w:val="0"/>
        <w:autoSpaceDN w:val="0"/>
        <w:adjustRightInd w:val="0"/>
        <w:spacing w:line="273" w:lineRule="exact"/>
        <w:jc w:val="both"/>
      </w:pPr>
      <w:r w:rsidRPr="00561AE5">
        <w:rPr>
          <w:u w:val="single"/>
        </w:rPr>
        <w:t>Est</w:t>
      </w:r>
      <w:r w:rsidRPr="00561AE5" w:rsidR="007F6DDB">
        <w:rPr>
          <w:u w:val="single"/>
        </w:rPr>
        <w:t>imated Number of Respondents</w:t>
      </w:r>
      <w:r w:rsidRPr="00561AE5" w:rsidR="007F6DDB">
        <w:t xml:space="preserve">: </w:t>
      </w:r>
      <w:r w:rsidRPr="00561AE5" w:rsidR="006C2095">
        <w:t xml:space="preserve">1,277 casinos. </w:t>
      </w:r>
    </w:p>
    <w:p w:rsidR="00CD589B" w:rsidRPr="00561AE5" w:rsidP="009829C3" w14:paraId="7172D62F" w14:textId="77777777">
      <w:pPr>
        <w:widowControl w:val="0"/>
        <w:autoSpaceDE w:val="0"/>
        <w:autoSpaceDN w:val="0"/>
        <w:adjustRightInd w:val="0"/>
        <w:spacing w:line="273" w:lineRule="exact"/>
        <w:jc w:val="both"/>
      </w:pPr>
    </w:p>
    <w:p w:rsidR="00DB1EA9" w:rsidP="00CD589B" w14:paraId="4F890B1C" w14:textId="77777777">
      <w:pPr>
        <w:rPr>
          <w:b/>
          <w:lang w:val="en-GB"/>
        </w:rPr>
      </w:pPr>
    </w:p>
    <w:p w:rsidR="00DB1EA9" w:rsidP="00CD589B" w14:paraId="4C54FF8D" w14:textId="77777777">
      <w:pPr>
        <w:rPr>
          <w:b/>
          <w:lang w:val="en-GB"/>
        </w:rPr>
      </w:pPr>
    </w:p>
    <w:p w:rsidR="00CD589B" w:rsidRPr="00561AE5" w:rsidP="00CD589B" w14:paraId="498ADCAC" w14:textId="577C083D">
      <w:pPr>
        <w:rPr>
          <w:b/>
          <w:lang w:val="en-GB"/>
        </w:rPr>
      </w:pPr>
      <w:r w:rsidRPr="00561AE5">
        <w:rPr>
          <w:b/>
          <w:lang w:val="en-GB"/>
        </w:rPr>
        <w:t>Table 1. Distribution of casinos covered by this notice, by type of casino</w:t>
      </w:r>
    </w:p>
    <w:tbl>
      <w:tblPr>
        <w:tblStyle w:val="TableGrid"/>
        <w:tblW w:w="0" w:type="auto"/>
        <w:tblLook w:val="04A0"/>
      </w:tblPr>
      <w:tblGrid>
        <w:gridCol w:w="3308"/>
        <w:gridCol w:w="4337"/>
      </w:tblGrid>
      <w:tr w14:paraId="7EE128A1" w14:textId="77777777" w:rsidTr="00251765">
        <w:tblPrEx>
          <w:tblW w:w="0" w:type="auto"/>
          <w:tblLook w:val="04A0"/>
        </w:tblPrEx>
        <w:trPr>
          <w:tblHeader/>
        </w:trPr>
        <w:tc>
          <w:tcPr>
            <w:tcW w:w="3308" w:type="dxa"/>
            <w:vAlign w:val="center"/>
          </w:tcPr>
          <w:p w:rsidR="00CD589B" w:rsidRPr="00561AE5" w:rsidP="00251765" w14:paraId="6F408461" w14:textId="77777777">
            <w:pPr>
              <w:rPr>
                <w:rFonts w:ascii="Times New Roman" w:hAnsi="Times New Roman" w:cs="Times New Roman"/>
                <w:b/>
                <w:lang w:val="en-GB"/>
              </w:rPr>
            </w:pPr>
            <w:r w:rsidRPr="00561AE5">
              <w:rPr>
                <w:rFonts w:ascii="Times New Roman" w:hAnsi="Times New Roman" w:cs="Times New Roman"/>
                <w:b/>
                <w:lang w:val="en-GB"/>
              </w:rPr>
              <w:t>Type of casino</w:t>
            </w:r>
          </w:p>
        </w:tc>
        <w:tc>
          <w:tcPr>
            <w:tcW w:w="4337" w:type="dxa"/>
            <w:vAlign w:val="center"/>
          </w:tcPr>
          <w:p w:rsidR="00CD589B" w:rsidRPr="00561AE5" w:rsidP="00251765" w14:paraId="19236B89" w14:textId="77777777">
            <w:pPr>
              <w:jc w:val="center"/>
              <w:rPr>
                <w:rFonts w:ascii="Times New Roman" w:hAnsi="Times New Roman" w:cs="Times New Roman"/>
                <w:b/>
                <w:lang w:val="en-GB"/>
              </w:rPr>
            </w:pPr>
            <w:r w:rsidRPr="00561AE5">
              <w:rPr>
                <w:rFonts w:ascii="Times New Roman" w:hAnsi="Times New Roman" w:cs="Times New Roman"/>
                <w:b/>
                <w:lang w:val="en-GB"/>
              </w:rPr>
              <w:t>Number of casinos</w:t>
            </w:r>
          </w:p>
        </w:tc>
      </w:tr>
      <w:tr w14:paraId="3C42DD81" w14:textId="77777777" w:rsidTr="00251765">
        <w:tblPrEx>
          <w:tblW w:w="0" w:type="auto"/>
          <w:tblLook w:val="04A0"/>
        </w:tblPrEx>
        <w:tc>
          <w:tcPr>
            <w:tcW w:w="3308" w:type="dxa"/>
            <w:vAlign w:val="center"/>
          </w:tcPr>
          <w:p w:rsidR="00CD589B" w:rsidRPr="00561AE5" w:rsidP="00251765" w14:paraId="1EE09BBB" w14:textId="77777777">
            <w:pPr>
              <w:rPr>
                <w:rFonts w:ascii="Times New Roman" w:hAnsi="Times New Roman" w:cs="Times New Roman"/>
                <w:lang w:val="en-GB"/>
              </w:rPr>
            </w:pPr>
            <w:r w:rsidRPr="00561AE5">
              <w:rPr>
                <w:rFonts w:ascii="Times New Roman" w:hAnsi="Times New Roman" w:cs="Times New Roman"/>
                <w:lang w:val="en-GB"/>
              </w:rPr>
              <w:t>Casino</w:t>
            </w:r>
          </w:p>
        </w:tc>
        <w:tc>
          <w:tcPr>
            <w:tcW w:w="4337" w:type="dxa"/>
            <w:vAlign w:val="center"/>
          </w:tcPr>
          <w:p w:rsidR="00CD589B" w:rsidRPr="00561AE5" w:rsidP="00251765" w14:paraId="29C3167F" w14:textId="77777777">
            <w:pPr>
              <w:jc w:val="center"/>
              <w:rPr>
                <w:rFonts w:ascii="Times New Roman" w:hAnsi="Times New Roman" w:cs="Times New Roman"/>
                <w:lang w:val="en-GB"/>
              </w:rPr>
            </w:pPr>
            <w:r w:rsidRPr="00561AE5">
              <w:rPr>
                <w:rFonts w:ascii="Times New Roman" w:hAnsi="Times New Roman" w:cs="Times New Roman"/>
                <w:lang w:val="en-GB"/>
              </w:rPr>
              <w:t>486</w:t>
            </w:r>
          </w:p>
        </w:tc>
      </w:tr>
      <w:tr w14:paraId="28AE94CB" w14:textId="77777777" w:rsidTr="00251765">
        <w:tblPrEx>
          <w:tblW w:w="0" w:type="auto"/>
          <w:tblLook w:val="04A0"/>
        </w:tblPrEx>
        <w:tc>
          <w:tcPr>
            <w:tcW w:w="3308" w:type="dxa"/>
            <w:vAlign w:val="center"/>
          </w:tcPr>
          <w:p w:rsidR="00CD589B" w:rsidRPr="00561AE5" w:rsidP="00251765" w14:paraId="6C386FC2" w14:textId="77777777">
            <w:pPr>
              <w:rPr>
                <w:rFonts w:ascii="Times New Roman" w:hAnsi="Times New Roman" w:cs="Times New Roman"/>
                <w:lang w:val="en-GB"/>
              </w:rPr>
            </w:pPr>
            <w:r w:rsidRPr="00561AE5">
              <w:rPr>
                <w:rFonts w:ascii="Times New Roman" w:hAnsi="Times New Roman" w:cs="Times New Roman"/>
                <w:lang w:val="en-GB"/>
              </w:rPr>
              <w:t>Tribal casino</w:t>
            </w:r>
          </w:p>
        </w:tc>
        <w:tc>
          <w:tcPr>
            <w:tcW w:w="4337" w:type="dxa"/>
            <w:vAlign w:val="center"/>
          </w:tcPr>
          <w:p w:rsidR="00CD589B" w:rsidRPr="00561AE5" w:rsidP="00251765" w14:paraId="4C2453C5" w14:textId="77777777">
            <w:pPr>
              <w:jc w:val="center"/>
              <w:rPr>
                <w:rFonts w:ascii="Times New Roman" w:hAnsi="Times New Roman" w:cs="Times New Roman"/>
                <w:lang w:val="en-GB"/>
              </w:rPr>
            </w:pPr>
            <w:r w:rsidRPr="00561AE5">
              <w:rPr>
                <w:rFonts w:ascii="Times New Roman" w:hAnsi="Times New Roman" w:cs="Times New Roman"/>
                <w:lang w:val="en-GB"/>
              </w:rPr>
              <w:t>525</w:t>
            </w:r>
          </w:p>
        </w:tc>
      </w:tr>
      <w:tr w14:paraId="1B8B4291" w14:textId="77777777" w:rsidTr="00251765">
        <w:tblPrEx>
          <w:tblW w:w="0" w:type="auto"/>
          <w:tblLook w:val="04A0"/>
        </w:tblPrEx>
        <w:tc>
          <w:tcPr>
            <w:tcW w:w="3308" w:type="dxa"/>
            <w:tcBorders>
              <w:bottom w:val="single" w:sz="12" w:space="0" w:color="auto"/>
            </w:tcBorders>
            <w:vAlign w:val="center"/>
          </w:tcPr>
          <w:p w:rsidR="00CD589B" w:rsidRPr="00561AE5" w:rsidP="00251765" w14:paraId="4C8EFC9F" w14:textId="77777777">
            <w:pPr>
              <w:rPr>
                <w:rFonts w:ascii="Times New Roman" w:hAnsi="Times New Roman" w:cs="Times New Roman"/>
                <w:lang w:val="en-GB"/>
              </w:rPr>
            </w:pPr>
            <w:r w:rsidRPr="00561AE5">
              <w:rPr>
                <w:rFonts w:ascii="Times New Roman" w:hAnsi="Times New Roman" w:cs="Times New Roman"/>
                <w:lang w:val="en-GB"/>
              </w:rPr>
              <w:t>Card club</w:t>
            </w:r>
          </w:p>
        </w:tc>
        <w:tc>
          <w:tcPr>
            <w:tcW w:w="4337" w:type="dxa"/>
            <w:tcBorders>
              <w:bottom w:val="single" w:sz="12" w:space="0" w:color="auto"/>
            </w:tcBorders>
            <w:vAlign w:val="center"/>
          </w:tcPr>
          <w:p w:rsidR="00CD589B" w:rsidRPr="00561AE5" w:rsidP="00251765" w14:paraId="247E478A" w14:textId="77777777">
            <w:pPr>
              <w:jc w:val="center"/>
              <w:rPr>
                <w:rFonts w:ascii="Times New Roman" w:hAnsi="Times New Roman" w:cs="Times New Roman"/>
                <w:lang w:val="en-GB"/>
              </w:rPr>
            </w:pPr>
            <w:r w:rsidRPr="00561AE5">
              <w:rPr>
                <w:rFonts w:ascii="Times New Roman" w:hAnsi="Times New Roman" w:cs="Times New Roman"/>
                <w:lang w:val="en-GB"/>
              </w:rPr>
              <w:t>266</w:t>
            </w:r>
          </w:p>
        </w:tc>
      </w:tr>
      <w:tr w14:paraId="75AAC60E" w14:textId="77777777" w:rsidTr="00251765">
        <w:tblPrEx>
          <w:tblW w:w="0" w:type="auto"/>
          <w:tblLook w:val="04A0"/>
        </w:tblPrEx>
        <w:trPr>
          <w:trHeight w:val="440"/>
        </w:trPr>
        <w:tc>
          <w:tcPr>
            <w:tcW w:w="3308" w:type="dxa"/>
            <w:tcBorders>
              <w:top w:val="single" w:sz="12" w:space="0" w:color="auto"/>
              <w:left w:val="single" w:sz="12" w:space="0" w:color="auto"/>
              <w:bottom w:val="single" w:sz="4" w:space="0" w:color="auto"/>
              <w:right w:val="single" w:sz="12" w:space="0" w:color="auto"/>
            </w:tcBorders>
            <w:vAlign w:val="center"/>
          </w:tcPr>
          <w:p w:rsidR="00CD589B" w:rsidRPr="00561AE5" w:rsidP="00251765" w14:paraId="48856873" w14:textId="77777777">
            <w:pPr>
              <w:rPr>
                <w:rFonts w:ascii="Times New Roman" w:hAnsi="Times New Roman" w:cs="Times New Roman"/>
                <w:b/>
                <w:lang w:val="en-GB"/>
              </w:rPr>
            </w:pPr>
            <w:r w:rsidRPr="00561AE5">
              <w:rPr>
                <w:rFonts w:ascii="Times New Roman" w:hAnsi="Times New Roman" w:cs="Times New Roman"/>
                <w:b/>
                <w:lang w:val="en-GB"/>
              </w:rPr>
              <w:t>Total number of casinos</w:t>
            </w:r>
          </w:p>
        </w:tc>
        <w:tc>
          <w:tcPr>
            <w:tcW w:w="4337" w:type="dxa"/>
            <w:tcBorders>
              <w:top w:val="single" w:sz="12" w:space="0" w:color="auto"/>
              <w:left w:val="single" w:sz="12" w:space="0" w:color="auto"/>
              <w:bottom w:val="single" w:sz="4" w:space="0" w:color="auto"/>
              <w:right w:val="single" w:sz="12" w:space="0" w:color="auto"/>
            </w:tcBorders>
            <w:vAlign w:val="center"/>
          </w:tcPr>
          <w:p w:rsidR="00CD589B" w:rsidRPr="00561AE5" w:rsidP="00251765" w14:paraId="4104F153" w14:textId="77777777">
            <w:pPr>
              <w:jc w:val="center"/>
              <w:rPr>
                <w:rFonts w:ascii="Times New Roman" w:hAnsi="Times New Roman" w:cs="Times New Roman"/>
                <w:b/>
                <w:lang w:val="en-GB"/>
              </w:rPr>
            </w:pPr>
            <w:r w:rsidRPr="00561AE5">
              <w:rPr>
                <w:rFonts w:ascii="Times New Roman" w:hAnsi="Times New Roman" w:cs="Times New Roman"/>
                <w:b/>
                <w:lang w:val="en-GB"/>
              </w:rPr>
              <w:t>1,277</w:t>
            </w:r>
            <w:r w:rsidRPr="00561AE5">
              <w:rPr>
                <w:rFonts w:ascii="Times New Roman" w:hAnsi="Times New Roman" w:cs="Times New Roman"/>
                <w:b/>
                <w:vertAlign w:val="superscript"/>
                <w:lang w:val="en-GB"/>
              </w:rPr>
              <w:t>a</w:t>
            </w:r>
          </w:p>
        </w:tc>
      </w:tr>
      <w:tr w14:paraId="4C7510BC" w14:textId="77777777" w:rsidTr="00251765">
        <w:tblPrEx>
          <w:tblW w:w="0" w:type="auto"/>
          <w:tblLook w:val="04A0"/>
        </w:tblPrEx>
        <w:trPr>
          <w:trHeight w:val="440"/>
        </w:trPr>
        <w:tc>
          <w:tcPr>
            <w:tcW w:w="7645" w:type="dxa"/>
            <w:gridSpan w:val="2"/>
            <w:tcBorders>
              <w:top w:val="single" w:sz="4" w:space="0" w:color="auto"/>
              <w:left w:val="nil"/>
              <w:bottom w:val="nil"/>
              <w:right w:val="nil"/>
            </w:tcBorders>
            <w:vAlign w:val="center"/>
          </w:tcPr>
          <w:p w:rsidR="00CD589B" w:rsidRPr="00893B14" w:rsidP="00251765" w14:paraId="337CFD2D" w14:textId="77777777">
            <w:pPr>
              <w:pStyle w:val="FootnoteText"/>
              <w:rPr>
                <w:rFonts w:ascii="Times New Roman" w:hAnsi="Times New Roman" w:cs="Times New Roman"/>
                <w:sz w:val="22"/>
                <w:szCs w:val="22"/>
                <w:lang w:val="en-US"/>
              </w:rPr>
            </w:pPr>
            <w:r w:rsidRPr="00893B14">
              <w:rPr>
                <w:rFonts w:ascii="Times New Roman" w:hAnsi="Times New Roman" w:cs="Times New Roman"/>
                <w:sz w:val="22"/>
                <w:szCs w:val="22"/>
                <w:vertAlign w:val="superscript"/>
                <w:lang w:val="en-US"/>
              </w:rPr>
              <w:t>a</w:t>
            </w:r>
            <w:r w:rsidRPr="00893B14">
              <w:rPr>
                <w:rFonts w:ascii="Times New Roman" w:hAnsi="Times New Roman" w:cs="Times New Roman"/>
                <w:sz w:val="22"/>
                <w:szCs w:val="22"/>
                <w:lang w:val="en-US"/>
              </w:rPr>
              <w:t xml:space="preserve"> Estimate based on the American Gaming Association (AGA) “State of Play,” reporting 486 commercial casinos and 525 Tribal casinos as of December 31, 2023 (available at https://www.americangaming.org/state-of-play/, accessed February 28, 2024).  As of December 31, 2022, there were also 266 card rooms as published in the AGA’s “State of the States” annual report, p. 16 (available at https://www.americangaming.org/wpcontent/uploads/2023/05/AGA-State-of-the-States-2023.pdf, accessed February 28, 2024).</w:t>
            </w:r>
          </w:p>
          <w:p w:rsidR="00CD589B" w:rsidRPr="00893B14" w:rsidP="00251765" w14:paraId="5D096503" w14:textId="77777777">
            <w:pPr>
              <w:rPr>
                <w:rFonts w:ascii="Times New Roman" w:hAnsi="Times New Roman" w:cs="Times New Roman"/>
                <w:bCs/>
                <w:sz w:val="22"/>
                <w:szCs w:val="22"/>
                <w:lang w:val="en-GB"/>
              </w:rPr>
            </w:pPr>
          </w:p>
        </w:tc>
      </w:tr>
    </w:tbl>
    <w:p w:rsidR="003A525C" w:rsidRPr="00561AE5" w:rsidP="009829C3" w14:paraId="700D95B8" w14:textId="75C83922">
      <w:pPr>
        <w:widowControl w:val="0"/>
        <w:autoSpaceDE w:val="0"/>
        <w:autoSpaceDN w:val="0"/>
        <w:adjustRightInd w:val="0"/>
        <w:spacing w:line="268" w:lineRule="exact"/>
        <w:jc w:val="both"/>
      </w:pPr>
      <w:r w:rsidRPr="00561AE5">
        <w:rPr>
          <w:u w:val="single"/>
        </w:rPr>
        <w:t>Estimated Tota</w:t>
      </w:r>
      <w:r w:rsidRPr="00561AE5" w:rsidR="004F2149">
        <w:rPr>
          <w:u w:val="single"/>
        </w:rPr>
        <w:t>l Recordkeeping</w:t>
      </w:r>
      <w:r w:rsidRPr="00561AE5">
        <w:rPr>
          <w:u w:val="single"/>
        </w:rPr>
        <w:t xml:space="preserve"> Burden Hours</w:t>
      </w:r>
      <w:r w:rsidRPr="00561AE5">
        <w:t xml:space="preserve">: </w:t>
      </w:r>
      <w:r w:rsidRPr="00561AE5" w:rsidR="00CD589B">
        <w:t xml:space="preserve"> 127,912</w:t>
      </w:r>
      <w:r w:rsidRPr="00561AE5">
        <w:t>.</w:t>
      </w:r>
    </w:p>
    <w:p w:rsidR="00561AE5" w:rsidRPr="00561AE5" w:rsidP="009829C3" w14:paraId="388AE8F5" w14:textId="77777777">
      <w:pPr>
        <w:widowControl w:val="0"/>
        <w:autoSpaceDE w:val="0"/>
        <w:autoSpaceDN w:val="0"/>
        <w:adjustRightInd w:val="0"/>
        <w:spacing w:line="268" w:lineRule="exact"/>
        <w:jc w:val="both"/>
      </w:pPr>
    </w:p>
    <w:p w:rsidR="00D9164D" w:rsidRPr="00561AE5" w:rsidP="00D9164D" w14:paraId="39784448" w14:textId="16022B73">
      <w:pPr>
        <w:spacing w:line="480" w:lineRule="auto"/>
        <w:ind w:firstLine="720"/>
        <w:rPr>
          <w:lang w:val="en-GB"/>
        </w:rPr>
      </w:pPr>
      <w:r w:rsidRPr="00561AE5">
        <w:rPr>
          <w:lang w:val="en-GB"/>
        </w:rPr>
        <w:t>FinCEN’s estimate of the annual PRA burden is 127,912 hours, as detailed in table 2 below.</w:t>
      </w:r>
    </w:p>
    <w:p w:rsidR="00D9164D" w:rsidRPr="00561AE5" w:rsidP="00D9164D" w14:paraId="55E05346" w14:textId="77777777">
      <w:pPr>
        <w:rPr>
          <w:b/>
        </w:rPr>
      </w:pPr>
      <w:r w:rsidRPr="00561AE5">
        <w:rPr>
          <w:b/>
        </w:rPr>
        <w:t>Table 2. Distribution of the estimated total annual burden hours per requirement</w:t>
      </w:r>
    </w:p>
    <w:tbl>
      <w:tblPr>
        <w:tblStyle w:val="TableGrid"/>
        <w:tblW w:w="8559" w:type="dxa"/>
        <w:tblLook w:val="04A0"/>
      </w:tblPr>
      <w:tblGrid>
        <w:gridCol w:w="2316"/>
        <w:gridCol w:w="1868"/>
        <w:gridCol w:w="1056"/>
        <w:gridCol w:w="2035"/>
        <w:gridCol w:w="1284"/>
      </w:tblGrid>
      <w:tr w14:paraId="779A866A" w14:textId="77777777" w:rsidTr="00251765">
        <w:tblPrEx>
          <w:tblW w:w="8559" w:type="dxa"/>
          <w:tblLook w:val="04A0"/>
        </w:tblPrEx>
        <w:trPr>
          <w:tblHeader/>
        </w:trPr>
        <w:tc>
          <w:tcPr>
            <w:tcW w:w="2171" w:type="dxa"/>
            <w:vAlign w:val="center"/>
          </w:tcPr>
          <w:p w:rsidR="00D9164D" w:rsidRPr="00561AE5" w:rsidP="00251765" w14:paraId="19E78B75" w14:textId="77777777">
            <w:pPr>
              <w:jc w:val="center"/>
              <w:rPr>
                <w:rFonts w:ascii="Times New Roman" w:hAnsi="Times New Roman" w:cs="Times New Roman"/>
                <w:b/>
                <w:lang w:val="en-US"/>
              </w:rPr>
            </w:pPr>
            <w:r w:rsidRPr="00561AE5">
              <w:rPr>
                <w:rFonts w:ascii="Times New Roman" w:hAnsi="Times New Roman" w:cs="Times New Roman"/>
                <w:b/>
                <w:lang w:val="en-US"/>
              </w:rPr>
              <w:t>Required activities</w:t>
            </w:r>
          </w:p>
        </w:tc>
        <w:tc>
          <w:tcPr>
            <w:tcW w:w="1944" w:type="dxa"/>
            <w:vAlign w:val="center"/>
          </w:tcPr>
          <w:p w:rsidR="00D9164D" w:rsidRPr="00561AE5" w:rsidP="00251765" w14:paraId="62DDD7FA" w14:textId="77777777">
            <w:pPr>
              <w:jc w:val="center"/>
              <w:rPr>
                <w:rFonts w:ascii="Times New Roman" w:hAnsi="Times New Roman" w:cs="Times New Roman"/>
                <w:b/>
                <w:lang w:val="en-US"/>
              </w:rPr>
            </w:pPr>
            <w:r w:rsidRPr="00561AE5">
              <w:rPr>
                <w:rFonts w:ascii="Times New Roman" w:hAnsi="Times New Roman" w:cs="Times New Roman"/>
                <w:b/>
                <w:lang w:val="en-US"/>
              </w:rPr>
              <w:t>Instances per year</w:t>
            </w:r>
          </w:p>
        </w:tc>
        <w:tc>
          <w:tcPr>
            <w:tcW w:w="986" w:type="dxa"/>
            <w:vAlign w:val="center"/>
          </w:tcPr>
          <w:p w:rsidR="00D9164D" w:rsidRPr="00561AE5" w:rsidP="00251765" w14:paraId="73B36ECE" w14:textId="77777777">
            <w:pPr>
              <w:jc w:val="center"/>
              <w:rPr>
                <w:rFonts w:ascii="Times New Roman" w:hAnsi="Times New Roman" w:cs="Times New Roman"/>
                <w:b/>
                <w:lang w:val="en-US"/>
              </w:rPr>
            </w:pPr>
            <w:r w:rsidRPr="00561AE5">
              <w:rPr>
                <w:rFonts w:ascii="Times New Roman" w:hAnsi="Times New Roman" w:cs="Times New Roman"/>
                <w:b/>
                <w:lang w:val="en-US"/>
              </w:rPr>
              <w:t>Time per instance</w:t>
            </w:r>
          </w:p>
        </w:tc>
        <w:tc>
          <w:tcPr>
            <w:tcW w:w="2142" w:type="dxa"/>
            <w:vAlign w:val="center"/>
          </w:tcPr>
          <w:p w:rsidR="00D9164D" w:rsidRPr="00561AE5" w:rsidP="00251765" w14:paraId="45AEBEA2" w14:textId="77777777">
            <w:pPr>
              <w:jc w:val="center"/>
              <w:rPr>
                <w:rFonts w:ascii="Times New Roman" w:hAnsi="Times New Roman" w:cs="Times New Roman"/>
                <w:b/>
                <w:lang w:val="en-US"/>
              </w:rPr>
            </w:pPr>
            <w:r w:rsidRPr="00561AE5">
              <w:rPr>
                <w:rFonts w:ascii="Times New Roman" w:hAnsi="Times New Roman" w:cs="Times New Roman"/>
                <w:b/>
                <w:lang w:val="en-US"/>
              </w:rPr>
              <w:t>Number of casinos</w:t>
            </w:r>
          </w:p>
        </w:tc>
        <w:tc>
          <w:tcPr>
            <w:tcW w:w="1316" w:type="dxa"/>
            <w:vAlign w:val="center"/>
          </w:tcPr>
          <w:p w:rsidR="00D9164D" w:rsidRPr="00561AE5" w:rsidP="00251765" w14:paraId="5BD438F9" w14:textId="77777777">
            <w:pPr>
              <w:jc w:val="center"/>
              <w:rPr>
                <w:rFonts w:ascii="Times New Roman" w:hAnsi="Times New Roman" w:cs="Times New Roman"/>
                <w:b/>
                <w:lang w:val="en-US"/>
              </w:rPr>
            </w:pPr>
            <w:r w:rsidRPr="00561AE5">
              <w:rPr>
                <w:rFonts w:ascii="Times New Roman" w:hAnsi="Times New Roman" w:cs="Times New Roman"/>
                <w:b/>
                <w:lang w:val="en-US"/>
              </w:rPr>
              <w:t>Total hourly burden</w:t>
            </w:r>
          </w:p>
        </w:tc>
      </w:tr>
      <w:tr w14:paraId="20A5F1BD" w14:textId="77777777" w:rsidTr="00251765">
        <w:tblPrEx>
          <w:tblW w:w="8559" w:type="dxa"/>
          <w:tblLook w:val="04A0"/>
        </w:tblPrEx>
        <w:tc>
          <w:tcPr>
            <w:tcW w:w="2171" w:type="dxa"/>
            <w:vAlign w:val="center"/>
          </w:tcPr>
          <w:p w:rsidR="00D9164D" w:rsidRPr="00561AE5" w:rsidP="00D9164D" w14:paraId="7E23882A" w14:textId="77777777">
            <w:pPr>
              <w:pStyle w:val="ListParagraph"/>
              <w:numPr>
                <w:ilvl w:val="0"/>
                <w:numId w:val="4"/>
              </w:numPr>
              <w:rPr>
                <w:rFonts w:ascii="Times New Roman" w:hAnsi="Times New Roman" w:cs="Times New Roman"/>
                <w:lang w:val="en-US"/>
              </w:rPr>
            </w:pPr>
            <w:r w:rsidRPr="00561AE5">
              <w:rPr>
                <w:rFonts w:ascii="Times New Roman" w:hAnsi="Times New Roman" w:cs="Times New Roman"/>
                <w:lang w:val="en-US"/>
              </w:rPr>
              <w:t>Maintaining and updating the written AML program</w:t>
            </w:r>
          </w:p>
        </w:tc>
        <w:tc>
          <w:tcPr>
            <w:tcW w:w="1944" w:type="dxa"/>
            <w:vAlign w:val="center"/>
          </w:tcPr>
          <w:p w:rsidR="00D9164D" w:rsidRPr="00561AE5" w:rsidP="00251765" w14:paraId="342BB69C" w14:textId="77777777">
            <w:pPr>
              <w:jc w:val="center"/>
              <w:rPr>
                <w:rFonts w:ascii="Times New Roman" w:hAnsi="Times New Roman" w:cs="Times New Roman"/>
                <w:lang w:val="en-US"/>
              </w:rPr>
            </w:pPr>
            <w:r w:rsidRPr="00561AE5">
              <w:rPr>
                <w:rFonts w:ascii="Times New Roman" w:hAnsi="Times New Roman" w:cs="Times New Roman"/>
                <w:lang w:val="en-US"/>
              </w:rPr>
              <w:t>1 per casino</w:t>
            </w:r>
          </w:p>
        </w:tc>
        <w:tc>
          <w:tcPr>
            <w:tcW w:w="986" w:type="dxa"/>
            <w:vAlign w:val="center"/>
          </w:tcPr>
          <w:p w:rsidR="00D9164D" w:rsidRPr="00561AE5" w:rsidP="00251765" w14:paraId="0C094230" w14:textId="77777777">
            <w:pPr>
              <w:jc w:val="center"/>
              <w:rPr>
                <w:rFonts w:ascii="Times New Roman" w:hAnsi="Times New Roman" w:cs="Times New Roman"/>
                <w:lang w:val="en-US"/>
              </w:rPr>
            </w:pPr>
            <w:r w:rsidRPr="00561AE5">
              <w:rPr>
                <w:rFonts w:ascii="Times New Roman" w:hAnsi="Times New Roman" w:cs="Times New Roman"/>
                <w:lang w:val="en-US"/>
              </w:rPr>
              <w:t>1 hour</w:t>
            </w:r>
          </w:p>
        </w:tc>
        <w:tc>
          <w:tcPr>
            <w:tcW w:w="2142" w:type="dxa"/>
            <w:vAlign w:val="center"/>
          </w:tcPr>
          <w:p w:rsidR="00D9164D" w:rsidRPr="00561AE5" w:rsidP="00251765" w14:paraId="5A3CD1CD" w14:textId="77777777">
            <w:pPr>
              <w:jc w:val="center"/>
              <w:rPr>
                <w:rFonts w:ascii="Times New Roman" w:hAnsi="Times New Roman" w:cs="Times New Roman"/>
                <w:lang w:val="en-US"/>
              </w:rPr>
            </w:pPr>
            <w:r w:rsidRPr="00561AE5">
              <w:rPr>
                <w:rFonts w:ascii="Times New Roman" w:hAnsi="Times New Roman" w:cs="Times New Roman"/>
                <w:lang w:val="en-US"/>
              </w:rPr>
              <w:t>1,277</w:t>
            </w:r>
          </w:p>
        </w:tc>
        <w:tc>
          <w:tcPr>
            <w:tcW w:w="1316" w:type="dxa"/>
            <w:vAlign w:val="center"/>
          </w:tcPr>
          <w:p w:rsidR="00D9164D" w:rsidRPr="00561AE5" w:rsidP="00251765" w14:paraId="6A497F4F" w14:textId="77777777">
            <w:pPr>
              <w:jc w:val="center"/>
              <w:rPr>
                <w:rFonts w:ascii="Times New Roman" w:hAnsi="Times New Roman" w:cs="Times New Roman"/>
                <w:lang w:val="en-US"/>
              </w:rPr>
            </w:pPr>
            <w:r w:rsidRPr="00561AE5">
              <w:rPr>
                <w:rFonts w:ascii="Times New Roman" w:hAnsi="Times New Roman" w:cs="Times New Roman"/>
                <w:lang w:val="en-US"/>
              </w:rPr>
              <w:t>1,277</w:t>
            </w:r>
          </w:p>
        </w:tc>
      </w:tr>
      <w:tr w14:paraId="3C7F55BD" w14:textId="77777777" w:rsidTr="00251765">
        <w:tblPrEx>
          <w:tblW w:w="8559" w:type="dxa"/>
          <w:tblLook w:val="04A0"/>
        </w:tblPrEx>
        <w:tc>
          <w:tcPr>
            <w:tcW w:w="2171" w:type="dxa"/>
            <w:vAlign w:val="center"/>
          </w:tcPr>
          <w:p w:rsidR="00D9164D" w:rsidRPr="00561AE5" w:rsidP="00D9164D" w14:paraId="193792B0" w14:textId="77777777">
            <w:pPr>
              <w:pStyle w:val="ListParagraph"/>
              <w:numPr>
                <w:ilvl w:val="0"/>
                <w:numId w:val="4"/>
              </w:numPr>
              <w:rPr>
                <w:rFonts w:ascii="Times New Roman" w:hAnsi="Times New Roman" w:cs="Times New Roman"/>
                <w:lang w:val="en-US"/>
              </w:rPr>
            </w:pPr>
            <w:r w:rsidRPr="00561AE5">
              <w:rPr>
                <w:rFonts w:ascii="Times New Roman" w:hAnsi="Times New Roman" w:cs="Times New Roman"/>
                <w:lang w:val="en-US"/>
              </w:rPr>
              <w:t xml:space="preserve">Storing the written AML program </w:t>
            </w:r>
          </w:p>
        </w:tc>
        <w:tc>
          <w:tcPr>
            <w:tcW w:w="1944" w:type="dxa"/>
            <w:vAlign w:val="center"/>
          </w:tcPr>
          <w:p w:rsidR="00D9164D" w:rsidRPr="00561AE5" w:rsidP="00251765" w14:paraId="0403382B" w14:textId="77777777">
            <w:pPr>
              <w:jc w:val="center"/>
              <w:rPr>
                <w:rFonts w:ascii="Times New Roman" w:hAnsi="Times New Roman" w:cs="Times New Roman"/>
                <w:lang w:val="en-US"/>
              </w:rPr>
            </w:pPr>
            <w:r w:rsidRPr="00561AE5">
              <w:rPr>
                <w:rFonts w:ascii="Times New Roman" w:hAnsi="Times New Roman" w:cs="Times New Roman"/>
                <w:lang w:val="en-US"/>
              </w:rPr>
              <w:t>1 per casino</w:t>
            </w:r>
          </w:p>
        </w:tc>
        <w:tc>
          <w:tcPr>
            <w:tcW w:w="986" w:type="dxa"/>
            <w:vAlign w:val="center"/>
          </w:tcPr>
          <w:p w:rsidR="00D9164D" w:rsidRPr="00561AE5" w:rsidP="00251765" w14:paraId="0A8E6F04" w14:textId="77777777">
            <w:pPr>
              <w:jc w:val="center"/>
              <w:rPr>
                <w:rFonts w:ascii="Times New Roman" w:hAnsi="Times New Roman" w:cs="Times New Roman"/>
                <w:lang w:val="en-US"/>
              </w:rPr>
            </w:pPr>
            <w:r w:rsidRPr="00561AE5">
              <w:rPr>
                <w:rFonts w:ascii="Times New Roman" w:hAnsi="Times New Roman" w:cs="Times New Roman"/>
                <w:lang w:val="en-US"/>
              </w:rPr>
              <w:t>5 minutes</w:t>
            </w:r>
          </w:p>
        </w:tc>
        <w:tc>
          <w:tcPr>
            <w:tcW w:w="2142" w:type="dxa"/>
            <w:vAlign w:val="center"/>
          </w:tcPr>
          <w:p w:rsidR="00D9164D" w:rsidRPr="00561AE5" w:rsidP="00251765" w14:paraId="15459212" w14:textId="77777777">
            <w:pPr>
              <w:jc w:val="center"/>
              <w:rPr>
                <w:rFonts w:ascii="Times New Roman" w:hAnsi="Times New Roman" w:cs="Times New Roman"/>
                <w:lang w:val="en-US"/>
              </w:rPr>
            </w:pPr>
          </w:p>
          <w:p w:rsidR="00D9164D" w:rsidRPr="00561AE5" w:rsidP="00251765" w14:paraId="2901770F" w14:textId="77777777">
            <w:pPr>
              <w:jc w:val="center"/>
              <w:rPr>
                <w:rFonts w:ascii="Times New Roman" w:hAnsi="Times New Roman" w:cs="Times New Roman"/>
                <w:lang w:val="en-US"/>
              </w:rPr>
            </w:pPr>
            <w:r w:rsidRPr="00561AE5">
              <w:rPr>
                <w:rFonts w:ascii="Times New Roman" w:hAnsi="Times New Roman" w:cs="Times New Roman"/>
                <w:lang w:val="en-US"/>
              </w:rPr>
              <w:t>1,277</w:t>
            </w:r>
          </w:p>
        </w:tc>
        <w:tc>
          <w:tcPr>
            <w:tcW w:w="1316" w:type="dxa"/>
            <w:vAlign w:val="center"/>
          </w:tcPr>
          <w:p w:rsidR="00D9164D" w:rsidRPr="00561AE5" w:rsidP="00251765" w14:paraId="38414EF8" w14:textId="77777777">
            <w:pPr>
              <w:jc w:val="center"/>
              <w:rPr>
                <w:rFonts w:ascii="Times New Roman" w:hAnsi="Times New Roman" w:cs="Times New Roman"/>
                <w:lang w:val="en-US"/>
              </w:rPr>
            </w:pPr>
            <w:r w:rsidRPr="00561AE5">
              <w:rPr>
                <w:rFonts w:ascii="Times New Roman" w:hAnsi="Times New Roman" w:cs="Times New Roman"/>
                <w:lang w:val="en-US"/>
              </w:rPr>
              <w:t>106*</w:t>
            </w:r>
          </w:p>
        </w:tc>
      </w:tr>
      <w:tr w14:paraId="2BA89D91" w14:textId="77777777" w:rsidTr="00251765">
        <w:tblPrEx>
          <w:tblW w:w="8559" w:type="dxa"/>
          <w:tblLook w:val="04A0"/>
        </w:tblPrEx>
        <w:tc>
          <w:tcPr>
            <w:tcW w:w="2171" w:type="dxa"/>
            <w:vAlign w:val="center"/>
          </w:tcPr>
          <w:p w:rsidR="00D9164D" w:rsidRPr="00561AE5" w:rsidP="00D9164D" w14:paraId="7C08FEBC" w14:textId="77777777">
            <w:pPr>
              <w:pStyle w:val="ListParagraph"/>
              <w:numPr>
                <w:ilvl w:val="0"/>
                <w:numId w:val="4"/>
              </w:numPr>
              <w:rPr>
                <w:rFonts w:ascii="Times New Roman" w:hAnsi="Times New Roman" w:cs="Times New Roman"/>
                <w:lang w:val="en-US"/>
              </w:rPr>
            </w:pPr>
            <w:r w:rsidRPr="00561AE5">
              <w:rPr>
                <w:rFonts w:ascii="Times New Roman" w:hAnsi="Times New Roman" w:cs="Times New Roman"/>
                <w:lang w:val="en-US"/>
              </w:rPr>
              <w:t>Producing the AML program upon request</w:t>
            </w:r>
          </w:p>
        </w:tc>
        <w:tc>
          <w:tcPr>
            <w:tcW w:w="1944" w:type="dxa"/>
            <w:vAlign w:val="center"/>
          </w:tcPr>
          <w:p w:rsidR="00D9164D" w:rsidRPr="00561AE5" w:rsidP="00251765" w14:paraId="002172A7" w14:textId="77777777">
            <w:pPr>
              <w:jc w:val="center"/>
              <w:rPr>
                <w:rFonts w:ascii="Times New Roman" w:hAnsi="Times New Roman" w:cs="Times New Roman"/>
                <w:lang w:val="en-US"/>
              </w:rPr>
            </w:pPr>
            <w:r w:rsidRPr="00561AE5">
              <w:rPr>
                <w:rFonts w:ascii="Times New Roman" w:hAnsi="Times New Roman" w:cs="Times New Roman"/>
                <w:lang w:val="en-US"/>
              </w:rPr>
              <w:t>1 per casino</w:t>
            </w:r>
          </w:p>
        </w:tc>
        <w:tc>
          <w:tcPr>
            <w:tcW w:w="986" w:type="dxa"/>
            <w:vAlign w:val="center"/>
          </w:tcPr>
          <w:p w:rsidR="00D9164D" w:rsidRPr="00561AE5" w:rsidP="00251765" w14:paraId="1E3829FE" w14:textId="77777777">
            <w:pPr>
              <w:jc w:val="center"/>
              <w:rPr>
                <w:rFonts w:ascii="Times New Roman" w:hAnsi="Times New Roman" w:cs="Times New Roman"/>
                <w:lang w:val="en-US"/>
              </w:rPr>
            </w:pPr>
            <w:r w:rsidRPr="00561AE5">
              <w:rPr>
                <w:rFonts w:ascii="Times New Roman" w:hAnsi="Times New Roman" w:cs="Times New Roman"/>
                <w:lang w:val="en-US"/>
              </w:rPr>
              <w:t>5 minutes</w:t>
            </w:r>
          </w:p>
        </w:tc>
        <w:tc>
          <w:tcPr>
            <w:tcW w:w="2142" w:type="dxa"/>
            <w:vAlign w:val="center"/>
          </w:tcPr>
          <w:p w:rsidR="00D9164D" w:rsidRPr="00561AE5" w:rsidP="00251765" w14:paraId="6BAFA706" w14:textId="77777777">
            <w:pPr>
              <w:jc w:val="center"/>
              <w:rPr>
                <w:rFonts w:ascii="Times New Roman" w:hAnsi="Times New Roman" w:cs="Times New Roman"/>
                <w:lang w:val="en-US"/>
              </w:rPr>
            </w:pPr>
          </w:p>
          <w:p w:rsidR="00D9164D" w:rsidRPr="00561AE5" w:rsidP="00251765" w14:paraId="4CA790C8" w14:textId="77777777">
            <w:pPr>
              <w:jc w:val="center"/>
              <w:rPr>
                <w:rFonts w:ascii="Times New Roman" w:hAnsi="Times New Roman" w:cs="Times New Roman"/>
                <w:lang w:val="en-US"/>
              </w:rPr>
            </w:pPr>
            <w:r w:rsidRPr="00561AE5">
              <w:rPr>
                <w:rFonts w:ascii="Times New Roman" w:hAnsi="Times New Roman" w:cs="Times New Roman"/>
                <w:lang w:val="en-US"/>
              </w:rPr>
              <w:t>1,277</w:t>
            </w:r>
          </w:p>
        </w:tc>
        <w:tc>
          <w:tcPr>
            <w:tcW w:w="1316" w:type="dxa"/>
            <w:vAlign w:val="center"/>
          </w:tcPr>
          <w:p w:rsidR="00D9164D" w:rsidRPr="00561AE5" w:rsidP="00251765" w14:paraId="536A2F62" w14:textId="77777777">
            <w:pPr>
              <w:jc w:val="center"/>
              <w:rPr>
                <w:rFonts w:ascii="Times New Roman" w:hAnsi="Times New Roman" w:cs="Times New Roman"/>
                <w:lang w:val="en-US"/>
              </w:rPr>
            </w:pPr>
            <w:r w:rsidRPr="00561AE5">
              <w:rPr>
                <w:rFonts w:ascii="Times New Roman" w:hAnsi="Times New Roman" w:cs="Times New Roman"/>
                <w:lang w:val="en-US"/>
              </w:rPr>
              <w:t>106*</w:t>
            </w:r>
          </w:p>
        </w:tc>
      </w:tr>
      <w:tr w14:paraId="6598CB7C" w14:textId="77777777" w:rsidTr="00251765">
        <w:tblPrEx>
          <w:tblW w:w="8559" w:type="dxa"/>
          <w:tblLook w:val="04A0"/>
        </w:tblPrEx>
        <w:tc>
          <w:tcPr>
            <w:tcW w:w="2171" w:type="dxa"/>
            <w:vAlign w:val="center"/>
          </w:tcPr>
          <w:p w:rsidR="00D9164D" w:rsidRPr="00561AE5" w:rsidP="00D9164D" w14:paraId="7EB18AC7" w14:textId="77777777">
            <w:pPr>
              <w:pStyle w:val="ListParagraph"/>
              <w:numPr>
                <w:ilvl w:val="0"/>
                <w:numId w:val="4"/>
              </w:numPr>
              <w:rPr>
                <w:rFonts w:ascii="Times New Roman" w:hAnsi="Times New Roman" w:cs="Times New Roman"/>
                <w:lang w:val="en-US"/>
              </w:rPr>
            </w:pPr>
            <w:r w:rsidRPr="00561AE5">
              <w:rPr>
                <w:rFonts w:ascii="Times New Roman" w:hAnsi="Times New Roman" w:cs="Times New Roman"/>
                <w:lang w:val="en-US"/>
              </w:rPr>
              <w:t>Ongoing compliance with the requirements in 31 CFR 1021.210(b)(2)(v) and (vi)</w:t>
            </w:r>
          </w:p>
        </w:tc>
        <w:tc>
          <w:tcPr>
            <w:tcW w:w="1944" w:type="dxa"/>
            <w:vAlign w:val="center"/>
          </w:tcPr>
          <w:p w:rsidR="00D9164D" w:rsidRPr="00561AE5" w:rsidP="00251765" w14:paraId="7C2602F4" w14:textId="77777777">
            <w:pPr>
              <w:jc w:val="center"/>
              <w:rPr>
                <w:rFonts w:ascii="Times New Roman" w:hAnsi="Times New Roman" w:cs="Times New Roman"/>
                <w:lang w:val="en-US"/>
              </w:rPr>
            </w:pPr>
            <w:r w:rsidRPr="00561AE5">
              <w:rPr>
                <w:rFonts w:ascii="Times New Roman" w:hAnsi="Times New Roman" w:cs="Times New Roman"/>
                <w:lang w:val="en-US"/>
              </w:rPr>
              <w:t>1 per casino</w:t>
            </w:r>
          </w:p>
        </w:tc>
        <w:tc>
          <w:tcPr>
            <w:tcW w:w="986" w:type="dxa"/>
            <w:vAlign w:val="center"/>
          </w:tcPr>
          <w:p w:rsidR="00D9164D" w:rsidRPr="00561AE5" w:rsidP="00251765" w14:paraId="594C44D9" w14:textId="77777777">
            <w:pPr>
              <w:jc w:val="center"/>
              <w:rPr>
                <w:rFonts w:ascii="Times New Roman" w:hAnsi="Times New Roman" w:cs="Times New Roman"/>
                <w:lang w:val="en-US"/>
              </w:rPr>
            </w:pPr>
            <w:r w:rsidRPr="00561AE5">
              <w:rPr>
                <w:rFonts w:ascii="Times New Roman" w:hAnsi="Times New Roman" w:cs="Times New Roman"/>
                <w:lang w:val="en-US"/>
              </w:rPr>
              <w:t>99 hours</w:t>
            </w:r>
          </w:p>
        </w:tc>
        <w:tc>
          <w:tcPr>
            <w:tcW w:w="2142" w:type="dxa"/>
            <w:vAlign w:val="center"/>
          </w:tcPr>
          <w:p w:rsidR="00D9164D" w:rsidRPr="00561AE5" w:rsidP="00251765" w14:paraId="5DFA1C8F" w14:textId="77777777">
            <w:pPr>
              <w:jc w:val="center"/>
              <w:rPr>
                <w:rFonts w:ascii="Times New Roman" w:hAnsi="Times New Roman" w:cs="Times New Roman"/>
                <w:lang w:val="en-US"/>
              </w:rPr>
            </w:pPr>
            <w:r w:rsidRPr="00561AE5">
              <w:rPr>
                <w:rFonts w:ascii="Times New Roman" w:hAnsi="Times New Roman" w:cs="Times New Roman"/>
                <w:lang w:val="en-US"/>
              </w:rPr>
              <w:t>1,277</w:t>
            </w:r>
          </w:p>
        </w:tc>
        <w:tc>
          <w:tcPr>
            <w:tcW w:w="1316" w:type="dxa"/>
            <w:vAlign w:val="center"/>
          </w:tcPr>
          <w:p w:rsidR="00D9164D" w:rsidRPr="00561AE5" w:rsidP="00251765" w14:paraId="5F269115" w14:textId="77777777">
            <w:pPr>
              <w:jc w:val="center"/>
              <w:rPr>
                <w:rFonts w:ascii="Times New Roman" w:hAnsi="Times New Roman" w:cs="Times New Roman"/>
                <w:lang w:val="en-US"/>
              </w:rPr>
            </w:pPr>
            <w:r w:rsidRPr="00561AE5">
              <w:rPr>
                <w:rFonts w:ascii="Times New Roman" w:hAnsi="Times New Roman" w:cs="Times New Roman"/>
                <w:lang w:val="en-US"/>
              </w:rPr>
              <w:t>126,423</w:t>
            </w:r>
          </w:p>
        </w:tc>
      </w:tr>
      <w:tr w14:paraId="35380DE4" w14:textId="77777777" w:rsidTr="00251765">
        <w:tblPrEx>
          <w:tblW w:w="8559" w:type="dxa"/>
          <w:tblLook w:val="04A0"/>
        </w:tblPrEx>
        <w:trPr>
          <w:trHeight w:val="458"/>
        </w:trPr>
        <w:tc>
          <w:tcPr>
            <w:tcW w:w="7243" w:type="dxa"/>
            <w:gridSpan w:val="4"/>
            <w:tcBorders>
              <w:top w:val="single" w:sz="12" w:space="0" w:color="auto"/>
              <w:left w:val="single" w:sz="6" w:space="0" w:color="auto"/>
              <w:bottom w:val="single" w:sz="12" w:space="0" w:color="auto"/>
            </w:tcBorders>
            <w:vAlign w:val="center"/>
          </w:tcPr>
          <w:p w:rsidR="00D9164D" w:rsidRPr="00561AE5" w:rsidP="00251765" w14:paraId="31C353BA" w14:textId="77777777">
            <w:pPr>
              <w:rPr>
                <w:rFonts w:ascii="Times New Roman" w:hAnsi="Times New Roman" w:cs="Times New Roman"/>
                <w:b/>
                <w:lang w:val="en-US"/>
              </w:rPr>
            </w:pPr>
            <w:r w:rsidRPr="00561AE5">
              <w:rPr>
                <w:rFonts w:ascii="Times New Roman" w:hAnsi="Times New Roman" w:cs="Times New Roman"/>
                <w:b/>
                <w:lang w:val="en-US"/>
              </w:rPr>
              <w:t xml:space="preserve">Total hourly burden </w:t>
            </w:r>
          </w:p>
        </w:tc>
        <w:tc>
          <w:tcPr>
            <w:tcW w:w="1316" w:type="dxa"/>
            <w:tcBorders>
              <w:top w:val="single" w:sz="12" w:space="0" w:color="auto"/>
              <w:left w:val="single" w:sz="6" w:space="0" w:color="auto"/>
              <w:bottom w:val="single" w:sz="12" w:space="0" w:color="auto"/>
            </w:tcBorders>
            <w:vAlign w:val="center"/>
          </w:tcPr>
          <w:p w:rsidR="00D9164D" w:rsidRPr="00561AE5" w:rsidP="00251765" w14:paraId="2D6FCDD4" w14:textId="77777777">
            <w:pPr>
              <w:jc w:val="center"/>
              <w:rPr>
                <w:rFonts w:ascii="Times New Roman" w:hAnsi="Times New Roman" w:cs="Times New Roman"/>
                <w:b/>
                <w:lang w:val="en-US"/>
              </w:rPr>
            </w:pPr>
            <w:r w:rsidRPr="00561AE5">
              <w:rPr>
                <w:rFonts w:ascii="Times New Roman" w:hAnsi="Times New Roman" w:cs="Times New Roman"/>
                <w:b/>
                <w:lang w:val="en-US"/>
              </w:rPr>
              <w:t>127,912</w:t>
            </w:r>
          </w:p>
        </w:tc>
      </w:tr>
    </w:tbl>
    <w:p w:rsidR="00D9164D" w:rsidRPr="00561AE5" w:rsidP="00D9164D" w14:paraId="4279AF6E" w14:textId="77777777">
      <w:pPr>
        <w:spacing w:line="480" w:lineRule="auto"/>
      </w:pPr>
      <w:r w:rsidRPr="00561AE5">
        <w:t>*106.41 rounded to 106</w:t>
      </w:r>
    </w:p>
    <w:p w:rsidR="00DB1EA9" w:rsidP="009829C3" w14:paraId="70162F96" w14:textId="77777777">
      <w:pPr>
        <w:widowControl w:val="0"/>
        <w:autoSpaceDE w:val="0"/>
        <w:autoSpaceDN w:val="0"/>
        <w:adjustRightInd w:val="0"/>
        <w:spacing w:line="268" w:lineRule="exact"/>
        <w:jc w:val="both"/>
      </w:pPr>
    </w:p>
    <w:p w:rsidR="00DB1EA9" w:rsidP="009829C3" w14:paraId="2E72B558" w14:textId="77777777">
      <w:pPr>
        <w:widowControl w:val="0"/>
        <w:autoSpaceDE w:val="0"/>
        <w:autoSpaceDN w:val="0"/>
        <w:adjustRightInd w:val="0"/>
        <w:spacing w:line="268" w:lineRule="exact"/>
        <w:jc w:val="both"/>
      </w:pPr>
    </w:p>
    <w:p w:rsidR="009016C2" w:rsidRPr="00561AE5" w:rsidP="009829C3" w14:paraId="485881E6" w14:textId="1E2C8EE5">
      <w:pPr>
        <w:widowControl w:val="0"/>
        <w:autoSpaceDE w:val="0"/>
        <w:autoSpaceDN w:val="0"/>
        <w:adjustRightInd w:val="0"/>
        <w:spacing w:line="268" w:lineRule="exact"/>
        <w:jc w:val="both"/>
        <w:rPr>
          <w:u w:val="single"/>
        </w:rPr>
      </w:pPr>
      <w:r w:rsidRPr="00561AE5">
        <w:t>13</w:t>
      </w:r>
      <w:r w:rsidRPr="000D0012">
        <w:t xml:space="preserve">. </w:t>
      </w:r>
      <w:r w:rsidRPr="00561AE5">
        <w:rPr>
          <w:u w:val="single"/>
        </w:rPr>
        <w:t>Estimated total annual cost burden of the information collection.</w:t>
      </w:r>
    </w:p>
    <w:p w:rsidR="009016C2" w:rsidRPr="00561AE5" w:rsidP="009829C3" w14:paraId="18A52EF6" w14:textId="77777777">
      <w:pPr>
        <w:widowControl w:val="0"/>
        <w:autoSpaceDE w:val="0"/>
        <w:autoSpaceDN w:val="0"/>
        <w:adjustRightInd w:val="0"/>
        <w:spacing w:line="268" w:lineRule="exact"/>
        <w:jc w:val="both"/>
        <w:rPr>
          <w:u w:val="single"/>
        </w:rPr>
      </w:pPr>
    </w:p>
    <w:p w:rsidR="00220F28" w:rsidRPr="00561AE5" w:rsidP="00220F28" w14:paraId="76DA7D3C" w14:textId="77777777">
      <w:pPr>
        <w:spacing w:line="480" w:lineRule="auto"/>
        <w:ind w:firstLine="720"/>
        <w:rPr>
          <w:b/>
        </w:rPr>
      </w:pPr>
      <w:r w:rsidRPr="00561AE5">
        <w:t>FinCEN is utilizing the same fully-loaded composite hourly wage rate of $106.30 utilized in the 2024 NPRMs entitled Customer Identification Programs for Registered Investment Advisers and Exempt Reporting Companies and Anti-Money Laundering and Countering the Financing of Terrorism Programs, as well as in recent 60-Day Notices to renew OMB control numbers corresponding to specific BSA regulations.</w:t>
      </w:r>
      <w:r>
        <w:rPr>
          <w:rStyle w:val="FootnoteReference"/>
        </w:rPr>
        <w:footnoteReference w:id="12"/>
      </w:r>
      <w:bookmarkStart w:id="3" w:name="_Hlk140495282"/>
    </w:p>
    <w:bookmarkEnd w:id="3"/>
    <w:p w:rsidR="00220F28" w:rsidRPr="00561AE5" w:rsidP="00220F28" w14:paraId="37035CF6" w14:textId="77777777">
      <w:pPr>
        <w:spacing w:line="480" w:lineRule="auto"/>
        <w:ind w:firstLine="708"/>
      </w:pPr>
      <w:r w:rsidRPr="00561AE5">
        <w:t>The total estimated cost of the annual PRA burden is $</w:t>
      </w:r>
      <w:r w:rsidRPr="00561AE5">
        <w:rPr>
          <w:bCs/>
        </w:rPr>
        <w:t>13,597,045.60</w:t>
      </w:r>
      <w:r w:rsidRPr="00561AE5">
        <w:t>, as reflected in table 3 below:</w:t>
      </w:r>
    </w:p>
    <w:p w:rsidR="00220F28" w:rsidRPr="00561AE5" w:rsidP="00220F28" w14:paraId="17120E14" w14:textId="77777777">
      <w:pPr>
        <w:rPr>
          <w:b/>
          <w:bCs/>
        </w:rPr>
      </w:pPr>
      <w:r w:rsidRPr="00561AE5">
        <w:rPr>
          <w:b/>
          <w:bCs/>
        </w:rPr>
        <w:t>Table 3. Estimated total cost of annual PRA burden</w:t>
      </w:r>
    </w:p>
    <w:tbl>
      <w:tblPr>
        <w:tblStyle w:val="TableGrid"/>
        <w:tblW w:w="9540" w:type="dxa"/>
        <w:tblInd w:w="-5" w:type="dxa"/>
        <w:tblLook w:val="04A0"/>
      </w:tblPr>
      <w:tblGrid>
        <w:gridCol w:w="3472"/>
        <w:gridCol w:w="2241"/>
        <w:gridCol w:w="1906"/>
        <w:gridCol w:w="1921"/>
      </w:tblGrid>
      <w:tr w14:paraId="2D61C575" w14:textId="77777777" w:rsidTr="00251765">
        <w:tblPrEx>
          <w:tblW w:w="9540" w:type="dxa"/>
          <w:tblInd w:w="-5" w:type="dxa"/>
          <w:tblLook w:val="04A0"/>
        </w:tblPrEx>
        <w:trPr>
          <w:trHeight w:val="339"/>
        </w:trPr>
        <w:tc>
          <w:tcPr>
            <w:tcW w:w="3472" w:type="dxa"/>
            <w:vAlign w:val="center"/>
          </w:tcPr>
          <w:p w:rsidR="00220F28" w:rsidRPr="00561AE5" w:rsidP="00251765" w14:paraId="2AB2DE66" w14:textId="77777777">
            <w:pPr>
              <w:rPr>
                <w:rFonts w:ascii="Times New Roman" w:hAnsi="Times New Roman" w:cs="Times New Roman"/>
                <w:b/>
                <w:bCs/>
                <w:lang w:val="en-US"/>
              </w:rPr>
            </w:pPr>
            <w:r w:rsidRPr="00561AE5">
              <w:rPr>
                <w:rFonts w:ascii="Times New Roman" w:hAnsi="Times New Roman" w:cs="Times New Roman"/>
                <w:b/>
                <w:bCs/>
                <w:lang w:val="en-US"/>
              </w:rPr>
              <w:t>Required activities</w:t>
            </w:r>
          </w:p>
        </w:tc>
        <w:tc>
          <w:tcPr>
            <w:tcW w:w="2241" w:type="dxa"/>
            <w:vAlign w:val="center"/>
          </w:tcPr>
          <w:p w:rsidR="00220F28" w:rsidRPr="00561AE5" w:rsidP="00251765" w14:paraId="2B0AAD52" w14:textId="77777777">
            <w:pPr>
              <w:rPr>
                <w:rFonts w:ascii="Times New Roman" w:hAnsi="Times New Roman" w:cs="Times New Roman"/>
                <w:b/>
                <w:bCs/>
                <w:lang w:val="en-US"/>
              </w:rPr>
            </w:pPr>
            <w:r w:rsidRPr="00561AE5">
              <w:rPr>
                <w:rFonts w:ascii="Times New Roman" w:hAnsi="Times New Roman" w:cs="Times New Roman"/>
                <w:b/>
                <w:bCs/>
                <w:lang w:val="en-US"/>
              </w:rPr>
              <w:t>Burden hours</w:t>
            </w:r>
          </w:p>
        </w:tc>
        <w:tc>
          <w:tcPr>
            <w:tcW w:w="1906" w:type="dxa"/>
            <w:vAlign w:val="center"/>
          </w:tcPr>
          <w:p w:rsidR="00220F28" w:rsidRPr="00561AE5" w:rsidP="00251765" w14:paraId="53A7FA74" w14:textId="77777777">
            <w:pPr>
              <w:rPr>
                <w:rFonts w:ascii="Times New Roman" w:hAnsi="Times New Roman" w:cs="Times New Roman"/>
                <w:b/>
                <w:bCs/>
                <w:lang w:val="en-US"/>
              </w:rPr>
            </w:pPr>
            <w:r w:rsidRPr="00561AE5">
              <w:rPr>
                <w:rFonts w:ascii="Times New Roman" w:hAnsi="Times New Roman" w:cs="Times New Roman"/>
                <w:b/>
                <w:bCs/>
                <w:lang w:val="en-US"/>
              </w:rPr>
              <w:t>Wage rate</w:t>
            </w:r>
          </w:p>
        </w:tc>
        <w:tc>
          <w:tcPr>
            <w:tcW w:w="1921" w:type="dxa"/>
            <w:vAlign w:val="center"/>
          </w:tcPr>
          <w:p w:rsidR="00220F28" w:rsidRPr="00561AE5" w:rsidP="00251765" w14:paraId="6E4021E8" w14:textId="77777777">
            <w:pPr>
              <w:rPr>
                <w:rFonts w:ascii="Times New Roman" w:hAnsi="Times New Roman" w:cs="Times New Roman"/>
                <w:b/>
                <w:bCs/>
                <w:lang w:val="en-US"/>
              </w:rPr>
            </w:pPr>
            <w:r w:rsidRPr="00561AE5">
              <w:rPr>
                <w:rFonts w:ascii="Times New Roman" w:hAnsi="Times New Roman" w:cs="Times New Roman"/>
                <w:b/>
                <w:bCs/>
                <w:lang w:val="en-US"/>
              </w:rPr>
              <w:t>Total cost</w:t>
            </w:r>
          </w:p>
        </w:tc>
      </w:tr>
      <w:tr w14:paraId="2666FED8" w14:textId="77777777" w:rsidTr="00251765">
        <w:tblPrEx>
          <w:tblW w:w="9540" w:type="dxa"/>
          <w:tblInd w:w="-5" w:type="dxa"/>
          <w:tblLook w:val="04A0"/>
        </w:tblPrEx>
        <w:trPr>
          <w:trHeight w:val="339"/>
        </w:trPr>
        <w:tc>
          <w:tcPr>
            <w:tcW w:w="3472" w:type="dxa"/>
            <w:vAlign w:val="center"/>
          </w:tcPr>
          <w:p w:rsidR="00220F28" w:rsidRPr="00561AE5" w:rsidP="00220F28" w14:paraId="1AE0DCDE" w14:textId="77777777">
            <w:pPr>
              <w:pStyle w:val="ListParagraph"/>
              <w:numPr>
                <w:ilvl w:val="0"/>
                <w:numId w:val="6"/>
              </w:numPr>
              <w:spacing w:after="160" w:line="259" w:lineRule="auto"/>
              <w:rPr>
                <w:rFonts w:ascii="Times New Roman" w:hAnsi="Times New Roman" w:cs="Times New Roman"/>
                <w:lang w:val="en-US"/>
              </w:rPr>
            </w:pPr>
            <w:r w:rsidRPr="00561AE5">
              <w:rPr>
                <w:rFonts w:ascii="Times New Roman" w:hAnsi="Times New Roman" w:cs="Times New Roman"/>
                <w:lang w:val="en-US"/>
              </w:rPr>
              <w:t>Maintaining and updating the written AML program</w:t>
            </w:r>
          </w:p>
        </w:tc>
        <w:tc>
          <w:tcPr>
            <w:tcW w:w="2241" w:type="dxa"/>
            <w:vAlign w:val="center"/>
          </w:tcPr>
          <w:p w:rsidR="00220F28" w:rsidRPr="00561AE5" w:rsidP="00251765" w14:paraId="3F85EF70" w14:textId="77777777">
            <w:pPr>
              <w:jc w:val="center"/>
              <w:rPr>
                <w:rFonts w:ascii="Times New Roman" w:hAnsi="Times New Roman" w:cs="Times New Roman"/>
                <w:lang w:val="en-US"/>
              </w:rPr>
            </w:pPr>
            <w:r w:rsidRPr="00561AE5">
              <w:rPr>
                <w:rFonts w:ascii="Times New Roman" w:hAnsi="Times New Roman" w:cs="Times New Roman"/>
                <w:lang w:val="en-US"/>
              </w:rPr>
              <w:t>1,277</w:t>
            </w:r>
          </w:p>
        </w:tc>
        <w:tc>
          <w:tcPr>
            <w:tcW w:w="1906" w:type="dxa"/>
            <w:vAlign w:val="center"/>
          </w:tcPr>
          <w:p w:rsidR="00220F28" w:rsidRPr="00561AE5" w:rsidP="00251765" w14:paraId="103F7DC6" w14:textId="77777777">
            <w:pPr>
              <w:jc w:val="center"/>
              <w:rPr>
                <w:rFonts w:ascii="Times New Roman" w:hAnsi="Times New Roman" w:cs="Times New Roman"/>
                <w:lang w:val="en-US"/>
              </w:rPr>
            </w:pPr>
            <w:r w:rsidRPr="00561AE5">
              <w:rPr>
                <w:rFonts w:ascii="Times New Roman" w:hAnsi="Times New Roman" w:cs="Times New Roman"/>
                <w:lang w:val="en-US"/>
              </w:rPr>
              <w:t>$106.30</w:t>
            </w:r>
          </w:p>
        </w:tc>
        <w:tc>
          <w:tcPr>
            <w:tcW w:w="1921" w:type="dxa"/>
            <w:vAlign w:val="center"/>
          </w:tcPr>
          <w:p w:rsidR="00220F28" w:rsidRPr="00561AE5" w:rsidP="00251765" w14:paraId="6EC8BF7D" w14:textId="77777777">
            <w:pPr>
              <w:jc w:val="center"/>
              <w:rPr>
                <w:rFonts w:ascii="Times New Roman" w:hAnsi="Times New Roman" w:cs="Times New Roman"/>
                <w:lang w:val="en-US"/>
              </w:rPr>
            </w:pPr>
            <w:r w:rsidRPr="00561AE5">
              <w:rPr>
                <w:rFonts w:ascii="Times New Roman" w:hAnsi="Times New Roman" w:cs="Times New Roman"/>
                <w:lang w:val="en-US"/>
              </w:rPr>
              <w:t>$135,745.10</w:t>
            </w:r>
          </w:p>
        </w:tc>
      </w:tr>
      <w:tr w14:paraId="6E469F63" w14:textId="77777777" w:rsidTr="00251765">
        <w:tblPrEx>
          <w:tblW w:w="9540" w:type="dxa"/>
          <w:tblInd w:w="-5" w:type="dxa"/>
          <w:tblLook w:val="04A0"/>
        </w:tblPrEx>
        <w:trPr>
          <w:trHeight w:val="339"/>
        </w:trPr>
        <w:tc>
          <w:tcPr>
            <w:tcW w:w="3472" w:type="dxa"/>
            <w:vAlign w:val="center"/>
          </w:tcPr>
          <w:p w:rsidR="00220F28" w:rsidRPr="00561AE5" w:rsidP="00220F28" w14:paraId="584B759D" w14:textId="77777777">
            <w:pPr>
              <w:pStyle w:val="ListParagraph"/>
              <w:numPr>
                <w:ilvl w:val="0"/>
                <w:numId w:val="6"/>
              </w:numPr>
              <w:spacing w:after="160" w:line="259" w:lineRule="auto"/>
              <w:rPr>
                <w:rFonts w:ascii="Times New Roman" w:hAnsi="Times New Roman" w:cs="Times New Roman"/>
                <w:lang w:val="en-US"/>
              </w:rPr>
            </w:pPr>
            <w:r w:rsidRPr="00561AE5">
              <w:rPr>
                <w:rFonts w:ascii="Times New Roman" w:hAnsi="Times New Roman" w:cs="Times New Roman"/>
                <w:lang w:val="en-US"/>
              </w:rPr>
              <w:t>Storing the written AML program</w:t>
            </w:r>
          </w:p>
        </w:tc>
        <w:tc>
          <w:tcPr>
            <w:tcW w:w="2241" w:type="dxa"/>
            <w:vAlign w:val="center"/>
          </w:tcPr>
          <w:p w:rsidR="00220F28" w:rsidRPr="00561AE5" w:rsidP="00251765" w14:paraId="61EBFD5F" w14:textId="77777777">
            <w:pPr>
              <w:jc w:val="center"/>
              <w:rPr>
                <w:rFonts w:ascii="Times New Roman" w:hAnsi="Times New Roman" w:cs="Times New Roman"/>
                <w:lang w:val="en-US"/>
              </w:rPr>
            </w:pPr>
            <w:r w:rsidRPr="00561AE5">
              <w:rPr>
                <w:rFonts w:ascii="Times New Roman" w:hAnsi="Times New Roman" w:cs="Times New Roman"/>
                <w:lang w:val="en-US"/>
              </w:rPr>
              <w:t>106</w:t>
            </w:r>
          </w:p>
        </w:tc>
        <w:tc>
          <w:tcPr>
            <w:tcW w:w="1906" w:type="dxa"/>
            <w:vAlign w:val="center"/>
          </w:tcPr>
          <w:p w:rsidR="00220F28" w:rsidRPr="00561AE5" w:rsidP="00251765" w14:paraId="35641096" w14:textId="77777777">
            <w:pPr>
              <w:jc w:val="center"/>
              <w:rPr>
                <w:rFonts w:ascii="Times New Roman" w:hAnsi="Times New Roman" w:cs="Times New Roman"/>
                <w:lang w:val="en-US"/>
              </w:rPr>
            </w:pPr>
            <w:r w:rsidRPr="00561AE5">
              <w:rPr>
                <w:rFonts w:ascii="Times New Roman" w:hAnsi="Times New Roman" w:cs="Times New Roman"/>
                <w:lang w:val="en-US"/>
              </w:rPr>
              <w:t>$106.30</w:t>
            </w:r>
          </w:p>
        </w:tc>
        <w:tc>
          <w:tcPr>
            <w:tcW w:w="1921" w:type="dxa"/>
            <w:vAlign w:val="center"/>
          </w:tcPr>
          <w:p w:rsidR="00220F28" w:rsidRPr="00561AE5" w:rsidP="00251765" w14:paraId="5ADD139F" w14:textId="77777777">
            <w:pPr>
              <w:jc w:val="center"/>
              <w:rPr>
                <w:rFonts w:ascii="Times New Roman" w:hAnsi="Times New Roman" w:cs="Times New Roman"/>
                <w:lang w:val="en-US"/>
              </w:rPr>
            </w:pPr>
            <w:r w:rsidRPr="00561AE5">
              <w:rPr>
                <w:rFonts w:ascii="Times New Roman" w:hAnsi="Times New Roman" w:cs="Times New Roman"/>
                <w:lang w:val="en-US"/>
              </w:rPr>
              <w:t>$11,267.80</w:t>
            </w:r>
          </w:p>
        </w:tc>
      </w:tr>
      <w:tr w14:paraId="24A4A240" w14:textId="77777777" w:rsidTr="00251765">
        <w:tblPrEx>
          <w:tblW w:w="9540" w:type="dxa"/>
          <w:tblInd w:w="-5" w:type="dxa"/>
          <w:tblLook w:val="04A0"/>
        </w:tblPrEx>
        <w:trPr>
          <w:trHeight w:val="339"/>
        </w:trPr>
        <w:tc>
          <w:tcPr>
            <w:tcW w:w="3472" w:type="dxa"/>
            <w:vAlign w:val="center"/>
          </w:tcPr>
          <w:p w:rsidR="00220F28" w:rsidRPr="00561AE5" w:rsidP="00220F28" w14:paraId="265D96FF" w14:textId="77777777">
            <w:pPr>
              <w:pStyle w:val="ListParagraph"/>
              <w:numPr>
                <w:ilvl w:val="0"/>
                <w:numId w:val="6"/>
              </w:numPr>
              <w:spacing w:after="160" w:line="259" w:lineRule="auto"/>
              <w:rPr>
                <w:rFonts w:ascii="Times New Roman" w:hAnsi="Times New Roman" w:cs="Times New Roman"/>
                <w:lang w:val="en-US"/>
              </w:rPr>
            </w:pPr>
            <w:r w:rsidRPr="00561AE5">
              <w:rPr>
                <w:rFonts w:ascii="Times New Roman" w:hAnsi="Times New Roman" w:cs="Times New Roman"/>
                <w:lang w:val="en-US"/>
              </w:rPr>
              <w:t>Producing the AML program upon request</w:t>
            </w:r>
          </w:p>
        </w:tc>
        <w:tc>
          <w:tcPr>
            <w:tcW w:w="2241" w:type="dxa"/>
          </w:tcPr>
          <w:p w:rsidR="00220F28" w:rsidRPr="00561AE5" w:rsidP="00251765" w14:paraId="6F767C31" w14:textId="77777777">
            <w:pPr>
              <w:jc w:val="center"/>
              <w:rPr>
                <w:rFonts w:ascii="Times New Roman" w:hAnsi="Times New Roman" w:cs="Times New Roman"/>
                <w:lang w:val="en-US"/>
              </w:rPr>
            </w:pPr>
            <w:r w:rsidRPr="00561AE5">
              <w:rPr>
                <w:rFonts w:ascii="Times New Roman" w:hAnsi="Times New Roman" w:cs="Times New Roman"/>
                <w:lang w:val="en-US"/>
              </w:rPr>
              <w:t>106</w:t>
            </w:r>
          </w:p>
        </w:tc>
        <w:tc>
          <w:tcPr>
            <w:tcW w:w="1906" w:type="dxa"/>
          </w:tcPr>
          <w:p w:rsidR="00220F28" w:rsidRPr="00561AE5" w:rsidP="00251765" w14:paraId="2F874F8D" w14:textId="77777777">
            <w:pPr>
              <w:jc w:val="center"/>
              <w:rPr>
                <w:rFonts w:ascii="Times New Roman" w:hAnsi="Times New Roman" w:cs="Times New Roman"/>
                <w:lang w:val="en-US"/>
              </w:rPr>
            </w:pPr>
            <w:r w:rsidRPr="00561AE5">
              <w:rPr>
                <w:rFonts w:ascii="Times New Roman" w:hAnsi="Times New Roman" w:cs="Times New Roman"/>
                <w:lang w:val="en-US"/>
              </w:rPr>
              <w:t>$106.30</w:t>
            </w:r>
          </w:p>
        </w:tc>
        <w:tc>
          <w:tcPr>
            <w:tcW w:w="1921" w:type="dxa"/>
          </w:tcPr>
          <w:p w:rsidR="00220F28" w:rsidRPr="00561AE5" w:rsidP="00251765" w14:paraId="75038F7D" w14:textId="77777777">
            <w:pPr>
              <w:jc w:val="center"/>
              <w:rPr>
                <w:rFonts w:ascii="Times New Roman" w:hAnsi="Times New Roman" w:cs="Times New Roman"/>
                <w:lang w:val="en-US"/>
              </w:rPr>
            </w:pPr>
            <w:r w:rsidRPr="00561AE5">
              <w:rPr>
                <w:rFonts w:ascii="Times New Roman" w:hAnsi="Times New Roman" w:cs="Times New Roman"/>
                <w:lang w:val="en-US"/>
              </w:rPr>
              <w:t>$11,267.80</w:t>
            </w:r>
          </w:p>
        </w:tc>
      </w:tr>
      <w:tr w14:paraId="291E5766" w14:textId="77777777" w:rsidTr="00251765">
        <w:tblPrEx>
          <w:tblW w:w="9540" w:type="dxa"/>
          <w:tblInd w:w="-5" w:type="dxa"/>
          <w:tblLook w:val="04A0"/>
        </w:tblPrEx>
        <w:trPr>
          <w:trHeight w:val="339"/>
        </w:trPr>
        <w:tc>
          <w:tcPr>
            <w:tcW w:w="3472" w:type="dxa"/>
            <w:vAlign w:val="center"/>
          </w:tcPr>
          <w:p w:rsidR="00220F28" w:rsidRPr="00561AE5" w:rsidP="00220F28" w14:paraId="5AF14432" w14:textId="77777777">
            <w:pPr>
              <w:pStyle w:val="ListParagraph"/>
              <w:numPr>
                <w:ilvl w:val="0"/>
                <w:numId w:val="6"/>
              </w:numPr>
              <w:spacing w:after="160" w:line="259" w:lineRule="auto"/>
              <w:rPr>
                <w:rFonts w:ascii="Times New Roman" w:hAnsi="Times New Roman" w:cs="Times New Roman"/>
                <w:lang w:val="en-US"/>
              </w:rPr>
            </w:pPr>
            <w:r w:rsidRPr="00561AE5">
              <w:rPr>
                <w:rFonts w:ascii="Times New Roman" w:hAnsi="Times New Roman" w:cs="Times New Roman"/>
                <w:lang w:val="en-US"/>
              </w:rPr>
              <w:t>Ongoing compliance with the requirements in 31 CFR 1021.210(b)(2)(v) and (vi)</w:t>
            </w:r>
          </w:p>
        </w:tc>
        <w:tc>
          <w:tcPr>
            <w:tcW w:w="2241" w:type="dxa"/>
          </w:tcPr>
          <w:p w:rsidR="00220F28" w:rsidRPr="00561AE5" w:rsidP="00251765" w14:paraId="74D20EEC" w14:textId="77777777">
            <w:pPr>
              <w:jc w:val="center"/>
              <w:rPr>
                <w:rFonts w:ascii="Times New Roman" w:hAnsi="Times New Roman" w:cs="Times New Roman"/>
                <w:lang w:val="en-US"/>
              </w:rPr>
            </w:pPr>
            <w:r w:rsidRPr="00561AE5">
              <w:rPr>
                <w:rFonts w:ascii="Times New Roman" w:hAnsi="Times New Roman" w:cs="Times New Roman"/>
                <w:lang w:val="en-US"/>
              </w:rPr>
              <w:t>126,423</w:t>
            </w:r>
          </w:p>
        </w:tc>
        <w:tc>
          <w:tcPr>
            <w:tcW w:w="1906" w:type="dxa"/>
          </w:tcPr>
          <w:p w:rsidR="00220F28" w:rsidRPr="00561AE5" w:rsidP="00251765" w14:paraId="39936EFE" w14:textId="77777777">
            <w:pPr>
              <w:jc w:val="center"/>
              <w:rPr>
                <w:rFonts w:ascii="Times New Roman" w:hAnsi="Times New Roman" w:cs="Times New Roman"/>
                <w:lang w:val="en-US"/>
              </w:rPr>
            </w:pPr>
            <w:r w:rsidRPr="00561AE5">
              <w:rPr>
                <w:rFonts w:ascii="Times New Roman" w:hAnsi="Times New Roman" w:cs="Times New Roman"/>
                <w:lang w:val="en-US"/>
              </w:rPr>
              <w:t>$106.30</w:t>
            </w:r>
          </w:p>
        </w:tc>
        <w:tc>
          <w:tcPr>
            <w:tcW w:w="1921" w:type="dxa"/>
          </w:tcPr>
          <w:p w:rsidR="00220F28" w:rsidRPr="00561AE5" w:rsidP="00251765" w14:paraId="6815D878" w14:textId="77777777">
            <w:pPr>
              <w:jc w:val="center"/>
              <w:rPr>
                <w:rFonts w:ascii="Times New Roman" w:hAnsi="Times New Roman" w:cs="Times New Roman"/>
                <w:lang w:val="en-US"/>
              </w:rPr>
            </w:pPr>
            <w:r w:rsidRPr="00561AE5">
              <w:rPr>
                <w:rFonts w:ascii="Times New Roman" w:hAnsi="Times New Roman" w:cs="Times New Roman"/>
                <w:lang w:val="en-US"/>
              </w:rPr>
              <w:t>$13,438,764.90</w:t>
            </w:r>
          </w:p>
        </w:tc>
      </w:tr>
      <w:tr w14:paraId="0D6621BD" w14:textId="77777777" w:rsidTr="00251765">
        <w:tblPrEx>
          <w:tblW w:w="9540" w:type="dxa"/>
          <w:tblInd w:w="-5" w:type="dxa"/>
          <w:tblLook w:val="04A0"/>
        </w:tblPrEx>
        <w:trPr>
          <w:trHeight w:val="339"/>
        </w:trPr>
        <w:tc>
          <w:tcPr>
            <w:tcW w:w="7619" w:type="dxa"/>
            <w:gridSpan w:val="3"/>
            <w:vAlign w:val="center"/>
          </w:tcPr>
          <w:p w:rsidR="00220F28" w:rsidRPr="00561AE5" w:rsidP="00251765" w14:paraId="0C0BBBCD" w14:textId="77777777">
            <w:pPr>
              <w:rPr>
                <w:rFonts w:ascii="Times New Roman" w:hAnsi="Times New Roman" w:cs="Times New Roman"/>
                <w:lang w:val="en-US"/>
              </w:rPr>
            </w:pPr>
            <w:r w:rsidRPr="00561AE5">
              <w:rPr>
                <w:rFonts w:ascii="Times New Roman" w:hAnsi="Times New Roman" w:cs="Times New Roman"/>
                <w:b/>
                <w:bCs/>
                <w:lang w:val="en-US"/>
              </w:rPr>
              <w:t>Total cost</w:t>
            </w:r>
          </w:p>
        </w:tc>
        <w:tc>
          <w:tcPr>
            <w:tcW w:w="1921" w:type="dxa"/>
            <w:vAlign w:val="center"/>
          </w:tcPr>
          <w:p w:rsidR="00220F28" w:rsidRPr="00561AE5" w:rsidP="00251765" w14:paraId="39304F7C" w14:textId="77777777">
            <w:pPr>
              <w:jc w:val="center"/>
              <w:rPr>
                <w:rFonts w:ascii="Times New Roman" w:hAnsi="Times New Roman" w:cs="Times New Roman"/>
                <w:lang w:val="en-US"/>
              </w:rPr>
            </w:pPr>
            <w:r w:rsidRPr="00561AE5">
              <w:rPr>
                <w:rFonts w:ascii="Times New Roman" w:hAnsi="Times New Roman" w:cs="Times New Roman"/>
                <w:b/>
                <w:lang w:val="en-US"/>
              </w:rPr>
              <w:t>$13,597,045.60</w:t>
            </w:r>
          </w:p>
        </w:tc>
      </w:tr>
    </w:tbl>
    <w:p w:rsidR="00561AE5" w:rsidRPr="00561AE5" w:rsidP="009829C3" w14:paraId="603809C8" w14:textId="77777777">
      <w:pPr>
        <w:widowControl w:val="0"/>
        <w:autoSpaceDE w:val="0"/>
        <w:autoSpaceDN w:val="0"/>
        <w:adjustRightInd w:val="0"/>
        <w:spacing w:line="268" w:lineRule="exact"/>
        <w:jc w:val="both"/>
        <w:rPr>
          <w:u w:val="single"/>
        </w:rPr>
      </w:pPr>
    </w:p>
    <w:p w:rsidR="003A525C" w:rsidRPr="00561AE5" w:rsidP="009829C3" w14:paraId="3F57626E" w14:textId="6E8ADC73">
      <w:pPr>
        <w:widowControl w:val="0"/>
        <w:autoSpaceDE w:val="0"/>
        <w:autoSpaceDN w:val="0"/>
        <w:adjustRightInd w:val="0"/>
        <w:spacing w:line="268" w:lineRule="exact"/>
        <w:jc w:val="both"/>
      </w:pPr>
      <w:r w:rsidRPr="00561AE5">
        <w:rPr>
          <w:u w:val="single"/>
        </w:rPr>
        <w:t xml:space="preserve">Estimated Total Annual </w:t>
      </w:r>
      <w:r w:rsidRPr="00561AE5" w:rsidR="00133ABA">
        <w:rPr>
          <w:u w:val="single"/>
        </w:rPr>
        <w:t xml:space="preserve">Recordkeeping </w:t>
      </w:r>
      <w:r w:rsidRPr="00561AE5">
        <w:rPr>
          <w:u w:val="single"/>
        </w:rPr>
        <w:t>Cost</w:t>
      </w:r>
      <w:r w:rsidRPr="00561AE5">
        <w:t xml:space="preserve">: </w:t>
      </w:r>
      <w:r w:rsidRPr="00561AE5" w:rsidR="00220F28">
        <w:t xml:space="preserve"> </w:t>
      </w:r>
      <w:r w:rsidRPr="00561AE5">
        <w:t>$</w:t>
      </w:r>
      <w:r w:rsidRPr="00561AE5" w:rsidR="00220F28">
        <w:t>13,597,</w:t>
      </w:r>
      <w:r w:rsidRPr="00561AE5" w:rsidR="000045CD">
        <w:t>045.60.</w:t>
      </w:r>
    </w:p>
    <w:p w:rsidR="008722D3" w:rsidRPr="00561AE5" w:rsidP="009829C3" w14:paraId="1667EAEF" w14:textId="77777777">
      <w:pPr>
        <w:widowControl w:val="0"/>
        <w:autoSpaceDE w:val="0"/>
        <w:autoSpaceDN w:val="0"/>
        <w:adjustRightInd w:val="0"/>
        <w:spacing w:line="268" w:lineRule="exact"/>
        <w:jc w:val="both"/>
      </w:pPr>
    </w:p>
    <w:p w:rsidR="00373ACA" w:rsidRPr="00561AE5" w:rsidP="00482C8F" w14:paraId="745D698C" w14:textId="0D1B08DE">
      <w:pPr>
        <w:ind w:firstLine="720"/>
        <w:rPr>
          <w:iCs/>
        </w:rPr>
      </w:pPr>
      <w:r w:rsidRPr="00561AE5">
        <w:rPr>
          <w:iCs/>
        </w:rPr>
        <w:t xml:space="preserve">There are no </w:t>
      </w:r>
      <w:r w:rsidR="004E10C5">
        <w:rPr>
          <w:iCs/>
        </w:rPr>
        <w:t xml:space="preserve">estimates of </w:t>
      </w:r>
      <w:r w:rsidRPr="00561AE5">
        <w:rPr>
          <w:iCs/>
        </w:rPr>
        <w:t>non-labor costs associated with this collection of information.</w:t>
      </w:r>
    </w:p>
    <w:p w:rsidR="009829C3" w:rsidRPr="00561AE5" w:rsidP="009829C3" w14:paraId="7FD3C98A" w14:textId="77777777"/>
    <w:p w:rsidR="00DB1EA9" w:rsidP="009829C3" w14:paraId="00807D37" w14:textId="77777777"/>
    <w:p w:rsidR="00643252" w:rsidRPr="00561AE5" w:rsidP="009829C3" w14:paraId="7AE7B940" w14:textId="01A3B5C2">
      <w:r w:rsidRPr="00561AE5">
        <w:t xml:space="preserve">14. </w:t>
      </w:r>
      <w:r w:rsidRPr="00561AE5">
        <w:rPr>
          <w:u w:val="single"/>
        </w:rPr>
        <w:t>Estima</w:t>
      </w:r>
      <w:r w:rsidRPr="00561AE5" w:rsidR="00D8554E">
        <w:rPr>
          <w:u w:val="single"/>
        </w:rPr>
        <w:t>ted annual cost to the Federal g</w:t>
      </w:r>
      <w:r w:rsidRPr="00561AE5">
        <w:rPr>
          <w:u w:val="single"/>
        </w:rPr>
        <w:t>overnment.</w:t>
      </w:r>
      <w:r w:rsidRPr="00561AE5">
        <w:t xml:space="preserve"> </w:t>
      </w:r>
    </w:p>
    <w:p w:rsidR="009829C3" w:rsidRPr="00561AE5" w:rsidP="009829C3" w14:paraId="26BAD1D9" w14:textId="77777777">
      <w:pPr>
        <w:ind w:firstLine="720"/>
      </w:pPr>
    </w:p>
    <w:p w:rsidR="00643252" w:rsidRPr="00561AE5" w:rsidP="00EE53CA" w14:paraId="68114693" w14:textId="098E9238">
      <w:pPr>
        <w:pStyle w:val="PlainText"/>
        <w:ind w:firstLine="720"/>
        <w:rPr>
          <w:rFonts w:ascii="Times New Roman" w:hAnsi="Times New Roman" w:cs="Times New Roman"/>
          <w:sz w:val="24"/>
          <w:szCs w:val="24"/>
        </w:rPr>
      </w:pPr>
      <w:r>
        <w:rPr>
          <w:rFonts w:ascii="Times New Roman" w:hAnsi="Times New Roman" w:cs="Times New Roman"/>
          <w:sz w:val="24"/>
          <w:szCs w:val="24"/>
        </w:rPr>
        <w:t>A copy of the AML program must be made available to the Department of the Treasury or an appropriate regulatory agency only upon request</w:t>
      </w:r>
      <w:r w:rsidRPr="006A68A4" w:rsidR="00905E84">
        <w:rPr>
          <w:rFonts w:ascii="Times New Roman" w:hAnsi="Times New Roman" w:cs="Times New Roman"/>
          <w:sz w:val="24"/>
          <w:szCs w:val="24"/>
        </w:rPr>
        <w:t>; therefore, the estimated annual cost to the Federal government is $0.</w:t>
      </w:r>
    </w:p>
    <w:p w:rsidR="009829C3" w:rsidRPr="00561AE5" w:rsidP="009829C3" w14:paraId="79CD5FF2" w14:textId="77777777">
      <w:pPr>
        <w:ind w:firstLine="720"/>
      </w:pPr>
    </w:p>
    <w:p w:rsidR="00643252" w:rsidRPr="00561AE5" w:rsidP="009829C3" w14:paraId="56E6D25B" w14:textId="77777777">
      <w:r w:rsidRPr="00561AE5">
        <w:t xml:space="preserve">15. </w:t>
      </w:r>
      <w:r w:rsidRPr="00561AE5" w:rsidR="00D8554E">
        <w:rPr>
          <w:u w:val="single"/>
        </w:rPr>
        <w:t>Reason for change in b</w:t>
      </w:r>
      <w:r w:rsidRPr="00561AE5">
        <w:rPr>
          <w:u w:val="single"/>
        </w:rPr>
        <w:t>urden.</w:t>
      </w:r>
      <w:r w:rsidRPr="00561AE5">
        <w:t xml:space="preserve"> </w:t>
      </w:r>
    </w:p>
    <w:p w:rsidR="00F2243A" w:rsidRPr="00561AE5" w:rsidP="009829C3" w14:paraId="7020C83E" w14:textId="77777777">
      <w:pPr>
        <w:pStyle w:val="CommentText"/>
        <w:rPr>
          <w:sz w:val="24"/>
          <w:szCs w:val="24"/>
        </w:rPr>
      </w:pPr>
      <w:r w:rsidRPr="00561AE5">
        <w:rPr>
          <w:sz w:val="24"/>
          <w:szCs w:val="24"/>
        </w:rPr>
        <w:t xml:space="preserve"> </w:t>
      </w:r>
      <w:r w:rsidRPr="00561AE5">
        <w:rPr>
          <w:sz w:val="24"/>
          <w:szCs w:val="24"/>
        </w:rPr>
        <w:tab/>
      </w:r>
    </w:p>
    <w:p w:rsidR="0031398A" w:rsidRPr="00561AE5" w:rsidP="00D65007" w14:paraId="6824219B" w14:textId="23BB1B86">
      <w:pPr>
        <w:widowControl w:val="0"/>
        <w:ind w:firstLine="720"/>
        <w:rPr>
          <w:snapToGrid w:val="0"/>
        </w:rPr>
      </w:pPr>
      <w:r w:rsidRPr="00561AE5">
        <w:rPr>
          <w:snapToGrid w:val="0"/>
        </w:rPr>
        <w:t xml:space="preserve">The </w:t>
      </w:r>
      <w:r w:rsidRPr="00561AE5" w:rsidR="005C739E">
        <w:rPr>
          <w:snapToGrid w:val="0"/>
        </w:rPr>
        <w:t xml:space="preserve">estimated </w:t>
      </w:r>
      <w:r w:rsidRPr="00561AE5">
        <w:rPr>
          <w:snapToGrid w:val="0"/>
        </w:rPr>
        <w:t xml:space="preserve">total annual burden hours </w:t>
      </w:r>
      <w:r w:rsidRPr="00561AE5" w:rsidR="00F83F61">
        <w:rPr>
          <w:snapToGrid w:val="0"/>
        </w:rPr>
        <w:t>increased</w:t>
      </w:r>
      <w:r w:rsidRPr="00561AE5">
        <w:rPr>
          <w:snapToGrid w:val="0"/>
        </w:rPr>
        <w:t xml:space="preserve"> from </w:t>
      </w:r>
      <w:r w:rsidRPr="00561AE5" w:rsidR="00C909C9">
        <w:t>99,466</w:t>
      </w:r>
      <w:r w:rsidRPr="00561AE5">
        <w:rPr>
          <w:snapToGrid w:val="0"/>
        </w:rPr>
        <w:t xml:space="preserve"> </w:t>
      </w:r>
      <w:r w:rsidRPr="00561AE5" w:rsidR="00FA42EF">
        <w:rPr>
          <w:snapToGrid w:val="0"/>
        </w:rPr>
        <w:t xml:space="preserve">hours </w:t>
      </w:r>
      <w:r w:rsidRPr="00561AE5" w:rsidR="00D65007">
        <w:rPr>
          <w:snapToGrid w:val="0"/>
        </w:rPr>
        <w:t>in 2020</w:t>
      </w:r>
      <w:r w:rsidRPr="00561AE5" w:rsidR="00C20852">
        <w:rPr>
          <w:snapToGrid w:val="0"/>
        </w:rPr>
        <w:t xml:space="preserve"> to </w:t>
      </w:r>
      <w:r w:rsidRPr="00561AE5" w:rsidR="004C64F0">
        <w:rPr>
          <w:snapToGrid w:val="0"/>
        </w:rPr>
        <w:t>127,912 hours in 2024</w:t>
      </w:r>
      <w:r w:rsidRPr="00561AE5" w:rsidR="00D65007">
        <w:rPr>
          <w:snapToGrid w:val="0"/>
        </w:rPr>
        <w:t>.</w:t>
      </w:r>
      <w:r w:rsidRPr="00561AE5">
        <w:rPr>
          <w:snapToGrid w:val="0"/>
        </w:rPr>
        <w:t xml:space="preserve"> </w:t>
      </w:r>
      <w:r w:rsidRPr="00561AE5" w:rsidR="004C64F0">
        <w:rPr>
          <w:snapToGrid w:val="0"/>
        </w:rPr>
        <w:t xml:space="preserve"> </w:t>
      </w:r>
      <w:r w:rsidRPr="00561AE5" w:rsidR="00E92F6A">
        <w:rPr>
          <w:snapToGrid w:val="0"/>
        </w:rPr>
        <w:t>The estimated burden</w:t>
      </w:r>
      <w:r w:rsidRPr="00561AE5" w:rsidR="00384CA6">
        <w:rPr>
          <w:snapToGrid w:val="0"/>
        </w:rPr>
        <w:t xml:space="preserve"> </w:t>
      </w:r>
      <w:r w:rsidRPr="00561AE5" w:rsidR="00DC274D">
        <w:rPr>
          <w:snapToGrid w:val="0"/>
        </w:rPr>
        <w:t xml:space="preserve">for casinos </w:t>
      </w:r>
      <w:r w:rsidRPr="00561AE5" w:rsidR="00384CA6">
        <w:rPr>
          <w:snapToGrid w:val="0"/>
        </w:rPr>
        <w:t xml:space="preserve">to implement and maintain an AML compliance program remained at approximately 100 </w:t>
      </w:r>
      <w:r w:rsidRPr="00561AE5" w:rsidR="00E92F6A">
        <w:rPr>
          <w:snapToGrid w:val="0"/>
        </w:rPr>
        <w:t>hours per casino</w:t>
      </w:r>
      <w:r w:rsidRPr="00561AE5" w:rsidR="00D65007">
        <w:rPr>
          <w:snapToGrid w:val="0"/>
        </w:rPr>
        <w:t>, with 5 minutes to store the written AML program and 5 minutes to produce the written program upon request</w:t>
      </w:r>
      <w:r w:rsidRPr="00561AE5" w:rsidR="00E92F6A">
        <w:rPr>
          <w:snapToGrid w:val="0"/>
        </w:rPr>
        <w:t xml:space="preserve">. </w:t>
      </w:r>
      <w:r w:rsidRPr="00561AE5" w:rsidR="004C64F0">
        <w:rPr>
          <w:snapToGrid w:val="0"/>
        </w:rPr>
        <w:t xml:space="preserve"> </w:t>
      </w:r>
      <w:r w:rsidRPr="00561AE5">
        <w:rPr>
          <w:snapToGrid w:val="0"/>
        </w:rPr>
        <w:t xml:space="preserve">The </w:t>
      </w:r>
      <w:r w:rsidRPr="00561AE5" w:rsidR="00D65007">
        <w:rPr>
          <w:snapToGrid w:val="0"/>
        </w:rPr>
        <w:t>increase in burden</w:t>
      </w:r>
      <w:r w:rsidRPr="00561AE5" w:rsidR="003F5783">
        <w:rPr>
          <w:snapToGrid w:val="0"/>
        </w:rPr>
        <w:t xml:space="preserve"> is due to</w:t>
      </w:r>
      <w:r w:rsidRPr="00561AE5" w:rsidR="00D65007">
        <w:rPr>
          <w:snapToGrid w:val="0"/>
        </w:rPr>
        <w:t xml:space="preserve"> a</w:t>
      </w:r>
      <w:r w:rsidRPr="00561AE5" w:rsidR="00561FF4">
        <w:rPr>
          <w:snapToGrid w:val="0"/>
        </w:rPr>
        <w:t>n</w:t>
      </w:r>
      <w:r w:rsidRPr="00561AE5" w:rsidR="00D65007">
        <w:rPr>
          <w:snapToGrid w:val="0"/>
        </w:rPr>
        <w:t xml:space="preserve"> increase in the number of casinos from 993 in 2020</w:t>
      </w:r>
      <w:r w:rsidRPr="00561AE5" w:rsidR="0060683E">
        <w:rPr>
          <w:snapToGrid w:val="0"/>
        </w:rPr>
        <w:t xml:space="preserve"> to 1,277</w:t>
      </w:r>
      <w:r w:rsidRPr="00561AE5" w:rsidR="00AA0627">
        <w:rPr>
          <w:snapToGrid w:val="0"/>
        </w:rPr>
        <w:t xml:space="preserve"> in 2024</w:t>
      </w:r>
      <w:r w:rsidRPr="00561AE5" w:rsidR="00D65007">
        <w:rPr>
          <w:snapToGrid w:val="0"/>
        </w:rPr>
        <w:t>.</w:t>
      </w:r>
    </w:p>
    <w:p w:rsidR="009829C3" w:rsidRPr="00561AE5" w:rsidP="009829C3" w14:paraId="36F5F77E" w14:textId="77777777">
      <w:pPr>
        <w:pStyle w:val="CommentText"/>
        <w:ind w:firstLine="720"/>
        <w:rPr>
          <w:sz w:val="24"/>
          <w:szCs w:val="24"/>
        </w:rPr>
      </w:pPr>
    </w:p>
    <w:p w:rsidR="00D8554E" w:rsidRPr="00561AE5" w:rsidP="009829C3" w14:paraId="152471BF" w14:textId="77777777">
      <w:r w:rsidRPr="00561AE5">
        <w:t xml:space="preserve">16. </w:t>
      </w:r>
      <w:r w:rsidRPr="00561AE5">
        <w:rPr>
          <w:u w:val="single"/>
        </w:rPr>
        <w:t>Plans for tabulation, statistical analysis, and publication.</w:t>
      </w:r>
    </w:p>
    <w:p w:rsidR="009829C3" w:rsidRPr="00561AE5" w:rsidP="009829C3" w14:paraId="322C5F1D" w14:textId="77777777">
      <w:pPr>
        <w:ind w:firstLine="720"/>
      </w:pPr>
    </w:p>
    <w:p w:rsidR="00D8554E" w:rsidRPr="00561AE5" w:rsidP="009829C3" w14:paraId="6B49B43F" w14:textId="02EEC263">
      <w:pPr>
        <w:ind w:firstLine="720"/>
      </w:pPr>
      <w:r w:rsidRPr="00561AE5">
        <w:t xml:space="preserve">This collection of information will not be </w:t>
      </w:r>
      <w:r w:rsidRPr="00561AE5" w:rsidR="00EE53CA">
        <w:t>tabulated or compiled for publication</w:t>
      </w:r>
      <w:r w:rsidRPr="00561AE5">
        <w:t xml:space="preserve">. </w:t>
      </w:r>
    </w:p>
    <w:p w:rsidR="009829C3" w:rsidRPr="00561AE5" w:rsidP="009829C3" w14:paraId="0594D77E" w14:textId="77777777">
      <w:pPr>
        <w:ind w:firstLine="720"/>
      </w:pPr>
    </w:p>
    <w:p w:rsidR="009829C3" w:rsidRPr="00561AE5" w:rsidP="00561AE5" w14:paraId="50FAF34E" w14:textId="29381AC8">
      <w:r w:rsidRPr="00561AE5">
        <w:t xml:space="preserve">17. </w:t>
      </w:r>
      <w:r w:rsidRPr="00561AE5">
        <w:rPr>
          <w:u w:val="single"/>
        </w:rPr>
        <w:t>Request not to display the expiration date of the OMB control number.</w:t>
      </w:r>
    </w:p>
    <w:p w:rsidR="00D8554E" w:rsidRPr="00561AE5" w:rsidP="00C17C9D" w14:paraId="4654CD6E" w14:textId="7B555751">
      <w:pPr>
        <w:spacing w:before="244" w:line="292" w:lineRule="exact"/>
        <w:ind w:firstLine="720"/>
      </w:pPr>
      <w:r w:rsidRPr="00561AE5">
        <w:t xml:space="preserve">FinCEN requests that it not be required to display the expiration date so that the regulations will not have to be amended for the new expiration date every three years.  </w:t>
      </w:r>
      <w:r w:rsidRPr="00561AE5" w:rsidR="00C17C9D">
        <w:t>This request will not affect the normal three-year PRA renewal process.</w:t>
      </w:r>
    </w:p>
    <w:p w:rsidR="00D8554E" w:rsidRPr="00561AE5" w:rsidP="009829C3" w14:paraId="3E59C37C" w14:textId="77777777"/>
    <w:p w:rsidR="00D8554E" w:rsidRPr="00561AE5" w:rsidP="009829C3" w14:paraId="14AD53AD" w14:textId="77777777">
      <w:pPr>
        <w:widowControl w:val="0"/>
        <w:autoSpaceDE w:val="0"/>
        <w:autoSpaceDN w:val="0"/>
        <w:adjustRightInd w:val="0"/>
        <w:spacing w:line="240" w:lineRule="exact"/>
        <w:ind w:right="220"/>
        <w:jc w:val="both"/>
        <w:rPr>
          <w:u w:val="single"/>
        </w:rPr>
      </w:pPr>
      <w:r w:rsidRPr="00561AE5">
        <w:t xml:space="preserve">18.  </w:t>
      </w:r>
      <w:r w:rsidRPr="00561AE5">
        <w:rPr>
          <w:u w:val="single"/>
        </w:rPr>
        <w:t>Exceptions to the certification statement.</w:t>
      </w:r>
    </w:p>
    <w:p w:rsidR="00D8554E" w:rsidRPr="00561AE5" w:rsidP="009829C3" w14:paraId="586FCF57" w14:textId="77777777">
      <w:pPr>
        <w:widowControl w:val="0"/>
        <w:autoSpaceDE w:val="0"/>
        <w:autoSpaceDN w:val="0"/>
        <w:adjustRightInd w:val="0"/>
        <w:spacing w:line="240" w:lineRule="exact"/>
        <w:ind w:right="220"/>
        <w:jc w:val="both"/>
      </w:pPr>
    </w:p>
    <w:p w:rsidR="00643252" w:rsidRPr="00561AE5" w:rsidP="00CB146A" w14:paraId="6DE272F1" w14:textId="42AE59D2">
      <w:pPr>
        <w:widowControl w:val="0"/>
        <w:autoSpaceDE w:val="0"/>
        <w:autoSpaceDN w:val="0"/>
        <w:adjustRightInd w:val="0"/>
        <w:spacing w:line="240" w:lineRule="exact"/>
        <w:ind w:right="220" w:firstLine="720"/>
        <w:jc w:val="both"/>
        <w:rPr>
          <w:rFonts w:eastAsia="MS Mincho"/>
        </w:rPr>
      </w:pPr>
      <w:r w:rsidRPr="00561AE5">
        <w:t>There are no exceptions to the certification statement</w:t>
      </w:r>
      <w:r w:rsidRPr="00561AE5" w:rsidR="002D6FD1">
        <w:t>.</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270776"/>
      <w:docPartObj>
        <w:docPartGallery w:val="Page Numbers (Bottom of Page)"/>
        <w:docPartUnique/>
      </w:docPartObj>
    </w:sdtPr>
    <w:sdtEndPr>
      <w:rPr>
        <w:noProof/>
      </w:rPr>
    </w:sdtEndPr>
    <w:sdtContent>
      <w:p w:rsidR="00B53A63" w14:paraId="70F19450" w14:textId="65DC6648">
        <w:pPr>
          <w:pStyle w:val="Footer"/>
          <w:jc w:val="center"/>
        </w:pPr>
        <w:r>
          <w:fldChar w:fldCharType="begin"/>
        </w:r>
        <w:r>
          <w:instrText xml:space="preserve"> PAGE   \* MERGEFORMAT </w:instrText>
        </w:r>
        <w:r>
          <w:fldChar w:fldCharType="separate"/>
        </w:r>
        <w:r w:rsidR="0046100F">
          <w:rPr>
            <w:noProof/>
          </w:rPr>
          <w:t>6</w:t>
        </w:r>
        <w:r>
          <w:rPr>
            <w:noProof/>
          </w:rPr>
          <w:fldChar w:fldCharType="end"/>
        </w:r>
      </w:p>
    </w:sdtContent>
  </w:sdt>
  <w:p w:rsidR="00B53A63" w14:paraId="7ED3A5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421E" w14:paraId="43579F78" w14:textId="77777777">
      <w:r>
        <w:separator/>
      </w:r>
    </w:p>
  </w:footnote>
  <w:footnote w:type="continuationSeparator" w:id="1">
    <w:p w:rsidR="00CD421E" w14:paraId="3BBB9960" w14:textId="77777777">
      <w:r>
        <w:continuationSeparator/>
      </w:r>
    </w:p>
  </w:footnote>
  <w:footnote w:id="2">
    <w:p w:rsidR="00C051A3" w:rsidRPr="005667C4" w:rsidP="00C051A3" w14:paraId="28444E28"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(2001)</w:t>
      </w:r>
      <w:bookmarkEnd w:id="0"/>
      <w:r w:rsidRPr="005667C4">
        <w:t>.</w:t>
      </w:r>
      <w:bookmarkEnd w:id="1"/>
    </w:p>
  </w:footnote>
  <w:footnote w:id="3">
    <w:p w:rsidR="00C051A3" w:rsidRPr="005667C4" w:rsidP="00C051A3" w14:paraId="5F772D52"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p>
  </w:footnote>
  <w:footnote w:id="4">
    <w:p w:rsidR="00C051A3" w:rsidRPr="005667C4" w:rsidP="00C051A3" w14:paraId="7A1285FE"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C051A3" w:rsidRPr="005667C4" w:rsidP="00C051A3" w14:paraId="33AB4DFF"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ED34BE" w:rsidP="00ED34BE" w14:paraId="0876A384" w14:textId="77777777">
      <w:pPr>
        <w:pStyle w:val="FootnoteText"/>
      </w:pPr>
      <w:r>
        <w:rPr>
          <w:rStyle w:val="FootnoteReference"/>
        </w:rPr>
        <w:footnoteRef/>
      </w:r>
      <w:r>
        <w:t xml:space="preserve"> The provision was added to the BSA through Section 352 of the USA PATRIOT Act and authorizes FinCEN to prescribe minimum standards for AML programs and to exempt certain financial institutions from application of those standards. Section 6101(b) of the AML Act amended the provision to include explicit references to terrorism finance and to specify the factors that FinCEN must consider in prescribing minimum standards.</w:t>
      </w:r>
    </w:p>
  </w:footnote>
  <w:footnote w:id="7">
    <w:p w:rsidR="00ED34BE" w:rsidP="00ED34BE" w14:paraId="4A6BB547" w14:textId="77777777">
      <w:pPr>
        <w:pStyle w:val="FootnoteText"/>
      </w:pPr>
      <w:r>
        <w:rPr>
          <w:rStyle w:val="FootnoteReference"/>
        </w:rPr>
        <w:footnoteRef/>
      </w:r>
      <w:r>
        <w:t xml:space="preserve"> </w:t>
      </w:r>
      <w:r w:rsidRPr="00FA5DE1">
        <w:rPr>
          <w:i/>
          <w:iCs/>
        </w:rPr>
        <w:t>See</w:t>
      </w:r>
      <w:r w:rsidRPr="000E335D">
        <w:rPr>
          <w:i/>
          <w:iCs/>
        </w:rPr>
        <w:t xml:space="preserve"> </w:t>
      </w:r>
      <w:r>
        <w:t xml:space="preserve">31 U.S.C. 5318(h)(1)(A)-(D).  </w:t>
      </w:r>
    </w:p>
  </w:footnote>
  <w:footnote w:id="8">
    <w:p w:rsidR="00ED34BE" w:rsidP="00ED34BE" w14:paraId="211632B8" w14:textId="77777777">
      <w:pPr>
        <w:pStyle w:val="FootnoteText"/>
      </w:pPr>
      <w:r w:rsidRPr="003964FA">
        <w:rPr>
          <w:rStyle w:val="FootnoteReference"/>
        </w:rPr>
        <w:footnoteRef/>
      </w:r>
      <w:r w:rsidRPr="003964FA">
        <w:t xml:space="preserve"> </w:t>
      </w:r>
      <w:r w:rsidRPr="00013809">
        <w:rPr>
          <w:i/>
          <w:iCs/>
        </w:rPr>
        <w:t>See</w:t>
      </w:r>
      <w:r>
        <w:t xml:space="preserve"> FinCEN, </w:t>
      </w:r>
      <w:r w:rsidRPr="00013809">
        <w:rPr>
          <w:i/>
          <w:iCs/>
        </w:rPr>
        <w:t>Regulations Regarding Reporting and Recordkeeping Requirements by Casinos</w:t>
      </w:r>
      <w:r>
        <w:t>, 58 FR 13538 (Mar. 12, 1993)</w:t>
      </w:r>
      <w:r w:rsidRPr="003964FA">
        <w:t xml:space="preserve">.  The regulations </w:t>
      </w:r>
      <w:r>
        <w:t>were</w:t>
      </w:r>
      <w:r w:rsidRPr="003964FA">
        <w:t xml:space="preserve"> codified at </w:t>
      </w:r>
      <w:r w:rsidRPr="003964FA">
        <w:rPr>
          <w:rFonts w:eastAsia="MS Mincho"/>
        </w:rPr>
        <w:t>31 CFR 1021.210.</w:t>
      </w:r>
      <w:r w:rsidRPr="003964FA">
        <w:t xml:space="preserve"> </w:t>
      </w:r>
      <w:r>
        <w:t xml:space="preserve"> </w:t>
      </w:r>
      <w:r w:rsidRPr="003964FA">
        <w:t xml:space="preserve">Card clubs are included in the casino AML program regulations, and any reference to casinos used in BSA regulations includes card clubs, unless specifically noted.  </w:t>
      </w:r>
      <w:r w:rsidRPr="003964FA">
        <w:rPr>
          <w:i/>
        </w:rPr>
        <w:t>See</w:t>
      </w:r>
      <w:r w:rsidRPr="003964FA">
        <w:t xml:space="preserve"> 31 CFR 1010.100(t)(5)(iii).</w:t>
      </w:r>
    </w:p>
  </w:footnote>
  <w:footnote w:id="9">
    <w:p w:rsidR="00ED34BE" w:rsidP="00ED34BE" w14:paraId="6BA49315" w14:textId="77777777">
      <w:pPr>
        <w:pStyle w:val="FootnoteText"/>
      </w:pPr>
      <w:r>
        <w:rPr>
          <w:rStyle w:val="FootnoteReference"/>
        </w:rPr>
        <w:footnoteRef/>
      </w:r>
      <w:r>
        <w:t xml:space="preserve"> </w:t>
      </w:r>
      <w:r w:rsidRPr="00753F1B">
        <w:rPr>
          <w:i/>
          <w:iCs/>
        </w:rPr>
        <w:t>See</w:t>
      </w:r>
      <w:r>
        <w:t xml:space="preserve"> FinCEN, </w:t>
      </w:r>
      <w:r>
        <w:rPr>
          <w:i/>
          <w:iCs/>
        </w:rPr>
        <w:t>Anti-Money Laundering Programs for Financial Institutions</w:t>
      </w:r>
      <w:r>
        <w:t xml:space="preserve">, </w:t>
      </w:r>
      <w:hyperlink r:id="rId1" w:history="1">
        <w:r w:rsidRPr="00EC2FE0">
          <w:rPr>
            <w:rStyle w:val="Hyperlink"/>
          </w:rPr>
          <w:t>67 FR 21110</w:t>
        </w:r>
      </w:hyperlink>
      <w:r>
        <w:t xml:space="preserve"> (Apr. 29, 2002)</w:t>
      </w:r>
      <w:r w:rsidRPr="003964FA">
        <w:t xml:space="preserve">. </w:t>
      </w:r>
      <w:r>
        <w:t xml:space="preserve"> The amended regulations are codified at </w:t>
      </w:r>
      <w:r w:rsidRPr="003964FA">
        <w:rPr>
          <w:rFonts w:eastAsia="MS Mincho"/>
        </w:rPr>
        <w:t>31 CFR 1021.210</w:t>
      </w:r>
      <w:r>
        <w:rPr>
          <w:rFonts w:eastAsia="MS Mincho"/>
        </w:rPr>
        <w:t>(a).</w:t>
      </w:r>
    </w:p>
  </w:footnote>
  <w:footnote w:id="10">
    <w:p w:rsidR="00224FAF" w14:paraId="63D9750A" w14:textId="47D4653D">
      <w:pPr>
        <w:pStyle w:val="FootnoteText"/>
      </w:pPr>
      <w:r>
        <w:rPr>
          <w:rStyle w:val="FootnoteReference"/>
        </w:rPr>
        <w:footnoteRef/>
      </w:r>
      <w:r>
        <w:t xml:space="preserve"> </w:t>
      </w:r>
      <w:r w:rsidRPr="00415D97" w:rsidR="000D4789">
        <w:rPr>
          <w:i/>
          <w:iCs/>
        </w:rPr>
        <w:t>See</w:t>
      </w:r>
      <w:r w:rsidR="000D4789">
        <w:t xml:space="preserve"> FinCEN, </w:t>
      </w:r>
      <w:r w:rsidR="000D4789">
        <w:rPr>
          <w:i/>
          <w:iCs/>
        </w:rPr>
        <w:t xml:space="preserve">Agency Information Collection Activities; Proposed Renewal; Comment Request; Renewal Without Change of Anti-Money Laundering Program Requirements </w:t>
      </w:r>
      <w:r w:rsidR="00C50EF2">
        <w:rPr>
          <w:i/>
          <w:iCs/>
        </w:rPr>
        <w:t>for Casinos</w:t>
      </w:r>
      <w:r>
        <w:rPr>
          <w:i/>
          <w:iCs/>
        </w:rPr>
        <w:t xml:space="preserve">, </w:t>
      </w:r>
      <w:hyperlink r:id="rId2" w:history="1">
        <w:r w:rsidRPr="00561AE5">
          <w:rPr>
            <w:rStyle w:val="Hyperlink"/>
          </w:rPr>
          <w:t>89 FR 65977</w:t>
        </w:r>
      </w:hyperlink>
      <w:r>
        <w:t xml:space="preserve"> (Aug. 14, 2024).</w:t>
      </w:r>
    </w:p>
  </w:footnote>
  <w:footnote w:id="11">
    <w:p w:rsidR="00EC3C67" w:rsidRPr="00FE0FB5" w:rsidP="00EC3C67" w14:paraId="63CC8B2D"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3"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2">
    <w:p w:rsidR="00220F28" w:rsidP="00220F28" w14:paraId="1CD9EB53" w14:textId="77777777">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4" w:history="1">
        <w:r>
          <w:rPr>
            <w:rStyle w:val="Hyperlink"/>
          </w:rPr>
          <w:t>89 FR 44571</w:t>
        </w:r>
      </w:hyperlink>
      <w:r>
        <w:t xml:space="preserve"> (May 21, 2024); FinCEN, </w:t>
      </w:r>
      <w:r>
        <w:rPr>
          <w:i/>
          <w:iCs/>
        </w:rPr>
        <w:t xml:space="preserve">NPRM Anti-Money Laundering and Countering the Financing of Terrorism Programs NPRM, </w:t>
      </w:r>
      <w:hyperlink r:id="rId5" w:history="1">
        <w:r w:rsidRPr="00A82A0D">
          <w:rPr>
            <w:rStyle w:val="Hyperlink"/>
          </w:rPr>
          <w:t>89 FR 55428</w:t>
        </w:r>
      </w:hyperlink>
      <w:r w:rsidRPr="00A82A0D">
        <w:t xml:space="preserve"> </w:t>
      </w:r>
      <w:r>
        <w:t xml:space="preserve">(July 3, 2024); FinCEN, </w:t>
      </w:r>
      <w:r>
        <w:rPr>
          <w:i/>
          <w:iCs/>
        </w:rPr>
        <w:t xml:space="preserve">Agency Information Collection Activities; Proposed Renewal; Comment Request; Renewal Without Change of the Customer Identification Program Regulatory Requirements for Certain Financial Institutions, </w:t>
      </w:r>
      <w:hyperlink r:id="rId6" w:history="1">
        <w:r w:rsidRPr="00A82A0D">
          <w:rPr>
            <w:rStyle w:val="Hyperlink"/>
          </w:rPr>
          <w:t>89 FR 51940</w:t>
        </w:r>
      </w:hyperlink>
      <w:r>
        <w:t xml:space="preserve"> (June 20, 2024); FinCEN, </w:t>
      </w:r>
      <w:r>
        <w:rPr>
          <w:i/>
          <w:iCs/>
        </w:rPr>
        <w:t>Agency Information Collection Activities; Proposed Renewal; Comment Request; Renewal Without Change of Due Diligence Programs for Correspondent Accounts for Foreign Financial Institutions and for Private Banking Accounts</w:t>
      </w:r>
      <w:r>
        <w:t xml:space="preserve">, </w:t>
      </w:r>
      <w:hyperlink r:id="rId7" w:history="1">
        <w:r>
          <w:rPr>
            <w:rStyle w:val="Hyperlink"/>
          </w:rPr>
          <w:t>89 FR 49273</w:t>
        </w:r>
      </w:hyperlink>
      <w:r>
        <w:t>, (June 11,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start w:val="0"/>
      <w:numFmt w:val="bullet"/>
      <w:lvlText w:val="•"/>
      <w:lvlJc w:val="left"/>
      <w:pPr>
        <w:ind w:left="1404" w:hanging="301"/>
      </w:pPr>
    </w:lvl>
    <w:lvl w:ilvl="2">
      <w:start w:val="0"/>
      <w:numFmt w:val="bullet"/>
      <w:lvlText w:val="•"/>
      <w:lvlJc w:val="left"/>
      <w:pPr>
        <w:ind w:left="2388" w:hanging="301"/>
      </w:pPr>
    </w:lvl>
    <w:lvl w:ilvl="3">
      <w:start w:val="0"/>
      <w:numFmt w:val="bullet"/>
      <w:lvlText w:val="•"/>
      <w:lvlJc w:val="left"/>
      <w:pPr>
        <w:ind w:left="3372" w:hanging="301"/>
      </w:pPr>
    </w:lvl>
    <w:lvl w:ilvl="4">
      <w:start w:val="0"/>
      <w:numFmt w:val="bullet"/>
      <w:lvlText w:val="•"/>
      <w:lvlJc w:val="left"/>
      <w:pPr>
        <w:ind w:left="4356" w:hanging="301"/>
      </w:pPr>
    </w:lvl>
    <w:lvl w:ilvl="5">
      <w:start w:val="0"/>
      <w:numFmt w:val="bullet"/>
      <w:lvlText w:val="•"/>
      <w:lvlJc w:val="left"/>
      <w:pPr>
        <w:ind w:left="5340" w:hanging="301"/>
      </w:pPr>
    </w:lvl>
    <w:lvl w:ilvl="6">
      <w:start w:val="0"/>
      <w:numFmt w:val="bullet"/>
      <w:lvlText w:val="•"/>
      <w:lvlJc w:val="left"/>
      <w:pPr>
        <w:ind w:left="6324" w:hanging="301"/>
      </w:pPr>
    </w:lvl>
    <w:lvl w:ilvl="7">
      <w:start w:val="0"/>
      <w:numFmt w:val="bullet"/>
      <w:lvlText w:val="•"/>
      <w:lvlJc w:val="left"/>
      <w:pPr>
        <w:ind w:left="7308" w:hanging="301"/>
      </w:pPr>
    </w:lvl>
    <w:lvl w:ilvl="8">
      <w:start w:val="0"/>
      <w:numFmt w:val="bullet"/>
      <w:lvlText w:val="•"/>
      <w:lvlJc w:val="left"/>
      <w:pPr>
        <w:ind w:left="8292" w:hanging="301"/>
      </w:pPr>
    </w:lvl>
  </w:abstractNum>
  <w:abstractNum w:abstractNumId="1">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start w:val="0"/>
      <w:numFmt w:val="bullet"/>
      <w:lvlText w:val="•"/>
      <w:lvlJc w:val="left"/>
      <w:pPr>
        <w:ind w:left="1797" w:hanging="344"/>
      </w:pPr>
    </w:lvl>
    <w:lvl w:ilvl="3">
      <w:start w:val="0"/>
      <w:numFmt w:val="bullet"/>
      <w:lvlText w:val="•"/>
      <w:lvlJc w:val="left"/>
      <w:pPr>
        <w:ind w:left="2855" w:hanging="344"/>
      </w:pPr>
    </w:lvl>
    <w:lvl w:ilvl="4">
      <w:start w:val="0"/>
      <w:numFmt w:val="bullet"/>
      <w:lvlText w:val="•"/>
      <w:lvlJc w:val="left"/>
      <w:pPr>
        <w:ind w:left="3913" w:hanging="344"/>
      </w:pPr>
    </w:lvl>
    <w:lvl w:ilvl="5">
      <w:start w:val="0"/>
      <w:numFmt w:val="bullet"/>
      <w:lvlText w:val="•"/>
      <w:lvlJc w:val="left"/>
      <w:pPr>
        <w:ind w:left="4971" w:hanging="344"/>
      </w:pPr>
    </w:lvl>
    <w:lvl w:ilvl="6">
      <w:start w:val="0"/>
      <w:numFmt w:val="bullet"/>
      <w:lvlText w:val="•"/>
      <w:lvlJc w:val="left"/>
      <w:pPr>
        <w:ind w:left="6028" w:hanging="344"/>
      </w:pPr>
    </w:lvl>
    <w:lvl w:ilvl="7">
      <w:start w:val="0"/>
      <w:numFmt w:val="bullet"/>
      <w:lvlText w:val="•"/>
      <w:lvlJc w:val="left"/>
      <w:pPr>
        <w:ind w:left="7086" w:hanging="344"/>
      </w:pPr>
    </w:lvl>
    <w:lvl w:ilvl="8">
      <w:start w:val="0"/>
      <w:numFmt w:val="bullet"/>
      <w:lvlText w:val="•"/>
      <w:lvlJc w:val="left"/>
      <w:pPr>
        <w:ind w:left="8144" w:hanging="344"/>
      </w:pPr>
    </w:lvl>
  </w:abstractNum>
  <w:abstractNum w:abstractNumId="2">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start w:val="0"/>
      <w:numFmt w:val="bullet"/>
      <w:lvlText w:val="•"/>
      <w:lvlJc w:val="left"/>
      <w:pPr>
        <w:ind w:left="1674" w:hanging="333"/>
      </w:pPr>
    </w:lvl>
    <w:lvl w:ilvl="2">
      <w:start w:val="0"/>
      <w:numFmt w:val="bullet"/>
      <w:lvlText w:val="•"/>
      <w:lvlJc w:val="left"/>
      <w:pPr>
        <w:ind w:left="2628" w:hanging="333"/>
      </w:pPr>
    </w:lvl>
    <w:lvl w:ilvl="3">
      <w:start w:val="0"/>
      <w:numFmt w:val="bullet"/>
      <w:lvlText w:val="•"/>
      <w:lvlJc w:val="left"/>
      <w:pPr>
        <w:ind w:left="3582" w:hanging="333"/>
      </w:pPr>
    </w:lvl>
    <w:lvl w:ilvl="4">
      <w:start w:val="0"/>
      <w:numFmt w:val="bullet"/>
      <w:lvlText w:val="•"/>
      <w:lvlJc w:val="left"/>
      <w:pPr>
        <w:ind w:left="4536" w:hanging="333"/>
      </w:pPr>
    </w:lvl>
    <w:lvl w:ilvl="5">
      <w:start w:val="0"/>
      <w:numFmt w:val="bullet"/>
      <w:lvlText w:val="•"/>
      <w:lvlJc w:val="left"/>
      <w:pPr>
        <w:ind w:left="5490" w:hanging="333"/>
      </w:pPr>
    </w:lvl>
    <w:lvl w:ilvl="6">
      <w:start w:val="0"/>
      <w:numFmt w:val="bullet"/>
      <w:lvlText w:val="•"/>
      <w:lvlJc w:val="left"/>
      <w:pPr>
        <w:ind w:left="6444" w:hanging="333"/>
      </w:pPr>
    </w:lvl>
    <w:lvl w:ilvl="7">
      <w:start w:val="0"/>
      <w:numFmt w:val="bullet"/>
      <w:lvlText w:val="•"/>
      <w:lvlJc w:val="left"/>
      <w:pPr>
        <w:ind w:left="7398" w:hanging="333"/>
      </w:pPr>
    </w:lvl>
    <w:lvl w:ilvl="8">
      <w:start w:val="0"/>
      <w:numFmt w:val="bullet"/>
      <w:lvlText w:val="•"/>
      <w:lvlJc w:val="left"/>
      <w:pPr>
        <w:ind w:left="8352" w:hanging="333"/>
      </w:pPr>
    </w:lvl>
  </w:abstractNum>
  <w:abstractNum w:abstractNumId="3">
    <w:nsid w:val="119D6251"/>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CF3424"/>
    <w:multiLevelType w:val="hybridMultilevel"/>
    <w:tmpl w:val="92762A3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C2D187E"/>
    <w:multiLevelType w:val="hybridMultilevel"/>
    <w:tmpl w:val="BF549C6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0535020">
    <w:abstractNumId w:val="2"/>
  </w:num>
  <w:num w:numId="2" w16cid:durableId="1214387905">
    <w:abstractNumId w:val="1"/>
  </w:num>
  <w:num w:numId="3" w16cid:durableId="1329140266">
    <w:abstractNumId w:val="0"/>
  </w:num>
  <w:num w:numId="4" w16cid:durableId="1975717450">
    <w:abstractNumId w:val="3"/>
  </w:num>
  <w:num w:numId="5" w16cid:durableId="1845853337">
    <w:abstractNumId w:val="4"/>
  </w:num>
  <w:num w:numId="6" w16cid:durableId="593825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8"/>
    <w:rsid w:val="000041CA"/>
    <w:rsid w:val="000045CD"/>
    <w:rsid w:val="0000789D"/>
    <w:rsid w:val="00013809"/>
    <w:rsid w:val="00013CDB"/>
    <w:rsid w:val="00015AE3"/>
    <w:rsid w:val="000167A1"/>
    <w:rsid w:val="00025188"/>
    <w:rsid w:val="000300DC"/>
    <w:rsid w:val="00035F97"/>
    <w:rsid w:val="000377C7"/>
    <w:rsid w:val="0006300E"/>
    <w:rsid w:val="00080E93"/>
    <w:rsid w:val="00081EE2"/>
    <w:rsid w:val="000821DE"/>
    <w:rsid w:val="00085C49"/>
    <w:rsid w:val="00096272"/>
    <w:rsid w:val="00096863"/>
    <w:rsid w:val="00096CDB"/>
    <w:rsid w:val="000A1838"/>
    <w:rsid w:val="000A26A8"/>
    <w:rsid w:val="000A2808"/>
    <w:rsid w:val="000A2E4C"/>
    <w:rsid w:val="000A7EC9"/>
    <w:rsid w:val="000C788D"/>
    <w:rsid w:val="000D0012"/>
    <w:rsid w:val="000D1906"/>
    <w:rsid w:val="000D1BAF"/>
    <w:rsid w:val="000D4789"/>
    <w:rsid w:val="000E335D"/>
    <w:rsid w:val="00102962"/>
    <w:rsid w:val="00104F2C"/>
    <w:rsid w:val="00114F02"/>
    <w:rsid w:val="00121F9A"/>
    <w:rsid w:val="0012306E"/>
    <w:rsid w:val="00127FAF"/>
    <w:rsid w:val="00133ABA"/>
    <w:rsid w:val="001423FB"/>
    <w:rsid w:val="001437F8"/>
    <w:rsid w:val="0015173F"/>
    <w:rsid w:val="00156129"/>
    <w:rsid w:val="0017516A"/>
    <w:rsid w:val="001801A2"/>
    <w:rsid w:val="00181256"/>
    <w:rsid w:val="00191084"/>
    <w:rsid w:val="0019720D"/>
    <w:rsid w:val="001B0C01"/>
    <w:rsid w:val="001C53C9"/>
    <w:rsid w:val="001D4496"/>
    <w:rsid w:val="001F0492"/>
    <w:rsid w:val="001F10C3"/>
    <w:rsid w:val="001F67DD"/>
    <w:rsid w:val="002015CC"/>
    <w:rsid w:val="00203767"/>
    <w:rsid w:val="00204D14"/>
    <w:rsid w:val="00211F04"/>
    <w:rsid w:val="0021217F"/>
    <w:rsid w:val="00212D01"/>
    <w:rsid w:val="00220F28"/>
    <w:rsid w:val="00224FAF"/>
    <w:rsid w:val="0023217B"/>
    <w:rsid w:val="002321E8"/>
    <w:rsid w:val="00240765"/>
    <w:rsid w:val="00242930"/>
    <w:rsid w:val="00250B4A"/>
    <w:rsid w:val="0025100D"/>
    <w:rsid w:val="00251765"/>
    <w:rsid w:val="00261070"/>
    <w:rsid w:val="00263749"/>
    <w:rsid w:val="00293155"/>
    <w:rsid w:val="00297836"/>
    <w:rsid w:val="002A20A2"/>
    <w:rsid w:val="002A271A"/>
    <w:rsid w:val="002A3E05"/>
    <w:rsid w:val="002B4B55"/>
    <w:rsid w:val="002C2BFB"/>
    <w:rsid w:val="002D6FD1"/>
    <w:rsid w:val="002D7EB4"/>
    <w:rsid w:val="002E202E"/>
    <w:rsid w:val="002E2409"/>
    <w:rsid w:val="002E72EC"/>
    <w:rsid w:val="002F6CAF"/>
    <w:rsid w:val="0030221B"/>
    <w:rsid w:val="0031398A"/>
    <w:rsid w:val="00320BA2"/>
    <w:rsid w:val="00340236"/>
    <w:rsid w:val="003408A6"/>
    <w:rsid w:val="00353A24"/>
    <w:rsid w:val="003616E2"/>
    <w:rsid w:val="00373ACA"/>
    <w:rsid w:val="0038439B"/>
    <w:rsid w:val="00384CA6"/>
    <w:rsid w:val="00392593"/>
    <w:rsid w:val="00392EA3"/>
    <w:rsid w:val="003964FA"/>
    <w:rsid w:val="003A525C"/>
    <w:rsid w:val="003A588C"/>
    <w:rsid w:val="003B37AB"/>
    <w:rsid w:val="003C0E11"/>
    <w:rsid w:val="003C1A61"/>
    <w:rsid w:val="003D7A29"/>
    <w:rsid w:val="003E58E3"/>
    <w:rsid w:val="003E69DC"/>
    <w:rsid w:val="003E7BF2"/>
    <w:rsid w:val="003F3384"/>
    <w:rsid w:val="003F479E"/>
    <w:rsid w:val="003F5783"/>
    <w:rsid w:val="003F5AA4"/>
    <w:rsid w:val="00401C97"/>
    <w:rsid w:val="00410409"/>
    <w:rsid w:val="00410C98"/>
    <w:rsid w:val="00414797"/>
    <w:rsid w:val="00415D97"/>
    <w:rsid w:val="00421C31"/>
    <w:rsid w:val="0042486C"/>
    <w:rsid w:val="00426BAD"/>
    <w:rsid w:val="004416DC"/>
    <w:rsid w:val="00441A53"/>
    <w:rsid w:val="0044439C"/>
    <w:rsid w:val="0046100F"/>
    <w:rsid w:val="00461F7C"/>
    <w:rsid w:val="00467793"/>
    <w:rsid w:val="00470681"/>
    <w:rsid w:val="00482486"/>
    <w:rsid w:val="00482C8F"/>
    <w:rsid w:val="00484EA1"/>
    <w:rsid w:val="00485A9C"/>
    <w:rsid w:val="00491ACB"/>
    <w:rsid w:val="00497455"/>
    <w:rsid w:val="004B3F83"/>
    <w:rsid w:val="004B4B68"/>
    <w:rsid w:val="004C2D27"/>
    <w:rsid w:val="004C64F0"/>
    <w:rsid w:val="004C7594"/>
    <w:rsid w:val="004D15F4"/>
    <w:rsid w:val="004D55F9"/>
    <w:rsid w:val="004E10C5"/>
    <w:rsid w:val="004E1759"/>
    <w:rsid w:val="004E4513"/>
    <w:rsid w:val="004E5472"/>
    <w:rsid w:val="004E7F07"/>
    <w:rsid w:val="004F2149"/>
    <w:rsid w:val="004F6DCD"/>
    <w:rsid w:val="0050621E"/>
    <w:rsid w:val="005141AD"/>
    <w:rsid w:val="005151D7"/>
    <w:rsid w:val="005361A3"/>
    <w:rsid w:val="00544A40"/>
    <w:rsid w:val="00551A6C"/>
    <w:rsid w:val="00553D43"/>
    <w:rsid w:val="00554F9B"/>
    <w:rsid w:val="00561AE5"/>
    <w:rsid w:val="00561FF4"/>
    <w:rsid w:val="00562228"/>
    <w:rsid w:val="00563FE6"/>
    <w:rsid w:val="005667C4"/>
    <w:rsid w:val="00572D22"/>
    <w:rsid w:val="00576484"/>
    <w:rsid w:val="005815DA"/>
    <w:rsid w:val="005950D1"/>
    <w:rsid w:val="005A15A6"/>
    <w:rsid w:val="005A7DEE"/>
    <w:rsid w:val="005B617B"/>
    <w:rsid w:val="005C065F"/>
    <w:rsid w:val="005C62B0"/>
    <w:rsid w:val="005C6B8F"/>
    <w:rsid w:val="005C739E"/>
    <w:rsid w:val="005D0671"/>
    <w:rsid w:val="005D18FC"/>
    <w:rsid w:val="005E23FA"/>
    <w:rsid w:val="005F09CC"/>
    <w:rsid w:val="005F3D8E"/>
    <w:rsid w:val="006015C9"/>
    <w:rsid w:val="0060554F"/>
    <w:rsid w:val="0060683E"/>
    <w:rsid w:val="00616FDD"/>
    <w:rsid w:val="00622D68"/>
    <w:rsid w:val="006365F6"/>
    <w:rsid w:val="00643252"/>
    <w:rsid w:val="00646D87"/>
    <w:rsid w:val="00666BD7"/>
    <w:rsid w:val="00670C7F"/>
    <w:rsid w:val="00671888"/>
    <w:rsid w:val="00677E3C"/>
    <w:rsid w:val="0068245F"/>
    <w:rsid w:val="006936CB"/>
    <w:rsid w:val="00694B18"/>
    <w:rsid w:val="006A60EB"/>
    <w:rsid w:val="006A68A4"/>
    <w:rsid w:val="006A6925"/>
    <w:rsid w:val="006C2095"/>
    <w:rsid w:val="006C5EF4"/>
    <w:rsid w:val="006D5510"/>
    <w:rsid w:val="006D5960"/>
    <w:rsid w:val="006F052B"/>
    <w:rsid w:val="006F1263"/>
    <w:rsid w:val="006F29C7"/>
    <w:rsid w:val="0071417F"/>
    <w:rsid w:val="00726BA4"/>
    <w:rsid w:val="0073663C"/>
    <w:rsid w:val="00751E07"/>
    <w:rsid w:val="00753F1B"/>
    <w:rsid w:val="00765134"/>
    <w:rsid w:val="00767A40"/>
    <w:rsid w:val="00795595"/>
    <w:rsid w:val="007A5948"/>
    <w:rsid w:val="007C5887"/>
    <w:rsid w:val="007E568B"/>
    <w:rsid w:val="007F18EE"/>
    <w:rsid w:val="007F6DDB"/>
    <w:rsid w:val="00803C63"/>
    <w:rsid w:val="00803FF5"/>
    <w:rsid w:val="00810375"/>
    <w:rsid w:val="00816D07"/>
    <w:rsid w:val="008174B5"/>
    <w:rsid w:val="008446C6"/>
    <w:rsid w:val="00846C2C"/>
    <w:rsid w:val="00846EF8"/>
    <w:rsid w:val="008540CC"/>
    <w:rsid w:val="00856974"/>
    <w:rsid w:val="008722D3"/>
    <w:rsid w:val="008745C3"/>
    <w:rsid w:val="0087490E"/>
    <w:rsid w:val="008819A9"/>
    <w:rsid w:val="00893B14"/>
    <w:rsid w:val="008A4827"/>
    <w:rsid w:val="008B280C"/>
    <w:rsid w:val="008C299E"/>
    <w:rsid w:val="008E645D"/>
    <w:rsid w:val="008F7673"/>
    <w:rsid w:val="009016C2"/>
    <w:rsid w:val="00902026"/>
    <w:rsid w:val="0090544F"/>
    <w:rsid w:val="00905E84"/>
    <w:rsid w:val="00913FC4"/>
    <w:rsid w:val="00922DE8"/>
    <w:rsid w:val="00934899"/>
    <w:rsid w:val="00935069"/>
    <w:rsid w:val="009408E0"/>
    <w:rsid w:val="00942AFC"/>
    <w:rsid w:val="009821B4"/>
    <w:rsid w:val="009829C3"/>
    <w:rsid w:val="00984211"/>
    <w:rsid w:val="00990686"/>
    <w:rsid w:val="00993082"/>
    <w:rsid w:val="00993F48"/>
    <w:rsid w:val="00995764"/>
    <w:rsid w:val="00995B77"/>
    <w:rsid w:val="00997B22"/>
    <w:rsid w:val="009A34A6"/>
    <w:rsid w:val="009A5F8C"/>
    <w:rsid w:val="009A6C50"/>
    <w:rsid w:val="009B0728"/>
    <w:rsid w:val="009B5E03"/>
    <w:rsid w:val="009C4C6C"/>
    <w:rsid w:val="009C6CDB"/>
    <w:rsid w:val="009C7FE4"/>
    <w:rsid w:val="009D67E4"/>
    <w:rsid w:val="009E0F28"/>
    <w:rsid w:val="009F0488"/>
    <w:rsid w:val="009F04CE"/>
    <w:rsid w:val="00A071E6"/>
    <w:rsid w:val="00A074C4"/>
    <w:rsid w:val="00A15199"/>
    <w:rsid w:val="00A3749C"/>
    <w:rsid w:val="00A45579"/>
    <w:rsid w:val="00A618CD"/>
    <w:rsid w:val="00A665E7"/>
    <w:rsid w:val="00A82A0D"/>
    <w:rsid w:val="00A82AC5"/>
    <w:rsid w:val="00A876A1"/>
    <w:rsid w:val="00A91DFC"/>
    <w:rsid w:val="00A921D0"/>
    <w:rsid w:val="00A93AE0"/>
    <w:rsid w:val="00A953CC"/>
    <w:rsid w:val="00AA0627"/>
    <w:rsid w:val="00AA6051"/>
    <w:rsid w:val="00AA6D89"/>
    <w:rsid w:val="00AB1794"/>
    <w:rsid w:val="00AB57E5"/>
    <w:rsid w:val="00AB5E47"/>
    <w:rsid w:val="00AC4543"/>
    <w:rsid w:val="00AC5340"/>
    <w:rsid w:val="00AD09CC"/>
    <w:rsid w:val="00AD62D1"/>
    <w:rsid w:val="00AF0148"/>
    <w:rsid w:val="00AF137A"/>
    <w:rsid w:val="00AF152A"/>
    <w:rsid w:val="00AF1684"/>
    <w:rsid w:val="00AF7EBA"/>
    <w:rsid w:val="00B07DEC"/>
    <w:rsid w:val="00B15E35"/>
    <w:rsid w:val="00B1626E"/>
    <w:rsid w:val="00B17692"/>
    <w:rsid w:val="00B30621"/>
    <w:rsid w:val="00B45722"/>
    <w:rsid w:val="00B512E2"/>
    <w:rsid w:val="00B51487"/>
    <w:rsid w:val="00B53A63"/>
    <w:rsid w:val="00B57A05"/>
    <w:rsid w:val="00B65C77"/>
    <w:rsid w:val="00B66405"/>
    <w:rsid w:val="00B87DCF"/>
    <w:rsid w:val="00B96E9D"/>
    <w:rsid w:val="00BA3687"/>
    <w:rsid w:val="00BA6C04"/>
    <w:rsid w:val="00BA79DE"/>
    <w:rsid w:val="00BB6976"/>
    <w:rsid w:val="00BF4B59"/>
    <w:rsid w:val="00C005F0"/>
    <w:rsid w:val="00C0248A"/>
    <w:rsid w:val="00C03111"/>
    <w:rsid w:val="00C03484"/>
    <w:rsid w:val="00C051A3"/>
    <w:rsid w:val="00C17C9D"/>
    <w:rsid w:val="00C20852"/>
    <w:rsid w:val="00C2320E"/>
    <w:rsid w:val="00C24AA8"/>
    <w:rsid w:val="00C25EC9"/>
    <w:rsid w:val="00C31AE4"/>
    <w:rsid w:val="00C339FC"/>
    <w:rsid w:val="00C34B95"/>
    <w:rsid w:val="00C41175"/>
    <w:rsid w:val="00C4238E"/>
    <w:rsid w:val="00C5001B"/>
    <w:rsid w:val="00C50EF2"/>
    <w:rsid w:val="00C538B7"/>
    <w:rsid w:val="00C577C8"/>
    <w:rsid w:val="00C60662"/>
    <w:rsid w:val="00C70EA9"/>
    <w:rsid w:val="00C72B78"/>
    <w:rsid w:val="00C74C28"/>
    <w:rsid w:val="00C75D4A"/>
    <w:rsid w:val="00C909C9"/>
    <w:rsid w:val="00C910F4"/>
    <w:rsid w:val="00CA58E1"/>
    <w:rsid w:val="00CB02A3"/>
    <w:rsid w:val="00CB146A"/>
    <w:rsid w:val="00CC1DD8"/>
    <w:rsid w:val="00CC620C"/>
    <w:rsid w:val="00CD421E"/>
    <w:rsid w:val="00CD589B"/>
    <w:rsid w:val="00CD7306"/>
    <w:rsid w:val="00CE1E8B"/>
    <w:rsid w:val="00CE5865"/>
    <w:rsid w:val="00D06181"/>
    <w:rsid w:val="00D06EA5"/>
    <w:rsid w:val="00D10875"/>
    <w:rsid w:val="00D1640E"/>
    <w:rsid w:val="00D263F3"/>
    <w:rsid w:val="00D26691"/>
    <w:rsid w:val="00D3774C"/>
    <w:rsid w:val="00D47FF1"/>
    <w:rsid w:val="00D5062F"/>
    <w:rsid w:val="00D52D6F"/>
    <w:rsid w:val="00D569C9"/>
    <w:rsid w:val="00D616F2"/>
    <w:rsid w:val="00D61BCD"/>
    <w:rsid w:val="00D65007"/>
    <w:rsid w:val="00D700D9"/>
    <w:rsid w:val="00D74124"/>
    <w:rsid w:val="00D741F7"/>
    <w:rsid w:val="00D77E1D"/>
    <w:rsid w:val="00D8554E"/>
    <w:rsid w:val="00D87A8B"/>
    <w:rsid w:val="00D90DDF"/>
    <w:rsid w:val="00D9164D"/>
    <w:rsid w:val="00DB1137"/>
    <w:rsid w:val="00DB1EA9"/>
    <w:rsid w:val="00DB22A3"/>
    <w:rsid w:val="00DB56F3"/>
    <w:rsid w:val="00DB6B70"/>
    <w:rsid w:val="00DC274D"/>
    <w:rsid w:val="00DD5DE6"/>
    <w:rsid w:val="00DE20DB"/>
    <w:rsid w:val="00DE23DC"/>
    <w:rsid w:val="00DE4B16"/>
    <w:rsid w:val="00DE5754"/>
    <w:rsid w:val="00DF003B"/>
    <w:rsid w:val="00E021E7"/>
    <w:rsid w:val="00E0252C"/>
    <w:rsid w:val="00E03DE1"/>
    <w:rsid w:val="00E06083"/>
    <w:rsid w:val="00E156C7"/>
    <w:rsid w:val="00E20E5E"/>
    <w:rsid w:val="00E27422"/>
    <w:rsid w:val="00E3007C"/>
    <w:rsid w:val="00E301BC"/>
    <w:rsid w:val="00E35061"/>
    <w:rsid w:val="00E61555"/>
    <w:rsid w:val="00E667ED"/>
    <w:rsid w:val="00E8723F"/>
    <w:rsid w:val="00E87FBA"/>
    <w:rsid w:val="00E9253F"/>
    <w:rsid w:val="00E92F6A"/>
    <w:rsid w:val="00E953A2"/>
    <w:rsid w:val="00EA2F26"/>
    <w:rsid w:val="00EA69F3"/>
    <w:rsid w:val="00EA72D7"/>
    <w:rsid w:val="00EB6516"/>
    <w:rsid w:val="00EC2FE0"/>
    <w:rsid w:val="00EC3C67"/>
    <w:rsid w:val="00ED0685"/>
    <w:rsid w:val="00ED34BE"/>
    <w:rsid w:val="00EE1121"/>
    <w:rsid w:val="00EE53CA"/>
    <w:rsid w:val="00EE5FA6"/>
    <w:rsid w:val="00EE69DC"/>
    <w:rsid w:val="00F07655"/>
    <w:rsid w:val="00F13112"/>
    <w:rsid w:val="00F221E4"/>
    <w:rsid w:val="00F2243A"/>
    <w:rsid w:val="00F22B68"/>
    <w:rsid w:val="00F30B7F"/>
    <w:rsid w:val="00F32B67"/>
    <w:rsid w:val="00F42E23"/>
    <w:rsid w:val="00F47997"/>
    <w:rsid w:val="00F507C0"/>
    <w:rsid w:val="00F50EE6"/>
    <w:rsid w:val="00F6319E"/>
    <w:rsid w:val="00F6507B"/>
    <w:rsid w:val="00F67F27"/>
    <w:rsid w:val="00F70456"/>
    <w:rsid w:val="00F75531"/>
    <w:rsid w:val="00F80F5C"/>
    <w:rsid w:val="00F813D0"/>
    <w:rsid w:val="00F83F61"/>
    <w:rsid w:val="00F91C42"/>
    <w:rsid w:val="00FA42EF"/>
    <w:rsid w:val="00FA5DE1"/>
    <w:rsid w:val="00FD1808"/>
    <w:rsid w:val="00FD2687"/>
    <w:rsid w:val="00FE0FB5"/>
    <w:rsid w:val="00FE42B3"/>
    <w:rsid w:val="00FF67DD"/>
    <w:rsid w:val="00FF6A00"/>
    <w:rsid w:val="00FF7DAD"/>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D49157"/>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unhideWhenUsed/>
    <w:qFormat/>
    <w:rsid w:val="003E69DC"/>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3E69DC"/>
  </w:style>
  <w:style w:type="character" w:styleId="CommentReference">
    <w:name w:val="annotation reference"/>
    <w:uiPriority w:val="99"/>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410C98"/>
    <w:rPr>
      <w:color w:val="800080" w:themeColor="followedHyperlink"/>
      <w:u w:val="single"/>
    </w:rPr>
  </w:style>
  <w:style w:type="paragraph" w:styleId="Revision">
    <w:name w:val="Revision"/>
    <w:hidden/>
    <w:uiPriority w:val="99"/>
    <w:semiHidden/>
    <w:rsid w:val="00F32B67"/>
    <w:rPr>
      <w:sz w:val="24"/>
      <w:szCs w:val="24"/>
    </w:rPr>
  </w:style>
  <w:style w:type="character" w:styleId="UnresolvedMention">
    <w:name w:val="Unresolved Mention"/>
    <w:basedOn w:val="DefaultParagraphFont"/>
    <w:uiPriority w:val="99"/>
    <w:semiHidden/>
    <w:unhideWhenUsed/>
    <w:rsid w:val="00224FAF"/>
    <w:rPr>
      <w:color w:val="605E5C"/>
      <w:shd w:val="clear" w:color="auto" w:fill="E1DFDD"/>
    </w:rPr>
  </w:style>
  <w:style w:type="character" w:customStyle="1" w:styleId="cf01">
    <w:name w:val="cf01"/>
    <w:basedOn w:val="DefaultParagraphFont"/>
    <w:rsid w:val="00C75D4A"/>
    <w:rPr>
      <w:rFonts w:ascii="Segoe UI" w:hAnsi="Segoe UI" w:cs="Segoe UI" w:hint="default"/>
      <w:sz w:val="18"/>
      <w:szCs w:val="18"/>
    </w:rPr>
  </w:style>
  <w:style w:type="paragraph" w:styleId="HTMLPreformatted">
    <w:name w:val="HTML Preformatted"/>
    <w:basedOn w:val="Normal"/>
    <w:link w:val="HTMLPreformattedChar"/>
    <w:unhideWhenUsed/>
    <w:rsid w:val="00EC3C67"/>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EC3C6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02/04/29/02-10452/financial-crimes-enforcement-network-anti-money-laundering-programs-for-financial-institutions" TargetMode="External" /><Relationship Id="rId2" Type="http://schemas.openxmlformats.org/officeDocument/2006/relationships/hyperlink" Target="https://www.federalregister.gov/documents/2024/08/13/2024-18034/agency-information-collection-activities-proposed-renewal-comment-request-renewal-without-change-of" TargetMode="External" /><Relationship Id="rId3" Type="http://schemas.openxmlformats.org/officeDocument/2006/relationships/hyperlink" Target="https://www.federalregister.gov/documents/2014/04/14/2014-08254/privacy-act-of-1974-as-amended-system-of-records-notice" TargetMode="External" /><Relationship Id="rId4" Type="http://schemas.openxmlformats.org/officeDocument/2006/relationships/hyperlink" Target="https://www.federalregister.gov/documents/2024/05/21/2024-10738/customer-identification-programs-for-registered-investment-advisers-and-exempt-reporting-advisers" TargetMode="External" /><Relationship Id="rId5" Type="http://schemas.openxmlformats.org/officeDocument/2006/relationships/hyperlink" Target="https://www.federalregister.gov/documents/2024/07/03/2024-14414/anti-money-laundering-and-countering-the-financing-of-terrorism-programs" TargetMode="External" /><Relationship Id="rId6" Type="http://schemas.openxmlformats.org/officeDocument/2006/relationships/hyperlink" Target="https://www.federalregister.gov/documents/2024/06/20/2024-13590/agency-information-collection-activities-proposed-renewal-comment-request-renewal-without-change-of" TargetMode="External" /><Relationship Id="rId7"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C617-FF85-4BD1-B79A-39DC305D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3</cp:revision>
  <cp:lastPrinted>2017-05-18T13:14:00Z</cp:lastPrinted>
  <dcterms:created xsi:type="dcterms:W3CDTF">2024-10-28T18:48:00Z</dcterms:created>
  <dcterms:modified xsi:type="dcterms:W3CDTF">2024-10-28T18:49:00Z</dcterms:modified>
</cp:coreProperties>
</file>