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252" w:rsidRPr="00AA6051" w:rsidP="009829C3" w14:paraId="14C16E2C" w14:textId="77777777">
      <w:pPr>
        <w:pStyle w:val="PlainText"/>
        <w:jc w:val="center"/>
        <w:rPr>
          <w:rFonts w:ascii="Times New Roman" w:eastAsia="MS Mincho" w:hAnsi="Times New Roman" w:cs="Times New Roman"/>
          <w:sz w:val="24"/>
          <w:u w:val="single"/>
        </w:rPr>
      </w:pPr>
      <w:r w:rsidRPr="00AA6051">
        <w:rPr>
          <w:rFonts w:ascii="Times New Roman" w:eastAsia="MS Mincho" w:hAnsi="Times New Roman" w:cs="Times New Roman"/>
          <w:sz w:val="24"/>
          <w:u w:val="single"/>
        </w:rPr>
        <w:t>Supp</w:t>
      </w:r>
      <w:r w:rsidRPr="00AA6051" w:rsidR="00C538B7">
        <w:rPr>
          <w:rFonts w:ascii="Times New Roman" w:eastAsia="MS Mincho" w:hAnsi="Times New Roman" w:cs="Times New Roman"/>
          <w:sz w:val="24"/>
          <w:u w:val="single"/>
        </w:rPr>
        <w:t xml:space="preserve">orting </w:t>
      </w:r>
      <w:r w:rsidRPr="00AA6051">
        <w:rPr>
          <w:rFonts w:ascii="Times New Roman" w:eastAsia="MS Mincho" w:hAnsi="Times New Roman" w:cs="Times New Roman"/>
          <w:sz w:val="24"/>
          <w:u w:val="single"/>
        </w:rPr>
        <w:t>Statement</w:t>
      </w:r>
    </w:p>
    <w:p w:rsidR="00F22B68" w:rsidRPr="00AA6051" w:rsidP="009829C3" w14:paraId="5BAC577D" w14:textId="77777777">
      <w:pPr>
        <w:pStyle w:val="PlainText"/>
        <w:jc w:val="center"/>
        <w:rPr>
          <w:rFonts w:ascii="Times New Roman" w:eastAsia="MS Mincho" w:hAnsi="Times New Roman" w:cs="Times New Roman"/>
          <w:sz w:val="24"/>
          <w:u w:val="single"/>
        </w:rPr>
      </w:pPr>
      <w:r w:rsidRPr="00AA6051">
        <w:rPr>
          <w:rFonts w:ascii="Times New Roman" w:eastAsia="MS Mincho" w:hAnsi="Times New Roman" w:cs="Times New Roman"/>
          <w:sz w:val="24"/>
          <w:u w:val="single"/>
        </w:rPr>
        <w:t>OMB Control Number</w:t>
      </w:r>
      <w:r w:rsidR="001F722A">
        <w:rPr>
          <w:rFonts w:ascii="Times New Roman" w:eastAsia="MS Mincho" w:hAnsi="Times New Roman" w:cs="Times New Roman"/>
          <w:sz w:val="24"/>
          <w:u w:val="single"/>
        </w:rPr>
        <w:t xml:space="preserve"> </w:t>
      </w:r>
      <w:r w:rsidRPr="00273504" w:rsidR="00273504">
        <w:rPr>
          <w:rFonts w:ascii="Times New Roman" w:eastAsia="MS Mincho" w:hAnsi="Times New Roman" w:cs="Times New Roman"/>
          <w:sz w:val="24"/>
          <w:u w:val="single"/>
        </w:rPr>
        <w:t>1506-0053</w:t>
      </w:r>
    </w:p>
    <w:p w:rsidR="00F22B68" w:rsidRPr="00AA6051" w:rsidP="009829C3" w14:paraId="7DA53784" w14:textId="77777777">
      <w:pPr>
        <w:pStyle w:val="PlainText"/>
        <w:jc w:val="center"/>
        <w:rPr>
          <w:rFonts w:ascii="Times New Roman" w:eastAsia="MS Mincho" w:hAnsi="Times New Roman" w:cs="Times New Roman"/>
          <w:sz w:val="24"/>
          <w:u w:val="single"/>
        </w:rPr>
      </w:pPr>
    </w:p>
    <w:p w:rsidR="00F22B68" w:rsidRPr="00AA6051" w:rsidP="009829C3" w14:paraId="464FAC61" w14:textId="77777777">
      <w:pPr>
        <w:pStyle w:val="PlainText"/>
        <w:rPr>
          <w:rFonts w:ascii="Times New Roman" w:eastAsia="MS Mincho" w:hAnsi="Times New Roman" w:cs="Times New Roman"/>
          <w:sz w:val="24"/>
          <w:szCs w:val="24"/>
          <w:u w:val="single"/>
        </w:rPr>
      </w:pPr>
      <w:r w:rsidRPr="00273504">
        <w:rPr>
          <w:rFonts w:ascii="Times New Roman" w:eastAsia="MS Mincho" w:hAnsi="Times New Roman" w:cs="Times New Roman"/>
          <w:bCs/>
          <w:sz w:val="24"/>
          <w:szCs w:val="24"/>
          <w:u w:val="single"/>
        </w:rPr>
        <w:t>Regulations Requiring Additional Records to be Made and Retained by Brokers or Dealers in Securities</w:t>
      </w:r>
      <w:r w:rsidR="00B43CE2">
        <w:rPr>
          <w:rFonts w:ascii="Times New Roman" w:eastAsia="MS Mincho" w:hAnsi="Times New Roman" w:cs="Times New Roman"/>
          <w:bCs/>
          <w:sz w:val="24"/>
          <w:szCs w:val="24"/>
          <w:u w:val="single"/>
        </w:rPr>
        <w:t xml:space="preserve"> (31 CFR 1023.410)</w:t>
      </w:r>
      <w:r w:rsidRPr="00AA6051">
        <w:rPr>
          <w:rFonts w:ascii="Times New Roman" w:hAnsi="Times New Roman" w:cs="Times New Roman"/>
          <w:sz w:val="24"/>
          <w:szCs w:val="24"/>
          <w:u w:val="single"/>
        </w:rPr>
        <w:t>.</w:t>
      </w:r>
    </w:p>
    <w:p w:rsidR="00643252" w:rsidRPr="00AA6051" w:rsidP="009829C3" w14:paraId="7994CE97" w14:textId="77777777">
      <w:pPr>
        <w:pStyle w:val="PlainText"/>
        <w:rPr>
          <w:rFonts w:ascii="Times New Roman" w:eastAsia="MS Mincho" w:hAnsi="Times New Roman" w:cs="Times New Roman"/>
          <w:sz w:val="24"/>
        </w:rPr>
      </w:pPr>
    </w:p>
    <w:p w:rsidR="00643252" w:rsidRPr="00AA6051" w:rsidP="009829C3" w14:paraId="5CC67063" w14:textId="77777777">
      <w:pPr>
        <w:pStyle w:val="PlainText"/>
        <w:rPr>
          <w:rFonts w:ascii="Times New Roman" w:eastAsia="MS Mincho" w:hAnsi="Times New Roman" w:cs="Times New Roman"/>
          <w:sz w:val="24"/>
        </w:rPr>
      </w:pPr>
      <w:r w:rsidRPr="00AA6051">
        <w:rPr>
          <w:rFonts w:ascii="Times New Roman" w:eastAsia="MS Mincho" w:hAnsi="Times New Roman"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r w:rsidRPr="00AA6051">
        <w:rPr>
          <w:rFonts w:ascii="Times New Roman" w:eastAsia="MS Mincho" w:hAnsi="Times New Roman" w:cs="Times New Roman"/>
          <w:sz w:val="24"/>
        </w:rPr>
        <w:tab/>
      </w:r>
    </w:p>
    <w:p w:rsidR="00F22B68" w:rsidRPr="00AA6051" w:rsidP="009829C3" w14:paraId="43D277C8" w14:textId="77777777">
      <w:pPr>
        <w:pStyle w:val="PlainText"/>
        <w:rPr>
          <w:rFonts w:ascii="Times New Roman" w:eastAsia="MS Mincho" w:hAnsi="Times New Roman" w:cs="Times New Roman"/>
          <w:sz w:val="24"/>
        </w:rPr>
      </w:pPr>
    </w:p>
    <w:p w:rsidR="003729E7" w:rsidRPr="000148CE" w:rsidP="003729E7" w14:paraId="3D30FD27" w14:textId="77777777">
      <w:pPr>
        <w:pStyle w:val="BodyTextIndent"/>
        <w:spacing w:after="0"/>
        <w:ind w:left="0" w:firstLine="720"/>
      </w:pPr>
      <w:r w:rsidRPr="000148CE">
        <w:t xml:space="preserve">The </w:t>
      </w:r>
      <w:r w:rsidRPr="000148CE">
        <w:t>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0148CE">
        <w:t xml:space="preserve"> and other legislation, including the Anti-Money Laundering Act of 2020 (AML Act).</w:t>
      </w:r>
      <w:r>
        <w:rPr>
          <w:rStyle w:val="FootnoteReference"/>
        </w:rPr>
        <w:footnoteReference w:id="3"/>
      </w:r>
      <w:r w:rsidRPr="000148CE">
        <w:t xml:space="preserve">  The BSA is codified at 12 U.S.C. 1829b, 1951–1960 and 31 U.S.C. 5311–5314, 5316–5336, including notes thereto, with implementing regulations at 31 CFR chapter X.   </w:t>
      </w:r>
    </w:p>
    <w:p w:rsidR="003729E7" w:rsidP="003729E7" w14:paraId="1B6C9624" w14:textId="77777777">
      <w:pPr>
        <w:pStyle w:val="BodyTextIndent"/>
        <w:spacing w:after="0"/>
        <w:ind w:left="0"/>
      </w:pPr>
    </w:p>
    <w:p w:rsidR="003729E7" w:rsidRPr="000148CE" w:rsidP="003729E7" w14:paraId="2FC895CE" w14:textId="77777777">
      <w:pPr>
        <w:pStyle w:val="BodyTextIndent"/>
        <w:spacing w:after="0"/>
        <w:ind w:left="0" w:firstLine="720"/>
      </w:pPr>
      <w:r w:rsidRPr="000148CE">
        <w:t xml:space="preserve">The BSA authorizes the Secretary of the Treasury (Secretary) to, </w:t>
      </w:r>
      <w:r w:rsidRPr="000148CE">
        <w:rPr>
          <w:i/>
        </w:rPr>
        <w:t>inter alia</w:t>
      </w:r>
      <w:r w:rsidRPr="000148CE">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laundering/countering the financing of terrorism (AML/CFT) programs and compliance procedures.</w:t>
      </w:r>
      <w:r>
        <w:rPr>
          <w:rStyle w:val="FootnoteReference"/>
        </w:rPr>
        <w:footnoteReference w:id="4"/>
      </w:r>
      <w:r w:rsidRPr="000148CE">
        <w:t xml:space="preserve">  The authority of the Secretary to administer the BSA has been delegated to the Director of FinCEN.</w:t>
      </w:r>
      <w:r>
        <w:rPr>
          <w:rStyle w:val="FootnoteReference"/>
        </w:rPr>
        <w:footnoteReference w:id="5"/>
      </w:r>
    </w:p>
    <w:p w:rsidR="00D56F88" w:rsidP="00C664F8" w14:paraId="1D707DD4" w14:textId="77777777">
      <w:pPr>
        <w:shd w:val="clear" w:color="auto" w:fill="FFFFFF"/>
        <w:rPr>
          <w:bCs/>
        </w:rPr>
      </w:pPr>
    </w:p>
    <w:p w:rsidR="00E859C4" w:rsidRPr="00837B32" w:rsidP="007400B4" w14:paraId="606102D9" w14:textId="77777777">
      <w:pPr>
        <w:shd w:val="clear" w:color="auto" w:fill="FFFFFF"/>
        <w:ind w:firstLine="720"/>
        <w:rPr>
          <w:rFonts w:eastAsia="MS Mincho"/>
          <w:bCs/>
        </w:rPr>
      </w:pPr>
      <w:r>
        <w:rPr>
          <w:rFonts w:eastAsia="MS Mincho"/>
          <w:bCs/>
        </w:rPr>
        <w:t xml:space="preserve">Pursuant </w:t>
      </w:r>
      <w:r w:rsidRPr="004B4012">
        <w:rPr>
          <w:rFonts w:eastAsia="MS Mincho"/>
          <w:bCs/>
        </w:rPr>
        <w:t>31 CFR 1023.410(a)</w:t>
      </w:r>
      <w:r>
        <w:rPr>
          <w:rFonts w:eastAsia="MS Mincho"/>
          <w:bCs/>
        </w:rPr>
        <w:t xml:space="preserve">, </w:t>
      </w:r>
      <w:r w:rsidRPr="004B4012">
        <w:rPr>
          <w:rFonts w:eastAsia="MS Mincho"/>
          <w:bCs/>
        </w:rPr>
        <w:t>a broker or dealer in securities</w:t>
      </w:r>
      <w:r>
        <w:rPr>
          <w:rFonts w:eastAsia="MS Mincho"/>
          <w:bCs/>
        </w:rPr>
        <w:t xml:space="preserve"> is required to secure and</w:t>
      </w:r>
      <w:r w:rsidRPr="004B4012">
        <w:rPr>
          <w:rFonts w:eastAsia="MS Mincho"/>
          <w:bCs/>
        </w:rPr>
        <w:t xml:space="preserve"> </w:t>
      </w:r>
      <w:r>
        <w:rPr>
          <w:rFonts w:eastAsia="MS Mincho"/>
          <w:bCs/>
        </w:rPr>
        <w:t xml:space="preserve">maintain </w:t>
      </w:r>
      <w:r w:rsidRPr="004B4012">
        <w:rPr>
          <w:rFonts w:eastAsia="MS Mincho"/>
          <w:bCs/>
        </w:rPr>
        <w:t xml:space="preserve">a record of certain </w:t>
      </w:r>
      <w:r>
        <w:rPr>
          <w:rFonts w:eastAsia="MS Mincho"/>
          <w:bCs/>
        </w:rPr>
        <w:t xml:space="preserve">identifying </w:t>
      </w:r>
      <w:r w:rsidRPr="004B4012">
        <w:rPr>
          <w:rFonts w:eastAsia="MS Mincho"/>
          <w:bCs/>
        </w:rPr>
        <w:t xml:space="preserve">information </w:t>
      </w:r>
      <w:r>
        <w:rPr>
          <w:rFonts w:eastAsia="MS Mincho"/>
          <w:bCs/>
        </w:rPr>
        <w:t>for persons who have opened brokerage accounts during the period from June 30, 1972 to October 1, 2003</w:t>
      </w:r>
      <w:r w:rsidRPr="004B4012">
        <w:rPr>
          <w:rFonts w:eastAsia="MS Mincho"/>
          <w:bCs/>
        </w:rPr>
        <w:t>.  The customer identification program (CIP) requirement for brokers or dealers in securities has effectively superseded th</w:t>
      </w:r>
      <w:r>
        <w:rPr>
          <w:rFonts w:eastAsia="MS Mincho"/>
          <w:bCs/>
        </w:rPr>
        <w:t>at</w:t>
      </w:r>
      <w:r w:rsidRPr="004B4012">
        <w:rPr>
          <w:rFonts w:eastAsia="MS Mincho"/>
          <w:bCs/>
        </w:rPr>
        <w:t xml:space="preserve"> requirement, and CIP requirements are not considered in connection with this OMB control number renewal.</w:t>
      </w:r>
      <w:r>
        <w:rPr>
          <w:rStyle w:val="FootnoteReference"/>
          <w:rFonts w:eastAsia="MS Mincho"/>
          <w:bCs/>
        </w:rPr>
        <w:footnoteReference w:id="6"/>
      </w:r>
    </w:p>
    <w:p w:rsidR="00E859C4" w:rsidP="00E859C4" w14:paraId="389A6154" w14:textId="77777777">
      <w:pPr>
        <w:shd w:val="clear" w:color="auto" w:fill="FFFFFF"/>
        <w:rPr>
          <w:rFonts w:eastAsia="MS Mincho"/>
          <w:bCs/>
        </w:rPr>
      </w:pPr>
    </w:p>
    <w:p w:rsidR="00E859C4" w:rsidRPr="00837B32" w:rsidP="007400B4" w14:paraId="04B7324D" w14:textId="166EED82">
      <w:pPr>
        <w:shd w:val="clear" w:color="auto" w:fill="FFFFFF"/>
        <w:ind w:firstLine="720"/>
        <w:rPr>
          <w:rFonts w:eastAsia="MS Mincho"/>
          <w:bCs/>
        </w:rPr>
      </w:pPr>
      <w:r>
        <w:rPr>
          <w:rFonts w:eastAsia="MS Mincho"/>
          <w:bCs/>
        </w:rPr>
        <w:t>Pursuant to</w:t>
      </w:r>
      <w:r w:rsidRPr="00837B32">
        <w:rPr>
          <w:rFonts w:eastAsia="MS Mincho"/>
          <w:bCs/>
        </w:rPr>
        <w:t xml:space="preserve"> 31 CFR 1023.410(b), a broker or dealer in securities must retain an original or copy of: (1)</w:t>
      </w:r>
      <w:r>
        <w:rPr>
          <w:rFonts w:eastAsia="MS Mincho"/>
          <w:bCs/>
        </w:rPr>
        <w:t> </w:t>
      </w:r>
      <w:r w:rsidRPr="00837B32">
        <w:rPr>
          <w:rFonts w:eastAsia="MS Mincho"/>
          <w:bCs/>
        </w:rPr>
        <w:t xml:space="preserve">each document granting signature or trading </w:t>
      </w:r>
      <w:r w:rsidRPr="00837B32">
        <w:rPr>
          <w:rFonts w:eastAsia="MS Mincho"/>
          <w:bCs/>
        </w:rPr>
        <w:t>authority over each customer’s account; (2)</w:t>
      </w:r>
      <w:r>
        <w:rPr>
          <w:rFonts w:eastAsia="MS Mincho"/>
        </w:rPr>
        <w:t> </w:t>
      </w:r>
      <w:r w:rsidRPr="00837B32">
        <w:rPr>
          <w:rFonts w:eastAsia="MS Mincho"/>
          <w:bCs/>
        </w:rPr>
        <w:t xml:space="preserve">a record of each remittance or transfer of funds, </w:t>
      </w:r>
      <w:r>
        <w:rPr>
          <w:rFonts w:eastAsia="MS Mincho"/>
          <w:bCs/>
        </w:rPr>
        <w:t xml:space="preserve">or of </w:t>
      </w:r>
      <w:r w:rsidRPr="00837B32">
        <w:rPr>
          <w:rFonts w:eastAsia="MS Mincho"/>
          <w:bCs/>
        </w:rPr>
        <w:t xml:space="preserve">currency, checks, other monetary instruments, investment securities, or credit, of more than </w:t>
      </w:r>
      <w:r w:rsidRPr="00837B32">
        <w:rPr>
          <w:rFonts w:eastAsia="MS Mincho"/>
          <w:bCs/>
        </w:rPr>
        <w:t>$10,000 to a person, account, or place outside the United States; (3)</w:t>
      </w:r>
      <w:r>
        <w:rPr>
          <w:rFonts w:eastAsia="MS Mincho"/>
          <w:bCs/>
        </w:rPr>
        <w:t> </w:t>
      </w:r>
      <w:r w:rsidRPr="00837B32">
        <w:rPr>
          <w:rFonts w:eastAsia="MS Mincho"/>
          <w:bCs/>
        </w:rPr>
        <w:t>a record of each receipt of currency, other monetary instruments, investment securities, or checks, and of each transfer of funds or credit, of more than $10,000 on any one occasion, not through a domestic financial institution, from any person, acc</w:t>
      </w:r>
      <w:r w:rsidRPr="00837B32">
        <w:rPr>
          <w:rFonts w:eastAsia="MS Mincho"/>
          <w:bCs/>
        </w:rPr>
        <w:t xml:space="preserve">ount, or place outside the United States; and </w:t>
      </w:r>
      <w:r w:rsidRPr="00ED5839">
        <w:rPr>
          <w:rFonts w:eastAsia="MS Mincho"/>
          <w:bCs/>
        </w:rPr>
        <w:t>(4)</w:t>
      </w:r>
      <w:r>
        <w:rPr>
          <w:rFonts w:eastAsia="MS Mincho"/>
          <w:bCs/>
        </w:rPr>
        <w:t> </w:t>
      </w:r>
      <w:r w:rsidRPr="00ED5839">
        <w:rPr>
          <w:rFonts w:eastAsia="MS Mincho"/>
          <w:bCs/>
        </w:rPr>
        <w:t>each record described in paragraphs (1), (2), (3), (5), (6), (7), (8), and (9) of 17 CFR 240.17a-3(a).</w:t>
      </w:r>
      <w:r>
        <w:rPr>
          <w:rFonts w:eastAsia="MS Mincho"/>
          <w:bCs/>
        </w:rPr>
        <w:t xml:space="preserve">  </w:t>
      </w:r>
      <w:r w:rsidRPr="00837B32">
        <w:rPr>
          <w:rFonts w:eastAsia="MS Mincho"/>
          <w:bCs/>
        </w:rPr>
        <w:t>To the extent that these records include originals or copies of checks, drafts, monetary instruments, investment securities, or other similar instruments, copies of front and back of such instruments must generally be retained.</w:t>
      </w:r>
      <w:r>
        <w:rPr>
          <w:rStyle w:val="FootnoteReference"/>
          <w:rFonts w:eastAsia="MS Mincho"/>
          <w:bCs/>
        </w:rPr>
        <w:footnoteReference w:id="7"/>
      </w:r>
      <w:r>
        <w:rPr>
          <w:rFonts w:eastAsia="MS Mincho"/>
          <w:bCs/>
        </w:rPr>
        <w:t xml:space="preserve">  </w:t>
      </w:r>
      <w:r w:rsidRPr="002B1AE2">
        <w:rPr>
          <w:shd w:val="clear" w:color="auto" w:fill="FFFFFF"/>
        </w:rPr>
        <w:t>If no record is made in the ordinary course of business of any transaction with respect to which records are required to be retained, then such a record shall be prepared in writing.</w:t>
      </w:r>
      <w:r>
        <w:rPr>
          <w:rStyle w:val="FootnoteReference"/>
          <w:shd w:val="clear" w:color="auto" w:fill="FFFFFF"/>
        </w:rPr>
        <w:footnoteReference w:id="8"/>
      </w:r>
      <w:r w:rsidRPr="002B1AE2">
        <w:rPr>
          <w:rFonts w:eastAsia="MS Mincho"/>
          <w:bCs/>
        </w:rPr>
        <w:t xml:space="preserve"> </w:t>
      </w:r>
      <w:r>
        <w:rPr>
          <w:rFonts w:eastAsia="MS Mincho"/>
          <w:bCs/>
        </w:rPr>
        <w:t xml:space="preserve"> R</w:t>
      </w:r>
      <w:r w:rsidRPr="00837B32">
        <w:rPr>
          <w:rFonts w:eastAsia="MS Mincho"/>
          <w:bCs/>
        </w:rPr>
        <w:t>ecords must be maintained for five years.</w:t>
      </w:r>
      <w:r>
        <w:rPr>
          <w:rStyle w:val="FootnoteReference"/>
          <w:rFonts w:eastAsia="MS Mincho"/>
          <w:bCs/>
        </w:rPr>
        <w:footnoteReference w:id="9"/>
      </w:r>
      <w:r w:rsidRPr="00837B32">
        <w:rPr>
          <w:rFonts w:eastAsia="MS Mincho"/>
          <w:bCs/>
        </w:rPr>
        <w:t xml:space="preserve"> </w:t>
      </w:r>
      <w:r w:rsidRPr="00837B32">
        <w:rPr>
          <w:rStyle w:val="CommentReference"/>
        </w:rPr>
        <w:t xml:space="preserve"> </w:t>
      </w:r>
    </w:p>
    <w:p w:rsidR="00C40239" w:rsidRPr="00AA6051" w:rsidP="009829C3" w14:paraId="047844FF" w14:textId="77777777">
      <w:pPr>
        <w:shd w:val="clear" w:color="auto" w:fill="FFFFFF"/>
        <w:ind w:firstLine="720"/>
        <w:rPr>
          <w:rFonts w:eastAsia="MS Mincho"/>
          <w:bCs/>
        </w:rPr>
      </w:pPr>
    </w:p>
    <w:p w:rsidR="00643252" w:rsidRPr="00AA6051" w:rsidP="009829C3" w14:paraId="14FB9A38" w14:textId="77777777">
      <w:pPr>
        <w:rPr>
          <w:bCs/>
        </w:rPr>
      </w:pPr>
      <w:r w:rsidRPr="00AA6051">
        <w:rPr>
          <w:bCs/>
        </w:rPr>
        <w:t xml:space="preserve">2. </w:t>
      </w:r>
      <w:r w:rsidRPr="00AA6051">
        <w:rPr>
          <w:bCs/>
          <w:u w:val="single"/>
        </w:rPr>
        <w:t>M</w:t>
      </w:r>
      <w:r w:rsidRPr="00AA6051" w:rsidR="00E667ED">
        <w:rPr>
          <w:bCs/>
          <w:u w:val="single"/>
        </w:rPr>
        <w:t>ethod of collection and use of d</w:t>
      </w:r>
      <w:r w:rsidRPr="00AA6051">
        <w:rPr>
          <w:bCs/>
          <w:u w:val="single"/>
        </w:rPr>
        <w:t>ata.</w:t>
      </w:r>
      <w:r w:rsidRPr="00AA6051">
        <w:rPr>
          <w:bCs/>
        </w:rPr>
        <w:t xml:space="preserve"> </w:t>
      </w:r>
    </w:p>
    <w:p w:rsidR="009829C3" w:rsidRPr="00AA6051" w:rsidP="009829C3" w14:paraId="135816EF" w14:textId="77777777">
      <w:pPr>
        <w:rPr>
          <w:bCs/>
        </w:rPr>
      </w:pPr>
    </w:p>
    <w:p w:rsidR="00256FEE" w:rsidP="009829C3" w14:paraId="3CB3166B" w14:textId="77777777">
      <w:pPr>
        <w:ind w:firstLine="720"/>
      </w:pPr>
      <w:r w:rsidRPr="00054D31">
        <w:rPr>
          <w:bCs/>
        </w:rPr>
        <w:t>The collection of info</w:t>
      </w:r>
      <w:r w:rsidRPr="00054D31" w:rsidR="00C70EA9">
        <w:rPr>
          <w:bCs/>
        </w:rPr>
        <w:t xml:space="preserve">rmation </w:t>
      </w:r>
      <w:r w:rsidR="000C0696">
        <w:rPr>
          <w:bCs/>
        </w:rPr>
        <w:t xml:space="preserve">described above </w:t>
      </w:r>
      <w:r w:rsidRPr="00054D31" w:rsidR="00C70EA9">
        <w:rPr>
          <w:bCs/>
        </w:rPr>
        <w:t>is not reported to the F</w:t>
      </w:r>
      <w:r w:rsidRPr="00054D31">
        <w:rPr>
          <w:bCs/>
        </w:rPr>
        <w:t xml:space="preserve">ederal government. </w:t>
      </w:r>
      <w:r w:rsidR="00023515">
        <w:rPr>
          <w:bCs/>
        </w:rPr>
        <w:t xml:space="preserve"> </w:t>
      </w:r>
      <w:r w:rsidRPr="00054D31">
        <w:rPr>
          <w:bCs/>
        </w:rPr>
        <w:t>Inst</w:t>
      </w:r>
      <w:r w:rsidRPr="00054D31">
        <w:t xml:space="preserve">ead, </w:t>
      </w:r>
      <w:r w:rsidRPr="00054D31" w:rsidR="00CD73CD">
        <w:t xml:space="preserve">brokers or dealers in securities </w:t>
      </w:r>
      <w:r w:rsidRPr="00054D31" w:rsidR="00544A40">
        <w:t>are</w:t>
      </w:r>
      <w:r w:rsidRPr="00054D31">
        <w:t xml:space="preserve"> required to </w:t>
      </w:r>
      <w:r w:rsidRPr="00054D31" w:rsidR="00CD73CD">
        <w:t>secure</w:t>
      </w:r>
      <w:r w:rsidRPr="00054D31" w:rsidR="00C70EA9">
        <w:t xml:space="preserve"> and maintain records </w:t>
      </w:r>
      <w:r w:rsidRPr="00054D31" w:rsidR="0041548D">
        <w:t xml:space="preserve">of </w:t>
      </w:r>
      <w:r w:rsidRPr="00054D31" w:rsidR="00CD73CD">
        <w:t xml:space="preserve">the taxpayer identification number for individuals for whom a transaction or brokerage account is opened, or for whom a line of credit is extended, subject to certain exceptions. </w:t>
      </w:r>
      <w:r w:rsidR="00AE348B">
        <w:t xml:space="preserve"> </w:t>
      </w:r>
      <w:r w:rsidRPr="00054D31" w:rsidR="00CD73CD">
        <w:t>The re</w:t>
      </w:r>
      <w:r w:rsidR="005740D5">
        <w:t xml:space="preserve">gulations also require that </w:t>
      </w:r>
      <w:r w:rsidRPr="00054D31" w:rsidR="00CD73CD">
        <w:t>brokers or dealers in securities retain originals or copies of specified documents relating to account and transaction records</w:t>
      </w:r>
      <w:r w:rsidRPr="00054D31">
        <w:t xml:space="preserve">.  </w:t>
      </w:r>
    </w:p>
    <w:p w:rsidR="00256FEE" w:rsidRPr="00256FEE" w:rsidP="00256FEE" w14:paraId="1690F17E" w14:textId="3C3F1457">
      <w:r w:rsidRPr="00256FEE">
        <w:t xml:space="preserve">These requirements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  Compliance with these requirements </w:t>
      </w:r>
      <w:r w:rsidR="00194079">
        <w:t>is</w:t>
      </w:r>
      <w:r w:rsidR="00FD7A0B">
        <w:t xml:space="preserve"> </w:t>
      </w:r>
      <w:r w:rsidRPr="00256FEE">
        <w:t>reviewed by Federal agencies during BSA examinations.</w:t>
      </w:r>
    </w:p>
    <w:p w:rsidR="009829C3" w:rsidRPr="00AA6051" w:rsidP="00AD24B3" w14:paraId="5504AF9F" w14:textId="1A15FB4F"/>
    <w:p w:rsidR="00643252" w:rsidRPr="00C34B95" w:rsidP="009829C3" w14:paraId="2FD25030" w14:textId="77777777">
      <w:pPr>
        <w:rPr>
          <w:szCs w:val="22"/>
        </w:rPr>
      </w:pPr>
      <w:r w:rsidRPr="00C34B95">
        <w:rPr>
          <w:szCs w:val="22"/>
        </w:rPr>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information technology to reduce b</w:t>
      </w:r>
      <w:r w:rsidRPr="00C34B95">
        <w:rPr>
          <w:szCs w:val="22"/>
          <w:u w:val="single"/>
        </w:rPr>
        <w:t>urden.</w:t>
      </w:r>
      <w:r w:rsidRPr="00C34B95">
        <w:rPr>
          <w:szCs w:val="22"/>
        </w:rPr>
        <w:t xml:space="preserve"> </w:t>
      </w:r>
    </w:p>
    <w:p w:rsidR="009829C3" w:rsidRPr="00C34B95" w:rsidP="009829C3" w14:paraId="325B0AB8" w14:textId="77777777">
      <w:pPr>
        <w:rPr>
          <w:szCs w:val="22"/>
        </w:rPr>
      </w:pPr>
    </w:p>
    <w:p w:rsidR="00643252" w:rsidRPr="00AA6051" w:rsidP="009829C3" w14:paraId="69B7010B" w14:textId="3B1714A7">
      <w:pPr>
        <w:ind w:firstLine="720"/>
        <w:rPr>
          <w:szCs w:val="22"/>
        </w:rPr>
      </w:pPr>
      <w:r>
        <w:rPr>
          <w:szCs w:val="22"/>
        </w:rPr>
        <w:t>Brokers or dealers in securities</w:t>
      </w:r>
      <w:r w:rsidRPr="00C34B95">
        <w:rPr>
          <w:szCs w:val="22"/>
        </w:rPr>
        <w:t xml:space="preserve"> </w:t>
      </w:r>
      <w:r w:rsidRPr="00C34B95" w:rsidR="00414797">
        <w:rPr>
          <w:szCs w:val="22"/>
        </w:rPr>
        <w:t xml:space="preserve">are permitted to automate their </w:t>
      </w:r>
      <w:r w:rsidR="00D77247">
        <w:rPr>
          <w:szCs w:val="22"/>
        </w:rPr>
        <w:t>AML program</w:t>
      </w:r>
      <w:r w:rsidR="00DA5B9E">
        <w:rPr>
          <w:szCs w:val="22"/>
        </w:rPr>
        <w:t>s</w:t>
      </w:r>
      <w:r w:rsidRPr="00C34B95" w:rsidR="00414797">
        <w:rPr>
          <w:szCs w:val="22"/>
        </w:rPr>
        <w:t xml:space="preserve"> to meet their requirements</w:t>
      </w:r>
      <w:r w:rsidR="00DA5B9E">
        <w:rPr>
          <w:szCs w:val="22"/>
        </w:rPr>
        <w:t>, including the require</w:t>
      </w:r>
      <w:r w:rsidR="00017C21">
        <w:rPr>
          <w:szCs w:val="22"/>
        </w:rPr>
        <w:t>ment</w:t>
      </w:r>
      <w:r w:rsidR="00DA5B9E">
        <w:rPr>
          <w:szCs w:val="22"/>
        </w:rPr>
        <w:t xml:space="preserve"> to collect </w:t>
      </w:r>
      <w:r w:rsidR="00017C21">
        <w:rPr>
          <w:szCs w:val="22"/>
        </w:rPr>
        <w:t>certain records</w:t>
      </w:r>
      <w:r w:rsidRPr="00C34B95" w:rsidR="00414797">
        <w:rPr>
          <w:szCs w:val="22"/>
        </w:rPr>
        <w:t xml:space="preserve">. </w:t>
      </w:r>
      <w:r w:rsidR="00B93FD9">
        <w:rPr>
          <w:szCs w:val="22"/>
        </w:rPr>
        <w:t xml:space="preserve"> </w:t>
      </w:r>
      <w:r w:rsidRPr="00C34B95" w:rsidR="00414797">
        <w:rPr>
          <w:szCs w:val="22"/>
        </w:rPr>
        <w:t>There is no specific government mandate to do so.</w:t>
      </w:r>
      <w:r w:rsidRPr="00AA6051" w:rsidR="00414797">
        <w:rPr>
          <w:szCs w:val="22"/>
        </w:rPr>
        <w:t xml:space="preserve">  </w:t>
      </w:r>
    </w:p>
    <w:p w:rsidR="009829C3" w:rsidRPr="00AA6051" w:rsidP="009829C3" w14:paraId="2CAFF8C9" w14:textId="77777777">
      <w:pPr>
        <w:ind w:firstLine="720"/>
        <w:rPr>
          <w:szCs w:val="22"/>
        </w:rPr>
      </w:pPr>
    </w:p>
    <w:p w:rsidR="00643252" w:rsidRPr="00AA6051" w:rsidP="009829C3" w14:paraId="75E7FF2C" w14:textId="77777777">
      <w:pPr>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009829C3" w:rsidRPr="00AA6051" w:rsidP="009829C3" w14:paraId="6035381D" w14:textId="77777777">
      <w:pPr>
        <w:rPr>
          <w:szCs w:val="22"/>
          <w:u w:val="single"/>
        </w:rPr>
      </w:pPr>
    </w:p>
    <w:p w:rsidR="00C4238E" w:rsidRPr="00AA6051" w:rsidP="009829C3" w14:paraId="74B6978F" w14:textId="77777777">
      <w:pPr>
        <w:ind w:firstLine="720"/>
      </w:pPr>
      <w:r w:rsidRPr="00AA6051">
        <w:t>There is no similar information available; thus there is no duplication.</w:t>
      </w:r>
    </w:p>
    <w:p w:rsidR="009829C3" w:rsidRPr="00AA6051" w:rsidP="009829C3" w14:paraId="1BE13FCA" w14:textId="77777777">
      <w:pPr>
        <w:ind w:firstLine="720"/>
      </w:pPr>
    </w:p>
    <w:p w:rsidR="00643252" w:rsidRPr="00AA6051" w:rsidP="009829C3" w14:paraId="2B58DF28" w14:textId="77777777">
      <w:pPr>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009829C3" w:rsidRPr="00AA6051" w:rsidP="009829C3" w14:paraId="0B75D2E8" w14:textId="77777777">
      <w:pPr>
        <w:ind w:firstLine="720"/>
        <w:rPr>
          <w:szCs w:val="22"/>
        </w:rPr>
      </w:pPr>
    </w:p>
    <w:p w:rsidR="00643252" w:rsidRPr="00AA6051" w:rsidP="009829C3" w14:paraId="4228CBCC" w14:textId="65B68BEB">
      <w:pPr>
        <w:ind w:firstLine="720"/>
        <w:rPr>
          <w:szCs w:val="22"/>
        </w:rPr>
      </w:pPr>
      <w:r w:rsidRPr="00054D31">
        <w:rPr>
          <w:szCs w:val="22"/>
        </w:rPr>
        <w:t xml:space="preserve">All </w:t>
      </w:r>
      <w:r w:rsidR="000C0696">
        <w:rPr>
          <w:szCs w:val="22"/>
        </w:rPr>
        <w:t>b</w:t>
      </w:r>
      <w:r w:rsidRPr="00054D31" w:rsidR="001947D3">
        <w:rPr>
          <w:szCs w:val="22"/>
        </w:rPr>
        <w:t>rokers or dealers in securities</w:t>
      </w:r>
      <w:r w:rsidRPr="00054D31">
        <w:rPr>
          <w:szCs w:val="22"/>
        </w:rPr>
        <w:t xml:space="preserve"> are required</w:t>
      </w:r>
      <w:r w:rsidRPr="00054D31" w:rsidR="004C2D27">
        <w:rPr>
          <w:szCs w:val="22"/>
        </w:rPr>
        <w:t xml:space="preserve"> to </w:t>
      </w:r>
      <w:r w:rsidRPr="00054D31" w:rsidR="001947D3">
        <w:rPr>
          <w:szCs w:val="22"/>
        </w:rPr>
        <w:t>secure and maintain</w:t>
      </w:r>
      <w:r w:rsidR="00683622">
        <w:rPr>
          <w:szCs w:val="22"/>
        </w:rPr>
        <w:t xml:space="preserve"> the records described in this statement</w:t>
      </w:r>
      <w:r w:rsidRPr="00054D31" w:rsidR="001947D3">
        <w:rPr>
          <w:szCs w:val="22"/>
        </w:rPr>
        <w:t xml:space="preserve"> and </w:t>
      </w:r>
      <w:r w:rsidRPr="00054D31" w:rsidR="004C2D27">
        <w:rPr>
          <w:szCs w:val="22"/>
        </w:rPr>
        <w:t xml:space="preserve">are permitted to use the method most suitable </w:t>
      </w:r>
      <w:r w:rsidR="005F7329">
        <w:rPr>
          <w:szCs w:val="22"/>
        </w:rPr>
        <w:t xml:space="preserve">based on their assessment of risk as it relates </w:t>
      </w:r>
      <w:r w:rsidRPr="00054D31" w:rsidR="004C2D27">
        <w:rPr>
          <w:szCs w:val="22"/>
        </w:rPr>
        <w:t xml:space="preserve">to their </w:t>
      </w:r>
      <w:r w:rsidR="008358F1">
        <w:rPr>
          <w:szCs w:val="22"/>
        </w:rPr>
        <w:t>size and type of business</w:t>
      </w:r>
      <w:r w:rsidRPr="00054D31" w:rsidR="004C2D27">
        <w:rPr>
          <w:szCs w:val="22"/>
        </w:rPr>
        <w:t>.</w:t>
      </w:r>
    </w:p>
    <w:p w:rsidR="009829C3" w:rsidRPr="00AA6051" w:rsidP="009829C3" w14:paraId="321F2FD2" w14:textId="77777777">
      <w:pPr>
        <w:ind w:firstLine="720"/>
        <w:rPr>
          <w:szCs w:val="22"/>
        </w:rPr>
      </w:pPr>
    </w:p>
    <w:p w:rsidR="00643252" w:rsidRPr="00AA6051" w:rsidP="009829C3" w14:paraId="717A558A" w14:textId="77777777">
      <w:pPr>
        <w:rPr>
          <w:szCs w:val="22"/>
        </w:rPr>
      </w:pPr>
      <w:r w:rsidRPr="00AA6051">
        <w:rPr>
          <w:szCs w:val="22"/>
        </w:rPr>
        <w:t xml:space="preserve">6. </w:t>
      </w:r>
      <w:r w:rsidRPr="00AA6051" w:rsidR="00E667ED">
        <w:rPr>
          <w:szCs w:val="22"/>
          <w:u w:val="single"/>
        </w:rPr>
        <w:t>Consequences to the Federal g</w:t>
      </w:r>
      <w:r w:rsidRPr="00AA6051">
        <w:rPr>
          <w:szCs w:val="22"/>
          <w:u w:val="single"/>
        </w:rPr>
        <w:t>o</w:t>
      </w:r>
      <w:r w:rsidRPr="00AA6051" w:rsidR="00E667ED">
        <w:rPr>
          <w:szCs w:val="22"/>
          <w:u w:val="single"/>
        </w:rPr>
        <w:t>vernment of not collecting the i</w:t>
      </w:r>
      <w:r w:rsidRPr="00AA6051">
        <w:rPr>
          <w:szCs w:val="22"/>
          <w:u w:val="single"/>
        </w:rPr>
        <w:t>nformation.</w:t>
      </w:r>
      <w:r w:rsidRPr="00AA6051">
        <w:rPr>
          <w:szCs w:val="22"/>
        </w:rPr>
        <w:t xml:space="preserve"> </w:t>
      </w:r>
    </w:p>
    <w:p w:rsidR="009829C3" w:rsidRPr="00AA6051" w:rsidP="009829C3" w14:paraId="7D308F8E" w14:textId="77777777">
      <w:pPr>
        <w:ind w:firstLine="720"/>
        <w:rPr>
          <w:szCs w:val="22"/>
        </w:rPr>
      </w:pPr>
    </w:p>
    <w:p w:rsidR="00643252" w:rsidRPr="00AA6051" w:rsidP="009829C3" w14:paraId="4B0047AD" w14:textId="61041150">
      <w:pPr>
        <w:ind w:firstLine="720"/>
        <w:rPr>
          <w:szCs w:val="22"/>
        </w:rPr>
      </w:pPr>
      <w:r>
        <w:t xml:space="preserve">These recordkeeping requirements are intended to help law enforcement and </w:t>
      </w:r>
      <w:r w:rsidRPr="00065A1A">
        <w:t xml:space="preserve">regulatory authorities detect, investigate, and prosecute money laundering, and other financial crimes by preserving an information trail about </w:t>
      </w:r>
      <w:r>
        <w:t xml:space="preserve">certain transactions conducted by brokers or </w:t>
      </w:r>
      <w:r w:rsidR="003E22EE">
        <w:t>dealers in securities</w:t>
      </w:r>
      <w:r>
        <w:t xml:space="preserve">.  Access to these records is a key component to assisting law enforcement and regulatory authorities to protect the financial system from crime. </w:t>
      </w:r>
    </w:p>
    <w:p w:rsidR="009829C3" w:rsidRPr="00AA6051" w:rsidP="009829C3" w14:paraId="64CA92E2" w14:textId="77777777">
      <w:pPr>
        <w:ind w:firstLine="720"/>
        <w:rPr>
          <w:szCs w:val="22"/>
        </w:rPr>
      </w:pPr>
    </w:p>
    <w:p w:rsidR="00643252" w:rsidRPr="00AA6051" w:rsidP="009829C3" w14:paraId="4A71DC8A" w14:textId="77777777">
      <w:pPr>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00643252" w:rsidRPr="00AA6051" w:rsidP="009829C3" w14:paraId="0D267E51" w14:textId="77777777">
      <w:pPr>
        <w:widowControl w:val="0"/>
        <w:autoSpaceDE w:val="0"/>
        <w:autoSpaceDN w:val="0"/>
        <w:adjustRightInd w:val="0"/>
        <w:spacing w:line="240" w:lineRule="exact"/>
        <w:ind w:firstLine="710"/>
        <w:rPr>
          <w:szCs w:val="22"/>
        </w:rPr>
      </w:pPr>
    </w:p>
    <w:p w:rsidR="00CB55E8" w:rsidP="00CB55E8" w14:paraId="4E719562" w14:textId="77777777">
      <w:pPr>
        <w:ind w:firstLine="720"/>
      </w:pPr>
      <w:r w:rsidRPr="00561AE5">
        <w:t xml:space="preserve">Under 31 CFR 1010.430(d), </w:t>
      </w:r>
      <w:r w:rsidRPr="00561AE5">
        <w:rPr>
          <w:lang w:val="en"/>
        </w:rPr>
        <w:t xml:space="preserve">all records that are required to be retained by 31 CFR Chapter X must be retained for a period of five years.  Records </w:t>
      </w:r>
      <w:r w:rsidRPr="00561AE5">
        <w:t xml:space="preserve">must also be kept for five years to verify compliance with </w:t>
      </w:r>
      <w:r>
        <w:t>31 CFR Chapter X</w:t>
      </w:r>
      <w:r w:rsidRPr="00561AE5">
        <w:t>, as such record</w:t>
      </w:r>
      <w:r>
        <w:t>s</w:t>
      </w:r>
      <w:r w:rsidRPr="00561AE5">
        <w:t xml:space="preserve"> may relate to civil penalty actions that are subject to statutes of limitation longer than three years. </w:t>
      </w:r>
    </w:p>
    <w:p w:rsidR="00D52D6F" w:rsidRPr="00AA6051" w:rsidP="0061193D" w14:paraId="6260854A" w14:textId="77777777"/>
    <w:p w:rsidR="00643252" w:rsidRPr="00AA6051" w:rsidP="0061193D" w14:paraId="2BE64372" w14:textId="77777777">
      <w:pPr>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ency on availability of data f</w:t>
      </w:r>
      <w:r w:rsidRPr="00AA6051">
        <w:rPr>
          <w:szCs w:val="22"/>
          <w:u w:val="single"/>
        </w:rPr>
        <w:t>requ</w:t>
      </w:r>
      <w:r w:rsidRPr="00AA6051" w:rsidR="00E667ED">
        <w:rPr>
          <w:szCs w:val="22"/>
          <w:u w:val="single"/>
        </w:rPr>
        <w:t>ency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00643252" w:rsidRPr="00AA6051" w:rsidP="0061193D" w14:paraId="3BB644E8" w14:textId="77777777">
      <w:pPr>
        <w:rPr>
          <w:szCs w:val="22"/>
        </w:rPr>
      </w:pPr>
    </w:p>
    <w:p w:rsidR="0043360E" w:rsidRPr="0043360E" w:rsidP="0043360E" w14:paraId="671B0544" w14:textId="197666C2">
      <w:pPr>
        <w:ind w:firstLine="720"/>
      </w:pPr>
      <w:r>
        <w:t>On August 13, 202</w:t>
      </w:r>
      <w:r w:rsidR="00522998">
        <w:t>4</w:t>
      </w:r>
      <w:r>
        <w:t>, FinCEN published in the Federal Register a notice and request for comments of its intention to renew, without change, information collection requirements for regulations requiring additional records to be made and retained by dealers in foreign exchange and additional records to be made and retained by brokers or dealers in securities.</w:t>
      </w:r>
      <w:r>
        <w:rPr>
          <w:rStyle w:val="FootnoteReference"/>
        </w:rPr>
        <w:footnoteReference w:id="10"/>
      </w:r>
      <w:r>
        <w:t xml:space="preserve">  The comment period closed on October 15, 2024.  FinCEN received </w:t>
      </w:r>
      <w:r w:rsidR="003F38A4">
        <w:t>one</w:t>
      </w:r>
      <w:r>
        <w:t xml:space="preserve"> comments in response to the notice.</w:t>
      </w:r>
      <w:r w:rsidRPr="0043360E">
        <w:t xml:space="preserve"> However, the comment did not </w:t>
      </w:r>
      <w:r w:rsidR="00CF097E">
        <w:t xml:space="preserve">make recommendations regarding these </w:t>
      </w:r>
      <w:r w:rsidRPr="0043360E">
        <w:t>BSA regulatory requirements or corresponding burden estimates.</w:t>
      </w:r>
    </w:p>
    <w:p w:rsidR="0043360E" w:rsidRPr="0043360E" w:rsidP="0043360E" w14:paraId="12A5E4C3" w14:textId="77777777">
      <w:pPr>
        <w:ind w:firstLine="720"/>
      </w:pPr>
    </w:p>
    <w:p w:rsidR="00414797" w:rsidRPr="00AA6051" w:rsidP="009B21BC" w14:paraId="5A7E3F9D" w14:textId="4D80F5ED">
      <w:pPr>
        <w:ind w:firstLine="720"/>
      </w:pPr>
      <w:r w:rsidRPr="0043360E">
        <w:t>FinCEN appreciates feedback provided by commenters and will take recommendations into consideration.  In addition, as noted in the 60-day notice to renew this information collection, in connection with a variety of initiatives FinCEN is undertaking to implement the AML Act, FinCEN intends to conduct, in the future, additional assessments of the PRA burden associated with BSA requirements and responsive modifications to current estimates.</w:t>
      </w:r>
      <w:r w:rsidR="00BE2DDC">
        <w:t xml:space="preserve"> </w:t>
      </w:r>
    </w:p>
    <w:p w:rsidR="009C5F96" w:rsidRPr="00AA6051" w:rsidP="004A2CDA" w14:paraId="385B40E1" w14:textId="77777777">
      <w:pPr>
        <w:widowControl w:val="0"/>
        <w:autoSpaceDE w:val="0"/>
        <w:autoSpaceDN w:val="0"/>
        <w:adjustRightInd w:val="0"/>
        <w:ind w:right="220"/>
      </w:pPr>
    </w:p>
    <w:p w:rsidR="00F70456" w:rsidRPr="009C5F96" w:rsidP="009829C3" w14:paraId="1FD4BF39" w14:textId="77777777">
      <w:pPr>
        <w:rPr>
          <w:szCs w:val="22"/>
        </w:rPr>
      </w:pPr>
      <w:r w:rsidRPr="009C5F96">
        <w:rPr>
          <w:szCs w:val="22"/>
        </w:rPr>
        <w:t xml:space="preserve">9. </w:t>
      </w:r>
      <w:r w:rsidRPr="009C5F96">
        <w:rPr>
          <w:u w:val="single"/>
        </w:rPr>
        <w:t>Explanation of decision to provide any payment or gift to respondents.</w:t>
      </w:r>
    </w:p>
    <w:p w:rsidR="009829C3" w:rsidRPr="009C5F96" w:rsidP="009829C3" w14:paraId="3FB8AC1F" w14:textId="77777777">
      <w:pPr>
        <w:ind w:firstLine="720"/>
        <w:rPr>
          <w:szCs w:val="22"/>
        </w:rPr>
      </w:pPr>
    </w:p>
    <w:p w:rsidR="00F70456" w:rsidRPr="00AA6051" w:rsidP="009829C3" w14:paraId="2AB006DE" w14:textId="77777777">
      <w:pPr>
        <w:ind w:firstLine="720"/>
        <w:rPr>
          <w:szCs w:val="22"/>
        </w:rPr>
      </w:pPr>
      <w:r w:rsidRPr="009C5F96">
        <w:rPr>
          <w:szCs w:val="22"/>
        </w:rPr>
        <w:t>No payments or gifts were made to respondents.</w:t>
      </w:r>
      <w:r w:rsidRPr="00AA6051">
        <w:rPr>
          <w:szCs w:val="22"/>
        </w:rPr>
        <w:t xml:space="preserve"> </w:t>
      </w:r>
    </w:p>
    <w:p w:rsidR="009829C3" w:rsidRPr="00AA6051" w:rsidP="009829C3" w14:paraId="3E0431D0" w14:textId="77777777">
      <w:pPr>
        <w:ind w:firstLine="720"/>
        <w:rPr>
          <w:szCs w:val="22"/>
        </w:rPr>
      </w:pPr>
    </w:p>
    <w:p w:rsidR="0000789D" w:rsidRPr="00AA6051" w:rsidP="009829C3" w14:paraId="41F7D71F" w14:textId="77777777">
      <w:pPr>
        <w:pStyle w:val="BodyText"/>
        <w:spacing w:before="0"/>
        <w:rPr>
          <w:sz w:val="24"/>
          <w:u w:val="single"/>
        </w:rPr>
      </w:pPr>
      <w:r w:rsidRPr="00AA6051">
        <w:rPr>
          <w:sz w:val="24"/>
        </w:rPr>
        <w:t xml:space="preserve">10. </w:t>
      </w:r>
      <w:r w:rsidRPr="00AA6051">
        <w:rPr>
          <w:sz w:val="24"/>
          <w:u w:val="single"/>
        </w:rPr>
        <w:t>Assurance of confidentiality of responses.</w:t>
      </w:r>
    </w:p>
    <w:p w:rsidR="00CD1764" w:rsidP="008A0613" w14:paraId="5C04A2F1" w14:textId="77777777">
      <w:pPr>
        <w:pStyle w:val="BodyText"/>
        <w:spacing w:before="0"/>
        <w:rPr>
          <w:sz w:val="24"/>
        </w:rPr>
      </w:pPr>
      <w:r>
        <w:rPr>
          <w:sz w:val="24"/>
        </w:rPr>
        <w:tab/>
      </w:r>
    </w:p>
    <w:p w:rsidR="004A2CDA" w:rsidRPr="008A0613" w:rsidP="008A0613" w14:paraId="38EBD9DC" w14:textId="54FF0000">
      <w:pPr>
        <w:pStyle w:val="BodyText"/>
        <w:spacing w:before="0"/>
        <w:ind w:firstLine="720"/>
        <w:rPr>
          <w:sz w:val="24"/>
          <w:szCs w:val="24"/>
        </w:rPr>
      </w:pPr>
      <w:r w:rsidRPr="008A0613">
        <w:rPr>
          <w:sz w:val="24"/>
          <w:szCs w:val="24"/>
        </w:rPr>
        <w:t xml:space="preserve">Information retained under the regulations implementing the BSA may be made </w:t>
      </w:r>
      <w:r w:rsidRPr="001019C7">
        <w:rPr>
          <w:sz w:val="24"/>
          <w:szCs w:val="24"/>
        </w:rPr>
        <w:t xml:space="preserve">available to </w:t>
      </w:r>
      <w:r w:rsidR="00B6649E">
        <w:rPr>
          <w:sz w:val="24"/>
          <w:szCs w:val="24"/>
        </w:rPr>
        <w:t>appropriate law enforcement agencies and supervisory agencies</w:t>
      </w:r>
      <w:r w:rsidR="008A4920">
        <w:rPr>
          <w:sz w:val="24"/>
          <w:szCs w:val="24"/>
        </w:rPr>
        <w:t xml:space="preserve"> upon a lawful request</w:t>
      </w:r>
      <w:r w:rsidR="00B6649E">
        <w:rPr>
          <w:sz w:val="24"/>
          <w:szCs w:val="24"/>
        </w:rPr>
        <w:t xml:space="preserve">. </w:t>
      </w:r>
    </w:p>
    <w:p w:rsidR="009829C3" w:rsidRPr="00AA6051" w:rsidP="008A0613" w14:paraId="4B118C63" w14:textId="77777777">
      <w:pPr>
        <w:widowControl w:val="0"/>
        <w:autoSpaceDE w:val="0"/>
        <w:autoSpaceDN w:val="0"/>
        <w:adjustRightInd w:val="0"/>
        <w:spacing w:line="235" w:lineRule="exact"/>
        <w:rPr>
          <w:szCs w:val="22"/>
        </w:rPr>
      </w:pPr>
    </w:p>
    <w:p w:rsidR="009F04CE" w:rsidP="00AC285C" w14:paraId="6879D977" w14:textId="0EFF0950">
      <w:r w:rsidRPr="00AA6051">
        <w:rPr>
          <w:szCs w:val="22"/>
        </w:rPr>
        <w:t xml:space="preserve">11. </w:t>
      </w:r>
      <w:r w:rsidRPr="00AA6051">
        <w:rPr>
          <w:szCs w:val="22"/>
          <w:u w:val="single"/>
        </w:rPr>
        <w:t>Justification of sensitive questions.</w:t>
      </w:r>
      <w:r w:rsidRPr="00AA6051">
        <w:rPr>
          <w:szCs w:val="22"/>
        </w:rPr>
        <w:t xml:space="preserve"> </w:t>
      </w:r>
    </w:p>
    <w:p w:rsidR="003D70EA" w:rsidP="003D70EA" w14:paraId="22406202" w14:textId="77777777">
      <w:pPr>
        <w:spacing w:before="254"/>
        <w:ind w:firstLine="720"/>
      </w:pPr>
      <w:r w:rsidRPr="00561AE5">
        <w:t>There are no questions of a sensitive nature in the collection of information.  Any personally identifiable information collected under the BSA is strictly controlled as outlined in FinCEN’s Systems of Records Notice</w:t>
      </w:r>
      <w:hyperlink w:history="1"/>
      <w:r w:rsidRPr="00561AE5">
        <w:t>.</w:t>
      </w:r>
      <w:r>
        <w:rPr>
          <w:rStyle w:val="FootnoteReference"/>
        </w:rPr>
        <w:footnoteReference w:id="11"/>
      </w:r>
      <w:r w:rsidRPr="00561AE5">
        <w:t xml:space="preserve">  </w:t>
      </w:r>
    </w:p>
    <w:p w:rsidR="000C5B33" w:rsidP="000C5B33" w14:paraId="6890A6E1" w14:textId="77777777">
      <w:pPr>
        <w:rPr>
          <w:szCs w:val="22"/>
        </w:rPr>
      </w:pPr>
    </w:p>
    <w:p w:rsidR="00643252" w:rsidRPr="00AA6051" w:rsidP="009829C3" w14:paraId="105EF65C" w14:textId="68035C24">
      <w:pPr>
        <w:rPr>
          <w:szCs w:val="22"/>
          <w:u w:val="single"/>
        </w:rPr>
      </w:pPr>
      <w:r>
        <w:rPr>
          <w:szCs w:val="22"/>
        </w:rPr>
        <w:t xml:space="preserve">12. </w:t>
      </w:r>
      <w:r>
        <w:rPr>
          <w:szCs w:val="22"/>
          <w:u w:val="single"/>
        </w:rPr>
        <w:t>Estimated</w:t>
      </w:r>
      <w:r w:rsidR="00200401">
        <w:rPr>
          <w:szCs w:val="22"/>
          <w:u w:val="single"/>
        </w:rPr>
        <w:t xml:space="preserve"> burden of information collection.</w:t>
      </w:r>
      <w:r>
        <w:rPr>
          <w:szCs w:val="22"/>
        </w:rPr>
        <w:t xml:space="preserve"> </w:t>
      </w:r>
    </w:p>
    <w:p w:rsidR="00AC4543" w:rsidRPr="00AA6051" w:rsidP="009829C3" w14:paraId="261DDB20" w14:textId="77777777">
      <w:pPr>
        <w:rPr>
          <w:szCs w:val="22"/>
        </w:rPr>
      </w:pPr>
    </w:p>
    <w:p w:rsidR="00643252" w:rsidRPr="00AA6051" w:rsidP="009829C3" w14:paraId="626C1AD6" w14:textId="77777777">
      <w:pPr>
        <w:rPr>
          <w:szCs w:val="22"/>
        </w:rPr>
      </w:pPr>
      <w:r w:rsidRPr="000C5B33">
        <w:rPr>
          <w:szCs w:val="22"/>
          <w:u w:val="single"/>
        </w:rPr>
        <w:t>Frequency</w:t>
      </w:r>
      <w:r w:rsidRPr="00D012CD">
        <w:rPr>
          <w:szCs w:val="22"/>
        </w:rPr>
        <w:t>:</w:t>
      </w:r>
      <w:r w:rsidRPr="00A27298">
        <w:rPr>
          <w:szCs w:val="22"/>
        </w:rPr>
        <w:t xml:space="preserve"> </w:t>
      </w:r>
      <w:r w:rsidRPr="00AA6051">
        <w:rPr>
          <w:szCs w:val="22"/>
        </w:rPr>
        <w:t xml:space="preserve"> As required. </w:t>
      </w:r>
    </w:p>
    <w:p w:rsidR="00643252" w:rsidRPr="00AA6051" w:rsidP="009829C3" w14:paraId="684E7721" w14:textId="77777777">
      <w:pPr>
        <w:widowControl w:val="0"/>
        <w:autoSpaceDE w:val="0"/>
        <w:autoSpaceDN w:val="0"/>
        <w:adjustRightInd w:val="0"/>
        <w:spacing w:line="273" w:lineRule="exact"/>
        <w:jc w:val="both"/>
        <w:rPr>
          <w:szCs w:val="22"/>
        </w:rPr>
      </w:pPr>
    </w:p>
    <w:p w:rsidR="00643252" w:rsidRPr="00AA6051" w:rsidP="009829C3" w14:paraId="253D22B4" w14:textId="63F2D1BA">
      <w:pPr>
        <w:widowControl w:val="0"/>
        <w:autoSpaceDE w:val="0"/>
        <w:autoSpaceDN w:val="0"/>
        <w:adjustRightInd w:val="0"/>
        <w:spacing w:line="273" w:lineRule="exact"/>
        <w:jc w:val="both"/>
        <w:rPr>
          <w:szCs w:val="22"/>
        </w:rPr>
      </w:pPr>
      <w:r w:rsidRPr="000C5B33">
        <w:rPr>
          <w:szCs w:val="22"/>
          <w:u w:val="single"/>
        </w:rPr>
        <w:t>Est</w:t>
      </w:r>
      <w:r w:rsidRPr="000C5B33" w:rsidR="007F6DDB">
        <w:rPr>
          <w:szCs w:val="22"/>
          <w:u w:val="single"/>
        </w:rPr>
        <w:t>imated Number of Respondents</w:t>
      </w:r>
      <w:r w:rsidRPr="00D012CD" w:rsidR="007F6DDB">
        <w:rPr>
          <w:szCs w:val="22"/>
        </w:rPr>
        <w:t>:</w:t>
      </w:r>
      <w:r w:rsidRPr="00A27298" w:rsidR="007F6DDB">
        <w:rPr>
          <w:szCs w:val="22"/>
        </w:rPr>
        <w:t xml:space="preserve"> </w:t>
      </w:r>
      <w:r w:rsidR="00A27298">
        <w:rPr>
          <w:szCs w:val="22"/>
        </w:rPr>
        <w:t xml:space="preserve"> </w:t>
      </w:r>
      <w:r w:rsidR="00AE708E">
        <w:rPr>
          <w:szCs w:val="22"/>
        </w:rPr>
        <w:t>3,478</w:t>
      </w:r>
      <w:r w:rsidR="00F44131">
        <w:rPr>
          <w:szCs w:val="22"/>
        </w:rPr>
        <w:t xml:space="preserve"> brokers or dealers in securities.</w:t>
      </w:r>
      <w:r w:rsidRPr="00F44131" w:rsidR="00F44131">
        <w:rPr>
          <w:rStyle w:val="FootnoteReference"/>
          <w:lang w:val="en-GB"/>
        </w:rPr>
        <w:t xml:space="preserve"> </w:t>
      </w:r>
      <w:r>
        <w:rPr>
          <w:rStyle w:val="FootnoteReference"/>
          <w:lang w:val="en-GB"/>
        </w:rPr>
        <w:footnoteReference w:id="12"/>
      </w:r>
    </w:p>
    <w:p w:rsidR="008745C3" w:rsidRPr="00AA6051" w:rsidP="009829C3" w14:paraId="35691494" w14:textId="77777777">
      <w:pPr>
        <w:widowControl w:val="0"/>
        <w:autoSpaceDE w:val="0"/>
        <w:autoSpaceDN w:val="0"/>
        <w:adjustRightInd w:val="0"/>
        <w:spacing w:line="273" w:lineRule="exact"/>
        <w:jc w:val="both"/>
        <w:rPr>
          <w:szCs w:val="22"/>
        </w:rPr>
      </w:pPr>
    </w:p>
    <w:p w:rsidR="00512CC3" w:rsidP="00512CC3" w14:paraId="49D3071B" w14:textId="40ADE639">
      <w:pPr>
        <w:widowControl w:val="0"/>
        <w:autoSpaceDE w:val="0"/>
        <w:autoSpaceDN w:val="0"/>
        <w:adjustRightInd w:val="0"/>
        <w:spacing w:line="273" w:lineRule="exact"/>
        <w:jc w:val="both"/>
        <w:rPr>
          <w:lang w:val="en-GB"/>
        </w:rPr>
      </w:pPr>
      <w:r w:rsidRPr="00220D1A">
        <w:rPr>
          <w:u w:val="single"/>
          <w:lang w:val="en-GB"/>
        </w:rPr>
        <w:t>Estimated Total Recordkeeping Burden Hours</w:t>
      </w:r>
      <w:r>
        <w:rPr>
          <w:lang w:val="en-GB"/>
        </w:rPr>
        <w:t xml:space="preserve">: </w:t>
      </w:r>
      <w:r w:rsidRPr="003A01A9" w:rsidR="006540CB">
        <w:rPr>
          <w:lang w:val="en-GB"/>
        </w:rPr>
        <w:t>347,800 hours</w:t>
      </w:r>
    </w:p>
    <w:p w:rsidR="00643252" w:rsidP="009829C3" w14:paraId="1B474CA8" w14:textId="77777777">
      <w:pPr>
        <w:widowControl w:val="0"/>
        <w:autoSpaceDE w:val="0"/>
        <w:autoSpaceDN w:val="0"/>
        <w:adjustRightInd w:val="0"/>
        <w:spacing w:line="268" w:lineRule="exact"/>
        <w:jc w:val="both"/>
        <w:rPr>
          <w:szCs w:val="22"/>
        </w:rPr>
      </w:pPr>
    </w:p>
    <w:p w:rsidR="003A01A9" w:rsidRPr="00835DB8" w:rsidP="00835DB8" w14:paraId="16BC899B" w14:textId="77777777">
      <w:pPr>
        <w:pStyle w:val="BodyText"/>
        <w:spacing w:before="0"/>
        <w:rPr>
          <w:sz w:val="24"/>
          <w:szCs w:val="24"/>
          <w:u w:val="single"/>
        </w:rPr>
      </w:pPr>
      <w:r w:rsidRPr="00835DB8">
        <w:rPr>
          <w:sz w:val="24"/>
          <w:szCs w:val="24"/>
          <w:u w:val="single"/>
        </w:rPr>
        <w:t>31 CFR 1023.410(a):</w:t>
      </w:r>
    </w:p>
    <w:p w:rsidR="003A01A9" w:rsidP="003A01A9" w14:paraId="1CD1DC8B" w14:textId="77777777">
      <w:pPr>
        <w:pStyle w:val="BodyText"/>
        <w:spacing w:before="0"/>
        <w:rPr>
          <w:sz w:val="24"/>
          <w:szCs w:val="24"/>
        </w:rPr>
      </w:pPr>
    </w:p>
    <w:p w:rsidR="003A01A9" w:rsidRPr="00835DB8" w:rsidP="00835DB8" w14:paraId="59F7BC00" w14:textId="41D7FF16">
      <w:pPr>
        <w:pStyle w:val="BodyText"/>
        <w:spacing w:before="0"/>
        <w:ind w:firstLine="720"/>
        <w:rPr>
          <w:sz w:val="24"/>
          <w:szCs w:val="24"/>
        </w:rPr>
      </w:pPr>
      <w:r>
        <w:rPr>
          <w:sz w:val="24"/>
          <w:szCs w:val="24"/>
        </w:rPr>
        <w:t>B</w:t>
      </w:r>
      <w:r w:rsidRPr="00835DB8">
        <w:rPr>
          <w:sz w:val="24"/>
          <w:szCs w:val="24"/>
        </w:rPr>
        <w:t xml:space="preserve">rokers or dealers in securities have no recordkeeping responsibilities under this provision; the obligation of brokers or dealers in securities to maintain customer identification programs pursuant to 31 CFR 1023.220 has effectively replaced these responsibilities.   </w:t>
      </w:r>
    </w:p>
    <w:p w:rsidR="003A01A9" w:rsidP="003A01A9" w14:paraId="2BC04FF6" w14:textId="77777777">
      <w:pPr>
        <w:pStyle w:val="BodyText"/>
        <w:spacing w:before="0"/>
        <w:rPr>
          <w:sz w:val="24"/>
          <w:szCs w:val="24"/>
          <w:u w:val="single"/>
        </w:rPr>
      </w:pPr>
    </w:p>
    <w:p w:rsidR="003A01A9" w:rsidRPr="00835DB8" w:rsidP="00835DB8" w14:paraId="0FF42ACA" w14:textId="4E4AEF04">
      <w:pPr>
        <w:pStyle w:val="BodyText"/>
        <w:spacing w:before="0"/>
        <w:rPr>
          <w:sz w:val="24"/>
          <w:szCs w:val="24"/>
          <w:u w:val="single"/>
        </w:rPr>
      </w:pPr>
      <w:r w:rsidRPr="00835DB8">
        <w:rPr>
          <w:sz w:val="24"/>
          <w:szCs w:val="24"/>
          <w:u w:val="single"/>
        </w:rPr>
        <w:t>31 CFR 1023.410(b):</w:t>
      </w:r>
    </w:p>
    <w:p w:rsidR="003A01A9" w:rsidP="003A01A9" w14:paraId="5F979411" w14:textId="77777777">
      <w:pPr>
        <w:pStyle w:val="BodyText"/>
        <w:spacing w:before="0"/>
        <w:rPr>
          <w:rFonts w:eastAsia="MS Mincho"/>
          <w:bCs/>
          <w:sz w:val="24"/>
          <w:szCs w:val="24"/>
        </w:rPr>
      </w:pPr>
    </w:p>
    <w:p w:rsidR="003A01A9" w:rsidRPr="00835DB8" w:rsidP="00835DB8" w14:paraId="251A323E" w14:textId="453D66A5">
      <w:pPr>
        <w:pStyle w:val="BodyText"/>
        <w:spacing w:before="0"/>
        <w:ind w:firstLine="720"/>
        <w:rPr>
          <w:sz w:val="24"/>
          <w:szCs w:val="24"/>
          <w:lang w:val="en-GB"/>
        </w:rPr>
      </w:pPr>
      <w:r w:rsidRPr="00835DB8">
        <w:rPr>
          <w:rFonts w:eastAsia="MS Mincho"/>
          <w:bCs/>
          <w:sz w:val="24"/>
          <w:szCs w:val="24"/>
        </w:rPr>
        <w:t>Each broker or dealer in securities must retain an original or copy of certain types of documents, as described in Section I — Statutory and Regulatory Provisions above.</w:t>
      </w:r>
    </w:p>
    <w:p w:rsidR="003A01A9" w:rsidRPr="00835DB8" w:rsidP="00835DB8" w14:paraId="79064A77" w14:textId="77777777">
      <w:pPr>
        <w:pStyle w:val="BodyText"/>
        <w:spacing w:before="0"/>
        <w:rPr>
          <w:sz w:val="24"/>
          <w:szCs w:val="24"/>
          <w:lang w:val="en-GB"/>
        </w:rPr>
      </w:pPr>
      <w:r w:rsidRPr="00835DB8">
        <w:rPr>
          <w:sz w:val="24"/>
          <w:szCs w:val="24"/>
          <w:lang w:val="en-GB"/>
        </w:rPr>
        <w:t xml:space="preserve">Due to the challenges of obtaining the total number of such records required to be maintained by brokers or dealers in securities, in its most recent control number renewal, FinCEN estimated the </w:t>
      </w:r>
      <w:r w:rsidRPr="00835DB8">
        <w:rPr>
          <w:sz w:val="24"/>
          <w:szCs w:val="24"/>
        </w:rPr>
        <w:t>annual recordkeeping burden per broker or dealer in securities for these requirements to be 100 hours.</w:t>
      </w:r>
      <w:r>
        <w:rPr>
          <w:rStyle w:val="FootnoteReference"/>
          <w:sz w:val="24"/>
          <w:szCs w:val="24"/>
        </w:rPr>
        <w:footnoteReference w:id="13"/>
      </w:r>
      <w:r w:rsidRPr="00835DB8">
        <w:rPr>
          <w:sz w:val="24"/>
          <w:szCs w:val="24"/>
        </w:rPr>
        <w:t xml:space="preserve">  </w:t>
      </w:r>
      <w:r w:rsidRPr="00835DB8">
        <w:rPr>
          <w:sz w:val="24"/>
          <w:szCs w:val="24"/>
          <w:lang w:val="en-GB"/>
        </w:rPr>
        <w:t>FinCEN continues to estimate that the annual hourly burden of complying with 31 CFR 1023.410 is 100 hours per broker or dealer in securities.</w:t>
      </w:r>
    </w:p>
    <w:p w:rsidR="003A01A9" w:rsidP="003A01A9" w14:paraId="63B2AF89" w14:textId="77777777">
      <w:pPr>
        <w:widowControl w:val="0"/>
        <w:autoSpaceDE w:val="0"/>
        <w:autoSpaceDN w:val="0"/>
        <w:adjustRightInd w:val="0"/>
        <w:jc w:val="both"/>
        <w:rPr>
          <w:lang w:val="en-GB"/>
        </w:rPr>
      </w:pPr>
    </w:p>
    <w:p w:rsidR="00294C84" w:rsidRPr="003A01A9" w:rsidP="00835DB8" w14:paraId="1954892C" w14:textId="5927A975">
      <w:pPr>
        <w:widowControl w:val="0"/>
        <w:autoSpaceDE w:val="0"/>
        <w:autoSpaceDN w:val="0"/>
        <w:adjustRightInd w:val="0"/>
        <w:ind w:firstLine="720"/>
        <w:jc w:val="both"/>
      </w:pPr>
      <w:r w:rsidRPr="003A01A9">
        <w:rPr>
          <w:lang w:val="en-GB"/>
        </w:rPr>
        <w:t>Multiplying 3,478 brokers or dealers in securities by 100 hours results in a total annual hourly burden estimate of 347,800 hours.</w:t>
      </w:r>
      <w:r w:rsidRPr="003A01A9">
        <w:rPr>
          <w:lang w:val="en-GB"/>
        </w:rPr>
        <w:tab/>
      </w:r>
    </w:p>
    <w:p w:rsidR="000C5B33" w:rsidP="009829C3" w14:paraId="2DD47031" w14:textId="77777777">
      <w:pPr>
        <w:widowControl w:val="0"/>
        <w:autoSpaceDE w:val="0"/>
        <w:autoSpaceDN w:val="0"/>
        <w:adjustRightInd w:val="0"/>
        <w:spacing w:line="268" w:lineRule="exact"/>
        <w:jc w:val="both"/>
        <w:rPr>
          <w:szCs w:val="22"/>
        </w:rPr>
      </w:pPr>
    </w:p>
    <w:p w:rsidR="000C5B33" w:rsidP="000C5B33" w14:paraId="49E0DC8B" w14:textId="2987A40A">
      <w:pPr>
        <w:widowControl w:val="0"/>
        <w:autoSpaceDE w:val="0"/>
        <w:autoSpaceDN w:val="0"/>
        <w:adjustRightInd w:val="0"/>
        <w:spacing w:line="268" w:lineRule="exact"/>
        <w:jc w:val="both"/>
        <w:rPr>
          <w:u w:val="single"/>
        </w:rPr>
      </w:pPr>
      <w:r>
        <w:t xml:space="preserve">13. </w:t>
      </w:r>
      <w:r>
        <w:rPr>
          <w:u w:val="single"/>
        </w:rPr>
        <w:t xml:space="preserve">Estimated </w:t>
      </w:r>
      <w:r w:rsidR="00145930">
        <w:rPr>
          <w:u w:val="single"/>
        </w:rPr>
        <w:t>total annual cost burden of the information collection.</w:t>
      </w:r>
    </w:p>
    <w:p w:rsidR="002822E8" w:rsidP="000C5B33" w14:paraId="2DC69910" w14:textId="77777777">
      <w:pPr>
        <w:widowControl w:val="0"/>
        <w:autoSpaceDE w:val="0"/>
        <w:autoSpaceDN w:val="0"/>
        <w:adjustRightInd w:val="0"/>
        <w:spacing w:line="268" w:lineRule="exact"/>
        <w:jc w:val="both"/>
        <w:rPr>
          <w:u w:val="single"/>
        </w:rPr>
      </w:pPr>
    </w:p>
    <w:p w:rsidR="002822E8" w:rsidP="002822E8" w14:paraId="48AC4867" w14:textId="33337091">
      <w:r w:rsidRPr="00220D1A">
        <w:rPr>
          <w:u w:val="single"/>
        </w:rPr>
        <w:t>Estimated Total Annual Recordkeeping Cost</w:t>
      </w:r>
      <w:r>
        <w:t>:</w:t>
      </w:r>
      <w:r w:rsidRPr="006540CB" w:rsidR="006540CB">
        <w:t xml:space="preserve"> </w:t>
      </w:r>
      <w:r w:rsidR="006540CB">
        <w:t>$36,971,140.00</w:t>
      </w:r>
    </w:p>
    <w:p w:rsidR="002822E8" w:rsidP="002822E8" w14:paraId="14626426" w14:textId="77777777">
      <w:pPr>
        <w:widowControl w:val="0"/>
        <w:autoSpaceDE w:val="0"/>
        <w:autoSpaceDN w:val="0"/>
        <w:adjustRightInd w:val="0"/>
        <w:spacing w:line="268" w:lineRule="exact"/>
        <w:jc w:val="both"/>
        <w:rPr>
          <w:u w:val="single"/>
        </w:rPr>
      </w:pPr>
    </w:p>
    <w:p w:rsidR="002822E8" w:rsidP="002822E8" w14:paraId="1DA8B948" w14:textId="77777777">
      <w:pPr>
        <w:ind w:firstLine="720"/>
      </w:pPr>
      <w:r>
        <w:t xml:space="preserve">FinCEN is utilizing the same fully loaded composite hourly wage rate of $106.30 utilized in the 2024 </w:t>
      </w:r>
      <w:r>
        <w:t>notices of proposed rulemaking (NPRMs) entitled Customer Identification Programs for Registered Investment Advisers and Exempt Reporting Companies and Anti-Money Laundering and Countering the Financing of Terrorism Programs, as well as in recent 60-Day Notices to renew OMB control numbers corresponding to specific BSA regulations.</w:t>
      </w:r>
      <w:r>
        <w:rPr>
          <w:rStyle w:val="FootnoteReference"/>
        </w:rPr>
        <w:footnoteReference w:id="14"/>
      </w:r>
    </w:p>
    <w:p w:rsidR="002822E8" w:rsidP="002822E8" w14:paraId="6CD8D0D3" w14:textId="77777777">
      <w:pPr>
        <w:ind w:firstLine="720"/>
      </w:pPr>
    </w:p>
    <w:p w:rsidR="002822E8" w:rsidP="002822E8" w14:paraId="54D02E67" w14:textId="43F2BF01">
      <w:pPr>
        <w:ind w:firstLine="720"/>
      </w:pPr>
      <w:r>
        <w:t>Multiplying 347,800 hours by $106.30 results in a total estimated cost of annual PRA burden of $36,971,140.00.</w:t>
      </w:r>
    </w:p>
    <w:p w:rsidR="002822E8" w:rsidP="000C5B33" w14:paraId="2C565071" w14:textId="77777777">
      <w:pPr>
        <w:widowControl w:val="0"/>
        <w:autoSpaceDE w:val="0"/>
        <w:autoSpaceDN w:val="0"/>
        <w:adjustRightInd w:val="0"/>
        <w:spacing w:line="268" w:lineRule="exact"/>
        <w:jc w:val="both"/>
        <w:rPr>
          <w:u w:val="single"/>
        </w:rPr>
      </w:pPr>
    </w:p>
    <w:p w:rsidR="00F34526" w:rsidP="005F6F5A" w14:paraId="7A54E64B" w14:textId="2B3F5B96">
      <w:pPr>
        <w:ind w:firstLine="720"/>
        <w:rPr>
          <w:szCs w:val="22"/>
        </w:rPr>
      </w:pPr>
      <w:r>
        <w:rPr>
          <w:szCs w:val="22"/>
        </w:rPr>
        <w:t xml:space="preserve">There are </w:t>
      </w:r>
      <w:r w:rsidRPr="00F34526">
        <w:rPr>
          <w:szCs w:val="22"/>
        </w:rPr>
        <w:t>no</w:t>
      </w:r>
      <w:r>
        <w:rPr>
          <w:szCs w:val="22"/>
        </w:rPr>
        <w:t xml:space="preserve"> estimates of</w:t>
      </w:r>
      <w:r w:rsidRPr="00F34526">
        <w:rPr>
          <w:szCs w:val="22"/>
        </w:rPr>
        <w:t xml:space="preserve"> non-labor costs associated with this collection of information.</w:t>
      </w:r>
    </w:p>
    <w:p w:rsidR="00F34526" w:rsidP="009829C3" w14:paraId="2613C528" w14:textId="77777777">
      <w:pPr>
        <w:rPr>
          <w:szCs w:val="22"/>
        </w:rPr>
      </w:pPr>
    </w:p>
    <w:p w:rsidR="00643252" w:rsidRPr="00AA6051" w:rsidP="009829C3" w14:paraId="5F7F5763" w14:textId="77777777">
      <w:pPr>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009829C3" w:rsidRPr="00AA6051" w:rsidP="009829C3" w14:paraId="33485239" w14:textId="77777777">
      <w:pPr>
        <w:ind w:firstLine="720"/>
      </w:pPr>
    </w:p>
    <w:p w:rsidR="00643252" w:rsidRPr="00AA6051" w:rsidP="009829C3" w14:paraId="788725B4" w14:textId="77777777">
      <w:pPr>
        <w:ind w:firstLine="720"/>
      </w:pPr>
      <w:r w:rsidRPr="00AA6051">
        <w:t xml:space="preserve">There is no cost to the </w:t>
      </w:r>
      <w:r w:rsidR="00441AA8">
        <w:t xml:space="preserve">Federal </w:t>
      </w:r>
      <w:r w:rsidRPr="00AA6051">
        <w:t>government; this is a recordkeeping requirement only.</w:t>
      </w:r>
    </w:p>
    <w:p w:rsidR="009829C3" w:rsidRPr="00AA6051" w:rsidP="009829C3" w14:paraId="73BE51CA" w14:textId="77777777">
      <w:pPr>
        <w:ind w:firstLine="720"/>
      </w:pPr>
    </w:p>
    <w:p w:rsidR="00643252" w:rsidRPr="00AA6051" w:rsidP="009829C3" w14:paraId="6754A5B2" w14:textId="77777777">
      <w:pPr>
        <w:rPr>
          <w:szCs w:val="22"/>
        </w:rPr>
      </w:pPr>
      <w:r w:rsidRPr="00AA6051">
        <w:rPr>
          <w:szCs w:val="22"/>
        </w:rPr>
        <w:t xml:space="preserve">15. </w:t>
      </w:r>
      <w:r w:rsidRPr="00AA6051" w:rsidR="00D8554E">
        <w:rPr>
          <w:szCs w:val="22"/>
          <w:u w:val="single"/>
        </w:rPr>
        <w:t>Reason for change in b</w:t>
      </w:r>
      <w:r w:rsidRPr="00AA6051">
        <w:rPr>
          <w:szCs w:val="22"/>
          <w:u w:val="single"/>
        </w:rPr>
        <w:t>urden.</w:t>
      </w:r>
      <w:r w:rsidRPr="00AA6051">
        <w:rPr>
          <w:szCs w:val="22"/>
        </w:rPr>
        <w:t xml:space="preserve"> </w:t>
      </w:r>
    </w:p>
    <w:p w:rsidR="00F2243A" w:rsidRPr="00AA6051" w:rsidP="009829C3" w14:paraId="35658C7C" w14:textId="77777777">
      <w:pPr>
        <w:pStyle w:val="CommentText"/>
        <w:rPr>
          <w:szCs w:val="22"/>
        </w:rPr>
      </w:pPr>
      <w:r w:rsidRPr="00AA6051">
        <w:rPr>
          <w:szCs w:val="22"/>
        </w:rPr>
        <w:t xml:space="preserve"> </w:t>
      </w:r>
      <w:r w:rsidRPr="00AA6051">
        <w:rPr>
          <w:szCs w:val="22"/>
        </w:rPr>
        <w:tab/>
      </w:r>
    </w:p>
    <w:p w:rsidR="006D1386" w:rsidRPr="00AA6051" w:rsidP="006D1386" w14:paraId="13CB3D54" w14:textId="6C3172CE">
      <w:pPr>
        <w:widowControl w:val="0"/>
        <w:ind w:firstLine="720"/>
        <w:rPr>
          <w:snapToGrid w:val="0"/>
        </w:rPr>
      </w:pPr>
      <w:r w:rsidRPr="00AA6051">
        <w:rPr>
          <w:snapToGrid w:val="0"/>
        </w:rPr>
        <w:t xml:space="preserve">The </w:t>
      </w:r>
      <w:r w:rsidRPr="00AA6051" w:rsidR="005C739E">
        <w:rPr>
          <w:snapToGrid w:val="0"/>
        </w:rPr>
        <w:t xml:space="preserve">estimated </w:t>
      </w:r>
      <w:r w:rsidRPr="00AA6051">
        <w:rPr>
          <w:snapToGrid w:val="0"/>
        </w:rPr>
        <w:t xml:space="preserve">total annual burden hours </w:t>
      </w:r>
      <w:r w:rsidR="00A4317C">
        <w:rPr>
          <w:snapToGrid w:val="0"/>
        </w:rPr>
        <w:t xml:space="preserve">decreased by </w:t>
      </w:r>
      <w:r w:rsidR="00020DAE">
        <w:rPr>
          <w:snapToGrid w:val="0"/>
        </w:rPr>
        <w:t>16,200</w:t>
      </w:r>
      <w:r w:rsidR="00E85366">
        <w:rPr>
          <w:snapToGrid w:val="0"/>
        </w:rPr>
        <w:t xml:space="preserve"> hours </w:t>
      </w:r>
      <w:r w:rsidRPr="00AA6051">
        <w:rPr>
          <w:snapToGrid w:val="0"/>
        </w:rPr>
        <w:t xml:space="preserve">from </w:t>
      </w:r>
      <w:r w:rsidR="00E135EF">
        <w:rPr>
          <w:snapToGrid w:val="0"/>
        </w:rPr>
        <w:t>364,000</w:t>
      </w:r>
      <w:r w:rsidRPr="00AA6051">
        <w:rPr>
          <w:snapToGrid w:val="0"/>
        </w:rPr>
        <w:t xml:space="preserve"> hours</w:t>
      </w:r>
      <w:r w:rsidRPr="00AA6051" w:rsidR="00181256">
        <w:rPr>
          <w:snapToGrid w:val="0"/>
        </w:rPr>
        <w:t xml:space="preserve"> </w:t>
      </w:r>
      <w:r w:rsidR="00E85366">
        <w:rPr>
          <w:snapToGrid w:val="0"/>
        </w:rPr>
        <w:t>in 2020</w:t>
      </w:r>
      <w:r w:rsidR="00294AF5">
        <w:rPr>
          <w:snapToGrid w:val="0"/>
        </w:rPr>
        <w:t xml:space="preserve"> to </w:t>
      </w:r>
      <w:r w:rsidR="000576FF">
        <w:rPr>
          <w:snapToGrid w:val="0"/>
        </w:rPr>
        <w:t>347,800 hours in 2024</w:t>
      </w:r>
      <w:r w:rsidR="00E85366">
        <w:rPr>
          <w:snapToGrid w:val="0"/>
        </w:rPr>
        <w:t>, although the annual hourly burden estimate for these recordkeeping requirements remained the same as</w:t>
      </w:r>
      <w:r w:rsidRPr="00AA6051" w:rsidR="00181256">
        <w:rPr>
          <w:snapToGrid w:val="0"/>
        </w:rPr>
        <w:t xml:space="preserve"> in </w:t>
      </w:r>
      <w:r w:rsidRPr="00AA6051" w:rsidR="005C739E">
        <w:rPr>
          <w:snapToGrid w:val="0"/>
        </w:rPr>
        <w:t>20</w:t>
      </w:r>
      <w:r w:rsidR="000576FF">
        <w:rPr>
          <w:snapToGrid w:val="0"/>
        </w:rPr>
        <w:t>20</w:t>
      </w:r>
      <w:r w:rsidRPr="00AA6051">
        <w:rPr>
          <w:snapToGrid w:val="0"/>
        </w:rPr>
        <w:t xml:space="preserve">. </w:t>
      </w:r>
      <w:r w:rsidR="00C0419A">
        <w:rPr>
          <w:snapToGrid w:val="0"/>
        </w:rPr>
        <w:t xml:space="preserve"> </w:t>
      </w:r>
      <w:r w:rsidRPr="00AA6051">
        <w:rPr>
          <w:snapToGrid w:val="0"/>
        </w:rPr>
        <w:t xml:space="preserve">The </w:t>
      </w:r>
      <w:r w:rsidR="00E85366">
        <w:rPr>
          <w:snapToGrid w:val="0"/>
        </w:rPr>
        <w:t>reduction</w:t>
      </w:r>
      <w:r w:rsidR="00D43F3B">
        <w:rPr>
          <w:snapToGrid w:val="0"/>
        </w:rPr>
        <w:t xml:space="preserve"> </w:t>
      </w:r>
      <w:r w:rsidR="00E85366">
        <w:rPr>
          <w:snapToGrid w:val="0"/>
        </w:rPr>
        <w:t>is solely a result of</w:t>
      </w:r>
      <w:r w:rsidRPr="00AA6051">
        <w:rPr>
          <w:snapToGrid w:val="0"/>
        </w:rPr>
        <w:t xml:space="preserve"> a decrease in the </w:t>
      </w:r>
      <w:r w:rsidRPr="00AA6051" w:rsidR="005C065F">
        <w:rPr>
          <w:snapToGrid w:val="0"/>
        </w:rPr>
        <w:t xml:space="preserve">estimated </w:t>
      </w:r>
      <w:r w:rsidRPr="00AA6051">
        <w:rPr>
          <w:snapToGrid w:val="0"/>
        </w:rPr>
        <w:t xml:space="preserve">number of </w:t>
      </w:r>
      <w:r w:rsidR="00E135EF">
        <w:rPr>
          <w:snapToGrid w:val="0"/>
        </w:rPr>
        <w:t>b</w:t>
      </w:r>
      <w:r>
        <w:rPr>
          <w:snapToGrid w:val="0"/>
        </w:rPr>
        <w:t xml:space="preserve">rokers or </w:t>
      </w:r>
      <w:r>
        <w:rPr>
          <w:snapToGrid w:val="0"/>
        </w:rPr>
        <w:t>dealers in securities from 3,640</w:t>
      </w:r>
      <w:r w:rsidR="00637D48">
        <w:rPr>
          <w:snapToGrid w:val="0"/>
        </w:rPr>
        <w:t xml:space="preserve"> in </w:t>
      </w:r>
      <w:r>
        <w:rPr>
          <w:snapToGrid w:val="0"/>
        </w:rPr>
        <w:t>2020</w:t>
      </w:r>
      <w:r w:rsidR="00C0419A">
        <w:rPr>
          <w:snapToGrid w:val="0"/>
        </w:rPr>
        <w:t xml:space="preserve"> to 3,478 in 2024</w:t>
      </w:r>
      <w:r w:rsidR="00F055C9">
        <w:rPr>
          <w:snapToGrid w:val="0"/>
        </w:rPr>
        <w:t>.</w:t>
      </w:r>
    </w:p>
    <w:p w:rsidR="009829C3" w:rsidRPr="00AA6051" w:rsidP="009829C3" w14:paraId="76FC6F8B" w14:textId="77777777">
      <w:pPr>
        <w:pStyle w:val="CommentText"/>
        <w:ind w:firstLine="720"/>
        <w:rPr>
          <w:sz w:val="24"/>
          <w:szCs w:val="24"/>
        </w:rPr>
      </w:pPr>
    </w:p>
    <w:p w:rsidR="00D8554E" w:rsidRPr="00F055C9" w:rsidP="009829C3" w14:paraId="4D5011E5" w14:textId="77777777">
      <w:pPr>
        <w:rPr>
          <w:szCs w:val="22"/>
        </w:rPr>
      </w:pPr>
      <w:r w:rsidRPr="00F055C9">
        <w:rPr>
          <w:szCs w:val="22"/>
        </w:rPr>
        <w:t xml:space="preserve">16. </w:t>
      </w:r>
      <w:r w:rsidRPr="00F055C9">
        <w:rPr>
          <w:szCs w:val="22"/>
          <w:u w:val="single"/>
        </w:rPr>
        <w:t>Plans for tabulation, statistical analysis, and publication.</w:t>
      </w:r>
    </w:p>
    <w:p w:rsidR="009829C3" w:rsidRPr="00F055C9" w:rsidP="009829C3" w14:paraId="13CB5556" w14:textId="77777777">
      <w:pPr>
        <w:ind w:firstLine="720"/>
      </w:pPr>
    </w:p>
    <w:p w:rsidR="00D8554E" w:rsidRPr="00F055C9" w:rsidP="009829C3" w14:paraId="7A95813B" w14:textId="7B6F093C">
      <w:pPr>
        <w:ind w:firstLine="720"/>
        <w:rPr>
          <w:szCs w:val="22"/>
        </w:rPr>
      </w:pPr>
      <w:r w:rsidRPr="00F055C9">
        <w:t>This collection of information will not be</w:t>
      </w:r>
      <w:r w:rsidR="004B2437">
        <w:t xml:space="preserve"> tabulated or compiled for</w:t>
      </w:r>
      <w:r w:rsidRPr="00F055C9">
        <w:t xml:space="preserve"> publi</w:t>
      </w:r>
      <w:r w:rsidR="002515DA">
        <w:t>cation</w:t>
      </w:r>
      <w:r w:rsidRPr="00F055C9">
        <w:t>.</w:t>
      </w:r>
      <w:r w:rsidRPr="00F055C9">
        <w:rPr>
          <w:szCs w:val="22"/>
        </w:rPr>
        <w:t xml:space="preserve"> </w:t>
      </w:r>
    </w:p>
    <w:p w:rsidR="009829C3" w:rsidRPr="00F055C9" w:rsidP="009829C3" w14:paraId="548BAF17" w14:textId="77777777">
      <w:pPr>
        <w:ind w:firstLine="720"/>
        <w:rPr>
          <w:szCs w:val="22"/>
        </w:rPr>
      </w:pPr>
    </w:p>
    <w:p w:rsidR="00D8554E" w:rsidRPr="00F055C9" w:rsidP="009829C3" w14:paraId="0DC8EC89" w14:textId="77777777">
      <w:pPr>
        <w:rPr>
          <w:szCs w:val="22"/>
        </w:rPr>
      </w:pPr>
      <w:r w:rsidRPr="00F055C9">
        <w:rPr>
          <w:szCs w:val="22"/>
        </w:rPr>
        <w:t xml:space="preserve">17. </w:t>
      </w:r>
      <w:r w:rsidRPr="00F055C9">
        <w:rPr>
          <w:u w:val="single"/>
        </w:rPr>
        <w:t>Request not to display the expiration date of the OMB control number.</w:t>
      </w:r>
    </w:p>
    <w:p w:rsidR="009829C3" w:rsidRPr="00F055C9" w:rsidP="009829C3" w14:paraId="7026FBD0" w14:textId="77777777">
      <w:pPr>
        <w:ind w:firstLine="720"/>
        <w:rPr>
          <w:szCs w:val="22"/>
        </w:rPr>
      </w:pPr>
    </w:p>
    <w:p w:rsidR="008F1A53" w:rsidP="008F1A53" w14:paraId="3F01167E" w14:textId="77777777">
      <w:pPr>
        <w:ind w:firstLine="720"/>
      </w:pPr>
      <w:r w:rsidRPr="00C05EDD">
        <w:t xml:space="preserve">FinCEN requests </w:t>
      </w:r>
      <w:r w:rsidRPr="0071507B">
        <w:t xml:space="preserve">that it not be required to display the expiration date so that the regulations will not have to be amended for the new expiration date every three years.  </w:t>
      </w:r>
      <w:r w:rsidRPr="00561AE5">
        <w:t>This request will not affect the normal three-year PRA renewal process</w:t>
      </w:r>
    </w:p>
    <w:p w:rsidR="008D5BF7" w:rsidRPr="0071507B" w:rsidP="008F1A53" w14:paraId="52D2159D" w14:textId="77777777">
      <w:pPr>
        <w:ind w:firstLine="720"/>
      </w:pPr>
    </w:p>
    <w:p w:rsidR="00D8554E" w:rsidRPr="00F055C9" w:rsidP="009829C3" w14:paraId="7E384411" w14:textId="77777777">
      <w:pPr>
        <w:widowControl w:val="0"/>
        <w:autoSpaceDE w:val="0"/>
        <w:autoSpaceDN w:val="0"/>
        <w:adjustRightInd w:val="0"/>
        <w:spacing w:line="240" w:lineRule="exact"/>
        <w:ind w:right="220"/>
        <w:jc w:val="both"/>
        <w:rPr>
          <w:szCs w:val="22"/>
          <w:u w:val="single"/>
        </w:rPr>
      </w:pPr>
      <w:r w:rsidRPr="00F055C9">
        <w:rPr>
          <w:szCs w:val="22"/>
        </w:rPr>
        <w:t xml:space="preserve">18.  </w:t>
      </w:r>
      <w:r w:rsidRPr="00F055C9">
        <w:rPr>
          <w:szCs w:val="22"/>
          <w:u w:val="single"/>
        </w:rPr>
        <w:t>Exceptions to the certification statement.</w:t>
      </w:r>
    </w:p>
    <w:p w:rsidR="00D8554E" w:rsidRPr="00D700D9" w:rsidP="009829C3" w14:paraId="4F983D88" w14:textId="77777777">
      <w:pPr>
        <w:widowControl w:val="0"/>
        <w:autoSpaceDE w:val="0"/>
        <w:autoSpaceDN w:val="0"/>
        <w:adjustRightInd w:val="0"/>
        <w:spacing w:line="240" w:lineRule="exact"/>
        <w:ind w:right="220"/>
        <w:jc w:val="both"/>
        <w:rPr>
          <w:szCs w:val="22"/>
          <w:highlight w:val="lightGray"/>
        </w:rPr>
      </w:pPr>
    </w:p>
    <w:p w:rsidR="00643252" w:rsidP="00270B14" w14:paraId="39943D12" w14:textId="5E133C4B">
      <w:pPr>
        <w:widowControl w:val="0"/>
        <w:autoSpaceDE w:val="0"/>
        <w:autoSpaceDN w:val="0"/>
        <w:adjustRightInd w:val="0"/>
        <w:spacing w:line="240" w:lineRule="exact"/>
        <w:ind w:right="220" w:firstLine="720"/>
        <w:jc w:val="both"/>
      </w:pPr>
      <w:r w:rsidRPr="00F055C9">
        <w:rPr>
          <w:szCs w:val="22"/>
        </w:rPr>
        <w:t>There are no exceptions to the certification statement.</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270776"/>
      <w:docPartObj>
        <w:docPartGallery w:val="Page Numbers (Bottom of Page)"/>
        <w:docPartUnique/>
      </w:docPartObj>
    </w:sdtPr>
    <w:sdtEndPr>
      <w:rPr>
        <w:noProof/>
      </w:rPr>
    </w:sdtEndPr>
    <w:sdtContent>
      <w:p w:rsidR="00622D68" w14:paraId="5AB1F412" w14:textId="0EA413B6">
        <w:pPr>
          <w:pStyle w:val="Footer"/>
          <w:jc w:val="center"/>
        </w:pPr>
        <w:r>
          <w:fldChar w:fldCharType="begin"/>
        </w:r>
        <w:r>
          <w:instrText xml:space="preserve"> PAGE   \* MERGEFORMAT </w:instrText>
        </w:r>
        <w:r>
          <w:fldChar w:fldCharType="separate"/>
        </w:r>
        <w:r w:rsidR="00784CAD">
          <w:rPr>
            <w:noProof/>
          </w:rPr>
          <w:t>5</w:t>
        </w:r>
        <w:r>
          <w:rPr>
            <w:noProof/>
          </w:rPr>
          <w:fldChar w:fldCharType="end"/>
        </w:r>
      </w:p>
    </w:sdtContent>
  </w:sdt>
  <w:p w:rsidR="00622D68" w14:paraId="77ED41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520F" w14:paraId="533378AD" w14:textId="77777777">
      <w:r>
        <w:separator/>
      </w:r>
    </w:p>
  </w:footnote>
  <w:footnote w:type="continuationSeparator" w:id="1">
    <w:p w:rsidR="00C8520F" w14:paraId="15CD4A2A" w14:textId="77777777">
      <w:r>
        <w:continuationSeparator/>
      </w:r>
    </w:p>
  </w:footnote>
  <w:footnote w:id="2">
    <w:p w:rsidR="003729E7" w:rsidRPr="005667C4" w:rsidP="003729E7" w14:paraId="3CAB7576" w14:textId="753A716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w:t>
      </w:r>
      <w:r w:rsidR="00F34AE2">
        <w:t xml:space="preserve">Oct. 26, </w:t>
      </w:r>
      <w:r w:rsidRPr="005667C4">
        <w:t>2001)</w:t>
      </w:r>
      <w:bookmarkEnd w:id="0"/>
      <w:r w:rsidRPr="005667C4">
        <w:t>.</w:t>
      </w:r>
      <w:bookmarkEnd w:id="1"/>
    </w:p>
  </w:footnote>
  <w:footnote w:id="3">
    <w:p w:rsidR="003729E7" w:rsidRPr="005667C4" w:rsidP="003729E7" w14:paraId="18C5FA59" w14:textId="50DA7B10">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r w:rsidR="00BB60E4">
        <w:t xml:space="preserve"> (Jan. 1, 2021)</w:t>
      </w:r>
      <w:r w:rsidRPr="005667C4">
        <w:t>.</w:t>
      </w:r>
    </w:p>
  </w:footnote>
  <w:footnote w:id="4">
    <w:p w:rsidR="003729E7" w:rsidRPr="005667C4" w:rsidP="003729E7" w14:paraId="7E21F0EF"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3729E7" w:rsidRPr="005667C4" w:rsidP="003729E7" w14:paraId="77250166" w14:textId="77777777">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Pr>
          <w:color w:val="000000"/>
          <w:sz w:val="20"/>
          <w:szCs w:val="20"/>
        </w:rPr>
        <w:t xml:space="preserve">the </w:t>
      </w:r>
      <w:r w:rsidRPr="005667C4">
        <w:rPr>
          <w:color w:val="000000"/>
          <w:sz w:val="20"/>
          <w:szCs w:val="20"/>
        </w:rPr>
        <w:t xml:space="preserve">FinCEN Director </w:t>
      </w:r>
      <w:r>
        <w:rPr>
          <w:color w:val="000000"/>
          <w:sz w:val="20"/>
          <w:szCs w:val="20"/>
        </w:rPr>
        <w:t xml:space="preserve">shall </w:t>
      </w:r>
      <w:r w:rsidRPr="005667C4">
        <w:rPr>
          <w:color w:val="000000"/>
          <w:sz w:val="20"/>
          <w:szCs w:val="20"/>
        </w:rPr>
        <w:t>“[a]dminister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E859C4" w:rsidP="00E859C4" w14:paraId="031163EE" w14:textId="77777777">
      <w:pPr>
        <w:pStyle w:val="FootnoteText"/>
      </w:pPr>
      <w:r w:rsidRPr="00837B32">
        <w:rPr>
          <w:rStyle w:val="FootnoteReference"/>
        </w:rPr>
        <w:footnoteRef/>
      </w:r>
      <w:r w:rsidRPr="00837B32">
        <w:t xml:space="preserve"> 31 CFR 1023.220. </w:t>
      </w:r>
      <w:r>
        <w:t xml:space="preserve"> The rule has a compliance date of October 1, 2003.  </w:t>
      </w:r>
      <w:r w:rsidRPr="00837B32">
        <w:t>The burden associated with the</w:t>
      </w:r>
      <w:r>
        <w:t xml:space="preserve"> customer identification program </w:t>
      </w:r>
      <w:r w:rsidRPr="00837B32">
        <w:t>requirement is calculated under OMB control number 1506</w:t>
      </w:r>
      <w:r>
        <w:t>–</w:t>
      </w:r>
      <w:r w:rsidRPr="00837B32">
        <w:t>0034.</w:t>
      </w:r>
      <w:r>
        <w:t xml:space="preserve">  For the supersession of this recordkeeping requirement, </w:t>
      </w:r>
      <w:r>
        <w:rPr>
          <w:i/>
          <w:iCs/>
        </w:rPr>
        <w:t xml:space="preserve">see </w:t>
      </w:r>
      <w:r>
        <w:t xml:space="preserve">FinCEN, </w:t>
      </w:r>
      <w:r>
        <w:rPr>
          <w:i/>
          <w:iCs/>
        </w:rPr>
        <w:t>Customer Identification Program for Broker-Dealers</w:t>
      </w:r>
      <w:r>
        <w:t>, 68 FR 25113, 25124 (May 9, 2003).</w:t>
      </w:r>
    </w:p>
  </w:footnote>
  <w:footnote w:id="7">
    <w:p w:rsidR="00E859C4" w:rsidRPr="00837B32" w:rsidP="00E859C4" w14:paraId="4D335E87" w14:textId="77777777">
      <w:pPr>
        <w:pStyle w:val="FootnoteText"/>
      </w:pPr>
      <w:r w:rsidRPr="00837B32">
        <w:rPr>
          <w:rStyle w:val="FootnoteReference"/>
        </w:rPr>
        <w:footnoteRef/>
      </w:r>
      <w:r w:rsidRPr="00837B32">
        <w:t xml:space="preserve"> 31 CFR 1010.430(a).</w:t>
      </w:r>
    </w:p>
  </w:footnote>
  <w:footnote w:id="8">
    <w:p w:rsidR="00E859C4" w:rsidP="00E859C4" w14:paraId="46BE3C4F" w14:textId="77777777">
      <w:pPr>
        <w:pStyle w:val="FootnoteText"/>
      </w:pPr>
      <w:r>
        <w:rPr>
          <w:rStyle w:val="FootnoteReference"/>
        </w:rPr>
        <w:footnoteRef/>
      </w:r>
      <w:r>
        <w:t xml:space="preserve"> </w:t>
      </w:r>
      <w:r w:rsidRPr="00837B32">
        <w:t>31 CFR 1010.430(</w:t>
      </w:r>
      <w:r>
        <w:t>b</w:t>
      </w:r>
      <w:r w:rsidRPr="00837B32">
        <w:t>).</w:t>
      </w:r>
    </w:p>
  </w:footnote>
  <w:footnote w:id="9">
    <w:p w:rsidR="00E859C4" w:rsidP="00E859C4" w14:paraId="0B1C7653" w14:textId="77777777">
      <w:pPr>
        <w:pStyle w:val="FootnoteText"/>
      </w:pPr>
      <w:r w:rsidRPr="00837B32">
        <w:rPr>
          <w:rStyle w:val="FootnoteReference"/>
        </w:rPr>
        <w:footnoteRef/>
      </w:r>
      <w:r w:rsidRPr="00837B32">
        <w:t xml:space="preserve"> </w:t>
      </w:r>
      <w:r>
        <w:rPr>
          <w:i/>
          <w:iCs/>
        </w:rPr>
        <w:t xml:space="preserve">See </w:t>
      </w:r>
      <w:r w:rsidRPr="00837B32">
        <w:t>31 CFR 1010.430.</w:t>
      </w:r>
    </w:p>
  </w:footnote>
  <w:footnote w:id="10">
    <w:p w:rsidR="00B34CDA" w:rsidRPr="00220D1A" w:rsidP="00B34CDA" w14:paraId="4BE15FDD" w14:textId="77777777">
      <w:pPr>
        <w:pStyle w:val="FootnoteText"/>
      </w:pPr>
      <w:r>
        <w:rPr>
          <w:rStyle w:val="FootnoteReference"/>
        </w:rPr>
        <w:footnoteRef/>
      </w:r>
      <w:r>
        <w:t xml:space="preserve"> </w:t>
      </w:r>
      <w:r w:rsidRPr="00415D97">
        <w:rPr>
          <w:i/>
          <w:iCs/>
        </w:rPr>
        <w:t>See</w:t>
      </w:r>
      <w:r>
        <w:t xml:space="preserve"> FinCEN, </w:t>
      </w:r>
      <w:r>
        <w:rPr>
          <w:i/>
          <w:iCs/>
        </w:rPr>
        <w:t xml:space="preserve">Agency Information Collection Activities; Proposed Renewal; Comment Request; Renewal Without Change of Regulations Requiring Additional Records to Be Made and Retained by Dealers in Foreign Exchange and Additional Records to be Made and Retained by Brokers or Dealers in Securities, </w:t>
      </w:r>
      <w:hyperlink r:id="rId1" w:history="1">
        <w:r w:rsidRPr="00220D1A">
          <w:rPr>
            <w:rStyle w:val="Hyperlink"/>
          </w:rPr>
          <w:t>89 FR 65980</w:t>
        </w:r>
      </w:hyperlink>
      <w:r>
        <w:t xml:space="preserve"> (Aug. 13, 2024).</w:t>
      </w:r>
    </w:p>
    <w:p w:rsidR="00B34CDA" w:rsidRPr="00220D1A" w:rsidP="00B34CDA" w14:paraId="20278FBB" w14:textId="77777777">
      <w:pPr>
        <w:pStyle w:val="FootnoteText"/>
      </w:pPr>
    </w:p>
    <w:p w:rsidR="00B34CDA" w:rsidP="00B34CDA" w14:paraId="28C1C8BC" w14:textId="77777777">
      <w:pPr>
        <w:pStyle w:val="FootnoteText"/>
      </w:pPr>
    </w:p>
  </w:footnote>
  <w:footnote w:id="11">
    <w:p w:rsidR="003D70EA" w:rsidRPr="00FE0FB5" w:rsidP="003D70EA" w14:paraId="6C51F968"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2"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2">
    <w:p w:rsidR="00F44131" w:rsidRPr="00F13112" w:rsidP="00DE53C0" w14:paraId="2E516543" w14:textId="1E3304FB">
      <w:r w:rsidRPr="00D012CD">
        <w:rPr>
          <w:rStyle w:val="FootnoteReference"/>
          <w:sz w:val="20"/>
          <w:szCs w:val="20"/>
        </w:rPr>
        <w:footnoteRef/>
      </w:r>
      <w:r w:rsidRPr="00D012CD">
        <w:rPr>
          <w:sz w:val="20"/>
          <w:szCs w:val="20"/>
        </w:rPr>
        <w:t xml:space="preserve"> </w:t>
      </w:r>
      <w:r w:rsidRPr="00CF2A8E" w:rsidR="00CF2A8E">
        <w:rPr>
          <w:sz w:val="20"/>
          <w:szCs w:val="20"/>
        </w:rPr>
        <w:t xml:space="preserve">This estimate is based on a December 2023 file downloaded from data maintained by the U.S. Securities and Exchange Commission’s (SEC).  SEC, </w:t>
      </w:r>
      <w:r w:rsidRPr="00CF2A8E" w:rsidR="00CF2A8E">
        <w:rPr>
          <w:i/>
          <w:iCs/>
          <w:sz w:val="20"/>
          <w:szCs w:val="20"/>
        </w:rPr>
        <w:t>Company Information About Active Broker-Dealers</w:t>
      </w:r>
      <w:r w:rsidRPr="00CF2A8E" w:rsidR="00CF2A8E">
        <w:rPr>
          <w:sz w:val="20"/>
          <w:szCs w:val="20"/>
        </w:rPr>
        <w:t xml:space="preserve"> </w:t>
      </w:r>
      <w:r w:rsidRPr="00CF2A8E" w:rsidR="00CF2A8E">
        <w:rPr>
          <w:i/>
          <w:iCs/>
          <w:sz w:val="20"/>
          <w:szCs w:val="20"/>
        </w:rPr>
        <w:t>available at</w:t>
      </w:r>
      <w:r w:rsidRPr="00CF2A8E" w:rsidR="00CF2A8E">
        <w:rPr>
          <w:sz w:val="20"/>
          <w:szCs w:val="20"/>
        </w:rPr>
        <w:t xml:space="preserve"> </w:t>
      </w:r>
      <w:hyperlink r:id="rId3" w:history="1">
        <w:r w:rsidRPr="00CF2A8E" w:rsidR="00CF2A8E">
          <w:rPr>
            <w:rStyle w:val="Hyperlink"/>
            <w:sz w:val="20"/>
            <w:szCs w:val="20"/>
          </w:rPr>
          <w:t>https://www.sec.gov/help/foiadocsbdfoia</w:t>
        </w:r>
      </w:hyperlink>
      <w:r w:rsidRPr="00CF2A8E" w:rsidR="00CF2A8E">
        <w:rPr>
          <w:sz w:val="20"/>
          <w:szCs w:val="20"/>
        </w:rPr>
        <w:t xml:space="preserve"> (accessed on Feb. 28, 2024).</w:t>
      </w:r>
    </w:p>
  </w:footnote>
  <w:footnote w:id="13">
    <w:p w:rsidR="003A01A9" w:rsidRPr="00837B32" w:rsidP="003A01A9" w14:paraId="65B83ABA" w14:textId="54A20746">
      <w:pPr>
        <w:pStyle w:val="FootnoteText"/>
      </w:pPr>
      <w:r w:rsidRPr="00837B32">
        <w:rPr>
          <w:rStyle w:val="FootnoteReference"/>
        </w:rPr>
        <w:footnoteRef/>
      </w:r>
      <w:r w:rsidRPr="00837B32">
        <w:t xml:space="preserve"> </w:t>
      </w:r>
      <w:r w:rsidRPr="009147C2" w:rsidR="00DE53C0">
        <w:rPr>
          <w:i/>
          <w:iCs/>
        </w:rPr>
        <w:t>See</w:t>
      </w:r>
      <w:r w:rsidRPr="009147C2" w:rsidR="00DE53C0">
        <w:t xml:space="preserve"> FinCEN, </w:t>
      </w:r>
      <w:r w:rsidRPr="009147C2" w:rsidR="00DE53C0">
        <w:rPr>
          <w:i/>
          <w:iCs/>
        </w:rPr>
        <w:t>Agency Information Collections Activities; Proposed Renewal; Comment Request: Renewal Without Chang</w:t>
      </w:r>
      <w:r w:rsidR="00DE53C0">
        <w:rPr>
          <w:i/>
          <w:iCs/>
        </w:rPr>
        <w:t>e</w:t>
      </w:r>
      <w:r w:rsidRPr="009147C2" w:rsidR="00DE53C0">
        <w:rPr>
          <w:i/>
          <w:iCs/>
        </w:rPr>
        <w:t xml:space="preserve"> of</w:t>
      </w:r>
      <w:r w:rsidR="00DE53C0">
        <w:rPr>
          <w:i/>
          <w:iCs/>
        </w:rPr>
        <w:t xml:space="preserve"> Regulations Requiring Additional Records To Be Made and Retained by Dealers in Foreign Exchange and Additional Records To Be Made and Retained by Brokers or Dealers in Securities</w:t>
      </w:r>
      <w:r w:rsidR="00DE53C0">
        <w:t xml:space="preserve">, </w:t>
      </w:r>
      <w:hyperlink r:id="rId4" w:history="1">
        <w:r w:rsidRPr="009A6420" w:rsidR="00DE53C0">
          <w:rPr>
            <w:rStyle w:val="Hyperlink"/>
          </w:rPr>
          <w:t>86 FR 7778</w:t>
        </w:r>
      </w:hyperlink>
      <w:r w:rsidR="00DE53C0">
        <w:t xml:space="preserve"> (Feb. 1, 2021).</w:t>
      </w:r>
    </w:p>
  </w:footnote>
  <w:footnote w:id="14">
    <w:p w:rsidR="002822E8" w:rsidRPr="00A82A0D" w:rsidP="002822E8" w14:paraId="51911A15" w14:textId="77777777">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 xml:space="preserve">Customer Identification Programs for Registered Investment Advisers and Exempt </w:t>
      </w:r>
      <w:r w:rsidRPr="000041CA">
        <w:rPr>
          <w:i/>
          <w:iCs/>
        </w:rPr>
        <w:t>Reporting Advisers</w:t>
      </w:r>
      <w:r>
        <w:t xml:space="preserve">, </w:t>
      </w:r>
      <w:hyperlink r:id="rId5" w:history="1">
        <w:r>
          <w:rPr>
            <w:rStyle w:val="Hyperlink"/>
          </w:rPr>
          <w:t>89 FR 44571</w:t>
        </w:r>
      </w:hyperlink>
      <w:r>
        <w:t xml:space="preserve"> (May 21, 2024); FinCEN, </w:t>
      </w:r>
      <w:r>
        <w:rPr>
          <w:i/>
          <w:iCs/>
        </w:rPr>
        <w:t xml:space="preserve">NPRM Anti-Money Laundering and Countering the Financing of Terrorism Programs NPRM, </w:t>
      </w:r>
      <w:hyperlink r:id="rId6" w:history="1">
        <w:r w:rsidRPr="00A82A0D">
          <w:rPr>
            <w:rStyle w:val="Hyperlink"/>
          </w:rPr>
          <w:t>89 FR 55428</w:t>
        </w:r>
      </w:hyperlink>
      <w:r w:rsidRPr="00A82A0D">
        <w:t xml:space="preserve"> </w:t>
      </w:r>
      <w:r>
        <w:t xml:space="preserve">(July 3, 2024); FinCEN, </w:t>
      </w:r>
      <w:r>
        <w:rPr>
          <w:i/>
          <w:iCs/>
        </w:rPr>
        <w:t xml:space="preserve">Agency Information Collection Activities; Proposed Renewal; Comment Request; Renewal Without Change of the Customer Identification Program Regulatory Requirements for Certain Financial Institutions, </w:t>
      </w:r>
      <w:hyperlink r:id="rId7" w:history="1">
        <w:r w:rsidRPr="00A82A0D">
          <w:rPr>
            <w:rStyle w:val="Hyperlink"/>
          </w:rPr>
          <w:t>89 FR 51940</w:t>
        </w:r>
      </w:hyperlink>
      <w:r>
        <w:t xml:space="preserve"> (June 20, 2024); FinCEN, </w:t>
      </w:r>
      <w:r>
        <w:rPr>
          <w:i/>
          <w:iCs/>
        </w:rPr>
        <w:t>Agency Information Collection Activities; Proposed Renewal; Comment Request; Renewal Without Change of Due Diligence Programs for Correspondent Accounts for Foreign Financial Institutions and for Private Banking Accounts</w:t>
      </w:r>
      <w:r>
        <w:t xml:space="preserve">, </w:t>
      </w:r>
      <w:hyperlink r:id="rId8" w:history="1">
        <w:r>
          <w:rPr>
            <w:rStyle w:val="Hyperlink"/>
          </w:rPr>
          <w:t>89 FR 49273</w:t>
        </w:r>
      </w:hyperlink>
      <w:r>
        <w:t>, (June 11, 2024).</w:t>
      </w:r>
    </w:p>
    <w:p w:rsidR="002822E8" w:rsidRPr="00163A9D" w:rsidP="002822E8" w14:paraId="46A26A5A" w14:textId="77777777">
      <w:pPr>
        <w:pStyle w:val="FootnoteText"/>
      </w:pPr>
      <w:r>
        <w:t xml:space="preserve"> </w:t>
      </w:r>
    </w:p>
    <w:p w:rsidR="002822E8" w:rsidP="002822E8" w14:paraId="5FD6C68D"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start w:val="0"/>
      <w:numFmt w:val="bullet"/>
      <w:lvlText w:val="•"/>
      <w:lvlJc w:val="left"/>
      <w:pPr>
        <w:ind w:left="1404" w:hanging="301"/>
      </w:pPr>
    </w:lvl>
    <w:lvl w:ilvl="2">
      <w:start w:val="0"/>
      <w:numFmt w:val="bullet"/>
      <w:lvlText w:val="•"/>
      <w:lvlJc w:val="left"/>
      <w:pPr>
        <w:ind w:left="2388" w:hanging="301"/>
      </w:pPr>
    </w:lvl>
    <w:lvl w:ilvl="3">
      <w:start w:val="0"/>
      <w:numFmt w:val="bullet"/>
      <w:lvlText w:val="•"/>
      <w:lvlJc w:val="left"/>
      <w:pPr>
        <w:ind w:left="3372" w:hanging="301"/>
      </w:pPr>
    </w:lvl>
    <w:lvl w:ilvl="4">
      <w:start w:val="0"/>
      <w:numFmt w:val="bullet"/>
      <w:lvlText w:val="•"/>
      <w:lvlJc w:val="left"/>
      <w:pPr>
        <w:ind w:left="4356" w:hanging="301"/>
      </w:pPr>
    </w:lvl>
    <w:lvl w:ilvl="5">
      <w:start w:val="0"/>
      <w:numFmt w:val="bullet"/>
      <w:lvlText w:val="•"/>
      <w:lvlJc w:val="left"/>
      <w:pPr>
        <w:ind w:left="5340" w:hanging="301"/>
      </w:pPr>
    </w:lvl>
    <w:lvl w:ilvl="6">
      <w:start w:val="0"/>
      <w:numFmt w:val="bullet"/>
      <w:lvlText w:val="•"/>
      <w:lvlJc w:val="left"/>
      <w:pPr>
        <w:ind w:left="6324" w:hanging="301"/>
      </w:pPr>
    </w:lvl>
    <w:lvl w:ilvl="7">
      <w:start w:val="0"/>
      <w:numFmt w:val="bullet"/>
      <w:lvlText w:val="•"/>
      <w:lvlJc w:val="left"/>
      <w:pPr>
        <w:ind w:left="7308" w:hanging="301"/>
      </w:pPr>
    </w:lvl>
    <w:lvl w:ilvl="8">
      <w:start w:val="0"/>
      <w:numFmt w:val="bullet"/>
      <w:lvlText w:val="•"/>
      <w:lvlJc w:val="left"/>
      <w:pPr>
        <w:ind w:left="8292" w:hanging="301"/>
      </w:pPr>
    </w:lvl>
  </w:abstractNum>
  <w:abstractNum w:abstractNumId="1">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start w:val="0"/>
      <w:numFmt w:val="bullet"/>
      <w:lvlText w:val="•"/>
      <w:lvlJc w:val="left"/>
      <w:pPr>
        <w:ind w:left="1797" w:hanging="344"/>
      </w:pPr>
    </w:lvl>
    <w:lvl w:ilvl="3">
      <w:start w:val="0"/>
      <w:numFmt w:val="bullet"/>
      <w:lvlText w:val="•"/>
      <w:lvlJc w:val="left"/>
      <w:pPr>
        <w:ind w:left="2855" w:hanging="344"/>
      </w:pPr>
    </w:lvl>
    <w:lvl w:ilvl="4">
      <w:start w:val="0"/>
      <w:numFmt w:val="bullet"/>
      <w:lvlText w:val="•"/>
      <w:lvlJc w:val="left"/>
      <w:pPr>
        <w:ind w:left="3913" w:hanging="344"/>
      </w:pPr>
    </w:lvl>
    <w:lvl w:ilvl="5">
      <w:start w:val="0"/>
      <w:numFmt w:val="bullet"/>
      <w:lvlText w:val="•"/>
      <w:lvlJc w:val="left"/>
      <w:pPr>
        <w:ind w:left="4971" w:hanging="344"/>
      </w:pPr>
    </w:lvl>
    <w:lvl w:ilvl="6">
      <w:start w:val="0"/>
      <w:numFmt w:val="bullet"/>
      <w:lvlText w:val="•"/>
      <w:lvlJc w:val="left"/>
      <w:pPr>
        <w:ind w:left="6028" w:hanging="344"/>
      </w:pPr>
    </w:lvl>
    <w:lvl w:ilvl="7">
      <w:start w:val="0"/>
      <w:numFmt w:val="bullet"/>
      <w:lvlText w:val="•"/>
      <w:lvlJc w:val="left"/>
      <w:pPr>
        <w:ind w:left="7086" w:hanging="344"/>
      </w:pPr>
    </w:lvl>
    <w:lvl w:ilvl="8">
      <w:start w:val="0"/>
      <w:numFmt w:val="bullet"/>
      <w:lvlText w:val="•"/>
      <w:lvlJc w:val="left"/>
      <w:pPr>
        <w:ind w:left="8144" w:hanging="344"/>
      </w:pPr>
    </w:lvl>
  </w:abstractNum>
  <w:abstractNum w:abstractNumId="2">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start w:val="0"/>
      <w:numFmt w:val="bullet"/>
      <w:lvlText w:val="•"/>
      <w:lvlJc w:val="left"/>
      <w:pPr>
        <w:ind w:left="1674" w:hanging="333"/>
      </w:pPr>
    </w:lvl>
    <w:lvl w:ilvl="2">
      <w:start w:val="0"/>
      <w:numFmt w:val="bullet"/>
      <w:lvlText w:val="•"/>
      <w:lvlJc w:val="left"/>
      <w:pPr>
        <w:ind w:left="2628" w:hanging="333"/>
      </w:pPr>
    </w:lvl>
    <w:lvl w:ilvl="3">
      <w:start w:val="0"/>
      <w:numFmt w:val="bullet"/>
      <w:lvlText w:val="•"/>
      <w:lvlJc w:val="left"/>
      <w:pPr>
        <w:ind w:left="3582" w:hanging="333"/>
      </w:pPr>
    </w:lvl>
    <w:lvl w:ilvl="4">
      <w:start w:val="0"/>
      <w:numFmt w:val="bullet"/>
      <w:lvlText w:val="•"/>
      <w:lvlJc w:val="left"/>
      <w:pPr>
        <w:ind w:left="4536" w:hanging="333"/>
      </w:pPr>
    </w:lvl>
    <w:lvl w:ilvl="5">
      <w:start w:val="0"/>
      <w:numFmt w:val="bullet"/>
      <w:lvlText w:val="•"/>
      <w:lvlJc w:val="left"/>
      <w:pPr>
        <w:ind w:left="5490" w:hanging="333"/>
      </w:pPr>
    </w:lvl>
    <w:lvl w:ilvl="6">
      <w:start w:val="0"/>
      <w:numFmt w:val="bullet"/>
      <w:lvlText w:val="•"/>
      <w:lvlJc w:val="left"/>
      <w:pPr>
        <w:ind w:left="6444" w:hanging="333"/>
      </w:pPr>
    </w:lvl>
    <w:lvl w:ilvl="7">
      <w:start w:val="0"/>
      <w:numFmt w:val="bullet"/>
      <w:lvlText w:val="•"/>
      <w:lvlJc w:val="left"/>
      <w:pPr>
        <w:ind w:left="7398" w:hanging="333"/>
      </w:pPr>
    </w:lvl>
    <w:lvl w:ilvl="8">
      <w:start w:val="0"/>
      <w:numFmt w:val="bullet"/>
      <w:lvlText w:val="•"/>
      <w:lvlJc w:val="left"/>
      <w:pPr>
        <w:ind w:left="8352" w:hanging="333"/>
      </w:pPr>
    </w:lvl>
  </w:abstractNum>
  <w:num w:numId="1" w16cid:durableId="1538659924">
    <w:abstractNumId w:val="2"/>
  </w:num>
  <w:num w:numId="2" w16cid:durableId="982196691">
    <w:abstractNumId w:val="1"/>
  </w:num>
  <w:num w:numId="3" w16cid:durableId="4032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8"/>
    <w:rsid w:val="000041CA"/>
    <w:rsid w:val="00005612"/>
    <w:rsid w:val="0000789D"/>
    <w:rsid w:val="000139ED"/>
    <w:rsid w:val="000148CE"/>
    <w:rsid w:val="00015AE3"/>
    <w:rsid w:val="00016AD0"/>
    <w:rsid w:val="00017C21"/>
    <w:rsid w:val="00020DAE"/>
    <w:rsid w:val="00023515"/>
    <w:rsid w:val="000300DC"/>
    <w:rsid w:val="000327C7"/>
    <w:rsid w:val="000377C7"/>
    <w:rsid w:val="000379FB"/>
    <w:rsid w:val="00050EC5"/>
    <w:rsid w:val="00054D31"/>
    <w:rsid w:val="00055673"/>
    <w:rsid w:val="0005739A"/>
    <w:rsid w:val="000576FF"/>
    <w:rsid w:val="00065A1A"/>
    <w:rsid w:val="00073D63"/>
    <w:rsid w:val="000745F6"/>
    <w:rsid w:val="00081EE2"/>
    <w:rsid w:val="000821DE"/>
    <w:rsid w:val="00083939"/>
    <w:rsid w:val="000846AA"/>
    <w:rsid w:val="00085C49"/>
    <w:rsid w:val="000900FF"/>
    <w:rsid w:val="000A1838"/>
    <w:rsid w:val="000C0696"/>
    <w:rsid w:val="000C52EF"/>
    <w:rsid w:val="000C5B33"/>
    <w:rsid w:val="001019C7"/>
    <w:rsid w:val="00104F2C"/>
    <w:rsid w:val="00114088"/>
    <w:rsid w:val="00114F02"/>
    <w:rsid w:val="00127FAF"/>
    <w:rsid w:val="001423FB"/>
    <w:rsid w:val="001446E2"/>
    <w:rsid w:val="00145930"/>
    <w:rsid w:val="001558C0"/>
    <w:rsid w:val="00163A9D"/>
    <w:rsid w:val="00173206"/>
    <w:rsid w:val="0017516A"/>
    <w:rsid w:val="001801A2"/>
    <w:rsid w:val="00181256"/>
    <w:rsid w:val="0019235C"/>
    <w:rsid w:val="00194079"/>
    <w:rsid w:val="001947D3"/>
    <w:rsid w:val="001A014A"/>
    <w:rsid w:val="001A0FF9"/>
    <w:rsid w:val="001A33F3"/>
    <w:rsid w:val="001C3350"/>
    <w:rsid w:val="001D4496"/>
    <w:rsid w:val="001D5AFC"/>
    <w:rsid w:val="001E7569"/>
    <w:rsid w:val="001F309B"/>
    <w:rsid w:val="001F722A"/>
    <w:rsid w:val="00200401"/>
    <w:rsid w:val="002015CC"/>
    <w:rsid w:val="00211F04"/>
    <w:rsid w:val="00212D01"/>
    <w:rsid w:val="002151F7"/>
    <w:rsid w:val="00220D1A"/>
    <w:rsid w:val="00226220"/>
    <w:rsid w:val="0023300A"/>
    <w:rsid w:val="00240765"/>
    <w:rsid w:val="00241A6E"/>
    <w:rsid w:val="00250B4A"/>
    <w:rsid w:val="002515DA"/>
    <w:rsid w:val="00256FEE"/>
    <w:rsid w:val="00270B14"/>
    <w:rsid w:val="00273504"/>
    <w:rsid w:val="00277C5D"/>
    <w:rsid w:val="00280ECD"/>
    <w:rsid w:val="002822E8"/>
    <w:rsid w:val="00283431"/>
    <w:rsid w:val="00293155"/>
    <w:rsid w:val="00294AF5"/>
    <w:rsid w:val="00294C84"/>
    <w:rsid w:val="002A20A2"/>
    <w:rsid w:val="002A271A"/>
    <w:rsid w:val="002B1AE2"/>
    <w:rsid w:val="002B5F83"/>
    <w:rsid w:val="002C26D7"/>
    <w:rsid w:val="002C2BFB"/>
    <w:rsid w:val="002E25D1"/>
    <w:rsid w:val="002E5FF9"/>
    <w:rsid w:val="002E72EC"/>
    <w:rsid w:val="00301792"/>
    <w:rsid w:val="0030221B"/>
    <w:rsid w:val="003408A6"/>
    <w:rsid w:val="00353A24"/>
    <w:rsid w:val="003729E7"/>
    <w:rsid w:val="00380097"/>
    <w:rsid w:val="00386D0C"/>
    <w:rsid w:val="00392993"/>
    <w:rsid w:val="00392EA3"/>
    <w:rsid w:val="003A01A9"/>
    <w:rsid w:val="003A525C"/>
    <w:rsid w:val="003B385E"/>
    <w:rsid w:val="003C1A61"/>
    <w:rsid w:val="003D70EA"/>
    <w:rsid w:val="003E22EE"/>
    <w:rsid w:val="003E69DC"/>
    <w:rsid w:val="003E7BF2"/>
    <w:rsid w:val="003F38A4"/>
    <w:rsid w:val="003F5AA4"/>
    <w:rsid w:val="003F7960"/>
    <w:rsid w:val="00410409"/>
    <w:rsid w:val="004116D6"/>
    <w:rsid w:val="00414797"/>
    <w:rsid w:val="0041548D"/>
    <w:rsid w:val="00415D97"/>
    <w:rsid w:val="00416DDB"/>
    <w:rsid w:val="0042486C"/>
    <w:rsid w:val="00432808"/>
    <w:rsid w:val="0043360E"/>
    <w:rsid w:val="00440362"/>
    <w:rsid w:val="00441AA8"/>
    <w:rsid w:val="00461F7C"/>
    <w:rsid w:val="0046748E"/>
    <w:rsid w:val="00470681"/>
    <w:rsid w:val="004A2CDA"/>
    <w:rsid w:val="004A349A"/>
    <w:rsid w:val="004B2437"/>
    <w:rsid w:val="004B4012"/>
    <w:rsid w:val="004B46F6"/>
    <w:rsid w:val="004B4B68"/>
    <w:rsid w:val="004C09C2"/>
    <w:rsid w:val="004C2D27"/>
    <w:rsid w:val="004C3A8A"/>
    <w:rsid w:val="004C7594"/>
    <w:rsid w:val="004D15F4"/>
    <w:rsid w:val="00512CC3"/>
    <w:rsid w:val="00522998"/>
    <w:rsid w:val="00525570"/>
    <w:rsid w:val="005305FD"/>
    <w:rsid w:val="005354E4"/>
    <w:rsid w:val="00535D43"/>
    <w:rsid w:val="005415F5"/>
    <w:rsid w:val="00544A40"/>
    <w:rsid w:val="00551A6C"/>
    <w:rsid w:val="00553D43"/>
    <w:rsid w:val="00554F9B"/>
    <w:rsid w:val="00561AE5"/>
    <w:rsid w:val="00562228"/>
    <w:rsid w:val="00563FE6"/>
    <w:rsid w:val="005667C4"/>
    <w:rsid w:val="00572D22"/>
    <w:rsid w:val="005740D5"/>
    <w:rsid w:val="005815DA"/>
    <w:rsid w:val="0059272D"/>
    <w:rsid w:val="005A7DEE"/>
    <w:rsid w:val="005B617B"/>
    <w:rsid w:val="005C065F"/>
    <w:rsid w:val="005C62B0"/>
    <w:rsid w:val="005C739E"/>
    <w:rsid w:val="005D0671"/>
    <w:rsid w:val="005D18FC"/>
    <w:rsid w:val="005E23FA"/>
    <w:rsid w:val="005F09CC"/>
    <w:rsid w:val="005F1B31"/>
    <w:rsid w:val="005F6F5A"/>
    <w:rsid w:val="005F7329"/>
    <w:rsid w:val="00603C60"/>
    <w:rsid w:val="0061193D"/>
    <w:rsid w:val="00616FDD"/>
    <w:rsid w:val="00622D68"/>
    <w:rsid w:val="00630AF1"/>
    <w:rsid w:val="006365F6"/>
    <w:rsid w:val="00637D48"/>
    <w:rsid w:val="00643252"/>
    <w:rsid w:val="00646D87"/>
    <w:rsid w:val="006540CB"/>
    <w:rsid w:val="00670C7F"/>
    <w:rsid w:val="00671888"/>
    <w:rsid w:val="00683622"/>
    <w:rsid w:val="006936CB"/>
    <w:rsid w:val="006A60EB"/>
    <w:rsid w:val="006C5EF4"/>
    <w:rsid w:val="006D1386"/>
    <w:rsid w:val="006F052B"/>
    <w:rsid w:val="006F29C7"/>
    <w:rsid w:val="00704E7B"/>
    <w:rsid w:val="00706AF0"/>
    <w:rsid w:val="00706FD9"/>
    <w:rsid w:val="0071417F"/>
    <w:rsid w:val="0071507B"/>
    <w:rsid w:val="007207AD"/>
    <w:rsid w:val="00726BA4"/>
    <w:rsid w:val="00734DD9"/>
    <w:rsid w:val="00735644"/>
    <w:rsid w:val="007400B4"/>
    <w:rsid w:val="0074127C"/>
    <w:rsid w:val="0074433B"/>
    <w:rsid w:val="00751E07"/>
    <w:rsid w:val="00763721"/>
    <w:rsid w:val="007657E5"/>
    <w:rsid w:val="00765878"/>
    <w:rsid w:val="00770361"/>
    <w:rsid w:val="00772D23"/>
    <w:rsid w:val="00784CAD"/>
    <w:rsid w:val="00790966"/>
    <w:rsid w:val="00790EBD"/>
    <w:rsid w:val="007A23AA"/>
    <w:rsid w:val="007A5948"/>
    <w:rsid w:val="007C68EB"/>
    <w:rsid w:val="007E568B"/>
    <w:rsid w:val="007F2503"/>
    <w:rsid w:val="007F6DDB"/>
    <w:rsid w:val="00803C63"/>
    <w:rsid w:val="00803FF5"/>
    <w:rsid w:val="008042A3"/>
    <w:rsid w:val="00804A56"/>
    <w:rsid w:val="008160A3"/>
    <w:rsid w:val="00816488"/>
    <w:rsid w:val="00816D07"/>
    <w:rsid w:val="008174B5"/>
    <w:rsid w:val="008335CA"/>
    <w:rsid w:val="008358F1"/>
    <w:rsid w:val="00835DB8"/>
    <w:rsid w:val="00837B32"/>
    <w:rsid w:val="00850131"/>
    <w:rsid w:val="008722D3"/>
    <w:rsid w:val="008745C3"/>
    <w:rsid w:val="00876DA3"/>
    <w:rsid w:val="008A0613"/>
    <w:rsid w:val="008A4920"/>
    <w:rsid w:val="008A4AD6"/>
    <w:rsid w:val="008C0EA4"/>
    <w:rsid w:val="008C299E"/>
    <w:rsid w:val="008D5BF7"/>
    <w:rsid w:val="008F1A53"/>
    <w:rsid w:val="008F7673"/>
    <w:rsid w:val="0090228F"/>
    <w:rsid w:val="009147C2"/>
    <w:rsid w:val="00942AFC"/>
    <w:rsid w:val="00957C3D"/>
    <w:rsid w:val="00967BBB"/>
    <w:rsid w:val="009821B4"/>
    <w:rsid w:val="009829C3"/>
    <w:rsid w:val="00993F48"/>
    <w:rsid w:val="00995764"/>
    <w:rsid w:val="00995B77"/>
    <w:rsid w:val="009A5F8C"/>
    <w:rsid w:val="009A6420"/>
    <w:rsid w:val="009A6C50"/>
    <w:rsid w:val="009B21BC"/>
    <w:rsid w:val="009B5E03"/>
    <w:rsid w:val="009B61FA"/>
    <w:rsid w:val="009C4C6C"/>
    <w:rsid w:val="009C5F96"/>
    <w:rsid w:val="009C6CDB"/>
    <w:rsid w:val="009E0F28"/>
    <w:rsid w:val="009F04CE"/>
    <w:rsid w:val="00A27298"/>
    <w:rsid w:val="00A357FD"/>
    <w:rsid w:val="00A37432"/>
    <w:rsid w:val="00A3749C"/>
    <w:rsid w:val="00A4317C"/>
    <w:rsid w:val="00A62671"/>
    <w:rsid w:val="00A665E7"/>
    <w:rsid w:val="00A82A0D"/>
    <w:rsid w:val="00A90A02"/>
    <w:rsid w:val="00A91DFC"/>
    <w:rsid w:val="00A921D0"/>
    <w:rsid w:val="00A93AE0"/>
    <w:rsid w:val="00AA6051"/>
    <w:rsid w:val="00AA6D89"/>
    <w:rsid w:val="00AB5E47"/>
    <w:rsid w:val="00AC127A"/>
    <w:rsid w:val="00AC285C"/>
    <w:rsid w:val="00AC4543"/>
    <w:rsid w:val="00AC5340"/>
    <w:rsid w:val="00AD24B3"/>
    <w:rsid w:val="00AE348B"/>
    <w:rsid w:val="00AE67AF"/>
    <w:rsid w:val="00AE708E"/>
    <w:rsid w:val="00AF152A"/>
    <w:rsid w:val="00AF5089"/>
    <w:rsid w:val="00B15BAF"/>
    <w:rsid w:val="00B1626E"/>
    <w:rsid w:val="00B27E07"/>
    <w:rsid w:val="00B3040C"/>
    <w:rsid w:val="00B34CDA"/>
    <w:rsid w:val="00B357C1"/>
    <w:rsid w:val="00B35CDD"/>
    <w:rsid w:val="00B43CE2"/>
    <w:rsid w:val="00B512E2"/>
    <w:rsid w:val="00B6649E"/>
    <w:rsid w:val="00B7003A"/>
    <w:rsid w:val="00B7319F"/>
    <w:rsid w:val="00B80115"/>
    <w:rsid w:val="00B819D2"/>
    <w:rsid w:val="00B93FD9"/>
    <w:rsid w:val="00B96E9D"/>
    <w:rsid w:val="00BB60E4"/>
    <w:rsid w:val="00BB6976"/>
    <w:rsid w:val="00BC7E51"/>
    <w:rsid w:val="00BD4EF7"/>
    <w:rsid w:val="00BE2DDC"/>
    <w:rsid w:val="00BF4B59"/>
    <w:rsid w:val="00C0248A"/>
    <w:rsid w:val="00C0304B"/>
    <w:rsid w:val="00C03111"/>
    <w:rsid w:val="00C03484"/>
    <w:rsid w:val="00C0419A"/>
    <w:rsid w:val="00C05EDD"/>
    <w:rsid w:val="00C1396D"/>
    <w:rsid w:val="00C13DC0"/>
    <w:rsid w:val="00C24AA8"/>
    <w:rsid w:val="00C26DCE"/>
    <w:rsid w:val="00C339FC"/>
    <w:rsid w:val="00C34B95"/>
    <w:rsid w:val="00C34C9D"/>
    <w:rsid w:val="00C40239"/>
    <w:rsid w:val="00C41175"/>
    <w:rsid w:val="00C4238E"/>
    <w:rsid w:val="00C538B7"/>
    <w:rsid w:val="00C57762"/>
    <w:rsid w:val="00C651A6"/>
    <w:rsid w:val="00C664F8"/>
    <w:rsid w:val="00C70EA9"/>
    <w:rsid w:val="00C8520F"/>
    <w:rsid w:val="00C910F4"/>
    <w:rsid w:val="00CB55E8"/>
    <w:rsid w:val="00CD1764"/>
    <w:rsid w:val="00CD7306"/>
    <w:rsid w:val="00CD73CD"/>
    <w:rsid w:val="00CE11C8"/>
    <w:rsid w:val="00CF097E"/>
    <w:rsid w:val="00CF2A8E"/>
    <w:rsid w:val="00D00F37"/>
    <w:rsid w:val="00D012CD"/>
    <w:rsid w:val="00D06181"/>
    <w:rsid w:val="00D06EA5"/>
    <w:rsid w:val="00D26691"/>
    <w:rsid w:val="00D3774C"/>
    <w:rsid w:val="00D43F3B"/>
    <w:rsid w:val="00D47FF1"/>
    <w:rsid w:val="00D52D6F"/>
    <w:rsid w:val="00D56F88"/>
    <w:rsid w:val="00D62D98"/>
    <w:rsid w:val="00D700D9"/>
    <w:rsid w:val="00D741F7"/>
    <w:rsid w:val="00D7507C"/>
    <w:rsid w:val="00D77247"/>
    <w:rsid w:val="00D77E1D"/>
    <w:rsid w:val="00D8554E"/>
    <w:rsid w:val="00D87A8B"/>
    <w:rsid w:val="00D90DDF"/>
    <w:rsid w:val="00DA5B9E"/>
    <w:rsid w:val="00DB1137"/>
    <w:rsid w:val="00DB22A3"/>
    <w:rsid w:val="00DB3BEE"/>
    <w:rsid w:val="00DB49BF"/>
    <w:rsid w:val="00DB6B70"/>
    <w:rsid w:val="00DD5DE6"/>
    <w:rsid w:val="00DE53C0"/>
    <w:rsid w:val="00E0252C"/>
    <w:rsid w:val="00E025FC"/>
    <w:rsid w:val="00E052B8"/>
    <w:rsid w:val="00E06083"/>
    <w:rsid w:val="00E135EF"/>
    <w:rsid w:val="00E156C7"/>
    <w:rsid w:val="00E16C12"/>
    <w:rsid w:val="00E35061"/>
    <w:rsid w:val="00E61555"/>
    <w:rsid w:val="00E667ED"/>
    <w:rsid w:val="00E85366"/>
    <w:rsid w:val="00E859C4"/>
    <w:rsid w:val="00E8723F"/>
    <w:rsid w:val="00E969A6"/>
    <w:rsid w:val="00EA2F26"/>
    <w:rsid w:val="00EA3DA7"/>
    <w:rsid w:val="00EB6516"/>
    <w:rsid w:val="00ED0685"/>
    <w:rsid w:val="00ED4A11"/>
    <w:rsid w:val="00ED5839"/>
    <w:rsid w:val="00EE1121"/>
    <w:rsid w:val="00F055C9"/>
    <w:rsid w:val="00F13112"/>
    <w:rsid w:val="00F2243A"/>
    <w:rsid w:val="00F22B68"/>
    <w:rsid w:val="00F32FB0"/>
    <w:rsid w:val="00F34526"/>
    <w:rsid w:val="00F34AE2"/>
    <w:rsid w:val="00F37038"/>
    <w:rsid w:val="00F439AF"/>
    <w:rsid w:val="00F44131"/>
    <w:rsid w:val="00F478F6"/>
    <w:rsid w:val="00F50EE6"/>
    <w:rsid w:val="00F56A57"/>
    <w:rsid w:val="00F6507B"/>
    <w:rsid w:val="00F70456"/>
    <w:rsid w:val="00F80F5C"/>
    <w:rsid w:val="00F91C42"/>
    <w:rsid w:val="00FB3821"/>
    <w:rsid w:val="00FC3CD1"/>
    <w:rsid w:val="00FD1CB1"/>
    <w:rsid w:val="00FD7A0B"/>
    <w:rsid w:val="00FE0FB5"/>
    <w:rsid w:val="00FE2E33"/>
    <w:rsid w:val="00FF24D0"/>
    <w:rsid w:val="00FF7DAD"/>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050446"/>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241A6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iPriority w:val="99"/>
    <w:unhideWhenUsed/>
    <w:qFormat/>
    <w:rsid w:val="003E69DC"/>
    <w:rPr>
      <w:sz w:val="20"/>
      <w:szCs w:val="20"/>
    </w:rPr>
  </w:style>
  <w:style w:type="character" w:customStyle="1" w:styleId="FootnoteTextChar">
    <w:name w:val="Footnote Text Char"/>
    <w:aliases w:val=" Char Char,Car Char,Char Char,Footnote Text Char Char Char Char,Footnote Text Char Char Char Char Char Char,Footnote Text Char1 Char Char Char1,Footnote Text Char1 Char Char1,Footnote Text Char1 Char1"/>
    <w:basedOn w:val="DefaultParagraphFont"/>
    <w:link w:val="FootnoteText"/>
    <w:uiPriority w:val="99"/>
    <w:rsid w:val="003E69DC"/>
  </w:style>
  <w:style w:type="character" w:styleId="CommentReference">
    <w:name w:val="annotation reference"/>
    <w:uiPriority w:val="99"/>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nhideWhenUsed/>
    <w:rsid w:val="000821DE"/>
    <w:pPr>
      <w:spacing w:after="120"/>
      <w:ind w:left="360"/>
    </w:pPr>
  </w:style>
  <w:style w:type="character" w:customStyle="1" w:styleId="BodyTextIndentChar">
    <w:name w:val="Body Text Indent Char"/>
    <w:basedOn w:val="DefaultParagraphFont"/>
    <w:link w:val="BodyTextIndent"/>
    <w:rsid w:val="000821DE"/>
    <w:rPr>
      <w:sz w:val="24"/>
      <w:szCs w:val="24"/>
    </w:rPr>
  </w:style>
  <w:style w:type="character" w:styleId="FollowedHyperlink">
    <w:name w:val="FollowedHyperlink"/>
    <w:basedOn w:val="DefaultParagraphFont"/>
    <w:uiPriority w:val="99"/>
    <w:semiHidden/>
    <w:unhideWhenUsed/>
    <w:rsid w:val="005305FD"/>
    <w:rPr>
      <w:color w:val="800080" w:themeColor="followedHyperlink"/>
      <w:u w:val="single"/>
    </w:rPr>
  </w:style>
  <w:style w:type="paragraph" w:customStyle="1" w:styleId="Default">
    <w:name w:val="Default"/>
    <w:basedOn w:val="Normal"/>
    <w:rsid w:val="008A0613"/>
    <w:pPr>
      <w:autoSpaceDE w:val="0"/>
      <w:autoSpaceDN w:val="0"/>
    </w:pPr>
    <w:rPr>
      <w:rFonts w:eastAsia="Calibri"/>
      <w:color w:val="000000"/>
    </w:rPr>
  </w:style>
  <w:style w:type="character" w:customStyle="1" w:styleId="Heading3Char">
    <w:name w:val="Heading 3 Char"/>
    <w:basedOn w:val="DefaultParagraphFont"/>
    <w:link w:val="Heading3"/>
    <w:uiPriority w:val="9"/>
    <w:rsid w:val="00241A6E"/>
    <w:rPr>
      <w:b/>
      <w:bCs/>
      <w:sz w:val="27"/>
      <w:szCs w:val="27"/>
    </w:rPr>
  </w:style>
  <w:style w:type="paragraph" w:styleId="Revision">
    <w:name w:val="Revision"/>
    <w:hidden/>
    <w:uiPriority w:val="99"/>
    <w:semiHidden/>
    <w:rsid w:val="003729E7"/>
    <w:rPr>
      <w:sz w:val="24"/>
      <w:szCs w:val="24"/>
    </w:rPr>
  </w:style>
  <w:style w:type="paragraph" w:styleId="HTMLPreformatted">
    <w:name w:val="HTML Preformatted"/>
    <w:basedOn w:val="Normal"/>
    <w:link w:val="HTMLPreformattedChar"/>
    <w:unhideWhenUsed/>
    <w:rsid w:val="003D70EA"/>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3D70EA"/>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8-13/pdf/2024-18036.pdf" TargetMode="External" /><Relationship Id="rId2" Type="http://schemas.openxmlformats.org/officeDocument/2006/relationships/hyperlink" Target="https://www.federalregister.gov/documents/2014/04/14/2014-08254/privacy-act-of-1974-as-amended-system-of-records-notice" TargetMode="External" /><Relationship Id="rId3" Type="http://schemas.openxmlformats.org/officeDocument/2006/relationships/hyperlink" Target="https://www.sec.gov/help/foiadocsbdfoia" TargetMode="External" /><Relationship Id="rId4" Type="http://schemas.openxmlformats.org/officeDocument/2006/relationships/hyperlink" Target="https://www.federalregister.gov/documents/2021/02/01/2021-02064/agency-information-collection-activities-proposed-renewal-comment-request-renewal-without-change-of" TargetMode="External" /><Relationship Id="rId5" Type="http://schemas.openxmlformats.org/officeDocument/2006/relationships/hyperlink" Target="https://www.federalregister.gov/documents/2024/05/21/2024-10738/customer-identification-programs-for-registered-investment-advisers-and-exempt-reporting-advisers" TargetMode="External" /><Relationship Id="rId6" Type="http://schemas.openxmlformats.org/officeDocument/2006/relationships/hyperlink" Target="https://www.federalregister.gov/documents/2024/07/03/2024-14414/anti-money-laundering-and-countering-the-financing-of-terrorism-programs" TargetMode="External" /><Relationship Id="rId7" Type="http://schemas.openxmlformats.org/officeDocument/2006/relationships/hyperlink" Target="https://www.federalregister.gov/documents/2024/06/20/2024-13590/agency-information-collection-activities-proposed-renewal-comment-request-renewal-without-change-of" TargetMode="External" /><Relationship Id="rId8" Type="http://schemas.openxmlformats.org/officeDocument/2006/relationships/hyperlink" Target="https://www.federalregister.gov/documents/2024/06/11/2024-12728/agency-information-collection-activities-proposed-renewal-comment-request-renewal-without-change-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40DC-19D2-4418-AEF1-6510E9D1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1611</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2017-05-18T13:14:00Z</cp:lastPrinted>
  <dcterms:created xsi:type="dcterms:W3CDTF">2024-10-28T18:59:00Z</dcterms:created>
  <dcterms:modified xsi:type="dcterms:W3CDTF">2024-10-28T18:59:00Z</dcterms:modified>
</cp:coreProperties>
</file>