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3BDC" w:rsidRPr="001F3D30" w:rsidP="00184354" w14:paraId="19ED418E" w14:textId="77777777">
      <w:pPr>
        <w:pStyle w:val="PlainText"/>
        <w:jc w:val="center"/>
        <w:rPr>
          <w:rFonts w:ascii="Times New Roman" w:eastAsia="MS Mincho" w:hAnsi="Times New Roman" w:cs="Times New Roman"/>
          <w:sz w:val="24"/>
          <w:szCs w:val="24"/>
          <w:u w:val="single"/>
        </w:rPr>
      </w:pPr>
      <w:r w:rsidRPr="001F3D30">
        <w:rPr>
          <w:rFonts w:ascii="Times New Roman" w:eastAsia="MS Mincho" w:hAnsi="Times New Roman" w:cs="Times New Roman"/>
          <w:sz w:val="24"/>
          <w:szCs w:val="24"/>
          <w:u w:val="single"/>
        </w:rPr>
        <w:t>Supp</w:t>
      </w:r>
      <w:r w:rsidRPr="001F3D30" w:rsidR="00F85CC4">
        <w:rPr>
          <w:rFonts w:ascii="Times New Roman" w:eastAsia="MS Mincho" w:hAnsi="Times New Roman" w:cs="Times New Roman"/>
          <w:sz w:val="24"/>
          <w:szCs w:val="24"/>
          <w:u w:val="single"/>
        </w:rPr>
        <w:t>orting</w:t>
      </w:r>
      <w:r w:rsidRPr="001F3D30">
        <w:rPr>
          <w:rFonts w:ascii="Times New Roman" w:eastAsia="MS Mincho" w:hAnsi="Times New Roman" w:cs="Times New Roman"/>
          <w:sz w:val="24"/>
          <w:szCs w:val="24"/>
          <w:u w:val="single"/>
        </w:rPr>
        <w:t xml:space="preserve"> Statement</w:t>
      </w:r>
    </w:p>
    <w:p w:rsidR="005A41DF" w:rsidRPr="001F3D30" w14:paraId="3DF89A76" w14:textId="77777777">
      <w:pPr>
        <w:pStyle w:val="PlainText"/>
        <w:jc w:val="center"/>
        <w:rPr>
          <w:rFonts w:ascii="Times New Roman" w:eastAsia="MS Mincho" w:hAnsi="Times New Roman" w:cs="Times New Roman"/>
          <w:sz w:val="24"/>
          <w:szCs w:val="24"/>
          <w:u w:val="single"/>
        </w:rPr>
      </w:pPr>
      <w:r w:rsidRPr="001F3D30">
        <w:rPr>
          <w:rFonts w:ascii="Times New Roman" w:eastAsia="MS Mincho" w:hAnsi="Times New Roman" w:cs="Times New Roman"/>
          <w:sz w:val="24"/>
          <w:szCs w:val="24"/>
          <w:u w:val="single"/>
        </w:rPr>
        <w:t>OMB Control Number 1506-</w:t>
      </w:r>
      <w:r w:rsidRPr="001F3D30" w:rsidR="00CD0003">
        <w:rPr>
          <w:rFonts w:ascii="Times New Roman" w:eastAsia="MS Mincho" w:hAnsi="Times New Roman" w:cs="Times New Roman"/>
          <w:sz w:val="24"/>
          <w:szCs w:val="24"/>
          <w:u w:val="single"/>
        </w:rPr>
        <w:t>0058</w:t>
      </w:r>
    </w:p>
    <w:p w:rsidR="00600940" w:rsidRPr="001F3D30" w14:paraId="054A6B5A" w14:textId="77777777">
      <w:pPr>
        <w:pStyle w:val="PlainText"/>
        <w:rPr>
          <w:rFonts w:ascii="Times New Roman" w:eastAsia="MS Mincho" w:hAnsi="Times New Roman" w:cs="Times New Roman"/>
          <w:sz w:val="24"/>
          <w:szCs w:val="24"/>
        </w:rPr>
      </w:pPr>
    </w:p>
    <w:p w:rsidR="00184354" w:rsidRPr="00794049" w:rsidP="00184354" w14:paraId="1304FDF1" w14:textId="77777777">
      <w:pPr>
        <w:pStyle w:val="PlainText"/>
        <w:jc w:val="center"/>
        <w:rPr>
          <w:rFonts w:ascii="Times New Roman" w:eastAsia="MS Mincho" w:hAnsi="Times New Roman" w:cs="Times New Roman"/>
          <w:sz w:val="24"/>
          <w:szCs w:val="24"/>
          <w:u w:val="single"/>
        </w:rPr>
      </w:pPr>
      <w:r w:rsidRPr="001F3D30">
        <w:rPr>
          <w:rFonts w:ascii="Times New Roman" w:hAnsi="Times New Roman"/>
          <w:sz w:val="24"/>
          <w:szCs w:val="24"/>
          <w:u w:val="single"/>
        </w:rPr>
        <w:t xml:space="preserve">Records to be </w:t>
      </w:r>
      <w:r w:rsidRPr="001F3D30" w:rsidR="005A0E62">
        <w:rPr>
          <w:rFonts w:ascii="Times New Roman" w:hAnsi="Times New Roman"/>
          <w:sz w:val="24"/>
          <w:szCs w:val="24"/>
          <w:u w:val="single"/>
        </w:rPr>
        <w:t>M</w:t>
      </w:r>
      <w:r w:rsidRPr="001F3D30">
        <w:rPr>
          <w:rFonts w:ascii="Times New Roman" w:hAnsi="Times New Roman"/>
          <w:sz w:val="24"/>
          <w:szCs w:val="24"/>
          <w:u w:val="single"/>
        </w:rPr>
        <w:t xml:space="preserve">ade and </w:t>
      </w:r>
      <w:r w:rsidRPr="00794049" w:rsidR="005A0E62">
        <w:rPr>
          <w:rFonts w:ascii="Times New Roman" w:hAnsi="Times New Roman"/>
          <w:sz w:val="24"/>
          <w:szCs w:val="24"/>
          <w:u w:val="single"/>
        </w:rPr>
        <w:t>R</w:t>
      </w:r>
      <w:r w:rsidRPr="00794049">
        <w:rPr>
          <w:rFonts w:ascii="Times New Roman" w:hAnsi="Times New Roman"/>
          <w:sz w:val="24"/>
          <w:szCs w:val="24"/>
          <w:u w:val="single"/>
        </w:rPr>
        <w:t xml:space="preserve">etained by </w:t>
      </w:r>
      <w:r w:rsidRPr="00794049" w:rsidR="005A0E62">
        <w:rPr>
          <w:rFonts w:ascii="Times New Roman" w:hAnsi="Times New Roman"/>
          <w:sz w:val="24"/>
          <w:szCs w:val="24"/>
          <w:u w:val="single"/>
        </w:rPr>
        <w:t>F</w:t>
      </w:r>
      <w:r w:rsidRPr="00794049">
        <w:rPr>
          <w:rFonts w:ascii="Times New Roman" w:hAnsi="Times New Roman"/>
          <w:sz w:val="24"/>
          <w:szCs w:val="24"/>
          <w:u w:val="single"/>
        </w:rPr>
        <w:t xml:space="preserve">inancial </w:t>
      </w:r>
      <w:r w:rsidRPr="00794049" w:rsidR="005A0E62">
        <w:rPr>
          <w:rFonts w:ascii="Times New Roman" w:hAnsi="Times New Roman"/>
          <w:sz w:val="24"/>
          <w:szCs w:val="24"/>
          <w:u w:val="single"/>
        </w:rPr>
        <w:t>I</w:t>
      </w:r>
      <w:r w:rsidRPr="00794049">
        <w:rPr>
          <w:rFonts w:ascii="Times New Roman" w:hAnsi="Times New Roman"/>
          <w:sz w:val="24"/>
          <w:szCs w:val="24"/>
          <w:u w:val="single"/>
        </w:rPr>
        <w:t>nstitutions</w:t>
      </w:r>
    </w:p>
    <w:p w:rsidR="00184354" w:rsidRPr="00794049" w14:paraId="418EBA67" w14:textId="77777777">
      <w:pPr>
        <w:pStyle w:val="PlainText"/>
        <w:rPr>
          <w:rFonts w:ascii="Times New Roman" w:eastAsia="MS Mincho" w:hAnsi="Times New Roman" w:cs="Times New Roman"/>
          <w:sz w:val="24"/>
          <w:szCs w:val="24"/>
        </w:rPr>
      </w:pPr>
    </w:p>
    <w:p w:rsidR="00600940" w:rsidRPr="00292AA7" w14:paraId="1B91CF92" w14:textId="46BCDE60">
      <w:pPr>
        <w:pStyle w:val="PlainText"/>
        <w:rPr>
          <w:rFonts w:ascii="Times New Roman" w:eastAsia="MS Mincho" w:hAnsi="Times New Roman" w:cs="Times New Roman"/>
          <w:sz w:val="24"/>
          <w:szCs w:val="24"/>
        </w:rPr>
      </w:pPr>
      <w:r w:rsidRPr="00292AA7">
        <w:rPr>
          <w:rFonts w:ascii="Times New Roman" w:eastAsia="MS Mincho" w:hAnsi="Times New Roman" w:cs="Times New Roman"/>
          <w:sz w:val="24"/>
          <w:szCs w:val="24"/>
        </w:rPr>
        <w:t xml:space="preserve">1. </w:t>
      </w:r>
      <w:r w:rsidRPr="00292AA7">
        <w:rPr>
          <w:rFonts w:ascii="Times New Roman" w:hAnsi="Times New Roman" w:cs="Times New Roman"/>
          <w:sz w:val="24"/>
          <w:szCs w:val="24"/>
          <w:u w:val="single"/>
        </w:rPr>
        <w:t xml:space="preserve">Circumstances </w:t>
      </w:r>
      <w:r w:rsidR="00C30B54">
        <w:rPr>
          <w:rFonts w:ascii="Times New Roman" w:hAnsi="Times New Roman" w:cs="Times New Roman"/>
          <w:sz w:val="24"/>
          <w:szCs w:val="24"/>
          <w:u w:val="single"/>
        </w:rPr>
        <w:t>n</w:t>
      </w:r>
      <w:r w:rsidRPr="00292AA7">
        <w:rPr>
          <w:rFonts w:ascii="Times New Roman" w:hAnsi="Times New Roman" w:cs="Times New Roman"/>
          <w:sz w:val="24"/>
          <w:szCs w:val="24"/>
          <w:u w:val="single"/>
        </w:rPr>
        <w:t xml:space="preserve">ecessitating </w:t>
      </w:r>
      <w:r w:rsidR="00C30B54">
        <w:rPr>
          <w:rFonts w:ascii="Times New Roman" w:hAnsi="Times New Roman" w:cs="Times New Roman"/>
          <w:sz w:val="24"/>
          <w:szCs w:val="24"/>
          <w:u w:val="single"/>
        </w:rPr>
        <w:t>c</w:t>
      </w:r>
      <w:r w:rsidRPr="00292AA7">
        <w:rPr>
          <w:rFonts w:ascii="Times New Roman" w:hAnsi="Times New Roman" w:cs="Times New Roman"/>
          <w:sz w:val="24"/>
          <w:szCs w:val="24"/>
          <w:u w:val="single"/>
        </w:rPr>
        <w:t xml:space="preserve">ollection of </w:t>
      </w:r>
      <w:r w:rsidR="00C30B54">
        <w:rPr>
          <w:rFonts w:ascii="Times New Roman" w:hAnsi="Times New Roman" w:cs="Times New Roman"/>
          <w:sz w:val="24"/>
          <w:szCs w:val="24"/>
          <w:u w:val="single"/>
        </w:rPr>
        <w:t>i</w:t>
      </w:r>
      <w:r w:rsidRPr="00292AA7">
        <w:rPr>
          <w:rFonts w:ascii="Times New Roman" w:hAnsi="Times New Roman" w:cs="Times New Roman"/>
          <w:sz w:val="24"/>
          <w:szCs w:val="24"/>
          <w:u w:val="single"/>
        </w:rPr>
        <w:t>nformation</w:t>
      </w:r>
      <w:r w:rsidR="00C30B54">
        <w:rPr>
          <w:rFonts w:ascii="Times New Roman" w:hAnsi="Times New Roman" w:cs="Times New Roman"/>
          <w:sz w:val="24"/>
          <w:szCs w:val="24"/>
          <w:u w:val="single"/>
        </w:rPr>
        <w:t>.</w:t>
      </w:r>
      <w:r w:rsidRPr="00292AA7">
        <w:rPr>
          <w:rFonts w:ascii="Times New Roman" w:eastAsia="MS Mincho" w:hAnsi="Times New Roman" w:cs="Times New Roman"/>
          <w:sz w:val="24"/>
          <w:szCs w:val="24"/>
        </w:rPr>
        <w:tab/>
      </w:r>
    </w:p>
    <w:p w:rsidR="00292AA7" w:rsidP="00292AA7" w14:paraId="43D4D8D3" w14:textId="77777777">
      <w:pPr>
        <w:pStyle w:val="BodyTextIndent"/>
        <w:ind w:left="0" w:firstLine="720"/>
        <w:rPr>
          <w:color w:val="000000"/>
        </w:rPr>
      </w:pPr>
    </w:p>
    <w:p w:rsidR="004B50B7" w:rsidRPr="000148CE" w:rsidP="004B50B7" w14:paraId="6AD333E0" w14:textId="77777777">
      <w:pPr>
        <w:pStyle w:val="BodyTextIndent"/>
        <w:spacing w:after="0"/>
        <w:ind w:left="0" w:firstLine="720"/>
      </w:pPr>
      <w:r w:rsidRPr="000148CE">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4B50B7" w:rsidP="004B50B7" w14:paraId="437A0DDD" w14:textId="77777777">
      <w:pPr>
        <w:pStyle w:val="BodyTextIndent"/>
        <w:spacing w:after="0"/>
        <w:ind w:left="0"/>
      </w:pPr>
    </w:p>
    <w:p w:rsidR="004B50B7" w:rsidRPr="000148CE" w:rsidP="004B50B7" w14:paraId="3C72A9EE" w14:textId="77777777">
      <w:pPr>
        <w:pStyle w:val="BodyTextIndent"/>
        <w:spacing w:after="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936351" w:rsidP="005A0E62" w14:paraId="60DC8735" w14:textId="77777777">
      <w:pPr>
        <w:ind w:firstLine="720"/>
      </w:pPr>
    </w:p>
    <w:p w:rsidR="00936351" w:rsidRPr="00EB4B3E" w:rsidP="00E01B22" w14:paraId="30248E07" w14:textId="7BD03796">
      <w:pPr>
        <w:pStyle w:val="BodyText"/>
        <w:spacing w:before="0"/>
        <w:ind w:right="115" w:firstLine="720"/>
        <w:rPr>
          <w:sz w:val="24"/>
          <w:szCs w:val="24"/>
        </w:rPr>
      </w:pPr>
      <w:r w:rsidRPr="00EB4B3E">
        <w:rPr>
          <w:sz w:val="24"/>
          <w:szCs w:val="24"/>
        </w:rPr>
        <w:t>The Annunzio-Wylie Anti-Money Laundering Act (Annunzio Wylie) amended the BSA by authorizing the Secretary and the Board of Governors of the Federal Reserve System (Board) to jointly issue regulations requiring insured depository institutions to maintain records of domestic funds transfers.</w:t>
      </w:r>
      <w:r>
        <w:rPr>
          <w:rStyle w:val="FootnoteReference"/>
          <w:sz w:val="24"/>
          <w:szCs w:val="24"/>
        </w:rPr>
        <w:footnoteReference w:id="6"/>
      </w:r>
      <w:r w:rsidRPr="00EB4B3E">
        <w:rPr>
          <w:sz w:val="24"/>
          <w:szCs w:val="24"/>
        </w:rPr>
        <w:t xml:space="preserve">  The Secretary, but not the Board, is authorized to promulgate recordkeeping requirements for domestic wire transfers by nonbank financial institutions.</w:t>
      </w:r>
      <w:r>
        <w:rPr>
          <w:rStyle w:val="FootnoteReference"/>
          <w:sz w:val="24"/>
          <w:szCs w:val="24"/>
        </w:rPr>
        <w:footnoteReference w:id="7"/>
      </w:r>
      <w:r w:rsidRPr="00EB4B3E">
        <w:rPr>
          <w:sz w:val="24"/>
          <w:szCs w:val="24"/>
        </w:rPr>
        <w:t xml:space="preserve">  In addition, Annunzio-Wylie authorized the Secretary and the Board, after consultation with state banking supervisors, to jointly issue regulations requiring insured depository institutions and certain nonbank financial institutions to maintain records of international funds transfers and transmittals of funds.</w:t>
      </w:r>
      <w:r>
        <w:rPr>
          <w:rStyle w:val="FootnoteReference"/>
          <w:sz w:val="24"/>
          <w:szCs w:val="24"/>
        </w:rPr>
        <w:footnoteReference w:id="8"/>
      </w:r>
      <w:r w:rsidRPr="00EB4B3E">
        <w:rPr>
          <w:sz w:val="24"/>
          <w:szCs w:val="24"/>
        </w:rPr>
        <w:t xml:space="preserve"> </w:t>
      </w:r>
    </w:p>
    <w:p w:rsidR="00E01B22" w:rsidRPr="00185C57" w:rsidP="00EB4B3E" w14:paraId="379D093D" w14:textId="77777777">
      <w:pPr>
        <w:pStyle w:val="BodyText"/>
        <w:spacing w:before="0"/>
        <w:ind w:right="115" w:firstLine="720"/>
      </w:pPr>
    </w:p>
    <w:p w:rsidR="00936351" w:rsidP="00E01B22" w14:paraId="05695DE4" w14:textId="77777777">
      <w:pPr>
        <w:pStyle w:val="BodyText"/>
        <w:numPr>
          <w:ilvl w:val="1"/>
          <w:numId w:val="7"/>
        </w:numPr>
        <w:autoSpaceDE/>
        <w:autoSpaceDN/>
        <w:adjustRightInd/>
        <w:spacing w:before="0"/>
        <w:ind w:left="0" w:right="115" w:firstLine="0"/>
        <w:rPr>
          <w:b/>
          <w:sz w:val="24"/>
          <w:szCs w:val="24"/>
        </w:rPr>
      </w:pPr>
      <w:r w:rsidRPr="00EB4B3E">
        <w:rPr>
          <w:b/>
          <w:sz w:val="24"/>
          <w:szCs w:val="24"/>
        </w:rPr>
        <w:t xml:space="preserve">31 CFR 1010.410(a) through (c) </w:t>
      </w:r>
      <w:r w:rsidRPr="00EB4B3E">
        <w:rPr>
          <w:rFonts w:eastAsia="MS Mincho"/>
          <w:b/>
          <w:bCs/>
          <w:sz w:val="24"/>
          <w:szCs w:val="24"/>
        </w:rPr>
        <w:t xml:space="preserve">— </w:t>
      </w:r>
      <w:r w:rsidRPr="00EB4B3E">
        <w:rPr>
          <w:b/>
          <w:sz w:val="24"/>
          <w:szCs w:val="24"/>
        </w:rPr>
        <w:t>Records to be made and retained by financial institutions</w:t>
      </w:r>
    </w:p>
    <w:p w:rsidR="00E01B22" w:rsidRPr="00EB4B3E" w:rsidP="00EB4B3E" w14:paraId="0BF9C2A2" w14:textId="77777777">
      <w:pPr>
        <w:pStyle w:val="BodyText"/>
        <w:autoSpaceDE/>
        <w:autoSpaceDN/>
        <w:adjustRightInd/>
        <w:spacing w:before="0"/>
        <w:ind w:right="115"/>
        <w:rPr>
          <w:b/>
          <w:sz w:val="24"/>
          <w:szCs w:val="24"/>
        </w:rPr>
      </w:pPr>
    </w:p>
    <w:p w:rsidR="00936351" w:rsidRPr="00EB4B3E" w:rsidP="00EB4B3E" w14:paraId="3643A1E9" w14:textId="77777777">
      <w:pPr>
        <w:pStyle w:val="BodyText"/>
        <w:spacing w:before="0"/>
        <w:ind w:right="115" w:firstLine="720"/>
        <w:rPr>
          <w:sz w:val="24"/>
          <w:szCs w:val="24"/>
        </w:rPr>
      </w:pPr>
      <w:r w:rsidRPr="00EB4B3E">
        <w:rPr>
          <w:sz w:val="24"/>
          <w:szCs w:val="24"/>
        </w:rPr>
        <w:t>Pursuant to 31 CFR 1010.410(a) through (c),</w:t>
      </w:r>
      <w:r>
        <w:rPr>
          <w:rStyle w:val="FootnoteReference"/>
          <w:sz w:val="24"/>
          <w:szCs w:val="24"/>
        </w:rPr>
        <w:footnoteReference w:id="9"/>
      </w:r>
      <w:r w:rsidRPr="00EB4B3E">
        <w:rPr>
          <w:sz w:val="24"/>
          <w:szCs w:val="24"/>
        </w:rPr>
        <w:t xml:space="preserve"> financial institutions</w:t>
      </w:r>
      <w:r>
        <w:rPr>
          <w:rStyle w:val="FootnoteReference"/>
          <w:sz w:val="24"/>
          <w:szCs w:val="24"/>
        </w:rPr>
        <w:footnoteReference w:id="10"/>
      </w:r>
      <w:r w:rsidRPr="00EB4B3E">
        <w:rPr>
          <w:sz w:val="24"/>
          <w:szCs w:val="24"/>
        </w:rPr>
        <w:t xml:space="preserve"> are required to retain either the original or a copy of the following:</w:t>
      </w:r>
    </w:p>
    <w:p w:rsidR="00936351" w:rsidRPr="00EB4B3E" w:rsidP="00EB4B3E" w14:paraId="5BA73651" w14:textId="5042ADD2">
      <w:pPr>
        <w:pStyle w:val="BodyText"/>
        <w:numPr>
          <w:ilvl w:val="0"/>
          <w:numId w:val="8"/>
        </w:numPr>
        <w:autoSpaceDE/>
        <w:autoSpaceDN/>
        <w:adjustRightInd/>
        <w:spacing w:before="0"/>
        <w:ind w:left="0" w:right="115" w:firstLine="0"/>
        <w:rPr>
          <w:sz w:val="24"/>
          <w:szCs w:val="24"/>
        </w:rPr>
      </w:pPr>
      <w:r w:rsidRPr="00EB4B3E">
        <w:rPr>
          <w:sz w:val="24"/>
          <w:szCs w:val="24"/>
        </w:rPr>
        <w:t xml:space="preserve">A record of each extension of credit in </w:t>
      </w:r>
      <w:r w:rsidR="00280F5B">
        <w:rPr>
          <w:sz w:val="24"/>
          <w:szCs w:val="24"/>
        </w:rPr>
        <w:t xml:space="preserve">an amount </w:t>
      </w:r>
      <w:r w:rsidR="00280F5B">
        <w:rPr>
          <w:sz w:val="24"/>
          <w:szCs w:val="24"/>
        </w:rPr>
        <w:t xml:space="preserve">in </w:t>
      </w:r>
      <w:r w:rsidRPr="00EB4B3E">
        <w:rPr>
          <w:sz w:val="24"/>
          <w:szCs w:val="24"/>
        </w:rPr>
        <w:t>excess of</w:t>
      </w:r>
      <w:r w:rsidRPr="00EB4B3E">
        <w:rPr>
          <w:sz w:val="24"/>
          <w:szCs w:val="24"/>
        </w:rPr>
        <w:t xml:space="preserve"> $10,000, except if the extension of credit is secured by an interest in real property.  The record must include the name and address of the person to whom the extension of credit is made, and the amount, </w:t>
      </w:r>
      <w:r w:rsidR="00280F5B">
        <w:rPr>
          <w:sz w:val="24"/>
          <w:szCs w:val="24"/>
        </w:rPr>
        <w:t xml:space="preserve">nature or </w:t>
      </w:r>
      <w:r w:rsidRPr="00EB4B3E">
        <w:rPr>
          <w:sz w:val="24"/>
          <w:szCs w:val="24"/>
        </w:rPr>
        <w:t>purpose, and date of the extension of credit.</w:t>
      </w:r>
      <w:r>
        <w:rPr>
          <w:rStyle w:val="FootnoteReference"/>
          <w:sz w:val="24"/>
          <w:szCs w:val="24"/>
        </w:rPr>
        <w:footnoteReference w:id="11"/>
      </w:r>
    </w:p>
    <w:p w:rsidR="00936351" w:rsidRPr="00EB4B3E" w:rsidP="00EB4B3E" w14:paraId="38DBB6FD" w14:textId="218C103C">
      <w:pPr>
        <w:pStyle w:val="BodyText"/>
        <w:numPr>
          <w:ilvl w:val="0"/>
          <w:numId w:val="8"/>
        </w:numPr>
        <w:autoSpaceDE/>
        <w:autoSpaceDN/>
        <w:adjustRightInd/>
        <w:spacing w:before="0"/>
        <w:ind w:left="0" w:right="115" w:firstLine="0"/>
        <w:rPr>
          <w:sz w:val="24"/>
          <w:szCs w:val="24"/>
        </w:rPr>
      </w:pPr>
      <w:r w:rsidRPr="00EB4B3E">
        <w:rPr>
          <w:sz w:val="24"/>
          <w:szCs w:val="24"/>
        </w:rPr>
        <w:t xml:space="preserve">A record of each </w:t>
      </w:r>
      <w:r w:rsidR="00280F5B">
        <w:rPr>
          <w:sz w:val="24"/>
          <w:szCs w:val="24"/>
        </w:rPr>
        <w:t xml:space="preserve">advice, request, or instruction </w:t>
      </w:r>
      <w:r w:rsidRPr="00EB4B3E">
        <w:rPr>
          <w:sz w:val="24"/>
          <w:szCs w:val="24"/>
        </w:rPr>
        <w:t>received or given regarding any transaction resulting in (or intended to result in but later canceled if such a record is normally made) the transfer of currency or other monetary instruments, funds, checks, investment securities, or credit of more than $10,000 to or from any person, account, or place outside the United States.</w:t>
      </w:r>
      <w:r>
        <w:rPr>
          <w:rStyle w:val="FootnoteReference"/>
          <w:sz w:val="24"/>
          <w:szCs w:val="24"/>
        </w:rPr>
        <w:footnoteReference w:id="12"/>
      </w:r>
    </w:p>
    <w:p w:rsidR="00936351" w:rsidP="00E01B22" w14:paraId="6007E186" w14:textId="158F6B61">
      <w:pPr>
        <w:pStyle w:val="BodyText"/>
        <w:numPr>
          <w:ilvl w:val="0"/>
          <w:numId w:val="8"/>
        </w:numPr>
        <w:autoSpaceDE/>
        <w:autoSpaceDN/>
        <w:adjustRightInd/>
        <w:spacing w:before="0"/>
        <w:ind w:left="0" w:right="115" w:firstLine="0"/>
        <w:rPr>
          <w:sz w:val="24"/>
          <w:szCs w:val="24"/>
        </w:rPr>
      </w:pPr>
      <w:r w:rsidRPr="00EB4B3E">
        <w:rPr>
          <w:sz w:val="24"/>
          <w:szCs w:val="24"/>
        </w:rPr>
        <w:t xml:space="preserve">A record of each </w:t>
      </w:r>
      <w:r w:rsidR="00280F5B">
        <w:rPr>
          <w:sz w:val="24"/>
          <w:szCs w:val="24"/>
        </w:rPr>
        <w:t xml:space="preserve">advice, </w:t>
      </w:r>
      <w:r w:rsidRPr="00EB4B3E">
        <w:rPr>
          <w:sz w:val="24"/>
          <w:szCs w:val="24"/>
        </w:rPr>
        <w:t>request</w:t>
      </w:r>
      <w:r w:rsidR="00280F5B">
        <w:rPr>
          <w:sz w:val="24"/>
          <w:szCs w:val="24"/>
        </w:rPr>
        <w:t>, or instruction</w:t>
      </w:r>
      <w:r w:rsidRPr="00EB4B3E">
        <w:rPr>
          <w:sz w:val="24"/>
          <w:szCs w:val="24"/>
        </w:rPr>
        <w:t xml:space="preserve"> given to another financial institution or other person located </w:t>
      </w:r>
      <w:r w:rsidR="00280F5B">
        <w:rPr>
          <w:sz w:val="24"/>
          <w:szCs w:val="24"/>
        </w:rPr>
        <w:t>with</w:t>
      </w:r>
      <w:r w:rsidRPr="00EB4B3E">
        <w:rPr>
          <w:sz w:val="24"/>
          <w:szCs w:val="24"/>
        </w:rPr>
        <w:t>in or outside of the United States, regarding a transaction intended to result in a transfer of funds, or of currency, other monetary instruments, checks, investment securities, or credit of more than $10,000 to a person, account, or place outside the United States.</w:t>
      </w:r>
      <w:r>
        <w:rPr>
          <w:rStyle w:val="FootnoteReference"/>
          <w:sz w:val="24"/>
          <w:szCs w:val="24"/>
        </w:rPr>
        <w:footnoteReference w:id="13"/>
      </w:r>
      <w:r w:rsidRPr="00EB4B3E">
        <w:rPr>
          <w:sz w:val="24"/>
          <w:szCs w:val="24"/>
        </w:rPr>
        <w:t xml:space="preserve"> </w:t>
      </w:r>
    </w:p>
    <w:p w:rsidR="00E01B22" w:rsidRPr="00EB4B3E" w:rsidP="00EB4B3E" w14:paraId="31D5336C" w14:textId="77777777">
      <w:pPr>
        <w:pStyle w:val="BodyText"/>
        <w:autoSpaceDE/>
        <w:autoSpaceDN/>
        <w:adjustRightInd/>
        <w:spacing w:before="0"/>
        <w:ind w:right="115"/>
        <w:rPr>
          <w:sz w:val="24"/>
          <w:szCs w:val="24"/>
        </w:rPr>
      </w:pPr>
    </w:p>
    <w:p w:rsidR="00936351" w:rsidP="00E01B22" w14:paraId="2963B4D0" w14:textId="77777777">
      <w:pPr>
        <w:pStyle w:val="BodyText"/>
        <w:widowControl w:val="0"/>
        <w:numPr>
          <w:ilvl w:val="1"/>
          <w:numId w:val="7"/>
        </w:numPr>
        <w:adjustRightInd/>
        <w:spacing w:before="0"/>
        <w:ind w:left="0" w:firstLine="0"/>
        <w:rPr>
          <w:b/>
          <w:sz w:val="24"/>
          <w:szCs w:val="24"/>
        </w:rPr>
      </w:pPr>
      <w:r w:rsidRPr="00EB4B3E">
        <w:rPr>
          <w:rFonts w:eastAsia="MS Mincho"/>
          <w:b/>
          <w:bCs/>
          <w:sz w:val="24"/>
          <w:szCs w:val="24"/>
        </w:rPr>
        <w:t xml:space="preserve">31 CFR 1010.410(e) and (f) and 31 CFR 1020.410(a) — </w:t>
      </w:r>
      <w:r w:rsidRPr="00EB4B3E">
        <w:rPr>
          <w:b/>
          <w:sz w:val="24"/>
          <w:szCs w:val="24"/>
        </w:rPr>
        <w:t>Information required to be collected, retained, and transmitted under the recordkeeping and travel rules</w:t>
      </w:r>
    </w:p>
    <w:p w:rsidR="00E01B22" w:rsidRPr="00EB4B3E" w:rsidP="00EB4B3E" w14:paraId="32E8A9BB" w14:textId="77777777">
      <w:pPr>
        <w:pStyle w:val="BodyText"/>
        <w:widowControl w:val="0"/>
        <w:adjustRightInd/>
        <w:spacing w:before="0"/>
        <w:rPr>
          <w:b/>
          <w:sz w:val="24"/>
          <w:szCs w:val="24"/>
        </w:rPr>
      </w:pPr>
    </w:p>
    <w:p w:rsidR="00936351" w:rsidRPr="00EB4B3E" w:rsidP="00EB4B3E" w14:paraId="711C4EF3" w14:textId="00730B07">
      <w:pPr>
        <w:pStyle w:val="BodyText"/>
        <w:spacing w:before="0"/>
        <w:ind w:right="115" w:firstLine="720"/>
        <w:rPr>
          <w:sz w:val="24"/>
          <w:szCs w:val="24"/>
        </w:rPr>
      </w:pPr>
      <w:r w:rsidRPr="00EB4B3E">
        <w:rPr>
          <w:sz w:val="24"/>
          <w:szCs w:val="24"/>
        </w:rPr>
        <w:t xml:space="preserve">On January 3, 1995, Treasury and the Board jointly issued a recordkeeping rule (Recordkeeping Rule) </w:t>
      </w:r>
      <w:r w:rsidR="00280F5B">
        <w:rPr>
          <w:sz w:val="24"/>
          <w:szCs w:val="24"/>
        </w:rPr>
        <w:t>requiring</w:t>
      </w:r>
      <w:r w:rsidRPr="00EB4B3E">
        <w:rPr>
          <w:sz w:val="24"/>
          <w:szCs w:val="24"/>
        </w:rPr>
        <w:t xml:space="preserve"> banks and nonbank financial institutions to collect and retain information related to funds transfers and transmittals of funds in amounts of $3,000 or more.</w:t>
      </w:r>
      <w:r>
        <w:rPr>
          <w:rStyle w:val="FootnoteReference"/>
          <w:sz w:val="24"/>
          <w:szCs w:val="24"/>
        </w:rPr>
        <w:footnoteReference w:id="14"/>
      </w:r>
      <w:r w:rsidRPr="00EB4B3E">
        <w:rPr>
          <w:sz w:val="24"/>
          <w:szCs w:val="24"/>
        </w:rPr>
        <w:t xml:space="preserve">  The Recordkeeping Rule is intended to help law enforcement and regulatory authorities to detect, investigate, and prosecute money laundering, and other financial crimes by preserving an information trail about persons sending and receiving funds through the funds transfer system. </w:t>
      </w:r>
    </w:p>
    <w:p w:rsidR="00E01B22" w:rsidP="00E01B22" w14:paraId="0771AD56" w14:textId="77777777">
      <w:pPr>
        <w:pStyle w:val="BodyText"/>
        <w:spacing w:before="0"/>
        <w:ind w:right="115"/>
        <w:rPr>
          <w:sz w:val="24"/>
          <w:szCs w:val="24"/>
        </w:rPr>
      </w:pPr>
    </w:p>
    <w:p w:rsidR="00936351" w:rsidRPr="00EB4B3E" w:rsidP="00EB4B3E" w14:paraId="660DB3BD" w14:textId="76C88274">
      <w:pPr>
        <w:pStyle w:val="BodyText"/>
        <w:spacing w:before="0"/>
        <w:ind w:right="115" w:firstLine="720"/>
        <w:rPr>
          <w:sz w:val="24"/>
          <w:szCs w:val="24"/>
        </w:rPr>
      </w:pPr>
      <w:r w:rsidRPr="00EB4B3E">
        <w:rPr>
          <w:sz w:val="24"/>
          <w:szCs w:val="24"/>
        </w:rPr>
        <w:t xml:space="preserve">At the same time, FinCEN issued a separate rule (Travel Rule) that requires banks and nonbank financial institutions to transmit information on certain funds transfers and transmittals of funds to other banks or nonbank financial institutions </w:t>
      </w:r>
      <w:r w:rsidRPr="00EB4B3E">
        <w:rPr>
          <w:sz w:val="24"/>
          <w:szCs w:val="24"/>
        </w:rPr>
        <w:t>participating in the transfer or transmittal.</w:t>
      </w:r>
      <w:r>
        <w:rPr>
          <w:rStyle w:val="FootnoteReference"/>
          <w:sz w:val="24"/>
          <w:szCs w:val="24"/>
        </w:rPr>
        <w:footnoteReference w:id="15"/>
      </w:r>
      <w:r w:rsidRPr="00EB4B3E">
        <w:rPr>
          <w:sz w:val="24"/>
          <w:szCs w:val="24"/>
        </w:rPr>
        <w:t xml:space="preserve">  The Recordkeeping Rule and the Travel Rule complement each other.  Generally, as noted below, the Recordkeeping Rule requires financial institutions to collect and retain the information that, under the Travel Rule, must be included with transmittal orders, although the Recordkeeping Rule also has other applications in addition to ensuring that information is available to include with funds transfers.  FinCEN issued the Travel Rule pursuant to statutory authority that permits the Secretary to require domestic financial institutions and nonfinancial trades or businesses to maintain appropriate procedures to ensure compliance with the BSA or to guard against money laundering.</w:t>
      </w:r>
      <w:r>
        <w:rPr>
          <w:rStyle w:val="FootnoteReference"/>
          <w:sz w:val="24"/>
          <w:szCs w:val="24"/>
        </w:rPr>
        <w:footnoteReference w:id="16"/>
      </w:r>
    </w:p>
    <w:p w:rsidR="00E01B22" w:rsidP="00E01B22" w14:paraId="30DF14BD" w14:textId="77777777">
      <w:pPr>
        <w:pStyle w:val="BodyText"/>
        <w:spacing w:before="0"/>
        <w:ind w:right="115"/>
        <w:rPr>
          <w:sz w:val="24"/>
          <w:szCs w:val="24"/>
        </w:rPr>
      </w:pPr>
    </w:p>
    <w:p w:rsidR="00936351" w:rsidRPr="00EB4B3E" w:rsidP="00EB4B3E" w14:paraId="36B5566B" w14:textId="7D3F9090">
      <w:pPr>
        <w:pStyle w:val="BodyText"/>
        <w:spacing w:before="0"/>
        <w:ind w:right="115" w:firstLine="720"/>
        <w:rPr>
          <w:sz w:val="24"/>
          <w:szCs w:val="24"/>
        </w:rPr>
      </w:pPr>
      <w:r w:rsidRPr="00EB4B3E">
        <w:rPr>
          <w:sz w:val="24"/>
          <w:szCs w:val="24"/>
        </w:rPr>
        <w:t xml:space="preserve">Requirements in the Recordkeeping Rule related to funds transfers </w:t>
      </w:r>
      <w:r w:rsidR="000D78FA">
        <w:rPr>
          <w:sz w:val="24"/>
          <w:szCs w:val="24"/>
        </w:rPr>
        <w:t>by banks</w:t>
      </w:r>
      <w:r w:rsidR="00D945F5">
        <w:rPr>
          <w:sz w:val="24"/>
          <w:szCs w:val="24"/>
        </w:rPr>
        <w:t xml:space="preserve"> </w:t>
      </w:r>
      <w:r w:rsidRPr="00EB4B3E">
        <w:rPr>
          <w:sz w:val="24"/>
          <w:szCs w:val="24"/>
        </w:rPr>
        <w:t xml:space="preserve">are codified at 31 CFR 1020.410(a).  Requirements in the Recordkeeping Rule related to  transmittals of funds processed by nonbank financial institutions are codified at </w:t>
      </w:r>
      <w:bookmarkStart w:id="3" w:name="_Hlk181088639"/>
      <w:r w:rsidRPr="00EB4B3E">
        <w:rPr>
          <w:sz w:val="24"/>
          <w:szCs w:val="24"/>
        </w:rPr>
        <w:t>31 CFR 1010.410(e)</w:t>
      </w:r>
      <w:bookmarkEnd w:id="3"/>
      <w:r w:rsidRPr="00EB4B3E">
        <w:rPr>
          <w:sz w:val="24"/>
          <w:szCs w:val="24"/>
        </w:rPr>
        <w:t>.  The Travel Rule consists of a single provision, codified at 31 CFR 1010.410(f), that applies to all transmittals of funds, including those processed by banks.</w:t>
      </w:r>
      <w:r>
        <w:rPr>
          <w:rStyle w:val="FootnoteReference"/>
          <w:sz w:val="24"/>
          <w:szCs w:val="24"/>
        </w:rPr>
        <w:footnoteReference w:id="17"/>
      </w:r>
      <w:r w:rsidRPr="00EB4B3E">
        <w:rPr>
          <w:sz w:val="24"/>
          <w:szCs w:val="24"/>
        </w:rPr>
        <w:t xml:space="preserve">  </w:t>
      </w:r>
    </w:p>
    <w:p w:rsidR="00E01B22" w:rsidP="00E01B22" w14:paraId="7DBDBC6D" w14:textId="77777777">
      <w:pPr>
        <w:pStyle w:val="BodyText"/>
        <w:spacing w:before="0"/>
        <w:ind w:right="122"/>
        <w:rPr>
          <w:sz w:val="24"/>
          <w:szCs w:val="24"/>
        </w:rPr>
      </w:pPr>
    </w:p>
    <w:p w:rsidR="00936351" w:rsidP="00E01B22" w14:paraId="65C10AE7" w14:textId="50CDAEF5">
      <w:pPr>
        <w:pStyle w:val="BodyText"/>
        <w:spacing w:before="0"/>
        <w:ind w:right="122" w:firstLine="720"/>
        <w:rPr>
          <w:sz w:val="24"/>
          <w:szCs w:val="24"/>
        </w:rPr>
      </w:pPr>
      <w:r w:rsidRPr="00EB4B3E">
        <w:rPr>
          <w:sz w:val="24"/>
          <w:szCs w:val="24"/>
        </w:rPr>
        <w:t xml:space="preserve">The Recordkeeping Rule and Travel Rule collectively require banks and nonbank financial institutions to collect, retain, and transmit information on funds transfers and transmittals of funds in amounts of $3,000 or more. </w:t>
      </w:r>
    </w:p>
    <w:p w:rsidR="00E01B22" w:rsidRPr="00EB4B3E" w:rsidP="00EB4B3E" w14:paraId="35134594" w14:textId="77777777">
      <w:pPr>
        <w:pStyle w:val="BodyText"/>
        <w:spacing w:before="0"/>
        <w:ind w:right="122" w:firstLine="720"/>
        <w:rPr>
          <w:sz w:val="24"/>
          <w:szCs w:val="24"/>
        </w:rPr>
      </w:pPr>
    </w:p>
    <w:p w:rsidR="00936351" w:rsidRPr="00EB4B3E" w:rsidP="00EB4B3E" w14:paraId="39CC3D6C" w14:textId="2243C862">
      <w:pPr>
        <w:pStyle w:val="BodyText"/>
        <w:spacing w:before="0"/>
        <w:ind w:right="122" w:firstLine="720"/>
        <w:rPr>
          <w:sz w:val="24"/>
          <w:szCs w:val="24"/>
        </w:rPr>
      </w:pPr>
      <w:r w:rsidRPr="00EB4B3E">
        <w:rPr>
          <w:sz w:val="24"/>
          <w:szCs w:val="24"/>
        </w:rPr>
        <w:t xml:space="preserve">Under the Recordkeeping Rule, the originator’s bank or </w:t>
      </w:r>
      <w:r w:rsidRPr="00EB4B3E">
        <w:rPr>
          <w:sz w:val="24"/>
          <w:szCs w:val="24"/>
        </w:rPr>
        <w:t>transmittor’s</w:t>
      </w:r>
      <w:r w:rsidRPr="00EB4B3E">
        <w:rPr>
          <w:sz w:val="24"/>
          <w:szCs w:val="24"/>
        </w:rPr>
        <w:t xml:space="preserve"> financial institution must collect and retain the following information: (1) name and address of the originator or </w:t>
      </w:r>
      <w:r w:rsidRPr="00EB4B3E">
        <w:rPr>
          <w:sz w:val="24"/>
          <w:szCs w:val="24"/>
        </w:rPr>
        <w:t>transmittor</w:t>
      </w:r>
      <w:r w:rsidRPr="00EB4B3E">
        <w:rPr>
          <w:sz w:val="24"/>
          <w:szCs w:val="24"/>
        </w:rPr>
        <w:t xml:space="preserve">; (2) the amount of the payment or transmittal order; (3) the execution date of the payment or transmittal order; (4) any payment instructions received from the originator or </w:t>
      </w:r>
      <w:r w:rsidRPr="00EB4B3E">
        <w:rPr>
          <w:sz w:val="24"/>
          <w:szCs w:val="24"/>
        </w:rPr>
        <w:t>transmittor</w:t>
      </w:r>
      <w:r w:rsidRPr="00EB4B3E">
        <w:rPr>
          <w:sz w:val="24"/>
          <w:szCs w:val="24"/>
        </w:rPr>
        <w:t xml:space="preserve"> with the payment or transmittal order; and (5) the identity of the beneficiary’s bank or recipient’s financial institution.  In addition, the originator’s bank or </w:t>
      </w:r>
      <w:r w:rsidRPr="00EB4B3E">
        <w:rPr>
          <w:sz w:val="24"/>
          <w:szCs w:val="24"/>
        </w:rPr>
        <w:t>transmittor’s</w:t>
      </w:r>
      <w:r w:rsidRPr="00EB4B3E">
        <w:rPr>
          <w:sz w:val="24"/>
          <w:szCs w:val="24"/>
        </w:rPr>
        <w:t xml:space="preserve"> financial institution must retain the following information if it receives that information from the originator or </w:t>
      </w:r>
      <w:r w:rsidRPr="00EB4B3E">
        <w:rPr>
          <w:sz w:val="24"/>
          <w:szCs w:val="24"/>
        </w:rPr>
        <w:t>transmittor</w:t>
      </w:r>
      <w:r w:rsidRPr="00EB4B3E">
        <w:rPr>
          <w:sz w:val="24"/>
          <w:szCs w:val="24"/>
        </w:rPr>
        <w:t>: (1) name and address of the beneficiary or recipient; (2) account number of the beneficiary or recipient; and (3) any other specific identifier of the beneficiary or recipient.</w:t>
      </w:r>
      <w:r>
        <w:rPr>
          <w:rStyle w:val="FootnoteReference"/>
          <w:sz w:val="24"/>
          <w:szCs w:val="24"/>
        </w:rPr>
        <w:footnoteReference w:id="18"/>
      </w:r>
      <w:r w:rsidRPr="00EB4B3E">
        <w:rPr>
          <w:sz w:val="24"/>
          <w:szCs w:val="24"/>
        </w:rPr>
        <w:t xml:space="preserve">  The originator’s bank or </w:t>
      </w:r>
      <w:r w:rsidRPr="00EB4B3E">
        <w:rPr>
          <w:sz w:val="24"/>
          <w:szCs w:val="24"/>
        </w:rPr>
        <w:t>transmittor’s</w:t>
      </w:r>
      <w:r w:rsidRPr="00EB4B3E">
        <w:rPr>
          <w:sz w:val="24"/>
          <w:szCs w:val="24"/>
        </w:rPr>
        <w:t xml:space="preserve"> financial institution is required to verify the identity of the person placing a payment or transmittal order—and collect and retain various items of information identifying the person—if the order is made in person and the person placing the order is not an established customer.</w:t>
      </w:r>
      <w:r>
        <w:rPr>
          <w:rStyle w:val="FootnoteReference"/>
          <w:sz w:val="24"/>
          <w:szCs w:val="24"/>
        </w:rPr>
        <w:footnoteReference w:id="19"/>
      </w:r>
      <w:r w:rsidRPr="00EB4B3E">
        <w:rPr>
          <w:sz w:val="24"/>
          <w:szCs w:val="24"/>
        </w:rPr>
        <w:t xml:space="preserve">  Similarly, should the beneficiary’s bank or recipient’s financial institution deliver the proceeds to the beneficiary or recipient in person, the bank or nonbank financial institution must verify the identity of the beneficiary or recipient—and collect and retain various items of information identifying the beneficiary or recipient—if the beneficiary or recipient is not an established customer.  Finally, an intermediary bank or financial institution—and the </w:t>
      </w:r>
      <w:r w:rsidRPr="00EB4B3E">
        <w:rPr>
          <w:sz w:val="24"/>
          <w:szCs w:val="24"/>
        </w:rPr>
        <w:t>beneficiary’s bank or recipient’s financial institution—must retain originals or copies of payment or transmittal orders.</w:t>
      </w:r>
      <w:r>
        <w:rPr>
          <w:rStyle w:val="FootnoteReference"/>
          <w:sz w:val="24"/>
          <w:szCs w:val="24"/>
        </w:rPr>
        <w:footnoteReference w:id="20"/>
      </w:r>
    </w:p>
    <w:p w:rsidR="00E01B22" w:rsidP="00E01B22" w14:paraId="377C3A50" w14:textId="77777777">
      <w:pPr>
        <w:pStyle w:val="BodyText"/>
        <w:spacing w:before="0"/>
        <w:ind w:right="122"/>
        <w:rPr>
          <w:sz w:val="24"/>
          <w:szCs w:val="24"/>
        </w:rPr>
      </w:pPr>
    </w:p>
    <w:p w:rsidR="00292AA7" w:rsidRPr="001F3D30" w:rsidP="00C13B81" w14:paraId="00DCA006" w14:textId="43E1E234">
      <w:pPr>
        <w:ind w:firstLine="720"/>
        <w:rPr>
          <w:vertAlign w:val="superscript"/>
        </w:rPr>
      </w:pPr>
      <w:r w:rsidRPr="00EB4B3E">
        <w:t xml:space="preserve">Under the Travel Rule, the originator’s bank or </w:t>
      </w:r>
      <w:r w:rsidRPr="00EB4B3E">
        <w:t>transmittor’s</w:t>
      </w:r>
      <w:r w:rsidRPr="00EB4B3E">
        <w:t xml:space="preserve"> financial institution is required to include information, including all information required under the Recordkeeping Rule, in a payment or transmittal order sent by the bank or nonbank financial institution to another bank or nonbank financial institution in the payment chain.</w:t>
      </w:r>
      <w:r>
        <w:rPr>
          <w:rStyle w:val="FootnoteReference"/>
        </w:rPr>
        <w:footnoteReference w:id="21"/>
      </w:r>
      <w:r w:rsidRPr="00EB4B3E">
        <w:t xml:space="preserve">  An intermediary bank or financial institution is also required to transmit this information to other banks or nonbank financial institutions in the payment chain, to the extent the information is received by the intermediary bank or financial institution.</w:t>
      </w:r>
      <w:r>
        <w:rPr>
          <w:rStyle w:val="FootnoteReference"/>
        </w:rPr>
        <w:footnoteReference w:id="22"/>
      </w:r>
    </w:p>
    <w:p w:rsidR="00E01B22" w:rsidP="009F32EE" w14:paraId="38B5D659" w14:textId="3A147813">
      <w:pPr>
        <w:shd w:val="clear" w:color="auto" w:fill="FFFFFF"/>
        <w:ind w:firstLine="720"/>
        <w:rPr>
          <w:lang w:val="en"/>
        </w:rPr>
      </w:pPr>
    </w:p>
    <w:p w:rsidR="00E01B22" w:rsidP="00E01B22" w14:paraId="26BFD40C" w14:textId="77777777">
      <w:pPr>
        <w:pStyle w:val="BodyText"/>
        <w:widowControl w:val="0"/>
        <w:numPr>
          <w:ilvl w:val="1"/>
          <w:numId w:val="7"/>
        </w:numPr>
        <w:adjustRightInd/>
        <w:spacing w:before="0"/>
        <w:ind w:left="0" w:firstLine="0"/>
        <w:rPr>
          <w:rFonts w:eastAsia="MS Mincho"/>
          <w:b/>
          <w:bCs/>
          <w:sz w:val="24"/>
          <w:szCs w:val="24"/>
        </w:rPr>
      </w:pPr>
      <w:r w:rsidRPr="00E01B22">
        <w:rPr>
          <w:rFonts w:eastAsia="MS Mincho"/>
          <w:b/>
          <w:bCs/>
          <w:sz w:val="24"/>
          <w:szCs w:val="24"/>
        </w:rPr>
        <w:t>31 CFR 1022.420 — Additional records to be maintained by providers and sellers of prepaid access</w:t>
      </w:r>
    </w:p>
    <w:p w:rsidR="00C13B81" w:rsidRPr="00E01B22" w:rsidP="00C13B81" w14:paraId="55AF2720" w14:textId="77777777">
      <w:pPr>
        <w:pStyle w:val="BodyText"/>
        <w:widowControl w:val="0"/>
        <w:adjustRightInd/>
        <w:spacing w:before="0"/>
        <w:rPr>
          <w:rFonts w:eastAsia="MS Mincho"/>
          <w:b/>
          <w:bCs/>
          <w:sz w:val="24"/>
          <w:szCs w:val="24"/>
        </w:rPr>
      </w:pPr>
    </w:p>
    <w:p w:rsidR="00EA6E87" w:rsidP="005A41DF" w14:paraId="2D3F12CA" w14:textId="72115040">
      <w:pPr>
        <w:tabs>
          <w:tab w:val="left" w:pos="0"/>
        </w:tabs>
        <w:suppressAutoHyphens/>
      </w:pPr>
      <w:r>
        <w:tab/>
      </w:r>
      <w:r w:rsidRPr="00E01B22" w:rsidR="00E01B22">
        <w:t>Providers and sellers of prepaid access are defined as money services businesses (MSBs) for purposes of FinCEN regulations.</w:t>
      </w:r>
      <w:r>
        <w:rPr>
          <w:rStyle w:val="FootnoteReference"/>
        </w:rPr>
        <w:footnoteReference w:id="23"/>
      </w:r>
      <w:r w:rsidRPr="00E01B22" w:rsidR="00E01B22">
        <w:t xml:space="preserve">  BSA regulations specific to MSBs are found at 31 CFR Part 1022.  Providers and sellers of prepaid access must maintain access to transactional records generated in the ordinary course of business that would be needed to reconstruct prepaid access activation, loads, reloads, purchases, withdrawals, transfers, or other prepaid-related transactions.</w:t>
      </w:r>
    </w:p>
    <w:p w:rsidR="00C13B81" w:rsidP="005A41DF" w14:paraId="4BE6A41E" w14:textId="77777777">
      <w:pPr>
        <w:tabs>
          <w:tab w:val="left" w:pos="0"/>
        </w:tabs>
        <w:suppressAutoHyphens/>
      </w:pPr>
    </w:p>
    <w:p w:rsidR="008D57C8" w:rsidP="005A41DF" w14:paraId="33876AC4" w14:textId="4776A9CB">
      <w:pPr>
        <w:tabs>
          <w:tab w:val="left" w:pos="0"/>
        </w:tabs>
        <w:suppressAutoHyphens/>
      </w:pPr>
      <w:r>
        <w:tab/>
      </w:r>
      <w:r w:rsidRPr="00EB4B3E">
        <w:t xml:space="preserve">This </w:t>
      </w:r>
      <w:r>
        <w:t>supporting statement</w:t>
      </w:r>
      <w:r w:rsidRPr="00EB4B3E">
        <w:t xml:space="preserve"> proposes to renew the regulations that implement the Recordkeeping Rule and the Travel Rule, along with other regulatory requirements in 31 CFR 1010.410 and 1022.420.</w:t>
      </w:r>
      <w:r>
        <w:rPr>
          <w:rStyle w:val="FootnoteReference"/>
        </w:rPr>
        <w:footnoteReference w:id="24"/>
      </w:r>
    </w:p>
    <w:p w:rsidR="008D57C8" w:rsidP="005A41DF" w14:paraId="63CA7344" w14:textId="77777777">
      <w:pPr>
        <w:tabs>
          <w:tab w:val="left" w:pos="0"/>
        </w:tabs>
        <w:suppressAutoHyphens/>
      </w:pPr>
    </w:p>
    <w:p w:rsidR="00736FD7" w:rsidP="00736FD7" w14:paraId="67C0A5C6" w14:textId="5E2F72FF">
      <w:pPr>
        <w:pStyle w:val="PlainText"/>
        <w:rPr>
          <w:rFonts w:ascii="Times New Roman" w:hAnsi="Times New Roman" w:cs="Times New Roman"/>
          <w:sz w:val="24"/>
          <w:szCs w:val="24"/>
        </w:rPr>
      </w:pPr>
      <w:r w:rsidRPr="00747B41">
        <w:rPr>
          <w:rFonts w:ascii="Times New Roman" w:hAnsi="Times New Roman" w:cs="Times New Roman"/>
          <w:sz w:val="24"/>
          <w:szCs w:val="24"/>
        </w:rPr>
        <w:t xml:space="preserve">2. </w:t>
      </w:r>
      <w:r w:rsidRPr="00747B41">
        <w:rPr>
          <w:rFonts w:ascii="Times New Roman" w:hAnsi="Times New Roman" w:cs="Times New Roman"/>
          <w:sz w:val="24"/>
          <w:szCs w:val="24"/>
          <w:u w:val="single"/>
        </w:rPr>
        <w:t xml:space="preserve">Method of </w:t>
      </w:r>
      <w:r w:rsidR="00C30B54">
        <w:rPr>
          <w:rFonts w:ascii="Times New Roman" w:hAnsi="Times New Roman" w:cs="Times New Roman"/>
          <w:sz w:val="24"/>
          <w:szCs w:val="24"/>
          <w:u w:val="single"/>
        </w:rPr>
        <w:t>c</w:t>
      </w:r>
      <w:r w:rsidRPr="00747B41">
        <w:rPr>
          <w:rFonts w:ascii="Times New Roman" w:hAnsi="Times New Roman" w:cs="Times New Roman"/>
          <w:sz w:val="24"/>
          <w:szCs w:val="24"/>
          <w:u w:val="single"/>
        </w:rPr>
        <w:t xml:space="preserve">ollection and </w:t>
      </w:r>
      <w:r w:rsidR="00C30B54">
        <w:rPr>
          <w:rFonts w:ascii="Times New Roman" w:hAnsi="Times New Roman" w:cs="Times New Roman"/>
          <w:sz w:val="24"/>
          <w:szCs w:val="24"/>
          <w:u w:val="single"/>
        </w:rPr>
        <w:t>u</w:t>
      </w:r>
      <w:r w:rsidR="00CB5D13">
        <w:rPr>
          <w:rFonts w:ascii="Times New Roman" w:hAnsi="Times New Roman" w:cs="Times New Roman"/>
          <w:sz w:val="24"/>
          <w:szCs w:val="24"/>
          <w:u w:val="single"/>
        </w:rPr>
        <w:t>s</w:t>
      </w:r>
      <w:r w:rsidRPr="00747B41">
        <w:rPr>
          <w:rFonts w:ascii="Times New Roman" w:hAnsi="Times New Roman" w:cs="Times New Roman"/>
          <w:sz w:val="24"/>
          <w:szCs w:val="24"/>
          <w:u w:val="single"/>
        </w:rPr>
        <w:t xml:space="preserve">e of </w:t>
      </w:r>
      <w:r w:rsidR="00C30B54">
        <w:rPr>
          <w:rFonts w:ascii="Times New Roman" w:hAnsi="Times New Roman" w:cs="Times New Roman"/>
          <w:sz w:val="24"/>
          <w:szCs w:val="24"/>
          <w:u w:val="single"/>
        </w:rPr>
        <w:t>d</w:t>
      </w:r>
      <w:r w:rsidRPr="00747B41">
        <w:rPr>
          <w:rFonts w:ascii="Times New Roman" w:hAnsi="Times New Roman" w:cs="Times New Roman"/>
          <w:sz w:val="24"/>
          <w:szCs w:val="24"/>
          <w:u w:val="single"/>
        </w:rPr>
        <w:t>ata</w:t>
      </w:r>
      <w:r w:rsidR="00C30B54">
        <w:rPr>
          <w:rFonts w:ascii="Times New Roman" w:hAnsi="Times New Roman" w:cs="Times New Roman"/>
          <w:sz w:val="24"/>
          <w:szCs w:val="24"/>
          <w:u w:val="single"/>
        </w:rPr>
        <w:t>.</w:t>
      </w:r>
      <w:r w:rsidRPr="00747B41">
        <w:rPr>
          <w:rFonts w:ascii="Times New Roman" w:hAnsi="Times New Roman" w:cs="Times New Roman"/>
          <w:sz w:val="24"/>
          <w:szCs w:val="24"/>
        </w:rPr>
        <w:t xml:space="preserve"> </w:t>
      </w:r>
    </w:p>
    <w:p w:rsidR="000C123A" w:rsidP="00B27D1B" w14:paraId="64A48753" w14:textId="77777777">
      <w:pPr>
        <w:pStyle w:val="BodyText"/>
        <w:autoSpaceDE/>
        <w:autoSpaceDN/>
        <w:adjustRightInd/>
        <w:spacing w:before="0"/>
        <w:ind w:firstLine="720"/>
      </w:pPr>
      <w:r>
        <w:tab/>
      </w:r>
    </w:p>
    <w:p w:rsidR="00C04D3B" w:rsidRPr="00561AE5" w:rsidP="00C04D3B" w14:paraId="08EC2AB5" w14:textId="06A8882E">
      <w:pPr>
        <w:pStyle w:val="BodyTextIndent"/>
        <w:ind w:left="0" w:firstLine="720"/>
      </w:pPr>
      <w:r>
        <w:t>Currently, b</w:t>
      </w:r>
      <w:r w:rsidRPr="00295E8C" w:rsidR="00295E8C">
        <w:t xml:space="preserve">anks and nonbank financial institutions are required to collect and retain information related to funds transfers and transmittals of funds in amounts of $3,000 or more. </w:t>
      </w:r>
      <w:r w:rsidR="002C15E2">
        <w:t xml:space="preserve"> </w:t>
      </w:r>
      <w:r>
        <w:t>B</w:t>
      </w:r>
      <w:r w:rsidRPr="00295E8C">
        <w:t xml:space="preserve">anks and nonbank financial institutions </w:t>
      </w:r>
      <w:r>
        <w:t xml:space="preserve">are also required </w:t>
      </w:r>
      <w:r w:rsidRPr="00295E8C">
        <w:t xml:space="preserve">to transmit information on certain funds transfers and transmittals of funds to other banks or nonbank </w:t>
      </w:r>
      <w:r w:rsidRPr="00C832D9">
        <w:t xml:space="preserve">financial institutions participating in the transfer or transmittal. </w:t>
      </w:r>
      <w:r>
        <w:t xml:space="preserve"> </w:t>
      </w:r>
      <w:r w:rsidRPr="00561AE5">
        <w:rPr>
          <w:rFonts w:eastAsia="MS Mincho"/>
        </w:rPr>
        <w:t xml:space="preserve">These requirements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w:t>
      </w:r>
      <w:r w:rsidRPr="00561AE5">
        <w:rPr>
          <w:rFonts w:eastAsia="MS Mincho"/>
        </w:rPr>
        <w:t>and commitments.</w:t>
      </w:r>
      <w:r w:rsidRPr="00561AE5">
        <w:t xml:space="preserve">  Compliance with these requirements </w:t>
      </w:r>
      <w:r w:rsidR="00C170F1">
        <w:t>is</w:t>
      </w:r>
      <w:r w:rsidRPr="00561AE5">
        <w:t xml:space="preserve"> reviewed by Federal agencies during BSA examinations.</w:t>
      </w:r>
    </w:p>
    <w:p w:rsidR="00600940" w14:paraId="625C7527" w14:textId="79CF989C">
      <w:pPr>
        <w:spacing w:before="273"/>
        <w:rPr>
          <w:szCs w:val="22"/>
        </w:rPr>
      </w:pPr>
      <w:r>
        <w:rPr>
          <w:szCs w:val="22"/>
        </w:rPr>
        <w:t xml:space="preserve">3. </w:t>
      </w:r>
      <w:r>
        <w:rPr>
          <w:szCs w:val="22"/>
          <w:u w:val="single"/>
        </w:rPr>
        <w:t xml:space="preserve">Use of </w:t>
      </w:r>
      <w:r w:rsidR="00C30B54">
        <w:rPr>
          <w:szCs w:val="22"/>
          <w:u w:val="single"/>
        </w:rPr>
        <w:t>i</w:t>
      </w:r>
      <w:r>
        <w:rPr>
          <w:szCs w:val="22"/>
          <w:u w:val="single"/>
        </w:rPr>
        <w:t xml:space="preserve">mproved </w:t>
      </w:r>
      <w:r w:rsidR="00C30B54">
        <w:rPr>
          <w:szCs w:val="22"/>
          <w:u w:val="single"/>
        </w:rPr>
        <w:t>i</w:t>
      </w:r>
      <w:r>
        <w:rPr>
          <w:szCs w:val="22"/>
          <w:u w:val="single"/>
        </w:rPr>
        <w:t xml:space="preserve">nformation </w:t>
      </w:r>
      <w:r w:rsidR="00C30B54">
        <w:rPr>
          <w:szCs w:val="22"/>
          <w:u w:val="single"/>
        </w:rPr>
        <w:t>t</w:t>
      </w:r>
      <w:r>
        <w:rPr>
          <w:szCs w:val="22"/>
          <w:u w:val="single"/>
        </w:rPr>
        <w:t xml:space="preserve">echnology to </w:t>
      </w:r>
      <w:r w:rsidR="00C30B54">
        <w:rPr>
          <w:szCs w:val="22"/>
          <w:u w:val="single"/>
        </w:rPr>
        <w:t>r</w:t>
      </w:r>
      <w:r>
        <w:rPr>
          <w:szCs w:val="22"/>
          <w:u w:val="single"/>
        </w:rPr>
        <w:t xml:space="preserve">educe </w:t>
      </w:r>
      <w:r w:rsidR="00C30B54">
        <w:rPr>
          <w:szCs w:val="22"/>
          <w:u w:val="single"/>
        </w:rPr>
        <w:t>b</w:t>
      </w:r>
      <w:r>
        <w:rPr>
          <w:szCs w:val="22"/>
          <w:u w:val="single"/>
        </w:rPr>
        <w:t>urden</w:t>
      </w:r>
      <w:r w:rsidR="00C30B54">
        <w:rPr>
          <w:szCs w:val="22"/>
          <w:u w:val="single"/>
        </w:rPr>
        <w:t>.</w:t>
      </w:r>
      <w:r>
        <w:rPr>
          <w:szCs w:val="22"/>
        </w:rPr>
        <w:t xml:space="preserve"> </w:t>
      </w:r>
    </w:p>
    <w:p w:rsidR="00600940" w:rsidP="00385657" w14:paraId="10073795" w14:textId="0EF7296A">
      <w:pPr>
        <w:spacing w:before="273"/>
        <w:ind w:firstLine="720"/>
        <w:rPr>
          <w:szCs w:val="22"/>
        </w:rPr>
      </w:pPr>
      <w:r>
        <w:rPr>
          <w:szCs w:val="22"/>
        </w:rPr>
        <w:t xml:space="preserve">Financial institutions are permitted to automate their AML program to meet their requirements, including the requirement to collect </w:t>
      </w:r>
      <w:r w:rsidRPr="00295E8C">
        <w:t>information related to funds transfers and transmittals of funds</w:t>
      </w:r>
      <w:r w:rsidR="00AD45D4">
        <w:rPr>
          <w:szCs w:val="22"/>
        </w:rPr>
        <w:t xml:space="preserve">. </w:t>
      </w:r>
      <w:r w:rsidR="00C30B54">
        <w:rPr>
          <w:szCs w:val="22"/>
        </w:rPr>
        <w:t xml:space="preserve"> </w:t>
      </w:r>
      <w:r>
        <w:rPr>
          <w:szCs w:val="22"/>
        </w:rPr>
        <w:t>There is no specific government mandate to do so</w:t>
      </w:r>
      <w:r w:rsidR="00AD45D4">
        <w:rPr>
          <w:szCs w:val="22"/>
        </w:rPr>
        <w:t xml:space="preserve">. </w:t>
      </w:r>
    </w:p>
    <w:p w:rsidR="00600940" w14:paraId="7FEBFD82" w14:textId="2D151889">
      <w:pPr>
        <w:spacing w:before="283"/>
        <w:rPr>
          <w:szCs w:val="22"/>
          <w:u w:val="single"/>
        </w:rPr>
      </w:pPr>
      <w:r>
        <w:rPr>
          <w:szCs w:val="22"/>
        </w:rPr>
        <w:t xml:space="preserve">4. </w:t>
      </w:r>
      <w:r>
        <w:rPr>
          <w:szCs w:val="22"/>
          <w:u w:val="single"/>
        </w:rPr>
        <w:t xml:space="preserve">Efforts to </w:t>
      </w:r>
      <w:r w:rsidR="00C30B54">
        <w:rPr>
          <w:szCs w:val="22"/>
          <w:u w:val="single"/>
        </w:rPr>
        <w:t>i</w:t>
      </w:r>
      <w:r>
        <w:rPr>
          <w:szCs w:val="22"/>
          <w:u w:val="single"/>
        </w:rPr>
        <w:t xml:space="preserve">dentify </w:t>
      </w:r>
      <w:r w:rsidR="00C30B54">
        <w:rPr>
          <w:szCs w:val="22"/>
          <w:u w:val="single"/>
        </w:rPr>
        <w:t>d</w:t>
      </w:r>
      <w:r>
        <w:rPr>
          <w:szCs w:val="22"/>
          <w:u w:val="single"/>
        </w:rPr>
        <w:t>uplication</w:t>
      </w:r>
      <w:r w:rsidR="00C30B54">
        <w:rPr>
          <w:szCs w:val="22"/>
          <w:u w:val="single"/>
        </w:rPr>
        <w:t>.</w:t>
      </w:r>
      <w:r>
        <w:rPr>
          <w:szCs w:val="22"/>
          <w:u w:val="single"/>
        </w:rPr>
        <w:t xml:space="preserve"> </w:t>
      </w:r>
    </w:p>
    <w:p w:rsidR="002845BA" w:rsidP="002845BA" w14:paraId="1B694EC7" w14:textId="77777777">
      <w:pPr>
        <w:spacing w:before="283"/>
        <w:ind w:firstLine="720"/>
        <w:rPr>
          <w:szCs w:val="22"/>
        </w:rPr>
      </w:pPr>
      <w:r>
        <w:rPr>
          <w:szCs w:val="22"/>
        </w:rPr>
        <w:t xml:space="preserve">There is no similar information available; thus, there is no duplication. </w:t>
      </w:r>
    </w:p>
    <w:p w:rsidR="00600940" w14:paraId="31FFE729" w14:textId="11EE1A67">
      <w:pPr>
        <w:spacing w:before="283"/>
        <w:rPr>
          <w:szCs w:val="22"/>
          <w:u w:val="single"/>
        </w:rPr>
      </w:pPr>
      <w:r>
        <w:rPr>
          <w:szCs w:val="22"/>
        </w:rPr>
        <w:t xml:space="preserve">5. </w:t>
      </w:r>
      <w:r>
        <w:rPr>
          <w:szCs w:val="22"/>
          <w:u w:val="single"/>
        </w:rPr>
        <w:t xml:space="preserve">Methods to </w:t>
      </w:r>
      <w:r w:rsidR="00C30B54">
        <w:rPr>
          <w:szCs w:val="22"/>
          <w:u w:val="single"/>
        </w:rPr>
        <w:t>m</w:t>
      </w:r>
      <w:r>
        <w:rPr>
          <w:szCs w:val="22"/>
          <w:u w:val="single"/>
        </w:rPr>
        <w:t xml:space="preserve">inimize </w:t>
      </w:r>
      <w:r w:rsidR="00C30B54">
        <w:rPr>
          <w:szCs w:val="22"/>
          <w:u w:val="single"/>
        </w:rPr>
        <w:t>b</w:t>
      </w:r>
      <w:r>
        <w:rPr>
          <w:szCs w:val="22"/>
          <w:u w:val="single"/>
        </w:rPr>
        <w:t xml:space="preserve">urden on </w:t>
      </w:r>
      <w:r w:rsidR="00C30B54">
        <w:rPr>
          <w:szCs w:val="22"/>
          <w:u w:val="single"/>
        </w:rPr>
        <w:t>s</w:t>
      </w:r>
      <w:r>
        <w:rPr>
          <w:szCs w:val="22"/>
          <w:u w:val="single"/>
        </w:rPr>
        <w:t xml:space="preserve">mall </w:t>
      </w:r>
      <w:r w:rsidR="00C30B54">
        <w:rPr>
          <w:szCs w:val="22"/>
          <w:u w:val="single"/>
        </w:rPr>
        <w:t>b</w:t>
      </w:r>
      <w:r>
        <w:rPr>
          <w:szCs w:val="22"/>
          <w:u w:val="single"/>
        </w:rPr>
        <w:t xml:space="preserve">usinesses or other </w:t>
      </w:r>
      <w:r w:rsidR="00C30B54">
        <w:rPr>
          <w:szCs w:val="22"/>
          <w:u w:val="single"/>
        </w:rPr>
        <w:t>s</w:t>
      </w:r>
      <w:r>
        <w:rPr>
          <w:szCs w:val="22"/>
          <w:u w:val="single"/>
        </w:rPr>
        <w:t xml:space="preserve">mall </w:t>
      </w:r>
      <w:r w:rsidR="00C30B54">
        <w:rPr>
          <w:szCs w:val="22"/>
          <w:u w:val="single"/>
        </w:rPr>
        <w:t>e</w:t>
      </w:r>
      <w:r>
        <w:rPr>
          <w:szCs w:val="22"/>
          <w:u w:val="single"/>
        </w:rPr>
        <w:t>ntities</w:t>
      </w:r>
      <w:r w:rsidR="00C30B54">
        <w:rPr>
          <w:szCs w:val="22"/>
          <w:u w:val="single"/>
        </w:rPr>
        <w:t>.</w:t>
      </w:r>
    </w:p>
    <w:p w:rsidR="00600940" w:rsidP="005A41DF" w14:paraId="4153D295" w14:textId="3A2B1C6B">
      <w:pPr>
        <w:spacing w:before="273"/>
        <w:ind w:firstLine="720"/>
        <w:rPr>
          <w:szCs w:val="22"/>
        </w:rPr>
      </w:pPr>
      <w:r>
        <w:rPr>
          <w:szCs w:val="22"/>
        </w:rPr>
        <w:t>Currently, a</w:t>
      </w:r>
      <w:r w:rsidR="001C0436">
        <w:t>ll b</w:t>
      </w:r>
      <w:r w:rsidRPr="00295E8C" w:rsidR="001C0436">
        <w:t xml:space="preserve">anks and nonbank financial institutions are required to collect and retain information related to funds transfers and transmittals of funds in amounts of $3,000 or more. </w:t>
      </w:r>
      <w:r w:rsidR="00C6398F">
        <w:t xml:space="preserve"> </w:t>
      </w:r>
      <w:r w:rsidR="001C0436">
        <w:t>All b</w:t>
      </w:r>
      <w:r w:rsidRPr="00295E8C" w:rsidR="001C0436">
        <w:t xml:space="preserve">anks and nonbank financial institutions </w:t>
      </w:r>
      <w:r w:rsidR="001C0436">
        <w:t xml:space="preserve">are also required </w:t>
      </w:r>
      <w:r w:rsidRPr="00295E8C" w:rsidR="001C0436">
        <w:t>to transmit information on certain funds transfers and transmittals of funds to other banks or nonbank financial institutions participating in the transfer or transmittal.</w:t>
      </w:r>
      <w:r w:rsidR="001C0436">
        <w:t xml:space="preserve"> </w:t>
      </w:r>
      <w:r w:rsidR="00C6398F">
        <w:t xml:space="preserve"> </w:t>
      </w:r>
      <w:r w:rsidR="000F035B">
        <w:t xml:space="preserve">When complying with the funds transfer recordkeeping requirement, </w:t>
      </w:r>
      <w:r w:rsidR="000F035B">
        <w:rPr>
          <w:szCs w:val="22"/>
        </w:rPr>
        <w:t>t</w:t>
      </w:r>
      <w:r w:rsidR="001C0436">
        <w:rPr>
          <w:szCs w:val="22"/>
        </w:rPr>
        <w:t>hese institutions are permitted to use the method most suitable based upon their assessment of risk as it relates to their size and type of business</w:t>
      </w:r>
      <w:r w:rsidR="002F50C4">
        <w:rPr>
          <w:szCs w:val="22"/>
        </w:rPr>
        <w:t>.</w:t>
      </w:r>
    </w:p>
    <w:p w:rsidR="00600940" w14:paraId="47C26AEE" w14:textId="3EB4E3DC">
      <w:pPr>
        <w:spacing w:before="283"/>
        <w:rPr>
          <w:szCs w:val="22"/>
        </w:rPr>
      </w:pPr>
      <w:r>
        <w:rPr>
          <w:szCs w:val="22"/>
        </w:rPr>
        <w:t xml:space="preserve">6. </w:t>
      </w:r>
      <w:r>
        <w:rPr>
          <w:szCs w:val="22"/>
          <w:u w:val="single"/>
        </w:rPr>
        <w:t xml:space="preserve">Consequences to the Federal </w:t>
      </w:r>
      <w:r w:rsidR="00C30B54">
        <w:rPr>
          <w:szCs w:val="22"/>
          <w:u w:val="single"/>
        </w:rPr>
        <w:t>g</w:t>
      </w:r>
      <w:r>
        <w:rPr>
          <w:szCs w:val="22"/>
          <w:u w:val="single"/>
        </w:rPr>
        <w:t xml:space="preserve">overnment of not collecting the </w:t>
      </w:r>
      <w:r w:rsidR="00C30B54">
        <w:rPr>
          <w:szCs w:val="22"/>
          <w:u w:val="single"/>
        </w:rPr>
        <w:t>i</w:t>
      </w:r>
      <w:r>
        <w:rPr>
          <w:szCs w:val="22"/>
          <w:u w:val="single"/>
        </w:rPr>
        <w:t>nformation</w:t>
      </w:r>
      <w:r w:rsidR="00C30B54">
        <w:rPr>
          <w:szCs w:val="22"/>
          <w:u w:val="single"/>
        </w:rPr>
        <w:t>.</w:t>
      </w:r>
      <w:r>
        <w:rPr>
          <w:szCs w:val="22"/>
        </w:rPr>
        <w:t xml:space="preserve"> </w:t>
      </w:r>
    </w:p>
    <w:p w:rsidR="00736FD7" w:rsidP="00736FD7" w14:paraId="088D0D46" w14:textId="27E4B48B">
      <w:pPr>
        <w:spacing w:before="273"/>
        <w:ind w:firstLine="720"/>
        <w:rPr>
          <w:szCs w:val="22"/>
        </w:rPr>
      </w:pPr>
      <w:r w:rsidRPr="00C832D9">
        <w:t>These recordkeeping requirement</w:t>
      </w:r>
      <w:r w:rsidRPr="00065A1A">
        <w:t>s are intended to help law enforcement and regulatory authorities detect, investigate, and prosecute money laundering, and other financial crimes by preserving an information trail about persons sending and receiving funds through the funds transfer system.</w:t>
      </w:r>
      <w:r>
        <w:t xml:space="preserve"> </w:t>
      </w:r>
      <w:r w:rsidR="002C4023">
        <w:t xml:space="preserve"> </w:t>
      </w:r>
      <w:r>
        <w:t>Access to these records is key to assisting law enforcement and regulatory authorities to protect the financial system from crime</w:t>
      </w:r>
      <w:r w:rsidR="00AD45D4">
        <w:t xml:space="preserve">. </w:t>
      </w:r>
    </w:p>
    <w:p w:rsidR="00600940" w:rsidRPr="00736FD7" w:rsidP="00736FD7" w14:paraId="2642DD9E" w14:textId="4E62EEDD">
      <w:pPr>
        <w:spacing w:before="273"/>
        <w:rPr>
          <w:szCs w:val="22"/>
        </w:rPr>
      </w:pPr>
      <w:r>
        <w:rPr>
          <w:szCs w:val="22"/>
        </w:rPr>
        <w:t xml:space="preserve">7. </w:t>
      </w:r>
      <w:r>
        <w:rPr>
          <w:szCs w:val="22"/>
          <w:u w:val="single"/>
        </w:rPr>
        <w:t xml:space="preserve">Special </w:t>
      </w:r>
      <w:r w:rsidR="00C30B54">
        <w:rPr>
          <w:szCs w:val="22"/>
          <w:u w:val="single"/>
        </w:rPr>
        <w:t>c</w:t>
      </w:r>
      <w:r>
        <w:rPr>
          <w:szCs w:val="22"/>
          <w:u w:val="single"/>
        </w:rPr>
        <w:t xml:space="preserve">ircumstances </w:t>
      </w:r>
      <w:r w:rsidR="00C30B54">
        <w:rPr>
          <w:szCs w:val="22"/>
          <w:u w:val="single"/>
        </w:rPr>
        <w:t>r</w:t>
      </w:r>
      <w:r>
        <w:rPr>
          <w:szCs w:val="22"/>
          <w:u w:val="single"/>
        </w:rPr>
        <w:t xml:space="preserve">equiring </w:t>
      </w:r>
      <w:r w:rsidR="00C30B54">
        <w:rPr>
          <w:szCs w:val="22"/>
          <w:u w:val="single"/>
        </w:rPr>
        <w:t>d</w:t>
      </w:r>
      <w:r>
        <w:rPr>
          <w:szCs w:val="22"/>
          <w:u w:val="single"/>
        </w:rPr>
        <w:t xml:space="preserve">ata </w:t>
      </w:r>
      <w:r w:rsidR="00C30B54">
        <w:rPr>
          <w:szCs w:val="22"/>
          <w:u w:val="single"/>
        </w:rPr>
        <w:t>c</w:t>
      </w:r>
      <w:r>
        <w:rPr>
          <w:szCs w:val="22"/>
          <w:u w:val="single"/>
        </w:rPr>
        <w:t xml:space="preserve">ollection </w:t>
      </w:r>
      <w:r w:rsidR="00C30B54">
        <w:rPr>
          <w:szCs w:val="22"/>
          <w:u w:val="single"/>
        </w:rPr>
        <w:t>i</w:t>
      </w:r>
      <w:r>
        <w:rPr>
          <w:szCs w:val="22"/>
          <w:u w:val="single"/>
        </w:rPr>
        <w:t xml:space="preserve">nconsistent with </w:t>
      </w:r>
      <w:r w:rsidR="00C30B54">
        <w:rPr>
          <w:szCs w:val="22"/>
          <w:u w:val="single"/>
        </w:rPr>
        <w:t>g</w:t>
      </w:r>
      <w:r>
        <w:rPr>
          <w:szCs w:val="22"/>
          <w:u w:val="single"/>
        </w:rPr>
        <w:t>uidelines</w:t>
      </w:r>
      <w:r w:rsidR="00C30B54">
        <w:rPr>
          <w:szCs w:val="22"/>
          <w:u w:val="single"/>
        </w:rPr>
        <w:t xml:space="preserve"> in 5 CFR 1320.5(d)(2).</w:t>
      </w:r>
    </w:p>
    <w:p w:rsidR="00600940" w14:paraId="6E3CD029" w14:textId="77777777">
      <w:pPr>
        <w:widowControl w:val="0"/>
        <w:autoSpaceDE w:val="0"/>
        <w:autoSpaceDN w:val="0"/>
        <w:adjustRightInd w:val="0"/>
        <w:spacing w:line="240" w:lineRule="exact"/>
        <w:ind w:firstLine="710"/>
        <w:rPr>
          <w:szCs w:val="22"/>
        </w:rPr>
      </w:pPr>
    </w:p>
    <w:p w:rsidR="00A44D4B" w:rsidP="00A44D4B" w14:paraId="54DBD6E7" w14:textId="7086C282">
      <w:pPr>
        <w:ind w:firstLine="720"/>
      </w:pPr>
      <w:r w:rsidRPr="00561AE5">
        <w:t xml:space="preserve">Under 31 CFR 1010.430(d), </w:t>
      </w:r>
      <w:r w:rsidRPr="00561AE5">
        <w:rPr>
          <w:lang w:val="en"/>
        </w:rPr>
        <w:t xml:space="preserve">all records that are required to be retained by 31 CFR Chapter X must be retained for a period of five years.  Records </w:t>
      </w:r>
      <w:r w:rsidRPr="00561AE5">
        <w:t xml:space="preserve">must also be kept for five years to verify compliance with </w:t>
      </w:r>
      <w:r w:rsidR="00F15B48">
        <w:t xml:space="preserve">31 CFR </w:t>
      </w:r>
      <w:r w:rsidR="00B828E0">
        <w:t>Chapter X</w:t>
      </w:r>
      <w:r w:rsidRPr="00561AE5">
        <w:t>, as such record</w:t>
      </w:r>
      <w:r w:rsidR="00F15B48">
        <w:t>s</w:t>
      </w:r>
      <w:r w:rsidRPr="00561AE5">
        <w:t xml:space="preserve"> may relate to civil penalty actions that are subject to statutes of limitation longer than three years. </w:t>
      </w:r>
    </w:p>
    <w:p w:rsidR="00A44D4B" w:rsidRPr="00561AE5" w:rsidP="00A44D4B" w14:paraId="4A83F36B" w14:textId="77777777">
      <w:pPr>
        <w:ind w:firstLine="720"/>
      </w:pPr>
    </w:p>
    <w:p w:rsidR="00B60CA7" w:rsidP="00B60CA7" w14:paraId="7B0A8475" w14:textId="210B4675">
      <w:pPr>
        <w:rPr>
          <w:szCs w:val="22"/>
        </w:rPr>
      </w:pPr>
      <w:r>
        <w:rPr>
          <w:szCs w:val="22"/>
        </w:rPr>
        <w:t xml:space="preserve">8. </w:t>
      </w:r>
      <w:r>
        <w:rPr>
          <w:szCs w:val="22"/>
          <w:u w:val="single"/>
        </w:rPr>
        <w:t xml:space="preserve">Consultation with </w:t>
      </w:r>
      <w:r w:rsidR="00290B7A">
        <w:rPr>
          <w:szCs w:val="22"/>
          <w:u w:val="single"/>
        </w:rPr>
        <w:t>i</w:t>
      </w:r>
      <w:r>
        <w:rPr>
          <w:szCs w:val="22"/>
          <w:u w:val="single"/>
        </w:rPr>
        <w:t xml:space="preserve">ndividuals </w:t>
      </w:r>
      <w:r w:rsidR="00691DF0">
        <w:rPr>
          <w:szCs w:val="22"/>
          <w:u w:val="single"/>
        </w:rPr>
        <w:t>o</w:t>
      </w:r>
      <w:r>
        <w:rPr>
          <w:szCs w:val="22"/>
          <w:u w:val="single"/>
        </w:rPr>
        <w:t xml:space="preserve">utside of the </w:t>
      </w:r>
      <w:r w:rsidR="00691DF0">
        <w:rPr>
          <w:szCs w:val="22"/>
          <w:u w:val="single"/>
        </w:rPr>
        <w:t>a</w:t>
      </w:r>
      <w:r>
        <w:rPr>
          <w:szCs w:val="22"/>
          <w:u w:val="single"/>
        </w:rPr>
        <w:t xml:space="preserve">gency on </w:t>
      </w:r>
      <w:r w:rsidR="00691DF0">
        <w:rPr>
          <w:szCs w:val="22"/>
          <w:u w:val="single"/>
        </w:rPr>
        <w:t>a</w:t>
      </w:r>
      <w:r>
        <w:rPr>
          <w:szCs w:val="22"/>
          <w:u w:val="single"/>
        </w:rPr>
        <w:t xml:space="preserve">vailability of </w:t>
      </w:r>
      <w:r w:rsidR="00691DF0">
        <w:rPr>
          <w:szCs w:val="22"/>
          <w:u w:val="single"/>
        </w:rPr>
        <w:t>d</w:t>
      </w:r>
      <w:r>
        <w:rPr>
          <w:szCs w:val="22"/>
          <w:u w:val="single"/>
        </w:rPr>
        <w:t>ata</w:t>
      </w:r>
      <w:r w:rsidR="00EA7402">
        <w:rPr>
          <w:szCs w:val="22"/>
          <w:u w:val="single"/>
        </w:rPr>
        <w:t>,</w:t>
      </w:r>
      <w:r w:rsidR="00AD45D4">
        <w:rPr>
          <w:szCs w:val="22"/>
          <w:u w:val="single"/>
        </w:rPr>
        <w:t xml:space="preserve"> </w:t>
      </w:r>
      <w:r w:rsidR="00691DF0">
        <w:rPr>
          <w:szCs w:val="22"/>
          <w:u w:val="single"/>
        </w:rPr>
        <w:t>f</w:t>
      </w:r>
      <w:r>
        <w:rPr>
          <w:szCs w:val="22"/>
          <w:u w:val="single"/>
        </w:rPr>
        <w:t xml:space="preserve">requency of </w:t>
      </w:r>
      <w:r w:rsidR="00691DF0">
        <w:rPr>
          <w:szCs w:val="22"/>
          <w:u w:val="single"/>
        </w:rPr>
        <w:t>c</w:t>
      </w:r>
      <w:r>
        <w:rPr>
          <w:szCs w:val="22"/>
          <w:u w:val="single"/>
        </w:rPr>
        <w:t xml:space="preserve">ollection, </w:t>
      </w:r>
      <w:r w:rsidR="00691DF0">
        <w:rPr>
          <w:szCs w:val="22"/>
          <w:u w:val="single"/>
        </w:rPr>
        <w:t>c</w:t>
      </w:r>
      <w:r>
        <w:rPr>
          <w:szCs w:val="22"/>
          <w:u w:val="single"/>
        </w:rPr>
        <w:t xml:space="preserve">larity of </w:t>
      </w:r>
      <w:r w:rsidR="00691DF0">
        <w:rPr>
          <w:szCs w:val="22"/>
          <w:u w:val="single"/>
        </w:rPr>
        <w:t>i</w:t>
      </w:r>
      <w:r>
        <w:rPr>
          <w:szCs w:val="22"/>
          <w:u w:val="single"/>
        </w:rPr>
        <w:t xml:space="preserve">nstructions and </w:t>
      </w:r>
      <w:r w:rsidR="00691DF0">
        <w:rPr>
          <w:szCs w:val="22"/>
          <w:u w:val="single"/>
        </w:rPr>
        <w:t>f</w:t>
      </w:r>
      <w:r>
        <w:rPr>
          <w:szCs w:val="22"/>
          <w:u w:val="single"/>
        </w:rPr>
        <w:t xml:space="preserve">orms, and </w:t>
      </w:r>
      <w:r w:rsidR="00691DF0">
        <w:rPr>
          <w:szCs w:val="22"/>
          <w:u w:val="single"/>
        </w:rPr>
        <w:t>d</w:t>
      </w:r>
      <w:r>
        <w:rPr>
          <w:szCs w:val="22"/>
          <w:u w:val="single"/>
        </w:rPr>
        <w:t xml:space="preserve">ata </w:t>
      </w:r>
      <w:r w:rsidR="00691DF0">
        <w:rPr>
          <w:szCs w:val="22"/>
          <w:u w:val="single"/>
        </w:rPr>
        <w:t>e</w:t>
      </w:r>
      <w:r>
        <w:rPr>
          <w:szCs w:val="22"/>
          <w:u w:val="single"/>
        </w:rPr>
        <w:t>lements</w:t>
      </w:r>
      <w:r w:rsidR="00691DF0">
        <w:rPr>
          <w:szCs w:val="22"/>
          <w:u w:val="single"/>
        </w:rPr>
        <w:t>.</w:t>
      </w:r>
      <w:r>
        <w:rPr>
          <w:szCs w:val="22"/>
        </w:rPr>
        <w:t xml:space="preserve"> </w:t>
      </w:r>
    </w:p>
    <w:p w:rsidR="00B60CA7" w:rsidP="00B60CA7" w14:paraId="5D886E05" w14:textId="77777777">
      <w:pPr>
        <w:ind w:firstLine="720"/>
        <w:rPr>
          <w:szCs w:val="22"/>
        </w:rPr>
      </w:pPr>
    </w:p>
    <w:p w:rsidR="009D7C4B" w:rsidP="009D7C4B" w14:paraId="1F3B3FF8" w14:textId="1AC53CD5">
      <w:pPr>
        <w:widowControl w:val="0"/>
        <w:autoSpaceDE w:val="0"/>
        <w:autoSpaceDN w:val="0"/>
        <w:adjustRightInd w:val="0"/>
        <w:ind w:right="220" w:firstLine="720"/>
        <w:jc w:val="both"/>
        <w:rPr>
          <w:szCs w:val="20"/>
        </w:rPr>
      </w:pPr>
      <w:r>
        <w:t xml:space="preserve">On August 13, 2024, FinCEN published in the Federal Register a notice and request for comments of its intention to renew, without change, information collection requirements for regulations requiring records to be made and retained by financial </w:t>
      </w:r>
      <w:r>
        <w:t>institutions, banks, and providers and sellers of prepaid access.</w:t>
      </w:r>
      <w:r>
        <w:rPr>
          <w:rStyle w:val="FootnoteReference"/>
        </w:rPr>
        <w:footnoteReference w:id="25"/>
      </w:r>
      <w:r>
        <w:t xml:space="preserve"> The comment period closed on October 15, 2024.  FinCEN received </w:t>
      </w:r>
      <w:r w:rsidR="0098371A">
        <w:t>one</w:t>
      </w:r>
      <w:r>
        <w:t xml:space="preserve"> comment in response to the notice. </w:t>
      </w:r>
      <w:r w:rsidR="002659B7">
        <w:t xml:space="preserve"> However, the comment did not address these BSA regulatory requirements or </w:t>
      </w:r>
      <w:r w:rsidR="00F20A94">
        <w:t>corresponding burden estimates.</w:t>
      </w:r>
    </w:p>
    <w:p w:rsidR="00E306F1" w:rsidP="004F2ADB" w14:paraId="2363ED12" w14:textId="77777777">
      <w:pPr>
        <w:ind w:firstLine="720"/>
      </w:pPr>
    </w:p>
    <w:p w:rsidR="00C07D11" w:rsidRPr="00AA6051" w:rsidP="00E306F1" w14:paraId="6C1DD2EF" w14:textId="6281FA52">
      <w:pPr>
        <w:ind w:firstLine="720"/>
      </w:pPr>
      <w:r w:rsidRPr="00EE69DC">
        <w:t>FinCEN appreciates feedback provided by commenters and will take recommendations into consideration.  In addition</w:t>
      </w:r>
      <w:r>
        <w:t>, a</w:t>
      </w:r>
      <w:r w:rsidRPr="00031C8D" w:rsidR="00031C8D">
        <w:t xml:space="preserve">s noted in the 60-day notice to renew this information collection, </w:t>
      </w:r>
      <w:r w:rsidRPr="004F2ADB" w:rsidR="00031C8D">
        <w:rPr>
          <w:rStyle w:val="cf01"/>
          <w:rFonts w:ascii="Times New Roman" w:hAnsi="Times New Roman" w:cs="Times New Roman"/>
          <w:sz w:val="24"/>
          <w:szCs w:val="24"/>
        </w:rPr>
        <w:t>in connection with a variety of initiatives FinCEN is undertaking to implement the AML Act, FinCEN intends to conduct, in the future, additional assessments of the PRA burden associated with BSA requirements and responsive modifications to current estimates.</w:t>
      </w:r>
    </w:p>
    <w:p w:rsidR="0077338F" w:rsidP="00B60CA7" w14:paraId="3F1A107D" w14:textId="45A826AD"/>
    <w:p w:rsidR="00600940" w:rsidP="00B60CA7" w14:paraId="65F7683F" w14:textId="0888FBAB">
      <w:pPr>
        <w:rPr>
          <w:szCs w:val="22"/>
        </w:rPr>
      </w:pPr>
      <w:r>
        <w:rPr>
          <w:szCs w:val="22"/>
        </w:rPr>
        <w:t xml:space="preserve">9. </w:t>
      </w:r>
      <w:r w:rsidRPr="00E306F1" w:rsidR="00F70C29">
        <w:rPr>
          <w:szCs w:val="22"/>
          <w:u w:val="single"/>
        </w:rPr>
        <w:t>Explanation of decision to provide any payment or gift to respondents.</w:t>
      </w:r>
    </w:p>
    <w:p w:rsidR="00600940" w14:paraId="5F6714BF" w14:textId="77777777">
      <w:pPr>
        <w:spacing w:before="283"/>
        <w:ind w:firstLine="720"/>
        <w:rPr>
          <w:szCs w:val="22"/>
        </w:rPr>
      </w:pPr>
      <w:r>
        <w:rPr>
          <w:szCs w:val="22"/>
        </w:rPr>
        <w:t xml:space="preserve">No payments or gifts </w:t>
      </w:r>
      <w:r w:rsidR="00792BF5">
        <w:rPr>
          <w:szCs w:val="22"/>
        </w:rPr>
        <w:t>were</w:t>
      </w:r>
      <w:r w:rsidR="00692C23">
        <w:rPr>
          <w:szCs w:val="22"/>
        </w:rPr>
        <w:t xml:space="preserve"> </w:t>
      </w:r>
      <w:r>
        <w:rPr>
          <w:szCs w:val="22"/>
        </w:rPr>
        <w:t xml:space="preserve">made to respondents. </w:t>
      </w:r>
    </w:p>
    <w:p w:rsidR="00600940" w14:paraId="1093D7C1" w14:textId="4132A548">
      <w:pPr>
        <w:pStyle w:val="BodyText"/>
        <w:rPr>
          <w:sz w:val="24"/>
        </w:rPr>
      </w:pPr>
      <w:r>
        <w:rPr>
          <w:sz w:val="24"/>
        </w:rPr>
        <w:t xml:space="preserve">10. </w:t>
      </w:r>
      <w:r>
        <w:rPr>
          <w:sz w:val="24"/>
          <w:u w:val="single"/>
        </w:rPr>
        <w:t xml:space="preserve">Assurance of </w:t>
      </w:r>
      <w:r w:rsidR="00691DF0">
        <w:rPr>
          <w:sz w:val="24"/>
          <w:u w:val="single"/>
        </w:rPr>
        <w:t>c</w:t>
      </w:r>
      <w:r>
        <w:rPr>
          <w:sz w:val="24"/>
          <w:u w:val="single"/>
        </w:rPr>
        <w:t xml:space="preserve">onfidentiality of </w:t>
      </w:r>
      <w:r w:rsidR="00691DF0">
        <w:rPr>
          <w:sz w:val="24"/>
          <w:u w:val="single"/>
        </w:rPr>
        <w:t>r</w:t>
      </w:r>
      <w:r>
        <w:rPr>
          <w:sz w:val="24"/>
          <w:u w:val="single"/>
        </w:rPr>
        <w:t>esponses</w:t>
      </w:r>
      <w:r w:rsidR="00691DF0">
        <w:rPr>
          <w:sz w:val="24"/>
          <w:u w:val="single"/>
        </w:rPr>
        <w:t>.</w:t>
      </w:r>
      <w:r>
        <w:rPr>
          <w:sz w:val="24"/>
        </w:rPr>
        <w:t xml:space="preserve"> </w:t>
      </w:r>
    </w:p>
    <w:p w:rsidR="004051FC" w:rsidP="002E71D4" w14:paraId="7F092B0B" w14:textId="5C315585">
      <w:pPr>
        <w:spacing w:before="264"/>
        <w:ind w:firstLine="720"/>
      </w:pPr>
      <w:r>
        <w:rPr>
          <w:szCs w:val="22"/>
        </w:rPr>
        <w:t xml:space="preserve">Information </w:t>
      </w:r>
      <w:r w:rsidR="004D46F5">
        <w:rPr>
          <w:szCs w:val="22"/>
        </w:rPr>
        <w:t xml:space="preserve">retained under the regulations implementing the BSA </w:t>
      </w:r>
      <w:r w:rsidRPr="00561AE5" w:rsidR="00D344F7">
        <w:t>may be made available to appropriate law enforcement agencies and supervisory agencies.</w:t>
      </w:r>
    </w:p>
    <w:p w:rsidR="00EF277D" w:rsidP="002E71D4" w14:paraId="533A2583" w14:textId="3D13CDCA">
      <w:pPr>
        <w:spacing w:before="264"/>
      </w:pPr>
      <w:r>
        <w:rPr>
          <w:szCs w:val="22"/>
        </w:rPr>
        <w:t xml:space="preserve">11. </w:t>
      </w:r>
      <w:r>
        <w:rPr>
          <w:szCs w:val="22"/>
          <w:u w:val="single"/>
        </w:rPr>
        <w:t xml:space="preserve">Justification of </w:t>
      </w:r>
      <w:r w:rsidR="00691DF0">
        <w:rPr>
          <w:szCs w:val="22"/>
          <w:u w:val="single"/>
        </w:rPr>
        <w:t>s</w:t>
      </w:r>
      <w:r>
        <w:rPr>
          <w:szCs w:val="22"/>
          <w:u w:val="single"/>
        </w:rPr>
        <w:t xml:space="preserve">ensitive </w:t>
      </w:r>
      <w:r w:rsidR="00691DF0">
        <w:rPr>
          <w:szCs w:val="22"/>
          <w:u w:val="single"/>
        </w:rPr>
        <w:t>q</w:t>
      </w:r>
      <w:r>
        <w:rPr>
          <w:szCs w:val="22"/>
          <w:u w:val="single"/>
        </w:rPr>
        <w:t>uestions</w:t>
      </w:r>
      <w:r w:rsidR="00691DF0">
        <w:rPr>
          <w:szCs w:val="22"/>
          <w:u w:val="single"/>
        </w:rPr>
        <w:t>.</w:t>
      </w:r>
      <w:r>
        <w:rPr>
          <w:szCs w:val="22"/>
        </w:rPr>
        <w:t xml:space="preserve"> </w:t>
      </w:r>
    </w:p>
    <w:p w:rsidR="00EF277D" w:rsidP="002E71D4" w14:paraId="78BDF1AC" w14:textId="6230DAF5">
      <w:pPr>
        <w:spacing w:before="254"/>
        <w:ind w:firstLine="720"/>
      </w:pPr>
      <w:r w:rsidRPr="00561AE5">
        <w:t>There are no questions of a sensitive nature in the 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26"/>
      </w:r>
      <w:r w:rsidRPr="00561AE5">
        <w:t xml:space="preserve">  </w:t>
      </w:r>
    </w:p>
    <w:p w:rsidR="00600940" w14:paraId="29ED4095" w14:textId="0B63EA5B">
      <w:pPr>
        <w:spacing w:before="254"/>
        <w:rPr>
          <w:szCs w:val="22"/>
        </w:rPr>
      </w:pPr>
      <w:r>
        <w:rPr>
          <w:szCs w:val="22"/>
        </w:rPr>
        <w:t xml:space="preserve">12. </w:t>
      </w:r>
      <w:r>
        <w:rPr>
          <w:szCs w:val="22"/>
          <w:u w:val="single"/>
        </w:rPr>
        <w:t xml:space="preserve">Estimated </w:t>
      </w:r>
      <w:r w:rsidR="00691DF0">
        <w:rPr>
          <w:szCs w:val="22"/>
          <w:u w:val="single"/>
        </w:rPr>
        <w:t>burden of information collection.</w:t>
      </w:r>
      <w:r>
        <w:rPr>
          <w:szCs w:val="22"/>
        </w:rPr>
        <w:t xml:space="preserve"> </w:t>
      </w:r>
    </w:p>
    <w:p w:rsidR="00B16721" w:rsidP="004F2ADB" w14:paraId="0DD35997" w14:textId="77777777">
      <w:pPr>
        <w:spacing w:before="254"/>
        <w:rPr>
          <w:szCs w:val="22"/>
        </w:rPr>
      </w:pPr>
      <w:r w:rsidRPr="0091539A">
        <w:rPr>
          <w:szCs w:val="22"/>
          <w:u w:val="single"/>
        </w:rPr>
        <w:t>Frequency</w:t>
      </w:r>
      <w:r>
        <w:rPr>
          <w:szCs w:val="22"/>
        </w:rPr>
        <w:t>:  As requi</w:t>
      </w:r>
      <w:r>
        <w:rPr>
          <w:szCs w:val="22"/>
        </w:rPr>
        <w:t>red.</w:t>
      </w:r>
    </w:p>
    <w:p w:rsidR="00B16721" w:rsidRPr="00B20B78" w:rsidP="0008463B" w14:paraId="0057B94C" w14:textId="710A18F2">
      <w:pPr>
        <w:spacing w:before="254"/>
      </w:pPr>
      <w:r w:rsidRPr="00D81F86">
        <w:rPr>
          <w:u w:val="single"/>
        </w:rPr>
        <w:t>Estimated Number of Respondents</w:t>
      </w:r>
      <w:r w:rsidRPr="00B20B78">
        <w:t>:</w:t>
      </w:r>
      <w:r w:rsidRPr="00B20B78" w:rsidR="00E36CC9">
        <w:t xml:space="preserve">  273,832</w:t>
      </w:r>
      <w:r w:rsidRPr="00B20B78" w:rsidR="00574C56">
        <w:t xml:space="preserve"> financial institutions</w:t>
      </w:r>
      <w:r w:rsidRPr="00B20B78" w:rsidR="00E36CC9">
        <w:t>.</w:t>
      </w:r>
    </w:p>
    <w:p w:rsidR="003C7658" w:rsidP="000168A5" w14:paraId="3AE1558B" w14:textId="77777777">
      <w:pPr>
        <w:rPr>
          <w:b/>
          <w:sz w:val="22"/>
          <w:szCs w:val="22"/>
          <w:lang w:val="en-GB"/>
        </w:rPr>
      </w:pPr>
    </w:p>
    <w:p w:rsidR="000168A5" w:rsidRPr="007F2049" w:rsidP="000168A5" w14:paraId="6F34D1EA" w14:textId="3263D4A4">
      <w:pPr>
        <w:rPr>
          <w:b/>
          <w:sz w:val="22"/>
          <w:szCs w:val="22"/>
          <w:lang w:val="en-GB"/>
        </w:rPr>
      </w:pPr>
      <w:r w:rsidRPr="007F2049">
        <w:rPr>
          <w:b/>
          <w:sz w:val="22"/>
          <w:szCs w:val="22"/>
          <w:lang w:val="en-GB"/>
        </w:rPr>
        <w:t>Table 1. Distribution of financial institutions covered by this notice, by type of financial institution</w:t>
      </w:r>
    </w:p>
    <w:tbl>
      <w:tblPr>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4"/>
        <w:gridCol w:w="1892"/>
      </w:tblGrid>
      <w:tr w14:paraId="3F709277" w14:textId="77777777" w:rsidTr="00727AE0">
        <w:tblPrEx>
          <w:tblW w:w="8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3"/>
          <w:tblHeader/>
          <w:jc w:val="center"/>
        </w:trPr>
        <w:tc>
          <w:tcPr>
            <w:tcW w:w="6214" w:type="dxa"/>
            <w:vAlign w:val="center"/>
          </w:tcPr>
          <w:p w:rsidR="000168A5" w:rsidRPr="00EB7036" w:rsidP="00727AE0" w14:paraId="5865EA34" w14:textId="77777777">
            <w:pPr>
              <w:ind w:left="180"/>
              <w:rPr>
                <w:rFonts w:eastAsia="Calibri"/>
                <w:b/>
                <w:sz w:val="22"/>
                <w:szCs w:val="22"/>
              </w:rPr>
            </w:pPr>
            <w:r w:rsidRPr="00EB7036">
              <w:rPr>
                <w:rFonts w:eastAsia="Calibri"/>
                <w:b/>
                <w:sz w:val="22"/>
                <w:szCs w:val="22"/>
              </w:rPr>
              <w:t>Type of financial institution</w:t>
            </w:r>
          </w:p>
        </w:tc>
        <w:tc>
          <w:tcPr>
            <w:tcW w:w="1892" w:type="dxa"/>
            <w:vAlign w:val="center"/>
          </w:tcPr>
          <w:p w:rsidR="000168A5" w:rsidRPr="00EB7036" w:rsidP="00727AE0" w14:paraId="58D6B1D1" w14:textId="77777777">
            <w:pPr>
              <w:ind w:left="180"/>
              <w:rPr>
                <w:rFonts w:eastAsia="Calibri"/>
                <w:b/>
                <w:sz w:val="22"/>
                <w:szCs w:val="22"/>
              </w:rPr>
            </w:pPr>
            <w:r w:rsidRPr="00EB7036">
              <w:rPr>
                <w:rFonts w:eastAsia="Calibri"/>
                <w:b/>
                <w:sz w:val="22"/>
                <w:szCs w:val="22"/>
              </w:rPr>
              <w:t>Number of financial institutions</w:t>
            </w:r>
          </w:p>
        </w:tc>
      </w:tr>
      <w:tr w14:paraId="16842CFB"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RPr="00EB7036" w:rsidP="00727AE0" w14:paraId="5CAFBC84" w14:textId="77777777">
            <w:pPr>
              <w:ind w:left="180"/>
              <w:rPr>
                <w:rFonts w:eastAsia="Calibri"/>
                <w:sz w:val="22"/>
                <w:szCs w:val="22"/>
              </w:rPr>
            </w:pPr>
            <w:r w:rsidRPr="00EB7036">
              <w:rPr>
                <w:rFonts w:eastAsia="Calibri"/>
                <w:sz w:val="22"/>
                <w:szCs w:val="22"/>
              </w:rPr>
              <w:t xml:space="preserve">Banks with a Federal functional regulator (FFR) </w:t>
            </w:r>
          </w:p>
        </w:tc>
        <w:tc>
          <w:tcPr>
            <w:tcW w:w="1892" w:type="dxa"/>
            <w:vAlign w:val="center"/>
          </w:tcPr>
          <w:p w:rsidR="000168A5" w:rsidRPr="00EB7036" w:rsidP="00727AE0" w14:paraId="5CDFF343" w14:textId="77777777">
            <w:pPr>
              <w:ind w:left="180"/>
              <w:jc w:val="center"/>
              <w:rPr>
                <w:rFonts w:eastAsia="Calibri"/>
                <w:sz w:val="22"/>
                <w:szCs w:val="22"/>
              </w:rPr>
            </w:pPr>
            <w:r w:rsidRPr="00EB7036">
              <w:rPr>
                <w:rFonts w:eastAsia="Calibri"/>
                <w:sz w:val="22"/>
                <w:szCs w:val="22"/>
              </w:rPr>
              <w:t>9,462</w:t>
            </w:r>
            <w:r w:rsidRPr="00EB7036">
              <w:rPr>
                <w:rFonts w:eastAsia="Calibri"/>
                <w:sz w:val="22"/>
                <w:szCs w:val="22"/>
                <w:vertAlign w:val="superscript"/>
              </w:rPr>
              <w:t>a</w:t>
            </w:r>
          </w:p>
        </w:tc>
      </w:tr>
      <w:tr w14:paraId="168F885E"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RPr="00EB7036" w:rsidP="00727AE0" w14:paraId="67BE5247" w14:textId="77777777">
            <w:pPr>
              <w:ind w:left="180"/>
              <w:rPr>
                <w:rFonts w:eastAsia="Calibri"/>
                <w:sz w:val="22"/>
                <w:szCs w:val="22"/>
              </w:rPr>
            </w:pPr>
            <w:r w:rsidRPr="00EB7036">
              <w:rPr>
                <w:rFonts w:eastAsia="Calibri"/>
                <w:sz w:val="22"/>
                <w:szCs w:val="22"/>
              </w:rPr>
              <w:t>Banks lacking an FFR</w:t>
            </w:r>
          </w:p>
        </w:tc>
        <w:tc>
          <w:tcPr>
            <w:tcW w:w="1892" w:type="dxa"/>
            <w:vAlign w:val="center"/>
          </w:tcPr>
          <w:p w:rsidR="000168A5" w:rsidRPr="00EB7036" w:rsidP="00727AE0" w14:paraId="0B67575F" w14:textId="77777777">
            <w:pPr>
              <w:ind w:left="180"/>
              <w:jc w:val="center"/>
              <w:rPr>
                <w:rFonts w:eastAsia="Calibri"/>
                <w:sz w:val="22"/>
                <w:szCs w:val="22"/>
              </w:rPr>
            </w:pPr>
            <w:r w:rsidRPr="00EB7036">
              <w:rPr>
                <w:rFonts w:eastAsia="Calibri"/>
                <w:sz w:val="22"/>
                <w:szCs w:val="22"/>
              </w:rPr>
              <w:t>600</w:t>
            </w:r>
            <w:r w:rsidRPr="00EB7036">
              <w:rPr>
                <w:rFonts w:eastAsia="Calibri"/>
                <w:sz w:val="22"/>
                <w:szCs w:val="22"/>
                <w:vertAlign w:val="superscript"/>
              </w:rPr>
              <w:t>b</w:t>
            </w:r>
          </w:p>
        </w:tc>
      </w:tr>
      <w:tr w14:paraId="62A8A371"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RPr="00EB7036" w:rsidP="00727AE0" w14:paraId="1B6F421C" w14:textId="77777777">
            <w:pPr>
              <w:ind w:left="180"/>
              <w:rPr>
                <w:rFonts w:eastAsia="Calibri"/>
                <w:sz w:val="22"/>
                <w:szCs w:val="22"/>
              </w:rPr>
            </w:pPr>
            <w:r w:rsidRPr="00EB7036">
              <w:rPr>
                <w:rFonts w:eastAsia="Calibri"/>
                <w:sz w:val="22"/>
                <w:szCs w:val="22"/>
              </w:rPr>
              <w:t xml:space="preserve">Brokers or dealers in securities </w:t>
            </w:r>
          </w:p>
        </w:tc>
        <w:tc>
          <w:tcPr>
            <w:tcW w:w="1892" w:type="dxa"/>
            <w:vAlign w:val="center"/>
          </w:tcPr>
          <w:p w:rsidR="000168A5" w:rsidRPr="00EB7036" w:rsidP="00727AE0" w14:paraId="1647FC59" w14:textId="77777777">
            <w:pPr>
              <w:ind w:left="180"/>
              <w:jc w:val="center"/>
              <w:rPr>
                <w:rFonts w:eastAsia="Calibri"/>
                <w:sz w:val="22"/>
                <w:szCs w:val="22"/>
              </w:rPr>
            </w:pPr>
            <w:r w:rsidRPr="00EB7036">
              <w:rPr>
                <w:rFonts w:eastAsia="Calibri"/>
                <w:sz w:val="22"/>
                <w:szCs w:val="22"/>
              </w:rPr>
              <w:t>3,478</w:t>
            </w:r>
            <w:r w:rsidRPr="00EB7036">
              <w:rPr>
                <w:rFonts w:eastAsia="Calibri"/>
                <w:sz w:val="22"/>
                <w:szCs w:val="22"/>
                <w:vertAlign w:val="superscript"/>
              </w:rPr>
              <w:t>c</w:t>
            </w:r>
          </w:p>
        </w:tc>
      </w:tr>
      <w:tr w14:paraId="7E5FE59E"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RPr="00D80889" w:rsidP="00727AE0" w14:paraId="7A932055" w14:textId="77777777">
            <w:pPr>
              <w:ind w:left="180"/>
              <w:rPr>
                <w:rFonts w:eastAsia="Calibri"/>
                <w:sz w:val="22"/>
                <w:szCs w:val="22"/>
              </w:rPr>
            </w:pPr>
            <w:r>
              <w:rPr>
                <w:rFonts w:eastAsia="Calibri"/>
                <w:sz w:val="22"/>
                <w:szCs w:val="22"/>
              </w:rPr>
              <w:t>Principal MSBs, including:</w:t>
            </w:r>
          </w:p>
        </w:tc>
        <w:tc>
          <w:tcPr>
            <w:tcW w:w="1892" w:type="dxa"/>
            <w:vMerge w:val="restart"/>
            <w:vAlign w:val="center"/>
          </w:tcPr>
          <w:p w:rsidR="000168A5" w:rsidRPr="00EB7036" w:rsidP="00727AE0" w14:paraId="794C4780" w14:textId="77777777">
            <w:pPr>
              <w:ind w:left="180"/>
              <w:jc w:val="center"/>
              <w:rPr>
                <w:rFonts w:eastAsia="Calibri"/>
                <w:sz w:val="22"/>
                <w:szCs w:val="22"/>
              </w:rPr>
            </w:pPr>
            <w:r>
              <w:rPr>
                <w:rFonts w:eastAsia="Calibri"/>
                <w:sz w:val="22"/>
                <w:szCs w:val="22"/>
              </w:rPr>
              <w:t>27,500</w:t>
            </w:r>
            <w:r>
              <w:rPr>
                <w:rFonts w:eastAsia="Calibri"/>
                <w:sz w:val="22"/>
                <w:szCs w:val="22"/>
                <w:vertAlign w:val="superscript"/>
              </w:rPr>
              <w:t>d</w:t>
            </w:r>
          </w:p>
        </w:tc>
      </w:tr>
      <w:tr w14:paraId="4C91DE49"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tbl>
            <w:tblPr>
              <w:tblW w:w="12430" w:type="dxa"/>
              <w:tblInd w:w="5" w:type="dxa"/>
              <w:tblLayout w:type="fixed"/>
              <w:tblLook w:val="04A0"/>
            </w:tblPr>
            <w:tblGrid>
              <w:gridCol w:w="4972"/>
              <w:gridCol w:w="1243"/>
              <w:gridCol w:w="1243"/>
              <w:gridCol w:w="1243"/>
              <w:gridCol w:w="1243"/>
              <w:gridCol w:w="1243"/>
              <w:gridCol w:w="1243"/>
            </w:tblGrid>
            <w:tr w14:paraId="02CD6D4C" w14:textId="77777777" w:rsidTr="00727AE0">
              <w:tblPrEx>
                <w:tblW w:w="12430" w:type="dxa"/>
                <w:tblInd w:w="5" w:type="dxa"/>
                <w:tblLayout w:type="fixed"/>
                <w:tblLook w:val="04A0"/>
              </w:tblPrEx>
              <w:trPr>
                <w:gridAfter w:val="3"/>
                <w:wAfter w:w="3729" w:type="dxa"/>
                <w:trHeight w:val="420"/>
              </w:trPr>
              <w:tc>
                <w:tcPr>
                  <w:tcW w:w="4972" w:type="dxa"/>
                  <w:tcBorders>
                    <w:top w:val="nil"/>
                    <w:left w:val="nil"/>
                    <w:bottom w:val="single" w:sz="8" w:space="0" w:color="auto"/>
                    <w:right w:val="single" w:sz="4" w:space="0" w:color="auto"/>
                  </w:tcBorders>
                  <w:shd w:val="clear" w:color="auto" w:fill="auto"/>
                  <w:noWrap/>
                  <w:vAlign w:val="center"/>
                  <w:hideMark/>
                </w:tcPr>
                <w:p w:rsidR="000168A5" w:rsidRPr="007252DB" w:rsidP="00727AE0" w14:paraId="3FF8E2CC" w14:textId="77777777">
                  <w:pPr>
                    <w:ind w:left="720"/>
                    <w:rPr>
                      <w:color w:val="000000"/>
                      <w:sz w:val="22"/>
                      <w:szCs w:val="22"/>
                      <w:lang w:val="en-GB"/>
                    </w:rPr>
                  </w:pPr>
                  <w:r>
                    <w:rPr>
                      <w:color w:val="000000"/>
                      <w:sz w:val="22"/>
                      <w:szCs w:val="22"/>
                      <w:lang w:val="en-GB"/>
                    </w:rPr>
                    <w:t>MSBs that conduct money transmission</w:t>
                  </w:r>
                </w:p>
              </w:tc>
              <w:tc>
                <w:tcPr>
                  <w:tcW w:w="1243" w:type="dxa"/>
                  <w:tcBorders>
                    <w:top w:val="nil"/>
                    <w:left w:val="nil"/>
                    <w:bottom w:val="single" w:sz="8" w:space="0" w:color="auto"/>
                    <w:right w:val="single" w:sz="4" w:space="0" w:color="auto"/>
                  </w:tcBorders>
                  <w:vAlign w:val="center"/>
                </w:tcPr>
                <w:p w:rsidR="000168A5" w:rsidRPr="00751638" w:rsidP="00727AE0" w14:paraId="4A218473" w14:textId="77777777">
                  <w:pPr>
                    <w:jc w:val="center"/>
                    <w:rPr>
                      <w:color w:val="000000"/>
                      <w:sz w:val="22"/>
                      <w:szCs w:val="22"/>
                      <w:lang w:val="en-GB"/>
                    </w:rPr>
                  </w:pPr>
                  <w:r w:rsidRPr="00751638">
                    <w:rPr>
                      <w:color w:val="000000"/>
                      <w:sz w:val="22"/>
                      <w:szCs w:val="22"/>
                      <w:lang w:val="en-GB"/>
                    </w:rPr>
                    <w:t>16,897</w:t>
                  </w:r>
                </w:p>
              </w:tc>
              <w:tc>
                <w:tcPr>
                  <w:tcW w:w="1243" w:type="dxa"/>
                  <w:tcBorders>
                    <w:top w:val="nil"/>
                    <w:left w:val="nil"/>
                    <w:bottom w:val="single" w:sz="8" w:space="0" w:color="auto"/>
                    <w:right w:val="single" w:sz="4" w:space="0" w:color="auto"/>
                  </w:tcBorders>
                </w:tcPr>
                <w:p w:rsidR="000168A5" w:rsidRPr="007252DB" w:rsidP="00727AE0" w14:paraId="02E30F8A" w14:textId="77777777">
                  <w:pPr>
                    <w:rPr>
                      <w:color w:val="000000"/>
                      <w:sz w:val="22"/>
                      <w:szCs w:val="22"/>
                      <w:lang w:val="en-GB"/>
                    </w:rPr>
                  </w:pPr>
                </w:p>
              </w:tc>
              <w:tc>
                <w:tcPr>
                  <w:tcW w:w="1243" w:type="dxa"/>
                  <w:tcBorders>
                    <w:top w:val="nil"/>
                    <w:left w:val="nil"/>
                    <w:bottom w:val="single" w:sz="8" w:space="0" w:color="auto"/>
                    <w:right w:val="single" w:sz="4" w:space="0" w:color="auto"/>
                  </w:tcBorders>
                </w:tcPr>
                <w:p w:rsidR="000168A5" w:rsidRPr="007252DB" w:rsidP="00727AE0" w14:paraId="5BD7D9DA" w14:textId="77777777">
                  <w:pPr>
                    <w:rPr>
                      <w:color w:val="000000"/>
                      <w:sz w:val="22"/>
                      <w:szCs w:val="22"/>
                      <w:lang w:val="en-GB"/>
                    </w:rPr>
                  </w:pPr>
                </w:p>
              </w:tc>
            </w:tr>
            <w:tr w14:paraId="1EB15903" w14:textId="77777777" w:rsidTr="00727AE0">
              <w:tblPrEx>
                <w:tblW w:w="12430" w:type="dxa"/>
                <w:tblInd w:w="5" w:type="dxa"/>
                <w:tblLayout w:type="fixed"/>
                <w:tblLook w:val="04A0"/>
              </w:tblPrEx>
              <w:trPr>
                <w:gridAfter w:val="3"/>
                <w:wAfter w:w="3729" w:type="dxa"/>
                <w:trHeight w:val="420"/>
              </w:trPr>
              <w:tc>
                <w:tcPr>
                  <w:tcW w:w="4972" w:type="dxa"/>
                  <w:tcBorders>
                    <w:top w:val="nil"/>
                    <w:left w:val="nil"/>
                    <w:bottom w:val="single" w:sz="8" w:space="0" w:color="auto"/>
                    <w:right w:val="single" w:sz="4" w:space="0" w:color="auto"/>
                  </w:tcBorders>
                  <w:shd w:val="clear" w:color="auto" w:fill="auto"/>
                  <w:noWrap/>
                  <w:vAlign w:val="center"/>
                </w:tcPr>
                <w:p w:rsidR="000168A5" w:rsidP="00727AE0" w14:paraId="1DE6B2B6" w14:textId="77777777">
                  <w:pPr>
                    <w:ind w:left="720"/>
                    <w:rPr>
                      <w:color w:val="000000"/>
                      <w:sz w:val="22"/>
                      <w:szCs w:val="22"/>
                      <w:lang w:val="en-GB"/>
                    </w:rPr>
                  </w:pPr>
                  <w:r>
                    <w:rPr>
                      <w:color w:val="000000"/>
                      <w:sz w:val="22"/>
                      <w:szCs w:val="22"/>
                      <w:lang w:val="en-GB"/>
                    </w:rPr>
                    <w:t>MSBs that conduct money transmission but do not provide or sell prepaid access</w:t>
                  </w:r>
                </w:p>
              </w:tc>
              <w:tc>
                <w:tcPr>
                  <w:tcW w:w="1243" w:type="dxa"/>
                  <w:tcBorders>
                    <w:top w:val="nil"/>
                    <w:left w:val="nil"/>
                    <w:bottom w:val="single" w:sz="8" w:space="0" w:color="auto"/>
                    <w:right w:val="single" w:sz="4" w:space="0" w:color="auto"/>
                  </w:tcBorders>
                  <w:vAlign w:val="center"/>
                </w:tcPr>
                <w:p w:rsidR="000168A5" w:rsidRPr="00751638" w:rsidP="00727AE0" w14:paraId="3662A924" w14:textId="77777777">
                  <w:pPr>
                    <w:jc w:val="center"/>
                    <w:rPr>
                      <w:color w:val="000000"/>
                      <w:sz w:val="22"/>
                      <w:szCs w:val="22"/>
                      <w:lang w:val="en-GB"/>
                    </w:rPr>
                  </w:pPr>
                  <w:r w:rsidRPr="00751638">
                    <w:rPr>
                      <w:color w:val="000000"/>
                      <w:sz w:val="22"/>
                      <w:szCs w:val="22"/>
                      <w:lang w:val="en-GB"/>
                    </w:rPr>
                    <w:t>14,588</w:t>
                  </w:r>
                </w:p>
              </w:tc>
              <w:tc>
                <w:tcPr>
                  <w:tcW w:w="1243" w:type="dxa"/>
                  <w:tcBorders>
                    <w:top w:val="nil"/>
                    <w:left w:val="nil"/>
                    <w:bottom w:val="single" w:sz="8" w:space="0" w:color="auto"/>
                    <w:right w:val="single" w:sz="4" w:space="0" w:color="auto"/>
                  </w:tcBorders>
                </w:tcPr>
                <w:p w:rsidR="000168A5" w:rsidRPr="007252DB" w:rsidP="00727AE0" w14:paraId="01FF9D54" w14:textId="77777777">
                  <w:pPr>
                    <w:rPr>
                      <w:color w:val="000000"/>
                      <w:sz w:val="22"/>
                      <w:szCs w:val="22"/>
                      <w:lang w:val="en-GB"/>
                    </w:rPr>
                  </w:pPr>
                </w:p>
              </w:tc>
              <w:tc>
                <w:tcPr>
                  <w:tcW w:w="1243" w:type="dxa"/>
                  <w:tcBorders>
                    <w:top w:val="nil"/>
                    <w:left w:val="nil"/>
                    <w:bottom w:val="single" w:sz="8" w:space="0" w:color="auto"/>
                    <w:right w:val="single" w:sz="4" w:space="0" w:color="auto"/>
                  </w:tcBorders>
                </w:tcPr>
                <w:p w:rsidR="000168A5" w:rsidRPr="007252DB" w:rsidP="00727AE0" w14:paraId="46434B6C" w14:textId="77777777">
                  <w:pPr>
                    <w:rPr>
                      <w:color w:val="000000"/>
                      <w:sz w:val="22"/>
                      <w:szCs w:val="22"/>
                      <w:lang w:val="en-GB"/>
                    </w:rPr>
                  </w:pPr>
                </w:p>
              </w:tc>
            </w:tr>
            <w:tr w14:paraId="257CF9BC" w14:textId="77777777" w:rsidTr="00727AE0">
              <w:tblPrEx>
                <w:tblW w:w="12430" w:type="dxa"/>
                <w:tblInd w:w="5" w:type="dxa"/>
                <w:tblLayout w:type="fixed"/>
                <w:tblLook w:val="04A0"/>
              </w:tblPrEx>
              <w:trPr>
                <w:gridAfter w:val="3"/>
                <w:wAfter w:w="3729" w:type="dxa"/>
                <w:trHeight w:val="420"/>
              </w:trPr>
              <w:tc>
                <w:tcPr>
                  <w:tcW w:w="4972" w:type="dxa"/>
                  <w:tcBorders>
                    <w:top w:val="single" w:sz="8" w:space="0" w:color="auto"/>
                    <w:left w:val="nil"/>
                    <w:bottom w:val="single" w:sz="4" w:space="0" w:color="auto"/>
                    <w:right w:val="single" w:sz="4" w:space="0" w:color="auto"/>
                  </w:tcBorders>
                  <w:shd w:val="clear" w:color="auto" w:fill="auto"/>
                  <w:noWrap/>
                  <w:vAlign w:val="center"/>
                </w:tcPr>
                <w:p w:rsidR="000168A5" w:rsidP="00727AE0" w14:paraId="14B08C5A" w14:textId="77777777">
                  <w:pPr>
                    <w:ind w:left="720"/>
                    <w:rPr>
                      <w:color w:val="000000"/>
                      <w:sz w:val="22"/>
                      <w:szCs w:val="22"/>
                      <w:lang w:val="en-GB"/>
                    </w:rPr>
                  </w:pPr>
                  <w:r>
                    <w:rPr>
                      <w:color w:val="000000"/>
                      <w:sz w:val="22"/>
                      <w:szCs w:val="22"/>
                      <w:lang w:val="en-GB"/>
                    </w:rPr>
                    <w:t>MSBs that conduct money transmission and provide or sell prepaid access</w:t>
                  </w:r>
                </w:p>
              </w:tc>
              <w:tc>
                <w:tcPr>
                  <w:tcW w:w="1243" w:type="dxa"/>
                  <w:tcBorders>
                    <w:top w:val="single" w:sz="8" w:space="0" w:color="auto"/>
                    <w:left w:val="nil"/>
                    <w:bottom w:val="single" w:sz="4" w:space="0" w:color="auto"/>
                    <w:right w:val="single" w:sz="4" w:space="0" w:color="auto"/>
                  </w:tcBorders>
                  <w:vAlign w:val="center"/>
                </w:tcPr>
                <w:p w:rsidR="000168A5" w:rsidRPr="00751638" w:rsidP="00727AE0" w14:paraId="54051E61" w14:textId="77777777">
                  <w:pPr>
                    <w:jc w:val="center"/>
                    <w:rPr>
                      <w:color w:val="000000"/>
                      <w:sz w:val="22"/>
                      <w:szCs w:val="22"/>
                      <w:lang w:val="en-GB"/>
                    </w:rPr>
                  </w:pPr>
                  <w:r w:rsidRPr="00751638">
                    <w:rPr>
                      <w:color w:val="000000"/>
                      <w:sz w:val="22"/>
                      <w:szCs w:val="22"/>
                      <w:lang w:val="en-GB"/>
                    </w:rPr>
                    <w:t>2,309</w:t>
                  </w:r>
                </w:p>
              </w:tc>
              <w:tc>
                <w:tcPr>
                  <w:tcW w:w="1243" w:type="dxa"/>
                  <w:tcBorders>
                    <w:top w:val="nil"/>
                    <w:left w:val="nil"/>
                    <w:bottom w:val="single" w:sz="8" w:space="0" w:color="auto"/>
                    <w:right w:val="single" w:sz="4" w:space="0" w:color="auto"/>
                  </w:tcBorders>
                </w:tcPr>
                <w:p w:rsidR="000168A5" w:rsidRPr="007252DB" w:rsidP="00727AE0" w14:paraId="636B463A" w14:textId="77777777">
                  <w:pPr>
                    <w:rPr>
                      <w:color w:val="000000"/>
                      <w:sz w:val="22"/>
                      <w:szCs w:val="22"/>
                      <w:lang w:val="en-GB"/>
                    </w:rPr>
                  </w:pPr>
                </w:p>
              </w:tc>
              <w:tc>
                <w:tcPr>
                  <w:tcW w:w="1243" w:type="dxa"/>
                  <w:tcBorders>
                    <w:top w:val="nil"/>
                    <w:left w:val="nil"/>
                    <w:bottom w:val="single" w:sz="8" w:space="0" w:color="auto"/>
                    <w:right w:val="single" w:sz="4" w:space="0" w:color="auto"/>
                  </w:tcBorders>
                </w:tcPr>
                <w:p w:rsidR="000168A5" w:rsidRPr="007252DB" w:rsidP="00727AE0" w14:paraId="25721ADB" w14:textId="77777777">
                  <w:pPr>
                    <w:rPr>
                      <w:color w:val="000000"/>
                      <w:sz w:val="22"/>
                      <w:szCs w:val="22"/>
                      <w:lang w:val="en-GB"/>
                    </w:rPr>
                  </w:pPr>
                </w:p>
              </w:tc>
            </w:tr>
            <w:tr w14:paraId="584309CE" w14:textId="77777777" w:rsidTr="00727AE0">
              <w:tblPrEx>
                <w:tblW w:w="12430" w:type="dxa"/>
                <w:tblInd w:w="5" w:type="dxa"/>
                <w:tblLayout w:type="fixed"/>
                <w:tblLook w:val="04A0"/>
              </w:tblPrEx>
              <w:trPr>
                <w:trHeight w:val="420"/>
              </w:trPr>
              <w:tc>
                <w:tcPr>
                  <w:tcW w:w="4972" w:type="dxa"/>
                  <w:tcBorders>
                    <w:top w:val="single" w:sz="4" w:space="0" w:color="auto"/>
                    <w:right w:val="single" w:sz="4" w:space="0" w:color="auto"/>
                  </w:tcBorders>
                </w:tcPr>
                <w:p w:rsidR="000168A5" w:rsidRPr="007252DB" w:rsidP="00727AE0" w14:paraId="46856149" w14:textId="77777777">
                  <w:pPr>
                    <w:ind w:left="720"/>
                    <w:rPr>
                      <w:color w:val="000000"/>
                      <w:sz w:val="22"/>
                      <w:szCs w:val="22"/>
                    </w:rPr>
                  </w:pPr>
                  <w:r>
                    <w:rPr>
                      <w:color w:val="000000"/>
                      <w:sz w:val="22"/>
                      <w:szCs w:val="22"/>
                    </w:rPr>
                    <w:t>MSBs that do not conduct money transmission and are providers or sellers of prepaid access</w:t>
                  </w:r>
                </w:p>
              </w:tc>
              <w:tc>
                <w:tcPr>
                  <w:tcW w:w="1243" w:type="dxa"/>
                  <w:tcBorders>
                    <w:top w:val="single" w:sz="4" w:space="0" w:color="auto"/>
                    <w:left w:val="single" w:sz="4" w:space="0" w:color="auto"/>
                  </w:tcBorders>
                  <w:vAlign w:val="center"/>
                </w:tcPr>
                <w:p w:rsidR="000168A5" w:rsidRPr="00751638" w:rsidP="00727AE0" w14:paraId="05F20C02" w14:textId="77777777">
                  <w:pPr>
                    <w:jc w:val="center"/>
                    <w:rPr>
                      <w:color w:val="000000"/>
                      <w:sz w:val="22"/>
                      <w:szCs w:val="22"/>
                      <w:lang w:val="en-GB"/>
                    </w:rPr>
                  </w:pPr>
                  <w:r w:rsidRPr="00751638">
                    <w:rPr>
                      <w:color w:val="000000"/>
                      <w:sz w:val="22"/>
                      <w:szCs w:val="22"/>
                      <w:lang w:val="en-GB"/>
                    </w:rPr>
                    <w:t>355</w:t>
                  </w:r>
                </w:p>
              </w:tc>
              <w:tc>
                <w:tcPr>
                  <w:tcW w:w="1243" w:type="dxa"/>
                  <w:tcBorders>
                    <w:top w:val="nil"/>
                    <w:left w:val="nil"/>
                    <w:bottom w:val="single" w:sz="8" w:space="0" w:color="auto"/>
                    <w:right w:val="single" w:sz="4" w:space="0" w:color="auto"/>
                  </w:tcBorders>
                </w:tcPr>
                <w:p w:rsidR="000168A5" w:rsidRPr="007252DB" w:rsidP="00727AE0" w14:paraId="31C35E14" w14:textId="77777777">
                  <w:pPr>
                    <w:rPr>
                      <w:color w:val="000000"/>
                      <w:sz w:val="22"/>
                      <w:szCs w:val="22"/>
                      <w:lang w:val="en-GB"/>
                    </w:rPr>
                  </w:pPr>
                </w:p>
              </w:tc>
              <w:tc>
                <w:tcPr>
                  <w:tcW w:w="1243" w:type="dxa"/>
                  <w:tcBorders>
                    <w:top w:val="nil"/>
                    <w:left w:val="single" w:sz="4" w:space="0" w:color="auto"/>
                    <w:bottom w:val="single" w:sz="8" w:space="0" w:color="auto"/>
                    <w:right w:val="single" w:sz="4" w:space="0" w:color="auto"/>
                  </w:tcBorders>
                </w:tcPr>
                <w:p w:rsidR="000168A5" w:rsidRPr="007252DB" w:rsidP="00727AE0" w14:paraId="2EFCE555" w14:textId="77777777">
                  <w:pPr>
                    <w:rPr>
                      <w:color w:val="000000"/>
                      <w:sz w:val="22"/>
                      <w:szCs w:val="22"/>
                      <w:lang w:val="en-GB"/>
                    </w:rPr>
                  </w:pPr>
                </w:p>
              </w:tc>
              <w:tc>
                <w:tcPr>
                  <w:tcW w:w="1243" w:type="dxa"/>
                  <w:tcBorders>
                    <w:top w:val="nil"/>
                    <w:left w:val="single" w:sz="4" w:space="0" w:color="auto"/>
                    <w:bottom w:val="single" w:sz="8" w:space="0" w:color="auto"/>
                    <w:right w:val="single" w:sz="4" w:space="0" w:color="auto"/>
                  </w:tcBorders>
                </w:tcPr>
                <w:p w:rsidR="000168A5" w:rsidRPr="007252DB" w:rsidP="00727AE0" w14:paraId="36F6ACF8" w14:textId="77777777">
                  <w:pPr>
                    <w:rPr>
                      <w:color w:val="000000"/>
                      <w:sz w:val="22"/>
                      <w:szCs w:val="22"/>
                      <w:lang w:val="en-GB"/>
                    </w:rPr>
                  </w:pPr>
                </w:p>
              </w:tc>
              <w:tc>
                <w:tcPr>
                  <w:tcW w:w="1243" w:type="dxa"/>
                  <w:tcBorders>
                    <w:top w:val="nil"/>
                    <w:left w:val="single" w:sz="4" w:space="0" w:color="auto"/>
                    <w:bottom w:val="single" w:sz="8" w:space="0" w:color="auto"/>
                    <w:right w:val="single" w:sz="4" w:space="0" w:color="auto"/>
                  </w:tcBorders>
                </w:tcPr>
                <w:p w:rsidR="000168A5" w:rsidRPr="007252DB" w:rsidP="00727AE0" w14:paraId="30567DB0" w14:textId="77777777">
                  <w:pPr>
                    <w:rPr>
                      <w:color w:val="000000"/>
                      <w:sz w:val="22"/>
                      <w:szCs w:val="22"/>
                      <w:lang w:val="en-GB"/>
                    </w:rPr>
                  </w:pPr>
                </w:p>
              </w:tc>
              <w:tc>
                <w:tcPr>
                  <w:tcW w:w="1243" w:type="dxa"/>
                  <w:tcBorders>
                    <w:top w:val="nil"/>
                    <w:left w:val="single" w:sz="4" w:space="0" w:color="auto"/>
                    <w:bottom w:val="single" w:sz="8" w:space="0" w:color="auto"/>
                    <w:right w:val="single" w:sz="4" w:space="0" w:color="auto"/>
                  </w:tcBorders>
                </w:tcPr>
                <w:p w:rsidR="000168A5" w:rsidRPr="007252DB" w:rsidP="00727AE0" w14:paraId="01208961" w14:textId="77777777">
                  <w:pPr>
                    <w:rPr>
                      <w:color w:val="000000"/>
                      <w:sz w:val="22"/>
                      <w:szCs w:val="22"/>
                      <w:lang w:val="en-GB"/>
                    </w:rPr>
                  </w:pPr>
                </w:p>
              </w:tc>
            </w:tr>
          </w:tbl>
          <w:p w:rsidR="000168A5" w:rsidP="00727AE0" w14:paraId="1EDC0D30" w14:textId="77777777">
            <w:pPr>
              <w:ind w:left="180"/>
              <w:rPr>
                <w:rFonts w:eastAsia="Calibri"/>
                <w:sz w:val="22"/>
                <w:szCs w:val="22"/>
              </w:rPr>
            </w:pPr>
          </w:p>
        </w:tc>
        <w:tc>
          <w:tcPr>
            <w:tcW w:w="1892" w:type="dxa"/>
            <w:vMerge/>
            <w:vAlign w:val="center"/>
          </w:tcPr>
          <w:p w:rsidR="000168A5" w:rsidP="00727AE0" w14:paraId="7AF2B836" w14:textId="77777777">
            <w:pPr>
              <w:ind w:left="180"/>
              <w:jc w:val="center"/>
              <w:rPr>
                <w:rFonts w:eastAsia="Calibri"/>
                <w:sz w:val="22"/>
                <w:szCs w:val="22"/>
              </w:rPr>
            </w:pPr>
          </w:p>
        </w:tc>
      </w:tr>
      <w:tr w14:paraId="44FE1525"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P="00727AE0" w14:paraId="13097B4D" w14:textId="77777777">
            <w:pPr>
              <w:rPr>
                <w:color w:val="000000"/>
                <w:sz w:val="22"/>
                <w:szCs w:val="22"/>
                <w:lang w:val="en-GB"/>
              </w:rPr>
            </w:pPr>
            <w:r>
              <w:rPr>
                <w:rFonts w:eastAsia="Calibri"/>
                <w:sz w:val="22"/>
                <w:szCs w:val="22"/>
              </w:rPr>
              <w:t xml:space="preserve">   Agent MSBs</w:t>
            </w:r>
          </w:p>
        </w:tc>
        <w:tc>
          <w:tcPr>
            <w:tcW w:w="1892" w:type="dxa"/>
            <w:vAlign w:val="center"/>
          </w:tcPr>
          <w:p w:rsidR="000168A5" w:rsidP="00727AE0" w14:paraId="6DCBF836" w14:textId="77777777">
            <w:pPr>
              <w:ind w:left="180"/>
              <w:jc w:val="center"/>
              <w:rPr>
                <w:rFonts w:eastAsia="Calibri"/>
                <w:sz w:val="22"/>
                <w:szCs w:val="22"/>
              </w:rPr>
            </w:pPr>
            <w:r>
              <w:rPr>
                <w:rFonts w:eastAsia="Calibri"/>
                <w:sz w:val="22"/>
                <w:szCs w:val="22"/>
              </w:rPr>
              <w:t>229,161</w:t>
            </w:r>
            <w:r>
              <w:rPr>
                <w:rFonts w:eastAsia="Calibri"/>
                <w:sz w:val="22"/>
                <w:szCs w:val="22"/>
                <w:vertAlign w:val="superscript"/>
              </w:rPr>
              <w:t>e</w:t>
            </w:r>
          </w:p>
        </w:tc>
      </w:tr>
      <w:tr w14:paraId="5EBD1C68" w14:textId="77777777" w:rsidTr="00727AE0">
        <w:tblPrEx>
          <w:tblW w:w="8106" w:type="dxa"/>
          <w:jc w:val="center"/>
          <w:tblLayout w:type="fixed"/>
          <w:tblCellMar>
            <w:left w:w="0" w:type="dxa"/>
            <w:right w:w="0" w:type="dxa"/>
          </w:tblCellMar>
          <w:tblLook w:val="01E0"/>
        </w:tblPrEx>
        <w:trPr>
          <w:trHeight w:val="440"/>
          <w:jc w:val="center"/>
        </w:trPr>
        <w:tc>
          <w:tcPr>
            <w:tcW w:w="6214" w:type="dxa"/>
            <w:vAlign w:val="center"/>
          </w:tcPr>
          <w:p w:rsidR="000168A5" w:rsidP="00727AE0" w14:paraId="627E0B13" w14:textId="77777777">
            <w:pPr>
              <w:rPr>
                <w:rFonts w:eastAsia="Calibri"/>
                <w:sz w:val="22"/>
                <w:szCs w:val="22"/>
              </w:rPr>
            </w:pPr>
            <w:r>
              <w:rPr>
                <w:rFonts w:eastAsia="Calibri"/>
                <w:sz w:val="22"/>
                <w:szCs w:val="22"/>
              </w:rPr>
              <w:t xml:space="preserve">   Telegraph companies</w:t>
            </w:r>
          </w:p>
        </w:tc>
        <w:tc>
          <w:tcPr>
            <w:tcW w:w="1892" w:type="dxa"/>
            <w:vAlign w:val="center"/>
          </w:tcPr>
          <w:p w:rsidR="000168A5" w:rsidP="00727AE0" w14:paraId="187BC18E" w14:textId="77777777">
            <w:pPr>
              <w:ind w:left="180"/>
              <w:jc w:val="center"/>
              <w:rPr>
                <w:rFonts w:eastAsia="Calibri"/>
                <w:sz w:val="22"/>
                <w:szCs w:val="22"/>
              </w:rPr>
            </w:pPr>
            <w:r>
              <w:rPr>
                <w:rFonts w:eastAsia="Calibri"/>
                <w:sz w:val="22"/>
                <w:szCs w:val="22"/>
              </w:rPr>
              <w:t>0</w:t>
            </w:r>
            <w:r>
              <w:rPr>
                <w:rFonts w:eastAsia="Calibri"/>
                <w:sz w:val="22"/>
                <w:szCs w:val="22"/>
                <w:vertAlign w:val="superscript"/>
              </w:rPr>
              <w:t>f</w:t>
            </w:r>
          </w:p>
        </w:tc>
      </w:tr>
      <w:tr w14:paraId="3F255FAC" w14:textId="77777777" w:rsidTr="00727AE0">
        <w:tblPrEx>
          <w:tblW w:w="8106" w:type="dxa"/>
          <w:jc w:val="center"/>
          <w:tblLayout w:type="fixed"/>
          <w:tblCellMar>
            <w:left w:w="0" w:type="dxa"/>
            <w:right w:w="0" w:type="dxa"/>
          </w:tblCellMar>
          <w:tblLook w:val="01E0"/>
        </w:tblPrEx>
        <w:trPr>
          <w:trHeight w:val="413"/>
          <w:jc w:val="center"/>
        </w:trPr>
        <w:tc>
          <w:tcPr>
            <w:tcW w:w="6214" w:type="dxa"/>
            <w:tcBorders>
              <w:bottom w:val="single" w:sz="4" w:space="0" w:color="000000"/>
            </w:tcBorders>
            <w:vAlign w:val="center"/>
          </w:tcPr>
          <w:p w:rsidR="000168A5" w:rsidRPr="00EB7036" w:rsidP="00727AE0" w14:paraId="17F7A7FC" w14:textId="77777777">
            <w:pPr>
              <w:ind w:left="180"/>
              <w:rPr>
                <w:rFonts w:eastAsia="Calibri"/>
                <w:sz w:val="22"/>
                <w:szCs w:val="22"/>
              </w:rPr>
            </w:pPr>
            <w:r>
              <w:rPr>
                <w:rFonts w:eastAsia="Calibri"/>
                <w:sz w:val="22"/>
                <w:szCs w:val="22"/>
              </w:rPr>
              <w:t>Casinos and card rooms</w:t>
            </w:r>
          </w:p>
        </w:tc>
        <w:tc>
          <w:tcPr>
            <w:tcW w:w="1892" w:type="dxa"/>
            <w:tcBorders>
              <w:bottom w:val="single" w:sz="4" w:space="0" w:color="000000"/>
            </w:tcBorders>
            <w:vAlign w:val="center"/>
          </w:tcPr>
          <w:p w:rsidR="000168A5" w:rsidRPr="00BE199E" w:rsidP="00727AE0" w14:paraId="12F43F19" w14:textId="77777777">
            <w:pPr>
              <w:ind w:left="180"/>
              <w:jc w:val="center"/>
              <w:rPr>
                <w:rFonts w:eastAsia="Calibri"/>
                <w:sz w:val="22"/>
                <w:szCs w:val="22"/>
              </w:rPr>
            </w:pPr>
            <w:r>
              <w:rPr>
                <w:rFonts w:eastAsia="Calibri"/>
                <w:sz w:val="22"/>
                <w:szCs w:val="22"/>
              </w:rPr>
              <w:t>1,277</w:t>
            </w:r>
            <w:r>
              <w:rPr>
                <w:rFonts w:eastAsia="Calibri"/>
                <w:sz w:val="22"/>
                <w:szCs w:val="22"/>
                <w:vertAlign w:val="superscript"/>
              </w:rPr>
              <w:t>g</w:t>
            </w:r>
          </w:p>
        </w:tc>
      </w:tr>
      <w:tr w14:paraId="32DAEAC5" w14:textId="77777777" w:rsidTr="00727AE0">
        <w:tblPrEx>
          <w:tblW w:w="8106" w:type="dxa"/>
          <w:jc w:val="center"/>
          <w:tblLayout w:type="fixed"/>
          <w:tblCellMar>
            <w:left w:w="0" w:type="dxa"/>
            <w:right w:w="0" w:type="dxa"/>
          </w:tblCellMar>
          <w:tblLook w:val="01E0"/>
        </w:tblPrEx>
        <w:trPr>
          <w:trHeight w:val="413"/>
          <w:jc w:val="center"/>
        </w:trPr>
        <w:tc>
          <w:tcPr>
            <w:tcW w:w="6214" w:type="dxa"/>
            <w:tcBorders>
              <w:bottom w:val="single" w:sz="4" w:space="0" w:color="000000"/>
            </w:tcBorders>
            <w:vAlign w:val="center"/>
          </w:tcPr>
          <w:p w:rsidR="000168A5" w:rsidRPr="00EB7036" w:rsidP="00727AE0" w14:paraId="17D42F2A" w14:textId="77777777">
            <w:pPr>
              <w:ind w:left="180"/>
              <w:rPr>
                <w:rFonts w:eastAsia="Calibri"/>
                <w:sz w:val="22"/>
                <w:szCs w:val="22"/>
              </w:rPr>
            </w:pPr>
            <w:r w:rsidRPr="00EB7036">
              <w:rPr>
                <w:rFonts w:eastAsia="Calibri"/>
                <w:sz w:val="22"/>
                <w:szCs w:val="22"/>
              </w:rPr>
              <w:t>Futures commission merchants and introducing brokers in commodities</w:t>
            </w:r>
          </w:p>
        </w:tc>
        <w:tc>
          <w:tcPr>
            <w:tcW w:w="1892" w:type="dxa"/>
            <w:tcBorders>
              <w:bottom w:val="single" w:sz="4" w:space="0" w:color="000000"/>
            </w:tcBorders>
            <w:vAlign w:val="center"/>
          </w:tcPr>
          <w:p w:rsidR="000168A5" w:rsidRPr="00EB7036" w:rsidP="00727AE0" w14:paraId="42222464" w14:textId="77777777">
            <w:pPr>
              <w:ind w:left="180"/>
              <w:jc w:val="center"/>
              <w:rPr>
                <w:rFonts w:eastAsia="Calibri"/>
                <w:sz w:val="22"/>
                <w:szCs w:val="22"/>
              </w:rPr>
            </w:pPr>
            <w:r w:rsidRPr="00BE199E">
              <w:rPr>
                <w:rFonts w:eastAsia="Calibri"/>
                <w:sz w:val="22"/>
                <w:szCs w:val="22"/>
              </w:rPr>
              <w:t>954</w:t>
            </w:r>
            <w:r w:rsidRPr="00037194">
              <w:rPr>
                <w:rFonts w:eastAsia="Calibri"/>
                <w:sz w:val="22"/>
                <w:szCs w:val="22"/>
                <w:vertAlign w:val="superscript"/>
              </w:rPr>
              <w:t>h</w:t>
            </w:r>
          </w:p>
        </w:tc>
      </w:tr>
      <w:tr w14:paraId="7B38E80F" w14:textId="77777777" w:rsidTr="00727AE0">
        <w:tblPrEx>
          <w:tblW w:w="8106" w:type="dxa"/>
          <w:jc w:val="center"/>
          <w:tblLayout w:type="fixed"/>
          <w:tblCellMar>
            <w:left w:w="0" w:type="dxa"/>
            <w:right w:w="0" w:type="dxa"/>
          </w:tblCellMar>
          <w:tblLook w:val="01E0"/>
        </w:tblPrEx>
        <w:trPr>
          <w:trHeight w:val="413"/>
          <w:jc w:val="center"/>
        </w:trPr>
        <w:tc>
          <w:tcPr>
            <w:tcW w:w="6214" w:type="dxa"/>
            <w:tcBorders>
              <w:bottom w:val="single" w:sz="4" w:space="0" w:color="000000"/>
            </w:tcBorders>
            <w:vAlign w:val="center"/>
          </w:tcPr>
          <w:p w:rsidR="000168A5" w:rsidRPr="00EB7036" w:rsidP="00727AE0" w14:paraId="136D4443" w14:textId="77777777">
            <w:pPr>
              <w:ind w:left="180"/>
              <w:rPr>
                <w:rFonts w:eastAsia="Calibri"/>
                <w:sz w:val="22"/>
                <w:szCs w:val="22"/>
              </w:rPr>
            </w:pPr>
            <w:r>
              <w:rPr>
                <w:rFonts w:eastAsia="Calibri"/>
                <w:sz w:val="22"/>
                <w:szCs w:val="22"/>
              </w:rPr>
              <w:t>Mutual funds</w:t>
            </w:r>
          </w:p>
        </w:tc>
        <w:tc>
          <w:tcPr>
            <w:tcW w:w="1892" w:type="dxa"/>
            <w:tcBorders>
              <w:bottom w:val="single" w:sz="4" w:space="0" w:color="000000"/>
            </w:tcBorders>
            <w:vAlign w:val="center"/>
          </w:tcPr>
          <w:p w:rsidR="000168A5" w:rsidRPr="000864E6" w:rsidP="00727AE0" w14:paraId="61E076C2" w14:textId="77777777">
            <w:pPr>
              <w:ind w:left="180"/>
              <w:jc w:val="center"/>
              <w:rPr>
                <w:rFonts w:eastAsia="Calibri"/>
                <w:sz w:val="22"/>
                <w:szCs w:val="22"/>
              </w:rPr>
            </w:pPr>
            <w:r w:rsidRPr="000864E6">
              <w:rPr>
                <w:rFonts w:eastAsia="Calibri"/>
                <w:sz w:val="22"/>
                <w:szCs w:val="22"/>
              </w:rPr>
              <w:t>1,400</w:t>
            </w:r>
            <w:r>
              <w:rPr>
                <w:rFonts w:eastAsia="Calibri"/>
                <w:sz w:val="22"/>
                <w:szCs w:val="22"/>
                <w:vertAlign w:val="superscript"/>
              </w:rPr>
              <w:t>i</w:t>
            </w:r>
          </w:p>
        </w:tc>
      </w:tr>
      <w:tr w14:paraId="4676B78D" w14:textId="77777777" w:rsidTr="00727AE0">
        <w:tblPrEx>
          <w:tblW w:w="8106" w:type="dxa"/>
          <w:jc w:val="center"/>
          <w:tblLayout w:type="fixed"/>
          <w:tblCellMar>
            <w:left w:w="0" w:type="dxa"/>
            <w:right w:w="0" w:type="dxa"/>
          </w:tblCellMar>
          <w:tblLook w:val="01E0"/>
        </w:tblPrEx>
        <w:trPr>
          <w:trHeight w:val="275"/>
          <w:jc w:val="center"/>
        </w:trPr>
        <w:tc>
          <w:tcPr>
            <w:tcW w:w="6214" w:type="dxa"/>
            <w:tcBorders>
              <w:bottom w:val="single" w:sz="4" w:space="0" w:color="auto"/>
            </w:tcBorders>
          </w:tcPr>
          <w:p w:rsidR="000168A5" w:rsidRPr="00EB7036" w:rsidP="00727AE0" w14:paraId="512B83C1" w14:textId="77777777">
            <w:pPr>
              <w:ind w:left="180"/>
              <w:rPr>
                <w:rFonts w:eastAsia="Calibri"/>
                <w:b/>
                <w:sz w:val="22"/>
                <w:szCs w:val="22"/>
              </w:rPr>
            </w:pPr>
            <w:r w:rsidRPr="00EB7036">
              <w:rPr>
                <w:rFonts w:eastAsia="Calibri"/>
                <w:b/>
                <w:sz w:val="22"/>
                <w:szCs w:val="22"/>
              </w:rPr>
              <w:t>Total</w:t>
            </w:r>
          </w:p>
        </w:tc>
        <w:tc>
          <w:tcPr>
            <w:tcW w:w="1892" w:type="dxa"/>
            <w:tcBorders>
              <w:bottom w:val="single" w:sz="4" w:space="0" w:color="auto"/>
            </w:tcBorders>
          </w:tcPr>
          <w:p w:rsidR="000168A5" w:rsidRPr="00EB7036" w:rsidP="00727AE0" w14:paraId="0D6A6A25" w14:textId="77777777">
            <w:pPr>
              <w:ind w:left="180"/>
              <w:jc w:val="center"/>
              <w:rPr>
                <w:rFonts w:eastAsia="Calibri"/>
                <w:b/>
                <w:sz w:val="22"/>
                <w:szCs w:val="22"/>
                <w:highlight w:val="green"/>
              </w:rPr>
            </w:pPr>
            <w:bookmarkStart w:id="4" w:name="_Hlk172566920"/>
            <w:r w:rsidRPr="009B06FF">
              <w:rPr>
                <w:rFonts w:eastAsia="Calibri"/>
                <w:b/>
                <w:sz w:val="22"/>
                <w:szCs w:val="22"/>
              </w:rPr>
              <w:t>273,832</w:t>
            </w:r>
            <w:bookmarkEnd w:id="4"/>
          </w:p>
        </w:tc>
      </w:tr>
      <w:tr w14:paraId="0372D00F"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single" w:sz="4" w:space="0" w:color="auto"/>
              <w:left w:val="nil"/>
              <w:bottom w:val="nil"/>
              <w:right w:val="nil"/>
            </w:tcBorders>
          </w:tcPr>
          <w:p w:rsidR="000168A5" w:rsidRPr="00037194" w:rsidP="00727AE0" w14:paraId="536C7935" w14:textId="77777777">
            <w:pPr>
              <w:rPr>
                <w:rFonts w:eastAsia="Calibri"/>
                <w:b/>
                <w:sz w:val="18"/>
                <w:szCs w:val="18"/>
              </w:rPr>
            </w:pPr>
            <w:r w:rsidRPr="00037194">
              <w:rPr>
                <w:rStyle w:val="FootnoteReference"/>
                <w:sz w:val="18"/>
                <w:szCs w:val="18"/>
              </w:rPr>
              <w:t>a</w:t>
            </w:r>
            <w:r w:rsidRPr="00037194">
              <w:rPr>
                <w:sz w:val="18"/>
                <w:szCs w:val="18"/>
              </w:rPr>
              <w:t xml:space="preserve"> This estimate of the total number of banks with a</w:t>
            </w:r>
            <w:r>
              <w:rPr>
                <w:sz w:val="18"/>
                <w:szCs w:val="18"/>
              </w:rPr>
              <w:t>n FFR</w:t>
            </w:r>
            <w:r w:rsidRPr="00037194">
              <w:rPr>
                <w:sz w:val="18"/>
                <w:szCs w:val="18"/>
              </w:rPr>
              <w:t>, including credit unions, is based on end of year 2023 data as provided by each of the FFR</w:t>
            </w:r>
            <w:r>
              <w:rPr>
                <w:sz w:val="18"/>
                <w:szCs w:val="18"/>
              </w:rPr>
              <w:t>s</w:t>
            </w:r>
            <w:r w:rsidRPr="00037194">
              <w:rPr>
                <w:sz w:val="18"/>
                <w:szCs w:val="18"/>
              </w:rPr>
              <w:t>, respectively.  The FFRs are the Board of Governors of the Federal Reserve System, the Federal Deposit Insurance Corporation, the Office of the Comptroller of the Currency, and the National Credit Union Administration.</w:t>
            </w:r>
          </w:p>
        </w:tc>
      </w:tr>
      <w:tr w14:paraId="4D3D326E"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0168A5" w:rsidRPr="000864E6" w:rsidP="00727AE0" w14:paraId="66A46ED8" w14:textId="77777777">
            <w:pPr>
              <w:rPr>
                <w:rFonts w:eastAsia="Calibri"/>
                <w:b/>
                <w:sz w:val="18"/>
                <w:szCs w:val="18"/>
              </w:rPr>
            </w:pPr>
            <w:r w:rsidRPr="000864E6">
              <w:rPr>
                <w:rStyle w:val="FootnoteReference"/>
                <w:sz w:val="18"/>
                <w:szCs w:val="18"/>
              </w:rPr>
              <w:t>b</w:t>
            </w:r>
            <w:r w:rsidRPr="000864E6">
              <w:rPr>
                <w:sz w:val="18"/>
                <w:szCs w:val="18"/>
              </w:rPr>
              <w:t xml:space="preserve"> This estimate of active entries as of year-end 2023 incorporates data from both public and non-public sources, including: Call Reports; various State banking/financial institution regulators’ websites and directories; the Federal Reserve Board of Governors’ Master Account and Services database (</w:t>
            </w:r>
            <w:hyperlink r:id="rId6" w:history="1">
              <w:r w:rsidRPr="000864E6">
                <w:rPr>
                  <w:rStyle w:val="Hyperlink"/>
                  <w:sz w:val="18"/>
                  <w:szCs w:val="18"/>
                </w:rPr>
                <w:t>https://federalreserve.gov/paymentsystems/master-account-and services-database-exisiting-access.htm</w:t>
              </w:r>
            </w:hyperlink>
            <w:r w:rsidRPr="000864E6">
              <w:rPr>
                <w:sz w:val="18"/>
                <w:szCs w:val="18"/>
              </w:rPr>
              <w:t xml:space="preserve">); and data from the </w:t>
            </w:r>
            <w:r>
              <w:rPr>
                <w:sz w:val="18"/>
                <w:szCs w:val="18"/>
              </w:rPr>
              <w:t>Commonwealth of Puerto Rico</w:t>
            </w:r>
            <w:r w:rsidRPr="000864E6">
              <w:rPr>
                <w:sz w:val="18"/>
                <w:szCs w:val="18"/>
              </w:rPr>
              <w:t xml:space="preserve"> </w:t>
            </w:r>
            <w:r w:rsidRPr="000864E6">
              <w:rPr>
                <w:sz w:val="18"/>
                <w:szCs w:val="18"/>
              </w:rPr>
              <w:t>Oficina</w:t>
            </w:r>
            <w:r w:rsidRPr="000864E6">
              <w:rPr>
                <w:sz w:val="18"/>
                <w:szCs w:val="18"/>
              </w:rPr>
              <w:t xml:space="preserve"> del </w:t>
            </w:r>
            <w:r w:rsidRPr="000864E6">
              <w:rPr>
                <w:sz w:val="18"/>
                <w:szCs w:val="18"/>
              </w:rPr>
              <w:t>Comisionado</w:t>
            </w:r>
            <w:r w:rsidRPr="000864E6">
              <w:rPr>
                <w:sz w:val="18"/>
                <w:szCs w:val="18"/>
              </w:rPr>
              <w:t xml:space="preserve"> de </w:t>
            </w:r>
            <w:r w:rsidRPr="000864E6">
              <w:rPr>
                <w:sz w:val="18"/>
                <w:szCs w:val="18"/>
              </w:rPr>
              <w:t>Instituciones</w:t>
            </w:r>
            <w:r w:rsidRPr="000864E6">
              <w:rPr>
                <w:sz w:val="18"/>
                <w:szCs w:val="18"/>
              </w:rPr>
              <w:t xml:space="preserve"> </w:t>
            </w:r>
            <w:r w:rsidRPr="000864E6">
              <w:rPr>
                <w:sz w:val="18"/>
                <w:szCs w:val="18"/>
              </w:rPr>
              <w:t>Financieras</w:t>
            </w:r>
            <w:r>
              <w:rPr>
                <w:sz w:val="18"/>
                <w:szCs w:val="18"/>
              </w:rPr>
              <w:t xml:space="preserve"> (</w:t>
            </w:r>
            <w:r w:rsidRPr="000864E6">
              <w:rPr>
                <w:sz w:val="18"/>
                <w:szCs w:val="18"/>
              </w:rPr>
              <w:t>OCIF); and was derived in consultation with staff from the Internal Revenue Service’s Small Business/Self-Employed Division.</w:t>
            </w:r>
          </w:p>
        </w:tc>
      </w:tr>
      <w:tr w14:paraId="6F1FFBE3"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0168A5" w:rsidRPr="000864E6" w:rsidP="00727AE0" w14:paraId="3FC47742" w14:textId="77777777">
            <w:pPr>
              <w:rPr>
                <w:rFonts w:eastAsia="Calibri"/>
                <w:b/>
                <w:sz w:val="18"/>
                <w:szCs w:val="18"/>
              </w:rPr>
            </w:pPr>
            <w:r w:rsidRPr="000864E6">
              <w:rPr>
                <w:sz w:val="18"/>
                <w:szCs w:val="18"/>
                <w:vertAlign w:val="superscript"/>
              </w:rPr>
              <w:t>c</w:t>
            </w:r>
            <w:r w:rsidRPr="000864E6">
              <w:rPr>
                <w:sz w:val="18"/>
                <w:szCs w:val="18"/>
              </w:rPr>
              <w:t xml:space="preserve"> </w:t>
            </w:r>
            <w:r w:rsidRPr="000864E6">
              <w:rPr>
                <w:rFonts w:eastAsia="Calibri"/>
                <w:sz w:val="18"/>
                <w:szCs w:val="18"/>
              </w:rPr>
              <w:t>Estimate based on December 2023 file downloaded “from Data - Company Information About Active Broker-Dealers,</w:t>
            </w:r>
            <w:r>
              <w:rPr>
                <w:rFonts w:eastAsia="Calibri"/>
                <w:sz w:val="18"/>
                <w:szCs w:val="18"/>
              </w:rPr>
              <w:t>” (</w:t>
            </w:r>
            <w:r w:rsidRPr="000864E6">
              <w:rPr>
                <w:rFonts w:eastAsia="Calibri"/>
                <w:sz w:val="18"/>
                <w:szCs w:val="18"/>
              </w:rPr>
              <w:t>accessed Feb</w:t>
            </w:r>
            <w:r>
              <w:rPr>
                <w:rFonts w:eastAsia="Calibri"/>
                <w:sz w:val="18"/>
                <w:szCs w:val="18"/>
              </w:rPr>
              <w:t>.</w:t>
            </w:r>
            <w:r w:rsidRPr="000864E6">
              <w:rPr>
                <w:rFonts w:eastAsia="Calibri"/>
                <w:sz w:val="18"/>
                <w:szCs w:val="18"/>
              </w:rPr>
              <w:t xml:space="preserve"> 28, 2024</w:t>
            </w:r>
            <w:r>
              <w:rPr>
                <w:rFonts w:eastAsia="Calibri"/>
                <w:sz w:val="18"/>
                <w:szCs w:val="18"/>
              </w:rPr>
              <w:t xml:space="preserve">), </w:t>
            </w:r>
            <w:r>
              <w:rPr>
                <w:rFonts w:eastAsia="Calibri"/>
                <w:i/>
                <w:iCs/>
                <w:sz w:val="18"/>
                <w:szCs w:val="18"/>
              </w:rPr>
              <w:t>available at</w:t>
            </w:r>
            <w:r w:rsidRPr="000864E6">
              <w:rPr>
                <w:rFonts w:eastAsia="Calibri"/>
                <w:sz w:val="18"/>
                <w:szCs w:val="18"/>
              </w:rPr>
              <w:t xml:space="preserve"> </w:t>
            </w:r>
            <w:r w:rsidRPr="000864E6">
              <w:rPr>
                <w:rFonts w:eastAsia="Calibri"/>
                <w:sz w:val="18"/>
                <w:szCs w:val="18"/>
              </w:rPr>
              <w:t>https://www.sec.gov/help/foiadocsbdfoia,.</w:t>
            </w:r>
          </w:p>
        </w:tc>
      </w:tr>
      <w:tr w14:paraId="12D72B91"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0168A5" w:rsidRPr="000864E6" w:rsidP="00727AE0" w14:paraId="390F164C" w14:textId="77777777">
            <w:pPr>
              <w:rPr>
                <w:sz w:val="18"/>
                <w:szCs w:val="18"/>
                <w:vertAlign w:val="superscript"/>
              </w:rPr>
            </w:pPr>
            <w:r>
              <w:rPr>
                <w:sz w:val="18"/>
                <w:szCs w:val="18"/>
                <w:vertAlign w:val="superscript"/>
              </w:rPr>
              <w:t>d</w:t>
            </w:r>
            <w:r w:rsidRPr="000864E6">
              <w:rPr>
                <w:sz w:val="18"/>
                <w:szCs w:val="18"/>
                <w:vertAlign w:val="superscript"/>
              </w:rPr>
              <w:t xml:space="preserve"> </w:t>
            </w:r>
            <w:r w:rsidRPr="005C701B">
              <w:rPr>
                <w:sz w:val="18"/>
                <w:szCs w:val="18"/>
              </w:rPr>
              <w:t>The</w:t>
            </w:r>
            <w:r w:rsidRPr="005C701B">
              <w:rPr>
                <w:sz w:val="18"/>
                <w:szCs w:val="18"/>
              </w:rPr>
              <w:t xml:space="preserve"> definition of MSB (31 CFR 1010.100(ff)) covers both principal MSBs and agents.  This value represents the number of uniquely identifiable principal MSBs with indicia of ongoing operations as of year-end 2023</w:t>
            </w:r>
            <w:r>
              <w:rPr>
                <w:sz w:val="18"/>
                <w:szCs w:val="18"/>
              </w:rPr>
              <w:t xml:space="preserve"> rounded to the nearest hundred</w:t>
            </w:r>
            <w:r w:rsidRPr="005C701B">
              <w:rPr>
                <w:sz w:val="18"/>
                <w:szCs w:val="18"/>
              </w:rPr>
              <w:t xml:space="preserve">. The estimate is derived from FinCEN’s publicly available MSB data </w:t>
            </w:r>
            <w:r>
              <w:rPr>
                <w:sz w:val="18"/>
                <w:szCs w:val="18"/>
              </w:rPr>
              <w:t>(</w:t>
            </w:r>
            <w:r w:rsidRPr="005C701B">
              <w:rPr>
                <w:sz w:val="18"/>
                <w:szCs w:val="18"/>
              </w:rPr>
              <w:t>accessed Feb</w:t>
            </w:r>
            <w:r>
              <w:rPr>
                <w:sz w:val="18"/>
                <w:szCs w:val="18"/>
              </w:rPr>
              <w:t>.</w:t>
            </w:r>
            <w:r w:rsidRPr="005C701B">
              <w:rPr>
                <w:sz w:val="18"/>
                <w:szCs w:val="18"/>
              </w:rPr>
              <w:t xml:space="preserve"> 28, 2024</w:t>
            </w:r>
            <w:r>
              <w:rPr>
                <w:sz w:val="18"/>
                <w:szCs w:val="18"/>
              </w:rPr>
              <w:t xml:space="preserve">), </w:t>
            </w:r>
            <w:r w:rsidRPr="005C701B">
              <w:rPr>
                <w:sz w:val="18"/>
                <w:szCs w:val="18"/>
              </w:rPr>
              <w:t>available at https://www.fincen.gov/msb-registrant-search.</w:t>
            </w:r>
            <w:r>
              <w:rPr>
                <w:sz w:val="18"/>
                <w:szCs w:val="18"/>
              </w:rPr>
              <w:t xml:space="preserve"> Estimates of subcategories are based on registrants’ self-reported activities.</w:t>
            </w:r>
          </w:p>
        </w:tc>
      </w:tr>
      <w:tr w14:paraId="0369D1DD"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0168A5" w:rsidP="00727AE0" w14:paraId="63AF17DD" w14:textId="77777777">
            <w:pPr>
              <w:rPr>
                <w:sz w:val="18"/>
                <w:szCs w:val="18"/>
              </w:rPr>
            </w:pPr>
            <w:r w:rsidRPr="00BF782E">
              <w:rPr>
                <w:rFonts w:eastAsia="Calibri"/>
                <w:sz w:val="18"/>
                <w:szCs w:val="18"/>
                <w:vertAlign w:val="superscript"/>
              </w:rPr>
              <w:t xml:space="preserve">e </w:t>
            </w:r>
            <w:r w:rsidRPr="00BF782E">
              <w:rPr>
                <w:sz w:val="18"/>
                <w:szCs w:val="18"/>
              </w:rPr>
              <w:t>In</w:t>
            </w:r>
            <w:r w:rsidRPr="00BF782E">
              <w:rPr>
                <w:sz w:val="18"/>
                <w:szCs w:val="18"/>
              </w:rPr>
              <w:t xml:space="preserve"> the absence of public comments in prior renewals of the OMB control number applicable to this regulatory requirement, FinCEN considers it reasonable to continue to rely upon its previous estimate that the number of agent MSBs remains approximately 229,161.  This value was previously published in the 2020 notice to renew OMB control numbers 1506–0020, 1506–0030, and 1506–0035 (85 FR 49420 (Aug. 13, 2020)).</w:t>
            </w:r>
          </w:p>
          <w:p w:rsidR="000168A5" w:rsidP="00727AE0" w14:paraId="4F337058" w14:textId="77777777">
            <w:pPr>
              <w:rPr>
                <w:sz w:val="18"/>
                <w:szCs w:val="18"/>
                <w:vertAlign w:val="superscript"/>
              </w:rPr>
            </w:pPr>
            <w:r>
              <w:rPr>
                <w:rFonts w:eastAsia="Calibri"/>
                <w:sz w:val="18"/>
                <w:szCs w:val="18"/>
                <w:vertAlign w:val="superscript"/>
              </w:rPr>
              <w:t>f</w:t>
            </w:r>
            <w:r>
              <w:rPr>
                <w:rFonts w:eastAsia="Calibri"/>
                <w:sz w:val="18"/>
                <w:szCs w:val="18"/>
              </w:rPr>
              <w:t xml:space="preserve"> Although telegraph companies are defined as financial institutions under 31 CFR 1010.100(t), FinCEN is not aware of any telegraph companies that would be affected by the Recordkeeping or Travel Rule.</w:t>
            </w:r>
          </w:p>
        </w:tc>
      </w:tr>
      <w:tr w14:paraId="4C9CE29C" w14:textId="77777777" w:rsidTr="00727AE0">
        <w:tblPrEx>
          <w:tblW w:w="8106" w:type="dxa"/>
          <w:jc w:val="center"/>
          <w:tblLayout w:type="fixed"/>
          <w:tblCellMar>
            <w:left w:w="0" w:type="dxa"/>
            <w:right w:w="0" w:type="dxa"/>
          </w:tblCellMar>
          <w:tblLook w:val="01E0"/>
        </w:tblPrEx>
        <w:trPr>
          <w:trHeight w:val="275"/>
          <w:jc w:val="center"/>
        </w:trPr>
        <w:tc>
          <w:tcPr>
            <w:tcW w:w="8106" w:type="dxa"/>
            <w:gridSpan w:val="2"/>
            <w:tcBorders>
              <w:top w:val="nil"/>
              <w:left w:val="nil"/>
              <w:bottom w:val="nil"/>
              <w:right w:val="nil"/>
            </w:tcBorders>
          </w:tcPr>
          <w:p w:rsidR="000168A5" w:rsidRPr="000864E6" w:rsidP="00727AE0" w14:paraId="0DA4C25C" w14:textId="77777777">
            <w:pPr>
              <w:rPr>
                <w:sz w:val="18"/>
                <w:szCs w:val="18"/>
              </w:rPr>
            </w:pPr>
            <w:r>
              <w:rPr>
                <w:sz w:val="18"/>
                <w:szCs w:val="18"/>
                <w:vertAlign w:val="superscript"/>
              </w:rPr>
              <w:t>g</w:t>
            </w:r>
            <w:r w:rsidRPr="000864E6">
              <w:rPr>
                <w:sz w:val="18"/>
                <w:szCs w:val="18"/>
              </w:rPr>
              <w:t xml:space="preserve"> </w:t>
            </w:r>
            <w:r w:rsidRPr="005C701B">
              <w:rPr>
                <w:sz w:val="18"/>
                <w:szCs w:val="18"/>
              </w:rPr>
              <w:t>Estimate based on the American Gaming Association (AGA) “State of Play,” reporting 486 commercial casinos and 525 tribal casinos as of December 31, 2023 (accessed Feb</w:t>
            </w:r>
            <w:r>
              <w:rPr>
                <w:sz w:val="18"/>
                <w:szCs w:val="18"/>
              </w:rPr>
              <w:t>.</w:t>
            </w:r>
            <w:r w:rsidRPr="005C701B">
              <w:rPr>
                <w:sz w:val="18"/>
                <w:szCs w:val="18"/>
              </w:rPr>
              <w:t xml:space="preserve"> 28, 2024)</w:t>
            </w:r>
            <w:r>
              <w:rPr>
                <w:sz w:val="18"/>
                <w:szCs w:val="18"/>
              </w:rPr>
              <w:t xml:space="preserve">, </w:t>
            </w:r>
            <w:r w:rsidRPr="00A67F33">
              <w:rPr>
                <w:i/>
                <w:iCs/>
                <w:sz w:val="18"/>
                <w:szCs w:val="18"/>
              </w:rPr>
              <w:t>available at</w:t>
            </w:r>
            <w:r w:rsidRPr="005C701B">
              <w:rPr>
                <w:sz w:val="18"/>
                <w:szCs w:val="18"/>
              </w:rPr>
              <w:t xml:space="preserve"> </w:t>
            </w:r>
            <w:hyperlink r:id="rId7" w:history="1">
              <w:r w:rsidRPr="005C701B">
                <w:rPr>
                  <w:rStyle w:val="Hyperlink"/>
                  <w:sz w:val="18"/>
                  <w:szCs w:val="18"/>
                </w:rPr>
                <w:t>https://www.americangaming.org/state-of-play/</w:t>
              </w:r>
            </w:hyperlink>
            <w:r w:rsidRPr="005C701B">
              <w:rPr>
                <w:sz w:val="18"/>
                <w:szCs w:val="18"/>
              </w:rPr>
              <w:t>.  As of December 31, 2022, there were also 266 card rooms as published in the AGA’s “State of the States” annual report, p. 16 (accessed Feb</w:t>
            </w:r>
            <w:r>
              <w:rPr>
                <w:sz w:val="18"/>
                <w:szCs w:val="18"/>
              </w:rPr>
              <w:t>.</w:t>
            </w:r>
            <w:r w:rsidRPr="005C701B">
              <w:rPr>
                <w:sz w:val="18"/>
                <w:szCs w:val="18"/>
              </w:rPr>
              <w:t xml:space="preserve"> 28, 2024)</w:t>
            </w:r>
            <w:r>
              <w:rPr>
                <w:sz w:val="18"/>
                <w:szCs w:val="18"/>
              </w:rPr>
              <w:t xml:space="preserve">, </w:t>
            </w:r>
            <w:r w:rsidRPr="00A67F33">
              <w:rPr>
                <w:i/>
                <w:iCs/>
                <w:sz w:val="18"/>
                <w:szCs w:val="18"/>
              </w:rPr>
              <w:t>available at</w:t>
            </w:r>
            <w:r w:rsidRPr="005C701B">
              <w:rPr>
                <w:sz w:val="18"/>
                <w:szCs w:val="18"/>
              </w:rPr>
              <w:t xml:space="preserve"> https://www.americangaming.org/wp-content/uploads/2023/05/AGA-State-of-the-States-2023.pdf.</w:t>
            </w:r>
          </w:p>
          <w:p w:rsidR="000168A5" w:rsidRPr="006339E9" w:rsidP="00727AE0" w14:paraId="04C10A4F" w14:textId="77777777">
            <w:pPr>
              <w:rPr>
                <w:sz w:val="18"/>
                <w:szCs w:val="18"/>
              </w:rPr>
            </w:pPr>
            <w:r>
              <w:rPr>
                <w:sz w:val="18"/>
                <w:szCs w:val="18"/>
                <w:vertAlign w:val="superscript"/>
              </w:rPr>
              <w:t>h</w:t>
            </w:r>
            <w:r w:rsidRPr="000864E6">
              <w:rPr>
                <w:sz w:val="18"/>
                <w:szCs w:val="18"/>
              </w:rPr>
              <w:t xml:space="preserve"> </w:t>
            </w:r>
            <w:r w:rsidRPr="00E42E1C">
              <w:rPr>
                <w:rFonts w:eastAsia="Calibri"/>
                <w:sz w:val="18"/>
                <w:szCs w:val="18"/>
              </w:rPr>
              <w:t xml:space="preserve">The number of futures commissions merchants as of December 31, 2023 was obtained from data available at </w:t>
            </w:r>
            <w:r>
              <w:rPr>
                <w:rFonts w:eastAsia="Calibri"/>
                <w:sz w:val="18"/>
                <w:szCs w:val="18"/>
              </w:rPr>
              <w:t xml:space="preserve">CFTC Financial Data for FCMs (accessed Mar. 1, 2024), </w:t>
            </w:r>
            <w:r>
              <w:rPr>
                <w:rFonts w:eastAsia="Calibri"/>
                <w:i/>
                <w:iCs/>
                <w:sz w:val="18"/>
                <w:szCs w:val="18"/>
              </w:rPr>
              <w:t xml:space="preserve">available at </w:t>
            </w:r>
            <w:hyperlink r:id="rId8" w:history="1">
              <w:r w:rsidRPr="00610B22">
                <w:rPr>
                  <w:rStyle w:val="Hyperlink"/>
                  <w:rFonts w:eastAsia="Calibri"/>
                  <w:sz w:val="18"/>
                  <w:szCs w:val="18"/>
                </w:rPr>
                <w:t>https://www.cftc.gov/MarketReports/financialfcmdata/index.htm</w:t>
              </w:r>
            </w:hyperlink>
            <w:r w:rsidRPr="00E42E1C">
              <w:rPr>
                <w:rFonts w:eastAsia="Calibri"/>
                <w:sz w:val="18"/>
                <w:szCs w:val="18"/>
              </w:rPr>
              <w:t xml:space="preserve">. </w:t>
            </w:r>
            <w:r>
              <w:rPr>
                <w:rFonts w:eastAsia="Calibri"/>
                <w:sz w:val="18"/>
                <w:szCs w:val="18"/>
              </w:rPr>
              <w:t xml:space="preserve"> </w:t>
            </w:r>
            <w:r w:rsidRPr="00E42E1C">
              <w:rPr>
                <w:rFonts w:eastAsia="Calibri"/>
                <w:sz w:val="18"/>
                <w:szCs w:val="18"/>
              </w:rPr>
              <w:t xml:space="preserve">To prevent double counting in burden </w:t>
            </w:r>
            <w:r w:rsidRPr="00E42E1C">
              <w:rPr>
                <w:rFonts w:eastAsia="Calibri"/>
                <w:sz w:val="18"/>
                <w:szCs w:val="18"/>
              </w:rPr>
              <w:t>estimates, 35 covered financial institutions that are also affected entities as broker-dealers were removed from the count; the count of introducing brokers in commodities as of year-end 2023 was provided by the CFTC.</w:t>
            </w:r>
          </w:p>
          <w:p w:rsidR="000168A5" w:rsidP="00727AE0" w14:paraId="7CB525BA" w14:textId="77777777">
            <w:pPr>
              <w:rPr>
                <w:rFonts w:eastAsia="Calibri"/>
                <w:sz w:val="18"/>
                <w:szCs w:val="18"/>
              </w:rPr>
            </w:pPr>
            <w:r>
              <w:rPr>
                <w:rFonts w:eastAsia="Calibri"/>
                <w:b/>
                <w:sz w:val="18"/>
                <w:szCs w:val="18"/>
                <w:vertAlign w:val="superscript"/>
              </w:rPr>
              <w:t>i</w:t>
            </w:r>
            <w:r>
              <w:rPr>
                <w:rFonts w:eastAsia="Calibri"/>
                <w:b/>
                <w:sz w:val="18"/>
                <w:szCs w:val="18"/>
                <w:vertAlign w:val="superscript"/>
              </w:rPr>
              <w:t xml:space="preserve"> </w:t>
            </w:r>
            <w:r w:rsidRPr="00E42E1C">
              <w:rPr>
                <w:rFonts w:eastAsia="Calibri"/>
                <w:sz w:val="18"/>
                <w:szCs w:val="18"/>
              </w:rPr>
              <w:t xml:space="preserve">This estimate of the number of active mutual funds as of year-end 2023 is based on Form N–CEN filings received by the U.S. Securities and Exchange Commission through January 20, 2023, as represented by data downloaded from SEC Open Data </w:t>
            </w:r>
            <w:r>
              <w:rPr>
                <w:rFonts w:eastAsia="Calibri"/>
                <w:sz w:val="18"/>
                <w:szCs w:val="18"/>
              </w:rPr>
              <w:t>(</w:t>
            </w:r>
            <w:r w:rsidRPr="00E42E1C">
              <w:rPr>
                <w:rFonts w:eastAsia="Calibri"/>
                <w:sz w:val="18"/>
                <w:szCs w:val="18"/>
              </w:rPr>
              <w:t>accessed Feb</w:t>
            </w:r>
            <w:r>
              <w:rPr>
                <w:rFonts w:eastAsia="Calibri"/>
                <w:sz w:val="18"/>
                <w:szCs w:val="18"/>
              </w:rPr>
              <w:t>.</w:t>
            </w:r>
            <w:r w:rsidRPr="00E42E1C">
              <w:rPr>
                <w:rFonts w:eastAsia="Calibri"/>
                <w:sz w:val="18"/>
                <w:szCs w:val="18"/>
              </w:rPr>
              <w:t xml:space="preserve"> 29, 2024</w:t>
            </w:r>
            <w:r>
              <w:rPr>
                <w:rFonts w:eastAsia="Calibri"/>
                <w:sz w:val="18"/>
                <w:szCs w:val="18"/>
              </w:rPr>
              <w:t xml:space="preserve">), </w:t>
            </w:r>
            <w:r>
              <w:rPr>
                <w:rFonts w:eastAsia="Calibri"/>
                <w:i/>
                <w:iCs/>
                <w:sz w:val="18"/>
                <w:szCs w:val="18"/>
              </w:rPr>
              <w:t xml:space="preserve">available at </w:t>
            </w:r>
            <w:r w:rsidRPr="00E42E1C">
              <w:rPr>
                <w:rFonts w:eastAsia="Calibri"/>
                <w:sz w:val="18"/>
                <w:szCs w:val="18"/>
              </w:rPr>
              <w:t>https://www.sec.gov/dera/data/form-ncen-data-sets.</w:t>
            </w:r>
          </w:p>
          <w:p w:rsidR="000168A5" w:rsidRPr="000864E6" w:rsidP="00727AE0" w14:paraId="4C755724" w14:textId="77777777">
            <w:pPr>
              <w:rPr>
                <w:rFonts w:eastAsia="Calibri"/>
                <w:b/>
                <w:sz w:val="18"/>
                <w:szCs w:val="18"/>
              </w:rPr>
            </w:pPr>
          </w:p>
        </w:tc>
      </w:tr>
    </w:tbl>
    <w:p w:rsidR="00B16721" w:rsidP="00B16721" w14:paraId="1686ABEA" w14:textId="75AE861A">
      <w:r w:rsidRPr="00D81F86">
        <w:rPr>
          <w:u w:val="single"/>
        </w:rPr>
        <w:t xml:space="preserve">Estimate </w:t>
      </w:r>
      <w:r w:rsidR="00691DF0">
        <w:rPr>
          <w:u w:val="single"/>
        </w:rPr>
        <w:t>Total Recordkeeping Burden Hours</w:t>
      </w:r>
      <w:r w:rsidRPr="00D81F86">
        <w:rPr>
          <w:u w:val="single"/>
        </w:rPr>
        <w:t>:</w:t>
      </w:r>
      <w:r w:rsidRPr="001B77B9">
        <w:t xml:space="preserve"> </w:t>
      </w:r>
      <w:r w:rsidRPr="00F075F4" w:rsidR="000E3B50">
        <w:t>4,015,839</w:t>
      </w:r>
    </w:p>
    <w:p w:rsidR="00602E24" w:rsidP="00B16721" w14:paraId="5A7225F6" w14:textId="77777777"/>
    <w:p w:rsidR="00602E24" w:rsidRPr="00602E24" w:rsidP="004F2ADB" w14:paraId="4605D6A4" w14:textId="77777777">
      <w:pPr>
        <w:rPr>
          <w:b/>
        </w:rPr>
      </w:pPr>
      <w:r w:rsidRPr="00602E24">
        <w:rPr>
          <w:b/>
        </w:rPr>
        <w:t>OMB control number 1506-0058</w:t>
      </w:r>
    </w:p>
    <w:p w:rsidR="00602E24" w:rsidP="00602E24" w14:paraId="39CED2F0" w14:textId="77777777">
      <w:pPr>
        <w:pStyle w:val="BodyText"/>
        <w:spacing w:before="0"/>
        <w:rPr>
          <w:sz w:val="24"/>
          <w:szCs w:val="24"/>
          <w:u w:val="single"/>
        </w:rPr>
      </w:pPr>
    </w:p>
    <w:p w:rsidR="0063164C" w:rsidP="0048453D" w14:paraId="191E091C" w14:textId="77777777">
      <w:pPr>
        <w:pStyle w:val="BodyText"/>
        <w:spacing w:before="0"/>
        <w:rPr>
          <w:sz w:val="24"/>
          <w:szCs w:val="24"/>
          <w:u w:val="single"/>
        </w:rPr>
      </w:pPr>
      <w:r w:rsidRPr="0048453D">
        <w:rPr>
          <w:sz w:val="24"/>
          <w:szCs w:val="24"/>
          <w:u w:val="single"/>
        </w:rPr>
        <w:t>31 CFR 1010.410(a) through (c):</w:t>
      </w:r>
    </w:p>
    <w:p w:rsidR="0048453D" w:rsidRPr="0048453D" w:rsidP="0048453D" w14:paraId="4F2BC3CA" w14:textId="77777777">
      <w:pPr>
        <w:pStyle w:val="BodyText"/>
        <w:spacing w:before="0"/>
        <w:rPr>
          <w:sz w:val="24"/>
          <w:szCs w:val="24"/>
          <w:u w:val="single"/>
        </w:rPr>
      </w:pPr>
    </w:p>
    <w:p w:rsidR="0063164C" w:rsidP="0048453D" w14:paraId="30502D6C" w14:textId="5BEFB8BC">
      <w:pPr>
        <w:pStyle w:val="BodyText"/>
        <w:spacing w:before="0"/>
        <w:ind w:firstLine="720"/>
        <w:rPr>
          <w:sz w:val="24"/>
          <w:szCs w:val="24"/>
          <w:lang w:val="en-GB"/>
        </w:rPr>
      </w:pPr>
      <w:r w:rsidRPr="0048453D">
        <w:rPr>
          <w:sz w:val="24"/>
          <w:szCs w:val="24"/>
        </w:rPr>
        <w:t>Each financial institution must retain an original or a copy of records related to extensions of credit in excess of $10,000 (other than those secured by real property), and an original or copy of records related to transfers of funds, currency, other monetary instruments, checks, investment securities, or credit of more than $10,000 to or from the United States.</w:t>
      </w:r>
      <w:r>
        <w:rPr>
          <w:rStyle w:val="FootnoteReference"/>
          <w:sz w:val="24"/>
          <w:szCs w:val="24"/>
        </w:rPr>
        <w:footnoteReference w:id="27"/>
      </w:r>
      <w:r w:rsidRPr="0048453D">
        <w:rPr>
          <w:sz w:val="24"/>
          <w:szCs w:val="24"/>
          <w:lang w:val="en-GB"/>
        </w:rPr>
        <w:t xml:space="preserve">  Due to the challenges of obtaining the total number of such records required to be maintained per financial institution, in its most recent control number renewal FinCEN estimated that the average </w:t>
      </w:r>
      <w:r w:rsidRPr="0048453D">
        <w:rPr>
          <w:sz w:val="24"/>
          <w:szCs w:val="24"/>
        </w:rPr>
        <w:t>annual recordkeeping burden per financial institution for these requirements was 50 hours per financial institution.</w:t>
      </w:r>
      <w:r>
        <w:rPr>
          <w:rStyle w:val="FootnoteReference"/>
          <w:sz w:val="24"/>
          <w:szCs w:val="24"/>
        </w:rPr>
        <w:footnoteReference w:id="28"/>
      </w:r>
      <w:r w:rsidRPr="0048453D">
        <w:rPr>
          <w:sz w:val="24"/>
          <w:szCs w:val="24"/>
        </w:rPr>
        <w:t xml:space="preserve">  In the absence of additional data or other information necessary to construct a more accurate estimate of total burden, </w:t>
      </w:r>
      <w:r w:rsidRPr="0048453D">
        <w:rPr>
          <w:sz w:val="24"/>
          <w:szCs w:val="24"/>
          <w:lang w:val="en-GB"/>
        </w:rPr>
        <w:t>FinCEN continues to estimate that the average annual hourly burden of complying with 31 CFR 1010.410(a) through (c) is 50 hours per financial institution that is not an agent MSB, and 5 hours per agent MSB</w:t>
      </w:r>
      <w:r w:rsidR="00303FAB">
        <w:rPr>
          <w:sz w:val="24"/>
          <w:szCs w:val="24"/>
          <w:lang w:val="en-GB"/>
        </w:rPr>
        <w:t>.</w:t>
      </w:r>
    </w:p>
    <w:p w:rsidR="0048453D" w:rsidRPr="0048453D" w:rsidP="0048453D" w14:paraId="63BCE719" w14:textId="77777777">
      <w:pPr>
        <w:pStyle w:val="BodyText"/>
        <w:spacing w:before="0"/>
        <w:ind w:firstLine="720"/>
        <w:rPr>
          <w:sz w:val="24"/>
          <w:szCs w:val="24"/>
          <w:lang w:val="en-GB"/>
        </w:rPr>
      </w:pPr>
    </w:p>
    <w:p w:rsidR="0063164C" w:rsidP="0048453D" w14:paraId="0EEB4F32" w14:textId="77777777">
      <w:pPr>
        <w:pStyle w:val="BodyText"/>
        <w:spacing w:before="0"/>
        <w:ind w:firstLine="720"/>
        <w:rPr>
          <w:sz w:val="24"/>
          <w:szCs w:val="24"/>
          <w:lang w:val="en-GB"/>
        </w:rPr>
      </w:pPr>
      <w:r w:rsidRPr="0048453D">
        <w:rPr>
          <w:sz w:val="24"/>
          <w:szCs w:val="24"/>
          <w:lang w:val="en-GB"/>
        </w:rPr>
        <w:t>Based on an estimate of approximately 273,832 affected financial institutions</w:t>
      </w:r>
      <w:r>
        <w:rPr>
          <w:rStyle w:val="FootnoteReference"/>
          <w:sz w:val="24"/>
          <w:szCs w:val="24"/>
          <w:lang w:val="en-GB"/>
        </w:rPr>
        <w:footnoteReference w:id="29"/>
      </w:r>
      <w:r w:rsidRPr="0048453D">
        <w:rPr>
          <w:sz w:val="24"/>
          <w:szCs w:val="24"/>
          <w:lang w:val="en-GB"/>
        </w:rPr>
        <w:t xml:space="preserve"> multiplying 44,671 (financial institutions other than agent MSBs) by 50 (hours) and 229,161 (agent MSBs) by 5 (hours) results in a total estimate of annual hourly burden of approximately 3,379,355 hours.</w:t>
      </w:r>
    </w:p>
    <w:p w:rsidR="0048453D" w:rsidRPr="0048453D" w:rsidP="0048453D" w14:paraId="3B90808F" w14:textId="77777777">
      <w:pPr>
        <w:pStyle w:val="BodyText"/>
        <w:spacing w:before="0"/>
        <w:ind w:firstLine="720"/>
        <w:rPr>
          <w:sz w:val="24"/>
          <w:szCs w:val="24"/>
        </w:rPr>
      </w:pPr>
    </w:p>
    <w:p w:rsidR="0063164C" w:rsidP="0048453D" w14:paraId="7449E529" w14:textId="77777777">
      <w:pPr>
        <w:pStyle w:val="BodyText"/>
        <w:spacing w:before="0"/>
        <w:rPr>
          <w:sz w:val="24"/>
          <w:szCs w:val="24"/>
          <w:u w:val="single"/>
        </w:rPr>
      </w:pPr>
      <w:r w:rsidRPr="0048453D">
        <w:rPr>
          <w:sz w:val="24"/>
          <w:szCs w:val="24"/>
          <w:u w:val="single"/>
        </w:rPr>
        <w:t>31 CFR 1010.410(e):</w:t>
      </w:r>
    </w:p>
    <w:p w:rsidR="0048453D" w:rsidRPr="0048453D" w:rsidP="0048453D" w14:paraId="630E57C0" w14:textId="77777777">
      <w:pPr>
        <w:pStyle w:val="BodyText"/>
        <w:spacing w:before="0"/>
        <w:rPr>
          <w:rFonts w:eastAsia="MS Mincho"/>
          <w:sz w:val="24"/>
          <w:szCs w:val="24"/>
          <w:u w:val="single"/>
        </w:rPr>
      </w:pPr>
    </w:p>
    <w:p w:rsidR="0063164C" w:rsidP="0048453D" w14:paraId="51E95858" w14:textId="03F3ECDA">
      <w:pPr>
        <w:pStyle w:val="BodyText"/>
        <w:spacing w:before="0"/>
        <w:ind w:right="206" w:firstLine="720"/>
        <w:rPr>
          <w:sz w:val="24"/>
          <w:szCs w:val="24"/>
        </w:rPr>
      </w:pPr>
      <w:r w:rsidRPr="0048453D">
        <w:rPr>
          <w:sz w:val="24"/>
          <w:szCs w:val="24"/>
        </w:rPr>
        <w:t xml:space="preserve">Each nonbank financial institution that conducts transmittals of funds in amounts of $3,000 or more must collect and retain information related to these transactions.  Due to the challenges of obtaining the total number of transmittals of funds of $3,000 or more conducted per nonbank financial institution, </w:t>
      </w:r>
      <w:r w:rsidRPr="0048453D">
        <w:rPr>
          <w:sz w:val="24"/>
          <w:szCs w:val="24"/>
          <w:lang w:val="en-GB"/>
        </w:rPr>
        <w:t xml:space="preserve">and the uncertain significance for burden calculation of the maintenance of different numbers of such records by different financial institutions, </w:t>
      </w:r>
      <w:r w:rsidRPr="0048453D">
        <w:rPr>
          <w:sz w:val="24"/>
          <w:szCs w:val="24"/>
        </w:rPr>
        <w:t>FinCEN estimated,</w:t>
      </w:r>
      <w:r w:rsidRPr="0048453D">
        <w:rPr>
          <w:sz w:val="24"/>
          <w:szCs w:val="24"/>
          <w:lang w:val="en-GB"/>
        </w:rPr>
        <w:t xml:space="preserve"> in its most recent control </w:t>
      </w:r>
      <w:r w:rsidRPr="0048453D">
        <w:rPr>
          <w:sz w:val="24"/>
          <w:szCs w:val="24"/>
          <w:lang w:val="en-GB"/>
        </w:rPr>
        <w:t>number renewal,</w:t>
      </w:r>
      <w:r w:rsidRPr="0048453D">
        <w:rPr>
          <w:sz w:val="24"/>
          <w:szCs w:val="24"/>
        </w:rPr>
        <w:t xml:space="preserve"> that the average annual recordkeeping burden per financial institution was approximately 16 hours per affected financial institution.</w:t>
      </w:r>
      <w:r>
        <w:rPr>
          <w:rStyle w:val="FootnoteReference"/>
          <w:sz w:val="24"/>
          <w:szCs w:val="24"/>
        </w:rPr>
        <w:footnoteReference w:id="30"/>
      </w:r>
      <w:r w:rsidRPr="0048453D">
        <w:rPr>
          <w:sz w:val="24"/>
          <w:szCs w:val="24"/>
        </w:rPr>
        <w:t xml:space="preserve">  In the absence of information suggesting a more accurate way of estimating total burden, FinCEN continues to estimate that the average annual hourly burden to comply with 31 CFR 1010.410(e) is 16 hours per financial institution.</w:t>
      </w:r>
    </w:p>
    <w:p w:rsidR="0048453D" w:rsidRPr="0048453D" w:rsidP="0048453D" w14:paraId="33A97B94" w14:textId="77777777">
      <w:pPr>
        <w:pStyle w:val="BodyText"/>
        <w:spacing w:before="0"/>
        <w:ind w:right="206" w:firstLine="720"/>
        <w:rPr>
          <w:sz w:val="24"/>
          <w:szCs w:val="24"/>
        </w:rPr>
      </w:pPr>
    </w:p>
    <w:p w:rsidR="0063164C" w:rsidP="0048453D" w14:paraId="7FEF0AF2" w14:textId="77777777">
      <w:pPr>
        <w:pStyle w:val="BodyText"/>
        <w:spacing w:before="0"/>
        <w:ind w:firstLine="720"/>
        <w:rPr>
          <w:sz w:val="24"/>
          <w:szCs w:val="24"/>
          <w:lang w:val="en-GB"/>
        </w:rPr>
      </w:pPr>
      <w:r w:rsidRPr="0048453D">
        <w:rPr>
          <w:sz w:val="24"/>
          <w:szCs w:val="24"/>
          <w:lang w:val="en-GB"/>
        </w:rPr>
        <w:t>Based on an estimate of approximately 16,897 MSBs</w:t>
      </w:r>
      <w:r>
        <w:rPr>
          <w:rStyle w:val="FootnoteReference"/>
          <w:sz w:val="24"/>
          <w:szCs w:val="24"/>
          <w:lang w:val="en-GB"/>
        </w:rPr>
        <w:footnoteReference w:id="31"/>
      </w:r>
      <w:r w:rsidRPr="0048453D">
        <w:rPr>
          <w:sz w:val="24"/>
          <w:szCs w:val="24"/>
          <w:lang w:val="en-GB"/>
        </w:rPr>
        <w:t xml:space="preserve"> providing money transmission services, multiplying by 16 (hours) results in a total estimate of annual hourly burden of approximately 270,352 hours.</w:t>
      </w:r>
    </w:p>
    <w:p w:rsidR="0048453D" w:rsidRPr="0048453D" w:rsidP="0048453D" w14:paraId="1A7B3B84" w14:textId="77777777">
      <w:pPr>
        <w:pStyle w:val="BodyText"/>
        <w:spacing w:before="0"/>
        <w:ind w:firstLine="720"/>
        <w:rPr>
          <w:sz w:val="24"/>
          <w:szCs w:val="24"/>
        </w:rPr>
      </w:pPr>
    </w:p>
    <w:p w:rsidR="0063164C" w:rsidP="0048453D" w14:paraId="1083E419" w14:textId="77777777">
      <w:pPr>
        <w:pStyle w:val="BodyText"/>
        <w:widowControl w:val="0"/>
        <w:spacing w:before="0"/>
        <w:rPr>
          <w:sz w:val="24"/>
          <w:szCs w:val="24"/>
          <w:u w:val="single"/>
        </w:rPr>
      </w:pPr>
      <w:r w:rsidRPr="0048453D">
        <w:rPr>
          <w:sz w:val="24"/>
          <w:szCs w:val="24"/>
          <w:u w:val="single"/>
        </w:rPr>
        <w:t xml:space="preserve">31 CFR 1010.410(f): </w:t>
      </w:r>
    </w:p>
    <w:p w:rsidR="0048453D" w:rsidRPr="0048453D" w:rsidP="0048453D" w14:paraId="69D7B580" w14:textId="77777777">
      <w:pPr>
        <w:pStyle w:val="BodyText"/>
        <w:widowControl w:val="0"/>
        <w:spacing w:before="0"/>
        <w:rPr>
          <w:sz w:val="24"/>
          <w:szCs w:val="24"/>
          <w:u w:val="single"/>
        </w:rPr>
      </w:pPr>
    </w:p>
    <w:p w:rsidR="0063164C" w:rsidP="0048453D" w14:paraId="2ED24210" w14:textId="56FE836A">
      <w:pPr>
        <w:pStyle w:val="BodyText"/>
        <w:spacing w:before="0"/>
        <w:ind w:right="206" w:firstLine="720"/>
        <w:rPr>
          <w:sz w:val="24"/>
          <w:szCs w:val="24"/>
        </w:rPr>
      </w:pPr>
      <w:r w:rsidRPr="0048453D">
        <w:rPr>
          <w:sz w:val="24"/>
          <w:szCs w:val="24"/>
        </w:rPr>
        <w:t xml:space="preserve">Each financial institution must transmit information on transmittals of funds </w:t>
      </w:r>
      <w:r w:rsidRPr="00EB4B3E" w:rsidR="007A129D">
        <w:rPr>
          <w:sz w:val="24"/>
          <w:szCs w:val="24"/>
        </w:rPr>
        <w:t>in amounts of $3,000 or more</w:t>
      </w:r>
      <w:r w:rsidRPr="0048453D" w:rsidR="007A129D">
        <w:rPr>
          <w:sz w:val="24"/>
          <w:szCs w:val="24"/>
        </w:rPr>
        <w:t xml:space="preserve"> </w:t>
      </w:r>
      <w:r w:rsidRPr="0048453D">
        <w:rPr>
          <w:sz w:val="24"/>
          <w:szCs w:val="24"/>
        </w:rPr>
        <w:t xml:space="preserve">when acting as the originator’s bank, the </w:t>
      </w:r>
      <w:r w:rsidRPr="0048453D">
        <w:rPr>
          <w:sz w:val="24"/>
          <w:szCs w:val="24"/>
        </w:rPr>
        <w:t>transmittor’s</w:t>
      </w:r>
      <w:r w:rsidRPr="0048453D">
        <w:rPr>
          <w:sz w:val="24"/>
          <w:szCs w:val="24"/>
        </w:rPr>
        <w:t xml:space="preserve"> financial institution or an intermediary bank or financial institution.  Due to the challenges of obtaining the total number of transmittals of funds for which a financial institution was acting as the originator’s </w:t>
      </w:r>
      <w:r w:rsidR="00C662B2">
        <w:rPr>
          <w:sz w:val="24"/>
          <w:szCs w:val="24"/>
        </w:rPr>
        <w:t>financial institution</w:t>
      </w:r>
      <w:r w:rsidRPr="0048453D">
        <w:rPr>
          <w:sz w:val="24"/>
          <w:szCs w:val="24"/>
        </w:rPr>
        <w:t xml:space="preserve">, the </w:t>
      </w:r>
      <w:r w:rsidRPr="0048453D">
        <w:rPr>
          <w:sz w:val="24"/>
          <w:szCs w:val="24"/>
        </w:rPr>
        <w:t>transmittor’s</w:t>
      </w:r>
      <w:r w:rsidRPr="0048453D">
        <w:rPr>
          <w:sz w:val="24"/>
          <w:szCs w:val="24"/>
        </w:rPr>
        <w:t xml:space="preserve"> financial institution, or an intermediary financial institution, </w:t>
      </w:r>
      <w:r w:rsidRPr="0048453D">
        <w:rPr>
          <w:sz w:val="24"/>
          <w:szCs w:val="24"/>
          <w:lang w:val="en-GB"/>
        </w:rPr>
        <w:t xml:space="preserve">and the uncertain significance for burden calculation of the maintenance of different numbers of such records by different financial institutions, </w:t>
      </w:r>
      <w:r w:rsidRPr="0048453D">
        <w:rPr>
          <w:sz w:val="24"/>
          <w:szCs w:val="24"/>
        </w:rPr>
        <w:t>FinCEN estimated,</w:t>
      </w:r>
      <w:r w:rsidRPr="0048453D">
        <w:rPr>
          <w:sz w:val="24"/>
          <w:szCs w:val="24"/>
          <w:lang w:val="en-GB"/>
        </w:rPr>
        <w:t xml:space="preserve"> in its most recent control number renewal,</w:t>
      </w:r>
      <w:r w:rsidRPr="0048453D">
        <w:rPr>
          <w:sz w:val="24"/>
          <w:szCs w:val="24"/>
        </w:rPr>
        <w:t xml:space="preserve"> that the annual recordkeeping burden per financial institution was an average of 12 hours per affected financial institution.</w:t>
      </w:r>
      <w:r>
        <w:rPr>
          <w:rStyle w:val="FootnoteReference"/>
          <w:sz w:val="24"/>
          <w:szCs w:val="24"/>
        </w:rPr>
        <w:footnoteReference w:id="32"/>
      </w:r>
      <w:r w:rsidRPr="0048453D">
        <w:rPr>
          <w:sz w:val="24"/>
          <w:szCs w:val="24"/>
        </w:rPr>
        <w:t xml:space="preserve">  In the absence of information suggesting a more accurate way of estimating total burden, FinCEN continues to estimate that the average annual hourly burden to comply with 31 CFR 1010.410(f) is 12 hours per financial institution. </w:t>
      </w:r>
    </w:p>
    <w:p w:rsidR="0048453D" w:rsidRPr="0048453D" w:rsidP="0048453D" w14:paraId="18564297" w14:textId="77777777">
      <w:pPr>
        <w:pStyle w:val="BodyText"/>
        <w:spacing w:before="0"/>
        <w:ind w:right="206" w:firstLine="720"/>
        <w:rPr>
          <w:sz w:val="24"/>
          <w:szCs w:val="24"/>
        </w:rPr>
      </w:pPr>
    </w:p>
    <w:p w:rsidR="0063164C" w:rsidP="0048453D" w14:paraId="533D3561" w14:textId="2D70C74D">
      <w:pPr>
        <w:pStyle w:val="BodyText"/>
        <w:spacing w:before="0"/>
        <w:ind w:firstLine="720"/>
        <w:rPr>
          <w:sz w:val="24"/>
          <w:szCs w:val="24"/>
          <w:lang w:val="en-GB"/>
        </w:rPr>
      </w:pPr>
      <w:r w:rsidRPr="0048453D">
        <w:rPr>
          <w:sz w:val="24"/>
          <w:szCs w:val="24"/>
          <w:lang w:val="en-GB"/>
        </w:rPr>
        <w:t xml:space="preserve">26,959 </w:t>
      </w:r>
      <w:r w:rsidR="00BA6EB8">
        <w:rPr>
          <w:sz w:val="24"/>
          <w:szCs w:val="24"/>
          <w:lang w:val="en-GB"/>
        </w:rPr>
        <w:t>financial institutions</w:t>
      </w:r>
      <w:r w:rsidR="00083825">
        <w:rPr>
          <w:sz w:val="24"/>
          <w:szCs w:val="24"/>
          <w:lang w:val="en-GB"/>
        </w:rPr>
        <w:t xml:space="preserve">, </w:t>
      </w:r>
      <w:r w:rsidR="004F66AD">
        <w:rPr>
          <w:sz w:val="24"/>
          <w:szCs w:val="24"/>
          <w:lang w:val="en-GB"/>
        </w:rPr>
        <w:t>including</w:t>
      </w:r>
      <w:r w:rsidR="00083825">
        <w:rPr>
          <w:sz w:val="24"/>
          <w:szCs w:val="24"/>
          <w:lang w:val="en-GB"/>
        </w:rPr>
        <w:t xml:space="preserve"> </w:t>
      </w:r>
      <w:r w:rsidRPr="0048453D">
        <w:rPr>
          <w:sz w:val="24"/>
          <w:szCs w:val="24"/>
          <w:lang w:val="en-GB"/>
        </w:rPr>
        <w:t>banks and MSBs</w:t>
      </w:r>
      <w:r w:rsidR="004F66AD">
        <w:rPr>
          <w:sz w:val="24"/>
          <w:szCs w:val="24"/>
          <w:lang w:val="en-GB"/>
        </w:rPr>
        <w:t>,</w:t>
      </w:r>
      <w:r w:rsidRPr="0048453D">
        <w:rPr>
          <w:sz w:val="24"/>
          <w:szCs w:val="24"/>
          <w:lang w:val="en-GB"/>
        </w:rPr>
        <w:t xml:space="preserve"> conducting </w:t>
      </w:r>
      <w:r w:rsidR="004F66AD">
        <w:rPr>
          <w:sz w:val="24"/>
          <w:szCs w:val="24"/>
          <w:lang w:val="en-GB"/>
        </w:rPr>
        <w:t>transmittals of funds</w:t>
      </w:r>
      <w:r w:rsidRPr="0048453D">
        <w:rPr>
          <w:sz w:val="24"/>
          <w:szCs w:val="24"/>
          <w:lang w:val="en-GB"/>
        </w:rPr>
        <w:t>,</w:t>
      </w:r>
      <w:r>
        <w:rPr>
          <w:rStyle w:val="FootnoteReference"/>
          <w:sz w:val="24"/>
          <w:szCs w:val="24"/>
          <w:lang w:val="en-GB"/>
        </w:rPr>
        <w:footnoteReference w:id="33"/>
      </w:r>
      <w:r w:rsidRPr="0048453D">
        <w:rPr>
          <w:sz w:val="24"/>
          <w:szCs w:val="24"/>
          <w:lang w:val="en-GB"/>
        </w:rPr>
        <w:t xml:space="preserve"> multiplied by 12 hours, results in a total annual hourly burden estimate of 323,508 hours.</w:t>
      </w:r>
    </w:p>
    <w:p w:rsidR="0048453D" w:rsidRPr="0048453D" w:rsidP="0048453D" w14:paraId="313B85B3" w14:textId="77777777">
      <w:pPr>
        <w:pStyle w:val="BodyText"/>
        <w:spacing w:before="0"/>
        <w:ind w:firstLine="720"/>
        <w:rPr>
          <w:sz w:val="24"/>
          <w:szCs w:val="24"/>
        </w:rPr>
      </w:pPr>
    </w:p>
    <w:p w:rsidR="0063164C" w:rsidP="0048453D" w14:paraId="6E35B4B5" w14:textId="77777777">
      <w:pPr>
        <w:rPr>
          <w:u w:val="single"/>
        </w:rPr>
      </w:pPr>
      <w:r w:rsidRPr="0048453D">
        <w:rPr>
          <w:u w:val="single"/>
        </w:rPr>
        <w:t>31 CFR 1022.420:</w:t>
      </w:r>
    </w:p>
    <w:p w:rsidR="0048453D" w:rsidRPr="0048453D" w:rsidP="0048453D" w14:paraId="4ED9300F" w14:textId="77777777">
      <w:pPr>
        <w:rPr>
          <w:u w:val="single"/>
        </w:rPr>
      </w:pPr>
    </w:p>
    <w:p w:rsidR="0063164C" w:rsidRPr="0048453D" w:rsidP="0048453D" w14:paraId="1D62883B" w14:textId="6DFA0C5E">
      <w:pPr>
        <w:pStyle w:val="BodyText"/>
        <w:spacing w:before="0"/>
        <w:ind w:right="206" w:firstLine="720"/>
        <w:rPr>
          <w:sz w:val="24"/>
          <w:szCs w:val="24"/>
        </w:rPr>
      </w:pPr>
      <w:r w:rsidRPr="0048453D">
        <w:rPr>
          <w:sz w:val="24"/>
          <w:szCs w:val="24"/>
          <w:lang w:val="en"/>
        </w:rPr>
        <w:t xml:space="preserve">Each provider or seller of prepaid access is required to maintain access to transactional records generated in the ordinary course of business that would be needed to reconstruct prepaid access activation, loads, reloads, purchases, withdrawals, transfers, or other prepaid-related transactions.  </w:t>
      </w:r>
      <w:r w:rsidRPr="0048453D">
        <w:rPr>
          <w:sz w:val="24"/>
          <w:szCs w:val="24"/>
        </w:rPr>
        <w:t xml:space="preserve">Due to the challenges of obtaining the total number of prepaid access transactions, </w:t>
      </w:r>
      <w:r w:rsidRPr="0048453D">
        <w:rPr>
          <w:sz w:val="24"/>
          <w:szCs w:val="24"/>
          <w:lang w:val="en-GB"/>
        </w:rPr>
        <w:t xml:space="preserve">and the uncertain significance for burden calculation of the maintenance of different numbers of such records by different financial institutions, </w:t>
      </w:r>
      <w:r w:rsidRPr="0048453D">
        <w:rPr>
          <w:sz w:val="24"/>
          <w:szCs w:val="24"/>
        </w:rPr>
        <w:t>FinCEN estimated,</w:t>
      </w:r>
      <w:r w:rsidRPr="0048453D">
        <w:rPr>
          <w:sz w:val="24"/>
          <w:szCs w:val="24"/>
          <w:lang w:val="en-GB"/>
        </w:rPr>
        <w:t xml:space="preserve"> in its most recent control number renewal,</w:t>
      </w:r>
      <w:r w:rsidRPr="0048453D">
        <w:rPr>
          <w:sz w:val="24"/>
          <w:szCs w:val="24"/>
        </w:rPr>
        <w:t xml:space="preserve"> that the annual recordkeeping burden per financial institution was 16 hours for every </w:t>
      </w:r>
      <w:r w:rsidRPr="0048453D">
        <w:rPr>
          <w:sz w:val="24"/>
          <w:szCs w:val="24"/>
        </w:rPr>
        <w:t>affected financial institution.</w:t>
      </w:r>
      <w:r>
        <w:rPr>
          <w:rStyle w:val="FootnoteReference"/>
          <w:sz w:val="24"/>
          <w:szCs w:val="24"/>
        </w:rPr>
        <w:footnoteReference w:id="34"/>
      </w:r>
      <w:r w:rsidRPr="0048453D">
        <w:rPr>
          <w:sz w:val="24"/>
          <w:szCs w:val="24"/>
        </w:rPr>
        <w:t xml:space="preserve">  In the absence of information suggesting a more accurate way of estimating total burden, FinCEN continues to estimate that the average annual hourly burden to comply with 31 CFR 1022.420 is 16 hours per financial institution. </w:t>
      </w:r>
    </w:p>
    <w:p w:rsidR="0063164C" w:rsidRPr="0048453D" w:rsidP="0048453D" w14:paraId="6810F84D" w14:textId="77777777">
      <w:pPr>
        <w:pStyle w:val="BodyText"/>
        <w:spacing w:before="0"/>
        <w:ind w:firstLine="720"/>
        <w:rPr>
          <w:sz w:val="24"/>
          <w:szCs w:val="24"/>
          <w:lang w:val="en-GB"/>
        </w:rPr>
      </w:pPr>
      <w:r w:rsidRPr="0048453D">
        <w:rPr>
          <w:sz w:val="24"/>
          <w:szCs w:val="24"/>
          <w:lang w:val="en-GB"/>
        </w:rPr>
        <w:t>2,664 MSBs which are providers or sellers of prepaid access,</w:t>
      </w:r>
      <w:r>
        <w:rPr>
          <w:rStyle w:val="FootnoteReference"/>
          <w:sz w:val="24"/>
          <w:szCs w:val="24"/>
          <w:lang w:val="en-GB"/>
        </w:rPr>
        <w:footnoteReference w:id="35"/>
      </w:r>
      <w:r w:rsidRPr="0048453D">
        <w:rPr>
          <w:sz w:val="24"/>
          <w:szCs w:val="24"/>
          <w:lang w:val="en-GB"/>
        </w:rPr>
        <w:t xml:space="preserve"> multiplied by 16 hours, results in a total annually hourly burden estimate of 42,624 hours.</w:t>
      </w:r>
    </w:p>
    <w:p w:rsidR="0063164C" w:rsidRPr="0048453D" w:rsidP="0048453D" w14:paraId="3ECA1DF2" w14:textId="77777777">
      <w:pPr>
        <w:pStyle w:val="BodyText"/>
        <w:spacing w:before="0"/>
        <w:rPr>
          <w:sz w:val="24"/>
          <w:szCs w:val="24"/>
          <w:u w:val="single"/>
        </w:rPr>
      </w:pPr>
    </w:p>
    <w:p w:rsidR="009D67C4" w:rsidRPr="004F2ADB" w:rsidP="004F2ADB" w14:paraId="13CF3E50" w14:textId="77777777">
      <w:pPr>
        <w:pStyle w:val="BodyText"/>
        <w:spacing w:before="0"/>
        <w:ind w:firstLine="720"/>
        <w:rPr>
          <w:sz w:val="24"/>
          <w:szCs w:val="24"/>
          <w:lang w:val="en-GB"/>
        </w:rPr>
      </w:pPr>
    </w:p>
    <w:p w:rsidR="00602E24" w:rsidRPr="004F2ADB" w:rsidP="004F2ADB" w14:paraId="0371D205" w14:textId="77777777">
      <w:pPr>
        <w:pStyle w:val="BodyText"/>
        <w:spacing w:before="0"/>
        <w:rPr>
          <w:sz w:val="24"/>
          <w:szCs w:val="24"/>
        </w:rPr>
      </w:pPr>
      <w:r w:rsidRPr="004F2ADB">
        <w:rPr>
          <w:b/>
          <w:bCs/>
          <w:sz w:val="24"/>
          <w:szCs w:val="24"/>
        </w:rPr>
        <w:t xml:space="preserve">Total Annual PRA Burden for OMB Control Number 1506-0058:  </w:t>
      </w:r>
      <w:r w:rsidRPr="004F2ADB">
        <w:rPr>
          <w:sz w:val="24"/>
          <w:szCs w:val="24"/>
        </w:rPr>
        <w:t>4,015,839 hours.</w:t>
      </w:r>
      <w:r>
        <w:rPr>
          <w:rStyle w:val="FootnoteReference"/>
          <w:sz w:val="24"/>
          <w:szCs w:val="24"/>
        </w:rPr>
        <w:footnoteReference w:id="36"/>
      </w:r>
    </w:p>
    <w:p w:rsidR="00602E24" w:rsidP="00B16721" w14:paraId="79FD0DE8" w14:textId="77777777"/>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2023"/>
        <w:gridCol w:w="1874"/>
        <w:gridCol w:w="1482"/>
        <w:gridCol w:w="1710"/>
      </w:tblGrid>
      <w:tr w14:paraId="60D6F84D" w14:textId="77777777" w:rsidTr="00727AE0">
        <w:tblPrEx>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8550" w:type="dxa"/>
            <w:gridSpan w:val="5"/>
            <w:tcBorders>
              <w:top w:val="nil"/>
              <w:left w:val="nil"/>
              <w:bottom w:val="single" w:sz="4" w:space="0" w:color="auto"/>
              <w:right w:val="nil"/>
            </w:tcBorders>
            <w:noWrap/>
            <w:hideMark/>
          </w:tcPr>
          <w:p w:rsidR="0087536F" w:rsidP="00727AE0" w14:paraId="7C5B97AE" w14:textId="77777777">
            <w:pPr>
              <w:rPr>
                <w:b/>
                <w:bCs/>
                <w:color w:val="000000"/>
                <w:sz w:val="22"/>
                <w:szCs w:val="22"/>
              </w:rPr>
            </w:pPr>
            <w:r w:rsidRPr="00AA04FA">
              <w:rPr>
                <w:b/>
                <w:sz w:val="22"/>
                <w:szCs w:val="22"/>
                <w:lang w:val="en-GB"/>
              </w:rPr>
              <w:t>Table 2. Distribution of estimated total annual burden hours per requirement by type of affected financial institutions</w:t>
            </w:r>
          </w:p>
        </w:tc>
      </w:tr>
      <w:tr w14:paraId="56B1C7E4" w14:textId="77777777" w:rsidTr="00727AE0">
        <w:tblPrEx>
          <w:tblW w:w="8550" w:type="dxa"/>
          <w:tblLook w:val="04A0"/>
        </w:tblPrEx>
        <w:trPr>
          <w:trHeight w:val="821"/>
        </w:trPr>
        <w:tc>
          <w:tcPr>
            <w:tcW w:w="1461" w:type="dxa"/>
            <w:tcBorders>
              <w:top w:val="single" w:sz="4" w:space="0" w:color="auto"/>
            </w:tcBorders>
            <w:noWrap/>
            <w:vAlign w:val="center"/>
            <w:hideMark/>
          </w:tcPr>
          <w:p w:rsidR="0087536F" w:rsidP="00727AE0" w14:paraId="3200992F" w14:textId="77777777">
            <w:pPr>
              <w:jc w:val="center"/>
              <w:rPr>
                <w:b/>
                <w:bCs/>
                <w:color w:val="000000"/>
                <w:sz w:val="22"/>
                <w:szCs w:val="22"/>
              </w:rPr>
            </w:pPr>
            <w:r>
              <w:rPr>
                <w:b/>
                <w:bCs/>
                <w:color w:val="000000"/>
                <w:sz w:val="22"/>
                <w:szCs w:val="22"/>
              </w:rPr>
              <w:t>Regulatory requirement</w:t>
            </w:r>
          </w:p>
        </w:tc>
        <w:tc>
          <w:tcPr>
            <w:tcW w:w="2023" w:type="dxa"/>
            <w:tcBorders>
              <w:top w:val="single" w:sz="4" w:space="0" w:color="auto"/>
            </w:tcBorders>
            <w:noWrap/>
            <w:vAlign w:val="center"/>
            <w:hideMark/>
          </w:tcPr>
          <w:p w:rsidR="0087536F" w:rsidP="00727AE0" w14:paraId="5C01798A" w14:textId="77777777">
            <w:pPr>
              <w:jc w:val="center"/>
              <w:rPr>
                <w:b/>
                <w:bCs/>
                <w:color w:val="000000"/>
                <w:sz w:val="22"/>
                <w:szCs w:val="22"/>
              </w:rPr>
            </w:pPr>
            <w:r>
              <w:rPr>
                <w:b/>
                <w:bCs/>
                <w:color w:val="000000"/>
                <w:sz w:val="22"/>
                <w:szCs w:val="22"/>
              </w:rPr>
              <w:t>Affected financial institution type</w:t>
            </w:r>
          </w:p>
        </w:tc>
        <w:tc>
          <w:tcPr>
            <w:tcW w:w="1874" w:type="dxa"/>
            <w:tcBorders>
              <w:top w:val="single" w:sz="4" w:space="0" w:color="auto"/>
            </w:tcBorders>
            <w:vAlign w:val="center"/>
            <w:hideMark/>
          </w:tcPr>
          <w:p w:rsidR="0087536F" w:rsidP="00727AE0" w14:paraId="3FA07854" w14:textId="77777777">
            <w:pPr>
              <w:jc w:val="center"/>
              <w:rPr>
                <w:b/>
                <w:bCs/>
                <w:color w:val="000000"/>
                <w:sz w:val="22"/>
                <w:szCs w:val="22"/>
              </w:rPr>
            </w:pPr>
            <w:r>
              <w:rPr>
                <w:b/>
                <w:bCs/>
                <w:color w:val="000000"/>
                <w:sz w:val="22"/>
                <w:szCs w:val="22"/>
              </w:rPr>
              <w:t>Number of financial institutions</w:t>
            </w:r>
          </w:p>
        </w:tc>
        <w:tc>
          <w:tcPr>
            <w:tcW w:w="1482" w:type="dxa"/>
            <w:tcBorders>
              <w:top w:val="single" w:sz="4" w:space="0" w:color="auto"/>
            </w:tcBorders>
            <w:vAlign w:val="center"/>
            <w:hideMark/>
          </w:tcPr>
          <w:p w:rsidR="0087536F" w:rsidP="00727AE0" w14:paraId="0A34F627" w14:textId="77777777">
            <w:pPr>
              <w:jc w:val="center"/>
              <w:rPr>
                <w:b/>
                <w:bCs/>
                <w:color w:val="000000"/>
                <w:sz w:val="22"/>
                <w:szCs w:val="22"/>
              </w:rPr>
            </w:pPr>
            <w:r>
              <w:rPr>
                <w:b/>
                <w:bCs/>
                <w:color w:val="000000"/>
                <w:sz w:val="22"/>
                <w:szCs w:val="22"/>
              </w:rPr>
              <w:t xml:space="preserve">Annual burden </w:t>
            </w:r>
            <w:r>
              <w:rPr>
                <w:b/>
                <w:bCs/>
                <w:color w:val="000000"/>
                <w:sz w:val="22"/>
                <w:szCs w:val="22"/>
              </w:rPr>
              <w:t>estimate</w:t>
            </w:r>
            <w:r>
              <w:rPr>
                <w:b/>
                <w:bCs/>
                <w:color w:val="000000"/>
                <w:sz w:val="22"/>
                <w:szCs w:val="22"/>
              </w:rPr>
              <w:t xml:space="preserve"> per financial institution in hours</w:t>
            </w:r>
          </w:p>
        </w:tc>
        <w:tc>
          <w:tcPr>
            <w:tcW w:w="1710" w:type="dxa"/>
            <w:tcBorders>
              <w:top w:val="single" w:sz="4" w:space="0" w:color="auto"/>
            </w:tcBorders>
            <w:vAlign w:val="center"/>
            <w:hideMark/>
          </w:tcPr>
          <w:p w:rsidR="0087536F" w:rsidP="00727AE0" w14:paraId="2CD3DC28" w14:textId="77777777">
            <w:pPr>
              <w:jc w:val="center"/>
              <w:rPr>
                <w:b/>
                <w:bCs/>
                <w:color w:val="000000"/>
                <w:sz w:val="22"/>
                <w:szCs w:val="22"/>
              </w:rPr>
            </w:pPr>
            <w:r>
              <w:rPr>
                <w:b/>
                <w:bCs/>
                <w:color w:val="000000"/>
                <w:sz w:val="22"/>
                <w:szCs w:val="22"/>
              </w:rPr>
              <w:t>Total annual burden hours per regulatory requirement</w:t>
            </w:r>
          </w:p>
        </w:tc>
      </w:tr>
      <w:tr w14:paraId="64E6ACC8" w14:textId="77777777" w:rsidTr="00727AE0">
        <w:tblPrEx>
          <w:tblW w:w="8550" w:type="dxa"/>
          <w:tblLook w:val="04A0"/>
        </w:tblPrEx>
        <w:trPr>
          <w:trHeight w:val="651"/>
        </w:trPr>
        <w:tc>
          <w:tcPr>
            <w:tcW w:w="1461" w:type="dxa"/>
            <w:vMerge w:val="restart"/>
            <w:noWrap/>
            <w:hideMark/>
          </w:tcPr>
          <w:p w:rsidR="0087536F" w:rsidP="00727AE0" w14:paraId="7D4E5C1A" w14:textId="77777777">
            <w:pPr>
              <w:rPr>
                <w:color w:val="000000"/>
                <w:sz w:val="22"/>
                <w:szCs w:val="22"/>
              </w:rPr>
            </w:pPr>
            <w:r>
              <w:rPr>
                <w:color w:val="000000"/>
                <w:sz w:val="22"/>
                <w:szCs w:val="22"/>
              </w:rPr>
              <w:t>31 CFR 1010.410(a) – (c)</w:t>
            </w:r>
          </w:p>
        </w:tc>
        <w:tc>
          <w:tcPr>
            <w:tcW w:w="2023" w:type="dxa"/>
            <w:hideMark/>
          </w:tcPr>
          <w:p w:rsidR="0087536F" w:rsidP="00727AE0" w14:paraId="42304F53" w14:textId="77777777">
            <w:pPr>
              <w:rPr>
                <w:color w:val="000000"/>
                <w:sz w:val="22"/>
                <w:szCs w:val="22"/>
              </w:rPr>
            </w:pPr>
            <w:r>
              <w:rPr>
                <w:color w:val="000000"/>
                <w:sz w:val="22"/>
                <w:szCs w:val="22"/>
              </w:rPr>
              <w:t>Financial institutions as defined in 31 CFR 1010.100(t), excluding agent MSBs</w:t>
            </w:r>
          </w:p>
        </w:tc>
        <w:tc>
          <w:tcPr>
            <w:tcW w:w="1874" w:type="dxa"/>
            <w:noWrap/>
            <w:hideMark/>
          </w:tcPr>
          <w:p w:rsidR="0087536F" w:rsidP="00727AE0" w14:paraId="526002FC" w14:textId="77777777">
            <w:pPr>
              <w:jc w:val="center"/>
              <w:rPr>
                <w:color w:val="000000"/>
                <w:sz w:val="22"/>
                <w:szCs w:val="22"/>
              </w:rPr>
            </w:pPr>
            <w:r>
              <w:rPr>
                <w:color w:val="000000"/>
                <w:sz w:val="22"/>
                <w:szCs w:val="22"/>
              </w:rPr>
              <w:t>44,671</w:t>
            </w:r>
          </w:p>
        </w:tc>
        <w:tc>
          <w:tcPr>
            <w:tcW w:w="1482" w:type="dxa"/>
            <w:noWrap/>
            <w:hideMark/>
          </w:tcPr>
          <w:p w:rsidR="0087536F" w:rsidP="00727AE0" w14:paraId="485F6399" w14:textId="77777777">
            <w:pPr>
              <w:jc w:val="center"/>
              <w:rPr>
                <w:color w:val="000000"/>
                <w:sz w:val="22"/>
                <w:szCs w:val="22"/>
              </w:rPr>
            </w:pPr>
            <w:r>
              <w:rPr>
                <w:color w:val="000000"/>
                <w:sz w:val="22"/>
                <w:szCs w:val="22"/>
              </w:rPr>
              <w:t>50</w:t>
            </w:r>
          </w:p>
        </w:tc>
        <w:tc>
          <w:tcPr>
            <w:tcW w:w="1710" w:type="dxa"/>
            <w:noWrap/>
            <w:hideMark/>
          </w:tcPr>
          <w:p w:rsidR="0087536F" w:rsidP="00727AE0" w14:paraId="0E7CCD8F" w14:textId="77777777">
            <w:pPr>
              <w:jc w:val="right"/>
              <w:rPr>
                <w:color w:val="000000"/>
                <w:sz w:val="22"/>
                <w:szCs w:val="22"/>
              </w:rPr>
            </w:pPr>
            <w:r>
              <w:rPr>
                <w:color w:val="000000"/>
                <w:sz w:val="22"/>
                <w:szCs w:val="22"/>
              </w:rPr>
              <w:t>2,233,550</w:t>
            </w:r>
          </w:p>
        </w:tc>
      </w:tr>
      <w:tr w14:paraId="648627EA" w14:textId="77777777" w:rsidTr="00727AE0">
        <w:tblPrEx>
          <w:tblW w:w="8550" w:type="dxa"/>
          <w:tblLook w:val="04A0"/>
        </w:tblPrEx>
        <w:trPr>
          <w:trHeight w:val="438"/>
        </w:trPr>
        <w:tc>
          <w:tcPr>
            <w:tcW w:w="1461" w:type="dxa"/>
            <w:vMerge/>
            <w:hideMark/>
          </w:tcPr>
          <w:p w:rsidR="0087536F" w:rsidP="00727AE0" w14:paraId="007F5997" w14:textId="77777777">
            <w:pPr>
              <w:rPr>
                <w:color w:val="000000"/>
                <w:sz w:val="22"/>
                <w:szCs w:val="22"/>
              </w:rPr>
            </w:pPr>
          </w:p>
        </w:tc>
        <w:tc>
          <w:tcPr>
            <w:tcW w:w="2023" w:type="dxa"/>
            <w:hideMark/>
          </w:tcPr>
          <w:p w:rsidR="0087536F" w:rsidP="00727AE0" w14:paraId="309C9CAB" w14:textId="77777777">
            <w:pPr>
              <w:rPr>
                <w:color w:val="000000"/>
                <w:sz w:val="22"/>
                <w:szCs w:val="22"/>
              </w:rPr>
            </w:pPr>
            <w:r>
              <w:rPr>
                <w:color w:val="000000"/>
                <w:sz w:val="22"/>
                <w:szCs w:val="22"/>
              </w:rPr>
              <w:t>Financial institutions as defined in 31 CFR 1010.100(t) that are exclusively agent MSBs</w:t>
            </w:r>
          </w:p>
        </w:tc>
        <w:tc>
          <w:tcPr>
            <w:tcW w:w="1874" w:type="dxa"/>
            <w:noWrap/>
            <w:hideMark/>
          </w:tcPr>
          <w:p w:rsidR="0087536F" w:rsidP="00727AE0" w14:paraId="03332969" w14:textId="77777777">
            <w:pPr>
              <w:jc w:val="center"/>
              <w:rPr>
                <w:color w:val="000000"/>
                <w:sz w:val="22"/>
                <w:szCs w:val="22"/>
              </w:rPr>
            </w:pPr>
            <w:r>
              <w:rPr>
                <w:color w:val="000000"/>
                <w:sz w:val="22"/>
                <w:szCs w:val="22"/>
              </w:rPr>
              <w:t>229,161</w:t>
            </w:r>
          </w:p>
        </w:tc>
        <w:tc>
          <w:tcPr>
            <w:tcW w:w="1482" w:type="dxa"/>
            <w:noWrap/>
            <w:hideMark/>
          </w:tcPr>
          <w:p w:rsidR="0087536F" w:rsidP="00727AE0" w14:paraId="5CC86597" w14:textId="77777777">
            <w:pPr>
              <w:jc w:val="center"/>
              <w:rPr>
                <w:color w:val="000000"/>
                <w:sz w:val="22"/>
                <w:szCs w:val="22"/>
              </w:rPr>
            </w:pPr>
            <w:r>
              <w:rPr>
                <w:color w:val="000000"/>
                <w:sz w:val="22"/>
                <w:szCs w:val="22"/>
              </w:rPr>
              <w:t>5</w:t>
            </w:r>
          </w:p>
        </w:tc>
        <w:tc>
          <w:tcPr>
            <w:tcW w:w="1710" w:type="dxa"/>
            <w:noWrap/>
            <w:hideMark/>
          </w:tcPr>
          <w:p w:rsidR="0087536F" w:rsidP="00727AE0" w14:paraId="0EEE3C26" w14:textId="77777777">
            <w:pPr>
              <w:jc w:val="right"/>
              <w:rPr>
                <w:color w:val="000000"/>
                <w:sz w:val="22"/>
                <w:szCs w:val="22"/>
              </w:rPr>
            </w:pPr>
            <w:r>
              <w:rPr>
                <w:color w:val="000000"/>
                <w:sz w:val="22"/>
                <w:szCs w:val="22"/>
              </w:rPr>
              <w:t>1,145,805</w:t>
            </w:r>
          </w:p>
        </w:tc>
      </w:tr>
      <w:tr w14:paraId="663E84F8" w14:textId="77777777" w:rsidTr="00727AE0">
        <w:tblPrEx>
          <w:tblW w:w="8550" w:type="dxa"/>
          <w:tblLook w:val="04A0"/>
        </w:tblPrEx>
        <w:trPr>
          <w:trHeight w:val="438"/>
        </w:trPr>
        <w:tc>
          <w:tcPr>
            <w:tcW w:w="1461" w:type="dxa"/>
            <w:noWrap/>
            <w:hideMark/>
          </w:tcPr>
          <w:p w:rsidR="0087536F" w:rsidP="00727AE0" w14:paraId="09B618FF" w14:textId="77777777">
            <w:pPr>
              <w:rPr>
                <w:color w:val="000000"/>
                <w:sz w:val="22"/>
                <w:szCs w:val="22"/>
              </w:rPr>
            </w:pPr>
            <w:r>
              <w:rPr>
                <w:color w:val="000000"/>
                <w:sz w:val="22"/>
                <w:szCs w:val="22"/>
              </w:rPr>
              <w:t>31 CFR 1010.410(e)</w:t>
            </w:r>
          </w:p>
        </w:tc>
        <w:tc>
          <w:tcPr>
            <w:tcW w:w="2023" w:type="dxa"/>
            <w:noWrap/>
            <w:hideMark/>
          </w:tcPr>
          <w:p w:rsidR="0087536F" w:rsidP="00727AE0" w14:paraId="29E9B213" w14:textId="77777777">
            <w:pPr>
              <w:rPr>
                <w:color w:val="000000"/>
                <w:sz w:val="22"/>
                <w:szCs w:val="22"/>
              </w:rPr>
            </w:pPr>
            <w:r>
              <w:rPr>
                <w:color w:val="000000"/>
                <w:sz w:val="22"/>
                <w:szCs w:val="22"/>
              </w:rPr>
              <w:t>MSBs that conduct money transmission</w:t>
            </w:r>
          </w:p>
        </w:tc>
        <w:tc>
          <w:tcPr>
            <w:tcW w:w="1874" w:type="dxa"/>
            <w:noWrap/>
            <w:hideMark/>
          </w:tcPr>
          <w:p w:rsidR="0087536F" w:rsidP="00727AE0" w14:paraId="056148AA" w14:textId="77777777">
            <w:pPr>
              <w:jc w:val="center"/>
              <w:rPr>
                <w:color w:val="000000"/>
                <w:sz w:val="22"/>
                <w:szCs w:val="22"/>
              </w:rPr>
            </w:pPr>
            <w:r>
              <w:rPr>
                <w:color w:val="000000"/>
                <w:sz w:val="22"/>
                <w:szCs w:val="22"/>
              </w:rPr>
              <w:t>16,897</w:t>
            </w:r>
          </w:p>
        </w:tc>
        <w:tc>
          <w:tcPr>
            <w:tcW w:w="1482" w:type="dxa"/>
            <w:noWrap/>
            <w:hideMark/>
          </w:tcPr>
          <w:p w:rsidR="0087536F" w:rsidP="00727AE0" w14:paraId="002D595C" w14:textId="77777777">
            <w:pPr>
              <w:jc w:val="center"/>
              <w:rPr>
                <w:color w:val="000000"/>
                <w:sz w:val="22"/>
                <w:szCs w:val="22"/>
              </w:rPr>
            </w:pPr>
            <w:r>
              <w:rPr>
                <w:color w:val="000000"/>
                <w:sz w:val="22"/>
                <w:szCs w:val="22"/>
              </w:rPr>
              <w:t>16</w:t>
            </w:r>
          </w:p>
        </w:tc>
        <w:tc>
          <w:tcPr>
            <w:tcW w:w="1710" w:type="dxa"/>
            <w:noWrap/>
            <w:hideMark/>
          </w:tcPr>
          <w:p w:rsidR="0087536F" w:rsidP="00727AE0" w14:paraId="66C9C95B" w14:textId="77777777">
            <w:pPr>
              <w:jc w:val="right"/>
              <w:rPr>
                <w:color w:val="000000"/>
                <w:sz w:val="22"/>
                <w:szCs w:val="22"/>
              </w:rPr>
            </w:pPr>
            <w:r>
              <w:rPr>
                <w:color w:val="000000"/>
                <w:sz w:val="22"/>
                <w:szCs w:val="22"/>
              </w:rPr>
              <w:t>270,352</w:t>
            </w:r>
          </w:p>
        </w:tc>
      </w:tr>
      <w:tr w14:paraId="38FB8C14" w14:textId="77777777" w:rsidTr="00727AE0">
        <w:tblPrEx>
          <w:tblW w:w="8550" w:type="dxa"/>
          <w:tblLook w:val="04A0"/>
        </w:tblPrEx>
        <w:trPr>
          <w:trHeight w:val="438"/>
        </w:trPr>
        <w:tc>
          <w:tcPr>
            <w:tcW w:w="1461" w:type="dxa"/>
            <w:noWrap/>
            <w:hideMark/>
          </w:tcPr>
          <w:p w:rsidR="0087536F" w:rsidP="00727AE0" w14:paraId="07800F50" w14:textId="77777777">
            <w:pPr>
              <w:rPr>
                <w:color w:val="000000"/>
                <w:sz w:val="22"/>
                <w:szCs w:val="22"/>
              </w:rPr>
            </w:pPr>
            <w:r>
              <w:rPr>
                <w:color w:val="000000"/>
                <w:sz w:val="22"/>
                <w:szCs w:val="22"/>
              </w:rPr>
              <w:t>31 CFR 1010.410(f)</w:t>
            </w:r>
          </w:p>
        </w:tc>
        <w:tc>
          <w:tcPr>
            <w:tcW w:w="2023" w:type="dxa"/>
            <w:noWrap/>
            <w:hideMark/>
          </w:tcPr>
          <w:p w:rsidR="0021460E" w:rsidP="00727AE0" w14:paraId="56D83525" w14:textId="1849C8ED">
            <w:pPr>
              <w:rPr>
                <w:color w:val="000000"/>
                <w:sz w:val="22"/>
                <w:szCs w:val="22"/>
              </w:rPr>
            </w:pPr>
            <w:r>
              <w:rPr>
                <w:color w:val="000000"/>
                <w:sz w:val="22"/>
                <w:szCs w:val="22"/>
              </w:rPr>
              <w:t>Banks and MSBs the conduct money transmission</w:t>
            </w:r>
          </w:p>
        </w:tc>
        <w:tc>
          <w:tcPr>
            <w:tcW w:w="1874" w:type="dxa"/>
            <w:noWrap/>
            <w:hideMark/>
          </w:tcPr>
          <w:p w:rsidR="0087536F" w:rsidP="00727AE0" w14:paraId="3F7BB86A" w14:textId="77777777">
            <w:pPr>
              <w:jc w:val="center"/>
              <w:rPr>
                <w:color w:val="000000"/>
                <w:sz w:val="22"/>
                <w:szCs w:val="22"/>
              </w:rPr>
            </w:pPr>
            <w:r>
              <w:rPr>
                <w:color w:val="000000"/>
                <w:sz w:val="22"/>
                <w:szCs w:val="22"/>
              </w:rPr>
              <w:t>26,959</w:t>
            </w:r>
          </w:p>
        </w:tc>
        <w:tc>
          <w:tcPr>
            <w:tcW w:w="1482" w:type="dxa"/>
            <w:noWrap/>
            <w:hideMark/>
          </w:tcPr>
          <w:p w:rsidR="0087536F" w:rsidP="00727AE0" w14:paraId="085E8A89" w14:textId="77777777">
            <w:pPr>
              <w:jc w:val="center"/>
              <w:rPr>
                <w:color w:val="000000"/>
                <w:sz w:val="22"/>
                <w:szCs w:val="22"/>
              </w:rPr>
            </w:pPr>
            <w:r>
              <w:rPr>
                <w:color w:val="000000"/>
                <w:sz w:val="22"/>
                <w:szCs w:val="22"/>
              </w:rPr>
              <w:t>12</w:t>
            </w:r>
          </w:p>
        </w:tc>
        <w:tc>
          <w:tcPr>
            <w:tcW w:w="1710" w:type="dxa"/>
            <w:noWrap/>
            <w:hideMark/>
          </w:tcPr>
          <w:p w:rsidR="0087536F" w:rsidP="00727AE0" w14:paraId="2DF55CF2" w14:textId="77777777">
            <w:pPr>
              <w:jc w:val="right"/>
              <w:rPr>
                <w:color w:val="000000"/>
                <w:sz w:val="22"/>
                <w:szCs w:val="22"/>
              </w:rPr>
            </w:pPr>
            <w:r>
              <w:rPr>
                <w:color w:val="000000"/>
                <w:sz w:val="22"/>
                <w:szCs w:val="22"/>
              </w:rPr>
              <w:t>323,508</w:t>
            </w:r>
          </w:p>
        </w:tc>
      </w:tr>
      <w:tr w14:paraId="611E509F" w14:textId="77777777" w:rsidTr="00727AE0">
        <w:tblPrEx>
          <w:tblW w:w="8550" w:type="dxa"/>
          <w:tblLook w:val="04A0"/>
        </w:tblPrEx>
        <w:trPr>
          <w:trHeight w:val="438"/>
        </w:trPr>
        <w:tc>
          <w:tcPr>
            <w:tcW w:w="1461" w:type="dxa"/>
            <w:noWrap/>
            <w:hideMark/>
          </w:tcPr>
          <w:p w:rsidR="0087536F" w:rsidP="00727AE0" w14:paraId="25399EC7" w14:textId="77777777">
            <w:pPr>
              <w:rPr>
                <w:color w:val="000000"/>
                <w:sz w:val="22"/>
                <w:szCs w:val="22"/>
              </w:rPr>
            </w:pPr>
            <w:r>
              <w:rPr>
                <w:color w:val="000000"/>
                <w:sz w:val="22"/>
                <w:szCs w:val="22"/>
              </w:rPr>
              <w:t>31 CFR 1022.420</w:t>
            </w:r>
          </w:p>
        </w:tc>
        <w:tc>
          <w:tcPr>
            <w:tcW w:w="2023" w:type="dxa"/>
            <w:noWrap/>
            <w:hideMark/>
          </w:tcPr>
          <w:p w:rsidR="0087536F" w:rsidP="00727AE0" w14:paraId="2E8D0505" w14:textId="77777777">
            <w:pPr>
              <w:rPr>
                <w:color w:val="000000"/>
                <w:sz w:val="22"/>
                <w:szCs w:val="22"/>
              </w:rPr>
            </w:pPr>
            <w:r>
              <w:rPr>
                <w:color w:val="000000"/>
                <w:sz w:val="22"/>
                <w:szCs w:val="22"/>
              </w:rPr>
              <w:t>MSBs that are providers or sellers of prepaid access</w:t>
            </w:r>
          </w:p>
        </w:tc>
        <w:tc>
          <w:tcPr>
            <w:tcW w:w="1874" w:type="dxa"/>
            <w:noWrap/>
            <w:hideMark/>
          </w:tcPr>
          <w:p w:rsidR="0087536F" w:rsidP="00727AE0" w14:paraId="73066AA7" w14:textId="77777777">
            <w:pPr>
              <w:jc w:val="center"/>
              <w:rPr>
                <w:color w:val="000000"/>
                <w:sz w:val="22"/>
                <w:szCs w:val="22"/>
              </w:rPr>
            </w:pPr>
            <w:r>
              <w:rPr>
                <w:color w:val="000000"/>
                <w:sz w:val="22"/>
                <w:szCs w:val="22"/>
              </w:rPr>
              <w:t>2,664</w:t>
            </w:r>
          </w:p>
        </w:tc>
        <w:tc>
          <w:tcPr>
            <w:tcW w:w="1482" w:type="dxa"/>
            <w:noWrap/>
            <w:hideMark/>
          </w:tcPr>
          <w:p w:rsidR="0087536F" w:rsidP="00727AE0" w14:paraId="583680B4" w14:textId="77777777">
            <w:pPr>
              <w:jc w:val="center"/>
              <w:rPr>
                <w:color w:val="000000"/>
                <w:sz w:val="22"/>
                <w:szCs w:val="22"/>
              </w:rPr>
            </w:pPr>
            <w:r>
              <w:rPr>
                <w:color w:val="000000"/>
                <w:sz w:val="22"/>
                <w:szCs w:val="22"/>
              </w:rPr>
              <w:t>16</w:t>
            </w:r>
          </w:p>
        </w:tc>
        <w:tc>
          <w:tcPr>
            <w:tcW w:w="1710" w:type="dxa"/>
            <w:noWrap/>
            <w:hideMark/>
          </w:tcPr>
          <w:p w:rsidR="0087536F" w:rsidP="00727AE0" w14:paraId="3DF452EE" w14:textId="77777777">
            <w:pPr>
              <w:jc w:val="right"/>
              <w:rPr>
                <w:color w:val="000000"/>
                <w:sz w:val="22"/>
                <w:szCs w:val="22"/>
              </w:rPr>
            </w:pPr>
            <w:r>
              <w:rPr>
                <w:color w:val="000000"/>
                <w:sz w:val="22"/>
                <w:szCs w:val="22"/>
              </w:rPr>
              <w:t>42,624</w:t>
            </w:r>
          </w:p>
        </w:tc>
      </w:tr>
      <w:tr w14:paraId="4F20CC6C" w14:textId="77777777" w:rsidTr="00727AE0">
        <w:tblPrEx>
          <w:tblW w:w="8550" w:type="dxa"/>
          <w:tblLook w:val="04A0"/>
        </w:tblPrEx>
        <w:trPr>
          <w:trHeight w:val="447"/>
        </w:trPr>
        <w:tc>
          <w:tcPr>
            <w:tcW w:w="5358" w:type="dxa"/>
            <w:gridSpan w:val="3"/>
            <w:noWrap/>
            <w:hideMark/>
          </w:tcPr>
          <w:p w:rsidR="0087536F" w:rsidRPr="00DE3A0A" w:rsidP="00727AE0" w14:paraId="1A89211F" w14:textId="77777777">
            <w:pPr>
              <w:rPr>
                <w:b/>
                <w:bCs/>
                <w:color w:val="000000"/>
                <w:sz w:val="22"/>
                <w:szCs w:val="22"/>
              </w:rPr>
            </w:pPr>
            <w:r>
              <w:rPr>
                <w:b/>
                <w:bCs/>
                <w:color w:val="000000"/>
                <w:sz w:val="22"/>
                <w:szCs w:val="22"/>
              </w:rPr>
              <w:t>Total annual burden hours</w:t>
            </w:r>
          </w:p>
          <w:p w:rsidR="0087536F" w:rsidP="00727AE0" w14:paraId="19C86EFE" w14:textId="77777777">
            <w:pPr>
              <w:jc w:val="center"/>
              <w:rPr>
                <w:color w:val="000000"/>
                <w:sz w:val="22"/>
                <w:szCs w:val="22"/>
              </w:rPr>
            </w:pPr>
          </w:p>
        </w:tc>
        <w:tc>
          <w:tcPr>
            <w:tcW w:w="3192" w:type="dxa"/>
            <w:gridSpan w:val="2"/>
            <w:noWrap/>
            <w:hideMark/>
          </w:tcPr>
          <w:p w:rsidR="0087536F" w:rsidP="00727AE0" w14:paraId="3956B9C0" w14:textId="1ECB426A">
            <w:pPr>
              <w:jc w:val="right"/>
              <w:rPr>
                <w:b/>
                <w:bCs/>
                <w:color w:val="000000"/>
                <w:sz w:val="22"/>
                <w:szCs w:val="22"/>
              </w:rPr>
            </w:pPr>
            <w:r>
              <w:rPr>
                <w:b/>
                <w:bCs/>
                <w:color w:val="000000"/>
                <w:sz w:val="22"/>
                <w:szCs w:val="22"/>
              </w:rPr>
              <w:t>4,015,839</w:t>
            </w:r>
          </w:p>
        </w:tc>
      </w:tr>
    </w:tbl>
    <w:p w:rsidR="00D85EB1" w:rsidP="00736FD7" w14:paraId="32C727A1" w14:textId="77777777">
      <w:pPr>
        <w:widowControl w:val="0"/>
        <w:autoSpaceDE w:val="0"/>
        <w:autoSpaceDN w:val="0"/>
        <w:adjustRightInd w:val="0"/>
        <w:spacing w:line="268" w:lineRule="exact"/>
        <w:jc w:val="both"/>
      </w:pPr>
    </w:p>
    <w:p w:rsidR="00D85EB1" w:rsidP="00736FD7" w14:paraId="0C23330C" w14:textId="77777777">
      <w:pPr>
        <w:widowControl w:val="0"/>
        <w:autoSpaceDE w:val="0"/>
        <w:autoSpaceDN w:val="0"/>
        <w:adjustRightInd w:val="0"/>
        <w:spacing w:line="268" w:lineRule="exact"/>
        <w:jc w:val="both"/>
      </w:pPr>
    </w:p>
    <w:p w:rsidR="00691DF0" w:rsidP="00736FD7" w14:paraId="56446707" w14:textId="77777777">
      <w:pPr>
        <w:widowControl w:val="0"/>
        <w:autoSpaceDE w:val="0"/>
        <w:autoSpaceDN w:val="0"/>
        <w:adjustRightInd w:val="0"/>
        <w:spacing w:line="268" w:lineRule="exact"/>
        <w:jc w:val="both"/>
        <w:rPr>
          <w:u w:val="single"/>
        </w:rPr>
      </w:pPr>
      <w:r>
        <w:t xml:space="preserve">13. </w:t>
      </w:r>
      <w:r>
        <w:rPr>
          <w:u w:val="single"/>
        </w:rPr>
        <w:t xml:space="preserve">Estimated </w:t>
      </w:r>
      <w:r>
        <w:rPr>
          <w:u w:val="single"/>
        </w:rPr>
        <w:t xml:space="preserve">total annual cost burden of the information collection. </w:t>
      </w:r>
    </w:p>
    <w:p w:rsidR="00691DF0" w:rsidP="00736FD7" w14:paraId="28C27E1A" w14:textId="77777777">
      <w:pPr>
        <w:widowControl w:val="0"/>
        <w:autoSpaceDE w:val="0"/>
        <w:autoSpaceDN w:val="0"/>
        <w:adjustRightInd w:val="0"/>
        <w:spacing w:line="268" w:lineRule="exact"/>
        <w:jc w:val="both"/>
        <w:rPr>
          <w:u w:val="single"/>
        </w:rPr>
      </w:pPr>
    </w:p>
    <w:p w:rsidR="00B60CA7" w:rsidRPr="009E0939" w:rsidP="00736FD7" w14:paraId="035EA68D" w14:textId="3F64FB5A">
      <w:pPr>
        <w:widowControl w:val="0"/>
        <w:autoSpaceDE w:val="0"/>
        <w:autoSpaceDN w:val="0"/>
        <w:adjustRightInd w:val="0"/>
        <w:spacing w:line="268" w:lineRule="exact"/>
        <w:jc w:val="both"/>
      </w:pPr>
      <w:r>
        <w:rPr>
          <w:u w:val="single"/>
        </w:rPr>
        <w:t xml:space="preserve">Estimated </w:t>
      </w:r>
      <w:r w:rsidR="0038185A">
        <w:rPr>
          <w:u w:val="single"/>
        </w:rPr>
        <w:t>T</w:t>
      </w:r>
      <w:r>
        <w:rPr>
          <w:u w:val="single"/>
        </w:rPr>
        <w:t>otal Annual Recordkeeping Cost</w:t>
      </w:r>
      <w:r w:rsidRPr="00FD495C">
        <w:t>:</w:t>
      </w:r>
      <w:r w:rsidRPr="00FD495C" w:rsidR="000C718E">
        <w:t xml:space="preserve">  </w:t>
      </w:r>
      <w:r w:rsidRPr="000C718E" w:rsidR="000C718E">
        <w:t>$426,883,685.70</w:t>
      </w:r>
    </w:p>
    <w:p w:rsidR="00D625C6" w:rsidP="00736FD7" w14:paraId="61281E6D" w14:textId="77777777">
      <w:pPr>
        <w:widowControl w:val="0"/>
        <w:autoSpaceDE w:val="0"/>
        <w:autoSpaceDN w:val="0"/>
        <w:adjustRightInd w:val="0"/>
        <w:spacing w:line="268" w:lineRule="exact"/>
        <w:jc w:val="both"/>
        <w:rPr>
          <w:u w:val="single"/>
        </w:rPr>
      </w:pPr>
      <w:bookmarkStart w:id="5" w:name="_Hlk178326622"/>
    </w:p>
    <w:p w:rsidR="009D67C4" w:rsidRPr="0052534B" w:rsidP="004F2ADB" w14:paraId="5AD4ED05" w14:textId="77777777">
      <w:pPr>
        <w:ind w:firstLine="720"/>
      </w:pPr>
      <w:r>
        <w:t>FinCEN is utilizing the same fully loaded composite hourly wage rate of $106.30 utilized in the 2024 notices of proposed rulemaking (NPRMs) entitled Customer Identification Programs for Registered Investment Advisers and Exempt Reporting Companies and Anti-Money Laundering and Countering the Financing of Terrorism Programs, as well as in recent 60-Day Notices to renew OMB control numbers corresponding to specific BSA regulations.</w:t>
      </w:r>
      <w:r>
        <w:rPr>
          <w:rStyle w:val="FootnoteReference"/>
        </w:rPr>
        <w:footnoteReference w:id="37"/>
      </w:r>
      <w:bookmarkStart w:id="6" w:name="_Hlk140495282"/>
    </w:p>
    <w:bookmarkEnd w:id="6"/>
    <w:p w:rsidR="009D67C4" w:rsidP="009D67C4" w14:paraId="00806B36" w14:textId="77777777"/>
    <w:p w:rsidR="009D67C4" w:rsidP="009D67C4" w14:paraId="3595C397" w14:textId="488C7C97">
      <w:pPr>
        <w:ind w:firstLine="720"/>
      </w:pPr>
      <w:r>
        <w:t xml:space="preserve">The total estimated cost of the annual PRA </w:t>
      </w:r>
      <w:r w:rsidRPr="009375A2">
        <w:t xml:space="preserve">burden is </w:t>
      </w:r>
      <w:r w:rsidRPr="003807CD">
        <w:t>$</w:t>
      </w:r>
      <w:r w:rsidRPr="00E51084" w:rsidR="00736F71">
        <w:t>426,883,685.70</w:t>
      </w:r>
      <w:r w:rsidRPr="00736F71">
        <w:t>,</w:t>
      </w:r>
      <w:r w:rsidRPr="009375A2">
        <w:t xml:space="preserve"> as</w:t>
      </w:r>
      <w:r>
        <w:t xml:space="preserve"> reflected in table 3 below:</w:t>
      </w:r>
    </w:p>
    <w:p w:rsidR="009D67C4" w:rsidRPr="00BF1EE7" w:rsidP="004F2ADB" w14:paraId="558A5D47" w14:textId="77777777">
      <w:pPr>
        <w:ind w:firstLine="720"/>
      </w:pPr>
    </w:p>
    <w:tbl>
      <w:tblPr>
        <w:tblW w:w="8640" w:type="dxa"/>
        <w:tblLook w:val="04A0"/>
      </w:tblPr>
      <w:tblGrid>
        <w:gridCol w:w="1618"/>
        <w:gridCol w:w="2252"/>
        <w:gridCol w:w="2095"/>
        <w:gridCol w:w="2675"/>
      </w:tblGrid>
      <w:tr w14:paraId="5AC55612" w14:textId="77777777" w:rsidTr="00A05BCB">
        <w:tblPrEx>
          <w:tblW w:w="8640" w:type="dxa"/>
          <w:tblLook w:val="04A0"/>
        </w:tblPrEx>
        <w:trPr>
          <w:trHeight w:val="374"/>
        </w:trPr>
        <w:tc>
          <w:tcPr>
            <w:tcW w:w="8640" w:type="dxa"/>
            <w:gridSpan w:val="4"/>
            <w:tcBorders>
              <w:bottom w:val="single" w:sz="4" w:space="0" w:color="auto"/>
            </w:tcBorders>
            <w:noWrap/>
            <w:hideMark/>
          </w:tcPr>
          <w:p w:rsidR="009D67C4" w:rsidP="00A05BCB" w14:paraId="4D7D4B7A" w14:textId="77777777">
            <w:pPr>
              <w:rPr>
                <w:b/>
                <w:bCs/>
                <w:color w:val="000000"/>
                <w:sz w:val="22"/>
                <w:szCs w:val="22"/>
              </w:rPr>
            </w:pPr>
            <w:r w:rsidRPr="00AA04FA">
              <w:rPr>
                <w:b/>
                <w:bCs/>
                <w:sz w:val="22"/>
                <w:szCs w:val="22"/>
              </w:rPr>
              <w:t>Table 3. Estimated total cost of annual PRA burden</w:t>
            </w:r>
          </w:p>
        </w:tc>
      </w:tr>
      <w:tr w14:paraId="713055CE" w14:textId="77777777" w:rsidTr="00A05BCB">
        <w:tblPrEx>
          <w:tblW w:w="8640" w:type="dxa"/>
          <w:tblLook w:val="04A0"/>
        </w:tblPrEx>
        <w:trPr>
          <w:trHeight w:val="413"/>
        </w:trPr>
        <w:tc>
          <w:tcPr>
            <w:tcW w:w="1618" w:type="dxa"/>
            <w:tcBorders>
              <w:top w:val="single" w:sz="4" w:space="0" w:color="auto"/>
              <w:left w:val="single" w:sz="4" w:space="0" w:color="auto"/>
              <w:bottom w:val="single" w:sz="4" w:space="0" w:color="auto"/>
              <w:right w:val="single" w:sz="4" w:space="0" w:color="auto"/>
            </w:tcBorders>
            <w:noWrap/>
            <w:hideMark/>
          </w:tcPr>
          <w:p w:rsidR="009D67C4" w:rsidP="00A05BCB" w14:paraId="5F83C6B4" w14:textId="77777777">
            <w:pPr>
              <w:jc w:val="center"/>
              <w:rPr>
                <w:b/>
                <w:bCs/>
                <w:color w:val="000000"/>
                <w:sz w:val="22"/>
                <w:szCs w:val="22"/>
              </w:rPr>
            </w:pPr>
            <w:r>
              <w:rPr>
                <w:b/>
                <w:bCs/>
                <w:color w:val="000000"/>
                <w:sz w:val="22"/>
                <w:szCs w:val="22"/>
              </w:rPr>
              <w:t>Regulatory requirement</w:t>
            </w:r>
          </w:p>
        </w:tc>
        <w:tc>
          <w:tcPr>
            <w:tcW w:w="2252" w:type="dxa"/>
            <w:tcBorders>
              <w:top w:val="single" w:sz="4" w:space="0" w:color="auto"/>
              <w:left w:val="single" w:sz="4" w:space="0" w:color="auto"/>
              <w:bottom w:val="single" w:sz="4" w:space="0" w:color="auto"/>
              <w:right w:val="single" w:sz="4" w:space="0" w:color="auto"/>
            </w:tcBorders>
            <w:noWrap/>
            <w:hideMark/>
          </w:tcPr>
          <w:p w:rsidR="009D67C4" w:rsidP="00A05BCB" w14:paraId="5D6AE33F" w14:textId="77777777">
            <w:pPr>
              <w:jc w:val="center"/>
              <w:rPr>
                <w:b/>
                <w:bCs/>
                <w:color w:val="000000"/>
                <w:sz w:val="22"/>
                <w:szCs w:val="22"/>
              </w:rPr>
            </w:pPr>
            <w:r>
              <w:rPr>
                <w:b/>
                <w:bCs/>
                <w:color w:val="000000"/>
                <w:sz w:val="22"/>
                <w:szCs w:val="22"/>
              </w:rPr>
              <w:t>Burden hours</w:t>
            </w:r>
          </w:p>
        </w:tc>
        <w:tc>
          <w:tcPr>
            <w:tcW w:w="2095" w:type="dxa"/>
            <w:tcBorders>
              <w:top w:val="single" w:sz="4" w:space="0" w:color="auto"/>
              <w:left w:val="single" w:sz="4" w:space="0" w:color="auto"/>
              <w:bottom w:val="single" w:sz="4" w:space="0" w:color="auto"/>
              <w:right w:val="single" w:sz="4" w:space="0" w:color="auto"/>
            </w:tcBorders>
            <w:noWrap/>
            <w:hideMark/>
          </w:tcPr>
          <w:p w:rsidR="009D67C4" w:rsidP="00A05BCB" w14:paraId="689CCB64" w14:textId="77777777">
            <w:pPr>
              <w:jc w:val="center"/>
              <w:rPr>
                <w:b/>
                <w:bCs/>
                <w:color w:val="000000"/>
                <w:sz w:val="22"/>
                <w:szCs w:val="22"/>
              </w:rPr>
            </w:pPr>
            <w:r>
              <w:rPr>
                <w:b/>
                <w:bCs/>
                <w:color w:val="000000"/>
                <w:sz w:val="22"/>
                <w:szCs w:val="22"/>
              </w:rPr>
              <w:t>Wage rate</w:t>
            </w:r>
          </w:p>
        </w:tc>
        <w:tc>
          <w:tcPr>
            <w:tcW w:w="2675" w:type="dxa"/>
            <w:tcBorders>
              <w:top w:val="single" w:sz="4" w:space="0" w:color="auto"/>
              <w:left w:val="single" w:sz="4" w:space="0" w:color="auto"/>
              <w:bottom w:val="single" w:sz="4" w:space="0" w:color="auto"/>
              <w:right w:val="single" w:sz="4" w:space="0" w:color="auto"/>
            </w:tcBorders>
            <w:noWrap/>
            <w:hideMark/>
          </w:tcPr>
          <w:p w:rsidR="009D67C4" w:rsidP="00A05BCB" w14:paraId="62339D8F" w14:textId="77777777">
            <w:pPr>
              <w:jc w:val="center"/>
              <w:rPr>
                <w:b/>
                <w:bCs/>
                <w:color w:val="000000"/>
                <w:sz w:val="22"/>
                <w:szCs w:val="22"/>
              </w:rPr>
            </w:pPr>
            <w:r>
              <w:rPr>
                <w:b/>
                <w:bCs/>
                <w:color w:val="000000"/>
                <w:sz w:val="22"/>
                <w:szCs w:val="22"/>
              </w:rPr>
              <w:t>Total cost</w:t>
            </w:r>
          </w:p>
        </w:tc>
      </w:tr>
      <w:tr w14:paraId="4BC6EAF2" w14:textId="77777777" w:rsidTr="00A05BCB">
        <w:tblPrEx>
          <w:tblW w:w="8640" w:type="dxa"/>
          <w:tblLook w:val="04A0"/>
        </w:tblPrEx>
        <w:trPr>
          <w:trHeight w:val="585"/>
        </w:trPr>
        <w:tc>
          <w:tcPr>
            <w:tcW w:w="1618" w:type="dxa"/>
            <w:tcBorders>
              <w:top w:val="single" w:sz="4" w:space="0" w:color="auto"/>
              <w:left w:val="single" w:sz="4" w:space="0" w:color="auto"/>
              <w:bottom w:val="single" w:sz="4" w:space="0" w:color="auto"/>
              <w:right w:val="single" w:sz="4" w:space="0" w:color="auto"/>
            </w:tcBorders>
            <w:noWrap/>
            <w:hideMark/>
          </w:tcPr>
          <w:p w:rsidR="009D67C4" w:rsidP="00A05BCB" w14:paraId="6658BE63" w14:textId="77777777">
            <w:pPr>
              <w:rPr>
                <w:color w:val="000000"/>
                <w:sz w:val="22"/>
                <w:szCs w:val="22"/>
              </w:rPr>
            </w:pPr>
            <w:r>
              <w:rPr>
                <w:color w:val="000000"/>
                <w:sz w:val="22"/>
                <w:szCs w:val="22"/>
              </w:rPr>
              <w:t>31 CFR 1010.410(a) – (c)</w:t>
            </w:r>
          </w:p>
        </w:tc>
        <w:tc>
          <w:tcPr>
            <w:tcW w:w="2252"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758CD439" w14:textId="77777777">
            <w:pPr>
              <w:jc w:val="right"/>
              <w:rPr>
                <w:color w:val="000000"/>
                <w:sz w:val="22"/>
                <w:szCs w:val="22"/>
              </w:rPr>
            </w:pPr>
            <w:r>
              <w:rPr>
                <w:color w:val="000000"/>
                <w:sz w:val="22"/>
                <w:szCs w:val="22"/>
              </w:rPr>
              <w:t xml:space="preserve">        3,379,355 </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36B67D01" w14:textId="77777777">
            <w:pPr>
              <w:jc w:val="center"/>
              <w:rPr>
                <w:color w:val="000000"/>
                <w:sz w:val="22"/>
                <w:szCs w:val="22"/>
              </w:rPr>
            </w:pPr>
            <w:r>
              <w:rPr>
                <w:color w:val="000000"/>
                <w:sz w:val="22"/>
                <w:szCs w:val="22"/>
              </w:rPr>
              <w:t>$   106.30</w:t>
            </w: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11E6513A" w14:textId="77777777">
            <w:pPr>
              <w:jc w:val="right"/>
              <w:rPr>
                <w:color w:val="000000"/>
                <w:sz w:val="22"/>
                <w:szCs w:val="22"/>
              </w:rPr>
            </w:pPr>
            <w:r>
              <w:rPr>
                <w:color w:val="000000"/>
                <w:sz w:val="22"/>
                <w:szCs w:val="22"/>
              </w:rPr>
              <w:t xml:space="preserve"> $359,225,436.50 </w:t>
            </w:r>
          </w:p>
        </w:tc>
      </w:tr>
      <w:tr w14:paraId="5EE15CE5" w14:textId="77777777" w:rsidTr="00A05BCB">
        <w:tblPrEx>
          <w:tblW w:w="8640" w:type="dxa"/>
          <w:tblLook w:val="04A0"/>
        </w:tblPrEx>
        <w:trPr>
          <w:trHeight w:val="393"/>
        </w:trPr>
        <w:tc>
          <w:tcPr>
            <w:tcW w:w="1618" w:type="dxa"/>
            <w:tcBorders>
              <w:top w:val="single" w:sz="4" w:space="0" w:color="auto"/>
              <w:left w:val="single" w:sz="4" w:space="0" w:color="auto"/>
              <w:bottom w:val="single" w:sz="4" w:space="0" w:color="auto"/>
              <w:right w:val="single" w:sz="4" w:space="0" w:color="auto"/>
            </w:tcBorders>
            <w:noWrap/>
            <w:hideMark/>
          </w:tcPr>
          <w:p w:rsidR="009D67C4" w:rsidP="00A05BCB" w14:paraId="29302DB1" w14:textId="77777777">
            <w:pPr>
              <w:rPr>
                <w:color w:val="000000"/>
                <w:sz w:val="22"/>
                <w:szCs w:val="22"/>
              </w:rPr>
            </w:pPr>
            <w:r>
              <w:rPr>
                <w:color w:val="000000"/>
                <w:sz w:val="22"/>
                <w:szCs w:val="22"/>
              </w:rPr>
              <w:t>31 CFR 1010.410(e)</w:t>
            </w:r>
          </w:p>
        </w:tc>
        <w:tc>
          <w:tcPr>
            <w:tcW w:w="2252"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3855A8BB" w14:textId="77777777">
            <w:pPr>
              <w:jc w:val="right"/>
              <w:rPr>
                <w:color w:val="000000"/>
                <w:sz w:val="22"/>
                <w:szCs w:val="22"/>
              </w:rPr>
            </w:pPr>
            <w:r>
              <w:rPr>
                <w:color w:val="000000"/>
                <w:sz w:val="22"/>
                <w:szCs w:val="22"/>
              </w:rPr>
              <w:t xml:space="preserve">          270,352 </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4936E812" w14:textId="77777777">
            <w:pPr>
              <w:jc w:val="center"/>
              <w:rPr>
                <w:color w:val="000000"/>
                <w:sz w:val="22"/>
                <w:szCs w:val="22"/>
              </w:rPr>
            </w:pPr>
            <w:r>
              <w:rPr>
                <w:color w:val="000000"/>
                <w:sz w:val="22"/>
                <w:szCs w:val="22"/>
              </w:rPr>
              <w:t>$   106.30</w:t>
            </w: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5A71E815" w14:textId="77777777">
            <w:pPr>
              <w:jc w:val="right"/>
              <w:rPr>
                <w:color w:val="000000"/>
                <w:sz w:val="22"/>
                <w:szCs w:val="22"/>
              </w:rPr>
            </w:pPr>
            <w:r>
              <w:rPr>
                <w:color w:val="000000"/>
                <w:sz w:val="22"/>
                <w:szCs w:val="22"/>
              </w:rPr>
              <w:t xml:space="preserve"> $28,738,417.60 </w:t>
            </w:r>
          </w:p>
        </w:tc>
      </w:tr>
      <w:tr w14:paraId="1235FE58" w14:textId="77777777" w:rsidTr="00A05BCB">
        <w:tblPrEx>
          <w:tblW w:w="8640" w:type="dxa"/>
          <w:tblLook w:val="04A0"/>
        </w:tblPrEx>
        <w:trPr>
          <w:trHeight w:val="393"/>
        </w:trPr>
        <w:tc>
          <w:tcPr>
            <w:tcW w:w="1618" w:type="dxa"/>
            <w:tcBorders>
              <w:top w:val="single" w:sz="4" w:space="0" w:color="auto"/>
              <w:left w:val="single" w:sz="4" w:space="0" w:color="auto"/>
              <w:bottom w:val="single" w:sz="4" w:space="0" w:color="auto"/>
              <w:right w:val="single" w:sz="4" w:space="0" w:color="auto"/>
            </w:tcBorders>
            <w:noWrap/>
            <w:hideMark/>
          </w:tcPr>
          <w:p w:rsidR="009D67C4" w:rsidP="00A05BCB" w14:paraId="06B5B348" w14:textId="77777777">
            <w:pPr>
              <w:rPr>
                <w:color w:val="000000"/>
                <w:sz w:val="22"/>
                <w:szCs w:val="22"/>
              </w:rPr>
            </w:pPr>
            <w:r>
              <w:rPr>
                <w:color w:val="000000"/>
                <w:sz w:val="22"/>
                <w:szCs w:val="22"/>
              </w:rPr>
              <w:t>31 CFR 1010.410(f)</w:t>
            </w:r>
          </w:p>
        </w:tc>
        <w:tc>
          <w:tcPr>
            <w:tcW w:w="2252"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03AB8ED4" w14:textId="77777777">
            <w:pPr>
              <w:jc w:val="right"/>
              <w:rPr>
                <w:color w:val="000000"/>
                <w:sz w:val="22"/>
                <w:szCs w:val="22"/>
              </w:rPr>
            </w:pPr>
            <w:r>
              <w:rPr>
                <w:color w:val="000000"/>
                <w:sz w:val="22"/>
                <w:szCs w:val="22"/>
              </w:rPr>
              <w:t xml:space="preserve">          323,508 </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6792FAEF" w14:textId="77777777">
            <w:pPr>
              <w:jc w:val="center"/>
              <w:rPr>
                <w:color w:val="000000"/>
                <w:sz w:val="22"/>
                <w:szCs w:val="22"/>
              </w:rPr>
            </w:pPr>
            <w:r>
              <w:rPr>
                <w:color w:val="000000"/>
                <w:sz w:val="22"/>
                <w:szCs w:val="22"/>
              </w:rPr>
              <w:t>$   106.30</w:t>
            </w: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0CB18B34" w14:textId="77777777">
            <w:pPr>
              <w:jc w:val="right"/>
              <w:rPr>
                <w:color w:val="000000"/>
                <w:sz w:val="22"/>
                <w:szCs w:val="22"/>
              </w:rPr>
            </w:pPr>
            <w:r>
              <w:rPr>
                <w:color w:val="000000"/>
                <w:sz w:val="22"/>
                <w:szCs w:val="22"/>
              </w:rPr>
              <w:t xml:space="preserve"> $34,388,900.40 </w:t>
            </w:r>
          </w:p>
        </w:tc>
      </w:tr>
      <w:tr w14:paraId="2080D2AF" w14:textId="77777777" w:rsidTr="00A05BCB">
        <w:tblPrEx>
          <w:tblW w:w="8640" w:type="dxa"/>
          <w:tblLook w:val="04A0"/>
        </w:tblPrEx>
        <w:trPr>
          <w:trHeight w:val="393"/>
        </w:trPr>
        <w:tc>
          <w:tcPr>
            <w:tcW w:w="1618" w:type="dxa"/>
            <w:tcBorders>
              <w:top w:val="single" w:sz="4" w:space="0" w:color="auto"/>
              <w:left w:val="single" w:sz="4" w:space="0" w:color="auto"/>
              <w:bottom w:val="single" w:sz="4" w:space="0" w:color="auto"/>
              <w:right w:val="single" w:sz="4" w:space="0" w:color="auto"/>
            </w:tcBorders>
            <w:noWrap/>
            <w:hideMark/>
          </w:tcPr>
          <w:p w:rsidR="009D67C4" w:rsidP="00A05BCB" w14:paraId="3C6B2F24" w14:textId="77777777">
            <w:pPr>
              <w:rPr>
                <w:color w:val="000000"/>
                <w:sz w:val="22"/>
                <w:szCs w:val="22"/>
              </w:rPr>
            </w:pPr>
            <w:r>
              <w:rPr>
                <w:color w:val="000000"/>
                <w:sz w:val="22"/>
                <w:szCs w:val="22"/>
              </w:rPr>
              <w:t>31 CFR 1022.420</w:t>
            </w:r>
          </w:p>
        </w:tc>
        <w:tc>
          <w:tcPr>
            <w:tcW w:w="2252"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76FC4241" w14:textId="77777777">
            <w:pPr>
              <w:jc w:val="right"/>
              <w:rPr>
                <w:color w:val="000000"/>
                <w:sz w:val="22"/>
                <w:szCs w:val="22"/>
              </w:rPr>
            </w:pPr>
            <w:r>
              <w:rPr>
                <w:color w:val="000000"/>
                <w:sz w:val="22"/>
                <w:szCs w:val="22"/>
              </w:rPr>
              <w:t xml:space="preserve">            42,624 </w:t>
            </w:r>
          </w:p>
        </w:tc>
        <w:tc>
          <w:tcPr>
            <w:tcW w:w="209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4686B112" w14:textId="77777777">
            <w:pPr>
              <w:jc w:val="center"/>
              <w:rPr>
                <w:color w:val="000000"/>
                <w:sz w:val="22"/>
                <w:szCs w:val="22"/>
              </w:rPr>
            </w:pPr>
            <w:r>
              <w:rPr>
                <w:color w:val="000000"/>
                <w:sz w:val="22"/>
                <w:szCs w:val="22"/>
              </w:rPr>
              <w:t>$   106.30</w:t>
            </w: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9D67C4" w:rsidP="00A05BCB" w14:paraId="3843EA50" w14:textId="77777777">
            <w:pPr>
              <w:jc w:val="right"/>
              <w:rPr>
                <w:color w:val="000000"/>
                <w:sz w:val="22"/>
                <w:szCs w:val="22"/>
              </w:rPr>
            </w:pPr>
            <w:r>
              <w:rPr>
                <w:color w:val="000000"/>
                <w:sz w:val="22"/>
                <w:szCs w:val="22"/>
              </w:rPr>
              <w:t xml:space="preserve"> $4,530,931.20 </w:t>
            </w:r>
          </w:p>
        </w:tc>
      </w:tr>
      <w:tr w14:paraId="5BBB1A02" w14:textId="77777777" w:rsidTr="00A05BCB">
        <w:tblPrEx>
          <w:tblW w:w="8640" w:type="dxa"/>
          <w:tblLook w:val="04A0"/>
        </w:tblPrEx>
        <w:trPr>
          <w:trHeight w:val="441"/>
        </w:trPr>
        <w:tc>
          <w:tcPr>
            <w:tcW w:w="3870" w:type="dxa"/>
            <w:gridSpan w:val="2"/>
            <w:tcBorders>
              <w:top w:val="single" w:sz="4" w:space="0" w:color="auto"/>
              <w:left w:val="single" w:sz="4" w:space="0" w:color="auto"/>
              <w:bottom w:val="single" w:sz="4" w:space="0" w:color="auto"/>
              <w:right w:val="single" w:sz="4" w:space="0" w:color="auto"/>
            </w:tcBorders>
            <w:noWrap/>
            <w:vAlign w:val="center"/>
            <w:hideMark/>
          </w:tcPr>
          <w:p w:rsidR="009D67C4" w:rsidRPr="00DE3A0A" w:rsidP="00A05BCB" w14:paraId="64EC99FB" w14:textId="77777777">
            <w:pPr>
              <w:rPr>
                <w:b/>
                <w:color w:val="000000"/>
                <w:sz w:val="22"/>
                <w:szCs w:val="22"/>
              </w:rPr>
            </w:pPr>
            <w:r>
              <w:rPr>
                <w:b/>
                <w:bCs/>
                <w:color w:val="000000"/>
                <w:sz w:val="22"/>
                <w:szCs w:val="22"/>
              </w:rPr>
              <w:t>Total annual cost</w:t>
            </w:r>
          </w:p>
        </w:tc>
        <w:tc>
          <w:tcPr>
            <w:tcW w:w="2095" w:type="dxa"/>
            <w:tcBorders>
              <w:top w:val="single" w:sz="4" w:space="0" w:color="auto"/>
              <w:left w:val="single" w:sz="4" w:space="0" w:color="auto"/>
              <w:bottom w:val="single" w:sz="4" w:space="0" w:color="auto"/>
              <w:right w:val="single" w:sz="4" w:space="0" w:color="auto"/>
            </w:tcBorders>
          </w:tcPr>
          <w:p w:rsidR="009D67C4" w:rsidP="00A05BCB" w14:paraId="63DC30BC" w14:textId="77777777">
            <w:pPr>
              <w:jc w:val="right"/>
              <w:rPr>
                <w:color w:val="000000"/>
                <w:sz w:val="22"/>
                <w:szCs w:val="22"/>
              </w:rPr>
            </w:pPr>
          </w:p>
        </w:tc>
        <w:tc>
          <w:tcPr>
            <w:tcW w:w="2675" w:type="dxa"/>
            <w:tcBorders>
              <w:top w:val="single" w:sz="4" w:space="0" w:color="auto"/>
              <w:left w:val="single" w:sz="4" w:space="0" w:color="auto"/>
              <w:bottom w:val="single" w:sz="4" w:space="0" w:color="auto"/>
              <w:right w:val="single" w:sz="4" w:space="0" w:color="auto"/>
            </w:tcBorders>
            <w:noWrap/>
            <w:vAlign w:val="center"/>
            <w:hideMark/>
          </w:tcPr>
          <w:p w:rsidR="009D67C4" w:rsidRPr="00551459" w:rsidP="00A05BCB" w14:paraId="1146947C" w14:textId="4767345B">
            <w:pPr>
              <w:jc w:val="right"/>
              <w:rPr>
                <w:b/>
                <w:bCs/>
                <w:color w:val="000000"/>
                <w:sz w:val="22"/>
                <w:szCs w:val="22"/>
              </w:rPr>
            </w:pPr>
            <w:r w:rsidRPr="00551459">
              <w:rPr>
                <w:b/>
                <w:bCs/>
                <w:color w:val="000000"/>
                <w:sz w:val="22"/>
                <w:szCs w:val="22"/>
              </w:rPr>
              <w:t xml:space="preserve"> $</w:t>
            </w:r>
            <w:r w:rsidR="00712A9D">
              <w:rPr>
                <w:b/>
                <w:bCs/>
                <w:color w:val="000000"/>
                <w:sz w:val="22"/>
                <w:szCs w:val="22"/>
              </w:rPr>
              <w:t>426,883</w:t>
            </w:r>
            <w:r w:rsidR="00736F71">
              <w:rPr>
                <w:b/>
                <w:bCs/>
                <w:color w:val="000000"/>
                <w:sz w:val="22"/>
                <w:szCs w:val="22"/>
              </w:rPr>
              <w:t>,685.7</w:t>
            </w:r>
            <w:r w:rsidR="00AA57CE">
              <w:rPr>
                <w:b/>
                <w:bCs/>
                <w:color w:val="000000"/>
                <w:sz w:val="22"/>
                <w:szCs w:val="22"/>
              </w:rPr>
              <w:t>0</w:t>
            </w:r>
            <w:r w:rsidRPr="00551459">
              <w:rPr>
                <w:b/>
                <w:bCs/>
                <w:color w:val="000000"/>
                <w:sz w:val="22"/>
                <w:szCs w:val="22"/>
              </w:rPr>
              <w:t xml:space="preserve"> </w:t>
            </w:r>
          </w:p>
        </w:tc>
      </w:tr>
      <w:bookmarkEnd w:id="5"/>
    </w:tbl>
    <w:p w:rsidR="00420C9C" w:rsidP="00D91B0A" w14:paraId="2A1B33ED" w14:textId="25250E8F">
      <w:pPr>
        <w:widowControl w:val="0"/>
        <w:autoSpaceDE w:val="0"/>
        <w:autoSpaceDN w:val="0"/>
        <w:adjustRightInd w:val="0"/>
        <w:spacing w:line="268" w:lineRule="exact"/>
        <w:jc w:val="both"/>
        <w:rPr>
          <w:u w:val="single"/>
        </w:rPr>
      </w:pPr>
    </w:p>
    <w:p w:rsidR="0037232E" w:rsidP="00E554CF" w14:paraId="70A3E562" w14:textId="05F65585">
      <w:pPr>
        <w:ind w:firstLine="720"/>
        <w:rPr>
          <w:iCs/>
        </w:rPr>
      </w:pPr>
      <w:r w:rsidRPr="000F2B76">
        <w:rPr>
          <w:iCs/>
        </w:rPr>
        <w:t xml:space="preserve">There are </w:t>
      </w:r>
      <w:r w:rsidRPr="00E554CF" w:rsidR="00D600F2">
        <w:rPr>
          <w:iCs/>
        </w:rPr>
        <w:t>no estimates of</w:t>
      </w:r>
      <w:r w:rsidRPr="000F2B76">
        <w:rPr>
          <w:iCs/>
        </w:rPr>
        <w:t xml:space="preserve"> non-labor costs associated</w:t>
      </w:r>
      <w:r w:rsidRPr="0037232E">
        <w:rPr>
          <w:iCs/>
        </w:rPr>
        <w:t xml:space="preserve"> with this collection of information.</w:t>
      </w:r>
    </w:p>
    <w:p w:rsidR="0037232E" w:rsidRPr="0037232E" w:rsidP="0037232E" w14:paraId="5AA3DC15" w14:textId="77777777">
      <w:pPr>
        <w:ind w:left="720"/>
        <w:rPr>
          <w:iCs/>
        </w:rPr>
      </w:pPr>
    </w:p>
    <w:p w:rsidR="00600940" w:rsidP="00420C9C" w14:paraId="5B3EF8A7" w14:textId="41222524">
      <w:pPr>
        <w:widowControl w:val="0"/>
        <w:autoSpaceDE w:val="0"/>
        <w:autoSpaceDN w:val="0"/>
        <w:adjustRightInd w:val="0"/>
        <w:spacing w:line="268" w:lineRule="exact"/>
        <w:jc w:val="both"/>
        <w:rPr>
          <w:szCs w:val="22"/>
        </w:rPr>
      </w:pPr>
      <w:r>
        <w:rPr>
          <w:szCs w:val="22"/>
        </w:rPr>
        <w:t>1</w:t>
      </w:r>
      <w:r>
        <w:rPr>
          <w:szCs w:val="22"/>
        </w:rPr>
        <w:t xml:space="preserve">4. </w:t>
      </w:r>
      <w:r>
        <w:rPr>
          <w:szCs w:val="22"/>
          <w:u w:val="single"/>
        </w:rPr>
        <w:t xml:space="preserve">Estimated </w:t>
      </w:r>
      <w:r w:rsidR="00691DF0">
        <w:rPr>
          <w:szCs w:val="22"/>
          <w:u w:val="single"/>
        </w:rPr>
        <w:t>a</w:t>
      </w:r>
      <w:r>
        <w:rPr>
          <w:szCs w:val="22"/>
          <w:u w:val="single"/>
        </w:rPr>
        <w:t xml:space="preserve">nnual </w:t>
      </w:r>
      <w:r w:rsidR="00691DF0">
        <w:rPr>
          <w:szCs w:val="22"/>
          <w:u w:val="single"/>
        </w:rPr>
        <w:t>c</w:t>
      </w:r>
      <w:r>
        <w:rPr>
          <w:szCs w:val="22"/>
          <w:u w:val="single"/>
        </w:rPr>
        <w:t xml:space="preserve">ost to the Federal </w:t>
      </w:r>
      <w:r w:rsidR="00691DF0">
        <w:rPr>
          <w:szCs w:val="22"/>
          <w:u w:val="single"/>
        </w:rPr>
        <w:t>g</w:t>
      </w:r>
      <w:r>
        <w:rPr>
          <w:szCs w:val="22"/>
          <w:u w:val="single"/>
        </w:rPr>
        <w:t>overnment</w:t>
      </w:r>
      <w:r w:rsidR="00691DF0">
        <w:rPr>
          <w:szCs w:val="22"/>
          <w:u w:val="single"/>
        </w:rPr>
        <w:t>.</w:t>
      </w:r>
      <w:r>
        <w:rPr>
          <w:szCs w:val="22"/>
        </w:rPr>
        <w:t xml:space="preserve"> </w:t>
      </w:r>
    </w:p>
    <w:p w:rsidR="004A0AAB" w:rsidP="00BD3BF4" w14:paraId="19D61582" w14:textId="77777777">
      <w:pPr>
        <w:ind w:firstLine="720"/>
      </w:pPr>
    </w:p>
    <w:p w:rsidR="004A0AAB" w:rsidP="00BD3BF4" w14:paraId="4503D2D9" w14:textId="77777777">
      <w:pPr>
        <w:ind w:firstLine="720"/>
      </w:pPr>
      <w:r>
        <w:t xml:space="preserve">There is no cost to the </w:t>
      </w:r>
      <w:r w:rsidR="00C97433">
        <w:t xml:space="preserve">Federal </w:t>
      </w:r>
      <w:r>
        <w:t>government</w:t>
      </w:r>
      <w:r w:rsidR="003C6637">
        <w:t>; this is a recordkeeping requirement only.</w:t>
      </w:r>
    </w:p>
    <w:p w:rsidR="004A0AAB" w:rsidP="00BD3BF4" w14:paraId="3EBCB8A2" w14:textId="77777777">
      <w:pPr>
        <w:rPr>
          <w:szCs w:val="22"/>
        </w:rPr>
      </w:pPr>
    </w:p>
    <w:p w:rsidR="00266CC3" w:rsidP="00BD3BF4" w14:paraId="6903E49C" w14:textId="194A3CE1">
      <w:pPr>
        <w:rPr>
          <w:szCs w:val="22"/>
        </w:rPr>
      </w:pPr>
      <w:r>
        <w:rPr>
          <w:szCs w:val="22"/>
        </w:rPr>
        <w:t xml:space="preserve">15. </w:t>
      </w:r>
      <w:r>
        <w:rPr>
          <w:szCs w:val="22"/>
          <w:u w:val="single"/>
        </w:rPr>
        <w:t xml:space="preserve">Reason for </w:t>
      </w:r>
      <w:r w:rsidR="00691DF0">
        <w:rPr>
          <w:szCs w:val="22"/>
          <w:u w:val="single"/>
        </w:rPr>
        <w:t>c</w:t>
      </w:r>
      <w:r>
        <w:rPr>
          <w:szCs w:val="22"/>
          <w:u w:val="single"/>
        </w:rPr>
        <w:t xml:space="preserve">hange in </w:t>
      </w:r>
      <w:r w:rsidR="00691DF0">
        <w:rPr>
          <w:szCs w:val="22"/>
          <w:u w:val="single"/>
        </w:rPr>
        <w:t>b</w:t>
      </w:r>
      <w:r>
        <w:rPr>
          <w:szCs w:val="22"/>
          <w:u w:val="single"/>
        </w:rPr>
        <w:t>urden</w:t>
      </w:r>
      <w:r w:rsidR="00691DF0">
        <w:rPr>
          <w:szCs w:val="22"/>
          <w:u w:val="single"/>
        </w:rPr>
        <w:t>.</w:t>
      </w:r>
      <w:r>
        <w:rPr>
          <w:szCs w:val="22"/>
        </w:rPr>
        <w:t xml:space="preserve"> </w:t>
      </w:r>
    </w:p>
    <w:p w:rsidR="004A0AAB" w:rsidRPr="001470F2" w:rsidP="00BD3BF4" w14:paraId="556612A2" w14:textId="77777777">
      <w:pPr>
        <w:rPr>
          <w:b/>
        </w:rPr>
      </w:pPr>
    </w:p>
    <w:p w:rsidR="00D23366" w:rsidRPr="00331783" w:rsidP="00331783" w14:paraId="47E5A226" w14:textId="111A9B33">
      <w:pPr>
        <w:ind w:firstLine="720"/>
        <w:rPr>
          <w:color w:val="1F497D"/>
          <w:sz w:val="22"/>
          <w:szCs w:val="22"/>
        </w:rPr>
      </w:pPr>
      <w:r>
        <w:t xml:space="preserve"> </w:t>
      </w:r>
      <w:r>
        <w:t xml:space="preserve">The total annual burden hours </w:t>
      </w:r>
      <w:r w:rsidR="00B17EBA">
        <w:t>increased</w:t>
      </w:r>
      <w:r>
        <w:t xml:space="preserve"> by </w:t>
      </w:r>
      <w:r w:rsidR="00E025E8">
        <w:t>2,161,097</w:t>
      </w:r>
      <w:r>
        <w:t xml:space="preserve"> hours from 1,854,742 hours in 2020</w:t>
      </w:r>
      <w:r w:rsidR="00B17EBA">
        <w:t xml:space="preserve"> to </w:t>
      </w:r>
      <w:r w:rsidRPr="00FE2C46" w:rsidR="00B17EBA">
        <w:rPr>
          <w:color w:val="000000"/>
        </w:rPr>
        <w:t>4,015,839</w:t>
      </w:r>
      <w:r w:rsidR="00B17EBA">
        <w:rPr>
          <w:color w:val="000000"/>
        </w:rPr>
        <w:t xml:space="preserve"> in </w:t>
      </w:r>
      <w:r w:rsidR="00126375">
        <w:rPr>
          <w:color w:val="000000"/>
        </w:rPr>
        <w:t>2024</w:t>
      </w:r>
      <w:r>
        <w:t xml:space="preserve">, </w:t>
      </w:r>
      <w:r w:rsidRPr="00331783">
        <w:t>although</w:t>
      </w:r>
      <w:r>
        <w:t xml:space="preserve"> </w:t>
      </w:r>
      <w:r w:rsidRPr="00331783">
        <w:t xml:space="preserve">the annual hourly burden estimates for each </w:t>
      </w:r>
      <w:r>
        <w:t xml:space="preserve">regulatory requirement </w:t>
      </w:r>
      <w:r w:rsidRPr="00331783">
        <w:t>remained the same as in 20</w:t>
      </w:r>
      <w:r w:rsidR="00126375">
        <w:t>20</w:t>
      </w:r>
      <w:r w:rsidRPr="00331783">
        <w:t xml:space="preserve">. </w:t>
      </w:r>
      <w:r w:rsidR="00126375">
        <w:t xml:space="preserve"> </w:t>
      </w:r>
      <w:r w:rsidRPr="00331783">
        <w:t xml:space="preserve">The </w:t>
      </w:r>
      <w:r w:rsidR="00FE2C46">
        <w:t>increase</w:t>
      </w:r>
      <w:r w:rsidRPr="00331783">
        <w:t xml:space="preserve"> in burden </w:t>
      </w:r>
      <w:r w:rsidRPr="000C718E">
        <w:t xml:space="preserve">is </w:t>
      </w:r>
      <w:r w:rsidRPr="009E0939">
        <w:t xml:space="preserve">solely </w:t>
      </w:r>
      <w:r w:rsidRPr="00331783">
        <w:t>a r</w:t>
      </w:r>
      <w:r>
        <w:t>esult of a</w:t>
      </w:r>
      <w:r w:rsidR="00896B0C">
        <w:t>n</w:t>
      </w:r>
      <w:r>
        <w:t xml:space="preserve"> </w:t>
      </w:r>
      <w:r w:rsidR="00E025E8">
        <w:t>increase</w:t>
      </w:r>
      <w:r>
        <w:t xml:space="preserve"> in the number of financial institutions </w:t>
      </w:r>
      <w:r w:rsidR="003624F7">
        <w:t>impacted by ea</w:t>
      </w:r>
      <w:r w:rsidR="00896B0C">
        <w:t xml:space="preserve">ch of the regulatory requirements. </w:t>
      </w:r>
    </w:p>
    <w:p w:rsidR="00600940" w14:paraId="4F8A68B7" w14:textId="0A1ACEF6">
      <w:pPr>
        <w:spacing w:before="283"/>
        <w:rPr>
          <w:szCs w:val="22"/>
        </w:rPr>
      </w:pPr>
      <w:r>
        <w:rPr>
          <w:szCs w:val="22"/>
        </w:rPr>
        <w:t xml:space="preserve">16. </w:t>
      </w:r>
      <w:r>
        <w:rPr>
          <w:szCs w:val="22"/>
          <w:u w:val="single"/>
        </w:rPr>
        <w:t xml:space="preserve">Plans for </w:t>
      </w:r>
      <w:r w:rsidR="00691DF0">
        <w:rPr>
          <w:szCs w:val="22"/>
          <w:u w:val="single"/>
        </w:rPr>
        <w:t>t</w:t>
      </w:r>
      <w:r>
        <w:rPr>
          <w:szCs w:val="22"/>
          <w:u w:val="single"/>
        </w:rPr>
        <w:t xml:space="preserve">abulation, </w:t>
      </w:r>
      <w:r w:rsidR="00691DF0">
        <w:rPr>
          <w:szCs w:val="22"/>
          <w:u w:val="single"/>
        </w:rPr>
        <w:t>s</w:t>
      </w:r>
      <w:r>
        <w:rPr>
          <w:szCs w:val="22"/>
          <w:u w:val="single"/>
        </w:rPr>
        <w:t xml:space="preserve">tatistical </w:t>
      </w:r>
      <w:r w:rsidR="00691DF0">
        <w:rPr>
          <w:szCs w:val="22"/>
          <w:u w:val="single"/>
        </w:rPr>
        <w:t>a</w:t>
      </w:r>
      <w:r>
        <w:rPr>
          <w:szCs w:val="22"/>
          <w:u w:val="single"/>
        </w:rPr>
        <w:t xml:space="preserve">nalysis, and </w:t>
      </w:r>
      <w:r w:rsidR="00691DF0">
        <w:rPr>
          <w:szCs w:val="22"/>
          <w:u w:val="single"/>
        </w:rPr>
        <w:t>p</w:t>
      </w:r>
      <w:r>
        <w:rPr>
          <w:szCs w:val="22"/>
          <w:u w:val="single"/>
        </w:rPr>
        <w:t>ublication</w:t>
      </w:r>
      <w:r w:rsidR="00691DF0">
        <w:rPr>
          <w:szCs w:val="22"/>
          <w:u w:val="single"/>
        </w:rPr>
        <w:t>.</w:t>
      </w:r>
      <w:r>
        <w:rPr>
          <w:szCs w:val="22"/>
        </w:rPr>
        <w:t xml:space="preserve"> </w:t>
      </w:r>
    </w:p>
    <w:p w:rsidR="00463A95" w:rsidP="00463A95" w14:paraId="4F78976C" w14:textId="77777777">
      <w:pPr>
        <w:ind w:firstLine="720"/>
      </w:pPr>
    </w:p>
    <w:p w:rsidR="00600940" w:rsidP="003030D6" w14:paraId="0BE01750" w14:textId="18A26007">
      <w:pPr>
        <w:ind w:firstLine="720"/>
        <w:rPr>
          <w:szCs w:val="22"/>
        </w:rPr>
      </w:pPr>
      <w:r w:rsidRPr="00561AE5">
        <w:t xml:space="preserve">This collection of information will not be tabulated or compiled for publication. </w:t>
      </w:r>
    </w:p>
    <w:p w:rsidR="00600940" w14:paraId="2EEB21F1" w14:textId="0FB72414">
      <w:pPr>
        <w:spacing w:before="283"/>
        <w:rPr>
          <w:szCs w:val="22"/>
        </w:rPr>
      </w:pPr>
      <w:r>
        <w:rPr>
          <w:szCs w:val="22"/>
        </w:rPr>
        <w:t xml:space="preserve">17. </w:t>
      </w:r>
      <w:r>
        <w:rPr>
          <w:szCs w:val="22"/>
          <w:u w:val="single"/>
        </w:rPr>
        <w:t xml:space="preserve">Request not to </w:t>
      </w:r>
      <w:r w:rsidR="00691DF0">
        <w:rPr>
          <w:szCs w:val="22"/>
          <w:u w:val="single"/>
        </w:rPr>
        <w:t>d</w:t>
      </w:r>
      <w:r>
        <w:rPr>
          <w:szCs w:val="22"/>
          <w:u w:val="single"/>
        </w:rPr>
        <w:t>isplay</w:t>
      </w:r>
      <w:r w:rsidR="00691DF0">
        <w:rPr>
          <w:szCs w:val="22"/>
          <w:u w:val="single"/>
        </w:rPr>
        <w:t xml:space="preserve"> the</w:t>
      </w:r>
      <w:r>
        <w:rPr>
          <w:szCs w:val="22"/>
          <w:u w:val="single"/>
        </w:rPr>
        <w:t xml:space="preserve"> </w:t>
      </w:r>
      <w:r w:rsidR="00691DF0">
        <w:rPr>
          <w:szCs w:val="22"/>
          <w:u w:val="single"/>
        </w:rPr>
        <w:t>e</w:t>
      </w:r>
      <w:r>
        <w:rPr>
          <w:szCs w:val="22"/>
          <w:u w:val="single"/>
        </w:rPr>
        <w:t xml:space="preserve">xpiration </w:t>
      </w:r>
      <w:r w:rsidR="00691DF0">
        <w:rPr>
          <w:szCs w:val="22"/>
          <w:u w:val="single"/>
        </w:rPr>
        <w:t>d</w:t>
      </w:r>
      <w:r>
        <w:rPr>
          <w:szCs w:val="22"/>
          <w:u w:val="single"/>
        </w:rPr>
        <w:t>ate of</w:t>
      </w:r>
      <w:r w:rsidR="00691DF0">
        <w:rPr>
          <w:szCs w:val="22"/>
          <w:u w:val="single"/>
        </w:rPr>
        <w:t xml:space="preserve"> the</w:t>
      </w:r>
      <w:r>
        <w:rPr>
          <w:szCs w:val="22"/>
          <w:u w:val="single"/>
        </w:rPr>
        <w:t xml:space="preserve"> OMB </w:t>
      </w:r>
      <w:r w:rsidR="00691DF0">
        <w:rPr>
          <w:szCs w:val="22"/>
          <w:u w:val="single"/>
        </w:rPr>
        <w:t>c</w:t>
      </w:r>
      <w:r>
        <w:rPr>
          <w:szCs w:val="22"/>
          <w:u w:val="single"/>
        </w:rPr>
        <w:t xml:space="preserve">ontrol </w:t>
      </w:r>
      <w:r w:rsidR="00691DF0">
        <w:rPr>
          <w:szCs w:val="22"/>
          <w:u w:val="single"/>
        </w:rPr>
        <w:t>n</w:t>
      </w:r>
      <w:r>
        <w:rPr>
          <w:szCs w:val="22"/>
          <w:u w:val="single"/>
        </w:rPr>
        <w:t>umber</w:t>
      </w:r>
      <w:r w:rsidR="00691DF0">
        <w:rPr>
          <w:szCs w:val="22"/>
          <w:u w:val="single"/>
        </w:rPr>
        <w:t>.</w:t>
      </w:r>
      <w:r>
        <w:rPr>
          <w:szCs w:val="22"/>
        </w:rPr>
        <w:t xml:space="preserve"> </w:t>
      </w:r>
    </w:p>
    <w:p w:rsidR="00EA1F2F" w:rsidP="00EA1F2F" w14:paraId="0D7F453B" w14:textId="77777777">
      <w:pPr>
        <w:spacing w:before="283"/>
        <w:ind w:firstLine="720"/>
      </w:pPr>
      <w:r w:rsidRPr="00561AE5">
        <w:t>FinCEN requests that it not be required to display the expiration date so that the regulations will not have to be amended for the new expiration date every three years.  This request will not affect the normal three-year PRA renewal process.</w:t>
      </w:r>
    </w:p>
    <w:p w:rsidR="00600940" w14:paraId="4E192B88" w14:textId="4FE7DFBD">
      <w:pPr>
        <w:spacing w:before="283"/>
        <w:rPr>
          <w:szCs w:val="22"/>
        </w:rPr>
      </w:pPr>
      <w:r>
        <w:rPr>
          <w:szCs w:val="22"/>
        </w:rPr>
        <w:t xml:space="preserve">18. </w:t>
      </w:r>
      <w:r>
        <w:rPr>
          <w:szCs w:val="22"/>
          <w:u w:val="single"/>
        </w:rPr>
        <w:t>Exceptions</w:t>
      </w:r>
      <w:r w:rsidR="00691DF0">
        <w:rPr>
          <w:szCs w:val="22"/>
          <w:u w:val="single"/>
        </w:rPr>
        <w:t xml:space="preserve"> to the certification statement.</w:t>
      </w:r>
      <w:r>
        <w:rPr>
          <w:szCs w:val="22"/>
        </w:rPr>
        <w:t xml:space="preserve"> </w:t>
      </w:r>
    </w:p>
    <w:p w:rsidR="00600940" w14:paraId="36A7F1EC" w14:textId="77777777">
      <w:pPr>
        <w:rPr>
          <w:szCs w:val="22"/>
        </w:rPr>
      </w:pPr>
    </w:p>
    <w:p w:rsidR="00600940" w:rsidRPr="000C123A" w:rsidP="000C123A" w14:paraId="63F8CBB1" w14:textId="77777777">
      <w:pPr>
        <w:ind w:firstLine="720"/>
      </w:pPr>
      <w:r>
        <w:rPr>
          <w:szCs w:val="22"/>
        </w:rPr>
        <w:t>There are no exceptions to the certific</w:t>
      </w:r>
      <w:r w:rsidR="00F85CC4">
        <w:rPr>
          <w:szCs w:val="22"/>
        </w:rPr>
        <w:t>ation statement</w:t>
      </w:r>
      <w:r w:rsidR="000C123A">
        <w:rPr>
          <w:szCs w:val="22"/>
        </w:rPr>
        <w: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74" w14:paraId="5FA1CE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49E6" w14:paraId="601072CB" w14:textId="7B5567C3">
    <w:pPr>
      <w:pStyle w:val="Footer"/>
      <w:jc w:val="center"/>
    </w:pPr>
    <w:r>
      <w:fldChar w:fldCharType="begin"/>
    </w:r>
    <w:r>
      <w:instrText xml:space="preserve"> PAGE   \* MERGEFORMAT </w:instrText>
    </w:r>
    <w:r>
      <w:fldChar w:fldCharType="separate"/>
    </w:r>
    <w:r w:rsidR="000254DD">
      <w:rPr>
        <w:noProof/>
      </w:rPr>
      <w:t>1</w:t>
    </w:r>
    <w:r>
      <w:rPr>
        <w:noProof/>
      </w:rPr>
      <w:fldChar w:fldCharType="end"/>
    </w:r>
  </w:p>
  <w:p w:rsidR="00CF49E6" w14:paraId="7210B0C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74" w14:paraId="0AF34B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72EA" w14:paraId="5B729430" w14:textId="77777777">
      <w:r>
        <w:separator/>
      </w:r>
    </w:p>
  </w:footnote>
  <w:footnote w:type="continuationSeparator" w:id="1">
    <w:p w:rsidR="009B72EA" w14:paraId="3E1B875C" w14:textId="77777777">
      <w:r>
        <w:continuationSeparator/>
      </w:r>
    </w:p>
  </w:footnote>
  <w:footnote w:id="2">
    <w:p w:rsidR="004B50B7" w:rsidRPr="005667C4" w:rsidP="004B50B7" w14:paraId="651E897E" w14:textId="32C57F8F">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rsidR="00AC36F4">
        <w:t xml:space="preserve">Oct. </w:t>
      </w:r>
      <w:r w:rsidR="00B24105">
        <w:t xml:space="preserve">26, </w:t>
      </w:r>
      <w:r w:rsidRPr="005667C4">
        <w:t>2001)</w:t>
      </w:r>
      <w:bookmarkEnd w:id="0"/>
      <w:r w:rsidRPr="005667C4">
        <w:t>.</w:t>
      </w:r>
      <w:bookmarkEnd w:id="1"/>
    </w:p>
  </w:footnote>
  <w:footnote w:id="3">
    <w:p w:rsidR="004B50B7" w:rsidRPr="005667C4" w:rsidP="004B50B7" w14:paraId="5F8D9DC2" w14:textId="2DAA0613">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rsidR="00B24105">
        <w:t xml:space="preserve"> (Jan. 1, 2021)</w:t>
      </w:r>
      <w:r w:rsidRPr="005667C4">
        <w:t>.</w:t>
      </w:r>
    </w:p>
  </w:footnote>
  <w:footnote w:id="4">
    <w:p w:rsidR="004B50B7" w:rsidRPr="005667C4" w:rsidP="004B50B7" w14:paraId="56EA0666"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4B50B7" w:rsidRPr="005667C4" w:rsidP="004B50B7" w14:paraId="6B04589C"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936351" w:rsidRPr="0091349B" w:rsidP="00936351" w14:paraId="72C3E426" w14:textId="77777777">
      <w:pPr>
        <w:pStyle w:val="FootnoteText"/>
      </w:pPr>
      <w:r w:rsidRPr="0091349B">
        <w:rPr>
          <w:rStyle w:val="FootnoteReference"/>
        </w:rPr>
        <w:footnoteRef/>
      </w:r>
      <w:r w:rsidRPr="0091349B">
        <w:t xml:space="preserve"> </w:t>
      </w:r>
      <w:r>
        <w:t xml:space="preserve">Pub. L. 103-325, sec. 1515 (1992); </w:t>
      </w:r>
      <w:r w:rsidRPr="0091349B">
        <w:t>12 U.S.C. 1829b(b)(2).</w:t>
      </w:r>
    </w:p>
  </w:footnote>
  <w:footnote w:id="7">
    <w:p w:rsidR="00936351" w:rsidRPr="0091349B" w:rsidP="00936351" w14:paraId="60146CFB" w14:textId="77777777">
      <w:pPr>
        <w:pStyle w:val="FootnoteText"/>
      </w:pPr>
      <w:r w:rsidRPr="0091349B">
        <w:rPr>
          <w:rStyle w:val="FootnoteReference"/>
        </w:rPr>
        <w:footnoteRef/>
      </w:r>
      <w:r w:rsidRPr="0091349B">
        <w:t xml:space="preserve"> 12 U.S.C. 1953.</w:t>
      </w:r>
    </w:p>
  </w:footnote>
  <w:footnote w:id="8">
    <w:p w:rsidR="00936351" w:rsidRPr="0091349B" w:rsidP="00936351" w14:paraId="0AA5B7AC" w14:textId="77777777">
      <w:pPr>
        <w:rPr>
          <w:sz w:val="20"/>
          <w:szCs w:val="20"/>
        </w:rPr>
      </w:pPr>
      <w:r w:rsidRPr="0091349B">
        <w:rPr>
          <w:rStyle w:val="FootnoteReference"/>
          <w:sz w:val="20"/>
          <w:szCs w:val="20"/>
        </w:rPr>
        <w:footnoteRef/>
      </w:r>
      <w:r w:rsidRPr="0091349B">
        <w:rPr>
          <w:sz w:val="20"/>
          <w:szCs w:val="20"/>
        </w:rPr>
        <w:t xml:space="preserve"> 12 U.S.C. 1829b(b)(3).  The term “funds transfer,” as defined in FinCEN regulations, applies exclusively to transactions that are processed by banks. </w:t>
      </w:r>
      <w:r>
        <w:rPr>
          <w:sz w:val="20"/>
          <w:szCs w:val="20"/>
        </w:rPr>
        <w:t xml:space="preserve"> </w:t>
      </w:r>
      <w:r w:rsidRPr="0091349B">
        <w:rPr>
          <w:i/>
          <w:iCs/>
          <w:sz w:val="20"/>
          <w:szCs w:val="20"/>
        </w:rPr>
        <w:t xml:space="preserve">See </w:t>
      </w:r>
      <w:r w:rsidRPr="0091349B">
        <w:rPr>
          <w:sz w:val="20"/>
          <w:szCs w:val="20"/>
        </w:rPr>
        <w:t>31 CFR 1010.100(w).  A “transmittal of funds” is broader, as it includes</w:t>
      </w:r>
      <w:r>
        <w:rPr>
          <w:sz w:val="20"/>
          <w:szCs w:val="20"/>
        </w:rPr>
        <w:t xml:space="preserve"> not only</w:t>
      </w:r>
      <w:r w:rsidRPr="0091349B">
        <w:rPr>
          <w:sz w:val="20"/>
          <w:szCs w:val="20"/>
        </w:rPr>
        <w:t xml:space="preserve"> funds transfers</w:t>
      </w:r>
      <w:r>
        <w:rPr>
          <w:sz w:val="20"/>
          <w:szCs w:val="20"/>
        </w:rPr>
        <w:t xml:space="preserve">, but </w:t>
      </w:r>
      <w:r w:rsidRPr="0091349B">
        <w:rPr>
          <w:sz w:val="20"/>
          <w:szCs w:val="20"/>
        </w:rPr>
        <w:t>transactions processed by nonbank financial institutions.</w:t>
      </w:r>
      <w:r>
        <w:rPr>
          <w:sz w:val="20"/>
          <w:szCs w:val="20"/>
        </w:rPr>
        <w:t xml:space="preserve"> </w:t>
      </w:r>
      <w:r w:rsidRPr="0091349B">
        <w:rPr>
          <w:sz w:val="20"/>
          <w:szCs w:val="20"/>
        </w:rPr>
        <w:t xml:space="preserve"> </w:t>
      </w:r>
      <w:r w:rsidRPr="0091349B">
        <w:rPr>
          <w:rStyle w:val="Emphasis"/>
          <w:sz w:val="20"/>
          <w:szCs w:val="20"/>
        </w:rPr>
        <w:t xml:space="preserve">See </w:t>
      </w:r>
      <w:r w:rsidRPr="00E16FE4">
        <w:rPr>
          <w:rStyle w:val="Emphasis"/>
          <w:i w:val="0"/>
          <w:iCs w:val="0"/>
          <w:sz w:val="20"/>
          <w:szCs w:val="20"/>
        </w:rPr>
        <w:t>31 CFR 1010.100(</w:t>
      </w:r>
      <w:r w:rsidRPr="00E16FE4">
        <w:rPr>
          <w:rStyle w:val="Emphasis"/>
          <w:i w:val="0"/>
          <w:iCs w:val="0"/>
          <w:sz w:val="20"/>
          <w:szCs w:val="20"/>
        </w:rPr>
        <w:t>ddd</w:t>
      </w:r>
      <w:r w:rsidRPr="00E16FE4">
        <w:rPr>
          <w:rStyle w:val="Emphasis"/>
          <w:i w:val="0"/>
          <w:iCs w:val="0"/>
          <w:sz w:val="20"/>
          <w:szCs w:val="20"/>
        </w:rPr>
        <w:t>)</w:t>
      </w:r>
      <w:r w:rsidRPr="0091349B">
        <w:rPr>
          <w:rStyle w:val="Emphasis"/>
          <w:sz w:val="20"/>
          <w:szCs w:val="20"/>
        </w:rPr>
        <w:t>.</w:t>
      </w:r>
    </w:p>
    <w:p w:rsidR="00936351" w:rsidRPr="00E64062" w:rsidP="00936351" w14:paraId="1283F6D6" w14:textId="77777777">
      <w:pPr>
        <w:pStyle w:val="FootnoteText"/>
        <w:rPr>
          <w:highlight w:val="yellow"/>
        </w:rPr>
      </w:pPr>
      <w:r w:rsidRPr="001855F0">
        <w:t xml:space="preserve"> </w:t>
      </w:r>
    </w:p>
  </w:footnote>
  <w:footnote w:id="9">
    <w:p w:rsidR="00936351" w:rsidRPr="00BD2209" w:rsidP="00936351" w14:paraId="6BA12FCE" w14:textId="77777777">
      <w:pPr>
        <w:pStyle w:val="FootnoteText"/>
      </w:pPr>
      <w:r w:rsidRPr="00BD2209">
        <w:rPr>
          <w:rStyle w:val="FootnoteReference"/>
        </w:rPr>
        <w:footnoteRef/>
      </w:r>
      <w:r w:rsidRPr="00BD2209">
        <w:t xml:space="preserve"> </w:t>
      </w:r>
      <w:r>
        <w:t xml:space="preserve">Pursuant to </w:t>
      </w:r>
      <w:r w:rsidRPr="00267C30">
        <w:t>31 CFR 1010.410(d)</w:t>
      </w:r>
      <w:r>
        <w:t xml:space="preserve">, a financial institution must retain a record of such information for such </w:t>
      </w:r>
      <w:r>
        <w:t>period of time</w:t>
      </w:r>
      <w:r>
        <w:t xml:space="preserve"> </w:t>
      </w:r>
      <w:r w:rsidRPr="00267C30">
        <w:t>as the Secretary may require in an order issued under 31 CFR 1010.370(a), not to exceed five years.  The recordkeeping burden for 31 CFR 1010.410(d) is accounted for under OMB control number 1506-0056, which applies to 31 CFR 1010.370(a).</w:t>
      </w:r>
    </w:p>
  </w:footnote>
  <w:footnote w:id="10">
    <w:p w:rsidR="00936351" w:rsidRPr="00BD2209" w:rsidP="00936351" w14:paraId="21B3D74B" w14:textId="77777777">
      <w:pPr>
        <w:pStyle w:val="FootnoteText"/>
      </w:pPr>
      <w:r w:rsidRPr="00BD2209">
        <w:rPr>
          <w:rStyle w:val="FootnoteReference"/>
        </w:rPr>
        <w:footnoteRef/>
      </w:r>
      <w:r w:rsidRPr="00BD2209">
        <w:t xml:space="preserve"> </w:t>
      </w:r>
      <w:r>
        <w:t>Unlike</w:t>
      </w:r>
      <w:r w:rsidRPr="007C27D8">
        <w:t xml:space="preserve"> 31 CFR 1010.410(e), which </w:t>
      </w:r>
      <w:r>
        <w:t>applie</w:t>
      </w:r>
      <w:r w:rsidRPr="007C27D8">
        <w:t xml:space="preserve">s </w:t>
      </w:r>
      <w:r>
        <w:t xml:space="preserve">only </w:t>
      </w:r>
      <w:r w:rsidRPr="007C27D8">
        <w:t>to financial institutions other than banks, the requirements of 31 CFR 1010.410</w:t>
      </w:r>
      <w:r>
        <w:t xml:space="preserve"> (a) through (c)</w:t>
      </w:r>
      <w:r w:rsidRPr="007C27D8">
        <w:t xml:space="preserve"> appl</w:t>
      </w:r>
      <w:r>
        <w:t>y</w:t>
      </w:r>
      <w:r w:rsidRPr="007C27D8">
        <w:t xml:space="preserve"> to </w:t>
      </w:r>
      <w:r>
        <w:t xml:space="preserve">all </w:t>
      </w:r>
      <w:r w:rsidRPr="007C27D8">
        <w:t xml:space="preserve">“financial institutions” as defined in 31 CFR 1010.100(t).  </w:t>
      </w:r>
    </w:p>
  </w:footnote>
  <w:footnote w:id="11">
    <w:p w:rsidR="00936351" w:rsidRPr="00BD2209" w:rsidP="00936351" w14:paraId="0B5709A1" w14:textId="77777777">
      <w:pPr>
        <w:pStyle w:val="FootnoteText"/>
      </w:pPr>
      <w:r w:rsidRPr="00BD2209">
        <w:rPr>
          <w:rStyle w:val="FootnoteReference"/>
        </w:rPr>
        <w:footnoteRef/>
      </w:r>
      <w:r w:rsidRPr="00BD2209">
        <w:t xml:space="preserve"> 31 CFR 1010.410(a).</w:t>
      </w:r>
    </w:p>
  </w:footnote>
  <w:footnote w:id="12">
    <w:p w:rsidR="00936351" w:rsidP="00936351" w14:paraId="25190D81" w14:textId="77777777">
      <w:pPr>
        <w:pStyle w:val="FootnoteText"/>
      </w:pPr>
      <w:r w:rsidRPr="00BD2209">
        <w:rPr>
          <w:rStyle w:val="FootnoteReference"/>
        </w:rPr>
        <w:footnoteRef/>
      </w:r>
      <w:r w:rsidRPr="00BD2209">
        <w:t xml:space="preserve"> 31 CFR 1010.410(b).</w:t>
      </w:r>
    </w:p>
  </w:footnote>
  <w:footnote w:id="13">
    <w:p w:rsidR="00936351" w:rsidRPr="00BD2209" w:rsidP="00936351" w14:paraId="4D27C130" w14:textId="77777777">
      <w:pPr>
        <w:pStyle w:val="FootnoteText"/>
      </w:pPr>
      <w:r w:rsidRPr="00BD2209">
        <w:rPr>
          <w:rStyle w:val="FootnoteReference"/>
        </w:rPr>
        <w:footnoteRef/>
      </w:r>
      <w:r w:rsidRPr="00BD2209">
        <w:t xml:space="preserve"> 31 CFR 1010.410(c).</w:t>
      </w:r>
    </w:p>
  </w:footnote>
  <w:footnote w:id="14">
    <w:p w:rsidR="00936351" w:rsidRPr="007C0044" w:rsidP="00936351" w14:paraId="092B388A" w14:textId="77777777">
      <w:pPr>
        <w:pStyle w:val="FootnoteText"/>
      </w:pPr>
      <w:r w:rsidRPr="007C0044">
        <w:rPr>
          <w:rStyle w:val="FootnoteReference"/>
        </w:rPr>
        <w:footnoteRef/>
      </w:r>
      <w:r w:rsidRPr="007C0044">
        <w:t xml:space="preserve"> 60 FR 220 (Jan. 3, 1995). </w:t>
      </w:r>
    </w:p>
  </w:footnote>
  <w:footnote w:id="15">
    <w:p w:rsidR="00936351" w:rsidRPr="00CB66DE" w:rsidP="00936351" w14:paraId="5A24C166" w14:textId="77777777">
      <w:pPr>
        <w:pStyle w:val="FootnoteText"/>
        <w:rPr>
          <w:highlight w:val="yellow"/>
        </w:rPr>
      </w:pPr>
      <w:r w:rsidRPr="007C0044">
        <w:rPr>
          <w:rStyle w:val="FootnoteReference"/>
        </w:rPr>
        <w:footnoteRef/>
      </w:r>
      <w:r w:rsidRPr="007C0044">
        <w:t xml:space="preserve"> 60 FR 234 (Jan. 3, 1995). </w:t>
      </w:r>
    </w:p>
  </w:footnote>
  <w:footnote w:id="16">
    <w:p w:rsidR="00936351" w:rsidRPr="007C0044" w:rsidP="00936351" w14:paraId="4F1C59E5" w14:textId="77777777">
      <w:pPr>
        <w:pStyle w:val="FootnoteText"/>
      </w:pPr>
      <w:r w:rsidRPr="00461FE8">
        <w:rPr>
          <w:rStyle w:val="FootnoteReference"/>
        </w:rPr>
        <w:footnoteRef/>
      </w:r>
      <w:r w:rsidRPr="00461FE8">
        <w:t xml:space="preserve"> </w:t>
      </w:r>
      <w:r w:rsidRPr="00461FE8">
        <w:rPr>
          <w:i/>
        </w:rPr>
        <w:t>Id.</w:t>
      </w:r>
      <w:r>
        <w:rPr>
          <w:i/>
        </w:rPr>
        <w:t xml:space="preserve"> </w:t>
      </w:r>
      <w:r w:rsidRPr="00461FE8">
        <w:rPr>
          <w:i/>
        </w:rPr>
        <w:t xml:space="preserve"> </w:t>
      </w:r>
      <w:r>
        <w:rPr>
          <w:iCs/>
        </w:rPr>
        <w:t xml:space="preserve">The authority is codified at </w:t>
      </w:r>
      <w:r w:rsidRPr="00461FE8">
        <w:t>31 U.S.C. 5318(a)(2).</w:t>
      </w:r>
      <w:r w:rsidRPr="007C0044">
        <w:t xml:space="preserve"> </w:t>
      </w:r>
    </w:p>
  </w:footnote>
  <w:footnote w:id="17">
    <w:p w:rsidR="00936351" w:rsidRPr="00E52F6C" w:rsidP="00936351" w14:paraId="0DB178FE" w14:textId="77777777">
      <w:pPr>
        <w:pStyle w:val="FootnoteText"/>
      </w:pPr>
      <w:r w:rsidRPr="007C0044">
        <w:rPr>
          <w:rStyle w:val="FootnoteReference"/>
        </w:rPr>
        <w:footnoteRef/>
      </w:r>
      <w:r w:rsidRPr="007C0044">
        <w:t xml:space="preserve"> </w:t>
      </w:r>
      <w:r w:rsidRPr="00616D76">
        <w:rPr>
          <w:i/>
          <w:iCs/>
        </w:rPr>
        <w:t>See</w:t>
      </w:r>
      <w:r>
        <w:t xml:space="preserve"> supra note 7. </w:t>
      </w:r>
    </w:p>
  </w:footnote>
  <w:footnote w:id="18">
    <w:p w:rsidR="0073552A" w14:paraId="769FFD77" w14:textId="27C8FFAF">
      <w:pPr>
        <w:pStyle w:val="FootnoteText"/>
      </w:pPr>
      <w:r>
        <w:rPr>
          <w:rStyle w:val="FootnoteReference"/>
        </w:rPr>
        <w:footnoteRef/>
      </w:r>
      <w:r>
        <w:t xml:space="preserve"> </w:t>
      </w:r>
      <w:r w:rsidRPr="0073552A">
        <w:t>31 CFR 1010.410(e)</w:t>
      </w:r>
      <w:r>
        <w:t xml:space="preserve">(1).  </w:t>
      </w:r>
    </w:p>
  </w:footnote>
  <w:footnote w:id="19">
    <w:p w:rsidR="00936351" w:rsidRPr="00B7114D" w:rsidP="00936351" w14:paraId="51D5196F" w14:textId="77777777">
      <w:pPr>
        <w:pStyle w:val="FootnoteText"/>
      </w:pPr>
      <w:r w:rsidRPr="007C0044">
        <w:rPr>
          <w:rStyle w:val="FootnoteReference"/>
        </w:rPr>
        <w:footnoteRef/>
      </w:r>
      <w:r w:rsidRPr="007C0044">
        <w:t xml:space="preserve"> “</w:t>
      </w:r>
      <w:r>
        <w:t>E</w:t>
      </w:r>
      <w:r w:rsidRPr="007C0044">
        <w:t>stablished customer</w:t>
      </w:r>
      <w:r>
        <w:t>s</w:t>
      </w:r>
      <w:r w:rsidRPr="007C0044">
        <w:t>”</w:t>
      </w:r>
      <w:r>
        <w:t xml:space="preserve"> include persons with accounts at the financial institution and certain persons with identifying information on file at the financial institution.  </w:t>
      </w:r>
      <w:r w:rsidRPr="002052FF">
        <w:rPr>
          <w:i/>
          <w:iCs/>
        </w:rPr>
        <w:t>See</w:t>
      </w:r>
      <w:r w:rsidRPr="007C0044">
        <w:t xml:space="preserve"> 31 CFR 1010.100(p).</w:t>
      </w:r>
      <w:r>
        <w:t xml:space="preserve"> </w:t>
      </w:r>
    </w:p>
  </w:footnote>
  <w:footnote w:id="20">
    <w:p w:rsidR="0073552A" w:rsidP="0073552A" w14:paraId="4EA4AE88" w14:textId="7E4456B7">
      <w:pPr>
        <w:pStyle w:val="FootnoteText"/>
      </w:pPr>
      <w:r>
        <w:rPr>
          <w:rStyle w:val="FootnoteReference"/>
        </w:rPr>
        <w:footnoteRef/>
      </w:r>
      <w:r>
        <w:t xml:space="preserve"> </w:t>
      </w:r>
      <w:r w:rsidRPr="0073552A">
        <w:t>31 CFR 1010.410(e)</w:t>
      </w:r>
      <w:r>
        <w:t xml:space="preserve">(1)(ii).  </w:t>
      </w:r>
    </w:p>
  </w:footnote>
  <w:footnote w:id="21">
    <w:p w:rsidR="0073552A" w:rsidP="0073552A" w14:paraId="322A870B" w14:textId="1C2F3D1F">
      <w:pPr>
        <w:pStyle w:val="FootnoteText"/>
      </w:pPr>
      <w:r>
        <w:rPr>
          <w:rStyle w:val="FootnoteReference"/>
        </w:rPr>
        <w:footnoteRef/>
      </w:r>
      <w:r>
        <w:t xml:space="preserve"> </w:t>
      </w:r>
      <w:r w:rsidRPr="0073552A">
        <w:t>31 CFR 1010.410(</w:t>
      </w:r>
      <w:r>
        <w:t xml:space="preserve">f).  </w:t>
      </w:r>
    </w:p>
  </w:footnote>
  <w:footnote w:id="22">
    <w:p w:rsidR="0073552A" w:rsidP="0073552A" w14:paraId="58CA64E9" w14:textId="1CF4ECFC">
      <w:pPr>
        <w:pStyle w:val="FootnoteText"/>
      </w:pPr>
      <w:r>
        <w:rPr>
          <w:rStyle w:val="FootnoteReference"/>
        </w:rPr>
        <w:footnoteRef/>
      </w:r>
      <w:r>
        <w:t xml:space="preserve"> </w:t>
      </w:r>
      <w:r w:rsidRPr="0073552A">
        <w:t>31 CFR 1010.410(</w:t>
      </w:r>
      <w:r>
        <w:t>f</w:t>
      </w:r>
      <w:r w:rsidRPr="0073552A">
        <w:t>)</w:t>
      </w:r>
      <w:r>
        <w:t xml:space="preserve">(2).  </w:t>
      </w:r>
    </w:p>
  </w:footnote>
  <w:footnote w:id="23">
    <w:p w:rsidR="00E01B22" w:rsidP="00E01B22" w14:paraId="513565D8" w14:textId="77777777">
      <w:pPr>
        <w:pStyle w:val="FootnoteText"/>
      </w:pPr>
      <w:r>
        <w:rPr>
          <w:rStyle w:val="FootnoteReference"/>
        </w:rPr>
        <w:footnoteRef/>
      </w:r>
      <w:r>
        <w:t xml:space="preserve"> </w:t>
      </w:r>
      <w:r w:rsidRPr="00E32A8D">
        <w:rPr>
          <w:i/>
          <w:iCs/>
        </w:rPr>
        <w:t>See</w:t>
      </w:r>
      <w:r>
        <w:t xml:space="preserve"> 31 CFR 1010.100(ff)(4) (providers of prepaid access); 31 CFR 1010.100(ff)(7) (sellers of prepaid access).</w:t>
      </w:r>
    </w:p>
  </w:footnote>
  <w:footnote w:id="24">
    <w:p w:rsidR="008D57C8" w:rsidP="008D57C8" w14:paraId="26AE182B" w14:textId="77777777">
      <w:pPr>
        <w:pStyle w:val="FootnoteText"/>
      </w:pPr>
      <w:r>
        <w:rPr>
          <w:rStyle w:val="FootnoteReference"/>
        </w:rPr>
        <w:footnoteRef/>
      </w:r>
      <w:r>
        <w:t xml:space="preserve"> OMB control number 1506-0058 applies to 31 CFR 1010.410 and 31 CFR 1022.420.  OMB control number 1506-0059 applies to 31 CFR 1020.410.  On October 27, 2020, t</w:t>
      </w:r>
      <w:r w:rsidRPr="00E52F6C">
        <w:t xml:space="preserve">he </w:t>
      </w:r>
      <w:r w:rsidRPr="00893692">
        <w:t>Board and FinC</w:t>
      </w:r>
      <w:r w:rsidRPr="00E52F6C">
        <w:t xml:space="preserve">EN (collectively, </w:t>
      </w:r>
      <w:r>
        <w:t>the “Agencies”) issued a</w:t>
      </w:r>
      <w:r w:rsidRPr="00E52F6C">
        <w:t xml:space="preserve"> </w:t>
      </w:r>
      <w:r w:rsidRPr="006A4260">
        <w:t>joint notice of proposed rulemaking to modify the threshold</w:t>
      </w:r>
      <w:r>
        <w:t>s</w:t>
      </w:r>
      <w:r w:rsidRPr="006A4260">
        <w:t xml:space="preserve"> in the </w:t>
      </w:r>
      <w:r>
        <w:t xml:space="preserve">Recordkeeping Rule and the Travel Rule.  </w:t>
      </w:r>
      <w:r w:rsidRPr="0040034F">
        <w:rPr>
          <w:i/>
          <w:iCs/>
        </w:rPr>
        <w:t>See</w:t>
      </w:r>
      <w:r>
        <w:t xml:space="preserve"> 85 FR 68005 (October 27, 2020).  This notice and request for comments under the PRA only pertains to the current regulatory requirements of the Recordkeeping Rule and the Travel Rule.</w:t>
      </w:r>
    </w:p>
  </w:footnote>
  <w:footnote w:id="25">
    <w:p w:rsidR="009D7C4B" w:rsidRPr="00E94345" w:rsidP="009D7C4B" w14:paraId="3F11C7EA" w14:textId="77777777">
      <w:pPr>
        <w:pStyle w:val="FootnoteText"/>
      </w:pPr>
      <w:r>
        <w:rPr>
          <w:rStyle w:val="FootnoteReference"/>
        </w:rPr>
        <w:footnoteRef/>
      </w:r>
      <w:r>
        <w:t xml:space="preserve"> </w:t>
      </w:r>
      <w:r w:rsidRPr="00415D97">
        <w:rPr>
          <w:i/>
          <w:iCs/>
        </w:rPr>
        <w:t>See</w:t>
      </w:r>
      <w:r>
        <w:t xml:space="preserve"> FinCEN, </w:t>
      </w:r>
      <w:r>
        <w:rPr>
          <w:i/>
          <w:iCs/>
        </w:rPr>
        <w:t>Agency Information Collection Activities; Proposed Renewal; Comment Request; Renewal Without Change of Regulations Requiring Records to Be Made and Retained by Financial Institutions, Banks, and Providers and Sellers of Prepaid Access</w:t>
      </w:r>
      <w:r>
        <w:t xml:space="preserve">, </w:t>
      </w:r>
      <w:hyperlink r:id="rId1" w:history="1">
        <w:r w:rsidRPr="004F2ADB">
          <w:rPr>
            <w:rStyle w:val="Hyperlink"/>
            <w:sz w:val="20"/>
          </w:rPr>
          <w:t>89 FR 65971</w:t>
        </w:r>
      </w:hyperlink>
      <w:r>
        <w:t xml:space="preserve"> (Aug. 13, 2024).</w:t>
      </w:r>
    </w:p>
  </w:footnote>
  <w:footnote w:id="26">
    <w:p w:rsidR="002E71D4" w:rsidRPr="00FE0FB5" w:rsidP="002E71D4" w14:paraId="796460B9"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27">
    <w:p w:rsidR="0063164C" w:rsidRPr="00883400" w:rsidP="0063164C" w14:paraId="6E129D01" w14:textId="77777777">
      <w:pPr>
        <w:pStyle w:val="FootnoteText"/>
      </w:pPr>
      <w:r w:rsidRPr="00BD2209">
        <w:rPr>
          <w:rStyle w:val="FootnoteReference"/>
        </w:rPr>
        <w:footnoteRef/>
      </w:r>
      <w:r w:rsidRPr="00BD2209">
        <w:t xml:space="preserve"> 31 CFR 1010.410(a</w:t>
      </w:r>
      <w:r w:rsidRPr="00883400">
        <w:t>) through (c).</w:t>
      </w:r>
    </w:p>
  </w:footnote>
  <w:footnote w:id="28">
    <w:p w:rsidR="009A5148" w:rsidRPr="0040113A" w14:paraId="2793E7DF" w14:textId="31846A3B">
      <w:pPr>
        <w:pStyle w:val="FootnoteText"/>
        <w:rPr>
          <w:i/>
          <w:iCs/>
        </w:rPr>
      </w:pPr>
      <w:r>
        <w:rPr>
          <w:rStyle w:val="FootnoteReference"/>
        </w:rPr>
        <w:footnoteRef/>
      </w:r>
      <w:r>
        <w:t xml:space="preserve"> </w:t>
      </w:r>
      <w:r w:rsidRPr="00E37052" w:rsidR="0040113A">
        <w:rPr>
          <w:i/>
          <w:iCs/>
        </w:rPr>
        <w:t>See</w:t>
      </w:r>
      <w:r w:rsidR="0040113A">
        <w:t xml:space="preserve"> FinCEN, </w:t>
      </w:r>
      <w:r w:rsidRPr="00E37052" w:rsidR="0040113A">
        <w:rPr>
          <w:i/>
          <w:iCs/>
        </w:rPr>
        <w:t xml:space="preserve">Agency Information Collection Activities; Proposed Renewal; Comment Request; Renewal Without Change </w:t>
      </w:r>
      <w:r w:rsidRPr="00400416" w:rsidR="0040113A">
        <w:rPr>
          <w:i/>
          <w:iCs/>
        </w:rPr>
        <w:t xml:space="preserve">of </w:t>
      </w:r>
      <w:r w:rsidRPr="00400416" w:rsidR="0040113A">
        <w:rPr>
          <w:rFonts w:eastAsia="MS Mincho"/>
          <w:i/>
          <w:iCs/>
        </w:rPr>
        <w:t xml:space="preserve">Regulations Requiring </w:t>
      </w:r>
      <w:r w:rsidRPr="00400416" w:rsidR="0040113A">
        <w:rPr>
          <w:i/>
          <w:iCs/>
        </w:rPr>
        <w:t xml:space="preserve">Records to be Made and Retained by Financial Institutions, Banks, and Providers and Sellers of Prepaid </w:t>
      </w:r>
      <w:r w:rsidRPr="00B636A1" w:rsidR="0040113A">
        <w:rPr>
          <w:i/>
          <w:iCs/>
        </w:rPr>
        <w:t xml:space="preserve">Access, </w:t>
      </w:r>
      <w:hyperlink r:id="rId3" w:history="1">
        <w:r w:rsidRPr="004927CA" w:rsidR="0040113A">
          <w:rPr>
            <w:rStyle w:val="Hyperlink"/>
            <w:sz w:val="20"/>
          </w:rPr>
          <w:t>85 FR 84105</w:t>
        </w:r>
      </w:hyperlink>
      <w:r w:rsidRPr="00B636A1" w:rsidR="0040113A">
        <w:t xml:space="preserve"> (Dec. 23, 2020)</w:t>
      </w:r>
      <w:r w:rsidR="0040113A">
        <w:t>.</w:t>
      </w:r>
    </w:p>
  </w:footnote>
  <w:footnote w:id="29">
    <w:p w:rsidR="0063164C" w:rsidRPr="00BD2209" w:rsidP="0063164C" w14:paraId="6EC5D05B" w14:textId="48B6137C">
      <w:pPr>
        <w:pStyle w:val="FootnoteText"/>
      </w:pPr>
      <w:r w:rsidRPr="00BD2209">
        <w:rPr>
          <w:rStyle w:val="FootnoteReference"/>
        </w:rPr>
        <w:footnoteRef/>
      </w:r>
      <w:r w:rsidRPr="00BD2209">
        <w:t xml:space="preserve"> </w:t>
      </w:r>
      <w:r w:rsidRPr="00DE3A0A">
        <w:rPr>
          <w:i/>
          <w:iCs/>
        </w:rPr>
        <w:t>See</w:t>
      </w:r>
      <w:r w:rsidRPr="00BD2209">
        <w:t xml:space="preserve"> </w:t>
      </w:r>
      <w:r w:rsidRPr="00A67F33">
        <w:rPr>
          <w:i/>
          <w:iCs/>
        </w:rPr>
        <w:t xml:space="preserve">supra </w:t>
      </w:r>
      <w:r>
        <w:t>t</w:t>
      </w:r>
      <w:r w:rsidRPr="00BD2209">
        <w:t xml:space="preserve">able 1. </w:t>
      </w:r>
      <w:r>
        <w:t xml:space="preserve"> </w:t>
      </w:r>
      <w:r w:rsidRPr="00AC55D8">
        <w:t>30,952</w:t>
      </w:r>
      <w:r w:rsidRPr="00BD2209">
        <w:t xml:space="preserve"> represents the number of financial institutions listed in the title of this </w:t>
      </w:r>
      <w:r w:rsidR="00B228F9">
        <w:t>supporting statement</w:t>
      </w:r>
      <w:r w:rsidRPr="00BD2209">
        <w:t>, other than MSBs that are providers and sellers of prepaid access, because such MSBs would not conduct transactions described in 31 CFR 1010.410(a) through (c).</w:t>
      </w:r>
    </w:p>
  </w:footnote>
  <w:footnote w:id="30">
    <w:p w:rsidR="0063164C" w:rsidRPr="00BD2209" w:rsidP="0063164C" w14:paraId="35D72DDE" w14:textId="6A29EC98">
      <w:pPr>
        <w:pStyle w:val="FootnoteText"/>
      </w:pPr>
      <w:r w:rsidRPr="00BD2209">
        <w:rPr>
          <w:rStyle w:val="FootnoteReference"/>
        </w:rPr>
        <w:footnoteRef/>
      </w:r>
      <w:r w:rsidRPr="00BD2209">
        <w:t xml:space="preserve"> </w:t>
      </w:r>
      <w:r w:rsidRPr="00BD3C05">
        <w:rPr>
          <w:i/>
          <w:iCs/>
        </w:rPr>
        <w:t>See</w:t>
      </w:r>
      <w:r>
        <w:t xml:space="preserve"> </w:t>
      </w:r>
      <w:r w:rsidRPr="00A67F33">
        <w:rPr>
          <w:i/>
          <w:iCs/>
        </w:rPr>
        <w:t xml:space="preserve">supra </w:t>
      </w:r>
      <w:r w:rsidRPr="00883400">
        <w:t xml:space="preserve">note </w:t>
      </w:r>
      <w:r w:rsidR="0040113A">
        <w:t>2</w:t>
      </w:r>
      <w:r w:rsidR="00F65395">
        <w:t>7</w:t>
      </w:r>
      <w:r w:rsidRPr="00883400">
        <w:t>.</w:t>
      </w:r>
    </w:p>
  </w:footnote>
  <w:footnote w:id="31">
    <w:p w:rsidR="0063164C" w:rsidRPr="005C08FE" w:rsidP="0063164C" w14:paraId="06D65B3A" w14:textId="77777777">
      <w:pPr>
        <w:pStyle w:val="FootnoteText"/>
      </w:pPr>
      <w:r w:rsidRPr="00BD2209">
        <w:rPr>
          <w:rStyle w:val="FootnoteReference"/>
        </w:rPr>
        <w:footnoteRef/>
      </w:r>
      <w:r w:rsidRPr="00BD2209">
        <w:t xml:space="preserve"> </w:t>
      </w:r>
      <w:r w:rsidRPr="00A67F33">
        <w:rPr>
          <w:i/>
          <w:iCs/>
        </w:rPr>
        <w:t xml:space="preserve">See supra </w:t>
      </w:r>
      <w:r>
        <w:t>t</w:t>
      </w:r>
      <w:r w:rsidRPr="00BD2209">
        <w:t>able 1 for the estimated number of MSBs that provide money transmission services.</w:t>
      </w:r>
    </w:p>
  </w:footnote>
  <w:footnote w:id="32">
    <w:p w:rsidR="0063164C" w:rsidRPr="00BD2209" w:rsidP="0063164C" w14:paraId="68766F33" w14:textId="65666B71">
      <w:pPr>
        <w:pStyle w:val="FootnoteText"/>
      </w:pPr>
      <w:r w:rsidRPr="00BD2209">
        <w:rPr>
          <w:rStyle w:val="FootnoteReference"/>
        </w:rPr>
        <w:footnoteRef/>
      </w:r>
      <w:r w:rsidRPr="00BD2209">
        <w:t xml:space="preserve"> </w:t>
      </w:r>
      <w:r w:rsidRPr="00BD3C05">
        <w:rPr>
          <w:i/>
          <w:iCs/>
        </w:rPr>
        <w:t>See</w:t>
      </w:r>
      <w:r>
        <w:t xml:space="preserve"> </w:t>
      </w:r>
      <w:r w:rsidRPr="00A67F33">
        <w:rPr>
          <w:i/>
          <w:iCs/>
        </w:rPr>
        <w:t>supra</w:t>
      </w:r>
      <w:r>
        <w:t xml:space="preserve"> </w:t>
      </w:r>
      <w:r w:rsidRPr="00883400">
        <w:t xml:space="preserve">note </w:t>
      </w:r>
      <w:r w:rsidR="0040113A">
        <w:t>2</w:t>
      </w:r>
      <w:r w:rsidR="00F65395">
        <w:t>7</w:t>
      </w:r>
      <w:r w:rsidRPr="00883400">
        <w:t>.</w:t>
      </w:r>
    </w:p>
  </w:footnote>
  <w:footnote w:id="33">
    <w:p w:rsidR="0063164C" w:rsidP="0063164C" w14:paraId="2294DB09" w14:textId="77777777">
      <w:pPr>
        <w:pStyle w:val="FootnoteText"/>
      </w:pPr>
      <w:r w:rsidRPr="00BD2209">
        <w:rPr>
          <w:rStyle w:val="FootnoteReference"/>
        </w:rPr>
        <w:footnoteRef/>
      </w:r>
      <w:r w:rsidRPr="00BD2209">
        <w:t xml:space="preserve"> </w:t>
      </w:r>
      <w:r w:rsidRPr="00A67F33">
        <w:rPr>
          <w:i/>
          <w:iCs/>
        </w:rPr>
        <w:t>See supra</w:t>
      </w:r>
      <w:r w:rsidRPr="00BD2209">
        <w:t xml:space="preserve"> </w:t>
      </w:r>
      <w:r>
        <w:t>t</w:t>
      </w:r>
      <w:r w:rsidRPr="00BD2209">
        <w:t xml:space="preserve">able 1. </w:t>
      </w:r>
      <w:r>
        <w:t xml:space="preserve"> </w:t>
      </w:r>
      <w:r w:rsidRPr="00DE3A0A">
        <w:t>26,</w:t>
      </w:r>
      <w:r w:rsidRPr="009D5D9C">
        <w:t xml:space="preserve">959 comprises </w:t>
      </w:r>
      <w:r w:rsidRPr="00DE3A0A">
        <w:t>10,062</w:t>
      </w:r>
      <w:r w:rsidRPr="009D5D9C">
        <w:t xml:space="preserve"> banks and </w:t>
      </w:r>
      <w:r w:rsidRPr="00DE3A0A">
        <w:t>16,</w:t>
      </w:r>
      <w:r>
        <w:t>897</w:t>
      </w:r>
      <w:r w:rsidRPr="00BD2209">
        <w:t xml:space="preserve"> MSBs that provide money transmission services.</w:t>
      </w:r>
    </w:p>
  </w:footnote>
  <w:footnote w:id="34">
    <w:p w:rsidR="0063164C" w:rsidP="0063164C" w14:paraId="43A3A423" w14:textId="4B482F4A">
      <w:pPr>
        <w:pStyle w:val="FootnoteText"/>
      </w:pPr>
      <w:r>
        <w:rPr>
          <w:rStyle w:val="FootnoteReference"/>
        </w:rPr>
        <w:footnoteRef/>
      </w:r>
      <w:r>
        <w:t xml:space="preserve"> </w:t>
      </w:r>
      <w:r w:rsidRPr="003D34DC">
        <w:rPr>
          <w:i/>
          <w:iCs/>
        </w:rPr>
        <w:t>See</w:t>
      </w:r>
      <w:r>
        <w:t xml:space="preserve"> </w:t>
      </w:r>
      <w:r w:rsidRPr="00A67F33">
        <w:rPr>
          <w:i/>
          <w:iCs/>
        </w:rPr>
        <w:t>supra</w:t>
      </w:r>
      <w:r>
        <w:t xml:space="preserve"> note </w:t>
      </w:r>
      <w:r w:rsidR="0040113A">
        <w:t>2</w:t>
      </w:r>
      <w:r w:rsidR="00FD495C">
        <w:t>7</w:t>
      </w:r>
      <w:r w:rsidRPr="00DD7015">
        <w:t>.</w:t>
      </w:r>
    </w:p>
  </w:footnote>
  <w:footnote w:id="35">
    <w:p w:rsidR="0063164C" w:rsidRPr="00BD2209" w:rsidP="0063164C" w14:paraId="77DCB192" w14:textId="77777777">
      <w:pPr>
        <w:pStyle w:val="FootnoteText"/>
      </w:pPr>
      <w:r w:rsidRPr="00BD2209">
        <w:rPr>
          <w:rStyle w:val="FootnoteReference"/>
        </w:rPr>
        <w:footnoteRef/>
      </w:r>
      <w:r w:rsidRPr="00BD2209">
        <w:t xml:space="preserve"> </w:t>
      </w:r>
      <w:r w:rsidRPr="00A67F33">
        <w:rPr>
          <w:i/>
          <w:iCs/>
        </w:rPr>
        <w:t xml:space="preserve">See supra </w:t>
      </w:r>
      <w:r>
        <w:t>t</w:t>
      </w:r>
      <w:r w:rsidRPr="00BD2209">
        <w:t>able 1 for the total number of MSBs that are providers or sellers of prepaid access.</w:t>
      </w:r>
    </w:p>
  </w:footnote>
  <w:footnote w:id="36">
    <w:p w:rsidR="00602E24" w:rsidRPr="00BD2209" w:rsidP="00602E24" w14:paraId="0DB7C6F9" w14:textId="77777777">
      <w:pPr>
        <w:pStyle w:val="FootnoteText"/>
      </w:pPr>
      <w:r w:rsidRPr="00BD2209">
        <w:rPr>
          <w:rStyle w:val="FootnoteReference"/>
        </w:rPr>
        <w:footnoteRef/>
      </w:r>
      <w:r w:rsidRPr="00BD2209">
        <w:t xml:space="preserve"> </w:t>
      </w:r>
      <w:r>
        <w:rPr>
          <w:lang w:val="en-GB"/>
        </w:rPr>
        <w:t>3,379,355</w:t>
      </w:r>
      <w:r w:rsidRPr="00BD2209">
        <w:rPr>
          <w:lang w:val="en-GB"/>
        </w:rPr>
        <w:t xml:space="preserve"> hours (31 CFR 1010.410(a)-(c)) </w:t>
      </w:r>
      <w:r w:rsidRPr="00B65DDA">
        <w:rPr>
          <w:lang w:val="en-GB"/>
        </w:rPr>
        <w:t xml:space="preserve">+ </w:t>
      </w:r>
      <w:r w:rsidRPr="00DE3A0A">
        <w:rPr>
          <w:lang w:val="en-GB"/>
        </w:rPr>
        <w:t>270,352</w:t>
      </w:r>
      <w:r w:rsidRPr="00BD2209">
        <w:rPr>
          <w:lang w:val="en-GB"/>
        </w:rPr>
        <w:t xml:space="preserve"> hours (31 CFR 1010.410(e)) + </w:t>
      </w:r>
      <w:r w:rsidRPr="00DE3A0A">
        <w:rPr>
          <w:lang w:val="en-GB"/>
        </w:rPr>
        <w:t>323,508</w:t>
      </w:r>
      <w:r w:rsidRPr="00BD2209">
        <w:rPr>
          <w:lang w:val="en-GB"/>
        </w:rPr>
        <w:t xml:space="preserve"> hours (31 CFR 1010.410(f)) + </w:t>
      </w:r>
      <w:r w:rsidRPr="00DE3A0A">
        <w:rPr>
          <w:lang w:val="en-GB"/>
        </w:rPr>
        <w:t>42,624</w:t>
      </w:r>
      <w:r w:rsidRPr="00BD2209">
        <w:rPr>
          <w:lang w:val="en-GB"/>
        </w:rPr>
        <w:t xml:space="preserve"> hours (31 CFR 1022.420) = </w:t>
      </w:r>
      <w:r>
        <w:rPr>
          <w:lang w:val="en-GB"/>
        </w:rPr>
        <w:t>4,015,839</w:t>
      </w:r>
      <w:r w:rsidRPr="00BD2209">
        <w:rPr>
          <w:lang w:val="en-GB"/>
        </w:rPr>
        <w:t xml:space="preserve"> hours.</w:t>
      </w:r>
    </w:p>
  </w:footnote>
  <w:footnote w:id="37">
    <w:p w:rsidR="009D67C4" w:rsidRPr="00E306F1" w:rsidP="009D67C4" w14:paraId="33E1AB13" w14:textId="77777777">
      <w:pPr>
        <w:pStyle w:val="FootnoteText"/>
      </w:pPr>
      <w:r w:rsidRPr="00E306F1">
        <w:rPr>
          <w:rStyle w:val="FootnoteReference"/>
        </w:rPr>
        <w:footnoteRef/>
      </w:r>
      <w:r w:rsidRPr="00E306F1">
        <w:t xml:space="preserve"> </w:t>
      </w:r>
      <w:r w:rsidRPr="00E306F1">
        <w:rPr>
          <w:i/>
          <w:iCs/>
        </w:rPr>
        <w:t>See, e.g.,</w:t>
      </w:r>
      <w:r w:rsidRPr="00E306F1">
        <w:t xml:space="preserve"> FinCEN and SEC, </w:t>
      </w:r>
      <w:r w:rsidRPr="00E306F1">
        <w:rPr>
          <w:i/>
          <w:iCs/>
        </w:rPr>
        <w:t>NPRM Customer Identification Programs for Registered Investment Advisers and Exempt Reporting Advisers</w:t>
      </w:r>
      <w:r w:rsidRPr="00E306F1">
        <w:t xml:space="preserve">, </w:t>
      </w:r>
      <w:hyperlink r:id="rId4" w:history="1">
        <w:r w:rsidRPr="00E306F1">
          <w:rPr>
            <w:rStyle w:val="Hyperlink"/>
            <w:sz w:val="20"/>
          </w:rPr>
          <w:t>89 FR 44571</w:t>
        </w:r>
      </w:hyperlink>
      <w:r w:rsidRPr="00E306F1">
        <w:t xml:space="preserve"> (May 21, 2024); FinCEN, </w:t>
      </w:r>
      <w:r w:rsidRPr="00E306F1">
        <w:rPr>
          <w:i/>
          <w:iCs/>
        </w:rPr>
        <w:t xml:space="preserve">NPRM Anti-Money Laundering and Countering the Financing of Terrorism Programs NPRM, </w:t>
      </w:r>
      <w:hyperlink r:id="rId5" w:history="1">
        <w:r w:rsidRPr="00E306F1">
          <w:rPr>
            <w:rStyle w:val="Hyperlink"/>
            <w:sz w:val="20"/>
          </w:rPr>
          <w:t>89 FR 55428</w:t>
        </w:r>
      </w:hyperlink>
      <w:r w:rsidRPr="00E306F1">
        <w:t xml:space="preserve"> (July 3, 2024); FinCEN, </w:t>
      </w:r>
      <w:r w:rsidRPr="00E306F1">
        <w:rPr>
          <w:i/>
          <w:iCs/>
        </w:rPr>
        <w:t xml:space="preserve">Agency Information Collection Activities; Proposed Renewal; Comment Request; Renewal Without Change of the Customer Identification Program Regulatory Requirements for Certain Financial Institutions, </w:t>
      </w:r>
      <w:hyperlink r:id="rId6" w:history="1">
        <w:r w:rsidRPr="00E306F1">
          <w:rPr>
            <w:rStyle w:val="Hyperlink"/>
            <w:sz w:val="20"/>
          </w:rPr>
          <w:t>89 FR 51940</w:t>
        </w:r>
      </w:hyperlink>
      <w:r w:rsidRPr="00E306F1">
        <w:t xml:space="preserve"> (June 20, 2024); FinCEN, </w:t>
      </w:r>
      <w:r w:rsidRPr="00E306F1">
        <w:rPr>
          <w:i/>
          <w:iCs/>
        </w:rPr>
        <w:t>Agency Information Collection Activities; Proposed Renewal; Comment Request; Renewal Without Change of Due Diligence Programs for Correspondent Accounts for Foreign Financial Institutions and for Private Banking Accounts</w:t>
      </w:r>
      <w:r w:rsidRPr="00E306F1">
        <w:t xml:space="preserve">, </w:t>
      </w:r>
      <w:hyperlink r:id="rId7" w:history="1">
        <w:r w:rsidRPr="00E306F1">
          <w:rPr>
            <w:rStyle w:val="Hyperlink"/>
            <w:sz w:val="20"/>
          </w:rPr>
          <w:t>89 FR 49273</w:t>
        </w:r>
      </w:hyperlink>
      <w:r w:rsidRPr="00E306F1">
        <w:t>, (June 11, 2024).</w:t>
      </w:r>
    </w:p>
    <w:p w:rsidR="009D67C4" w:rsidRPr="00E306F1" w:rsidP="009D67C4" w14:paraId="736CC467" w14:textId="77777777">
      <w:pPr>
        <w:pStyle w:val="FootnoteText"/>
      </w:pPr>
      <w:r w:rsidRPr="00E306F1">
        <w:t xml:space="preserve"> </w:t>
      </w:r>
    </w:p>
    <w:p w:rsidR="009D67C4" w:rsidP="009D67C4" w14:paraId="2EB78EB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74" w14:paraId="706F7C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74" w14:paraId="0D196B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B74" w14:paraId="09E0C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AB1"/>
    <w:multiLevelType w:val="hybridMultilevel"/>
    <w:tmpl w:val="A824D5F4"/>
    <w:lvl w:ilvl="0">
      <w:start w:val="1"/>
      <w:numFmt w:val="lowerRoman"/>
      <w:lvlText w:val="%1."/>
      <w:lvlJc w:val="righ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D0630"/>
    <w:multiLevelType w:val="hybridMultilevel"/>
    <w:tmpl w:val="BC30139E"/>
    <w:lvl w:ilvl="0">
      <w:start w:val="1"/>
      <w:numFmt w:val="lowerRoman"/>
      <w:lvlText w:val="%1."/>
      <w:lvlJc w:val="right"/>
      <w:pPr>
        <w:ind w:left="720" w:hanging="360"/>
      </w:pPr>
      <w:rPr>
        <w:rFonts w:hint="default"/>
      </w:rPr>
    </w:lvl>
    <w:lvl w:ilvl="1">
      <w:start w:val="1"/>
      <w:numFmt w:val="lowerRoman"/>
      <w:lvlText w:val="%2."/>
      <w:lvlJc w:val="righ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34B81"/>
    <w:multiLevelType w:val="hybridMultilevel"/>
    <w:tmpl w:val="A91AEDB0"/>
    <w:lvl w:ilvl="0">
      <w:start w:val="1"/>
      <w:numFmt w:val="bullet"/>
      <w:lvlText w:val=""/>
      <w:lvlJc w:val="left"/>
      <w:pPr>
        <w:ind w:left="4680" w:hanging="360"/>
      </w:pPr>
      <w:rPr>
        <w:rFonts w:ascii="Symbol" w:hAnsi="Symbol" w:hint="default"/>
      </w:rPr>
    </w:lvl>
    <w:lvl w:ilvl="1" w:tentative="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3">
    <w:nsid w:val="25E7468A"/>
    <w:multiLevelType w:val="hybridMultilevel"/>
    <w:tmpl w:val="99CA42A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3EF31E2"/>
    <w:multiLevelType w:val="hybridMultilevel"/>
    <w:tmpl w:val="D71A94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6A37186E"/>
    <w:multiLevelType w:val="hybridMultilevel"/>
    <w:tmpl w:val="C9403E4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9059E3"/>
    <w:multiLevelType w:val="hybridMultilevel"/>
    <w:tmpl w:val="A5A8B94E"/>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FAF5C48"/>
    <w:multiLevelType w:val="multilevel"/>
    <w:tmpl w:val="F3ACB062"/>
    <w:lvl w:ilvl="0">
      <w:start w:val="1"/>
      <w:numFmt w:val="upperRoman"/>
      <w:lvlText w:val="%1."/>
      <w:lvlJc w:val="left"/>
      <w:pPr>
        <w:ind w:left="720" w:hanging="720"/>
      </w:pPr>
      <w:rPr>
        <w:rFonts w:hint="default"/>
      </w:rPr>
    </w:lvl>
    <w:lvl w:ilvl="1">
      <w:start w:val="1"/>
      <w:numFmt w:val="upperLetter"/>
      <w:lvlText w:val="%2."/>
      <w:lvlJc w:val="left"/>
      <w:pPr>
        <w:ind w:left="8100" w:hanging="720"/>
      </w:pPr>
      <w:rPr>
        <w:rFonts w:hint="default"/>
      </w:rPr>
    </w:lvl>
    <w:lvl w:ilvl="2">
      <w:start w:val="1"/>
      <w:numFmt w:val="lowerRoman"/>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08152631">
    <w:abstractNumId w:val="3"/>
  </w:num>
  <w:num w:numId="2" w16cid:durableId="1358773254">
    <w:abstractNumId w:val="4"/>
  </w:num>
  <w:num w:numId="3" w16cid:durableId="228199065">
    <w:abstractNumId w:val="7"/>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243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014694955">
    <w:abstractNumId w:val="4"/>
  </w:num>
  <w:num w:numId="5" w16cid:durableId="298535124">
    <w:abstractNumId w:val="6"/>
  </w:num>
  <w:num w:numId="6" w16cid:durableId="420301567">
    <w:abstractNumId w:val="1"/>
  </w:num>
  <w:num w:numId="7" w16cid:durableId="2049643115">
    <w:abstractNumId w:val="7"/>
  </w:num>
  <w:num w:numId="8" w16cid:durableId="233205322">
    <w:abstractNumId w:val="2"/>
  </w:num>
  <w:num w:numId="9" w16cid:durableId="9263670">
    <w:abstractNumId w:val="0"/>
  </w:num>
  <w:num w:numId="10" w16cid:durableId="1459453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03"/>
    <w:rsid w:val="00012D98"/>
    <w:rsid w:val="000148CE"/>
    <w:rsid w:val="000168A5"/>
    <w:rsid w:val="00021D9A"/>
    <w:rsid w:val="000254DD"/>
    <w:rsid w:val="00031C8D"/>
    <w:rsid w:val="00033A1B"/>
    <w:rsid w:val="00035296"/>
    <w:rsid w:val="00037194"/>
    <w:rsid w:val="000439C1"/>
    <w:rsid w:val="00056017"/>
    <w:rsid w:val="00063926"/>
    <w:rsid w:val="00065A1A"/>
    <w:rsid w:val="00083825"/>
    <w:rsid w:val="0008463B"/>
    <w:rsid w:val="000864E6"/>
    <w:rsid w:val="00087085"/>
    <w:rsid w:val="00090A74"/>
    <w:rsid w:val="00090A9A"/>
    <w:rsid w:val="000A2D72"/>
    <w:rsid w:val="000A587A"/>
    <w:rsid w:val="000B3CBE"/>
    <w:rsid w:val="000C123A"/>
    <w:rsid w:val="000C718E"/>
    <w:rsid w:val="000D6A13"/>
    <w:rsid w:val="000D78FA"/>
    <w:rsid w:val="000D7C9E"/>
    <w:rsid w:val="000E2263"/>
    <w:rsid w:val="000E249E"/>
    <w:rsid w:val="000E3B50"/>
    <w:rsid w:val="000F035B"/>
    <w:rsid w:val="000F231C"/>
    <w:rsid w:val="000F2B76"/>
    <w:rsid w:val="00100E5D"/>
    <w:rsid w:val="00103314"/>
    <w:rsid w:val="00103F67"/>
    <w:rsid w:val="00104CF8"/>
    <w:rsid w:val="001050DA"/>
    <w:rsid w:val="0011662C"/>
    <w:rsid w:val="00126375"/>
    <w:rsid w:val="00133471"/>
    <w:rsid w:val="001470F2"/>
    <w:rsid w:val="00165A7A"/>
    <w:rsid w:val="00173ED4"/>
    <w:rsid w:val="00174219"/>
    <w:rsid w:val="00175310"/>
    <w:rsid w:val="00184354"/>
    <w:rsid w:val="001855F0"/>
    <w:rsid w:val="00185C57"/>
    <w:rsid w:val="001A69BE"/>
    <w:rsid w:val="001B4F46"/>
    <w:rsid w:val="001B694E"/>
    <w:rsid w:val="001B77B9"/>
    <w:rsid w:val="001B7B21"/>
    <w:rsid w:val="001C0436"/>
    <w:rsid w:val="001C3F73"/>
    <w:rsid w:val="001C647B"/>
    <w:rsid w:val="001D62E6"/>
    <w:rsid w:val="001E2444"/>
    <w:rsid w:val="001F2371"/>
    <w:rsid w:val="001F3D30"/>
    <w:rsid w:val="002052FF"/>
    <w:rsid w:val="00214257"/>
    <w:rsid w:val="0021460E"/>
    <w:rsid w:val="00223E97"/>
    <w:rsid w:val="00231E03"/>
    <w:rsid w:val="002457F7"/>
    <w:rsid w:val="0024731A"/>
    <w:rsid w:val="00262B74"/>
    <w:rsid w:val="002659B7"/>
    <w:rsid w:val="00266CC3"/>
    <w:rsid w:val="00267C30"/>
    <w:rsid w:val="00275843"/>
    <w:rsid w:val="00277C5D"/>
    <w:rsid w:val="00280F5B"/>
    <w:rsid w:val="00283C03"/>
    <w:rsid w:val="00283D0A"/>
    <w:rsid w:val="00283D1E"/>
    <w:rsid w:val="002845BA"/>
    <w:rsid w:val="00290B7A"/>
    <w:rsid w:val="00292AA7"/>
    <w:rsid w:val="00294540"/>
    <w:rsid w:val="00295E8C"/>
    <w:rsid w:val="002A62B4"/>
    <w:rsid w:val="002C15E2"/>
    <w:rsid w:val="002C4023"/>
    <w:rsid w:val="002E58AE"/>
    <w:rsid w:val="002E5977"/>
    <w:rsid w:val="002E71D4"/>
    <w:rsid w:val="002F50C4"/>
    <w:rsid w:val="003030D6"/>
    <w:rsid w:val="00303FAB"/>
    <w:rsid w:val="00310A68"/>
    <w:rsid w:val="00311AD1"/>
    <w:rsid w:val="00322D81"/>
    <w:rsid w:val="00331783"/>
    <w:rsid w:val="003351F2"/>
    <w:rsid w:val="003355DC"/>
    <w:rsid w:val="00342E60"/>
    <w:rsid w:val="003472AF"/>
    <w:rsid w:val="003624F7"/>
    <w:rsid w:val="00362F89"/>
    <w:rsid w:val="00363CF6"/>
    <w:rsid w:val="0037004A"/>
    <w:rsid w:val="0037232E"/>
    <w:rsid w:val="003807CD"/>
    <w:rsid w:val="0038185A"/>
    <w:rsid w:val="00385657"/>
    <w:rsid w:val="00390D26"/>
    <w:rsid w:val="00391E27"/>
    <w:rsid w:val="003A3F56"/>
    <w:rsid w:val="003A7294"/>
    <w:rsid w:val="003B0157"/>
    <w:rsid w:val="003B2E70"/>
    <w:rsid w:val="003B3D54"/>
    <w:rsid w:val="003C3207"/>
    <w:rsid w:val="003C6637"/>
    <w:rsid w:val="003C6E88"/>
    <w:rsid w:val="003C7658"/>
    <w:rsid w:val="003D34DC"/>
    <w:rsid w:val="003E3709"/>
    <w:rsid w:val="0040034F"/>
    <w:rsid w:val="00400416"/>
    <w:rsid w:val="0040113A"/>
    <w:rsid w:val="004026AE"/>
    <w:rsid w:val="00404D2E"/>
    <w:rsid w:val="004051FC"/>
    <w:rsid w:val="00415D97"/>
    <w:rsid w:val="00420775"/>
    <w:rsid w:val="00420C9C"/>
    <w:rsid w:val="00461FE8"/>
    <w:rsid w:val="00463A95"/>
    <w:rsid w:val="00465226"/>
    <w:rsid w:val="00476A2F"/>
    <w:rsid w:val="0048276A"/>
    <w:rsid w:val="0048453D"/>
    <w:rsid w:val="004927CA"/>
    <w:rsid w:val="004A0AAB"/>
    <w:rsid w:val="004B11D2"/>
    <w:rsid w:val="004B29C0"/>
    <w:rsid w:val="004B50B7"/>
    <w:rsid w:val="004B7DED"/>
    <w:rsid w:val="004C1A73"/>
    <w:rsid w:val="004D46F5"/>
    <w:rsid w:val="004D7262"/>
    <w:rsid w:val="004E2520"/>
    <w:rsid w:val="004F2ADB"/>
    <w:rsid w:val="004F4905"/>
    <w:rsid w:val="004F66AD"/>
    <w:rsid w:val="00517E8A"/>
    <w:rsid w:val="005208D9"/>
    <w:rsid w:val="0052534B"/>
    <w:rsid w:val="00551459"/>
    <w:rsid w:val="0055172E"/>
    <w:rsid w:val="00561AE5"/>
    <w:rsid w:val="005667C4"/>
    <w:rsid w:val="00574C56"/>
    <w:rsid w:val="00581DA5"/>
    <w:rsid w:val="005A0E62"/>
    <w:rsid w:val="005A41DF"/>
    <w:rsid w:val="005B758F"/>
    <w:rsid w:val="005C08FE"/>
    <w:rsid w:val="005C3F19"/>
    <w:rsid w:val="005C701B"/>
    <w:rsid w:val="005F6E20"/>
    <w:rsid w:val="00600940"/>
    <w:rsid w:val="00602E24"/>
    <w:rsid w:val="00610B22"/>
    <w:rsid w:val="00616D76"/>
    <w:rsid w:val="00624DF7"/>
    <w:rsid w:val="00630472"/>
    <w:rsid w:val="0063164C"/>
    <w:rsid w:val="006339E9"/>
    <w:rsid w:val="00640A47"/>
    <w:rsid w:val="00643F1F"/>
    <w:rsid w:val="00662C82"/>
    <w:rsid w:val="00662E4A"/>
    <w:rsid w:val="0066339C"/>
    <w:rsid w:val="00672EFA"/>
    <w:rsid w:val="0068561A"/>
    <w:rsid w:val="00687083"/>
    <w:rsid w:val="00691DF0"/>
    <w:rsid w:val="00692C23"/>
    <w:rsid w:val="006A4260"/>
    <w:rsid w:val="006B334B"/>
    <w:rsid w:val="006B5803"/>
    <w:rsid w:val="006B7C0B"/>
    <w:rsid w:val="006C3947"/>
    <w:rsid w:val="006D0523"/>
    <w:rsid w:val="006E44B8"/>
    <w:rsid w:val="006E4EEC"/>
    <w:rsid w:val="006E5690"/>
    <w:rsid w:val="006F052B"/>
    <w:rsid w:val="006F3E78"/>
    <w:rsid w:val="006F70DB"/>
    <w:rsid w:val="00703815"/>
    <w:rsid w:val="00712A9D"/>
    <w:rsid w:val="00713445"/>
    <w:rsid w:val="00720590"/>
    <w:rsid w:val="007205E0"/>
    <w:rsid w:val="007252DB"/>
    <w:rsid w:val="00726A1A"/>
    <w:rsid w:val="00727AE0"/>
    <w:rsid w:val="00732ADD"/>
    <w:rsid w:val="0073552A"/>
    <w:rsid w:val="00736F71"/>
    <w:rsid w:val="00736FD7"/>
    <w:rsid w:val="00741FE1"/>
    <w:rsid w:val="00747B41"/>
    <w:rsid w:val="00751638"/>
    <w:rsid w:val="0076272D"/>
    <w:rsid w:val="0076605B"/>
    <w:rsid w:val="007716B5"/>
    <w:rsid w:val="0077338F"/>
    <w:rsid w:val="00777D16"/>
    <w:rsid w:val="00777D54"/>
    <w:rsid w:val="007851D5"/>
    <w:rsid w:val="00792BF5"/>
    <w:rsid w:val="00794049"/>
    <w:rsid w:val="00794372"/>
    <w:rsid w:val="007A129D"/>
    <w:rsid w:val="007A49E6"/>
    <w:rsid w:val="007A5033"/>
    <w:rsid w:val="007B0A77"/>
    <w:rsid w:val="007C0044"/>
    <w:rsid w:val="007C170A"/>
    <w:rsid w:val="007C27D8"/>
    <w:rsid w:val="007C31C1"/>
    <w:rsid w:val="007C49FF"/>
    <w:rsid w:val="007E03AF"/>
    <w:rsid w:val="007E1700"/>
    <w:rsid w:val="007F2049"/>
    <w:rsid w:val="007F38A1"/>
    <w:rsid w:val="007F4628"/>
    <w:rsid w:val="00806A7E"/>
    <w:rsid w:val="00813D7D"/>
    <w:rsid w:val="0082193B"/>
    <w:rsid w:val="00825EF6"/>
    <w:rsid w:val="00861DDF"/>
    <w:rsid w:val="00864A91"/>
    <w:rsid w:val="00866158"/>
    <w:rsid w:val="00867E55"/>
    <w:rsid w:val="00872D5A"/>
    <w:rsid w:val="0087536F"/>
    <w:rsid w:val="008763D4"/>
    <w:rsid w:val="00877B3E"/>
    <w:rsid w:val="00883400"/>
    <w:rsid w:val="00887066"/>
    <w:rsid w:val="00893692"/>
    <w:rsid w:val="00896B0C"/>
    <w:rsid w:val="008A2006"/>
    <w:rsid w:val="008B5CEF"/>
    <w:rsid w:val="008B5EAD"/>
    <w:rsid w:val="008C5467"/>
    <w:rsid w:val="008D57C8"/>
    <w:rsid w:val="008E330C"/>
    <w:rsid w:val="008E49B9"/>
    <w:rsid w:val="008E7A97"/>
    <w:rsid w:val="008E7EF2"/>
    <w:rsid w:val="00900895"/>
    <w:rsid w:val="00906AC9"/>
    <w:rsid w:val="00912569"/>
    <w:rsid w:val="0091349B"/>
    <w:rsid w:val="00913B9E"/>
    <w:rsid w:val="0091539A"/>
    <w:rsid w:val="009209D3"/>
    <w:rsid w:val="00925BB9"/>
    <w:rsid w:val="00936351"/>
    <w:rsid w:val="009375A2"/>
    <w:rsid w:val="00940320"/>
    <w:rsid w:val="00942E4D"/>
    <w:rsid w:val="00947726"/>
    <w:rsid w:val="009563CA"/>
    <w:rsid w:val="009620AD"/>
    <w:rsid w:val="00970086"/>
    <w:rsid w:val="009706CB"/>
    <w:rsid w:val="00971BA3"/>
    <w:rsid w:val="0097338E"/>
    <w:rsid w:val="00980470"/>
    <w:rsid w:val="00981001"/>
    <w:rsid w:val="009821BC"/>
    <w:rsid w:val="0098371A"/>
    <w:rsid w:val="00992858"/>
    <w:rsid w:val="009A5148"/>
    <w:rsid w:val="009B06FF"/>
    <w:rsid w:val="009B405C"/>
    <w:rsid w:val="009B568C"/>
    <w:rsid w:val="009B72EA"/>
    <w:rsid w:val="009C176A"/>
    <w:rsid w:val="009D5D9C"/>
    <w:rsid w:val="009D67C4"/>
    <w:rsid w:val="009D7C4B"/>
    <w:rsid w:val="009E02BC"/>
    <w:rsid w:val="009E0405"/>
    <w:rsid w:val="009E0939"/>
    <w:rsid w:val="009F102C"/>
    <w:rsid w:val="009F286C"/>
    <w:rsid w:val="009F32EE"/>
    <w:rsid w:val="009F353C"/>
    <w:rsid w:val="009F4844"/>
    <w:rsid w:val="00A01910"/>
    <w:rsid w:val="00A05BCB"/>
    <w:rsid w:val="00A111E3"/>
    <w:rsid w:val="00A243DB"/>
    <w:rsid w:val="00A264BD"/>
    <w:rsid w:val="00A35D5A"/>
    <w:rsid w:val="00A41A8E"/>
    <w:rsid w:val="00A44D4B"/>
    <w:rsid w:val="00A45417"/>
    <w:rsid w:val="00A55834"/>
    <w:rsid w:val="00A573AC"/>
    <w:rsid w:val="00A61659"/>
    <w:rsid w:val="00A619EE"/>
    <w:rsid w:val="00A6217A"/>
    <w:rsid w:val="00A64254"/>
    <w:rsid w:val="00A67F33"/>
    <w:rsid w:val="00A72256"/>
    <w:rsid w:val="00A80E16"/>
    <w:rsid w:val="00A86267"/>
    <w:rsid w:val="00A90C48"/>
    <w:rsid w:val="00A95106"/>
    <w:rsid w:val="00A970ED"/>
    <w:rsid w:val="00AA04FA"/>
    <w:rsid w:val="00AA57CE"/>
    <w:rsid w:val="00AA6051"/>
    <w:rsid w:val="00AB2EDF"/>
    <w:rsid w:val="00AC36F4"/>
    <w:rsid w:val="00AC425A"/>
    <w:rsid w:val="00AC55D8"/>
    <w:rsid w:val="00AD1C16"/>
    <w:rsid w:val="00AD45D4"/>
    <w:rsid w:val="00B04AEC"/>
    <w:rsid w:val="00B16721"/>
    <w:rsid w:val="00B170B5"/>
    <w:rsid w:val="00B17EBA"/>
    <w:rsid w:val="00B20B78"/>
    <w:rsid w:val="00B228F9"/>
    <w:rsid w:val="00B24105"/>
    <w:rsid w:val="00B2604A"/>
    <w:rsid w:val="00B27D1B"/>
    <w:rsid w:val="00B4467F"/>
    <w:rsid w:val="00B5553F"/>
    <w:rsid w:val="00B55A54"/>
    <w:rsid w:val="00B56B6E"/>
    <w:rsid w:val="00B6063C"/>
    <w:rsid w:val="00B60CA7"/>
    <w:rsid w:val="00B636A1"/>
    <w:rsid w:val="00B65DDA"/>
    <w:rsid w:val="00B7114D"/>
    <w:rsid w:val="00B721BC"/>
    <w:rsid w:val="00B7641C"/>
    <w:rsid w:val="00B77D18"/>
    <w:rsid w:val="00B77DE9"/>
    <w:rsid w:val="00B828E0"/>
    <w:rsid w:val="00B91430"/>
    <w:rsid w:val="00BA6EB8"/>
    <w:rsid w:val="00BB5662"/>
    <w:rsid w:val="00BC26FA"/>
    <w:rsid w:val="00BC3925"/>
    <w:rsid w:val="00BC461F"/>
    <w:rsid w:val="00BC5B44"/>
    <w:rsid w:val="00BC5C26"/>
    <w:rsid w:val="00BD2209"/>
    <w:rsid w:val="00BD26D1"/>
    <w:rsid w:val="00BD35ED"/>
    <w:rsid w:val="00BD3BF4"/>
    <w:rsid w:val="00BD3C05"/>
    <w:rsid w:val="00BD6A2D"/>
    <w:rsid w:val="00BE0537"/>
    <w:rsid w:val="00BE109B"/>
    <w:rsid w:val="00BE199E"/>
    <w:rsid w:val="00BF1EE7"/>
    <w:rsid w:val="00BF1F07"/>
    <w:rsid w:val="00BF782E"/>
    <w:rsid w:val="00C04D3B"/>
    <w:rsid w:val="00C05059"/>
    <w:rsid w:val="00C07D11"/>
    <w:rsid w:val="00C136A3"/>
    <w:rsid w:val="00C13B81"/>
    <w:rsid w:val="00C14546"/>
    <w:rsid w:val="00C15030"/>
    <w:rsid w:val="00C170F1"/>
    <w:rsid w:val="00C23C16"/>
    <w:rsid w:val="00C30B54"/>
    <w:rsid w:val="00C31F4E"/>
    <w:rsid w:val="00C42074"/>
    <w:rsid w:val="00C47236"/>
    <w:rsid w:val="00C6398F"/>
    <w:rsid w:val="00C662B2"/>
    <w:rsid w:val="00C77DB6"/>
    <w:rsid w:val="00C832D9"/>
    <w:rsid w:val="00C97433"/>
    <w:rsid w:val="00CA2FC5"/>
    <w:rsid w:val="00CA56A6"/>
    <w:rsid w:val="00CB4FE3"/>
    <w:rsid w:val="00CB5D13"/>
    <w:rsid w:val="00CB66DE"/>
    <w:rsid w:val="00CB6E72"/>
    <w:rsid w:val="00CD0003"/>
    <w:rsid w:val="00CD0247"/>
    <w:rsid w:val="00CD2851"/>
    <w:rsid w:val="00CE34B7"/>
    <w:rsid w:val="00CE35EC"/>
    <w:rsid w:val="00CE5E3F"/>
    <w:rsid w:val="00CF49E6"/>
    <w:rsid w:val="00D11F1E"/>
    <w:rsid w:val="00D14FC7"/>
    <w:rsid w:val="00D1738E"/>
    <w:rsid w:val="00D20DB3"/>
    <w:rsid w:val="00D23366"/>
    <w:rsid w:val="00D236F5"/>
    <w:rsid w:val="00D344F7"/>
    <w:rsid w:val="00D34C32"/>
    <w:rsid w:val="00D34E4D"/>
    <w:rsid w:val="00D36B37"/>
    <w:rsid w:val="00D378D1"/>
    <w:rsid w:val="00D44931"/>
    <w:rsid w:val="00D600F2"/>
    <w:rsid w:val="00D625C6"/>
    <w:rsid w:val="00D72933"/>
    <w:rsid w:val="00D80870"/>
    <w:rsid w:val="00D80889"/>
    <w:rsid w:val="00D81F86"/>
    <w:rsid w:val="00D85EB1"/>
    <w:rsid w:val="00D91B0A"/>
    <w:rsid w:val="00D945F5"/>
    <w:rsid w:val="00DA1802"/>
    <w:rsid w:val="00DA698A"/>
    <w:rsid w:val="00DB1F11"/>
    <w:rsid w:val="00DB2DF9"/>
    <w:rsid w:val="00DB5A0A"/>
    <w:rsid w:val="00DC041C"/>
    <w:rsid w:val="00DC578A"/>
    <w:rsid w:val="00DD0B97"/>
    <w:rsid w:val="00DD2045"/>
    <w:rsid w:val="00DD7015"/>
    <w:rsid w:val="00DE3969"/>
    <w:rsid w:val="00DE3A0A"/>
    <w:rsid w:val="00DF26A8"/>
    <w:rsid w:val="00DF6552"/>
    <w:rsid w:val="00E01B22"/>
    <w:rsid w:val="00E025E8"/>
    <w:rsid w:val="00E16FE4"/>
    <w:rsid w:val="00E306F1"/>
    <w:rsid w:val="00E32A8D"/>
    <w:rsid w:val="00E36CC9"/>
    <w:rsid w:val="00E37052"/>
    <w:rsid w:val="00E42E1C"/>
    <w:rsid w:val="00E51084"/>
    <w:rsid w:val="00E52F6C"/>
    <w:rsid w:val="00E544CB"/>
    <w:rsid w:val="00E554CF"/>
    <w:rsid w:val="00E60EEE"/>
    <w:rsid w:val="00E6336B"/>
    <w:rsid w:val="00E64062"/>
    <w:rsid w:val="00E70D2C"/>
    <w:rsid w:val="00E73390"/>
    <w:rsid w:val="00E86F4A"/>
    <w:rsid w:val="00E94345"/>
    <w:rsid w:val="00E9613E"/>
    <w:rsid w:val="00EA1AD3"/>
    <w:rsid w:val="00EA1F2F"/>
    <w:rsid w:val="00EA6E87"/>
    <w:rsid w:val="00EA7402"/>
    <w:rsid w:val="00EB4B3E"/>
    <w:rsid w:val="00EB5090"/>
    <w:rsid w:val="00EB7036"/>
    <w:rsid w:val="00EC1FFB"/>
    <w:rsid w:val="00ED5F43"/>
    <w:rsid w:val="00EE438B"/>
    <w:rsid w:val="00EE61FC"/>
    <w:rsid w:val="00EE69DC"/>
    <w:rsid w:val="00EE79A5"/>
    <w:rsid w:val="00EF277D"/>
    <w:rsid w:val="00EF7BE9"/>
    <w:rsid w:val="00F075F4"/>
    <w:rsid w:val="00F13582"/>
    <w:rsid w:val="00F15B48"/>
    <w:rsid w:val="00F20A94"/>
    <w:rsid w:val="00F224F1"/>
    <w:rsid w:val="00F234D2"/>
    <w:rsid w:val="00F23EEB"/>
    <w:rsid w:val="00F306E3"/>
    <w:rsid w:val="00F3302C"/>
    <w:rsid w:val="00F3419B"/>
    <w:rsid w:val="00F34E37"/>
    <w:rsid w:val="00F45DC0"/>
    <w:rsid w:val="00F52B5D"/>
    <w:rsid w:val="00F55339"/>
    <w:rsid w:val="00F55E2E"/>
    <w:rsid w:val="00F60E32"/>
    <w:rsid w:val="00F62859"/>
    <w:rsid w:val="00F65395"/>
    <w:rsid w:val="00F70C29"/>
    <w:rsid w:val="00F76330"/>
    <w:rsid w:val="00F81E4B"/>
    <w:rsid w:val="00F85CC4"/>
    <w:rsid w:val="00FC36D9"/>
    <w:rsid w:val="00FC3C00"/>
    <w:rsid w:val="00FD3BDC"/>
    <w:rsid w:val="00FD4567"/>
    <w:rsid w:val="00FD495C"/>
    <w:rsid w:val="00FE0FB5"/>
    <w:rsid w:val="00FE2762"/>
    <w:rsid w:val="00FE2C46"/>
    <w:rsid w:val="00FE3D44"/>
    <w:rsid w:val="00FF1DA0"/>
    <w:rsid w:val="00FF47A7"/>
    <w:rsid w:val="00FF4B92"/>
  </w:rsids>
  <w:docVars>
    <w:docVar w:name="_AMO_ReportControlsVisible" w:val="Empty"/>
    <w:docVar w:name="_AMO_UniqueIdentifier" w:val="2c73de45-eb75-4acd-998e-cc320190107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909EC"/>
  <w15:chartTrackingRefBased/>
  <w15:docId w15:val="{11EE7D7E-9F15-4D96-933D-6481E8F6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9620A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spacing w:after="120"/>
      <w:ind w:left="360"/>
    </w:pPr>
  </w:style>
  <w:style w:type="paragraph" w:customStyle="1" w:styleId="Default">
    <w:name w:val="Default"/>
    <w:basedOn w:val="Normal"/>
    <w:rsid w:val="00CB5D13"/>
    <w:pPr>
      <w:autoSpaceDE w:val="0"/>
      <w:autoSpaceDN w:val="0"/>
    </w:pPr>
    <w:rPr>
      <w:rFonts w:eastAsia="Calibri"/>
      <w:color w:val="000000"/>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f"/>
    <w:basedOn w:val="Normal"/>
    <w:link w:val="FootnoteTextChar"/>
    <w:qFormat/>
    <w:rsid w:val="00310A68"/>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310A68"/>
  </w:style>
  <w:style w:type="character" w:styleId="CommentReference">
    <w:name w:val="annotation reference"/>
    <w:uiPriority w:val="99"/>
    <w:rsid w:val="001B7B21"/>
    <w:rPr>
      <w:sz w:val="16"/>
      <w:szCs w:val="16"/>
    </w:rPr>
  </w:style>
  <w:style w:type="paragraph" w:styleId="CommentText">
    <w:name w:val="annotation text"/>
    <w:basedOn w:val="Normal"/>
    <w:link w:val="CommentTextChar"/>
    <w:uiPriority w:val="99"/>
    <w:rsid w:val="001B7B21"/>
    <w:rPr>
      <w:sz w:val="20"/>
      <w:szCs w:val="20"/>
    </w:rPr>
  </w:style>
  <w:style w:type="character" w:customStyle="1" w:styleId="CommentTextChar">
    <w:name w:val="Comment Text Char"/>
    <w:basedOn w:val="DefaultParagraphFont"/>
    <w:link w:val="CommentText"/>
    <w:uiPriority w:val="99"/>
    <w:rsid w:val="001B7B21"/>
  </w:style>
  <w:style w:type="paragraph" w:styleId="CommentSubject">
    <w:name w:val="annotation subject"/>
    <w:basedOn w:val="CommentText"/>
    <w:next w:val="CommentText"/>
    <w:link w:val="CommentSubjectChar"/>
    <w:rsid w:val="001B7B21"/>
    <w:rPr>
      <w:b/>
      <w:bCs/>
    </w:rPr>
  </w:style>
  <w:style w:type="character" w:customStyle="1" w:styleId="CommentSubjectChar">
    <w:name w:val="Comment Subject Char"/>
    <w:link w:val="CommentSubject"/>
    <w:rsid w:val="001B7B21"/>
    <w:rPr>
      <w:b/>
      <w:bCs/>
    </w:rPr>
  </w:style>
  <w:style w:type="character" w:customStyle="1" w:styleId="Heading3Char">
    <w:name w:val="Heading 3 Char"/>
    <w:link w:val="Heading3"/>
    <w:uiPriority w:val="9"/>
    <w:rsid w:val="009620AD"/>
    <w:rPr>
      <w:b/>
      <w:bCs/>
      <w:sz w:val="27"/>
      <w:szCs w:val="27"/>
    </w:rPr>
  </w:style>
  <w:style w:type="character" w:styleId="Hyperlink">
    <w:name w:val="Hyperlink"/>
    <w:rsid w:val="009620AD"/>
    <w:rPr>
      <w:color w:val="0000FF"/>
      <w:sz w:val="24"/>
      <w:u w:val="single"/>
    </w:rPr>
  </w:style>
  <w:style w:type="paragraph" w:styleId="Header">
    <w:name w:val="header"/>
    <w:basedOn w:val="Normal"/>
    <w:link w:val="HeaderChar"/>
    <w:rsid w:val="00CF49E6"/>
    <w:pPr>
      <w:tabs>
        <w:tab w:val="center" w:pos="4680"/>
        <w:tab w:val="right" w:pos="9360"/>
      </w:tabs>
    </w:pPr>
  </w:style>
  <w:style w:type="character" w:customStyle="1" w:styleId="HeaderChar">
    <w:name w:val="Header Char"/>
    <w:link w:val="Header"/>
    <w:rsid w:val="00CF49E6"/>
    <w:rPr>
      <w:sz w:val="24"/>
      <w:szCs w:val="24"/>
    </w:rPr>
  </w:style>
  <w:style w:type="paragraph" w:styleId="Footer">
    <w:name w:val="footer"/>
    <w:basedOn w:val="Normal"/>
    <w:link w:val="FooterChar"/>
    <w:uiPriority w:val="99"/>
    <w:rsid w:val="00CF49E6"/>
    <w:pPr>
      <w:tabs>
        <w:tab w:val="center" w:pos="4680"/>
        <w:tab w:val="right" w:pos="9360"/>
      </w:tabs>
    </w:pPr>
  </w:style>
  <w:style w:type="character" w:customStyle="1" w:styleId="FooterChar">
    <w:name w:val="Footer Char"/>
    <w:link w:val="Footer"/>
    <w:uiPriority w:val="99"/>
    <w:rsid w:val="00CF49E6"/>
    <w:rPr>
      <w:sz w:val="24"/>
      <w:szCs w:val="24"/>
    </w:rPr>
  </w:style>
  <w:style w:type="character" w:customStyle="1" w:styleId="PlainTextChar">
    <w:name w:val="Plain Text Char"/>
    <w:link w:val="PlainText"/>
    <w:rsid w:val="00F52B5D"/>
    <w:rPr>
      <w:rFonts w:ascii="Courier New" w:hAnsi="Courier New" w:cs="Courier New"/>
    </w:rPr>
  </w:style>
  <w:style w:type="paragraph" w:styleId="Revision">
    <w:name w:val="Revision"/>
    <w:hidden/>
    <w:uiPriority w:val="99"/>
    <w:semiHidden/>
    <w:rsid w:val="00AD45D4"/>
    <w:rPr>
      <w:sz w:val="24"/>
      <w:szCs w:val="24"/>
    </w:rPr>
  </w:style>
  <w:style w:type="table" w:styleId="TableGrid">
    <w:name w:val="Table Grid"/>
    <w:basedOn w:val="TableNormal"/>
    <w:uiPriority w:val="39"/>
    <w:rsid w:val="00E73390"/>
    <w:rPr>
      <w:rFonts w:ascii="Calibri" w:eastAsia="Calibri" w:hAnsi="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C461F"/>
    <w:rPr>
      <w:color w:val="954F72"/>
      <w:u w:val="single"/>
    </w:rPr>
  </w:style>
  <w:style w:type="character" w:customStyle="1" w:styleId="BodyTextIndentChar">
    <w:name w:val="Body Text Indent Char"/>
    <w:link w:val="BodyTextIndent"/>
    <w:uiPriority w:val="99"/>
    <w:rsid w:val="004B50B7"/>
    <w:rPr>
      <w:sz w:val="24"/>
      <w:szCs w:val="24"/>
    </w:rPr>
  </w:style>
  <w:style w:type="character" w:styleId="Emphasis">
    <w:name w:val="Emphasis"/>
    <w:uiPriority w:val="20"/>
    <w:qFormat/>
    <w:rsid w:val="00936351"/>
    <w:rPr>
      <w:i/>
      <w:iCs/>
    </w:rPr>
  </w:style>
  <w:style w:type="character" w:customStyle="1" w:styleId="cf01">
    <w:name w:val="cf01"/>
    <w:basedOn w:val="DefaultParagraphFont"/>
    <w:rsid w:val="00031C8D"/>
    <w:rPr>
      <w:rFonts w:ascii="Segoe UI" w:hAnsi="Segoe UI" w:cs="Segoe UI" w:hint="default"/>
      <w:sz w:val="18"/>
      <w:szCs w:val="18"/>
    </w:rPr>
  </w:style>
  <w:style w:type="paragraph" w:styleId="HTMLPreformatted">
    <w:name w:val="HTML Preformatted"/>
    <w:basedOn w:val="Normal"/>
    <w:link w:val="HTMLPreformattedChar"/>
    <w:unhideWhenUsed/>
    <w:rsid w:val="002E71D4"/>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2E71D4"/>
    <w:rPr>
      <w:rFonts w:ascii="Consolas" w:hAnsi="Consolas" w:cs="Consolas"/>
    </w:rPr>
  </w:style>
  <w:style w:type="character" w:styleId="UnresolvedMention">
    <w:name w:val="Unresolved Mention"/>
    <w:basedOn w:val="DefaultParagraphFont"/>
    <w:uiPriority w:val="99"/>
    <w:semiHidden/>
    <w:unhideWhenUsed/>
    <w:rsid w:val="00175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ederalreserve.gov/paymentsystems/master-account-and%20services-database-exisiting-access.htm" TargetMode="External" /><Relationship Id="rId7" Type="http://schemas.openxmlformats.org/officeDocument/2006/relationships/hyperlink" Target="https://www.americangaming.org/state-of-play/" TargetMode="External" /><Relationship Id="rId8" Type="http://schemas.openxmlformats.org/officeDocument/2006/relationships/hyperlink" Target="https://www.cftc.gov/MarketReports/financialfcmdata/index.ht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8/13/2024-18035/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federalregister.gov/documents/2020/12/23/2020-28364/agency-information-collection-activities-proposed-renewal-comment-request-renewal-without-change-of" TargetMode="External" /><Relationship Id="rId4" Type="http://schemas.openxmlformats.org/officeDocument/2006/relationships/hyperlink" Target="https://www.federalregister.gov/documents/2024/05/21/2024-10738/customer-identification-programs-for-registered-investment-advisers-and-exempt-reporting-advisers" TargetMode="External" /><Relationship Id="rId5" Type="http://schemas.openxmlformats.org/officeDocument/2006/relationships/hyperlink" Target="https://www.federalregister.gov/documents/2024/07/03/2024-14414/anti-money-laundering-and-countering-the-financing-of-terrorism-programs" TargetMode="External" /><Relationship Id="rId6" Type="http://schemas.openxmlformats.org/officeDocument/2006/relationships/hyperlink" Target="https://www.federalregister.gov/documents/2024/06/20/2024-13590/agency-information-collection-activities-proposed-renewal-comment-request-renewal-without-change-of" TargetMode="External" /><Relationship Id="rId7"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EA99-B6BB-4401-A8DE-024E9EA5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6</cp:revision>
  <cp:lastPrinted>2005-08-23T17:23:00Z</cp:lastPrinted>
  <dcterms:created xsi:type="dcterms:W3CDTF">2024-10-29T16:39:00Z</dcterms:created>
  <dcterms:modified xsi:type="dcterms:W3CDTF">2024-10-29T16:47:00Z</dcterms:modified>
</cp:coreProperties>
</file>