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CB2" w:rsidP="003374E8" w14:paraId="738F43DF" w14:textId="0856A24F">
      <w:pPr>
        <w:jc w:val="center"/>
        <w:rPr>
          <w:b/>
          <w:bCs/>
        </w:rPr>
      </w:pPr>
      <w:r>
        <w:rPr>
          <w:b/>
          <w:bCs/>
        </w:rPr>
        <w:t>Office of the Comptroller of the Currency</w:t>
      </w:r>
    </w:p>
    <w:p w:rsidR="00811CB2" w:rsidP="003374E8" w14:paraId="5A2BBCD1" w14:textId="77777777">
      <w:pPr>
        <w:jc w:val="center"/>
        <w:rPr>
          <w:b/>
          <w:bCs/>
        </w:rPr>
      </w:pPr>
      <w:r>
        <w:rPr>
          <w:b/>
          <w:bCs/>
        </w:rPr>
        <w:t>Supporting Statement</w:t>
      </w:r>
    </w:p>
    <w:p w:rsidR="00811CB2" w:rsidP="003374E8" w14:paraId="5AF7930A" w14:textId="3878E999">
      <w:pPr>
        <w:jc w:val="center"/>
        <w:rPr>
          <w:b/>
          <w:bCs/>
        </w:rPr>
      </w:pPr>
      <w:r>
        <w:rPr>
          <w:b/>
          <w:bCs/>
        </w:rPr>
        <w:t>Community Reinvestment Act Regulation – 12 CFR 25</w:t>
      </w:r>
      <w:r w:rsidR="008C4CC0">
        <w:rPr>
          <w:b/>
          <w:bCs/>
        </w:rPr>
        <w:t xml:space="preserve"> </w:t>
      </w:r>
    </w:p>
    <w:p w:rsidR="00811CB2" w:rsidP="003374E8" w14:paraId="66D0BCCC" w14:textId="51978EBC">
      <w:pPr>
        <w:pStyle w:val="Heading6"/>
      </w:pPr>
      <w:r>
        <w:t>OMB Control No.</w:t>
      </w:r>
      <w:r>
        <w:t xml:space="preserve"> 1557-</w:t>
      </w:r>
      <w:r w:rsidR="009F098D">
        <w:t>0357</w:t>
      </w:r>
    </w:p>
    <w:p w:rsidR="00811CB2" w:rsidP="003374E8" w14:paraId="70E7D9F7" w14:textId="77777777">
      <w:pPr>
        <w:jc w:val="center"/>
      </w:pPr>
    </w:p>
    <w:p w:rsidR="00811CB2" w:rsidP="003374E8" w14:paraId="09A1BC3D" w14:textId="77777777">
      <w:pPr>
        <w:jc w:val="center"/>
      </w:pPr>
    </w:p>
    <w:p w:rsidR="00811CB2" w:rsidP="003374E8" w14:paraId="1CBF2C08" w14:textId="77777777">
      <w:pPr>
        <w:pStyle w:val="Footer"/>
        <w:tabs>
          <w:tab w:val="clear" w:pos="4320"/>
          <w:tab w:val="clear" w:pos="8640"/>
        </w:tabs>
        <w:rPr>
          <w:b/>
        </w:rPr>
      </w:pPr>
      <w:r w:rsidRPr="005C2B31">
        <w:rPr>
          <w:b/>
        </w:rPr>
        <w:t>A. Justification</w:t>
      </w:r>
    </w:p>
    <w:p w:rsidR="00811CB2" w:rsidRPr="00A75944" w:rsidP="003374E8" w14:paraId="6D08E766" w14:textId="77777777"/>
    <w:p w:rsidR="00811CB2" w:rsidRPr="005C2B31" w:rsidP="003374E8" w14:paraId="09A2329D" w14:textId="77777777">
      <w:pPr>
        <w:rPr>
          <w:b/>
          <w:bCs/>
          <w:i/>
        </w:rPr>
      </w:pPr>
      <w:r w:rsidRPr="005C2B31">
        <w:rPr>
          <w:b/>
          <w:bCs/>
          <w:i/>
        </w:rPr>
        <w:t>1.  Circumstances that make the collection necessary</w:t>
      </w:r>
      <w:r w:rsidRPr="005C2B31" w:rsidR="00A75944">
        <w:rPr>
          <w:b/>
          <w:bCs/>
          <w:i/>
        </w:rPr>
        <w:t>:</w:t>
      </w:r>
    </w:p>
    <w:p w:rsidR="00811CB2" w:rsidP="003374E8" w14:paraId="2E7C5C92" w14:textId="4945F1DE">
      <w:r>
        <w:tab/>
      </w:r>
    </w:p>
    <w:p w:rsidR="0031708C" w:rsidRPr="0031708C" w:rsidP="0031708C" w14:paraId="79B92B99" w14:textId="77777777">
      <w:pPr>
        <w:ind w:firstLine="720"/>
        <w:rPr>
          <w:bCs/>
        </w:rPr>
      </w:pPr>
      <w:r w:rsidRPr="0031708C">
        <w:t>The OMB provided a six-month approval for this information collection on an emergency basis on April 17, 2024.  The OCC is now seeking to extend OMB approval of the collection for the standard three years.</w:t>
      </w:r>
    </w:p>
    <w:p w:rsidR="0031708C" w:rsidP="00757363" w14:paraId="636C8A13" w14:textId="77777777"/>
    <w:p w:rsidR="0072570D" w:rsidP="00D21A16" w14:paraId="24F87338" w14:textId="14037357">
      <w:pPr>
        <w:ind w:firstLine="720"/>
        <w:rPr>
          <w:bCs/>
          <w:szCs w:val="24"/>
        </w:rPr>
      </w:pPr>
      <w:r>
        <w:t xml:space="preserve">The </w:t>
      </w:r>
      <w:r w:rsidR="00F73831">
        <w:t xml:space="preserve">Community Reinvestment Act </w:t>
      </w:r>
      <w:r w:rsidR="00073F39">
        <w:t xml:space="preserve">of 1977 </w:t>
      </w:r>
      <w:r w:rsidR="00F73831">
        <w:t>(</w:t>
      </w:r>
      <w:r>
        <w:t>CRA</w:t>
      </w:r>
      <w:r w:rsidR="00F73831">
        <w:t>)</w:t>
      </w:r>
      <w:r>
        <w:t xml:space="preserve"> requires the </w:t>
      </w:r>
      <w:r w:rsidR="00701E96">
        <w:rPr>
          <w:bCs/>
          <w:szCs w:val="24"/>
        </w:rPr>
        <w:t>Office of the Comptroller of the Currency (</w:t>
      </w:r>
      <w:r w:rsidRPr="00275B29" w:rsidR="00701E96">
        <w:rPr>
          <w:bCs/>
          <w:szCs w:val="24"/>
        </w:rPr>
        <w:t>OCC</w:t>
      </w:r>
      <w:r w:rsidR="00701E96">
        <w:rPr>
          <w:bCs/>
          <w:szCs w:val="24"/>
        </w:rPr>
        <w:t xml:space="preserve">), </w:t>
      </w:r>
      <w:r w:rsidRPr="00275B29" w:rsidR="00701E96">
        <w:rPr>
          <w:bCs/>
          <w:szCs w:val="24"/>
        </w:rPr>
        <w:t xml:space="preserve">Federal Deposit Insurance Corporation (FDIC), and Board of Governors of the Federal Reserve System (Board) </w:t>
      </w:r>
      <w:r w:rsidR="00701E96">
        <w:rPr>
          <w:bCs/>
          <w:szCs w:val="24"/>
        </w:rPr>
        <w:t xml:space="preserve">(collectively, the agencies) </w:t>
      </w:r>
      <w:r>
        <w:t>to assess the record of banks and savings associations in helping to meet the credit needs of their entire communities, including low- and moderate-income neighborhoods, consistent with safe and sound operations; to take this record into account in evaluating applications for mergers, branches, and certain other corporate activities</w:t>
      </w:r>
      <w:r w:rsidR="00227EBA">
        <w:t>; and to</w:t>
      </w:r>
      <w:r w:rsidR="0037447F">
        <w:t xml:space="preserve"> make certain sections of its written evaluation of a bank’s CRA performance public</w:t>
      </w:r>
      <w:r>
        <w:t>.</w:t>
      </w:r>
      <w:r>
        <w:rPr>
          <w:rStyle w:val="FootnoteReference"/>
        </w:rPr>
        <w:footnoteReference w:id="2"/>
      </w:r>
      <w:r>
        <w:t xml:space="preserve">  Further</w:t>
      </w:r>
      <w:r w:rsidR="00356632">
        <w:t>, the CRA requires the a</w:t>
      </w:r>
      <w:r>
        <w:t>gencies to issue regulations to carry out its purposes.</w:t>
      </w:r>
      <w:r>
        <w:rPr>
          <w:rStyle w:val="FootnoteReference"/>
        </w:rPr>
        <w:footnoteReference w:id="3"/>
      </w:r>
      <w:r w:rsidR="00023195">
        <w:t xml:space="preserve"> </w:t>
      </w:r>
      <w:r w:rsidR="00224027">
        <w:rPr>
          <w:rStyle w:val="CommentReference"/>
        </w:rPr>
        <w:t xml:space="preserve"> </w:t>
      </w:r>
      <w:r w:rsidR="00224027">
        <w:rPr>
          <w:bCs/>
          <w:szCs w:val="24"/>
        </w:rPr>
        <w:t>The OCC’s CRA regulation is set forth at 12 CFR part 25.</w:t>
      </w:r>
    </w:p>
    <w:p w:rsidR="0072570D" w:rsidP="0072570D" w14:paraId="495B3433" w14:textId="77777777">
      <w:pPr>
        <w:rPr>
          <w:bCs/>
          <w:szCs w:val="24"/>
        </w:rPr>
      </w:pPr>
    </w:p>
    <w:p w:rsidR="0072570D" w:rsidP="00C65103" w14:paraId="1F511F0E" w14:textId="7932E67B">
      <w:pPr>
        <w:keepNext/>
        <w:ind w:firstLine="720"/>
      </w:pPr>
      <w:r>
        <w:t>The data collection requirements in the CRA reg</w:t>
      </w:r>
      <w:r w:rsidR="006352BC">
        <w:t>ulations are necessary for the a</w:t>
      </w:r>
      <w:r>
        <w:t>gencies to examine, assess, and assign a rating to an institution’s CRA performance and to prepare th</w:t>
      </w:r>
      <w:r w:rsidR="00DC5578">
        <w:t xml:space="preserve">e public section of the </w:t>
      </w:r>
      <w:r>
        <w:t>CRA performance evaluation.</w:t>
      </w:r>
    </w:p>
    <w:p w:rsidR="00076F67" w:rsidP="00076F67" w14:paraId="0DD5090B" w14:textId="77777777">
      <w:pPr>
        <w:ind w:firstLine="720"/>
      </w:pPr>
    </w:p>
    <w:p w:rsidR="00811CB2" w:rsidRPr="005C2B31" w:rsidP="003374E8" w14:paraId="40C8969B" w14:textId="77777777">
      <w:pPr>
        <w:rPr>
          <w:b/>
          <w:i/>
        </w:rPr>
      </w:pPr>
      <w:r w:rsidRPr="005C2B31">
        <w:rPr>
          <w:b/>
          <w:bCs/>
          <w:i/>
        </w:rPr>
        <w:t>2. Use of the information</w:t>
      </w:r>
      <w:r w:rsidRPr="005C2B31" w:rsidR="00A75944">
        <w:rPr>
          <w:b/>
          <w:bCs/>
          <w:i/>
        </w:rPr>
        <w:t>:</w:t>
      </w:r>
    </w:p>
    <w:p w:rsidR="00811CB2" w:rsidP="003374E8" w14:paraId="6A468735" w14:textId="77777777"/>
    <w:p w:rsidR="008C426F" w:rsidP="003374E8" w14:paraId="7AAC5C88" w14:textId="77777777">
      <w:pPr>
        <w:ind w:firstLine="720"/>
        <w:rPr>
          <w:szCs w:val="24"/>
        </w:rPr>
      </w:pPr>
      <w:bookmarkStart w:id="0" w:name="_Hlk171346096"/>
      <w:r w:rsidRPr="00AD02D9">
        <w:rPr>
          <w:szCs w:val="24"/>
        </w:rPr>
        <w:t xml:space="preserve">The CRA requires the </w:t>
      </w:r>
      <w:r>
        <w:rPr>
          <w:szCs w:val="24"/>
        </w:rPr>
        <w:t>a</w:t>
      </w:r>
      <w:r w:rsidRPr="00AD02D9">
        <w:rPr>
          <w:szCs w:val="24"/>
        </w:rPr>
        <w:t>gencies to assess the record of regulated financial institutions (institutions) in helping to meet the credit needs of their entire communities, including low- and moderate-income neighborhoods, consistent with safe and sound operations.</w:t>
      </w:r>
      <w:r>
        <w:rPr>
          <w:rStyle w:val="FootnoteReference"/>
          <w:color w:val="000000"/>
          <w:szCs w:val="19"/>
        </w:rPr>
        <w:footnoteReference w:id="4"/>
      </w:r>
      <w:r>
        <w:rPr>
          <w:szCs w:val="24"/>
        </w:rPr>
        <w:t xml:space="preserve">  The CRA further requires the a</w:t>
      </w:r>
      <w:r w:rsidRPr="00AD02D9">
        <w:rPr>
          <w:szCs w:val="24"/>
        </w:rPr>
        <w:t>gencies to take this record into account in evaluating applications for mergers, branches, and certain other corporate activities.</w:t>
      </w:r>
      <w:r>
        <w:rPr>
          <w:rStyle w:val="FootnoteReference"/>
          <w:szCs w:val="24"/>
        </w:rPr>
        <w:footnoteReference w:id="5"/>
      </w:r>
      <w:r>
        <w:rPr>
          <w:szCs w:val="24"/>
        </w:rPr>
        <w:t xml:space="preserve">  The CRA statute requires the a</w:t>
      </w:r>
      <w:r w:rsidRPr="00AD02D9">
        <w:rPr>
          <w:szCs w:val="24"/>
        </w:rPr>
        <w:t>gencies to issue regulations to carry out its purposes.</w:t>
      </w:r>
      <w:r>
        <w:rPr>
          <w:rStyle w:val="FootnoteReference"/>
          <w:szCs w:val="24"/>
        </w:rPr>
        <w:footnoteReference w:id="6"/>
      </w:r>
      <w:r w:rsidRPr="00AD02D9">
        <w:rPr>
          <w:szCs w:val="24"/>
        </w:rPr>
        <w:t xml:space="preserve">  </w:t>
      </w:r>
    </w:p>
    <w:p w:rsidR="008C426F" w:rsidP="003374E8" w14:paraId="4C4F6C1C" w14:textId="77777777">
      <w:pPr>
        <w:ind w:firstLine="720"/>
        <w:rPr>
          <w:szCs w:val="24"/>
        </w:rPr>
      </w:pPr>
    </w:p>
    <w:p w:rsidR="00811CB2" w:rsidP="003374E8" w14:paraId="2EBDE05C" w14:textId="6138DC06">
      <w:pPr>
        <w:ind w:firstLine="720"/>
      </w:pPr>
      <w:r>
        <w:t>The a</w:t>
      </w:r>
      <w:r>
        <w:t xml:space="preserve">gencies use the data collected under the CRA regulations to fulfill their </w:t>
      </w:r>
      <w:r w:rsidR="00DC5578">
        <w:t>statutory obligations</w:t>
      </w:r>
      <w:r>
        <w:t>, including the assessment of each institution’s record of helping to meet the credit ne</w:t>
      </w:r>
      <w:r w:rsidR="006352BC">
        <w:t>eds of local communities.  The a</w:t>
      </w:r>
      <w:r>
        <w:t xml:space="preserve">gencies use the data to support their conclusions regarding an </w:t>
      </w:r>
      <w:r>
        <w:t>institution’s record of performance, in assigning a CRA rating,</w:t>
      </w:r>
      <w:r w:rsidR="00DC5578">
        <w:t xml:space="preserve"> and in preparing the</w:t>
      </w:r>
      <w:r>
        <w:t xml:space="preserve"> public evaluations that the statute requires.  Additionally, </w:t>
      </w:r>
      <w:r w:rsidR="005409CB">
        <w:rPr>
          <w:color w:val="000000"/>
          <w:szCs w:val="19"/>
        </w:rPr>
        <w:t xml:space="preserve">the agencies  use these CRA </w:t>
      </w:r>
      <w:r w:rsidR="00956F28">
        <w:rPr>
          <w:color w:val="000000"/>
          <w:szCs w:val="19"/>
        </w:rPr>
        <w:t>assessments</w:t>
      </w:r>
      <w:r w:rsidR="00DB3111">
        <w:t xml:space="preserve"> </w:t>
      </w:r>
      <w:r>
        <w:t>in evaluating an institution’s applications for mergers, branches, and other corporate activities.  The public uses th</w:t>
      </w:r>
      <w:r w:rsidR="00027369">
        <w:t>e data</w:t>
      </w:r>
      <w:r>
        <w:t xml:space="preserve"> to assess the institution’s CRA performance and to participate meaningfully in the application process.</w:t>
      </w:r>
    </w:p>
    <w:p w:rsidR="00AD02D9" w:rsidP="003374E8" w14:paraId="4554F6AC" w14:textId="77777777">
      <w:pPr>
        <w:ind w:firstLine="720"/>
      </w:pPr>
    </w:p>
    <w:p w:rsidR="003374E8" w:rsidP="00956F28" w14:paraId="458701D8" w14:textId="0BD16D83">
      <w:pPr>
        <w:pStyle w:val="BodyText"/>
        <w:ind w:firstLine="360"/>
        <w:rPr>
          <w:color w:val="000000"/>
          <w:szCs w:val="24"/>
        </w:rPr>
      </w:pPr>
      <w:r w:rsidRPr="00015A8F">
        <w:rPr>
          <w:color w:val="000000"/>
          <w:szCs w:val="24"/>
        </w:rPr>
        <w:t>Section-by-Section Analysis</w:t>
      </w:r>
      <w:r>
        <w:rPr>
          <w:color w:val="000000"/>
          <w:szCs w:val="24"/>
        </w:rPr>
        <w:t>:</w:t>
      </w:r>
    </w:p>
    <w:p w:rsidR="003374E8" w:rsidP="003374E8" w14:paraId="675E9767" w14:textId="77777777">
      <w:pPr>
        <w:ind w:firstLine="360"/>
        <w:rPr>
          <w:color w:val="000000"/>
          <w:szCs w:val="24"/>
        </w:rPr>
      </w:pPr>
    </w:p>
    <w:p w:rsidR="003374E8" w:rsidRPr="003374E8" w:rsidP="003374E8" w14:paraId="32E345C0" w14:textId="28E79113">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25.25(b)– Requests for designation as a wholesale or limited purpose bank or savings association </w:t>
      </w:r>
      <w:r w:rsidR="005409CB">
        <w:rPr>
          <w:rFonts w:ascii="Times New Roman" w:hAnsi="Times New Roman"/>
          <w:sz w:val="24"/>
          <w:szCs w:val="24"/>
        </w:rPr>
        <w:t>must</w:t>
      </w:r>
      <w:r w:rsidR="00DB3111">
        <w:rPr>
          <w:rFonts w:ascii="Times New Roman" w:hAnsi="Times New Roman"/>
          <w:sz w:val="24"/>
          <w:szCs w:val="24"/>
        </w:rPr>
        <w:t xml:space="preserve"> </w:t>
      </w:r>
      <w:r>
        <w:rPr>
          <w:rFonts w:ascii="Times New Roman" w:hAnsi="Times New Roman"/>
          <w:sz w:val="24"/>
          <w:szCs w:val="24"/>
        </w:rPr>
        <w:t>be made in writing with the OCC at least three months prior to the proposed effective date of the designation.</w:t>
      </w:r>
    </w:p>
    <w:p w:rsidR="003374E8" w:rsidP="003374E8" w14:paraId="53F7AFD7" w14:textId="25970D73">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25.27– Strategic plans </w:t>
      </w:r>
      <w:r w:rsidR="005409CB">
        <w:rPr>
          <w:rFonts w:ascii="Times New Roman" w:hAnsi="Times New Roman"/>
          <w:sz w:val="24"/>
          <w:szCs w:val="24"/>
        </w:rPr>
        <w:t xml:space="preserve">must </w:t>
      </w:r>
      <w:r>
        <w:rPr>
          <w:rFonts w:ascii="Times New Roman" w:hAnsi="Times New Roman"/>
          <w:sz w:val="24"/>
          <w:szCs w:val="24"/>
        </w:rPr>
        <w:t xml:space="preserve">be submitted at least three months prior to proposed effective dates.  Plans </w:t>
      </w:r>
      <w:r w:rsidR="005409CB">
        <w:rPr>
          <w:rFonts w:ascii="Times New Roman" w:hAnsi="Times New Roman"/>
          <w:sz w:val="24"/>
          <w:szCs w:val="24"/>
        </w:rPr>
        <w:t>must</w:t>
      </w:r>
      <w:r>
        <w:rPr>
          <w:rFonts w:ascii="Times New Roman" w:hAnsi="Times New Roman"/>
          <w:sz w:val="24"/>
          <w:szCs w:val="24"/>
        </w:rPr>
        <w:t xml:space="preserve"> include measurable goals and address all the</w:t>
      </w:r>
      <w:r w:rsidR="00B508BA">
        <w:rPr>
          <w:rFonts w:ascii="Times New Roman" w:hAnsi="Times New Roman"/>
          <w:sz w:val="24"/>
          <w:szCs w:val="24"/>
        </w:rPr>
        <w:t xml:space="preserve"> </w:t>
      </w:r>
      <w:r w:rsidR="00C93A49">
        <w:rPr>
          <w:rFonts w:ascii="Times New Roman" w:hAnsi="Times New Roman"/>
          <w:sz w:val="24"/>
          <w:szCs w:val="24"/>
        </w:rPr>
        <w:t xml:space="preserve">applicable </w:t>
      </w:r>
      <w:r>
        <w:rPr>
          <w:rFonts w:ascii="Times New Roman" w:hAnsi="Times New Roman"/>
          <w:sz w:val="24"/>
          <w:szCs w:val="24"/>
        </w:rPr>
        <w:t xml:space="preserve">performance categories.  Plans </w:t>
      </w:r>
      <w:r w:rsidR="005409CB">
        <w:rPr>
          <w:rFonts w:ascii="Times New Roman" w:hAnsi="Times New Roman"/>
          <w:sz w:val="24"/>
          <w:szCs w:val="24"/>
        </w:rPr>
        <w:t>must</w:t>
      </w:r>
      <w:r>
        <w:rPr>
          <w:rFonts w:ascii="Times New Roman" w:hAnsi="Times New Roman"/>
          <w:sz w:val="24"/>
          <w:szCs w:val="24"/>
        </w:rPr>
        <w:t xml:space="preserve"> include a description of informal efforts to solicit public suggestions, any written public comments received, and if revised pursuant to public comment, a copy of the initial plan.  Amendments may be submitted in the case of a change in material circumstances.</w:t>
      </w:r>
    </w:p>
    <w:p w:rsidR="003374E8" w:rsidP="003374E8" w14:paraId="6021A3D2" w14:textId="2EEBB2D2">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12 CFR 25.42(a)</w:t>
      </w:r>
      <w:r w:rsidR="00A052F8">
        <w:rPr>
          <w:rFonts w:ascii="Times New Roman" w:hAnsi="Times New Roman"/>
          <w:sz w:val="24"/>
          <w:szCs w:val="24"/>
        </w:rPr>
        <w:t>, 12 CFR 25.42(b)(1)</w:t>
      </w:r>
      <w:r>
        <w:rPr>
          <w:rFonts w:ascii="Times New Roman" w:hAnsi="Times New Roman"/>
          <w:sz w:val="24"/>
          <w:szCs w:val="24"/>
        </w:rPr>
        <w:t>– Large banks and savings associations</w:t>
      </w:r>
      <w:r>
        <w:rPr>
          <w:rStyle w:val="FootnoteReference"/>
          <w:rFonts w:ascii="Times New Roman" w:hAnsi="Times New Roman"/>
          <w:sz w:val="24"/>
          <w:szCs w:val="24"/>
        </w:rPr>
        <w:footnoteReference w:id="7"/>
      </w:r>
      <w:r>
        <w:rPr>
          <w:rFonts w:ascii="Times New Roman" w:hAnsi="Times New Roman"/>
          <w:sz w:val="24"/>
          <w:szCs w:val="24"/>
        </w:rPr>
        <w:t xml:space="preserve"> </w:t>
      </w:r>
      <w:r w:rsidR="005409CB">
        <w:rPr>
          <w:rFonts w:ascii="Times New Roman" w:hAnsi="Times New Roman"/>
          <w:sz w:val="24"/>
          <w:szCs w:val="24"/>
        </w:rPr>
        <w:t>must</w:t>
      </w:r>
      <w:r>
        <w:rPr>
          <w:rFonts w:ascii="Times New Roman" w:hAnsi="Times New Roman"/>
          <w:sz w:val="24"/>
          <w:szCs w:val="24"/>
        </w:rPr>
        <w:t xml:space="preserve"> collect and maintain certain small business/small farm loan data in a machine-readable form and report it annually.</w:t>
      </w:r>
    </w:p>
    <w:p w:rsidR="003374E8" w:rsidP="003374E8" w14:paraId="05968B88" w14:textId="2337E50D">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25.42(b)(2)– Large banks and savings associations </w:t>
      </w:r>
      <w:r w:rsidR="005409CB">
        <w:rPr>
          <w:rFonts w:ascii="Times New Roman" w:hAnsi="Times New Roman"/>
          <w:sz w:val="24"/>
          <w:szCs w:val="24"/>
        </w:rPr>
        <w:t>must</w:t>
      </w:r>
      <w:r>
        <w:rPr>
          <w:rFonts w:ascii="Times New Roman" w:hAnsi="Times New Roman"/>
          <w:sz w:val="24"/>
          <w:szCs w:val="24"/>
        </w:rPr>
        <w:t xml:space="preserve"> report annually in machine readable form the aggregate number and aggregate amount of community development loans originated or purchased.</w:t>
      </w:r>
    </w:p>
    <w:p w:rsidR="003374E8" w:rsidP="003374E8" w14:paraId="7B738485" w14:textId="66D57975">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25.42(b)(3)– Large banks and savings associations, if subject to reporting under 12 CFR 1003 (Home Mortgage Disclosure (Regulation C)), </w:t>
      </w:r>
      <w:r w:rsidR="005409CB">
        <w:rPr>
          <w:rFonts w:ascii="Times New Roman" w:hAnsi="Times New Roman"/>
          <w:sz w:val="24"/>
          <w:szCs w:val="24"/>
        </w:rPr>
        <w:t>must</w:t>
      </w:r>
      <w:r w:rsidR="00DB3111">
        <w:rPr>
          <w:rFonts w:ascii="Times New Roman" w:hAnsi="Times New Roman"/>
          <w:sz w:val="24"/>
          <w:szCs w:val="24"/>
        </w:rPr>
        <w:t xml:space="preserve"> </w:t>
      </w:r>
      <w:r>
        <w:rPr>
          <w:rFonts w:ascii="Times New Roman" w:hAnsi="Times New Roman"/>
          <w:sz w:val="24"/>
          <w:szCs w:val="24"/>
        </w:rPr>
        <w:t>report the location of each home mortgage loan application, origination, or purchase outside the metropolitan statistical area(s) in which the bank or savings association has a home/branch office.</w:t>
      </w:r>
    </w:p>
    <w:p w:rsidR="003374E8" w:rsidP="003374E8" w14:paraId="19AFD14A" w14:textId="459CB7D3">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12 CFR 25.42(c)(1)</w:t>
      </w:r>
      <w:r w:rsidR="00BD7525">
        <w:rPr>
          <w:rFonts w:ascii="Times New Roman" w:hAnsi="Times New Roman"/>
          <w:sz w:val="24"/>
          <w:szCs w:val="24"/>
        </w:rPr>
        <w:t>, 12 CFR 25.42(c)(2)</w:t>
      </w:r>
      <w:r>
        <w:rPr>
          <w:rFonts w:ascii="Times New Roman" w:hAnsi="Times New Roman"/>
          <w:sz w:val="24"/>
          <w:szCs w:val="24"/>
        </w:rPr>
        <w:t xml:space="preserve">– All banks and savings associations may collect and maintain in machine readable form certain data for consumer loans originated or purchased by a bank or savings association for consideration under the lending test.  </w:t>
      </w:r>
      <w:r w:rsidR="00BD7525">
        <w:rPr>
          <w:rFonts w:ascii="Times New Roman" w:hAnsi="Times New Roman"/>
          <w:sz w:val="24"/>
          <w:szCs w:val="24"/>
        </w:rPr>
        <w:t>O</w:t>
      </w:r>
      <w:r>
        <w:rPr>
          <w:rFonts w:ascii="Times New Roman" w:hAnsi="Times New Roman"/>
          <w:sz w:val="24"/>
          <w:szCs w:val="24"/>
        </w:rPr>
        <w:t>ther information may be included concerning their lending performance, including additional loan distribution data.</w:t>
      </w:r>
    </w:p>
    <w:p w:rsidR="003374E8" w:rsidP="003374E8" w14:paraId="08FCB7D0" w14:textId="1A974EFE">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25.42(d)– Banks and savings associations that elect to have the OCC consider loans by an affiliate, for purposes of the lending or community development test or an approved strategic plan, </w:t>
      </w:r>
      <w:r w:rsidR="005409CB">
        <w:rPr>
          <w:rFonts w:ascii="Times New Roman" w:hAnsi="Times New Roman"/>
          <w:sz w:val="24"/>
          <w:szCs w:val="24"/>
        </w:rPr>
        <w:t>must</w:t>
      </w:r>
      <w:r>
        <w:rPr>
          <w:rFonts w:ascii="Times New Roman" w:hAnsi="Times New Roman"/>
          <w:sz w:val="24"/>
          <w:szCs w:val="24"/>
        </w:rPr>
        <w:t xml:space="preserve"> collect, maintain, and report the data that the bank or savings association would have collected, maintained, and reported pursuant to 12 CFR 25.42(a)-(c), respectively, had the loans been originated or purchased by the bank or savings association.  For home mortgage loans, the bank or savings association </w:t>
      </w:r>
      <w:r w:rsidR="005409CB">
        <w:rPr>
          <w:rFonts w:ascii="Times New Roman" w:hAnsi="Times New Roman"/>
          <w:sz w:val="24"/>
          <w:szCs w:val="24"/>
        </w:rPr>
        <w:t>must</w:t>
      </w:r>
      <w:r>
        <w:rPr>
          <w:rFonts w:ascii="Times New Roman" w:hAnsi="Times New Roman"/>
          <w:sz w:val="24"/>
          <w:szCs w:val="24"/>
        </w:rPr>
        <w:t xml:space="preserve"> also be prepared to identify the home mortgage loans reported under HMDA by the affiliate.</w:t>
      </w:r>
    </w:p>
    <w:p w:rsidR="003374E8" w:rsidP="003374E8" w14:paraId="62245551" w14:textId="39BE1C5F">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25.42(e)– Banks and savings associations that elect to have the OCC consider community development loans by a consortium or a third party, for purposes of the lending or community development tests or an approved strategic plan, </w:t>
      </w:r>
      <w:r w:rsidR="005409CB">
        <w:rPr>
          <w:rFonts w:ascii="Times New Roman" w:hAnsi="Times New Roman"/>
          <w:sz w:val="24"/>
          <w:szCs w:val="24"/>
        </w:rPr>
        <w:t>must</w:t>
      </w:r>
      <w:r>
        <w:rPr>
          <w:rFonts w:ascii="Times New Roman" w:hAnsi="Times New Roman"/>
          <w:sz w:val="24"/>
          <w:szCs w:val="24"/>
        </w:rPr>
        <w:t xml:space="preserve"> report for </w:t>
      </w:r>
      <w:r>
        <w:rPr>
          <w:rFonts w:ascii="Times New Roman" w:hAnsi="Times New Roman"/>
          <w:sz w:val="24"/>
          <w:szCs w:val="24"/>
        </w:rPr>
        <w:t>those loans the data that the bank or savings association would have reported under 12 CFR 25.42(b)(2), respectively, had the loans been originated or purchased by the bank or savings association.</w:t>
      </w:r>
    </w:p>
    <w:p w:rsidR="003374E8" w:rsidP="003374E8" w14:paraId="26E9EB74" w14:textId="4D5347E5">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25.42(f)– Small banks </w:t>
      </w:r>
      <w:r w:rsidR="005409CB">
        <w:rPr>
          <w:rFonts w:ascii="Times New Roman" w:hAnsi="Times New Roman"/>
          <w:sz w:val="24"/>
          <w:szCs w:val="24"/>
        </w:rPr>
        <w:t xml:space="preserve">and savings associations </w:t>
      </w:r>
      <w:r>
        <w:rPr>
          <w:rFonts w:ascii="Times New Roman" w:hAnsi="Times New Roman"/>
          <w:sz w:val="24"/>
          <w:szCs w:val="24"/>
        </w:rPr>
        <w:t xml:space="preserve">that qualify for evaluation under the small bank </w:t>
      </w:r>
      <w:r w:rsidR="00B60840">
        <w:rPr>
          <w:rFonts w:ascii="Times New Roman" w:hAnsi="Times New Roman"/>
          <w:sz w:val="24"/>
          <w:szCs w:val="24"/>
        </w:rPr>
        <w:t xml:space="preserve">and savings association </w:t>
      </w:r>
      <w:r>
        <w:rPr>
          <w:rFonts w:ascii="Times New Roman" w:hAnsi="Times New Roman"/>
          <w:sz w:val="24"/>
          <w:szCs w:val="24"/>
        </w:rPr>
        <w:t xml:space="preserve">performance standards but elect evaluation under the lending, investment, and service tests </w:t>
      </w:r>
      <w:r w:rsidR="005409CB">
        <w:rPr>
          <w:rFonts w:ascii="Times New Roman" w:hAnsi="Times New Roman"/>
          <w:sz w:val="24"/>
          <w:szCs w:val="24"/>
        </w:rPr>
        <w:t>must</w:t>
      </w:r>
      <w:r>
        <w:rPr>
          <w:rFonts w:ascii="Times New Roman" w:hAnsi="Times New Roman"/>
          <w:sz w:val="24"/>
          <w:szCs w:val="24"/>
        </w:rPr>
        <w:t xml:space="preserve"> collect, maintain, and report the data required for other banks</w:t>
      </w:r>
      <w:r w:rsidR="00B508BA">
        <w:rPr>
          <w:rFonts w:ascii="Times New Roman" w:hAnsi="Times New Roman"/>
          <w:sz w:val="24"/>
          <w:szCs w:val="24"/>
        </w:rPr>
        <w:t xml:space="preserve"> or savings associations</w:t>
      </w:r>
      <w:r>
        <w:rPr>
          <w:rFonts w:ascii="Times New Roman" w:hAnsi="Times New Roman"/>
          <w:sz w:val="24"/>
          <w:szCs w:val="24"/>
        </w:rPr>
        <w:t xml:space="preserve"> under 12 CFR 25.42(a)</w:t>
      </w:r>
      <w:r w:rsidR="00482839">
        <w:rPr>
          <w:rFonts w:ascii="Times New Roman" w:hAnsi="Times New Roman"/>
          <w:sz w:val="24"/>
          <w:szCs w:val="24"/>
        </w:rPr>
        <w:t xml:space="preserve"> and </w:t>
      </w:r>
      <w:r>
        <w:rPr>
          <w:rFonts w:ascii="Times New Roman" w:hAnsi="Times New Roman"/>
          <w:sz w:val="24"/>
          <w:szCs w:val="24"/>
        </w:rPr>
        <w:t>25.42(b</w:t>
      </w:r>
      <w:r w:rsidR="00482839">
        <w:rPr>
          <w:rFonts w:ascii="Times New Roman" w:hAnsi="Times New Roman"/>
          <w:sz w:val="24"/>
          <w:szCs w:val="24"/>
        </w:rPr>
        <w:t>).</w:t>
      </w:r>
    </w:p>
    <w:p w:rsidR="003374E8" w:rsidP="003374E8" w14:paraId="76FA919C" w14:textId="40E1065D">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12 CFR 25.42(g)– Banks and savings associations, except those that were small bank</w:t>
      </w:r>
      <w:r w:rsidR="00D348C9">
        <w:rPr>
          <w:rFonts w:ascii="Times New Roman" w:hAnsi="Times New Roman"/>
          <w:sz w:val="24"/>
          <w:szCs w:val="24"/>
        </w:rPr>
        <w:t>s</w:t>
      </w:r>
      <w:r>
        <w:rPr>
          <w:rFonts w:ascii="Times New Roman" w:hAnsi="Times New Roman"/>
          <w:sz w:val="24"/>
          <w:szCs w:val="24"/>
        </w:rPr>
        <w:t xml:space="preserve"> or savings association</w:t>
      </w:r>
      <w:r w:rsidR="00D348C9">
        <w:rPr>
          <w:rFonts w:ascii="Times New Roman" w:hAnsi="Times New Roman"/>
          <w:sz w:val="24"/>
          <w:szCs w:val="24"/>
        </w:rPr>
        <w:t>s</w:t>
      </w:r>
      <w:r>
        <w:rPr>
          <w:rFonts w:ascii="Times New Roman" w:hAnsi="Times New Roman"/>
          <w:sz w:val="24"/>
          <w:szCs w:val="24"/>
        </w:rPr>
        <w:t xml:space="preserve"> during the prior calendar year, </w:t>
      </w:r>
      <w:r w:rsidR="005409CB">
        <w:rPr>
          <w:rFonts w:ascii="Times New Roman" w:hAnsi="Times New Roman"/>
          <w:sz w:val="24"/>
          <w:szCs w:val="24"/>
        </w:rPr>
        <w:t>must</w:t>
      </w:r>
      <w:r>
        <w:rPr>
          <w:rFonts w:ascii="Times New Roman" w:hAnsi="Times New Roman"/>
          <w:sz w:val="24"/>
          <w:szCs w:val="24"/>
        </w:rPr>
        <w:t xml:space="preserve"> collect and report to the OCC by March 1 each year a list for each assessment area showing the geographies within the area.</w:t>
      </w:r>
    </w:p>
    <w:p w:rsidR="003374E8" w:rsidP="003374E8" w14:paraId="05B11106" w14:textId="13BDF17C">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25.43(a)– All banks and savings associations </w:t>
      </w:r>
      <w:r w:rsidR="005409CB">
        <w:rPr>
          <w:rFonts w:ascii="Times New Roman" w:hAnsi="Times New Roman"/>
          <w:sz w:val="24"/>
          <w:szCs w:val="24"/>
        </w:rPr>
        <w:t>must</w:t>
      </w:r>
      <w:r>
        <w:rPr>
          <w:rFonts w:ascii="Times New Roman" w:hAnsi="Times New Roman"/>
          <w:sz w:val="24"/>
          <w:szCs w:val="24"/>
        </w:rPr>
        <w:t xml:space="preserve"> maintain a public file that contains with certain specified details: all written comments and responses; a copy of the public section of the bank’s or savings association’s most recent CRA performance evaluation; a list of the bank’s or savings association’s branches; a list of the branches opened or closed; a list of services offered; and a map of each assessment area delineated by the bank or savings association.</w:t>
      </w:r>
    </w:p>
    <w:p w:rsidR="003374E8" w:rsidP="003374E8" w14:paraId="74E6D6B0" w14:textId="17747EF9">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25.43(b)– Large banks and savings associations </w:t>
      </w:r>
      <w:r w:rsidR="005409CB">
        <w:rPr>
          <w:rFonts w:ascii="Times New Roman" w:hAnsi="Times New Roman"/>
          <w:sz w:val="24"/>
          <w:szCs w:val="24"/>
        </w:rPr>
        <w:t>must</w:t>
      </w:r>
      <w:r>
        <w:rPr>
          <w:rFonts w:ascii="Times New Roman" w:hAnsi="Times New Roman"/>
          <w:sz w:val="24"/>
          <w:szCs w:val="24"/>
        </w:rPr>
        <w:t xml:space="preserve"> include in their public files certain information pertaining to the institution and its affiliates, if applicable, for each of the prior two calendar years.  If the bank or savings association has elected to have one or more categories of its consumer loans considered under the lending test, for each of these categories, they </w:t>
      </w:r>
      <w:r w:rsidR="005409CB">
        <w:rPr>
          <w:rFonts w:ascii="Times New Roman" w:hAnsi="Times New Roman"/>
          <w:sz w:val="24"/>
          <w:szCs w:val="24"/>
        </w:rPr>
        <w:t>must</w:t>
      </w:r>
      <w:r>
        <w:rPr>
          <w:rFonts w:ascii="Times New Roman" w:hAnsi="Times New Roman"/>
          <w:sz w:val="24"/>
          <w:szCs w:val="24"/>
        </w:rPr>
        <w:t xml:space="preserve"> include the number and amount of loans: to low-, moderate-, middle-, and upper-income individuals; located in low-, moderate-, middle-, and upper-income census tracts; and located inside the bank's assessment area(s) and outside the bank's </w:t>
      </w:r>
      <w:r w:rsidR="00B508BA">
        <w:rPr>
          <w:rFonts w:ascii="Times New Roman" w:hAnsi="Times New Roman"/>
          <w:sz w:val="24"/>
          <w:szCs w:val="24"/>
        </w:rPr>
        <w:t xml:space="preserve">or savings association’s </w:t>
      </w:r>
      <w:r>
        <w:rPr>
          <w:rFonts w:ascii="Times New Roman" w:hAnsi="Times New Roman"/>
          <w:sz w:val="24"/>
          <w:szCs w:val="24"/>
        </w:rPr>
        <w:t xml:space="preserve">assessment area(s); and their CRA Disclosure Statement.  A bank or savings association required to report home mortgage loan data pursuant to 12 CFR part 1003 </w:t>
      </w:r>
      <w:r w:rsidR="005409CB">
        <w:rPr>
          <w:rFonts w:ascii="Times New Roman" w:hAnsi="Times New Roman"/>
          <w:sz w:val="24"/>
          <w:szCs w:val="24"/>
        </w:rPr>
        <w:t>must</w:t>
      </w:r>
      <w:r>
        <w:rPr>
          <w:rFonts w:ascii="Times New Roman" w:hAnsi="Times New Roman"/>
          <w:sz w:val="24"/>
          <w:szCs w:val="24"/>
        </w:rPr>
        <w:t xml:space="preserve"> include a written notice that the institution's HMDA Disclosure Statement may be obtained on the Consumer Financial Protection Bureau's (Bureau's) Web site.  A bank or savings association that elected to have the OCC consider the mortgage lending of an affiliate </w:t>
      </w:r>
      <w:r w:rsidR="005409CB">
        <w:rPr>
          <w:rFonts w:ascii="Times New Roman" w:hAnsi="Times New Roman"/>
          <w:sz w:val="24"/>
          <w:szCs w:val="24"/>
        </w:rPr>
        <w:t>must</w:t>
      </w:r>
      <w:r>
        <w:rPr>
          <w:rFonts w:ascii="Times New Roman" w:hAnsi="Times New Roman"/>
          <w:sz w:val="24"/>
          <w:szCs w:val="24"/>
        </w:rPr>
        <w:t xml:space="preserve"> include the name of the affiliate and a written notice that the affiliate's HMDA Disclosure Statement may be obtained at the Bureau's Web site.  A small bank or savings association or a bank or savings association that was a small bank or savings association during the prior calendar year </w:t>
      </w:r>
      <w:r w:rsidR="005409CB">
        <w:rPr>
          <w:rFonts w:ascii="Times New Roman" w:hAnsi="Times New Roman"/>
          <w:sz w:val="24"/>
          <w:szCs w:val="24"/>
        </w:rPr>
        <w:t>must</w:t>
      </w:r>
      <w:r>
        <w:rPr>
          <w:rFonts w:ascii="Times New Roman" w:hAnsi="Times New Roman"/>
          <w:sz w:val="24"/>
          <w:szCs w:val="24"/>
        </w:rPr>
        <w:t xml:space="preserve"> include: its loan-to-deposit ratio for each quarter of the prior calendar year and, at its option, additional data on its loan-to-deposit ratio; and the information required for other banks or savings associations by 12 CFR 24.43(b)(1), if it has elected to be evaluated under the lending, investment, and service tests.  A bank or savings association that has been approved to be assessed under a strategic plan </w:t>
      </w:r>
      <w:r w:rsidR="005409CB">
        <w:rPr>
          <w:rFonts w:ascii="Times New Roman" w:hAnsi="Times New Roman"/>
          <w:sz w:val="24"/>
          <w:szCs w:val="24"/>
        </w:rPr>
        <w:t>must</w:t>
      </w:r>
      <w:r>
        <w:rPr>
          <w:rFonts w:ascii="Times New Roman" w:hAnsi="Times New Roman"/>
          <w:sz w:val="24"/>
          <w:szCs w:val="24"/>
        </w:rPr>
        <w:t xml:space="preserve"> include in its public file a copy of that plan.  A bank or savings association that received a less than satisfactory rating during its most recent examination </w:t>
      </w:r>
      <w:r w:rsidR="005409CB">
        <w:rPr>
          <w:rFonts w:ascii="Times New Roman" w:hAnsi="Times New Roman"/>
          <w:sz w:val="24"/>
          <w:szCs w:val="24"/>
        </w:rPr>
        <w:t>must</w:t>
      </w:r>
      <w:r>
        <w:rPr>
          <w:rFonts w:ascii="Times New Roman" w:hAnsi="Times New Roman"/>
          <w:sz w:val="24"/>
          <w:szCs w:val="24"/>
        </w:rPr>
        <w:t xml:space="preserve"> include in its public file a description of its current efforts to improve its performance in helping to meet the credit needs of its entire community. The bank </w:t>
      </w:r>
      <w:r w:rsidR="005409CB">
        <w:rPr>
          <w:rFonts w:ascii="Times New Roman" w:hAnsi="Times New Roman"/>
          <w:sz w:val="24"/>
          <w:szCs w:val="24"/>
        </w:rPr>
        <w:t>must</w:t>
      </w:r>
      <w:r>
        <w:rPr>
          <w:rFonts w:ascii="Times New Roman" w:hAnsi="Times New Roman"/>
          <w:sz w:val="24"/>
          <w:szCs w:val="24"/>
        </w:rPr>
        <w:t xml:space="preserve"> update the description quarterly.</w:t>
      </w:r>
    </w:p>
    <w:p w:rsidR="003374E8" w:rsidP="003374E8" w14:paraId="56C71107" w14:textId="7637A0C5">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25.43(c)-(e)– A bank or savings association </w:t>
      </w:r>
      <w:r w:rsidR="005409CB">
        <w:rPr>
          <w:rFonts w:ascii="Times New Roman" w:hAnsi="Times New Roman"/>
          <w:sz w:val="24"/>
          <w:szCs w:val="24"/>
        </w:rPr>
        <w:t>must</w:t>
      </w:r>
      <w:r>
        <w:rPr>
          <w:rFonts w:ascii="Times New Roman" w:hAnsi="Times New Roman"/>
          <w:sz w:val="24"/>
          <w:szCs w:val="24"/>
        </w:rPr>
        <w:t xml:space="preserve"> make available to the public for inspection upon request and at no cost the information required in this section at the main office or branch as specified.  Upon request, a </w:t>
      </w:r>
      <w:r w:rsidR="00B827AC">
        <w:rPr>
          <w:rFonts w:ascii="Times New Roman" w:hAnsi="Times New Roman"/>
          <w:sz w:val="24"/>
          <w:szCs w:val="24"/>
        </w:rPr>
        <w:t xml:space="preserve">bank or </w:t>
      </w:r>
      <w:r>
        <w:rPr>
          <w:rFonts w:ascii="Times New Roman" w:hAnsi="Times New Roman"/>
          <w:sz w:val="24"/>
          <w:szCs w:val="24"/>
        </w:rPr>
        <w:t xml:space="preserve">savings association </w:t>
      </w:r>
      <w:r w:rsidR="005409CB">
        <w:rPr>
          <w:rFonts w:ascii="Times New Roman" w:hAnsi="Times New Roman"/>
          <w:sz w:val="24"/>
          <w:szCs w:val="24"/>
        </w:rPr>
        <w:t>must</w:t>
      </w:r>
      <w:r>
        <w:rPr>
          <w:rFonts w:ascii="Times New Roman" w:hAnsi="Times New Roman"/>
          <w:sz w:val="24"/>
          <w:szCs w:val="24"/>
        </w:rPr>
        <w:t xml:space="preserve"> provide copies, either on paper or in another form acceptable to the person making the </w:t>
      </w:r>
      <w:r>
        <w:rPr>
          <w:rFonts w:ascii="Times New Roman" w:hAnsi="Times New Roman"/>
          <w:sz w:val="24"/>
          <w:szCs w:val="24"/>
        </w:rPr>
        <w:t xml:space="preserve">request, of the information in its public file. A bank or savings association </w:t>
      </w:r>
      <w:r w:rsidR="005409CB">
        <w:rPr>
          <w:rFonts w:ascii="Times New Roman" w:hAnsi="Times New Roman"/>
          <w:sz w:val="24"/>
          <w:szCs w:val="24"/>
        </w:rPr>
        <w:t>must</w:t>
      </w:r>
      <w:r>
        <w:rPr>
          <w:rFonts w:ascii="Times New Roman" w:hAnsi="Times New Roman"/>
          <w:sz w:val="24"/>
          <w:szCs w:val="24"/>
        </w:rPr>
        <w:t xml:space="preserve"> ensure that this information is current as of April 1 of each year.</w:t>
      </w:r>
    </w:p>
    <w:bookmarkEnd w:id="0"/>
    <w:p w:rsidR="00811CB2" w:rsidP="00AD02D9" w14:paraId="2DE51362" w14:textId="77777777"/>
    <w:p w:rsidR="00811CB2" w:rsidRPr="005C2B31" w:rsidP="00AD02D9" w14:paraId="48256846" w14:textId="77777777">
      <w:pPr>
        <w:rPr>
          <w:b/>
          <w:bCs/>
          <w:i/>
        </w:rPr>
      </w:pPr>
      <w:r w:rsidRPr="005C2B31">
        <w:rPr>
          <w:b/>
          <w:bCs/>
          <w:i/>
        </w:rPr>
        <w:t>3. Consideration of the use of improved information technology</w:t>
      </w:r>
      <w:r w:rsidRPr="005C2B31" w:rsidR="00A75944">
        <w:rPr>
          <w:b/>
          <w:bCs/>
          <w:i/>
        </w:rPr>
        <w:t>:</w:t>
      </w:r>
    </w:p>
    <w:p w:rsidR="00811CB2" w:rsidP="00AD02D9" w14:paraId="5E1E1ED1" w14:textId="77777777"/>
    <w:p w:rsidR="000A0516" w:rsidP="000A0516" w14:paraId="44912C84" w14:textId="77777777">
      <w:pPr>
        <w:ind w:firstLine="720"/>
      </w:pPr>
      <w:r>
        <w:t>The OCC uses information technology to reduce compliance burden on banks and decrease costs to both the banks and the OCC.</w:t>
      </w:r>
    </w:p>
    <w:p w:rsidR="000A0516" w:rsidP="000A0516" w14:paraId="10658FB5" w14:textId="77777777"/>
    <w:p w:rsidR="000A0516" w:rsidP="000A0516" w14:paraId="2346DEBC" w14:textId="77777777">
      <w:pPr>
        <w:ind w:firstLine="720"/>
      </w:pPr>
      <w:r>
        <w:t>To help alleviate the burden and expense of geocoding loans (the linking of geographic information and loan data), the Federal Financial Institutions Examination Council (FFIEC) provides a geocoding utility free-of-charge on its Web site (</w:t>
      </w:r>
      <w:hyperlink r:id="rId6" w:history="1">
        <w:r>
          <w:rPr>
            <w:rStyle w:val="Hyperlink"/>
            <w:i/>
            <w:color w:val="000000"/>
          </w:rPr>
          <w:t>http://www.ffiec.gov</w:t>
        </w:r>
      </w:hyperlink>
      <w:r>
        <w:t>).  This program enables a bank to enter the address of a given property and obtain quickly the information needed to geocode the property.  This Web site also provides demographic data about each property and has been used extensively by banks</w:t>
      </w:r>
      <w:r w:rsidR="00B827AC">
        <w:t xml:space="preserve">, savings associations, </w:t>
      </w:r>
      <w:r>
        <w:t>and the public.</w:t>
      </w:r>
    </w:p>
    <w:p w:rsidR="00811CB2" w:rsidP="00AD02D9" w14:paraId="70DB8CD0" w14:textId="77777777"/>
    <w:p w:rsidR="00811CB2" w:rsidRPr="005C2B31" w:rsidP="00AD02D9" w14:paraId="31B60272" w14:textId="77777777">
      <w:pPr>
        <w:rPr>
          <w:b/>
          <w:bCs/>
          <w:i/>
        </w:rPr>
      </w:pPr>
      <w:r w:rsidRPr="005C2B31">
        <w:rPr>
          <w:b/>
          <w:bCs/>
          <w:i/>
        </w:rPr>
        <w:t>4. Efforts to identify duplication</w:t>
      </w:r>
      <w:r w:rsidRPr="005C2B31" w:rsidR="00A75944">
        <w:rPr>
          <w:b/>
          <w:bCs/>
          <w:i/>
        </w:rPr>
        <w:t>:</w:t>
      </w:r>
    </w:p>
    <w:p w:rsidR="00811CB2" w:rsidP="00AD02D9" w14:paraId="2E88A50F" w14:textId="77777777"/>
    <w:p w:rsidR="000A0516" w:rsidP="000A0516" w14:paraId="4B30FB87" w14:textId="06CC1B98">
      <w:pPr>
        <w:ind w:firstLine="720"/>
      </w:pPr>
      <w:r>
        <w:t>The information collected under the OCC’s CRA regulation pertains to bank-</w:t>
      </w:r>
      <w:r w:rsidR="00B827AC">
        <w:t xml:space="preserve"> and savings association-</w:t>
      </w:r>
      <w:r>
        <w:t>specific activities and lines of business in particular geographic areas.  The information supports performance evaluations and bank-</w:t>
      </w:r>
      <w:r w:rsidR="00B827AC">
        <w:t xml:space="preserve"> and savings association-</w:t>
      </w:r>
      <w:r>
        <w:t xml:space="preserve">specific requests for approval of strategic plans and certain applications.  For these reasons, almost </w:t>
      </w:r>
      <w:r>
        <w:t>all of</w:t>
      </w:r>
      <w:r>
        <w:t xml:space="preserve"> the information collected pursuant to the CRA regulation is not otherwise available.  Where the OCC already collects information useful for CRA purposes, it has relied on the existing collection, rather than requiring banks</w:t>
      </w:r>
      <w:r w:rsidR="00B827AC">
        <w:t xml:space="preserve"> and savings associations</w:t>
      </w:r>
      <w:r>
        <w:t xml:space="preserve"> to provide the information in a different format.</w:t>
      </w:r>
    </w:p>
    <w:p w:rsidR="00FA51DB" w:rsidP="00AD02D9" w14:paraId="312E4408" w14:textId="77777777">
      <w:pPr>
        <w:rPr>
          <w:b/>
          <w:bCs/>
          <w:i/>
        </w:rPr>
      </w:pPr>
    </w:p>
    <w:p w:rsidR="00811CB2" w:rsidRPr="005C2B31" w:rsidP="00AD02D9" w14:paraId="56F4C684" w14:textId="77777777">
      <w:pPr>
        <w:rPr>
          <w:b/>
          <w:bCs/>
          <w:i/>
        </w:rPr>
      </w:pPr>
      <w:r w:rsidRPr="005C2B31">
        <w:rPr>
          <w:b/>
          <w:bCs/>
          <w:i/>
        </w:rPr>
        <w:t xml:space="preserve">5. Methods used to minimize burden </w:t>
      </w:r>
      <w:r w:rsidRPr="005C2B31" w:rsidR="00F37AA9">
        <w:rPr>
          <w:b/>
          <w:bCs/>
          <w:i/>
        </w:rPr>
        <w:t xml:space="preserve">if the collection has an impact </w:t>
      </w:r>
      <w:r w:rsidRPr="005C2B31">
        <w:rPr>
          <w:b/>
          <w:bCs/>
          <w:i/>
        </w:rPr>
        <w:t>on small entities</w:t>
      </w:r>
      <w:r w:rsidRPr="005C2B31" w:rsidR="00A75944">
        <w:rPr>
          <w:b/>
          <w:bCs/>
          <w:i/>
        </w:rPr>
        <w:t>:</w:t>
      </w:r>
    </w:p>
    <w:p w:rsidR="00811CB2" w:rsidP="00AD02D9" w14:paraId="0770871B" w14:textId="77777777">
      <w:pPr>
        <w:rPr>
          <w:b/>
          <w:bCs/>
        </w:rPr>
      </w:pPr>
    </w:p>
    <w:p w:rsidR="00811CB2" w:rsidP="000A0516" w14:paraId="02FBBF6C" w14:textId="029074AA">
      <w:pPr>
        <w:ind w:firstLine="720"/>
      </w:pPr>
      <w:r>
        <w:t>S</w:t>
      </w:r>
      <w:r>
        <w:t xml:space="preserve">mall institutions are subject to </w:t>
      </w:r>
      <w:r w:rsidR="00481A95">
        <w:t xml:space="preserve">a separate CRA evaluation framework that has </w:t>
      </w:r>
      <w:r>
        <w:t>modest</w:t>
      </w:r>
      <w:r w:rsidR="00481A95">
        <w:t xml:space="preserve"> associated</w:t>
      </w:r>
      <w:r>
        <w:t xml:space="preserve"> burden</w:t>
      </w:r>
      <w:r w:rsidR="00AF2F0F">
        <w:t>.</w:t>
      </w:r>
    </w:p>
    <w:p w:rsidR="00811CB2" w:rsidP="00AD02D9" w14:paraId="0EEB56F2" w14:textId="77777777">
      <w:pPr>
        <w:ind w:firstLine="720"/>
        <w:rPr>
          <w:b/>
          <w:bCs/>
        </w:rPr>
      </w:pPr>
    </w:p>
    <w:p w:rsidR="00811CB2" w:rsidRPr="005C2B31" w:rsidP="00AD02D9" w14:paraId="75734B0B" w14:textId="77777777">
      <w:pPr>
        <w:rPr>
          <w:b/>
          <w:i/>
        </w:rPr>
      </w:pPr>
      <w:r>
        <w:rPr>
          <w:b/>
          <w:bCs/>
          <w:i/>
        </w:rPr>
        <w:t>6. Consequences to the F</w:t>
      </w:r>
      <w:r w:rsidRPr="005C2B31">
        <w:rPr>
          <w:b/>
          <w:bCs/>
          <w:i/>
        </w:rPr>
        <w:t>ederal</w:t>
      </w:r>
      <w:r w:rsidRPr="005C2B31" w:rsidR="00DC5578">
        <w:rPr>
          <w:b/>
          <w:bCs/>
          <w:i/>
        </w:rPr>
        <w:t xml:space="preserve"> program if the collection was </w:t>
      </w:r>
      <w:r w:rsidRPr="005C2B31">
        <w:rPr>
          <w:b/>
          <w:bCs/>
          <w:i/>
        </w:rPr>
        <w:t>conducted less frequently</w:t>
      </w:r>
      <w:r w:rsidRPr="005C2B31" w:rsidR="009B59E3">
        <w:rPr>
          <w:b/>
          <w:bCs/>
          <w:i/>
        </w:rPr>
        <w:t>:</w:t>
      </w:r>
    </w:p>
    <w:p w:rsidR="00811CB2" w:rsidP="00AD02D9" w14:paraId="6312E0A0" w14:textId="77777777"/>
    <w:p w:rsidR="00811CB2" w:rsidP="00AD02D9" w14:paraId="66404F3C" w14:textId="77777777">
      <w:pPr>
        <w:ind w:firstLine="720"/>
      </w:pPr>
      <w:r>
        <w:t xml:space="preserve">The regulations require an annual report </w:t>
      </w:r>
      <w:r w:rsidR="00232BF7">
        <w:t xml:space="preserve">of the prior calendar year’s data </w:t>
      </w:r>
      <w:r>
        <w:t>from large institutions by March 1st.  Reporting less frequently would decrease the utility of the da</w:t>
      </w:r>
      <w:r w:rsidR="002A5D68">
        <w:t>ta for both the public and the a</w:t>
      </w:r>
      <w:r>
        <w:t xml:space="preserve">gencies.  The </w:t>
      </w:r>
      <w:r w:rsidR="004E658D">
        <w:t>a</w:t>
      </w:r>
      <w:r>
        <w:t xml:space="preserve">gencies believe that a comparison, at least annually, of an institution’s performance with that of their peer institutions is a critical component in the CRA evaluation process.  </w:t>
      </w:r>
      <w:r w:rsidRPr="002428DA">
        <w:t xml:space="preserve">The </w:t>
      </w:r>
      <w:r w:rsidR="004E658D">
        <w:t>a</w:t>
      </w:r>
      <w:r w:rsidRPr="002428DA">
        <w:t>gencies expect, however, that institutions will add data to their in-house files at regular intervals throughout the year making entries as u</w:t>
      </w:r>
      <w:r w:rsidRPr="002428DA" w:rsidR="002428DA">
        <w:t>sual and customary.</w:t>
      </w:r>
    </w:p>
    <w:p w:rsidR="00AD7DD3" w:rsidP="00AD02D9" w14:paraId="4C2CAD54" w14:textId="77777777">
      <w:pPr>
        <w:rPr>
          <w:bCs/>
        </w:rPr>
      </w:pPr>
    </w:p>
    <w:p w:rsidR="00811CB2" w:rsidRPr="005C2B31" w:rsidP="00AD02D9" w14:paraId="69024502" w14:textId="77777777">
      <w:pPr>
        <w:rPr>
          <w:b/>
          <w:bCs/>
          <w:i/>
        </w:rPr>
      </w:pPr>
      <w:r w:rsidRPr="005C2B31">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14:paraId="171E413C" w14:textId="77777777"/>
    <w:p w:rsidR="00811CB2" w:rsidP="00AD02D9" w14:paraId="7EB956A9" w14:textId="77777777">
      <w:pPr>
        <w:ind w:firstLine="720"/>
      </w:pPr>
      <w:r>
        <w:t>The information collection requi</w:t>
      </w:r>
      <w:r w:rsidR="002A5D68">
        <w:t>rements in the a</w:t>
      </w:r>
      <w:r>
        <w:t xml:space="preserve">gencies’ CRA regulations are consistent with </w:t>
      </w:r>
      <w:r w:rsidR="005B4659">
        <w:t>5 CFR part 1320</w:t>
      </w:r>
      <w:r>
        <w:t>.</w:t>
      </w:r>
    </w:p>
    <w:p w:rsidR="00811CB2" w:rsidRPr="003962BD" w:rsidP="00AD02D9" w14:paraId="273E969E" w14:textId="77777777"/>
    <w:p w:rsidR="00811CB2" w:rsidRPr="005C2B31" w:rsidP="00AD02D9" w14:paraId="272503BE" w14:textId="77777777">
      <w:pPr>
        <w:rPr>
          <w:b/>
          <w:bCs/>
          <w:i/>
        </w:rPr>
      </w:pPr>
      <w:r w:rsidRPr="005C2B31">
        <w:rPr>
          <w:b/>
          <w:bCs/>
          <w:i/>
        </w:rPr>
        <w:t>8. Efforts to co</w:t>
      </w:r>
      <w:r w:rsidRPr="005C2B31" w:rsidR="00F24564">
        <w:rPr>
          <w:b/>
          <w:bCs/>
          <w:i/>
        </w:rPr>
        <w:t>nsult with persons outside the a</w:t>
      </w:r>
      <w:r w:rsidRPr="005C2B31">
        <w:rPr>
          <w:b/>
          <w:bCs/>
          <w:i/>
        </w:rPr>
        <w:t>gency</w:t>
      </w:r>
      <w:r w:rsidRPr="005C2B31" w:rsidR="00A75944">
        <w:rPr>
          <w:b/>
          <w:bCs/>
          <w:i/>
        </w:rPr>
        <w:t>:</w:t>
      </w:r>
    </w:p>
    <w:p w:rsidR="00811CB2" w:rsidRPr="00162689" w:rsidP="00AD02D9" w14:paraId="520D496B" w14:textId="77777777"/>
    <w:p w:rsidR="00A05FA5" w:rsidRPr="00A05FA5" w:rsidP="00A05FA5" w14:paraId="634B155C" w14:textId="6B839073">
      <w:pPr>
        <w:ind w:firstLine="720"/>
        <w:rPr>
          <w:bCs/>
        </w:rPr>
      </w:pPr>
      <w:bookmarkStart w:id="1" w:name="_Hlk160007020"/>
      <w:r w:rsidRPr="00A05FA5">
        <w:rPr>
          <w:bCs/>
        </w:rPr>
        <w:t xml:space="preserve">The OCC issued a 60-day </w:t>
      </w:r>
      <w:r w:rsidRPr="00A05FA5">
        <w:rPr>
          <w:bCs/>
          <w:i/>
        </w:rPr>
        <w:t xml:space="preserve">Federal Register </w:t>
      </w:r>
      <w:r w:rsidRPr="00A05FA5">
        <w:rPr>
          <w:bCs/>
        </w:rPr>
        <w:t xml:space="preserve">notice on </w:t>
      </w:r>
      <w:r w:rsidR="009F098D">
        <w:rPr>
          <w:bCs/>
        </w:rPr>
        <w:t>July 16</w:t>
      </w:r>
      <w:r w:rsidRPr="00A05FA5">
        <w:rPr>
          <w:bCs/>
        </w:rPr>
        <w:t xml:space="preserve">, 2024, 89 FR </w:t>
      </w:r>
      <w:r w:rsidR="009F098D">
        <w:rPr>
          <w:bCs/>
        </w:rPr>
        <w:t>57992</w:t>
      </w:r>
      <w:r w:rsidRPr="00A05FA5" w:rsidR="009F098D">
        <w:rPr>
          <w:bCs/>
        </w:rPr>
        <w:t xml:space="preserve">.  </w:t>
      </w:r>
      <w:r w:rsidR="009F098D">
        <w:rPr>
          <w:bCs/>
        </w:rPr>
        <w:t>There were no</w:t>
      </w:r>
      <w:r w:rsidRPr="00A05FA5" w:rsidR="009F098D">
        <w:rPr>
          <w:bCs/>
        </w:rPr>
        <w:t xml:space="preserve"> </w:t>
      </w:r>
      <w:r w:rsidRPr="00A05FA5">
        <w:rPr>
          <w:bCs/>
        </w:rPr>
        <w:t>comments</w:t>
      </w:r>
      <w:r w:rsidR="009F098D">
        <w:rPr>
          <w:bCs/>
        </w:rPr>
        <w:t xml:space="preserve"> received</w:t>
      </w:r>
      <w:r w:rsidRPr="00A05FA5">
        <w:rPr>
          <w:bCs/>
        </w:rPr>
        <w:t>.</w:t>
      </w:r>
    </w:p>
    <w:bookmarkEnd w:id="1"/>
    <w:p w:rsidR="008D28D1" w:rsidP="00AD02D9" w14:paraId="714EB9BC" w14:textId="77777777">
      <w:pPr>
        <w:rPr>
          <w:b/>
          <w:bCs/>
          <w:i/>
        </w:rPr>
      </w:pPr>
    </w:p>
    <w:p w:rsidR="00811CB2" w:rsidRPr="005C2B31" w:rsidP="00AD02D9" w14:paraId="74384D1E" w14:textId="77777777">
      <w:pPr>
        <w:rPr>
          <w:b/>
          <w:bCs/>
          <w:i/>
        </w:rPr>
      </w:pPr>
      <w:r w:rsidRPr="005C2B31">
        <w:rPr>
          <w:b/>
          <w:bCs/>
          <w:i/>
        </w:rPr>
        <w:t>9. Payment to respondents</w:t>
      </w:r>
      <w:r w:rsidRPr="005C2B31" w:rsidR="00A75944">
        <w:rPr>
          <w:b/>
          <w:bCs/>
          <w:i/>
        </w:rPr>
        <w:t>:</w:t>
      </w:r>
    </w:p>
    <w:p w:rsidR="00811CB2" w:rsidP="00AD02D9" w14:paraId="2EF3606D" w14:textId="77777777"/>
    <w:p w:rsidR="00811CB2" w:rsidP="00AD02D9" w14:paraId="49C6F80F" w14:textId="77777777">
      <w:pPr>
        <w:ind w:firstLine="720"/>
      </w:pPr>
      <w:r>
        <w:t>Not applicable.  There is no payment to respondents.</w:t>
      </w:r>
    </w:p>
    <w:p w:rsidR="000E6DD2" w:rsidP="00AD02D9" w14:paraId="712735B5" w14:textId="77777777">
      <w:pPr>
        <w:rPr>
          <w:b/>
          <w:bCs/>
          <w:i/>
        </w:rPr>
      </w:pPr>
    </w:p>
    <w:p w:rsidR="00811CB2" w:rsidRPr="005C2B31" w:rsidP="00AD02D9" w14:paraId="08444DEE" w14:textId="77777777">
      <w:pPr>
        <w:rPr>
          <w:b/>
          <w:bCs/>
          <w:i/>
        </w:rPr>
      </w:pPr>
      <w:r w:rsidRPr="005C2B31">
        <w:rPr>
          <w:b/>
          <w:bCs/>
          <w:i/>
        </w:rPr>
        <w:t>10. Assurance of confidentiality</w:t>
      </w:r>
      <w:r w:rsidRPr="005C2B31" w:rsidR="00A75944">
        <w:rPr>
          <w:b/>
          <w:bCs/>
          <w:i/>
        </w:rPr>
        <w:t>:</w:t>
      </w:r>
    </w:p>
    <w:p w:rsidR="00811CB2" w:rsidP="00AD02D9" w14:paraId="3F6E499A" w14:textId="77777777"/>
    <w:p w:rsidR="00811CB2" w:rsidP="00AD02D9" w14:paraId="050A5DE2" w14:textId="77777777">
      <w:pPr>
        <w:ind w:firstLine="720"/>
      </w:pPr>
      <w:r>
        <w:t>A primary purpose for collection of CRA data is disclosure to the public.  Therefore, no assurance of confidentiality is made.</w:t>
      </w:r>
    </w:p>
    <w:p w:rsidR="00811CB2" w:rsidRPr="00A75944" w:rsidP="00AD02D9" w14:paraId="79C05EC5" w14:textId="77777777"/>
    <w:p w:rsidR="00811CB2" w:rsidRPr="005C2B31" w:rsidP="00AD02D9" w14:paraId="6400AA31" w14:textId="77777777">
      <w:pPr>
        <w:rPr>
          <w:b/>
          <w:bCs/>
          <w:i/>
        </w:rPr>
      </w:pPr>
      <w:r w:rsidRPr="005C2B31">
        <w:rPr>
          <w:b/>
          <w:bCs/>
          <w:i/>
        </w:rPr>
        <w:t>11. Justification for questions of a sensitive nature</w:t>
      </w:r>
      <w:r w:rsidRPr="005C2B31" w:rsidR="00A75944">
        <w:rPr>
          <w:b/>
          <w:bCs/>
          <w:i/>
        </w:rPr>
        <w:t>:</w:t>
      </w:r>
    </w:p>
    <w:p w:rsidR="00811CB2" w:rsidP="00AD02D9" w14:paraId="088E191C" w14:textId="77777777"/>
    <w:p w:rsidR="00811CB2" w:rsidP="00AD02D9" w14:paraId="4E65EB96" w14:textId="77777777">
      <w:pPr>
        <w:ind w:firstLine="720"/>
      </w:pPr>
      <w:r>
        <w:t>Not applicable.  No personally identifiable information is collected.</w:t>
      </w:r>
    </w:p>
    <w:p w:rsidR="000A3413" w:rsidP="00AD02D9" w14:paraId="370BBDF9" w14:textId="77777777"/>
    <w:p w:rsidR="00811CB2" w:rsidRPr="00D65370" w:rsidP="00AD02D9" w14:paraId="51E3D816" w14:textId="5F4B4C9D">
      <w:pPr>
        <w:rPr>
          <w:b/>
          <w:bCs/>
          <w:i/>
        </w:rPr>
      </w:pPr>
      <w:r w:rsidRPr="005C2B31">
        <w:rPr>
          <w:b/>
          <w:bCs/>
          <w:i/>
        </w:rPr>
        <w:t xml:space="preserve">12. Burden </w:t>
      </w:r>
      <w:r w:rsidRPr="005C2B31" w:rsidR="008B4E17">
        <w:rPr>
          <w:b/>
          <w:bCs/>
          <w:i/>
        </w:rPr>
        <w:t>e</w:t>
      </w:r>
      <w:r w:rsidRPr="005C2B31">
        <w:rPr>
          <w:b/>
          <w:bCs/>
          <w:i/>
        </w:rPr>
        <w:t>stimate</w:t>
      </w:r>
      <w:r w:rsidRPr="005C2B31" w:rsidR="00A75944">
        <w:rPr>
          <w:b/>
          <w:bCs/>
          <w:i/>
        </w:rPr>
        <w:t>:</w:t>
      </w:r>
    </w:p>
    <w:p w:rsidR="00811CB2" w:rsidP="00AD02D9" w14:paraId="2CE5A10E" w14:textId="77777777">
      <w:pPr>
        <w:pStyle w:val="Footer"/>
        <w:tabs>
          <w:tab w:val="clear" w:pos="4320"/>
          <w:tab w:val="clear" w:pos="8640"/>
        </w:tabs>
        <w:rPr>
          <w:sz w:val="20"/>
        </w:rPr>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4050"/>
        <w:gridCol w:w="1350"/>
        <w:gridCol w:w="1350"/>
        <w:gridCol w:w="1890"/>
      </w:tblGrid>
      <w:tr w14:paraId="07151BC6" w14:textId="77777777" w:rsidTr="001070C0">
        <w:tblPrEx>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2250" w:type="dxa"/>
          </w:tcPr>
          <w:p w:rsidR="00811CB2" w:rsidP="00AD02D9" w14:paraId="0060607E" w14:textId="77777777">
            <w:pPr>
              <w:pStyle w:val="Heading1"/>
              <w:rPr>
                <w:sz w:val="20"/>
              </w:rPr>
            </w:pPr>
            <w:bookmarkStart w:id="2" w:name="_Hlk189279239"/>
            <w:r>
              <w:rPr>
                <w:sz w:val="20"/>
              </w:rPr>
              <w:t>Cite and Burden Type</w:t>
            </w:r>
          </w:p>
        </w:tc>
        <w:tc>
          <w:tcPr>
            <w:tcW w:w="4050" w:type="dxa"/>
          </w:tcPr>
          <w:p w:rsidR="00811CB2" w:rsidP="00AD02D9" w14:paraId="0C62836A" w14:textId="77777777">
            <w:pPr>
              <w:pStyle w:val="Heading1"/>
              <w:rPr>
                <w:sz w:val="20"/>
              </w:rPr>
            </w:pPr>
            <w:r>
              <w:rPr>
                <w:sz w:val="20"/>
              </w:rPr>
              <w:t>Requirements in 12 CFR 25</w:t>
            </w:r>
          </w:p>
        </w:tc>
        <w:tc>
          <w:tcPr>
            <w:tcW w:w="1350" w:type="dxa"/>
          </w:tcPr>
          <w:p w:rsidR="00811CB2" w:rsidP="00AD02D9" w14:paraId="3A58317B" w14:textId="77777777">
            <w:pPr>
              <w:pStyle w:val="Heading1"/>
              <w:jc w:val="center"/>
              <w:rPr>
                <w:sz w:val="20"/>
              </w:rPr>
            </w:pPr>
            <w:r>
              <w:rPr>
                <w:sz w:val="20"/>
              </w:rPr>
              <w:t>No. of Respondents</w:t>
            </w:r>
          </w:p>
          <w:p w:rsidR="00811CB2" w:rsidP="00AD02D9" w14:paraId="646F17D6" w14:textId="77777777">
            <w:pPr>
              <w:jc w:val="center"/>
            </w:pPr>
          </w:p>
        </w:tc>
        <w:tc>
          <w:tcPr>
            <w:tcW w:w="1350" w:type="dxa"/>
          </w:tcPr>
          <w:p w:rsidR="00811CB2" w:rsidP="00AD02D9" w14:paraId="14F24755" w14:textId="77777777">
            <w:pPr>
              <w:pStyle w:val="Heading1"/>
              <w:jc w:val="center"/>
              <w:rPr>
                <w:sz w:val="20"/>
              </w:rPr>
            </w:pPr>
            <w:r>
              <w:rPr>
                <w:sz w:val="20"/>
              </w:rPr>
              <w:t>Avg. hours per Response</w:t>
            </w:r>
          </w:p>
        </w:tc>
        <w:tc>
          <w:tcPr>
            <w:tcW w:w="1890" w:type="dxa"/>
          </w:tcPr>
          <w:p w:rsidR="00811CB2" w:rsidP="00AD02D9" w14:paraId="2DA75282" w14:textId="77777777">
            <w:pPr>
              <w:pStyle w:val="Heading1"/>
              <w:jc w:val="center"/>
              <w:rPr>
                <w:sz w:val="20"/>
              </w:rPr>
            </w:pPr>
            <w:r>
              <w:rPr>
                <w:sz w:val="20"/>
              </w:rPr>
              <w:t>Estimated Burden Hours</w:t>
            </w:r>
          </w:p>
        </w:tc>
      </w:tr>
      <w:tr w14:paraId="607E06E1" w14:textId="77777777" w:rsidTr="001070C0">
        <w:tblPrEx>
          <w:tblW w:w="10890" w:type="dxa"/>
          <w:tblInd w:w="-522" w:type="dxa"/>
          <w:tblLayout w:type="fixed"/>
          <w:tblLook w:val="0000"/>
        </w:tblPrEx>
        <w:tc>
          <w:tcPr>
            <w:tcW w:w="2250" w:type="dxa"/>
          </w:tcPr>
          <w:p w:rsidR="00910839" w:rsidP="00AD02D9" w14:paraId="4FD7268A" w14:textId="77777777">
            <w:pPr>
              <w:pStyle w:val="FootnoteText"/>
            </w:pPr>
            <w:r>
              <w:t>12 CFR 25.25(b)</w:t>
            </w:r>
            <w:r w:rsidR="001070C0">
              <w:t xml:space="preserve"> </w:t>
            </w:r>
          </w:p>
          <w:p w:rsidR="00811CB2" w:rsidP="00AD02D9" w14:paraId="4FC15603" w14:textId="77777777">
            <w:pPr>
              <w:pStyle w:val="FootnoteText"/>
            </w:pPr>
            <w:r>
              <w:t>R</w:t>
            </w:r>
            <w:r>
              <w:t>eporting</w:t>
            </w:r>
          </w:p>
        </w:tc>
        <w:tc>
          <w:tcPr>
            <w:tcW w:w="4050" w:type="dxa"/>
          </w:tcPr>
          <w:p w:rsidR="00811CB2" w:rsidP="00AD02D9" w14:paraId="470D7E57" w14:textId="77777777">
            <w:pPr>
              <w:rPr>
                <w:sz w:val="20"/>
              </w:rPr>
            </w:pPr>
            <w:r>
              <w:rPr>
                <w:i/>
                <w:iCs/>
                <w:sz w:val="20"/>
                <w:u w:val="single"/>
              </w:rPr>
              <w:t xml:space="preserve">Request for designation as a wholesale or limited purpose </w:t>
            </w:r>
            <w:r w:rsidRPr="00910839">
              <w:rPr>
                <w:i/>
                <w:iCs/>
                <w:sz w:val="20"/>
                <w:u w:val="single"/>
              </w:rPr>
              <w:t>bank</w:t>
            </w:r>
            <w:r w:rsidRPr="00910839" w:rsidR="00910839">
              <w:rPr>
                <w:i/>
                <w:sz w:val="20"/>
                <w:u w:val="single"/>
              </w:rPr>
              <w:t xml:space="preserve"> or savings association</w:t>
            </w:r>
            <w:r>
              <w:rPr>
                <w:sz w:val="20"/>
              </w:rPr>
              <w:t xml:space="preserve"> </w:t>
            </w:r>
          </w:p>
        </w:tc>
        <w:tc>
          <w:tcPr>
            <w:tcW w:w="1350" w:type="dxa"/>
          </w:tcPr>
          <w:p w:rsidR="002428DA" w:rsidRPr="00AF2F0F" w:rsidP="00AD02D9" w14:paraId="6BB4B3DB" w14:textId="2DF8FF48">
            <w:pPr>
              <w:jc w:val="center"/>
              <w:rPr>
                <w:sz w:val="20"/>
              </w:rPr>
            </w:pPr>
            <w:r>
              <w:rPr>
                <w:sz w:val="20"/>
              </w:rPr>
              <w:t>19</w:t>
            </w:r>
          </w:p>
        </w:tc>
        <w:tc>
          <w:tcPr>
            <w:tcW w:w="1350" w:type="dxa"/>
          </w:tcPr>
          <w:p w:rsidR="00811CB2" w:rsidP="00AD02D9" w14:paraId="0E64DA1D" w14:textId="77777777">
            <w:pPr>
              <w:jc w:val="center"/>
              <w:rPr>
                <w:sz w:val="20"/>
              </w:rPr>
            </w:pPr>
            <w:r>
              <w:rPr>
                <w:sz w:val="20"/>
              </w:rPr>
              <w:t>4</w:t>
            </w:r>
          </w:p>
        </w:tc>
        <w:tc>
          <w:tcPr>
            <w:tcW w:w="1890" w:type="dxa"/>
          </w:tcPr>
          <w:p w:rsidR="00811CB2" w:rsidP="00AD02D9" w14:paraId="4E104042" w14:textId="44663370">
            <w:pPr>
              <w:jc w:val="right"/>
              <w:rPr>
                <w:sz w:val="20"/>
              </w:rPr>
            </w:pPr>
            <w:r>
              <w:rPr>
                <w:sz w:val="20"/>
              </w:rPr>
              <w:t>76</w:t>
            </w:r>
          </w:p>
        </w:tc>
      </w:tr>
      <w:tr w14:paraId="6A47C44B" w14:textId="77777777" w:rsidTr="001070C0">
        <w:tblPrEx>
          <w:tblW w:w="10890" w:type="dxa"/>
          <w:tblInd w:w="-522" w:type="dxa"/>
          <w:tblLayout w:type="fixed"/>
          <w:tblLook w:val="0000"/>
        </w:tblPrEx>
        <w:tc>
          <w:tcPr>
            <w:tcW w:w="2250" w:type="dxa"/>
          </w:tcPr>
          <w:p w:rsidR="00811CB2" w:rsidP="00AD02D9" w14:paraId="5DDADCF3" w14:textId="77777777">
            <w:pPr>
              <w:rPr>
                <w:sz w:val="20"/>
              </w:rPr>
            </w:pPr>
            <w:r>
              <w:rPr>
                <w:sz w:val="20"/>
              </w:rPr>
              <w:t>12 CFR 25.27</w:t>
            </w:r>
          </w:p>
          <w:p w:rsidR="00811CB2" w:rsidP="00AD02D9" w14:paraId="35436138" w14:textId="77777777">
            <w:pPr>
              <w:rPr>
                <w:sz w:val="20"/>
              </w:rPr>
            </w:pPr>
            <w:r>
              <w:rPr>
                <w:sz w:val="20"/>
              </w:rPr>
              <w:t>R</w:t>
            </w:r>
            <w:r>
              <w:rPr>
                <w:sz w:val="20"/>
              </w:rPr>
              <w:t>eporting</w:t>
            </w:r>
          </w:p>
        </w:tc>
        <w:tc>
          <w:tcPr>
            <w:tcW w:w="4050" w:type="dxa"/>
          </w:tcPr>
          <w:p w:rsidR="00811CB2" w:rsidP="00AD02D9" w14:paraId="74F568F9" w14:textId="77777777">
            <w:pPr>
              <w:rPr>
                <w:sz w:val="20"/>
              </w:rPr>
            </w:pPr>
            <w:r>
              <w:rPr>
                <w:i/>
                <w:iCs/>
                <w:sz w:val="20"/>
                <w:u w:val="single"/>
              </w:rPr>
              <w:t>Strategic plan</w:t>
            </w:r>
            <w:r>
              <w:rPr>
                <w:sz w:val="20"/>
              </w:rPr>
              <w:t xml:space="preserve">  </w:t>
            </w:r>
          </w:p>
        </w:tc>
        <w:tc>
          <w:tcPr>
            <w:tcW w:w="1350" w:type="dxa"/>
          </w:tcPr>
          <w:p w:rsidR="00811CB2" w:rsidRPr="00AF2F0F" w:rsidP="00AD02D9" w14:paraId="05C90B2D" w14:textId="1FD03811">
            <w:pPr>
              <w:jc w:val="center"/>
              <w:rPr>
                <w:sz w:val="20"/>
              </w:rPr>
            </w:pPr>
            <w:r>
              <w:rPr>
                <w:sz w:val="20"/>
              </w:rPr>
              <w:t>14</w:t>
            </w:r>
          </w:p>
        </w:tc>
        <w:tc>
          <w:tcPr>
            <w:tcW w:w="1350" w:type="dxa"/>
          </w:tcPr>
          <w:p w:rsidR="00811CB2" w:rsidP="00AD02D9" w14:paraId="0CBE746C" w14:textId="77777777">
            <w:pPr>
              <w:jc w:val="center"/>
              <w:rPr>
                <w:sz w:val="20"/>
              </w:rPr>
            </w:pPr>
            <w:r>
              <w:rPr>
                <w:sz w:val="20"/>
              </w:rPr>
              <w:t>275</w:t>
            </w:r>
          </w:p>
        </w:tc>
        <w:tc>
          <w:tcPr>
            <w:tcW w:w="1890" w:type="dxa"/>
          </w:tcPr>
          <w:p w:rsidR="00811CB2" w:rsidP="00AD02D9" w14:paraId="01851A1F" w14:textId="120398A1">
            <w:pPr>
              <w:jc w:val="right"/>
              <w:rPr>
                <w:sz w:val="20"/>
              </w:rPr>
            </w:pPr>
            <w:r>
              <w:rPr>
                <w:sz w:val="20"/>
              </w:rPr>
              <w:t>3,</w:t>
            </w:r>
            <w:r w:rsidR="00A650CE">
              <w:rPr>
                <w:sz w:val="20"/>
              </w:rPr>
              <w:t>850</w:t>
            </w:r>
          </w:p>
        </w:tc>
      </w:tr>
      <w:tr w14:paraId="5CF6132E" w14:textId="77777777" w:rsidTr="001070C0">
        <w:tblPrEx>
          <w:tblW w:w="10890" w:type="dxa"/>
          <w:tblInd w:w="-522" w:type="dxa"/>
          <w:tblLayout w:type="fixed"/>
          <w:tblLook w:val="0000"/>
        </w:tblPrEx>
        <w:tc>
          <w:tcPr>
            <w:tcW w:w="2250" w:type="dxa"/>
          </w:tcPr>
          <w:p w:rsidR="00811CB2" w:rsidP="00AD02D9" w14:paraId="5E425174" w14:textId="77777777">
            <w:pPr>
              <w:rPr>
                <w:sz w:val="20"/>
              </w:rPr>
            </w:pPr>
            <w:r>
              <w:rPr>
                <w:sz w:val="20"/>
              </w:rPr>
              <w:t>12 CFR 25.42(a)</w:t>
            </w:r>
          </w:p>
          <w:p w:rsidR="00811CB2" w:rsidP="00AD02D9" w14:paraId="5BD3B411" w14:textId="77777777">
            <w:pPr>
              <w:rPr>
                <w:sz w:val="20"/>
              </w:rPr>
            </w:pPr>
            <w:r>
              <w:rPr>
                <w:sz w:val="20"/>
              </w:rPr>
              <w:t>Recordkeeping</w:t>
            </w:r>
          </w:p>
        </w:tc>
        <w:tc>
          <w:tcPr>
            <w:tcW w:w="4050" w:type="dxa"/>
          </w:tcPr>
          <w:p w:rsidR="000E1E34" w:rsidRPr="000E1E34" w:rsidP="000E1E34" w14:paraId="63AFCD89" w14:textId="77777777">
            <w:pPr>
              <w:rPr>
                <w:sz w:val="20"/>
              </w:rPr>
            </w:pPr>
            <w:r>
              <w:rPr>
                <w:i/>
                <w:iCs/>
                <w:sz w:val="20"/>
                <w:u w:val="single"/>
              </w:rPr>
              <w:t xml:space="preserve">Small business/small farm loan </w:t>
            </w:r>
            <w:r w:rsidRPr="000E1E34">
              <w:rPr>
                <w:i/>
                <w:iCs/>
                <w:sz w:val="20"/>
                <w:u w:val="single"/>
              </w:rPr>
              <w:t>data</w:t>
            </w:r>
            <w:r w:rsidRPr="000E1E34">
              <w:rPr>
                <w:sz w:val="20"/>
              </w:rPr>
              <w:t xml:space="preserve"> </w:t>
            </w:r>
            <w:r w:rsidRPr="000E1E34" w:rsidR="00910839">
              <w:rPr>
                <w:sz w:val="20"/>
              </w:rPr>
              <w:t xml:space="preserve"> </w:t>
            </w:r>
          </w:p>
          <w:p w:rsidR="00811CB2" w:rsidP="000E1E34" w14:paraId="6A6CE70B" w14:textId="77777777">
            <w:pPr>
              <w:ind w:left="360"/>
              <w:rPr>
                <w:sz w:val="20"/>
              </w:rPr>
            </w:pPr>
          </w:p>
        </w:tc>
        <w:tc>
          <w:tcPr>
            <w:tcW w:w="1350" w:type="dxa"/>
          </w:tcPr>
          <w:p w:rsidR="00811CB2" w:rsidRPr="00AF2F0F" w:rsidP="00AD02D9" w14:paraId="6EE88EE0" w14:textId="2F0311A9">
            <w:pPr>
              <w:jc w:val="center"/>
              <w:rPr>
                <w:sz w:val="20"/>
              </w:rPr>
            </w:pPr>
            <w:r>
              <w:rPr>
                <w:sz w:val="20"/>
              </w:rPr>
              <w:t>214</w:t>
            </w:r>
          </w:p>
        </w:tc>
        <w:tc>
          <w:tcPr>
            <w:tcW w:w="1350" w:type="dxa"/>
          </w:tcPr>
          <w:p w:rsidR="00811CB2" w:rsidP="00AD02D9" w14:paraId="6ABE0735" w14:textId="77777777">
            <w:pPr>
              <w:jc w:val="center"/>
              <w:rPr>
                <w:sz w:val="20"/>
              </w:rPr>
            </w:pPr>
            <w:r>
              <w:rPr>
                <w:sz w:val="20"/>
              </w:rPr>
              <w:t>219</w:t>
            </w:r>
          </w:p>
        </w:tc>
        <w:tc>
          <w:tcPr>
            <w:tcW w:w="1890" w:type="dxa"/>
          </w:tcPr>
          <w:p w:rsidR="00811CB2" w:rsidP="00AD02D9" w14:paraId="17276262" w14:textId="7C3EBC7F">
            <w:pPr>
              <w:jc w:val="right"/>
              <w:rPr>
                <w:sz w:val="20"/>
              </w:rPr>
            </w:pPr>
            <w:r>
              <w:rPr>
                <w:sz w:val="20"/>
              </w:rPr>
              <w:t>46</w:t>
            </w:r>
            <w:r w:rsidR="00534B1C">
              <w:rPr>
                <w:sz w:val="20"/>
              </w:rPr>
              <w:t>,</w:t>
            </w:r>
            <w:r>
              <w:rPr>
                <w:sz w:val="20"/>
              </w:rPr>
              <w:t>866</w:t>
            </w:r>
          </w:p>
        </w:tc>
      </w:tr>
      <w:tr w14:paraId="15A367B1" w14:textId="77777777" w:rsidTr="001070C0">
        <w:tblPrEx>
          <w:tblW w:w="10890" w:type="dxa"/>
          <w:tblInd w:w="-522" w:type="dxa"/>
          <w:tblLayout w:type="fixed"/>
          <w:tblLook w:val="0000"/>
        </w:tblPrEx>
        <w:tc>
          <w:tcPr>
            <w:tcW w:w="2250" w:type="dxa"/>
          </w:tcPr>
          <w:p w:rsidR="00811CB2" w:rsidP="00AD02D9" w14:paraId="674AB3C9" w14:textId="77777777">
            <w:pPr>
              <w:rPr>
                <w:sz w:val="20"/>
              </w:rPr>
            </w:pPr>
            <w:r>
              <w:rPr>
                <w:sz w:val="20"/>
              </w:rPr>
              <w:t>12 CFR 25.42(b)(1)</w:t>
            </w:r>
          </w:p>
          <w:p w:rsidR="00811CB2" w:rsidP="00AD02D9" w14:paraId="291F38CF" w14:textId="77777777">
            <w:pPr>
              <w:rPr>
                <w:sz w:val="20"/>
              </w:rPr>
            </w:pPr>
            <w:r>
              <w:rPr>
                <w:sz w:val="20"/>
              </w:rPr>
              <w:t>Reporting</w:t>
            </w:r>
          </w:p>
        </w:tc>
        <w:tc>
          <w:tcPr>
            <w:tcW w:w="4050" w:type="dxa"/>
          </w:tcPr>
          <w:p w:rsidR="000E1E34" w:rsidRPr="000E1E34" w:rsidP="000E1E34" w14:paraId="2DD325E2" w14:textId="77777777">
            <w:pPr>
              <w:rPr>
                <w:sz w:val="20"/>
              </w:rPr>
            </w:pPr>
            <w:r>
              <w:rPr>
                <w:i/>
                <w:iCs/>
                <w:sz w:val="20"/>
                <w:u w:val="single"/>
              </w:rPr>
              <w:t xml:space="preserve">Small business/small </w:t>
            </w:r>
            <w:r w:rsidRPr="000E1E34">
              <w:rPr>
                <w:i/>
                <w:iCs/>
                <w:sz w:val="20"/>
                <w:u w:val="single"/>
              </w:rPr>
              <w:t>farm loan data</w:t>
            </w:r>
            <w:r w:rsidRPr="000E1E34">
              <w:rPr>
                <w:sz w:val="20"/>
              </w:rPr>
              <w:t xml:space="preserve"> </w:t>
            </w:r>
          </w:p>
          <w:p w:rsidR="00811CB2" w:rsidP="000E1E34" w14:paraId="186109EC" w14:textId="77777777">
            <w:pPr>
              <w:ind w:left="360"/>
              <w:rPr>
                <w:sz w:val="20"/>
              </w:rPr>
            </w:pPr>
          </w:p>
        </w:tc>
        <w:tc>
          <w:tcPr>
            <w:tcW w:w="1350" w:type="dxa"/>
          </w:tcPr>
          <w:p w:rsidR="00811CB2" w:rsidRPr="00AF2F0F" w:rsidP="00AD02D9" w14:paraId="5DC66CC3" w14:textId="0DD23ED7">
            <w:pPr>
              <w:jc w:val="center"/>
              <w:rPr>
                <w:sz w:val="20"/>
              </w:rPr>
            </w:pPr>
            <w:r>
              <w:rPr>
                <w:sz w:val="20"/>
              </w:rPr>
              <w:t>214</w:t>
            </w:r>
          </w:p>
        </w:tc>
        <w:tc>
          <w:tcPr>
            <w:tcW w:w="1350" w:type="dxa"/>
          </w:tcPr>
          <w:p w:rsidR="00811CB2" w:rsidP="00AD02D9" w14:paraId="2047605D" w14:textId="77777777">
            <w:pPr>
              <w:jc w:val="center"/>
              <w:rPr>
                <w:sz w:val="20"/>
              </w:rPr>
            </w:pPr>
            <w:r>
              <w:rPr>
                <w:sz w:val="20"/>
              </w:rPr>
              <w:t>8</w:t>
            </w:r>
          </w:p>
        </w:tc>
        <w:tc>
          <w:tcPr>
            <w:tcW w:w="1890" w:type="dxa"/>
          </w:tcPr>
          <w:p w:rsidR="00811CB2" w:rsidP="00AD02D9" w14:paraId="6D489C5C" w14:textId="55C16465">
            <w:pPr>
              <w:jc w:val="right"/>
              <w:rPr>
                <w:sz w:val="20"/>
              </w:rPr>
            </w:pPr>
            <w:r>
              <w:rPr>
                <w:sz w:val="20"/>
              </w:rPr>
              <w:t>1,</w:t>
            </w:r>
            <w:r w:rsidR="00A650CE">
              <w:rPr>
                <w:sz w:val="20"/>
              </w:rPr>
              <w:t>712</w:t>
            </w:r>
          </w:p>
        </w:tc>
      </w:tr>
      <w:tr w14:paraId="57E5D4B9" w14:textId="77777777" w:rsidTr="001070C0">
        <w:tblPrEx>
          <w:tblW w:w="10890" w:type="dxa"/>
          <w:tblInd w:w="-522" w:type="dxa"/>
          <w:tblLayout w:type="fixed"/>
          <w:tblLook w:val="0000"/>
        </w:tblPrEx>
        <w:tc>
          <w:tcPr>
            <w:tcW w:w="2250" w:type="dxa"/>
          </w:tcPr>
          <w:p w:rsidR="001070C0" w:rsidP="00AD02D9" w14:paraId="443CF7B5" w14:textId="7C6C5051">
            <w:pPr>
              <w:rPr>
                <w:sz w:val="20"/>
              </w:rPr>
            </w:pPr>
            <w:r>
              <w:rPr>
                <w:sz w:val="20"/>
              </w:rPr>
              <w:t>12 CFR 25.42(b)(2)</w:t>
            </w:r>
          </w:p>
          <w:p w:rsidR="00811CB2" w:rsidP="00AD02D9" w14:paraId="71F7ABE6" w14:textId="77777777">
            <w:pPr>
              <w:rPr>
                <w:sz w:val="20"/>
              </w:rPr>
            </w:pPr>
            <w:r>
              <w:rPr>
                <w:sz w:val="20"/>
              </w:rPr>
              <w:t>Reporting</w:t>
            </w:r>
          </w:p>
        </w:tc>
        <w:tc>
          <w:tcPr>
            <w:tcW w:w="4050" w:type="dxa"/>
          </w:tcPr>
          <w:p w:rsidR="00811CB2" w:rsidP="00AD02D9" w14:paraId="458A8BE4" w14:textId="77777777">
            <w:pPr>
              <w:rPr>
                <w:sz w:val="20"/>
              </w:rPr>
            </w:pPr>
            <w:r>
              <w:rPr>
                <w:i/>
                <w:iCs/>
                <w:sz w:val="20"/>
                <w:u w:val="single"/>
              </w:rPr>
              <w:t xml:space="preserve">Community development loan </w:t>
            </w:r>
            <w:r w:rsidRPr="000E1E34">
              <w:rPr>
                <w:i/>
                <w:iCs/>
                <w:sz w:val="20"/>
                <w:u w:val="single"/>
              </w:rPr>
              <w:t>data</w:t>
            </w:r>
            <w:r w:rsidRPr="000E1E34">
              <w:rPr>
                <w:sz w:val="20"/>
              </w:rPr>
              <w:t xml:space="preserve"> </w:t>
            </w:r>
            <w:r>
              <w:rPr>
                <w:sz w:val="20"/>
              </w:rPr>
              <w:t xml:space="preserve"> </w:t>
            </w:r>
          </w:p>
        </w:tc>
        <w:tc>
          <w:tcPr>
            <w:tcW w:w="1350" w:type="dxa"/>
          </w:tcPr>
          <w:p w:rsidR="00811CB2" w:rsidRPr="00AF2F0F" w:rsidP="00AD02D9" w14:paraId="6F25950C" w14:textId="7735498F">
            <w:pPr>
              <w:jc w:val="center"/>
              <w:rPr>
                <w:sz w:val="20"/>
              </w:rPr>
            </w:pPr>
            <w:r>
              <w:rPr>
                <w:sz w:val="20"/>
              </w:rPr>
              <w:t>214</w:t>
            </w:r>
          </w:p>
        </w:tc>
        <w:tc>
          <w:tcPr>
            <w:tcW w:w="1350" w:type="dxa"/>
          </w:tcPr>
          <w:p w:rsidR="00811CB2" w:rsidP="00AD02D9" w14:paraId="0FD3EACB" w14:textId="77777777">
            <w:pPr>
              <w:jc w:val="center"/>
              <w:rPr>
                <w:sz w:val="20"/>
              </w:rPr>
            </w:pPr>
            <w:r>
              <w:rPr>
                <w:sz w:val="20"/>
              </w:rPr>
              <w:t>13</w:t>
            </w:r>
          </w:p>
        </w:tc>
        <w:tc>
          <w:tcPr>
            <w:tcW w:w="1890" w:type="dxa"/>
          </w:tcPr>
          <w:p w:rsidR="00811CB2" w:rsidP="00AD02D9" w14:paraId="4FE323EB" w14:textId="5253EF1B">
            <w:pPr>
              <w:jc w:val="right"/>
              <w:rPr>
                <w:sz w:val="20"/>
              </w:rPr>
            </w:pPr>
            <w:r>
              <w:rPr>
                <w:sz w:val="20"/>
              </w:rPr>
              <w:t>2,</w:t>
            </w:r>
            <w:r w:rsidR="00A650CE">
              <w:rPr>
                <w:sz w:val="20"/>
              </w:rPr>
              <w:t>782</w:t>
            </w:r>
          </w:p>
        </w:tc>
      </w:tr>
      <w:tr w14:paraId="1FDB3217" w14:textId="77777777" w:rsidTr="001070C0">
        <w:tblPrEx>
          <w:tblW w:w="10890" w:type="dxa"/>
          <w:tblInd w:w="-522" w:type="dxa"/>
          <w:tblLayout w:type="fixed"/>
          <w:tblLook w:val="0000"/>
        </w:tblPrEx>
        <w:tc>
          <w:tcPr>
            <w:tcW w:w="2250" w:type="dxa"/>
          </w:tcPr>
          <w:p w:rsidR="00811CB2" w:rsidP="00AD02D9" w14:paraId="271E9BB2" w14:textId="77777777">
            <w:pPr>
              <w:rPr>
                <w:sz w:val="20"/>
              </w:rPr>
            </w:pPr>
            <w:r>
              <w:rPr>
                <w:sz w:val="20"/>
              </w:rPr>
              <w:t>12 CFR 25.42(b)(3)</w:t>
            </w:r>
          </w:p>
          <w:p w:rsidR="00811CB2" w:rsidP="00AD02D9" w14:paraId="455EA684" w14:textId="77777777">
            <w:pPr>
              <w:rPr>
                <w:sz w:val="20"/>
              </w:rPr>
            </w:pPr>
            <w:r>
              <w:rPr>
                <w:sz w:val="20"/>
              </w:rPr>
              <w:t>Reporting</w:t>
            </w:r>
          </w:p>
        </w:tc>
        <w:tc>
          <w:tcPr>
            <w:tcW w:w="4050" w:type="dxa"/>
          </w:tcPr>
          <w:p w:rsidR="00811CB2" w:rsidP="00AD02D9" w14:paraId="5B26FB68" w14:textId="77777777">
            <w:pPr>
              <w:rPr>
                <w:sz w:val="20"/>
              </w:rPr>
            </w:pPr>
            <w:r>
              <w:rPr>
                <w:i/>
                <w:iCs/>
                <w:sz w:val="20"/>
                <w:u w:val="single"/>
              </w:rPr>
              <w:t>Home mortgage loans</w:t>
            </w:r>
            <w:r>
              <w:rPr>
                <w:sz w:val="20"/>
              </w:rPr>
              <w:t xml:space="preserve"> </w:t>
            </w:r>
          </w:p>
        </w:tc>
        <w:tc>
          <w:tcPr>
            <w:tcW w:w="1350" w:type="dxa"/>
          </w:tcPr>
          <w:p w:rsidR="00811CB2" w:rsidRPr="00AF2F0F" w:rsidP="00AD02D9" w14:paraId="01879C60" w14:textId="7908B7E5">
            <w:pPr>
              <w:jc w:val="center"/>
              <w:rPr>
                <w:sz w:val="20"/>
              </w:rPr>
            </w:pPr>
            <w:r>
              <w:rPr>
                <w:sz w:val="20"/>
              </w:rPr>
              <w:t>214</w:t>
            </w:r>
          </w:p>
        </w:tc>
        <w:tc>
          <w:tcPr>
            <w:tcW w:w="1350" w:type="dxa"/>
          </w:tcPr>
          <w:p w:rsidR="00811CB2" w:rsidP="00AD02D9" w14:paraId="4A86CF50" w14:textId="77777777">
            <w:pPr>
              <w:jc w:val="center"/>
              <w:rPr>
                <w:sz w:val="20"/>
              </w:rPr>
            </w:pPr>
            <w:r>
              <w:rPr>
                <w:sz w:val="20"/>
              </w:rPr>
              <w:t>253</w:t>
            </w:r>
          </w:p>
        </w:tc>
        <w:tc>
          <w:tcPr>
            <w:tcW w:w="1890" w:type="dxa"/>
          </w:tcPr>
          <w:p w:rsidR="00811CB2" w:rsidP="00AD02D9" w14:paraId="30CC11FF" w14:textId="0119F24F">
            <w:pPr>
              <w:jc w:val="right"/>
              <w:rPr>
                <w:sz w:val="20"/>
              </w:rPr>
            </w:pPr>
            <w:r>
              <w:rPr>
                <w:sz w:val="20"/>
              </w:rPr>
              <w:t>5</w:t>
            </w:r>
            <w:r w:rsidR="00A650CE">
              <w:rPr>
                <w:sz w:val="20"/>
              </w:rPr>
              <w:t>4</w:t>
            </w:r>
            <w:r>
              <w:rPr>
                <w:sz w:val="20"/>
              </w:rPr>
              <w:t>,</w:t>
            </w:r>
            <w:r w:rsidR="00A650CE">
              <w:rPr>
                <w:sz w:val="20"/>
              </w:rPr>
              <w:t>142</w:t>
            </w:r>
          </w:p>
        </w:tc>
      </w:tr>
      <w:tr w14:paraId="210CECE2" w14:textId="77777777" w:rsidTr="001070C0">
        <w:tblPrEx>
          <w:tblW w:w="10890" w:type="dxa"/>
          <w:tblInd w:w="-522" w:type="dxa"/>
          <w:tblLayout w:type="fixed"/>
          <w:tblLook w:val="0000"/>
        </w:tblPrEx>
        <w:trPr>
          <w:cantSplit/>
          <w:tblHeader/>
        </w:trPr>
        <w:tc>
          <w:tcPr>
            <w:tcW w:w="2250" w:type="dxa"/>
          </w:tcPr>
          <w:p w:rsidR="00811CB2" w:rsidP="00AD02D9" w14:paraId="371D56A7" w14:textId="77777777">
            <w:pPr>
              <w:rPr>
                <w:sz w:val="20"/>
              </w:rPr>
            </w:pPr>
            <w:r>
              <w:rPr>
                <w:sz w:val="20"/>
              </w:rPr>
              <w:t>12 CFR 25.42(c)</w:t>
            </w:r>
            <w:r w:rsidR="00D37EB3">
              <w:rPr>
                <w:sz w:val="20"/>
              </w:rPr>
              <w:t>(1)</w:t>
            </w:r>
          </w:p>
          <w:p w:rsidR="00811CB2" w:rsidP="00AD02D9" w14:paraId="2BBB202A" w14:textId="77777777">
            <w:pPr>
              <w:rPr>
                <w:sz w:val="20"/>
              </w:rPr>
            </w:pPr>
            <w:r>
              <w:rPr>
                <w:sz w:val="20"/>
              </w:rPr>
              <w:t>R</w:t>
            </w:r>
            <w:r>
              <w:rPr>
                <w:sz w:val="20"/>
              </w:rPr>
              <w:t>ecordkeeping</w:t>
            </w:r>
          </w:p>
        </w:tc>
        <w:tc>
          <w:tcPr>
            <w:tcW w:w="4050" w:type="dxa"/>
          </w:tcPr>
          <w:p w:rsidR="002E1265" w:rsidP="000E1E34" w14:paraId="44CDB536" w14:textId="77777777">
            <w:pPr>
              <w:rPr>
                <w:sz w:val="20"/>
              </w:rPr>
            </w:pPr>
            <w:r>
              <w:rPr>
                <w:i/>
                <w:iCs/>
                <w:sz w:val="20"/>
                <w:u w:val="single"/>
              </w:rPr>
              <w:t>C</w:t>
            </w:r>
            <w:r w:rsidR="00811CB2">
              <w:rPr>
                <w:i/>
                <w:iCs/>
                <w:sz w:val="20"/>
                <w:u w:val="single"/>
              </w:rPr>
              <w:t xml:space="preserve">onsumer loan </w:t>
            </w:r>
            <w:r w:rsidRPr="000E1E34" w:rsidR="00811CB2">
              <w:rPr>
                <w:i/>
                <w:iCs/>
                <w:sz w:val="20"/>
                <w:u w:val="single"/>
              </w:rPr>
              <w:t>data</w:t>
            </w:r>
            <w:r w:rsidRPr="000E1E34" w:rsidR="00811CB2">
              <w:rPr>
                <w:sz w:val="20"/>
              </w:rPr>
              <w:t xml:space="preserve"> </w:t>
            </w:r>
          </w:p>
        </w:tc>
        <w:tc>
          <w:tcPr>
            <w:tcW w:w="1350" w:type="dxa"/>
          </w:tcPr>
          <w:p w:rsidR="00811CB2" w:rsidRPr="00AF2F0F" w:rsidP="00AD02D9" w14:paraId="22ADBD2C" w14:textId="77777777">
            <w:pPr>
              <w:jc w:val="center"/>
              <w:rPr>
                <w:sz w:val="20"/>
              </w:rPr>
            </w:pPr>
            <w:r w:rsidRPr="00AF2F0F">
              <w:rPr>
                <w:sz w:val="20"/>
              </w:rPr>
              <w:t>85</w:t>
            </w:r>
          </w:p>
        </w:tc>
        <w:tc>
          <w:tcPr>
            <w:tcW w:w="1350" w:type="dxa"/>
          </w:tcPr>
          <w:p w:rsidR="00811CB2" w:rsidRPr="00012BA3" w:rsidP="00AD02D9" w14:paraId="7E3F11AE" w14:textId="77777777">
            <w:pPr>
              <w:jc w:val="center"/>
              <w:rPr>
                <w:sz w:val="20"/>
              </w:rPr>
            </w:pPr>
            <w:r w:rsidRPr="00012BA3">
              <w:rPr>
                <w:sz w:val="20"/>
              </w:rPr>
              <w:t>326</w:t>
            </w:r>
          </w:p>
        </w:tc>
        <w:tc>
          <w:tcPr>
            <w:tcW w:w="1890" w:type="dxa"/>
          </w:tcPr>
          <w:p w:rsidR="00811CB2" w:rsidRPr="00012BA3" w:rsidP="00AD02D9" w14:paraId="5496321A" w14:textId="77777777">
            <w:pPr>
              <w:jc w:val="right"/>
              <w:rPr>
                <w:sz w:val="20"/>
              </w:rPr>
            </w:pPr>
            <w:r>
              <w:rPr>
                <w:sz w:val="20"/>
              </w:rPr>
              <w:t>27,710</w:t>
            </w:r>
          </w:p>
        </w:tc>
      </w:tr>
      <w:tr w14:paraId="1ECB29A2" w14:textId="77777777" w:rsidTr="001070C0">
        <w:tblPrEx>
          <w:tblW w:w="10890" w:type="dxa"/>
          <w:tblInd w:w="-522" w:type="dxa"/>
          <w:tblLayout w:type="fixed"/>
          <w:tblLook w:val="0000"/>
        </w:tblPrEx>
        <w:trPr>
          <w:trHeight w:val="986"/>
        </w:trPr>
        <w:tc>
          <w:tcPr>
            <w:tcW w:w="2250" w:type="dxa"/>
          </w:tcPr>
          <w:p w:rsidR="00811CB2" w:rsidP="00AD02D9" w14:paraId="07E860FD" w14:textId="145B3425">
            <w:pPr>
              <w:rPr>
                <w:sz w:val="20"/>
              </w:rPr>
            </w:pPr>
            <w:r>
              <w:rPr>
                <w:sz w:val="20"/>
              </w:rPr>
              <w:t>12 CFR 25.42(c)(2)</w:t>
            </w:r>
          </w:p>
          <w:p w:rsidR="00811CB2" w:rsidP="00AD02D9" w14:paraId="6328DBC2" w14:textId="77777777">
            <w:pPr>
              <w:rPr>
                <w:sz w:val="20"/>
              </w:rPr>
            </w:pPr>
            <w:r>
              <w:rPr>
                <w:sz w:val="20"/>
              </w:rPr>
              <w:t>R</w:t>
            </w:r>
            <w:r>
              <w:rPr>
                <w:sz w:val="20"/>
              </w:rPr>
              <w:t>ecordkeeping</w:t>
            </w:r>
          </w:p>
        </w:tc>
        <w:tc>
          <w:tcPr>
            <w:tcW w:w="4050" w:type="dxa"/>
          </w:tcPr>
          <w:p w:rsidR="00811CB2" w:rsidRPr="000E1E34" w:rsidP="00AD02D9" w14:paraId="31838402" w14:textId="77777777">
            <w:pPr>
              <w:rPr>
                <w:sz w:val="20"/>
              </w:rPr>
            </w:pPr>
            <w:r w:rsidRPr="000E1E34">
              <w:rPr>
                <w:i/>
                <w:iCs/>
                <w:sz w:val="20"/>
                <w:u w:val="single"/>
              </w:rPr>
              <w:t>Other loan data</w:t>
            </w:r>
            <w:r w:rsidRPr="000E1E34">
              <w:rPr>
                <w:sz w:val="20"/>
              </w:rPr>
              <w:t xml:space="preserve"> </w:t>
            </w:r>
          </w:p>
        </w:tc>
        <w:tc>
          <w:tcPr>
            <w:tcW w:w="1350" w:type="dxa"/>
          </w:tcPr>
          <w:p w:rsidR="00811CB2" w:rsidRPr="00AF2F0F" w:rsidP="00AD02D9" w14:paraId="1D6C1519" w14:textId="77777777">
            <w:pPr>
              <w:jc w:val="center"/>
              <w:rPr>
                <w:sz w:val="20"/>
              </w:rPr>
            </w:pPr>
            <w:r w:rsidRPr="00AF2F0F">
              <w:rPr>
                <w:rStyle w:val="PageNumber"/>
                <w:sz w:val="20"/>
              </w:rPr>
              <w:t>25</w:t>
            </w:r>
          </w:p>
        </w:tc>
        <w:tc>
          <w:tcPr>
            <w:tcW w:w="1350" w:type="dxa"/>
          </w:tcPr>
          <w:p w:rsidR="00811CB2" w:rsidRPr="00012BA3" w:rsidP="00AD02D9" w14:paraId="567227CA" w14:textId="77777777">
            <w:pPr>
              <w:jc w:val="center"/>
              <w:rPr>
                <w:sz w:val="20"/>
              </w:rPr>
            </w:pPr>
            <w:r w:rsidRPr="00012BA3">
              <w:rPr>
                <w:sz w:val="20"/>
              </w:rPr>
              <w:t>25</w:t>
            </w:r>
          </w:p>
        </w:tc>
        <w:tc>
          <w:tcPr>
            <w:tcW w:w="1890" w:type="dxa"/>
          </w:tcPr>
          <w:p w:rsidR="00811CB2" w:rsidRPr="00012BA3" w:rsidP="00AD02D9" w14:paraId="746D43B3" w14:textId="77777777">
            <w:pPr>
              <w:jc w:val="right"/>
              <w:rPr>
                <w:sz w:val="20"/>
              </w:rPr>
            </w:pPr>
            <w:r>
              <w:rPr>
                <w:sz w:val="20"/>
              </w:rPr>
              <w:t>625</w:t>
            </w:r>
          </w:p>
        </w:tc>
      </w:tr>
      <w:tr w14:paraId="23EA1FE3" w14:textId="77777777" w:rsidTr="001070C0">
        <w:tblPrEx>
          <w:tblW w:w="10890" w:type="dxa"/>
          <w:tblInd w:w="-522" w:type="dxa"/>
          <w:tblLayout w:type="fixed"/>
          <w:tblLook w:val="0000"/>
        </w:tblPrEx>
        <w:tc>
          <w:tcPr>
            <w:tcW w:w="2250" w:type="dxa"/>
          </w:tcPr>
          <w:p w:rsidR="00811CB2" w:rsidP="00AD02D9" w14:paraId="7308EC36" w14:textId="77777777">
            <w:pPr>
              <w:rPr>
                <w:sz w:val="20"/>
              </w:rPr>
            </w:pPr>
            <w:r>
              <w:rPr>
                <w:sz w:val="20"/>
              </w:rPr>
              <w:t>12 CFR 25.42(d)</w:t>
            </w:r>
          </w:p>
          <w:p w:rsidR="00811CB2" w:rsidP="00AD02D9" w14:paraId="0FA80F2D" w14:textId="77777777">
            <w:pPr>
              <w:rPr>
                <w:sz w:val="20"/>
              </w:rPr>
            </w:pPr>
            <w:r>
              <w:rPr>
                <w:sz w:val="20"/>
              </w:rPr>
              <w:t>R</w:t>
            </w:r>
            <w:r>
              <w:rPr>
                <w:sz w:val="20"/>
              </w:rPr>
              <w:t>eporting</w:t>
            </w:r>
          </w:p>
        </w:tc>
        <w:tc>
          <w:tcPr>
            <w:tcW w:w="4050" w:type="dxa"/>
          </w:tcPr>
          <w:p w:rsidR="00811CB2" w:rsidP="00AD02D9" w14:paraId="3D5ADADC" w14:textId="77777777">
            <w:pPr>
              <w:rPr>
                <w:sz w:val="20"/>
              </w:rPr>
            </w:pPr>
            <w:r>
              <w:rPr>
                <w:i/>
                <w:iCs/>
                <w:sz w:val="20"/>
                <w:u w:val="single"/>
              </w:rPr>
              <w:t>Data on affiliate lending</w:t>
            </w:r>
            <w:r>
              <w:rPr>
                <w:sz w:val="20"/>
              </w:rPr>
              <w:t xml:space="preserve"> </w:t>
            </w:r>
          </w:p>
        </w:tc>
        <w:tc>
          <w:tcPr>
            <w:tcW w:w="1350" w:type="dxa"/>
          </w:tcPr>
          <w:p w:rsidR="00811CB2" w:rsidRPr="00AF2F0F" w:rsidP="00AD02D9" w14:paraId="618AF586" w14:textId="77777777">
            <w:pPr>
              <w:jc w:val="center"/>
              <w:rPr>
                <w:sz w:val="20"/>
              </w:rPr>
            </w:pPr>
            <w:r w:rsidRPr="00AF2F0F">
              <w:rPr>
                <w:sz w:val="20"/>
              </w:rPr>
              <w:t>9</w:t>
            </w:r>
          </w:p>
        </w:tc>
        <w:tc>
          <w:tcPr>
            <w:tcW w:w="1350" w:type="dxa"/>
          </w:tcPr>
          <w:p w:rsidR="00811CB2" w:rsidRPr="00713508" w:rsidP="00AD02D9" w14:paraId="2AF9FA16" w14:textId="77777777">
            <w:pPr>
              <w:jc w:val="center"/>
              <w:rPr>
                <w:sz w:val="20"/>
              </w:rPr>
            </w:pPr>
            <w:r w:rsidRPr="00713508">
              <w:rPr>
                <w:sz w:val="20"/>
              </w:rPr>
              <w:t>38</w:t>
            </w:r>
          </w:p>
        </w:tc>
        <w:tc>
          <w:tcPr>
            <w:tcW w:w="1890" w:type="dxa"/>
          </w:tcPr>
          <w:p w:rsidR="00811CB2" w:rsidRPr="00713508" w:rsidP="00AD02D9" w14:paraId="52FBE0C1" w14:textId="77777777">
            <w:pPr>
              <w:jc w:val="right"/>
              <w:rPr>
                <w:sz w:val="20"/>
              </w:rPr>
            </w:pPr>
            <w:r>
              <w:rPr>
                <w:sz w:val="20"/>
              </w:rPr>
              <w:t>342</w:t>
            </w:r>
          </w:p>
        </w:tc>
      </w:tr>
      <w:tr w14:paraId="1CC1CD41" w14:textId="77777777" w:rsidTr="001070C0">
        <w:tblPrEx>
          <w:tblW w:w="10890" w:type="dxa"/>
          <w:tblInd w:w="-522" w:type="dxa"/>
          <w:tblLayout w:type="fixed"/>
          <w:tblLook w:val="0000"/>
        </w:tblPrEx>
        <w:tc>
          <w:tcPr>
            <w:tcW w:w="2250" w:type="dxa"/>
          </w:tcPr>
          <w:p w:rsidR="001070C0" w:rsidP="00AD02D9" w14:paraId="67D5FDC9" w14:textId="77777777">
            <w:pPr>
              <w:rPr>
                <w:sz w:val="20"/>
              </w:rPr>
            </w:pPr>
            <w:r>
              <w:rPr>
                <w:sz w:val="20"/>
              </w:rPr>
              <w:t>12.CFR 25.42(e)</w:t>
            </w:r>
            <w:r>
              <w:rPr>
                <w:sz w:val="20"/>
              </w:rPr>
              <w:t xml:space="preserve"> </w:t>
            </w:r>
          </w:p>
          <w:p w:rsidR="00811CB2" w:rsidP="00AD02D9" w14:paraId="245D38F2" w14:textId="77777777">
            <w:pPr>
              <w:rPr>
                <w:sz w:val="20"/>
              </w:rPr>
            </w:pPr>
            <w:r>
              <w:rPr>
                <w:sz w:val="20"/>
              </w:rPr>
              <w:t>R</w:t>
            </w:r>
            <w:r>
              <w:rPr>
                <w:sz w:val="20"/>
              </w:rPr>
              <w:t>eporting</w:t>
            </w:r>
          </w:p>
        </w:tc>
        <w:tc>
          <w:tcPr>
            <w:tcW w:w="4050" w:type="dxa"/>
          </w:tcPr>
          <w:p w:rsidR="00811CB2" w:rsidP="00AD02D9" w14:paraId="275E5204" w14:textId="77777777">
            <w:pPr>
              <w:rPr>
                <w:sz w:val="20"/>
              </w:rPr>
            </w:pPr>
            <w:r>
              <w:rPr>
                <w:i/>
                <w:iCs/>
                <w:sz w:val="20"/>
                <w:u w:val="single"/>
              </w:rPr>
              <w:t>Data on lending by a consortium or a third party</w:t>
            </w:r>
            <w:r>
              <w:rPr>
                <w:sz w:val="20"/>
              </w:rPr>
              <w:t xml:space="preserve"> </w:t>
            </w:r>
          </w:p>
        </w:tc>
        <w:tc>
          <w:tcPr>
            <w:tcW w:w="1350" w:type="dxa"/>
          </w:tcPr>
          <w:p w:rsidR="00811CB2" w:rsidRPr="00AF2F0F" w:rsidP="00AD02D9" w14:paraId="687D1C79" w14:textId="114A1CFE">
            <w:pPr>
              <w:jc w:val="center"/>
              <w:rPr>
                <w:sz w:val="20"/>
              </w:rPr>
            </w:pPr>
            <w:r w:rsidRPr="00AF2F0F">
              <w:rPr>
                <w:sz w:val="20"/>
              </w:rPr>
              <w:t>25</w:t>
            </w:r>
          </w:p>
        </w:tc>
        <w:tc>
          <w:tcPr>
            <w:tcW w:w="1350" w:type="dxa"/>
          </w:tcPr>
          <w:p w:rsidR="00811CB2" w:rsidRPr="00713508" w:rsidP="00AD02D9" w14:paraId="22BA3091" w14:textId="77777777">
            <w:pPr>
              <w:jc w:val="center"/>
              <w:rPr>
                <w:sz w:val="20"/>
              </w:rPr>
            </w:pPr>
            <w:r w:rsidRPr="00713508">
              <w:rPr>
                <w:sz w:val="20"/>
              </w:rPr>
              <w:t>17</w:t>
            </w:r>
          </w:p>
        </w:tc>
        <w:tc>
          <w:tcPr>
            <w:tcW w:w="1890" w:type="dxa"/>
          </w:tcPr>
          <w:p w:rsidR="00811CB2" w:rsidRPr="00713508" w:rsidP="00AD02D9" w14:paraId="5BE5DFA6" w14:textId="6346EACD">
            <w:pPr>
              <w:jc w:val="right"/>
              <w:rPr>
                <w:sz w:val="20"/>
              </w:rPr>
            </w:pPr>
            <w:r>
              <w:rPr>
                <w:sz w:val="20"/>
              </w:rPr>
              <w:t>425</w:t>
            </w:r>
          </w:p>
        </w:tc>
      </w:tr>
      <w:tr w14:paraId="17F578F4" w14:textId="77777777" w:rsidTr="00D117EA">
        <w:tblPrEx>
          <w:tblW w:w="10890" w:type="dxa"/>
          <w:tblInd w:w="-522" w:type="dxa"/>
          <w:tblLayout w:type="fixed"/>
          <w:tblLook w:val="0000"/>
        </w:tblPrEx>
        <w:tc>
          <w:tcPr>
            <w:tcW w:w="2250" w:type="dxa"/>
          </w:tcPr>
          <w:p w:rsidR="00147DA9" w:rsidP="00AD02D9" w14:paraId="51EC0A4F" w14:textId="77777777">
            <w:pPr>
              <w:rPr>
                <w:sz w:val="20"/>
              </w:rPr>
            </w:pPr>
            <w:r>
              <w:rPr>
                <w:sz w:val="20"/>
              </w:rPr>
              <w:t>12 CFR 25.42(f)</w:t>
            </w:r>
          </w:p>
          <w:p w:rsidR="00147DA9" w:rsidP="00AD02D9" w14:paraId="285130EB" w14:textId="77777777">
            <w:pPr>
              <w:rPr>
                <w:sz w:val="20"/>
              </w:rPr>
            </w:pPr>
            <w:r>
              <w:rPr>
                <w:sz w:val="20"/>
              </w:rPr>
              <w:t>Reporting</w:t>
            </w:r>
          </w:p>
        </w:tc>
        <w:tc>
          <w:tcPr>
            <w:tcW w:w="4050" w:type="dxa"/>
          </w:tcPr>
          <w:p w:rsidR="00147DA9" w:rsidRPr="00CD4056" w:rsidP="00CD4056" w14:paraId="4DCE7D3D" w14:textId="77777777">
            <w:pPr>
              <w:tabs>
                <w:tab w:val="left" w:pos="180"/>
              </w:tabs>
              <w:rPr>
                <w:sz w:val="20"/>
              </w:rPr>
            </w:pPr>
            <w:r>
              <w:rPr>
                <w:i/>
                <w:iCs/>
                <w:sz w:val="20"/>
                <w:u w:val="single"/>
              </w:rPr>
              <w:t xml:space="preserve">Small banks electing evaluation under the </w:t>
            </w:r>
            <w:r w:rsidRPr="00CD4056">
              <w:rPr>
                <w:i/>
                <w:iCs/>
                <w:sz w:val="20"/>
                <w:u w:val="single"/>
              </w:rPr>
              <w:t>lending, investment, and service tests</w:t>
            </w:r>
            <w:r w:rsidRPr="00CD4056">
              <w:rPr>
                <w:sz w:val="20"/>
              </w:rPr>
              <w:t xml:space="preserve"> </w:t>
            </w:r>
          </w:p>
        </w:tc>
        <w:tc>
          <w:tcPr>
            <w:tcW w:w="4590" w:type="dxa"/>
            <w:gridSpan w:val="3"/>
          </w:tcPr>
          <w:p w:rsidR="00147DA9" w:rsidP="00AF2F0F" w14:paraId="08DD56E9" w14:textId="7F3148B8">
            <w:pPr>
              <w:rPr>
                <w:sz w:val="20"/>
              </w:rPr>
            </w:pPr>
            <w:r w:rsidRPr="004C19C7">
              <w:rPr>
                <w:sz w:val="20"/>
              </w:rPr>
              <w:t>Covered by</w:t>
            </w:r>
            <w:r w:rsidR="00547DAA">
              <w:rPr>
                <w:sz w:val="20"/>
              </w:rPr>
              <w:t xml:space="preserve"> b</w:t>
            </w:r>
            <w:r>
              <w:rPr>
                <w:sz w:val="20"/>
              </w:rPr>
              <w:t>urden in</w:t>
            </w:r>
            <w:r w:rsidR="00547DAA">
              <w:rPr>
                <w:sz w:val="20"/>
              </w:rPr>
              <w:t xml:space="preserve"> </w:t>
            </w:r>
            <w:r>
              <w:rPr>
                <w:sz w:val="20"/>
              </w:rPr>
              <w:t>§§ 25.42(a) &amp; (b)</w:t>
            </w:r>
          </w:p>
          <w:p w:rsidR="00147DA9" w:rsidP="00AD02D9" w14:paraId="2E5BEF3B" w14:textId="78437869">
            <w:pPr>
              <w:jc w:val="right"/>
              <w:rPr>
                <w:sz w:val="20"/>
              </w:rPr>
            </w:pPr>
          </w:p>
        </w:tc>
      </w:tr>
      <w:tr w14:paraId="680187B2" w14:textId="77777777" w:rsidTr="001070C0">
        <w:tblPrEx>
          <w:tblW w:w="10890" w:type="dxa"/>
          <w:tblInd w:w="-522" w:type="dxa"/>
          <w:tblLayout w:type="fixed"/>
          <w:tblLook w:val="0000"/>
        </w:tblPrEx>
        <w:tc>
          <w:tcPr>
            <w:tcW w:w="2250" w:type="dxa"/>
          </w:tcPr>
          <w:p w:rsidR="00811CB2" w:rsidP="00AD02D9" w14:paraId="3F2DDAA8" w14:textId="77777777">
            <w:pPr>
              <w:rPr>
                <w:sz w:val="20"/>
              </w:rPr>
            </w:pPr>
            <w:r>
              <w:rPr>
                <w:sz w:val="20"/>
              </w:rPr>
              <w:t>12 CFR 25.42(g)</w:t>
            </w:r>
          </w:p>
          <w:p w:rsidR="00811CB2" w:rsidP="00AD02D9" w14:paraId="365D7599" w14:textId="77777777">
            <w:pPr>
              <w:rPr>
                <w:sz w:val="20"/>
              </w:rPr>
            </w:pPr>
            <w:r>
              <w:rPr>
                <w:sz w:val="20"/>
              </w:rPr>
              <w:t>Reporting</w:t>
            </w:r>
          </w:p>
        </w:tc>
        <w:tc>
          <w:tcPr>
            <w:tcW w:w="4050" w:type="dxa"/>
          </w:tcPr>
          <w:p w:rsidR="00811CB2" w:rsidP="00AD02D9" w14:paraId="3A754C2B" w14:textId="77777777">
            <w:pPr>
              <w:rPr>
                <w:sz w:val="20"/>
              </w:rPr>
            </w:pPr>
            <w:r>
              <w:rPr>
                <w:i/>
                <w:iCs/>
                <w:sz w:val="20"/>
                <w:u w:val="single"/>
              </w:rPr>
              <w:t>Assessment area data</w:t>
            </w:r>
          </w:p>
        </w:tc>
        <w:tc>
          <w:tcPr>
            <w:tcW w:w="1350" w:type="dxa"/>
          </w:tcPr>
          <w:p w:rsidR="00811CB2" w:rsidRPr="00AF2F0F" w:rsidP="00AD02D9" w14:paraId="40F7E271" w14:textId="5B7164D0">
            <w:pPr>
              <w:jc w:val="center"/>
              <w:rPr>
                <w:sz w:val="20"/>
              </w:rPr>
            </w:pPr>
            <w:r>
              <w:rPr>
                <w:sz w:val="20"/>
              </w:rPr>
              <w:t>214</w:t>
            </w:r>
          </w:p>
        </w:tc>
        <w:tc>
          <w:tcPr>
            <w:tcW w:w="1350" w:type="dxa"/>
          </w:tcPr>
          <w:p w:rsidR="00811CB2" w:rsidP="00AD02D9" w14:paraId="00B6D435" w14:textId="77777777">
            <w:pPr>
              <w:jc w:val="center"/>
              <w:rPr>
                <w:sz w:val="20"/>
              </w:rPr>
            </w:pPr>
            <w:r>
              <w:rPr>
                <w:sz w:val="20"/>
              </w:rPr>
              <w:t>2</w:t>
            </w:r>
          </w:p>
        </w:tc>
        <w:tc>
          <w:tcPr>
            <w:tcW w:w="1890" w:type="dxa"/>
          </w:tcPr>
          <w:p w:rsidR="00811CB2" w:rsidP="00AD02D9" w14:paraId="00F7AFDA" w14:textId="28356E89">
            <w:pPr>
              <w:jc w:val="right"/>
              <w:rPr>
                <w:sz w:val="20"/>
              </w:rPr>
            </w:pPr>
            <w:r>
              <w:rPr>
                <w:sz w:val="20"/>
              </w:rPr>
              <w:t>428</w:t>
            </w:r>
          </w:p>
          <w:p w:rsidR="00811CB2" w:rsidP="00AD02D9" w14:paraId="3921F352" w14:textId="77777777">
            <w:pPr>
              <w:jc w:val="center"/>
              <w:rPr>
                <w:sz w:val="20"/>
              </w:rPr>
            </w:pPr>
          </w:p>
          <w:p w:rsidR="00811CB2" w:rsidP="00AD02D9" w14:paraId="66806DCF" w14:textId="77777777">
            <w:pPr>
              <w:jc w:val="center"/>
              <w:rPr>
                <w:sz w:val="20"/>
              </w:rPr>
            </w:pPr>
          </w:p>
        </w:tc>
      </w:tr>
      <w:tr w14:paraId="727E8063" w14:textId="77777777" w:rsidTr="001070C0">
        <w:tblPrEx>
          <w:tblW w:w="10890" w:type="dxa"/>
          <w:tblInd w:w="-522" w:type="dxa"/>
          <w:tblLayout w:type="fixed"/>
          <w:tblLook w:val="0000"/>
        </w:tblPrEx>
        <w:tc>
          <w:tcPr>
            <w:tcW w:w="2250" w:type="dxa"/>
          </w:tcPr>
          <w:p w:rsidR="00B15E1B" w:rsidP="00AD02D9" w14:paraId="1DBFAE47" w14:textId="77777777">
            <w:pPr>
              <w:rPr>
                <w:sz w:val="20"/>
              </w:rPr>
            </w:pPr>
            <w:r>
              <w:rPr>
                <w:sz w:val="20"/>
              </w:rPr>
              <w:t>12 CFR 25.4</w:t>
            </w:r>
            <w:r w:rsidR="00D37EB3">
              <w:rPr>
                <w:sz w:val="20"/>
              </w:rPr>
              <w:t>3</w:t>
            </w:r>
          </w:p>
          <w:p w:rsidR="00811CB2" w:rsidP="00AD02D9" w14:paraId="1D87DE2D" w14:textId="77777777">
            <w:pPr>
              <w:rPr>
                <w:sz w:val="20"/>
              </w:rPr>
            </w:pPr>
            <w:r>
              <w:rPr>
                <w:sz w:val="20"/>
              </w:rPr>
              <w:t>Disclosure</w:t>
            </w:r>
          </w:p>
          <w:p w:rsidR="00B15E1B" w:rsidP="00AD02D9" w14:paraId="006328FC" w14:textId="77777777">
            <w:pPr>
              <w:rPr>
                <w:sz w:val="20"/>
              </w:rPr>
            </w:pPr>
          </w:p>
        </w:tc>
        <w:tc>
          <w:tcPr>
            <w:tcW w:w="4050" w:type="dxa"/>
          </w:tcPr>
          <w:p w:rsidR="00811CB2" w:rsidP="00D37EB3" w14:paraId="77280DB5" w14:textId="77777777">
            <w:pPr>
              <w:rPr>
                <w:sz w:val="20"/>
              </w:rPr>
            </w:pPr>
            <w:r>
              <w:rPr>
                <w:i/>
                <w:iCs/>
                <w:sz w:val="20"/>
                <w:u w:val="single"/>
              </w:rPr>
              <w:t>Content and availability of public file</w:t>
            </w:r>
            <w:r>
              <w:rPr>
                <w:sz w:val="20"/>
              </w:rPr>
              <w:t xml:space="preserve"> </w:t>
            </w:r>
          </w:p>
        </w:tc>
        <w:tc>
          <w:tcPr>
            <w:tcW w:w="1350" w:type="dxa"/>
          </w:tcPr>
          <w:p w:rsidR="00811CB2" w:rsidRPr="00AF2F0F" w:rsidP="002A3960" w14:paraId="6BB935A0" w14:textId="4C8BBBB5">
            <w:pPr>
              <w:jc w:val="center"/>
              <w:rPr>
                <w:sz w:val="20"/>
              </w:rPr>
            </w:pPr>
            <w:r w:rsidRPr="00AF2F0F">
              <w:rPr>
                <w:sz w:val="20"/>
              </w:rPr>
              <w:t xml:space="preserve"> </w:t>
            </w:r>
            <w:r w:rsidR="002A3960">
              <w:rPr>
                <w:sz w:val="20"/>
              </w:rPr>
              <w:t>934</w:t>
            </w:r>
          </w:p>
        </w:tc>
        <w:tc>
          <w:tcPr>
            <w:tcW w:w="1350" w:type="dxa"/>
          </w:tcPr>
          <w:p w:rsidR="00811CB2" w:rsidP="00A650CE" w14:paraId="5046D63A" w14:textId="77777777">
            <w:pPr>
              <w:jc w:val="center"/>
              <w:rPr>
                <w:sz w:val="20"/>
              </w:rPr>
            </w:pPr>
            <w:r>
              <w:rPr>
                <w:sz w:val="20"/>
              </w:rPr>
              <w:t>10</w:t>
            </w:r>
          </w:p>
        </w:tc>
        <w:tc>
          <w:tcPr>
            <w:tcW w:w="1890" w:type="dxa"/>
          </w:tcPr>
          <w:p w:rsidR="00811CB2" w:rsidP="00AD02D9" w14:paraId="23E3EFC1" w14:textId="3288BCAE">
            <w:pPr>
              <w:jc w:val="right"/>
              <w:rPr>
                <w:sz w:val="20"/>
              </w:rPr>
            </w:pPr>
            <w:r>
              <w:rPr>
                <w:sz w:val="20"/>
              </w:rPr>
              <w:t>9,340</w:t>
            </w:r>
          </w:p>
          <w:p w:rsidR="00811CB2" w:rsidP="00AD02D9" w14:paraId="7A71956D" w14:textId="77777777">
            <w:pPr>
              <w:jc w:val="right"/>
              <w:rPr>
                <w:sz w:val="20"/>
              </w:rPr>
            </w:pPr>
          </w:p>
        </w:tc>
      </w:tr>
      <w:tr w14:paraId="2EF85398" w14:textId="77777777" w:rsidTr="001070C0">
        <w:tblPrEx>
          <w:tblW w:w="10890" w:type="dxa"/>
          <w:tblInd w:w="-522" w:type="dxa"/>
          <w:tblLayout w:type="fixed"/>
          <w:tblLook w:val="0000"/>
        </w:tblPrEx>
        <w:tc>
          <w:tcPr>
            <w:tcW w:w="2250" w:type="dxa"/>
          </w:tcPr>
          <w:p w:rsidR="00811CB2" w:rsidP="00AD02D9" w14:paraId="7A1057AA" w14:textId="697F7735">
            <w:pPr>
              <w:pStyle w:val="Heading8"/>
            </w:pPr>
            <w:r>
              <w:t>Total Part 25</w:t>
            </w:r>
            <w:r w:rsidR="00B15E1B">
              <w:t xml:space="preserve"> </w:t>
            </w:r>
          </w:p>
        </w:tc>
        <w:tc>
          <w:tcPr>
            <w:tcW w:w="4050" w:type="dxa"/>
          </w:tcPr>
          <w:p w:rsidR="00811CB2" w:rsidP="00AD02D9" w14:paraId="5FFFFEC8" w14:textId="77777777">
            <w:pPr>
              <w:rPr>
                <w:i/>
                <w:iCs/>
                <w:sz w:val="20"/>
                <w:u w:val="single"/>
              </w:rPr>
            </w:pPr>
          </w:p>
        </w:tc>
        <w:tc>
          <w:tcPr>
            <w:tcW w:w="1350" w:type="dxa"/>
          </w:tcPr>
          <w:p w:rsidR="00811CB2" w:rsidP="00AD02D9" w14:paraId="7ADE1964" w14:textId="77777777">
            <w:pPr>
              <w:pStyle w:val="Heading9"/>
              <w:jc w:val="center"/>
            </w:pPr>
          </w:p>
        </w:tc>
        <w:tc>
          <w:tcPr>
            <w:tcW w:w="1350" w:type="dxa"/>
          </w:tcPr>
          <w:p w:rsidR="00811CB2" w:rsidP="00AD02D9" w14:paraId="35811042" w14:textId="5AB1D571">
            <w:pPr>
              <w:pStyle w:val="Heading9"/>
              <w:jc w:val="center"/>
            </w:pPr>
          </w:p>
        </w:tc>
        <w:tc>
          <w:tcPr>
            <w:tcW w:w="1890" w:type="dxa"/>
          </w:tcPr>
          <w:p w:rsidR="00811CB2" w:rsidP="00AD02D9" w14:paraId="3359826D" w14:textId="77777777">
            <w:pPr>
              <w:pStyle w:val="Heading9"/>
            </w:pPr>
            <w:r>
              <w:t>Total Burden:</w:t>
            </w:r>
          </w:p>
          <w:p w:rsidR="00811CB2" w:rsidP="00AD02D9" w14:paraId="0BED7042" w14:textId="23043F58">
            <w:pPr>
              <w:pStyle w:val="Heading9"/>
            </w:pPr>
            <w:bookmarkStart w:id="3" w:name="_Hlk163757205"/>
            <w:r w:rsidRPr="00AF2F0F">
              <w:t>14</w:t>
            </w:r>
            <w:r w:rsidR="00306334">
              <w:t>8</w:t>
            </w:r>
            <w:r w:rsidRPr="00AF2F0F">
              <w:t>,</w:t>
            </w:r>
            <w:r w:rsidR="00306334">
              <w:t>29</w:t>
            </w:r>
            <w:r w:rsidRPr="00AF2F0F">
              <w:t>8</w:t>
            </w:r>
            <w:bookmarkEnd w:id="3"/>
          </w:p>
        </w:tc>
      </w:tr>
      <w:bookmarkEnd w:id="2"/>
    </w:tbl>
    <w:p w:rsidR="00811CB2" w:rsidP="00AD02D9" w14:paraId="07ABA9DE" w14:textId="77777777"/>
    <w:p w:rsidR="00DB0772" w:rsidP="00AD02D9" w14:paraId="5FA04D3D" w14:textId="77777777"/>
    <w:p w:rsidR="00B94181" w:rsidRPr="00F17C93" w:rsidP="00AD02D9" w14:paraId="23C001B7" w14:textId="77777777">
      <w:pPr>
        <w:tabs>
          <w:tab w:val="left" w:pos="7290"/>
        </w:tabs>
        <w:ind w:right="-90"/>
        <w:rPr>
          <w:b/>
          <w:szCs w:val="24"/>
        </w:rPr>
      </w:pPr>
      <w:r w:rsidRPr="00F17C93">
        <w:rPr>
          <w:b/>
          <w:szCs w:val="24"/>
        </w:rPr>
        <w:t>Cost of Hour Burden:</w:t>
      </w:r>
    </w:p>
    <w:p w:rsidR="00B94181" w:rsidRPr="00F17C93" w:rsidP="00AD02D9" w14:paraId="180E9A2E" w14:textId="77777777">
      <w:pPr>
        <w:tabs>
          <w:tab w:val="left" w:pos="7290"/>
        </w:tabs>
        <w:ind w:right="-90"/>
        <w:rPr>
          <w:b/>
          <w:szCs w:val="24"/>
        </w:rPr>
      </w:pPr>
    </w:p>
    <w:p w:rsidR="00B94181" w:rsidRPr="00F17C93" w:rsidP="00AD02D9" w14:paraId="033DA23E" w14:textId="19AE3E72">
      <w:pPr>
        <w:tabs>
          <w:tab w:val="left" w:pos="7290"/>
        </w:tabs>
        <w:ind w:right="-90"/>
        <w:rPr>
          <w:b/>
          <w:szCs w:val="24"/>
        </w:rPr>
      </w:pPr>
      <w:r>
        <w:rPr>
          <w:b/>
          <w:szCs w:val="24"/>
        </w:rPr>
        <w:t>148</w:t>
      </w:r>
      <w:r w:rsidR="00833B0C">
        <w:rPr>
          <w:b/>
          <w:szCs w:val="24"/>
        </w:rPr>
        <w:t>,</w:t>
      </w:r>
      <w:r>
        <w:rPr>
          <w:b/>
          <w:szCs w:val="24"/>
        </w:rPr>
        <w:t>29</w:t>
      </w:r>
      <w:r w:rsidR="00833B0C">
        <w:rPr>
          <w:b/>
          <w:szCs w:val="24"/>
        </w:rPr>
        <w:t>8</w:t>
      </w:r>
      <w:r w:rsidR="00BF43AC">
        <w:rPr>
          <w:b/>
          <w:szCs w:val="24"/>
        </w:rPr>
        <w:t xml:space="preserve"> </w:t>
      </w:r>
      <w:r w:rsidR="00FC12D0">
        <w:rPr>
          <w:b/>
          <w:szCs w:val="24"/>
        </w:rPr>
        <w:t>x $1</w:t>
      </w:r>
      <w:r w:rsidR="00083B99">
        <w:rPr>
          <w:b/>
          <w:szCs w:val="24"/>
        </w:rPr>
        <w:t>2</w:t>
      </w:r>
      <w:r w:rsidR="00EE65C9">
        <w:rPr>
          <w:b/>
          <w:szCs w:val="24"/>
        </w:rPr>
        <w:t>9</w:t>
      </w:r>
      <w:r w:rsidR="00554EAC">
        <w:rPr>
          <w:b/>
          <w:szCs w:val="24"/>
        </w:rPr>
        <w:t>.</w:t>
      </w:r>
      <w:r w:rsidR="00EE65C9">
        <w:rPr>
          <w:b/>
          <w:szCs w:val="24"/>
        </w:rPr>
        <w:t>4</w:t>
      </w:r>
      <w:r w:rsidR="00083B99">
        <w:rPr>
          <w:b/>
          <w:szCs w:val="24"/>
        </w:rPr>
        <w:t>0</w:t>
      </w:r>
      <w:r w:rsidRPr="00F17C93" w:rsidR="00F17C93">
        <w:rPr>
          <w:b/>
          <w:szCs w:val="24"/>
        </w:rPr>
        <w:t xml:space="preserve"> =</w:t>
      </w:r>
      <w:r w:rsidR="00FC12D0">
        <w:rPr>
          <w:b/>
          <w:szCs w:val="24"/>
        </w:rPr>
        <w:t xml:space="preserve"> $ </w:t>
      </w:r>
      <w:r w:rsidR="00833B0C">
        <w:rPr>
          <w:b/>
          <w:szCs w:val="24"/>
        </w:rPr>
        <w:t>1</w:t>
      </w:r>
      <w:r>
        <w:rPr>
          <w:b/>
          <w:szCs w:val="24"/>
        </w:rPr>
        <w:t>9</w:t>
      </w:r>
      <w:r w:rsidR="00833B0C">
        <w:rPr>
          <w:b/>
          <w:szCs w:val="24"/>
        </w:rPr>
        <w:t>,</w:t>
      </w:r>
      <w:r>
        <w:rPr>
          <w:b/>
          <w:szCs w:val="24"/>
        </w:rPr>
        <w:t>189</w:t>
      </w:r>
      <w:r w:rsidR="00833B0C">
        <w:rPr>
          <w:b/>
          <w:szCs w:val="24"/>
        </w:rPr>
        <w:t>,</w:t>
      </w:r>
      <w:r>
        <w:rPr>
          <w:b/>
          <w:szCs w:val="24"/>
        </w:rPr>
        <w:t>761</w:t>
      </w:r>
    </w:p>
    <w:p w:rsidR="00B94181" w:rsidP="00AD02D9" w14:paraId="6E85DB98" w14:textId="77777777">
      <w:pPr>
        <w:tabs>
          <w:tab w:val="left" w:pos="7290"/>
        </w:tabs>
        <w:ind w:right="-90"/>
        <w:rPr>
          <w:szCs w:val="24"/>
        </w:rPr>
      </w:pPr>
    </w:p>
    <w:p w:rsidR="0031708C" w:rsidRPr="00BF43AC" w:rsidP="00BF43AC" w14:paraId="2EA5C6FB" w14:textId="23194F24">
      <w:pPr>
        <w:tabs>
          <w:tab w:val="left" w:pos="7290"/>
        </w:tabs>
        <w:ind w:right="-90"/>
        <w:rPr>
          <w:color w:val="000000"/>
          <w:szCs w:val="24"/>
        </w:rPr>
      </w:pPr>
      <w:r w:rsidRPr="0031708C">
        <w:rPr>
          <w:color w:val="000000"/>
          <w:szCs w:val="24"/>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811CB2" w:rsidP="00AD02D9" w14:paraId="429716B4" w14:textId="77777777"/>
    <w:p w:rsidR="00811CB2" w:rsidRPr="00E71711" w:rsidP="00AD02D9" w14:paraId="394ED580" w14:textId="77777777">
      <w:pPr>
        <w:pStyle w:val="BodyText"/>
        <w:rPr>
          <w:i/>
        </w:rPr>
      </w:pPr>
      <w:r w:rsidRPr="00E71711">
        <w:rPr>
          <w:i/>
        </w:rPr>
        <w:t>13.  Estimate of the total annualized cost to respondents</w:t>
      </w:r>
      <w:r w:rsidRPr="00E71711" w:rsidR="00A75944">
        <w:rPr>
          <w:i/>
        </w:rPr>
        <w:t>:</w:t>
      </w:r>
    </w:p>
    <w:p w:rsidR="00811CB2" w:rsidP="00AD02D9" w14:paraId="20616EBC" w14:textId="77777777"/>
    <w:p w:rsidR="00357531" w:rsidP="00AD02D9" w14:paraId="54E1F6F7" w14:textId="77777777">
      <w:pPr>
        <w:ind w:firstLine="720"/>
      </w:pPr>
      <w:r>
        <w:t>N/A.</w:t>
      </w:r>
    </w:p>
    <w:p w:rsidR="00FC1E26" w:rsidP="00AD02D9" w14:paraId="7BCC454F" w14:textId="77777777">
      <w:pPr>
        <w:ind w:firstLine="720"/>
      </w:pPr>
    </w:p>
    <w:p w:rsidR="00811CB2" w:rsidRPr="00E71711" w:rsidP="00AD02D9" w14:paraId="668BD0E6" w14:textId="77777777">
      <w:pPr>
        <w:rPr>
          <w:b/>
          <w:i/>
        </w:rPr>
      </w:pPr>
      <w:r w:rsidRPr="00E71711">
        <w:rPr>
          <w:b/>
          <w:bCs/>
          <w:i/>
        </w:rPr>
        <w:t xml:space="preserve">14.  Estimate of annualized cost to the </w:t>
      </w:r>
      <w:r w:rsidR="009D4F9D">
        <w:rPr>
          <w:b/>
          <w:bCs/>
          <w:i/>
        </w:rPr>
        <w:t>f</w:t>
      </w:r>
      <w:r w:rsidRPr="00E71711">
        <w:rPr>
          <w:b/>
          <w:bCs/>
          <w:i/>
        </w:rPr>
        <w:t>ederal government</w:t>
      </w:r>
      <w:r w:rsidRPr="00E71711" w:rsidR="00A75944">
        <w:rPr>
          <w:b/>
          <w:bCs/>
          <w:i/>
        </w:rPr>
        <w:t>:</w:t>
      </w:r>
    </w:p>
    <w:p w:rsidR="00811CB2" w:rsidP="00AD02D9" w14:paraId="1CD9E24C" w14:textId="77777777"/>
    <w:p w:rsidR="00811CB2" w:rsidP="00AD02D9" w14:paraId="6DCB2FCF" w14:textId="77777777">
      <w:pPr>
        <w:ind w:firstLine="720"/>
      </w:pPr>
      <w:r>
        <w:t>N/A.</w:t>
      </w:r>
    </w:p>
    <w:p w:rsidR="00AD7DD3" w:rsidRPr="00B417E6" w:rsidP="00AD02D9" w14:paraId="26F60CDD" w14:textId="77777777">
      <w:pPr>
        <w:pStyle w:val="BodyText"/>
        <w:rPr>
          <w:i/>
        </w:rPr>
      </w:pPr>
    </w:p>
    <w:p w:rsidR="00811CB2" w:rsidRPr="00B417E6" w:rsidP="00AD02D9" w14:paraId="48584D15" w14:textId="77777777">
      <w:pPr>
        <w:pStyle w:val="BodyText"/>
        <w:rPr>
          <w:i/>
        </w:rPr>
      </w:pPr>
      <w:r w:rsidRPr="00B417E6">
        <w:rPr>
          <w:i/>
        </w:rPr>
        <w:t>15.  Changes in burden:</w:t>
      </w:r>
    </w:p>
    <w:p w:rsidR="00811CB2" w:rsidP="00AD02D9" w14:paraId="7E91ED73" w14:textId="77777777"/>
    <w:p w:rsidR="007805CA" w:rsidP="00AD02D9" w14:paraId="3F4F5847" w14:textId="6F1E1D85">
      <w:pPr>
        <w:rPr>
          <w:iCs/>
        </w:rPr>
      </w:pPr>
      <w:r>
        <w:rPr>
          <w:iCs/>
        </w:rPr>
        <w:t xml:space="preserve">Prior Burden:  </w:t>
      </w:r>
      <w:r w:rsidRPr="00833B0C" w:rsidR="00833B0C">
        <w:rPr>
          <w:iCs/>
        </w:rPr>
        <w:t>113,351</w:t>
      </w:r>
      <w:r w:rsidR="00833B0C">
        <w:rPr>
          <w:iCs/>
        </w:rPr>
        <w:t xml:space="preserve"> </w:t>
      </w:r>
      <w:r>
        <w:rPr>
          <w:iCs/>
        </w:rPr>
        <w:t>hours</w:t>
      </w:r>
    </w:p>
    <w:p w:rsidR="00D05FE4" w:rsidP="00AD02D9" w14:paraId="61FA6D3D" w14:textId="6F6DBC32">
      <w:pPr>
        <w:rPr>
          <w:iCs/>
        </w:rPr>
      </w:pPr>
      <w:r>
        <w:rPr>
          <w:iCs/>
        </w:rPr>
        <w:t xml:space="preserve">Current Burden:  </w:t>
      </w:r>
      <w:r w:rsidRPr="00833B0C" w:rsidR="00306334">
        <w:rPr>
          <w:iCs/>
        </w:rPr>
        <w:t>14</w:t>
      </w:r>
      <w:r w:rsidR="00306334">
        <w:rPr>
          <w:iCs/>
        </w:rPr>
        <w:t>8</w:t>
      </w:r>
      <w:r w:rsidRPr="00833B0C" w:rsidR="00833B0C">
        <w:rPr>
          <w:iCs/>
        </w:rPr>
        <w:t>,</w:t>
      </w:r>
      <w:r w:rsidR="00306334">
        <w:rPr>
          <w:iCs/>
        </w:rPr>
        <w:t>29</w:t>
      </w:r>
      <w:r w:rsidRPr="00833B0C" w:rsidR="00306334">
        <w:rPr>
          <w:iCs/>
        </w:rPr>
        <w:t>8</w:t>
      </w:r>
    </w:p>
    <w:p w:rsidR="00D05FE4" w:rsidP="00AD02D9" w14:paraId="5F3DA802" w14:textId="417766FF">
      <w:pPr>
        <w:rPr>
          <w:iCs/>
        </w:rPr>
      </w:pPr>
      <w:r>
        <w:rPr>
          <w:iCs/>
        </w:rPr>
        <w:t xml:space="preserve">Difference: </w:t>
      </w:r>
      <w:r w:rsidR="00833B0C">
        <w:rPr>
          <w:iCs/>
        </w:rPr>
        <w:t>+</w:t>
      </w:r>
      <w:r w:rsidR="00DF2C59">
        <w:rPr>
          <w:iCs/>
        </w:rPr>
        <w:t xml:space="preserve"> </w:t>
      </w:r>
      <w:r w:rsidR="00306334">
        <w:rPr>
          <w:iCs/>
        </w:rPr>
        <w:t>34</w:t>
      </w:r>
      <w:r w:rsidR="00833B0C">
        <w:rPr>
          <w:iCs/>
        </w:rPr>
        <w:t>,</w:t>
      </w:r>
      <w:r w:rsidR="00306334">
        <w:rPr>
          <w:iCs/>
        </w:rPr>
        <w:t>947</w:t>
      </w:r>
    </w:p>
    <w:p w:rsidR="00B319CC" w:rsidP="00AD02D9" w14:paraId="7BE2C637" w14:textId="77777777">
      <w:pPr>
        <w:rPr>
          <w:iCs/>
        </w:rPr>
      </w:pPr>
    </w:p>
    <w:p w:rsidR="00B319CC" w:rsidP="00AD02D9" w14:paraId="57285F34" w14:textId="254A289E">
      <w:pPr>
        <w:rPr>
          <w:iCs/>
        </w:rPr>
      </w:pPr>
      <w:r w:rsidRPr="00B319CC">
        <w:rPr>
          <w:iCs/>
        </w:rPr>
        <w:t xml:space="preserve">The increase in burden is directly tied to the increase in </w:t>
      </w:r>
      <w:r w:rsidR="004B248E">
        <w:rPr>
          <w:iCs/>
        </w:rPr>
        <w:t xml:space="preserve">the number of </w:t>
      </w:r>
      <w:r w:rsidRPr="00B319CC">
        <w:rPr>
          <w:iCs/>
        </w:rPr>
        <w:t>banks that meet or exceed the large bank threshold.</w:t>
      </w:r>
      <w:r w:rsidR="009375A6">
        <w:rPr>
          <w:iCs/>
        </w:rPr>
        <w:t xml:space="preserve">  Large banks are subject to more data requirements.</w:t>
      </w:r>
      <w:r w:rsidRPr="00B319CC">
        <w:rPr>
          <w:iCs/>
        </w:rPr>
        <w:t> </w:t>
      </w:r>
    </w:p>
    <w:p w:rsidR="00D05FE4" w:rsidRPr="00D05FE4" w:rsidP="00AD02D9" w14:paraId="5B632F50" w14:textId="77777777">
      <w:pPr>
        <w:rPr>
          <w:iCs/>
        </w:rPr>
      </w:pPr>
    </w:p>
    <w:p w:rsidR="00811CB2" w:rsidRPr="00E71711" w:rsidP="00AD02D9" w14:paraId="071B010F" w14:textId="77777777">
      <w:pPr>
        <w:rPr>
          <w:b/>
          <w:i/>
        </w:rPr>
      </w:pPr>
      <w:r w:rsidRPr="00E71711">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00811CB2" w:rsidRPr="00E71711" w:rsidP="00AD02D9" w14:paraId="32044CA1" w14:textId="77777777">
      <w:pPr>
        <w:rPr>
          <w:b/>
          <w:i/>
        </w:rPr>
      </w:pPr>
    </w:p>
    <w:p w:rsidR="00811CB2" w:rsidP="00AD02D9" w14:paraId="69FC8E75" w14:textId="77777777">
      <w:pPr>
        <w:ind w:firstLine="720"/>
      </w:pPr>
      <w:r>
        <w:t>Not applicable.</w:t>
      </w:r>
    </w:p>
    <w:p w:rsidR="00B45715" w:rsidP="00AD02D9" w14:paraId="18F213C5" w14:textId="77777777">
      <w:pPr>
        <w:rPr>
          <w:b/>
          <w:bCs/>
          <w:i/>
        </w:rPr>
      </w:pPr>
    </w:p>
    <w:p w:rsidR="00811CB2" w:rsidRPr="00E71711" w:rsidP="00AD02D9" w14:paraId="19ED2A4F" w14:textId="77777777">
      <w:pPr>
        <w:rPr>
          <w:b/>
          <w:bCs/>
          <w:i/>
        </w:rPr>
      </w:pPr>
      <w:r w:rsidRPr="00E71711">
        <w:rPr>
          <w:b/>
          <w:bCs/>
          <w:i/>
        </w:rPr>
        <w:t>17.  Display of expiration date</w:t>
      </w:r>
      <w:r w:rsidRPr="00E71711" w:rsidR="00A75944">
        <w:rPr>
          <w:b/>
          <w:bCs/>
          <w:i/>
        </w:rPr>
        <w:t>:</w:t>
      </w:r>
    </w:p>
    <w:p w:rsidR="00811CB2" w:rsidP="00AD02D9" w14:paraId="3A7CE5F3" w14:textId="77777777"/>
    <w:p w:rsidR="00811CB2" w:rsidP="00AD02D9" w14:paraId="648E7F88" w14:textId="77777777">
      <w:pPr>
        <w:ind w:firstLine="720"/>
      </w:pPr>
      <w:r>
        <w:t>Not applicable.  The information collections are contained in regulations.</w:t>
      </w:r>
    </w:p>
    <w:p w:rsidR="00DF26C9" w:rsidP="00AD02D9" w14:paraId="49BF5F98" w14:textId="77777777">
      <w:pPr>
        <w:rPr>
          <w:bCs/>
        </w:rPr>
      </w:pPr>
    </w:p>
    <w:p w:rsidR="00811CB2" w:rsidRPr="00E71711" w:rsidP="00AD02D9" w14:paraId="4DC3263B" w14:textId="77777777">
      <w:pPr>
        <w:rPr>
          <w:b/>
          <w:bCs/>
          <w:i/>
        </w:rPr>
      </w:pPr>
      <w:r w:rsidRPr="00E71711">
        <w:rPr>
          <w:b/>
          <w:bCs/>
          <w:i/>
        </w:rPr>
        <w:t>18.  Exceptions to certification statement</w:t>
      </w:r>
      <w:r w:rsidRPr="00E71711" w:rsidR="00A75944">
        <w:rPr>
          <w:b/>
          <w:bCs/>
          <w:i/>
        </w:rPr>
        <w:t>:</w:t>
      </w:r>
    </w:p>
    <w:p w:rsidR="00811CB2" w:rsidP="00AD02D9" w14:paraId="529E815F" w14:textId="77777777"/>
    <w:p w:rsidR="00811CB2" w:rsidP="00AD02D9" w14:paraId="25D5EE7B" w14:textId="77777777">
      <w:pPr>
        <w:ind w:firstLine="720"/>
      </w:pPr>
      <w:r>
        <w:t>Not applicable.</w:t>
      </w:r>
    </w:p>
    <w:p w:rsidR="00811CB2" w:rsidP="00AD02D9" w14:paraId="1B2ABDC7" w14:textId="77777777">
      <w:pPr>
        <w:rPr>
          <w:b/>
        </w:rPr>
      </w:pPr>
    </w:p>
    <w:p w:rsidR="00811CB2" w:rsidRPr="00E71711" w:rsidP="00AD02D9" w14:paraId="51BF2DA5" w14:textId="77777777">
      <w:pPr>
        <w:pStyle w:val="Heading2"/>
        <w:spacing w:before="0" w:after="0"/>
        <w:rPr>
          <w:bCs/>
        </w:rPr>
      </w:pPr>
      <w:r w:rsidRPr="00E71711">
        <w:rPr>
          <w:bCs/>
        </w:rPr>
        <w:t>B.  Collections of information employing statistical methods</w:t>
      </w:r>
    </w:p>
    <w:p w:rsidR="00811CB2" w:rsidP="00AD02D9" w14:paraId="2E46EF2E" w14:textId="77777777"/>
    <w:p w:rsidR="00811CB2" w:rsidP="00AD02D9" w14:paraId="72528230" w14:textId="77777777">
      <w:pPr>
        <w:ind w:firstLine="720"/>
      </w:pPr>
      <w:r>
        <w:t>Not applicable.</w:t>
      </w:r>
    </w:p>
    <w:p w:rsidR="00811CB2" w:rsidP="00AD02D9" w14:paraId="62595A68" w14:textId="77777777"/>
    <w:sectPr w:rsidSect="00F426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04AFF9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7C90" w14:paraId="6DF4A9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42317D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2C">
      <w:rPr>
        <w:rStyle w:val="PageNumber"/>
        <w:noProof/>
      </w:rPr>
      <w:t>2</w:t>
    </w:r>
    <w:r>
      <w:rPr>
        <w:rStyle w:val="PageNumber"/>
      </w:rPr>
      <w:fldChar w:fldCharType="end"/>
    </w:r>
  </w:p>
  <w:p w:rsidR="00737C90" w14:paraId="7FB0B7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525A7F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4819" w14:paraId="2D8F4F40" w14:textId="77777777">
      <w:r>
        <w:separator/>
      </w:r>
    </w:p>
  </w:footnote>
  <w:footnote w:type="continuationSeparator" w:id="1">
    <w:p w:rsidR="00D24819" w14:paraId="47DE7A2B" w14:textId="77777777">
      <w:r>
        <w:continuationSeparator/>
      </w:r>
    </w:p>
  </w:footnote>
  <w:footnote w:id="2">
    <w:p w:rsidR="00475F55" w:rsidRPr="00956F28" w14:paraId="203DB332" w14:textId="77777777">
      <w:pPr>
        <w:pStyle w:val="FootnoteText"/>
        <w:rPr>
          <w:sz w:val="24"/>
          <w:szCs w:val="24"/>
        </w:rPr>
      </w:pPr>
      <w:r w:rsidRPr="00F73831">
        <w:rPr>
          <w:rStyle w:val="FootnoteReference"/>
          <w:sz w:val="24"/>
          <w:szCs w:val="24"/>
        </w:rPr>
        <w:footnoteRef/>
      </w:r>
      <w:r w:rsidRPr="00F73831">
        <w:rPr>
          <w:sz w:val="24"/>
          <w:szCs w:val="24"/>
        </w:rPr>
        <w:t xml:space="preserve"> </w:t>
      </w:r>
      <w:r w:rsidRPr="00956F28">
        <w:rPr>
          <w:sz w:val="24"/>
          <w:szCs w:val="24"/>
        </w:rPr>
        <w:t xml:space="preserve">12 U.S.C. 2903.  </w:t>
      </w:r>
    </w:p>
  </w:footnote>
  <w:footnote w:id="3">
    <w:p w:rsidR="00475F55" w:rsidRPr="00956F28" w14:paraId="7A104C31" w14:textId="77777777">
      <w:pPr>
        <w:pStyle w:val="FootnoteText"/>
        <w:rPr>
          <w:sz w:val="24"/>
          <w:szCs w:val="24"/>
        </w:rPr>
      </w:pPr>
      <w:r w:rsidRPr="00956F28">
        <w:rPr>
          <w:rStyle w:val="FootnoteReference"/>
          <w:sz w:val="24"/>
          <w:szCs w:val="24"/>
        </w:rPr>
        <w:footnoteRef/>
      </w:r>
      <w:r w:rsidRPr="00956F28">
        <w:rPr>
          <w:sz w:val="24"/>
          <w:szCs w:val="24"/>
        </w:rPr>
        <w:t xml:space="preserve"> 12 U.S.C. 2905.</w:t>
      </w:r>
    </w:p>
  </w:footnote>
  <w:footnote w:id="4">
    <w:p w:rsidR="00F93834" w:rsidRPr="00956F28" w:rsidP="00F93834" w14:paraId="1C391673" w14:textId="77777777">
      <w:pPr>
        <w:pStyle w:val="FootnoteText"/>
        <w:rPr>
          <w:sz w:val="24"/>
          <w:szCs w:val="24"/>
        </w:rPr>
      </w:pPr>
      <w:r w:rsidRPr="00956F28">
        <w:rPr>
          <w:rStyle w:val="FootnoteReference"/>
          <w:sz w:val="24"/>
          <w:szCs w:val="24"/>
        </w:rPr>
        <w:footnoteRef/>
      </w:r>
      <w:r w:rsidRPr="00956F28">
        <w:rPr>
          <w:sz w:val="24"/>
          <w:szCs w:val="24"/>
        </w:rPr>
        <w:t xml:space="preserve"> 12 U.S.C. 2903(a)(1).</w:t>
      </w:r>
    </w:p>
  </w:footnote>
  <w:footnote w:id="5">
    <w:p w:rsidR="00F93834" w:rsidRPr="00956F28" w:rsidP="00F93834" w14:paraId="551EF2A6" w14:textId="77777777">
      <w:pPr>
        <w:pStyle w:val="FootnoteText"/>
        <w:rPr>
          <w:sz w:val="24"/>
          <w:szCs w:val="24"/>
        </w:rPr>
      </w:pPr>
      <w:r w:rsidRPr="00956F28">
        <w:rPr>
          <w:rStyle w:val="FootnoteReference"/>
          <w:sz w:val="24"/>
          <w:szCs w:val="24"/>
        </w:rPr>
        <w:footnoteRef/>
      </w:r>
      <w:r w:rsidRPr="00956F28">
        <w:rPr>
          <w:sz w:val="24"/>
          <w:szCs w:val="24"/>
        </w:rPr>
        <w:t xml:space="preserve"> 12 U.S.C. 2903(a)(2); </w:t>
      </w:r>
      <w:r w:rsidRPr="00956F28">
        <w:rPr>
          <w:i/>
          <w:iCs/>
          <w:sz w:val="24"/>
          <w:szCs w:val="24"/>
        </w:rPr>
        <w:t>see also</w:t>
      </w:r>
      <w:r w:rsidRPr="00956F28">
        <w:rPr>
          <w:sz w:val="24"/>
          <w:szCs w:val="24"/>
        </w:rPr>
        <w:t xml:space="preserve"> 12 U.S.C. 2902(3).</w:t>
      </w:r>
    </w:p>
  </w:footnote>
  <w:footnote w:id="6">
    <w:p w:rsidR="00F93834" w:rsidRPr="00956F28" w:rsidP="00F93834" w14:paraId="1F4F9EFA" w14:textId="158466F7">
      <w:pPr>
        <w:pStyle w:val="FootnoteText"/>
        <w:ind w:left="-360"/>
        <w:rPr>
          <w:rFonts w:ascii="Arial Narrow" w:hAnsi="Arial Narrow"/>
          <w:sz w:val="24"/>
          <w:szCs w:val="24"/>
        </w:rPr>
      </w:pPr>
      <w:r w:rsidRPr="00956F28">
        <w:rPr>
          <w:sz w:val="24"/>
          <w:szCs w:val="24"/>
        </w:rPr>
        <w:t xml:space="preserve">      </w:t>
      </w:r>
      <w:r w:rsidRPr="00956F28">
        <w:rPr>
          <w:rStyle w:val="FootnoteReference"/>
          <w:sz w:val="24"/>
          <w:szCs w:val="24"/>
        </w:rPr>
        <w:footnoteRef/>
      </w:r>
      <w:r w:rsidRPr="00956F28">
        <w:rPr>
          <w:sz w:val="24"/>
          <w:szCs w:val="24"/>
        </w:rPr>
        <w:t xml:space="preserve"> 12 U.S.C. 2905.</w:t>
      </w:r>
    </w:p>
  </w:footnote>
  <w:footnote w:id="7">
    <w:p w:rsidR="00F9203E" w14:paraId="3CB6F3E3" w14:textId="019CC05B">
      <w:pPr>
        <w:pStyle w:val="FootnoteText"/>
      </w:pPr>
      <w:r>
        <w:rPr>
          <w:rStyle w:val="FootnoteReference"/>
        </w:rPr>
        <w:footnoteRef/>
      </w:r>
      <w:r>
        <w:t xml:space="preserve"> Although the CRA regulations do not define “large banks and savings associations,” this term is used by the agencies to describe banks and savings associations that exceed the small bank or savings association asset size threshold in 12 CFR 25.12(u).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052391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3FCC47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4F8059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7A2"/>
    <w:multiLevelType w:val="hybridMultilevel"/>
    <w:tmpl w:val="F78E84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AEE7401"/>
    <w:multiLevelType w:val="hybridMultilevel"/>
    <w:tmpl w:val="421A5DDA"/>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3A5418"/>
    <w:multiLevelType w:val="hybridMultilevel"/>
    <w:tmpl w:val="DD5494C4"/>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642104A"/>
    <w:multiLevelType w:val="hybridMultilevel"/>
    <w:tmpl w:val="B36841C8"/>
    <w:lvl w:ilvl="0">
      <w:start w:val="1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B24867"/>
    <w:multiLevelType w:val="hybridMultilevel"/>
    <w:tmpl w:val="1B4EF41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34430C9"/>
    <w:multiLevelType w:val="hybridMultilevel"/>
    <w:tmpl w:val="D6506BE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9FB4B4B"/>
    <w:multiLevelType w:val="hybridMultilevel"/>
    <w:tmpl w:val="D24437F0"/>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F2C6128"/>
    <w:multiLevelType w:val="hybridMultilevel"/>
    <w:tmpl w:val="93246158"/>
    <w:lvl w:ilvl="0">
      <w:start w:val="16"/>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5516C6"/>
    <w:multiLevelType w:val="hybridMultilevel"/>
    <w:tmpl w:val="C242DB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C776B60"/>
    <w:multiLevelType w:val="hybridMultilevel"/>
    <w:tmpl w:val="2A58CE42"/>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DF341D3"/>
    <w:multiLevelType w:val="hybridMultilevel"/>
    <w:tmpl w:val="271E0BD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E1D1611"/>
    <w:multiLevelType w:val="hybridMultilevel"/>
    <w:tmpl w:val="7F7420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08C6B59"/>
    <w:multiLevelType w:val="hybridMultilevel"/>
    <w:tmpl w:val="E1FE63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45B7A70"/>
    <w:multiLevelType w:val="hybridMultilevel"/>
    <w:tmpl w:val="2840901C"/>
    <w:lvl w:ilvl="0">
      <w:start w:val="14"/>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A4604E"/>
    <w:multiLevelType w:val="hybridMultilevel"/>
    <w:tmpl w:val="BBAC4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BBA4AA8"/>
    <w:multiLevelType w:val="hybridMultilevel"/>
    <w:tmpl w:val="94F4EF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95E0D29"/>
    <w:multiLevelType w:val="hybridMultilevel"/>
    <w:tmpl w:val="91C268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7E9734DD"/>
    <w:multiLevelType w:val="hybridMultilevel"/>
    <w:tmpl w:val="DBA28F2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8390008">
    <w:abstractNumId w:val="2"/>
  </w:num>
  <w:num w:numId="2" w16cid:durableId="1363704755">
    <w:abstractNumId w:val="27"/>
  </w:num>
  <w:num w:numId="3" w16cid:durableId="202796145">
    <w:abstractNumId w:val="14"/>
  </w:num>
  <w:num w:numId="4" w16cid:durableId="1480657556">
    <w:abstractNumId w:val="14"/>
  </w:num>
  <w:num w:numId="5" w16cid:durableId="425030846">
    <w:abstractNumId w:val="5"/>
  </w:num>
  <w:num w:numId="6" w16cid:durableId="1198930662">
    <w:abstractNumId w:val="5"/>
  </w:num>
  <w:num w:numId="7" w16cid:durableId="1848712034">
    <w:abstractNumId w:val="5"/>
  </w:num>
  <w:num w:numId="8" w16cid:durableId="308247253">
    <w:abstractNumId w:val="5"/>
  </w:num>
  <w:num w:numId="9" w16cid:durableId="1469281792">
    <w:abstractNumId w:val="5"/>
  </w:num>
  <w:num w:numId="10" w16cid:durableId="12845954">
    <w:abstractNumId w:val="5"/>
  </w:num>
  <w:num w:numId="11" w16cid:durableId="97722621">
    <w:abstractNumId w:val="5"/>
  </w:num>
  <w:num w:numId="12" w16cid:durableId="93668915">
    <w:abstractNumId w:val="5"/>
  </w:num>
  <w:num w:numId="13" w16cid:durableId="3746558">
    <w:abstractNumId w:val="14"/>
  </w:num>
  <w:num w:numId="14" w16cid:durableId="1819103670">
    <w:abstractNumId w:val="14"/>
  </w:num>
  <w:num w:numId="15" w16cid:durableId="1909222287">
    <w:abstractNumId w:val="14"/>
  </w:num>
  <w:num w:numId="16" w16cid:durableId="105318711">
    <w:abstractNumId w:val="14"/>
  </w:num>
  <w:num w:numId="17" w16cid:durableId="894125745">
    <w:abstractNumId w:val="28"/>
  </w:num>
  <w:num w:numId="18" w16cid:durableId="196742708">
    <w:abstractNumId w:val="23"/>
  </w:num>
  <w:num w:numId="19" w16cid:durableId="971859471">
    <w:abstractNumId w:val="3"/>
  </w:num>
  <w:num w:numId="20" w16cid:durableId="1284534889">
    <w:abstractNumId w:val="18"/>
  </w:num>
  <w:num w:numId="21" w16cid:durableId="1627395882">
    <w:abstractNumId w:val="8"/>
  </w:num>
  <w:num w:numId="22" w16cid:durableId="2118283818">
    <w:abstractNumId w:val="17"/>
  </w:num>
  <w:num w:numId="23" w16cid:durableId="1279022233">
    <w:abstractNumId w:val="24"/>
  </w:num>
  <w:num w:numId="24" w16cid:durableId="1499496308">
    <w:abstractNumId w:val="0"/>
  </w:num>
  <w:num w:numId="25" w16cid:durableId="1731226644">
    <w:abstractNumId w:val="26"/>
  </w:num>
  <w:num w:numId="26" w16cid:durableId="1889296068">
    <w:abstractNumId w:val="19"/>
  </w:num>
  <w:num w:numId="27" w16cid:durableId="1004745951">
    <w:abstractNumId w:val="25"/>
  </w:num>
  <w:num w:numId="28" w16cid:durableId="2034646915">
    <w:abstractNumId w:val="22"/>
  </w:num>
  <w:num w:numId="29" w16cid:durableId="606274986">
    <w:abstractNumId w:val="13"/>
  </w:num>
  <w:num w:numId="30" w16cid:durableId="1667128037">
    <w:abstractNumId w:val="1"/>
  </w:num>
  <w:num w:numId="31" w16cid:durableId="1661539337">
    <w:abstractNumId w:val="10"/>
  </w:num>
  <w:num w:numId="32" w16cid:durableId="1252856896">
    <w:abstractNumId w:val="20"/>
  </w:num>
  <w:num w:numId="33" w16cid:durableId="848443163">
    <w:abstractNumId w:val="6"/>
  </w:num>
  <w:num w:numId="34" w16cid:durableId="877427882">
    <w:abstractNumId w:val="7"/>
  </w:num>
  <w:num w:numId="35" w16cid:durableId="1054501280">
    <w:abstractNumId w:val="12"/>
  </w:num>
  <w:num w:numId="36" w16cid:durableId="410391219">
    <w:abstractNumId w:val="4"/>
  </w:num>
  <w:num w:numId="37" w16cid:durableId="1187790509">
    <w:abstractNumId w:val="16"/>
  </w:num>
  <w:num w:numId="38" w16cid:durableId="1512836230">
    <w:abstractNumId w:val="9"/>
  </w:num>
  <w:num w:numId="39" w16cid:durableId="1258245413">
    <w:abstractNumId w:val="15"/>
  </w:num>
  <w:num w:numId="40" w16cid:durableId="1168911627">
    <w:abstractNumId w:val="11"/>
  </w:num>
  <w:num w:numId="41" w16cid:durableId="5452191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607"/>
    <w:rsid w:val="000056D0"/>
    <w:rsid w:val="00010170"/>
    <w:rsid w:val="00010A7C"/>
    <w:rsid w:val="00011B4C"/>
    <w:rsid w:val="00012BA3"/>
    <w:rsid w:val="00015A8F"/>
    <w:rsid w:val="00023195"/>
    <w:rsid w:val="00026CBC"/>
    <w:rsid w:val="00027369"/>
    <w:rsid w:val="00031477"/>
    <w:rsid w:val="00045215"/>
    <w:rsid w:val="00047CC0"/>
    <w:rsid w:val="00067517"/>
    <w:rsid w:val="00073F39"/>
    <w:rsid w:val="00076F67"/>
    <w:rsid w:val="00080467"/>
    <w:rsid w:val="00083B99"/>
    <w:rsid w:val="00083C16"/>
    <w:rsid w:val="00087A0E"/>
    <w:rsid w:val="000A0516"/>
    <w:rsid w:val="000A0F04"/>
    <w:rsid w:val="000A3413"/>
    <w:rsid w:val="000A6071"/>
    <w:rsid w:val="000A7D86"/>
    <w:rsid w:val="000B732C"/>
    <w:rsid w:val="000C7BCB"/>
    <w:rsid w:val="000D5A41"/>
    <w:rsid w:val="000E1E34"/>
    <w:rsid w:val="000E6DD2"/>
    <w:rsid w:val="000F1D63"/>
    <w:rsid w:val="001015A0"/>
    <w:rsid w:val="001070C0"/>
    <w:rsid w:val="001124A1"/>
    <w:rsid w:val="00114B02"/>
    <w:rsid w:val="001365F1"/>
    <w:rsid w:val="00147DA9"/>
    <w:rsid w:val="00162689"/>
    <w:rsid w:val="00163D6D"/>
    <w:rsid w:val="001728A0"/>
    <w:rsid w:val="00177B20"/>
    <w:rsid w:val="00186ED6"/>
    <w:rsid w:val="00195417"/>
    <w:rsid w:val="00196FCE"/>
    <w:rsid w:val="001A60D1"/>
    <w:rsid w:val="001B0520"/>
    <w:rsid w:val="001B6B27"/>
    <w:rsid w:val="001D2642"/>
    <w:rsid w:val="001E2339"/>
    <w:rsid w:val="001E7335"/>
    <w:rsid w:val="00201985"/>
    <w:rsid w:val="00207064"/>
    <w:rsid w:val="002070C4"/>
    <w:rsid w:val="00215514"/>
    <w:rsid w:val="00215C3B"/>
    <w:rsid w:val="00216FAD"/>
    <w:rsid w:val="00217EA8"/>
    <w:rsid w:val="00222FED"/>
    <w:rsid w:val="00224027"/>
    <w:rsid w:val="00227EBA"/>
    <w:rsid w:val="0023236B"/>
    <w:rsid w:val="00232BF7"/>
    <w:rsid w:val="00234B76"/>
    <w:rsid w:val="00241945"/>
    <w:rsid w:val="002428DA"/>
    <w:rsid w:val="00242DAA"/>
    <w:rsid w:val="002523CF"/>
    <w:rsid w:val="00252D5C"/>
    <w:rsid w:val="00255A58"/>
    <w:rsid w:val="00256DBC"/>
    <w:rsid w:val="00260007"/>
    <w:rsid w:val="00271F7B"/>
    <w:rsid w:val="00275B29"/>
    <w:rsid w:val="00277C4B"/>
    <w:rsid w:val="00277FC8"/>
    <w:rsid w:val="0028071B"/>
    <w:rsid w:val="0029337C"/>
    <w:rsid w:val="00295C66"/>
    <w:rsid w:val="002A3960"/>
    <w:rsid w:val="002A5D68"/>
    <w:rsid w:val="002D38C1"/>
    <w:rsid w:val="002D535F"/>
    <w:rsid w:val="002E1265"/>
    <w:rsid w:val="002F0019"/>
    <w:rsid w:val="0030176C"/>
    <w:rsid w:val="00301797"/>
    <w:rsid w:val="00302FD2"/>
    <w:rsid w:val="00306334"/>
    <w:rsid w:val="0031708C"/>
    <w:rsid w:val="00321633"/>
    <w:rsid w:val="00323778"/>
    <w:rsid w:val="00330C62"/>
    <w:rsid w:val="00333EA8"/>
    <w:rsid w:val="003374E8"/>
    <w:rsid w:val="00340FDE"/>
    <w:rsid w:val="00356632"/>
    <w:rsid w:val="00357531"/>
    <w:rsid w:val="0037447F"/>
    <w:rsid w:val="00385C21"/>
    <w:rsid w:val="003914F0"/>
    <w:rsid w:val="0039300C"/>
    <w:rsid w:val="003962BD"/>
    <w:rsid w:val="003A1BCE"/>
    <w:rsid w:val="003A79C4"/>
    <w:rsid w:val="003B20D4"/>
    <w:rsid w:val="003B3DD2"/>
    <w:rsid w:val="003B76BB"/>
    <w:rsid w:val="003C0D59"/>
    <w:rsid w:val="003C6231"/>
    <w:rsid w:val="003C6B4D"/>
    <w:rsid w:val="003E4820"/>
    <w:rsid w:val="003F51AC"/>
    <w:rsid w:val="0040044C"/>
    <w:rsid w:val="00410B9C"/>
    <w:rsid w:val="00425D79"/>
    <w:rsid w:val="00426CCD"/>
    <w:rsid w:val="004531C4"/>
    <w:rsid w:val="00460449"/>
    <w:rsid w:val="00470128"/>
    <w:rsid w:val="00473E94"/>
    <w:rsid w:val="00475F55"/>
    <w:rsid w:val="00481A95"/>
    <w:rsid w:val="00482839"/>
    <w:rsid w:val="00486AF8"/>
    <w:rsid w:val="00494B8D"/>
    <w:rsid w:val="004A4142"/>
    <w:rsid w:val="004B0FDE"/>
    <w:rsid w:val="004B248E"/>
    <w:rsid w:val="004B62D0"/>
    <w:rsid w:val="004C19C7"/>
    <w:rsid w:val="004D1237"/>
    <w:rsid w:val="004D253B"/>
    <w:rsid w:val="004D755F"/>
    <w:rsid w:val="004E041F"/>
    <w:rsid w:val="004E0DF1"/>
    <w:rsid w:val="004E658D"/>
    <w:rsid w:val="00501289"/>
    <w:rsid w:val="00507CFC"/>
    <w:rsid w:val="00516979"/>
    <w:rsid w:val="00534B1C"/>
    <w:rsid w:val="005409CB"/>
    <w:rsid w:val="00540B3D"/>
    <w:rsid w:val="00547DAA"/>
    <w:rsid w:val="00554EAC"/>
    <w:rsid w:val="00561528"/>
    <w:rsid w:val="00577181"/>
    <w:rsid w:val="005810A3"/>
    <w:rsid w:val="00582644"/>
    <w:rsid w:val="00582744"/>
    <w:rsid w:val="005912CE"/>
    <w:rsid w:val="00591814"/>
    <w:rsid w:val="0059537D"/>
    <w:rsid w:val="005B4659"/>
    <w:rsid w:val="005B5EF2"/>
    <w:rsid w:val="005B7602"/>
    <w:rsid w:val="005C2B31"/>
    <w:rsid w:val="005C63A7"/>
    <w:rsid w:val="005E46BC"/>
    <w:rsid w:val="005E67BF"/>
    <w:rsid w:val="005F77B3"/>
    <w:rsid w:val="00611219"/>
    <w:rsid w:val="00623C4C"/>
    <w:rsid w:val="006263C0"/>
    <w:rsid w:val="006352BC"/>
    <w:rsid w:val="00637908"/>
    <w:rsid w:val="0065184B"/>
    <w:rsid w:val="00651AB5"/>
    <w:rsid w:val="00651F8C"/>
    <w:rsid w:val="0066037D"/>
    <w:rsid w:val="006605A8"/>
    <w:rsid w:val="00660BE1"/>
    <w:rsid w:val="006A7F93"/>
    <w:rsid w:val="006B223B"/>
    <w:rsid w:val="006B4B47"/>
    <w:rsid w:val="006B58F7"/>
    <w:rsid w:val="006C2216"/>
    <w:rsid w:val="006C4BBD"/>
    <w:rsid w:val="006D69E9"/>
    <w:rsid w:val="006F706C"/>
    <w:rsid w:val="00701E96"/>
    <w:rsid w:val="00704C1E"/>
    <w:rsid w:val="007130CA"/>
    <w:rsid w:val="00713508"/>
    <w:rsid w:val="0071707D"/>
    <w:rsid w:val="0072570D"/>
    <w:rsid w:val="00737C90"/>
    <w:rsid w:val="00757363"/>
    <w:rsid w:val="00773C16"/>
    <w:rsid w:val="007805CA"/>
    <w:rsid w:val="0079298D"/>
    <w:rsid w:val="007A0131"/>
    <w:rsid w:val="007B5931"/>
    <w:rsid w:val="007B7D67"/>
    <w:rsid w:val="007D7148"/>
    <w:rsid w:val="007E0192"/>
    <w:rsid w:val="007E1504"/>
    <w:rsid w:val="007E213B"/>
    <w:rsid w:val="007F49E8"/>
    <w:rsid w:val="007F7491"/>
    <w:rsid w:val="00807E02"/>
    <w:rsid w:val="00811CB2"/>
    <w:rsid w:val="00813527"/>
    <w:rsid w:val="00833B0C"/>
    <w:rsid w:val="00850EDE"/>
    <w:rsid w:val="00851766"/>
    <w:rsid w:val="008706A6"/>
    <w:rsid w:val="00883C67"/>
    <w:rsid w:val="008A1C1E"/>
    <w:rsid w:val="008A7ED2"/>
    <w:rsid w:val="008B4E17"/>
    <w:rsid w:val="008B50FF"/>
    <w:rsid w:val="008C426F"/>
    <w:rsid w:val="008C4CC0"/>
    <w:rsid w:val="008D28D1"/>
    <w:rsid w:val="008D5BEA"/>
    <w:rsid w:val="008F029C"/>
    <w:rsid w:val="008F19B1"/>
    <w:rsid w:val="008F2EA7"/>
    <w:rsid w:val="0090108B"/>
    <w:rsid w:val="00902951"/>
    <w:rsid w:val="009034A8"/>
    <w:rsid w:val="00910839"/>
    <w:rsid w:val="00911B5D"/>
    <w:rsid w:val="00924E6F"/>
    <w:rsid w:val="009375A6"/>
    <w:rsid w:val="00942FCE"/>
    <w:rsid w:val="009507EC"/>
    <w:rsid w:val="00956F28"/>
    <w:rsid w:val="00963371"/>
    <w:rsid w:val="00971E58"/>
    <w:rsid w:val="00974182"/>
    <w:rsid w:val="00981A12"/>
    <w:rsid w:val="009833C8"/>
    <w:rsid w:val="009861F5"/>
    <w:rsid w:val="00990074"/>
    <w:rsid w:val="009913B6"/>
    <w:rsid w:val="00994307"/>
    <w:rsid w:val="009B0C05"/>
    <w:rsid w:val="009B59E3"/>
    <w:rsid w:val="009D2C9D"/>
    <w:rsid w:val="009D4F9D"/>
    <w:rsid w:val="009E0C62"/>
    <w:rsid w:val="009F098D"/>
    <w:rsid w:val="009F4A34"/>
    <w:rsid w:val="00A052F8"/>
    <w:rsid w:val="00A05FA5"/>
    <w:rsid w:val="00A06C0F"/>
    <w:rsid w:val="00A06D94"/>
    <w:rsid w:val="00A12450"/>
    <w:rsid w:val="00A131B2"/>
    <w:rsid w:val="00A13D71"/>
    <w:rsid w:val="00A22148"/>
    <w:rsid w:val="00A41081"/>
    <w:rsid w:val="00A42F8D"/>
    <w:rsid w:val="00A47490"/>
    <w:rsid w:val="00A519BD"/>
    <w:rsid w:val="00A650CE"/>
    <w:rsid w:val="00A75944"/>
    <w:rsid w:val="00A87DF7"/>
    <w:rsid w:val="00A94CDC"/>
    <w:rsid w:val="00A975DD"/>
    <w:rsid w:val="00AA016C"/>
    <w:rsid w:val="00AA21A0"/>
    <w:rsid w:val="00AC6F96"/>
    <w:rsid w:val="00AD02D9"/>
    <w:rsid w:val="00AD7DD3"/>
    <w:rsid w:val="00AE1DD5"/>
    <w:rsid w:val="00AE35FD"/>
    <w:rsid w:val="00AF2454"/>
    <w:rsid w:val="00AF2F0F"/>
    <w:rsid w:val="00AF3623"/>
    <w:rsid w:val="00B10E1C"/>
    <w:rsid w:val="00B15E1B"/>
    <w:rsid w:val="00B20955"/>
    <w:rsid w:val="00B30DBB"/>
    <w:rsid w:val="00B319CC"/>
    <w:rsid w:val="00B374D6"/>
    <w:rsid w:val="00B378E5"/>
    <w:rsid w:val="00B417E6"/>
    <w:rsid w:val="00B45715"/>
    <w:rsid w:val="00B46FCD"/>
    <w:rsid w:val="00B508BA"/>
    <w:rsid w:val="00B60840"/>
    <w:rsid w:val="00B827AC"/>
    <w:rsid w:val="00B870DB"/>
    <w:rsid w:val="00B94181"/>
    <w:rsid w:val="00B9636B"/>
    <w:rsid w:val="00B972CA"/>
    <w:rsid w:val="00BA0DC3"/>
    <w:rsid w:val="00BC732B"/>
    <w:rsid w:val="00BD486E"/>
    <w:rsid w:val="00BD7525"/>
    <w:rsid w:val="00BE2612"/>
    <w:rsid w:val="00BE66E0"/>
    <w:rsid w:val="00BE6F8A"/>
    <w:rsid w:val="00BF43AC"/>
    <w:rsid w:val="00C065C8"/>
    <w:rsid w:val="00C06B99"/>
    <w:rsid w:val="00C12FC0"/>
    <w:rsid w:val="00C17F51"/>
    <w:rsid w:val="00C20D04"/>
    <w:rsid w:val="00C22F4A"/>
    <w:rsid w:val="00C331EC"/>
    <w:rsid w:val="00C34B37"/>
    <w:rsid w:val="00C51AC4"/>
    <w:rsid w:val="00C65103"/>
    <w:rsid w:val="00C70486"/>
    <w:rsid w:val="00C71967"/>
    <w:rsid w:val="00C7532D"/>
    <w:rsid w:val="00C8216E"/>
    <w:rsid w:val="00C8444F"/>
    <w:rsid w:val="00C8467A"/>
    <w:rsid w:val="00C92816"/>
    <w:rsid w:val="00C93706"/>
    <w:rsid w:val="00C93A49"/>
    <w:rsid w:val="00C9453D"/>
    <w:rsid w:val="00C97111"/>
    <w:rsid w:val="00CA3154"/>
    <w:rsid w:val="00CA3262"/>
    <w:rsid w:val="00CB1504"/>
    <w:rsid w:val="00CC01A5"/>
    <w:rsid w:val="00CD4056"/>
    <w:rsid w:val="00CE2776"/>
    <w:rsid w:val="00CF6D26"/>
    <w:rsid w:val="00CF7F1A"/>
    <w:rsid w:val="00D05FE4"/>
    <w:rsid w:val="00D13570"/>
    <w:rsid w:val="00D14DBB"/>
    <w:rsid w:val="00D157B0"/>
    <w:rsid w:val="00D21A16"/>
    <w:rsid w:val="00D24819"/>
    <w:rsid w:val="00D26881"/>
    <w:rsid w:val="00D33ED7"/>
    <w:rsid w:val="00D348C9"/>
    <w:rsid w:val="00D37EB3"/>
    <w:rsid w:val="00D47BD3"/>
    <w:rsid w:val="00D538D1"/>
    <w:rsid w:val="00D544C8"/>
    <w:rsid w:val="00D5778C"/>
    <w:rsid w:val="00D614B9"/>
    <w:rsid w:val="00D6397B"/>
    <w:rsid w:val="00D65370"/>
    <w:rsid w:val="00D726E7"/>
    <w:rsid w:val="00D87DB4"/>
    <w:rsid w:val="00D92B78"/>
    <w:rsid w:val="00DB0772"/>
    <w:rsid w:val="00DB3111"/>
    <w:rsid w:val="00DC5578"/>
    <w:rsid w:val="00DC7675"/>
    <w:rsid w:val="00DF0B1A"/>
    <w:rsid w:val="00DF26C9"/>
    <w:rsid w:val="00DF2C59"/>
    <w:rsid w:val="00E06046"/>
    <w:rsid w:val="00E14287"/>
    <w:rsid w:val="00E15739"/>
    <w:rsid w:val="00E3270B"/>
    <w:rsid w:val="00E32E00"/>
    <w:rsid w:val="00E5639D"/>
    <w:rsid w:val="00E71711"/>
    <w:rsid w:val="00E8627C"/>
    <w:rsid w:val="00E976AA"/>
    <w:rsid w:val="00EA0A78"/>
    <w:rsid w:val="00EB4369"/>
    <w:rsid w:val="00EC3533"/>
    <w:rsid w:val="00EC6960"/>
    <w:rsid w:val="00EE209E"/>
    <w:rsid w:val="00EE65C9"/>
    <w:rsid w:val="00F119AF"/>
    <w:rsid w:val="00F138F6"/>
    <w:rsid w:val="00F17C93"/>
    <w:rsid w:val="00F24564"/>
    <w:rsid w:val="00F249E0"/>
    <w:rsid w:val="00F270AA"/>
    <w:rsid w:val="00F327E9"/>
    <w:rsid w:val="00F37AA9"/>
    <w:rsid w:val="00F4260C"/>
    <w:rsid w:val="00F53692"/>
    <w:rsid w:val="00F5695B"/>
    <w:rsid w:val="00F62B37"/>
    <w:rsid w:val="00F73831"/>
    <w:rsid w:val="00F8429E"/>
    <w:rsid w:val="00F9203E"/>
    <w:rsid w:val="00F93834"/>
    <w:rsid w:val="00F9559E"/>
    <w:rsid w:val="00FA379B"/>
    <w:rsid w:val="00FA51DB"/>
    <w:rsid w:val="00FC12D0"/>
    <w:rsid w:val="00FC1E26"/>
    <w:rsid w:val="00FC2759"/>
    <w:rsid w:val="00FC7CAA"/>
    <w:rsid w:val="00FD45BE"/>
    <w:rsid w:val="00FF6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20F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qFormat/>
    <w:rPr>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Car Char,Footnote Text Char Char Char,Footnote Text Char Char Char Char Char Char Char Char Char Char Char Char Char Char Char Char Char Char,Footnote Text Char1 Char,Footnote Text Char1 Char Char Char,Style 15 Char,fn Char,ft Char"/>
    <w:link w:val="FootnoteText"/>
    <w:uiPriority w:val="99"/>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3374E8"/>
    <w:pPr>
      <w:spacing w:after="160" w:line="254" w:lineRule="auto"/>
      <w:ind w:left="720"/>
      <w:contextualSpacing/>
    </w:pPr>
    <w:rPr>
      <w:rFonts w:ascii="Calibri" w:eastAsia="Calibri" w:hAnsi="Calibri"/>
      <w:sz w:val="22"/>
      <w:szCs w:val="22"/>
    </w:rPr>
  </w:style>
  <w:style w:type="paragraph" w:styleId="Revision">
    <w:name w:val="Revision"/>
    <w:hidden/>
    <w:uiPriority w:val="99"/>
    <w:semiHidden/>
    <w:rsid w:val="00CB1504"/>
    <w:rPr>
      <w:sz w:val="24"/>
    </w:rPr>
  </w:style>
  <w:style w:type="character" w:styleId="CommentReference">
    <w:name w:val="annotation reference"/>
    <w:basedOn w:val="DefaultParagraphFont"/>
    <w:rsid w:val="00990074"/>
    <w:rPr>
      <w:sz w:val="16"/>
      <w:szCs w:val="16"/>
    </w:rPr>
  </w:style>
  <w:style w:type="paragraph" w:styleId="CommentText">
    <w:name w:val="annotation text"/>
    <w:basedOn w:val="Normal"/>
    <w:link w:val="CommentTextChar"/>
    <w:rsid w:val="00990074"/>
    <w:rPr>
      <w:sz w:val="20"/>
    </w:rPr>
  </w:style>
  <w:style w:type="character" w:customStyle="1" w:styleId="CommentTextChar">
    <w:name w:val="Comment Text Char"/>
    <w:basedOn w:val="DefaultParagraphFont"/>
    <w:link w:val="CommentText"/>
    <w:rsid w:val="00990074"/>
  </w:style>
  <w:style w:type="paragraph" w:styleId="CommentSubject">
    <w:name w:val="annotation subject"/>
    <w:basedOn w:val="CommentText"/>
    <w:next w:val="CommentText"/>
    <w:link w:val="CommentSubjectChar"/>
    <w:rsid w:val="00990074"/>
    <w:rPr>
      <w:b/>
      <w:bCs/>
    </w:rPr>
  </w:style>
  <w:style w:type="character" w:customStyle="1" w:styleId="CommentSubjectChar">
    <w:name w:val="Comment Subject Char"/>
    <w:basedOn w:val="CommentTextChar"/>
    <w:link w:val="CommentSubject"/>
    <w:rsid w:val="00990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fie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688D-0CE1-4202-9625-13AD2CF8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2024-10-04T21:13:00Z</dcterms:created>
  <dcterms:modified xsi:type="dcterms:W3CDTF">2024-10-21T17:55:00Z</dcterms:modified>
</cp:coreProperties>
</file>