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715" w:rsidP="00CA297A" w14:paraId="7C31A0EF" w14:textId="58AEC97F">
      <w:pPr>
        <w:pStyle w:val="Title"/>
      </w:pPr>
      <w:r>
        <w:t>Office of the Comptroller of the Currency</w:t>
      </w:r>
    </w:p>
    <w:p w:rsidR="009D0184" w:rsidP="00CA297A" w14:paraId="16F7DA40" w14:textId="77777777">
      <w:pPr>
        <w:pStyle w:val="Title"/>
      </w:pPr>
      <w:r>
        <w:t>Supporting Statement</w:t>
      </w:r>
    </w:p>
    <w:p w:rsidR="006B119F" w:rsidP="00CA297A" w14:paraId="3D7C929B" w14:textId="77777777">
      <w:pPr>
        <w:jc w:val="center"/>
        <w:rPr>
          <w:b/>
          <w:bCs/>
        </w:rPr>
      </w:pPr>
      <w:r>
        <w:rPr>
          <w:b/>
          <w:bCs/>
        </w:rPr>
        <w:t>Fiducia</w:t>
      </w:r>
      <w:r w:rsidR="00801B92">
        <w:rPr>
          <w:b/>
          <w:bCs/>
        </w:rPr>
        <w:t>ry Activities</w:t>
      </w:r>
    </w:p>
    <w:p w:rsidR="009D0184" w:rsidP="00CA297A" w14:paraId="6F11177A" w14:textId="77777777">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P="00CA297A" w14:paraId="7DBE94FC" w14:textId="77777777">
      <w:pPr>
        <w:jc w:val="center"/>
        <w:rPr>
          <w:b/>
          <w:bCs/>
        </w:rPr>
      </w:pPr>
      <w:r>
        <w:rPr>
          <w:b/>
          <w:bCs/>
        </w:rPr>
        <w:t>OMB Control No.</w:t>
      </w:r>
      <w:r>
        <w:rPr>
          <w:b/>
          <w:bCs/>
        </w:rPr>
        <w:t xml:space="preserve"> 1557-0140</w:t>
      </w:r>
    </w:p>
    <w:p w:rsidR="00EB169D" w:rsidRPr="00662CFA" w:rsidP="00CA297A" w14:paraId="13667685" w14:textId="77777777">
      <w:pPr>
        <w:pStyle w:val="HTMLPreformatted"/>
        <w:rPr>
          <w:rFonts w:ascii="Times New Roman" w:hAnsi="Times New Roman" w:cs="Times New Roman"/>
          <w:b/>
          <w:sz w:val="24"/>
          <w:szCs w:val="24"/>
        </w:rPr>
      </w:pPr>
    </w:p>
    <w:p w:rsidR="00EB7B20" w:rsidRPr="00C70749" w:rsidP="00C70749" w14:paraId="62F06BFC" w14:textId="78E2971B">
      <w:pPr>
        <w:rPr>
          <w:b/>
          <w:bCs/>
        </w:rPr>
      </w:pPr>
      <w:r>
        <w:rPr>
          <w:b/>
          <w:bCs/>
        </w:rPr>
        <w:t>A.  Justification.</w:t>
      </w:r>
    </w:p>
    <w:p w:rsidR="009F1909" w:rsidP="00EB2A30" w14:paraId="26BE811A" w14:textId="77777777"/>
    <w:p w:rsidR="00EB2A30" w:rsidP="00EB2A30" w14:paraId="2C323D9B" w14:textId="77777777">
      <w:pPr>
        <w:rPr>
          <w:b/>
          <w:bCs/>
          <w:i/>
          <w:iCs/>
        </w:rPr>
      </w:pPr>
      <w:r>
        <w:rPr>
          <w:b/>
          <w:bCs/>
          <w:i/>
          <w:iCs/>
        </w:rPr>
        <w:t>1.  Circumstances that make the collection necessary:</w:t>
      </w:r>
    </w:p>
    <w:p w:rsidR="00271825" w:rsidP="00CA297A" w14:paraId="1E7233C9" w14:textId="77777777"/>
    <w:p w:rsidR="00EB169D" w:rsidRPr="00E6241D" w:rsidP="00CA297A" w14:paraId="1E395CA5" w14:textId="75F145AC">
      <w:pPr>
        <w:ind w:firstLine="720"/>
      </w:pPr>
      <w:r>
        <w:t>T</w:t>
      </w:r>
      <w:r>
        <w:t>he OCC regulates the fiduciary activities of national banks</w:t>
      </w:r>
      <w:r>
        <w:t xml:space="preserve"> </w:t>
      </w:r>
      <w:r>
        <w:rPr>
          <w:szCs w:val="24"/>
        </w:rPr>
        <w:t xml:space="preserve">and </w:t>
      </w:r>
      <w:r w:rsidR="00BE1FDC">
        <w:rPr>
          <w:szCs w:val="24"/>
        </w:rPr>
        <w:t>f</w:t>
      </w:r>
      <w:r>
        <w:rPr>
          <w:szCs w:val="24"/>
        </w:rPr>
        <w:t>ederal savings associations (FSAs)</w:t>
      </w:r>
      <w:r>
        <w:t>, including the administration of collective investment funds</w:t>
      </w:r>
      <w:r w:rsidR="005E2274">
        <w:t xml:space="preserve"> (CIFs)</w:t>
      </w:r>
      <w:r>
        <w:rPr>
          <w:szCs w:val="24"/>
        </w:rPr>
        <w:t>, pursuant to 12 U.S.C. 92a and 12 U.S.C. 1464(n), respectively</w:t>
      </w:r>
      <w:r>
        <w:t>.</w:t>
      </w:r>
      <w:r w:rsidR="00E6241D">
        <w:t xml:space="preserve">  </w:t>
      </w:r>
      <w:r>
        <w:rPr>
          <w:color w:val="000000"/>
        </w:rPr>
        <w:t>Twelve</w:t>
      </w:r>
      <w:r w:rsidR="00D35F32">
        <w:rPr>
          <w:color w:val="000000"/>
        </w:rPr>
        <w:t xml:space="preserve"> CFR </w:t>
      </w:r>
      <w:r w:rsidR="00844A3E">
        <w:rPr>
          <w:color w:val="000000"/>
        </w:rPr>
        <w:t>p</w:t>
      </w:r>
      <w:r w:rsidR="000D72FD">
        <w:rPr>
          <w:color w:val="000000"/>
        </w:rPr>
        <w:t>art</w:t>
      </w:r>
      <w:r w:rsidR="008C278A">
        <w:rPr>
          <w:color w:val="000000"/>
        </w:rPr>
        <w:t xml:space="preserve"> 9 contain</w:t>
      </w:r>
      <w:r w:rsidR="006C7AA9">
        <w:rPr>
          <w:color w:val="000000"/>
        </w:rPr>
        <w:t>s</w:t>
      </w:r>
      <w:r w:rsidRPr="007369C3">
        <w:rPr>
          <w:color w:val="000000"/>
        </w:rPr>
        <w:t xml:space="preserve"> the regulations that </w:t>
      </w:r>
      <w:r w:rsidR="008C278A">
        <w:rPr>
          <w:color w:val="000000"/>
        </w:rPr>
        <w:t xml:space="preserve">national banks </w:t>
      </w:r>
      <w:r w:rsidRPr="007369C3">
        <w:rPr>
          <w:color w:val="000000"/>
        </w:rPr>
        <w:t>must follow when conducting fiduciary activities</w:t>
      </w:r>
      <w:r w:rsidR="00A74A84">
        <w:rPr>
          <w:color w:val="000000"/>
        </w:rPr>
        <w:t>,</w:t>
      </w:r>
      <w:r>
        <w:rPr>
          <w:color w:val="000000"/>
        </w:rPr>
        <w:t xml:space="preserve"> and 12 CFR part 150 contains the regulations that FSAs must follow when conducting fiduciary </w:t>
      </w:r>
      <w:r w:rsidR="00262ED4">
        <w:rPr>
          <w:color w:val="000000"/>
        </w:rPr>
        <w:t>activities</w:t>
      </w:r>
      <w:r w:rsidRPr="007369C3">
        <w:rPr>
          <w:color w:val="000000"/>
        </w:rPr>
        <w:t>.</w:t>
      </w:r>
      <w:r w:rsidR="00262ED4">
        <w:rPr>
          <w:color w:val="000000"/>
        </w:rPr>
        <w:t xml:space="preserve">  </w:t>
      </w:r>
      <w:r w:rsidR="00A1633E">
        <w:rPr>
          <w:color w:val="000000"/>
        </w:rPr>
        <w:t>T</w:t>
      </w:r>
      <w:r w:rsidRPr="00262ED4" w:rsidR="00262ED4">
        <w:rPr>
          <w:color w:val="000000"/>
        </w:rPr>
        <w:t>he OCC’s CIF regulation in 12 CFR 9.18 governs CIFs managed by both national banks and FSAs.</w:t>
      </w:r>
      <w:r>
        <w:rPr>
          <w:rStyle w:val="FootnoteReference"/>
          <w:color w:val="000000"/>
        </w:rPr>
        <w:footnoteReference w:id="2"/>
      </w:r>
      <w:r w:rsidRPr="00262ED4" w:rsidR="00262ED4">
        <w:rPr>
          <w:color w:val="000000"/>
        </w:rPr>
        <w:t xml:space="preserve">  </w:t>
      </w:r>
    </w:p>
    <w:p w:rsidR="00EB169D" w:rsidP="00CA297A" w14:paraId="19A3E961" w14:textId="77777777"/>
    <w:p w:rsidR="00EB169D" w:rsidP="00844A3E" w14:paraId="403CF3FF" w14:textId="00D96AC2">
      <w:pPr>
        <w:ind w:firstLine="720"/>
      </w:pPr>
      <w:r w:rsidRPr="008C2A88">
        <w:rPr>
          <w:szCs w:val="24"/>
        </w:rPr>
        <w:t>T</w:t>
      </w:r>
      <w:r w:rsidR="004F6DC7">
        <w:rPr>
          <w:szCs w:val="24"/>
        </w:rPr>
        <w:t xml:space="preserve">welve CFR </w:t>
      </w:r>
      <w:r w:rsidR="00727F9E">
        <w:rPr>
          <w:szCs w:val="24"/>
        </w:rPr>
        <w:t>9.8</w:t>
      </w:r>
      <w:r w:rsidR="004F6DC7">
        <w:rPr>
          <w:szCs w:val="24"/>
        </w:rPr>
        <w:t xml:space="preserve"> </w:t>
      </w:r>
      <w:r>
        <w:rPr>
          <w:szCs w:val="24"/>
        </w:rPr>
        <w:t>and</w:t>
      </w:r>
      <w:r w:rsidRPr="008C2A88">
        <w:rPr>
          <w:szCs w:val="24"/>
        </w:rPr>
        <w:t xml:space="preserve"> </w:t>
      </w:r>
      <w:r w:rsidR="00DE536E">
        <w:rPr>
          <w:szCs w:val="24"/>
        </w:rPr>
        <w:t>12 CFR</w:t>
      </w:r>
      <w:r w:rsidR="005D5D98">
        <w:rPr>
          <w:szCs w:val="24"/>
        </w:rPr>
        <w:t xml:space="preserve"> </w:t>
      </w:r>
      <w:r w:rsidR="004F6DC7">
        <w:rPr>
          <w:szCs w:val="24"/>
        </w:rPr>
        <w:t>150</w:t>
      </w:r>
      <w:r w:rsidR="002179DF">
        <w:rPr>
          <w:szCs w:val="24"/>
        </w:rPr>
        <w:t>.410 -</w:t>
      </w:r>
      <w:r w:rsidR="00844A3E">
        <w:rPr>
          <w:szCs w:val="24"/>
        </w:rPr>
        <w:t xml:space="preserve"> </w:t>
      </w:r>
      <w:r w:rsidR="002179DF">
        <w:rPr>
          <w:szCs w:val="24"/>
        </w:rPr>
        <w:t>150</w:t>
      </w:r>
      <w:r w:rsidRPr="008C2A88" w:rsidR="002179DF">
        <w:rPr>
          <w:szCs w:val="24"/>
        </w:rPr>
        <w:t>.430</w:t>
      </w:r>
      <w:r w:rsidR="00015D7F">
        <w:rPr>
          <w:szCs w:val="24"/>
        </w:rPr>
        <w:t xml:space="preserve"> </w:t>
      </w:r>
      <w:r>
        <w:t>require</w:t>
      </w:r>
      <w:r>
        <w:t xml:space="preserve"> national </w:t>
      </w:r>
      <w:r w:rsidR="006C7AA9">
        <w:t>banks</w:t>
      </w:r>
      <w:r>
        <w:t xml:space="preserve"> </w:t>
      </w:r>
      <w:r>
        <w:t xml:space="preserve">and FSAs </w:t>
      </w:r>
      <w:r>
        <w:t xml:space="preserve">with fiduciary powers to retain all fiduciary records relating to an account for a period of three years after termination of the account or of related litigation.  </w:t>
      </w:r>
      <w:r w:rsidR="00727F9E">
        <w:t>Twelve CFR</w:t>
      </w:r>
      <w:r w:rsidR="00727F9E">
        <w:rPr>
          <w:szCs w:val="24"/>
        </w:rPr>
        <w:t xml:space="preserve"> 9.9 and 150.480 </w:t>
      </w:r>
      <w:r>
        <w:t xml:space="preserve">also require that </w:t>
      </w:r>
      <w:r>
        <w:t xml:space="preserve">national </w:t>
      </w:r>
      <w:r w:rsidR="006C7AA9">
        <w:t>banks</w:t>
      </w:r>
      <w:r>
        <w:t xml:space="preserve"> </w:t>
      </w:r>
      <w:r>
        <w:t xml:space="preserve">and FSAs </w:t>
      </w:r>
      <w:r>
        <w:t xml:space="preserve">note </w:t>
      </w:r>
      <w:r w:rsidR="004F6DC7">
        <w:t xml:space="preserve">the </w:t>
      </w:r>
      <w:r>
        <w:t xml:space="preserve">results of </w:t>
      </w:r>
      <w:r w:rsidR="00DE536E">
        <w:t xml:space="preserve">any audits of </w:t>
      </w:r>
      <w:r>
        <w:t xml:space="preserve">fiduciary activities </w:t>
      </w:r>
      <w:r w:rsidR="00727F9E">
        <w:t xml:space="preserve">(and any significant actions taken as a result of the audits) </w:t>
      </w:r>
      <w:r w:rsidR="007F7C2C">
        <w:t xml:space="preserve">at least once </w:t>
      </w:r>
      <w:r>
        <w:t xml:space="preserve">annually in the minutes of the board of directors.  </w:t>
      </w:r>
      <w:r w:rsidR="00716C82">
        <w:t>T</w:t>
      </w:r>
      <w:r w:rsidR="007F7C2C">
        <w:t xml:space="preserve">hese </w:t>
      </w:r>
      <w:r>
        <w:t>requireme</w:t>
      </w:r>
      <w:r w:rsidR="00926FF8">
        <w:t>nts are n</w:t>
      </w:r>
      <w:r w:rsidR="00727F9E">
        <w:t>ecessary</w:t>
      </w:r>
      <w:r w:rsidR="00926FF8">
        <w:t xml:space="preserve"> to ensure </w:t>
      </w:r>
      <w:r w:rsidR="00727F9E">
        <w:t xml:space="preserve">the </w:t>
      </w:r>
      <w:r w:rsidR="00926FF8">
        <w:t xml:space="preserve">safety </w:t>
      </w:r>
      <w:r>
        <w:t xml:space="preserve">and soundness </w:t>
      </w:r>
      <w:r w:rsidR="00727F9E">
        <w:t>of</w:t>
      </w:r>
      <w:r>
        <w:t xml:space="preserve"> fiduciary activities.  Additionally, to ensure that the OCC has current information on which </w:t>
      </w:r>
      <w:r>
        <w:t xml:space="preserve">national </w:t>
      </w:r>
      <w:r w:rsidR="006C7AA9">
        <w:t>banks</w:t>
      </w:r>
      <w:r>
        <w:t xml:space="preserve"> </w:t>
      </w:r>
      <w:r>
        <w:t xml:space="preserve">and FSAs </w:t>
      </w:r>
      <w:r>
        <w:t>have fiduciary powers,</w:t>
      </w:r>
      <w:r w:rsidR="00727F9E">
        <w:t xml:space="preserve"> 12 CFR</w:t>
      </w:r>
      <w:r>
        <w:t xml:space="preserve"> part</w:t>
      </w:r>
      <w:r w:rsidR="00C25E87">
        <w:t>s</w:t>
      </w:r>
      <w:r>
        <w:t xml:space="preserve"> 9 </w:t>
      </w:r>
      <w:r w:rsidR="004F6DC7">
        <w:t xml:space="preserve">and 150 </w:t>
      </w:r>
      <w:r>
        <w:t xml:space="preserve">require </w:t>
      </w:r>
      <w:r w:rsidR="00727F9E">
        <w:t xml:space="preserve">that </w:t>
      </w:r>
      <w:r>
        <w:t>a</w:t>
      </w:r>
      <w:r w:rsidR="006C7AA9">
        <w:t xml:space="preserve"> bank</w:t>
      </w:r>
      <w:r>
        <w:t xml:space="preserve"> </w:t>
      </w:r>
      <w:r w:rsidR="00F44BCF">
        <w:t xml:space="preserve">or FSA </w:t>
      </w:r>
      <w:r w:rsidR="00694349">
        <w:t xml:space="preserve">seeking to surrender its fiduciary powers </w:t>
      </w:r>
      <w:r>
        <w:t>file a certified copy of a board resol</w:t>
      </w:r>
      <w:r w:rsidR="00C30097">
        <w:t xml:space="preserve">ution </w:t>
      </w:r>
      <w:r w:rsidR="00D85BDC">
        <w:t>evidencing th</w:t>
      </w:r>
      <w:r w:rsidR="00694349">
        <w:t>at</w:t>
      </w:r>
      <w:r w:rsidR="00D85BDC">
        <w:t xml:space="preserve"> </w:t>
      </w:r>
      <w:r w:rsidR="00086190">
        <w:t>intent.</w:t>
      </w:r>
    </w:p>
    <w:p w:rsidR="00EB169D" w:rsidP="00CA297A" w14:paraId="7D695B98" w14:textId="77777777"/>
    <w:p w:rsidR="00EB169D" w:rsidP="00CA297A" w14:paraId="4DEBCDE1" w14:textId="0D74584F">
      <w:pPr>
        <w:ind w:firstLine="720"/>
      </w:pPr>
      <w:r>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rsidRPr="009B0090" w:rsidR="009B0090">
        <w:t>(and 12 CFR 150.260 by cross-reference)</w:t>
      </w:r>
      <w:r w:rsidR="009B0090">
        <w:t xml:space="preserve"> </w:t>
      </w:r>
      <w:r>
        <w:t xml:space="preserve">require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w:t>
      </w:r>
      <w:r w:rsidR="00727F9E">
        <w:t>The Plan</w:t>
      </w:r>
      <w:r>
        <w:t xml:space="preserve"> contains provisions as to the manner in which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P="00CA297A" w14:paraId="6A460DB9" w14:textId="77777777"/>
    <w:p w:rsidR="00EB169D" w:rsidP="00CA297A" w14:paraId="1C895C02" w14:textId="436C991A">
      <w:pPr>
        <w:ind w:firstLine="720"/>
      </w:pPr>
      <w:r>
        <w:t>T</w:t>
      </w:r>
      <w:r>
        <w:t xml:space="preserve">o ensure that information on the performance of a </w:t>
      </w:r>
      <w:r w:rsidR="00926FF8">
        <w:t>CIF</w:t>
      </w:r>
      <w:r>
        <w:t xml:space="preserve"> is available to current and prospective fund participants, part 9 require</w:t>
      </w:r>
      <w:r w:rsidR="006C7AA9">
        <w:t>s</w:t>
      </w:r>
      <w:r>
        <w:t xml:space="preserve"> </w:t>
      </w:r>
      <w:r w:rsidR="00801B92">
        <w:t>a</w:t>
      </w:r>
      <w:r w:rsidR="00015D7F">
        <w:t>n institution</w:t>
      </w:r>
      <w:r>
        <w:t xml:space="preserve"> to prepare an annual financial report on each fund and to </w:t>
      </w:r>
      <w:r w:rsidR="00EC5265">
        <w:t xml:space="preserve">either provide a copy of the report to participants or </w:t>
      </w:r>
      <w:r>
        <w:t xml:space="preserve">notify participants of its availability.  The annual financial report for a </w:t>
      </w:r>
      <w:r w:rsidR="00926FF8">
        <w:t>CIF</w:t>
      </w:r>
      <w:r>
        <w:t xml:space="preserve"> is a basic disclosure document for fund participants.  The annual financial report contains, among other things, a list of fund investments </w:t>
      </w:r>
      <w:r>
        <w:t xml:space="preserve">with cost and market values of each; a statement showing purchases and sales since the previous report, with any profit or loss; income and disbursements for the year; </w:t>
      </w:r>
      <w:r w:rsidRPr="00376D38">
        <w:rPr>
          <w:u w:val="single"/>
        </w:rPr>
        <w:t>and</w:t>
      </w:r>
      <w:r>
        <w:t xml:space="preserve"> </w:t>
      </w:r>
      <w:r w:rsidR="007C0C8F">
        <w:t xml:space="preserve">a list of </w:t>
      </w:r>
      <w:r>
        <w:t>investments in default.</w:t>
      </w:r>
    </w:p>
    <w:p w:rsidR="004707D0" w:rsidP="00CA297A" w14:paraId="5C9B7E7C" w14:textId="77777777">
      <w:pPr>
        <w:rPr>
          <w:b/>
          <w:bCs/>
        </w:rPr>
      </w:pPr>
      <w:r>
        <w:rPr>
          <w:b/>
          <w:bCs/>
        </w:rPr>
        <w:tab/>
      </w:r>
    </w:p>
    <w:p w:rsidR="00A1633E" w:rsidP="0034036C" w14:paraId="07ED962C" w14:textId="1FF1CDF2">
      <w:pPr>
        <w:ind w:firstLine="720"/>
        <w:rPr>
          <w:rFonts w:eastAsia="Arial Unicode MS"/>
        </w:rPr>
      </w:pPr>
      <w:r>
        <w:rPr>
          <w:rFonts w:eastAsia="Arial Unicode MS"/>
        </w:rPr>
        <w:t xml:space="preserve">Part 9 </w:t>
      </w:r>
      <w:r w:rsidR="002179DF">
        <w:rPr>
          <w:rFonts w:eastAsia="Arial Unicode MS"/>
        </w:rPr>
        <w:t>includ</w:t>
      </w:r>
      <w:r>
        <w:rPr>
          <w:rFonts w:eastAsia="Arial Unicode MS"/>
        </w:rPr>
        <w:t>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This</w:t>
      </w:r>
      <w:r w:rsidR="007C0C8F">
        <w:rPr>
          <w:rFonts w:eastAsia="Arial Unicode MS"/>
        </w:rPr>
        <w:t xml:space="preserve"> requirement</w:t>
      </w:r>
      <w:r w:rsidR="004707D0">
        <w:rPr>
          <w:rFonts w:eastAsia="Arial Unicode MS"/>
        </w:rPr>
        <w:t xml:space="preserve"> </w:t>
      </w:r>
      <w:r>
        <w:rPr>
          <w:rFonts w:eastAsia="Arial Unicode MS"/>
        </w:rPr>
        <w:t>is</w:t>
      </w:r>
      <w:r w:rsidR="004707D0">
        <w:rPr>
          <w:rFonts w:eastAsia="Arial Unicode MS"/>
        </w:rPr>
        <w:t xml:space="preserve"> </w:t>
      </w:r>
      <w:r w:rsidR="007C0C8F">
        <w:rPr>
          <w:rFonts w:eastAsia="Arial Unicode MS"/>
        </w:rPr>
        <w:t xml:space="preserve">intended </w:t>
      </w:r>
      <w:r w:rsidR="004707D0">
        <w:rPr>
          <w:rFonts w:eastAsia="Arial Unicode MS"/>
        </w:rPr>
        <w:t xml:space="preserve">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Pr="008D244B" w:rsidR="008D244B">
        <w:rPr>
          <w:rFonts w:eastAsia="Arial Unicode MS"/>
        </w:rPr>
        <w:t>Under part 9</w:t>
      </w:r>
      <w:r w:rsidR="002631E4">
        <w:rPr>
          <w:rFonts w:eastAsia="Arial Unicode MS"/>
        </w:rPr>
        <w:t>,</w:t>
      </w:r>
      <w:r w:rsidRPr="008D244B" w:rsidR="008D244B">
        <w:rPr>
          <w:rFonts w:eastAsia="Arial Unicode MS"/>
        </w:rPr>
        <w:t xml:space="preserve"> </w:t>
      </w:r>
      <w:r w:rsidR="0034036C">
        <w:rPr>
          <w:rFonts w:eastAsia="Arial Unicode MS"/>
        </w:rPr>
        <w:t xml:space="preserve">a </w:t>
      </w:r>
      <w:r w:rsidR="00A4567F">
        <w:rPr>
          <w:rFonts w:eastAsia="Arial Unicode MS"/>
        </w:rPr>
        <w:t>national bank or FSA</w:t>
      </w:r>
      <w:r w:rsidR="0034036C">
        <w:rPr>
          <w:rFonts w:eastAsia="Arial Unicode MS"/>
        </w:rPr>
        <w:t xml:space="preserve"> </w:t>
      </w:r>
      <w:r w:rsidR="00A4567F">
        <w:rPr>
          <w:rFonts w:eastAsia="Arial Unicode MS"/>
        </w:rPr>
        <w:t>administering</w:t>
      </w:r>
      <w:r w:rsidR="0034036C">
        <w:rPr>
          <w:rFonts w:eastAsia="Arial Unicode MS"/>
        </w:rPr>
        <w:t xml:space="preserve"> a CIF that is</w:t>
      </w:r>
      <w:r w:rsidR="002631E4">
        <w:rPr>
          <w:rFonts w:eastAsia="Arial Unicode MS"/>
        </w:rPr>
        <w:t xml:space="preserve"> invested primarily in real-estate or other assets that are not readily marketable </w:t>
      </w:r>
      <w:r w:rsidRPr="0034036C" w:rsidR="0034036C">
        <w:rPr>
          <w:rFonts w:eastAsia="Arial Unicode MS"/>
        </w:rPr>
        <w:t>may require a prior notice period, not to exceed one year, for withdrawals</w:t>
      </w:r>
      <w:r w:rsidR="002631E4">
        <w:rPr>
          <w:rFonts w:eastAsia="Arial Unicode MS"/>
        </w:rPr>
        <w:t xml:space="preserve">. In addition, </w:t>
      </w:r>
      <w:r w:rsidRPr="008D244B" w:rsidR="008D244B">
        <w:rPr>
          <w:rFonts w:eastAsia="Arial Unicode MS"/>
        </w:rPr>
        <w:t xml:space="preserve">with the OCC’s approval, and if certain conditions are satisfied, a bank may withdraw an account from a collective investment fund up to one year after the end of the standard withdrawal period.  In addition, a bank may request that the OCC approve an extension beyond the one-year extension period if certain conditions are satisfied.  Extensions </w:t>
      </w:r>
      <w:r w:rsidR="00B8782D">
        <w:rPr>
          <w:rFonts w:eastAsia="Arial Unicode MS"/>
        </w:rPr>
        <w:t>beyond</w:t>
      </w:r>
      <w:r w:rsidRPr="008D244B" w:rsidR="008D244B">
        <w:rPr>
          <w:rFonts w:eastAsia="Arial Unicode MS"/>
        </w:rPr>
        <w:t xml:space="preserve"> the initial one-year extension must be requested and approved annually, for a maximum of two years after the initial one-year extension period.</w:t>
      </w:r>
    </w:p>
    <w:p w:rsidR="00A1633E" w:rsidP="00A02EDB" w14:paraId="19911067" w14:textId="77777777">
      <w:pPr>
        <w:ind w:firstLine="720"/>
        <w:rPr>
          <w:rFonts w:eastAsia="Arial Unicode MS"/>
        </w:rPr>
      </w:pPr>
    </w:p>
    <w:p w:rsidR="004707D0" w:rsidP="00A02EDB" w14:paraId="54503902" w14:textId="1EAA5353">
      <w:pPr>
        <w:ind w:firstLine="720"/>
        <w:rPr>
          <w:rFonts w:eastAsia="Arial Unicode MS"/>
        </w:rPr>
      </w:pPr>
      <w:r>
        <w:rPr>
          <w:rFonts w:eastAsia="Arial Unicode MS"/>
        </w:rPr>
        <w:t>A</w:t>
      </w:r>
      <w:r w:rsidR="009450C6">
        <w:rPr>
          <w:rFonts w:eastAsia="Arial Unicode MS"/>
        </w:rPr>
        <w:t xml:space="preserve"> </w:t>
      </w:r>
      <w:r w:rsidR="00D56F32">
        <w:rPr>
          <w:rFonts w:eastAsia="Arial Unicode MS"/>
        </w:rPr>
        <w:t>short-term investment fund (</w:t>
      </w:r>
      <w:r w:rsidR="009450C6">
        <w:rPr>
          <w:rFonts w:eastAsia="Arial Unicode MS"/>
        </w:rPr>
        <w:t>STIF</w:t>
      </w:r>
      <w:r w:rsidR="00D56F32">
        <w:rPr>
          <w:rFonts w:eastAsia="Arial Unicode MS"/>
        </w:rPr>
        <w:t>)</w:t>
      </w:r>
      <w:r w:rsidR="009450C6">
        <w:rPr>
          <w:rFonts w:eastAsia="Arial Unicode MS"/>
        </w:rPr>
        <w:t xml:space="preserve"> i</w:t>
      </w:r>
      <w:r>
        <w:rPr>
          <w:rFonts w:eastAsia="Arial Unicode MS"/>
        </w:rPr>
        <w:t xml:space="preserve">s a type of CIF that permits a </w:t>
      </w:r>
      <w:r w:rsidRPr="0089614B">
        <w:rPr>
          <w:rFonts w:eastAsia="Arial Unicode MS"/>
        </w:rPr>
        <w:t xml:space="preserve">bank </w:t>
      </w:r>
      <w:r w:rsidR="009A4DD6">
        <w:rPr>
          <w:rFonts w:eastAsia="Arial Unicode MS"/>
        </w:rPr>
        <w:t xml:space="preserve">or FSA </w:t>
      </w:r>
      <w:r>
        <w:rPr>
          <w:rFonts w:eastAsia="Arial Unicode MS"/>
        </w:rPr>
        <w:t xml:space="preserve">to </w:t>
      </w:r>
      <w:r w:rsidRPr="0089614B">
        <w:rPr>
          <w:rFonts w:eastAsia="Arial Unicode MS"/>
        </w:rPr>
        <w:t xml:space="preserve">value </w:t>
      </w:r>
      <w:r>
        <w:rPr>
          <w:rFonts w:eastAsia="Arial Unicode MS"/>
        </w:rPr>
        <w:t xml:space="preserve">the STIF's </w:t>
      </w:r>
      <w:r w:rsidRPr="0089614B">
        <w:rPr>
          <w:rFonts w:eastAsia="Arial Unicode MS"/>
        </w:rPr>
        <w:t>assets on a</w:t>
      </w:r>
      <w:r>
        <w:rPr>
          <w:rFonts w:eastAsia="Arial Unicode MS"/>
        </w:rPr>
        <w:t>n amortized</w:t>
      </w:r>
      <w:r w:rsidRPr="0089614B">
        <w:rPr>
          <w:rFonts w:eastAsia="Arial Unicode MS"/>
        </w:rPr>
        <w:t xml:space="preserve"> cost basis, rather than at market value, for purposes of admissions and wit</w:t>
      </w:r>
      <w:r>
        <w:rPr>
          <w:rFonts w:eastAsia="Arial Unicode MS"/>
        </w:rPr>
        <w:t>hdrawals</w:t>
      </w:r>
      <w:r w:rsidR="003D3486">
        <w:rPr>
          <w:rFonts w:eastAsia="Arial Unicode MS"/>
        </w:rPr>
        <w:t>, which</w:t>
      </w:r>
      <w:r>
        <w:rPr>
          <w:rFonts w:eastAsia="Arial Unicode MS"/>
        </w:rPr>
        <w:t xml:space="preserve"> is an exception to the general rule of market valuation.  </w:t>
      </w:r>
      <w:r w:rsidR="00474A6B">
        <w:rPr>
          <w:rFonts w:eastAsia="Arial Unicode MS"/>
        </w:rPr>
        <w:t>A STIF must meet certain conditions t</w:t>
      </w:r>
      <w:r>
        <w:rPr>
          <w:rFonts w:eastAsia="Arial Unicode MS"/>
        </w:rPr>
        <w:t>o qualify for this exception</w:t>
      </w:r>
      <w:r w:rsidR="006766C1">
        <w:rPr>
          <w:rFonts w:eastAsia="Arial Unicode MS"/>
        </w:rPr>
        <w:t xml:space="preserve"> such as </w:t>
      </w:r>
      <w:r w:rsidR="00794946">
        <w:rPr>
          <w:rFonts w:eastAsia="Arial Unicode MS"/>
        </w:rPr>
        <w:t>o</w:t>
      </w:r>
      <w:r w:rsidRPr="00A02EDB" w:rsidR="00A02EDB">
        <w:rPr>
          <w:rFonts w:eastAsia="Arial Unicode MS"/>
        </w:rPr>
        <w:t>perat</w:t>
      </w:r>
      <w:r w:rsidR="00E82505">
        <w:rPr>
          <w:rFonts w:eastAsia="Arial Unicode MS"/>
        </w:rPr>
        <w:t>ing</w:t>
      </w:r>
      <w:r w:rsidRPr="00A02EDB" w:rsidR="00A02EDB">
        <w:rPr>
          <w:rFonts w:eastAsia="Arial Unicode MS"/>
        </w:rPr>
        <w:t xml:space="preserve"> with a stable net asset value of $1.00 per participating interest as a primary fund objective</w:t>
      </w:r>
      <w:r w:rsidR="00E82505">
        <w:rPr>
          <w:rFonts w:eastAsia="Arial Unicode MS"/>
        </w:rPr>
        <w:t xml:space="preserve"> and</w:t>
      </w:r>
      <w:r>
        <w:rPr>
          <w:rFonts w:eastAsia="Arial Unicode MS"/>
        </w:rPr>
        <w:t xml:space="preserve"> </w:t>
      </w:r>
      <w:r w:rsidR="00794946">
        <w:rPr>
          <w:rFonts w:eastAsia="Arial Unicode MS"/>
        </w:rPr>
        <w:t>m</w:t>
      </w:r>
      <w:r w:rsidRPr="00A02EDB" w:rsidR="00A02EDB">
        <w:rPr>
          <w:rFonts w:eastAsia="Arial Unicode MS"/>
        </w:rPr>
        <w:t>aintain</w:t>
      </w:r>
      <w:r w:rsidR="00E82505">
        <w:rPr>
          <w:rFonts w:eastAsia="Arial Unicode MS"/>
        </w:rPr>
        <w:t>ing</w:t>
      </w:r>
      <w:r w:rsidRPr="00A02EDB" w:rsidR="00A02EDB">
        <w:rPr>
          <w:rFonts w:eastAsia="Arial Unicode MS"/>
        </w:rPr>
        <w:t xml:space="preserve">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992765">
        <w:rPr>
          <w:rFonts w:eastAsia="Arial Unicode MS"/>
        </w:rPr>
        <w:t>.</w:t>
      </w:r>
      <w:r w:rsidRPr="00A02EDB" w:rsidR="00A02EDB">
        <w:rPr>
          <w:rFonts w:eastAsia="Arial Unicode MS"/>
        </w:rPr>
        <w:t xml:space="preserve"> </w:t>
      </w:r>
      <w:r w:rsidR="00FE5D33">
        <w:rPr>
          <w:rFonts w:eastAsia="Arial Unicode MS"/>
        </w:rPr>
        <w:t xml:space="preserve">By </w:t>
      </w:r>
      <w:r>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Pr>
          <w:rFonts w:eastAsia="Arial Unicode MS"/>
        </w:rPr>
        <w:t>absent atypical market conditions or default o</w:t>
      </w:r>
      <w:r w:rsidR="006B3092">
        <w:rPr>
          <w:rFonts w:eastAsia="Arial Unicode MS"/>
        </w:rPr>
        <w:t>f</w:t>
      </w:r>
      <w:r>
        <w:rPr>
          <w:rFonts w:eastAsia="Arial Unicode MS"/>
        </w:rPr>
        <w:t xml:space="preserve"> an asset.  </w:t>
      </w:r>
    </w:p>
    <w:p w:rsidR="00271825" w:rsidRPr="004F6DD9" w:rsidP="00CA297A" w14:paraId="24A7D307" w14:textId="77777777">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FF3F21" w:rsidP="00CA297A" w14:paraId="55576A17" w14:textId="77777777">
      <w:pPr>
        <w:ind w:firstLine="720"/>
        <w:rPr>
          <w:rFonts w:eastAsia="Arial Unicode MS"/>
        </w:rPr>
      </w:pPr>
      <w:r>
        <w:rPr>
          <w:rFonts w:eastAsia="Arial Unicode MS"/>
        </w:rPr>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 xml:space="preserve">. </w:t>
      </w:r>
    </w:p>
    <w:p w:rsidR="00600A45" w:rsidP="00EB2A30" w14:paraId="71B797BE" w14:textId="77777777">
      <w:pPr>
        <w:pStyle w:val="BodyText"/>
        <w:rPr>
          <w:b/>
          <w:bCs/>
        </w:rPr>
      </w:pPr>
    </w:p>
    <w:p w:rsidR="00EB2A30" w:rsidP="00EB2A30" w14:paraId="2B4537D4" w14:textId="77777777">
      <w:pPr>
        <w:pStyle w:val="BodyText"/>
        <w:rPr>
          <w:b/>
          <w:bCs/>
        </w:rPr>
      </w:pPr>
      <w:r>
        <w:rPr>
          <w:b/>
          <w:bCs/>
        </w:rPr>
        <w:t>2.  Use of the information:</w:t>
      </w:r>
    </w:p>
    <w:p w:rsidR="00271825" w:rsidP="00CA297A" w14:paraId="197B97C2" w14:textId="77777777"/>
    <w:p w:rsidR="000D72FD" w:rsidP="00CA297A" w14:paraId="3579BBDA" w14:textId="5AF6BE8C">
      <w:pPr>
        <w:ind w:firstLine="720"/>
      </w:pPr>
      <w:r>
        <w:t>National b</w:t>
      </w:r>
      <w:r w:rsidR="00925A6E">
        <w:t>anks</w:t>
      </w:r>
      <w:r w:rsidR="00271825">
        <w:t xml:space="preserve"> </w:t>
      </w:r>
      <w:r>
        <w:t xml:space="preserve">and FSAs </w:t>
      </w:r>
      <w:r w:rsidR="00271825">
        <w:t>use</w:t>
      </w:r>
      <w:r w:rsidR="00C05EF2">
        <w:t xml:space="preserve"> </w:t>
      </w:r>
      <w:r w:rsidR="007C0C8F">
        <w:t xml:space="preserve">the </w:t>
      </w:r>
      <w:r w:rsidR="00AC7797">
        <w:t>Plan</w:t>
      </w:r>
      <w:r>
        <w:t xml:space="preserve"> to establish </w:t>
      </w:r>
      <w:r w:rsidR="007C0C8F">
        <w:t xml:space="preserve">the </w:t>
      </w:r>
      <w:r>
        <w:t xml:space="preserve">operational parameters of a </w:t>
      </w:r>
      <w:r w:rsidR="00926FF8">
        <w:t>CIF</w:t>
      </w:r>
      <w:r>
        <w:t xml:space="preserve"> and disclose this information to fund participants.  The OCC uses the </w:t>
      </w:r>
      <w:r w:rsidR="00AC7797">
        <w:t>Plan</w:t>
      </w:r>
      <w:r>
        <w:t xml:space="preserve"> and the annual financial report to ensure </w:t>
      </w:r>
      <w:r>
        <w:t xml:space="preserve">the compliance of national </w:t>
      </w:r>
      <w:r w:rsidR="00925A6E">
        <w:t>bank</w:t>
      </w:r>
      <w:r>
        <w:t>s and FSAs</w:t>
      </w:r>
      <w:r>
        <w:t xml:space="preserve"> with provisions of the governing regulation</w:t>
      </w:r>
      <w:r w:rsidR="00C05EF2">
        <w:t>s</w:t>
      </w:r>
      <w:r>
        <w:t xml:space="preserve"> (12 CFR 9.18) in </w:t>
      </w:r>
      <w:r>
        <w:t>their</w:t>
      </w:r>
      <w:r>
        <w:t xml:space="preserve"> operation</w:t>
      </w:r>
      <w:r>
        <w:t>s</w:t>
      </w:r>
      <w:r>
        <w:t xml:space="preserve"> of a </w:t>
      </w:r>
      <w:r w:rsidR="00926FF8">
        <w:t>CIF</w:t>
      </w:r>
      <w:r>
        <w:t>.</w:t>
      </w:r>
    </w:p>
    <w:p w:rsidR="000D72FD" w:rsidP="00CA297A" w14:paraId="1A2873E3" w14:textId="77777777"/>
    <w:p w:rsidR="000D72FD" w:rsidP="00CA297A" w14:paraId="1CF28F34" w14:textId="46F8E437">
      <w:pPr>
        <w:ind w:firstLine="720"/>
      </w:pPr>
      <w:r>
        <w:t xml:space="preserve">Participants and other members of the public use the </w:t>
      </w:r>
      <w:r w:rsidR="00AC7797">
        <w:t>Plan</w:t>
      </w:r>
      <w:r>
        <w:t xml:space="preserve"> and the annual financial report to obtain information about the </w:t>
      </w:r>
      <w:r w:rsidR="007C0C8F">
        <w:t>CIF</w:t>
      </w:r>
      <w:r>
        <w:t xml:space="preserve">, including its financial performance.  The </w:t>
      </w:r>
      <w:r w:rsidR="00AC7797">
        <w:t>Plan</w:t>
      </w:r>
      <w:r>
        <w:t xml:space="preserve"> and the annual financial report inform and protect the investing public.</w:t>
      </w:r>
    </w:p>
    <w:p w:rsidR="00271825" w:rsidP="00CA297A" w14:paraId="206C7929" w14:textId="77777777">
      <w:pPr>
        <w:ind w:firstLine="720"/>
      </w:pPr>
    </w:p>
    <w:p w:rsidR="0059351F" w:rsidP="00CA297A" w14:paraId="7C70E75E" w14:textId="27CBE2D1">
      <w:pPr>
        <w:ind w:firstLine="720"/>
      </w:pPr>
      <w:r>
        <w:t>Section-by-Section Analysis</w:t>
      </w:r>
      <w:r w:rsidR="009F1909">
        <w:t xml:space="preserve"> </w:t>
      </w:r>
    </w:p>
    <w:p w:rsidR="0059351F" w:rsidP="00CA297A" w14:paraId="1268FA50" w14:textId="77777777">
      <w:pPr>
        <w:ind w:firstLine="720"/>
      </w:pPr>
    </w:p>
    <w:p w:rsidR="00CA297A" w:rsidP="00CA297A" w14:paraId="60577799" w14:textId="03C63BBA">
      <w:pPr>
        <w:rPr>
          <w:szCs w:val="24"/>
        </w:rPr>
      </w:pPr>
      <w:r w:rsidRPr="008C2A88">
        <w:rPr>
          <w:szCs w:val="24"/>
        </w:rPr>
        <w:tab/>
        <w:t xml:space="preserve">Twelve CFR 9.8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must be retained for a period of three years from the later of the termination of the account or the termination of any litigation.  The records must be separate and distinct from other records of the institution.</w:t>
      </w:r>
    </w:p>
    <w:p w:rsidR="00794946" w:rsidRPr="008C2A88" w:rsidP="00CA297A" w14:paraId="16940CB0" w14:textId="77777777">
      <w:pPr>
        <w:rPr>
          <w:szCs w:val="24"/>
        </w:rPr>
      </w:pPr>
    </w:p>
    <w:p w:rsidR="00CA297A" w:rsidP="00CA297A" w14:paraId="48B78930" w14:textId="23F9FDA2">
      <w:pPr>
        <w:rPr>
          <w:szCs w:val="24"/>
        </w:rPr>
      </w:pPr>
      <w:r w:rsidRPr="008C2A88">
        <w:rPr>
          <w:szCs w:val="24"/>
        </w:rPr>
        <w:tab/>
      </w:r>
      <w:r w:rsidR="00C70749">
        <w:rPr>
          <w:szCs w:val="24"/>
        </w:rPr>
        <w:t xml:space="preserve">Twelve </w:t>
      </w:r>
      <w:r w:rsidRPr="008C2A88">
        <w:rPr>
          <w:szCs w:val="24"/>
        </w:rPr>
        <w:t xml:space="preserve">CFR 9.9 </w:t>
      </w:r>
      <w:r>
        <w:rPr>
          <w:szCs w:val="24"/>
        </w:rPr>
        <w:t>and</w:t>
      </w:r>
      <w:r w:rsidRPr="008C2A88">
        <w:rPr>
          <w:szCs w:val="24"/>
        </w:rPr>
        <w:t xml:space="preserve"> 150.480 require </w:t>
      </w:r>
      <w:r w:rsidR="008D0D67">
        <w:rPr>
          <w:szCs w:val="24"/>
        </w:rPr>
        <w:t>national banks and FSAs</w:t>
      </w:r>
      <w:r w:rsidRPr="008C2A88">
        <w:rPr>
          <w:szCs w:val="24"/>
        </w:rPr>
        <w:t xml:space="preserve"> to note the results of an</w:t>
      </w:r>
      <w:r w:rsidR="00E21663">
        <w:rPr>
          <w:szCs w:val="24"/>
        </w:rPr>
        <w:t>y</w:t>
      </w:r>
      <w:r w:rsidRPr="008C2A88">
        <w:rPr>
          <w:szCs w:val="24"/>
        </w:rPr>
        <w:t xml:space="preserve"> audit </w:t>
      </w:r>
      <w:r w:rsidR="00E21663">
        <w:rPr>
          <w:szCs w:val="24"/>
        </w:rPr>
        <w:t xml:space="preserve">conducted </w:t>
      </w:r>
      <w:r w:rsidRPr="008C2A88">
        <w:rPr>
          <w:szCs w:val="24"/>
        </w:rPr>
        <w:t xml:space="preserve">(including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as a result of the audits) in the minutes of the board of directors at least once during each calendar year.</w:t>
      </w:r>
    </w:p>
    <w:p w:rsidR="00794946" w:rsidRPr="008C2A88" w:rsidP="00CA297A" w14:paraId="4416DAB1" w14:textId="77777777">
      <w:pPr>
        <w:rPr>
          <w:szCs w:val="24"/>
        </w:rPr>
      </w:pPr>
    </w:p>
    <w:p w:rsidR="00CA297A" w:rsidRPr="008C2A88" w:rsidP="00CA297A" w14:paraId="3BD0937D" w14:textId="2829F288">
      <w:pPr>
        <w:rPr>
          <w:szCs w:val="24"/>
        </w:rPr>
      </w:pPr>
      <w:r>
        <w:rPr>
          <w:szCs w:val="24"/>
        </w:rPr>
        <w:tab/>
      </w:r>
      <w:r w:rsidRPr="008C2A88">
        <w:rPr>
          <w:szCs w:val="24"/>
        </w:rPr>
        <w:t xml:space="preserve">Twelve CFR 9.17(a) </w:t>
      </w:r>
      <w:r>
        <w:rPr>
          <w:szCs w:val="24"/>
        </w:rPr>
        <w:t>and</w:t>
      </w:r>
      <w:r w:rsidRPr="008C2A88">
        <w:rPr>
          <w:szCs w:val="24"/>
        </w:rPr>
        <w:t xml:space="preserve"> 150.530 require that an institution seeking to surrender its fiduciary powers file with the OCC a certified copy of the resolution of its board of directors evidencing that intent.</w:t>
      </w:r>
    </w:p>
    <w:p w:rsidR="00CA297A" w:rsidRPr="008C2A88" w:rsidP="00CA297A" w14:paraId="4BB6FE6C" w14:textId="77777777">
      <w:pPr>
        <w:rPr>
          <w:szCs w:val="24"/>
        </w:rPr>
      </w:pPr>
    </w:p>
    <w:p w:rsidR="00CA297A" w:rsidP="00CA297A" w14:paraId="464B512C" w14:textId="200BC64D">
      <w:pPr>
        <w:rPr>
          <w:szCs w:val="24"/>
        </w:rPr>
      </w:pPr>
      <w:r>
        <w:rPr>
          <w:szCs w:val="24"/>
        </w:rPr>
        <w:tab/>
      </w:r>
      <w:r w:rsidRPr="008C2A88">
        <w:rPr>
          <w:szCs w:val="24"/>
        </w:rPr>
        <w:t>Twelve CFR 9.18(b)(1)</w:t>
      </w:r>
      <w:bookmarkStart w:id="0" w:name="_Hlk64449530"/>
      <w:r w:rsidRPr="008C2A88">
        <w:rPr>
          <w:szCs w:val="24"/>
        </w:rPr>
        <w:t xml:space="preserve"> </w:t>
      </w:r>
      <w:bookmarkStart w:id="1" w:name="_Hlk64449576"/>
      <w:r w:rsidR="004A1442">
        <w:rPr>
          <w:szCs w:val="24"/>
        </w:rPr>
        <w:t>(</w:t>
      </w:r>
      <w:r>
        <w:rPr>
          <w:szCs w:val="24"/>
        </w:rPr>
        <w:t>and</w:t>
      </w:r>
      <w:r w:rsidRPr="008C2A88">
        <w:rPr>
          <w:szCs w:val="24"/>
        </w:rPr>
        <w:t xml:space="preserve"> 12 CFR 150.260</w:t>
      </w:r>
      <w:r w:rsidR="004A1442">
        <w:rPr>
          <w:szCs w:val="24"/>
        </w:rPr>
        <w:t xml:space="preserve"> by cross-reference)</w:t>
      </w:r>
      <w:bookmarkEnd w:id="1"/>
      <w:r>
        <w:rPr>
          <w:szCs w:val="24"/>
        </w:rPr>
        <w:t xml:space="preserve"> </w:t>
      </w:r>
      <w:bookmarkEnd w:id="0"/>
      <w:r>
        <w:rPr>
          <w:szCs w:val="24"/>
        </w:rPr>
        <w:t>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t>
      </w:r>
      <w:r w:rsidR="00B813A4">
        <w:rPr>
          <w:szCs w:val="24"/>
        </w:rPr>
        <w:t>P</w:t>
      </w:r>
      <w:r w:rsidRPr="008C2A88">
        <w:rPr>
          <w:szCs w:val="24"/>
        </w:rPr>
        <w:t xml:space="preserve">lan.  The </w:t>
      </w:r>
      <w:r w:rsidR="00B813A4">
        <w:rPr>
          <w:szCs w:val="24"/>
        </w:rPr>
        <w:t>P</w:t>
      </w:r>
      <w:r w:rsidRPr="008C2A88">
        <w:rPr>
          <w:szCs w:val="24"/>
        </w:rPr>
        <w:t>lan must include provisions relating to:</w:t>
      </w:r>
    </w:p>
    <w:p w:rsidR="00600A45" w:rsidRPr="008C2A88" w:rsidP="00CA297A" w14:paraId="5275D9F4" w14:textId="77777777">
      <w:pPr>
        <w:rPr>
          <w:szCs w:val="24"/>
        </w:rPr>
      </w:pPr>
    </w:p>
    <w:p w:rsidR="00CA297A" w:rsidRPr="008C2A88" w:rsidP="00CA297A" w14:paraId="0E373EBC" w14:textId="77777777">
      <w:pPr>
        <w:numPr>
          <w:ilvl w:val="0"/>
          <w:numId w:val="18"/>
        </w:numPr>
        <w:rPr>
          <w:szCs w:val="24"/>
        </w:rPr>
      </w:pPr>
      <w:r w:rsidRPr="008C2A88">
        <w:rPr>
          <w:szCs w:val="24"/>
        </w:rPr>
        <w:t>Investment powers and policies;</w:t>
      </w:r>
    </w:p>
    <w:p w:rsidR="00CA297A" w:rsidRPr="008C2A88" w:rsidP="00CA297A" w14:paraId="786E64A5" w14:textId="77777777">
      <w:pPr>
        <w:numPr>
          <w:ilvl w:val="0"/>
          <w:numId w:val="18"/>
        </w:numPr>
        <w:rPr>
          <w:szCs w:val="24"/>
        </w:rPr>
      </w:pPr>
      <w:r w:rsidRPr="008C2A88">
        <w:rPr>
          <w:szCs w:val="24"/>
        </w:rPr>
        <w:t>Allocation of income, profits, and losses;</w:t>
      </w:r>
    </w:p>
    <w:p w:rsidR="00CA297A" w:rsidRPr="008C2A88" w:rsidP="00CA297A" w14:paraId="3E18108B" w14:textId="77777777">
      <w:pPr>
        <w:numPr>
          <w:ilvl w:val="0"/>
          <w:numId w:val="18"/>
        </w:numPr>
        <w:rPr>
          <w:szCs w:val="24"/>
        </w:rPr>
      </w:pPr>
      <w:r w:rsidRPr="008C2A88">
        <w:rPr>
          <w:szCs w:val="24"/>
        </w:rPr>
        <w:t>Fees and expenses that will be charged to the fund and to participating accounts;</w:t>
      </w:r>
    </w:p>
    <w:p w:rsidR="00CA297A" w:rsidRPr="008C2A88" w:rsidP="00CA297A" w14:paraId="3C3F6F0D" w14:textId="77777777">
      <w:pPr>
        <w:numPr>
          <w:ilvl w:val="0"/>
          <w:numId w:val="18"/>
        </w:numPr>
        <w:rPr>
          <w:szCs w:val="24"/>
        </w:rPr>
      </w:pPr>
      <w:r w:rsidRPr="008C2A88">
        <w:rPr>
          <w:szCs w:val="24"/>
        </w:rPr>
        <w:t>Terms and conditions regarding admission and withdrawal of participating accounts;</w:t>
      </w:r>
    </w:p>
    <w:p w:rsidR="00CA297A" w:rsidRPr="008C2A88" w:rsidP="00CA297A" w14:paraId="6894154B" w14:textId="77777777">
      <w:pPr>
        <w:numPr>
          <w:ilvl w:val="0"/>
          <w:numId w:val="18"/>
        </w:numPr>
        <w:rPr>
          <w:szCs w:val="24"/>
        </w:rPr>
      </w:pPr>
      <w:r w:rsidRPr="008C2A88">
        <w:rPr>
          <w:szCs w:val="24"/>
        </w:rPr>
        <w:t>Audits of participating accounts;</w:t>
      </w:r>
    </w:p>
    <w:p w:rsidR="00CA297A" w:rsidRPr="008C2A88" w:rsidP="00CA297A" w14:paraId="1401DAB4" w14:textId="77777777">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rsidR="00CA297A" w:rsidRPr="008C2A88" w:rsidP="00CA297A" w14:paraId="262FF9EB" w14:textId="77777777">
      <w:pPr>
        <w:numPr>
          <w:ilvl w:val="0"/>
          <w:numId w:val="18"/>
        </w:numPr>
        <w:rPr>
          <w:szCs w:val="24"/>
        </w:rPr>
      </w:pPr>
      <w:r w:rsidRPr="008C2A88">
        <w:rPr>
          <w:szCs w:val="24"/>
        </w:rPr>
        <w:t>Expected frequency for income distribution</w:t>
      </w:r>
      <w:r w:rsidR="00582B8E">
        <w:rPr>
          <w:szCs w:val="24"/>
        </w:rPr>
        <w:t xml:space="preserve"> to participating accounts;</w:t>
      </w:r>
    </w:p>
    <w:p w:rsidR="00CA297A" w:rsidRPr="008C2A88" w:rsidP="00CA297A" w14:paraId="19936DA3" w14:textId="77777777">
      <w:pPr>
        <w:numPr>
          <w:ilvl w:val="0"/>
          <w:numId w:val="18"/>
        </w:numPr>
        <w:rPr>
          <w:szCs w:val="24"/>
        </w:rPr>
      </w:pPr>
      <w:r w:rsidRPr="008C2A88">
        <w:rPr>
          <w:szCs w:val="24"/>
        </w:rPr>
        <w:t>Minimum frequency for valuation of fund assets;</w:t>
      </w:r>
    </w:p>
    <w:p w:rsidR="00CA297A" w:rsidRPr="008C2A88" w:rsidP="00CA297A" w14:paraId="47E1C1B5" w14:textId="77777777">
      <w:pPr>
        <w:numPr>
          <w:ilvl w:val="0"/>
          <w:numId w:val="18"/>
        </w:numPr>
        <w:rPr>
          <w:szCs w:val="24"/>
        </w:rPr>
      </w:pPr>
      <w:r w:rsidRPr="008C2A88">
        <w:rPr>
          <w:szCs w:val="24"/>
        </w:rPr>
        <w:t>Amount of time following a valuation date during which the valuation must be made;</w:t>
      </w:r>
    </w:p>
    <w:p w:rsidR="00CA297A" w:rsidRPr="008C2A88" w:rsidP="00CA297A" w14:paraId="3AD11F23" w14:textId="77777777">
      <w:pPr>
        <w:numPr>
          <w:ilvl w:val="0"/>
          <w:numId w:val="18"/>
        </w:numPr>
        <w:rPr>
          <w:szCs w:val="24"/>
        </w:rPr>
      </w:pPr>
      <w:r w:rsidRPr="008C2A88">
        <w:rPr>
          <w:szCs w:val="24"/>
        </w:rPr>
        <w:t>Bases upon which the institution may terminate the fund; and</w:t>
      </w:r>
    </w:p>
    <w:p w:rsidR="00CA297A" w:rsidP="00CA297A" w14:paraId="03A44827" w14:textId="77777777">
      <w:pPr>
        <w:numPr>
          <w:ilvl w:val="0"/>
          <w:numId w:val="18"/>
        </w:numPr>
        <w:rPr>
          <w:szCs w:val="24"/>
        </w:rPr>
      </w:pPr>
      <w:r w:rsidRPr="008C2A88">
        <w:rPr>
          <w:szCs w:val="24"/>
        </w:rPr>
        <w:t>Any other matters necessary to define clearly the rights of participating accounts</w:t>
      </w:r>
      <w:r w:rsidR="00BD1581">
        <w:rPr>
          <w:szCs w:val="24"/>
        </w:rPr>
        <w:t>.</w:t>
      </w:r>
    </w:p>
    <w:p w:rsidR="0059351F" w:rsidRPr="00BC452F" w:rsidP="0059351F" w14:paraId="5070A9C1" w14:textId="77777777">
      <w:pPr>
        <w:ind w:left="720"/>
        <w:rPr>
          <w:szCs w:val="24"/>
        </w:rPr>
      </w:pPr>
    </w:p>
    <w:p w:rsidR="00CA297A" w:rsidP="00CA297A" w14:paraId="0D2D23B0" w14:textId="0019C8E7">
      <w:pPr>
        <w:rPr>
          <w:szCs w:val="24"/>
        </w:rPr>
      </w:pPr>
      <w:r w:rsidRPr="008C2A88">
        <w:rPr>
          <w:szCs w:val="24"/>
        </w:rPr>
        <w:tab/>
        <w:t xml:space="preserve">Twelve CFR 9.18(b)(1) </w:t>
      </w:r>
      <w:r w:rsidR="004A1442">
        <w:rPr>
          <w:szCs w:val="24"/>
        </w:rPr>
        <w:t>(</w:t>
      </w:r>
      <w:r w:rsidRPr="008C2A88">
        <w:rPr>
          <w:szCs w:val="24"/>
        </w:rPr>
        <w:t xml:space="preserve">and </w:t>
      </w:r>
      <w:r w:rsidR="00EA6EAB">
        <w:rPr>
          <w:szCs w:val="24"/>
        </w:rPr>
        <w:t xml:space="preserve">12 CFR </w:t>
      </w:r>
      <w:r w:rsidRPr="008C2A88">
        <w:rPr>
          <w:szCs w:val="24"/>
        </w:rPr>
        <w:t>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make a copy of any </w:t>
      </w:r>
      <w:r w:rsidR="00582B8E">
        <w:rPr>
          <w:szCs w:val="24"/>
        </w:rPr>
        <w:t>CIF</w:t>
      </w:r>
      <w:r w:rsidRPr="008C2A88">
        <w:rPr>
          <w:szCs w:val="24"/>
        </w:rPr>
        <w:t xml:space="preserve"> plan available for public inspection at </w:t>
      </w:r>
      <w:r w:rsidR="00B10082">
        <w:rPr>
          <w:szCs w:val="24"/>
        </w:rPr>
        <w:t>their</w:t>
      </w:r>
      <w:r w:rsidRPr="008C2A88">
        <w:rPr>
          <w:szCs w:val="24"/>
        </w:rPr>
        <w:t xml:space="preserve"> main office</w:t>
      </w:r>
      <w:r w:rsidR="00B10082">
        <w:rPr>
          <w:szCs w:val="24"/>
        </w:rPr>
        <w:t>s</w:t>
      </w:r>
      <w:r w:rsidRPr="008C2A88">
        <w:rPr>
          <w:szCs w:val="24"/>
        </w:rPr>
        <w:t xml:space="preserve"> and provide a copy of the pla</w:t>
      </w:r>
      <w:r w:rsidR="0059351F">
        <w:rPr>
          <w:szCs w:val="24"/>
        </w:rPr>
        <w:t>n to any person who requests it.</w:t>
      </w:r>
    </w:p>
    <w:p w:rsidR="0059351F" w:rsidRPr="008C2A88" w:rsidP="00CA297A" w14:paraId="17BED0DC" w14:textId="77777777">
      <w:pPr>
        <w:rPr>
          <w:szCs w:val="24"/>
        </w:rPr>
      </w:pPr>
    </w:p>
    <w:p w:rsidR="00CA297A" w:rsidP="00CA297A" w14:paraId="0E5F4B10" w14:textId="2593220C">
      <w:pPr>
        <w:rPr>
          <w:szCs w:val="24"/>
        </w:rPr>
      </w:pPr>
      <w:r>
        <w:rPr>
          <w:szCs w:val="24"/>
        </w:rPr>
        <w:tab/>
        <w:t>Twelve</w:t>
      </w:r>
      <w:r w:rsidRPr="008C2A88">
        <w:rPr>
          <w:szCs w:val="24"/>
        </w:rPr>
        <w:t xml:space="preserve"> CFR 9.18(b)(4)(iii)(E) </w:t>
      </w:r>
      <w:r w:rsidR="00E54A9B">
        <w:rPr>
          <w:szCs w:val="24"/>
        </w:rPr>
        <w:t>(and</w:t>
      </w:r>
      <w:r w:rsidRPr="008C2A88" w:rsidR="00E54A9B">
        <w:rPr>
          <w:szCs w:val="24"/>
        </w:rPr>
        <w:t xml:space="preserve"> 12 CFR 150.260</w:t>
      </w:r>
      <w:r w:rsidR="00E54A9B">
        <w:rPr>
          <w:szCs w:val="24"/>
        </w:rPr>
        <w:t xml:space="preserve"> by cross-reference) </w:t>
      </w:r>
      <w:r w:rsidRPr="008C2A88">
        <w:rPr>
          <w:szCs w:val="24"/>
        </w:rPr>
        <w:t xml:space="preserve">require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rsidR="0059351F" w:rsidRPr="008C2A88" w:rsidP="00CA297A" w14:paraId="78CF4EB2" w14:textId="77777777">
      <w:pPr>
        <w:rPr>
          <w:szCs w:val="24"/>
        </w:rPr>
      </w:pPr>
    </w:p>
    <w:p w:rsidR="00CA297A" w:rsidRPr="008C2A88" w:rsidP="00CA297A" w14:paraId="440AF11C" w14:textId="188DF8A2">
      <w:pPr>
        <w:rPr>
          <w:bCs/>
          <w:szCs w:val="24"/>
        </w:rPr>
      </w:pPr>
      <w:r>
        <w:rPr>
          <w:szCs w:val="24"/>
        </w:rPr>
        <w:tab/>
        <w:t>Twelve</w:t>
      </w:r>
      <w:r w:rsidRPr="008C2A88">
        <w:rPr>
          <w:szCs w:val="24"/>
        </w:rPr>
        <w:t xml:space="preserve"> CFR 9.18(b)(4)(iii)(F)</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rsidR="00CA297A" w:rsidRPr="008C2A88" w:rsidP="00CA297A" w14:paraId="72D08F1E" w14:textId="77777777">
      <w:pPr>
        <w:rPr>
          <w:bCs/>
          <w:szCs w:val="24"/>
        </w:rPr>
      </w:pPr>
    </w:p>
    <w:p w:rsidR="00CA297A" w:rsidP="00CA297A" w14:paraId="460F6AD5" w14:textId="19882344">
      <w:pPr>
        <w:rPr>
          <w:bCs/>
          <w:szCs w:val="24"/>
        </w:rPr>
      </w:pPr>
      <w:r>
        <w:rPr>
          <w:szCs w:val="24"/>
        </w:rPr>
        <w:tab/>
        <w:t xml:space="preserve">Twelve </w:t>
      </w:r>
      <w:r w:rsidRPr="008C2A88">
        <w:rPr>
          <w:szCs w:val="24"/>
        </w:rPr>
        <w:t>CFR 9.18(b)(4)(iii)(G)</w:t>
      </w:r>
      <w:r>
        <w:rPr>
          <w:b/>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7911A9">
        <w:rPr>
          <w:bCs/>
          <w:szCs w:val="24"/>
        </w:rPr>
        <w:t>r</w:t>
      </w:r>
      <w:r>
        <w:rPr>
          <w:bCs/>
          <w:szCs w:val="24"/>
        </w:rPr>
        <w:t xml:space="preserve">equire that </w:t>
      </w:r>
      <w:r w:rsidR="008D0D67">
        <w:rPr>
          <w:bCs/>
          <w:szCs w:val="24"/>
        </w:rPr>
        <w:t>national banks and FSAs</w:t>
      </w:r>
      <w:r>
        <w:rPr>
          <w:bCs/>
          <w:szCs w:val="24"/>
        </w:rPr>
        <w:t xml:space="preserve"> adopt shadow pricing procedures for </w:t>
      </w:r>
      <w:r w:rsidRPr="00644867" w:rsid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rsidR="0059351F" w:rsidRPr="00521E1A" w:rsidP="00CA297A" w14:paraId="58824DCF" w14:textId="77777777">
      <w:pPr>
        <w:rPr>
          <w:b/>
          <w:bCs/>
          <w:szCs w:val="24"/>
        </w:rPr>
      </w:pPr>
    </w:p>
    <w:p w:rsidR="00CA297A" w:rsidP="00CA297A" w14:paraId="19EFF5A3" w14:textId="16BD94F6">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B8445B">
        <w:rPr>
          <w:bCs/>
          <w:szCs w:val="24"/>
        </w:rPr>
        <w:t xml:space="preserve">require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rsidR="0059351F" w:rsidRPr="008C2A88" w:rsidP="00CA297A" w14:paraId="25AF3639" w14:textId="77777777">
      <w:pPr>
        <w:rPr>
          <w:szCs w:val="24"/>
        </w:rPr>
      </w:pPr>
    </w:p>
    <w:p w:rsidR="00CA297A" w:rsidP="00CA297A" w14:paraId="4DBFF189" w14:textId="49FB1AAE">
      <w:pPr>
        <w:rPr>
          <w:bCs/>
          <w:szCs w:val="24"/>
        </w:rPr>
      </w:pPr>
      <w:r>
        <w:rPr>
          <w:szCs w:val="24"/>
        </w:rPr>
        <w:tab/>
        <w:t>Twelve</w:t>
      </w:r>
      <w:r w:rsidRPr="008C2A88">
        <w:rPr>
          <w:szCs w:val="24"/>
        </w:rPr>
        <w:t xml:space="preserve"> CFR 9.18(b)(4)(iii)(I)</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Pr="008C2A88" w:rsidR="00644867">
        <w:rPr>
          <w:bCs/>
          <w:szCs w:val="24"/>
        </w:rPr>
        <w:t xml:space="preserve">the </w:t>
      </w:r>
      <w:r w:rsidR="00644867">
        <w:rPr>
          <w:bCs/>
          <w:szCs w:val="24"/>
        </w:rPr>
        <w:t xml:space="preserve">following information about the </w:t>
      </w:r>
      <w:r w:rsidRPr="008C2A88" w:rsidR="00644867">
        <w:rPr>
          <w:bCs/>
          <w:szCs w:val="24"/>
        </w:rPr>
        <w:t>fun</w:t>
      </w:r>
      <w:r w:rsidR="00644867">
        <w:rPr>
          <w:bCs/>
          <w:szCs w:val="24"/>
        </w:rPr>
        <w:t>d</w:t>
      </w:r>
      <w:r w:rsidRPr="008C2A88" w:rsidR="00644867">
        <w:rPr>
          <w:bCs/>
          <w:szCs w:val="24"/>
        </w:rPr>
        <w:t xml:space="preserve">: </w:t>
      </w:r>
      <w:r w:rsidR="00644867">
        <w:rPr>
          <w:bCs/>
          <w:szCs w:val="24"/>
        </w:rPr>
        <w:t xml:space="preserve">total </w:t>
      </w:r>
      <w:r w:rsidRPr="008C2A88" w:rsidR="00644867">
        <w:rPr>
          <w:bCs/>
          <w:szCs w:val="24"/>
        </w:rPr>
        <w:t xml:space="preserve">assets under management; mark-to-market </w:t>
      </w:r>
      <w:r w:rsidR="00644867">
        <w:rPr>
          <w:bCs/>
          <w:szCs w:val="24"/>
        </w:rPr>
        <w:t>and amortized cost net asset values</w:t>
      </w:r>
      <w:r w:rsidRPr="008C2A88" w:rsidR="00644867">
        <w:rPr>
          <w:bCs/>
          <w:szCs w:val="24"/>
        </w:rPr>
        <w:t>; dollar</w:t>
      </w:r>
      <w:r w:rsidR="00644867">
        <w:rPr>
          <w:bCs/>
          <w:szCs w:val="24"/>
        </w:rPr>
        <w:t>-</w:t>
      </w:r>
      <w:r w:rsidRPr="008C2A88" w:rsidR="00644867">
        <w:rPr>
          <w:bCs/>
          <w:szCs w:val="24"/>
        </w:rPr>
        <w:t xml:space="preserve">weighted average portfolio maturity; dollar-weighted average portfolio life maturity </w:t>
      </w:r>
      <w:r w:rsidR="00644867">
        <w:rPr>
          <w:bCs/>
          <w:szCs w:val="24"/>
        </w:rPr>
        <w:t xml:space="preserve">as of the last business day of the prior calendar month; </w:t>
      </w:r>
      <w:r w:rsidRPr="008C2A88" w:rsidR="00644867">
        <w:rPr>
          <w:bCs/>
          <w:szCs w:val="24"/>
        </w:rPr>
        <w:t xml:space="preserve">and certain other </w:t>
      </w:r>
      <w:r w:rsidR="00644867">
        <w:rPr>
          <w:bCs/>
          <w:szCs w:val="24"/>
        </w:rPr>
        <w:t xml:space="preserve">security-level </w:t>
      </w:r>
      <w:r w:rsidRPr="008C2A88" w:rsidR="00644867">
        <w:rPr>
          <w:bCs/>
          <w:szCs w:val="24"/>
        </w:rPr>
        <w:t>information for each security held</w:t>
      </w:r>
      <w:r>
        <w:rPr>
          <w:bCs/>
          <w:szCs w:val="24"/>
        </w:rPr>
        <w:t>.</w:t>
      </w:r>
    </w:p>
    <w:p w:rsidR="0059351F" w:rsidRPr="008C2A88" w:rsidP="00CA297A" w14:paraId="57A203E3" w14:textId="77777777">
      <w:pPr>
        <w:rPr>
          <w:bCs/>
          <w:szCs w:val="24"/>
        </w:rPr>
      </w:pPr>
    </w:p>
    <w:p w:rsidR="00CA297A" w:rsidP="00CA297A" w14:paraId="7D7C039D" w14:textId="18C20512">
      <w:pPr>
        <w:rPr>
          <w:bCs/>
          <w:szCs w:val="24"/>
        </w:rPr>
      </w:pPr>
      <w:r>
        <w:rPr>
          <w:bCs/>
          <w:szCs w:val="24"/>
        </w:rPr>
        <w:tab/>
        <w:t>Twelve</w:t>
      </w:r>
      <w:r w:rsidRPr="008C2A88">
        <w:rPr>
          <w:szCs w:val="24"/>
        </w:rPr>
        <w:t xml:space="preserve"> CFR 9.18(b)(4)(iii)(J)</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rsidR="00D57034" w:rsidRPr="008C2A88" w:rsidP="00CA297A" w14:paraId="19A38A4F" w14:textId="77777777">
      <w:pPr>
        <w:rPr>
          <w:bCs/>
          <w:szCs w:val="24"/>
        </w:rPr>
      </w:pPr>
    </w:p>
    <w:p w:rsidR="00CA297A" w:rsidP="00CA297A" w14:paraId="31FDBE4F" w14:textId="664932AB">
      <w:pPr>
        <w:rPr>
          <w:bCs/>
          <w:szCs w:val="24"/>
        </w:rPr>
      </w:pPr>
      <w:r>
        <w:rPr>
          <w:szCs w:val="24"/>
        </w:rPr>
        <w:tab/>
        <w:t>Twelve</w:t>
      </w:r>
      <w:r w:rsidRPr="008C2A88">
        <w:rPr>
          <w:szCs w:val="24"/>
        </w:rPr>
        <w:t xml:space="preserve"> CFR 9.18(b)(4)(iii)(K)</w:t>
      </w:r>
      <w:r>
        <w:rPr>
          <w:szCs w:val="24"/>
        </w:rPr>
        <w:t xml:space="preserve"> </w:t>
      </w:r>
      <w:bookmarkStart w:id="2" w:name="_Hlk168588978"/>
      <w:r w:rsidR="00E54A9B">
        <w:rPr>
          <w:szCs w:val="24"/>
        </w:rPr>
        <w:t>(and</w:t>
      </w:r>
      <w:r w:rsidRPr="008C2A88" w:rsidR="00E54A9B">
        <w:rPr>
          <w:szCs w:val="24"/>
        </w:rPr>
        <w:t xml:space="preserve"> 12 CFR 150.260</w:t>
      </w:r>
      <w:r w:rsidR="00E54A9B">
        <w:rPr>
          <w:szCs w:val="24"/>
        </w:rPr>
        <w:t xml:space="preserve"> by cross-reference) </w:t>
      </w:r>
      <w:bookmarkEnd w:id="2"/>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Pr="008C2A88" w:rsidR="00D57034">
        <w:rPr>
          <w:bCs/>
          <w:szCs w:val="24"/>
        </w:rPr>
        <w:t xml:space="preserve">procedures </w:t>
      </w:r>
      <w:r w:rsidR="00D57034">
        <w:rPr>
          <w:bCs/>
          <w:szCs w:val="24"/>
        </w:rPr>
        <w:t>in the event that the STIF has repriced its net asset value below $0.995 per participating interest</w:t>
      </w:r>
      <w:r w:rsidRPr="008C2A88">
        <w:rPr>
          <w:bCs/>
          <w:szCs w:val="24"/>
        </w:rPr>
        <w:t>.</w:t>
      </w:r>
    </w:p>
    <w:p w:rsidR="0059351F" w:rsidRPr="008C2A88" w:rsidP="00CA297A" w14:paraId="6E7AACB8" w14:textId="77777777">
      <w:pPr>
        <w:rPr>
          <w:bCs/>
          <w:szCs w:val="24"/>
        </w:rPr>
      </w:pPr>
    </w:p>
    <w:p w:rsidR="00CA297A" w:rsidP="00CA297A" w14:paraId="73410EBE" w14:textId="4F156FD7">
      <w:pPr>
        <w:rPr>
          <w:bCs/>
          <w:szCs w:val="24"/>
        </w:rPr>
      </w:pPr>
      <w:r>
        <w:rPr>
          <w:bCs/>
          <w:szCs w:val="24"/>
        </w:rPr>
        <w:tab/>
      </w:r>
      <w:r>
        <w:rPr>
          <w:szCs w:val="24"/>
        </w:rPr>
        <w:t>Twelve</w:t>
      </w:r>
      <w:r w:rsidRPr="008C2A88">
        <w:rPr>
          <w:szCs w:val="24"/>
        </w:rPr>
        <w:t xml:space="preserve"> CFR 9.18(b)(4)(iii)(L)</w:t>
      </w:r>
      <w:r w:rsidRPr="002F6549">
        <w:rPr>
          <w:szCs w:val="24"/>
        </w:rPr>
        <w:t xml:space="preserve"> </w:t>
      </w:r>
      <w:r w:rsidR="005B0751">
        <w:rPr>
          <w:szCs w:val="24"/>
        </w:rPr>
        <w:t>(and</w:t>
      </w:r>
      <w:r w:rsidRPr="008C2A88" w:rsidR="005B0751">
        <w:rPr>
          <w:szCs w:val="24"/>
        </w:rPr>
        <w:t xml:space="preserve"> 12 CFR 150.260</w:t>
      </w:r>
      <w:r w:rsidR="005B0751">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w:t>
      </w:r>
      <w:r w:rsidR="00150559">
        <w:rPr>
          <w:bCs/>
          <w:szCs w:val="24"/>
        </w:rPr>
        <w:t xml:space="preserve"> with certain requirements that apply i</w:t>
      </w:r>
      <w:r w:rsidRPr="00150559" w:rsidR="00150559">
        <w:rPr>
          <w:bCs/>
          <w:szCs w:val="24"/>
        </w:rPr>
        <w:t>n the event a bank suspends or limits withdrawals and initiates liquidation of the STIF as a result of redemptions</w:t>
      </w:r>
      <w:r w:rsidR="00150559">
        <w:rPr>
          <w:bCs/>
          <w:szCs w:val="24"/>
        </w:rPr>
        <w:t>.</w:t>
      </w:r>
    </w:p>
    <w:p w:rsidR="00992765" w:rsidP="00CA297A" w14:paraId="3F49C72B" w14:textId="77777777">
      <w:pPr>
        <w:rPr>
          <w:bCs/>
          <w:szCs w:val="24"/>
        </w:rPr>
      </w:pPr>
    </w:p>
    <w:p w:rsidR="00C70749" w:rsidP="0063574B" w14:paraId="093BA218" w14:textId="744B675F">
      <w:pPr>
        <w:ind w:firstLine="720"/>
        <w:rPr>
          <w:bCs/>
          <w:szCs w:val="24"/>
        </w:rPr>
      </w:pPr>
      <w:r w:rsidRPr="00C828B7">
        <w:rPr>
          <w:bCs/>
          <w:szCs w:val="24"/>
        </w:rPr>
        <w:t xml:space="preserve">Twelve </w:t>
      </w:r>
      <w:bookmarkStart w:id="3" w:name="_Hlk168664353"/>
      <w:r w:rsidRPr="00C828B7">
        <w:rPr>
          <w:bCs/>
          <w:szCs w:val="24"/>
        </w:rPr>
        <w:t xml:space="preserve">CFR </w:t>
      </w:r>
      <w:bookmarkStart w:id="4" w:name="_Hlk168663907"/>
      <w:r w:rsidRPr="00C828B7">
        <w:rPr>
          <w:bCs/>
          <w:szCs w:val="24"/>
        </w:rPr>
        <w:t xml:space="preserve">9.18(b)(5)(iii)(A) </w:t>
      </w:r>
      <w:bookmarkStart w:id="5" w:name="_Hlk170140101"/>
      <w:r w:rsidRPr="00C828B7">
        <w:rPr>
          <w:bCs/>
          <w:szCs w:val="24"/>
        </w:rPr>
        <w:t xml:space="preserve">(and 12 CFR 150.260 by cross-reference) provides that </w:t>
      </w:r>
      <w:bookmarkEnd w:id="5"/>
      <w:r w:rsidRPr="00C828B7">
        <w:rPr>
          <w:bCs/>
          <w:szCs w:val="24"/>
        </w:rPr>
        <w:t xml:space="preserve">a </w:t>
      </w:r>
      <w:r>
        <w:rPr>
          <w:bCs/>
          <w:szCs w:val="24"/>
        </w:rPr>
        <w:t>national bank or FSA</w:t>
      </w:r>
      <w:r w:rsidRPr="00C828B7">
        <w:rPr>
          <w:bCs/>
          <w:szCs w:val="24"/>
        </w:rPr>
        <w:t xml:space="preserve"> administering a collective investment fund that is invested primarily in real estate or other assets that are not readily marketable may require a prior notice period, not to exceed one year, for withdrawals.  Section 9.18(b)(5)(iii)(B) (and 12 CFR 150.260 by cross-reference) provides that a bank that requires a prior notice period for withdrawals must withdraw an account from the fund within the prior notice period or, if permissible under the fund's written plan, within one year after the date on which notice was required.  Section 9.18(b)(5)(iii)</w:t>
      </w:r>
      <w:bookmarkEnd w:id="4"/>
      <w:r w:rsidRPr="00C828B7">
        <w:rPr>
          <w:bCs/>
          <w:szCs w:val="24"/>
        </w:rPr>
        <w:t xml:space="preserve">(C) </w:t>
      </w:r>
      <w:bookmarkEnd w:id="3"/>
      <w:r w:rsidRPr="00C828B7">
        <w:rPr>
          <w:bCs/>
          <w:szCs w:val="24"/>
        </w:rPr>
        <w:t>(and 12 CFR 150.260 by cross-reference) provides that a bank may</w:t>
      </w:r>
      <w:r>
        <w:rPr>
          <w:bCs/>
          <w:szCs w:val="24"/>
        </w:rPr>
        <w:t>, with OCC approval,</w:t>
      </w:r>
      <w:r w:rsidRPr="00C828B7">
        <w:rPr>
          <w:bCs/>
          <w:szCs w:val="24"/>
        </w:rPr>
        <w:t xml:space="preserve"> withdraw an </w:t>
      </w:r>
      <w:r w:rsidRPr="00C828B7">
        <w:rPr>
          <w:bCs/>
          <w:szCs w:val="24"/>
        </w:rPr>
        <w:t xml:space="preserve">account from a collective investment fund up to one year after the end of the standard withdrawal period </w:t>
      </w:r>
      <w:r w:rsidR="00164211">
        <w:rPr>
          <w:bCs/>
          <w:szCs w:val="24"/>
        </w:rPr>
        <w:t>) if</w:t>
      </w:r>
      <w:r w:rsidRPr="00C828B7">
        <w:rPr>
          <w:bCs/>
          <w:szCs w:val="24"/>
        </w:rPr>
        <w:t xml:space="preserve"> certain conditions </w:t>
      </w:r>
      <w:r>
        <w:rPr>
          <w:bCs/>
          <w:szCs w:val="24"/>
        </w:rPr>
        <w:t xml:space="preserve">are </w:t>
      </w:r>
      <w:r w:rsidRPr="00C828B7">
        <w:rPr>
          <w:bCs/>
          <w:szCs w:val="24"/>
        </w:rPr>
        <w:t xml:space="preserve">satisfied. </w:t>
      </w:r>
    </w:p>
    <w:p w:rsidR="00C70749" w:rsidP="0063574B" w14:paraId="7EA8C9DC" w14:textId="77777777">
      <w:pPr>
        <w:ind w:firstLine="720"/>
        <w:rPr>
          <w:bCs/>
          <w:szCs w:val="24"/>
        </w:rPr>
      </w:pPr>
    </w:p>
    <w:p w:rsidR="000916AB" w:rsidRPr="000916AB" w:rsidP="0063574B" w14:paraId="6568AC22" w14:textId="6EB29CFE">
      <w:pPr>
        <w:ind w:firstLine="720"/>
        <w:rPr>
          <w:bCs/>
          <w:szCs w:val="24"/>
        </w:rPr>
      </w:pPr>
      <w:r>
        <w:rPr>
          <w:szCs w:val="24"/>
        </w:rPr>
        <w:t>Twelve</w:t>
      </w:r>
      <w:r w:rsidRPr="008C2A88">
        <w:rPr>
          <w:szCs w:val="24"/>
        </w:rPr>
        <w:t xml:space="preserve"> CFR </w:t>
      </w:r>
      <w:bookmarkStart w:id="6" w:name="_Hlk168576781"/>
      <w:r w:rsidRPr="008C2A88">
        <w:rPr>
          <w:szCs w:val="24"/>
        </w:rPr>
        <w:t>9.18(b)(</w:t>
      </w:r>
      <w:r>
        <w:rPr>
          <w:szCs w:val="24"/>
        </w:rPr>
        <w:t>5</w:t>
      </w:r>
      <w:r w:rsidRPr="008C2A88">
        <w:rPr>
          <w:szCs w:val="24"/>
        </w:rPr>
        <w:t>)(iii)</w:t>
      </w:r>
      <w:r>
        <w:rPr>
          <w:szCs w:val="24"/>
        </w:rPr>
        <w:t xml:space="preserve">(D) </w:t>
      </w:r>
      <w:bookmarkEnd w:id="6"/>
      <w:r w:rsidRPr="00701576" w:rsidR="00701576">
        <w:rPr>
          <w:szCs w:val="24"/>
        </w:rPr>
        <w:t xml:space="preserve">(and 12 CFR 150.260 by cross-reference) </w:t>
      </w:r>
      <w:r>
        <w:rPr>
          <w:szCs w:val="24"/>
        </w:rPr>
        <w:t xml:space="preserve">provides that </w:t>
      </w:r>
      <w:r w:rsidRPr="000916AB">
        <w:rPr>
          <w:bCs/>
          <w:szCs w:val="24"/>
        </w:rPr>
        <w:t xml:space="preserve">a bank may request that the OCC approve </w:t>
      </w:r>
      <w:r w:rsidR="00DE0DB7">
        <w:rPr>
          <w:bCs/>
          <w:szCs w:val="24"/>
        </w:rPr>
        <w:t xml:space="preserve">up to two additional one-year </w:t>
      </w:r>
      <w:r w:rsidRPr="000916AB">
        <w:rPr>
          <w:bCs/>
          <w:szCs w:val="24"/>
        </w:rPr>
        <w:t>extension</w:t>
      </w:r>
      <w:r w:rsidR="002D0526">
        <w:rPr>
          <w:bCs/>
          <w:szCs w:val="24"/>
        </w:rPr>
        <w:t>s</w:t>
      </w:r>
      <w:r w:rsidRPr="000916AB">
        <w:rPr>
          <w:bCs/>
          <w:szCs w:val="24"/>
        </w:rPr>
        <w:t xml:space="preserve"> beyond the </w:t>
      </w:r>
      <w:r w:rsidR="002D0526">
        <w:rPr>
          <w:bCs/>
          <w:szCs w:val="24"/>
        </w:rPr>
        <w:t xml:space="preserve">initial </w:t>
      </w:r>
      <w:r w:rsidR="001F6AF1">
        <w:rPr>
          <w:bCs/>
          <w:szCs w:val="24"/>
        </w:rPr>
        <w:t xml:space="preserve">one-year </w:t>
      </w:r>
      <w:r w:rsidR="00AA7FC8">
        <w:rPr>
          <w:bCs/>
          <w:szCs w:val="24"/>
        </w:rPr>
        <w:t xml:space="preserve">extended withdrawal period in </w:t>
      </w:r>
      <w:r w:rsidR="001F6AF1">
        <w:rPr>
          <w:bCs/>
          <w:szCs w:val="24"/>
        </w:rPr>
        <w:t xml:space="preserve">12 </w:t>
      </w:r>
      <w:r w:rsidRPr="00AA7FC8" w:rsidR="00AA7FC8">
        <w:rPr>
          <w:bCs/>
          <w:szCs w:val="24"/>
        </w:rPr>
        <w:t>CFR 9.18(b)(5)(iii) (C)</w:t>
      </w:r>
      <w:r w:rsidR="002D0526">
        <w:rPr>
          <w:bCs/>
          <w:szCs w:val="24"/>
        </w:rPr>
        <w:t xml:space="preserve">, provided </w:t>
      </w:r>
      <w:r w:rsidRPr="000916AB">
        <w:rPr>
          <w:bCs/>
          <w:szCs w:val="24"/>
        </w:rPr>
        <w:t>certain conditions are satisfied.  Extensions past the initial one-year extension must be requested and approved annually, for a maximum of two years after the initial one-year extension period.</w:t>
      </w:r>
    </w:p>
    <w:p w:rsidR="000916AB" w:rsidRPr="008C2A88" w:rsidP="00CA297A" w14:paraId="5FF1F4EA" w14:textId="77777777">
      <w:pPr>
        <w:rPr>
          <w:bCs/>
          <w:szCs w:val="24"/>
        </w:rPr>
      </w:pPr>
    </w:p>
    <w:p w:rsidR="0059351F" w:rsidP="00CA297A" w14:paraId="18E271AE" w14:textId="783CEB87">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9.18(b)(6)(i).  The report must disclose the fund’s fees and expenses in a manner consistent with applicable state law in </w:t>
      </w:r>
      <w:r w:rsidR="00D57034">
        <w:rPr>
          <w:szCs w:val="24"/>
        </w:rPr>
        <w:t xml:space="preserve">the state </w:t>
      </w:r>
      <w:r w:rsidRPr="008C2A88">
        <w:rPr>
          <w:szCs w:val="24"/>
        </w:rPr>
        <w:t>which the institution maintains the fund</w:t>
      </w:r>
      <w:r>
        <w:rPr>
          <w:szCs w:val="24"/>
        </w:rPr>
        <w:t xml:space="preserve"> and</w:t>
      </w:r>
      <w:r w:rsidRPr="008C2A88">
        <w:rPr>
          <w:szCs w:val="24"/>
        </w:rPr>
        <w:t xml:space="preserve"> must contain:</w:t>
      </w:r>
    </w:p>
    <w:p w:rsidR="00600A45" w:rsidRPr="008C2A88" w:rsidP="00CA297A" w14:paraId="422FEFC9" w14:textId="77777777">
      <w:pPr>
        <w:rPr>
          <w:szCs w:val="24"/>
        </w:rPr>
      </w:pPr>
    </w:p>
    <w:p w:rsidR="00CA297A" w:rsidRPr="008C2A88" w:rsidP="00CA297A" w14:paraId="440EC81D" w14:textId="77777777">
      <w:pPr>
        <w:numPr>
          <w:ilvl w:val="0"/>
          <w:numId w:val="19"/>
        </w:numPr>
        <w:rPr>
          <w:szCs w:val="24"/>
        </w:rPr>
      </w:pPr>
      <w:r>
        <w:rPr>
          <w:szCs w:val="24"/>
        </w:rPr>
        <w:t>A l</w:t>
      </w:r>
      <w:r w:rsidRPr="008C2A88">
        <w:rPr>
          <w:szCs w:val="24"/>
        </w:rPr>
        <w:t>ist of investments in the fund showing the cost and current market value of each investment</w:t>
      </w:r>
      <w:r>
        <w:rPr>
          <w:szCs w:val="24"/>
        </w:rPr>
        <w:t>;</w:t>
      </w:r>
    </w:p>
    <w:p w:rsidR="00CA297A" w:rsidRPr="008C2A88" w:rsidP="00CA297A" w14:paraId="061FCF10" w14:textId="77777777">
      <w:pPr>
        <w:numPr>
          <w:ilvl w:val="0"/>
          <w:numId w:val="19"/>
        </w:numPr>
        <w:rPr>
          <w:szCs w:val="24"/>
        </w:rPr>
      </w:pPr>
      <w:r>
        <w:rPr>
          <w:szCs w:val="24"/>
        </w:rPr>
        <w:t>A s</w:t>
      </w:r>
      <w:r w:rsidRPr="008C2A88">
        <w:rPr>
          <w:szCs w:val="24"/>
        </w:rPr>
        <w:t xml:space="preserve">tatement </w:t>
      </w:r>
      <w:r>
        <w:rPr>
          <w:szCs w:val="24"/>
        </w:rPr>
        <w:t xml:space="preserve">covering the period after the previous report </w:t>
      </w:r>
      <w:r w:rsidRPr="008C2A88">
        <w:rPr>
          <w:szCs w:val="24"/>
        </w:rPr>
        <w:t>showing the following (organized by type of investment):</w:t>
      </w:r>
    </w:p>
    <w:p w:rsidR="00CA297A" w:rsidRPr="008C2A88" w:rsidP="00CA297A" w14:paraId="0D575A14" w14:textId="77777777">
      <w:pPr>
        <w:numPr>
          <w:ilvl w:val="1"/>
          <w:numId w:val="23"/>
        </w:numPr>
        <w:rPr>
          <w:szCs w:val="24"/>
        </w:rPr>
      </w:pPr>
      <w:r w:rsidRPr="008C2A88">
        <w:rPr>
          <w:szCs w:val="24"/>
        </w:rPr>
        <w:t>A summary of purchases (with costs)</w:t>
      </w:r>
      <w:r>
        <w:rPr>
          <w:szCs w:val="24"/>
        </w:rPr>
        <w:t>;</w:t>
      </w:r>
    </w:p>
    <w:p w:rsidR="00CA297A" w:rsidRPr="008C2A88" w:rsidP="00CA297A" w14:paraId="6B276CC2" w14:textId="77777777">
      <w:pPr>
        <w:numPr>
          <w:ilvl w:val="1"/>
          <w:numId w:val="23"/>
        </w:numPr>
        <w:rPr>
          <w:szCs w:val="24"/>
        </w:rPr>
      </w:pPr>
      <w:r w:rsidRPr="008C2A88">
        <w:rPr>
          <w:szCs w:val="24"/>
        </w:rPr>
        <w:t>A summary of sales (with profit or loss and any investment change)</w:t>
      </w:r>
      <w:r>
        <w:rPr>
          <w:szCs w:val="24"/>
        </w:rPr>
        <w:t>;</w:t>
      </w:r>
    </w:p>
    <w:p w:rsidR="00CA297A" w:rsidP="00CA297A" w14:paraId="628430DB" w14:textId="77777777">
      <w:pPr>
        <w:numPr>
          <w:ilvl w:val="1"/>
          <w:numId w:val="23"/>
        </w:numPr>
        <w:rPr>
          <w:szCs w:val="24"/>
        </w:rPr>
      </w:pPr>
      <w:r w:rsidRPr="008C2A88">
        <w:rPr>
          <w:szCs w:val="24"/>
        </w:rPr>
        <w:t>Income and disbursements</w:t>
      </w:r>
      <w:r>
        <w:rPr>
          <w:szCs w:val="24"/>
        </w:rPr>
        <w:t>; and</w:t>
      </w:r>
    </w:p>
    <w:p w:rsidR="00CA297A" w:rsidP="00CA297A" w14:paraId="04532E6F" w14:textId="422EA812">
      <w:pPr>
        <w:numPr>
          <w:ilvl w:val="1"/>
          <w:numId w:val="23"/>
        </w:numPr>
        <w:rPr>
          <w:szCs w:val="24"/>
        </w:rPr>
      </w:pPr>
      <w:r w:rsidRPr="0023384A">
        <w:rPr>
          <w:szCs w:val="24"/>
        </w:rPr>
        <w:t xml:space="preserve">An appropriate notation of </w:t>
      </w:r>
      <w:r w:rsidR="00164211">
        <w:rPr>
          <w:szCs w:val="24"/>
        </w:rPr>
        <w:t xml:space="preserve">any </w:t>
      </w:r>
      <w:r w:rsidRPr="0023384A">
        <w:rPr>
          <w:szCs w:val="24"/>
        </w:rPr>
        <w:t>investments</w:t>
      </w:r>
      <w:r w:rsidR="00164211">
        <w:rPr>
          <w:szCs w:val="24"/>
        </w:rPr>
        <w:t xml:space="preserve"> in default</w:t>
      </w:r>
      <w:r>
        <w:rPr>
          <w:szCs w:val="24"/>
        </w:rPr>
        <w:t>.</w:t>
      </w:r>
    </w:p>
    <w:p w:rsidR="0059351F" w:rsidRPr="0023384A" w:rsidP="0059351F" w14:paraId="062908E2" w14:textId="77777777">
      <w:pPr>
        <w:ind w:left="1440"/>
        <w:rPr>
          <w:szCs w:val="24"/>
        </w:rPr>
      </w:pPr>
    </w:p>
    <w:p w:rsidR="00CA297A" w:rsidP="00CA297A" w14:paraId="6F466E30" w14:textId="0BC99FED">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report</w:t>
      </w:r>
      <w:r w:rsidR="000934BB">
        <w:rPr>
          <w:szCs w:val="24"/>
        </w:rPr>
        <w:t xml:space="preserve"> </w:t>
      </w:r>
      <w:r w:rsidRPr="008C2A88">
        <w:rPr>
          <w:szCs w:val="24"/>
        </w:rPr>
        <w:t xml:space="preserve">or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rsidR="0059351F" w:rsidRPr="008C2A88" w:rsidP="00CA297A" w14:paraId="7BFE0817" w14:textId="77777777">
      <w:pPr>
        <w:rPr>
          <w:szCs w:val="24"/>
        </w:rPr>
      </w:pPr>
    </w:p>
    <w:p w:rsidR="00CA297A" w:rsidRPr="008C2A88" w:rsidP="00CA297A" w14:paraId="5B8966D8" w14:textId="1C4C761E">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rsidR="00CA297A" w:rsidRPr="008C2A88" w:rsidP="00CA297A" w14:paraId="413B5C7D" w14:textId="77777777">
      <w:pPr>
        <w:numPr>
          <w:ilvl w:val="0"/>
          <w:numId w:val="20"/>
        </w:numPr>
        <w:rPr>
          <w:szCs w:val="24"/>
        </w:rPr>
      </w:pPr>
      <w:r w:rsidRPr="008C2A88">
        <w:rPr>
          <w:szCs w:val="24"/>
        </w:rPr>
        <w:t>The reason the proposed fund requires a special exemption</w:t>
      </w:r>
      <w:r>
        <w:rPr>
          <w:szCs w:val="24"/>
        </w:rPr>
        <w:t>;</w:t>
      </w:r>
    </w:p>
    <w:p w:rsidR="00CA297A" w:rsidRPr="008C2A88" w:rsidP="00CA297A" w14:paraId="1D57F018" w14:textId="77777777">
      <w:pPr>
        <w:numPr>
          <w:ilvl w:val="0"/>
          <w:numId w:val="20"/>
        </w:numPr>
        <w:rPr>
          <w:szCs w:val="24"/>
        </w:rPr>
      </w:pPr>
      <w:r w:rsidRPr="008C2A88">
        <w:rPr>
          <w:szCs w:val="24"/>
        </w:rPr>
        <w:t>The provisions of the fund that are inconsistent with § 9.18(a) and (b)</w:t>
      </w:r>
      <w:r>
        <w:rPr>
          <w:szCs w:val="24"/>
        </w:rPr>
        <w:t>;</w:t>
      </w:r>
    </w:p>
    <w:p w:rsidR="00CA297A" w:rsidP="00CA297A" w14:paraId="51A28389" w14:textId="77777777">
      <w:pPr>
        <w:numPr>
          <w:ilvl w:val="0"/>
          <w:numId w:val="20"/>
        </w:numPr>
        <w:rPr>
          <w:szCs w:val="24"/>
        </w:rPr>
      </w:pPr>
      <w:r w:rsidRPr="008C2A88">
        <w:rPr>
          <w:szCs w:val="24"/>
        </w:rPr>
        <w:t>The provisions of § 9.18(b) for which the institution seeks an exemption</w:t>
      </w:r>
      <w:r>
        <w:rPr>
          <w:szCs w:val="24"/>
        </w:rPr>
        <w:t>; and</w:t>
      </w:r>
    </w:p>
    <w:p w:rsidR="00CA297A" w:rsidRPr="00BF5538" w:rsidP="00CA297A" w14:paraId="629D0F29" w14:textId="77777777">
      <w:pPr>
        <w:numPr>
          <w:ilvl w:val="0"/>
          <w:numId w:val="20"/>
        </w:numPr>
        <w:rPr>
          <w:szCs w:val="24"/>
        </w:rPr>
      </w:pPr>
      <w:r w:rsidRPr="00BF5538">
        <w:rPr>
          <w:szCs w:val="24"/>
        </w:rPr>
        <w:t>The manner in which the proposed fund addresses the rights and interests of participating accounts</w:t>
      </w:r>
      <w:r>
        <w:rPr>
          <w:szCs w:val="24"/>
        </w:rPr>
        <w:t>.</w:t>
      </w:r>
    </w:p>
    <w:p w:rsidR="00EB169D" w:rsidP="00CA297A" w14:paraId="3E5B836B" w14:textId="77777777"/>
    <w:p w:rsidR="00EB2A30" w:rsidP="00EB2A30" w14:paraId="57CD6C72" w14:textId="77777777">
      <w:pPr>
        <w:rPr>
          <w:b/>
          <w:bCs/>
          <w:i/>
          <w:iCs/>
        </w:rPr>
      </w:pPr>
      <w:r>
        <w:rPr>
          <w:b/>
          <w:bCs/>
          <w:i/>
          <w:iCs/>
        </w:rPr>
        <w:t>3.  Consideration of the use of improved information technology:</w:t>
      </w:r>
    </w:p>
    <w:p w:rsidR="00EB169D" w:rsidP="00CA297A" w14:paraId="7EC643AD" w14:textId="77777777"/>
    <w:p w:rsidR="000D72FD" w:rsidP="00CA297A" w14:paraId="171F4421" w14:textId="77777777">
      <w:pPr>
        <w:ind w:firstLine="720"/>
      </w:pPr>
      <w:r>
        <w:t>Institutions may use any method of improved information technology that meets the requirements of the regulation.</w:t>
      </w:r>
    </w:p>
    <w:p w:rsidR="00EB169D" w:rsidP="00CA297A" w14:paraId="25855844" w14:textId="77777777">
      <w:pPr>
        <w:pStyle w:val="BodyText"/>
      </w:pPr>
    </w:p>
    <w:p w:rsidR="00EB2A30" w:rsidP="00EB2A30" w14:paraId="0797FDFA" w14:textId="77777777">
      <w:pPr>
        <w:rPr>
          <w:b/>
          <w:bCs/>
          <w:i/>
          <w:iCs/>
        </w:rPr>
      </w:pPr>
      <w:r>
        <w:rPr>
          <w:b/>
          <w:bCs/>
          <w:i/>
          <w:iCs/>
        </w:rPr>
        <w:t>4.  Efforts to identify duplication:</w:t>
      </w:r>
    </w:p>
    <w:p w:rsidR="000D72FD" w:rsidP="00E91422" w14:paraId="6CF7080E" w14:textId="77777777"/>
    <w:p w:rsidR="000D72FD" w:rsidP="00CA297A" w14:paraId="5BFCEFAE" w14:textId="77777777">
      <w:pPr>
        <w:ind w:firstLine="720"/>
      </w:pPr>
      <w:r>
        <w:t>The required information is not duplicative and is specific to a particular fund.  The information disclosed is not available from any other source.</w:t>
      </w:r>
    </w:p>
    <w:p w:rsidR="00EB169D" w:rsidP="00CA297A" w14:paraId="1183C3F3" w14:textId="77777777"/>
    <w:p w:rsidR="002E7BD2" w:rsidP="002E7BD2" w14:paraId="0700FDAC"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E7BD2" w:rsidP="002E7BD2" w14:paraId="4C107265" w14:textId="77777777"/>
    <w:p w:rsidR="002E7BD2" w:rsidP="002E7BD2" w14:paraId="2E016E66" w14:textId="77777777">
      <w:pPr>
        <w:ind w:firstLine="720"/>
        <w:rPr>
          <w:color w:val="000000"/>
        </w:rPr>
      </w:pPr>
      <w:r>
        <w:rPr>
          <w:color w:val="000000"/>
        </w:rPr>
        <w:t>There are no alternatives that would result in lowering the burden on small institutions, while still accomplishing the purpose of the rule.</w:t>
      </w:r>
    </w:p>
    <w:p w:rsidR="00EA6EAB" w:rsidP="00CA297A" w14:paraId="2641FEED" w14:textId="77777777">
      <w:pPr>
        <w:rPr>
          <w:b/>
          <w:bCs/>
        </w:rPr>
      </w:pPr>
    </w:p>
    <w:p w:rsidR="00EB2A30" w:rsidP="00EB2A30" w14:paraId="5FF9E42C" w14:textId="1A767710">
      <w:pPr>
        <w:pStyle w:val="BodyText"/>
        <w:rPr>
          <w:b/>
          <w:bCs/>
        </w:rPr>
      </w:pPr>
      <w:r>
        <w:rPr>
          <w:b/>
          <w:bCs/>
        </w:rPr>
        <w:t xml:space="preserve">6.  Consequences to the </w:t>
      </w:r>
      <w:r w:rsidR="00BE1FDC">
        <w:rPr>
          <w:b/>
          <w:bCs/>
        </w:rPr>
        <w:t>f</w:t>
      </w:r>
      <w:r>
        <w:rPr>
          <w:b/>
          <w:bCs/>
        </w:rPr>
        <w:t>ederal program if the collection were conducted less frequently:</w:t>
      </w:r>
    </w:p>
    <w:p w:rsidR="000D72FD" w:rsidP="00CA297A" w14:paraId="10B3618D" w14:textId="77777777">
      <w:pPr>
        <w:ind w:firstLine="720"/>
      </w:pPr>
    </w:p>
    <w:p w:rsidR="000D72FD" w:rsidP="00CA297A" w14:paraId="4CB21179" w14:textId="7327B7B2">
      <w:pPr>
        <w:ind w:firstLine="720"/>
      </w:pPr>
      <w:r>
        <w:t>The consequences of less frequent preparation or disclosure would be</w:t>
      </w:r>
      <w:r w:rsidR="00857116">
        <w:t xml:space="preserve"> </w:t>
      </w:r>
      <w:r w:rsidR="00B25665">
        <w:t xml:space="preserve">the submission of </w:t>
      </w:r>
      <w:r w:rsidR="00857116">
        <w:t>untimely, and therefore</w:t>
      </w:r>
      <w:r>
        <w:t xml:space="preserve"> inadequate</w:t>
      </w:r>
      <w:r w:rsidR="00857116">
        <w:t>,</w:t>
      </w:r>
      <w:r>
        <w:t xml:space="preserve"> information </w:t>
      </w:r>
      <w:r w:rsidR="00C05B78">
        <w:t>that would not meet the</w:t>
      </w:r>
      <w:r>
        <w:t xml:space="preserve"> needs of national banks</w:t>
      </w:r>
      <w:r w:rsidR="00EE5397">
        <w:t xml:space="preserve"> and FSAs</w:t>
      </w:r>
      <w:r>
        <w:t>,</w:t>
      </w:r>
      <w:r w:rsidR="002773E8">
        <w:t xml:space="preserve"> </w:t>
      </w:r>
      <w:r>
        <w:t xml:space="preserve">the OCC, </w:t>
      </w:r>
      <w:r w:rsidR="00B25665">
        <w:t>or</w:t>
      </w:r>
      <w:r>
        <w:t xml:space="preserve"> fund participants</w:t>
      </w:r>
      <w:r w:rsidR="00EE5397">
        <w:t>.</w:t>
      </w:r>
      <w:r>
        <w:t xml:space="preserve">  Less frequent preparation or disclosure could impair </w:t>
      </w:r>
      <w:r w:rsidR="00B25665">
        <w:t xml:space="preserve">the </w:t>
      </w:r>
      <w:r>
        <w:t>OCC</w:t>
      </w:r>
      <w:r w:rsidR="00B25665">
        <w:t>’s</w:t>
      </w:r>
      <w:r>
        <w:t xml:space="preserve"> supervision and inhibit market discipline and investor participation.</w:t>
      </w:r>
    </w:p>
    <w:p w:rsidR="005F32D0" w:rsidP="00EB2A30" w14:paraId="6D6F5BBE" w14:textId="77777777">
      <w:pPr>
        <w:pStyle w:val="BodyText"/>
        <w:rPr>
          <w:b/>
          <w:bCs/>
        </w:rPr>
      </w:pPr>
    </w:p>
    <w:p w:rsidR="00EB2A30" w:rsidP="00EB2A30" w14:paraId="641F7B7C" w14:textId="77777777">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rsidR="00EB169D" w:rsidP="00CA297A" w14:paraId="26D140CE" w14:textId="77777777">
      <w:pPr>
        <w:rPr>
          <w:b/>
          <w:bCs/>
        </w:rPr>
      </w:pPr>
    </w:p>
    <w:p w:rsidR="00EB169D" w:rsidP="00CA297A" w14:paraId="44AFE2DF" w14:textId="77777777">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P="00CA297A" w14:paraId="2A9F5C28" w14:textId="77777777">
      <w:pPr>
        <w:rPr>
          <w:b/>
          <w:bCs/>
        </w:rPr>
      </w:pPr>
    </w:p>
    <w:p w:rsidR="00AA1086" w:rsidP="00AA1086" w14:paraId="3E9F2786" w14:textId="77777777">
      <w:pPr>
        <w:pStyle w:val="BodyText"/>
        <w:rPr>
          <w:b/>
          <w:bCs/>
        </w:rPr>
      </w:pPr>
      <w:r>
        <w:rPr>
          <w:b/>
          <w:bCs/>
        </w:rPr>
        <w:t>8.  Efforts to consult with persons outside the agency:</w:t>
      </w:r>
    </w:p>
    <w:p w:rsidR="00EB169D" w:rsidP="0089383F" w14:paraId="7ABC13F9" w14:textId="77777777">
      <w:pPr>
        <w:rPr>
          <w:b/>
          <w:bCs/>
        </w:rPr>
      </w:pPr>
    </w:p>
    <w:p w:rsidR="00C70749" w:rsidRPr="00271250" w:rsidP="00C70749" w14:paraId="588B5E07" w14:textId="01C41886">
      <w:pPr>
        <w:ind w:firstLine="720"/>
        <w:rPr>
          <w:bCs/>
        </w:rPr>
      </w:pPr>
      <w:bookmarkStart w:id="7" w:name="_Hlk160007020"/>
      <w:r>
        <w:rPr>
          <w:bCs/>
        </w:rPr>
        <w:t xml:space="preserve">The OCC issued a 60-day </w:t>
      </w:r>
      <w:r w:rsidRPr="00B32F4C">
        <w:rPr>
          <w:bCs/>
          <w:i/>
        </w:rPr>
        <w:t xml:space="preserve">Federal Register </w:t>
      </w:r>
      <w:r>
        <w:rPr>
          <w:bCs/>
        </w:rPr>
        <w:t xml:space="preserve">notice on </w:t>
      </w:r>
      <w:r w:rsidR="008D57FD">
        <w:rPr>
          <w:bCs/>
        </w:rPr>
        <w:t xml:space="preserve">July 03, </w:t>
      </w:r>
      <w:r>
        <w:rPr>
          <w:bCs/>
        </w:rPr>
        <w:t xml:space="preserve">2024, 89 FR </w:t>
      </w:r>
      <w:r w:rsidR="008D57FD">
        <w:rPr>
          <w:bCs/>
        </w:rPr>
        <w:t xml:space="preserve">55308.  No </w:t>
      </w:r>
      <w:r>
        <w:rPr>
          <w:bCs/>
        </w:rPr>
        <w:t xml:space="preserve">comments were received.  </w:t>
      </w:r>
    </w:p>
    <w:bookmarkEnd w:id="7"/>
    <w:p w:rsidR="007A6068" w:rsidP="0089383F" w14:paraId="572FE688" w14:textId="683AC3F1">
      <w:pPr>
        <w:pStyle w:val="Default"/>
      </w:pPr>
      <w:r>
        <w:tab/>
      </w:r>
    </w:p>
    <w:p w:rsidR="00B3053A" w:rsidP="007A6068" w14:paraId="63ABDFB9" w14:textId="77777777">
      <w:pPr>
        <w:rPr>
          <w:b/>
          <w:bCs/>
        </w:rPr>
      </w:pPr>
      <w:r>
        <w:rPr>
          <w:b/>
          <w:bCs/>
        </w:rPr>
        <w:t>9.  Payment or gift to respondents:</w:t>
      </w:r>
    </w:p>
    <w:p w:rsidR="00EB169D" w:rsidP="00CA297A" w14:paraId="53B2A0C3" w14:textId="77777777">
      <w:pPr>
        <w:rPr>
          <w:b/>
          <w:bCs/>
        </w:rPr>
      </w:pPr>
    </w:p>
    <w:p w:rsidR="00EB169D" w:rsidP="00CA297A" w14:paraId="06CE298B" w14:textId="77777777">
      <w:r>
        <w:rPr>
          <w:b/>
          <w:bCs/>
        </w:rPr>
        <w:tab/>
      </w:r>
      <w:r w:rsidR="00E6241D">
        <w:t>There are</w:t>
      </w:r>
      <w:r>
        <w:t xml:space="preserve"> no payment</w:t>
      </w:r>
      <w:r w:rsidR="00E6241D">
        <w:t>s</w:t>
      </w:r>
      <w:r>
        <w:t xml:space="preserve"> to respondents.</w:t>
      </w:r>
    </w:p>
    <w:p w:rsidR="00EB169D" w:rsidP="00CA297A" w14:paraId="2E1C5EA9" w14:textId="77777777">
      <w:pPr>
        <w:rPr>
          <w:b/>
          <w:bCs/>
        </w:rPr>
      </w:pPr>
    </w:p>
    <w:p w:rsidR="00B3053A" w:rsidP="00B3053A" w14:paraId="116856D5" w14:textId="77777777">
      <w:pPr>
        <w:pStyle w:val="BodyText"/>
        <w:rPr>
          <w:b/>
          <w:bCs/>
        </w:rPr>
      </w:pPr>
      <w:r>
        <w:rPr>
          <w:b/>
          <w:bCs/>
        </w:rPr>
        <w:t>10.  Any assurance of confidentiality:</w:t>
      </w:r>
    </w:p>
    <w:p w:rsidR="00EB169D" w:rsidP="00CA297A" w14:paraId="6AD7F042" w14:textId="77777777">
      <w:pPr>
        <w:rPr>
          <w:b/>
          <w:bCs/>
        </w:rPr>
      </w:pPr>
    </w:p>
    <w:p w:rsidR="00EB169D" w:rsidP="00CA297A" w14:paraId="79290DBB" w14:textId="77777777">
      <w:r>
        <w:rPr>
          <w:b/>
          <w:bCs/>
        </w:rPr>
        <w:tab/>
      </w:r>
      <w:r w:rsidR="00121FE6">
        <w:t>The information will be kept confidential to the extent permitted by law.</w:t>
      </w:r>
    </w:p>
    <w:p w:rsidR="00EB169D" w:rsidP="00CA297A" w14:paraId="3700C595" w14:textId="77777777"/>
    <w:p w:rsidR="00B3053A" w:rsidP="00B3053A" w14:paraId="33A8A857" w14:textId="77777777">
      <w:pPr>
        <w:pStyle w:val="BodyText"/>
        <w:rPr>
          <w:b/>
          <w:bCs/>
        </w:rPr>
      </w:pPr>
      <w:r>
        <w:rPr>
          <w:b/>
          <w:bCs/>
        </w:rPr>
        <w:t>11.  Justification for questions of a sensitive nature:</w:t>
      </w:r>
    </w:p>
    <w:p w:rsidR="00EB169D" w:rsidP="00CA297A" w14:paraId="684EE8D2" w14:textId="77777777"/>
    <w:p w:rsidR="00EB169D" w:rsidP="00CA297A" w14:paraId="3646AA9D" w14:textId="77777777">
      <w:r>
        <w:tab/>
        <w:t>There are no questions of a sensitive nature.</w:t>
      </w:r>
    </w:p>
    <w:p w:rsidR="008C4374" w:rsidP="00CA297A" w14:paraId="500C1935" w14:textId="77777777"/>
    <w:p w:rsidR="00A72969" w:rsidRPr="00A72969" w:rsidP="00A72969" w14:paraId="7B2FEDBA" w14:textId="77777777">
      <w:pPr>
        <w:rPr>
          <w:b/>
          <w:bCs/>
          <w:i/>
          <w:iCs/>
        </w:rPr>
      </w:pPr>
      <w:r w:rsidRPr="00A72969">
        <w:rPr>
          <w:b/>
          <w:bCs/>
          <w:i/>
          <w:iCs/>
        </w:rPr>
        <w:t>12.  Burden estimate:</w:t>
      </w:r>
    </w:p>
    <w:p w:rsidR="00E6241D" w:rsidP="00CA297A" w14:paraId="78BFF2DA" w14:textId="7777777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2637"/>
        <w:gridCol w:w="1530"/>
        <w:gridCol w:w="1350"/>
        <w:gridCol w:w="1170"/>
        <w:gridCol w:w="1350"/>
      </w:tblGrid>
      <w:tr w14:paraId="4D96F75E" w14:textId="77777777" w:rsidTr="00C77EEE">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881" w:type="dxa"/>
          </w:tcPr>
          <w:p w:rsidR="00C77EEE" w:rsidP="00CA297A" w14:paraId="76D47FD1" w14:textId="77777777">
            <w:pPr>
              <w:pStyle w:val="ArticleNumber"/>
              <w:numPr>
                <w:ilvl w:val="0"/>
                <w:numId w:val="0"/>
              </w:numPr>
              <w:spacing w:line="240" w:lineRule="auto"/>
              <w:rPr>
                <w:b/>
                <w:bCs/>
                <w:sz w:val="20"/>
              </w:rPr>
            </w:pPr>
            <w:r>
              <w:rPr>
                <w:b/>
                <w:bCs/>
                <w:sz w:val="20"/>
              </w:rPr>
              <w:t>Cite</w:t>
            </w:r>
          </w:p>
          <w:p w:rsidR="00C77EEE" w:rsidP="00CA297A" w14:paraId="5138610C" w14:textId="77777777">
            <w:pPr>
              <w:jc w:val="center"/>
              <w:rPr>
                <w:b/>
                <w:bCs/>
                <w:sz w:val="20"/>
              </w:rPr>
            </w:pPr>
            <w:r>
              <w:rPr>
                <w:b/>
                <w:bCs/>
                <w:sz w:val="20"/>
              </w:rPr>
              <w:t>and</w:t>
            </w:r>
          </w:p>
          <w:p w:rsidR="00C77EEE" w:rsidP="00CA297A" w14:paraId="7AEFE764" w14:textId="77777777">
            <w:pPr>
              <w:jc w:val="center"/>
              <w:rPr>
                <w:b/>
                <w:bCs/>
                <w:sz w:val="20"/>
              </w:rPr>
            </w:pPr>
            <w:r>
              <w:rPr>
                <w:b/>
                <w:bCs/>
                <w:sz w:val="20"/>
              </w:rPr>
              <w:t>Burden Type</w:t>
            </w:r>
          </w:p>
        </w:tc>
        <w:tc>
          <w:tcPr>
            <w:tcW w:w="2637" w:type="dxa"/>
          </w:tcPr>
          <w:p w:rsidR="00C77EEE" w:rsidP="00CA297A" w14:paraId="608CE5F5" w14:textId="77777777">
            <w:pPr>
              <w:jc w:val="center"/>
              <w:rPr>
                <w:b/>
                <w:bCs/>
                <w:sz w:val="20"/>
              </w:rPr>
            </w:pPr>
            <w:r>
              <w:rPr>
                <w:b/>
                <w:bCs/>
                <w:sz w:val="20"/>
              </w:rPr>
              <w:t>PRA Requirements</w:t>
            </w:r>
          </w:p>
          <w:p w:rsidR="00C77EEE" w:rsidP="00CA297A" w14:paraId="185EC0F2" w14:textId="77777777">
            <w:pPr>
              <w:jc w:val="center"/>
              <w:rPr>
                <w:b/>
                <w:bCs/>
                <w:sz w:val="20"/>
              </w:rPr>
            </w:pPr>
            <w:r>
              <w:rPr>
                <w:b/>
                <w:bCs/>
                <w:sz w:val="20"/>
              </w:rPr>
              <w:t>in</w:t>
            </w:r>
          </w:p>
          <w:p w:rsidR="00C77EEE" w:rsidP="00CA297A" w14:paraId="061CCEB2" w14:textId="77777777">
            <w:pPr>
              <w:jc w:val="center"/>
              <w:rPr>
                <w:b/>
                <w:bCs/>
                <w:sz w:val="20"/>
              </w:rPr>
            </w:pPr>
            <w:r>
              <w:rPr>
                <w:b/>
                <w:bCs/>
                <w:sz w:val="20"/>
              </w:rPr>
              <w:t>12 CFR Parts 9 and 150</w:t>
            </w:r>
          </w:p>
        </w:tc>
        <w:tc>
          <w:tcPr>
            <w:tcW w:w="1530" w:type="dxa"/>
          </w:tcPr>
          <w:p w:rsidR="00C77EEE" w:rsidP="00CA297A" w14:paraId="1A3240C8" w14:textId="77777777">
            <w:pPr>
              <w:pStyle w:val="ArticleNumber"/>
              <w:numPr>
                <w:ilvl w:val="0"/>
                <w:numId w:val="0"/>
              </w:numPr>
              <w:spacing w:line="240" w:lineRule="auto"/>
              <w:rPr>
                <w:b/>
                <w:bCs/>
                <w:sz w:val="20"/>
              </w:rPr>
            </w:pPr>
            <w:r>
              <w:rPr>
                <w:b/>
                <w:bCs/>
                <w:sz w:val="20"/>
              </w:rPr>
              <w:t>Number</w:t>
            </w:r>
          </w:p>
          <w:p w:rsidR="00C77EEE" w:rsidP="00CA297A" w14:paraId="14EC0263" w14:textId="77777777">
            <w:pPr>
              <w:pStyle w:val="ArticleNumber"/>
              <w:numPr>
                <w:ilvl w:val="0"/>
                <w:numId w:val="0"/>
              </w:numPr>
              <w:spacing w:line="240" w:lineRule="auto"/>
              <w:rPr>
                <w:b/>
                <w:bCs/>
                <w:sz w:val="20"/>
              </w:rPr>
            </w:pPr>
            <w:r>
              <w:rPr>
                <w:b/>
                <w:bCs/>
                <w:sz w:val="20"/>
              </w:rPr>
              <w:t>of</w:t>
            </w:r>
          </w:p>
          <w:p w:rsidR="00C77EEE" w:rsidP="00CA297A" w14:paraId="3D245F9D" w14:textId="77777777">
            <w:pPr>
              <w:pStyle w:val="ArticleNumber"/>
              <w:numPr>
                <w:ilvl w:val="0"/>
                <w:numId w:val="0"/>
              </w:numPr>
              <w:spacing w:line="240" w:lineRule="auto"/>
              <w:rPr>
                <w:b/>
                <w:bCs/>
                <w:sz w:val="20"/>
              </w:rPr>
            </w:pPr>
            <w:r>
              <w:rPr>
                <w:b/>
                <w:bCs/>
                <w:sz w:val="20"/>
              </w:rPr>
              <w:t>Respondents</w:t>
            </w:r>
          </w:p>
        </w:tc>
        <w:tc>
          <w:tcPr>
            <w:tcW w:w="1350" w:type="dxa"/>
          </w:tcPr>
          <w:p w:rsidR="00C77EEE" w:rsidP="00CA297A" w14:paraId="3774E719" w14:textId="77777777">
            <w:pPr>
              <w:pStyle w:val="ArticleNumber"/>
              <w:numPr>
                <w:ilvl w:val="0"/>
                <w:numId w:val="0"/>
              </w:numPr>
              <w:spacing w:line="240" w:lineRule="auto"/>
              <w:rPr>
                <w:b/>
                <w:bCs/>
                <w:sz w:val="20"/>
              </w:rPr>
            </w:pPr>
            <w:r>
              <w:rPr>
                <w:b/>
                <w:bCs/>
                <w:sz w:val="20"/>
              </w:rPr>
              <w:t>Average</w:t>
            </w:r>
          </w:p>
          <w:p w:rsidR="00C77EEE" w:rsidP="00CA297A" w14:paraId="1AD2747D" w14:textId="77777777">
            <w:pPr>
              <w:jc w:val="center"/>
              <w:rPr>
                <w:b/>
                <w:bCs/>
                <w:sz w:val="20"/>
              </w:rPr>
            </w:pPr>
            <w:r>
              <w:rPr>
                <w:b/>
                <w:bCs/>
                <w:sz w:val="20"/>
              </w:rPr>
              <w:t>Hours Per</w:t>
            </w:r>
          </w:p>
          <w:p w:rsidR="00C77EEE" w:rsidP="00CA297A" w14:paraId="16CBA10D" w14:textId="77777777">
            <w:pPr>
              <w:jc w:val="center"/>
              <w:rPr>
                <w:b/>
                <w:bCs/>
                <w:sz w:val="20"/>
              </w:rPr>
            </w:pPr>
            <w:r>
              <w:rPr>
                <w:b/>
                <w:bCs/>
                <w:sz w:val="20"/>
              </w:rPr>
              <w:t>Response</w:t>
            </w:r>
          </w:p>
        </w:tc>
        <w:tc>
          <w:tcPr>
            <w:tcW w:w="1170" w:type="dxa"/>
          </w:tcPr>
          <w:p w:rsidR="00C77EEE" w:rsidP="00CA297A" w14:paraId="1CEE27B2" w14:textId="77777777">
            <w:pPr>
              <w:pStyle w:val="ArticleNumber"/>
              <w:numPr>
                <w:ilvl w:val="0"/>
                <w:numId w:val="0"/>
              </w:numPr>
              <w:spacing w:line="240" w:lineRule="auto"/>
              <w:rPr>
                <w:b/>
                <w:bCs/>
                <w:sz w:val="20"/>
              </w:rPr>
            </w:pPr>
            <w:r>
              <w:rPr>
                <w:b/>
                <w:bCs/>
                <w:sz w:val="20"/>
              </w:rPr>
              <w:t>Annual</w:t>
            </w:r>
          </w:p>
          <w:p w:rsidR="00C77EEE" w:rsidP="00CA297A" w14:paraId="7775A570" w14:textId="77777777">
            <w:pPr>
              <w:pStyle w:val="ArticleNumber"/>
              <w:numPr>
                <w:ilvl w:val="0"/>
                <w:numId w:val="0"/>
              </w:numPr>
              <w:spacing w:line="240" w:lineRule="auto"/>
              <w:rPr>
                <w:b/>
                <w:bCs/>
                <w:sz w:val="20"/>
              </w:rPr>
            </w:pPr>
            <w:r>
              <w:rPr>
                <w:b/>
                <w:bCs/>
                <w:sz w:val="20"/>
              </w:rPr>
              <w:t>Frequency</w:t>
            </w:r>
          </w:p>
        </w:tc>
        <w:tc>
          <w:tcPr>
            <w:tcW w:w="1350" w:type="dxa"/>
          </w:tcPr>
          <w:p w:rsidR="00C77EEE" w:rsidP="00CA297A" w14:paraId="7758A85B" w14:textId="77777777">
            <w:pPr>
              <w:pStyle w:val="ArticleNumber"/>
              <w:numPr>
                <w:ilvl w:val="0"/>
                <w:numId w:val="0"/>
              </w:numPr>
              <w:spacing w:line="240" w:lineRule="auto"/>
              <w:rPr>
                <w:b/>
                <w:bCs/>
                <w:sz w:val="20"/>
              </w:rPr>
            </w:pPr>
            <w:r>
              <w:rPr>
                <w:b/>
                <w:bCs/>
                <w:sz w:val="20"/>
              </w:rPr>
              <w:t>Estimated</w:t>
            </w:r>
          </w:p>
          <w:p w:rsidR="00C77EEE" w:rsidP="00CA297A" w14:paraId="1F3F8FD7" w14:textId="77777777">
            <w:pPr>
              <w:jc w:val="center"/>
              <w:rPr>
                <w:b/>
                <w:bCs/>
                <w:sz w:val="20"/>
              </w:rPr>
            </w:pPr>
            <w:r>
              <w:rPr>
                <w:b/>
                <w:bCs/>
                <w:sz w:val="20"/>
              </w:rPr>
              <w:t>Burden</w:t>
            </w:r>
          </w:p>
          <w:p w:rsidR="00C77EEE" w:rsidP="00CA297A" w14:paraId="647DEA6B" w14:textId="77777777">
            <w:pPr>
              <w:jc w:val="center"/>
              <w:rPr>
                <w:b/>
                <w:bCs/>
                <w:sz w:val="20"/>
              </w:rPr>
            </w:pPr>
            <w:r>
              <w:rPr>
                <w:b/>
                <w:bCs/>
                <w:sz w:val="20"/>
              </w:rPr>
              <w:t>Hours</w:t>
            </w:r>
          </w:p>
        </w:tc>
      </w:tr>
      <w:tr w14:paraId="4E2BFC75" w14:textId="77777777" w:rsidTr="00C77EEE">
        <w:tblPrEx>
          <w:tblW w:w="9918" w:type="dxa"/>
          <w:tblLayout w:type="fixed"/>
          <w:tblLook w:val="0000"/>
        </w:tblPrEx>
        <w:tc>
          <w:tcPr>
            <w:tcW w:w="1881" w:type="dxa"/>
          </w:tcPr>
          <w:p w:rsidR="00C77EEE" w:rsidP="00CA297A" w14:paraId="339CAB97" w14:textId="77777777">
            <w:pPr>
              <w:rPr>
                <w:sz w:val="20"/>
              </w:rPr>
            </w:pPr>
            <w:r>
              <w:rPr>
                <w:sz w:val="20"/>
              </w:rPr>
              <w:t>12 CFR 9.8 &amp; 12 CFR 150.410 – 150.430</w:t>
            </w:r>
          </w:p>
          <w:p w:rsidR="00C77EEE" w:rsidP="00CA297A" w14:paraId="1C6F7C8D" w14:textId="77777777">
            <w:pPr>
              <w:rPr>
                <w:sz w:val="20"/>
              </w:rPr>
            </w:pPr>
            <w:r>
              <w:rPr>
                <w:sz w:val="20"/>
              </w:rPr>
              <w:t>Recordkeeping</w:t>
            </w:r>
          </w:p>
        </w:tc>
        <w:tc>
          <w:tcPr>
            <w:tcW w:w="2637" w:type="dxa"/>
          </w:tcPr>
          <w:p w:rsidR="00C77EEE" w:rsidP="00CA297A" w14:paraId="7C09E5A4" w14:textId="77777777">
            <w:pPr>
              <w:pStyle w:val="Heading4"/>
            </w:pPr>
            <w:r>
              <w:t>Recordkeeping:</w:t>
            </w:r>
          </w:p>
          <w:p w:rsidR="00C77EEE" w:rsidP="00CA297A" w14:paraId="22BBBC2A" w14:textId="77777777">
            <w:pPr>
              <w:rPr>
                <w:sz w:val="20"/>
              </w:rPr>
            </w:pPr>
            <w:r>
              <w:rPr>
                <w:i/>
                <w:iCs/>
                <w:sz w:val="20"/>
                <w:u w:val="single"/>
              </w:rPr>
              <w:t>Documentation of accounts</w:t>
            </w:r>
            <w:r>
              <w:rPr>
                <w:sz w:val="20"/>
              </w:rPr>
              <w:t xml:space="preserve"> – An institution shall document the establishment and </w:t>
            </w:r>
            <w:r>
              <w:rPr>
                <w:sz w:val="20"/>
              </w:rPr>
              <w:t>termination of each fiduciary account and shall maintain adequate records.</w:t>
            </w:r>
          </w:p>
          <w:p w:rsidR="00C77EEE" w:rsidP="00CA297A" w14:paraId="172E6D34" w14:textId="77777777">
            <w:pPr>
              <w:rPr>
                <w:sz w:val="20"/>
              </w:rPr>
            </w:pPr>
          </w:p>
          <w:p w:rsidR="00C77EEE" w:rsidP="00CA297A" w14:paraId="6B20247A" w14:textId="77777777">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P="00CA297A" w14:paraId="4B244C30" w14:textId="77777777">
            <w:pPr>
              <w:rPr>
                <w:sz w:val="20"/>
              </w:rPr>
            </w:pPr>
          </w:p>
          <w:p w:rsidR="00C77EEE" w:rsidP="00CA297A" w14:paraId="4A8BAE9F" w14:textId="77777777">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P="004669CF" w14:paraId="6BB6D3CA" w14:textId="5C96139A">
            <w:pPr>
              <w:jc w:val="right"/>
              <w:rPr>
                <w:sz w:val="20"/>
              </w:rPr>
            </w:pPr>
            <w:r>
              <w:rPr>
                <w:sz w:val="20"/>
              </w:rPr>
              <w:t>282</w:t>
            </w:r>
            <w:r w:rsidR="004669CF">
              <w:rPr>
                <w:sz w:val="20"/>
              </w:rPr>
              <w:t xml:space="preserve"> </w:t>
            </w:r>
            <w:r w:rsidR="00DE3031">
              <w:rPr>
                <w:sz w:val="20"/>
              </w:rPr>
              <w:t>I</w:t>
            </w:r>
            <w:r>
              <w:rPr>
                <w:sz w:val="20"/>
              </w:rPr>
              <w:t xml:space="preserve">nstitutions </w:t>
            </w:r>
            <w:r w:rsidR="00DE3031">
              <w:rPr>
                <w:sz w:val="20"/>
              </w:rPr>
              <w:t>Established and T</w:t>
            </w:r>
            <w:r>
              <w:rPr>
                <w:sz w:val="20"/>
              </w:rPr>
              <w:t xml:space="preserve">erminated an </w:t>
            </w:r>
            <w:r w:rsidR="00DE3031">
              <w:rPr>
                <w:sz w:val="20"/>
              </w:rPr>
              <w:t>A</w:t>
            </w:r>
            <w:r>
              <w:rPr>
                <w:sz w:val="20"/>
              </w:rPr>
              <w:t xml:space="preserve">verage of </w:t>
            </w:r>
            <w:r>
              <w:rPr>
                <w:sz w:val="20"/>
              </w:rPr>
              <w:t>6047</w:t>
            </w:r>
            <w:r w:rsidR="0058734C">
              <w:rPr>
                <w:sz w:val="20"/>
              </w:rPr>
              <w:t xml:space="preserve"> </w:t>
            </w:r>
            <w:r w:rsidR="00C05EF2">
              <w:rPr>
                <w:sz w:val="20"/>
              </w:rPr>
              <w:t xml:space="preserve">Participating </w:t>
            </w:r>
            <w:r>
              <w:rPr>
                <w:sz w:val="20"/>
              </w:rPr>
              <w:t xml:space="preserve"> </w:t>
            </w:r>
            <w:r w:rsidR="00DE3031">
              <w:rPr>
                <w:sz w:val="20"/>
              </w:rPr>
              <w:t>A</w:t>
            </w:r>
            <w:r>
              <w:rPr>
                <w:sz w:val="20"/>
              </w:rPr>
              <w:t xml:space="preserve">ccounts per </w:t>
            </w:r>
            <w:r w:rsidR="00DE3031">
              <w:rPr>
                <w:sz w:val="20"/>
              </w:rPr>
              <w:t>Y</w:t>
            </w:r>
            <w:r>
              <w:rPr>
                <w:sz w:val="20"/>
              </w:rPr>
              <w:t>ear</w:t>
            </w:r>
          </w:p>
        </w:tc>
        <w:tc>
          <w:tcPr>
            <w:tcW w:w="1350" w:type="dxa"/>
          </w:tcPr>
          <w:p w:rsidR="00C77EEE" w:rsidP="004669CF" w14:paraId="5FE7D7E7" w14:textId="77777777">
            <w:pPr>
              <w:jc w:val="right"/>
              <w:rPr>
                <w:sz w:val="20"/>
              </w:rPr>
            </w:pPr>
            <w:r>
              <w:rPr>
                <w:sz w:val="20"/>
              </w:rPr>
              <w:t>.</w:t>
            </w:r>
            <w:r w:rsidR="004669CF">
              <w:rPr>
                <w:sz w:val="20"/>
              </w:rPr>
              <w:t>10</w:t>
            </w:r>
          </w:p>
        </w:tc>
        <w:tc>
          <w:tcPr>
            <w:tcW w:w="1170" w:type="dxa"/>
          </w:tcPr>
          <w:p w:rsidR="00C77EEE" w:rsidP="00CA297A" w14:paraId="5C52ABEE" w14:textId="77777777">
            <w:pPr>
              <w:jc w:val="right"/>
              <w:rPr>
                <w:sz w:val="20"/>
              </w:rPr>
            </w:pPr>
            <w:r>
              <w:rPr>
                <w:sz w:val="20"/>
              </w:rPr>
              <w:t>1</w:t>
            </w:r>
          </w:p>
        </w:tc>
        <w:tc>
          <w:tcPr>
            <w:tcW w:w="1350" w:type="dxa"/>
          </w:tcPr>
          <w:p w:rsidR="00C77EEE" w:rsidP="009465AA" w14:paraId="6A9AC2B1" w14:textId="047AEFFD">
            <w:pPr>
              <w:jc w:val="right"/>
              <w:rPr>
                <w:sz w:val="20"/>
              </w:rPr>
            </w:pPr>
            <w:r>
              <w:rPr>
                <w:sz w:val="20"/>
              </w:rPr>
              <w:t>170,525</w:t>
            </w:r>
          </w:p>
        </w:tc>
      </w:tr>
      <w:tr w14:paraId="6B4D02B4" w14:textId="77777777" w:rsidTr="00C77EEE">
        <w:tblPrEx>
          <w:tblW w:w="9918" w:type="dxa"/>
          <w:tblLayout w:type="fixed"/>
          <w:tblLook w:val="0000"/>
        </w:tblPrEx>
        <w:tc>
          <w:tcPr>
            <w:tcW w:w="1881" w:type="dxa"/>
          </w:tcPr>
          <w:p w:rsidR="00C77EEE" w:rsidP="00CA297A" w14:paraId="0880ED86" w14:textId="77777777">
            <w:pPr>
              <w:rPr>
                <w:sz w:val="20"/>
              </w:rPr>
            </w:pPr>
            <w:r>
              <w:rPr>
                <w:sz w:val="20"/>
              </w:rPr>
              <w:t>12 CFR 9.9(a) and (b) &amp; 12 CFR 150.480</w:t>
            </w:r>
          </w:p>
          <w:p w:rsidR="00C77EEE" w:rsidP="00CA297A" w14:paraId="5524D910" w14:textId="77777777">
            <w:pPr>
              <w:rPr>
                <w:sz w:val="20"/>
              </w:rPr>
            </w:pPr>
            <w:r>
              <w:rPr>
                <w:sz w:val="20"/>
              </w:rPr>
              <w:t>Recordkeeping</w:t>
            </w:r>
          </w:p>
        </w:tc>
        <w:tc>
          <w:tcPr>
            <w:tcW w:w="2637" w:type="dxa"/>
          </w:tcPr>
          <w:p w:rsidR="00C77EEE" w:rsidP="00CA297A" w14:paraId="01A81B2D" w14:textId="77777777">
            <w:pPr>
              <w:rPr>
                <w:sz w:val="20"/>
              </w:rPr>
            </w:pPr>
            <w:r>
              <w:rPr>
                <w:b/>
                <w:bCs/>
                <w:sz w:val="20"/>
              </w:rPr>
              <w:t>Audit of Fiduciary Activities:</w:t>
            </w:r>
          </w:p>
          <w:p w:rsidR="00C77EEE" w:rsidP="00CA297A" w14:paraId="29273117" w14:textId="77777777">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P="00CA297A" w14:paraId="5F930B7B" w14:textId="77777777">
            <w:pPr>
              <w:rPr>
                <w:sz w:val="20"/>
              </w:rPr>
            </w:pPr>
          </w:p>
          <w:p w:rsidR="00C77EEE" w:rsidP="00CA297A" w14:paraId="272C6802" w14:textId="77777777">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P="00CA297A" w14:paraId="6D9EC953" w14:textId="7B557CBF">
            <w:pPr>
              <w:jc w:val="right"/>
              <w:rPr>
                <w:sz w:val="20"/>
              </w:rPr>
            </w:pPr>
            <w:r>
              <w:rPr>
                <w:sz w:val="20"/>
              </w:rPr>
              <w:t xml:space="preserve">282 </w:t>
            </w:r>
            <w:r w:rsidR="00DE3031">
              <w:rPr>
                <w:sz w:val="20"/>
              </w:rPr>
              <w:t>I</w:t>
            </w:r>
            <w:r>
              <w:rPr>
                <w:sz w:val="20"/>
              </w:rPr>
              <w:t>nstitutions</w:t>
            </w:r>
          </w:p>
          <w:p w:rsidR="00C77EEE" w:rsidP="00CA297A" w14:paraId="7F9E629E" w14:textId="77777777">
            <w:pPr>
              <w:jc w:val="right"/>
              <w:rPr>
                <w:sz w:val="20"/>
              </w:rPr>
            </w:pPr>
          </w:p>
        </w:tc>
        <w:tc>
          <w:tcPr>
            <w:tcW w:w="1350" w:type="dxa"/>
          </w:tcPr>
          <w:p w:rsidR="00C77EEE" w:rsidP="00CA297A" w14:paraId="7A3A5622" w14:textId="77777777">
            <w:pPr>
              <w:jc w:val="right"/>
              <w:rPr>
                <w:sz w:val="20"/>
              </w:rPr>
            </w:pPr>
            <w:r>
              <w:rPr>
                <w:sz w:val="20"/>
              </w:rPr>
              <w:t>.25</w:t>
            </w:r>
          </w:p>
        </w:tc>
        <w:tc>
          <w:tcPr>
            <w:tcW w:w="1170" w:type="dxa"/>
          </w:tcPr>
          <w:p w:rsidR="00C77EEE" w:rsidP="00CA297A" w14:paraId="2B07579B" w14:textId="77777777">
            <w:pPr>
              <w:jc w:val="right"/>
              <w:rPr>
                <w:sz w:val="20"/>
              </w:rPr>
            </w:pPr>
            <w:r>
              <w:rPr>
                <w:sz w:val="20"/>
              </w:rPr>
              <w:t>1</w:t>
            </w:r>
          </w:p>
        </w:tc>
        <w:tc>
          <w:tcPr>
            <w:tcW w:w="1350" w:type="dxa"/>
          </w:tcPr>
          <w:p w:rsidR="00C77EEE" w:rsidP="009465AA" w14:paraId="53B89585" w14:textId="199FA24D">
            <w:pPr>
              <w:jc w:val="right"/>
              <w:rPr>
                <w:sz w:val="20"/>
              </w:rPr>
            </w:pPr>
            <w:r>
              <w:rPr>
                <w:sz w:val="20"/>
              </w:rPr>
              <w:t>71</w:t>
            </w:r>
          </w:p>
        </w:tc>
      </w:tr>
      <w:tr w14:paraId="2E1B354D" w14:textId="77777777" w:rsidTr="00C77EEE">
        <w:tblPrEx>
          <w:tblW w:w="9918" w:type="dxa"/>
          <w:tblLayout w:type="fixed"/>
          <w:tblLook w:val="0000"/>
        </w:tblPrEx>
        <w:tc>
          <w:tcPr>
            <w:tcW w:w="1881" w:type="dxa"/>
          </w:tcPr>
          <w:p w:rsidR="00C77EEE" w:rsidP="00CA297A" w14:paraId="046DA91B" w14:textId="77777777">
            <w:pPr>
              <w:rPr>
                <w:sz w:val="20"/>
              </w:rPr>
            </w:pPr>
            <w:r>
              <w:rPr>
                <w:sz w:val="20"/>
              </w:rPr>
              <w:t>12 CFR 9.17(a) &amp; 12 CFR 150.530</w:t>
            </w:r>
          </w:p>
          <w:p w:rsidR="00C77EEE" w:rsidP="00CA297A" w14:paraId="7DFD3211" w14:textId="77777777">
            <w:pPr>
              <w:rPr>
                <w:sz w:val="20"/>
              </w:rPr>
            </w:pPr>
            <w:r>
              <w:rPr>
                <w:sz w:val="20"/>
              </w:rPr>
              <w:t>Reporting</w:t>
            </w:r>
          </w:p>
        </w:tc>
        <w:tc>
          <w:tcPr>
            <w:tcW w:w="2637" w:type="dxa"/>
          </w:tcPr>
          <w:p w:rsidR="00C77EEE" w:rsidP="00CA297A" w14:paraId="7576BE64" w14:textId="77777777">
            <w:pPr>
              <w:rPr>
                <w:sz w:val="20"/>
              </w:rPr>
            </w:pPr>
            <w:r>
              <w:rPr>
                <w:b/>
                <w:bCs/>
                <w:sz w:val="20"/>
              </w:rPr>
              <w:t>Surrender or revocation of fiduciary powers:</w:t>
            </w:r>
          </w:p>
          <w:p w:rsidR="00C77EEE" w:rsidP="00CA297A" w14:paraId="67730B38" w14:textId="77777777">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P="00CA297A" w14:paraId="43825E27" w14:textId="77777777">
            <w:pPr>
              <w:jc w:val="right"/>
              <w:rPr>
                <w:sz w:val="20"/>
              </w:rPr>
            </w:pPr>
            <w:r>
              <w:rPr>
                <w:sz w:val="20"/>
              </w:rPr>
              <w:t xml:space="preserve">2 </w:t>
            </w:r>
            <w:r w:rsidR="00DE3031">
              <w:rPr>
                <w:sz w:val="20"/>
              </w:rPr>
              <w:t>I</w:t>
            </w:r>
            <w:r>
              <w:rPr>
                <w:sz w:val="20"/>
              </w:rPr>
              <w:t>nstitutions</w:t>
            </w:r>
          </w:p>
        </w:tc>
        <w:tc>
          <w:tcPr>
            <w:tcW w:w="1350" w:type="dxa"/>
          </w:tcPr>
          <w:p w:rsidR="00C77EEE" w:rsidP="00CA297A" w14:paraId="7B62CCD7" w14:textId="77777777">
            <w:pPr>
              <w:jc w:val="right"/>
              <w:rPr>
                <w:sz w:val="20"/>
              </w:rPr>
            </w:pPr>
            <w:r>
              <w:rPr>
                <w:sz w:val="20"/>
              </w:rPr>
              <w:t>1</w:t>
            </w:r>
          </w:p>
        </w:tc>
        <w:tc>
          <w:tcPr>
            <w:tcW w:w="1170" w:type="dxa"/>
          </w:tcPr>
          <w:p w:rsidR="00C77EEE" w:rsidP="00CA297A" w14:paraId="185949AC" w14:textId="77777777">
            <w:pPr>
              <w:jc w:val="right"/>
              <w:rPr>
                <w:sz w:val="20"/>
              </w:rPr>
            </w:pPr>
            <w:r>
              <w:rPr>
                <w:sz w:val="20"/>
              </w:rPr>
              <w:t>1</w:t>
            </w:r>
          </w:p>
        </w:tc>
        <w:tc>
          <w:tcPr>
            <w:tcW w:w="1350" w:type="dxa"/>
          </w:tcPr>
          <w:p w:rsidR="00C77EEE" w:rsidP="00CA297A" w14:paraId="346BFED0" w14:textId="77777777">
            <w:pPr>
              <w:jc w:val="right"/>
              <w:rPr>
                <w:sz w:val="20"/>
              </w:rPr>
            </w:pPr>
            <w:r>
              <w:rPr>
                <w:sz w:val="20"/>
              </w:rPr>
              <w:t xml:space="preserve">2 </w:t>
            </w:r>
          </w:p>
        </w:tc>
      </w:tr>
      <w:tr w14:paraId="2DCBC678" w14:textId="77777777" w:rsidTr="00C77EEE">
        <w:tblPrEx>
          <w:tblW w:w="9918" w:type="dxa"/>
          <w:tblLayout w:type="fixed"/>
          <w:tblLook w:val="0000"/>
        </w:tblPrEx>
        <w:tc>
          <w:tcPr>
            <w:tcW w:w="1881" w:type="dxa"/>
          </w:tcPr>
          <w:p w:rsidR="00C77EEE" w:rsidP="00CA297A" w14:paraId="64D8863D" w14:textId="77777777">
            <w:pPr>
              <w:rPr>
                <w:sz w:val="20"/>
              </w:rPr>
            </w:pPr>
            <w:r>
              <w:rPr>
                <w:sz w:val="20"/>
              </w:rPr>
              <w:t xml:space="preserve">12 CFR 9.18(b)(1) </w:t>
            </w:r>
            <w:bookmarkStart w:id="8" w:name="OLE_LINK1"/>
            <w:bookmarkStart w:id="9" w:name="OLE_LINK2"/>
            <w:r>
              <w:rPr>
                <w:sz w:val="20"/>
              </w:rPr>
              <w:t>&amp; 12 CFR 150.260</w:t>
            </w:r>
            <w:bookmarkEnd w:id="8"/>
            <w:bookmarkEnd w:id="9"/>
          </w:p>
          <w:p w:rsidR="00C77EEE" w:rsidP="00CA297A" w14:paraId="61A2C5FF" w14:textId="77777777">
            <w:pPr>
              <w:rPr>
                <w:sz w:val="20"/>
              </w:rPr>
            </w:pPr>
            <w:r>
              <w:rPr>
                <w:sz w:val="20"/>
              </w:rPr>
              <w:t>Recordkeeping</w:t>
            </w:r>
          </w:p>
        </w:tc>
        <w:tc>
          <w:tcPr>
            <w:tcW w:w="2637" w:type="dxa"/>
          </w:tcPr>
          <w:p w:rsidR="00C77EEE" w:rsidP="00CA297A" w14:paraId="3C92C0CC" w14:textId="77777777">
            <w:pPr>
              <w:rPr>
                <w:sz w:val="20"/>
              </w:rPr>
            </w:pPr>
            <w:r>
              <w:rPr>
                <w:b/>
                <w:bCs/>
                <w:sz w:val="20"/>
              </w:rPr>
              <w:t>Collective investment funds:</w:t>
            </w:r>
          </w:p>
          <w:p w:rsidR="00C77EEE" w:rsidP="00CA297A" w14:paraId="64FB20EF" w14:textId="4B63D89F">
            <w:pPr>
              <w:rPr>
                <w:sz w:val="20"/>
              </w:rPr>
            </w:pPr>
            <w:r>
              <w:rPr>
                <w:i/>
                <w:iCs/>
                <w:sz w:val="20"/>
                <w:u w:val="single"/>
              </w:rPr>
              <w:t>Plan</w:t>
            </w:r>
            <w:r>
              <w:rPr>
                <w:sz w:val="20"/>
              </w:rPr>
              <w:t xml:space="preserve"> – The institution shall establish and maintain each collective investment fund in accordance with a </w:t>
            </w:r>
            <w:r>
              <w:rPr>
                <w:sz w:val="20"/>
              </w:rPr>
              <w:t>Plan</w:t>
            </w:r>
            <w:r>
              <w:rPr>
                <w:sz w:val="20"/>
              </w:rPr>
              <w:t xml:space="preserve">.  The </w:t>
            </w:r>
            <w:r>
              <w:rPr>
                <w:sz w:val="20"/>
              </w:rPr>
              <w:t>Plan</w:t>
            </w:r>
            <w:r>
              <w:rPr>
                <w:sz w:val="20"/>
              </w:rPr>
              <w:t xml:space="preserve"> must include provisions relating to:</w:t>
            </w:r>
          </w:p>
          <w:p w:rsidR="00C77EEE" w:rsidP="00CA297A" w14:paraId="112B4DF7" w14:textId="77777777">
            <w:pPr>
              <w:numPr>
                <w:ilvl w:val="0"/>
                <w:numId w:val="18"/>
              </w:numPr>
              <w:rPr>
                <w:sz w:val="20"/>
              </w:rPr>
            </w:pPr>
            <w:r>
              <w:rPr>
                <w:sz w:val="20"/>
              </w:rPr>
              <w:t>Investment powers and policies</w:t>
            </w:r>
          </w:p>
          <w:p w:rsidR="00C77EEE" w:rsidP="00CA297A" w14:paraId="455AA7BD" w14:textId="77777777">
            <w:pPr>
              <w:numPr>
                <w:ilvl w:val="0"/>
                <w:numId w:val="18"/>
              </w:numPr>
              <w:rPr>
                <w:sz w:val="20"/>
              </w:rPr>
            </w:pPr>
            <w:r>
              <w:rPr>
                <w:sz w:val="20"/>
              </w:rPr>
              <w:t>Allocation of income, profits, and losses</w:t>
            </w:r>
          </w:p>
          <w:p w:rsidR="00C77EEE" w:rsidP="00CA297A" w14:paraId="41E1E18A" w14:textId="77777777">
            <w:pPr>
              <w:numPr>
                <w:ilvl w:val="0"/>
                <w:numId w:val="18"/>
              </w:numPr>
              <w:rPr>
                <w:sz w:val="20"/>
              </w:rPr>
            </w:pPr>
            <w:r>
              <w:rPr>
                <w:sz w:val="20"/>
              </w:rPr>
              <w:t>Fees and expenses that will be charged to the fund and to participating accounts</w:t>
            </w:r>
          </w:p>
          <w:p w:rsidR="00C77EEE" w:rsidP="00CA297A" w14:paraId="119649D8" w14:textId="77777777">
            <w:pPr>
              <w:numPr>
                <w:ilvl w:val="0"/>
                <w:numId w:val="18"/>
              </w:numPr>
              <w:rPr>
                <w:sz w:val="20"/>
              </w:rPr>
            </w:pPr>
            <w:r>
              <w:rPr>
                <w:sz w:val="20"/>
              </w:rPr>
              <w:t>Terms and conditions regarding admission and withdrawal of participating accounts</w:t>
            </w:r>
          </w:p>
          <w:p w:rsidR="00C77EEE" w:rsidP="00CA297A" w14:paraId="4D9BADB9" w14:textId="77777777">
            <w:pPr>
              <w:numPr>
                <w:ilvl w:val="0"/>
                <w:numId w:val="18"/>
              </w:numPr>
              <w:rPr>
                <w:sz w:val="20"/>
              </w:rPr>
            </w:pPr>
            <w:r>
              <w:rPr>
                <w:sz w:val="20"/>
              </w:rPr>
              <w:t>Audits of participating accounts</w:t>
            </w:r>
          </w:p>
          <w:p w:rsidR="00C77EEE" w:rsidP="00CA297A" w14:paraId="68646C45" w14:textId="77777777">
            <w:pPr>
              <w:numPr>
                <w:ilvl w:val="0"/>
                <w:numId w:val="18"/>
              </w:numPr>
              <w:rPr>
                <w:sz w:val="20"/>
              </w:rPr>
            </w:pPr>
            <w:r>
              <w:rPr>
                <w:sz w:val="20"/>
              </w:rPr>
              <w:t>Basis and method of valuing assets</w:t>
            </w:r>
          </w:p>
          <w:p w:rsidR="00C77EEE" w:rsidP="00CA297A" w14:paraId="6F9A79A4" w14:textId="77777777">
            <w:pPr>
              <w:numPr>
                <w:ilvl w:val="0"/>
                <w:numId w:val="18"/>
              </w:numPr>
              <w:rPr>
                <w:sz w:val="20"/>
              </w:rPr>
            </w:pPr>
            <w:r>
              <w:rPr>
                <w:sz w:val="20"/>
              </w:rPr>
              <w:t>Expected frequency for income distribution</w:t>
            </w:r>
          </w:p>
          <w:p w:rsidR="00C77EEE" w:rsidP="00CA297A" w14:paraId="14397BF8" w14:textId="77777777">
            <w:pPr>
              <w:numPr>
                <w:ilvl w:val="0"/>
                <w:numId w:val="18"/>
              </w:numPr>
              <w:rPr>
                <w:sz w:val="20"/>
              </w:rPr>
            </w:pPr>
            <w:r>
              <w:rPr>
                <w:sz w:val="20"/>
              </w:rPr>
              <w:t>Minimum frequency for valuation of fund assets</w:t>
            </w:r>
          </w:p>
          <w:p w:rsidR="00C77EEE" w:rsidP="00CA297A" w14:paraId="7C55A871" w14:textId="77777777">
            <w:pPr>
              <w:numPr>
                <w:ilvl w:val="0"/>
                <w:numId w:val="18"/>
              </w:numPr>
              <w:rPr>
                <w:sz w:val="20"/>
              </w:rPr>
            </w:pPr>
            <w:r>
              <w:rPr>
                <w:sz w:val="20"/>
              </w:rPr>
              <w:t>Amount of time following a valuation date during which the valuation must be made</w:t>
            </w:r>
          </w:p>
          <w:p w:rsidR="00C77EEE" w:rsidP="00CA297A" w14:paraId="7D2BDE99" w14:textId="77777777">
            <w:pPr>
              <w:numPr>
                <w:ilvl w:val="0"/>
                <w:numId w:val="18"/>
              </w:numPr>
              <w:rPr>
                <w:sz w:val="20"/>
              </w:rPr>
            </w:pPr>
            <w:r>
              <w:rPr>
                <w:sz w:val="20"/>
              </w:rPr>
              <w:t>Bases upon which the institution may terminate the fund</w:t>
            </w:r>
          </w:p>
          <w:p w:rsidR="00C77EEE" w:rsidRPr="003610E4" w:rsidP="00CA297A" w14:paraId="170794FC" w14:textId="77777777">
            <w:pPr>
              <w:numPr>
                <w:ilvl w:val="0"/>
                <w:numId w:val="18"/>
              </w:numPr>
              <w:rPr>
                <w:sz w:val="20"/>
              </w:rPr>
            </w:pPr>
            <w:r>
              <w:rPr>
                <w:sz w:val="20"/>
              </w:rPr>
              <w:t>Any other matters necessary to define clearly the rights of participating accounts</w:t>
            </w:r>
          </w:p>
        </w:tc>
        <w:tc>
          <w:tcPr>
            <w:tcW w:w="1530" w:type="dxa"/>
          </w:tcPr>
          <w:p w:rsidR="00C77EEE" w:rsidP="00CA297A" w14:paraId="18EB55B3" w14:textId="53C67EF1">
            <w:pPr>
              <w:jc w:val="right"/>
              <w:rPr>
                <w:sz w:val="20"/>
              </w:rPr>
            </w:pPr>
            <w:r>
              <w:rPr>
                <w:sz w:val="20"/>
              </w:rPr>
              <w:t xml:space="preserve">25 </w:t>
            </w:r>
            <w:r w:rsidR="00DE3031">
              <w:rPr>
                <w:sz w:val="20"/>
              </w:rPr>
              <w:t>I</w:t>
            </w:r>
            <w:r>
              <w:rPr>
                <w:sz w:val="20"/>
              </w:rPr>
              <w:t xml:space="preserve">nstitutions </w:t>
            </w:r>
            <w:r w:rsidR="00C846BA">
              <w:rPr>
                <w:sz w:val="20"/>
              </w:rPr>
              <w:t>Managing</w:t>
            </w:r>
            <w:r>
              <w:rPr>
                <w:sz w:val="20"/>
              </w:rPr>
              <w:t xml:space="preserve"> </w:t>
            </w:r>
            <w:r w:rsidRPr="00B27926">
              <w:rPr>
                <w:sz w:val="20"/>
              </w:rPr>
              <w:t>1</w:t>
            </w:r>
            <w:r w:rsidR="00047200">
              <w:rPr>
                <w:sz w:val="20"/>
              </w:rPr>
              <w:t>,</w:t>
            </w:r>
            <w:r w:rsidRPr="00B27926">
              <w:rPr>
                <w:sz w:val="20"/>
              </w:rPr>
              <w:t>463</w:t>
            </w:r>
            <w:r w:rsidR="00047200">
              <w:rPr>
                <w:sz w:val="20"/>
              </w:rPr>
              <w:t xml:space="preserve"> </w:t>
            </w:r>
            <w:r>
              <w:rPr>
                <w:sz w:val="20"/>
              </w:rPr>
              <w:t>Collective Investment Funds</w:t>
            </w:r>
          </w:p>
          <w:p w:rsidR="00C77EEE" w:rsidP="00CA297A" w14:paraId="174378D0" w14:textId="77777777">
            <w:pPr>
              <w:jc w:val="right"/>
              <w:rPr>
                <w:sz w:val="20"/>
              </w:rPr>
            </w:pPr>
          </w:p>
          <w:p w:rsidR="00C77EEE" w:rsidP="00CA297A" w14:paraId="127E93AA" w14:textId="68BD9B7B">
            <w:pPr>
              <w:jc w:val="right"/>
              <w:rPr>
                <w:sz w:val="20"/>
              </w:rPr>
            </w:pPr>
            <w:r>
              <w:rPr>
                <w:sz w:val="20"/>
              </w:rPr>
              <w:t>Establish 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rsidR="00C77EEE" w:rsidP="00CA297A" w14:paraId="1CF39AE8" w14:textId="77777777">
            <w:pPr>
              <w:jc w:val="right"/>
              <w:rPr>
                <w:sz w:val="20"/>
              </w:rPr>
            </w:pPr>
          </w:p>
          <w:p w:rsidR="00780E53" w:rsidP="00CA297A" w14:paraId="488A67F5" w14:textId="77777777">
            <w:pPr>
              <w:jc w:val="right"/>
              <w:rPr>
                <w:sz w:val="20"/>
              </w:rPr>
            </w:pPr>
          </w:p>
          <w:p w:rsidR="00780E53" w:rsidP="00CA297A" w14:paraId="00C30C42" w14:textId="77777777">
            <w:pPr>
              <w:jc w:val="right"/>
              <w:rPr>
                <w:sz w:val="20"/>
              </w:rPr>
            </w:pPr>
          </w:p>
          <w:p w:rsidR="00780E53" w:rsidP="00CA297A" w14:paraId="55B9E2D1" w14:textId="77777777">
            <w:pPr>
              <w:jc w:val="right"/>
              <w:rPr>
                <w:sz w:val="20"/>
              </w:rPr>
            </w:pPr>
          </w:p>
          <w:p w:rsidR="00C77EEE" w:rsidP="00CA297A" w14:paraId="573F5786" w14:textId="503BEE01">
            <w:pPr>
              <w:jc w:val="right"/>
              <w:rPr>
                <w:sz w:val="20"/>
              </w:rPr>
            </w:pPr>
            <w:r>
              <w:rPr>
                <w:sz w:val="20"/>
              </w:rPr>
              <w:t>Maintain Plan (</w:t>
            </w:r>
            <w:r w:rsidRPr="00B27926" w:rsidR="00B27926">
              <w:rPr>
                <w:sz w:val="20"/>
              </w:rPr>
              <w:t>1</w:t>
            </w:r>
            <w:r w:rsidR="005D659F">
              <w:rPr>
                <w:sz w:val="20"/>
              </w:rPr>
              <w:t>,</w:t>
            </w:r>
            <w:r w:rsidRPr="00B27926" w:rsidR="00B27926">
              <w:rPr>
                <w:sz w:val="20"/>
              </w:rPr>
              <w:t>463</w:t>
            </w:r>
            <w:r w:rsidR="00B27926">
              <w:rPr>
                <w:sz w:val="20"/>
              </w:rPr>
              <w:t xml:space="preserve"> </w:t>
            </w:r>
            <w:r>
              <w:rPr>
                <w:sz w:val="20"/>
              </w:rPr>
              <w:t>funds)</w:t>
            </w:r>
          </w:p>
          <w:p w:rsidR="00C77EEE" w:rsidP="00CA297A" w14:paraId="340D8EB1" w14:textId="77777777">
            <w:pPr>
              <w:jc w:val="right"/>
              <w:rPr>
                <w:sz w:val="20"/>
              </w:rPr>
            </w:pPr>
          </w:p>
          <w:p w:rsidR="00C77EEE" w:rsidP="00CA297A" w14:paraId="0727DC12" w14:textId="77777777">
            <w:pPr>
              <w:jc w:val="right"/>
              <w:rPr>
                <w:sz w:val="20"/>
              </w:rPr>
            </w:pPr>
          </w:p>
          <w:p w:rsidR="00C77EEE" w:rsidP="00CA297A" w14:paraId="1F3241C2" w14:textId="77777777">
            <w:pPr>
              <w:jc w:val="right"/>
              <w:rPr>
                <w:sz w:val="20"/>
              </w:rPr>
            </w:pPr>
          </w:p>
        </w:tc>
        <w:tc>
          <w:tcPr>
            <w:tcW w:w="1350" w:type="dxa"/>
          </w:tcPr>
          <w:p w:rsidR="00C77EEE" w:rsidP="00CA297A" w14:paraId="66117130" w14:textId="77777777">
            <w:pPr>
              <w:jc w:val="right"/>
              <w:rPr>
                <w:sz w:val="20"/>
              </w:rPr>
            </w:pPr>
          </w:p>
          <w:p w:rsidR="00C77EEE" w:rsidP="00CA297A" w14:paraId="463023BE" w14:textId="77777777">
            <w:pPr>
              <w:jc w:val="right"/>
              <w:rPr>
                <w:sz w:val="20"/>
              </w:rPr>
            </w:pPr>
          </w:p>
          <w:p w:rsidR="00C77EEE" w:rsidP="00CA297A" w14:paraId="3FD7F9AE" w14:textId="77777777">
            <w:pPr>
              <w:jc w:val="right"/>
              <w:rPr>
                <w:sz w:val="20"/>
              </w:rPr>
            </w:pPr>
          </w:p>
          <w:p w:rsidR="00C77EEE" w:rsidP="00CA297A" w14:paraId="5B9250E4" w14:textId="77777777">
            <w:pPr>
              <w:jc w:val="right"/>
              <w:rPr>
                <w:sz w:val="20"/>
              </w:rPr>
            </w:pPr>
          </w:p>
          <w:p w:rsidR="00C77EEE" w:rsidP="00CA297A" w14:paraId="17361C03" w14:textId="77777777">
            <w:pPr>
              <w:jc w:val="right"/>
              <w:rPr>
                <w:sz w:val="20"/>
              </w:rPr>
            </w:pPr>
          </w:p>
          <w:p w:rsidR="00C77EEE" w:rsidP="00CA297A" w14:paraId="11DD691F" w14:textId="77777777">
            <w:pPr>
              <w:jc w:val="right"/>
              <w:rPr>
                <w:sz w:val="20"/>
              </w:rPr>
            </w:pPr>
          </w:p>
          <w:p w:rsidR="00C77EEE" w:rsidP="00CA297A" w14:paraId="76168F6B" w14:textId="77777777">
            <w:pPr>
              <w:jc w:val="right"/>
              <w:rPr>
                <w:sz w:val="20"/>
              </w:rPr>
            </w:pPr>
            <w:r>
              <w:rPr>
                <w:sz w:val="20"/>
              </w:rPr>
              <w:t>20</w:t>
            </w:r>
          </w:p>
          <w:p w:rsidR="00C77EEE" w:rsidP="00CA297A" w14:paraId="5A88EECF" w14:textId="77777777">
            <w:pPr>
              <w:jc w:val="right"/>
              <w:rPr>
                <w:sz w:val="20"/>
              </w:rPr>
            </w:pPr>
          </w:p>
          <w:p w:rsidR="00C77EEE" w:rsidP="00CA297A" w14:paraId="523E6D9D" w14:textId="77777777">
            <w:pPr>
              <w:jc w:val="right"/>
              <w:rPr>
                <w:sz w:val="20"/>
              </w:rPr>
            </w:pPr>
          </w:p>
          <w:p w:rsidR="0058734C" w:rsidP="00CA297A" w14:paraId="400007E3" w14:textId="77777777">
            <w:pPr>
              <w:jc w:val="right"/>
              <w:rPr>
                <w:sz w:val="20"/>
              </w:rPr>
            </w:pPr>
          </w:p>
          <w:p w:rsidR="0058734C" w:rsidP="00CA297A" w14:paraId="5C3B5FDD" w14:textId="77777777">
            <w:pPr>
              <w:jc w:val="right"/>
              <w:rPr>
                <w:sz w:val="20"/>
              </w:rPr>
            </w:pPr>
          </w:p>
          <w:p w:rsidR="004011E9" w:rsidP="00CA297A" w14:paraId="6CD9774D" w14:textId="77777777">
            <w:pPr>
              <w:jc w:val="right"/>
              <w:rPr>
                <w:sz w:val="20"/>
              </w:rPr>
            </w:pPr>
          </w:p>
          <w:p w:rsidR="004F38FF" w:rsidP="00CA297A" w14:paraId="6DC2B2E4" w14:textId="77777777">
            <w:pPr>
              <w:jc w:val="right"/>
              <w:rPr>
                <w:sz w:val="20"/>
              </w:rPr>
            </w:pPr>
          </w:p>
          <w:p w:rsidR="004F38FF" w:rsidP="00CA297A" w14:paraId="6155C0A6" w14:textId="77777777">
            <w:pPr>
              <w:jc w:val="right"/>
              <w:rPr>
                <w:sz w:val="20"/>
              </w:rPr>
            </w:pPr>
          </w:p>
          <w:p w:rsidR="00DF1B30" w:rsidP="00CA297A" w14:paraId="31CC88D5" w14:textId="77777777">
            <w:pPr>
              <w:jc w:val="right"/>
              <w:rPr>
                <w:sz w:val="20"/>
              </w:rPr>
            </w:pPr>
          </w:p>
          <w:p w:rsidR="00DF1B30" w:rsidP="00CA297A" w14:paraId="0EAA15C5" w14:textId="77777777">
            <w:pPr>
              <w:jc w:val="right"/>
              <w:rPr>
                <w:sz w:val="20"/>
              </w:rPr>
            </w:pPr>
          </w:p>
          <w:p w:rsidR="00C77EEE" w:rsidP="00CA297A" w14:paraId="2E11D77F" w14:textId="77777777">
            <w:pPr>
              <w:jc w:val="right"/>
              <w:rPr>
                <w:sz w:val="20"/>
              </w:rPr>
            </w:pPr>
            <w:r>
              <w:rPr>
                <w:sz w:val="20"/>
              </w:rPr>
              <w:t>.75</w:t>
            </w:r>
          </w:p>
        </w:tc>
        <w:tc>
          <w:tcPr>
            <w:tcW w:w="1170" w:type="dxa"/>
          </w:tcPr>
          <w:p w:rsidR="00C77EEE" w:rsidP="00CA297A" w14:paraId="7D84EE10" w14:textId="77777777">
            <w:pPr>
              <w:jc w:val="right"/>
              <w:rPr>
                <w:sz w:val="20"/>
              </w:rPr>
            </w:pPr>
          </w:p>
          <w:p w:rsidR="00C77EEE" w:rsidP="00CA297A" w14:paraId="6FADCE3A" w14:textId="77777777">
            <w:pPr>
              <w:jc w:val="right"/>
              <w:rPr>
                <w:sz w:val="20"/>
              </w:rPr>
            </w:pPr>
          </w:p>
          <w:p w:rsidR="00C77EEE" w:rsidP="00CA297A" w14:paraId="79CD6EFE" w14:textId="77777777">
            <w:pPr>
              <w:jc w:val="right"/>
              <w:rPr>
                <w:sz w:val="20"/>
              </w:rPr>
            </w:pPr>
          </w:p>
          <w:p w:rsidR="00C77EEE" w:rsidP="00CA297A" w14:paraId="59280414" w14:textId="77777777">
            <w:pPr>
              <w:jc w:val="right"/>
              <w:rPr>
                <w:sz w:val="20"/>
              </w:rPr>
            </w:pPr>
          </w:p>
          <w:p w:rsidR="00C77EEE" w:rsidP="00CA297A" w14:paraId="6F314C34" w14:textId="77777777">
            <w:pPr>
              <w:jc w:val="right"/>
              <w:rPr>
                <w:sz w:val="20"/>
              </w:rPr>
            </w:pPr>
          </w:p>
          <w:p w:rsidR="00C77EEE" w:rsidP="00CA297A" w14:paraId="51455808" w14:textId="77777777">
            <w:pPr>
              <w:jc w:val="right"/>
              <w:rPr>
                <w:sz w:val="20"/>
              </w:rPr>
            </w:pPr>
          </w:p>
          <w:p w:rsidR="00C77EEE" w:rsidP="00CA297A" w14:paraId="6C4F0F88" w14:textId="77777777">
            <w:pPr>
              <w:jc w:val="right"/>
              <w:rPr>
                <w:sz w:val="20"/>
              </w:rPr>
            </w:pPr>
            <w:r>
              <w:rPr>
                <w:sz w:val="20"/>
              </w:rPr>
              <w:t>1</w:t>
            </w:r>
          </w:p>
          <w:p w:rsidR="00C77EEE" w:rsidP="00CA297A" w14:paraId="3013D270" w14:textId="77777777">
            <w:pPr>
              <w:jc w:val="right"/>
              <w:rPr>
                <w:sz w:val="20"/>
              </w:rPr>
            </w:pPr>
          </w:p>
          <w:p w:rsidR="00C77EEE" w:rsidP="00CA297A" w14:paraId="037CDA3F" w14:textId="77777777">
            <w:pPr>
              <w:jc w:val="right"/>
              <w:rPr>
                <w:sz w:val="20"/>
              </w:rPr>
            </w:pPr>
          </w:p>
          <w:p w:rsidR="0058734C" w:rsidP="00CA297A" w14:paraId="67CD6845" w14:textId="77777777">
            <w:pPr>
              <w:jc w:val="right"/>
              <w:rPr>
                <w:sz w:val="20"/>
              </w:rPr>
            </w:pPr>
          </w:p>
          <w:p w:rsidR="0058734C" w:rsidP="00CA297A" w14:paraId="4E26008C" w14:textId="77777777">
            <w:pPr>
              <w:jc w:val="right"/>
              <w:rPr>
                <w:sz w:val="20"/>
              </w:rPr>
            </w:pPr>
          </w:p>
          <w:p w:rsidR="004011E9" w:rsidP="00CA297A" w14:paraId="22EFE0C4" w14:textId="77777777">
            <w:pPr>
              <w:jc w:val="right"/>
              <w:rPr>
                <w:sz w:val="20"/>
              </w:rPr>
            </w:pPr>
          </w:p>
          <w:p w:rsidR="004F38FF" w:rsidP="00CA297A" w14:paraId="678E73E0" w14:textId="77777777">
            <w:pPr>
              <w:jc w:val="right"/>
              <w:rPr>
                <w:sz w:val="20"/>
              </w:rPr>
            </w:pPr>
          </w:p>
          <w:p w:rsidR="004F38FF" w:rsidP="00CA297A" w14:paraId="5F004CD0" w14:textId="77777777">
            <w:pPr>
              <w:jc w:val="right"/>
              <w:rPr>
                <w:sz w:val="20"/>
              </w:rPr>
            </w:pPr>
          </w:p>
          <w:p w:rsidR="00DF1B30" w:rsidP="00CA297A" w14:paraId="298FABBE" w14:textId="77777777">
            <w:pPr>
              <w:jc w:val="right"/>
              <w:rPr>
                <w:sz w:val="20"/>
              </w:rPr>
            </w:pPr>
          </w:p>
          <w:p w:rsidR="00DF1B30" w:rsidP="00CA297A" w14:paraId="07BC6C3F" w14:textId="77777777">
            <w:pPr>
              <w:jc w:val="right"/>
              <w:rPr>
                <w:sz w:val="20"/>
              </w:rPr>
            </w:pPr>
          </w:p>
          <w:p w:rsidR="00C77EEE" w:rsidP="00CA297A" w14:paraId="629166A8" w14:textId="77777777">
            <w:pPr>
              <w:jc w:val="right"/>
              <w:rPr>
                <w:sz w:val="20"/>
              </w:rPr>
            </w:pPr>
            <w:r>
              <w:rPr>
                <w:sz w:val="20"/>
              </w:rPr>
              <w:t>1</w:t>
            </w:r>
          </w:p>
        </w:tc>
        <w:tc>
          <w:tcPr>
            <w:tcW w:w="1350" w:type="dxa"/>
          </w:tcPr>
          <w:p w:rsidR="00C77EEE" w:rsidP="00CA297A" w14:paraId="7F1C1697" w14:textId="77777777">
            <w:pPr>
              <w:jc w:val="right"/>
              <w:rPr>
                <w:sz w:val="20"/>
              </w:rPr>
            </w:pPr>
          </w:p>
          <w:p w:rsidR="00C77EEE" w:rsidP="00CA297A" w14:paraId="739B9DB5" w14:textId="77777777">
            <w:pPr>
              <w:jc w:val="right"/>
              <w:rPr>
                <w:sz w:val="20"/>
              </w:rPr>
            </w:pPr>
          </w:p>
          <w:p w:rsidR="00C77EEE" w:rsidP="00CA297A" w14:paraId="33FE1686" w14:textId="77777777">
            <w:pPr>
              <w:jc w:val="right"/>
              <w:rPr>
                <w:sz w:val="20"/>
              </w:rPr>
            </w:pPr>
          </w:p>
          <w:p w:rsidR="00C77EEE" w:rsidP="00CA297A" w14:paraId="35B2F091" w14:textId="77777777">
            <w:pPr>
              <w:jc w:val="right"/>
              <w:rPr>
                <w:sz w:val="20"/>
              </w:rPr>
            </w:pPr>
          </w:p>
          <w:p w:rsidR="00C77EEE" w:rsidP="00CA297A" w14:paraId="2CC3B502" w14:textId="77777777">
            <w:pPr>
              <w:jc w:val="right"/>
              <w:rPr>
                <w:sz w:val="20"/>
              </w:rPr>
            </w:pPr>
          </w:p>
          <w:p w:rsidR="00C77EEE" w:rsidP="00CA297A" w14:paraId="6B03C865" w14:textId="77777777">
            <w:pPr>
              <w:jc w:val="right"/>
              <w:rPr>
                <w:sz w:val="20"/>
              </w:rPr>
            </w:pPr>
          </w:p>
          <w:p w:rsidR="00C77EEE" w:rsidP="00CA297A" w14:paraId="0B2BAD27" w14:textId="77777777">
            <w:pPr>
              <w:jc w:val="right"/>
              <w:rPr>
                <w:sz w:val="20"/>
              </w:rPr>
            </w:pPr>
            <w:r>
              <w:rPr>
                <w:sz w:val="20"/>
              </w:rPr>
              <w:t xml:space="preserve">300 </w:t>
            </w:r>
          </w:p>
          <w:p w:rsidR="00C77EEE" w:rsidP="00CA297A" w14:paraId="259E585B" w14:textId="77777777">
            <w:pPr>
              <w:jc w:val="right"/>
              <w:rPr>
                <w:sz w:val="20"/>
              </w:rPr>
            </w:pPr>
          </w:p>
          <w:p w:rsidR="00C77EEE" w:rsidP="00CA297A" w14:paraId="46B074D3" w14:textId="77777777">
            <w:pPr>
              <w:jc w:val="right"/>
              <w:rPr>
                <w:sz w:val="20"/>
              </w:rPr>
            </w:pPr>
          </w:p>
          <w:p w:rsidR="0058734C" w:rsidP="00CA297A" w14:paraId="7A7E8D5A" w14:textId="77777777">
            <w:pPr>
              <w:jc w:val="right"/>
              <w:rPr>
                <w:sz w:val="20"/>
              </w:rPr>
            </w:pPr>
          </w:p>
          <w:p w:rsidR="0058734C" w:rsidP="00CA297A" w14:paraId="6401B991" w14:textId="77777777">
            <w:pPr>
              <w:jc w:val="right"/>
              <w:rPr>
                <w:sz w:val="20"/>
              </w:rPr>
            </w:pPr>
          </w:p>
          <w:p w:rsidR="004011E9" w:rsidP="00CA297A" w14:paraId="3138E3E4" w14:textId="77777777">
            <w:pPr>
              <w:jc w:val="right"/>
              <w:rPr>
                <w:sz w:val="20"/>
              </w:rPr>
            </w:pPr>
          </w:p>
          <w:p w:rsidR="004F38FF" w:rsidP="00CA297A" w14:paraId="6E8B711A" w14:textId="77777777">
            <w:pPr>
              <w:jc w:val="right"/>
              <w:rPr>
                <w:sz w:val="20"/>
              </w:rPr>
            </w:pPr>
          </w:p>
          <w:p w:rsidR="004F38FF" w:rsidP="00CA297A" w14:paraId="767ED306" w14:textId="77777777">
            <w:pPr>
              <w:jc w:val="right"/>
              <w:rPr>
                <w:sz w:val="20"/>
              </w:rPr>
            </w:pPr>
          </w:p>
          <w:p w:rsidR="00DF1B30" w:rsidP="00CA297A" w14:paraId="7A7292A0" w14:textId="77777777">
            <w:pPr>
              <w:jc w:val="right"/>
              <w:rPr>
                <w:sz w:val="20"/>
              </w:rPr>
            </w:pPr>
          </w:p>
          <w:p w:rsidR="00DF1B30" w:rsidP="00CA297A" w14:paraId="186FF14C" w14:textId="77777777">
            <w:pPr>
              <w:jc w:val="right"/>
              <w:rPr>
                <w:sz w:val="20"/>
              </w:rPr>
            </w:pPr>
          </w:p>
          <w:p w:rsidR="00C77EEE" w:rsidP="005602D2" w14:paraId="1988BD1D" w14:textId="0BA1A9D3">
            <w:pPr>
              <w:jc w:val="right"/>
              <w:rPr>
                <w:sz w:val="20"/>
              </w:rPr>
            </w:pPr>
            <w:r>
              <w:rPr>
                <w:sz w:val="20"/>
              </w:rPr>
              <w:t>1,</w:t>
            </w:r>
            <w:r w:rsidR="00B27926">
              <w:rPr>
                <w:sz w:val="20"/>
              </w:rPr>
              <w:t>097</w:t>
            </w:r>
          </w:p>
        </w:tc>
      </w:tr>
      <w:tr w14:paraId="6B4695B6" w14:textId="77777777" w:rsidTr="00C77EEE">
        <w:tblPrEx>
          <w:tblW w:w="9918" w:type="dxa"/>
          <w:tblLayout w:type="fixed"/>
          <w:tblLook w:val="0000"/>
        </w:tblPrEx>
        <w:tc>
          <w:tcPr>
            <w:tcW w:w="1881" w:type="dxa"/>
          </w:tcPr>
          <w:p w:rsidR="00C77EEE" w:rsidP="00CA297A" w14:paraId="7D89C7A0" w14:textId="77777777">
            <w:pPr>
              <w:rPr>
                <w:sz w:val="20"/>
              </w:rPr>
            </w:pPr>
            <w:r>
              <w:rPr>
                <w:sz w:val="20"/>
              </w:rPr>
              <w:t>12 CFR 9.18(b)(1)</w:t>
            </w:r>
          </w:p>
          <w:p w:rsidR="00C77EEE" w:rsidP="00CA297A" w14:paraId="29BC43C1" w14:textId="77777777">
            <w:pPr>
              <w:rPr>
                <w:sz w:val="20"/>
              </w:rPr>
            </w:pPr>
            <w:r>
              <w:rPr>
                <w:sz w:val="20"/>
              </w:rPr>
              <w:t>&amp; 12 CFR 150.260</w:t>
            </w:r>
          </w:p>
          <w:p w:rsidR="00C77EEE" w:rsidP="00CA297A" w14:paraId="36801C0E" w14:textId="77777777">
            <w:pPr>
              <w:rPr>
                <w:sz w:val="20"/>
              </w:rPr>
            </w:pPr>
            <w:r>
              <w:rPr>
                <w:sz w:val="20"/>
              </w:rPr>
              <w:t>Disclosure</w:t>
            </w:r>
          </w:p>
        </w:tc>
        <w:tc>
          <w:tcPr>
            <w:tcW w:w="2637" w:type="dxa"/>
          </w:tcPr>
          <w:p w:rsidR="00C77EEE" w:rsidP="00CA297A" w14:paraId="6BC10FDD" w14:textId="77777777">
            <w:pPr>
              <w:rPr>
                <w:sz w:val="20"/>
              </w:rPr>
            </w:pPr>
            <w:r>
              <w:rPr>
                <w:b/>
                <w:bCs/>
                <w:sz w:val="20"/>
              </w:rPr>
              <w:t>Collective investment funds:</w:t>
            </w:r>
          </w:p>
          <w:p w:rsidR="00C77EEE" w:rsidP="00CA297A" w14:paraId="688A75C3" w14:textId="664BCC98">
            <w:pPr>
              <w:rPr>
                <w:sz w:val="20"/>
              </w:rPr>
            </w:pPr>
            <w:r>
              <w:rPr>
                <w:i/>
                <w:iCs/>
                <w:sz w:val="20"/>
                <w:u w:val="single"/>
              </w:rPr>
              <w:t>Plan</w:t>
            </w:r>
            <w:r>
              <w:rPr>
                <w:i/>
                <w:iCs/>
                <w:sz w:val="20"/>
                <w:u w:val="single"/>
              </w:rPr>
              <w:t xml:space="preserve"> </w:t>
            </w:r>
            <w:r>
              <w:rPr>
                <w:sz w:val="20"/>
              </w:rPr>
              <w:t>– An institution shall make a copy of the Plan available for public inspection at its main office and shall provide a copy of the Plan to any person who requests it.</w:t>
            </w:r>
          </w:p>
        </w:tc>
        <w:tc>
          <w:tcPr>
            <w:tcW w:w="1530" w:type="dxa"/>
          </w:tcPr>
          <w:p w:rsidR="00C77EEE" w:rsidP="00F3696B" w14:paraId="22D4AA02" w14:textId="53FCB75A">
            <w:pPr>
              <w:jc w:val="right"/>
              <w:rPr>
                <w:sz w:val="20"/>
              </w:rPr>
            </w:pPr>
            <w:r>
              <w:rPr>
                <w:sz w:val="20"/>
              </w:rPr>
              <w:t>1,</w:t>
            </w:r>
            <w:r w:rsidR="00B27926">
              <w:rPr>
                <w:sz w:val="20"/>
              </w:rPr>
              <w:t>463</w:t>
            </w:r>
            <w:r w:rsidR="00DE3031">
              <w:rPr>
                <w:sz w:val="20"/>
              </w:rPr>
              <w:t xml:space="preserve"> F</w:t>
            </w:r>
            <w:r>
              <w:rPr>
                <w:sz w:val="20"/>
              </w:rPr>
              <w:t>unds</w:t>
            </w:r>
          </w:p>
        </w:tc>
        <w:tc>
          <w:tcPr>
            <w:tcW w:w="1350" w:type="dxa"/>
          </w:tcPr>
          <w:p w:rsidR="00C77EEE" w:rsidP="00CA297A" w14:paraId="538AE558" w14:textId="77777777">
            <w:pPr>
              <w:jc w:val="right"/>
              <w:rPr>
                <w:sz w:val="20"/>
              </w:rPr>
            </w:pPr>
            <w:r>
              <w:rPr>
                <w:sz w:val="20"/>
              </w:rPr>
              <w:t xml:space="preserve">.25 </w:t>
            </w:r>
          </w:p>
        </w:tc>
        <w:tc>
          <w:tcPr>
            <w:tcW w:w="1170" w:type="dxa"/>
          </w:tcPr>
          <w:p w:rsidR="00C77EEE" w:rsidP="00CA297A" w14:paraId="128D39E9" w14:textId="77777777">
            <w:pPr>
              <w:jc w:val="right"/>
              <w:rPr>
                <w:sz w:val="20"/>
              </w:rPr>
            </w:pPr>
            <w:r>
              <w:rPr>
                <w:sz w:val="20"/>
              </w:rPr>
              <w:t>1</w:t>
            </w:r>
          </w:p>
        </w:tc>
        <w:tc>
          <w:tcPr>
            <w:tcW w:w="1350" w:type="dxa"/>
          </w:tcPr>
          <w:p w:rsidR="00C77EEE" w:rsidP="00F3696B" w14:paraId="4EF36A6C" w14:textId="2112DE46">
            <w:pPr>
              <w:jc w:val="right"/>
              <w:rPr>
                <w:sz w:val="20"/>
              </w:rPr>
            </w:pPr>
            <w:r>
              <w:rPr>
                <w:sz w:val="20"/>
              </w:rPr>
              <w:t>366</w:t>
            </w:r>
          </w:p>
        </w:tc>
      </w:tr>
      <w:tr w14:paraId="4D49881F" w14:textId="77777777" w:rsidTr="00C77EEE">
        <w:tblPrEx>
          <w:tblW w:w="9918" w:type="dxa"/>
          <w:tblLayout w:type="fixed"/>
          <w:tblLook w:val="0000"/>
        </w:tblPrEx>
        <w:tc>
          <w:tcPr>
            <w:tcW w:w="1881" w:type="dxa"/>
          </w:tcPr>
          <w:p w:rsidR="00C77EEE" w:rsidP="00CA297A" w14:paraId="0DEA5737" w14:textId="77777777">
            <w:pPr>
              <w:rPr>
                <w:sz w:val="20"/>
              </w:rPr>
            </w:pPr>
            <w:r>
              <w:rPr>
                <w:sz w:val="20"/>
              </w:rPr>
              <w:t>12 CFR 9.18(b)(4)(iii)(E)</w:t>
            </w:r>
          </w:p>
          <w:p w:rsidR="0042112B" w:rsidP="00CA297A" w14:paraId="72208243" w14:textId="77777777">
            <w:pPr>
              <w:rPr>
                <w:sz w:val="20"/>
              </w:rPr>
            </w:pPr>
            <w:r>
              <w:rPr>
                <w:sz w:val="20"/>
              </w:rPr>
              <w:t>Recordkeeping</w:t>
            </w:r>
          </w:p>
        </w:tc>
        <w:tc>
          <w:tcPr>
            <w:tcW w:w="2637" w:type="dxa"/>
          </w:tcPr>
          <w:p w:rsidR="00C77EEE" w:rsidP="00CA297A" w14:paraId="643247C3" w14:textId="77777777">
            <w:pPr>
              <w:rPr>
                <w:sz w:val="20"/>
              </w:rPr>
            </w:pPr>
            <w:r>
              <w:rPr>
                <w:b/>
                <w:bCs/>
                <w:sz w:val="20"/>
              </w:rPr>
              <w:t xml:space="preserve">Short-term </w:t>
            </w:r>
            <w:r>
              <w:rPr>
                <w:b/>
                <w:bCs/>
                <w:sz w:val="20"/>
              </w:rPr>
              <w:t>investment funds:</w:t>
            </w:r>
          </w:p>
          <w:p w:rsidR="00C77EEE" w:rsidRPr="0055601B" w:rsidP="00CA297A" w14:paraId="77F7F4C1" w14:textId="77777777">
            <w:pPr>
              <w:rPr>
                <w:bCs/>
                <w:sz w:val="20"/>
              </w:rPr>
            </w:pPr>
            <w:r>
              <w:rPr>
                <w:bCs/>
                <w:sz w:val="20"/>
              </w:rPr>
              <w:t>Adopt portfolio and issuer qualitative standards and concentration restrictions.</w:t>
            </w:r>
          </w:p>
        </w:tc>
        <w:tc>
          <w:tcPr>
            <w:tcW w:w="1530" w:type="dxa"/>
          </w:tcPr>
          <w:p w:rsidR="00C77EEE" w:rsidP="00CA297A" w14:paraId="7E75860C" w14:textId="424208D6">
            <w:pPr>
              <w:jc w:val="right"/>
              <w:rPr>
                <w:sz w:val="20"/>
              </w:rPr>
            </w:pPr>
            <w:r>
              <w:rPr>
                <w:sz w:val="20"/>
              </w:rPr>
              <w:t xml:space="preserve">Currently </w:t>
            </w:r>
            <w:r w:rsidR="00B27926">
              <w:rPr>
                <w:sz w:val="20"/>
              </w:rPr>
              <w:t>5</w:t>
            </w:r>
            <w:r w:rsidR="00325069">
              <w:rPr>
                <w:sz w:val="20"/>
              </w:rPr>
              <w:t xml:space="preserve"> </w:t>
            </w:r>
            <w:r w:rsidR="00A054B4">
              <w:rPr>
                <w:sz w:val="20"/>
              </w:rPr>
              <w:t>r</w:t>
            </w:r>
            <w:r w:rsidR="00FB2F23">
              <w:rPr>
                <w:sz w:val="20"/>
              </w:rPr>
              <w:t>espondents</w:t>
            </w:r>
          </w:p>
          <w:p w:rsidR="00FB2F23" w:rsidP="00CA297A" w14:paraId="7DA476F6" w14:textId="7A59C0B2">
            <w:pPr>
              <w:jc w:val="right"/>
              <w:rPr>
                <w:sz w:val="20"/>
              </w:rPr>
            </w:pPr>
            <w:r>
              <w:rPr>
                <w:sz w:val="20"/>
              </w:rPr>
              <w:t>m</w:t>
            </w:r>
            <w:r w:rsidR="00C846BA">
              <w:rPr>
                <w:sz w:val="20"/>
              </w:rPr>
              <w:t>anaging</w:t>
            </w:r>
          </w:p>
          <w:p w:rsidR="00FB2F23" w:rsidP="004F38FF" w14:paraId="2974BE45" w14:textId="60426D64">
            <w:pPr>
              <w:jc w:val="right"/>
              <w:rPr>
                <w:sz w:val="20"/>
              </w:rPr>
            </w:pPr>
            <w:r>
              <w:rPr>
                <w:sz w:val="20"/>
              </w:rPr>
              <w:t>2</w:t>
            </w:r>
            <w:r w:rsidR="00B27926">
              <w:rPr>
                <w:sz w:val="20"/>
              </w:rPr>
              <w:t>2</w:t>
            </w:r>
            <w:r>
              <w:rPr>
                <w:sz w:val="20"/>
              </w:rPr>
              <w:t xml:space="preserve"> </w:t>
            </w:r>
            <w:r w:rsidR="00A054B4">
              <w:rPr>
                <w:sz w:val="20"/>
              </w:rPr>
              <w:t>f</w:t>
            </w:r>
            <w:r>
              <w:rPr>
                <w:sz w:val="20"/>
              </w:rPr>
              <w:t>unds</w:t>
            </w:r>
            <w:r w:rsidR="004011E9">
              <w:rPr>
                <w:sz w:val="20"/>
              </w:rPr>
              <w:t xml:space="preserve">. Estimate 3 new funds established </w:t>
            </w:r>
            <w:r w:rsidR="004F38FF">
              <w:rPr>
                <w:sz w:val="20"/>
              </w:rPr>
              <w:t>in any given y</w:t>
            </w:r>
            <w:r w:rsidR="004011E9">
              <w:rPr>
                <w:sz w:val="20"/>
              </w:rPr>
              <w:t>ear.</w:t>
            </w:r>
          </w:p>
        </w:tc>
        <w:tc>
          <w:tcPr>
            <w:tcW w:w="1350" w:type="dxa"/>
          </w:tcPr>
          <w:p w:rsidR="00C77EEE" w:rsidP="00CA297A" w14:paraId="7EB41D20" w14:textId="77777777">
            <w:pPr>
              <w:jc w:val="right"/>
              <w:rPr>
                <w:sz w:val="20"/>
              </w:rPr>
            </w:pPr>
            <w:r>
              <w:rPr>
                <w:sz w:val="20"/>
              </w:rPr>
              <w:t>20</w:t>
            </w:r>
          </w:p>
        </w:tc>
        <w:tc>
          <w:tcPr>
            <w:tcW w:w="1170" w:type="dxa"/>
          </w:tcPr>
          <w:p w:rsidR="00C77EEE" w:rsidP="00CA297A" w14:paraId="5ECE6071" w14:textId="77777777">
            <w:pPr>
              <w:jc w:val="right"/>
              <w:rPr>
                <w:sz w:val="20"/>
              </w:rPr>
            </w:pPr>
            <w:r>
              <w:rPr>
                <w:sz w:val="20"/>
              </w:rPr>
              <w:t>1</w:t>
            </w:r>
          </w:p>
        </w:tc>
        <w:tc>
          <w:tcPr>
            <w:tcW w:w="1350" w:type="dxa"/>
          </w:tcPr>
          <w:p w:rsidR="00C77EEE" w:rsidP="00CA297A" w14:paraId="2E56A6CB" w14:textId="4D828035">
            <w:pPr>
              <w:jc w:val="right"/>
              <w:rPr>
                <w:sz w:val="20"/>
              </w:rPr>
            </w:pPr>
            <w:r>
              <w:rPr>
                <w:sz w:val="20"/>
              </w:rPr>
              <w:t>60</w:t>
            </w:r>
          </w:p>
        </w:tc>
      </w:tr>
      <w:tr w14:paraId="4F5CC393" w14:textId="77777777" w:rsidTr="00C77EEE">
        <w:tblPrEx>
          <w:tblW w:w="9918" w:type="dxa"/>
          <w:tblLayout w:type="fixed"/>
          <w:tblLook w:val="0000"/>
        </w:tblPrEx>
        <w:tc>
          <w:tcPr>
            <w:tcW w:w="1881" w:type="dxa"/>
            <w:shd w:val="clear" w:color="auto" w:fill="auto"/>
          </w:tcPr>
          <w:p w:rsidR="00FB2F23" w:rsidP="00CA297A" w14:paraId="18F7E6F4" w14:textId="77777777">
            <w:pPr>
              <w:rPr>
                <w:sz w:val="20"/>
              </w:rPr>
            </w:pPr>
            <w:r>
              <w:rPr>
                <w:sz w:val="20"/>
              </w:rPr>
              <w:t>12 CFR 9.18(b)(4)(iii)(F)</w:t>
            </w:r>
          </w:p>
          <w:p w:rsidR="0042112B" w:rsidP="00CA297A" w14:paraId="7963E25F" w14:textId="77777777">
            <w:pPr>
              <w:rPr>
                <w:sz w:val="20"/>
              </w:rPr>
            </w:pPr>
            <w:r>
              <w:rPr>
                <w:sz w:val="20"/>
              </w:rPr>
              <w:t>Recordkeeping</w:t>
            </w:r>
          </w:p>
        </w:tc>
        <w:tc>
          <w:tcPr>
            <w:tcW w:w="2637" w:type="dxa"/>
            <w:shd w:val="clear" w:color="auto" w:fill="auto"/>
          </w:tcPr>
          <w:p w:rsidR="00FB2F23" w:rsidP="00CA297A" w14:paraId="07F05E83" w14:textId="77777777">
            <w:pPr>
              <w:rPr>
                <w:sz w:val="20"/>
              </w:rPr>
            </w:pPr>
            <w:r>
              <w:rPr>
                <w:b/>
                <w:bCs/>
                <w:sz w:val="20"/>
              </w:rPr>
              <w:t>Short-term</w:t>
            </w:r>
            <w:r>
              <w:rPr>
                <w:b/>
                <w:bCs/>
                <w:sz w:val="20"/>
              </w:rPr>
              <w:t xml:space="preserve"> investment funds:</w:t>
            </w:r>
          </w:p>
          <w:p w:rsidR="00FB2F23" w:rsidRPr="0055601B" w:rsidP="00CA297A" w14:paraId="2B666EC7" w14:textId="77777777">
            <w:pPr>
              <w:rPr>
                <w:bCs/>
                <w:sz w:val="20"/>
              </w:rPr>
            </w:pPr>
            <w:r>
              <w:rPr>
                <w:bCs/>
                <w:sz w:val="20"/>
              </w:rPr>
              <w:t>Adopt liquidity standards and include provisions that address contingency funding needs.</w:t>
            </w:r>
          </w:p>
        </w:tc>
        <w:tc>
          <w:tcPr>
            <w:tcW w:w="1530" w:type="dxa"/>
            <w:shd w:val="clear" w:color="auto" w:fill="auto"/>
          </w:tcPr>
          <w:p w:rsidR="00FB2F23" w:rsidP="00CA297A" w14:paraId="13B4A20F" w14:textId="77777777">
            <w:pPr>
              <w:jc w:val="right"/>
              <w:rPr>
                <w:sz w:val="20"/>
              </w:rPr>
            </w:pPr>
          </w:p>
          <w:p w:rsidR="009F6A0E" w:rsidP="009F6A0E" w14:paraId="13B9E428" w14:textId="77777777">
            <w:pPr>
              <w:jc w:val="right"/>
              <w:rPr>
                <w:sz w:val="20"/>
              </w:rPr>
            </w:pPr>
            <w:r>
              <w:rPr>
                <w:sz w:val="20"/>
              </w:rPr>
              <w:t>See response above.</w:t>
            </w:r>
          </w:p>
        </w:tc>
        <w:tc>
          <w:tcPr>
            <w:tcW w:w="1350" w:type="dxa"/>
            <w:shd w:val="clear" w:color="auto" w:fill="auto"/>
          </w:tcPr>
          <w:p w:rsidR="00FB2F23" w:rsidP="00CA297A" w14:paraId="5D7289AD" w14:textId="77777777">
            <w:pPr>
              <w:jc w:val="right"/>
              <w:rPr>
                <w:sz w:val="20"/>
              </w:rPr>
            </w:pPr>
            <w:r>
              <w:rPr>
                <w:sz w:val="20"/>
              </w:rPr>
              <w:t>20</w:t>
            </w:r>
          </w:p>
        </w:tc>
        <w:tc>
          <w:tcPr>
            <w:tcW w:w="1170" w:type="dxa"/>
          </w:tcPr>
          <w:p w:rsidR="00FB2F23" w:rsidP="00CA297A" w14:paraId="0E18A611" w14:textId="77777777">
            <w:pPr>
              <w:jc w:val="right"/>
              <w:rPr>
                <w:sz w:val="20"/>
              </w:rPr>
            </w:pPr>
            <w:r>
              <w:rPr>
                <w:sz w:val="20"/>
              </w:rPr>
              <w:t>1</w:t>
            </w:r>
          </w:p>
        </w:tc>
        <w:tc>
          <w:tcPr>
            <w:tcW w:w="1350" w:type="dxa"/>
            <w:shd w:val="clear" w:color="auto" w:fill="auto"/>
          </w:tcPr>
          <w:p w:rsidR="00FB2F23" w:rsidP="00CA297A" w14:paraId="62A78316" w14:textId="3B5EFB86">
            <w:pPr>
              <w:jc w:val="right"/>
              <w:rPr>
                <w:sz w:val="20"/>
              </w:rPr>
            </w:pPr>
            <w:r>
              <w:rPr>
                <w:sz w:val="20"/>
              </w:rPr>
              <w:t>60</w:t>
            </w:r>
          </w:p>
        </w:tc>
      </w:tr>
      <w:tr w14:paraId="109C97EF" w14:textId="77777777" w:rsidTr="00C77EEE">
        <w:tblPrEx>
          <w:tblW w:w="9918" w:type="dxa"/>
          <w:tblLayout w:type="fixed"/>
          <w:tblLook w:val="0000"/>
        </w:tblPrEx>
        <w:tc>
          <w:tcPr>
            <w:tcW w:w="1881" w:type="dxa"/>
            <w:shd w:val="clear" w:color="auto" w:fill="auto"/>
          </w:tcPr>
          <w:p w:rsidR="00FB2F23" w:rsidP="00CA297A" w14:paraId="34C7BD6A" w14:textId="77777777">
            <w:pPr>
              <w:rPr>
                <w:sz w:val="20"/>
              </w:rPr>
            </w:pPr>
            <w:r>
              <w:rPr>
                <w:sz w:val="20"/>
              </w:rPr>
              <w:t>12 CFR 9.18(b)(4)(iii)(G)</w:t>
            </w:r>
          </w:p>
          <w:p w:rsidR="0042112B" w:rsidP="00CA297A" w14:paraId="6DBA4B45" w14:textId="77777777">
            <w:pPr>
              <w:rPr>
                <w:sz w:val="20"/>
              </w:rPr>
            </w:pPr>
            <w:r>
              <w:rPr>
                <w:sz w:val="20"/>
              </w:rPr>
              <w:t>Recordkeeping</w:t>
            </w:r>
          </w:p>
        </w:tc>
        <w:tc>
          <w:tcPr>
            <w:tcW w:w="2637" w:type="dxa"/>
            <w:shd w:val="clear" w:color="auto" w:fill="auto"/>
          </w:tcPr>
          <w:p w:rsidR="00FB2F23" w:rsidP="00CA297A" w14:paraId="1EE68603" w14:textId="77777777">
            <w:pPr>
              <w:rPr>
                <w:b/>
                <w:bCs/>
                <w:sz w:val="20"/>
              </w:rPr>
            </w:pPr>
            <w:r>
              <w:rPr>
                <w:b/>
                <w:bCs/>
                <w:sz w:val="20"/>
              </w:rPr>
              <w:t>Short-term</w:t>
            </w:r>
            <w:r>
              <w:rPr>
                <w:b/>
                <w:bCs/>
                <w:sz w:val="20"/>
              </w:rPr>
              <w:t xml:space="preserve"> investment funds:</w:t>
            </w:r>
          </w:p>
          <w:p w:rsidR="00FB2F23" w:rsidRPr="00BE142D" w:rsidP="00CA297A" w14:paraId="0CAFE2F5" w14:textId="77777777">
            <w:pPr>
              <w:rPr>
                <w:bCs/>
                <w:sz w:val="20"/>
              </w:rPr>
            </w:pPr>
            <w:r>
              <w:rPr>
                <w:bCs/>
                <w:sz w:val="20"/>
              </w:rPr>
              <w:t>Adopt shadow pricing procedures.</w:t>
            </w:r>
          </w:p>
        </w:tc>
        <w:tc>
          <w:tcPr>
            <w:tcW w:w="1530" w:type="dxa"/>
            <w:shd w:val="clear" w:color="auto" w:fill="auto"/>
          </w:tcPr>
          <w:p w:rsidR="009F6A0E" w:rsidP="00CA297A" w14:paraId="52A27784" w14:textId="77777777">
            <w:pPr>
              <w:jc w:val="right"/>
              <w:rPr>
                <w:sz w:val="20"/>
              </w:rPr>
            </w:pPr>
          </w:p>
          <w:p w:rsidR="00FB2F23" w:rsidP="00CA297A" w14:paraId="3DCFEABB" w14:textId="6F6B7190">
            <w:pPr>
              <w:jc w:val="right"/>
              <w:rPr>
                <w:sz w:val="20"/>
              </w:rPr>
            </w:pPr>
            <w:r>
              <w:rPr>
                <w:sz w:val="20"/>
              </w:rPr>
              <w:t xml:space="preserve">See </w:t>
            </w:r>
            <w:r w:rsidR="00A054B4">
              <w:rPr>
                <w:sz w:val="20"/>
              </w:rPr>
              <w:t>r</w:t>
            </w:r>
            <w:r>
              <w:rPr>
                <w:sz w:val="20"/>
              </w:rPr>
              <w:t>esponse above.</w:t>
            </w:r>
          </w:p>
        </w:tc>
        <w:tc>
          <w:tcPr>
            <w:tcW w:w="1350" w:type="dxa"/>
            <w:shd w:val="clear" w:color="auto" w:fill="auto"/>
          </w:tcPr>
          <w:p w:rsidR="00FB2F23" w:rsidP="00CA297A" w14:paraId="6C6CD15C" w14:textId="77777777">
            <w:pPr>
              <w:jc w:val="right"/>
              <w:rPr>
                <w:sz w:val="20"/>
              </w:rPr>
            </w:pPr>
            <w:r>
              <w:rPr>
                <w:sz w:val="20"/>
              </w:rPr>
              <w:t>20</w:t>
            </w:r>
          </w:p>
        </w:tc>
        <w:tc>
          <w:tcPr>
            <w:tcW w:w="1170" w:type="dxa"/>
          </w:tcPr>
          <w:p w:rsidR="00FB2F23" w:rsidP="00CA297A" w14:paraId="25A8B6ED" w14:textId="77777777">
            <w:pPr>
              <w:jc w:val="right"/>
              <w:rPr>
                <w:sz w:val="20"/>
              </w:rPr>
            </w:pPr>
            <w:r>
              <w:rPr>
                <w:sz w:val="20"/>
              </w:rPr>
              <w:t>1</w:t>
            </w:r>
          </w:p>
        </w:tc>
        <w:tc>
          <w:tcPr>
            <w:tcW w:w="1350" w:type="dxa"/>
            <w:shd w:val="clear" w:color="auto" w:fill="auto"/>
          </w:tcPr>
          <w:p w:rsidR="00FB2F23" w:rsidP="00CA297A" w14:paraId="547E695B" w14:textId="73B85406">
            <w:pPr>
              <w:jc w:val="right"/>
              <w:rPr>
                <w:sz w:val="20"/>
              </w:rPr>
            </w:pPr>
            <w:r>
              <w:rPr>
                <w:sz w:val="20"/>
              </w:rPr>
              <w:t>60</w:t>
            </w:r>
          </w:p>
        </w:tc>
      </w:tr>
      <w:tr w14:paraId="27F4432C" w14:textId="77777777" w:rsidTr="00C77EEE">
        <w:tblPrEx>
          <w:tblW w:w="9918" w:type="dxa"/>
          <w:tblLayout w:type="fixed"/>
          <w:tblLook w:val="0000"/>
        </w:tblPrEx>
        <w:tc>
          <w:tcPr>
            <w:tcW w:w="1881" w:type="dxa"/>
          </w:tcPr>
          <w:p w:rsidR="00FB2F23" w:rsidP="00CA297A" w14:paraId="627D776D" w14:textId="77777777">
            <w:pPr>
              <w:rPr>
                <w:sz w:val="20"/>
              </w:rPr>
            </w:pPr>
            <w:r>
              <w:rPr>
                <w:sz w:val="20"/>
              </w:rPr>
              <w:t>12 CFR 9.18(b)(4)(iii)(H)</w:t>
            </w:r>
          </w:p>
        </w:tc>
        <w:tc>
          <w:tcPr>
            <w:tcW w:w="2637" w:type="dxa"/>
          </w:tcPr>
          <w:p w:rsidR="00FB2F23" w:rsidP="00CA297A" w14:paraId="025B7501" w14:textId="77777777">
            <w:pPr>
              <w:rPr>
                <w:b/>
                <w:bCs/>
                <w:sz w:val="20"/>
              </w:rPr>
            </w:pPr>
            <w:r>
              <w:rPr>
                <w:b/>
                <w:bCs/>
                <w:sz w:val="20"/>
              </w:rPr>
              <w:t xml:space="preserve">Short-term </w:t>
            </w:r>
            <w:r>
              <w:rPr>
                <w:b/>
                <w:bCs/>
                <w:sz w:val="20"/>
              </w:rPr>
              <w:t>investment funds:</w:t>
            </w:r>
          </w:p>
          <w:p w:rsidR="00FB2F23" w:rsidRPr="00BE142D" w:rsidP="00CA297A" w14:paraId="09A46A21" w14:textId="26266BDD">
            <w:pPr>
              <w:rPr>
                <w:bCs/>
                <w:sz w:val="20"/>
              </w:rPr>
            </w:pPr>
            <w:r>
              <w:rPr>
                <w:bCs/>
                <w:sz w:val="20"/>
              </w:rPr>
              <w:t>Adopt procedures for stress testing of the STIF’s ability to maintain a stable net asset value per participating interest;</w:t>
            </w:r>
            <w:r w:rsidR="0088259F">
              <w:rPr>
                <w:bCs/>
                <w:sz w:val="20"/>
              </w:rPr>
              <w:t xml:space="preserve"> report the results</w:t>
            </w:r>
            <w:r w:rsidR="005D659F">
              <w:rPr>
                <w:bCs/>
                <w:sz w:val="20"/>
              </w:rPr>
              <w:t>.</w:t>
            </w:r>
          </w:p>
        </w:tc>
        <w:tc>
          <w:tcPr>
            <w:tcW w:w="1530" w:type="dxa"/>
          </w:tcPr>
          <w:p w:rsidR="00FB2F23" w:rsidP="00CA297A" w14:paraId="03882167" w14:textId="77777777">
            <w:pPr>
              <w:jc w:val="right"/>
              <w:rPr>
                <w:sz w:val="20"/>
              </w:rPr>
            </w:pPr>
          </w:p>
        </w:tc>
        <w:tc>
          <w:tcPr>
            <w:tcW w:w="1350" w:type="dxa"/>
          </w:tcPr>
          <w:p w:rsidR="00FB2F23" w:rsidP="00CA297A" w14:paraId="18761360" w14:textId="77777777">
            <w:pPr>
              <w:jc w:val="right"/>
              <w:rPr>
                <w:sz w:val="20"/>
              </w:rPr>
            </w:pPr>
          </w:p>
        </w:tc>
        <w:tc>
          <w:tcPr>
            <w:tcW w:w="1170" w:type="dxa"/>
          </w:tcPr>
          <w:p w:rsidR="00FB2F23" w:rsidP="00CA297A" w14:paraId="04D1FF7B" w14:textId="77777777">
            <w:pPr>
              <w:jc w:val="center"/>
              <w:rPr>
                <w:sz w:val="20"/>
              </w:rPr>
            </w:pPr>
          </w:p>
        </w:tc>
        <w:tc>
          <w:tcPr>
            <w:tcW w:w="1350" w:type="dxa"/>
          </w:tcPr>
          <w:p w:rsidR="00FB2F23" w:rsidP="00CA297A" w14:paraId="0742C7B6" w14:textId="77777777">
            <w:pPr>
              <w:jc w:val="center"/>
              <w:rPr>
                <w:sz w:val="20"/>
              </w:rPr>
            </w:pPr>
          </w:p>
        </w:tc>
      </w:tr>
      <w:tr w14:paraId="7C10299B" w14:textId="77777777" w:rsidTr="007352D4">
        <w:tblPrEx>
          <w:tblW w:w="9918" w:type="dxa"/>
          <w:tblLayout w:type="fixed"/>
          <w:tblLook w:val="0000"/>
        </w:tblPrEx>
        <w:tc>
          <w:tcPr>
            <w:tcW w:w="1881" w:type="dxa"/>
          </w:tcPr>
          <w:p w:rsidR="00FB2F23" w:rsidP="00CA297A" w14:paraId="60C1AF59" w14:textId="77777777">
            <w:pPr>
              <w:rPr>
                <w:sz w:val="20"/>
              </w:rPr>
            </w:pPr>
            <w:r>
              <w:rPr>
                <w:sz w:val="20"/>
              </w:rPr>
              <w:t>Recordkeeping</w:t>
            </w:r>
          </w:p>
        </w:tc>
        <w:tc>
          <w:tcPr>
            <w:tcW w:w="2637" w:type="dxa"/>
          </w:tcPr>
          <w:p w:rsidR="00FB2F23" w:rsidRPr="00C77EEE" w:rsidP="00CA297A" w14:paraId="0170C44D" w14:textId="77777777">
            <w:pPr>
              <w:rPr>
                <w:bCs/>
                <w:sz w:val="20"/>
              </w:rPr>
            </w:pPr>
            <w:r>
              <w:rPr>
                <w:bCs/>
                <w:sz w:val="20"/>
              </w:rPr>
              <w:t>Develop procedures</w:t>
            </w:r>
          </w:p>
        </w:tc>
        <w:tc>
          <w:tcPr>
            <w:tcW w:w="1530" w:type="dxa"/>
          </w:tcPr>
          <w:p w:rsidR="00FB2F23" w:rsidP="00CA297A" w14:paraId="5E275EB7" w14:textId="07F09229">
            <w:pPr>
              <w:jc w:val="right"/>
              <w:rPr>
                <w:sz w:val="20"/>
              </w:rPr>
            </w:pPr>
            <w:r>
              <w:rPr>
                <w:sz w:val="20"/>
              </w:rPr>
              <w:t xml:space="preserve">See </w:t>
            </w:r>
            <w:r w:rsidR="00A054B4">
              <w:rPr>
                <w:sz w:val="20"/>
              </w:rPr>
              <w:t>r</w:t>
            </w:r>
            <w:r>
              <w:rPr>
                <w:sz w:val="20"/>
              </w:rPr>
              <w:t>esponse above.</w:t>
            </w:r>
          </w:p>
        </w:tc>
        <w:tc>
          <w:tcPr>
            <w:tcW w:w="1350" w:type="dxa"/>
          </w:tcPr>
          <w:p w:rsidR="00FB2F23" w:rsidP="00CA297A" w14:paraId="27697AC9" w14:textId="77777777">
            <w:pPr>
              <w:jc w:val="right"/>
              <w:rPr>
                <w:sz w:val="20"/>
              </w:rPr>
            </w:pPr>
            <w:r>
              <w:rPr>
                <w:sz w:val="20"/>
              </w:rPr>
              <w:t>80</w:t>
            </w:r>
          </w:p>
        </w:tc>
        <w:tc>
          <w:tcPr>
            <w:tcW w:w="1170" w:type="dxa"/>
          </w:tcPr>
          <w:p w:rsidR="00FB2F23" w:rsidP="00CA297A" w14:paraId="149829F8" w14:textId="77777777">
            <w:pPr>
              <w:jc w:val="right"/>
              <w:rPr>
                <w:sz w:val="20"/>
              </w:rPr>
            </w:pPr>
            <w:r>
              <w:rPr>
                <w:sz w:val="20"/>
              </w:rPr>
              <w:t>1</w:t>
            </w:r>
          </w:p>
        </w:tc>
        <w:tc>
          <w:tcPr>
            <w:tcW w:w="1350" w:type="dxa"/>
          </w:tcPr>
          <w:p w:rsidR="00FB2F23" w:rsidP="00CA297A" w14:paraId="2C8EC45F" w14:textId="017C727A">
            <w:pPr>
              <w:jc w:val="right"/>
              <w:rPr>
                <w:sz w:val="20"/>
              </w:rPr>
            </w:pPr>
            <w:r>
              <w:rPr>
                <w:sz w:val="20"/>
              </w:rPr>
              <w:t>240</w:t>
            </w:r>
          </w:p>
        </w:tc>
      </w:tr>
      <w:tr w14:paraId="7750BE15" w14:textId="77777777" w:rsidTr="00C77EEE">
        <w:tblPrEx>
          <w:tblW w:w="9918" w:type="dxa"/>
          <w:tblLayout w:type="fixed"/>
          <w:tblLook w:val="0000"/>
        </w:tblPrEx>
        <w:tc>
          <w:tcPr>
            <w:tcW w:w="1881" w:type="dxa"/>
          </w:tcPr>
          <w:p w:rsidR="00FB2F23" w:rsidP="00CA297A" w14:paraId="131908E3" w14:textId="77777777">
            <w:pPr>
              <w:rPr>
                <w:sz w:val="20"/>
              </w:rPr>
            </w:pPr>
            <w:r>
              <w:rPr>
                <w:sz w:val="20"/>
              </w:rPr>
              <w:t>Recordkeeping</w:t>
            </w:r>
          </w:p>
        </w:tc>
        <w:tc>
          <w:tcPr>
            <w:tcW w:w="2637" w:type="dxa"/>
          </w:tcPr>
          <w:p w:rsidR="00FB2F23" w:rsidRPr="00C77EEE" w:rsidP="00CA297A" w14:paraId="42769D65" w14:textId="77777777">
            <w:pPr>
              <w:rPr>
                <w:bCs/>
                <w:sz w:val="20"/>
              </w:rPr>
            </w:pPr>
            <w:r>
              <w:rPr>
                <w:bCs/>
                <w:sz w:val="20"/>
              </w:rPr>
              <w:t>Conduct stress tests</w:t>
            </w:r>
          </w:p>
        </w:tc>
        <w:tc>
          <w:tcPr>
            <w:tcW w:w="1530" w:type="dxa"/>
          </w:tcPr>
          <w:p w:rsidR="009F6A0E" w:rsidP="009F6A0E" w14:paraId="5B80F69E" w14:textId="77107139">
            <w:pPr>
              <w:jc w:val="right"/>
              <w:rPr>
                <w:sz w:val="20"/>
              </w:rPr>
            </w:pPr>
            <w:r>
              <w:rPr>
                <w:sz w:val="20"/>
              </w:rPr>
              <w:t>Currently</w:t>
            </w:r>
            <w:r w:rsidR="008344E2">
              <w:rPr>
                <w:sz w:val="20"/>
              </w:rPr>
              <w:t xml:space="preserve"> </w:t>
            </w:r>
            <w:r w:rsidR="00A054B4">
              <w:rPr>
                <w:sz w:val="20"/>
              </w:rPr>
              <w:t>5 r</w:t>
            </w:r>
            <w:r>
              <w:rPr>
                <w:sz w:val="20"/>
              </w:rPr>
              <w:t>espondents</w:t>
            </w:r>
          </w:p>
          <w:p w:rsidR="009F6A0E" w:rsidP="009F6A0E" w14:paraId="7D81FDCF" w14:textId="4CD4957F">
            <w:pPr>
              <w:jc w:val="right"/>
              <w:rPr>
                <w:sz w:val="20"/>
              </w:rPr>
            </w:pPr>
            <w:r>
              <w:rPr>
                <w:sz w:val="20"/>
              </w:rPr>
              <w:t>m</w:t>
            </w:r>
            <w:r>
              <w:rPr>
                <w:sz w:val="20"/>
              </w:rPr>
              <w:t>anaging</w:t>
            </w:r>
          </w:p>
          <w:p w:rsidR="00FB2F23" w:rsidP="00874CE8" w14:paraId="7EF2FC69" w14:textId="12781184">
            <w:pPr>
              <w:jc w:val="right"/>
              <w:rPr>
                <w:sz w:val="20"/>
              </w:rPr>
            </w:pPr>
            <w:r>
              <w:rPr>
                <w:sz w:val="20"/>
              </w:rPr>
              <w:t>2</w:t>
            </w:r>
            <w:r w:rsidR="00B27926">
              <w:rPr>
                <w:sz w:val="20"/>
              </w:rPr>
              <w:t>2</w:t>
            </w:r>
            <w:r>
              <w:rPr>
                <w:sz w:val="20"/>
              </w:rPr>
              <w:t xml:space="preserve"> </w:t>
            </w:r>
            <w:r w:rsidR="00A054B4">
              <w:rPr>
                <w:sz w:val="20"/>
              </w:rPr>
              <w:t>f</w:t>
            </w:r>
            <w:r w:rsidR="009F6A0E">
              <w:rPr>
                <w:sz w:val="20"/>
              </w:rPr>
              <w:t>unds.</w:t>
            </w:r>
          </w:p>
        </w:tc>
        <w:tc>
          <w:tcPr>
            <w:tcW w:w="1350" w:type="dxa"/>
          </w:tcPr>
          <w:p w:rsidR="00FB2F23" w:rsidP="00CA297A" w14:paraId="4ACA3F0E" w14:textId="77777777">
            <w:pPr>
              <w:jc w:val="right"/>
              <w:rPr>
                <w:sz w:val="20"/>
              </w:rPr>
            </w:pPr>
            <w:r>
              <w:rPr>
                <w:sz w:val="20"/>
              </w:rPr>
              <w:t>25</w:t>
            </w:r>
          </w:p>
        </w:tc>
        <w:tc>
          <w:tcPr>
            <w:tcW w:w="1170" w:type="dxa"/>
          </w:tcPr>
          <w:p w:rsidR="00FB2F23" w:rsidP="00CA297A" w14:paraId="4BE1E01D" w14:textId="77777777">
            <w:pPr>
              <w:jc w:val="right"/>
              <w:rPr>
                <w:sz w:val="20"/>
              </w:rPr>
            </w:pPr>
            <w:r>
              <w:rPr>
                <w:sz w:val="20"/>
              </w:rPr>
              <w:t>12</w:t>
            </w:r>
          </w:p>
        </w:tc>
        <w:tc>
          <w:tcPr>
            <w:tcW w:w="1350" w:type="dxa"/>
          </w:tcPr>
          <w:p w:rsidR="00FB2F23" w:rsidP="008344E2" w14:paraId="335FA52F" w14:textId="03F844C6">
            <w:pPr>
              <w:jc w:val="right"/>
              <w:rPr>
                <w:sz w:val="20"/>
              </w:rPr>
            </w:pPr>
            <w:r>
              <w:rPr>
                <w:sz w:val="20"/>
              </w:rPr>
              <w:t>6600</w:t>
            </w:r>
          </w:p>
        </w:tc>
      </w:tr>
      <w:tr w14:paraId="07AF723B" w14:textId="77777777" w:rsidTr="00C77EEE">
        <w:tblPrEx>
          <w:tblW w:w="9918" w:type="dxa"/>
          <w:tblLayout w:type="fixed"/>
          <w:tblLook w:val="0000"/>
        </w:tblPrEx>
        <w:tc>
          <w:tcPr>
            <w:tcW w:w="1881" w:type="dxa"/>
          </w:tcPr>
          <w:p w:rsidR="00FB2F23" w:rsidP="00CA297A" w14:paraId="6F992CCD" w14:textId="77777777">
            <w:pPr>
              <w:rPr>
                <w:sz w:val="20"/>
              </w:rPr>
            </w:pPr>
            <w:r>
              <w:rPr>
                <w:sz w:val="20"/>
              </w:rPr>
              <w:t>Reporting</w:t>
            </w:r>
          </w:p>
        </w:tc>
        <w:tc>
          <w:tcPr>
            <w:tcW w:w="2637" w:type="dxa"/>
          </w:tcPr>
          <w:p w:rsidR="00FB2F23" w:rsidRPr="00C77EEE" w:rsidP="00CA297A" w14:paraId="6258BA5E" w14:textId="77777777">
            <w:pPr>
              <w:rPr>
                <w:bCs/>
                <w:sz w:val="20"/>
              </w:rPr>
            </w:pPr>
            <w:r>
              <w:rPr>
                <w:bCs/>
                <w:sz w:val="20"/>
              </w:rPr>
              <w:t>Draft report</w:t>
            </w:r>
          </w:p>
        </w:tc>
        <w:tc>
          <w:tcPr>
            <w:tcW w:w="1530" w:type="dxa"/>
          </w:tcPr>
          <w:p w:rsidR="009F6A0E" w:rsidP="009F6A0E" w14:paraId="00F298C5" w14:textId="2344A968">
            <w:pPr>
              <w:jc w:val="right"/>
              <w:rPr>
                <w:sz w:val="20"/>
              </w:rPr>
            </w:pPr>
            <w:r>
              <w:rPr>
                <w:sz w:val="20"/>
              </w:rPr>
              <w:t xml:space="preserve">Currently </w:t>
            </w:r>
            <w:r w:rsidR="00B27926">
              <w:rPr>
                <w:sz w:val="20"/>
              </w:rPr>
              <w:t>5</w:t>
            </w:r>
            <w:r>
              <w:rPr>
                <w:sz w:val="20"/>
              </w:rPr>
              <w:t xml:space="preserve"> </w:t>
            </w:r>
            <w:r w:rsidR="00A054B4">
              <w:rPr>
                <w:sz w:val="20"/>
              </w:rPr>
              <w:t>r</w:t>
            </w:r>
            <w:r>
              <w:rPr>
                <w:sz w:val="20"/>
              </w:rPr>
              <w:t>espondents</w:t>
            </w:r>
          </w:p>
          <w:p w:rsidR="009F6A0E" w:rsidP="009F6A0E" w14:paraId="75DB7144" w14:textId="1C23B3F4">
            <w:pPr>
              <w:jc w:val="right"/>
              <w:rPr>
                <w:sz w:val="20"/>
              </w:rPr>
            </w:pPr>
            <w:r>
              <w:rPr>
                <w:sz w:val="20"/>
              </w:rPr>
              <w:t>m</w:t>
            </w:r>
            <w:r>
              <w:rPr>
                <w:sz w:val="20"/>
              </w:rPr>
              <w:t>anaging</w:t>
            </w:r>
          </w:p>
          <w:p w:rsidR="00FB2F23" w:rsidP="00874CE8" w14:paraId="7E952447" w14:textId="20BB61D2">
            <w:pPr>
              <w:jc w:val="right"/>
              <w:rPr>
                <w:sz w:val="20"/>
              </w:rPr>
            </w:pPr>
            <w:r>
              <w:rPr>
                <w:sz w:val="20"/>
              </w:rPr>
              <w:t>2</w:t>
            </w:r>
            <w:r w:rsidR="00B27926">
              <w:rPr>
                <w:sz w:val="20"/>
              </w:rPr>
              <w:t>2</w:t>
            </w:r>
            <w:r>
              <w:rPr>
                <w:sz w:val="20"/>
              </w:rPr>
              <w:t xml:space="preserve"> </w:t>
            </w:r>
            <w:r w:rsidR="00A054B4">
              <w:rPr>
                <w:sz w:val="20"/>
              </w:rPr>
              <w:t>f</w:t>
            </w:r>
            <w:r w:rsidR="009F6A0E">
              <w:rPr>
                <w:sz w:val="20"/>
              </w:rPr>
              <w:t>unds.</w:t>
            </w:r>
          </w:p>
        </w:tc>
        <w:tc>
          <w:tcPr>
            <w:tcW w:w="1350" w:type="dxa"/>
          </w:tcPr>
          <w:p w:rsidR="00FB2F23" w:rsidP="00CA297A" w14:paraId="3A9DB6CC" w14:textId="77777777">
            <w:pPr>
              <w:jc w:val="right"/>
              <w:rPr>
                <w:sz w:val="20"/>
              </w:rPr>
            </w:pPr>
            <w:r>
              <w:rPr>
                <w:sz w:val="20"/>
              </w:rPr>
              <w:t>12</w:t>
            </w:r>
          </w:p>
        </w:tc>
        <w:tc>
          <w:tcPr>
            <w:tcW w:w="1170" w:type="dxa"/>
          </w:tcPr>
          <w:p w:rsidR="00FB2F23" w:rsidP="00CA297A" w14:paraId="4F7A8574" w14:textId="77777777">
            <w:pPr>
              <w:jc w:val="right"/>
              <w:rPr>
                <w:sz w:val="20"/>
              </w:rPr>
            </w:pPr>
            <w:r>
              <w:rPr>
                <w:sz w:val="20"/>
              </w:rPr>
              <w:t>12</w:t>
            </w:r>
          </w:p>
        </w:tc>
        <w:tc>
          <w:tcPr>
            <w:tcW w:w="1350" w:type="dxa"/>
          </w:tcPr>
          <w:p w:rsidR="00FB2F23" w:rsidP="008344E2" w14:paraId="2A5E88B6" w14:textId="0B5127B2">
            <w:pPr>
              <w:jc w:val="right"/>
              <w:rPr>
                <w:sz w:val="20"/>
              </w:rPr>
            </w:pPr>
            <w:r>
              <w:rPr>
                <w:sz w:val="20"/>
              </w:rPr>
              <w:t>3,</w:t>
            </w:r>
            <w:r w:rsidR="00B27926">
              <w:rPr>
                <w:sz w:val="20"/>
              </w:rPr>
              <w:t>168</w:t>
            </w:r>
          </w:p>
        </w:tc>
      </w:tr>
      <w:tr w14:paraId="707F0C45" w14:textId="77777777" w:rsidTr="00C77EEE">
        <w:tblPrEx>
          <w:tblW w:w="9918" w:type="dxa"/>
          <w:tblLayout w:type="fixed"/>
          <w:tblLook w:val="0000"/>
        </w:tblPrEx>
        <w:tc>
          <w:tcPr>
            <w:tcW w:w="1881" w:type="dxa"/>
          </w:tcPr>
          <w:p w:rsidR="00FB2F23" w:rsidP="00CA297A" w14:paraId="70BDF92D" w14:textId="77777777">
            <w:pPr>
              <w:rPr>
                <w:sz w:val="20"/>
              </w:rPr>
            </w:pPr>
            <w:r>
              <w:rPr>
                <w:sz w:val="20"/>
              </w:rPr>
              <w:t>Reporting</w:t>
            </w:r>
          </w:p>
        </w:tc>
        <w:tc>
          <w:tcPr>
            <w:tcW w:w="2637" w:type="dxa"/>
          </w:tcPr>
          <w:p w:rsidR="00FB2F23" w:rsidRPr="00C77EEE" w:rsidP="00CA297A" w14:paraId="430D38F2" w14:textId="77777777">
            <w:pPr>
              <w:rPr>
                <w:bCs/>
                <w:sz w:val="20"/>
              </w:rPr>
            </w:pPr>
            <w:r>
              <w:rPr>
                <w:bCs/>
                <w:sz w:val="20"/>
              </w:rPr>
              <w:t>Review of report by Risk Manager</w:t>
            </w:r>
          </w:p>
        </w:tc>
        <w:tc>
          <w:tcPr>
            <w:tcW w:w="1530" w:type="dxa"/>
          </w:tcPr>
          <w:p w:rsidR="009F6A0E" w:rsidP="009F6A0E" w14:paraId="6D4E70A8" w14:textId="4FA48862">
            <w:pPr>
              <w:jc w:val="right"/>
              <w:rPr>
                <w:sz w:val="20"/>
              </w:rPr>
            </w:pPr>
            <w:r>
              <w:rPr>
                <w:sz w:val="20"/>
              </w:rPr>
              <w:t xml:space="preserve">Currently </w:t>
            </w:r>
            <w:r w:rsidR="00B27926">
              <w:rPr>
                <w:sz w:val="20"/>
              </w:rPr>
              <w:t>5</w:t>
            </w:r>
            <w:r>
              <w:rPr>
                <w:sz w:val="20"/>
              </w:rPr>
              <w:t xml:space="preserve"> </w:t>
            </w:r>
            <w:r w:rsidR="00A054B4">
              <w:rPr>
                <w:sz w:val="20"/>
              </w:rPr>
              <w:t>r</w:t>
            </w:r>
            <w:r>
              <w:rPr>
                <w:sz w:val="20"/>
              </w:rPr>
              <w:t>espondents</w:t>
            </w:r>
          </w:p>
          <w:p w:rsidR="009F6A0E" w:rsidP="009F6A0E" w14:paraId="7544C794" w14:textId="7611024C">
            <w:pPr>
              <w:jc w:val="right"/>
              <w:rPr>
                <w:sz w:val="20"/>
              </w:rPr>
            </w:pPr>
            <w:r>
              <w:rPr>
                <w:sz w:val="20"/>
              </w:rPr>
              <w:t>m</w:t>
            </w:r>
            <w:r>
              <w:rPr>
                <w:sz w:val="20"/>
              </w:rPr>
              <w:t>anaging</w:t>
            </w:r>
          </w:p>
          <w:p w:rsidR="00FB2F23" w:rsidP="00874CE8" w14:paraId="6AA95DFE" w14:textId="393C120F">
            <w:pPr>
              <w:jc w:val="right"/>
              <w:rPr>
                <w:sz w:val="20"/>
              </w:rPr>
            </w:pPr>
            <w:r>
              <w:rPr>
                <w:sz w:val="20"/>
              </w:rPr>
              <w:t>2</w:t>
            </w:r>
            <w:r w:rsidR="00B27926">
              <w:rPr>
                <w:sz w:val="20"/>
              </w:rPr>
              <w:t>2</w:t>
            </w:r>
            <w:r>
              <w:rPr>
                <w:sz w:val="20"/>
              </w:rPr>
              <w:t xml:space="preserve"> </w:t>
            </w:r>
            <w:r w:rsidR="009F6A0E">
              <w:rPr>
                <w:sz w:val="20"/>
              </w:rPr>
              <w:t>Funds.</w:t>
            </w:r>
          </w:p>
        </w:tc>
        <w:tc>
          <w:tcPr>
            <w:tcW w:w="1350" w:type="dxa"/>
          </w:tcPr>
          <w:p w:rsidR="00FB2F23" w:rsidP="00CA297A" w14:paraId="7E87C265" w14:textId="77777777">
            <w:pPr>
              <w:jc w:val="right"/>
              <w:rPr>
                <w:sz w:val="20"/>
              </w:rPr>
            </w:pPr>
            <w:r>
              <w:rPr>
                <w:sz w:val="20"/>
              </w:rPr>
              <w:t>8</w:t>
            </w:r>
          </w:p>
        </w:tc>
        <w:tc>
          <w:tcPr>
            <w:tcW w:w="1170" w:type="dxa"/>
          </w:tcPr>
          <w:p w:rsidR="00FB2F23" w:rsidP="00CA297A" w14:paraId="393996D3" w14:textId="77777777">
            <w:pPr>
              <w:jc w:val="right"/>
              <w:rPr>
                <w:sz w:val="20"/>
              </w:rPr>
            </w:pPr>
            <w:r>
              <w:rPr>
                <w:sz w:val="20"/>
              </w:rPr>
              <w:t>12</w:t>
            </w:r>
          </w:p>
        </w:tc>
        <w:tc>
          <w:tcPr>
            <w:tcW w:w="1350" w:type="dxa"/>
          </w:tcPr>
          <w:p w:rsidR="00FB2F23" w:rsidP="008344E2" w14:paraId="715BF97C" w14:textId="508D89F6">
            <w:pPr>
              <w:jc w:val="right"/>
              <w:rPr>
                <w:sz w:val="20"/>
              </w:rPr>
            </w:pPr>
            <w:r>
              <w:rPr>
                <w:sz w:val="20"/>
              </w:rPr>
              <w:t>2,</w:t>
            </w:r>
            <w:r w:rsidR="00B27926">
              <w:rPr>
                <w:sz w:val="20"/>
              </w:rPr>
              <w:t>112</w:t>
            </w:r>
          </w:p>
        </w:tc>
      </w:tr>
      <w:tr w14:paraId="62648C28" w14:textId="77777777" w:rsidTr="00C77EEE">
        <w:tblPrEx>
          <w:tblW w:w="9918" w:type="dxa"/>
          <w:tblLayout w:type="fixed"/>
          <w:tblLook w:val="0000"/>
        </w:tblPrEx>
        <w:tc>
          <w:tcPr>
            <w:tcW w:w="1881" w:type="dxa"/>
          </w:tcPr>
          <w:p w:rsidR="00FB2F23" w:rsidP="00CA297A" w14:paraId="5506A794" w14:textId="77777777">
            <w:pPr>
              <w:rPr>
                <w:sz w:val="20"/>
              </w:rPr>
            </w:pPr>
            <w:r>
              <w:rPr>
                <w:sz w:val="20"/>
              </w:rPr>
              <w:t>12 CFR 9.18(b)(4)(iii)(I)</w:t>
            </w:r>
          </w:p>
        </w:tc>
        <w:tc>
          <w:tcPr>
            <w:tcW w:w="2637" w:type="dxa"/>
          </w:tcPr>
          <w:p w:rsidR="00FB2F23" w:rsidP="00CA297A" w14:paraId="7B57C3FC" w14:textId="77777777">
            <w:pPr>
              <w:rPr>
                <w:b/>
                <w:bCs/>
                <w:sz w:val="20"/>
              </w:rPr>
            </w:pPr>
            <w:r>
              <w:rPr>
                <w:b/>
                <w:bCs/>
                <w:sz w:val="20"/>
              </w:rPr>
              <w:t>Short-term</w:t>
            </w:r>
            <w:r>
              <w:rPr>
                <w:b/>
                <w:bCs/>
                <w:sz w:val="20"/>
              </w:rPr>
              <w:t xml:space="preserve"> investment funds:</w:t>
            </w:r>
          </w:p>
          <w:p w:rsidR="00FB2F23" w:rsidRPr="00D05CF1" w:rsidP="00CA297A" w14:paraId="710697F9" w14:textId="1D2E9551">
            <w:pPr>
              <w:rPr>
                <w:bCs/>
                <w:sz w:val="20"/>
              </w:rPr>
            </w:pPr>
            <w:r>
              <w:rPr>
                <w:bCs/>
                <w:sz w:val="20"/>
              </w:rPr>
              <w:t xml:space="preserve">Adopt procedures that require a bank to disclose </w:t>
            </w:r>
            <w:r w:rsidRPr="0088259F" w:rsidR="0088259F">
              <w:rPr>
                <w:bCs/>
                <w:sz w:val="20"/>
              </w:rPr>
              <w:t xml:space="preserve">to the OCC and to STIF participants within five business days after each calendar month-end the following information about the fund:  total assets under management; mark-to-market and amortized cost net asset values; dollar-weighted average portfolio maturity; </w:t>
            </w:r>
            <w:r w:rsidRPr="0088259F" w:rsidR="0088259F">
              <w:rPr>
                <w:bCs/>
                <w:sz w:val="20"/>
              </w:rPr>
              <w:t>dollar-weighted average portfolio life maturity as of the last business day of the prior calendar month; and certain other security-level information for each security held</w:t>
            </w:r>
            <w:r w:rsidR="00C777E8">
              <w:rPr>
                <w:bCs/>
                <w:sz w:val="20"/>
              </w:rPr>
              <w:t>.</w:t>
            </w:r>
          </w:p>
        </w:tc>
        <w:tc>
          <w:tcPr>
            <w:tcW w:w="1530" w:type="dxa"/>
          </w:tcPr>
          <w:p w:rsidR="00FB2F23" w:rsidP="00CA297A" w14:paraId="25012E5C" w14:textId="77777777">
            <w:pPr>
              <w:jc w:val="right"/>
              <w:rPr>
                <w:sz w:val="20"/>
              </w:rPr>
            </w:pPr>
          </w:p>
        </w:tc>
        <w:tc>
          <w:tcPr>
            <w:tcW w:w="1350" w:type="dxa"/>
          </w:tcPr>
          <w:p w:rsidR="00FB2F23" w:rsidP="00CA297A" w14:paraId="395C3F7C" w14:textId="77777777">
            <w:pPr>
              <w:jc w:val="right"/>
              <w:rPr>
                <w:sz w:val="20"/>
              </w:rPr>
            </w:pPr>
          </w:p>
        </w:tc>
        <w:tc>
          <w:tcPr>
            <w:tcW w:w="1170" w:type="dxa"/>
          </w:tcPr>
          <w:p w:rsidR="00FB2F23" w:rsidP="00CA297A" w14:paraId="22FC5D80" w14:textId="77777777">
            <w:pPr>
              <w:jc w:val="center"/>
              <w:rPr>
                <w:sz w:val="20"/>
              </w:rPr>
            </w:pPr>
          </w:p>
        </w:tc>
        <w:tc>
          <w:tcPr>
            <w:tcW w:w="1350" w:type="dxa"/>
          </w:tcPr>
          <w:p w:rsidR="00FB2F23" w:rsidP="00CA297A" w14:paraId="469BCF17" w14:textId="77777777">
            <w:pPr>
              <w:jc w:val="center"/>
              <w:rPr>
                <w:sz w:val="20"/>
              </w:rPr>
            </w:pPr>
          </w:p>
        </w:tc>
      </w:tr>
      <w:tr w14:paraId="4406E634" w14:textId="77777777" w:rsidTr="00C77EEE">
        <w:tblPrEx>
          <w:tblW w:w="9918" w:type="dxa"/>
          <w:tblLayout w:type="fixed"/>
          <w:tblLook w:val="0000"/>
        </w:tblPrEx>
        <w:tc>
          <w:tcPr>
            <w:tcW w:w="1881" w:type="dxa"/>
          </w:tcPr>
          <w:p w:rsidR="00FB2F23" w:rsidP="00CA297A" w14:paraId="4661BC76" w14:textId="77777777">
            <w:pPr>
              <w:rPr>
                <w:sz w:val="20"/>
              </w:rPr>
            </w:pPr>
            <w:r>
              <w:rPr>
                <w:sz w:val="20"/>
              </w:rPr>
              <w:t>Recordkeeping</w:t>
            </w:r>
          </w:p>
        </w:tc>
        <w:tc>
          <w:tcPr>
            <w:tcW w:w="2637" w:type="dxa"/>
          </w:tcPr>
          <w:p w:rsidR="00FB2F23" w:rsidRPr="00C77EEE" w:rsidP="00CA297A" w14:paraId="2E87E438" w14:textId="77777777">
            <w:pPr>
              <w:rPr>
                <w:bCs/>
                <w:sz w:val="20"/>
              </w:rPr>
            </w:pPr>
            <w:r w:rsidRPr="00C77EEE">
              <w:rPr>
                <w:bCs/>
                <w:sz w:val="20"/>
              </w:rPr>
              <w:t>Initial burden</w:t>
            </w:r>
          </w:p>
        </w:tc>
        <w:tc>
          <w:tcPr>
            <w:tcW w:w="1530" w:type="dxa"/>
          </w:tcPr>
          <w:p w:rsidR="00FB2F23" w:rsidP="00CA297A" w14:paraId="2E4AFAA8" w14:textId="6AAD5CD3">
            <w:pPr>
              <w:jc w:val="right"/>
              <w:rPr>
                <w:sz w:val="20"/>
              </w:rPr>
            </w:pPr>
            <w:r>
              <w:rPr>
                <w:sz w:val="20"/>
              </w:rPr>
              <w:t>Estimate 3 new funds established in any given year.</w:t>
            </w:r>
          </w:p>
        </w:tc>
        <w:tc>
          <w:tcPr>
            <w:tcW w:w="1350" w:type="dxa"/>
          </w:tcPr>
          <w:p w:rsidR="00FB2F23" w:rsidP="00CA297A" w14:paraId="0D7ECF5C" w14:textId="77777777">
            <w:pPr>
              <w:jc w:val="right"/>
              <w:rPr>
                <w:sz w:val="20"/>
              </w:rPr>
            </w:pPr>
            <w:r>
              <w:rPr>
                <w:sz w:val="20"/>
              </w:rPr>
              <w:t>40</w:t>
            </w:r>
          </w:p>
        </w:tc>
        <w:tc>
          <w:tcPr>
            <w:tcW w:w="1170" w:type="dxa"/>
          </w:tcPr>
          <w:p w:rsidR="00FB2F23" w:rsidP="00CA297A" w14:paraId="54E5A51B" w14:textId="77777777">
            <w:pPr>
              <w:jc w:val="right"/>
              <w:rPr>
                <w:sz w:val="20"/>
              </w:rPr>
            </w:pPr>
            <w:r>
              <w:rPr>
                <w:sz w:val="20"/>
              </w:rPr>
              <w:t>1</w:t>
            </w:r>
          </w:p>
        </w:tc>
        <w:tc>
          <w:tcPr>
            <w:tcW w:w="1350" w:type="dxa"/>
          </w:tcPr>
          <w:p w:rsidR="00FB2F23" w:rsidP="00CA297A" w14:paraId="08FBEEDA" w14:textId="17CF0922">
            <w:pPr>
              <w:jc w:val="right"/>
              <w:rPr>
                <w:sz w:val="20"/>
              </w:rPr>
            </w:pPr>
            <w:r>
              <w:rPr>
                <w:sz w:val="20"/>
              </w:rPr>
              <w:t>120</w:t>
            </w:r>
          </w:p>
        </w:tc>
      </w:tr>
      <w:tr w14:paraId="2B0CF3A6" w14:textId="77777777" w:rsidTr="00C77EEE">
        <w:tblPrEx>
          <w:tblW w:w="9918" w:type="dxa"/>
          <w:tblLayout w:type="fixed"/>
          <w:tblLook w:val="0000"/>
        </w:tblPrEx>
        <w:tc>
          <w:tcPr>
            <w:tcW w:w="1881" w:type="dxa"/>
          </w:tcPr>
          <w:p w:rsidR="00FB2F23" w:rsidP="00CA297A" w14:paraId="57BA3DE5" w14:textId="77777777">
            <w:pPr>
              <w:rPr>
                <w:sz w:val="20"/>
              </w:rPr>
            </w:pPr>
            <w:r>
              <w:rPr>
                <w:sz w:val="20"/>
              </w:rPr>
              <w:t>Disclosure</w:t>
            </w:r>
          </w:p>
        </w:tc>
        <w:tc>
          <w:tcPr>
            <w:tcW w:w="2637" w:type="dxa"/>
          </w:tcPr>
          <w:p w:rsidR="00FB2F23" w:rsidRPr="00C77EEE" w:rsidP="00CA297A" w14:paraId="1EE54E57" w14:textId="77777777">
            <w:pPr>
              <w:rPr>
                <w:bCs/>
                <w:sz w:val="20"/>
              </w:rPr>
            </w:pPr>
            <w:r w:rsidRPr="00C77EEE">
              <w:rPr>
                <w:bCs/>
                <w:sz w:val="20"/>
              </w:rPr>
              <w:t>Ongoing burden</w:t>
            </w:r>
          </w:p>
        </w:tc>
        <w:tc>
          <w:tcPr>
            <w:tcW w:w="1530" w:type="dxa"/>
          </w:tcPr>
          <w:p w:rsidR="00887D55" w:rsidP="00887D55" w14:paraId="5DFB1268" w14:textId="059210A1">
            <w:pPr>
              <w:jc w:val="right"/>
              <w:rPr>
                <w:sz w:val="20"/>
              </w:rPr>
            </w:pPr>
            <w:r>
              <w:rPr>
                <w:sz w:val="20"/>
              </w:rPr>
              <w:t xml:space="preserve">Currently </w:t>
            </w:r>
            <w:r w:rsidR="00B27926">
              <w:rPr>
                <w:sz w:val="20"/>
              </w:rPr>
              <w:t>5</w:t>
            </w:r>
            <w:r>
              <w:rPr>
                <w:sz w:val="20"/>
              </w:rPr>
              <w:t xml:space="preserve"> </w:t>
            </w:r>
            <w:r w:rsidR="00CA693A">
              <w:rPr>
                <w:sz w:val="20"/>
              </w:rPr>
              <w:t>r</w:t>
            </w:r>
            <w:r>
              <w:rPr>
                <w:sz w:val="20"/>
              </w:rPr>
              <w:t>espondents</w:t>
            </w:r>
          </w:p>
          <w:p w:rsidR="00887D55" w:rsidP="00887D55" w14:paraId="03FDFF78" w14:textId="4F949D12">
            <w:pPr>
              <w:jc w:val="right"/>
              <w:rPr>
                <w:sz w:val="20"/>
              </w:rPr>
            </w:pPr>
            <w:r>
              <w:rPr>
                <w:sz w:val="20"/>
              </w:rPr>
              <w:t>m</w:t>
            </w:r>
            <w:r>
              <w:rPr>
                <w:sz w:val="20"/>
              </w:rPr>
              <w:t>anaging</w:t>
            </w:r>
          </w:p>
          <w:p w:rsidR="00FB2F23" w:rsidP="00855DDF" w14:paraId="423E5059" w14:textId="135A984E">
            <w:pPr>
              <w:jc w:val="right"/>
              <w:rPr>
                <w:sz w:val="20"/>
              </w:rPr>
            </w:pPr>
            <w:r>
              <w:rPr>
                <w:sz w:val="20"/>
              </w:rPr>
              <w:t>2</w:t>
            </w:r>
            <w:r w:rsidR="00B27926">
              <w:rPr>
                <w:sz w:val="20"/>
              </w:rPr>
              <w:t>2</w:t>
            </w:r>
            <w:r>
              <w:rPr>
                <w:sz w:val="20"/>
              </w:rPr>
              <w:t xml:space="preserve"> </w:t>
            </w:r>
            <w:r w:rsidR="00CA693A">
              <w:rPr>
                <w:sz w:val="20"/>
              </w:rPr>
              <w:t>funds</w:t>
            </w:r>
            <w:r w:rsidR="00887D55">
              <w:rPr>
                <w:sz w:val="20"/>
              </w:rPr>
              <w:t>.</w:t>
            </w:r>
          </w:p>
        </w:tc>
        <w:tc>
          <w:tcPr>
            <w:tcW w:w="1350" w:type="dxa"/>
          </w:tcPr>
          <w:p w:rsidR="00FB2F23" w:rsidP="00CA297A" w14:paraId="6B9D312F" w14:textId="77777777">
            <w:pPr>
              <w:jc w:val="right"/>
              <w:rPr>
                <w:sz w:val="20"/>
              </w:rPr>
            </w:pPr>
            <w:r>
              <w:rPr>
                <w:sz w:val="20"/>
              </w:rPr>
              <w:t>8</w:t>
            </w:r>
          </w:p>
        </w:tc>
        <w:tc>
          <w:tcPr>
            <w:tcW w:w="1170" w:type="dxa"/>
          </w:tcPr>
          <w:p w:rsidR="00FB2F23" w:rsidP="00CA297A" w14:paraId="0874C386" w14:textId="77777777">
            <w:pPr>
              <w:jc w:val="right"/>
              <w:rPr>
                <w:sz w:val="20"/>
              </w:rPr>
            </w:pPr>
            <w:r>
              <w:rPr>
                <w:sz w:val="20"/>
              </w:rPr>
              <w:t>12</w:t>
            </w:r>
          </w:p>
        </w:tc>
        <w:tc>
          <w:tcPr>
            <w:tcW w:w="1350" w:type="dxa"/>
          </w:tcPr>
          <w:p w:rsidR="00FB2F23" w:rsidP="008344E2" w14:paraId="027DB171" w14:textId="43BF5783">
            <w:pPr>
              <w:jc w:val="right"/>
              <w:rPr>
                <w:sz w:val="20"/>
              </w:rPr>
            </w:pPr>
            <w:r>
              <w:rPr>
                <w:sz w:val="20"/>
              </w:rPr>
              <w:t>2112</w:t>
            </w:r>
          </w:p>
        </w:tc>
      </w:tr>
      <w:tr w14:paraId="00CF0869" w14:textId="77777777" w:rsidTr="00C77EEE">
        <w:tblPrEx>
          <w:tblW w:w="9918" w:type="dxa"/>
          <w:tblLayout w:type="fixed"/>
          <w:tblLook w:val="0000"/>
        </w:tblPrEx>
        <w:tc>
          <w:tcPr>
            <w:tcW w:w="1881" w:type="dxa"/>
          </w:tcPr>
          <w:p w:rsidR="00FB2F23" w:rsidP="00CA297A" w14:paraId="2AEBF89B" w14:textId="77777777">
            <w:pPr>
              <w:rPr>
                <w:sz w:val="20"/>
              </w:rPr>
            </w:pPr>
            <w:r>
              <w:rPr>
                <w:sz w:val="20"/>
              </w:rPr>
              <w:t>12 CFR 9.18(b)(4)(iii)(J)</w:t>
            </w:r>
          </w:p>
          <w:p w:rsidR="0042112B" w:rsidP="00CA297A" w14:paraId="39AD1FDC" w14:textId="77777777">
            <w:pPr>
              <w:rPr>
                <w:sz w:val="20"/>
              </w:rPr>
            </w:pPr>
            <w:r>
              <w:rPr>
                <w:sz w:val="20"/>
              </w:rPr>
              <w:t>Recordkeeping</w:t>
            </w:r>
          </w:p>
        </w:tc>
        <w:tc>
          <w:tcPr>
            <w:tcW w:w="2637" w:type="dxa"/>
          </w:tcPr>
          <w:p w:rsidR="00FB2F23" w:rsidP="00CA297A" w14:paraId="41AC14B0" w14:textId="77777777">
            <w:pPr>
              <w:rPr>
                <w:b/>
                <w:bCs/>
                <w:sz w:val="20"/>
              </w:rPr>
            </w:pPr>
            <w:r>
              <w:rPr>
                <w:b/>
                <w:bCs/>
                <w:sz w:val="20"/>
              </w:rPr>
              <w:t xml:space="preserve">Short-term </w:t>
            </w:r>
            <w:r>
              <w:rPr>
                <w:b/>
                <w:bCs/>
                <w:sz w:val="20"/>
              </w:rPr>
              <w:t>investment funds:</w:t>
            </w:r>
          </w:p>
          <w:p w:rsidR="00FB2F23" w:rsidP="00CA297A" w14:paraId="01A26EA5" w14:textId="77777777">
            <w:pPr>
              <w:rPr>
                <w:b/>
                <w:bCs/>
                <w:sz w:val="20"/>
              </w:rPr>
            </w:pPr>
            <w:r>
              <w:rPr>
                <w:bCs/>
                <w:sz w:val="20"/>
              </w:rPr>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P="00CA297A" w14:paraId="4F7B6717" w14:textId="7C9E2834">
            <w:pPr>
              <w:jc w:val="right"/>
              <w:rPr>
                <w:sz w:val="20"/>
              </w:rPr>
            </w:pPr>
            <w:r>
              <w:rPr>
                <w:sz w:val="20"/>
              </w:rPr>
              <w:t>Estimate 3 new funds established in any given year.</w:t>
            </w:r>
          </w:p>
        </w:tc>
        <w:tc>
          <w:tcPr>
            <w:tcW w:w="1350" w:type="dxa"/>
          </w:tcPr>
          <w:p w:rsidR="00FB2F23" w:rsidP="00CA297A" w14:paraId="4C2EAB35" w14:textId="77777777">
            <w:pPr>
              <w:jc w:val="right"/>
              <w:rPr>
                <w:sz w:val="20"/>
              </w:rPr>
            </w:pPr>
            <w:r>
              <w:rPr>
                <w:sz w:val="20"/>
              </w:rPr>
              <w:t>10</w:t>
            </w:r>
          </w:p>
        </w:tc>
        <w:tc>
          <w:tcPr>
            <w:tcW w:w="1170" w:type="dxa"/>
          </w:tcPr>
          <w:p w:rsidR="00FB2F23" w:rsidP="00CA297A" w14:paraId="356AEAFE" w14:textId="77777777">
            <w:pPr>
              <w:jc w:val="right"/>
              <w:rPr>
                <w:sz w:val="20"/>
              </w:rPr>
            </w:pPr>
            <w:r>
              <w:rPr>
                <w:sz w:val="20"/>
              </w:rPr>
              <w:t>1</w:t>
            </w:r>
          </w:p>
        </w:tc>
        <w:tc>
          <w:tcPr>
            <w:tcW w:w="1350" w:type="dxa"/>
          </w:tcPr>
          <w:p w:rsidR="00FB2F23" w:rsidP="00CA297A" w14:paraId="61C5EAD6" w14:textId="3DAADEC0">
            <w:pPr>
              <w:jc w:val="right"/>
              <w:rPr>
                <w:sz w:val="20"/>
              </w:rPr>
            </w:pPr>
            <w:r>
              <w:rPr>
                <w:sz w:val="20"/>
              </w:rPr>
              <w:t>30</w:t>
            </w:r>
          </w:p>
        </w:tc>
      </w:tr>
      <w:tr w14:paraId="7EA23B63" w14:textId="77777777" w:rsidTr="00C77EEE">
        <w:tblPrEx>
          <w:tblW w:w="9918" w:type="dxa"/>
          <w:tblLayout w:type="fixed"/>
          <w:tblLook w:val="0000"/>
        </w:tblPrEx>
        <w:tc>
          <w:tcPr>
            <w:tcW w:w="1881" w:type="dxa"/>
          </w:tcPr>
          <w:p w:rsidR="00FB2F23" w:rsidP="00CA297A" w14:paraId="21825081" w14:textId="77777777">
            <w:pPr>
              <w:rPr>
                <w:sz w:val="20"/>
              </w:rPr>
            </w:pPr>
            <w:r>
              <w:rPr>
                <w:sz w:val="20"/>
              </w:rPr>
              <w:t>12 CFR 9.18(b)(4)(iii)(K)</w:t>
            </w:r>
          </w:p>
          <w:p w:rsidR="0042112B" w:rsidP="00CA297A" w14:paraId="1F572CB9" w14:textId="77777777">
            <w:pPr>
              <w:rPr>
                <w:sz w:val="20"/>
              </w:rPr>
            </w:pPr>
            <w:r>
              <w:rPr>
                <w:sz w:val="20"/>
              </w:rPr>
              <w:t>Recordkeeping</w:t>
            </w:r>
          </w:p>
        </w:tc>
        <w:tc>
          <w:tcPr>
            <w:tcW w:w="2637" w:type="dxa"/>
          </w:tcPr>
          <w:p w:rsidR="00FB2F23" w:rsidP="00CA297A" w14:paraId="6E5B7B9A" w14:textId="77777777">
            <w:pPr>
              <w:rPr>
                <w:b/>
                <w:bCs/>
                <w:sz w:val="20"/>
              </w:rPr>
            </w:pPr>
            <w:r>
              <w:rPr>
                <w:b/>
                <w:bCs/>
                <w:sz w:val="20"/>
              </w:rPr>
              <w:t>Short-term</w:t>
            </w:r>
            <w:r>
              <w:rPr>
                <w:b/>
                <w:bCs/>
                <w:sz w:val="20"/>
              </w:rPr>
              <w:t xml:space="preserve"> investment funds:</w:t>
            </w:r>
          </w:p>
          <w:p w:rsidR="00FB2F23" w:rsidRPr="00512454" w:rsidP="00CA297A" w14:paraId="46A1A297" w14:textId="77777777">
            <w:pPr>
              <w:rPr>
                <w:bCs/>
                <w:sz w:val="20"/>
              </w:rPr>
            </w:pPr>
            <w:r>
              <w:rPr>
                <w:bCs/>
                <w:sz w:val="20"/>
              </w:rPr>
              <w:t xml:space="preserve">Adopt procedures </w:t>
            </w:r>
            <w:r w:rsidRPr="0088259F" w:rsidR="0088259F">
              <w:rPr>
                <w:bCs/>
                <w:sz w:val="20"/>
              </w:rPr>
              <w:t>in the event that the STIF has repriced its net asset value below $0.995 per participating interest</w:t>
            </w:r>
            <w:r>
              <w:rPr>
                <w:bCs/>
                <w:sz w:val="20"/>
              </w:rPr>
              <w:t>.</w:t>
            </w:r>
          </w:p>
        </w:tc>
        <w:tc>
          <w:tcPr>
            <w:tcW w:w="1530" w:type="dxa"/>
          </w:tcPr>
          <w:p w:rsidR="00FB2F23" w:rsidP="00CA297A" w14:paraId="41E762C8" w14:textId="5F3046F0">
            <w:pPr>
              <w:jc w:val="right"/>
              <w:rPr>
                <w:sz w:val="20"/>
              </w:rPr>
            </w:pPr>
            <w:r>
              <w:rPr>
                <w:sz w:val="20"/>
              </w:rPr>
              <w:t>Estimate 3 new funds established in any given year.</w:t>
            </w:r>
          </w:p>
        </w:tc>
        <w:tc>
          <w:tcPr>
            <w:tcW w:w="1350" w:type="dxa"/>
          </w:tcPr>
          <w:p w:rsidR="00FB2F23" w:rsidP="00CA297A" w14:paraId="64C56A05" w14:textId="77777777">
            <w:pPr>
              <w:jc w:val="right"/>
              <w:rPr>
                <w:sz w:val="20"/>
              </w:rPr>
            </w:pPr>
            <w:r>
              <w:rPr>
                <w:sz w:val="20"/>
              </w:rPr>
              <w:t>10</w:t>
            </w:r>
          </w:p>
        </w:tc>
        <w:tc>
          <w:tcPr>
            <w:tcW w:w="1170" w:type="dxa"/>
          </w:tcPr>
          <w:p w:rsidR="00FB2F23" w:rsidP="00CA297A" w14:paraId="04813A15" w14:textId="77777777">
            <w:pPr>
              <w:jc w:val="right"/>
              <w:rPr>
                <w:sz w:val="20"/>
              </w:rPr>
            </w:pPr>
            <w:r>
              <w:rPr>
                <w:sz w:val="20"/>
              </w:rPr>
              <w:t>1</w:t>
            </w:r>
          </w:p>
        </w:tc>
        <w:tc>
          <w:tcPr>
            <w:tcW w:w="1350" w:type="dxa"/>
          </w:tcPr>
          <w:p w:rsidR="00FB2F23" w:rsidP="00CA297A" w14:paraId="6C9DD932" w14:textId="2F00C6D2">
            <w:pPr>
              <w:jc w:val="right"/>
              <w:rPr>
                <w:sz w:val="20"/>
              </w:rPr>
            </w:pPr>
            <w:r>
              <w:rPr>
                <w:sz w:val="20"/>
              </w:rPr>
              <w:t>30</w:t>
            </w:r>
          </w:p>
        </w:tc>
      </w:tr>
      <w:tr w14:paraId="7F17D42A" w14:textId="77777777" w:rsidTr="00C77EEE">
        <w:tblPrEx>
          <w:tblW w:w="9918" w:type="dxa"/>
          <w:tblLayout w:type="fixed"/>
          <w:tblLook w:val="0000"/>
        </w:tblPrEx>
        <w:tc>
          <w:tcPr>
            <w:tcW w:w="1881" w:type="dxa"/>
          </w:tcPr>
          <w:p w:rsidR="00FB2F23" w:rsidP="00CA297A" w14:paraId="30CD3848" w14:textId="77777777">
            <w:pPr>
              <w:rPr>
                <w:sz w:val="20"/>
              </w:rPr>
            </w:pPr>
            <w:r>
              <w:rPr>
                <w:sz w:val="20"/>
              </w:rPr>
              <w:t>12 CFR 9.18(b)(4)(iii)(L)</w:t>
            </w:r>
          </w:p>
          <w:p w:rsidR="0042112B" w:rsidP="00CA297A" w14:paraId="4BF4EA9D" w14:textId="77777777">
            <w:pPr>
              <w:rPr>
                <w:sz w:val="20"/>
              </w:rPr>
            </w:pPr>
            <w:r>
              <w:rPr>
                <w:sz w:val="20"/>
              </w:rPr>
              <w:t>Recordkeeping</w:t>
            </w:r>
          </w:p>
        </w:tc>
        <w:tc>
          <w:tcPr>
            <w:tcW w:w="2637" w:type="dxa"/>
          </w:tcPr>
          <w:p w:rsidR="00FB2F23" w:rsidP="00CA297A" w14:paraId="0DD95551" w14:textId="77777777">
            <w:pPr>
              <w:rPr>
                <w:b/>
                <w:bCs/>
                <w:sz w:val="20"/>
              </w:rPr>
            </w:pPr>
            <w:r>
              <w:rPr>
                <w:b/>
                <w:bCs/>
                <w:sz w:val="20"/>
              </w:rPr>
              <w:t xml:space="preserve">Short-term </w:t>
            </w:r>
            <w:r>
              <w:rPr>
                <w:b/>
                <w:bCs/>
                <w:sz w:val="20"/>
              </w:rPr>
              <w:t>investment funds:</w:t>
            </w:r>
          </w:p>
          <w:p w:rsidR="00FB2F23" w:rsidRPr="00512454" w:rsidP="00CA297A" w14:paraId="65AAB474" w14:textId="77777777">
            <w:pPr>
              <w:rPr>
                <w:bCs/>
                <w:sz w:val="20"/>
              </w:rPr>
            </w:pPr>
            <w:r>
              <w:rPr>
                <w:bCs/>
                <w:sz w:val="20"/>
              </w:rPr>
              <w:t xml:space="preserve">Adopt procedures for </w:t>
            </w:r>
            <w:r w:rsidRPr="0088259F" w:rsidR="0088259F">
              <w:rPr>
                <w:bCs/>
                <w:sz w:val="20"/>
              </w:rPr>
              <w:t>initiating liquidation of a STIF upon the suspension or limitation of withdrawals as a result of redemptions</w:t>
            </w:r>
            <w:r>
              <w:rPr>
                <w:bCs/>
                <w:sz w:val="20"/>
              </w:rPr>
              <w:t>.</w:t>
            </w:r>
          </w:p>
        </w:tc>
        <w:tc>
          <w:tcPr>
            <w:tcW w:w="1530" w:type="dxa"/>
          </w:tcPr>
          <w:p w:rsidR="00FB2F23" w:rsidP="00CA297A" w14:paraId="60D9B08A" w14:textId="4BD83E55">
            <w:pPr>
              <w:jc w:val="right"/>
              <w:rPr>
                <w:sz w:val="20"/>
              </w:rPr>
            </w:pPr>
            <w:r>
              <w:rPr>
                <w:sz w:val="20"/>
              </w:rPr>
              <w:t>Estimate 3 new funds established in any given year.</w:t>
            </w:r>
          </w:p>
        </w:tc>
        <w:tc>
          <w:tcPr>
            <w:tcW w:w="1350" w:type="dxa"/>
          </w:tcPr>
          <w:p w:rsidR="00FB2F23" w:rsidP="00CA297A" w14:paraId="1A567547" w14:textId="77777777">
            <w:pPr>
              <w:jc w:val="right"/>
              <w:rPr>
                <w:sz w:val="20"/>
              </w:rPr>
            </w:pPr>
            <w:r>
              <w:rPr>
                <w:sz w:val="20"/>
              </w:rPr>
              <w:t>10</w:t>
            </w:r>
          </w:p>
        </w:tc>
        <w:tc>
          <w:tcPr>
            <w:tcW w:w="1170" w:type="dxa"/>
          </w:tcPr>
          <w:p w:rsidR="00FB2F23" w:rsidP="00CA297A" w14:paraId="01DDE1CA" w14:textId="77777777">
            <w:pPr>
              <w:jc w:val="right"/>
              <w:rPr>
                <w:sz w:val="20"/>
              </w:rPr>
            </w:pPr>
            <w:r>
              <w:rPr>
                <w:sz w:val="20"/>
              </w:rPr>
              <w:t>1</w:t>
            </w:r>
          </w:p>
        </w:tc>
        <w:tc>
          <w:tcPr>
            <w:tcW w:w="1350" w:type="dxa"/>
          </w:tcPr>
          <w:p w:rsidR="00FB2F23" w:rsidP="00CA297A" w14:paraId="382BB051" w14:textId="7BADEE8E">
            <w:pPr>
              <w:jc w:val="right"/>
              <w:rPr>
                <w:sz w:val="20"/>
              </w:rPr>
            </w:pPr>
            <w:r>
              <w:rPr>
                <w:sz w:val="20"/>
              </w:rPr>
              <w:t>30</w:t>
            </w:r>
          </w:p>
        </w:tc>
      </w:tr>
      <w:tr w14:paraId="2981BAB9" w14:textId="77777777" w:rsidTr="00C77EEE">
        <w:tblPrEx>
          <w:tblW w:w="9918" w:type="dxa"/>
          <w:tblLayout w:type="fixed"/>
          <w:tblLook w:val="0000"/>
        </w:tblPrEx>
        <w:tc>
          <w:tcPr>
            <w:tcW w:w="1881" w:type="dxa"/>
          </w:tcPr>
          <w:p w:rsidR="009F1909" w:rsidP="005C68BA" w14:paraId="6825420E" w14:textId="159196DF">
            <w:pPr>
              <w:pStyle w:val="FootnoteText"/>
            </w:pPr>
            <w:r>
              <w:t>12 CFR 9.18(b)(5)(iii)</w:t>
            </w:r>
            <w:r w:rsidR="005C68BA">
              <w:t>(A)-</w:t>
            </w:r>
            <w:r>
              <w:t xml:space="preserve">(C) </w:t>
            </w:r>
          </w:p>
          <w:p w:rsidR="009F1909" w:rsidP="005C68BA" w14:paraId="78460AC5" w14:textId="4683D479">
            <w:pPr>
              <w:pStyle w:val="FootnoteText"/>
            </w:pPr>
            <w:r>
              <w:t>Reporting</w:t>
            </w:r>
          </w:p>
          <w:p w:rsidR="00684291" w:rsidP="009F1909" w14:paraId="05B0158F" w14:textId="77777777">
            <w:pPr>
              <w:pStyle w:val="FootnoteText"/>
            </w:pPr>
          </w:p>
          <w:p w:rsidR="00684291" w:rsidP="00684291" w14:paraId="644062A4" w14:textId="77777777">
            <w:pPr>
              <w:rPr>
                <w:sz w:val="20"/>
              </w:rPr>
            </w:pPr>
          </w:p>
          <w:p w:rsidR="00684291" w:rsidP="00684291" w14:paraId="65AD244E" w14:textId="77777777">
            <w:pPr>
              <w:rPr>
                <w:sz w:val="20"/>
              </w:rPr>
            </w:pPr>
          </w:p>
          <w:p w:rsidR="00684291" w:rsidP="00684291" w14:paraId="1E2F7CCE" w14:textId="77777777">
            <w:pPr>
              <w:rPr>
                <w:sz w:val="20"/>
              </w:rPr>
            </w:pPr>
          </w:p>
          <w:p w:rsidR="00684291" w:rsidP="00684291" w14:paraId="50187233" w14:textId="3E56ACC9">
            <w:pPr>
              <w:rPr>
                <w:sz w:val="20"/>
              </w:rPr>
            </w:pPr>
            <w:r w:rsidRPr="009F1909">
              <w:rPr>
                <w:sz w:val="20"/>
              </w:rPr>
              <w:t>12 CFR 9.18(b)(5)(iii)(D)</w:t>
            </w:r>
          </w:p>
          <w:p w:rsidR="00684291" w:rsidP="00684291" w14:paraId="059E4C77" w14:textId="54E1E7C4">
            <w:pPr>
              <w:pStyle w:val="FootnoteText"/>
            </w:pPr>
            <w:r>
              <w:t>Reporting</w:t>
            </w:r>
          </w:p>
        </w:tc>
        <w:tc>
          <w:tcPr>
            <w:tcW w:w="2637" w:type="dxa"/>
          </w:tcPr>
          <w:p w:rsidR="00F1215F" w:rsidP="00CA297A" w14:paraId="6456D50F" w14:textId="7DCC02A0">
            <w:pPr>
              <w:rPr>
                <w:sz w:val="20"/>
              </w:rPr>
            </w:pPr>
            <w:r>
              <w:rPr>
                <w:b/>
                <w:bCs/>
                <w:sz w:val="20"/>
              </w:rPr>
              <w:t>Collective investment funds:</w:t>
            </w:r>
          </w:p>
          <w:p w:rsidR="009F1909" w:rsidP="00CA297A" w14:paraId="1C5A4C11" w14:textId="2F960A94">
            <w:pPr>
              <w:rPr>
                <w:bCs/>
                <w:sz w:val="20"/>
              </w:rPr>
            </w:pPr>
            <w:r w:rsidRPr="007315A5">
              <w:rPr>
                <w:sz w:val="20"/>
              </w:rPr>
              <w:t>Request to</w:t>
            </w:r>
            <w:r w:rsidRPr="007315A5">
              <w:rPr>
                <w:bCs/>
                <w:sz w:val="20"/>
              </w:rPr>
              <w:t xml:space="preserve"> withdraw an account from a collective investment fund</w:t>
            </w:r>
            <w:r w:rsidR="00B44292">
              <w:rPr>
                <w:bCs/>
                <w:sz w:val="20"/>
              </w:rPr>
              <w:t xml:space="preserve"> with assets not readily marketable</w:t>
            </w:r>
            <w:r w:rsidRPr="007315A5">
              <w:rPr>
                <w:bCs/>
                <w:sz w:val="20"/>
              </w:rPr>
              <w:t xml:space="preserve"> up to </w:t>
            </w:r>
            <w:r w:rsidR="000916AB">
              <w:rPr>
                <w:bCs/>
                <w:sz w:val="20"/>
              </w:rPr>
              <w:t>one</w:t>
            </w:r>
            <w:r w:rsidRPr="007315A5" w:rsidR="000916AB">
              <w:rPr>
                <w:bCs/>
                <w:sz w:val="20"/>
              </w:rPr>
              <w:t xml:space="preserve"> </w:t>
            </w:r>
            <w:r w:rsidRPr="007315A5">
              <w:rPr>
                <w:bCs/>
                <w:sz w:val="20"/>
              </w:rPr>
              <w:t>year after the end of the prior notice period</w:t>
            </w:r>
          </w:p>
          <w:p w:rsidR="00684291" w:rsidP="00CA297A" w14:paraId="57B3148E" w14:textId="77777777">
            <w:pPr>
              <w:rPr>
                <w:bCs/>
                <w:sz w:val="20"/>
              </w:rPr>
            </w:pPr>
          </w:p>
          <w:p w:rsidR="00684291" w:rsidRPr="00F1215F" w:rsidP="00684291" w14:paraId="20A6DE33" w14:textId="77777777">
            <w:pPr>
              <w:rPr>
                <w:sz w:val="20"/>
              </w:rPr>
            </w:pPr>
            <w:r>
              <w:rPr>
                <w:b/>
                <w:bCs/>
                <w:sz w:val="20"/>
              </w:rPr>
              <w:t>Collective investment funds:</w:t>
            </w:r>
          </w:p>
          <w:p w:rsidR="00684291" w:rsidRPr="007315A5" w:rsidP="00684291" w14:paraId="24E827B5" w14:textId="0D5594C6">
            <w:pPr>
              <w:rPr>
                <w:b/>
                <w:bCs/>
                <w:sz w:val="20"/>
              </w:rPr>
            </w:pPr>
            <w:r>
              <w:rPr>
                <w:bCs/>
                <w:sz w:val="20"/>
              </w:rPr>
              <w:t>R</w:t>
            </w:r>
            <w:r w:rsidRPr="00C21EDD">
              <w:rPr>
                <w:bCs/>
                <w:sz w:val="20"/>
              </w:rPr>
              <w:t xml:space="preserve">equest for </w:t>
            </w:r>
            <w:r w:rsidR="00D83764">
              <w:rPr>
                <w:bCs/>
                <w:sz w:val="20"/>
              </w:rPr>
              <w:t xml:space="preserve">up to two additional one-year </w:t>
            </w:r>
            <w:r w:rsidRPr="00C21EDD">
              <w:rPr>
                <w:bCs/>
                <w:sz w:val="20"/>
              </w:rPr>
              <w:t>extension</w:t>
            </w:r>
            <w:r w:rsidR="00D83764">
              <w:rPr>
                <w:bCs/>
                <w:sz w:val="20"/>
              </w:rPr>
              <w:t>s</w:t>
            </w:r>
            <w:r w:rsidRPr="00C21EDD">
              <w:rPr>
                <w:bCs/>
                <w:sz w:val="20"/>
              </w:rPr>
              <w:t xml:space="preserve"> beyond the </w:t>
            </w:r>
            <w:r w:rsidRPr="00B75641" w:rsidR="00B75641">
              <w:rPr>
                <w:bCs/>
                <w:sz w:val="20"/>
              </w:rPr>
              <w:t xml:space="preserve">initial one-year extended withdrawal period in 12 CFR </w:t>
            </w:r>
            <w:r w:rsidRPr="00B75641" w:rsidR="00B75641">
              <w:rPr>
                <w:bCs/>
                <w:sz w:val="20"/>
              </w:rPr>
              <w:t xml:space="preserve">9.18(b)(5)(iii)(C) if certain conditions are satisfied.  </w:t>
            </w:r>
          </w:p>
        </w:tc>
        <w:tc>
          <w:tcPr>
            <w:tcW w:w="1530" w:type="dxa"/>
          </w:tcPr>
          <w:p w:rsidR="009F1909" w:rsidP="00CA297A" w14:paraId="79480040" w14:textId="50C0D847">
            <w:pPr>
              <w:jc w:val="right"/>
              <w:rPr>
                <w:sz w:val="20"/>
              </w:rPr>
            </w:pPr>
            <w:r>
              <w:rPr>
                <w:sz w:val="20"/>
              </w:rPr>
              <w:t>4</w:t>
            </w:r>
          </w:p>
        </w:tc>
        <w:tc>
          <w:tcPr>
            <w:tcW w:w="1350" w:type="dxa"/>
          </w:tcPr>
          <w:p w:rsidR="009F1909" w:rsidP="00CA297A" w14:paraId="5A3E8B9D" w14:textId="4530676C">
            <w:pPr>
              <w:jc w:val="right"/>
              <w:rPr>
                <w:sz w:val="20"/>
              </w:rPr>
            </w:pPr>
            <w:r>
              <w:rPr>
                <w:sz w:val="20"/>
              </w:rPr>
              <w:t>55</w:t>
            </w:r>
          </w:p>
        </w:tc>
        <w:tc>
          <w:tcPr>
            <w:tcW w:w="1170" w:type="dxa"/>
          </w:tcPr>
          <w:p w:rsidR="009F1909" w:rsidP="00CA297A" w14:paraId="2C7EE353" w14:textId="6CFC68D5">
            <w:pPr>
              <w:jc w:val="right"/>
              <w:rPr>
                <w:sz w:val="20"/>
              </w:rPr>
            </w:pPr>
            <w:r>
              <w:rPr>
                <w:sz w:val="20"/>
              </w:rPr>
              <w:t>1</w:t>
            </w:r>
          </w:p>
        </w:tc>
        <w:tc>
          <w:tcPr>
            <w:tcW w:w="1350" w:type="dxa"/>
          </w:tcPr>
          <w:p w:rsidR="009F1909" w:rsidP="00CA297A" w14:paraId="1AE3A01A" w14:textId="1A742890">
            <w:pPr>
              <w:jc w:val="right"/>
              <w:rPr>
                <w:sz w:val="20"/>
              </w:rPr>
            </w:pPr>
            <w:r>
              <w:rPr>
                <w:sz w:val="20"/>
              </w:rPr>
              <w:t>220</w:t>
            </w:r>
          </w:p>
        </w:tc>
      </w:tr>
      <w:tr w14:paraId="1AF9BD15" w14:textId="77777777" w:rsidTr="00C77EEE">
        <w:tblPrEx>
          <w:tblW w:w="9918" w:type="dxa"/>
          <w:tblLayout w:type="fixed"/>
          <w:tblLook w:val="0000"/>
        </w:tblPrEx>
        <w:tc>
          <w:tcPr>
            <w:tcW w:w="1881" w:type="dxa"/>
          </w:tcPr>
          <w:p w:rsidR="00FB2F23" w:rsidP="00CA297A" w14:paraId="50333DB4" w14:textId="77777777">
            <w:pPr>
              <w:rPr>
                <w:sz w:val="20"/>
              </w:rPr>
            </w:pPr>
            <w:r>
              <w:rPr>
                <w:sz w:val="20"/>
              </w:rPr>
              <w:t>12 CFR 9.18(b)(6)(ii)</w:t>
            </w:r>
          </w:p>
          <w:p w:rsidR="00FB2F23" w:rsidP="00CA297A" w14:paraId="58D2F257" w14:textId="77777777">
            <w:pPr>
              <w:rPr>
                <w:sz w:val="20"/>
              </w:rPr>
            </w:pPr>
            <w:r>
              <w:rPr>
                <w:sz w:val="20"/>
              </w:rPr>
              <w:t>&amp; 12 CFR 150.260</w:t>
            </w:r>
          </w:p>
          <w:p w:rsidR="00FB2F23" w:rsidP="00CA297A" w14:paraId="2FA7C62E" w14:textId="77777777">
            <w:pPr>
              <w:rPr>
                <w:sz w:val="20"/>
              </w:rPr>
            </w:pPr>
            <w:r>
              <w:rPr>
                <w:sz w:val="20"/>
              </w:rPr>
              <w:t>Recordkeeping</w:t>
            </w:r>
          </w:p>
        </w:tc>
        <w:tc>
          <w:tcPr>
            <w:tcW w:w="2637" w:type="dxa"/>
          </w:tcPr>
          <w:p w:rsidR="00FB2F23" w:rsidP="00CA297A" w14:paraId="526A8CA1" w14:textId="77777777">
            <w:pPr>
              <w:rPr>
                <w:sz w:val="20"/>
              </w:rPr>
            </w:pPr>
            <w:r>
              <w:rPr>
                <w:b/>
                <w:bCs/>
                <w:sz w:val="20"/>
              </w:rPr>
              <w:t>Collective investment funds:</w:t>
            </w:r>
          </w:p>
          <w:p w:rsidR="00FB2F23" w:rsidP="00CA297A" w14:paraId="5CA1E5FC" w14:textId="77777777">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9.18(b)(6)(i).  The report must disclose the fund’s fees and expenses in a manner consistent with applicable state law in </w:t>
            </w:r>
            <w:r w:rsidR="0088253C">
              <w:rPr>
                <w:sz w:val="20"/>
              </w:rPr>
              <w:t xml:space="preserve">the state in </w:t>
            </w:r>
            <w:r>
              <w:rPr>
                <w:sz w:val="20"/>
              </w:rPr>
              <w:t>which the institution maintains the fund.  This report must contain:</w:t>
            </w:r>
          </w:p>
          <w:p w:rsidR="00FB2F23" w:rsidP="00CA297A" w14:paraId="4A00EB28" w14:textId="77777777">
            <w:pPr>
              <w:numPr>
                <w:ilvl w:val="0"/>
                <w:numId w:val="19"/>
              </w:numPr>
              <w:rPr>
                <w:sz w:val="20"/>
              </w:rPr>
            </w:pPr>
            <w:r>
              <w:rPr>
                <w:sz w:val="20"/>
              </w:rPr>
              <w:t>List of investments in the fund showing the cost and current market value of each investment</w:t>
            </w:r>
          </w:p>
          <w:p w:rsidR="00FB2F23" w:rsidP="0088253C" w14:paraId="204A4BFA" w14:textId="77777777">
            <w:pPr>
              <w:numPr>
                <w:ilvl w:val="0"/>
                <w:numId w:val="19"/>
              </w:numPr>
              <w:rPr>
                <w:sz w:val="20"/>
              </w:rPr>
            </w:pPr>
            <w:r>
              <w:rPr>
                <w:sz w:val="20"/>
              </w:rPr>
              <w:t xml:space="preserve">Statement </w:t>
            </w:r>
            <w:r w:rsidRPr="0088253C" w:rsidR="0088253C">
              <w:rPr>
                <w:sz w:val="20"/>
              </w:rPr>
              <w:t xml:space="preserve">covering the period after the previous report </w:t>
            </w:r>
            <w:r>
              <w:rPr>
                <w:sz w:val="20"/>
              </w:rPr>
              <w:t>showing the following (organized by type of investment):</w:t>
            </w:r>
          </w:p>
          <w:p w:rsidR="00FB2F23" w:rsidP="00CA297A" w14:paraId="5D51859E" w14:textId="77777777">
            <w:pPr>
              <w:numPr>
                <w:ilvl w:val="1"/>
                <w:numId w:val="19"/>
              </w:numPr>
              <w:rPr>
                <w:sz w:val="20"/>
              </w:rPr>
            </w:pPr>
            <w:r>
              <w:rPr>
                <w:sz w:val="20"/>
              </w:rPr>
              <w:t>A summary of purchases (with costs)</w:t>
            </w:r>
          </w:p>
          <w:p w:rsidR="00FB2F23" w:rsidP="00CA297A" w14:paraId="1B7FE966" w14:textId="77777777">
            <w:pPr>
              <w:numPr>
                <w:ilvl w:val="1"/>
                <w:numId w:val="19"/>
              </w:numPr>
              <w:rPr>
                <w:sz w:val="20"/>
              </w:rPr>
            </w:pPr>
            <w:r>
              <w:rPr>
                <w:sz w:val="20"/>
              </w:rPr>
              <w:t>A summary of sales (with profit or loss and any investment change)</w:t>
            </w:r>
          </w:p>
          <w:p w:rsidR="00FB2F23" w:rsidP="00CA297A" w14:paraId="1529B038" w14:textId="77777777">
            <w:pPr>
              <w:numPr>
                <w:ilvl w:val="1"/>
                <w:numId w:val="19"/>
              </w:numPr>
              <w:rPr>
                <w:sz w:val="20"/>
              </w:rPr>
            </w:pPr>
            <w:r>
              <w:rPr>
                <w:sz w:val="20"/>
              </w:rPr>
              <w:t>Income and disbursements</w:t>
            </w:r>
          </w:p>
          <w:p w:rsidR="00FB2F23" w:rsidRPr="003610E4" w:rsidP="00CA297A" w14:paraId="7B5A16BA" w14:textId="77777777">
            <w:pPr>
              <w:numPr>
                <w:ilvl w:val="1"/>
                <w:numId w:val="19"/>
              </w:numPr>
              <w:rPr>
                <w:sz w:val="20"/>
              </w:rPr>
            </w:pPr>
            <w:r>
              <w:rPr>
                <w:sz w:val="20"/>
              </w:rPr>
              <w:t>An appropriate notation of investments in default</w:t>
            </w:r>
          </w:p>
        </w:tc>
        <w:tc>
          <w:tcPr>
            <w:tcW w:w="1530" w:type="dxa"/>
          </w:tcPr>
          <w:p w:rsidR="00FB2F23" w:rsidP="00855DDF" w14:paraId="4A26DB3A" w14:textId="0B5250E4">
            <w:pPr>
              <w:jc w:val="right"/>
              <w:rPr>
                <w:sz w:val="20"/>
              </w:rPr>
            </w:pPr>
            <w:r w:rsidRPr="00B27926">
              <w:rPr>
                <w:sz w:val="20"/>
              </w:rPr>
              <w:t>1,463</w:t>
            </w:r>
            <w:r w:rsidR="00442709">
              <w:rPr>
                <w:sz w:val="20"/>
              </w:rPr>
              <w:t xml:space="preserve"> </w:t>
            </w:r>
            <w:r w:rsidR="001A643A">
              <w:rPr>
                <w:sz w:val="20"/>
              </w:rPr>
              <w:t>F</w:t>
            </w:r>
            <w:r>
              <w:rPr>
                <w:sz w:val="20"/>
              </w:rPr>
              <w:t>unds</w:t>
            </w:r>
          </w:p>
        </w:tc>
        <w:tc>
          <w:tcPr>
            <w:tcW w:w="1350" w:type="dxa"/>
          </w:tcPr>
          <w:p w:rsidR="00FB2F23" w:rsidP="00CA297A" w14:paraId="4FB50B13" w14:textId="77777777">
            <w:pPr>
              <w:jc w:val="right"/>
              <w:rPr>
                <w:sz w:val="20"/>
              </w:rPr>
            </w:pPr>
            <w:r>
              <w:rPr>
                <w:sz w:val="20"/>
              </w:rPr>
              <w:t xml:space="preserve">7.75 </w:t>
            </w:r>
          </w:p>
        </w:tc>
        <w:tc>
          <w:tcPr>
            <w:tcW w:w="1170" w:type="dxa"/>
          </w:tcPr>
          <w:p w:rsidR="00FB2F23" w:rsidP="00CA297A" w14:paraId="6F76AAEC" w14:textId="77777777">
            <w:pPr>
              <w:jc w:val="center"/>
              <w:rPr>
                <w:sz w:val="20"/>
              </w:rPr>
            </w:pPr>
          </w:p>
        </w:tc>
        <w:tc>
          <w:tcPr>
            <w:tcW w:w="1350" w:type="dxa"/>
          </w:tcPr>
          <w:p w:rsidR="00FB2F23" w:rsidP="00855DDF" w14:paraId="36880377" w14:textId="6FF5F665">
            <w:pPr>
              <w:jc w:val="right"/>
              <w:rPr>
                <w:sz w:val="20"/>
              </w:rPr>
            </w:pPr>
            <w:r>
              <w:rPr>
                <w:sz w:val="20"/>
              </w:rPr>
              <w:t>11</w:t>
            </w:r>
            <w:r w:rsidR="00442709">
              <w:rPr>
                <w:sz w:val="20"/>
              </w:rPr>
              <w:t>,</w:t>
            </w:r>
            <w:r>
              <w:rPr>
                <w:sz w:val="20"/>
              </w:rPr>
              <w:t>338</w:t>
            </w:r>
          </w:p>
        </w:tc>
      </w:tr>
      <w:tr w14:paraId="6E5F32CF" w14:textId="77777777" w:rsidTr="00C77EEE">
        <w:tblPrEx>
          <w:tblW w:w="9918" w:type="dxa"/>
          <w:tblLayout w:type="fixed"/>
          <w:tblLook w:val="0000"/>
        </w:tblPrEx>
        <w:trPr>
          <w:trHeight w:val="3275"/>
        </w:trPr>
        <w:tc>
          <w:tcPr>
            <w:tcW w:w="1881" w:type="dxa"/>
          </w:tcPr>
          <w:p w:rsidR="00FB2F23" w:rsidP="00CA297A" w14:paraId="79D781BA" w14:textId="77777777">
            <w:pPr>
              <w:rPr>
                <w:sz w:val="20"/>
              </w:rPr>
            </w:pPr>
            <w:r>
              <w:rPr>
                <w:sz w:val="20"/>
              </w:rPr>
              <w:t>12 CFR 9.18(b)(6)(iv)</w:t>
            </w:r>
          </w:p>
          <w:p w:rsidR="00FB2F23" w:rsidP="00CA297A" w14:paraId="5B98B820" w14:textId="77777777">
            <w:pPr>
              <w:rPr>
                <w:sz w:val="20"/>
              </w:rPr>
            </w:pPr>
            <w:r>
              <w:rPr>
                <w:sz w:val="20"/>
              </w:rPr>
              <w:t>&amp; 12 CFR 150.260</w:t>
            </w:r>
          </w:p>
          <w:p w:rsidR="00FB2F23" w:rsidP="00CA297A" w14:paraId="0CDC91B3" w14:textId="77777777">
            <w:pPr>
              <w:rPr>
                <w:sz w:val="20"/>
              </w:rPr>
            </w:pPr>
            <w:r>
              <w:rPr>
                <w:sz w:val="20"/>
              </w:rPr>
              <w:t>Disclosure</w:t>
            </w:r>
          </w:p>
        </w:tc>
        <w:tc>
          <w:tcPr>
            <w:tcW w:w="2637" w:type="dxa"/>
          </w:tcPr>
          <w:p w:rsidR="00FB2F23" w:rsidP="00CA297A" w14:paraId="04CE2CFD" w14:textId="77777777">
            <w:pPr>
              <w:rPr>
                <w:sz w:val="20"/>
              </w:rPr>
            </w:pPr>
            <w:r>
              <w:rPr>
                <w:b/>
                <w:bCs/>
                <w:sz w:val="20"/>
              </w:rPr>
              <w:t>Collective investment funds:</w:t>
            </w:r>
          </w:p>
          <w:p w:rsidR="00FB2F23" w:rsidP="0088253C" w14:paraId="74A098C9" w14:textId="77777777">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P="00855DDF" w14:paraId="50123DAC" w14:textId="3E59850E">
            <w:pPr>
              <w:jc w:val="right"/>
              <w:rPr>
                <w:sz w:val="20"/>
              </w:rPr>
            </w:pPr>
            <w:r w:rsidRPr="00B27926">
              <w:rPr>
                <w:sz w:val="20"/>
              </w:rPr>
              <w:t>1,463</w:t>
            </w:r>
            <w:r w:rsidR="00442709">
              <w:rPr>
                <w:sz w:val="20"/>
              </w:rPr>
              <w:t xml:space="preserve"> </w:t>
            </w:r>
            <w:r w:rsidR="001A643A">
              <w:rPr>
                <w:sz w:val="20"/>
              </w:rPr>
              <w:t>F</w:t>
            </w:r>
            <w:r>
              <w:rPr>
                <w:sz w:val="20"/>
              </w:rPr>
              <w:t>unds</w:t>
            </w:r>
          </w:p>
        </w:tc>
        <w:tc>
          <w:tcPr>
            <w:tcW w:w="1350" w:type="dxa"/>
          </w:tcPr>
          <w:p w:rsidR="00FB2F23" w:rsidP="00CA297A" w14:paraId="66D4C3A0" w14:textId="77777777">
            <w:pPr>
              <w:jc w:val="right"/>
              <w:rPr>
                <w:sz w:val="20"/>
              </w:rPr>
            </w:pPr>
            <w:r>
              <w:rPr>
                <w:sz w:val="20"/>
              </w:rPr>
              <w:t xml:space="preserve">.25 </w:t>
            </w:r>
          </w:p>
        </w:tc>
        <w:tc>
          <w:tcPr>
            <w:tcW w:w="1170" w:type="dxa"/>
          </w:tcPr>
          <w:p w:rsidR="00FB2F23" w:rsidP="00CA297A" w14:paraId="0B61D0A8" w14:textId="77777777">
            <w:pPr>
              <w:jc w:val="right"/>
              <w:rPr>
                <w:sz w:val="20"/>
              </w:rPr>
            </w:pPr>
          </w:p>
        </w:tc>
        <w:tc>
          <w:tcPr>
            <w:tcW w:w="1350" w:type="dxa"/>
          </w:tcPr>
          <w:p w:rsidR="00FB2F23" w:rsidP="00855DDF" w14:paraId="428E765A" w14:textId="39B5071F">
            <w:pPr>
              <w:jc w:val="right"/>
              <w:rPr>
                <w:sz w:val="20"/>
              </w:rPr>
            </w:pPr>
            <w:r>
              <w:rPr>
                <w:sz w:val="20"/>
              </w:rPr>
              <w:t xml:space="preserve">366 </w:t>
            </w:r>
          </w:p>
        </w:tc>
      </w:tr>
      <w:tr w14:paraId="0ED2B531" w14:textId="77777777" w:rsidTr="00C77EEE">
        <w:tblPrEx>
          <w:tblW w:w="9918" w:type="dxa"/>
          <w:tblLayout w:type="fixed"/>
          <w:tblLook w:val="0000"/>
        </w:tblPrEx>
        <w:tc>
          <w:tcPr>
            <w:tcW w:w="1881" w:type="dxa"/>
          </w:tcPr>
          <w:p w:rsidR="00FB2F23" w:rsidP="00CA297A" w14:paraId="552D206A" w14:textId="77777777">
            <w:pPr>
              <w:rPr>
                <w:sz w:val="20"/>
              </w:rPr>
            </w:pPr>
            <w:r>
              <w:rPr>
                <w:sz w:val="20"/>
              </w:rPr>
              <w:t>12 CFR 9.18(c)(5)</w:t>
            </w:r>
          </w:p>
          <w:p w:rsidR="00FB2F23" w:rsidP="00CA297A" w14:paraId="3F416E08" w14:textId="77777777">
            <w:pPr>
              <w:rPr>
                <w:sz w:val="20"/>
              </w:rPr>
            </w:pPr>
            <w:r>
              <w:rPr>
                <w:sz w:val="20"/>
              </w:rPr>
              <w:t>&amp; 12 CFR 150.260</w:t>
            </w:r>
          </w:p>
          <w:p w:rsidR="00FB2F23" w:rsidP="00CA297A" w14:paraId="4C26F57C" w14:textId="77777777">
            <w:pPr>
              <w:rPr>
                <w:sz w:val="20"/>
              </w:rPr>
            </w:pPr>
            <w:r>
              <w:rPr>
                <w:sz w:val="20"/>
              </w:rPr>
              <w:t>Reporting</w:t>
            </w:r>
          </w:p>
        </w:tc>
        <w:tc>
          <w:tcPr>
            <w:tcW w:w="2637" w:type="dxa"/>
          </w:tcPr>
          <w:p w:rsidR="00FB2F23" w:rsidP="00CA297A" w14:paraId="0DA461F4" w14:textId="77777777">
            <w:pPr>
              <w:rPr>
                <w:sz w:val="20"/>
              </w:rPr>
            </w:pPr>
            <w:r>
              <w:rPr>
                <w:b/>
                <w:bCs/>
                <w:sz w:val="20"/>
              </w:rPr>
              <w:t>Collective investment funds:</w:t>
            </w:r>
          </w:p>
          <w:p w:rsidR="00FB2F23" w:rsidP="00CA297A" w14:paraId="764E8130" w14:textId="77777777">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P="00CA297A" w14:paraId="3CBF0D71" w14:textId="77777777">
            <w:pPr>
              <w:numPr>
                <w:ilvl w:val="0"/>
                <w:numId w:val="20"/>
              </w:numPr>
              <w:rPr>
                <w:sz w:val="20"/>
              </w:rPr>
            </w:pPr>
            <w:r>
              <w:rPr>
                <w:sz w:val="20"/>
              </w:rPr>
              <w:t>The reason the proposed fund requires a special exemption</w:t>
            </w:r>
          </w:p>
          <w:p w:rsidR="00FB2F23" w:rsidP="00CA297A" w14:paraId="08737D66" w14:textId="77777777">
            <w:pPr>
              <w:numPr>
                <w:ilvl w:val="0"/>
                <w:numId w:val="20"/>
              </w:numPr>
              <w:rPr>
                <w:sz w:val="20"/>
              </w:rPr>
            </w:pPr>
            <w:r>
              <w:rPr>
                <w:sz w:val="20"/>
              </w:rPr>
              <w:t>The provisions of the fund that are inconsistent with § 9.18(a) and (b)</w:t>
            </w:r>
          </w:p>
          <w:p w:rsidR="00FB2F23" w:rsidP="00CA297A" w14:paraId="519E6142" w14:textId="77777777">
            <w:pPr>
              <w:numPr>
                <w:ilvl w:val="0"/>
                <w:numId w:val="20"/>
              </w:numPr>
              <w:rPr>
                <w:sz w:val="20"/>
              </w:rPr>
            </w:pPr>
            <w:r>
              <w:rPr>
                <w:sz w:val="20"/>
              </w:rPr>
              <w:t>The provisions of § 9.18(b) for which the institution seeks an exemption</w:t>
            </w:r>
          </w:p>
          <w:p w:rsidR="00FB2F23" w:rsidRPr="003610E4" w:rsidP="00CA297A" w14:paraId="44060B73" w14:textId="77777777">
            <w:pPr>
              <w:numPr>
                <w:ilvl w:val="0"/>
                <w:numId w:val="20"/>
              </w:numPr>
              <w:rPr>
                <w:sz w:val="20"/>
              </w:rPr>
            </w:pPr>
            <w:r>
              <w:rPr>
                <w:sz w:val="20"/>
              </w:rPr>
              <w:t>The manner in which the proposed fund addresses the rights and interests of participating accounts</w:t>
            </w:r>
          </w:p>
        </w:tc>
        <w:tc>
          <w:tcPr>
            <w:tcW w:w="1530" w:type="dxa"/>
          </w:tcPr>
          <w:p w:rsidR="00FB2F23" w:rsidP="00887D55" w14:paraId="36F218E3" w14:textId="77777777">
            <w:pPr>
              <w:jc w:val="right"/>
              <w:rPr>
                <w:sz w:val="20"/>
              </w:rPr>
            </w:pPr>
            <w:r>
              <w:rPr>
                <w:sz w:val="20"/>
              </w:rPr>
              <w:t xml:space="preserve">Estimate </w:t>
            </w:r>
            <w:r w:rsidR="00F5555E">
              <w:rPr>
                <w:sz w:val="20"/>
              </w:rPr>
              <w:t xml:space="preserve">1 </w:t>
            </w:r>
            <w:r>
              <w:rPr>
                <w:sz w:val="20"/>
              </w:rPr>
              <w:t>new fund established in any given year.</w:t>
            </w:r>
          </w:p>
        </w:tc>
        <w:tc>
          <w:tcPr>
            <w:tcW w:w="1350" w:type="dxa"/>
          </w:tcPr>
          <w:p w:rsidR="00FB2F23" w:rsidP="00CA297A" w14:paraId="00B19BB4" w14:textId="77777777">
            <w:pPr>
              <w:jc w:val="right"/>
              <w:rPr>
                <w:sz w:val="20"/>
              </w:rPr>
            </w:pPr>
            <w:r>
              <w:rPr>
                <w:sz w:val="20"/>
              </w:rPr>
              <w:t>50</w:t>
            </w:r>
          </w:p>
        </w:tc>
        <w:tc>
          <w:tcPr>
            <w:tcW w:w="1170" w:type="dxa"/>
          </w:tcPr>
          <w:p w:rsidR="00FB2F23" w:rsidP="00CA297A" w14:paraId="38AEF6B2" w14:textId="77777777">
            <w:pPr>
              <w:jc w:val="right"/>
              <w:rPr>
                <w:sz w:val="20"/>
              </w:rPr>
            </w:pPr>
          </w:p>
        </w:tc>
        <w:tc>
          <w:tcPr>
            <w:tcW w:w="1350" w:type="dxa"/>
          </w:tcPr>
          <w:p w:rsidR="00FB2F23" w:rsidP="00CA297A" w14:paraId="2B3AEE3F" w14:textId="77777777">
            <w:pPr>
              <w:jc w:val="right"/>
              <w:rPr>
                <w:sz w:val="20"/>
              </w:rPr>
            </w:pPr>
            <w:r>
              <w:rPr>
                <w:sz w:val="20"/>
              </w:rPr>
              <w:t xml:space="preserve">50 </w:t>
            </w:r>
          </w:p>
        </w:tc>
      </w:tr>
      <w:tr w14:paraId="1A455C82" w14:textId="77777777" w:rsidTr="00C77EEE">
        <w:tblPrEx>
          <w:tblW w:w="9918" w:type="dxa"/>
          <w:tblLayout w:type="fixed"/>
          <w:tblLook w:val="0000"/>
        </w:tblPrEx>
        <w:tc>
          <w:tcPr>
            <w:tcW w:w="1881" w:type="dxa"/>
          </w:tcPr>
          <w:p w:rsidR="00FB2F23" w:rsidP="00CA297A" w14:paraId="447DC529" w14:textId="77777777">
            <w:pPr>
              <w:rPr>
                <w:sz w:val="20"/>
              </w:rPr>
            </w:pPr>
          </w:p>
        </w:tc>
        <w:tc>
          <w:tcPr>
            <w:tcW w:w="2637" w:type="dxa"/>
          </w:tcPr>
          <w:p w:rsidR="00FB2F23" w:rsidP="00CA297A" w14:paraId="28017DC1" w14:textId="77777777">
            <w:pPr>
              <w:rPr>
                <w:b/>
                <w:bCs/>
                <w:sz w:val="20"/>
              </w:rPr>
            </w:pPr>
          </w:p>
        </w:tc>
        <w:tc>
          <w:tcPr>
            <w:tcW w:w="1530" w:type="dxa"/>
          </w:tcPr>
          <w:p w:rsidR="00FB2F23" w:rsidP="00CA297A" w14:paraId="5C421001" w14:textId="77777777">
            <w:pPr>
              <w:jc w:val="right"/>
              <w:rPr>
                <w:sz w:val="20"/>
              </w:rPr>
            </w:pPr>
          </w:p>
        </w:tc>
        <w:tc>
          <w:tcPr>
            <w:tcW w:w="1350" w:type="dxa"/>
          </w:tcPr>
          <w:p w:rsidR="00FB2F23" w:rsidP="00CA297A" w14:paraId="6D6CEDB9" w14:textId="77777777">
            <w:pPr>
              <w:jc w:val="right"/>
              <w:rPr>
                <w:sz w:val="20"/>
              </w:rPr>
            </w:pPr>
          </w:p>
        </w:tc>
        <w:tc>
          <w:tcPr>
            <w:tcW w:w="1170" w:type="dxa"/>
          </w:tcPr>
          <w:p w:rsidR="00FB2F23" w:rsidP="00CA297A" w14:paraId="06E8B99D" w14:textId="77777777">
            <w:pPr>
              <w:jc w:val="right"/>
              <w:rPr>
                <w:sz w:val="20"/>
              </w:rPr>
            </w:pPr>
          </w:p>
        </w:tc>
        <w:tc>
          <w:tcPr>
            <w:tcW w:w="1350" w:type="dxa"/>
          </w:tcPr>
          <w:p w:rsidR="00FB2F23" w:rsidP="00CA297A" w14:paraId="292562A0" w14:textId="77777777">
            <w:pPr>
              <w:jc w:val="right"/>
              <w:rPr>
                <w:sz w:val="20"/>
              </w:rPr>
            </w:pPr>
          </w:p>
        </w:tc>
      </w:tr>
      <w:tr w14:paraId="7FCF2DDE" w14:textId="77777777" w:rsidTr="00C77EEE">
        <w:tblPrEx>
          <w:tblW w:w="9918" w:type="dxa"/>
          <w:tblLayout w:type="fixed"/>
          <w:tblLook w:val="0000"/>
        </w:tblPrEx>
        <w:tc>
          <w:tcPr>
            <w:tcW w:w="1881" w:type="dxa"/>
          </w:tcPr>
          <w:p w:rsidR="00FB2F23" w:rsidP="00CA297A" w14:paraId="71FAAC88" w14:textId="77777777">
            <w:pPr>
              <w:pStyle w:val="Heading4"/>
            </w:pPr>
            <w:r>
              <w:t>TOTALS</w:t>
            </w:r>
          </w:p>
        </w:tc>
        <w:tc>
          <w:tcPr>
            <w:tcW w:w="2637" w:type="dxa"/>
          </w:tcPr>
          <w:p w:rsidR="00FB2F23" w:rsidP="00CA297A" w14:paraId="38B9DE49" w14:textId="77777777">
            <w:pPr>
              <w:rPr>
                <w:sz w:val="20"/>
              </w:rPr>
            </w:pPr>
          </w:p>
        </w:tc>
        <w:tc>
          <w:tcPr>
            <w:tcW w:w="1530" w:type="dxa"/>
          </w:tcPr>
          <w:p w:rsidR="00887D55" w:rsidP="00CA297A" w14:paraId="4D915A2E" w14:textId="70DEFE1C">
            <w:pPr>
              <w:jc w:val="center"/>
              <w:rPr>
                <w:b/>
                <w:bCs/>
                <w:sz w:val="20"/>
              </w:rPr>
            </w:pPr>
            <w:r>
              <w:rPr>
                <w:b/>
                <w:bCs/>
                <w:sz w:val="20"/>
              </w:rPr>
              <w:t>282</w:t>
            </w:r>
          </w:p>
          <w:p w:rsidR="00FB2F23" w:rsidP="00CA297A" w14:paraId="5C3D715F" w14:textId="77777777">
            <w:pPr>
              <w:jc w:val="center"/>
              <w:rPr>
                <w:b/>
                <w:bCs/>
                <w:sz w:val="20"/>
              </w:rPr>
            </w:pPr>
            <w:r>
              <w:rPr>
                <w:b/>
                <w:bCs/>
                <w:sz w:val="20"/>
              </w:rPr>
              <w:t>R</w:t>
            </w:r>
            <w:r>
              <w:rPr>
                <w:b/>
                <w:bCs/>
                <w:sz w:val="20"/>
              </w:rPr>
              <w:t>espondents</w:t>
            </w:r>
          </w:p>
        </w:tc>
        <w:tc>
          <w:tcPr>
            <w:tcW w:w="1350" w:type="dxa"/>
          </w:tcPr>
          <w:p w:rsidR="00FB2F23" w:rsidP="00CA297A" w14:paraId="3C334179" w14:textId="77777777">
            <w:pPr>
              <w:jc w:val="center"/>
              <w:rPr>
                <w:sz w:val="20"/>
              </w:rPr>
            </w:pPr>
          </w:p>
        </w:tc>
        <w:tc>
          <w:tcPr>
            <w:tcW w:w="1170" w:type="dxa"/>
          </w:tcPr>
          <w:p w:rsidR="00FB2F23" w:rsidP="00CA297A" w14:paraId="15639162" w14:textId="77777777">
            <w:pPr>
              <w:jc w:val="right"/>
              <w:rPr>
                <w:b/>
                <w:bCs/>
                <w:sz w:val="20"/>
              </w:rPr>
            </w:pPr>
          </w:p>
        </w:tc>
        <w:tc>
          <w:tcPr>
            <w:tcW w:w="1350" w:type="dxa"/>
          </w:tcPr>
          <w:p w:rsidR="00FB2F23" w:rsidP="00325069" w14:paraId="27CD0896" w14:textId="7FF9EF6E">
            <w:pPr>
              <w:jc w:val="right"/>
              <w:rPr>
                <w:b/>
                <w:bCs/>
                <w:sz w:val="20"/>
              </w:rPr>
            </w:pPr>
            <w:r w:rsidRPr="00B27926">
              <w:rPr>
                <w:b/>
                <w:bCs/>
                <w:sz w:val="20"/>
              </w:rPr>
              <w:t>198,957</w:t>
            </w:r>
            <w:r w:rsidR="00BA468F">
              <w:rPr>
                <w:b/>
                <w:bCs/>
                <w:sz w:val="20"/>
              </w:rPr>
              <w:t xml:space="preserve"> </w:t>
            </w:r>
            <w:r>
              <w:rPr>
                <w:b/>
                <w:bCs/>
                <w:sz w:val="20"/>
              </w:rPr>
              <w:t>hours</w:t>
            </w:r>
          </w:p>
        </w:tc>
      </w:tr>
    </w:tbl>
    <w:p w:rsidR="003610E4" w:rsidP="00CA297A" w14:paraId="4A1F9383" w14:textId="77777777">
      <w:pPr>
        <w:rPr>
          <w:b/>
          <w:bCs/>
          <w:i/>
          <w:iCs/>
        </w:rPr>
      </w:pPr>
    </w:p>
    <w:p w:rsidR="00E6241D" w:rsidP="00CA297A" w14:paraId="386AD7CA" w14:textId="74485949">
      <w:pPr>
        <w:rPr>
          <w:b/>
          <w:bCs/>
          <w:i/>
          <w:iCs/>
        </w:rPr>
      </w:pPr>
      <w:r>
        <w:rPr>
          <w:b/>
          <w:bCs/>
          <w:i/>
          <w:iCs/>
        </w:rPr>
        <w:t>Cost of Hour Burden to Respondents:</w:t>
      </w:r>
    </w:p>
    <w:p w:rsidR="00795E62" w:rsidP="00CA297A" w14:paraId="169644E7" w14:textId="1DDDFD4E">
      <w:pPr>
        <w:rPr>
          <w:b/>
          <w:bCs/>
          <w:i/>
          <w:iCs/>
        </w:rPr>
      </w:pPr>
    </w:p>
    <w:p w:rsidR="00795E62" w:rsidRPr="00795E62" w:rsidP="00CA297A" w14:paraId="684B5354" w14:textId="5F950175">
      <w:pPr>
        <w:rPr>
          <w:b/>
          <w:bCs/>
          <w:iCs/>
        </w:rPr>
      </w:pPr>
      <w:r>
        <w:rPr>
          <w:b/>
          <w:bCs/>
          <w:iCs/>
        </w:rPr>
        <w:t>198,957</w:t>
      </w:r>
      <w:r>
        <w:rPr>
          <w:b/>
          <w:bCs/>
          <w:iCs/>
        </w:rPr>
        <w:t xml:space="preserve"> x $1</w:t>
      </w:r>
      <w:r w:rsidR="00C70749">
        <w:rPr>
          <w:b/>
          <w:bCs/>
          <w:iCs/>
        </w:rPr>
        <w:t>29</w:t>
      </w:r>
      <w:r>
        <w:rPr>
          <w:b/>
          <w:bCs/>
          <w:iCs/>
        </w:rPr>
        <w:t>.</w:t>
      </w:r>
      <w:r w:rsidR="00C70749">
        <w:rPr>
          <w:b/>
          <w:bCs/>
          <w:iCs/>
        </w:rPr>
        <w:t>40</w:t>
      </w:r>
      <w:r>
        <w:rPr>
          <w:b/>
          <w:bCs/>
          <w:iCs/>
        </w:rPr>
        <w:t xml:space="preserve"> = $</w:t>
      </w:r>
      <w:r>
        <w:rPr>
          <w:b/>
          <w:bCs/>
          <w:iCs/>
        </w:rPr>
        <w:t>25,745,036</w:t>
      </w:r>
    </w:p>
    <w:p w:rsidR="00986166" w:rsidP="00CA297A" w14:paraId="75E539FE" w14:textId="77777777">
      <w:pPr>
        <w:rPr>
          <w:b/>
          <w:bCs/>
          <w:i/>
          <w:iCs/>
        </w:rPr>
      </w:pPr>
    </w:p>
    <w:p w:rsidR="00A72969" w:rsidP="00A72969" w14:paraId="30EC89E3" w14:textId="55E07567">
      <w:pPr>
        <w:tabs>
          <w:tab w:val="left" w:pos="-1440"/>
        </w:tabs>
        <w:rPr>
          <w:color w:val="000000"/>
        </w:rPr>
      </w:pPr>
      <w:bookmarkStart w:id="10" w:name="_Hlk167274798"/>
      <w:r>
        <w:rPr>
          <w:color w:val="000000"/>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bookmarkEnd w:id="10"/>
    <w:p w:rsidR="00C70749" w:rsidRPr="00A72969" w:rsidP="00A72969" w14:paraId="348D588D" w14:textId="77777777">
      <w:pPr>
        <w:tabs>
          <w:tab w:val="left" w:pos="-1440"/>
        </w:tabs>
        <w:rPr>
          <w:b/>
          <w:bCs/>
          <w:i/>
          <w:iCs/>
          <w:szCs w:val="24"/>
        </w:rPr>
      </w:pPr>
    </w:p>
    <w:p w:rsidR="00CC442E" w:rsidP="00A72969" w14:paraId="7D72A925" w14:textId="77777777">
      <w:pPr>
        <w:tabs>
          <w:tab w:val="left" w:pos="-1440"/>
        </w:tabs>
        <w:rPr>
          <w:b/>
          <w:bCs/>
          <w:i/>
          <w:szCs w:val="24"/>
        </w:rPr>
      </w:pPr>
      <w:r w:rsidRPr="00A72969">
        <w:rPr>
          <w:b/>
          <w:bCs/>
          <w:i/>
          <w:iCs/>
          <w:szCs w:val="24"/>
        </w:rPr>
        <w:t>13.  Estimate of total annual costs to respondents (excluding cost of hour burden in Item #12):</w:t>
      </w:r>
    </w:p>
    <w:p w:rsidR="00826C1D" w:rsidP="00A322EE" w14:paraId="32CFEEEC" w14:textId="77777777">
      <w:pPr>
        <w:tabs>
          <w:tab w:val="left" w:pos="-1440"/>
        </w:tabs>
        <w:rPr>
          <w:b/>
          <w:bCs/>
          <w:i/>
          <w:szCs w:val="24"/>
        </w:rPr>
      </w:pPr>
      <w:r>
        <w:rPr>
          <w:b/>
          <w:bCs/>
          <w:i/>
          <w:szCs w:val="24"/>
        </w:rPr>
        <w:tab/>
      </w:r>
    </w:p>
    <w:p w:rsidR="00CC442E" w:rsidRPr="00CC442E" w:rsidP="00A322EE" w14:paraId="6E0D9E96" w14:textId="77777777">
      <w:pPr>
        <w:tabs>
          <w:tab w:val="left" w:pos="-1440"/>
        </w:tabs>
        <w:rPr>
          <w:bCs/>
          <w:szCs w:val="24"/>
        </w:rPr>
      </w:pPr>
      <w:r>
        <w:rPr>
          <w:b/>
          <w:bCs/>
          <w:i/>
          <w:szCs w:val="24"/>
        </w:rPr>
        <w:tab/>
      </w:r>
      <w:r>
        <w:rPr>
          <w:bCs/>
          <w:szCs w:val="24"/>
        </w:rPr>
        <w:t>None.</w:t>
      </w:r>
    </w:p>
    <w:p w:rsidR="00EB169D" w:rsidRPr="00E5013B" w:rsidP="00CA297A" w14:paraId="1B89CBF1" w14:textId="77777777">
      <w:pPr>
        <w:pStyle w:val="Header"/>
        <w:tabs>
          <w:tab w:val="clear" w:pos="4320"/>
          <w:tab w:val="clear" w:pos="8640"/>
        </w:tabs>
        <w:rPr>
          <w:color w:val="000000"/>
        </w:rPr>
      </w:pPr>
      <w:r w:rsidRPr="00E5013B">
        <w:rPr>
          <w:color w:val="000000"/>
        </w:rPr>
        <w:tab/>
      </w:r>
    </w:p>
    <w:p w:rsidR="00B3053A" w:rsidP="00B3053A" w14:paraId="1061A250" w14:textId="4DC25DFE">
      <w:pPr>
        <w:pStyle w:val="BodyText"/>
        <w:rPr>
          <w:b/>
          <w:bCs/>
        </w:rPr>
      </w:pPr>
      <w:r>
        <w:rPr>
          <w:b/>
          <w:bCs/>
        </w:rPr>
        <w:t xml:space="preserve">14.  Estimate of annualized costs to the </w:t>
      </w:r>
      <w:r w:rsidR="00BE1FDC">
        <w:rPr>
          <w:b/>
          <w:bCs/>
        </w:rPr>
        <w:t>f</w:t>
      </w:r>
      <w:r>
        <w:rPr>
          <w:b/>
          <w:bCs/>
        </w:rPr>
        <w:t>ederal government:</w:t>
      </w:r>
    </w:p>
    <w:p w:rsidR="00EB169D" w:rsidP="00CA297A" w14:paraId="0C9C8EAA" w14:textId="77777777"/>
    <w:p w:rsidR="00B3053A" w:rsidP="00CA297A" w14:paraId="6D19BAB0" w14:textId="77777777">
      <w:r>
        <w:tab/>
        <w:t>None.</w:t>
      </w:r>
    </w:p>
    <w:p w:rsidR="00B3053A" w:rsidP="00CA297A" w14:paraId="0F1BF537" w14:textId="77777777"/>
    <w:p w:rsidR="00B3053A" w:rsidP="00B3053A" w14:paraId="3E9AFB73" w14:textId="77777777">
      <w:pPr>
        <w:pStyle w:val="BodyText"/>
        <w:rPr>
          <w:b/>
          <w:bCs/>
        </w:rPr>
      </w:pPr>
      <w:r>
        <w:rPr>
          <w:b/>
          <w:bCs/>
        </w:rPr>
        <w:t>15.  Change in burden:</w:t>
      </w:r>
    </w:p>
    <w:p w:rsidR="008C4015" w:rsidP="00CA297A" w14:paraId="5AAD34A8" w14:textId="77777777"/>
    <w:p w:rsidR="001F62E0" w:rsidRPr="001F62E0" w:rsidP="001F62E0" w14:paraId="21986536" w14:textId="7D764BA0">
      <w:r>
        <w:tab/>
      </w:r>
      <w:r w:rsidRPr="001F62E0">
        <w:t>The increase</w:t>
      </w:r>
      <w:r w:rsidR="00E87EF9">
        <w:t xml:space="preserve"> in </w:t>
      </w:r>
      <w:r w:rsidRPr="001F62E0">
        <w:t>burden was cause</w:t>
      </w:r>
      <w:r w:rsidR="00E87EF9">
        <w:t>d</w:t>
      </w:r>
      <w:r w:rsidRPr="001F62E0">
        <w:t xml:space="preserve"> </w:t>
      </w:r>
      <w:r w:rsidR="00E87EF9">
        <w:t xml:space="preserve">by </w:t>
      </w:r>
      <w:r w:rsidRPr="001F62E0">
        <w:t xml:space="preserve">a significant increase in the number of non-managed fiduciary accounts in 2022 and 2023. This led to a significant increase in total fiduciary accounts which in turn lead to a much higher estimation of average accounts terminated/opened per year per bank (6047). </w:t>
      </w:r>
    </w:p>
    <w:p w:rsidR="008C4015" w:rsidP="00CA297A" w14:paraId="5F45C78B" w14:textId="77777777">
      <w:r>
        <w:tab/>
      </w:r>
    </w:p>
    <w:p w:rsidR="00B3053A" w:rsidP="00B3053A" w14:paraId="1304FB5C" w14:textId="77777777">
      <w:pPr>
        <w:pStyle w:val="BodyText"/>
        <w:rPr>
          <w:b/>
          <w:bCs/>
        </w:rPr>
      </w:pPr>
      <w:r>
        <w:rPr>
          <w:b/>
          <w:bCs/>
        </w:rPr>
        <w:t>16.  Information regarding collections whose results are to be published for statistical use:</w:t>
      </w:r>
    </w:p>
    <w:p w:rsidR="00EB169D" w:rsidP="00CA297A" w14:paraId="412BC66C" w14:textId="77777777"/>
    <w:p w:rsidR="00EB169D" w:rsidP="00CA297A" w14:paraId="4767FA72" w14:textId="77777777">
      <w:r>
        <w:tab/>
      </w:r>
      <w:r w:rsidR="00F55A41">
        <w:t>T</w:t>
      </w:r>
      <w:r>
        <w:t>he information</w:t>
      </w:r>
      <w:r w:rsidR="00F55A41">
        <w:t xml:space="preserve"> will not be used</w:t>
      </w:r>
      <w:r>
        <w:t xml:space="preserve"> for statistical purposes.</w:t>
      </w:r>
    </w:p>
    <w:p w:rsidR="007E75C4" w:rsidP="00CA297A" w14:paraId="7AFFBFC0" w14:textId="77777777"/>
    <w:p w:rsidR="00B3053A" w:rsidP="00B3053A" w14:paraId="406C2EDF" w14:textId="77777777">
      <w:pPr>
        <w:pStyle w:val="BodyText"/>
        <w:rPr>
          <w:b/>
          <w:bCs/>
        </w:rPr>
      </w:pPr>
      <w:r>
        <w:rPr>
          <w:b/>
          <w:bCs/>
        </w:rPr>
        <w:t>17.  Reasons for not displaying OMB approval expiration date:</w:t>
      </w:r>
    </w:p>
    <w:p w:rsidR="00EB169D" w:rsidP="00CA297A" w14:paraId="114F0040" w14:textId="77777777"/>
    <w:p w:rsidR="00EB169D" w:rsidP="00826C1D" w14:paraId="2A7E3C2B" w14:textId="25D17714">
      <w:pPr>
        <w:ind w:firstLine="720"/>
      </w:pPr>
      <w:r>
        <w:t>Not applicable.</w:t>
      </w:r>
    </w:p>
    <w:p w:rsidR="005F32D0" w:rsidP="00DC2634" w14:paraId="47D70075" w14:textId="77777777">
      <w:pPr>
        <w:pStyle w:val="BodyText"/>
        <w:rPr>
          <w:b/>
          <w:bCs/>
        </w:rPr>
      </w:pPr>
    </w:p>
    <w:p w:rsidR="00DC2634" w:rsidRPr="00DC2634" w:rsidP="00DC2634" w14:paraId="1E39633F" w14:textId="77777777">
      <w:pPr>
        <w:pStyle w:val="BodyText"/>
        <w:rPr>
          <w:b/>
          <w:bCs/>
        </w:rPr>
      </w:pPr>
      <w:r>
        <w:rPr>
          <w:b/>
          <w:bCs/>
        </w:rPr>
        <w:t>18.  Exceptions to the certification statement:</w:t>
      </w:r>
    </w:p>
    <w:p w:rsidR="00EB169D" w:rsidP="00CA297A" w14:paraId="1AA11A17" w14:textId="77777777"/>
    <w:p w:rsidR="00EB169D" w:rsidP="00CA297A" w14:paraId="3172B2A8" w14:textId="77777777">
      <w:pPr>
        <w:ind w:firstLine="720"/>
      </w:pPr>
      <w:r>
        <w:t>Not applicable.</w:t>
      </w:r>
    </w:p>
    <w:p w:rsidR="00AD60A6" w:rsidP="00CA297A" w14:paraId="183CA9C1" w14:textId="77777777">
      <w:pPr>
        <w:ind w:firstLine="720"/>
      </w:pPr>
    </w:p>
    <w:p w:rsidR="00A322EE" w:rsidP="00A322EE" w14:paraId="6A4918F8" w14:textId="77777777">
      <w:pPr>
        <w:pStyle w:val="BodyText"/>
        <w:rPr>
          <w:b/>
          <w:szCs w:val="24"/>
        </w:rPr>
      </w:pPr>
      <w:r>
        <w:rPr>
          <w:b/>
          <w:szCs w:val="24"/>
        </w:rPr>
        <w:t>B.  Collections of Information Employing Statistical Methods</w:t>
      </w:r>
    </w:p>
    <w:p w:rsidR="00EB169D" w:rsidP="00CA297A" w14:paraId="114FC35B" w14:textId="77777777"/>
    <w:p w:rsidR="00EB169D" w:rsidP="00CA297A" w14:paraId="3C0624B2" w14:textId="77777777">
      <w:r>
        <w:tab/>
        <w:t>Not applicable.</w:t>
      </w:r>
    </w:p>
    <w:p w:rsidR="009D0184" w:rsidP="00CA297A" w14:paraId="52BA81B3" w14:textId="77777777"/>
    <w:p w:rsidR="00EB2A30" w:rsidP="00EB2A30" w14:paraId="580EA357" w14:textId="77777777">
      <w:r>
        <w:tab/>
      </w:r>
    </w:p>
    <w:sectPr w:rsidSect="00235D73">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CF" w14:paraId="3F1DB4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4BCF" w14:paraId="71A23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CF" w14:paraId="3EBCC2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4E0">
      <w:rPr>
        <w:rStyle w:val="PageNumber"/>
        <w:noProof/>
      </w:rPr>
      <w:t>2</w:t>
    </w:r>
    <w:r>
      <w:rPr>
        <w:rStyle w:val="PageNumber"/>
      </w:rPr>
      <w:fldChar w:fldCharType="end"/>
    </w:r>
  </w:p>
  <w:p w:rsidR="00F44BCF" w14:paraId="6A784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CFA" w14:paraId="68732EF9" w14:textId="77777777">
      <w:r>
        <w:separator/>
      </w:r>
    </w:p>
  </w:footnote>
  <w:footnote w:type="continuationSeparator" w:id="1">
    <w:p w:rsidR="00B81CFA" w14:paraId="4EAD15DB" w14:textId="77777777">
      <w:r>
        <w:continuationSeparator/>
      </w:r>
    </w:p>
  </w:footnote>
  <w:footnote w:id="2">
    <w:p w:rsidR="006B1AA3" w14:paraId="2B268754" w14:textId="5A850C7C">
      <w:pPr>
        <w:pStyle w:val="FootnoteText"/>
      </w:pPr>
      <w:r>
        <w:rPr>
          <w:rStyle w:val="FootnoteReference"/>
        </w:rPr>
        <w:footnoteRef/>
      </w:r>
      <w:r>
        <w:t xml:space="preserve"> </w:t>
      </w:r>
      <w:r w:rsidRPr="006B1AA3">
        <w:t>Twelve CFR 9.18 expressly applies to national banks. FSAs are subject to 12 CFR 9.18 pursuant to 12 CFR 150.260(b)(3).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A7FAC"/>
    <w:multiLevelType w:val="hybridMultilevel"/>
    <w:tmpl w:val="83524B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F28EE0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4B8039FC"/>
    <w:multiLevelType w:val="hybridMultilevel"/>
    <w:tmpl w:val="F8A0CE4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D030BC"/>
    <w:multiLevelType w:val="hybridMultilevel"/>
    <w:tmpl w:val="0EF8A0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08D2CE7"/>
    <w:multiLevelType w:val="hybridMultilevel"/>
    <w:tmpl w:val="E176FEF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654592">
    <w:abstractNumId w:val="2"/>
  </w:num>
  <w:num w:numId="2" w16cid:durableId="1336615445">
    <w:abstractNumId w:val="10"/>
  </w:num>
  <w:num w:numId="3" w16cid:durableId="447550277">
    <w:abstractNumId w:val="6"/>
  </w:num>
  <w:num w:numId="4" w16cid:durableId="1250387495">
    <w:abstractNumId w:val="6"/>
  </w:num>
  <w:num w:numId="5" w16cid:durableId="280577976">
    <w:abstractNumId w:val="3"/>
  </w:num>
  <w:num w:numId="6" w16cid:durableId="257568608">
    <w:abstractNumId w:val="3"/>
  </w:num>
  <w:num w:numId="7" w16cid:durableId="334889010">
    <w:abstractNumId w:val="3"/>
  </w:num>
  <w:num w:numId="8" w16cid:durableId="1000885432">
    <w:abstractNumId w:val="3"/>
  </w:num>
  <w:num w:numId="9" w16cid:durableId="1584143543">
    <w:abstractNumId w:val="3"/>
  </w:num>
  <w:num w:numId="10" w16cid:durableId="1317148209">
    <w:abstractNumId w:val="3"/>
  </w:num>
  <w:num w:numId="11" w16cid:durableId="1321737017">
    <w:abstractNumId w:val="3"/>
  </w:num>
  <w:num w:numId="12" w16cid:durableId="636689173">
    <w:abstractNumId w:val="3"/>
  </w:num>
  <w:num w:numId="13" w16cid:durableId="1586183142">
    <w:abstractNumId w:val="6"/>
  </w:num>
  <w:num w:numId="14" w16cid:durableId="1808859909">
    <w:abstractNumId w:val="6"/>
  </w:num>
  <w:num w:numId="15" w16cid:durableId="118426835">
    <w:abstractNumId w:val="6"/>
  </w:num>
  <w:num w:numId="16" w16cid:durableId="450442520">
    <w:abstractNumId w:val="6"/>
  </w:num>
  <w:num w:numId="17" w16cid:durableId="860751327">
    <w:abstractNumId w:val="0"/>
  </w:num>
  <w:num w:numId="18" w16cid:durableId="671379039">
    <w:abstractNumId w:val="4"/>
  </w:num>
  <w:num w:numId="19" w16cid:durableId="1877768078">
    <w:abstractNumId w:val="5"/>
  </w:num>
  <w:num w:numId="20" w16cid:durableId="803037338">
    <w:abstractNumId w:val="11"/>
  </w:num>
  <w:num w:numId="21" w16cid:durableId="325523780">
    <w:abstractNumId w:val="9"/>
  </w:num>
  <w:num w:numId="22" w16cid:durableId="652024538">
    <w:abstractNumId w:val="7"/>
  </w:num>
  <w:num w:numId="23" w16cid:durableId="1638728466">
    <w:abstractNumId w:val="1"/>
  </w:num>
  <w:num w:numId="24" w16cid:durableId="768350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B"/>
    <w:rsid w:val="00015D7F"/>
    <w:rsid w:val="00025E62"/>
    <w:rsid w:val="0002679D"/>
    <w:rsid w:val="00047200"/>
    <w:rsid w:val="000505CB"/>
    <w:rsid w:val="00052F1F"/>
    <w:rsid w:val="000534A9"/>
    <w:rsid w:val="00061715"/>
    <w:rsid w:val="00066BCC"/>
    <w:rsid w:val="00066BF8"/>
    <w:rsid w:val="000707FC"/>
    <w:rsid w:val="000765B5"/>
    <w:rsid w:val="000765FE"/>
    <w:rsid w:val="000767F1"/>
    <w:rsid w:val="000851AB"/>
    <w:rsid w:val="00086190"/>
    <w:rsid w:val="0008754F"/>
    <w:rsid w:val="000878C8"/>
    <w:rsid w:val="000916AB"/>
    <w:rsid w:val="000934BB"/>
    <w:rsid w:val="000A08DC"/>
    <w:rsid w:val="000A4B96"/>
    <w:rsid w:val="000A686F"/>
    <w:rsid w:val="000B45AF"/>
    <w:rsid w:val="000B7341"/>
    <w:rsid w:val="000C2AAE"/>
    <w:rsid w:val="000C2BB4"/>
    <w:rsid w:val="000C3649"/>
    <w:rsid w:val="000C3929"/>
    <w:rsid w:val="000C6A4A"/>
    <w:rsid w:val="000D0285"/>
    <w:rsid w:val="000D1213"/>
    <w:rsid w:val="000D58CE"/>
    <w:rsid w:val="000D68E4"/>
    <w:rsid w:val="000D72FD"/>
    <w:rsid w:val="000E0F1B"/>
    <w:rsid w:val="000E2C8C"/>
    <w:rsid w:val="000E53CC"/>
    <w:rsid w:val="000E5C8A"/>
    <w:rsid w:val="000E5E33"/>
    <w:rsid w:val="000E6F15"/>
    <w:rsid w:val="000F3279"/>
    <w:rsid w:val="000F6C79"/>
    <w:rsid w:val="00100319"/>
    <w:rsid w:val="00113097"/>
    <w:rsid w:val="0011754A"/>
    <w:rsid w:val="00117556"/>
    <w:rsid w:val="0012053B"/>
    <w:rsid w:val="00121FE6"/>
    <w:rsid w:val="00122250"/>
    <w:rsid w:val="00126DD3"/>
    <w:rsid w:val="001422E4"/>
    <w:rsid w:val="00147A4D"/>
    <w:rsid w:val="00150559"/>
    <w:rsid w:val="00151013"/>
    <w:rsid w:val="00153504"/>
    <w:rsid w:val="00154C6B"/>
    <w:rsid w:val="00154EFD"/>
    <w:rsid w:val="001565D0"/>
    <w:rsid w:val="00157C11"/>
    <w:rsid w:val="00164211"/>
    <w:rsid w:val="0016634F"/>
    <w:rsid w:val="001729D4"/>
    <w:rsid w:val="00172EB0"/>
    <w:rsid w:val="001823CF"/>
    <w:rsid w:val="00184476"/>
    <w:rsid w:val="00185F25"/>
    <w:rsid w:val="001860DF"/>
    <w:rsid w:val="0018654D"/>
    <w:rsid w:val="00186758"/>
    <w:rsid w:val="00191547"/>
    <w:rsid w:val="00196798"/>
    <w:rsid w:val="001A643A"/>
    <w:rsid w:val="001B3D85"/>
    <w:rsid w:val="001B6A0C"/>
    <w:rsid w:val="001C322A"/>
    <w:rsid w:val="001D2833"/>
    <w:rsid w:val="001E46DC"/>
    <w:rsid w:val="001E6FA4"/>
    <w:rsid w:val="001F4363"/>
    <w:rsid w:val="001F62E0"/>
    <w:rsid w:val="001F6AF1"/>
    <w:rsid w:val="0020003F"/>
    <w:rsid w:val="00217501"/>
    <w:rsid w:val="002179DF"/>
    <w:rsid w:val="00224533"/>
    <w:rsid w:val="00225B12"/>
    <w:rsid w:val="00225B5A"/>
    <w:rsid w:val="002272FF"/>
    <w:rsid w:val="0023384A"/>
    <w:rsid w:val="00235D73"/>
    <w:rsid w:val="00237965"/>
    <w:rsid w:val="00247F0C"/>
    <w:rsid w:val="00262ED4"/>
    <w:rsid w:val="002631E4"/>
    <w:rsid w:val="00270945"/>
    <w:rsid w:val="00271250"/>
    <w:rsid w:val="00271825"/>
    <w:rsid w:val="002773E8"/>
    <w:rsid w:val="00280B34"/>
    <w:rsid w:val="00294378"/>
    <w:rsid w:val="002B1DA3"/>
    <w:rsid w:val="002B4869"/>
    <w:rsid w:val="002B4F85"/>
    <w:rsid w:val="002C127E"/>
    <w:rsid w:val="002C3D07"/>
    <w:rsid w:val="002C7A5C"/>
    <w:rsid w:val="002D0526"/>
    <w:rsid w:val="002D0E0B"/>
    <w:rsid w:val="002E26B4"/>
    <w:rsid w:val="002E3DBD"/>
    <w:rsid w:val="002E51A6"/>
    <w:rsid w:val="002E5BF0"/>
    <w:rsid w:val="002E61D4"/>
    <w:rsid w:val="002E7BD2"/>
    <w:rsid w:val="002F19F1"/>
    <w:rsid w:val="002F6549"/>
    <w:rsid w:val="003007BE"/>
    <w:rsid w:val="00311D39"/>
    <w:rsid w:val="00314739"/>
    <w:rsid w:val="00315522"/>
    <w:rsid w:val="0031681A"/>
    <w:rsid w:val="00320261"/>
    <w:rsid w:val="00320556"/>
    <w:rsid w:val="00325069"/>
    <w:rsid w:val="00326609"/>
    <w:rsid w:val="003356F3"/>
    <w:rsid w:val="0034036C"/>
    <w:rsid w:val="00352350"/>
    <w:rsid w:val="003610E4"/>
    <w:rsid w:val="00362DF7"/>
    <w:rsid w:val="00376D38"/>
    <w:rsid w:val="0038030F"/>
    <w:rsid w:val="003865C0"/>
    <w:rsid w:val="00391389"/>
    <w:rsid w:val="00397D38"/>
    <w:rsid w:val="003A3738"/>
    <w:rsid w:val="003B0D4D"/>
    <w:rsid w:val="003B1B3D"/>
    <w:rsid w:val="003B44B2"/>
    <w:rsid w:val="003B6B93"/>
    <w:rsid w:val="003C18A5"/>
    <w:rsid w:val="003C259A"/>
    <w:rsid w:val="003C5F31"/>
    <w:rsid w:val="003D1FB4"/>
    <w:rsid w:val="003D3486"/>
    <w:rsid w:val="003D455A"/>
    <w:rsid w:val="003D7B7B"/>
    <w:rsid w:val="003E0240"/>
    <w:rsid w:val="003E429D"/>
    <w:rsid w:val="004011E9"/>
    <w:rsid w:val="0040633E"/>
    <w:rsid w:val="004067B3"/>
    <w:rsid w:val="00407FCE"/>
    <w:rsid w:val="0041092E"/>
    <w:rsid w:val="00411EC9"/>
    <w:rsid w:val="00413F1A"/>
    <w:rsid w:val="0042112B"/>
    <w:rsid w:val="004311F9"/>
    <w:rsid w:val="00440090"/>
    <w:rsid w:val="004406C8"/>
    <w:rsid w:val="00441EDD"/>
    <w:rsid w:val="00442709"/>
    <w:rsid w:val="0045397B"/>
    <w:rsid w:val="0045553C"/>
    <w:rsid w:val="004669CF"/>
    <w:rsid w:val="00466C09"/>
    <w:rsid w:val="004707D0"/>
    <w:rsid w:val="00470814"/>
    <w:rsid w:val="00472B3E"/>
    <w:rsid w:val="00474A6B"/>
    <w:rsid w:val="00490068"/>
    <w:rsid w:val="00495EA2"/>
    <w:rsid w:val="004A1442"/>
    <w:rsid w:val="004A7081"/>
    <w:rsid w:val="004C10F0"/>
    <w:rsid w:val="004C125E"/>
    <w:rsid w:val="004C5256"/>
    <w:rsid w:val="004D450D"/>
    <w:rsid w:val="004D4CDE"/>
    <w:rsid w:val="004D7DB3"/>
    <w:rsid w:val="004E1085"/>
    <w:rsid w:val="004E5ADD"/>
    <w:rsid w:val="004F38FF"/>
    <w:rsid w:val="004F6DC7"/>
    <w:rsid w:val="004F6DD9"/>
    <w:rsid w:val="00500863"/>
    <w:rsid w:val="00512454"/>
    <w:rsid w:val="00521E1A"/>
    <w:rsid w:val="00531A8E"/>
    <w:rsid w:val="005346CA"/>
    <w:rsid w:val="005377B2"/>
    <w:rsid w:val="00542866"/>
    <w:rsid w:val="0055015E"/>
    <w:rsid w:val="0055601B"/>
    <w:rsid w:val="005602D2"/>
    <w:rsid w:val="005625AA"/>
    <w:rsid w:val="0056764A"/>
    <w:rsid w:val="00577EE3"/>
    <w:rsid w:val="00580433"/>
    <w:rsid w:val="005816AF"/>
    <w:rsid w:val="00582B8E"/>
    <w:rsid w:val="00585527"/>
    <w:rsid w:val="0058734C"/>
    <w:rsid w:val="0059351F"/>
    <w:rsid w:val="005A3181"/>
    <w:rsid w:val="005B0751"/>
    <w:rsid w:val="005B2946"/>
    <w:rsid w:val="005B653D"/>
    <w:rsid w:val="005B7957"/>
    <w:rsid w:val="005C4ED4"/>
    <w:rsid w:val="005C68BA"/>
    <w:rsid w:val="005D4AFC"/>
    <w:rsid w:val="005D51B2"/>
    <w:rsid w:val="005D5D98"/>
    <w:rsid w:val="005D659F"/>
    <w:rsid w:val="005E2274"/>
    <w:rsid w:val="005F32D0"/>
    <w:rsid w:val="005F3E10"/>
    <w:rsid w:val="005F58DD"/>
    <w:rsid w:val="005F6816"/>
    <w:rsid w:val="00600A45"/>
    <w:rsid w:val="00605E0A"/>
    <w:rsid w:val="006254B6"/>
    <w:rsid w:val="006304B2"/>
    <w:rsid w:val="006342A3"/>
    <w:rsid w:val="0063574B"/>
    <w:rsid w:val="00644867"/>
    <w:rsid w:val="006507E5"/>
    <w:rsid w:val="00651AA7"/>
    <w:rsid w:val="00657CF5"/>
    <w:rsid w:val="00662CFA"/>
    <w:rsid w:val="00663745"/>
    <w:rsid w:val="00665335"/>
    <w:rsid w:val="00666977"/>
    <w:rsid w:val="00671E84"/>
    <w:rsid w:val="006766C1"/>
    <w:rsid w:val="00684291"/>
    <w:rsid w:val="006939A7"/>
    <w:rsid w:val="00694349"/>
    <w:rsid w:val="00697545"/>
    <w:rsid w:val="006A4A97"/>
    <w:rsid w:val="006A7CF6"/>
    <w:rsid w:val="006B0D20"/>
    <w:rsid w:val="006B119F"/>
    <w:rsid w:val="006B1AA3"/>
    <w:rsid w:val="006B3092"/>
    <w:rsid w:val="006B467E"/>
    <w:rsid w:val="006C7AA9"/>
    <w:rsid w:val="006D2772"/>
    <w:rsid w:val="006E103C"/>
    <w:rsid w:val="006E5423"/>
    <w:rsid w:val="006F4E8C"/>
    <w:rsid w:val="006F717D"/>
    <w:rsid w:val="00701576"/>
    <w:rsid w:val="00713CDB"/>
    <w:rsid w:val="00715403"/>
    <w:rsid w:val="00716C82"/>
    <w:rsid w:val="0072647C"/>
    <w:rsid w:val="00727300"/>
    <w:rsid w:val="00727F9E"/>
    <w:rsid w:val="007315A5"/>
    <w:rsid w:val="007352D4"/>
    <w:rsid w:val="007369C3"/>
    <w:rsid w:val="00742002"/>
    <w:rsid w:val="00765BB7"/>
    <w:rsid w:val="00772DDB"/>
    <w:rsid w:val="00780E53"/>
    <w:rsid w:val="00782CB5"/>
    <w:rsid w:val="0078420D"/>
    <w:rsid w:val="007911A9"/>
    <w:rsid w:val="00794946"/>
    <w:rsid w:val="00795501"/>
    <w:rsid w:val="00795E62"/>
    <w:rsid w:val="007A2084"/>
    <w:rsid w:val="007A26F1"/>
    <w:rsid w:val="007A6068"/>
    <w:rsid w:val="007C0C8F"/>
    <w:rsid w:val="007C5419"/>
    <w:rsid w:val="007C68CF"/>
    <w:rsid w:val="007D3FBB"/>
    <w:rsid w:val="007D5274"/>
    <w:rsid w:val="007E03E0"/>
    <w:rsid w:val="007E1345"/>
    <w:rsid w:val="007E75C4"/>
    <w:rsid w:val="007F4BC7"/>
    <w:rsid w:val="007F4C57"/>
    <w:rsid w:val="007F7C2C"/>
    <w:rsid w:val="00801B92"/>
    <w:rsid w:val="008025AB"/>
    <w:rsid w:val="0080475A"/>
    <w:rsid w:val="00813F6C"/>
    <w:rsid w:val="00816ACE"/>
    <w:rsid w:val="00823563"/>
    <w:rsid w:val="00826C1D"/>
    <w:rsid w:val="0083151B"/>
    <w:rsid w:val="00831FBB"/>
    <w:rsid w:val="008344E2"/>
    <w:rsid w:val="00842B55"/>
    <w:rsid w:val="00844A3E"/>
    <w:rsid w:val="00846962"/>
    <w:rsid w:val="00850632"/>
    <w:rsid w:val="00855399"/>
    <w:rsid w:val="00855DDF"/>
    <w:rsid w:val="00857116"/>
    <w:rsid w:val="0086040F"/>
    <w:rsid w:val="00865929"/>
    <w:rsid w:val="00873B40"/>
    <w:rsid w:val="00874CE8"/>
    <w:rsid w:val="0088253C"/>
    <w:rsid w:val="0088259F"/>
    <w:rsid w:val="00887D55"/>
    <w:rsid w:val="008907C5"/>
    <w:rsid w:val="00891980"/>
    <w:rsid w:val="0089383F"/>
    <w:rsid w:val="00893843"/>
    <w:rsid w:val="0089614B"/>
    <w:rsid w:val="008A5CAD"/>
    <w:rsid w:val="008B1355"/>
    <w:rsid w:val="008B3D25"/>
    <w:rsid w:val="008C278A"/>
    <w:rsid w:val="008C2A88"/>
    <w:rsid w:val="008C4015"/>
    <w:rsid w:val="008C4374"/>
    <w:rsid w:val="008D0D67"/>
    <w:rsid w:val="008D244B"/>
    <w:rsid w:val="008D57FD"/>
    <w:rsid w:val="008E03FE"/>
    <w:rsid w:val="008E3432"/>
    <w:rsid w:val="008E6014"/>
    <w:rsid w:val="008F1255"/>
    <w:rsid w:val="0090173E"/>
    <w:rsid w:val="00903387"/>
    <w:rsid w:val="00912653"/>
    <w:rsid w:val="00921F0F"/>
    <w:rsid w:val="00922B89"/>
    <w:rsid w:val="009248D4"/>
    <w:rsid w:val="00925A6E"/>
    <w:rsid w:val="00926EAB"/>
    <w:rsid w:val="00926FF8"/>
    <w:rsid w:val="0093102A"/>
    <w:rsid w:val="00932078"/>
    <w:rsid w:val="00940360"/>
    <w:rsid w:val="009439F5"/>
    <w:rsid w:val="009450C6"/>
    <w:rsid w:val="00945524"/>
    <w:rsid w:val="009465AA"/>
    <w:rsid w:val="0095197D"/>
    <w:rsid w:val="00951A93"/>
    <w:rsid w:val="00952C4F"/>
    <w:rsid w:val="009562AA"/>
    <w:rsid w:val="00961B2B"/>
    <w:rsid w:val="00986166"/>
    <w:rsid w:val="00992765"/>
    <w:rsid w:val="00993CD3"/>
    <w:rsid w:val="00994BB7"/>
    <w:rsid w:val="009950D9"/>
    <w:rsid w:val="0099546B"/>
    <w:rsid w:val="009A4DD6"/>
    <w:rsid w:val="009A6A6A"/>
    <w:rsid w:val="009B0090"/>
    <w:rsid w:val="009B5CE1"/>
    <w:rsid w:val="009C01FD"/>
    <w:rsid w:val="009C0EA1"/>
    <w:rsid w:val="009C132A"/>
    <w:rsid w:val="009D0184"/>
    <w:rsid w:val="009D12E4"/>
    <w:rsid w:val="009D35D1"/>
    <w:rsid w:val="009F1909"/>
    <w:rsid w:val="009F595E"/>
    <w:rsid w:val="009F6A0E"/>
    <w:rsid w:val="00A019C4"/>
    <w:rsid w:val="00A02EDB"/>
    <w:rsid w:val="00A04FE5"/>
    <w:rsid w:val="00A054B4"/>
    <w:rsid w:val="00A133B8"/>
    <w:rsid w:val="00A1633E"/>
    <w:rsid w:val="00A322EE"/>
    <w:rsid w:val="00A4567F"/>
    <w:rsid w:val="00A47475"/>
    <w:rsid w:val="00A546DB"/>
    <w:rsid w:val="00A56FE0"/>
    <w:rsid w:val="00A624E2"/>
    <w:rsid w:val="00A66970"/>
    <w:rsid w:val="00A7025F"/>
    <w:rsid w:val="00A7041B"/>
    <w:rsid w:val="00A71AC5"/>
    <w:rsid w:val="00A72969"/>
    <w:rsid w:val="00A74A84"/>
    <w:rsid w:val="00A83597"/>
    <w:rsid w:val="00A91926"/>
    <w:rsid w:val="00AA1086"/>
    <w:rsid w:val="00AA1616"/>
    <w:rsid w:val="00AA46D1"/>
    <w:rsid w:val="00AA5AC2"/>
    <w:rsid w:val="00AA7FC8"/>
    <w:rsid w:val="00AB0960"/>
    <w:rsid w:val="00AC4F83"/>
    <w:rsid w:val="00AC7797"/>
    <w:rsid w:val="00AC7FAB"/>
    <w:rsid w:val="00AD60A6"/>
    <w:rsid w:val="00AD7AB1"/>
    <w:rsid w:val="00AF2A47"/>
    <w:rsid w:val="00AF66D9"/>
    <w:rsid w:val="00B0432D"/>
    <w:rsid w:val="00B10082"/>
    <w:rsid w:val="00B17CA0"/>
    <w:rsid w:val="00B200EF"/>
    <w:rsid w:val="00B20774"/>
    <w:rsid w:val="00B2183D"/>
    <w:rsid w:val="00B25665"/>
    <w:rsid w:val="00B25EEC"/>
    <w:rsid w:val="00B27926"/>
    <w:rsid w:val="00B3053A"/>
    <w:rsid w:val="00B32F4C"/>
    <w:rsid w:val="00B4076C"/>
    <w:rsid w:val="00B40AF6"/>
    <w:rsid w:val="00B44292"/>
    <w:rsid w:val="00B5115D"/>
    <w:rsid w:val="00B51D45"/>
    <w:rsid w:val="00B5475C"/>
    <w:rsid w:val="00B55C49"/>
    <w:rsid w:val="00B65374"/>
    <w:rsid w:val="00B71445"/>
    <w:rsid w:val="00B73680"/>
    <w:rsid w:val="00B75641"/>
    <w:rsid w:val="00B7605F"/>
    <w:rsid w:val="00B813A4"/>
    <w:rsid w:val="00B81CFA"/>
    <w:rsid w:val="00B8445B"/>
    <w:rsid w:val="00B8782D"/>
    <w:rsid w:val="00B92443"/>
    <w:rsid w:val="00BA400B"/>
    <w:rsid w:val="00BA468F"/>
    <w:rsid w:val="00BA68C6"/>
    <w:rsid w:val="00BB4FB9"/>
    <w:rsid w:val="00BB66CE"/>
    <w:rsid w:val="00BC0BC2"/>
    <w:rsid w:val="00BC2677"/>
    <w:rsid w:val="00BC452F"/>
    <w:rsid w:val="00BD1581"/>
    <w:rsid w:val="00BD7055"/>
    <w:rsid w:val="00BE142D"/>
    <w:rsid w:val="00BE1FDC"/>
    <w:rsid w:val="00BE22BE"/>
    <w:rsid w:val="00BF10F0"/>
    <w:rsid w:val="00BF5538"/>
    <w:rsid w:val="00C05B78"/>
    <w:rsid w:val="00C05EF2"/>
    <w:rsid w:val="00C1158B"/>
    <w:rsid w:val="00C143A5"/>
    <w:rsid w:val="00C2079F"/>
    <w:rsid w:val="00C21EDD"/>
    <w:rsid w:val="00C23F2B"/>
    <w:rsid w:val="00C25E87"/>
    <w:rsid w:val="00C26690"/>
    <w:rsid w:val="00C266AF"/>
    <w:rsid w:val="00C30097"/>
    <w:rsid w:val="00C32003"/>
    <w:rsid w:val="00C434D6"/>
    <w:rsid w:val="00C473DE"/>
    <w:rsid w:val="00C50CD4"/>
    <w:rsid w:val="00C673D7"/>
    <w:rsid w:val="00C70749"/>
    <w:rsid w:val="00C72DBD"/>
    <w:rsid w:val="00C777E8"/>
    <w:rsid w:val="00C77EEE"/>
    <w:rsid w:val="00C8088D"/>
    <w:rsid w:val="00C828B7"/>
    <w:rsid w:val="00C846BA"/>
    <w:rsid w:val="00C879F9"/>
    <w:rsid w:val="00C92047"/>
    <w:rsid w:val="00C92E31"/>
    <w:rsid w:val="00CA111B"/>
    <w:rsid w:val="00CA297A"/>
    <w:rsid w:val="00CA3915"/>
    <w:rsid w:val="00CA693A"/>
    <w:rsid w:val="00CC442E"/>
    <w:rsid w:val="00CC47CD"/>
    <w:rsid w:val="00CC5DBB"/>
    <w:rsid w:val="00CE6F17"/>
    <w:rsid w:val="00CF0C12"/>
    <w:rsid w:val="00CF254A"/>
    <w:rsid w:val="00CF407C"/>
    <w:rsid w:val="00D05CF1"/>
    <w:rsid w:val="00D148AB"/>
    <w:rsid w:val="00D15A5D"/>
    <w:rsid w:val="00D239F4"/>
    <w:rsid w:val="00D33754"/>
    <w:rsid w:val="00D35F32"/>
    <w:rsid w:val="00D37200"/>
    <w:rsid w:val="00D43929"/>
    <w:rsid w:val="00D43D86"/>
    <w:rsid w:val="00D50CAF"/>
    <w:rsid w:val="00D52EAF"/>
    <w:rsid w:val="00D56C91"/>
    <w:rsid w:val="00D56F32"/>
    <w:rsid w:val="00D57034"/>
    <w:rsid w:val="00D67B3B"/>
    <w:rsid w:val="00D7588F"/>
    <w:rsid w:val="00D83764"/>
    <w:rsid w:val="00D85BDC"/>
    <w:rsid w:val="00D92F92"/>
    <w:rsid w:val="00D93863"/>
    <w:rsid w:val="00D94819"/>
    <w:rsid w:val="00DA2183"/>
    <w:rsid w:val="00DA626B"/>
    <w:rsid w:val="00DC2634"/>
    <w:rsid w:val="00DC7042"/>
    <w:rsid w:val="00DD1447"/>
    <w:rsid w:val="00DE0DB7"/>
    <w:rsid w:val="00DE3031"/>
    <w:rsid w:val="00DE3CA4"/>
    <w:rsid w:val="00DE536E"/>
    <w:rsid w:val="00DF1B30"/>
    <w:rsid w:val="00E00991"/>
    <w:rsid w:val="00E01270"/>
    <w:rsid w:val="00E0444C"/>
    <w:rsid w:val="00E21663"/>
    <w:rsid w:val="00E22D8E"/>
    <w:rsid w:val="00E272E5"/>
    <w:rsid w:val="00E5013B"/>
    <w:rsid w:val="00E54A9B"/>
    <w:rsid w:val="00E61420"/>
    <w:rsid w:val="00E6241D"/>
    <w:rsid w:val="00E705B9"/>
    <w:rsid w:val="00E74431"/>
    <w:rsid w:val="00E82505"/>
    <w:rsid w:val="00E82D41"/>
    <w:rsid w:val="00E87C81"/>
    <w:rsid w:val="00E87EF9"/>
    <w:rsid w:val="00E91422"/>
    <w:rsid w:val="00E95B05"/>
    <w:rsid w:val="00EA11CB"/>
    <w:rsid w:val="00EA1A63"/>
    <w:rsid w:val="00EA23B2"/>
    <w:rsid w:val="00EA2570"/>
    <w:rsid w:val="00EA6EAB"/>
    <w:rsid w:val="00EB169D"/>
    <w:rsid w:val="00EB2A30"/>
    <w:rsid w:val="00EB7B20"/>
    <w:rsid w:val="00EC5265"/>
    <w:rsid w:val="00ED5D45"/>
    <w:rsid w:val="00EE05B0"/>
    <w:rsid w:val="00EE4DD9"/>
    <w:rsid w:val="00EE5397"/>
    <w:rsid w:val="00EE5B80"/>
    <w:rsid w:val="00EE6F14"/>
    <w:rsid w:val="00EF7521"/>
    <w:rsid w:val="00F04B6C"/>
    <w:rsid w:val="00F071F8"/>
    <w:rsid w:val="00F07887"/>
    <w:rsid w:val="00F07E2A"/>
    <w:rsid w:val="00F1215F"/>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D21A4"/>
    <w:rsid w:val="00FE1396"/>
    <w:rsid w:val="00FE4406"/>
    <w:rsid w:val="00FE4E18"/>
    <w:rsid w:val="00FE57D0"/>
    <w:rsid w:val="00FE5D33"/>
    <w:rsid w:val="00FF32A7"/>
    <w:rsid w:val="00FF3F21"/>
    <w:rsid w:val="00FF4FD2"/>
    <w:rsid w:val="00FF60DD"/>
    <w:rsid w:val="00FF64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42C82A"/>
  <w15:docId w15:val="{EED79D56-B030-4D4E-ACEE-ACC075C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qFormat/>
    <w:rsid w:val="00235D73"/>
    <w:rPr>
      <w:vertAlign w:val="superscript"/>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qFormat/>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num" w:pos="360"/>
        <w:tab w:val="clear" w:pos="1080"/>
      </w:tabs>
      <w:spacing w:line="480" w:lineRule="auto"/>
      <w:ind w:firstLine="0"/>
    </w:pPr>
  </w:style>
  <w:style w:type="paragraph" w:customStyle="1" w:styleId="ArticleLevela">
    <w:name w:val="Article Level (a)"/>
    <w:basedOn w:val="Normal"/>
    <w:rsid w:val="00235D73"/>
    <w:pPr>
      <w:numPr>
        <w:ilvl w:val="2"/>
        <w:numId w:val="14"/>
      </w:numPr>
      <w:tabs>
        <w:tab w:val="num" w:pos="360"/>
        <w:tab w:val="clear" w:pos="144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Car Char1,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 w:type="character" w:customStyle="1" w:styleId="FootnoteTextChar1">
    <w:name w:val="Footnote Text Char1"/>
    <w:aliases w:val="Car Char,Footnote Text Char Char Char Char Char Char Char Char Char Char Char Char Char Char Char Char Char Char1,Footnote Text Char Char Char Char Char1,Footnote Text Char Char Char2,Footnote Text Char1 Char Char Char1,fn Char1"/>
    <w:basedOn w:val="DefaultParagraphFont"/>
    <w:uiPriority w:val="99"/>
    <w:locked/>
    <w:rsid w:val="009F1909"/>
    <w:rPr>
      <w:rFonts w:ascii="Times New Roman" w:eastAsia="Times New Roman" w:hAnsi="Times New Roman" w:cs="Times New Roman"/>
      <w:sz w:val="20"/>
      <w:szCs w:val="20"/>
    </w:rPr>
  </w:style>
  <w:style w:type="paragraph" w:styleId="Revision">
    <w:name w:val="Revision"/>
    <w:hidden/>
    <w:uiPriority w:val="99"/>
    <w:semiHidden/>
    <w:rsid w:val="00B27926"/>
    <w:rPr>
      <w:sz w:val="24"/>
    </w:rPr>
  </w:style>
  <w:style w:type="character" w:styleId="Hyperlink">
    <w:name w:val="Hyperlink"/>
    <w:basedOn w:val="DefaultParagraphFont"/>
    <w:unhideWhenUsed/>
    <w:rsid w:val="0018654D"/>
    <w:rPr>
      <w:color w:val="0000FF" w:themeColor="hyperlink"/>
      <w:u w:val="single"/>
    </w:rPr>
  </w:style>
  <w:style w:type="character" w:styleId="UnresolvedMention">
    <w:name w:val="Unresolved Mention"/>
    <w:basedOn w:val="DefaultParagraphFont"/>
    <w:uiPriority w:val="99"/>
    <w:semiHidden/>
    <w:unhideWhenUsed/>
    <w:rsid w:val="0018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CE77-09A9-484D-A7C7-7B2F9E79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4032</Words>
  <Characters>22111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Merritt, Shaquita</cp:lastModifiedBy>
  <cp:revision>9</cp:revision>
  <cp:lastPrinted>2019-01-22T18:46:00Z</cp:lastPrinted>
  <dcterms:created xsi:type="dcterms:W3CDTF">2024-10-10T11:37:00Z</dcterms:created>
  <dcterms:modified xsi:type="dcterms:W3CDTF">2024-10-22T18:43:00Z</dcterms:modified>
</cp:coreProperties>
</file>