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0211" w:rsidP="00F35BED" w14:paraId="68FD3066" w14:textId="77777777">
      <w:pPr>
        <w:pStyle w:val="Heading1"/>
        <w:ind w:left="0" w:firstLine="0"/>
        <w:jc w:val="center"/>
      </w:pPr>
      <w:r>
        <w:t>Supporting Statement</w:t>
      </w:r>
    </w:p>
    <w:p w:rsidR="006F0211" w:rsidP="00F35BED" w14:paraId="5436B91B" w14:textId="77777777">
      <w:pPr>
        <w:jc w:val="center"/>
        <w:rPr>
          <w:rFonts w:ascii="Arial" w:hAnsi="Arial"/>
          <w:b/>
          <w:sz w:val="28"/>
        </w:rPr>
      </w:pPr>
      <w:r>
        <w:rPr>
          <w:rFonts w:ascii="Arial" w:hAnsi="Arial"/>
          <w:b/>
          <w:sz w:val="28"/>
        </w:rPr>
        <w:t>Notice of Detention</w:t>
      </w:r>
    </w:p>
    <w:p w:rsidR="006F0211" w:rsidP="00F35BED" w14:paraId="52682AE8" w14:textId="77777777">
      <w:pPr>
        <w:jc w:val="center"/>
        <w:rPr>
          <w:rFonts w:ascii="Arial" w:hAnsi="Arial"/>
        </w:rPr>
      </w:pPr>
      <w:r>
        <w:rPr>
          <w:rFonts w:ascii="Arial" w:hAnsi="Arial"/>
          <w:b/>
          <w:sz w:val="28"/>
        </w:rPr>
        <w:t>1651-0073</w:t>
      </w:r>
    </w:p>
    <w:p w:rsidR="006F0211" w:rsidP="006F0211" w14:paraId="0142E7EB" w14:textId="77777777">
      <w:pPr>
        <w:tabs>
          <w:tab w:val="center" w:pos="4824"/>
        </w:tabs>
        <w:rPr>
          <w:rFonts w:ascii="Arial" w:hAnsi="Arial"/>
        </w:rPr>
      </w:pPr>
      <w:r>
        <w:rPr>
          <w:rFonts w:ascii="Arial" w:hAnsi="Arial"/>
        </w:rPr>
        <w:tab/>
      </w:r>
    </w:p>
    <w:p w:rsidR="006F0211" w:rsidP="006F0211" w14:paraId="7EC7C97B" w14:textId="77777777">
      <w:pPr>
        <w:tabs>
          <w:tab w:val="center" w:pos="4824"/>
        </w:tabs>
        <w:jc w:val="both"/>
        <w:rPr>
          <w:rFonts w:ascii="Arial" w:hAnsi="Arial"/>
          <w:b/>
          <w:sz w:val="28"/>
        </w:rPr>
      </w:pPr>
      <w:r>
        <w:rPr>
          <w:rFonts w:ascii="Arial" w:hAnsi="Arial"/>
          <w:b/>
          <w:sz w:val="28"/>
        </w:rPr>
        <w:t>A.      Justification</w:t>
      </w:r>
    </w:p>
    <w:p w:rsidR="006F0211" w:rsidP="006F0211" w14:paraId="51896CD8" w14:textId="77777777">
      <w:pPr>
        <w:pStyle w:val="Heading1"/>
        <w:jc w:val="both"/>
      </w:pPr>
    </w:p>
    <w:p w:rsidR="006F0211" w:rsidRPr="00655A71" w:rsidP="006F0211" w14:paraId="202174E9" w14:textId="77777777">
      <w:pPr>
        <w:numPr>
          <w:ilvl w:val="0"/>
          <w:numId w:val="2"/>
        </w:numPr>
        <w:jc w:val="both"/>
        <w:rPr>
          <w:rFonts w:ascii="Arial" w:hAnsi="Arial" w:cs="Arial"/>
          <w:b/>
          <w:bCs/>
          <w:szCs w:val="24"/>
        </w:rPr>
      </w:pPr>
      <w:r w:rsidRPr="00655A7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655A71" w:rsidR="003F5276">
        <w:rPr>
          <w:rFonts w:ascii="Arial" w:hAnsi="Arial" w:cs="Arial"/>
          <w:b/>
          <w:bCs/>
          <w:szCs w:val="24"/>
        </w:rPr>
        <w:t>t</w:t>
      </w:r>
      <w:r w:rsidRPr="00655A71">
        <w:rPr>
          <w:rFonts w:ascii="Arial" w:hAnsi="Arial" w:cs="Arial"/>
          <w:b/>
          <w:bCs/>
          <w:szCs w:val="24"/>
        </w:rPr>
        <w:t>e and regulation mandating or authorizing the collection of information.</w:t>
      </w:r>
    </w:p>
    <w:p w:rsidR="00562473" w:rsidP="0048226E" w14:paraId="4531BAC4" w14:textId="527F6B5B">
      <w:pPr>
        <w:tabs>
          <w:tab w:val="left" w:pos="-1440"/>
        </w:tabs>
        <w:jc w:val="both"/>
        <w:rPr>
          <w:rFonts w:ascii="Arial" w:hAnsi="Arial"/>
        </w:rPr>
      </w:pPr>
    </w:p>
    <w:p w:rsidR="006F0211" w:rsidP="00545816" w14:paraId="1FD6C726" w14:textId="26458AC2">
      <w:pPr>
        <w:tabs>
          <w:tab w:val="left" w:pos="-1440"/>
        </w:tabs>
        <w:ind w:left="720" w:hanging="720"/>
        <w:jc w:val="both"/>
        <w:rPr>
          <w:rFonts w:ascii="Arial" w:hAnsi="Arial"/>
        </w:rPr>
      </w:pPr>
      <w:r>
        <w:rPr>
          <w:rFonts w:ascii="Arial" w:hAnsi="Arial"/>
        </w:rPr>
        <w:tab/>
      </w:r>
      <w:r w:rsidRPr="001B46B3" w:rsidR="001B46B3">
        <w:rPr>
          <w:rFonts w:ascii="Arial" w:hAnsi="Arial"/>
        </w:rPr>
        <w:t xml:space="preserve">Customs and Border Protection (CBP) may detain merchandise when it has reasonable suspicion </w:t>
      </w:r>
      <w:r w:rsidR="0006082A">
        <w:rPr>
          <w:rFonts w:ascii="Arial" w:hAnsi="Arial"/>
        </w:rPr>
        <w:t xml:space="preserve">that </w:t>
      </w:r>
      <w:r w:rsidRPr="001B46B3" w:rsidR="001B46B3">
        <w:rPr>
          <w:rFonts w:ascii="Arial" w:hAnsi="Arial"/>
        </w:rPr>
        <w:t xml:space="preserve">the subject merchandise may be inadmissible but requires more information to </w:t>
      </w:r>
      <w:r w:rsidRPr="001B46B3" w:rsidR="001B46B3">
        <w:rPr>
          <w:rFonts w:ascii="Arial" w:hAnsi="Arial"/>
        </w:rPr>
        <w:t>make a determination</w:t>
      </w:r>
      <w:r w:rsidRPr="001B46B3" w:rsidR="001B46B3">
        <w:rPr>
          <w:rFonts w:ascii="Arial" w:hAnsi="Arial"/>
        </w:rPr>
        <w:t xml:space="preserve">.  If CBP decides to detain merchandise, a Notice of Detention is sent to the importer or to the importer’s broker/agent no later than 5 business days after the decision to detain the merchandise is made.  The Notice must state </w:t>
      </w:r>
      <w:r w:rsidR="0006082A">
        <w:rPr>
          <w:rFonts w:ascii="Arial" w:hAnsi="Arial"/>
        </w:rPr>
        <w:t xml:space="preserve">that </w:t>
      </w:r>
      <w:r w:rsidRPr="001B46B3" w:rsidR="00564324">
        <w:rPr>
          <w:rFonts w:ascii="Arial" w:hAnsi="Arial"/>
        </w:rPr>
        <w:t>t</w:t>
      </w:r>
      <w:r w:rsidR="00564324">
        <w:rPr>
          <w:rFonts w:ascii="Arial" w:hAnsi="Arial"/>
        </w:rPr>
        <w:t>he</w:t>
      </w:r>
      <w:r w:rsidRPr="001B46B3" w:rsidR="00564324">
        <w:rPr>
          <w:rFonts w:ascii="Arial" w:hAnsi="Arial"/>
        </w:rPr>
        <w:t xml:space="preserve"> </w:t>
      </w:r>
      <w:r w:rsidRPr="001B46B3" w:rsidR="001B46B3">
        <w:rPr>
          <w:rFonts w:ascii="Arial" w:hAnsi="Arial"/>
        </w:rPr>
        <w:t>merchandise has been detained, the specific reason for the detention, the anticipated length of the detention, the nature of the tests or inquir</w:t>
      </w:r>
      <w:r w:rsidR="002A3B08">
        <w:rPr>
          <w:rFonts w:ascii="Arial" w:hAnsi="Arial"/>
        </w:rPr>
        <w:t>i</w:t>
      </w:r>
      <w:r w:rsidRPr="001B46B3" w:rsidR="001B46B3">
        <w:rPr>
          <w:rFonts w:ascii="Arial" w:hAnsi="Arial"/>
        </w:rPr>
        <w:t xml:space="preserve">es to be conducted, and the nature of any information that could be supplied to CBP that may accelerate the disposition of the detention.  The recipient of this notice may respond by providing information to CBP </w:t>
      </w:r>
      <w:r w:rsidRPr="001B46B3" w:rsidR="001B46B3">
        <w:rPr>
          <w:rFonts w:ascii="Arial" w:hAnsi="Arial"/>
        </w:rPr>
        <w:t>in order to</w:t>
      </w:r>
      <w:r w:rsidRPr="001B46B3" w:rsidR="001B46B3">
        <w:rPr>
          <w:rFonts w:ascii="Arial" w:hAnsi="Arial"/>
        </w:rPr>
        <w:t xml:space="preserve"> facilitate the determination for admissibility or may ask for an extension of time to bring the merchandise into compliance.  Notice of Detention is authorized by 19 U.S.C. 1499 and provided for in 19 CFR 151.16, 133.21, 133.25, </w:t>
      </w:r>
      <w:r w:rsidR="002A3B08">
        <w:rPr>
          <w:rFonts w:ascii="Arial" w:hAnsi="Arial"/>
        </w:rPr>
        <w:t xml:space="preserve">133.42 </w:t>
      </w:r>
      <w:r w:rsidRPr="001B46B3" w:rsidR="001B46B3">
        <w:rPr>
          <w:rFonts w:ascii="Arial" w:hAnsi="Arial"/>
        </w:rPr>
        <w:t xml:space="preserve">and </w:t>
      </w:r>
      <w:r w:rsidR="002A3B08">
        <w:rPr>
          <w:rFonts w:ascii="Arial" w:hAnsi="Arial"/>
        </w:rPr>
        <w:t xml:space="preserve"> 133.47</w:t>
      </w:r>
      <w:r w:rsidRPr="001B46B3" w:rsidR="001B46B3">
        <w:rPr>
          <w:rFonts w:ascii="Arial" w:hAnsi="Arial"/>
        </w:rPr>
        <w:t>.</w:t>
      </w:r>
      <w:r w:rsidRPr="007A7D13" w:rsidR="007A7D13">
        <w:rPr>
          <w:rFonts w:ascii="Arial" w:hAnsi="Arial"/>
        </w:rPr>
        <w:t xml:space="preserve">  </w:t>
      </w:r>
    </w:p>
    <w:p w:rsidR="00655A71" w:rsidP="00545816" w14:paraId="3BD31B7C" w14:textId="03EA169B">
      <w:pPr>
        <w:tabs>
          <w:tab w:val="left" w:pos="-1440"/>
        </w:tabs>
        <w:ind w:left="720" w:hanging="720"/>
        <w:jc w:val="both"/>
        <w:rPr>
          <w:rFonts w:ascii="Arial" w:hAnsi="Arial"/>
        </w:rPr>
      </w:pPr>
    </w:p>
    <w:p w:rsidR="00655A71" w:rsidP="00655A71" w14:paraId="0561075F" w14:textId="77777777">
      <w:pPr>
        <w:tabs>
          <w:tab w:val="left" w:pos="-1440"/>
        </w:tabs>
        <w:ind w:left="1440" w:hanging="720"/>
        <w:jc w:val="both"/>
        <w:rPr>
          <w:rFonts w:ascii="Arial" w:hAnsi="Arial"/>
        </w:rPr>
      </w:pPr>
    </w:p>
    <w:p w:rsidR="00655A71" w:rsidRPr="00945961" w:rsidP="00655A71" w14:paraId="4671E33E" w14:textId="0C64781F">
      <w:pPr>
        <w:tabs>
          <w:tab w:val="left" w:pos="-1440"/>
        </w:tabs>
        <w:ind w:left="1440" w:hanging="720"/>
        <w:jc w:val="both"/>
        <w:rPr>
          <w:rFonts w:ascii="Arial" w:hAnsi="Arial"/>
          <w:b/>
          <w:bCs/>
        </w:rPr>
      </w:pPr>
      <w:r w:rsidRPr="00945961">
        <w:rPr>
          <w:rFonts w:ascii="Arial" w:hAnsi="Arial"/>
          <w:b/>
          <w:bCs/>
        </w:rPr>
        <w:t>Recent Changes:</w:t>
      </w:r>
    </w:p>
    <w:p w:rsidR="00655A71" w:rsidP="00655A71" w14:paraId="1A38E1DB" w14:textId="77777777">
      <w:pPr>
        <w:tabs>
          <w:tab w:val="left" w:pos="-1440"/>
        </w:tabs>
        <w:ind w:left="720"/>
        <w:jc w:val="both"/>
        <w:rPr>
          <w:rFonts w:ascii="Arial" w:hAnsi="Arial"/>
        </w:rPr>
      </w:pPr>
    </w:p>
    <w:p w:rsidR="00655A71" w:rsidP="00655A71" w14:paraId="331B8317" w14:textId="19686EB8">
      <w:pPr>
        <w:tabs>
          <w:tab w:val="left" w:pos="-1440"/>
        </w:tabs>
        <w:ind w:left="720"/>
        <w:jc w:val="both"/>
        <w:rPr>
          <w:rFonts w:ascii="Arial" w:hAnsi="Arial"/>
          <w:color w:val="FF0000"/>
        </w:rPr>
      </w:pPr>
      <w:r w:rsidRPr="00655A71">
        <w:rPr>
          <w:rFonts w:ascii="Arial" w:hAnsi="Arial"/>
        </w:rPr>
        <w:t>CBP is publishing a final rule that establishes a procedure to determine if a shipment may</w:t>
      </w:r>
      <w:r w:rsidR="003D3E13">
        <w:rPr>
          <w:rFonts w:ascii="Arial" w:hAnsi="Arial"/>
        </w:rPr>
        <w:t xml:space="preserve"> </w:t>
      </w:r>
      <w:r w:rsidRPr="00655A71">
        <w:rPr>
          <w:rFonts w:ascii="Arial" w:hAnsi="Arial"/>
        </w:rPr>
        <w:t xml:space="preserve">be in violation of intellectual property rights (IPR). The process would allow CBP to share unredacted images of suspect imports with right holders if examination by right holders would assist CBP’s determination. As a result of the procedure established in this final rule, the importer has seven business days to establish to CBP that the suspect imports are not piratical and are instead admissible. The procedure established in this final rule means that more detention notices need to be filed and distributed, thus increasing the burden requirements on certain importers. </w:t>
      </w:r>
    </w:p>
    <w:p w:rsidR="006F0211" w:rsidRPr="00C47181" w:rsidP="008251DA" w14:paraId="0DA2BD65" w14:textId="77777777">
      <w:pPr>
        <w:tabs>
          <w:tab w:val="left" w:pos="-1440"/>
        </w:tabs>
        <w:ind w:left="720" w:hanging="720"/>
        <w:jc w:val="both"/>
        <w:rPr>
          <w:rFonts w:ascii="Arial" w:hAnsi="Arial"/>
          <w:szCs w:val="24"/>
        </w:rPr>
      </w:pPr>
      <w:r>
        <w:rPr>
          <w:rFonts w:ascii="Arial" w:hAnsi="Arial"/>
          <w:color w:val="FF0000"/>
        </w:rPr>
        <w:tab/>
      </w:r>
      <w:r>
        <w:rPr>
          <w:rFonts w:ascii="Arial" w:hAnsi="Arial"/>
          <w:szCs w:val="24"/>
        </w:rPr>
        <w:tab/>
      </w:r>
    </w:p>
    <w:p w:rsidR="006F0211" w:rsidRPr="00C47181" w:rsidP="006F0211" w14:paraId="37489532" w14:textId="77777777">
      <w:pPr>
        <w:ind w:left="720" w:hanging="570"/>
        <w:jc w:val="both"/>
        <w:rPr>
          <w:szCs w:val="24"/>
        </w:rPr>
      </w:pPr>
      <w:r w:rsidRPr="00C47181">
        <w:rPr>
          <w:rFonts w:ascii="Arial" w:hAnsi="Arial" w:cs="Arial"/>
          <w:b/>
          <w:bCs/>
          <w:szCs w:val="24"/>
        </w:rPr>
        <w:t>2.</w:t>
      </w:r>
      <w:r w:rsidRPr="00C47181">
        <w:rPr>
          <w:szCs w:val="24"/>
        </w:rPr>
        <w:tab/>
      </w:r>
      <w:r w:rsidRPr="00655A7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655A71">
        <w:rPr>
          <w:szCs w:val="24"/>
        </w:rPr>
        <w:t>.</w:t>
      </w:r>
    </w:p>
    <w:p w:rsidR="006F0211" w:rsidP="006F0211" w14:paraId="76908045" w14:textId="77777777">
      <w:pPr>
        <w:jc w:val="both"/>
        <w:rPr>
          <w:rFonts w:ascii="Arial" w:hAnsi="Arial"/>
          <w:szCs w:val="24"/>
        </w:rPr>
      </w:pPr>
      <w:r>
        <w:rPr>
          <w:rFonts w:ascii="Arial" w:hAnsi="Arial"/>
          <w:szCs w:val="24"/>
        </w:rPr>
        <w:tab/>
      </w:r>
    </w:p>
    <w:p w:rsidR="000E3F81" w:rsidP="006F0211" w14:paraId="2095C07E" w14:textId="77777777">
      <w:pPr>
        <w:tabs>
          <w:tab w:val="left" w:pos="-1440"/>
        </w:tabs>
        <w:ind w:left="720" w:hanging="720"/>
        <w:jc w:val="both"/>
        <w:rPr>
          <w:rFonts w:ascii="Arial" w:hAnsi="Arial"/>
          <w:b/>
          <w:bCs/>
          <w:szCs w:val="24"/>
        </w:rPr>
      </w:pPr>
      <w:r>
        <w:tab/>
      </w:r>
      <w:r>
        <w:rPr>
          <w:rFonts w:ascii="Arial" w:hAnsi="Arial"/>
        </w:rPr>
        <w:t>The information provided assist</w:t>
      </w:r>
      <w:r w:rsidR="005B6A74">
        <w:rPr>
          <w:rFonts w:ascii="Arial" w:hAnsi="Arial"/>
        </w:rPr>
        <w:t>s</w:t>
      </w:r>
      <w:r>
        <w:rPr>
          <w:rFonts w:ascii="Arial" w:hAnsi="Arial"/>
        </w:rPr>
        <w:t xml:space="preserve"> CBP in </w:t>
      </w:r>
      <w:r>
        <w:rPr>
          <w:rFonts w:ascii="Arial" w:hAnsi="Arial"/>
        </w:rPr>
        <w:t>making a determination</w:t>
      </w:r>
      <w:r>
        <w:rPr>
          <w:rFonts w:ascii="Arial" w:hAnsi="Arial"/>
        </w:rPr>
        <w:t xml:space="preserve"> whether to seize, deny entry of</w:t>
      </w:r>
      <w:r w:rsidR="004C685F">
        <w:rPr>
          <w:rFonts w:ascii="Arial" w:hAnsi="Arial"/>
        </w:rPr>
        <w:t>,</w:t>
      </w:r>
      <w:r>
        <w:rPr>
          <w:rFonts w:ascii="Arial" w:hAnsi="Arial"/>
        </w:rPr>
        <w:t xml:space="preserve"> or release detained goods into the commerce. </w:t>
      </w:r>
      <w:r>
        <w:rPr>
          <w:rFonts w:ascii="Arial" w:hAnsi="Arial"/>
          <w:b/>
          <w:bCs/>
          <w:szCs w:val="24"/>
        </w:rPr>
        <w:tab/>
      </w:r>
    </w:p>
    <w:p w:rsidR="006F0211" w:rsidP="006F0211" w14:paraId="2C066B21" w14:textId="77777777">
      <w:pPr>
        <w:tabs>
          <w:tab w:val="left" w:pos="-1440"/>
        </w:tabs>
        <w:ind w:left="720" w:hanging="720"/>
        <w:jc w:val="both"/>
        <w:rPr>
          <w:rFonts w:ascii="Arial" w:hAnsi="Arial"/>
          <w:b/>
          <w:bCs/>
          <w:szCs w:val="24"/>
        </w:rPr>
      </w:pPr>
      <w:r>
        <w:rPr>
          <w:rFonts w:ascii="Arial" w:hAnsi="Arial"/>
          <w:b/>
          <w:bCs/>
          <w:szCs w:val="24"/>
        </w:rPr>
        <w:tab/>
        <w:t xml:space="preserve"> </w:t>
      </w:r>
      <w:r>
        <w:rPr>
          <w:rFonts w:ascii="Arial" w:hAnsi="Arial"/>
          <w:b/>
          <w:bCs/>
          <w:szCs w:val="24"/>
        </w:rPr>
        <w:tab/>
      </w:r>
      <w:r w:rsidRPr="004557FB">
        <w:rPr>
          <w:rFonts w:ascii="Arial" w:hAnsi="Arial"/>
          <w:bCs/>
          <w:szCs w:val="24"/>
        </w:rPr>
        <w:t xml:space="preserve"> </w:t>
      </w:r>
      <w:r>
        <w:rPr>
          <w:rFonts w:ascii="Arial" w:hAnsi="Arial"/>
          <w:bCs/>
          <w:szCs w:val="24"/>
        </w:rPr>
        <w:tab/>
      </w:r>
    </w:p>
    <w:p w:rsidR="006F0211" w:rsidRPr="00C47181" w:rsidP="006F0211" w14:paraId="0D48A429" w14:textId="77777777">
      <w:pPr>
        <w:tabs>
          <w:tab w:val="left" w:pos="-1440"/>
        </w:tabs>
        <w:ind w:left="720" w:hanging="720"/>
        <w:jc w:val="both"/>
        <w:rPr>
          <w:szCs w:val="24"/>
        </w:rPr>
      </w:pPr>
      <w:r>
        <w:rPr>
          <w:rFonts w:ascii="Arial" w:hAnsi="Arial"/>
          <w:b/>
          <w:bCs/>
          <w:szCs w:val="24"/>
        </w:rPr>
        <w:t xml:space="preserve"> </w:t>
      </w:r>
      <w:r w:rsidRPr="00C47181">
        <w:rPr>
          <w:rFonts w:ascii="Arial" w:hAnsi="Arial"/>
          <w:b/>
          <w:bCs/>
          <w:szCs w:val="24"/>
        </w:rPr>
        <w:t>3.</w:t>
      </w:r>
      <w:r w:rsidRPr="00C47181">
        <w:rPr>
          <w:rFonts w:ascii="Arial" w:hAnsi="Arial"/>
          <w:szCs w:val="24"/>
        </w:rPr>
        <w:tab/>
      </w:r>
      <w:r w:rsidRPr="00CF09D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F09D1">
        <w:rPr>
          <w:szCs w:val="24"/>
        </w:rPr>
        <w:t>.</w:t>
      </w:r>
      <w:r w:rsidRPr="00C47181">
        <w:rPr>
          <w:szCs w:val="24"/>
        </w:rPr>
        <w:t xml:space="preserve">  </w:t>
      </w:r>
    </w:p>
    <w:p w:rsidR="00C6174A" w:rsidP="00C6174A" w14:paraId="36CE8433" w14:textId="77777777">
      <w:pPr>
        <w:tabs>
          <w:tab w:val="left" w:pos="-1080"/>
          <w:tab w:val="left" w:pos="-720"/>
          <w:tab w:val="left" w:pos="0"/>
          <w:tab w:val="left" w:pos="720"/>
          <w:tab w:val="left" w:pos="1080"/>
        </w:tabs>
        <w:ind w:left="720" w:hanging="720"/>
        <w:jc w:val="both"/>
        <w:rPr>
          <w:rFonts w:ascii="Arial" w:hAnsi="Arial"/>
          <w:szCs w:val="24"/>
        </w:rPr>
      </w:pPr>
      <w:r>
        <w:rPr>
          <w:rFonts w:ascii="Arial" w:hAnsi="Arial"/>
          <w:szCs w:val="24"/>
        </w:rPr>
        <w:tab/>
      </w:r>
    </w:p>
    <w:p w:rsidR="00224C2A" w:rsidP="00C6174A" w14:paraId="3E6411EA" w14:textId="77777777">
      <w:pPr>
        <w:tabs>
          <w:tab w:val="left" w:pos="-1080"/>
          <w:tab w:val="left" w:pos="-720"/>
          <w:tab w:val="left" w:pos="0"/>
          <w:tab w:val="left" w:pos="720"/>
          <w:tab w:val="left" w:pos="1080"/>
        </w:tabs>
        <w:ind w:left="720" w:hanging="720"/>
        <w:jc w:val="both"/>
        <w:rPr>
          <w:rFonts w:ascii="Arial" w:hAnsi="Arial"/>
          <w:szCs w:val="24"/>
        </w:rPr>
      </w:pPr>
      <w:r>
        <w:rPr>
          <w:rFonts w:ascii="Arial" w:hAnsi="Arial"/>
          <w:szCs w:val="24"/>
        </w:rPr>
        <w:tab/>
        <w:t xml:space="preserve">Information requested from the Importer may be submitted into the Automated </w:t>
      </w:r>
      <w:r w:rsidRPr="00224C2A">
        <w:rPr>
          <w:rFonts w:ascii="Arial" w:hAnsi="Arial"/>
          <w:szCs w:val="24"/>
        </w:rPr>
        <w:t>Commercial Environment via the Document Image System.</w:t>
      </w:r>
      <w:r w:rsidR="009B0DF9">
        <w:rPr>
          <w:rFonts w:ascii="Arial" w:hAnsi="Arial"/>
          <w:szCs w:val="24"/>
        </w:rPr>
        <w:t xml:space="preserve"> </w:t>
      </w:r>
      <w:r>
        <w:rPr>
          <w:rFonts w:ascii="Arial" w:hAnsi="Arial"/>
          <w:szCs w:val="24"/>
        </w:rPr>
        <w:t xml:space="preserve"> </w:t>
      </w:r>
    </w:p>
    <w:p w:rsidR="00224C2A" w:rsidP="00224C2A" w14:paraId="4DA967FD" w14:textId="47CDD4A8">
      <w:pPr>
        <w:tabs>
          <w:tab w:val="left" w:pos="-1080"/>
          <w:tab w:val="left" w:pos="-720"/>
          <w:tab w:val="left" w:pos="0"/>
          <w:tab w:val="left" w:pos="720"/>
          <w:tab w:val="left" w:pos="1080"/>
        </w:tabs>
        <w:ind w:left="1440" w:hanging="720"/>
        <w:jc w:val="both"/>
        <w:rPr>
          <w:rFonts w:ascii="Arial" w:hAnsi="Arial"/>
          <w:szCs w:val="24"/>
        </w:rPr>
      </w:pPr>
      <w:hyperlink r:id="rId6" w:history="1">
        <w:r w:rsidRPr="00216891">
          <w:rPr>
            <w:rStyle w:val="Hyperlink"/>
            <w:rFonts w:ascii="Arial" w:hAnsi="Arial"/>
            <w:szCs w:val="24"/>
          </w:rPr>
          <w:t>https://www.cbp.gov/document/guidance/ace-basics-dis</w:t>
        </w:r>
      </w:hyperlink>
      <w:r w:rsidRPr="00224C2A">
        <w:rPr>
          <w:rFonts w:ascii="Arial" w:hAnsi="Arial"/>
          <w:szCs w:val="24"/>
        </w:rPr>
        <w:t xml:space="preserve"> </w:t>
      </w:r>
    </w:p>
    <w:p w:rsidR="00EA2F05" w:rsidP="00224C2A" w14:paraId="2BB2610F" w14:textId="45684EF2">
      <w:pPr>
        <w:tabs>
          <w:tab w:val="left" w:pos="-1080"/>
          <w:tab w:val="left" w:pos="-720"/>
          <w:tab w:val="left" w:pos="0"/>
          <w:tab w:val="left" w:pos="720"/>
          <w:tab w:val="left" w:pos="1080"/>
        </w:tabs>
        <w:ind w:left="1440" w:hanging="720"/>
        <w:jc w:val="both"/>
        <w:rPr>
          <w:rFonts w:ascii="Arial" w:hAnsi="Arial"/>
          <w:szCs w:val="24"/>
        </w:rPr>
      </w:pPr>
      <w:r>
        <w:rPr>
          <w:rFonts w:ascii="Arial" w:hAnsi="Arial"/>
          <w:szCs w:val="24"/>
        </w:rPr>
        <w:t>There is no specific format required for responses.</w:t>
      </w:r>
      <w:r w:rsidR="00F8196B">
        <w:rPr>
          <w:rFonts w:ascii="Arial" w:hAnsi="Arial"/>
          <w:szCs w:val="24"/>
        </w:rPr>
        <w:t xml:space="preserve"> </w:t>
      </w:r>
    </w:p>
    <w:p w:rsidR="00F8196B" w:rsidP="00C6174A" w14:paraId="073AA79B" w14:textId="77777777">
      <w:pPr>
        <w:tabs>
          <w:tab w:val="left" w:pos="-1080"/>
          <w:tab w:val="left" w:pos="-720"/>
          <w:tab w:val="left" w:pos="0"/>
          <w:tab w:val="left" w:pos="720"/>
          <w:tab w:val="left" w:pos="1080"/>
        </w:tabs>
        <w:ind w:left="720" w:hanging="720"/>
        <w:jc w:val="both"/>
        <w:rPr>
          <w:rFonts w:ascii="Arial" w:hAnsi="Arial"/>
          <w:color w:val="FF0000"/>
        </w:rPr>
      </w:pPr>
    </w:p>
    <w:p w:rsidR="006F0211" w:rsidRPr="008E66C8" w:rsidP="00EA2F05" w14:paraId="75424FB1" w14:textId="77777777">
      <w:pPr>
        <w:tabs>
          <w:tab w:val="left" w:pos="-1080"/>
          <w:tab w:val="left" w:pos="-720"/>
          <w:tab w:val="left" w:pos="0"/>
          <w:tab w:val="left" w:pos="720"/>
          <w:tab w:val="left" w:pos="1080"/>
        </w:tabs>
        <w:ind w:left="720" w:hanging="720"/>
        <w:jc w:val="both"/>
        <w:rPr>
          <w:rFonts w:ascii="Arial" w:hAnsi="Arial" w:cs="Arial"/>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p>
    <w:p w:rsidR="006F0211" w:rsidRPr="00C47181" w:rsidP="006F0211" w14:paraId="0BF831F0" w14:textId="77777777">
      <w:pPr>
        <w:tabs>
          <w:tab w:val="left" w:pos="-1440"/>
        </w:tabs>
        <w:ind w:left="720" w:hanging="720"/>
        <w:jc w:val="both"/>
        <w:rPr>
          <w:rFonts w:ascii="Arial" w:hAnsi="Arial" w:cs="Arial"/>
          <w:b/>
          <w:bCs/>
          <w:szCs w:val="24"/>
        </w:rPr>
      </w:pPr>
      <w:r>
        <w:rPr>
          <w:rFonts w:ascii="Arial" w:hAnsi="Arial"/>
          <w:b/>
          <w:bCs/>
          <w:szCs w:val="24"/>
        </w:rPr>
        <w:t xml:space="preserve"> </w:t>
      </w:r>
      <w:r w:rsidRPr="00C47181">
        <w:rPr>
          <w:rFonts w:ascii="Arial" w:hAnsi="Arial"/>
          <w:b/>
          <w:bCs/>
          <w:szCs w:val="24"/>
        </w:rPr>
        <w:t>4.</w:t>
      </w:r>
      <w:r w:rsidRPr="00C47181">
        <w:rPr>
          <w:rFonts w:ascii="Arial" w:hAnsi="Arial"/>
          <w:szCs w:val="24"/>
        </w:rPr>
        <w:tab/>
      </w:r>
      <w:r w:rsidRPr="00CF09D1">
        <w:rPr>
          <w:rFonts w:ascii="Arial" w:hAnsi="Arial" w:cs="Arial"/>
          <w:b/>
          <w:bCs/>
          <w:szCs w:val="24"/>
        </w:rPr>
        <w:t>Describe efforts to identify duplication.  Show specifically why any similar information already available cannot be used or modified for use for the purposes described in Item 2 above.</w:t>
      </w:r>
      <w:r w:rsidRPr="00C47181">
        <w:rPr>
          <w:rFonts w:ascii="Arial" w:hAnsi="Arial" w:cs="Arial"/>
          <w:b/>
          <w:bCs/>
          <w:szCs w:val="24"/>
        </w:rPr>
        <w:t xml:space="preserve">  </w:t>
      </w:r>
    </w:p>
    <w:p w:rsidR="006F0211" w:rsidRPr="00C47181" w:rsidP="006F0211" w14:paraId="4BA088BF" w14:textId="77777777">
      <w:pPr>
        <w:tabs>
          <w:tab w:val="left" w:pos="-1440"/>
        </w:tabs>
        <w:ind w:left="720" w:hanging="720"/>
        <w:jc w:val="both"/>
        <w:rPr>
          <w:rFonts w:ascii="Arial" w:hAnsi="Arial"/>
          <w:szCs w:val="24"/>
        </w:rPr>
      </w:pPr>
    </w:p>
    <w:p w:rsidR="006F0211" w:rsidRPr="00C47181" w:rsidP="006F0211" w14:paraId="68AAE8F1" w14:textId="77777777">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000C629A" w:rsidP="006F0211" w14:paraId="7FB7526B" w14:textId="77777777">
      <w:pPr>
        <w:ind w:left="720" w:hanging="720"/>
        <w:jc w:val="both"/>
        <w:rPr>
          <w:rFonts w:ascii="Arial" w:hAnsi="Arial"/>
          <w:b/>
          <w:bCs/>
          <w:szCs w:val="24"/>
        </w:rPr>
      </w:pPr>
      <w:r>
        <w:rPr>
          <w:rFonts w:ascii="Arial" w:hAnsi="Arial"/>
          <w:b/>
          <w:bCs/>
          <w:szCs w:val="24"/>
        </w:rPr>
        <w:t xml:space="preserve"> </w:t>
      </w:r>
    </w:p>
    <w:p w:rsidR="006F0211" w:rsidRPr="00C47181" w:rsidP="006F0211" w14:paraId="36E1D027" w14:textId="77777777">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6F0211" w:rsidRPr="00C47181" w:rsidP="006F0211" w14:paraId="0FFB369F" w14:textId="77777777">
      <w:pPr>
        <w:tabs>
          <w:tab w:val="left" w:pos="-1440"/>
        </w:tabs>
        <w:ind w:left="720" w:hanging="720"/>
        <w:jc w:val="both"/>
        <w:rPr>
          <w:rFonts w:ascii="Arial" w:hAnsi="Arial"/>
          <w:szCs w:val="24"/>
        </w:rPr>
      </w:pPr>
    </w:p>
    <w:p w:rsidR="006F0211" w:rsidP="006F0211" w14:paraId="336B2C0F"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6F0211" w:rsidRPr="00C47181" w:rsidP="006F0211" w14:paraId="3185FB11" w14:textId="77777777">
      <w:pPr>
        <w:pStyle w:val="BodyTextIndent"/>
      </w:pPr>
      <w:r>
        <w:tab/>
      </w:r>
      <w:r>
        <w:tab/>
      </w:r>
      <w:r>
        <w:tab/>
      </w:r>
      <w:r>
        <w:tab/>
      </w:r>
      <w:r>
        <w:tab/>
      </w:r>
      <w:r>
        <w:tab/>
      </w:r>
    </w:p>
    <w:p w:rsidR="006F0211" w:rsidRPr="002A568C" w:rsidP="000C629A" w14:paraId="7BFD76D1" w14:textId="77777777">
      <w:pPr>
        <w:widowControl/>
        <w:numPr>
          <w:ilvl w:val="0"/>
          <w:numId w:val="3"/>
        </w:numPr>
        <w:jc w:val="both"/>
        <w:rPr>
          <w:rFonts w:ascii="Arial" w:hAnsi="Arial"/>
          <w:szCs w:val="24"/>
        </w:rPr>
      </w:pPr>
      <w:r>
        <w:rPr>
          <w:rFonts w:ascii="Arial" w:hAnsi="Arial" w:cs="Arial"/>
          <w:b/>
          <w:bCs/>
          <w:szCs w:val="24"/>
        </w:rPr>
        <w:t xml:space="preserve"> </w:t>
      </w:r>
      <w:r>
        <w:rPr>
          <w:rFonts w:ascii="Arial" w:hAnsi="Arial" w:cs="Arial"/>
          <w:b/>
          <w:bCs/>
          <w:szCs w:val="24"/>
        </w:rPr>
        <w:tab/>
      </w:r>
      <w:r w:rsidRPr="00C47181">
        <w:rPr>
          <w:rFonts w:ascii="Arial" w:hAnsi="Arial" w:cs="Arial"/>
          <w:b/>
          <w:bCs/>
          <w:szCs w:val="24"/>
        </w:rPr>
        <w:t>Describe consequences to Federal program or policy activities if the</w:t>
      </w:r>
      <w:r>
        <w:rPr>
          <w:rFonts w:ascii="Arial" w:hAnsi="Arial" w:cs="Arial"/>
          <w:b/>
          <w:bCs/>
          <w:szCs w:val="24"/>
        </w:rPr>
        <w:t xml:space="preserve">                     </w:t>
      </w:r>
      <w:r>
        <w:rPr>
          <w:rFonts w:ascii="Arial" w:hAnsi="Arial" w:cs="Arial"/>
          <w:b/>
          <w:bCs/>
          <w:szCs w:val="24"/>
        </w:rPr>
        <w:tab/>
      </w:r>
      <w:r w:rsidRPr="00C47181">
        <w:rPr>
          <w:rFonts w:ascii="Arial" w:hAnsi="Arial" w:cs="Arial"/>
          <w:b/>
          <w:bCs/>
          <w:szCs w:val="24"/>
        </w:rPr>
        <w:t>collection is not conducted or is conducted less frequently</w:t>
      </w:r>
      <w:r>
        <w:rPr>
          <w:rFonts w:ascii="Arial" w:hAnsi="Arial" w:cs="Arial"/>
          <w:b/>
          <w:bCs/>
          <w:szCs w:val="24"/>
        </w:rPr>
        <w:t>.</w:t>
      </w:r>
    </w:p>
    <w:p w:rsidR="009B0DF9" w:rsidRPr="0048226E" w:rsidP="0048226E" w14:paraId="1015CF28" w14:textId="5C7F8481">
      <w:pPr>
        <w:tabs>
          <w:tab w:val="left" w:pos="-1440"/>
        </w:tabs>
        <w:ind w:left="720" w:hanging="720"/>
        <w:jc w:val="both"/>
        <w:rPr>
          <w:rFonts w:ascii="Arial" w:hAnsi="Arial"/>
        </w:rPr>
      </w:pPr>
      <w:r>
        <w:rPr>
          <w:rFonts w:ascii="Arial" w:hAnsi="Arial"/>
        </w:rPr>
        <w:tab/>
      </w:r>
    </w:p>
    <w:p w:rsidR="000C629A" w:rsidRPr="0048226E" w:rsidP="000C629A" w14:paraId="2FB8E2D6" w14:textId="77777777">
      <w:pPr>
        <w:tabs>
          <w:tab w:val="left" w:pos="-1440"/>
        </w:tabs>
        <w:ind w:left="720" w:hanging="720"/>
        <w:jc w:val="both"/>
        <w:rPr>
          <w:rFonts w:ascii="Arial" w:hAnsi="Arial"/>
        </w:rPr>
      </w:pPr>
      <w:r w:rsidRPr="0048226E">
        <w:rPr>
          <w:rFonts w:ascii="Arial" w:hAnsi="Arial"/>
        </w:rPr>
        <w:tab/>
        <w:t>Failure to collect this information would cause the seizure or denial of entry to merchandise which otherwise would have been found to be admissible.</w:t>
      </w:r>
    </w:p>
    <w:p w:rsidR="006F0211" w:rsidP="006F0211" w14:paraId="62E2F326" w14:textId="77777777">
      <w:pPr>
        <w:tabs>
          <w:tab w:val="left" w:pos="-1440"/>
        </w:tabs>
        <w:ind w:left="720" w:hanging="720"/>
        <w:jc w:val="both"/>
        <w:rPr>
          <w:rFonts w:ascii="Arial" w:hAnsi="Arial"/>
        </w:rPr>
      </w:pPr>
      <w:r>
        <w:rPr>
          <w:rFonts w:ascii="Arial" w:hAnsi="Arial"/>
        </w:rPr>
        <w:tab/>
      </w:r>
    </w:p>
    <w:p w:rsidR="006F0211" w:rsidRPr="00C47181" w:rsidP="000C629A" w14:paraId="3796D69E"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EA2F05">
        <w:rPr>
          <w:rFonts w:ascii="Arial" w:hAnsi="Arial" w:cs="Arial"/>
          <w:b/>
          <w:bCs/>
          <w:szCs w:val="24"/>
        </w:rPr>
        <w:t>.</w:t>
      </w:r>
    </w:p>
    <w:p w:rsidR="006F0211" w:rsidRPr="00C47181" w:rsidP="006F0211" w14:paraId="30B42EC3" w14:textId="77777777">
      <w:pPr>
        <w:tabs>
          <w:tab w:val="left" w:pos="-1440"/>
        </w:tabs>
        <w:ind w:left="720" w:hanging="720"/>
        <w:jc w:val="both"/>
        <w:rPr>
          <w:rFonts w:ascii="Arial" w:hAnsi="Arial"/>
          <w:szCs w:val="24"/>
        </w:rPr>
      </w:pPr>
    </w:p>
    <w:p w:rsidR="006F0211" w:rsidP="006F0211" w14:paraId="0B72ADA2"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6F0211" w:rsidP="006F0211" w14:paraId="497BDB92" w14:textId="77777777">
      <w:pPr>
        <w:ind w:left="720" w:hanging="720"/>
        <w:jc w:val="both"/>
        <w:rPr>
          <w:rFonts w:ascii="Arial" w:hAnsi="Arial" w:cs="Arial"/>
          <w:b/>
          <w:bCs/>
          <w:szCs w:val="24"/>
        </w:rPr>
      </w:pPr>
      <w:r>
        <w:rPr>
          <w:rFonts w:ascii="Arial" w:hAnsi="Arial" w:cs="Arial"/>
          <w:b/>
          <w:bCs/>
          <w:szCs w:val="24"/>
        </w:rPr>
        <w:t xml:space="preserve">  </w:t>
      </w:r>
    </w:p>
    <w:p w:rsidR="006F0211" w:rsidP="000C629A" w14:paraId="2FA340F7" w14:textId="63B9066E">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w:t>
      </w:r>
      <w:r w:rsidRPr="00C47181">
        <w:rPr>
          <w:rFonts w:ascii="Arial" w:hAnsi="Arial" w:cs="Arial"/>
          <w:b/>
          <w:bCs/>
          <w:szCs w:val="24"/>
        </w:rPr>
        <w:t>publication</w:t>
      </w:r>
      <w:r w:rsidRPr="00C47181">
        <w:rPr>
          <w:rFonts w:ascii="Arial" w:hAnsi="Arial" w:cs="Arial"/>
          <w:b/>
          <w:bCs/>
          <w:szCs w:val="24"/>
        </w:rPr>
        <w:t xml:space="preserve"> </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soliciting comments on the information collection prior to submission to OMB</w:t>
      </w:r>
      <w:r w:rsidRPr="00C47181" w:rsidR="0048226E">
        <w:rPr>
          <w:rFonts w:ascii="Arial" w:hAnsi="Arial" w:cs="Arial"/>
          <w:b/>
          <w:bCs/>
          <w:szCs w:val="24"/>
        </w:rPr>
        <w:t xml:space="preserve">.  </w:t>
      </w:r>
      <w:r w:rsidRPr="00C47181">
        <w:rPr>
          <w:rFonts w:ascii="Arial" w:hAnsi="Arial" w:cs="Arial"/>
          <w:b/>
          <w:bCs/>
          <w:szCs w:val="24"/>
        </w:rPr>
        <w:t xml:space="preserve">Summarize public comments received in response to that notice and describe actions taken by the agency </w:t>
      </w:r>
      <w:r>
        <w:rPr>
          <w:rFonts w:ascii="Arial" w:hAnsi="Arial" w:cs="Arial"/>
          <w:b/>
          <w:bCs/>
          <w:szCs w:val="24"/>
        </w:rPr>
        <w:t>in response to these comments</w:t>
      </w:r>
      <w:r w:rsidR="0048226E">
        <w:rPr>
          <w:rFonts w:ascii="Arial" w:hAnsi="Arial" w:cs="Arial"/>
          <w:b/>
          <w:bCs/>
          <w:szCs w:val="24"/>
        </w:rPr>
        <w:t xml:space="preserve">.  </w:t>
      </w:r>
      <w:r w:rsidRPr="00C47181">
        <w:rPr>
          <w:rFonts w:ascii="Arial" w:hAnsi="Arial" w:cs="Arial"/>
          <w:b/>
          <w:bCs/>
          <w:szCs w:val="24"/>
        </w:rPr>
        <w:t xml:space="preserve">Specifically address comments received on cost and hour </w:t>
      </w:r>
      <w:r w:rsidRPr="00C47181">
        <w:rPr>
          <w:rFonts w:ascii="Arial" w:hAnsi="Arial" w:cs="Arial"/>
          <w:b/>
          <w:bCs/>
          <w:szCs w:val="24"/>
        </w:rPr>
        <w:t>burden.</w:t>
      </w:r>
    </w:p>
    <w:p w:rsidR="006F0211" w:rsidP="006F0211" w14:paraId="24FFFDCD" w14:textId="77777777">
      <w:pPr>
        <w:tabs>
          <w:tab w:val="left" w:pos="-1440"/>
        </w:tabs>
        <w:ind w:left="720" w:hanging="360"/>
        <w:jc w:val="both"/>
        <w:rPr>
          <w:rFonts w:ascii="Arial" w:hAnsi="Arial"/>
        </w:rPr>
      </w:pPr>
      <w:r>
        <w:rPr>
          <w:rFonts w:ascii="Arial" w:hAnsi="Arial"/>
        </w:rPr>
        <w:tab/>
      </w:r>
    </w:p>
    <w:p w:rsidR="006F0211" w:rsidP="006F0211" w14:paraId="0BB8728C" w14:textId="4C6BF0A2">
      <w:pPr>
        <w:tabs>
          <w:tab w:val="left" w:pos="-1440"/>
        </w:tabs>
        <w:ind w:left="720" w:hanging="360"/>
        <w:jc w:val="both"/>
        <w:rPr>
          <w:rFonts w:ascii="Arial" w:hAnsi="Arial"/>
        </w:rPr>
      </w:pPr>
      <w:r>
        <w:rPr>
          <w:rFonts w:ascii="Arial" w:hAnsi="Arial"/>
        </w:rPr>
        <w:tab/>
      </w:r>
      <w:r w:rsidRPr="00633B0F">
        <w:rPr>
          <w:rFonts w:ascii="Arial" w:hAnsi="Arial"/>
        </w:rPr>
        <w:t xml:space="preserve">Public comments were solicited through </w:t>
      </w:r>
      <w:r w:rsidR="00CA61A2">
        <w:rPr>
          <w:rFonts w:ascii="Arial" w:hAnsi="Arial"/>
        </w:rPr>
        <w:t xml:space="preserve">a NPRM published on the </w:t>
      </w:r>
      <w:r w:rsidRPr="00633B0F">
        <w:rPr>
          <w:rFonts w:ascii="Arial" w:hAnsi="Arial"/>
        </w:rPr>
        <w:t>Federal Register</w:t>
      </w:r>
      <w:r w:rsidR="00CA61A2">
        <w:rPr>
          <w:rFonts w:ascii="Arial" w:hAnsi="Arial"/>
        </w:rPr>
        <w:t xml:space="preserve"> </w:t>
      </w:r>
      <w:r w:rsidRPr="00633B0F">
        <w:rPr>
          <w:rFonts w:ascii="Arial" w:hAnsi="Arial"/>
        </w:rPr>
        <w:t xml:space="preserve">on </w:t>
      </w:r>
      <w:r w:rsidR="00CA61A2">
        <w:rPr>
          <w:rFonts w:ascii="Arial" w:hAnsi="Arial"/>
        </w:rPr>
        <w:t>October</w:t>
      </w:r>
      <w:r w:rsidR="00633B0F">
        <w:rPr>
          <w:rFonts w:ascii="Arial" w:hAnsi="Arial"/>
        </w:rPr>
        <w:t xml:space="preserve"> </w:t>
      </w:r>
      <w:r w:rsidR="00CA61A2">
        <w:rPr>
          <w:rFonts w:ascii="Arial" w:hAnsi="Arial"/>
        </w:rPr>
        <w:t>16</w:t>
      </w:r>
      <w:r w:rsidRPr="00633B0F">
        <w:rPr>
          <w:rFonts w:ascii="Arial" w:hAnsi="Arial"/>
        </w:rPr>
        <w:t>, 20</w:t>
      </w:r>
      <w:r w:rsidR="00CA61A2">
        <w:rPr>
          <w:rFonts w:ascii="Arial" w:hAnsi="Arial"/>
        </w:rPr>
        <w:t>19</w:t>
      </w:r>
      <w:r w:rsidRPr="00633B0F">
        <w:rPr>
          <w:rFonts w:ascii="Arial" w:hAnsi="Arial"/>
        </w:rPr>
        <w:t xml:space="preserve"> </w:t>
      </w:r>
      <w:r w:rsidRPr="001B46B3">
        <w:rPr>
          <w:rFonts w:ascii="Arial" w:hAnsi="Arial"/>
        </w:rPr>
        <w:t>(</w:t>
      </w:r>
      <w:r w:rsidRPr="001B46B3" w:rsidR="001B46B3">
        <w:rPr>
          <w:rFonts w:ascii="Arial" w:hAnsi="Arial"/>
        </w:rPr>
        <w:t>8</w:t>
      </w:r>
      <w:r w:rsidR="00CA61A2">
        <w:rPr>
          <w:rFonts w:ascii="Arial" w:hAnsi="Arial"/>
        </w:rPr>
        <w:t>4</w:t>
      </w:r>
      <w:r w:rsidRPr="001B46B3" w:rsidR="001B46B3">
        <w:rPr>
          <w:rFonts w:ascii="Arial" w:hAnsi="Arial"/>
        </w:rPr>
        <w:t xml:space="preserve"> FR</w:t>
      </w:r>
      <w:r w:rsidRPr="001B46B3">
        <w:rPr>
          <w:rFonts w:ascii="Arial" w:hAnsi="Arial"/>
        </w:rPr>
        <w:t xml:space="preserve"> </w:t>
      </w:r>
      <w:r w:rsidR="001B46B3">
        <w:rPr>
          <w:rFonts w:ascii="Arial" w:hAnsi="Arial"/>
        </w:rPr>
        <w:t>5</w:t>
      </w:r>
      <w:r w:rsidR="00CA61A2">
        <w:rPr>
          <w:rFonts w:ascii="Arial" w:hAnsi="Arial"/>
        </w:rPr>
        <w:t>5251</w:t>
      </w:r>
      <w:r w:rsidRPr="00633B0F">
        <w:rPr>
          <w:rFonts w:ascii="Arial" w:hAnsi="Arial"/>
        </w:rPr>
        <w:t>)</w:t>
      </w:r>
      <w:r w:rsidR="0048226E">
        <w:rPr>
          <w:rFonts w:ascii="Arial" w:hAnsi="Arial"/>
        </w:rPr>
        <w:t>.</w:t>
      </w:r>
      <w:r w:rsidR="00945961">
        <w:rPr>
          <w:rFonts w:ascii="Arial" w:hAnsi="Arial"/>
        </w:rPr>
        <w:t xml:space="preserve"> Public comments will be solicited during the next renewal/revision period after the Final Rule approval.</w:t>
      </w:r>
    </w:p>
    <w:p w:rsidR="006F0211" w:rsidP="006F0211" w14:paraId="67F8D2D5" w14:textId="77777777">
      <w:pPr>
        <w:ind w:left="720" w:hanging="600"/>
        <w:jc w:val="both"/>
        <w:rPr>
          <w:rFonts w:ascii="Arial" w:hAnsi="Arial"/>
          <w:b/>
          <w:bCs/>
          <w:szCs w:val="24"/>
        </w:rPr>
      </w:pPr>
    </w:p>
    <w:p w:rsidR="006F0211" w:rsidRPr="00C47181" w:rsidP="006F0211" w14:paraId="4FBD3548"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6F0211" w:rsidRPr="00C47181" w:rsidP="006F0211" w14:paraId="28B1E752" w14:textId="77777777">
      <w:pPr>
        <w:tabs>
          <w:tab w:val="left" w:pos="-1440"/>
        </w:tabs>
        <w:ind w:left="720" w:hanging="720"/>
        <w:jc w:val="both"/>
        <w:rPr>
          <w:rFonts w:ascii="Arial" w:hAnsi="Arial"/>
          <w:szCs w:val="24"/>
        </w:rPr>
      </w:pPr>
    </w:p>
    <w:p w:rsidR="006F0211" w:rsidRPr="00C47181" w:rsidP="006F0211" w14:paraId="4C03F84D"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013527" w:rsidP="006F0211" w14:paraId="4F596EB3" w14:textId="77777777">
      <w:pPr>
        <w:ind w:left="720" w:hanging="720"/>
        <w:jc w:val="both"/>
        <w:rPr>
          <w:rFonts w:ascii="Arial" w:hAnsi="Arial"/>
          <w:b/>
          <w:bCs/>
          <w:szCs w:val="24"/>
        </w:rPr>
      </w:pPr>
    </w:p>
    <w:p w:rsidR="006F0211" w:rsidRPr="00C47181" w:rsidP="006F0211" w14:paraId="34F8A2DE"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945961">
        <w:rPr>
          <w:rFonts w:ascii="Arial" w:hAnsi="Arial" w:cs="Arial"/>
          <w:b/>
          <w:bCs/>
          <w:szCs w:val="24"/>
        </w:rPr>
        <w:t>Describe any assurance of confidentiality provided to respondents and the basis for the assurance in statute, regulation, or agency policy.</w:t>
      </w:r>
    </w:p>
    <w:p w:rsidR="006F0211" w:rsidRPr="00C47181" w:rsidP="006F0211" w14:paraId="418CF052" w14:textId="77777777">
      <w:pPr>
        <w:tabs>
          <w:tab w:val="left" w:pos="-1440"/>
        </w:tabs>
        <w:ind w:left="720" w:hanging="720"/>
        <w:jc w:val="both"/>
        <w:rPr>
          <w:rFonts w:ascii="Arial" w:hAnsi="Arial"/>
          <w:szCs w:val="24"/>
        </w:rPr>
      </w:pPr>
      <w:r w:rsidRPr="00C47181">
        <w:rPr>
          <w:rFonts w:ascii="Arial" w:hAnsi="Arial"/>
          <w:szCs w:val="24"/>
        </w:rPr>
        <w:tab/>
      </w:r>
    </w:p>
    <w:p w:rsidR="006F0211" w:rsidRPr="00C47181" w:rsidP="006F0211" w14:paraId="56EC532D" w14:textId="604254A4">
      <w:pPr>
        <w:tabs>
          <w:tab w:val="left" w:pos="-1440"/>
        </w:tabs>
        <w:ind w:left="720" w:hanging="720"/>
        <w:jc w:val="both"/>
        <w:rPr>
          <w:rFonts w:ascii="Arial" w:hAnsi="Arial"/>
          <w:szCs w:val="24"/>
        </w:rPr>
      </w:pPr>
      <w:r w:rsidRPr="00C47181">
        <w:rPr>
          <w:rFonts w:ascii="Arial" w:hAnsi="Arial"/>
          <w:szCs w:val="24"/>
        </w:rPr>
        <w:t xml:space="preserve">          </w:t>
      </w:r>
      <w:r w:rsidR="00E2500E">
        <w:rPr>
          <w:rFonts w:ascii="Arial" w:hAnsi="Arial"/>
          <w:szCs w:val="24"/>
        </w:rPr>
        <w:tab/>
        <w:t>PIA coverage is provided for by DHS/CBP/PIA-003(b) Automated Commercial Environment (ACE), July 31, 2015</w:t>
      </w:r>
      <w:r w:rsidR="0048226E">
        <w:rPr>
          <w:rFonts w:ascii="Arial" w:hAnsi="Arial"/>
          <w:szCs w:val="24"/>
        </w:rPr>
        <w:t xml:space="preserve">.  </w:t>
      </w:r>
      <w:r w:rsidR="00FE5AAF">
        <w:rPr>
          <w:rFonts w:ascii="Arial" w:hAnsi="Arial"/>
          <w:szCs w:val="24"/>
        </w:rPr>
        <w:t xml:space="preserve">Since CBP does not retrieve by unique identifier from CBP Form 6051D, SORN coverage is not required. </w:t>
      </w:r>
      <w:r w:rsidRPr="00AE6EDE" w:rsidR="00FE5AAF">
        <w:rPr>
          <w:rFonts w:ascii="Arial" w:hAnsi="Arial"/>
          <w:szCs w:val="24"/>
        </w:rPr>
        <w:t xml:space="preserve"> </w:t>
      </w:r>
      <w:r w:rsidRPr="00EA66F9" w:rsidR="00FE5AAF">
        <w:rPr>
          <w:rFonts w:ascii="Arial" w:hAnsi="Arial"/>
          <w:szCs w:val="24"/>
        </w:rPr>
        <w:t>No assurances of confidentiality are provided.</w:t>
      </w:r>
    </w:p>
    <w:p w:rsidR="006F0211" w:rsidP="006F0211" w14:paraId="433FD9F0"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6F0211" w:rsidRPr="008E66C8" w:rsidP="006F0211" w14:paraId="039897F2" w14:textId="77777777">
      <w:pPr>
        <w:ind w:left="720" w:hanging="720"/>
        <w:jc w:val="both"/>
        <w:rPr>
          <w:rFonts w:ascii="Arial" w:hAnsi="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F0211" w:rsidRPr="00C47181" w:rsidP="006F0211" w14:paraId="1009C488" w14:textId="77777777">
      <w:pPr>
        <w:tabs>
          <w:tab w:val="left" w:pos="-1440"/>
        </w:tabs>
        <w:ind w:left="720" w:hanging="720"/>
        <w:jc w:val="both"/>
        <w:rPr>
          <w:rFonts w:ascii="Arial" w:hAnsi="Arial"/>
          <w:szCs w:val="24"/>
        </w:rPr>
      </w:pPr>
      <w:r w:rsidRPr="00C47181">
        <w:rPr>
          <w:rFonts w:ascii="Arial" w:hAnsi="Arial"/>
          <w:szCs w:val="24"/>
        </w:rPr>
        <w:tab/>
      </w:r>
    </w:p>
    <w:p w:rsidR="006F0211" w:rsidP="006F0211" w14:paraId="61C54FEC"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6F0211" w:rsidRPr="00C47181" w:rsidP="006F0211" w14:paraId="69980B9D" w14:textId="77777777">
      <w:pPr>
        <w:tabs>
          <w:tab w:val="left" w:pos="-1440"/>
        </w:tabs>
        <w:ind w:left="720" w:hanging="720"/>
        <w:jc w:val="both"/>
        <w:rPr>
          <w:rFonts w:ascii="Arial" w:hAnsi="Arial"/>
          <w:szCs w:val="24"/>
        </w:rPr>
      </w:pPr>
    </w:p>
    <w:p w:rsidR="006F0211" w:rsidRPr="00C47181" w:rsidP="006F0211" w14:paraId="0902820C" w14:textId="77777777">
      <w:pPr>
        <w:tabs>
          <w:tab w:val="left" w:pos="-1440"/>
        </w:tabs>
        <w:jc w:val="both"/>
        <w:rPr>
          <w:rFonts w:ascii="Arial" w:hAnsi="Arial"/>
          <w:szCs w:val="24"/>
        </w:rPr>
      </w:pPr>
      <w:r>
        <w:rPr>
          <w:rFonts w:ascii="Arial" w:hAnsi="Arial" w:cs="Arial"/>
          <w:b/>
          <w:bCs/>
          <w:szCs w:val="24"/>
        </w:rPr>
        <w:t xml:space="preserve">12. </w:t>
      </w:r>
      <w:r>
        <w:rPr>
          <w:rFonts w:ascii="Arial" w:hAnsi="Arial" w:cs="Arial"/>
          <w:b/>
          <w:bCs/>
          <w:szCs w:val="24"/>
        </w:rPr>
        <w:tab/>
      </w:r>
      <w:r w:rsidRPr="00CF09D1">
        <w:rPr>
          <w:rFonts w:ascii="Arial" w:hAnsi="Arial" w:cs="Arial"/>
          <w:b/>
          <w:bCs/>
          <w:szCs w:val="24"/>
        </w:rPr>
        <w:t>Provide estimates of the hour burden of the collection of information.</w:t>
      </w:r>
      <w:r w:rsidRPr="00C47181">
        <w:rPr>
          <w:rFonts w:ascii="Arial" w:hAnsi="Arial"/>
          <w:szCs w:val="24"/>
        </w:rPr>
        <w:tab/>
      </w:r>
    </w:p>
    <w:p w:rsidR="006F0211" w:rsidRPr="00292EFF" w:rsidP="001669FB" w14:paraId="7F06D1E3" w14:textId="115FF9A8">
      <w:pPr>
        <w:jc w:val="center"/>
        <w:rPr>
          <w:rFonts w:ascii="Arial" w:hAnsi="Arial"/>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426F3CC4" w14:textId="77777777" w:rsidTr="001669F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710" w:type="dxa"/>
            <w:shd w:val="clear" w:color="auto" w:fill="auto"/>
          </w:tcPr>
          <w:p w:rsidR="006F0211" w:rsidRPr="0048226E" w:rsidP="00231722" w14:paraId="43AEF770" w14:textId="77777777">
            <w:pPr>
              <w:pStyle w:val="Style"/>
              <w:tabs>
                <w:tab w:val="left" w:pos="-1440"/>
              </w:tabs>
              <w:ind w:left="0" w:firstLine="0"/>
              <w:jc w:val="both"/>
              <w:rPr>
                <w:rFonts w:ascii="Arial" w:hAnsi="Arial"/>
                <w:sz w:val="20"/>
              </w:rPr>
            </w:pPr>
          </w:p>
          <w:p w:rsidR="006F0211" w:rsidRPr="0048226E" w:rsidP="00231722" w14:paraId="2A5754D6" w14:textId="77777777">
            <w:pPr>
              <w:pStyle w:val="Style"/>
              <w:tabs>
                <w:tab w:val="left" w:pos="-1440"/>
              </w:tabs>
              <w:ind w:left="0" w:firstLine="0"/>
              <w:jc w:val="both"/>
              <w:rPr>
                <w:rFonts w:ascii="Arial" w:hAnsi="Arial"/>
                <w:sz w:val="20"/>
              </w:rPr>
            </w:pPr>
            <w:r w:rsidRPr="0048226E">
              <w:rPr>
                <w:rFonts w:ascii="Arial" w:hAnsi="Arial"/>
                <w:b/>
                <w:sz w:val="20"/>
              </w:rPr>
              <w:t xml:space="preserve">INFORMATION COLLECTION </w:t>
            </w:r>
          </w:p>
        </w:tc>
        <w:tc>
          <w:tcPr>
            <w:tcW w:w="1260" w:type="dxa"/>
            <w:shd w:val="clear" w:color="auto" w:fill="auto"/>
          </w:tcPr>
          <w:p w:rsidR="006F0211" w:rsidRPr="0048226E" w:rsidP="00231722" w14:paraId="735E64B7" w14:textId="77777777">
            <w:pPr>
              <w:pStyle w:val="Style"/>
              <w:tabs>
                <w:tab w:val="left" w:pos="-1440"/>
              </w:tabs>
              <w:ind w:left="0" w:firstLine="0"/>
              <w:jc w:val="both"/>
              <w:rPr>
                <w:rFonts w:ascii="Arial" w:hAnsi="Arial"/>
                <w:b/>
                <w:sz w:val="20"/>
              </w:rPr>
            </w:pPr>
            <w:r w:rsidRPr="0048226E">
              <w:rPr>
                <w:rFonts w:ascii="Arial" w:hAnsi="Arial"/>
                <w:b/>
                <w:sz w:val="20"/>
              </w:rPr>
              <w:t>TOTAL ANNUAL BURDEN HOURS</w:t>
            </w:r>
          </w:p>
        </w:tc>
        <w:tc>
          <w:tcPr>
            <w:tcW w:w="1890" w:type="dxa"/>
            <w:shd w:val="clear" w:color="auto" w:fill="auto"/>
          </w:tcPr>
          <w:p w:rsidR="006F0211" w:rsidRPr="0048226E" w:rsidP="00231722" w14:paraId="074AAB8F" w14:textId="77777777">
            <w:pPr>
              <w:pStyle w:val="Style"/>
              <w:tabs>
                <w:tab w:val="left" w:pos="-1440"/>
              </w:tabs>
              <w:ind w:left="0" w:firstLine="0"/>
              <w:jc w:val="both"/>
              <w:rPr>
                <w:rFonts w:ascii="Arial" w:hAnsi="Arial"/>
                <w:b/>
                <w:sz w:val="20"/>
              </w:rPr>
            </w:pPr>
            <w:r w:rsidRPr="0048226E">
              <w:rPr>
                <w:rFonts w:ascii="Arial" w:hAnsi="Arial"/>
                <w:b/>
                <w:sz w:val="20"/>
              </w:rPr>
              <w:t>NO. OF</w:t>
            </w:r>
          </w:p>
          <w:p w:rsidR="006F0211" w:rsidRPr="0048226E" w:rsidP="00231722" w14:paraId="56A42FCA" w14:textId="77777777">
            <w:pPr>
              <w:pStyle w:val="Style"/>
              <w:tabs>
                <w:tab w:val="left" w:pos="-1440"/>
              </w:tabs>
              <w:ind w:left="0" w:firstLine="0"/>
              <w:jc w:val="both"/>
              <w:rPr>
                <w:rFonts w:ascii="Arial" w:hAnsi="Arial"/>
                <w:b/>
                <w:sz w:val="20"/>
              </w:rPr>
            </w:pPr>
            <w:r w:rsidRPr="0048226E">
              <w:rPr>
                <w:rFonts w:ascii="Arial" w:hAnsi="Arial"/>
                <w:b/>
                <w:sz w:val="20"/>
              </w:rPr>
              <w:t>RESPONDENTS</w:t>
            </w:r>
          </w:p>
        </w:tc>
        <w:tc>
          <w:tcPr>
            <w:tcW w:w="1710" w:type="dxa"/>
            <w:shd w:val="clear" w:color="auto" w:fill="auto"/>
          </w:tcPr>
          <w:p w:rsidR="006F0211" w:rsidRPr="0048226E" w:rsidP="001C71A8" w14:paraId="73CA43FA" w14:textId="77777777">
            <w:pPr>
              <w:pStyle w:val="Style"/>
              <w:tabs>
                <w:tab w:val="left" w:pos="-1440"/>
              </w:tabs>
              <w:ind w:left="0" w:firstLine="0"/>
              <w:rPr>
                <w:rFonts w:ascii="Arial" w:hAnsi="Arial"/>
                <w:b/>
                <w:sz w:val="20"/>
              </w:rPr>
            </w:pPr>
            <w:r w:rsidRPr="0048226E">
              <w:rPr>
                <w:rFonts w:ascii="Arial" w:hAnsi="Arial"/>
                <w:b/>
                <w:sz w:val="20"/>
              </w:rPr>
              <w:t>NO. OF RESPONSES PER RESPONDENT</w:t>
            </w:r>
          </w:p>
        </w:tc>
        <w:tc>
          <w:tcPr>
            <w:tcW w:w="1530" w:type="dxa"/>
            <w:shd w:val="clear" w:color="auto" w:fill="auto"/>
          </w:tcPr>
          <w:p w:rsidR="006F0211" w:rsidRPr="0048226E" w:rsidP="00231722" w14:paraId="319EC7BB" w14:textId="77777777">
            <w:pPr>
              <w:pStyle w:val="Style"/>
              <w:tabs>
                <w:tab w:val="left" w:pos="-1440"/>
              </w:tabs>
              <w:ind w:left="0" w:firstLine="0"/>
              <w:jc w:val="both"/>
              <w:rPr>
                <w:rFonts w:ascii="Arial" w:hAnsi="Arial"/>
                <w:sz w:val="20"/>
              </w:rPr>
            </w:pPr>
          </w:p>
          <w:p w:rsidR="006F0211" w:rsidRPr="0048226E" w:rsidP="00231722" w14:paraId="336118CA" w14:textId="77777777">
            <w:pPr>
              <w:pStyle w:val="Style"/>
              <w:tabs>
                <w:tab w:val="left" w:pos="-1440"/>
              </w:tabs>
              <w:ind w:left="0" w:firstLine="0"/>
              <w:jc w:val="both"/>
              <w:rPr>
                <w:rFonts w:ascii="Arial" w:hAnsi="Arial"/>
                <w:b/>
                <w:sz w:val="20"/>
              </w:rPr>
            </w:pPr>
            <w:r w:rsidRPr="0048226E">
              <w:rPr>
                <w:rFonts w:ascii="Arial" w:hAnsi="Arial"/>
                <w:b/>
                <w:sz w:val="20"/>
              </w:rPr>
              <w:t>TOTAL</w:t>
            </w:r>
          </w:p>
          <w:p w:rsidR="006F0211" w:rsidRPr="0048226E" w:rsidP="00231722" w14:paraId="2F00DEA4" w14:textId="77777777">
            <w:pPr>
              <w:pStyle w:val="Style"/>
              <w:tabs>
                <w:tab w:val="left" w:pos="-1440"/>
              </w:tabs>
              <w:ind w:left="0" w:firstLine="0"/>
              <w:jc w:val="both"/>
              <w:rPr>
                <w:rFonts w:ascii="Arial" w:hAnsi="Arial"/>
                <w:sz w:val="20"/>
              </w:rPr>
            </w:pPr>
            <w:r w:rsidRPr="0048226E">
              <w:rPr>
                <w:rFonts w:ascii="Arial" w:hAnsi="Arial"/>
                <w:b/>
                <w:sz w:val="20"/>
              </w:rPr>
              <w:t>RESPONSES</w:t>
            </w:r>
          </w:p>
        </w:tc>
        <w:tc>
          <w:tcPr>
            <w:tcW w:w="1476" w:type="dxa"/>
            <w:shd w:val="clear" w:color="auto" w:fill="auto"/>
          </w:tcPr>
          <w:p w:rsidR="006F0211" w:rsidRPr="0048226E" w:rsidP="00231722" w14:paraId="4F6A0A93" w14:textId="77777777">
            <w:pPr>
              <w:pStyle w:val="Style"/>
              <w:tabs>
                <w:tab w:val="left" w:pos="-1440"/>
              </w:tabs>
              <w:ind w:left="0" w:firstLine="0"/>
              <w:jc w:val="both"/>
              <w:rPr>
                <w:rFonts w:ascii="Arial" w:hAnsi="Arial"/>
                <w:sz w:val="20"/>
              </w:rPr>
            </w:pPr>
          </w:p>
          <w:p w:rsidR="006F0211" w:rsidRPr="0048226E" w:rsidP="00231722" w14:paraId="322490CE" w14:textId="77777777">
            <w:pPr>
              <w:pStyle w:val="Style"/>
              <w:tabs>
                <w:tab w:val="left" w:pos="-1440"/>
              </w:tabs>
              <w:ind w:left="0" w:firstLine="0"/>
              <w:jc w:val="both"/>
              <w:rPr>
                <w:rFonts w:ascii="Arial" w:hAnsi="Arial"/>
                <w:b/>
                <w:sz w:val="20"/>
              </w:rPr>
            </w:pPr>
            <w:r w:rsidRPr="0048226E">
              <w:rPr>
                <w:rFonts w:ascii="Arial" w:hAnsi="Arial"/>
                <w:b/>
                <w:sz w:val="20"/>
              </w:rPr>
              <w:t>TIME PER</w:t>
            </w:r>
          </w:p>
          <w:p w:rsidR="006F0211" w:rsidRPr="0048226E" w:rsidP="00231722" w14:paraId="3FD3FBCA" w14:textId="77777777">
            <w:pPr>
              <w:pStyle w:val="Style"/>
              <w:tabs>
                <w:tab w:val="left" w:pos="-1440"/>
              </w:tabs>
              <w:ind w:left="0" w:firstLine="0"/>
              <w:jc w:val="both"/>
              <w:rPr>
                <w:rFonts w:ascii="Arial" w:hAnsi="Arial"/>
                <w:sz w:val="20"/>
              </w:rPr>
            </w:pPr>
            <w:r w:rsidRPr="0048226E">
              <w:rPr>
                <w:rFonts w:ascii="Arial" w:hAnsi="Arial"/>
                <w:b/>
                <w:sz w:val="20"/>
              </w:rPr>
              <w:t>RESPONSE</w:t>
            </w:r>
          </w:p>
        </w:tc>
      </w:tr>
      <w:tr w14:paraId="5A8326AA" w14:textId="77777777" w:rsidTr="001669FB">
        <w:tblPrEx>
          <w:tblW w:w="0" w:type="auto"/>
          <w:jc w:val="center"/>
          <w:tblLayout w:type="fixed"/>
          <w:tblLook w:val="01E0"/>
        </w:tblPrEx>
        <w:trPr>
          <w:jc w:val="center"/>
        </w:trPr>
        <w:tc>
          <w:tcPr>
            <w:tcW w:w="1710" w:type="dxa"/>
            <w:shd w:val="clear" w:color="auto" w:fill="auto"/>
          </w:tcPr>
          <w:p w:rsidR="006F0211" w:rsidRPr="0048226E" w:rsidP="00231722" w14:paraId="407AF083" w14:textId="77777777">
            <w:pPr>
              <w:pStyle w:val="Style"/>
              <w:tabs>
                <w:tab w:val="left" w:pos="-1440"/>
              </w:tabs>
              <w:ind w:left="0" w:firstLine="0"/>
              <w:jc w:val="both"/>
              <w:rPr>
                <w:rFonts w:ascii="Arial" w:hAnsi="Arial"/>
                <w:b/>
                <w:sz w:val="20"/>
              </w:rPr>
            </w:pPr>
          </w:p>
          <w:p w:rsidR="006F0211" w:rsidRPr="0048226E" w:rsidP="00EA66F9" w14:paraId="4769AC1A" w14:textId="77777777">
            <w:pPr>
              <w:pStyle w:val="Style"/>
              <w:tabs>
                <w:tab w:val="left" w:pos="-1440"/>
              </w:tabs>
              <w:ind w:left="0" w:firstLine="0"/>
              <w:jc w:val="center"/>
              <w:rPr>
                <w:rFonts w:ascii="Arial" w:hAnsi="Arial"/>
                <w:b/>
                <w:sz w:val="22"/>
                <w:szCs w:val="22"/>
              </w:rPr>
            </w:pPr>
            <w:r w:rsidRPr="0048226E">
              <w:rPr>
                <w:rFonts w:ascii="Arial" w:hAnsi="Arial"/>
                <w:b/>
                <w:sz w:val="22"/>
                <w:szCs w:val="22"/>
              </w:rPr>
              <w:t>Notice of Detention</w:t>
            </w:r>
          </w:p>
          <w:p w:rsidR="006F0211" w:rsidRPr="0048226E" w:rsidP="00231722" w14:paraId="3BFC4B78" w14:textId="77777777">
            <w:pPr>
              <w:pStyle w:val="Style"/>
              <w:tabs>
                <w:tab w:val="left" w:pos="-1440"/>
              </w:tabs>
              <w:ind w:left="0" w:firstLine="0"/>
              <w:jc w:val="both"/>
              <w:rPr>
                <w:rFonts w:ascii="Arial" w:hAnsi="Arial"/>
                <w:b/>
                <w:sz w:val="22"/>
                <w:szCs w:val="22"/>
              </w:rPr>
            </w:pPr>
          </w:p>
        </w:tc>
        <w:tc>
          <w:tcPr>
            <w:tcW w:w="1260" w:type="dxa"/>
            <w:shd w:val="clear" w:color="auto" w:fill="auto"/>
          </w:tcPr>
          <w:p w:rsidR="006F0211" w:rsidRPr="0048226E" w:rsidP="00231722" w14:paraId="58E81541" w14:textId="77777777">
            <w:pPr>
              <w:pStyle w:val="Style"/>
              <w:tabs>
                <w:tab w:val="left" w:pos="-1440"/>
              </w:tabs>
              <w:ind w:left="0" w:firstLine="0"/>
              <w:jc w:val="both"/>
              <w:rPr>
                <w:rFonts w:ascii="Arial" w:hAnsi="Arial"/>
              </w:rPr>
            </w:pPr>
          </w:p>
          <w:p w:rsidR="00EA66F9" w:rsidRPr="0048226E" w:rsidP="00EA66F9" w14:paraId="5A845692" w14:textId="4EB7F518">
            <w:pPr>
              <w:pStyle w:val="Style"/>
              <w:tabs>
                <w:tab w:val="left" w:pos="-1440"/>
              </w:tabs>
              <w:ind w:left="0" w:firstLine="0"/>
              <w:jc w:val="center"/>
              <w:rPr>
                <w:rFonts w:ascii="Arial" w:hAnsi="Arial"/>
              </w:rPr>
            </w:pPr>
            <w:r w:rsidRPr="00CF09D1">
              <w:rPr>
                <w:rFonts w:ascii="Arial" w:hAnsi="Arial"/>
              </w:rPr>
              <w:t>3,390</w:t>
            </w:r>
          </w:p>
        </w:tc>
        <w:tc>
          <w:tcPr>
            <w:tcW w:w="1890" w:type="dxa"/>
            <w:shd w:val="clear" w:color="auto" w:fill="auto"/>
          </w:tcPr>
          <w:p w:rsidR="006F0211" w:rsidRPr="0048226E" w:rsidP="00231722" w14:paraId="21FA17D3" w14:textId="77777777">
            <w:pPr>
              <w:pStyle w:val="Style"/>
              <w:tabs>
                <w:tab w:val="left" w:pos="-1440"/>
              </w:tabs>
              <w:ind w:left="0" w:firstLine="0"/>
              <w:jc w:val="both"/>
              <w:rPr>
                <w:rFonts w:ascii="Arial" w:hAnsi="Arial"/>
              </w:rPr>
            </w:pPr>
            <w:r w:rsidRPr="0048226E">
              <w:rPr>
                <w:rFonts w:ascii="Arial" w:hAnsi="Arial"/>
              </w:rPr>
              <w:t xml:space="preserve"> </w:t>
            </w:r>
          </w:p>
          <w:p w:rsidR="006F0211" w:rsidRPr="0048226E" w:rsidP="00F27E31" w14:paraId="1270CC00" w14:textId="359BB425">
            <w:pPr>
              <w:pStyle w:val="Style"/>
              <w:tabs>
                <w:tab w:val="left" w:pos="-1440"/>
              </w:tabs>
              <w:ind w:left="0" w:firstLine="0"/>
              <w:jc w:val="center"/>
              <w:rPr>
                <w:rFonts w:ascii="Arial" w:hAnsi="Arial"/>
              </w:rPr>
            </w:pPr>
            <w:r w:rsidRPr="00655A71">
              <w:rPr>
                <w:rFonts w:ascii="Arial" w:hAnsi="Arial"/>
              </w:rPr>
              <w:t>1,695</w:t>
            </w:r>
          </w:p>
        </w:tc>
        <w:tc>
          <w:tcPr>
            <w:tcW w:w="1710" w:type="dxa"/>
            <w:shd w:val="clear" w:color="auto" w:fill="auto"/>
          </w:tcPr>
          <w:p w:rsidR="006F0211" w:rsidRPr="0048226E" w:rsidP="00231722" w14:paraId="0C4EE762" w14:textId="77777777">
            <w:pPr>
              <w:pStyle w:val="Style"/>
              <w:tabs>
                <w:tab w:val="left" w:pos="-1440"/>
              </w:tabs>
              <w:ind w:left="0" w:firstLine="0"/>
              <w:jc w:val="both"/>
              <w:rPr>
                <w:rFonts w:ascii="Arial" w:hAnsi="Arial"/>
              </w:rPr>
            </w:pPr>
          </w:p>
          <w:p w:rsidR="006F0211" w:rsidRPr="0048226E" w:rsidP="00231722" w14:paraId="4A0F43BD" w14:textId="77777777">
            <w:pPr>
              <w:pStyle w:val="Style"/>
              <w:tabs>
                <w:tab w:val="left" w:pos="-1440"/>
              </w:tabs>
              <w:ind w:left="0" w:firstLine="0"/>
              <w:jc w:val="both"/>
              <w:rPr>
                <w:rFonts w:ascii="Arial" w:hAnsi="Arial"/>
              </w:rPr>
            </w:pPr>
            <w:r w:rsidRPr="0048226E">
              <w:rPr>
                <w:rFonts w:ascii="Arial" w:hAnsi="Arial"/>
              </w:rPr>
              <w:t xml:space="preserve">        </w:t>
            </w:r>
            <w:r w:rsidRPr="0048226E" w:rsidR="000C629A">
              <w:rPr>
                <w:rFonts w:ascii="Arial" w:hAnsi="Arial"/>
              </w:rPr>
              <w:t xml:space="preserve"> </w:t>
            </w:r>
            <w:r w:rsidRPr="0048226E">
              <w:rPr>
                <w:rFonts w:ascii="Arial" w:hAnsi="Arial"/>
              </w:rPr>
              <w:t>1</w:t>
            </w:r>
          </w:p>
        </w:tc>
        <w:tc>
          <w:tcPr>
            <w:tcW w:w="1530" w:type="dxa"/>
            <w:shd w:val="clear" w:color="auto" w:fill="auto"/>
          </w:tcPr>
          <w:p w:rsidR="006F0211" w:rsidRPr="0048226E" w:rsidP="00231722" w14:paraId="46A678C9" w14:textId="77777777">
            <w:pPr>
              <w:pStyle w:val="Style"/>
              <w:tabs>
                <w:tab w:val="left" w:pos="-1440"/>
              </w:tabs>
              <w:ind w:left="0" w:firstLine="0"/>
              <w:jc w:val="both"/>
              <w:rPr>
                <w:rFonts w:ascii="Arial" w:hAnsi="Arial"/>
              </w:rPr>
            </w:pPr>
          </w:p>
          <w:p w:rsidR="006F0211" w:rsidRPr="0048226E" w:rsidP="00EA66F9" w14:paraId="7B7489AA" w14:textId="7E1A3345">
            <w:pPr>
              <w:pStyle w:val="Style"/>
              <w:tabs>
                <w:tab w:val="left" w:pos="-1440"/>
              </w:tabs>
              <w:ind w:left="0" w:firstLine="0"/>
              <w:jc w:val="center"/>
              <w:rPr>
                <w:rFonts w:ascii="Arial" w:hAnsi="Arial"/>
              </w:rPr>
            </w:pPr>
            <w:r w:rsidRPr="00655A71">
              <w:rPr>
                <w:rFonts w:ascii="Arial" w:hAnsi="Arial"/>
              </w:rPr>
              <w:t>1,695</w:t>
            </w:r>
          </w:p>
        </w:tc>
        <w:tc>
          <w:tcPr>
            <w:tcW w:w="1476" w:type="dxa"/>
            <w:shd w:val="clear" w:color="auto" w:fill="auto"/>
          </w:tcPr>
          <w:p w:rsidR="006F0211" w:rsidRPr="0048226E" w:rsidP="00231722" w14:paraId="40D22602" w14:textId="77777777">
            <w:pPr>
              <w:pStyle w:val="Style"/>
              <w:tabs>
                <w:tab w:val="left" w:pos="-1440"/>
              </w:tabs>
              <w:ind w:left="0" w:firstLine="0"/>
              <w:jc w:val="both"/>
              <w:rPr>
                <w:rFonts w:ascii="Arial" w:hAnsi="Arial"/>
                <w:sz w:val="22"/>
                <w:szCs w:val="22"/>
              </w:rPr>
            </w:pPr>
          </w:p>
          <w:p w:rsidR="006F0211" w:rsidRPr="0048226E" w:rsidP="00EA66F9" w14:paraId="495B9C2C" w14:textId="77777777">
            <w:pPr>
              <w:pStyle w:val="Style"/>
              <w:tabs>
                <w:tab w:val="left" w:pos="-1440"/>
              </w:tabs>
              <w:ind w:left="0" w:firstLine="0"/>
              <w:jc w:val="center"/>
              <w:rPr>
                <w:rFonts w:ascii="Arial" w:hAnsi="Arial"/>
                <w:sz w:val="22"/>
                <w:szCs w:val="22"/>
              </w:rPr>
            </w:pPr>
            <w:r w:rsidRPr="0048226E">
              <w:rPr>
                <w:rFonts w:ascii="Arial" w:hAnsi="Arial"/>
                <w:sz w:val="22"/>
                <w:szCs w:val="22"/>
              </w:rPr>
              <w:t>(</w:t>
            </w:r>
            <w:r w:rsidRPr="0048226E" w:rsidR="000C629A">
              <w:rPr>
                <w:rFonts w:ascii="Arial" w:hAnsi="Arial"/>
                <w:sz w:val="22"/>
                <w:szCs w:val="22"/>
              </w:rPr>
              <w:t>2</w:t>
            </w:r>
            <w:r w:rsidRPr="0048226E">
              <w:rPr>
                <w:rFonts w:ascii="Arial" w:hAnsi="Arial"/>
                <w:sz w:val="22"/>
                <w:szCs w:val="22"/>
              </w:rPr>
              <w:t xml:space="preserve"> hours)</w:t>
            </w:r>
          </w:p>
        </w:tc>
      </w:tr>
    </w:tbl>
    <w:p w:rsidR="006F0211" w:rsidRPr="000C629A" w:rsidP="000C629A" w14:paraId="746F2A10" w14:textId="77777777">
      <w:pPr>
        <w:tabs>
          <w:tab w:val="left" w:pos="-1440"/>
        </w:tabs>
        <w:ind w:left="720" w:hanging="720"/>
        <w:jc w:val="both"/>
        <w:rPr>
          <w:rFonts w:ascii="Arial" w:hAnsi="Arial"/>
          <w:szCs w:val="24"/>
        </w:rPr>
      </w:pPr>
      <w:r>
        <w:rPr>
          <w:rFonts w:ascii="Arial" w:hAnsi="Arial" w:cs="Arial"/>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Cs/>
          <w:color w:val="C0C0C0"/>
          <w:szCs w:val="24"/>
        </w:rPr>
        <w:t xml:space="preserve"> </w:t>
      </w:r>
      <w:r w:rsidRPr="00AB1E45">
        <w:rPr>
          <w:rFonts w:ascii="Arial" w:hAnsi="Arial"/>
          <w:bCs/>
          <w:color w:val="C0C0C0"/>
          <w:szCs w:val="24"/>
        </w:rPr>
        <w:tab/>
      </w:r>
      <w:r w:rsidRPr="004557FB">
        <w:rPr>
          <w:rFonts w:ascii="Arial" w:hAnsi="Arial"/>
          <w:bCs/>
          <w:szCs w:val="24"/>
        </w:rPr>
        <w:t xml:space="preserve"> </w:t>
      </w:r>
    </w:p>
    <w:p w:rsidR="006F0211" w:rsidP="006F0211" w14:paraId="67AD8DA3" w14:textId="2DF8B2E8">
      <w:pPr>
        <w:tabs>
          <w:tab w:val="left" w:pos="-1440"/>
        </w:tabs>
        <w:ind w:left="720" w:hanging="720"/>
        <w:jc w:val="both"/>
        <w:rPr>
          <w:rFonts w:ascii="Arial" w:hAnsi="Arial"/>
          <w:b/>
          <w:bCs/>
          <w:szCs w:val="24"/>
        </w:rPr>
      </w:pPr>
      <w:r>
        <w:rPr>
          <w:rFonts w:ascii="Arial" w:hAnsi="Arial"/>
          <w:b/>
          <w:bCs/>
          <w:szCs w:val="24"/>
        </w:rPr>
        <w:tab/>
        <w:t>Public Cost</w:t>
      </w:r>
    </w:p>
    <w:p w:rsidR="00C82B1F" w:rsidP="006F0211" w14:paraId="38F42E6C" w14:textId="07E3ACB0">
      <w:pPr>
        <w:tabs>
          <w:tab w:val="left" w:pos="-1440"/>
        </w:tabs>
        <w:ind w:left="720" w:hanging="720"/>
        <w:jc w:val="both"/>
        <w:rPr>
          <w:rFonts w:ascii="Arial" w:hAnsi="Arial"/>
          <w:b/>
          <w:bCs/>
          <w:szCs w:val="24"/>
        </w:rPr>
      </w:pPr>
    </w:p>
    <w:p w:rsidR="00CF09D1" w:rsidRPr="00CF09D1" w:rsidP="00CF09D1" w14:paraId="382DE692" w14:textId="283C194E">
      <w:pPr>
        <w:tabs>
          <w:tab w:val="left" w:pos="-1440"/>
        </w:tabs>
        <w:ind w:left="720"/>
        <w:jc w:val="both"/>
        <w:rPr>
          <w:rFonts w:ascii="Arial" w:hAnsi="Arial"/>
          <w:b/>
          <w:bCs/>
          <w:szCs w:val="24"/>
        </w:rPr>
      </w:pPr>
      <w:r w:rsidRPr="00CF09D1">
        <w:rPr>
          <w:rFonts w:ascii="Arial" w:hAnsi="Arial"/>
          <w:bCs/>
          <w:szCs w:val="24"/>
        </w:rPr>
        <w:t>The estimated cost to the respondents is $</w:t>
      </w:r>
      <w:r>
        <w:rPr>
          <w:rFonts w:ascii="Arial" w:hAnsi="Arial"/>
          <w:bCs/>
          <w:szCs w:val="24"/>
        </w:rPr>
        <w:t>1</w:t>
      </w:r>
      <w:r w:rsidR="00856D5A">
        <w:rPr>
          <w:rFonts w:ascii="Arial" w:hAnsi="Arial"/>
          <w:bCs/>
          <w:szCs w:val="24"/>
        </w:rPr>
        <w:t>18</w:t>
      </w:r>
      <w:r>
        <w:rPr>
          <w:rFonts w:ascii="Arial" w:hAnsi="Arial"/>
          <w:bCs/>
          <w:szCs w:val="24"/>
        </w:rPr>
        <w:t>,</w:t>
      </w:r>
      <w:r w:rsidR="00856D5A">
        <w:rPr>
          <w:rFonts w:ascii="Arial" w:hAnsi="Arial"/>
          <w:bCs/>
          <w:szCs w:val="24"/>
        </w:rPr>
        <w:t>006</w:t>
      </w:r>
      <w:r w:rsidRPr="00CF09D1">
        <w:rPr>
          <w:rFonts w:ascii="Arial" w:hAnsi="Arial"/>
          <w:bCs/>
          <w:szCs w:val="24"/>
        </w:rPr>
        <w:t>.  This is based on the estimated burden hours (</w:t>
      </w:r>
      <w:r>
        <w:rPr>
          <w:rFonts w:ascii="Arial" w:hAnsi="Arial"/>
          <w:bCs/>
          <w:szCs w:val="24"/>
        </w:rPr>
        <w:t>3,390</w:t>
      </w:r>
      <w:r w:rsidRPr="00CF09D1">
        <w:rPr>
          <w:rFonts w:ascii="Arial" w:hAnsi="Arial"/>
          <w:bCs/>
          <w:szCs w:val="24"/>
        </w:rPr>
        <w:t>) multiplied by the average loaded hourly wage rate for importers ($3</w:t>
      </w:r>
      <w:r w:rsidR="00856D5A">
        <w:rPr>
          <w:rFonts w:ascii="Arial" w:hAnsi="Arial"/>
          <w:bCs/>
          <w:szCs w:val="24"/>
        </w:rPr>
        <w:t>4</w:t>
      </w:r>
      <w:r w:rsidRPr="00CF09D1">
        <w:rPr>
          <w:rFonts w:ascii="Arial" w:hAnsi="Arial"/>
          <w:bCs/>
          <w:szCs w:val="24"/>
        </w:rPr>
        <w:t>.</w:t>
      </w:r>
      <w:r w:rsidR="00856D5A">
        <w:rPr>
          <w:rFonts w:ascii="Arial" w:hAnsi="Arial"/>
          <w:bCs/>
          <w:szCs w:val="24"/>
        </w:rPr>
        <w:t>81</w:t>
      </w:r>
      <w:r w:rsidRPr="00CF09D1">
        <w:rPr>
          <w:rFonts w:ascii="Arial" w:hAnsi="Arial"/>
          <w:bCs/>
          <w:szCs w:val="24"/>
        </w:rPr>
        <w:t>).  CBP calculated this loaded wage rate by first multiplying the Bureau of Labor Statistics’ (BLS) 202</w:t>
      </w:r>
      <w:r w:rsidR="00856D5A">
        <w:rPr>
          <w:rFonts w:ascii="Arial" w:hAnsi="Arial"/>
          <w:bCs/>
          <w:szCs w:val="24"/>
        </w:rPr>
        <w:t>1</w:t>
      </w:r>
      <w:r w:rsidRPr="00CF09D1">
        <w:rPr>
          <w:rFonts w:ascii="Arial" w:hAnsi="Arial"/>
          <w:bCs/>
          <w:szCs w:val="24"/>
        </w:rPr>
        <w:t xml:space="preserve"> median hourly wage rate for Cargo and </w:t>
      </w:r>
      <w:r w:rsidRPr="00CF09D1">
        <w:rPr>
          <w:rFonts w:ascii="Arial" w:hAnsi="Arial"/>
          <w:bCs/>
          <w:szCs w:val="24"/>
        </w:rPr>
        <w:t>Freight Agents ($2</w:t>
      </w:r>
      <w:r w:rsidR="00856D5A">
        <w:rPr>
          <w:rFonts w:ascii="Arial" w:hAnsi="Arial"/>
          <w:bCs/>
          <w:szCs w:val="24"/>
        </w:rPr>
        <w:t>2</w:t>
      </w:r>
      <w:r w:rsidRPr="00CF09D1">
        <w:rPr>
          <w:rFonts w:ascii="Arial" w:hAnsi="Arial"/>
          <w:bCs/>
          <w:szCs w:val="24"/>
        </w:rPr>
        <w:t>.</w:t>
      </w:r>
      <w:r w:rsidR="00856D5A">
        <w:rPr>
          <w:rFonts w:ascii="Arial" w:hAnsi="Arial"/>
          <w:bCs/>
          <w:szCs w:val="24"/>
        </w:rPr>
        <w:t>55</w:t>
      </w:r>
      <w:r w:rsidRPr="00CF09D1">
        <w:rPr>
          <w:rFonts w:ascii="Arial" w:hAnsi="Arial"/>
          <w:bCs/>
          <w:szCs w:val="24"/>
        </w:rPr>
        <w:t>), which CBP assumes best represents the wage for importers, by the ratio of BLS’ average 202</w:t>
      </w:r>
      <w:r w:rsidR="00856D5A">
        <w:rPr>
          <w:rFonts w:ascii="Arial" w:hAnsi="Arial"/>
          <w:bCs/>
          <w:szCs w:val="24"/>
        </w:rPr>
        <w:t>1</w:t>
      </w:r>
      <w:r w:rsidRPr="00CF09D1">
        <w:rPr>
          <w:rFonts w:ascii="Arial" w:hAnsi="Arial"/>
          <w:bCs/>
          <w:szCs w:val="24"/>
        </w:rPr>
        <w:t xml:space="preserve"> total compensation to wages and salaries for Office and Administrative Support occupations (1.4</w:t>
      </w:r>
      <w:r w:rsidR="00856D5A">
        <w:rPr>
          <w:rFonts w:ascii="Arial" w:hAnsi="Arial"/>
          <w:bCs/>
          <w:szCs w:val="24"/>
        </w:rPr>
        <w:t>8</w:t>
      </w:r>
      <w:r w:rsidRPr="00CF09D1">
        <w:rPr>
          <w:rFonts w:ascii="Arial" w:hAnsi="Arial"/>
          <w:bCs/>
          <w:szCs w:val="24"/>
        </w:rPr>
        <w:t>1</w:t>
      </w:r>
      <w:r w:rsidR="00856D5A">
        <w:rPr>
          <w:rFonts w:ascii="Arial" w:hAnsi="Arial"/>
          <w:bCs/>
          <w:szCs w:val="24"/>
        </w:rPr>
        <w:t>9</w:t>
      </w:r>
      <w:r w:rsidRPr="00CF09D1">
        <w:rPr>
          <w:rFonts w:ascii="Arial" w:hAnsi="Arial"/>
          <w:bCs/>
          <w:szCs w:val="24"/>
        </w:rPr>
        <w:t>), the assumed occupational group for importers, to account for non-salary employee benefits.</w:t>
      </w:r>
      <w:r>
        <w:rPr>
          <w:rFonts w:ascii="Arial" w:hAnsi="Arial"/>
          <w:bCs/>
          <w:szCs w:val="24"/>
          <w:vertAlign w:val="superscript"/>
        </w:rPr>
        <w:footnoteReference w:id="2"/>
      </w:r>
      <w:r w:rsidRPr="00CF09D1">
        <w:rPr>
          <w:rFonts w:ascii="Arial" w:hAnsi="Arial"/>
          <w:bCs/>
          <w:szCs w:val="24"/>
          <w:vertAlign w:val="superscript"/>
        </w:rPr>
        <w:t xml:space="preserve">  </w:t>
      </w:r>
      <w:r w:rsidRPr="00CF09D1">
        <w:rPr>
          <w:rFonts w:ascii="Arial" w:hAnsi="Arial"/>
          <w:bCs/>
          <w:szCs w:val="24"/>
        </w:rPr>
        <w:t>This figure is in 202</w:t>
      </w:r>
      <w:r w:rsidR="00856D5A">
        <w:rPr>
          <w:rFonts w:ascii="Arial" w:hAnsi="Arial"/>
          <w:bCs/>
          <w:szCs w:val="24"/>
        </w:rPr>
        <w:t>1</w:t>
      </w:r>
      <w:r w:rsidRPr="00CF09D1">
        <w:rPr>
          <w:rFonts w:ascii="Arial" w:hAnsi="Arial"/>
          <w:bCs/>
          <w:szCs w:val="24"/>
        </w:rPr>
        <w:t xml:space="preserve"> U.S. dollars and CBP assumes an annual growth rate of </w:t>
      </w:r>
      <w:r w:rsidR="00856D5A">
        <w:rPr>
          <w:rFonts w:ascii="Arial" w:hAnsi="Arial"/>
          <w:bCs/>
          <w:szCs w:val="24"/>
        </w:rPr>
        <w:t>4.15</w:t>
      </w:r>
      <w:r w:rsidRPr="00CF09D1" w:rsidR="00856D5A">
        <w:rPr>
          <w:rFonts w:ascii="Arial" w:hAnsi="Arial"/>
          <w:bCs/>
          <w:szCs w:val="24"/>
        </w:rPr>
        <w:t xml:space="preserve"> </w:t>
      </w:r>
      <w:r w:rsidRPr="00CF09D1">
        <w:rPr>
          <w:rFonts w:ascii="Arial" w:hAnsi="Arial"/>
          <w:bCs/>
          <w:szCs w:val="24"/>
        </w:rPr>
        <w:t>percent; the 202</w:t>
      </w:r>
      <w:r w:rsidR="00856D5A">
        <w:rPr>
          <w:rFonts w:ascii="Arial" w:hAnsi="Arial"/>
          <w:bCs/>
          <w:szCs w:val="24"/>
        </w:rPr>
        <w:t>1</w:t>
      </w:r>
      <w:r w:rsidRPr="00CF09D1">
        <w:rPr>
          <w:rFonts w:ascii="Arial" w:hAnsi="Arial"/>
          <w:bCs/>
          <w:szCs w:val="24"/>
        </w:rPr>
        <w:t xml:space="preserve"> U.S. dollar value is equal to the 202</w:t>
      </w:r>
      <w:r w:rsidR="00856D5A">
        <w:rPr>
          <w:rFonts w:ascii="Arial" w:hAnsi="Arial"/>
          <w:bCs/>
          <w:szCs w:val="24"/>
        </w:rPr>
        <w:t>2</w:t>
      </w:r>
      <w:r w:rsidRPr="00CF09D1">
        <w:rPr>
          <w:rFonts w:ascii="Arial" w:hAnsi="Arial"/>
          <w:bCs/>
          <w:szCs w:val="24"/>
        </w:rPr>
        <w:t xml:space="preserve"> U.S. dollar value.</w:t>
      </w:r>
    </w:p>
    <w:p w:rsidR="006F0211" w:rsidRPr="00C82B1F" w:rsidP="00C82B1F" w14:paraId="5D920CD3" w14:textId="4A5FA753">
      <w:pPr>
        <w:tabs>
          <w:tab w:val="left" w:pos="-1440"/>
        </w:tabs>
        <w:ind w:left="720" w:hanging="720"/>
        <w:jc w:val="both"/>
        <w:rPr>
          <w:rFonts w:ascii="Arial" w:hAnsi="Arial"/>
          <w:b/>
          <w:bCs/>
          <w:color w:val="FF0000"/>
          <w:szCs w:val="24"/>
        </w:rPr>
      </w:pPr>
      <w:r>
        <w:rPr>
          <w:rFonts w:ascii="Arial" w:hAnsi="Arial"/>
          <w:b/>
          <w:bCs/>
          <w:szCs w:val="24"/>
        </w:rPr>
        <w:tab/>
      </w:r>
    </w:p>
    <w:p w:rsidR="006F0211" w:rsidRPr="004628A7" w:rsidP="006F0211" w14:paraId="4702ECEB" w14:textId="77777777">
      <w:pPr>
        <w:tabs>
          <w:tab w:val="left" w:pos="-1440"/>
        </w:tabs>
        <w:ind w:left="720" w:hanging="720"/>
        <w:jc w:val="both"/>
        <w:rPr>
          <w:rFonts w:ascii="Arial" w:hAnsi="Arial"/>
          <w:b/>
          <w:bCs/>
          <w:szCs w:val="24"/>
        </w:rPr>
      </w:pPr>
      <w:r w:rsidRPr="00C47181">
        <w:rPr>
          <w:rFonts w:ascii="Arial" w:hAnsi="Arial"/>
          <w:b/>
          <w:bCs/>
          <w:szCs w:val="24"/>
        </w:rPr>
        <w:t>13.</w:t>
      </w:r>
      <w:r w:rsidRPr="00C47181">
        <w:rPr>
          <w:rFonts w:ascii="Arial" w:hAnsi="Arial"/>
          <w:szCs w:val="24"/>
        </w:rPr>
        <w:tab/>
      </w:r>
      <w:r w:rsidRPr="00CF09D1">
        <w:rPr>
          <w:rFonts w:ascii="Arial" w:hAnsi="Arial" w:cs="Arial"/>
          <w:b/>
          <w:bCs/>
          <w:szCs w:val="24"/>
        </w:rPr>
        <w:t>Provide an estimate of the total annual cost burden to respondents or record keepers resulting from the collection of information.</w:t>
      </w:r>
      <w:r w:rsidRPr="00C47181">
        <w:rPr>
          <w:rFonts w:ascii="Arial" w:hAnsi="Arial"/>
          <w:szCs w:val="24"/>
        </w:rPr>
        <w:tab/>
      </w:r>
    </w:p>
    <w:p w:rsidR="006037B8" w:rsidP="006F0211" w14:paraId="5647CD49" w14:textId="77777777">
      <w:pPr>
        <w:ind w:left="660"/>
        <w:jc w:val="both"/>
        <w:rPr>
          <w:rFonts w:ascii="Arial" w:hAnsi="Arial" w:cs="Arial"/>
        </w:rPr>
      </w:pPr>
      <w:r>
        <w:rPr>
          <w:rFonts w:ascii="Arial" w:hAnsi="Arial" w:cs="Arial"/>
        </w:rPr>
        <w:tab/>
      </w:r>
    </w:p>
    <w:p w:rsidR="006F0211" w:rsidP="006F0211" w14:paraId="1B9B422A" w14:textId="77777777">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6F0211" w:rsidP="006F0211" w14:paraId="2E45F42A" w14:textId="77777777">
      <w:pPr>
        <w:ind w:left="660"/>
        <w:jc w:val="both"/>
        <w:rPr>
          <w:rFonts w:ascii="Arial" w:hAnsi="Arial" w:cs="Arial"/>
        </w:rPr>
      </w:pPr>
      <w:r>
        <w:rPr>
          <w:rFonts w:ascii="Arial" w:hAnsi="Arial" w:cs="Arial"/>
        </w:rPr>
        <w:t xml:space="preserve">    </w:t>
      </w:r>
    </w:p>
    <w:p w:rsidR="006F0211" w:rsidRPr="008E66C8" w:rsidP="006F0211" w14:paraId="4CB4BDDB" w14:textId="77777777">
      <w:pPr>
        <w:ind w:left="660" w:hanging="660"/>
        <w:jc w:val="both"/>
        <w:rPr>
          <w:rFonts w:ascii="Arial" w:hAnsi="Arial" w:cs="Arial"/>
        </w:rPr>
      </w:pPr>
      <w:r>
        <w:rPr>
          <w:rFonts w:ascii="Arial" w:hAnsi="Arial" w:cs="Arial"/>
          <w:b/>
          <w:bCs/>
          <w:szCs w:val="24"/>
        </w:rPr>
        <w:t xml:space="preserve">14. </w:t>
      </w:r>
      <w:r>
        <w:rPr>
          <w:rFonts w:ascii="Arial" w:hAnsi="Arial" w:cs="Arial"/>
          <w:b/>
          <w:bCs/>
          <w:szCs w:val="24"/>
        </w:rPr>
        <w:tab/>
      </w:r>
      <w:r w:rsidRPr="00CF09D1">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A54CE" w:rsidRPr="00C82B1F" w:rsidP="00225097" w14:paraId="4CE46927" w14:textId="37708A1D">
      <w:pPr>
        <w:tabs>
          <w:tab w:val="left" w:pos="-1440"/>
        </w:tabs>
        <w:ind w:left="660"/>
        <w:jc w:val="both"/>
        <w:rPr>
          <w:rFonts w:ascii="Arial" w:hAnsi="Arial" w:cs="Arial"/>
          <w:color w:val="FF0000"/>
          <w:szCs w:val="24"/>
        </w:rPr>
      </w:pPr>
    </w:p>
    <w:p w:rsidR="00CF09D1" w:rsidRPr="00CF09D1" w:rsidP="00CF09D1" w14:paraId="2E3E0721" w14:textId="12D14990">
      <w:pPr>
        <w:tabs>
          <w:tab w:val="left" w:pos="-1440"/>
        </w:tabs>
        <w:ind w:left="720"/>
        <w:jc w:val="both"/>
        <w:rPr>
          <w:rFonts w:ascii="Arial" w:hAnsi="Arial" w:eastAsiaTheme="minorHAnsi" w:cs="Arial"/>
          <w:snapToGrid/>
          <w:szCs w:val="24"/>
        </w:rPr>
      </w:pPr>
      <w:r w:rsidRPr="00CF09D1">
        <w:rPr>
          <w:rFonts w:ascii="Arial" w:hAnsi="Arial" w:eastAsiaTheme="minorHAnsi" w:cs="Arial"/>
          <w:snapToGrid/>
          <w:szCs w:val="24"/>
        </w:rPr>
        <w:t xml:space="preserve">The estimated annual cost to the Federal Government associated with the review of these </w:t>
      </w:r>
      <w:r>
        <w:rPr>
          <w:rFonts w:ascii="Arial" w:hAnsi="Arial" w:eastAsiaTheme="minorHAnsi" w:cs="Arial"/>
          <w:snapToGrid/>
          <w:szCs w:val="24"/>
        </w:rPr>
        <w:t>records</w:t>
      </w:r>
      <w:r w:rsidRPr="00CF09D1">
        <w:rPr>
          <w:rFonts w:ascii="Arial" w:hAnsi="Arial" w:eastAsiaTheme="minorHAnsi" w:cs="Arial"/>
          <w:snapToGrid/>
          <w:szCs w:val="24"/>
        </w:rPr>
        <w:t xml:space="preserve"> is $</w:t>
      </w:r>
      <w:r>
        <w:rPr>
          <w:rFonts w:ascii="Arial" w:hAnsi="Arial" w:eastAsiaTheme="minorHAnsi" w:cs="Arial"/>
          <w:snapToGrid/>
          <w:szCs w:val="24"/>
        </w:rPr>
        <w:t>3</w:t>
      </w:r>
      <w:r w:rsidR="00856D5A">
        <w:rPr>
          <w:rFonts w:ascii="Arial" w:hAnsi="Arial" w:eastAsiaTheme="minorHAnsi" w:cs="Arial"/>
          <w:snapToGrid/>
          <w:szCs w:val="24"/>
        </w:rPr>
        <w:t>4</w:t>
      </w:r>
      <w:r>
        <w:rPr>
          <w:rFonts w:ascii="Arial" w:hAnsi="Arial" w:eastAsiaTheme="minorHAnsi" w:cs="Arial"/>
          <w:snapToGrid/>
          <w:szCs w:val="24"/>
        </w:rPr>
        <w:t>,7</w:t>
      </w:r>
      <w:r w:rsidR="00856D5A">
        <w:rPr>
          <w:rFonts w:ascii="Arial" w:hAnsi="Arial" w:eastAsiaTheme="minorHAnsi" w:cs="Arial"/>
          <w:snapToGrid/>
          <w:szCs w:val="24"/>
        </w:rPr>
        <w:t>81</w:t>
      </w:r>
      <w:r w:rsidRPr="00CF09D1">
        <w:rPr>
          <w:rFonts w:ascii="Arial" w:hAnsi="Arial" w:eastAsiaTheme="minorHAnsi" w:cs="Arial"/>
          <w:snapToGrid/>
          <w:szCs w:val="24"/>
        </w:rPr>
        <w:t>. This is based on the number of responses that must be reviewed (</w:t>
      </w:r>
      <w:r>
        <w:rPr>
          <w:rFonts w:ascii="Arial" w:hAnsi="Arial" w:eastAsiaTheme="minorHAnsi" w:cs="Arial"/>
          <w:snapToGrid/>
          <w:szCs w:val="24"/>
        </w:rPr>
        <w:t>1695</w:t>
      </w:r>
      <w:r w:rsidRPr="00CF09D1">
        <w:rPr>
          <w:rFonts w:ascii="Arial" w:hAnsi="Arial" w:eastAsiaTheme="minorHAnsi" w:cs="Arial"/>
          <w:snapToGrid/>
          <w:szCs w:val="24"/>
        </w:rPr>
        <w:t>) multiplied by the time burden to review and process each response (</w:t>
      </w:r>
      <w:r>
        <w:rPr>
          <w:rFonts w:ascii="Arial" w:hAnsi="Arial" w:eastAsiaTheme="minorHAnsi" w:cs="Arial"/>
          <w:snapToGrid/>
          <w:szCs w:val="24"/>
        </w:rPr>
        <w:t xml:space="preserve">.25 </w:t>
      </w:r>
      <w:r w:rsidRPr="00CF09D1">
        <w:rPr>
          <w:rFonts w:ascii="Arial" w:hAnsi="Arial" w:eastAsiaTheme="minorHAnsi" w:cs="Arial"/>
          <w:snapToGrid/>
          <w:szCs w:val="24"/>
        </w:rPr>
        <w:t xml:space="preserve">hours) = </w:t>
      </w:r>
      <w:r>
        <w:rPr>
          <w:rFonts w:ascii="Arial" w:hAnsi="Arial" w:eastAsiaTheme="minorHAnsi" w:cs="Arial"/>
          <w:snapToGrid/>
          <w:szCs w:val="24"/>
        </w:rPr>
        <w:t>424</w:t>
      </w:r>
      <w:r w:rsidRPr="00CF09D1">
        <w:rPr>
          <w:rFonts w:ascii="Arial" w:hAnsi="Arial" w:eastAsiaTheme="minorHAnsi" w:cs="Arial"/>
          <w:snapToGrid/>
          <w:szCs w:val="24"/>
        </w:rPr>
        <w:t xml:space="preserve"> hours multiplied by the average hourly loaded rate for a CBP Trade and Revenue employee ($</w:t>
      </w:r>
      <w:r w:rsidR="00856D5A">
        <w:rPr>
          <w:rFonts w:ascii="Arial" w:hAnsi="Arial" w:eastAsiaTheme="minorHAnsi" w:cs="Arial"/>
          <w:snapToGrid/>
          <w:szCs w:val="24"/>
        </w:rPr>
        <w:t>82</w:t>
      </w:r>
      <w:r w:rsidRPr="00CF09D1">
        <w:rPr>
          <w:rFonts w:ascii="Arial" w:hAnsi="Arial" w:eastAsiaTheme="minorHAnsi" w:cs="Arial"/>
          <w:snapToGrid/>
          <w:szCs w:val="24"/>
        </w:rPr>
        <w:t>.</w:t>
      </w:r>
      <w:r w:rsidR="00856D5A">
        <w:rPr>
          <w:rFonts w:ascii="Arial" w:hAnsi="Arial" w:eastAsiaTheme="minorHAnsi" w:cs="Arial"/>
          <w:snapToGrid/>
          <w:szCs w:val="24"/>
        </w:rPr>
        <w:t>08</w:t>
      </w:r>
      <w:r w:rsidRPr="00CF09D1">
        <w:rPr>
          <w:rFonts w:ascii="Arial" w:hAnsi="Arial" w:eastAsiaTheme="minorHAnsi" w:cs="Arial"/>
          <w:snapToGrid/>
          <w:szCs w:val="24"/>
        </w:rPr>
        <w:t>)</w:t>
      </w:r>
      <w:r>
        <w:rPr>
          <w:rFonts w:ascii="Arial" w:hAnsi="Arial" w:eastAsiaTheme="minorHAnsi" w:cs="Arial"/>
          <w:snapToGrid/>
          <w:szCs w:val="24"/>
          <w:vertAlign w:val="superscript"/>
        </w:rPr>
        <w:footnoteReference w:id="3"/>
      </w:r>
      <w:r w:rsidRPr="00CF09D1">
        <w:rPr>
          <w:rFonts w:ascii="Arial" w:hAnsi="Arial" w:eastAsiaTheme="minorHAnsi" w:cs="Arial"/>
          <w:snapToGrid/>
          <w:szCs w:val="24"/>
        </w:rPr>
        <w:t xml:space="preserve"> = $</w:t>
      </w:r>
      <w:r>
        <w:rPr>
          <w:rFonts w:ascii="Arial" w:hAnsi="Arial" w:eastAsiaTheme="minorHAnsi" w:cs="Arial"/>
          <w:snapToGrid/>
          <w:szCs w:val="24"/>
        </w:rPr>
        <w:t>3</w:t>
      </w:r>
      <w:r w:rsidR="00856D5A">
        <w:rPr>
          <w:rFonts w:ascii="Arial" w:hAnsi="Arial" w:eastAsiaTheme="minorHAnsi" w:cs="Arial"/>
          <w:snapToGrid/>
          <w:szCs w:val="24"/>
        </w:rPr>
        <w:t>4</w:t>
      </w:r>
      <w:r>
        <w:rPr>
          <w:rFonts w:ascii="Arial" w:hAnsi="Arial" w:eastAsiaTheme="minorHAnsi" w:cs="Arial"/>
          <w:snapToGrid/>
          <w:szCs w:val="24"/>
        </w:rPr>
        <w:t>,7</w:t>
      </w:r>
      <w:r w:rsidR="00856D5A">
        <w:rPr>
          <w:rFonts w:ascii="Arial" w:hAnsi="Arial" w:eastAsiaTheme="minorHAnsi" w:cs="Arial"/>
          <w:snapToGrid/>
          <w:szCs w:val="24"/>
        </w:rPr>
        <w:t>81</w:t>
      </w:r>
      <w:r w:rsidRPr="00CF09D1">
        <w:rPr>
          <w:rFonts w:ascii="Arial" w:hAnsi="Arial" w:eastAsiaTheme="minorHAnsi" w:cs="Arial"/>
          <w:snapToGrid/>
          <w:szCs w:val="24"/>
        </w:rPr>
        <w:t>.</w:t>
      </w:r>
    </w:p>
    <w:p w:rsidR="00C82B1F" w:rsidRPr="00C82B1F" w:rsidP="00C82B1F" w14:paraId="7BC1057F" w14:textId="17ABD025">
      <w:pPr>
        <w:tabs>
          <w:tab w:val="left" w:pos="-1440"/>
        </w:tabs>
        <w:ind w:left="720"/>
        <w:jc w:val="both"/>
        <w:rPr>
          <w:rFonts w:ascii="Arial" w:hAnsi="Arial" w:eastAsiaTheme="minorHAnsi" w:cs="Arial"/>
          <w:snapToGrid/>
          <w:szCs w:val="24"/>
        </w:rPr>
      </w:pPr>
      <w:r w:rsidRPr="00C82B1F">
        <w:rPr>
          <w:rFonts w:ascii="Arial" w:hAnsi="Arial" w:eastAsiaTheme="minorHAnsi" w:cs="Arial"/>
          <w:snapToGrid/>
          <w:szCs w:val="24"/>
        </w:rPr>
        <w:t>.</w:t>
      </w:r>
    </w:p>
    <w:p w:rsidR="006F0211" w:rsidRPr="00C82B1F" w:rsidP="00C82B1F" w14:paraId="408108ED" w14:textId="28FDFBAB">
      <w:pPr>
        <w:tabs>
          <w:tab w:val="left" w:pos="-1440"/>
        </w:tabs>
        <w:ind w:left="660"/>
        <w:jc w:val="both"/>
        <w:rPr>
          <w:rFonts w:ascii="Arial" w:hAnsi="Arial" w:cs="Arial"/>
          <w:color w:val="FF0000"/>
          <w:szCs w:val="24"/>
        </w:rPr>
      </w:pPr>
    </w:p>
    <w:p w:rsidR="006F0211" w:rsidP="006F0211" w14:paraId="3140384D" w14:textId="77777777">
      <w:pPr>
        <w:ind w:left="720" w:hanging="720"/>
        <w:jc w:val="both"/>
        <w:rPr>
          <w:rFonts w:ascii="Arial" w:hAnsi="Arial" w:cs="Arial"/>
          <w:b/>
          <w:bCs/>
          <w:szCs w:val="24"/>
        </w:rPr>
      </w:pPr>
      <w:r w:rsidRPr="008E66C8">
        <w:rPr>
          <w:rFonts w:ascii="Arial" w:hAnsi="Arial"/>
          <w:b/>
        </w:rPr>
        <w:t>15.</w:t>
      </w:r>
      <w:r>
        <w:rPr>
          <w:rFonts w:ascii="Arial" w:hAnsi="Arial"/>
          <w:b/>
        </w:rPr>
        <w:tab/>
      </w:r>
      <w:r w:rsidRPr="00CF09D1">
        <w:rPr>
          <w:rFonts w:ascii="Arial" w:hAnsi="Arial" w:cs="Arial"/>
          <w:b/>
          <w:bCs/>
          <w:szCs w:val="24"/>
        </w:rPr>
        <w:t>Explain the reasons for any program changes or adjustments reported in Items 12 or 13.</w:t>
      </w:r>
      <w:r w:rsidRPr="00C47181">
        <w:rPr>
          <w:rFonts w:ascii="Arial" w:hAnsi="Arial" w:cs="Arial"/>
          <w:b/>
          <w:bCs/>
          <w:szCs w:val="24"/>
        </w:rPr>
        <w:t xml:space="preserve">  </w:t>
      </w:r>
    </w:p>
    <w:p w:rsidR="00530A1C" w:rsidRPr="00C82B1F" w:rsidP="006F0211" w14:paraId="6CEE5E35" w14:textId="4A371A12">
      <w:pPr>
        <w:jc w:val="both"/>
        <w:rPr>
          <w:rFonts w:ascii="Arial" w:hAnsi="Arial" w:cs="Arial"/>
          <w:b/>
          <w:bCs/>
          <w:szCs w:val="24"/>
        </w:rPr>
      </w:pPr>
      <w:r>
        <w:rPr>
          <w:rFonts w:ascii="Arial" w:hAnsi="Arial" w:cs="Arial"/>
          <w:b/>
          <w:bCs/>
          <w:szCs w:val="24"/>
        </w:rPr>
        <w:tab/>
      </w:r>
    </w:p>
    <w:p w:rsidR="00CF09D1" w:rsidRPr="00CF09D1" w:rsidP="00CF09D1" w14:paraId="4F1609B7" w14:textId="4945D1D8">
      <w:pPr>
        <w:ind w:left="720"/>
        <w:jc w:val="both"/>
        <w:rPr>
          <w:rFonts w:ascii="Arial" w:hAnsi="Arial" w:cs="Arial"/>
        </w:rPr>
      </w:pPr>
      <w:r w:rsidRPr="00C82B1F">
        <w:rPr>
          <w:rFonts w:ascii="Arial" w:hAnsi="Arial" w:cs="Arial"/>
        </w:rPr>
        <w:t>There has</w:t>
      </w:r>
      <w:r w:rsidRPr="00C82B1F" w:rsidR="00176FDD">
        <w:rPr>
          <w:rFonts w:ascii="Arial" w:hAnsi="Arial" w:cs="Arial"/>
        </w:rPr>
        <w:t xml:space="preserve"> been </w:t>
      </w:r>
      <w:r>
        <w:rPr>
          <w:rFonts w:ascii="Arial" w:hAnsi="Arial" w:cs="Arial"/>
        </w:rPr>
        <w:t>a</w:t>
      </w:r>
      <w:r w:rsidRPr="00C82B1F" w:rsidR="00176FDD">
        <w:rPr>
          <w:rFonts w:ascii="Arial" w:hAnsi="Arial" w:cs="Arial"/>
        </w:rPr>
        <w:t xml:space="preserve">n </w:t>
      </w:r>
      <w:r w:rsidRPr="00C82B1F" w:rsidR="006F0211">
        <w:rPr>
          <w:rFonts w:ascii="Arial" w:hAnsi="Arial" w:cs="Arial"/>
        </w:rPr>
        <w:t>increase</w:t>
      </w:r>
      <w:r>
        <w:rPr>
          <w:rFonts w:ascii="Arial" w:hAnsi="Arial" w:cs="Arial"/>
        </w:rPr>
        <w:t xml:space="preserve"> </w:t>
      </w:r>
      <w:r w:rsidRPr="00C82B1F" w:rsidR="00176FDD">
        <w:rPr>
          <w:rFonts w:ascii="Arial" w:hAnsi="Arial" w:cs="Arial"/>
        </w:rPr>
        <w:t xml:space="preserve">to </w:t>
      </w:r>
      <w:r w:rsidRPr="00C82B1F" w:rsidR="006F0211">
        <w:rPr>
          <w:rFonts w:ascii="Arial" w:hAnsi="Arial" w:cs="Arial"/>
        </w:rPr>
        <w:t>the estimated annual burden hours previously reported for this information collection</w:t>
      </w:r>
      <w:r>
        <w:rPr>
          <w:rFonts w:ascii="Arial" w:hAnsi="Arial" w:cs="Arial"/>
        </w:rPr>
        <w:t>; b</w:t>
      </w:r>
      <w:r w:rsidRPr="00CF09D1">
        <w:rPr>
          <w:rFonts w:ascii="Arial" w:hAnsi="Arial" w:cs="Arial"/>
        </w:rPr>
        <w:t xml:space="preserve">ecause CBP estimates that the availability of the procedures in this final rule will increase the number of Notices of Detention issued for IPR violations, there is an increase in burden hours under this collection </w:t>
      </w:r>
      <w:r w:rsidRPr="00CF09D1">
        <w:rPr>
          <w:rFonts w:ascii="Arial" w:hAnsi="Arial" w:cs="Arial"/>
        </w:rPr>
        <w:t xml:space="preserve">with this final rule. </w:t>
      </w:r>
      <w:r w:rsidRPr="00860CE6" w:rsidR="00860CE6">
        <w:rPr>
          <w:rFonts w:ascii="Arial" w:hAnsi="Arial" w:cs="Arial"/>
        </w:rPr>
        <w:t>CBP estimates an additional 345 detention notices.</w:t>
      </w:r>
    </w:p>
    <w:p w:rsidR="006F0211" w:rsidRPr="00C47181" w:rsidP="006F0211" w14:paraId="0FA11463" w14:textId="1B7F7E96">
      <w:pPr>
        <w:ind w:left="720"/>
        <w:jc w:val="both"/>
        <w:rPr>
          <w:rFonts w:ascii="Arial" w:hAnsi="Arial" w:cs="Arial"/>
          <w:b/>
          <w:bCs/>
          <w:szCs w:val="24"/>
        </w:rPr>
      </w:pPr>
    </w:p>
    <w:p w:rsidR="006F0211" w:rsidRPr="00C47181" w:rsidP="006F0211" w14:paraId="3197DAA1" w14:textId="77777777">
      <w:pPr>
        <w:ind w:left="720" w:hanging="720"/>
        <w:jc w:val="both"/>
        <w:rPr>
          <w:rFonts w:ascii="Arial" w:hAnsi="Arial"/>
          <w:b/>
          <w:bCs/>
          <w:szCs w:val="24"/>
        </w:rPr>
      </w:pPr>
    </w:p>
    <w:p w:rsidR="006F0211" w:rsidRPr="000C629A" w:rsidP="000C629A" w14:paraId="29AB22F7"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r>
        <w:rPr>
          <w:rFonts w:ascii="Arial" w:hAnsi="Arial"/>
          <w:szCs w:val="24"/>
        </w:rPr>
        <w:t xml:space="preserve"> </w:t>
      </w:r>
      <w:r>
        <w:rPr>
          <w:rFonts w:ascii="Arial" w:hAnsi="Arial"/>
          <w:szCs w:val="24"/>
        </w:rPr>
        <w:tab/>
      </w:r>
    </w:p>
    <w:p w:rsidR="006F0211" w:rsidP="006F0211" w14:paraId="2569145B" w14:textId="77777777">
      <w:pPr>
        <w:ind w:firstLine="720"/>
        <w:jc w:val="both"/>
        <w:rPr>
          <w:rFonts w:ascii="Arial" w:hAnsi="Arial"/>
          <w:szCs w:val="24"/>
        </w:rPr>
      </w:pPr>
    </w:p>
    <w:p w:rsidR="006F0211" w:rsidRPr="00C47181" w:rsidP="006F0211" w14:paraId="4B3EAA7E"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6F0211" w:rsidRPr="00C47181" w:rsidP="006F0211" w14:paraId="3E1F8FE5" w14:textId="77777777">
      <w:pPr>
        <w:jc w:val="both"/>
        <w:rPr>
          <w:rFonts w:ascii="Arial" w:hAnsi="Arial"/>
          <w:szCs w:val="24"/>
        </w:rPr>
      </w:pPr>
    </w:p>
    <w:p w:rsidR="006F0211" w:rsidRPr="001207D8" w:rsidP="00B43883" w14:paraId="5BE02226" w14:textId="77777777">
      <w:pPr>
        <w:ind w:left="720" w:hanging="720"/>
        <w:jc w:val="both"/>
        <w:rPr>
          <w:rFonts w:ascii="Arial" w:hAnsi="Arial" w:cs="Arial"/>
          <w:b/>
          <w:bCs/>
          <w:szCs w:val="24"/>
        </w:rPr>
      </w:pPr>
      <w:r>
        <w:rPr>
          <w:rFonts w:ascii="Arial" w:hAnsi="Arial" w:cs="Arial"/>
          <w:b/>
          <w:bCs/>
          <w:szCs w:val="24"/>
        </w:rPr>
        <w:t xml:space="preserve">17.     </w:t>
      </w:r>
      <w:r w:rsidR="000C629A">
        <w:rPr>
          <w:rFonts w:ascii="Arial" w:hAnsi="Arial" w:cs="Arial"/>
          <w:b/>
          <w:bCs/>
          <w:szCs w:val="24"/>
        </w:rPr>
        <w:tab/>
      </w:r>
      <w:r w:rsidRPr="00CF09D1">
        <w:rPr>
          <w:rFonts w:ascii="Arial" w:hAnsi="Arial" w:cs="Arial"/>
          <w:b/>
          <w:bCs/>
          <w:szCs w:val="24"/>
        </w:rPr>
        <w:t>If seeking approval to not display the expiration date, explain the reasons that</w:t>
      </w:r>
      <w:r w:rsidRPr="00CF09D1" w:rsidR="00B43883">
        <w:rPr>
          <w:rFonts w:ascii="Arial" w:hAnsi="Arial" w:cs="Arial"/>
          <w:b/>
          <w:bCs/>
          <w:szCs w:val="24"/>
        </w:rPr>
        <w:t xml:space="preserve"> </w:t>
      </w:r>
      <w:r w:rsidRPr="00CF09D1">
        <w:rPr>
          <w:rFonts w:ascii="Arial" w:hAnsi="Arial" w:cs="Arial"/>
          <w:b/>
          <w:bCs/>
          <w:szCs w:val="24"/>
        </w:rPr>
        <w:t>displaying the expiration date would be inappropriate.</w:t>
      </w:r>
    </w:p>
    <w:p w:rsidR="006F0211" w:rsidP="006F0211" w14:paraId="408B0377" w14:textId="77777777">
      <w:pPr>
        <w:jc w:val="both"/>
        <w:rPr>
          <w:rFonts w:ascii="Arial" w:hAnsi="Arial" w:cs="Arial"/>
          <w:b/>
          <w:bCs/>
        </w:rPr>
      </w:pPr>
      <w:r>
        <w:rPr>
          <w:rFonts w:ascii="Arial" w:hAnsi="Arial" w:cs="Arial"/>
          <w:b/>
          <w:bCs/>
        </w:rPr>
        <w:tab/>
      </w:r>
    </w:p>
    <w:p w:rsidR="00133C8F" w:rsidP="00133C8F" w14:paraId="3010C925" w14:textId="77777777">
      <w:pPr>
        <w:ind w:left="720"/>
        <w:jc w:val="both"/>
        <w:rPr>
          <w:rFonts w:ascii="Arial" w:hAnsi="Arial" w:cs="Arial"/>
          <w:szCs w:val="24"/>
        </w:rPr>
      </w:pPr>
      <w:r>
        <w:rPr>
          <w:rFonts w:ascii="Arial" w:hAnsi="Arial" w:cs="Arial"/>
          <w:szCs w:val="24"/>
        </w:rPr>
        <w:t>There is no form involved with this information collection</w:t>
      </w:r>
      <w:r w:rsidR="00267EB5">
        <w:rPr>
          <w:rFonts w:ascii="Arial" w:hAnsi="Arial" w:cs="Arial"/>
          <w:szCs w:val="24"/>
        </w:rPr>
        <w:t>,</w:t>
      </w:r>
      <w:r>
        <w:rPr>
          <w:rFonts w:ascii="Arial" w:hAnsi="Arial" w:cs="Arial"/>
          <w:szCs w:val="24"/>
        </w:rPr>
        <w:t xml:space="preserve"> so it would not be appropriate to display the expiration date.</w:t>
      </w:r>
    </w:p>
    <w:p w:rsidR="006F0211" w:rsidP="00133C8F" w14:paraId="0F014CE9" w14:textId="77777777">
      <w:pPr>
        <w:jc w:val="both"/>
        <w:rPr>
          <w:rFonts w:ascii="Arial" w:hAnsi="Arial" w:cs="Arial"/>
          <w:b/>
          <w:bCs/>
          <w:szCs w:val="24"/>
        </w:rPr>
      </w:pPr>
      <w:r>
        <w:rPr>
          <w:rFonts w:ascii="Arial" w:hAnsi="Arial" w:cs="Arial"/>
        </w:rPr>
        <w:t xml:space="preserve"> </w:t>
      </w:r>
      <w:r>
        <w:rPr>
          <w:rFonts w:ascii="Arial" w:hAnsi="Arial" w:cs="Arial"/>
          <w:b/>
          <w:bCs/>
          <w:szCs w:val="24"/>
        </w:rPr>
        <w:t xml:space="preserve"> </w:t>
      </w:r>
    </w:p>
    <w:p w:rsidR="006F0211" w:rsidP="006F0211" w14:paraId="3FF05086" w14:textId="77777777">
      <w:pPr>
        <w:widowControl/>
        <w:jc w:val="both"/>
        <w:rPr>
          <w:rFonts w:ascii="Arial" w:hAnsi="Arial" w:cs="Arial"/>
          <w:b/>
          <w:bCs/>
          <w:szCs w:val="24"/>
        </w:rPr>
      </w:pPr>
      <w:r>
        <w:rPr>
          <w:rFonts w:ascii="Arial" w:hAnsi="Arial" w:cs="Arial"/>
          <w:b/>
          <w:bCs/>
          <w:szCs w:val="24"/>
        </w:rPr>
        <w:t xml:space="preserve">18.   </w:t>
      </w:r>
      <w:r w:rsidR="000C629A">
        <w:rPr>
          <w:rFonts w:ascii="Arial" w:hAnsi="Arial" w:cs="Arial"/>
          <w:b/>
          <w:bCs/>
          <w:szCs w:val="24"/>
        </w:rPr>
        <w:tab/>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6F0211" w:rsidRPr="001207D8" w:rsidP="006F0211" w14:paraId="014E0245"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7B6A39" w:rsidP="007B6A39" w14:paraId="28B9BF86"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6F0211" w:rsidP="006F0211" w14:paraId="78F542D5" w14:textId="77777777">
      <w:pPr>
        <w:jc w:val="both"/>
        <w:rPr>
          <w:rFonts w:ascii="Arial" w:hAnsi="Arial" w:cs="Arial"/>
          <w:szCs w:val="24"/>
        </w:rPr>
      </w:pPr>
    </w:p>
    <w:p w:rsidR="006F0211" w:rsidRPr="001207D8" w:rsidP="006F0211" w14:paraId="7411D1D6" w14:textId="77777777">
      <w:pPr>
        <w:pStyle w:val="Heading1"/>
        <w:numPr>
          <w:ilvl w:val="0"/>
          <w:numId w:val="4"/>
        </w:numPr>
        <w:jc w:val="both"/>
        <w:rPr>
          <w:rFonts w:cs="Arial"/>
          <w:szCs w:val="24"/>
        </w:rPr>
      </w:pPr>
      <w:r w:rsidRPr="001207D8">
        <w:rPr>
          <w:rFonts w:cs="Arial"/>
          <w:szCs w:val="24"/>
        </w:rPr>
        <w:t>Collection of Information Employing Statistical Methods</w:t>
      </w:r>
    </w:p>
    <w:p w:rsidR="006F0211" w:rsidRPr="001207D8" w:rsidP="006F0211" w14:paraId="6AABE8EA" w14:textId="77777777">
      <w:pPr>
        <w:jc w:val="both"/>
        <w:rPr>
          <w:rFonts w:ascii="Arial" w:hAnsi="Arial" w:cs="Arial"/>
          <w:szCs w:val="24"/>
        </w:rPr>
      </w:pPr>
    </w:p>
    <w:p w:rsidR="006F0211" w:rsidP="006F0211" w14:paraId="601341AE"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C629A" w:rsidP="006F0211" w14:paraId="5DCBA6E5" w14:textId="77777777">
      <w:pPr>
        <w:pStyle w:val="BodyTextIndent2"/>
        <w:jc w:val="both"/>
        <w:rPr>
          <w:rFonts w:ascii="Arial" w:hAnsi="Arial" w:cs="Arial"/>
          <w:szCs w:val="24"/>
        </w:rPr>
      </w:pPr>
    </w:p>
    <w:p w:rsidR="000C629A" w:rsidRPr="000C629A" w:rsidP="006F0211" w14:paraId="68CE949A" w14:textId="77777777">
      <w:pPr>
        <w:pStyle w:val="BodyTextIndent2"/>
        <w:jc w:val="both"/>
        <w:rPr>
          <w:rFonts w:ascii="Arial" w:hAnsi="Arial" w:cs="Arial"/>
          <w:color w:val="C0C0C0"/>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6F0211" w14:paraId="5827C9FC" w14:textId="77777777">
      <w:pPr>
        <w:pStyle w:val="Heading1"/>
      </w:pPr>
    </w:p>
    <w:p w:rsidR="006F0211" w14:paraId="097CB3EC" w14:textId="77777777">
      <w:pPr>
        <w:pStyle w:val="Heading1"/>
      </w:pPr>
    </w:p>
    <w:p w:rsidR="006F0211" w14:paraId="100F2361" w14:textId="77777777">
      <w:pPr>
        <w:pStyle w:val="Heading1"/>
      </w:pPr>
    </w:p>
    <w:p w:rsidR="006F0211" w14:paraId="2FCCEE05" w14:textId="77777777">
      <w:pPr>
        <w:pStyle w:val="Heading1"/>
      </w:pPr>
    </w:p>
    <w:p w:rsidR="006F0211" w14:paraId="63D40EFB" w14:textId="77777777">
      <w:pPr>
        <w:pStyle w:val="Heading1"/>
      </w:pPr>
    </w:p>
    <w:p w:rsidR="006F0211" w14:paraId="594F92DE" w14:textId="77777777">
      <w:pPr>
        <w:pStyle w:val="Heading1"/>
      </w:pPr>
    </w:p>
    <w:p w:rsidR="006F0211" w14:paraId="5CC226C3" w14:textId="77777777">
      <w:pPr>
        <w:pStyle w:val="Heading1"/>
      </w:pPr>
    </w:p>
    <w:p w:rsidR="006F0211" w14:paraId="1F55F80F" w14:textId="77777777">
      <w:pPr>
        <w:pStyle w:val="Heading1"/>
      </w:pPr>
    </w:p>
    <w:p w:rsidR="006F0211" w14:paraId="401A1C89" w14:textId="77777777">
      <w:pPr>
        <w:pStyle w:val="Heading1"/>
      </w:pPr>
    </w:p>
    <w:p w:rsidR="006F0211" w14:paraId="44C57961" w14:textId="77777777">
      <w:pPr>
        <w:pStyle w:val="Heading1"/>
      </w:pPr>
    </w:p>
    <w:p w:rsidR="006F0211" w14:paraId="66CE4E42" w14:textId="77777777">
      <w:pPr>
        <w:pStyle w:val="Heading1"/>
      </w:pPr>
    </w:p>
    <w:p w:rsidR="006F0211" w14:paraId="139D39E2" w14:textId="77777777">
      <w:pPr>
        <w:pStyle w:val="Heading1"/>
      </w:pPr>
    </w:p>
    <w:p w:rsidR="006F0211" w14:paraId="11C248E7" w14:textId="77777777">
      <w:pPr>
        <w:pStyle w:val="Heading1"/>
      </w:pPr>
    </w:p>
    <w:p w:rsidR="006F0211" w14:paraId="6573896D" w14:textId="77777777">
      <w:pPr>
        <w:pStyle w:val="Heading1"/>
      </w:pPr>
    </w:p>
    <w:sectPr w:rsidSect="006037B8">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296" w:left="1440"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FD5" w:rsidP="00485986" w14:paraId="74127B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5FD5" w14:paraId="041E1C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FD5" w:rsidP="00485986" w14:paraId="174BBBC2" w14:textId="0816EC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C2A">
      <w:rPr>
        <w:rStyle w:val="PageNumber"/>
        <w:noProof/>
      </w:rPr>
      <w:t>3</w:t>
    </w:r>
    <w:r>
      <w:rPr>
        <w:rStyle w:val="PageNumber"/>
      </w:rPr>
      <w:fldChar w:fldCharType="end"/>
    </w:r>
  </w:p>
  <w:p w:rsidR="00BE5FD5" w14:paraId="4F6ECB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781" w14:paraId="4EC247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4DEF" w14:paraId="18960040" w14:textId="77777777">
      <w:r>
        <w:separator/>
      </w:r>
    </w:p>
  </w:footnote>
  <w:footnote w:type="continuationSeparator" w:id="1">
    <w:p w:rsidR="00C44DEF" w14:paraId="509889FD" w14:textId="77777777">
      <w:r>
        <w:continuationSeparator/>
      </w:r>
    </w:p>
  </w:footnote>
  <w:footnote w:id="2">
    <w:p w:rsidR="00CF09D1" w:rsidRPr="00BE463E" w:rsidP="00CF09D1" w14:paraId="53F343A2" w14:textId="5FB83AFE">
      <w:pPr>
        <w:rPr>
          <w:color w:val="1F497D"/>
          <w:sz w:val="20"/>
          <w:lang w:val="en"/>
        </w:rPr>
      </w:pPr>
      <w:r w:rsidRPr="00D41379">
        <w:rPr>
          <w:rStyle w:val="FootnoteReference"/>
          <w:sz w:val="20"/>
        </w:rPr>
        <w:footnoteRef/>
      </w:r>
      <w:r w:rsidRPr="00D41379">
        <w:rPr>
          <w:sz w:val="20"/>
        </w:rPr>
        <w:t xml:space="preserve"> </w:t>
      </w:r>
      <w:r>
        <w:rPr>
          <w:sz w:val="20"/>
        </w:rPr>
        <w:t xml:space="preserve">Source of median wage rate: </w:t>
      </w:r>
      <w:r w:rsidRPr="00793AB8">
        <w:rPr>
          <w:sz w:val="20"/>
          <w:lang w:val="en"/>
        </w:rPr>
        <w:t>U.S. Bureau of Labor Statistics.  Occupational Employment Statistics, “May 20</w:t>
      </w:r>
      <w:r>
        <w:rPr>
          <w:sz w:val="20"/>
          <w:lang w:val="en"/>
        </w:rPr>
        <w:t>2</w:t>
      </w:r>
      <w:r w:rsidR="00856D5A">
        <w:rPr>
          <w:sz w:val="20"/>
          <w:lang w:val="en"/>
        </w:rPr>
        <w:t>1</w:t>
      </w:r>
      <w:r w:rsidRPr="00793AB8">
        <w:rPr>
          <w:sz w:val="20"/>
          <w:lang w:val="en"/>
        </w:rPr>
        <w:t xml:space="preserve"> National Occupational Employment and Wage Estimates </w:t>
      </w:r>
      <w:r>
        <w:rPr>
          <w:sz w:val="20"/>
          <w:lang w:val="en"/>
        </w:rPr>
        <w:t>United States.”  Updated March 31, 202</w:t>
      </w:r>
      <w:r w:rsidR="00262738">
        <w:rPr>
          <w:sz w:val="20"/>
          <w:lang w:val="en"/>
        </w:rPr>
        <w:t>2</w:t>
      </w:r>
      <w:r w:rsidRPr="00793AB8">
        <w:rPr>
          <w:sz w:val="20"/>
          <w:lang w:val="en"/>
        </w:rPr>
        <w:t>.  Available at https://www.bls.gov/oes/</w:t>
      </w:r>
      <w:r w:rsidR="006B14CF">
        <w:rPr>
          <w:sz w:val="20"/>
          <w:lang w:val="en"/>
        </w:rPr>
        <w:t>current</w:t>
      </w:r>
      <w:r w:rsidRPr="00BE463E">
        <w:rPr>
          <w:sz w:val="20"/>
          <w:lang w:val="en"/>
        </w:rPr>
        <w:t xml:space="preserve">/may/oes_nat.htm.  </w:t>
      </w:r>
      <w:r>
        <w:rPr>
          <w:sz w:val="20"/>
          <w:lang w:val="en"/>
        </w:rPr>
        <w:t xml:space="preserve">Accessed </w:t>
      </w:r>
      <w:r w:rsidR="00856D5A">
        <w:rPr>
          <w:sz w:val="20"/>
          <w:lang w:val="en"/>
        </w:rPr>
        <w:t>May</w:t>
      </w:r>
      <w:r>
        <w:rPr>
          <w:sz w:val="20"/>
          <w:lang w:val="en"/>
        </w:rPr>
        <w:t xml:space="preserve"> </w:t>
      </w:r>
      <w:r w:rsidR="00856D5A">
        <w:rPr>
          <w:sz w:val="20"/>
          <w:lang w:val="en"/>
        </w:rPr>
        <w:t>25</w:t>
      </w:r>
      <w:r>
        <w:rPr>
          <w:sz w:val="20"/>
          <w:lang w:val="en"/>
        </w:rPr>
        <w:t>, 202</w:t>
      </w:r>
      <w:r w:rsidR="00856D5A">
        <w:rPr>
          <w:sz w:val="20"/>
          <w:lang w:val="en"/>
        </w:rPr>
        <w:t>2</w:t>
      </w:r>
      <w:r w:rsidRPr="00BE463E">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202</w:t>
      </w:r>
      <w:r w:rsidR="004A500A">
        <w:rPr>
          <w:sz w:val="20"/>
          <w:lang w:val="en"/>
        </w:rPr>
        <w:t>1</w:t>
      </w:r>
      <w:r w:rsidRPr="00BE463E">
        <w:rPr>
          <w:sz w:val="20"/>
          <w:lang w:val="en"/>
        </w:rPr>
        <w:t xml:space="preserve"> quarterly estimates (shown under </w:t>
      </w:r>
      <w:r w:rsidR="00F96FC1">
        <w:rPr>
          <w:sz w:val="20"/>
          <w:lang w:val="en"/>
        </w:rPr>
        <w:t>Q01</w:t>
      </w:r>
      <w:r w:rsidRPr="00BE463E">
        <w:rPr>
          <w:sz w:val="20"/>
          <w:lang w:val="en"/>
        </w:rPr>
        <w:t xml:space="preserve">, </w:t>
      </w:r>
      <w:r w:rsidR="00F96FC1">
        <w:rPr>
          <w:sz w:val="20"/>
          <w:lang w:val="en"/>
        </w:rPr>
        <w:t>Q02</w:t>
      </w:r>
      <w:r w:rsidRPr="00BE463E">
        <w:rPr>
          <w:sz w:val="20"/>
          <w:lang w:val="en"/>
        </w:rPr>
        <w:t xml:space="preserve">, </w:t>
      </w:r>
      <w:r w:rsidR="00F96FC1">
        <w:rPr>
          <w:sz w:val="20"/>
          <w:lang w:val="en"/>
        </w:rPr>
        <w:t>Q03</w:t>
      </w:r>
      <w:r w:rsidRPr="00BE463E">
        <w:rPr>
          <w:sz w:val="20"/>
          <w:lang w:val="en"/>
        </w:rPr>
        <w:t xml:space="preserve">, </w:t>
      </w:r>
      <w:r w:rsidR="00F96FC1">
        <w:rPr>
          <w:sz w:val="20"/>
          <w:lang w:val="en"/>
        </w:rPr>
        <w:t>Q04</w:t>
      </w:r>
      <w:r w:rsidRPr="00BE463E">
        <w:rPr>
          <w:sz w:val="20"/>
          <w:lang w:val="en"/>
        </w:rPr>
        <w:t xml:space="preserve">.) of the total compensation cost per hour worked for Office and Administrative </w:t>
      </w:r>
      <w:r>
        <w:rPr>
          <w:sz w:val="20"/>
          <w:lang w:val="en"/>
        </w:rPr>
        <w:t>Support occupations ($2</w:t>
      </w:r>
      <w:r w:rsidR="0060070C">
        <w:rPr>
          <w:sz w:val="20"/>
          <w:lang w:val="en"/>
        </w:rPr>
        <w:t>9</w:t>
      </w:r>
      <w:r>
        <w:rPr>
          <w:sz w:val="20"/>
          <w:lang w:val="en"/>
        </w:rPr>
        <w:t>.</w:t>
      </w:r>
      <w:r w:rsidR="0060070C">
        <w:rPr>
          <w:sz w:val="20"/>
          <w:lang w:val="en"/>
        </w:rPr>
        <w:t>612</w:t>
      </w:r>
      <w:r>
        <w:rPr>
          <w:sz w:val="20"/>
          <w:lang w:val="en"/>
        </w:rPr>
        <w:t>5</w:t>
      </w:r>
      <w:r w:rsidRPr="00BE463E">
        <w:rPr>
          <w:sz w:val="20"/>
          <w:lang w:val="en"/>
        </w:rPr>
        <w:t>) divided by th</w:t>
      </w:r>
      <w:r>
        <w:rPr>
          <w:sz w:val="20"/>
          <w:lang w:val="en"/>
        </w:rPr>
        <w:t>e calculated average of the 202</w:t>
      </w:r>
      <w:r w:rsidR="0060070C">
        <w:rPr>
          <w:sz w:val="20"/>
          <w:lang w:val="en"/>
        </w:rPr>
        <w:t>1</w:t>
      </w:r>
      <w:r w:rsidRPr="00BE463E">
        <w:rPr>
          <w:sz w:val="20"/>
          <w:lang w:val="en"/>
        </w:rPr>
        <w:t xml:space="preserve"> quarterly estimates (shown under </w:t>
      </w:r>
      <w:r w:rsidR="00F96FC1">
        <w:rPr>
          <w:sz w:val="20"/>
          <w:lang w:val="en"/>
        </w:rPr>
        <w:t>Q01</w:t>
      </w:r>
      <w:r w:rsidRPr="00BE463E">
        <w:rPr>
          <w:sz w:val="20"/>
          <w:lang w:val="en"/>
        </w:rPr>
        <w:t xml:space="preserve">, </w:t>
      </w:r>
      <w:r w:rsidR="00F96FC1">
        <w:rPr>
          <w:sz w:val="20"/>
          <w:lang w:val="en"/>
        </w:rPr>
        <w:t>Q02</w:t>
      </w:r>
      <w:r w:rsidRPr="00BE463E">
        <w:rPr>
          <w:sz w:val="20"/>
          <w:lang w:val="en"/>
        </w:rPr>
        <w:t xml:space="preserve">, </w:t>
      </w:r>
      <w:r w:rsidR="00F96FC1">
        <w:rPr>
          <w:sz w:val="20"/>
          <w:lang w:val="en"/>
        </w:rPr>
        <w:t>Q03</w:t>
      </w:r>
      <w:r w:rsidRPr="00BE463E">
        <w:rPr>
          <w:sz w:val="20"/>
          <w:lang w:val="en"/>
        </w:rPr>
        <w:t xml:space="preserve">, </w:t>
      </w:r>
      <w:r w:rsidR="00F96FC1">
        <w:rPr>
          <w:sz w:val="20"/>
          <w:lang w:val="en"/>
        </w:rPr>
        <w:t>Q04</w:t>
      </w:r>
      <w:r w:rsidRPr="00BE463E">
        <w:rPr>
          <w:sz w:val="20"/>
          <w:lang w:val="en"/>
        </w:rPr>
        <w:t>.) of wages and salaries cost per hour worked for the sa</w:t>
      </w:r>
      <w:r>
        <w:rPr>
          <w:sz w:val="20"/>
          <w:lang w:val="en"/>
        </w:rPr>
        <w:t>me occupation category ($19.</w:t>
      </w:r>
      <w:r w:rsidR="0060070C">
        <w:rPr>
          <w:sz w:val="20"/>
          <w:lang w:val="en"/>
        </w:rPr>
        <w:t>98</w:t>
      </w:r>
      <w:r>
        <w:rPr>
          <w:sz w:val="20"/>
          <w:lang w:val="en"/>
        </w:rPr>
        <w:t>25</w:t>
      </w:r>
      <w:r w:rsidRPr="00BE463E">
        <w:rPr>
          <w:sz w:val="20"/>
          <w:lang w:val="en"/>
        </w:rPr>
        <w:t xml:space="preserve">).  Source of total compensation to wages and salaries ratio data: U.S. Bureau of Labor Statistics.  Employer Costs for Employee Compensation.  </w:t>
      </w:r>
      <w:r w:rsidR="00B931B4">
        <w:rPr>
          <w:sz w:val="20"/>
          <w:lang w:val="en"/>
        </w:rPr>
        <w:t>“</w:t>
      </w:r>
      <w:r w:rsidRPr="00BE463E">
        <w:rPr>
          <w:sz w:val="20"/>
          <w:lang w:val="en"/>
        </w:rPr>
        <w:t>ECEC</w:t>
      </w:r>
      <w:r w:rsidR="00B931B4">
        <w:rPr>
          <w:sz w:val="20"/>
          <w:lang w:val="en"/>
        </w:rPr>
        <w:t xml:space="preserve"> Civilian Workers</w:t>
      </w:r>
      <w:r w:rsidRPr="00BE463E">
        <w:rPr>
          <w:sz w:val="20"/>
          <w:lang w:val="en"/>
        </w:rPr>
        <w:t xml:space="preserve"> </w:t>
      </w:r>
      <w:r>
        <w:rPr>
          <w:sz w:val="20"/>
          <w:lang w:val="en"/>
        </w:rPr>
        <w:t xml:space="preserve">2004 </w:t>
      </w:r>
      <w:r w:rsidR="00F86209">
        <w:rPr>
          <w:sz w:val="20"/>
          <w:lang w:val="en"/>
        </w:rPr>
        <w:t xml:space="preserve">to </w:t>
      </w:r>
      <w:r w:rsidR="00B931B4">
        <w:rPr>
          <w:sz w:val="20"/>
          <w:lang w:val="en"/>
        </w:rPr>
        <w:t xml:space="preserve">Present.” </w:t>
      </w:r>
      <w:r>
        <w:rPr>
          <w:sz w:val="20"/>
          <w:lang w:val="en"/>
        </w:rPr>
        <w:t>March 202</w:t>
      </w:r>
      <w:r w:rsidR="0060070C">
        <w:rPr>
          <w:sz w:val="20"/>
          <w:lang w:val="en"/>
        </w:rPr>
        <w:t>2</w:t>
      </w:r>
      <w:r w:rsidRPr="00BE463E">
        <w:rPr>
          <w:sz w:val="20"/>
          <w:lang w:val="en"/>
        </w:rPr>
        <w:t>.  Available at https://www.bls.gov/web/ecec</w:t>
      </w:r>
      <w:r>
        <w:rPr>
          <w:sz w:val="20"/>
          <w:lang w:val="en"/>
        </w:rPr>
        <w:t>/</w:t>
      </w:r>
      <w:r w:rsidR="0060070C">
        <w:rPr>
          <w:sz w:val="20"/>
          <w:lang w:val="en"/>
        </w:rPr>
        <w:t>ecec.supp.toc.htm</w:t>
      </w:r>
      <w:r>
        <w:rPr>
          <w:sz w:val="20"/>
          <w:lang w:val="en"/>
        </w:rPr>
        <w:t xml:space="preserve">.  Accessed </w:t>
      </w:r>
      <w:r w:rsidR="0060070C">
        <w:rPr>
          <w:sz w:val="20"/>
          <w:lang w:val="en"/>
        </w:rPr>
        <w:t>May 25</w:t>
      </w:r>
      <w:r>
        <w:rPr>
          <w:sz w:val="20"/>
          <w:lang w:val="en"/>
        </w:rPr>
        <w:t>, 202</w:t>
      </w:r>
      <w:r w:rsidR="0060070C">
        <w:rPr>
          <w:sz w:val="20"/>
          <w:lang w:val="en"/>
        </w:rPr>
        <w:t>2</w:t>
      </w:r>
      <w:r w:rsidRPr="00BE463E">
        <w:rPr>
          <w:sz w:val="20"/>
          <w:lang w:val="en"/>
        </w:rPr>
        <w:t>.</w:t>
      </w:r>
    </w:p>
  </w:footnote>
  <w:footnote w:id="3">
    <w:p w:rsidR="00CF09D1" w:rsidRPr="00D41379" w:rsidP="00CF09D1" w14:paraId="1CA4558E" w14:textId="2D882643">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FY 202</w:t>
      </w:r>
      <w:r w:rsidR="0060070C">
        <w:rPr>
          <w:rFonts w:ascii="Times New Roman" w:hAnsi="Times New Roman" w:cs="Times New Roman"/>
        </w:rPr>
        <w:t>2</w:t>
      </w:r>
      <w:r>
        <w:rPr>
          <w:rFonts w:ascii="Times New Roman" w:hAnsi="Times New Roman" w:cs="Times New Roman"/>
        </w:rPr>
        <w:t xml:space="preserve">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1</w:t>
      </w:r>
      <w:r w:rsidR="0060070C">
        <w:rPr>
          <w:rFonts w:ascii="Times New Roman" w:hAnsi="Times New Roman" w:cs="Times New Roman"/>
        </w:rPr>
        <w:t>0</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sidR="0060070C">
        <w:rPr>
          <w:rFonts w:ascii="Times New Roman" w:hAnsi="Times New Roman" w:cs="Times New Roman"/>
          <w:lang w:val="en"/>
        </w:rPr>
        <w:t>June 2</w:t>
      </w:r>
      <w:r>
        <w:rPr>
          <w:rFonts w:ascii="Times New Roman" w:hAnsi="Times New Roman" w:cs="Times New Roman"/>
          <w:lang w:val="en"/>
        </w:rPr>
        <w:t>7, 202</w:t>
      </w:r>
      <w:r w:rsidR="0060070C">
        <w:rPr>
          <w:rFonts w:ascii="Times New Roman" w:hAnsi="Times New Roman" w:cs="Times New Roman"/>
          <w:lang w:val="en"/>
        </w:rPr>
        <w:t>2</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781" w14:paraId="7855F2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781" w14:paraId="4B061645" w14:textId="2D1EA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781" w14:paraId="4C75AF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360"/>
        </w:tabs>
        <w:ind w:left="360" w:hanging="360"/>
      </w:pPr>
      <w:rPr>
        <w:rFonts w:cs="Arial" w:hint="default"/>
        <w:b/>
      </w:rPr>
    </w:lvl>
    <w:lvl w:ilvl="1">
      <w:start w:val="1"/>
      <w:numFmt w:val="lowerLetter"/>
      <w:lvlText w:val="%2."/>
      <w:lvlJc w:val="left"/>
      <w:pPr>
        <w:tabs>
          <w:tab w:val="num" w:pos="1110"/>
        </w:tabs>
        <w:ind w:left="1110" w:hanging="360"/>
      </w:pPr>
    </w:lvl>
    <w:lvl w:ilvl="2" w:tentative="1">
      <w:start w:val="1"/>
      <w:numFmt w:val="lowerRoman"/>
      <w:lvlText w:val="%3."/>
      <w:lvlJc w:val="right"/>
      <w:pPr>
        <w:tabs>
          <w:tab w:val="num" w:pos="1830"/>
        </w:tabs>
        <w:ind w:left="1830" w:hanging="180"/>
      </w:pPr>
    </w:lvl>
    <w:lvl w:ilvl="3" w:tentative="1">
      <w:start w:val="1"/>
      <w:numFmt w:val="decimal"/>
      <w:lvlText w:val="%4."/>
      <w:lvlJc w:val="left"/>
      <w:pPr>
        <w:tabs>
          <w:tab w:val="num" w:pos="2550"/>
        </w:tabs>
        <w:ind w:left="2550" w:hanging="360"/>
      </w:pPr>
    </w:lvl>
    <w:lvl w:ilvl="4" w:tentative="1">
      <w:start w:val="1"/>
      <w:numFmt w:val="lowerLetter"/>
      <w:lvlText w:val="%5."/>
      <w:lvlJc w:val="left"/>
      <w:pPr>
        <w:tabs>
          <w:tab w:val="num" w:pos="3270"/>
        </w:tabs>
        <w:ind w:left="3270" w:hanging="360"/>
      </w:pPr>
    </w:lvl>
    <w:lvl w:ilvl="5" w:tentative="1">
      <w:start w:val="1"/>
      <w:numFmt w:val="lowerRoman"/>
      <w:lvlText w:val="%6."/>
      <w:lvlJc w:val="right"/>
      <w:pPr>
        <w:tabs>
          <w:tab w:val="num" w:pos="3990"/>
        </w:tabs>
        <w:ind w:left="3990" w:hanging="180"/>
      </w:pPr>
    </w:lvl>
    <w:lvl w:ilvl="6" w:tentative="1">
      <w:start w:val="1"/>
      <w:numFmt w:val="decimal"/>
      <w:lvlText w:val="%7."/>
      <w:lvlJc w:val="left"/>
      <w:pPr>
        <w:tabs>
          <w:tab w:val="num" w:pos="4710"/>
        </w:tabs>
        <w:ind w:left="4710" w:hanging="360"/>
      </w:pPr>
    </w:lvl>
    <w:lvl w:ilvl="7" w:tentative="1">
      <w:start w:val="1"/>
      <w:numFmt w:val="lowerLetter"/>
      <w:lvlText w:val="%8."/>
      <w:lvlJc w:val="left"/>
      <w:pPr>
        <w:tabs>
          <w:tab w:val="num" w:pos="5430"/>
        </w:tabs>
        <w:ind w:left="5430" w:hanging="360"/>
      </w:pPr>
    </w:lvl>
    <w:lvl w:ilvl="8" w:tentative="1">
      <w:start w:val="1"/>
      <w:numFmt w:val="lowerRoman"/>
      <w:lvlText w:val="%9."/>
      <w:lvlJc w:val="right"/>
      <w:pPr>
        <w:tabs>
          <w:tab w:val="num" w:pos="6150"/>
        </w:tabs>
        <w:ind w:left="6150" w:hanging="180"/>
      </w:pPr>
    </w:lvl>
  </w:abstractNum>
  <w:abstractNum w:abstractNumId="1">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4BDC0E8B"/>
    <w:multiLevelType w:val="singleLevel"/>
    <w:tmpl w:val="339E9424"/>
    <w:lvl w:ilvl="0">
      <w:start w:val="15"/>
      <w:numFmt w:val="decimal"/>
      <w:lvlText w:val="%1."/>
      <w:lvlJc w:val="left"/>
      <w:pPr>
        <w:tabs>
          <w:tab w:val="num" w:pos="720"/>
        </w:tabs>
        <w:ind w:left="720" w:hanging="720"/>
      </w:pPr>
      <w:rPr>
        <w:rFonts w:hint="default"/>
      </w:rPr>
    </w:lvl>
  </w:abstractNum>
  <w:abstractNum w:abstractNumId="3">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95812821">
    <w:abstractNumId w:val="2"/>
  </w:num>
  <w:num w:numId="2" w16cid:durableId="682754184">
    <w:abstractNumId w:val="3"/>
  </w:num>
  <w:num w:numId="3" w16cid:durableId="310714377">
    <w:abstractNumId w:val="0"/>
  </w:num>
  <w:num w:numId="4" w16cid:durableId="624771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62"/>
    <w:rsid w:val="00013527"/>
    <w:rsid w:val="0005531E"/>
    <w:rsid w:val="0006082A"/>
    <w:rsid w:val="000B286B"/>
    <w:rsid w:val="000C560E"/>
    <w:rsid w:val="000C629A"/>
    <w:rsid w:val="000C6CFF"/>
    <w:rsid w:val="000E3F81"/>
    <w:rsid w:val="000F1570"/>
    <w:rsid w:val="000F6496"/>
    <w:rsid w:val="00106E4B"/>
    <w:rsid w:val="0011380B"/>
    <w:rsid w:val="001159D0"/>
    <w:rsid w:val="00116BC6"/>
    <w:rsid w:val="001207D8"/>
    <w:rsid w:val="00122790"/>
    <w:rsid w:val="00133C8F"/>
    <w:rsid w:val="001669FB"/>
    <w:rsid w:val="001725CE"/>
    <w:rsid w:val="00176FDD"/>
    <w:rsid w:val="00181D1E"/>
    <w:rsid w:val="00187B99"/>
    <w:rsid w:val="00191027"/>
    <w:rsid w:val="001A60C6"/>
    <w:rsid w:val="001B46B3"/>
    <w:rsid w:val="001C71A8"/>
    <w:rsid w:val="001E25D1"/>
    <w:rsid w:val="00216891"/>
    <w:rsid w:val="00224ACB"/>
    <w:rsid w:val="00224C2A"/>
    <w:rsid w:val="00225097"/>
    <w:rsid w:val="0022551D"/>
    <w:rsid w:val="00231722"/>
    <w:rsid w:val="00235073"/>
    <w:rsid w:val="00256634"/>
    <w:rsid w:val="00262738"/>
    <w:rsid w:val="00267EB5"/>
    <w:rsid w:val="00292EFF"/>
    <w:rsid w:val="002A3B08"/>
    <w:rsid w:val="002A568C"/>
    <w:rsid w:val="002B41CA"/>
    <w:rsid w:val="002E6122"/>
    <w:rsid w:val="002F3701"/>
    <w:rsid w:val="00303475"/>
    <w:rsid w:val="00304D79"/>
    <w:rsid w:val="00324963"/>
    <w:rsid w:val="00332DE3"/>
    <w:rsid w:val="003743C8"/>
    <w:rsid w:val="00375914"/>
    <w:rsid w:val="0039061C"/>
    <w:rsid w:val="003A2D34"/>
    <w:rsid w:val="003B1EC2"/>
    <w:rsid w:val="003C7C0E"/>
    <w:rsid w:val="003D3E13"/>
    <w:rsid w:val="003F5276"/>
    <w:rsid w:val="00404CD7"/>
    <w:rsid w:val="00405DEA"/>
    <w:rsid w:val="00435781"/>
    <w:rsid w:val="004557FB"/>
    <w:rsid w:val="0046051E"/>
    <w:rsid w:val="004628A7"/>
    <w:rsid w:val="00464D7E"/>
    <w:rsid w:val="00472029"/>
    <w:rsid w:val="00476655"/>
    <w:rsid w:val="0048226E"/>
    <w:rsid w:val="00485986"/>
    <w:rsid w:val="004876BF"/>
    <w:rsid w:val="00491B57"/>
    <w:rsid w:val="004A500A"/>
    <w:rsid w:val="004A5477"/>
    <w:rsid w:val="004A5864"/>
    <w:rsid w:val="004C685F"/>
    <w:rsid w:val="004D7B62"/>
    <w:rsid w:val="004E457C"/>
    <w:rsid w:val="00530A1C"/>
    <w:rsid w:val="00544243"/>
    <w:rsid w:val="00545816"/>
    <w:rsid w:val="00562473"/>
    <w:rsid w:val="00564324"/>
    <w:rsid w:val="005950A9"/>
    <w:rsid w:val="005A6EB4"/>
    <w:rsid w:val="005A7D23"/>
    <w:rsid w:val="005B1247"/>
    <w:rsid w:val="005B515F"/>
    <w:rsid w:val="005B6A74"/>
    <w:rsid w:val="005E2D6D"/>
    <w:rsid w:val="005E72D4"/>
    <w:rsid w:val="0060070C"/>
    <w:rsid w:val="006037B8"/>
    <w:rsid w:val="00630F94"/>
    <w:rsid w:val="00633B0F"/>
    <w:rsid w:val="00651100"/>
    <w:rsid w:val="00655A71"/>
    <w:rsid w:val="0066094B"/>
    <w:rsid w:val="006860A3"/>
    <w:rsid w:val="006909A7"/>
    <w:rsid w:val="00697182"/>
    <w:rsid w:val="006A54CE"/>
    <w:rsid w:val="006B14CF"/>
    <w:rsid w:val="006B4F63"/>
    <w:rsid w:val="006C5E89"/>
    <w:rsid w:val="006D7F1D"/>
    <w:rsid w:val="006E0706"/>
    <w:rsid w:val="006F0211"/>
    <w:rsid w:val="00726365"/>
    <w:rsid w:val="0072636A"/>
    <w:rsid w:val="00730FCE"/>
    <w:rsid w:val="0075324F"/>
    <w:rsid w:val="00773F25"/>
    <w:rsid w:val="00793AB8"/>
    <w:rsid w:val="007A6380"/>
    <w:rsid w:val="007A7D13"/>
    <w:rsid w:val="007B6A39"/>
    <w:rsid w:val="007D3E74"/>
    <w:rsid w:val="007D550D"/>
    <w:rsid w:val="007D5821"/>
    <w:rsid w:val="007F20CA"/>
    <w:rsid w:val="00824B5E"/>
    <w:rsid w:val="008251DA"/>
    <w:rsid w:val="00826A9B"/>
    <w:rsid w:val="00845B0E"/>
    <w:rsid w:val="00856D5A"/>
    <w:rsid w:val="00860CE6"/>
    <w:rsid w:val="00877BA4"/>
    <w:rsid w:val="00885C19"/>
    <w:rsid w:val="008D0CD9"/>
    <w:rsid w:val="008E66C8"/>
    <w:rsid w:val="009075D0"/>
    <w:rsid w:val="00945961"/>
    <w:rsid w:val="00972D08"/>
    <w:rsid w:val="009817AE"/>
    <w:rsid w:val="0098536E"/>
    <w:rsid w:val="009A6EF2"/>
    <w:rsid w:val="009B0DF9"/>
    <w:rsid w:val="009D06E0"/>
    <w:rsid w:val="00A03F6D"/>
    <w:rsid w:val="00A26AF5"/>
    <w:rsid w:val="00A75FB4"/>
    <w:rsid w:val="00AA0E20"/>
    <w:rsid w:val="00AB1E45"/>
    <w:rsid w:val="00AC2EE2"/>
    <w:rsid w:val="00AD388E"/>
    <w:rsid w:val="00AE6EDE"/>
    <w:rsid w:val="00B01297"/>
    <w:rsid w:val="00B06875"/>
    <w:rsid w:val="00B178CD"/>
    <w:rsid w:val="00B271B4"/>
    <w:rsid w:val="00B42CBA"/>
    <w:rsid w:val="00B43883"/>
    <w:rsid w:val="00B770DE"/>
    <w:rsid w:val="00B931B4"/>
    <w:rsid w:val="00BE2159"/>
    <w:rsid w:val="00BE463E"/>
    <w:rsid w:val="00BE5FD5"/>
    <w:rsid w:val="00BF4322"/>
    <w:rsid w:val="00C11AB7"/>
    <w:rsid w:val="00C11FD8"/>
    <w:rsid w:val="00C16642"/>
    <w:rsid w:val="00C44DEF"/>
    <w:rsid w:val="00C47181"/>
    <w:rsid w:val="00C6174A"/>
    <w:rsid w:val="00C82B1F"/>
    <w:rsid w:val="00C84AF5"/>
    <w:rsid w:val="00C86939"/>
    <w:rsid w:val="00C913AD"/>
    <w:rsid w:val="00C93018"/>
    <w:rsid w:val="00CA25DE"/>
    <w:rsid w:val="00CA61A2"/>
    <w:rsid w:val="00CB71C8"/>
    <w:rsid w:val="00CF09D1"/>
    <w:rsid w:val="00D03193"/>
    <w:rsid w:val="00D04D18"/>
    <w:rsid w:val="00D41379"/>
    <w:rsid w:val="00D5479A"/>
    <w:rsid w:val="00D56D99"/>
    <w:rsid w:val="00D86CCD"/>
    <w:rsid w:val="00D9687D"/>
    <w:rsid w:val="00DA53A0"/>
    <w:rsid w:val="00DD1127"/>
    <w:rsid w:val="00E0282C"/>
    <w:rsid w:val="00E138CC"/>
    <w:rsid w:val="00E16D52"/>
    <w:rsid w:val="00E2125C"/>
    <w:rsid w:val="00E2500E"/>
    <w:rsid w:val="00E45CCF"/>
    <w:rsid w:val="00E50978"/>
    <w:rsid w:val="00E55E82"/>
    <w:rsid w:val="00E56547"/>
    <w:rsid w:val="00EA135D"/>
    <w:rsid w:val="00EA2F05"/>
    <w:rsid w:val="00EA66F9"/>
    <w:rsid w:val="00EE2CEB"/>
    <w:rsid w:val="00F045AC"/>
    <w:rsid w:val="00F121F5"/>
    <w:rsid w:val="00F27CE7"/>
    <w:rsid w:val="00F27E31"/>
    <w:rsid w:val="00F35BED"/>
    <w:rsid w:val="00F43239"/>
    <w:rsid w:val="00F72E76"/>
    <w:rsid w:val="00F810AA"/>
    <w:rsid w:val="00F8196B"/>
    <w:rsid w:val="00F86209"/>
    <w:rsid w:val="00F86BE2"/>
    <w:rsid w:val="00F96FC1"/>
    <w:rsid w:val="00FB4067"/>
    <w:rsid w:val="00FE5A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2BE238"/>
  <w15:docId w15:val="{44D2C702-8288-45CD-82BE-C701E2C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ind w:left="2880" w:firstLine="720"/>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6F0211"/>
    <w:pPr>
      <w:tabs>
        <w:tab w:val="left" w:pos="-1440"/>
      </w:tabs>
      <w:ind w:left="720" w:hanging="720"/>
      <w:jc w:val="both"/>
    </w:pPr>
    <w:rPr>
      <w:rFonts w:ascii="Arial" w:hAnsi="Arial"/>
    </w:rPr>
  </w:style>
  <w:style w:type="paragraph" w:styleId="BodyTextIndent2">
    <w:name w:val="Body Text Indent 2"/>
    <w:basedOn w:val="Normal"/>
    <w:rsid w:val="006F0211"/>
    <w:pPr>
      <w:spacing w:after="120" w:line="480" w:lineRule="auto"/>
      <w:ind w:left="360"/>
    </w:pPr>
    <w:rPr>
      <w:rFonts w:ascii="Courier" w:hAnsi="Courier"/>
    </w:rPr>
  </w:style>
  <w:style w:type="paragraph" w:customStyle="1" w:styleId="Style">
    <w:name w:val="Style"/>
    <w:basedOn w:val="Normal"/>
    <w:rsid w:val="006F0211"/>
    <w:pPr>
      <w:ind w:left="1440" w:hanging="720"/>
    </w:pPr>
  </w:style>
  <w:style w:type="table" w:styleId="TableGrid">
    <w:name w:val="Table Grid"/>
    <w:basedOn w:val="TableNormal"/>
    <w:rsid w:val="006F02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55E82"/>
    <w:pPr>
      <w:widowControl/>
    </w:pPr>
    <w:rPr>
      <w:rFonts w:ascii="Courier New" w:hAnsi="Courier New"/>
      <w:snapToGrid/>
      <w:sz w:val="20"/>
    </w:rPr>
  </w:style>
  <w:style w:type="character" w:styleId="CommentReference">
    <w:name w:val="annotation reference"/>
    <w:semiHidden/>
    <w:rsid w:val="00545816"/>
    <w:rPr>
      <w:sz w:val="16"/>
      <w:szCs w:val="16"/>
    </w:rPr>
  </w:style>
  <w:style w:type="paragraph" w:styleId="CommentText">
    <w:name w:val="annotation text"/>
    <w:basedOn w:val="Normal"/>
    <w:semiHidden/>
    <w:rsid w:val="00545816"/>
    <w:rPr>
      <w:sz w:val="20"/>
    </w:rPr>
  </w:style>
  <w:style w:type="paragraph" w:styleId="CommentSubject">
    <w:name w:val="annotation subject"/>
    <w:basedOn w:val="CommentText"/>
    <w:next w:val="CommentText"/>
    <w:semiHidden/>
    <w:rsid w:val="00545816"/>
    <w:rPr>
      <w:b/>
      <w:bCs/>
    </w:rPr>
  </w:style>
  <w:style w:type="paragraph" w:styleId="BalloonText">
    <w:name w:val="Balloon Text"/>
    <w:basedOn w:val="Normal"/>
    <w:semiHidden/>
    <w:rsid w:val="00545816"/>
    <w:rPr>
      <w:rFonts w:ascii="Tahoma" w:hAnsi="Tahoma" w:cs="Tahoma"/>
      <w:sz w:val="16"/>
      <w:szCs w:val="16"/>
    </w:rPr>
  </w:style>
  <w:style w:type="paragraph" w:styleId="Footer">
    <w:name w:val="footer"/>
    <w:basedOn w:val="Normal"/>
    <w:rsid w:val="002B41CA"/>
    <w:pPr>
      <w:tabs>
        <w:tab w:val="center" w:pos="4320"/>
        <w:tab w:val="right" w:pos="8640"/>
      </w:tabs>
    </w:pPr>
  </w:style>
  <w:style w:type="character" w:styleId="PageNumber">
    <w:name w:val="page number"/>
    <w:basedOn w:val="DefaultParagraphFont"/>
    <w:rsid w:val="002B41CA"/>
  </w:style>
  <w:style w:type="character" w:styleId="Hyperlink">
    <w:name w:val="Hyperlink"/>
    <w:basedOn w:val="DefaultParagraphFont"/>
    <w:unhideWhenUsed/>
    <w:rsid w:val="00CA25DE"/>
    <w:rPr>
      <w:color w:val="0000FF" w:themeColor="hyperlink"/>
      <w:u w:val="single"/>
    </w:rPr>
  </w:style>
  <w:style w:type="paragraph" w:styleId="FootnoteText">
    <w:name w:val="footnote text"/>
    <w:basedOn w:val="Normal"/>
    <w:link w:val="FootnoteTextChar"/>
    <w:unhideWhenUsed/>
    <w:rsid w:val="00CA25DE"/>
    <w:pPr>
      <w:widowControl/>
    </w:pPr>
    <w:rPr>
      <w:rFonts w:ascii="Calibri" w:hAnsi="Calibri" w:eastAsiaTheme="minorHAnsi" w:cs="Calibri"/>
      <w:snapToGrid/>
      <w:sz w:val="20"/>
    </w:rPr>
  </w:style>
  <w:style w:type="character" w:customStyle="1" w:styleId="FootnoteTextChar">
    <w:name w:val="Footnote Text Char"/>
    <w:basedOn w:val="DefaultParagraphFont"/>
    <w:link w:val="FootnoteText"/>
    <w:rsid w:val="00CA25DE"/>
    <w:rPr>
      <w:rFonts w:ascii="Calibri" w:hAnsi="Calibri" w:eastAsiaTheme="minorHAnsi" w:cs="Calibri"/>
    </w:rPr>
  </w:style>
  <w:style w:type="paragraph" w:styleId="Header">
    <w:name w:val="header"/>
    <w:basedOn w:val="Normal"/>
    <w:link w:val="HeaderChar"/>
    <w:unhideWhenUsed/>
    <w:rsid w:val="00435781"/>
    <w:pPr>
      <w:tabs>
        <w:tab w:val="center" w:pos="4680"/>
        <w:tab w:val="right" w:pos="9360"/>
      </w:tabs>
    </w:pPr>
  </w:style>
  <w:style w:type="character" w:customStyle="1" w:styleId="HeaderChar">
    <w:name w:val="Header Char"/>
    <w:basedOn w:val="DefaultParagraphFont"/>
    <w:link w:val="Header"/>
    <w:rsid w:val="00435781"/>
    <w:rPr>
      <w:snapToGrid w:val="0"/>
      <w:sz w:val="24"/>
    </w:rPr>
  </w:style>
  <w:style w:type="paragraph" w:styleId="Revision">
    <w:name w:val="Revision"/>
    <w:hidden/>
    <w:uiPriority w:val="99"/>
    <w:semiHidden/>
    <w:rsid w:val="00564324"/>
    <w:rPr>
      <w:snapToGrid w:val="0"/>
      <w:sz w:val="24"/>
    </w:rPr>
  </w:style>
  <w:style w:type="character" w:styleId="UnresolvedMention">
    <w:name w:val="Unresolved Mention"/>
    <w:basedOn w:val="DefaultParagraphFont"/>
    <w:uiPriority w:val="99"/>
    <w:semiHidden/>
    <w:unhideWhenUsed/>
    <w:rsid w:val="00655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bp.gov/document/guidance/ace-basics-di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26DF4-0FA0-475B-92E4-D21AFE891239}">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1381</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WILLIAMS, SHADE</cp:lastModifiedBy>
  <cp:revision>3</cp:revision>
  <cp:lastPrinted>2014-01-09T14:47:00Z</cp:lastPrinted>
  <dcterms:created xsi:type="dcterms:W3CDTF">2024-10-23T17:22:00Z</dcterms:created>
  <dcterms:modified xsi:type="dcterms:W3CDTF">2024-10-23T17:23:00Z</dcterms:modified>
</cp:coreProperties>
</file>