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6572" w:rsidRPr="00822435" w:rsidP="00704461" w14:paraId="431F42FF" w14:textId="6A88A312">
      <w:pPr>
        <w:pStyle w:val="CoverTextRed16pt"/>
        <w:rPr>
          <w:color w:val="4F81BD" w:themeColor="accent1"/>
        </w:rPr>
      </w:pPr>
      <w:r w:rsidRPr="00822435">
        <w:rPr>
          <w:color w:val="4F81BD" w:themeColor="accent1"/>
        </w:rPr>
        <w:t>Part B: Supporting Statement for Paperwork Reduction Act Submission</w:t>
      </w:r>
    </w:p>
    <w:p w:rsidR="00696572" w:rsidRPr="0034497C" w:rsidP="00696572" w14:paraId="215A0FF3" w14:textId="77777777">
      <w:pPr>
        <w:pStyle w:val="CoverText-Address"/>
        <w:rPr>
          <w:color w:val="000000" w:themeColor="text1"/>
        </w:rPr>
      </w:pPr>
    </w:p>
    <w:p w:rsidR="00696572" w:rsidRPr="0034497C" w:rsidP="00696572" w14:paraId="1722928E" w14:textId="77777777">
      <w:pPr>
        <w:pStyle w:val="CoverText-Address"/>
        <w:rPr>
          <w:color w:val="000000" w:themeColor="text1"/>
        </w:rPr>
      </w:pPr>
    </w:p>
    <w:p w:rsidR="00696572" w:rsidRPr="0034497C" w:rsidP="00696572" w14:paraId="245D0AAF" w14:textId="77777777">
      <w:pPr>
        <w:pStyle w:val="CoverText-Address"/>
        <w:rPr>
          <w:color w:val="000000" w:themeColor="text1"/>
        </w:rPr>
      </w:pPr>
    </w:p>
    <w:p w:rsidR="00AE58A4" w:rsidRPr="00822435" w:rsidP="00AE58A4" w14:paraId="07111588" w14:textId="77777777">
      <w:pPr>
        <w:pStyle w:val="CoverTextRed16pt"/>
        <w:ind w:left="5760"/>
        <w:rPr>
          <w:color w:val="4F81BD" w:themeColor="accent1"/>
        </w:rPr>
      </w:pPr>
      <w:r w:rsidRPr="00822435">
        <w:rPr>
          <w:color w:val="4F81BD" w:themeColor="accent1"/>
        </w:rPr>
        <w:t xml:space="preserve">REL Pacific Efficacy and Implementation Evaluation of the Secondary Writing Toolkit </w:t>
      </w:r>
    </w:p>
    <w:p w:rsidR="00AE58A4" w:rsidRPr="009C765B" w:rsidP="00AE58A4" w14:paraId="3573C578" w14:textId="77777777">
      <w:pPr>
        <w:pStyle w:val="CoverText-Address"/>
        <w:rPr>
          <w:color w:val="000000" w:themeColor="text1"/>
        </w:rPr>
      </w:pPr>
    </w:p>
    <w:p w:rsidR="00AE58A4" w:rsidRPr="009C765B" w:rsidP="00AE58A4" w14:paraId="356B55E0" w14:textId="77777777">
      <w:pPr>
        <w:pStyle w:val="CoverText-Address"/>
        <w:ind w:left="0"/>
        <w:jc w:val="left"/>
        <w:rPr>
          <w:color w:val="000000" w:themeColor="text1"/>
        </w:rPr>
      </w:pPr>
    </w:p>
    <w:p w:rsidR="00AE58A4" w:rsidRPr="009C765B" w:rsidP="00AE58A4" w14:paraId="71CA3E93" w14:textId="77777777">
      <w:pPr>
        <w:pStyle w:val="CoverText-Address"/>
        <w:rPr>
          <w:color w:val="000000" w:themeColor="text1"/>
        </w:rPr>
      </w:pPr>
    </w:p>
    <w:p w:rsidR="00AE58A4" w:rsidRPr="009C765B" w:rsidP="00AE58A4" w14:paraId="76CF8330" w14:textId="77777777">
      <w:pPr>
        <w:pStyle w:val="CoverText-Address"/>
      </w:pPr>
      <w:r w:rsidRPr="009C765B">
        <w:t xml:space="preserve"> </w:t>
      </w:r>
      <w:r>
        <w:t>March 2023</w:t>
      </w:r>
    </w:p>
    <w:p w:rsidR="00AE58A4" w:rsidRPr="009C765B" w:rsidP="00AE58A4" w14:paraId="11E8B6F6" w14:textId="77777777">
      <w:pPr>
        <w:pStyle w:val="CoverText-Address"/>
      </w:pPr>
    </w:p>
    <w:p w:rsidR="00AE58A4" w:rsidRPr="009C765B" w:rsidP="00AE58A4" w14:paraId="27BFABD9" w14:textId="77777777">
      <w:pPr>
        <w:pStyle w:val="CoverText-Address"/>
      </w:pPr>
    </w:p>
    <w:p w:rsidR="00AE58A4" w:rsidRPr="009C765B" w:rsidP="00AE58A4" w14:paraId="7F306B4F" w14:textId="77777777">
      <w:pPr>
        <w:tabs>
          <w:tab w:val="left" w:pos="720"/>
          <w:tab w:val="left" w:pos="1080"/>
          <w:tab w:val="left" w:pos="1440"/>
          <w:tab w:val="left" w:pos="1800"/>
          <w:tab w:val="left" w:pos="6660"/>
        </w:tabs>
        <w:spacing w:after="0"/>
        <w:ind w:left="6490" w:right="-540"/>
        <w:jc w:val="right"/>
        <w:rPr>
          <w:rFonts w:ascii="Arial" w:hAnsi="Arial"/>
        </w:rPr>
      </w:pPr>
    </w:p>
    <w:p w:rsidR="00AE58A4" w:rsidRPr="009C765B" w:rsidP="00AE58A4" w14:paraId="7F91C0D6" w14:textId="77777777">
      <w:pPr>
        <w:pStyle w:val="CoverText11pt"/>
      </w:pPr>
      <w:r w:rsidRPr="009C765B">
        <w:t>Prepared for:</w:t>
      </w:r>
    </w:p>
    <w:p w:rsidR="00AE58A4" w:rsidRPr="009C765B" w:rsidP="00AE58A4" w14:paraId="159FDDC9" w14:textId="77777777">
      <w:pPr>
        <w:pStyle w:val="CoverText11pt"/>
        <w:rPr>
          <w:i w:val="0"/>
        </w:rPr>
      </w:pPr>
      <w:r>
        <w:rPr>
          <w:i w:val="0"/>
        </w:rPr>
        <w:t>Elizabeth Nolan</w:t>
      </w:r>
    </w:p>
    <w:p w:rsidR="00AE58A4" w:rsidRPr="00822435" w:rsidP="00AE58A4" w14:paraId="310C2E3B" w14:textId="77777777">
      <w:pPr>
        <w:pStyle w:val="CoverTextRed16pt"/>
        <w:rPr>
          <w:color w:val="4F81BD" w:themeColor="accent1"/>
          <w:sz w:val="22"/>
          <w:szCs w:val="22"/>
        </w:rPr>
      </w:pPr>
      <w:r w:rsidRPr="00822435">
        <w:rPr>
          <w:color w:val="4F81BD" w:themeColor="accent1"/>
          <w:sz w:val="22"/>
          <w:szCs w:val="22"/>
        </w:rPr>
        <w:t>U.S. Department of Education</w:t>
      </w:r>
    </w:p>
    <w:p w:rsidR="00AE58A4" w:rsidRPr="009C765B" w:rsidP="00AE58A4" w14:paraId="3B56487A" w14:textId="77777777">
      <w:pPr>
        <w:pStyle w:val="CoverText11pt"/>
        <w:rPr>
          <w:i w:val="0"/>
        </w:rPr>
      </w:pPr>
      <w:r w:rsidRPr="009C765B">
        <w:rPr>
          <w:i w:val="0"/>
        </w:rPr>
        <w:t>55</w:t>
      </w:r>
      <w:r>
        <w:rPr>
          <w:i w:val="0"/>
        </w:rPr>
        <w:t>0 12</w:t>
      </w:r>
      <w:r w:rsidRPr="00A11836">
        <w:rPr>
          <w:i w:val="0"/>
          <w:vertAlign w:val="superscript"/>
        </w:rPr>
        <w:t>th</w:t>
      </w:r>
      <w:r>
        <w:rPr>
          <w:i w:val="0"/>
        </w:rPr>
        <w:t xml:space="preserve"> Street, SW</w:t>
      </w:r>
    </w:p>
    <w:p w:rsidR="00AE58A4" w:rsidRPr="009C765B" w:rsidP="00AE58A4" w14:paraId="78274F40" w14:textId="77777777">
      <w:pPr>
        <w:pStyle w:val="CoverText11pt"/>
        <w:rPr>
          <w:i w:val="0"/>
        </w:rPr>
      </w:pPr>
      <w:r w:rsidRPr="009C765B">
        <w:rPr>
          <w:i w:val="0"/>
        </w:rPr>
        <w:t xml:space="preserve">Washington, DC </w:t>
      </w:r>
      <w:r>
        <w:rPr>
          <w:i w:val="0"/>
        </w:rPr>
        <w:t>20024</w:t>
      </w:r>
    </w:p>
    <w:p w:rsidR="00AE58A4" w:rsidRPr="009C765B" w:rsidP="00AE58A4" w14:paraId="17184FC6" w14:textId="77777777">
      <w:pPr>
        <w:pStyle w:val="CoverText11pt"/>
      </w:pPr>
    </w:p>
    <w:p w:rsidR="00AE58A4" w:rsidRPr="009C765B" w:rsidP="00AE58A4" w14:paraId="1AB92CC8" w14:textId="77777777">
      <w:pPr>
        <w:pStyle w:val="CoverText11pt"/>
      </w:pPr>
    </w:p>
    <w:p w:rsidR="00AE58A4" w:rsidRPr="009C765B" w:rsidP="00AE58A4" w14:paraId="4CF7C3EE" w14:textId="77777777">
      <w:pPr>
        <w:pStyle w:val="CoverText11pt"/>
      </w:pPr>
    </w:p>
    <w:p w:rsidR="00AE58A4" w:rsidRPr="009C765B" w:rsidP="00AE58A4" w14:paraId="5824620B" w14:textId="77777777">
      <w:pPr>
        <w:pStyle w:val="CoverText11pt"/>
      </w:pPr>
      <w:r w:rsidRPr="009C765B">
        <w:t>Submitted by:</w:t>
      </w:r>
    </w:p>
    <w:p w:rsidR="00AE58A4" w:rsidRPr="00822435" w:rsidP="00AE58A4" w14:paraId="06D21F02" w14:textId="450C5BA9">
      <w:pPr>
        <w:pStyle w:val="CoverTextRed16pt"/>
        <w:rPr>
          <w:color w:val="4F81BD" w:themeColor="accent1"/>
          <w:sz w:val="22"/>
          <w:szCs w:val="22"/>
        </w:rPr>
      </w:pPr>
      <w:r>
        <w:rPr>
          <w:color w:val="4F81BD" w:themeColor="accent1"/>
          <w:sz w:val="22"/>
          <w:szCs w:val="22"/>
        </w:rPr>
        <w:t>REL Pacific</w:t>
      </w:r>
    </w:p>
    <w:p w:rsidR="00696572" w:rsidRPr="0034497C" w:rsidP="00696572" w14:paraId="4DA756FA" w14:textId="54049F01">
      <w:pPr>
        <w:pStyle w:val="CoverText-Address"/>
      </w:pPr>
      <w:r>
        <w:t>745 Fort Street, Suite 1915 Honolulu, HI 96813</w:t>
      </w:r>
    </w:p>
    <w:p w:rsidR="00696572" w:rsidRPr="0034497C" w:rsidP="00696572" w14:paraId="27C0951B" w14:textId="77777777">
      <w:pPr>
        <w:pStyle w:val="CoverText-Address"/>
      </w:pPr>
    </w:p>
    <w:p w:rsidR="00696572" w:rsidRPr="0034497C" w:rsidP="00696572" w14:paraId="2224EFF2" w14:textId="77777777">
      <w:pPr>
        <w:pStyle w:val="CoverText-Address"/>
        <w:ind w:left="5760"/>
        <w:sectPr>
          <w:headerReference w:type="default" r:id="rId9"/>
          <w:footerReference w:type="default" r:id="rId10"/>
          <w:pgSz w:w="12240" w:h="15840" w:code="1"/>
          <w:pgMar w:top="1440" w:right="1440" w:bottom="1440" w:left="1800" w:header="1080" w:footer="720" w:gutter="0"/>
          <w:pgNumType w:fmt="lowerRoman" w:start="1"/>
          <w:cols w:space="720"/>
          <w:docGrid w:linePitch="299"/>
        </w:sectPr>
      </w:pPr>
    </w:p>
    <w:p w:rsidR="00696572" w:rsidRPr="0034497C" w:rsidP="00696572" w14:paraId="2951FE57" w14:textId="77777777">
      <w:pPr>
        <w:pStyle w:val="TOCHeader"/>
      </w:pPr>
      <w:r w:rsidRPr="0034497C">
        <w:t>Table of Contents</w:t>
      </w:r>
    </w:p>
    <w:p w:rsidR="00E64B8E" w14:paraId="63266A33" w14:textId="0F813614">
      <w:pPr>
        <w:pStyle w:val="TOC1"/>
        <w:tabs>
          <w:tab w:val="left" w:pos="576"/>
          <w:tab w:val="right" w:leader="dot" w:pos="8990"/>
        </w:tabs>
        <w:rPr>
          <w:rFonts w:asciiTheme="minorHAnsi" w:eastAsiaTheme="minorEastAsia" w:hAnsiTheme="minorHAnsi" w:cstheme="minorBidi"/>
          <w:b w:val="0"/>
          <w:noProof/>
          <w:szCs w:val="22"/>
        </w:rPr>
      </w:pPr>
      <w:r w:rsidRPr="0034497C">
        <w:fldChar w:fldCharType="begin"/>
      </w:r>
      <w:r w:rsidRPr="0034497C">
        <w:instrText xml:space="preserve"> TOC \o "1-3" \h \z \u </w:instrText>
      </w:r>
      <w:r w:rsidRPr="0034497C">
        <w:fldChar w:fldCharType="separate"/>
      </w:r>
      <w:hyperlink w:anchor="_Toc127438105" w:history="1">
        <w:r w:rsidRPr="00A843A4">
          <w:rPr>
            <w:rStyle w:val="Hyperlink"/>
            <w:noProof/>
          </w:rPr>
          <w:t>B.</w:t>
        </w:r>
        <w:r>
          <w:rPr>
            <w:rFonts w:asciiTheme="minorHAnsi" w:eastAsiaTheme="minorEastAsia" w:hAnsiTheme="minorHAnsi" w:cstheme="minorBidi"/>
            <w:b w:val="0"/>
            <w:noProof/>
            <w:szCs w:val="22"/>
          </w:rPr>
          <w:tab/>
        </w:r>
        <w:r w:rsidRPr="00A843A4">
          <w:rPr>
            <w:rStyle w:val="Hyperlink"/>
            <w:noProof/>
          </w:rPr>
          <w:t>Collection of Information Employing Statistical Methods</w:t>
        </w:r>
        <w:r>
          <w:rPr>
            <w:noProof/>
            <w:webHidden/>
          </w:rPr>
          <w:tab/>
        </w:r>
        <w:r>
          <w:rPr>
            <w:noProof/>
            <w:webHidden/>
          </w:rPr>
          <w:fldChar w:fldCharType="begin"/>
        </w:r>
        <w:r>
          <w:rPr>
            <w:noProof/>
            <w:webHidden/>
          </w:rPr>
          <w:instrText xml:space="preserve"> PAGEREF _Toc127438105 \h </w:instrText>
        </w:r>
        <w:r>
          <w:rPr>
            <w:noProof/>
            <w:webHidden/>
          </w:rPr>
          <w:fldChar w:fldCharType="separate"/>
        </w:r>
        <w:r>
          <w:rPr>
            <w:noProof/>
            <w:webHidden/>
          </w:rPr>
          <w:t>2</w:t>
        </w:r>
        <w:r>
          <w:rPr>
            <w:noProof/>
            <w:webHidden/>
          </w:rPr>
          <w:fldChar w:fldCharType="end"/>
        </w:r>
      </w:hyperlink>
    </w:p>
    <w:p w:rsidR="00E64B8E" w14:paraId="53C50469" w14:textId="18AD2448">
      <w:pPr>
        <w:pStyle w:val="TOC2"/>
        <w:tabs>
          <w:tab w:val="right" w:leader="dot" w:pos="8990"/>
        </w:tabs>
        <w:rPr>
          <w:rFonts w:asciiTheme="minorHAnsi" w:eastAsiaTheme="minorEastAsia" w:hAnsiTheme="minorHAnsi" w:cstheme="minorBidi"/>
          <w:noProof/>
          <w:szCs w:val="22"/>
        </w:rPr>
      </w:pPr>
      <w:hyperlink w:anchor="_Toc127438106" w:history="1">
        <w:r w:rsidRPr="00A843A4">
          <w:rPr>
            <w:rStyle w:val="Hyperlink"/>
            <w:noProof/>
          </w:rPr>
          <w:t>Introduction</w:t>
        </w:r>
        <w:r>
          <w:rPr>
            <w:noProof/>
            <w:webHidden/>
          </w:rPr>
          <w:tab/>
        </w:r>
        <w:r>
          <w:rPr>
            <w:noProof/>
            <w:webHidden/>
          </w:rPr>
          <w:fldChar w:fldCharType="begin"/>
        </w:r>
        <w:r>
          <w:rPr>
            <w:noProof/>
            <w:webHidden/>
          </w:rPr>
          <w:instrText xml:space="preserve"> PAGEREF _Toc127438106 \h </w:instrText>
        </w:r>
        <w:r>
          <w:rPr>
            <w:noProof/>
            <w:webHidden/>
          </w:rPr>
          <w:fldChar w:fldCharType="separate"/>
        </w:r>
        <w:r>
          <w:rPr>
            <w:noProof/>
            <w:webHidden/>
          </w:rPr>
          <w:t>2</w:t>
        </w:r>
        <w:r>
          <w:rPr>
            <w:noProof/>
            <w:webHidden/>
          </w:rPr>
          <w:fldChar w:fldCharType="end"/>
        </w:r>
      </w:hyperlink>
    </w:p>
    <w:p w:rsidR="00E64B8E" w14:paraId="484720D6" w14:textId="7323E690">
      <w:pPr>
        <w:pStyle w:val="TOC2"/>
        <w:tabs>
          <w:tab w:val="left" w:pos="1152"/>
          <w:tab w:val="right" w:leader="dot" w:pos="8990"/>
        </w:tabs>
        <w:rPr>
          <w:rFonts w:asciiTheme="minorHAnsi" w:eastAsiaTheme="minorEastAsia" w:hAnsiTheme="minorHAnsi" w:cstheme="minorBidi"/>
          <w:noProof/>
          <w:szCs w:val="22"/>
        </w:rPr>
      </w:pPr>
      <w:hyperlink w:anchor="_Toc127438107" w:history="1">
        <w:r w:rsidRPr="00A843A4">
          <w:rPr>
            <w:rStyle w:val="Hyperlink"/>
            <w:noProof/>
          </w:rPr>
          <w:t>B.1</w:t>
        </w:r>
        <w:r>
          <w:rPr>
            <w:rFonts w:asciiTheme="minorHAnsi" w:eastAsiaTheme="minorEastAsia" w:hAnsiTheme="minorHAnsi" w:cstheme="minorBidi"/>
            <w:noProof/>
            <w:szCs w:val="22"/>
          </w:rPr>
          <w:tab/>
        </w:r>
        <w:r w:rsidRPr="00A843A4">
          <w:rPr>
            <w:rStyle w:val="Hyperlink"/>
            <w:noProof/>
          </w:rPr>
          <w:t>Respondent Universe and Sample Design</w:t>
        </w:r>
        <w:r>
          <w:rPr>
            <w:noProof/>
            <w:webHidden/>
          </w:rPr>
          <w:tab/>
        </w:r>
        <w:r>
          <w:rPr>
            <w:noProof/>
            <w:webHidden/>
          </w:rPr>
          <w:fldChar w:fldCharType="begin"/>
        </w:r>
        <w:r>
          <w:rPr>
            <w:noProof/>
            <w:webHidden/>
          </w:rPr>
          <w:instrText xml:space="preserve"> PAGEREF _Toc127438107 \h </w:instrText>
        </w:r>
        <w:r>
          <w:rPr>
            <w:noProof/>
            <w:webHidden/>
          </w:rPr>
          <w:fldChar w:fldCharType="separate"/>
        </w:r>
        <w:r>
          <w:rPr>
            <w:noProof/>
            <w:webHidden/>
          </w:rPr>
          <w:t>3</w:t>
        </w:r>
        <w:r>
          <w:rPr>
            <w:noProof/>
            <w:webHidden/>
          </w:rPr>
          <w:fldChar w:fldCharType="end"/>
        </w:r>
      </w:hyperlink>
    </w:p>
    <w:p w:rsidR="00E64B8E" w14:paraId="6BC392C6" w14:textId="6D88232C">
      <w:pPr>
        <w:pStyle w:val="TOC2"/>
        <w:tabs>
          <w:tab w:val="left" w:pos="1152"/>
          <w:tab w:val="right" w:leader="dot" w:pos="8990"/>
        </w:tabs>
        <w:rPr>
          <w:rFonts w:asciiTheme="minorHAnsi" w:eastAsiaTheme="minorEastAsia" w:hAnsiTheme="minorHAnsi" w:cstheme="minorBidi"/>
          <w:noProof/>
          <w:szCs w:val="22"/>
        </w:rPr>
      </w:pPr>
      <w:hyperlink w:anchor="_Toc127438108" w:history="1">
        <w:r w:rsidRPr="00A843A4">
          <w:rPr>
            <w:rStyle w:val="Hyperlink"/>
            <w:noProof/>
          </w:rPr>
          <w:t>B.2</w:t>
        </w:r>
        <w:r>
          <w:rPr>
            <w:rFonts w:asciiTheme="minorHAnsi" w:eastAsiaTheme="minorEastAsia" w:hAnsiTheme="minorHAnsi" w:cstheme="minorBidi"/>
            <w:noProof/>
            <w:szCs w:val="22"/>
          </w:rPr>
          <w:tab/>
        </w:r>
        <w:r w:rsidRPr="00A843A4">
          <w:rPr>
            <w:rStyle w:val="Hyperlink"/>
            <w:noProof/>
          </w:rPr>
          <w:t>Information Collection Procedures</w:t>
        </w:r>
        <w:r>
          <w:rPr>
            <w:noProof/>
            <w:webHidden/>
          </w:rPr>
          <w:tab/>
        </w:r>
        <w:r>
          <w:rPr>
            <w:noProof/>
            <w:webHidden/>
          </w:rPr>
          <w:fldChar w:fldCharType="begin"/>
        </w:r>
        <w:r>
          <w:rPr>
            <w:noProof/>
            <w:webHidden/>
          </w:rPr>
          <w:instrText xml:space="preserve"> PAGEREF _Toc127438108 \h </w:instrText>
        </w:r>
        <w:r>
          <w:rPr>
            <w:noProof/>
            <w:webHidden/>
          </w:rPr>
          <w:fldChar w:fldCharType="separate"/>
        </w:r>
        <w:r>
          <w:rPr>
            <w:noProof/>
            <w:webHidden/>
          </w:rPr>
          <w:t>4</w:t>
        </w:r>
        <w:r>
          <w:rPr>
            <w:noProof/>
            <w:webHidden/>
          </w:rPr>
          <w:fldChar w:fldCharType="end"/>
        </w:r>
      </w:hyperlink>
    </w:p>
    <w:p w:rsidR="00E64B8E" w14:paraId="48E29863" w14:textId="7B31A30D">
      <w:pPr>
        <w:pStyle w:val="TOC3"/>
        <w:tabs>
          <w:tab w:val="left" w:pos="1920"/>
          <w:tab w:val="right" w:leader="dot" w:pos="8990"/>
        </w:tabs>
        <w:rPr>
          <w:rFonts w:asciiTheme="minorHAnsi" w:eastAsiaTheme="minorEastAsia" w:hAnsiTheme="minorHAnsi" w:cstheme="minorBidi"/>
          <w:noProof/>
          <w:szCs w:val="22"/>
        </w:rPr>
      </w:pPr>
      <w:hyperlink w:anchor="_Toc127438109" w:history="1">
        <w:r w:rsidRPr="00A843A4">
          <w:rPr>
            <w:rStyle w:val="Hyperlink"/>
            <w:noProof/>
          </w:rPr>
          <w:t>B.2.1</w:t>
        </w:r>
        <w:r>
          <w:rPr>
            <w:rFonts w:asciiTheme="minorHAnsi" w:eastAsiaTheme="minorEastAsia" w:hAnsiTheme="minorHAnsi" w:cstheme="minorBidi"/>
            <w:noProof/>
            <w:szCs w:val="22"/>
          </w:rPr>
          <w:tab/>
        </w:r>
        <w:r w:rsidRPr="00A843A4">
          <w:rPr>
            <w:rStyle w:val="Hyperlink"/>
            <w:noProof/>
          </w:rPr>
          <w:t>Notification of the Sample and Recruitment</w:t>
        </w:r>
        <w:r>
          <w:rPr>
            <w:noProof/>
            <w:webHidden/>
          </w:rPr>
          <w:tab/>
        </w:r>
        <w:r>
          <w:rPr>
            <w:noProof/>
            <w:webHidden/>
          </w:rPr>
          <w:fldChar w:fldCharType="begin"/>
        </w:r>
        <w:r>
          <w:rPr>
            <w:noProof/>
            <w:webHidden/>
          </w:rPr>
          <w:instrText xml:space="preserve"> PAGEREF _Toc127438109 \h </w:instrText>
        </w:r>
        <w:r>
          <w:rPr>
            <w:noProof/>
            <w:webHidden/>
          </w:rPr>
          <w:fldChar w:fldCharType="separate"/>
        </w:r>
        <w:r>
          <w:rPr>
            <w:noProof/>
            <w:webHidden/>
          </w:rPr>
          <w:t>4</w:t>
        </w:r>
        <w:r>
          <w:rPr>
            <w:noProof/>
            <w:webHidden/>
          </w:rPr>
          <w:fldChar w:fldCharType="end"/>
        </w:r>
      </w:hyperlink>
    </w:p>
    <w:p w:rsidR="00E64B8E" w14:paraId="37FCDB84" w14:textId="70A80FB2">
      <w:pPr>
        <w:pStyle w:val="TOC3"/>
        <w:tabs>
          <w:tab w:val="left" w:pos="1920"/>
          <w:tab w:val="right" w:leader="dot" w:pos="8990"/>
        </w:tabs>
        <w:rPr>
          <w:rFonts w:asciiTheme="minorHAnsi" w:eastAsiaTheme="minorEastAsia" w:hAnsiTheme="minorHAnsi" w:cstheme="minorBidi"/>
          <w:noProof/>
          <w:szCs w:val="22"/>
        </w:rPr>
      </w:pPr>
      <w:hyperlink w:anchor="_Toc127438110" w:history="1">
        <w:r w:rsidRPr="00A843A4">
          <w:rPr>
            <w:rStyle w:val="Hyperlink"/>
            <w:noProof/>
          </w:rPr>
          <w:t>B.2.2</w:t>
        </w:r>
        <w:r>
          <w:rPr>
            <w:rFonts w:asciiTheme="minorHAnsi" w:eastAsiaTheme="minorEastAsia" w:hAnsiTheme="minorHAnsi" w:cstheme="minorBidi"/>
            <w:noProof/>
            <w:szCs w:val="22"/>
          </w:rPr>
          <w:tab/>
        </w:r>
        <w:r w:rsidRPr="00A843A4">
          <w:rPr>
            <w:rStyle w:val="Hyperlink"/>
            <w:noProof/>
          </w:rPr>
          <w:t>Statistical Methodology for Stratification and Sample Selection</w:t>
        </w:r>
        <w:r>
          <w:rPr>
            <w:noProof/>
            <w:webHidden/>
          </w:rPr>
          <w:tab/>
        </w:r>
        <w:r>
          <w:rPr>
            <w:noProof/>
            <w:webHidden/>
          </w:rPr>
          <w:fldChar w:fldCharType="begin"/>
        </w:r>
        <w:r>
          <w:rPr>
            <w:noProof/>
            <w:webHidden/>
          </w:rPr>
          <w:instrText xml:space="preserve"> PAGEREF _Toc127438110 \h </w:instrText>
        </w:r>
        <w:r>
          <w:rPr>
            <w:noProof/>
            <w:webHidden/>
          </w:rPr>
          <w:fldChar w:fldCharType="separate"/>
        </w:r>
        <w:r>
          <w:rPr>
            <w:noProof/>
            <w:webHidden/>
          </w:rPr>
          <w:t>4</w:t>
        </w:r>
        <w:r>
          <w:rPr>
            <w:noProof/>
            <w:webHidden/>
          </w:rPr>
          <w:fldChar w:fldCharType="end"/>
        </w:r>
      </w:hyperlink>
    </w:p>
    <w:p w:rsidR="00E64B8E" w14:paraId="7A7E30B7" w14:textId="4A47FD74">
      <w:pPr>
        <w:pStyle w:val="TOC3"/>
        <w:tabs>
          <w:tab w:val="left" w:pos="1920"/>
          <w:tab w:val="right" w:leader="dot" w:pos="8990"/>
        </w:tabs>
        <w:rPr>
          <w:rFonts w:asciiTheme="minorHAnsi" w:eastAsiaTheme="minorEastAsia" w:hAnsiTheme="minorHAnsi" w:cstheme="minorBidi"/>
          <w:noProof/>
          <w:szCs w:val="22"/>
        </w:rPr>
      </w:pPr>
      <w:hyperlink w:anchor="_Toc127438111" w:history="1">
        <w:r w:rsidRPr="00A843A4">
          <w:rPr>
            <w:rStyle w:val="Hyperlink"/>
            <w:noProof/>
          </w:rPr>
          <w:t>B.2.3</w:t>
        </w:r>
        <w:r>
          <w:rPr>
            <w:rFonts w:asciiTheme="minorHAnsi" w:eastAsiaTheme="minorEastAsia" w:hAnsiTheme="minorHAnsi" w:cstheme="minorBidi"/>
            <w:noProof/>
            <w:szCs w:val="22"/>
          </w:rPr>
          <w:tab/>
        </w:r>
        <w:r w:rsidRPr="00A843A4">
          <w:rPr>
            <w:rStyle w:val="Hyperlink"/>
            <w:noProof/>
          </w:rPr>
          <w:t>Estimation Procedures</w:t>
        </w:r>
        <w:r>
          <w:rPr>
            <w:noProof/>
            <w:webHidden/>
          </w:rPr>
          <w:tab/>
        </w:r>
        <w:r>
          <w:rPr>
            <w:noProof/>
            <w:webHidden/>
          </w:rPr>
          <w:fldChar w:fldCharType="begin"/>
        </w:r>
        <w:r>
          <w:rPr>
            <w:noProof/>
            <w:webHidden/>
          </w:rPr>
          <w:instrText xml:space="preserve"> PAGEREF _Toc127438111 \h </w:instrText>
        </w:r>
        <w:r>
          <w:rPr>
            <w:noProof/>
            <w:webHidden/>
          </w:rPr>
          <w:fldChar w:fldCharType="separate"/>
        </w:r>
        <w:r>
          <w:rPr>
            <w:noProof/>
            <w:webHidden/>
          </w:rPr>
          <w:t>5</w:t>
        </w:r>
        <w:r>
          <w:rPr>
            <w:noProof/>
            <w:webHidden/>
          </w:rPr>
          <w:fldChar w:fldCharType="end"/>
        </w:r>
      </w:hyperlink>
    </w:p>
    <w:p w:rsidR="00E64B8E" w14:paraId="561FCD8C" w14:textId="7B75DA76">
      <w:pPr>
        <w:pStyle w:val="TOC3"/>
        <w:tabs>
          <w:tab w:val="left" w:pos="1920"/>
          <w:tab w:val="right" w:leader="dot" w:pos="8990"/>
        </w:tabs>
        <w:rPr>
          <w:rFonts w:asciiTheme="minorHAnsi" w:eastAsiaTheme="minorEastAsia" w:hAnsiTheme="minorHAnsi" w:cstheme="minorBidi"/>
          <w:noProof/>
          <w:szCs w:val="22"/>
        </w:rPr>
      </w:pPr>
      <w:hyperlink w:anchor="_Toc127438112" w:history="1">
        <w:r w:rsidRPr="00A843A4">
          <w:rPr>
            <w:rStyle w:val="Hyperlink"/>
            <w:noProof/>
          </w:rPr>
          <w:t>B.2.4</w:t>
        </w:r>
        <w:r>
          <w:rPr>
            <w:rFonts w:asciiTheme="minorHAnsi" w:eastAsiaTheme="minorEastAsia" w:hAnsiTheme="minorHAnsi" w:cstheme="minorBidi"/>
            <w:noProof/>
            <w:szCs w:val="22"/>
          </w:rPr>
          <w:tab/>
        </w:r>
        <w:r w:rsidRPr="00A843A4">
          <w:rPr>
            <w:rStyle w:val="Hyperlink"/>
            <w:noProof/>
          </w:rPr>
          <w:t>Degree of Accuracy Needed</w:t>
        </w:r>
        <w:r>
          <w:rPr>
            <w:noProof/>
            <w:webHidden/>
          </w:rPr>
          <w:tab/>
        </w:r>
        <w:r>
          <w:rPr>
            <w:noProof/>
            <w:webHidden/>
          </w:rPr>
          <w:fldChar w:fldCharType="begin"/>
        </w:r>
        <w:r>
          <w:rPr>
            <w:noProof/>
            <w:webHidden/>
          </w:rPr>
          <w:instrText xml:space="preserve"> PAGEREF _Toc127438112 \h </w:instrText>
        </w:r>
        <w:r>
          <w:rPr>
            <w:noProof/>
            <w:webHidden/>
          </w:rPr>
          <w:fldChar w:fldCharType="separate"/>
        </w:r>
        <w:r>
          <w:rPr>
            <w:noProof/>
            <w:webHidden/>
          </w:rPr>
          <w:t>9</w:t>
        </w:r>
        <w:r>
          <w:rPr>
            <w:noProof/>
            <w:webHidden/>
          </w:rPr>
          <w:fldChar w:fldCharType="end"/>
        </w:r>
      </w:hyperlink>
    </w:p>
    <w:p w:rsidR="00E64B8E" w14:paraId="1D1D5173" w14:textId="73FB1C7C">
      <w:pPr>
        <w:pStyle w:val="TOC3"/>
        <w:tabs>
          <w:tab w:val="left" w:pos="1920"/>
          <w:tab w:val="right" w:leader="dot" w:pos="8990"/>
        </w:tabs>
        <w:rPr>
          <w:rFonts w:asciiTheme="minorHAnsi" w:eastAsiaTheme="minorEastAsia" w:hAnsiTheme="minorHAnsi" w:cstheme="minorBidi"/>
          <w:noProof/>
          <w:szCs w:val="22"/>
        </w:rPr>
      </w:pPr>
      <w:hyperlink w:anchor="_Toc127438113" w:history="1">
        <w:r w:rsidRPr="00A843A4">
          <w:rPr>
            <w:rStyle w:val="Hyperlink"/>
            <w:noProof/>
          </w:rPr>
          <w:t>B.2.5</w:t>
        </w:r>
        <w:r>
          <w:rPr>
            <w:rFonts w:asciiTheme="minorHAnsi" w:eastAsiaTheme="minorEastAsia" w:hAnsiTheme="minorHAnsi" w:cstheme="minorBidi"/>
            <w:noProof/>
            <w:szCs w:val="22"/>
          </w:rPr>
          <w:tab/>
        </w:r>
        <w:r w:rsidRPr="00A843A4">
          <w:rPr>
            <w:rStyle w:val="Hyperlink"/>
            <w:noProof/>
          </w:rPr>
          <w:t>Unusual Problems Requiring Specialized Sampling Procedures</w:t>
        </w:r>
        <w:r>
          <w:rPr>
            <w:noProof/>
            <w:webHidden/>
          </w:rPr>
          <w:tab/>
        </w:r>
        <w:r>
          <w:rPr>
            <w:noProof/>
            <w:webHidden/>
          </w:rPr>
          <w:fldChar w:fldCharType="begin"/>
        </w:r>
        <w:r>
          <w:rPr>
            <w:noProof/>
            <w:webHidden/>
          </w:rPr>
          <w:instrText xml:space="preserve"> PAGEREF _Toc127438113 \h </w:instrText>
        </w:r>
        <w:r>
          <w:rPr>
            <w:noProof/>
            <w:webHidden/>
          </w:rPr>
          <w:fldChar w:fldCharType="separate"/>
        </w:r>
        <w:r>
          <w:rPr>
            <w:noProof/>
            <w:webHidden/>
          </w:rPr>
          <w:t>10</w:t>
        </w:r>
        <w:r>
          <w:rPr>
            <w:noProof/>
            <w:webHidden/>
          </w:rPr>
          <w:fldChar w:fldCharType="end"/>
        </w:r>
      </w:hyperlink>
    </w:p>
    <w:p w:rsidR="00E64B8E" w14:paraId="08CA573D" w14:textId="5119C390">
      <w:pPr>
        <w:pStyle w:val="TOC3"/>
        <w:tabs>
          <w:tab w:val="left" w:pos="1920"/>
          <w:tab w:val="right" w:leader="dot" w:pos="8990"/>
        </w:tabs>
        <w:rPr>
          <w:rFonts w:asciiTheme="minorHAnsi" w:eastAsiaTheme="minorEastAsia" w:hAnsiTheme="minorHAnsi" w:cstheme="minorBidi"/>
          <w:noProof/>
          <w:szCs w:val="22"/>
        </w:rPr>
      </w:pPr>
      <w:hyperlink w:anchor="_Toc127438114" w:history="1">
        <w:r w:rsidRPr="00A843A4">
          <w:rPr>
            <w:rStyle w:val="Hyperlink"/>
            <w:noProof/>
          </w:rPr>
          <w:t>B.2.6</w:t>
        </w:r>
        <w:r>
          <w:rPr>
            <w:rFonts w:asciiTheme="minorHAnsi" w:eastAsiaTheme="minorEastAsia" w:hAnsiTheme="minorHAnsi" w:cstheme="minorBidi"/>
            <w:noProof/>
            <w:szCs w:val="22"/>
          </w:rPr>
          <w:tab/>
        </w:r>
        <w:r w:rsidRPr="00A843A4">
          <w:rPr>
            <w:rStyle w:val="Hyperlink"/>
            <w:noProof/>
          </w:rPr>
          <w:t>Use of Periodic (less than annual) Data Collection to Reduce Burden</w:t>
        </w:r>
        <w:r>
          <w:rPr>
            <w:noProof/>
            <w:webHidden/>
          </w:rPr>
          <w:tab/>
        </w:r>
        <w:r>
          <w:rPr>
            <w:noProof/>
            <w:webHidden/>
          </w:rPr>
          <w:fldChar w:fldCharType="begin"/>
        </w:r>
        <w:r>
          <w:rPr>
            <w:noProof/>
            <w:webHidden/>
          </w:rPr>
          <w:instrText xml:space="preserve"> PAGEREF _Toc127438114 \h </w:instrText>
        </w:r>
        <w:r>
          <w:rPr>
            <w:noProof/>
            <w:webHidden/>
          </w:rPr>
          <w:fldChar w:fldCharType="separate"/>
        </w:r>
        <w:r>
          <w:rPr>
            <w:noProof/>
            <w:webHidden/>
          </w:rPr>
          <w:t>10</w:t>
        </w:r>
        <w:r>
          <w:rPr>
            <w:noProof/>
            <w:webHidden/>
          </w:rPr>
          <w:fldChar w:fldCharType="end"/>
        </w:r>
      </w:hyperlink>
    </w:p>
    <w:p w:rsidR="00E64B8E" w14:paraId="558163F3" w14:textId="7021A37E">
      <w:pPr>
        <w:pStyle w:val="TOC2"/>
        <w:tabs>
          <w:tab w:val="left" w:pos="1152"/>
          <w:tab w:val="right" w:leader="dot" w:pos="8990"/>
        </w:tabs>
        <w:rPr>
          <w:rFonts w:asciiTheme="minorHAnsi" w:eastAsiaTheme="minorEastAsia" w:hAnsiTheme="minorHAnsi" w:cstheme="minorBidi"/>
          <w:noProof/>
          <w:szCs w:val="22"/>
        </w:rPr>
      </w:pPr>
      <w:hyperlink w:anchor="_Toc127438115" w:history="1">
        <w:r w:rsidRPr="00A843A4">
          <w:rPr>
            <w:rStyle w:val="Hyperlink"/>
            <w:noProof/>
          </w:rPr>
          <w:t>B.3</w:t>
        </w:r>
        <w:r>
          <w:rPr>
            <w:rFonts w:asciiTheme="minorHAnsi" w:eastAsiaTheme="minorEastAsia" w:hAnsiTheme="minorHAnsi" w:cstheme="minorBidi"/>
            <w:noProof/>
            <w:szCs w:val="22"/>
          </w:rPr>
          <w:tab/>
        </w:r>
        <w:r w:rsidRPr="00A843A4">
          <w:rPr>
            <w:rStyle w:val="Hyperlink"/>
            <w:noProof/>
          </w:rPr>
          <w:t>Methods for Maximizing the Response Rate</w:t>
        </w:r>
        <w:r>
          <w:rPr>
            <w:noProof/>
            <w:webHidden/>
          </w:rPr>
          <w:tab/>
        </w:r>
        <w:r>
          <w:rPr>
            <w:noProof/>
            <w:webHidden/>
          </w:rPr>
          <w:fldChar w:fldCharType="begin"/>
        </w:r>
        <w:r>
          <w:rPr>
            <w:noProof/>
            <w:webHidden/>
          </w:rPr>
          <w:instrText xml:space="preserve"> PAGEREF _Toc127438115 \h </w:instrText>
        </w:r>
        <w:r>
          <w:rPr>
            <w:noProof/>
            <w:webHidden/>
          </w:rPr>
          <w:fldChar w:fldCharType="separate"/>
        </w:r>
        <w:r>
          <w:rPr>
            <w:noProof/>
            <w:webHidden/>
          </w:rPr>
          <w:t>10</w:t>
        </w:r>
        <w:r>
          <w:rPr>
            <w:noProof/>
            <w:webHidden/>
          </w:rPr>
          <w:fldChar w:fldCharType="end"/>
        </w:r>
      </w:hyperlink>
    </w:p>
    <w:p w:rsidR="00E64B8E" w14:paraId="5FE4423C" w14:textId="33969E1C">
      <w:pPr>
        <w:pStyle w:val="TOC2"/>
        <w:tabs>
          <w:tab w:val="left" w:pos="1152"/>
          <w:tab w:val="right" w:leader="dot" w:pos="8990"/>
        </w:tabs>
        <w:rPr>
          <w:rFonts w:asciiTheme="minorHAnsi" w:eastAsiaTheme="minorEastAsia" w:hAnsiTheme="minorHAnsi" w:cstheme="minorBidi"/>
          <w:noProof/>
          <w:szCs w:val="22"/>
        </w:rPr>
      </w:pPr>
      <w:hyperlink w:anchor="_Toc127438116" w:history="1">
        <w:r w:rsidRPr="00A843A4">
          <w:rPr>
            <w:rStyle w:val="Hyperlink"/>
            <w:noProof/>
          </w:rPr>
          <w:t>B.4</w:t>
        </w:r>
        <w:r>
          <w:rPr>
            <w:rFonts w:asciiTheme="minorHAnsi" w:eastAsiaTheme="minorEastAsia" w:hAnsiTheme="minorHAnsi" w:cstheme="minorBidi"/>
            <w:noProof/>
            <w:szCs w:val="22"/>
          </w:rPr>
          <w:tab/>
        </w:r>
        <w:r w:rsidRPr="00A843A4">
          <w:rPr>
            <w:rStyle w:val="Hyperlink"/>
            <w:noProof/>
          </w:rPr>
          <w:t>Test of Procedures</w:t>
        </w:r>
        <w:r>
          <w:rPr>
            <w:noProof/>
            <w:webHidden/>
          </w:rPr>
          <w:tab/>
        </w:r>
        <w:r>
          <w:rPr>
            <w:noProof/>
            <w:webHidden/>
          </w:rPr>
          <w:fldChar w:fldCharType="begin"/>
        </w:r>
        <w:r>
          <w:rPr>
            <w:noProof/>
            <w:webHidden/>
          </w:rPr>
          <w:instrText xml:space="preserve"> PAGEREF _Toc127438116 \h </w:instrText>
        </w:r>
        <w:r>
          <w:rPr>
            <w:noProof/>
            <w:webHidden/>
          </w:rPr>
          <w:fldChar w:fldCharType="separate"/>
        </w:r>
        <w:r>
          <w:rPr>
            <w:noProof/>
            <w:webHidden/>
          </w:rPr>
          <w:t>11</w:t>
        </w:r>
        <w:r>
          <w:rPr>
            <w:noProof/>
            <w:webHidden/>
          </w:rPr>
          <w:fldChar w:fldCharType="end"/>
        </w:r>
      </w:hyperlink>
    </w:p>
    <w:p w:rsidR="00E64B8E" w14:paraId="52CDD349" w14:textId="168E29F4">
      <w:pPr>
        <w:pStyle w:val="TOC2"/>
        <w:tabs>
          <w:tab w:val="left" w:pos="1152"/>
          <w:tab w:val="right" w:leader="dot" w:pos="8990"/>
        </w:tabs>
        <w:rPr>
          <w:rFonts w:asciiTheme="minorHAnsi" w:eastAsiaTheme="minorEastAsia" w:hAnsiTheme="minorHAnsi" w:cstheme="minorBidi"/>
          <w:noProof/>
          <w:szCs w:val="22"/>
        </w:rPr>
      </w:pPr>
      <w:hyperlink w:anchor="_Toc127438117" w:history="1">
        <w:r w:rsidRPr="00A843A4">
          <w:rPr>
            <w:rStyle w:val="Hyperlink"/>
            <w:noProof/>
          </w:rPr>
          <w:t>B.5</w:t>
        </w:r>
        <w:r>
          <w:rPr>
            <w:rFonts w:asciiTheme="minorHAnsi" w:eastAsiaTheme="minorEastAsia" w:hAnsiTheme="minorHAnsi" w:cstheme="minorBidi"/>
            <w:noProof/>
            <w:szCs w:val="22"/>
          </w:rPr>
          <w:tab/>
        </w:r>
        <w:r w:rsidRPr="00A843A4">
          <w:rPr>
            <w:rStyle w:val="Hyperlink"/>
            <w:noProof/>
          </w:rPr>
          <w:t>Methods to Minimizing Burden on Small Entities</w:t>
        </w:r>
        <w:r>
          <w:rPr>
            <w:noProof/>
            <w:webHidden/>
          </w:rPr>
          <w:tab/>
        </w:r>
        <w:r>
          <w:rPr>
            <w:noProof/>
            <w:webHidden/>
          </w:rPr>
          <w:fldChar w:fldCharType="begin"/>
        </w:r>
        <w:r>
          <w:rPr>
            <w:noProof/>
            <w:webHidden/>
          </w:rPr>
          <w:instrText xml:space="preserve"> PAGEREF _Toc127438117 \h </w:instrText>
        </w:r>
        <w:r>
          <w:rPr>
            <w:noProof/>
            <w:webHidden/>
          </w:rPr>
          <w:fldChar w:fldCharType="separate"/>
        </w:r>
        <w:r>
          <w:rPr>
            <w:noProof/>
            <w:webHidden/>
          </w:rPr>
          <w:t>12</w:t>
        </w:r>
        <w:r>
          <w:rPr>
            <w:noProof/>
            <w:webHidden/>
          </w:rPr>
          <w:fldChar w:fldCharType="end"/>
        </w:r>
      </w:hyperlink>
    </w:p>
    <w:p w:rsidR="00E64B8E" w14:paraId="3D2F690B" w14:textId="73A246FC">
      <w:pPr>
        <w:pStyle w:val="TOC2"/>
        <w:tabs>
          <w:tab w:val="right" w:leader="dot" w:pos="8990"/>
        </w:tabs>
        <w:rPr>
          <w:rFonts w:asciiTheme="minorHAnsi" w:eastAsiaTheme="minorEastAsia" w:hAnsiTheme="minorHAnsi" w:cstheme="minorBidi"/>
          <w:noProof/>
          <w:szCs w:val="22"/>
        </w:rPr>
      </w:pPr>
      <w:hyperlink w:anchor="_Toc127438118" w:history="1">
        <w:r w:rsidRPr="00A843A4">
          <w:rPr>
            <w:rStyle w:val="Hyperlink"/>
            <w:noProof/>
          </w:rPr>
          <w:t>References</w:t>
        </w:r>
        <w:r>
          <w:rPr>
            <w:noProof/>
            <w:webHidden/>
          </w:rPr>
          <w:tab/>
        </w:r>
        <w:r>
          <w:rPr>
            <w:noProof/>
            <w:webHidden/>
          </w:rPr>
          <w:fldChar w:fldCharType="begin"/>
        </w:r>
        <w:r>
          <w:rPr>
            <w:noProof/>
            <w:webHidden/>
          </w:rPr>
          <w:instrText xml:space="preserve"> PAGEREF _Toc127438118 \h </w:instrText>
        </w:r>
        <w:r>
          <w:rPr>
            <w:noProof/>
            <w:webHidden/>
          </w:rPr>
          <w:fldChar w:fldCharType="separate"/>
        </w:r>
        <w:r>
          <w:rPr>
            <w:noProof/>
            <w:webHidden/>
          </w:rPr>
          <w:t>13</w:t>
        </w:r>
        <w:r>
          <w:rPr>
            <w:noProof/>
            <w:webHidden/>
          </w:rPr>
          <w:fldChar w:fldCharType="end"/>
        </w:r>
      </w:hyperlink>
    </w:p>
    <w:p w:rsidR="00696572" w:rsidRPr="0034497C" w:rsidP="00696572" w14:paraId="59E01CD3" w14:textId="5EDD9673">
      <w:pPr>
        <w:pStyle w:val="BodyText"/>
        <w:rPr>
          <w:b/>
        </w:rPr>
      </w:pPr>
      <w:r w:rsidRPr="0034497C">
        <w:fldChar w:fldCharType="end"/>
      </w:r>
    </w:p>
    <w:p w:rsidR="00696572" w:rsidRPr="0034497C" w:rsidP="00696572" w14:paraId="05BE9DFA" w14:textId="77777777">
      <w:pPr>
        <w:spacing w:after="0" w:line="240" w:lineRule="auto"/>
      </w:pPr>
    </w:p>
    <w:p w:rsidR="00696572" w:rsidRPr="0034497C" w:rsidP="00696572" w14:paraId="7CBF32B1" w14:textId="77777777">
      <w:pPr>
        <w:pStyle w:val="BodyText"/>
        <w:sectPr w:rsidSect="00E635FB">
          <w:headerReference w:type="default" r:id="rId11"/>
          <w:footerReference w:type="default" r:id="rId12"/>
          <w:pgSz w:w="12240" w:h="15840" w:code="1"/>
          <w:pgMar w:top="1440" w:right="1440" w:bottom="1440" w:left="1800" w:header="864" w:footer="720" w:gutter="0"/>
          <w:pgNumType w:fmt="lowerRoman" w:start="1"/>
          <w:cols w:space="720"/>
          <w:docGrid w:linePitch="299"/>
        </w:sectPr>
      </w:pPr>
    </w:p>
    <w:p w:rsidR="00696572" w:rsidRPr="00452D04" w:rsidP="00452D04" w14:paraId="4E08BD51" w14:textId="77777777">
      <w:pPr>
        <w:pStyle w:val="Heading1"/>
        <w:shd w:val="clear" w:color="auto" w:fill="auto"/>
        <w:rPr>
          <w:color w:val="4F81BD" w:themeColor="accent1"/>
        </w:rPr>
      </w:pPr>
      <w:bookmarkStart w:id="0" w:name="_Toc127438105"/>
      <w:r w:rsidRPr="00452D04">
        <w:rPr>
          <w:color w:val="4F81BD" w:themeColor="accent1"/>
        </w:rPr>
        <w:t xml:space="preserve">Collection </w:t>
      </w:r>
      <w:r w:rsidRPr="00452D04" w:rsidR="00EE04FB">
        <w:rPr>
          <w:color w:val="4F81BD" w:themeColor="accent1"/>
        </w:rPr>
        <w:t>of Information Employing</w:t>
      </w:r>
      <w:r w:rsidRPr="00452D04">
        <w:rPr>
          <w:color w:val="4F81BD" w:themeColor="accent1"/>
        </w:rPr>
        <w:t xml:space="preserve"> Statistical Methods</w:t>
      </w:r>
      <w:bookmarkEnd w:id="0"/>
      <w:r w:rsidRPr="00452D04" w:rsidR="0055466C">
        <w:rPr>
          <w:color w:val="4F81BD" w:themeColor="accent1"/>
        </w:rPr>
        <w:t xml:space="preserve"> </w:t>
      </w:r>
    </w:p>
    <w:p w:rsidR="009F546B" w:rsidRPr="0034497C" w:rsidP="00C530AF" w14:paraId="31EA5045" w14:textId="3A684824">
      <w:pPr>
        <w:pStyle w:val="Heading2"/>
        <w:numPr>
          <w:ilvl w:val="1"/>
          <w:numId w:val="0"/>
        </w:numPr>
      </w:pPr>
      <w:bookmarkStart w:id="1" w:name="_Toc127438106"/>
      <w:r>
        <w:t>Introduction</w:t>
      </w:r>
      <w:bookmarkEnd w:id="1"/>
    </w:p>
    <w:p w:rsidR="00AE58A4" w:rsidRPr="001C1D94" w:rsidP="0FDD9C45" w14:paraId="1A1C963D" w14:textId="4AAA8B2D">
      <w:r w:rsidRPr="21B0E4DC">
        <w:rPr>
          <w:rFonts w:asciiTheme="majorBidi" w:hAnsiTheme="majorBidi" w:cstheme="majorBidi"/>
        </w:rPr>
        <w:t xml:space="preserve">The U.S. Department of Education (ED), through its Institute of Education Sciences (IES), requests clearance for the recruitment materials and data collection protocols under the OMB clearance agreement for activities related to the Regional Educational Laboratory Pacific Program (REL </w:t>
      </w:r>
      <w:r w:rsidRPr="21B0E4DC" w:rsidR="6B682042">
        <w:rPr>
          <w:rFonts w:asciiTheme="majorBidi" w:hAnsiTheme="majorBidi" w:cstheme="majorBidi"/>
        </w:rPr>
        <w:t>PA</w:t>
      </w:r>
      <w:r w:rsidRPr="21B0E4DC">
        <w:rPr>
          <w:rFonts w:asciiTheme="majorBidi" w:hAnsiTheme="majorBidi" w:cstheme="majorBidi"/>
        </w:rPr>
        <w:t>).</w:t>
      </w:r>
      <w:r w:rsidR="00F71D7F">
        <w:rPr>
          <w:rFonts w:asciiTheme="majorBidi" w:hAnsiTheme="majorBidi" w:cstheme="majorBidi"/>
        </w:rPr>
        <w:t xml:space="preserve"> </w:t>
      </w:r>
      <w:r w:rsidR="1C48CDDF">
        <w:t>Literacy, including writing, is closely tied to student success throughout K</w:t>
      </w:r>
      <w:r w:rsidR="00F71D7F">
        <w:t>–</w:t>
      </w:r>
      <w:r w:rsidR="1C48CDDF">
        <w:t>12 education, which impacts high school graduation (National Institute for Literacy, 2008; NCES, 2020) and</w:t>
      </w:r>
      <w:r w:rsidR="00BC3D38">
        <w:t>,</w:t>
      </w:r>
      <w:r w:rsidR="1C48CDDF">
        <w:t xml:space="preserve"> ultimately, income beyond graduation (U</w:t>
      </w:r>
      <w:r w:rsidR="7C5DA960">
        <w:t>.</w:t>
      </w:r>
      <w:r w:rsidR="1C48CDDF">
        <w:t>S</w:t>
      </w:r>
      <w:r w:rsidR="7C5DA960">
        <w:t>.</w:t>
      </w:r>
      <w:r w:rsidR="1C48CDDF">
        <w:t xml:space="preserve"> Bureau of Labor Statistics, 2019). Despite the importance of writing to life and learning, teachers report that the training they receive on teaching writing, both prior to entering the field and while teaching, is minimal or insufficient (Graham, 2019). </w:t>
      </w:r>
    </w:p>
    <w:p w:rsidR="00AE58A4" w:rsidRPr="001C1D94" w:rsidP="21B0E4DC" w14:paraId="401C7462" w14:textId="77E4FED2">
      <w:pPr>
        <w:rPr>
          <w:rFonts w:asciiTheme="majorBidi" w:hAnsiTheme="majorBidi" w:cstheme="majorBidi"/>
        </w:rPr>
      </w:pPr>
      <w:r>
        <w:t xml:space="preserve">To address this problem, the REL PA </w:t>
      </w:r>
      <w:r w:rsidR="291491BC">
        <w:t>Toolkit</w:t>
      </w:r>
      <w:r>
        <w:t xml:space="preserve"> development team is developing a Secondary Writing Toolkit to support teachers in implementing evidence-based instructional strategies</w:t>
      </w:r>
      <w:r w:rsidR="6E62DF83">
        <w:t>. The theory of change is that improv</w:t>
      </w:r>
      <w:r w:rsidR="2CFC9CB4">
        <w:t>ing teachers’</w:t>
      </w:r>
      <w:r w:rsidR="6E62DF83">
        <w:t xml:space="preserve"> writing instruction</w:t>
      </w:r>
      <w:r w:rsidR="0973E552">
        <w:t xml:space="preserve"> will lead to</w:t>
      </w:r>
      <w:r w:rsidR="6E62DF83">
        <w:t xml:space="preserve"> </w:t>
      </w:r>
      <w:r w:rsidR="3904159F">
        <w:t xml:space="preserve">improved </w:t>
      </w:r>
      <w:r w:rsidR="52663326">
        <w:t>writing</w:t>
      </w:r>
      <w:r w:rsidR="00F31037">
        <w:t xml:space="preserve"> </w:t>
      </w:r>
      <w:r>
        <w:t>among students in grades 6</w:t>
      </w:r>
      <w:r w:rsidR="000C7DDF">
        <w:t>–</w:t>
      </w:r>
      <w:r>
        <w:t xml:space="preserve">8. </w:t>
      </w:r>
      <w:r w:rsidRPr="21B0E4DC" w:rsidR="51728707">
        <w:rPr>
          <w:rFonts w:asciiTheme="majorBidi" w:hAnsiTheme="majorBidi" w:cstheme="majorBidi"/>
        </w:rPr>
        <w:t>The</w:t>
      </w:r>
      <w:r w:rsidRPr="21B0E4DC" w:rsidR="51728707">
        <w:rPr>
          <w:lang w:val="en"/>
        </w:rPr>
        <w:t xml:space="preserve"> instructional strategies and resources in the Toolkit that will be selected and developed are based on the </w:t>
      </w:r>
      <w:r w:rsidRPr="21B0E4DC" w:rsidR="51728707">
        <w:rPr>
          <w:rFonts w:asciiTheme="majorBidi" w:hAnsiTheme="majorBidi" w:cstheme="majorBidi"/>
        </w:rPr>
        <w:t xml:space="preserve">three recommendations in </w:t>
      </w:r>
      <w:r w:rsidR="51728707">
        <w:t xml:space="preserve">the </w:t>
      </w:r>
      <w:hyperlink r:id="rId13">
        <w:r w:rsidRPr="21B0E4DC" w:rsidR="51728707">
          <w:rPr>
            <w:rStyle w:val="Hyperlink"/>
            <w:i/>
            <w:iCs/>
          </w:rPr>
          <w:t xml:space="preserve">Teaching Secondary Students to Write Effectively </w:t>
        </w:r>
        <w:r w:rsidR="00AA5111">
          <w:rPr>
            <w:rStyle w:val="Hyperlink"/>
            <w:i/>
            <w:iCs/>
          </w:rPr>
          <w:t>What Works Clearinghouse (</w:t>
        </w:r>
        <w:r w:rsidRPr="21B0E4DC" w:rsidR="51728707">
          <w:rPr>
            <w:rStyle w:val="Hyperlink"/>
            <w:i/>
            <w:iCs/>
          </w:rPr>
          <w:t>WWC</w:t>
        </w:r>
        <w:r w:rsidR="00AA5111">
          <w:rPr>
            <w:rStyle w:val="Hyperlink"/>
            <w:i/>
            <w:iCs/>
          </w:rPr>
          <w:t>)</w:t>
        </w:r>
        <w:r w:rsidRPr="21B0E4DC" w:rsidR="51728707">
          <w:rPr>
            <w:rStyle w:val="Hyperlink"/>
            <w:i/>
            <w:iCs/>
          </w:rPr>
          <w:t xml:space="preserve"> Practice Guide</w:t>
        </w:r>
      </w:hyperlink>
      <w:r w:rsidRPr="21B0E4DC" w:rsidR="51728707">
        <w:rPr>
          <w:rFonts w:asciiTheme="majorBidi" w:hAnsiTheme="majorBidi" w:cstheme="majorBidi"/>
        </w:rPr>
        <w:t xml:space="preserve">: 1) explicitly teach appropriate writing strategies using a Model-Practice-Reflect instructional cycle; 2) integrate reading and writing to emphasize key writing features; and 3) use assessments of student writing to inform instruction and feedback. </w:t>
      </w:r>
      <w:r>
        <w:t xml:space="preserve">The </w:t>
      </w:r>
      <w:r w:rsidR="291491BC">
        <w:t>Toolkit</w:t>
      </w:r>
      <w:r>
        <w:t xml:space="preserve"> </w:t>
      </w:r>
      <w:r w:rsidR="00431E29">
        <w:t xml:space="preserve">is </w:t>
      </w:r>
      <w:r>
        <w:t>being developed in collaboration with district and school partners in</w:t>
      </w:r>
      <w:r w:rsidR="618E1618">
        <w:t xml:space="preserve"> </w:t>
      </w:r>
      <w:bookmarkStart w:id="2" w:name="_Int_ykFpwhNK"/>
      <w:r w:rsidRPr="21B0E4DC" w:rsidR="618E1618">
        <w:rPr>
          <w:rFonts w:asciiTheme="majorBidi" w:hAnsiTheme="majorBidi" w:cstheme="majorBidi"/>
        </w:rPr>
        <w:t>Hawai‘</w:t>
      </w:r>
      <w:bookmarkEnd w:id="2"/>
      <w:r w:rsidRPr="21B0E4DC" w:rsidR="618E1618">
        <w:rPr>
          <w:rFonts w:asciiTheme="majorBidi" w:hAnsiTheme="majorBidi" w:cstheme="majorBidi"/>
        </w:rPr>
        <w:t>i</w:t>
      </w:r>
      <w:r w:rsidRPr="21B0E4DC">
        <w:rPr>
          <w:rFonts w:asciiTheme="majorBidi" w:hAnsiTheme="majorBidi" w:cstheme="majorBidi"/>
        </w:rPr>
        <w:t>.</w:t>
      </w:r>
    </w:p>
    <w:p w:rsidR="00AE58A4" w:rsidRPr="00C3787C" w:rsidP="00AE58A4" w14:paraId="1EA9B8D5" w14:textId="7BDA387E">
      <w:bookmarkStart w:id="3" w:name="_Hlk126685130"/>
      <w:r>
        <w:t xml:space="preserve">The REL PA </w:t>
      </w:r>
      <w:r w:rsidR="002A4B76">
        <w:t>Toolkit</w:t>
      </w:r>
      <w:r>
        <w:t xml:space="preserve"> </w:t>
      </w:r>
      <w:r w:rsidR="00A40D27">
        <w:t>study team</w:t>
      </w:r>
      <w:r>
        <w:t xml:space="preserve"> is requesting clearance to conduct an independent evaluation that will assess the efficacy of the </w:t>
      </w:r>
      <w:r w:rsidR="002A4B76">
        <w:t>Toolkit</w:t>
      </w:r>
      <w:r>
        <w:t xml:space="preserve">. The evaluation will also assess how teachers and facilitators implement the </w:t>
      </w:r>
      <w:r w:rsidR="002A4B76">
        <w:t>Toolkit</w:t>
      </w:r>
      <w:r>
        <w:t xml:space="preserve"> to provide context for the efficacy findings and guidance to improve the </w:t>
      </w:r>
      <w:r w:rsidR="002A4B76">
        <w:t>Toolkit</w:t>
      </w:r>
      <w:r>
        <w:t xml:space="preserve"> and its future use. The evaluation will take place in 40 schools in </w:t>
      </w:r>
      <w:r w:rsidRPr="07226640">
        <w:rPr>
          <w:rFonts w:asciiTheme="majorBidi" w:hAnsiTheme="majorBidi" w:cstheme="majorBidi"/>
        </w:rPr>
        <w:t>Hawai‘</w:t>
      </w:r>
      <w:r w:rsidRPr="07226640">
        <w:rPr>
          <w:rFonts w:asciiTheme="majorBidi" w:hAnsiTheme="majorBidi" w:cstheme="majorBidi"/>
        </w:rPr>
        <w:t>i</w:t>
      </w:r>
      <w:r>
        <w:t xml:space="preserve"> and focus on all students in grades 6</w:t>
      </w:r>
      <w:r w:rsidR="00F62B27">
        <w:t>–</w:t>
      </w:r>
      <w:r>
        <w:t xml:space="preserve">8. </w:t>
      </w:r>
    </w:p>
    <w:p w:rsidR="0043381D" w:rsidRPr="00140B8F" w:rsidP="00AF0D68" w14:paraId="109E5020" w14:textId="1226507B">
      <w:pPr>
        <w:pStyle w:val="Heading2"/>
      </w:pPr>
      <w:bookmarkStart w:id="4" w:name="_Toc127438107"/>
      <w:bookmarkEnd w:id="3"/>
      <w:r>
        <w:t>Respondent Universe and Sample Design</w:t>
      </w:r>
      <w:bookmarkEnd w:id="4"/>
    </w:p>
    <w:p w:rsidR="00CC0005" w:rsidP="00447082" w14:paraId="3A764A9A" w14:textId="49DC9267">
      <w:r>
        <w:t>The evaluation will employ a school-level cluster-randomized controlled desig</w:t>
      </w:r>
      <w:r w:rsidR="00D20D9B">
        <w:t>n</w:t>
      </w:r>
      <w:r w:rsidR="00AF0D68">
        <w:t xml:space="preserve"> and take place in the state of </w:t>
      </w:r>
      <w:r w:rsidRPr="00C54A59" w:rsidR="00AF0D68">
        <w:rPr>
          <w:lang w:val="en"/>
        </w:rPr>
        <w:t>Hawai‘</w:t>
      </w:r>
      <w:r w:rsidR="00AF0D68">
        <w:rPr>
          <w:lang w:val="en"/>
        </w:rPr>
        <w:t>i, which is considered a single district.</w:t>
      </w:r>
      <w:r w:rsidR="00D20D9B">
        <w:t xml:space="preserve"> </w:t>
      </w:r>
      <w:r w:rsidR="0007219A">
        <w:t>T</w:t>
      </w:r>
      <w:r w:rsidRPr="00140B8F" w:rsidR="00937AC8">
        <w:t>he pool of eligible schools includes schools that employ at least two E</w:t>
      </w:r>
      <w:r w:rsidR="00FC5D1E">
        <w:t>nglish Language Arts (E</w:t>
      </w:r>
      <w:r w:rsidRPr="00140B8F" w:rsidR="00937AC8">
        <w:t>LA</w:t>
      </w:r>
      <w:r w:rsidR="00FC5D1E">
        <w:t>)</w:t>
      </w:r>
      <w:r w:rsidRPr="00140B8F" w:rsidR="00937AC8">
        <w:t xml:space="preserve"> teachers in at least one of the target grades (grades 6–8). This criterion has been set by the Toolkit developer as the minimum number of teachers needed for effective implementation of the Toolkit activities. </w:t>
      </w:r>
      <w:r w:rsidR="00056B0B">
        <w:t>The study team</w:t>
      </w:r>
      <w:r w:rsidRPr="00140B8F" w:rsidR="00056B0B">
        <w:t xml:space="preserve"> will use </w:t>
      </w:r>
      <w:r w:rsidR="003B1207">
        <w:t>Hawai</w:t>
      </w:r>
      <w:r w:rsidR="00322E10">
        <w:rPr>
          <w:lang w:val="haw-US"/>
        </w:rPr>
        <w:t>ʻ</w:t>
      </w:r>
      <w:r w:rsidR="003B1207">
        <w:t>i</w:t>
      </w:r>
      <w:r w:rsidR="003B1207">
        <w:t xml:space="preserve"> Department of Education (</w:t>
      </w:r>
      <w:r w:rsidRPr="00140B8F" w:rsidR="00056B0B">
        <w:t>HIDOE</w:t>
      </w:r>
      <w:r w:rsidR="003B1207">
        <w:t>)</w:t>
      </w:r>
      <w:r w:rsidRPr="00140B8F" w:rsidR="00056B0B">
        <w:t xml:space="preserve"> school-level enrollment data from the 2022</w:t>
      </w:r>
      <w:r w:rsidR="002E6AF2">
        <w:t>/</w:t>
      </w:r>
      <w:r w:rsidRPr="00140B8F" w:rsidR="00056B0B">
        <w:t xml:space="preserve">23 school year to identify schools </w:t>
      </w:r>
      <w:r w:rsidR="00056B0B">
        <w:t>that</w:t>
      </w:r>
      <w:r w:rsidRPr="00140B8F" w:rsidR="00056B0B">
        <w:t xml:space="preserve"> meet th</w:t>
      </w:r>
      <w:r w:rsidR="00056B0B">
        <w:t>is</w:t>
      </w:r>
      <w:r w:rsidRPr="00140B8F" w:rsidR="00056B0B">
        <w:t xml:space="preserve"> criterion</w:t>
      </w:r>
      <w:r w:rsidR="00056B0B">
        <w:t xml:space="preserve"> and</w:t>
      </w:r>
      <w:r w:rsidRPr="00140B8F" w:rsidR="00056B0B">
        <w:t xml:space="preserve"> expect</w:t>
      </w:r>
      <w:r w:rsidR="00B23563">
        <w:t>s</w:t>
      </w:r>
      <w:r w:rsidRPr="00140B8F" w:rsidR="00056B0B">
        <w:t xml:space="preserve"> </w:t>
      </w:r>
      <w:r w:rsidR="00056B0B">
        <w:t>that</w:t>
      </w:r>
      <w:r w:rsidRPr="00140B8F" w:rsidR="00056B0B">
        <w:t xml:space="preserve"> </w:t>
      </w:r>
      <w:r w:rsidR="00056B0B">
        <w:t>there will be approximately 110</w:t>
      </w:r>
      <w:r w:rsidRPr="00140B8F" w:rsidR="00056B0B">
        <w:t xml:space="preserve"> schools</w:t>
      </w:r>
      <w:r w:rsidR="00056B0B">
        <w:t xml:space="preserve"> in this group</w:t>
      </w:r>
      <w:r w:rsidRPr="00140B8F" w:rsidR="00056B0B">
        <w:t>.</w:t>
      </w:r>
      <w:r w:rsidR="00056B0B">
        <w:t xml:space="preserve"> The study team</w:t>
      </w:r>
      <w:r w:rsidRPr="00F64759" w:rsidR="00056B0B">
        <w:t xml:space="preserve"> will approach all eligible schools to confirm eligibility and ascertain their interest in participating in the study. </w:t>
      </w:r>
      <w:r w:rsidRPr="00F64759" w:rsidR="00F64759">
        <w:t>Schools will need to meet t</w:t>
      </w:r>
      <w:r w:rsidR="007C5740">
        <w:t>hree</w:t>
      </w:r>
      <w:r w:rsidRPr="00F64759" w:rsidR="00F64759">
        <w:t xml:space="preserve"> </w:t>
      </w:r>
      <w:r w:rsidR="00F103D9">
        <w:t xml:space="preserve">additional </w:t>
      </w:r>
      <w:r w:rsidRPr="00F64759" w:rsidR="00F64759">
        <w:t xml:space="preserve">criteria to be included in the sample: 1) </w:t>
      </w:r>
      <w:r w:rsidR="00F103D9">
        <w:t xml:space="preserve">the </w:t>
      </w:r>
      <w:r w:rsidRPr="00F64759" w:rsidR="00F64759">
        <w:t xml:space="preserve">school </w:t>
      </w:r>
      <w:r w:rsidR="00F103D9">
        <w:t xml:space="preserve">principal </w:t>
      </w:r>
      <w:r w:rsidRPr="00F64759" w:rsidR="00F64759">
        <w:t>will need to agree to participate; 2) at least 80 percent of the ELA teachers in grades 6</w:t>
      </w:r>
      <w:r w:rsidRPr="00F64759" w:rsidR="00F64759">
        <w:rPr>
          <w:lang w:val="en"/>
        </w:rPr>
        <w:t>–8</w:t>
      </w:r>
      <w:r w:rsidRPr="00F64759" w:rsidR="00F64759">
        <w:t xml:space="preserve"> will need to agree to participate</w:t>
      </w:r>
      <w:r w:rsidR="007563F7">
        <w:t xml:space="preserve">; and 3) </w:t>
      </w:r>
      <w:r w:rsidR="007C5740">
        <w:t>t</w:t>
      </w:r>
      <w:r w:rsidRPr="008F2C40" w:rsidR="007C5740">
        <w:t xml:space="preserve">he school must have a staff member who can serve as </w:t>
      </w:r>
      <w:r w:rsidR="007C5740">
        <w:t xml:space="preserve">a peer </w:t>
      </w:r>
      <w:r w:rsidRPr="008F2C40" w:rsidR="007C5740">
        <w:t xml:space="preserve">facilitator </w:t>
      </w:r>
      <w:r w:rsidR="007C5740">
        <w:t xml:space="preserve">for the </w:t>
      </w:r>
      <w:r w:rsidR="00277F16">
        <w:t xml:space="preserve">Toolkit </w:t>
      </w:r>
      <w:r w:rsidR="007C5740">
        <w:t>Professional Learning Community (PLC</w:t>
      </w:r>
      <w:r w:rsidR="00193310">
        <w:t>)—</w:t>
      </w:r>
      <w:r w:rsidR="00A82E5A">
        <w:t xml:space="preserve">the study team </w:t>
      </w:r>
      <w:r w:rsidRPr="008F2C40" w:rsidR="007C5740">
        <w:t>anticipate</w:t>
      </w:r>
      <w:r w:rsidR="00A82E5A">
        <w:t>s</w:t>
      </w:r>
      <w:r w:rsidRPr="008F2C40" w:rsidR="007C5740">
        <w:t xml:space="preserve"> this will be a</w:t>
      </w:r>
      <w:r w:rsidR="003613E1">
        <w:t xml:space="preserve">n ELA teacher </w:t>
      </w:r>
      <w:r w:rsidR="007A0E6B">
        <w:t>in most cases</w:t>
      </w:r>
      <w:r w:rsidR="005B6928">
        <w:t>,</w:t>
      </w:r>
      <w:r w:rsidR="007A0E6B">
        <w:t xml:space="preserve"> </w:t>
      </w:r>
      <w:r w:rsidR="003613E1">
        <w:t xml:space="preserve">but it could also be a </w:t>
      </w:r>
      <w:r w:rsidRPr="008F2C40" w:rsidR="007C5740">
        <w:t>coach or teacher</w:t>
      </w:r>
      <w:r w:rsidR="00277F16">
        <w:t xml:space="preserve"> leader, depending on the school</w:t>
      </w:r>
      <w:r w:rsidRPr="008F2C40" w:rsidR="007C5740">
        <w:t xml:space="preserve">. </w:t>
      </w:r>
      <w:r w:rsidRPr="00F64759" w:rsidR="00937AC8">
        <w:t>The first criterion is to ensure buy-in at the level of school leadership</w:t>
      </w:r>
      <w:r w:rsidR="007C5740">
        <w:t>;</w:t>
      </w:r>
      <w:r w:rsidRPr="00F64759" w:rsidR="00937AC8">
        <w:t xml:space="preserve"> the second is necessary to maximize the impact estimate of </w:t>
      </w:r>
      <w:r w:rsidR="00FC5D1E">
        <w:t xml:space="preserve">access to the </w:t>
      </w:r>
      <w:r w:rsidRPr="00F64759" w:rsidR="00937AC8">
        <w:t>Toolkit</w:t>
      </w:r>
      <w:r w:rsidR="00FC5D1E">
        <w:t xml:space="preserve"> components and professional </w:t>
      </w:r>
      <w:r w:rsidR="00F103D9">
        <w:t>development</w:t>
      </w:r>
      <w:r w:rsidR="00FC5D1E">
        <w:t xml:space="preserve"> activities</w:t>
      </w:r>
      <w:r w:rsidRPr="00F64759" w:rsidR="00937AC8">
        <w:t xml:space="preserve">, since all students in a school, regardless of whether their teacher </w:t>
      </w:r>
      <w:r w:rsidR="00EF1BCF">
        <w:t xml:space="preserve">accesses </w:t>
      </w:r>
      <w:r w:rsidRPr="00F64759" w:rsidR="00937AC8">
        <w:t>the Toolkit</w:t>
      </w:r>
      <w:r w:rsidR="00EF1BCF">
        <w:t xml:space="preserve"> components and professional </w:t>
      </w:r>
      <w:r w:rsidR="00B21262">
        <w:t>development</w:t>
      </w:r>
      <w:r w:rsidR="00EF1BCF">
        <w:t xml:space="preserve"> activities</w:t>
      </w:r>
      <w:r w:rsidRPr="00F64759" w:rsidR="00937AC8">
        <w:t xml:space="preserve"> or not, will be included in the school-level means </w:t>
      </w:r>
      <w:r w:rsidR="00092868">
        <w:t>used in</w:t>
      </w:r>
      <w:r w:rsidRPr="00F64759" w:rsidR="00937AC8">
        <w:t xml:space="preserve"> the intent-to-treat impact analysis</w:t>
      </w:r>
      <w:r w:rsidR="007C5740">
        <w:t xml:space="preserve">; and the third is necessary for effective implementation of the </w:t>
      </w:r>
      <w:r w:rsidR="007C5740">
        <w:t xml:space="preserve">Toolkit professional development activities. </w:t>
      </w:r>
      <w:r w:rsidR="001121F0">
        <w:t xml:space="preserve">Within schools, the sample </w:t>
      </w:r>
      <w:r w:rsidR="00770BC0">
        <w:t xml:space="preserve">will include all </w:t>
      </w:r>
      <w:r w:rsidR="00CF4FF4">
        <w:t xml:space="preserve">grades </w:t>
      </w:r>
      <w:r w:rsidR="00770BC0">
        <w:t>6</w:t>
      </w:r>
      <w:r w:rsidR="00CF4FF4">
        <w:t>–</w:t>
      </w:r>
      <w:r w:rsidR="00770BC0">
        <w:t>8 ELA teachers</w:t>
      </w:r>
      <w:r w:rsidR="004F2DEC">
        <w:t xml:space="preserve"> </w:t>
      </w:r>
      <w:r w:rsidR="003613E1">
        <w:t>(</w:t>
      </w:r>
      <w:r w:rsidR="00F14012">
        <w:t xml:space="preserve">20 </w:t>
      </w:r>
      <w:r w:rsidR="003613E1">
        <w:t xml:space="preserve">of these teachers will likely be </w:t>
      </w:r>
      <w:r w:rsidR="00F14012">
        <w:t>peer facilitators</w:t>
      </w:r>
      <w:r w:rsidR="003613E1">
        <w:t>)</w:t>
      </w:r>
      <w:r w:rsidR="00CA0E06">
        <w:t>,</w:t>
      </w:r>
      <w:r w:rsidRPr="008F2C40" w:rsidR="004F2DEC">
        <w:t xml:space="preserve"> their students</w:t>
      </w:r>
      <w:r w:rsidR="001234D3">
        <w:t>,</w:t>
      </w:r>
      <w:r w:rsidR="00277F16">
        <w:t xml:space="preserve"> an</w:t>
      </w:r>
      <w:r w:rsidR="00CA0E06">
        <w:t>d</w:t>
      </w:r>
      <w:r w:rsidR="00277F16">
        <w:t xml:space="preserve"> </w:t>
      </w:r>
      <w:r w:rsidR="00447082">
        <w:t xml:space="preserve">school administrators (principals or assistant principals). </w:t>
      </w:r>
    </w:p>
    <w:p w:rsidR="00565A02" w:rsidP="00447082" w14:paraId="56F71F80" w14:textId="2F98BA73">
      <w:r>
        <w:t>Exhibit B</w:t>
      </w:r>
      <w:r w:rsidR="00F5516E">
        <w:t>2</w:t>
      </w:r>
      <w:r>
        <w:t xml:space="preserve"> shows the sample sizes and expected response rates for each level of data collection.</w:t>
      </w:r>
    </w:p>
    <w:p w:rsidR="00CC0005" w:rsidRPr="00690A6D" w:rsidP="00690A6D" w14:paraId="40A2250A" w14:textId="77777777">
      <w:pPr>
        <w:pStyle w:val="Caption"/>
        <w:spacing w:after="0"/>
        <w:rPr>
          <w:szCs w:val="22"/>
        </w:rPr>
      </w:pPr>
      <w:r w:rsidRPr="00690A6D">
        <w:rPr>
          <w:szCs w:val="22"/>
        </w:rPr>
        <w:t>Exhibit B2. Sample Sizes and Expected Response Rates</w:t>
      </w:r>
    </w:p>
    <w:tbl>
      <w:tblPr>
        <w:tblStyle w:val="TableGrid"/>
        <w:tblW w:w="5000" w:type="pct"/>
        <w:tblLook w:val="04A0"/>
      </w:tblPr>
      <w:tblGrid>
        <w:gridCol w:w="4135"/>
        <w:gridCol w:w="2700"/>
        <w:gridCol w:w="2515"/>
      </w:tblGrid>
      <w:tr w14:paraId="66332D5D" w14:textId="77777777" w:rsidTr="52769551">
        <w:tblPrEx>
          <w:tblW w:w="5000" w:type="pct"/>
          <w:tblLook w:val="04A0"/>
        </w:tblPrEx>
        <w:tc>
          <w:tcPr>
            <w:tcW w:w="2211" w:type="pct"/>
            <w:shd w:val="clear" w:color="auto" w:fill="0F4C81"/>
          </w:tcPr>
          <w:p w:rsidR="00CC0005" w:rsidRPr="00690A6D" w14:paraId="2773B4D2" w14:textId="77777777">
            <w:pPr>
              <w:spacing w:after="0"/>
              <w:jc w:val="center"/>
              <w:rPr>
                <w:rFonts w:ascii="Arial Narrow" w:hAnsi="Arial Narrow"/>
                <w:b/>
                <w:bCs/>
                <w:color w:val="FFFFFF" w:themeColor="background1"/>
              </w:rPr>
            </w:pPr>
            <w:r w:rsidRPr="00690A6D">
              <w:rPr>
                <w:rFonts w:ascii="Arial Narrow" w:hAnsi="Arial Narrow"/>
                <w:b/>
                <w:bCs/>
                <w:color w:val="FFFFFF" w:themeColor="background1"/>
              </w:rPr>
              <w:t>Level of Sample</w:t>
            </w:r>
          </w:p>
        </w:tc>
        <w:tc>
          <w:tcPr>
            <w:tcW w:w="1444" w:type="pct"/>
            <w:shd w:val="clear" w:color="auto" w:fill="0F4C81"/>
          </w:tcPr>
          <w:p w:rsidR="00CC0005" w:rsidRPr="00690A6D" w14:paraId="1CEC9B02" w14:textId="77777777">
            <w:pPr>
              <w:spacing w:after="0"/>
              <w:jc w:val="center"/>
              <w:rPr>
                <w:rFonts w:ascii="Arial Narrow" w:hAnsi="Arial Narrow"/>
                <w:b/>
                <w:bCs/>
                <w:color w:val="FFFFFF" w:themeColor="background1"/>
              </w:rPr>
            </w:pPr>
            <w:r w:rsidRPr="00690A6D">
              <w:rPr>
                <w:rFonts w:ascii="Arial Narrow" w:hAnsi="Arial Narrow"/>
                <w:b/>
                <w:bCs/>
                <w:color w:val="FFFFFF" w:themeColor="background1"/>
              </w:rPr>
              <w:t>Expected Sample Size</w:t>
            </w:r>
          </w:p>
        </w:tc>
        <w:tc>
          <w:tcPr>
            <w:tcW w:w="1345" w:type="pct"/>
            <w:shd w:val="clear" w:color="auto" w:fill="0F4C81"/>
          </w:tcPr>
          <w:p w:rsidR="00CC0005" w:rsidRPr="00690A6D" w14:paraId="3C03507A" w14:textId="2AE89A19">
            <w:pPr>
              <w:spacing w:after="0"/>
              <w:jc w:val="center"/>
              <w:rPr>
                <w:rFonts w:ascii="Arial Narrow" w:hAnsi="Arial Narrow"/>
                <w:b/>
                <w:bCs/>
                <w:color w:val="FFFFFF" w:themeColor="background1"/>
              </w:rPr>
            </w:pPr>
            <w:r w:rsidRPr="00690A6D">
              <w:rPr>
                <w:rFonts w:ascii="Arial Narrow" w:hAnsi="Arial Narrow"/>
                <w:b/>
                <w:bCs/>
                <w:color w:val="FFFFFF" w:themeColor="background1"/>
              </w:rPr>
              <w:t xml:space="preserve">Response </w:t>
            </w:r>
            <w:r w:rsidR="005048F1">
              <w:rPr>
                <w:rFonts w:ascii="Arial Narrow" w:hAnsi="Arial Narrow"/>
                <w:b/>
                <w:bCs/>
                <w:color w:val="FFFFFF" w:themeColor="background1"/>
              </w:rPr>
              <w:t>R</w:t>
            </w:r>
            <w:r w:rsidRPr="00690A6D">
              <w:rPr>
                <w:rFonts w:ascii="Arial Narrow" w:hAnsi="Arial Narrow"/>
                <w:b/>
                <w:bCs/>
                <w:color w:val="FFFFFF" w:themeColor="background1"/>
              </w:rPr>
              <w:t>ate</w:t>
            </w:r>
          </w:p>
        </w:tc>
      </w:tr>
      <w:tr w14:paraId="48094AFD" w14:textId="77777777" w:rsidTr="52769551">
        <w:tblPrEx>
          <w:tblW w:w="5000" w:type="pct"/>
          <w:tblLook w:val="04A0"/>
        </w:tblPrEx>
        <w:tc>
          <w:tcPr>
            <w:tcW w:w="2211" w:type="pct"/>
          </w:tcPr>
          <w:p w:rsidR="005E1FC1" w:rsidRPr="00690A6D" w14:paraId="64A51086" w14:textId="6E282545">
            <w:pPr>
              <w:spacing w:after="0"/>
              <w:rPr>
                <w:rFonts w:ascii="Arial Narrow" w:hAnsi="Arial Narrow"/>
              </w:rPr>
            </w:pPr>
            <w:r w:rsidRPr="00690A6D">
              <w:rPr>
                <w:rFonts w:ascii="Arial Narrow" w:hAnsi="Arial Narrow"/>
              </w:rPr>
              <w:t xml:space="preserve">District </w:t>
            </w:r>
          </w:p>
        </w:tc>
        <w:tc>
          <w:tcPr>
            <w:tcW w:w="1444" w:type="pct"/>
          </w:tcPr>
          <w:p w:rsidR="005E1FC1" w:rsidRPr="00690A6D" w14:paraId="2B77BF6B" w14:textId="152AB278">
            <w:pPr>
              <w:spacing w:after="0"/>
              <w:jc w:val="center"/>
              <w:rPr>
                <w:rFonts w:ascii="Arial Narrow" w:hAnsi="Arial Narrow"/>
              </w:rPr>
            </w:pPr>
            <w:r w:rsidRPr="00690A6D">
              <w:rPr>
                <w:rFonts w:ascii="Arial Narrow" w:hAnsi="Arial Narrow"/>
              </w:rPr>
              <w:t>1</w:t>
            </w:r>
          </w:p>
        </w:tc>
        <w:tc>
          <w:tcPr>
            <w:tcW w:w="1345" w:type="pct"/>
          </w:tcPr>
          <w:p w:rsidR="005E1FC1" w:rsidRPr="00690A6D" w14:paraId="2BF74470" w14:textId="3920C1BA">
            <w:pPr>
              <w:spacing w:after="0"/>
              <w:jc w:val="center"/>
              <w:rPr>
                <w:rFonts w:ascii="Arial Narrow" w:hAnsi="Arial Narrow"/>
              </w:rPr>
            </w:pPr>
            <w:r w:rsidRPr="00690A6D">
              <w:rPr>
                <w:rFonts w:ascii="Arial Narrow" w:hAnsi="Arial Narrow"/>
              </w:rPr>
              <w:t>100%</w:t>
            </w:r>
          </w:p>
        </w:tc>
      </w:tr>
      <w:tr w14:paraId="32B8E98E" w14:textId="77777777" w:rsidTr="52769551">
        <w:tblPrEx>
          <w:tblW w:w="5000" w:type="pct"/>
          <w:tblLook w:val="04A0"/>
        </w:tblPrEx>
        <w:tc>
          <w:tcPr>
            <w:tcW w:w="2211" w:type="pct"/>
          </w:tcPr>
          <w:p w:rsidR="00CC0005" w:rsidRPr="00690A6D" w14:paraId="546028D8" w14:textId="1D996271">
            <w:pPr>
              <w:spacing w:after="0"/>
              <w:rPr>
                <w:rFonts w:ascii="Arial Narrow" w:hAnsi="Arial Narrow"/>
              </w:rPr>
            </w:pPr>
            <w:r w:rsidRPr="00690A6D">
              <w:rPr>
                <w:rFonts w:ascii="Arial Narrow" w:hAnsi="Arial Narrow"/>
              </w:rPr>
              <w:t>Schools</w:t>
            </w:r>
          </w:p>
        </w:tc>
        <w:tc>
          <w:tcPr>
            <w:tcW w:w="1444" w:type="pct"/>
          </w:tcPr>
          <w:p w:rsidR="00CC0005" w:rsidRPr="00690A6D" w14:paraId="080BBB11" w14:textId="77777777">
            <w:pPr>
              <w:spacing w:after="0"/>
              <w:jc w:val="center"/>
              <w:rPr>
                <w:rFonts w:ascii="Arial Narrow" w:hAnsi="Arial Narrow"/>
              </w:rPr>
            </w:pPr>
            <w:r w:rsidRPr="00690A6D">
              <w:rPr>
                <w:rFonts w:ascii="Arial Narrow" w:hAnsi="Arial Narrow"/>
              </w:rPr>
              <w:t>40</w:t>
            </w:r>
          </w:p>
        </w:tc>
        <w:tc>
          <w:tcPr>
            <w:tcW w:w="1345" w:type="pct"/>
          </w:tcPr>
          <w:p w:rsidR="00CC0005" w:rsidRPr="00690A6D" w14:paraId="4514316D" w14:textId="77777777">
            <w:pPr>
              <w:spacing w:after="0"/>
              <w:jc w:val="center"/>
              <w:rPr>
                <w:rFonts w:ascii="Arial Narrow" w:hAnsi="Arial Narrow"/>
              </w:rPr>
            </w:pPr>
            <w:r w:rsidRPr="00690A6D">
              <w:rPr>
                <w:rFonts w:ascii="Arial Narrow" w:hAnsi="Arial Narrow"/>
              </w:rPr>
              <w:t>100%</w:t>
            </w:r>
          </w:p>
        </w:tc>
      </w:tr>
      <w:tr w14:paraId="034E3113" w14:textId="77777777" w:rsidTr="52769551">
        <w:tblPrEx>
          <w:tblW w:w="5000" w:type="pct"/>
          <w:tblLook w:val="04A0"/>
        </w:tblPrEx>
        <w:tc>
          <w:tcPr>
            <w:tcW w:w="2211" w:type="pct"/>
          </w:tcPr>
          <w:p w:rsidR="00081EA3" w:rsidRPr="00690A6D" w:rsidP="00BD39BD" w14:paraId="042552B4" w14:textId="73B318F8">
            <w:pPr>
              <w:spacing w:after="0"/>
              <w:rPr>
                <w:rFonts w:ascii="Arial Narrow" w:hAnsi="Arial Narrow"/>
              </w:rPr>
            </w:pPr>
            <w:r w:rsidRPr="00690A6D">
              <w:rPr>
                <w:rFonts w:ascii="Arial Narrow" w:hAnsi="Arial Narrow"/>
              </w:rPr>
              <w:t>School Administrators</w:t>
            </w:r>
          </w:p>
        </w:tc>
        <w:tc>
          <w:tcPr>
            <w:tcW w:w="1444" w:type="pct"/>
          </w:tcPr>
          <w:p w:rsidR="00081EA3" w:rsidRPr="00690A6D" w:rsidP="00BD39BD" w14:paraId="26E276F1" w14:textId="680E41E7">
            <w:pPr>
              <w:spacing w:after="0"/>
              <w:jc w:val="center"/>
              <w:rPr>
                <w:rFonts w:ascii="Arial Narrow" w:hAnsi="Arial Narrow"/>
              </w:rPr>
            </w:pPr>
            <w:r w:rsidRPr="00690A6D">
              <w:rPr>
                <w:rFonts w:ascii="Arial Narrow" w:hAnsi="Arial Narrow"/>
              </w:rPr>
              <w:t>40</w:t>
            </w:r>
          </w:p>
        </w:tc>
        <w:tc>
          <w:tcPr>
            <w:tcW w:w="1345" w:type="pct"/>
          </w:tcPr>
          <w:p w:rsidR="00081EA3" w:rsidRPr="00690A6D" w:rsidP="00BD39BD" w14:paraId="58F9D431" w14:textId="39DE7153">
            <w:pPr>
              <w:spacing w:after="0"/>
              <w:jc w:val="center"/>
              <w:rPr>
                <w:rFonts w:ascii="Arial Narrow" w:hAnsi="Arial Narrow"/>
              </w:rPr>
            </w:pPr>
            <w:r w:rsidRPr="00690A6D">
              <w:rPr>
                <w:rFonts w:ascii="Arial Narrow" w:hAnsi="Arial Narrow"/>
              </w:rPr>
              <w:t>85%</w:t>
            </w:r>
          </w:p>
        </w:tc>
      </w:tr>
      <w:tr w14:paraId="369A5505" w14:textId="77777777" w:rsidTr="52769551">
        <w:tblPrEx>
          <w:tblW w:w="5000" w:type="pct"/>
          <w:tblLook w:val="04A0"/>
        </w:tblPrEx>
        <w:tc>
          <w:tcPr>
            <w:tcW w:w="2211" w:type="pct"/>
          </w:tcPr>
          <w:p w:rsidR="00BD39BD" w:rsidRPr="00690A6D" w:rsidP="00BD39BD" w14:paraId="7AE4C6F2" w14:textId="338BE30E">
            <w:pPr>
              <w:spacing w:after="0"/>
              <w:rPr>
                <w:rFonts w:ascii="Arial Narrow" w:hAnsi="Arial Narrow"/>
              </w:rPr>
            </w:pPr>
            <w:r w:rsidRPr="00690A6D">
              <w:rPr>
                <w:rFonts w:ascii="Arial Narrow" w:hAnsi="Arial Narrow"/>
              </w:rPr>
              <w:t>Teachers</w:t>
            </w:r>
            <w:r w:rsidRPr="00690A6D" w:rsidR="00023EB0">
              <w:rPr>
                <w:rFonts w:ascii="Arial Narrow" w:hAnsi="Arial Narrow"/>
                <w:vertAlign w:val="superscript"/>
              </w:rPr>
              <w:t>a</w:t>
            </w:r>
          </w:p>
        </w:tc>
        <w:tc>
          <w:tcPr>
            <w:tcW w:w="1444" w:type="pct"/>
          </w:tcPr>
          <w:p w:rsidR="00BD39BD" w:rsidRPr="00690A6D" w:rsidP="00BD39BD" w14:paraId="35B1345D" w14:textId="77777777">
            <w:pPr>
              <w:spacing w:after="0"/>
              <w:jc w:val="center"/>
              <w:rPr>
                <w:rFonts w:ascii="Arial Narrow" w:hAnsi="Arial Narrow"/>
              </w:rPr>
            </w:pPr>
          </w:p>
        </w:tc>
        <w:tc>
          <w:tcPr>
            <w:tcW w:w="1345" w:type="pct"/>
          </w:tcPr>
          <w:p w:rsidR="00BD39BD" w:rsidRPr="00690A6D" w:rsidP="00BD39BD" w14:paraId="6A32B6C3" w14:textId="77777777">
            <w:pPr>
              <w:spacing w:after="0"/>
              <w:jc w:val="center"/>
              <w:rPr>
                <w:rFonts w:ascii="Arial Narrow" w:hAnsi="Arial Narrow"/>
              </w:rPr>
            </w:pPr>
          </w:p>
        </w:tc>
      </w:tr>
      <w:tr w14:paraId="094414B8" w14:textId="77777777" w:rsidTr="52769551">
        <w:tblPrEx>
          <w:tblW w:w="5000" w:type="pct"/>
          <w:tblLook w:val="04A0"/>
        </w:tblPrEx>
        <w:tc>
          <w:tcPr>
            <w:tcW w:w="2211" w:type="pct"/>
          </w:tcPr>
          <w:p w:rsidR="00BD39BD" w:rsidRPr="00690A6D" w:rsidP="00BA1AF4" w14:paraId="59BC7629" w14:textId="77777777">
            <w:pPr>
              <w:spacing w:after="0"/>
              <w:ind w:left="330"/>
              <w:rPr>
                <w:rFonts w:ascii="Arial Narrow" w:hAnsi="Arial Narrow"/>
              </w:rPr>
            </w:pPr>
            <w:r w:rsidRPr="00690A6D">
              <w:rPr>
                <w:rFonts w:ascii="Arial Narrow" w:hAnsi="Arial Narrow"/>
              </w:rPr>
              <w:t>Peer Facilitators</w:t>
            </w:r>
          </w:p>
        </w:tc>
        <w:tc>
          <w:tcPr>
            <w:tcW w:w="1444" w:type="pct"/>
          </w:tcPr>
          <w:p w:rsidR="00BD39BD" w:rsidRPr="00690A6D" w:rsidP="00BD39BD" w14:paraId="2E0DD877" w14:textId="77777777">
            <w:pPr>
              <w:spacing w:after="0"/>
              <w:jc w:val="center"/>
              <w:rPr>
                <w:rFonts w:ascii="Arial Narrow" w:hAnsi="Arial Narrow"/>
              </w:rPr>
            </w:pPr>
            <w:r w:rsidRPr="00690A6D">
              <w:rPr>
                <w:rFonts w:ascii="Arial Narrow" w:hAnsi="Arial Narrow"/>
              </w:rPr>
              <w:t>20</w:t>
            </w:r>
          </w:p>
        </w:tc>
        <w:tc>
          <w:tcPr>
            <w:tcW w:w="1345" w:type="pct"/>
          </w:tcPr>
          <w:p w:rsidR="00BD39BD" w:rsidRPr="00690A6D" w:rsidP="00BD39BD" w14:paraId="64361157" w14:textId="63541CA0">
            <w:pPr>
              <w:spacing w:after="0"/>
              <w:jc w:val="center"/>
              <w:rPr>
                <w:rFonts w:ascii="Arial Narrow" w:hAnsi="Arial Narrow"/>
              </w:rPr>
            </w:pPr>
            <w:r w:rsidRPr="3E0E38A7">
              <w:rPr>
                <w:rFonts w:ascii="Arial Narrow" w:hAnsi="Arial Narrow"/>
              </w:rPr>
              <w:t>90</w:t>
            </w:r>
            <w:r w:rsidRPr="52769551">
              <w:rPr>
                <w:rFonts w:ascii="Arial Narrow" w:hAnsi="Arial Narrow"/>
              </w:rPr>
              <w:t>%</w:t>
            </w:r>
          </w:p>
        </w:tc>
      </w:tr>
      <w:tr w14:paraId="04938DCE" w14:textId="77777777" w:rsidTr="52769551">
        <w:tblPrEx>
          <w:tblW w:w="5000" w:type="pct"/>
          <w:tblLook w:val="04A0"/>
        </w:tblPrEx>
        <w:tc>
          <w:tcPr>
            <w:tcW w:w="2211" w:type="pct"/>
          </w:tcPr>
          <w:p w:rsidR="00BD39BD" w:rsidRPr="00690A6D" w:rsidP="00BA1AF4" w14:paraId="13DB8FB8" w14:textId="77777777">
            <w:pPr>
              <w:spacing w:after="0"/>
              <w:ind w:left="330"/>
              <w:rPr>
                <w:rFonts w:ascii="Arial Narrow" w:hAnsi="Arial Narrow"/>
              </w:rPr>
            </w:pPr>
            <w:r w:rsidRPr="00690A6D">
              <w:rPr>
                <w:rFonts w:ascii="Arial Narrow" w:hAnsi="Arial Narrow"/>
              </w:rPr>
              <w:t>Other Participating Teachers</w:t>
            </w:r>
          </w:p>
        </w:tc>
        <w:tc>
          <w:tcPr>
            <w:tcW w:w="1444" w:type="pct"/>
          </w:tcPr>
          <w:p w:rsidR="00BD39BD" w:rsidRPr="00690A6D" w:rsidP="00BD39BD" w14:paraId="69253426" w14:textId="77777777">
            <w:pPr>
              <w:spacing w:after="0"/>
              <w:jc w:val="center"/>
              <w:rPr>
                <w:rFonts w:ascii="Arial Narrow" w:hAnsi="Arial Narrow"/>
              </w:rPr>
            </w:pPr>
            <w:r w:rsidRPr="00690A6D">
              <w:rPr>
                <w:rFonts w:ascii="Arial Narrow" w:hAnsi="Arial Narrow"/>
              </w:rPr>
              <w:t>180</w:t>
            </w:r>
          </w:p>
        </w:tc>
        <w:tc>
          <w:tcPr>
            <w:tcW w:w="1345" w:type="pct"/>
          </w:tcPr>
          <w:p w:rsidR="00BD39BD" w:rsidRPr="00690A6D" w:rsidP="00BD39BD" w14:paraId="534E7962" w14:textId="77777777">
            <w:pPr>
              <w:spacing w:after="0"/>
              <w:jc w:val="center"/>
              <w:rPr>
                <w:rFonts w:ascii="Arial Narrow" w:hAnsi="Arial Narrow"/>
              </w:rPr>
            </w:pPr>
            <w:r w:rsidRPr="00690A6D">
              <w:rPr>
                <w:rFonts w:ascii="Arial Narrow" w:hAnsi="Arial Narrow"/>
              </w:rPr>
              <w:t>85%</w:t>
            </w:r>
          </w:p>
        </w:tc>
      </w:tr>
      <w:tr w14:paraId="220A7699" w14:textId="77777777" w:rsidTr="52769551">
        <w:tblPrEx>
          <w:tblW w:w="5000" w:type="pct"/>
          <w:tblLook w:val="04A0"/>
        </w:tblPrEx>
        <w:tc>
          <w:tcPr>
            <w:tcW w:w="2211" w:type="pct"/>
          </w:tcPr>
          <w:p w:rsidR="00BD39BD" w:rsidRPr="00690A6D" w:rsidP="00BD39BD" w14:paraId="2BB3CC36" w14:textId="24AB123E">
            <w:pPr>
              <w:spacing w:after="0"/>
              <w:rPr>
                <w:rFonts w:ascii="Arial Narrow" w:hAnsi="Arial Narrow"/>
              </w:rPr>
            </w:pPr>
            <w:r w:rsidRPr="00690A6D">
              <w:rPr>
                <w:rFonts w:ascii="Arial Narrow" w:hAnsi="Arial Narrow"/>
              </w:rPr>
              <w:t>Student</w:t>
            </w:r>
            <w:r w:rsidRPr="00690A6D" w:rsidR="00B446FC">
              <w:rPr>
                <w:rFonts w:ascii="Arial Narrow" w:hAnsi="Arial Narrow"/>
              </w:rPr>
              <w:t xml:space="preserve"> </w:t>
            </w:r>
            <w:r w:rsidR="00341FEB">
              <w:rPr>
                <w:rFonts w:ascii="Arial Narrow" w:hAnsi="Arial Narrow"/>
              </w:rPr>
              <w:t>S</w:t>
            </w:r>
            <w:r w:rsidRPr="00690A6D">
              <w:rPr>
                <w:rFonts w:ascii="Arial Narrow" w:hAnsi="Arial Narrow"/>
              </w:rPr>
              <w:t xml:space="preserve">chool-level </w:t>
            </w:r>
            <w:r w:rsidR="00341FEB">
              <w:rPr>
                <w:rFonts w:ascii="Arial Narrow" w:hAnsi="Arial Narrow"/>
              </w:rPr>
              <w:t>A</w:t>
            </w:r>
            <w:r w:rsidRPr="00690A6D">
              <w:rPr>
                <w:rFonts w:ascii="Arial Narrow" w:hAnsi="Arial Narrow"/>
              </w:rPr>
              <w:t>verage</w:t>
            </w:r>
            <w:r w:rsidRPr="00690A6D" w:rsidR="00B446FC">
              <w:rPr>
                <w:rFonts w:ascii="Arial Narrow" w:hAnsi="Arial Narrow"/>
              </w:rPr>
              <w:t>s</w:t>
            </w:r>
            <w:r w:rsidRPr="00690A6D" w:rsidR="00081EA3">
              <w:rPr>
                <w:rFonts w:ascii="Arial Narrow" w:hAnsi="Arial Narrow"/>
              </w:rPr>
              <w:t xml:space="preserve"> (SBA Writing)</w:t>
            </w:r>
          </w:p>
        </w:tc>
        <w:tc>
          <w:tcPr>
            <w:tcW w:w="1444" w:type="pct"/>
          </w:tcPr>
          <w:p w:rsidR="00BD39BD" w:rsidRPr="00690A6D" w:rsidP="00EC60D5" w14:paraId="2BAE0C2F" w14:textId="1EE6A188">
            <w:pPr>
              <w:spacing w:after="0"/>
              <w:jc w:val="center"/>
              <w:rPr>
                <w:rFonts w:ascii="Arial Narrow" w:hAnsi="Arial Narrow"/>
              </w:rPr>
            </w:pPr>
            <w:r w:rsidRPr="00690A6D">
              <w:rPr>
                <w:rFonts w:ascii="Arial Narrow" w:hAnsi="Arial Narrow"/>
              </w:rPr>
              <w:t>40</w:t>
            </w:r>
          </w:p>
        </w:tc>
        <w:tc>
          <w:tcPr>
            <w:tcW w:w="1345" w:type="pct"/>
          </w:tcPr>
          <w:p w:rsidR="00BD39BD" w:rsidRPr="00690A6D" w:rsidP="00BD39BD" w14:paraId="4F163560" w14:textId="45977799">
            <w:pPr>
              <w:spacing w:after="0"/>
              <w:jc w:val="center"/>
              <w:rPr>
                <w:rFonts w:ascii="Arial Narrow" w:hAnsi="Arial Narrow"/>
              </w:rPr>
            </w:pPr>
            <w:r w:rsidRPr="00690A6D">
              <w:rPr>
                <w:rFonts w:ascii="Arial Narrow" w:hAnsi="Arial Narrow"/>
              </w:rPr>
              <w:t>100</w:t>
            </w:r>
            <w:r w:rsidRPr="00690A6D">
              <w:rPr>
                <w:rFonts w:ascii="Arial Narrow" w:hAnsi="Arial Narrow"/>
              </w:rPr>
              <w:t>%</w:t>
            </w:r>
          </w:p>
        </w:tc>
      </w:tr>
    </w:tbl>
    <w:p w:rsidR="00CC0005" w:rsidRPr="001736B5" w:rsidP="00CC0005" w14:paraId="06749371" w14:textId="020EA2F7">
      <w:pPr>
        <w:rPr>
          <w:rFonts w:ascii="Arial Narrow" w:hAnsi="Arial Narrow"/>
          <w:sz w:val="18"/>
          <w:szCs w:val="18"/>
        </w:rPr>
      </w:pPr>
      <w:r w:rsidRPr="001736B5">
        <w:rPr>
          <w:rFonts w:ascii="Arial Narrow" w:hAnsi="Arial Narrow"/>
          <w:sz w:val="18"/>
          <w:szCs w:val="18"/>
          <w:vertAlign w:val="superscript"/>
        </w:rPr>
        <w:t>a</w:t>
      </w:r>
      <w:r w:rsidRPr="001736B5">
        <w:rPr>
          <w:rFonts w:ascii="Arial Narrow" w:hAnsi="Arial Narrow"/>
          <w:sz w:val="18"/>
          <w:szCs w:val="18"/>
        </w:rPr>
        <w:t xml:space="preserve"> Based on</w:t>
      </w:r>
      <w:r w:rsidR="00CB5191">
        <w:rPr>
          <w:rFonts w:ascii="Arial Narrow" w:hAnsi="Arial Narrow"/>
          <w:sz w:val="18"/>
          <w:szCs w:val="18"/>
        </w:rPr>
        <w:t xml:space="preserve"> current</w:t>
      </w:r>
      <w:r w:rsidRPr="001736B5">
        <w:rPr>
          <w:rFonts w:ascii="Arial Narrow" w:hAnsi="Arial Narrow"/>
          <w:sz w:val="18"/>
          <w:szCs w:val="18"/>
        </w:rPr>
        <w:t xml:space="preserve"> data from the </w:t>
      </w:r>
      <w:r w:rsidRPr="001736B5">
        <w:rPr>
          <w:rFonts w:ascii="Arial Narrow" w:hAnsi="Arial Narrow"/>
          <w:sz w:val="18"/>
          <w:szCs w:val="18"/>
          <w:lang w:val="en"/>
        </w:rPr>
        <w:t>Hawai‘</w:t>
      </w:r>
      <w:r w:rsidRPr="001736B5">
        <w:rPr>
          <w:rFonts w:ascii="Arial Narrow" w:hAnsi="Arial Narrow"/>
          <w:sz w:val="18"/>
          <w:szCs w:val="18"/>
          <w:lang w:val="en"/>
        </w:rPr>
        <w:t>i</w:t>
      </w:r>
      <w:r w:rsidRPr="001736B5">
        <w:rPr>
          <w:rFonts w:ascii="Arial Narrow" w:hAnsi="Arial Narrow"/>
          <w:sz w:val="18"/>
          <w:szCs w:val="18"/>
        </w:rPr>
        <w:t xml:space="preserve"> Department of Education, </w:t>
      </w:r>
      <w:r w:rsidR="00A82E5A">
        <w:rPr>
          <w:rFonts w:ascii="Arial Narrow" w:hAnsi="Arial Narrow"/>
          <w:sz w:val="18"/>
          <w:szCs w:val="18"/>
        </w:rPr>
        <w:t>the study team</w:t>
      </w:r>
      <w:r w:rsidRPr="001736B5">
        <w:rPr>
          <w:rFonts w:ascii="Arial Narrow" w:hAnsi="Arial Narrow"/>
          <w:sz w:val="18"/>
          <w:szCs w:val="18"/>
        </w:rPr>
        <w:t xml:space="preserve"> estimate</w:t>
      </w:r>
      <w:r w:rsidR="00A82E5A">
        <w:rPr>
          <w:rFonts w:ascii="Arial Narrow" w:hAnsi="Arial Narrow"/>
          <w:sz w:val="18"/>
          <w:szCs w:val="18"/>
        </w:rPr>
        <w:t>s</w:t>
      </w:r>
      <w:r w:rsidRPr="001736B5">
        <w:rPr>
          <w:rFonts w:ascii="Arial Narrow" w:hAnsi="Arial Narrow"/>
          <w:sz w:val="18"/>
          <w:szCs w:val="18"/>
        </w:rPr>
        <w:t xml:space="preserve"> an average of </w:t>
      </w:r>
      <w:r w:rsidR="00C05D79">
        <w:rPr>
          <w:rFonts w:ascii="Arial Narrow" w:hAnsi="Arial Narrow"/>
          <w:sz w:val="18"/>
          <w:szCs w:val="18"/>
        </w:rPr>
        <w:t>five</w:t>
      </w:r>
      <w:r w:rsidRPr="001736B5">
        <w:rPr>
          <w:rFonts w:ascii="Arial Narrow" w:hAnsi="Arial Narrow"/>
          <w:sz w:val="18"/>
          <w:szCs w:val="18"/>
        </w:rPr>
        <w:t xml:space="preserve"> ELA teachers </w:t>
      </w:r>
      <w:r w:rsidR="00023EB0">
        <w:rPr>
          <w:rFonts w:ascii="Arial Narrow" w:hAnsi="Arial Narrow"/>
          <w:sz w:val="18"/>
          <w:szCs w:val="18"/>
        </w:rPr>
        <w:t>per</w:t>
      </w:r>
      <w:r w:rsidRPr="001736B5">
        <w:rPr>
          <w:rFonts w:ascii="Arial Narrow" w:hAnsi="Arial Narrow"/>
          <w:sz w:val="18"/>
          <w:szCs w:val="18"/>
        </w:rPr>
        <w:t xml:space="preserve"> school.</w:t>
      </w:r>
    </w:p>
    <w:p w:rsidR="00CC0005" w:rsidRPr="007921DA" w:rsidP="007921DA" w14:paraId="3E1061E2" w14:textId="77777777">
      <w:pPr>
        <w:pStyle w:val="BodyText"/>
      </w:pPr>
    </w:p>
    <w:p w:rsidR="006075D2" w:rsidP="00FD7940" w14:paraId="2848B02A" w14:textId="74DB12F7">
      <w:pPr>
        <w:pStyle w:val="Heading2"/>
      </w:pPr>
      <w:bookmarkStart w:id="5" w:name="_Toc127438108"/>
      <w:r>
        <w:t>Information Collection Procedures</w:t>
      </w:r>
      <w:bookmarkEnd w:id="5"/>
    </w:p>
    <w:p w:rsidR="009B3177" w:rsidP="009B3177" w14:paraId="6A022C8F" w14:textId="69B6153F">
      <w:pPr>
        <w:pStyle w:val="Heading3"/>
      </w:pPr>
      <w:bookmarkStart w:id="6" w:name="_Toc127438109"/>
      <w:r>
        <w:t>Notification of the Sample and Recruitment</w:t>
      </w:r>
      <w:bookmarkEnd w:id="6"/>
      <w:r>
        <w:t xml:space="preserve"> </w:t>
      </w:r>
    </w:p>
    <w:p w:rsidR="006E5B7B" w:rsidP="006409A7" w14:paraId="4DC38BE2" w14:textId="4841149B">
      <w:pPr>
        <w:suppressAutoHyphens/>
      </w:pPr>
      <w:r>
        <w:t>T</w:t>
      </w:r>
      <w:r w:rsidR="2322BB1C">
        <w:t>o support t</w:t>
      </w:r>
      <w:r>
        <w:t>he study team</w:t>
      </w:r>
      <w:r w:rsidR="2322BB1C">
        <w:t>’s</w:t>
      </w:r>
      <w:r w:rsidR="08F6EAFE">
        <w:t xml:space="preserve"> recruitment </w:t>
      </w:r>
      <w:r w:rsidR="2322BB1C">
        <w:t xml:space="preserve">efforts, </w:t>
      </w:r>
      <w:r w:rsidR="0AF403AC">
        <w:t>HIDOE (the “school district”) has agreed to endorse the study</w:t>
      </w:r>
      <w:r w:rsidR="21A8C3FA">
        <w:t xml:space="preserve"> and will </w:t>
      </w:r>
      <w:r w:rsidR="08F6EAFE">
        <w:t>provide a letter of support</w:t>
      </w:r>
      <w:r w:rsidR="408D9919">
        <w:t xml:space="preserve"> to document</w:t>
      </w:r>
      <w:r w:rsidR="08F6EAFE">
        <w:t xml:space="preserve"> </w:t>
      </w:r>
      <w:r w:rsidRPr="3CAD4107" w:rsidR="408D9919">
        <w:rPr>
          <w:rFonts w:asciiTheme="majorBidi" w:hAnsiTheme="majorBidi" w:cstheme="majorBidi"/>
        </w:rPr>
        <w:t>approval from HIDOE’s Office of Curriculum and Instruction</w:t>
      </w:r>
      <w:r w:rsidR="006D053E">
        <w:rPr>
          <w:rFonts w:asciiTheme="majorBidi" w:hAnsiTheme="majorBidi" w:cstheme="majorBidi"/>
        </w:rPr>
        <w:t>,</w:t>
      </w:r>
      <w:r w:rsidRPr="3CAD4107" w:rsidR="408D9919">
        <w:rPr>
          <w:rFonts w:asciiTheme="majorBidi" w:hAnsiTheme="majorBidi" w:cstheme="majorBidi"/>
        </w:rPr>
        <w:t xml:space="preserve"> </w:t>
      </w:r>
      <w:r w:rsidR="006D053E">
        <w:rPr>
          <w:rFonts w:asciiTheme="majorBidi" w:hAnsiTheme="majorBidi" w:cstheme="majorBidi"/>
        </w:rPr>
        <w:t>in addition to</w:t>
      </w:r>
      <w:r w:rsidRPr="3CAD4107" w:rsidR="408D9919">
        <w:rPr>
          <w:rFonts w:asciiTheme="majorBidi" w:hAnsiTheme="majorBidi" w:cstheme="majorBidi"/>
        </w:rPr>
        <w:t xml:space="preserve"> support from the HIDOE State Superintendent. </w:t>
      </w:r>
      <w:bookmarkStart w:id="7" w:name="_Int_8XuXVdUD"/>
      <w:bookmarkEnd w:id="7"/>
      <w:r w:rsidR="08F6EAFE">
        <w:t xml:space="preserve">This will likely be accomplished prior to August 2023. </w:t>
      </w:r>
      <w:r w:rsidRPr="3CAD4107" w:rsidR="60E053BF">
        <w:rPr>
          <w:rFonts w:asciiTheme="majorBidi" w:hAnsiTheme="majorBidi" w:cstheme="majorBidi"/>
        </w:rPr>
        <w:t xml:space="preserve">Following HIDOE’s </w:t>
      </w:r>
      <w:r w:rsidR="00CE0156">
        <w:rPr>
          <w:rFonts w:asciiTheme="majorBidi" w:hAnsiTheme="majorBidi" w:cstheme="majorBidi"/>
        </w:rPr>
        <w:t>research policy</w:t>
      </w:r>
      <w:r w:rsidRPr="3CAD4107" w:rsidR="60E053BF">
        <w:rPr>
          <w:rFonts w:asciiTheme="majorBidi" w:hAnsiTheme="majorBidi" w:cstheme="majorBidi"/>
        </w:rPr>
        <w:t>, the study team will make initial contact with the 15 superintendents of the 110 schools via email</w:t>
      </w:r>
      <w:r w:rsidR="003A4C62">
        <w:rPr>
          <w:rFonts w:asciiTheme="majorBidi" w:hAnsiTheme="majorBidi" w:cstheme="majorBidi"/>
        </w:rPr>
        <w:t>,</w:t>
      </w:r>
      <w:r w:rsidRPr="3CAD4107" w:rsidR="60E053BF">
        <w:rPr>
          <w:rFonts w:asciiTheme="majorBidi" w:hAnsiTheme="majorBidi" w:cstheme="majorBidi"/>
        </w:rPr>
        <w:t xml:space="preserve"> with a phone call follow-up shortly thereafter (within two days of the email)</w:t>
      </w:r>
      <w:r w:rsidR="004C2A12">
        <w:rPr>
          <w:rFonts w:asciiTheme="majorBidi" w:hAnsiTheme="majorBidi" w:cstheme="majorBidi"/>
        </w:rPr>
        <w:t>,</w:t>
      </w:r>
      <w:r w:rsidRPr="3CAD4107" w:rsidR="60E053BF">
        <w:rPr>
          <w:rFonts w:asciiTheme="majorBidi" w:hAnsiTheme="majorBidi" w:cstheme="majorBidi"/>
        </w:rPr>
        <w:t xml:space="preserve"> to apprise them of the opportunity to participate in the study, gauge interest, and obtain buy-in and approval to reach out to school </w:t>
      </w:r>
      <w:r w:rsidRPr="3CAD4107" w:rsidR="00AC05D6">
        <w:rPr>
          <w:rFonts w:asciiTheme="majorBidi" w:hAnsiTheme="majorBidi" w:cstheme="majorBidi"/>
        </w:rPr>
        <w:t>administrator</w:t>
      </w:r>
      <w:r w:rsidRPr="3CAD4107" w:rsidR="60E053BF">
        <w:rPr>
          <w:rFonts w:asciiTheme="majorBidi" w:hAnsiTheme="majorBidi" w:cstheme="majorBidi"/>
        </w:rPr>
        <w:t>s. With superintendent support, we will target all eligible schools with two or more teachers of grades 6</w:t>
      </w:r>
      <w:r w:rsidR="00F84C99">
        <w:rPr>
          <w:rFonts w:asciiTheme="majorBidi" w:hAnsiTheme="majorBidi" w:cstheme="majorBidi"/>
        </w:rPr>
        <w:t>–</w:t>
      </w:r>
      <w:r w:rsidRPr="3CAD4107" w:rsidR="60E053BF">
        <w:rPr>
          <w:rFonts w:asciiTheme="majorBidi" w:hAnsiTheme="majorBidi" w:cstheme="majorBidi"/>
        </w:rPr>
        <w:t xml:space="preserve">8 on any island. The study team will leverage connections of on-island REL Pacific staff and study liaisons to reach out via email and phone calls to school </w:t>
      </w:r>
      <w:r w:rsidRPr="3CAD4107" w:rsidR="00AC05D6">
        <w:rPr>
          <w:rFonts w:asciiTheme="majorBidi" w:hAnsiTheme="majorBidi" w:cstheme="majorBidi"/>
        </w:rPr>
        <w:t>administrator</w:t>
      </w:r>
      <w:r w:rsidRPr="3CAD4107" w:rsidR="60E053BF">
        <w:rPr>
          <w:rFonts w:asciiTheme="majorBidi" w:hAnsiTheme="majorBidi" w:cstheme="majorBidi"/>
        </w:rPr>
        <w:t xml:space="preserve">s of the 110 eligible schools. Schools will need to meet two criteria to be included in the sample: 1) </w:t>
      </w:r>
      <w:r w:rsidR="0055601F">
        <w:rPr>
          <w:rFonts w:asciiTheme="majorBidi" w:hAnsiTheme="majorBidi" w:cstheme="majorBidi"/>
        </w:rPr>
        <w:t xml:space="preserve">the </w:t>
      </w:r>
      <w:r w:rsidRPr="3CAD4107" w:rsidR="60E053BF">
        <w:rPr>
          <w:rFonts w:asciiTheme="majorBidi" w:hAnsiTheme="majorBidi" w:cstheme="majorBidi"/>
        </w:rPr>
        <w:t>school needs to agree to participate; and 2) at least 80 percent of the ELA teachers in grades 6–8 will need to agree to participate. The study team, in close coordination with the study liaisons</w:t>
      </w:r>
      <w:r w:rsidR="0055601F">
        <w:rPr>
          <w:rFonts w:asciiTheme="majorBidi" w:hAnsiTheme="majorBidi" w:cstheme="majorBidi"/>
        </w:rPr>
        <w:t>,</w:t>
      </w:r>
      <w:r w:rsidRPr="3CAD4107" w:rsidR="60E053BF">
        <w:rPr>
          <w:rFonts w:asciiTheme="majorBidi" w:hAnsiTheme="majorBidi" w:cstheme="majorBidi"/>
        </w:rPr>
        <w:t xml:space="preserve"> will work with school </w:t>
      </w:r>
      <w:r w:rsidRPr="3CAD4107" w:rsidR="00AC05D6">
        <w:rPr>
          <w:rFonts w:asciiTheme="majorBidi" w:hAnsiTheme="majorBidi" w:cstheme="majorBidi"/>
        </w:rPr>
        <w:t>administrator</w:t>
      </w:r>
      <w:r w:rsidRPr="3CAD4107" w:rsidR="60E053BF">
        <w:rPr>
          <w:rFonts w:asciiTheme="majorBidi" w:hAnsiTheme="majorBidi" w:cstheme="majorBidi"/>
        </w:rPr>
        <w:t xml:space="preserve">s to obtain consent from eligible teachers and to execute a </w:t>
      </w:r>
      <w:r w:rsidRPr="3CAD4107" w:rsidR="000432F3">
        <w:rPr>
          <w:rFonts w:asciiTheme="majorBidi" w:hAnsiTheme="majorBidi" w:cstheme="majorBidi"/>
        </w:rPr>
        <w:t>Memorand</w:t>
      </w:r>
      <w:r w:rsidR="000432F3">
        <w:rPr>
          <w:rFonts w:asciiTheme="majorBidi" w:hAnsiTheme="majorBidi" w:cstheme="majorBidi"/>
        </w:rPr>
        <w:t>um</w:t>
      </w:r>
      <w:r w:rsidRPr="3CAD4107" w:rsidR="000432F3">
        <w:rPr>
          <w:rFonts w:asciiTheme="majorBidi" w:hAnsiTheme="majorBidi" w:cstheme="majorBidi"/>
        </w:rPr>
        <w:t xml:space="preserve"> </w:t>
      </w:r>
      <w:r w:rsidRPr="3CAD4107" w:rsidR="60E053BF">
        <w:rPr>
          <w:rFonts w:asciiTheme="majorBidi" w:hAnsiTheme="majorBidi" w:cstheme="majorBidi"/>
        </w:rPr>
        <w:t xml:space="preserve">of Understanding between REL Pacific and each school to clarify with schools what participation entails and provide an outline of activities and timing. After the school </w:t>
      </w:r>
      <w:r w:rsidRPr="3CAD4107" w:rsidR="00AC05D6">
        <w:rPr>
          <w:rFonts w:asciiTheme="majorBidi" w:hAnsiTheme="majorBidi" w:cstheme="majorBidi"/>
        </w:rPr>
        <w:t>administrator</w:t>
      </w:r>
      <w:r w:rsidRPr="3CAD4107" w:rsidR="60E053BF">
        <w:rPr>
          <w:rFonts w:asciiTheme="majorBidi" w:hAnsiTheme="majorBidi" w:cstheme="majorBidi"/>
        </w:rPr>
        <w:t xml:space="preserve"> expresses interest and agrees to participate, the study team will ask school </w:t>
      </w:r>
      <w:r w:rsidRPr="3CAD4107" w:rsidR="00AC05D6">
        <w:rPr>
          <w:rFonts w:asciiTheme="majorBidi" w:hAnsiTheme="majorBidi" w:cstheme="majorBidi"/>
        </w:rPr>
        <w:t>administrator</w:t>
      </w:r>
      <w:r w:rsidRPr="3CAD4107" w:rsidR="60E053BF">
        <w:rPr>
          <w:rFonts w:asciiTheme="majorBidi" w:hAnsiTheme="majorBidi" w:cstheme="majorBidi"/>
        </w:rPr>
        <w:t>s about the best approach to continuing the conversation with eligible teachers (</w:t>
      </w:r>
      <w:r w:rsidRPr="3CAD4107" w:rsidR="60E053BF">
        <w:rPr>
          <w:rFonts w:asciiTheme="majorBidi" w:hAnsiTheme="majorBidi" w:cstheme="majorBidi"/>
        </w:rPr>
        <w:t>a</w:t>
      </w:r>
      <w:r w:rsidRPr="3CAD4107" w:rsidR="60E053BF">
        <w:rPr>
          <w:rFonts w:asciiTheme="majorBidi" w:hAnsiTheme="majorBidi" w:cstheme="majorBidi"/>
        </w:rPr>
        <w:t xml:space="preserve">s a condition of participation, school </w:t>
      </w:r>
      <w:r w:rsidRPr="3CAD4107" w:rsidR="00AC05D6">
        <w:rPr>
          <w:rFonts w:asciiTheme="majorBidi" w:hAnsiTheme="majorBidi" w:cstheme="majorBidi"/>
        </w:rPr>
        <w:t>administrator</w:t>
      </w:r>
      <w:r w:rsidRPr="3CAD4107" w:rsidR="60E053BF">
        <w:rPr>
          <w:rFonts w:asciiTheme="majorBidi" w:hAnsiTheme="majorBidi" w:cstheme="majorBidi"/>
        </w:rPr>
        <w:t>s will have already apprised teachers of the opportunity) and will be flexible in accommodating each school’s suggestions on how to present the study to teachers, which we believe may include REL Pacific staff emailing teachers directly</w:t>
      </w:r>
      <w:r w:rsidR="0024628F">
        <w:rPr>
          <w:rFonts w:asciiTheme="majorBidi" w:hAnsiTheme="majorBidi" w:cstheme="majorBidi"/>
        </w:rPr>
        <w:t>,</w:t>
      </w:r>
      <w:r w:rsidRPr="3CAD4107" w:rsidR="60E053BF">
        <w:rPr>
          <w:rFonts w:asciiTheme="majorBidi" w:hAnsiTheme="majorBidi" w:cstheme="majorBidi"/>
        </w:rPr>
        <w:t xml:space="preserve"> attending a school staff meeting (virtually or in</w:t>
      </w:r>
      <w:r w:rsidR="00400B62">
        <w:rPr>
          <w:rFonts w:asciiTheme="majorBidi" w:hAnsiTheme="majorBidi" w:cstheme="majorBidi"/>
        </w:rPr>
        <w:t xml:space="preserve"> </w:t>
      </w:r>
      <w:r w:rsidRPr="3CAD4107" w:rsidR="60E053BF">
        <w:rPr>
          <w:rFonts w:asciiTheme="majorBidi" w:hAnsiTheme="majorBidi" w:cstheme="majorBidi"/>
        </w:rPr>
        <w:t>person)</w:t>
      </w:r>
      <w:r w:rsidR="0024628F">
        <w:rPr>
          <w:rFonts w:asciiTheme="majorBidi" w:hAnsiTheme="majorBidi" w:cstheme="majorBidi"/>
        </w:rPr>
        <w:t>,</w:t>
      </w:r>
      <w:r w:rsidRPr="3CAD4107" w:rsidR="60E053BF">
        <w:rPr>
          <w:rFonts w:asciiTheme="majorBidi" w:hAnsiTheme="majorBidi" w:cstheme="majorBidi"/>
        </w:rPr>
        <w:t xml:space="preserve"> </w:t>
      </w:r>
      <w:r w:rsidR="00EB5C42">
        <w:rPr>
          <w:rFonts w:asciiTheme="majorBidi" w:hAnsiTheme="majorBidi" w:cstheme="majorBidi"/>
        </w:rPr>
        <w:t>and/</w:t>
      </w:r>
      <w:r w:rsidRPr="3CAD4107" w:rsidR="60E053BF">
        <w:rPr>
          <w:rFonts w:asciiTheme="majorBidi" w:hAnsiTheme="majorBidi" w:cstheme="majorBidi"/>
        </w:rPr>
        <w:t>or hosting an informational webinar.</w:t>
      </w:r>
      <w:r w:rsidRPr="3CAD4107" w:rsidR="00521C6F">
        <w:rPr>
          <w:rFonts w:asciiTheme="majorBidi" w:hAnsiTheme="majorBidi" w:cstheme="majorBidi"/>
        </w:rPr>
        <w:t xml:space="preserve"> </w:t>
      </w:r>
      <w:r w:rsidR="04BA4C37">
        <w:t>Recruitment materials that will be used for this study are included in Appendix A.</w:t>
      </w:r>
    </w:p>
    <w:p w:rsidR="00D433CD" w:rsidRPr="006409A7" w:rsidP="00391DC5" w14:paraId="363886C0" w14:textId="0B832F7C">
      <w:pPr>
        <w:suppressAutoHyphens/>
        <w:rPr>
          <w:bCs/>
        </w:rPr>
      </w:pPr>
      <w:r>
        <w:rPr>
          <w:bCs/>
        </w:rPr>
        <w:t xml:space="preserve">Primary data collection will occur in schools that consent to be part of the study. </w:t>
      </w:r>
      <w:r w:rsidRPr="000A6E79">
        <w:rPr>
          <w:bCs/>
        </w:rPr>
        <w:t xml:space="preserve">Each round of data collection will include an initial </w:t>
      </w:r>
      <w:r w:rsidR="00D071AC">
        <w:rPr>
          <w:bCs/>
        </w:rPr>
        <w:t xml:space="preserve">email </w:t>
      </w:r>
      <w:r w:rsidRPr="000A6E79">
        <w:rPr>
          <w:bCs/>
        </w:rPr>
        <w:t>outreach</w:t>
      </w:r>
      <w:r w:rsidR="002A4B76">
        <w:rPr>
          <w:bCs/>
        </w:rPr>
        <w:t>,</w:t>
      </w:r>
      <w:r w:rsidRPr="000A6E79">
        <w:rPr>
          <w:bCs/>
        </w:rPr>
        <w:t xml:space="preserve"> </w:t>
      </w:r>
      <w:r w:rsidR="00B913EC">
        <w:rPr>
          <w:bCs/>
        </w:rPr>
        <w:t>multiple</w:t>
      </w:r>
      <w:r w:rsidRPr="000A6E79">
        <w:rPr>
          <w:bCs/>
        </w:rPr>
        <w:t xml:space="preserve"> follow-up emails</w:t>
      </w:r>
      <w:r w:rsidR="002A4B76">
        <w:rPr>
          <w:bCs/>
        </w:rPr>
        <w:t>, and phone calls</w:t>
      </w:r>
      <w:r w:rsidR="00E3387A">
        <w:rPr>
          <w:bCs/>
        </w:rPr>
        <w:t xml:space="preserve"> for </w:t>
      </w:r>
      <w:r w:rsidR="002A4B76">
        <w:rPr>
          <w:bCs/>
        </w:rPr>
        <w:t xml:space="preserve">non-respondents. </w:t>
      </w:r>
      <w:r w:rsidR="00752B33">
        <w:rPr>
          <w:bCs/>
        </w:rPr>
        <w:t xml:space="preserve">Phone calls will be done by study liaisons, who will have relationships with the </w:t>
      </w:r>
      <w:r w:rsidR="00DF754D">
        <w:rPr>
          <w:bCs/>
        </w:rPr>
        <w:t>participating peer facilitators, teachers, and administrators in the schools for which they are responsible.</w:t>
      </w:r>
      <w:r w:rsidRPr="000A6E79">
        <w:rPr>
          <w:bCs/>
        </w:rPr>
        <w:t xml:space="preserve"> Data </w:t>
      </w:r>
      <w:r w:rsidRPr="000A6E79">
        <w:rPr>
          <w:bCs/>
        </w:rPr>
        <w:t xml:space="preserve">collection communication email texts </w:t>
      </w:r>
      <w:r w:rsidR="00135D15">
        <w:rPr>
          <w:bCs/>
        </w:rPr>
        <w:t xml:space="preserve">and follow-up phone call talking points </w:t>
      </w:r>
      <w:r w:rsidRPr="000A6E79">
        <w:rPr>
          <w:bCs/>
        </w:rPr>
        <w:t>are included in Appendix B.</w:t>
      </w:r>
    </w:p>
    <w:p w:rsidR="00656124" w:rsidP="006E66D8" w14:paraId="6B974B28" w14:textId="6CB927F6">
      <w:pPr>
        <w:pStyle w:val="Heading3"/>
      </w:pPr>
      <w:bookmarkStart w:id="8" w:name="_Toc127438110"/>
      <w:r>
        <w:t>Statistical Methodology for Stratification and Sample Selection</w:t>
      </w:r>
      <w:bookmarkEnd w:id="8"/>
    </w:p>
    <w:p w:rsidR="00213A9F" w:rsidP="00644F5D" w14:paraId="49DAC99B" w14:textId="49307F91">
      <w:pPr>
        <w:suppressAutoHyphens/>
      </w:pPr>
      <w:r>
        <w:t>T</w:t>
      </w:r>
      <w:r w:rsidR="00C65364">
        <w:t xml:space="preserve">he </w:t>
      </w:r>
      <w:r w:rsidR="002A4B76">
        <w:t>T</w:t>
      </w:r>
      <w:r w:rsidRPr="00A26813">
        <w:t>oolkit</w:t>
      </w:r>
      <w:r w:rsidR="00C65364">
        <w:t xml:space="preserve">’s professional learning activities </w:t>
      </w:r>
      <w:r>
        <w:t xml:space="preserve">are </w:t>
      </w:r>
      <w:r w:rsidR="007D472A">
        <w:t>intended to be a school-wide approach</w:t>
      </w:r>
      <w:r w:rsidR="00A93054">
        <w:t xml:space="preserve"> to improving teachers’ writing instruction and </w:t>
      </w:r>
      <w:r w:rsidR="00CE092A">
        <w:t xml:space="preserve">students’ writing achievement and are </w:t>
      </w:r>
      <w:r w:rsidR="007D472A">
        <w:t>delivered through</w:t>
      </w:r>
      <w:r w:rsidR="00C65364">
        <w:t xml:space="preserve"> a </w:t>
      </w:r>
      <w:r w:rsidR="00A3203D">
        <w:t>professional learning community</w:t>
      </w:r>
      <w:r w:rsidRPr="00A26813">
        <w:t xml:space="preserve"> </w:t>
      </w:r>
      <w:r w:rsidR="00BA66A6">
        <w:t>among</w:t>
      </w:r>
      <w:r w:rsidR="00C65364">
        <w:t xml:space="preserve"> all</w:t>
      </w:r>
      <w:r w:rsidR="00BA66A6">
        <w:t xml:space="preserve"> </w:t>
      </w:r>
      <w:r w:rsidR="004437E5">
        <w:t>grade 6</w:t>
      </w:r>
      <w:r w:rsidR="005C1A90">
        <w:t>–</w:t>
      </w:r>
      <w:r w:rsidR="004437E5">
        <w:t xml:space="preserve">8 ELA </w:t>
      </w:r>
      <w:r w:rsidR="00CF6F54">
        <w:t>teachers</w:t>
      </w:r>
      <w:r w:rsidR="00CE092A">
        <w:t>, rather than individually</w:t>
      </w:r>
      <w:r w:rsidR="00A40D27">
        <w:t>. Therefore</w:t>
      </w:r>
      <w:r w:rsidRPr="00A26813">
        <w:t xml:space="preserve">, the </w:t>
      </w:r>
      <w:r w:rsidR="00A40D27">
        <w:t xml:space="preserve">study </w:t>
      </w:r>
      <w:r w:rsidRPr="00A26813">
        <w:t xml:space="preserve">team proposes using the school as the unit of </w:t>
      </w:r>
      <w:r w:rsidR="002C2FA4">
        <w:t xml:space="preserve">assignment. </w:t>
      </w:r>
      <w:r w:rsidR="00CE092A">
        <w:t xml:space="preserve">Methodologically, </w:t>
      </w:r>
      <w:r w:rsidR="00036DA6">
        <w:t xml:space="preserve">school-level random assignment reduces the risk of </w:t>
      </w:r>
      <w:r w:rsidR="00AC1E04">
        <w:t xml:space="preserve">within school </w:t>
      </w:r>
      <w:r w:rsidR="0022057A">
        <w:t>spillover</w:t>
      </w:r>
      <w:r w:rsidR="001D37DD">
        <w:t xml:space="preserve"> </w:t>
      </w:r>
      <w:r w:rsidR="00AC1E04">
        <w:t xml:space="preserve">as all teachers within a school are implementing the treatment or not. </w:t>
      </w:r>
      <w:r w:rsidRPr="00A26813">
        <w:t xml:space="preserve">Random assignment will take place in </w:t>
      </w:r>
      <w:r w:rsidR="00CC371F">
        <w:t>May of</w:t>
      </w:r>
      <w:r w:rsidRPr="00A26813">
        <w:t xml:space="preserve"> 2024—immediately after recruitment closes</w:t>
      </w:r>
      <w:r w:rsidR="002D495F">
        <w:t xml:space="preserve"> </w:t>
      </w:r>
      <w:r w:rsidR="00AC1E04">
        <w:t xml:space="preserve">and prior to the Toolkit implementation </w:t>
      </w:r>
      <w:r w:rsidR="00AC1E04">
        <w:t>year</w:t>
      </w:r>
      <w:r w:rsidR="00675170">
        <w:t>—</w:t>
      </w:r>
      <w:r w:rsidRPr="00A26813" w:rsidR="00AC1E04">
        <w:t>to</w:t>
      </w:r>
      <w:r w:rsidR="00AC1E04">
        <w:t xml:space="preserve"> </w:t>
      </w:r>
      <w:r w:rsidRPr="00A26813" w:rsidR="00AC1E04">
        <w:t xml:space="preserve">allow </w:t>
      </w:r>
      <w:r w:rsidR="00AC1E04">
        <w:t xml:space="preserve">schools to select a peer facilitator and prepare for participation in the treatment. </w:t>
      </w:r>
      <w:r w:rsidRPr="00A26813" w:rsidR="00AC1E04">
        <w:t>Plans for random assignment will be communicated with school officials early in the recruitment process to ensure buy-in and randomization assignments will be carefully documented.</w:t>
      </w:r>
    </w:p>
    <w:p w:rsidR="00F03CE1" w:rsidP="006E66D8" w14:paraId="63BB2C7A" w14:textId="2C1766B1">
      <w:pPr>
        <w:pStyle w:val="BodyText"/>
      </w:pPr>
      <w:r w:rsidRPr="00B7416D">
        <w:t xml:space="preserve">Prior to random assignment, </w:t>
      </w:r>
      <w:r w:rsidR="00CF7878">
        <w:t xml:space="preserve">the study team </w:t>
      </w:r>
      <w:r w:rsidRPr="00B7416D">
        <w:t>will generate randomization blocks to increase the explained variance at the school</w:t>
      </w:r>
      <w:r w:rsidR="000C4F57">
        <w:t xml:space="preserve"> </w:t>
      </w:r>
      <w:r w:rsidRPr="00B7416D">
        <w:t xml:space="preserve">level </w:t>
      </w:r>
      <w:r w:rsidR="00F72B8D">
        <w:t>and</w:t>
      </w:r>
      <w:r w:rsidRPr="00B7416D">
        <w:t xml:space="preserve"> increase power.</w:t>
      </w:r>
      <w:r w:rsidRPr="00B7416D">
        <w:rPr>
          <w:b/>
        </w:rPr>
        <w:t xml:space="preserve"> </w:t>
      </w:r>
      <w:r w:rsidRPr="00B7416D">
        <w:t xml:space="preserve">Randomization blocks </w:t>
      </w:r>
      <w:r w:rsidR="00CF6246">
        <w:t xml:space="preserve">will include </w:t>
      </w:r>
      <w:r w:rsidR="00FA3F31">
        <w:t xml:space="preserve">school </w:t>
      </w:r>
      <w:r w:rsidRPr="00B7416D">
        <w:t>characteristics based on publicly available data, including the log of student membership counts, the natural log of the ratio of minority to white students,</w:t>
      </w:r>
      <w:r>
        <w:rPr>
          <w:vertAlign w:val="superscript"/>
        </w:rPr>
        <w:footnoteReference w:id="3"/>
      </w:r>
      <w:r w:rsidRPr="00B7416D">
        <w:t xml:space="preserve"> student</w:t>
      </w:r>
      <w:r w:rsidR="00BB3546">
        <w:t>–</w:t>
      </w:r>
      <w:r w:rsidRPr="00B7416D">
        <w:t xml:space="preserve">teacher ratios, log proficiency rates on the Spring 2024 </w:t>
      </w:r>
      <w:r w:rsidR="004A4D17">
        <w:t>Smarter Balanced Assessment (</w:t>
      </w:r>
      <w:r w:rsidRPr="00B7416D">
        <w:t>SBA</w:t>
      </w:r>
      <w:r w:rsidR="004A4D17">
        <w:t>)</w:t>
      </w:r>
      <w:r w:rsidRPr="00B7416D">
        <w:t xml:space="preserve"> Writing score, and median income of the school catchment area (the geographical boundaries of typical school assignment for families). </w:t>
      </w:r>
      <w:r w:rsidR="001F1078">
        <w:t>The study team will u</w:t>
      </w:r>
      <w:r w:rsidRPr="00B7416D">
        <w:t>s</w:t>
      </w:r>
      <w:r w:rsidR="001F1078">
        <w:t>e</w:t>
      </w:r>
      <w:r w:rsidRPr="00B7416D">
        <w:t xml:space="preserve"> k-means clustering to </w:t>
      </w:r>
      <w:r w:rsidRPr="00B7416D" w:rsidR="00BF3A59">
        <w:t>maximize the multivariate between-block differences</w:t>
      </w:r>
      <w:r w:rsidR="00866394">
        <w:t>,</w:t>
      </w:r>
      <w:r w:rsidRPr="00B7416D" w:rsidR="00BF3A59">
        <w:t xml:space="preserve"> minimize the multivariate within-block differences</w:t>
      </w:r>
      <w:r w:rsidR="00866394">
        <w:t>,</w:t>
      </w:r>
      <w:r w:rsidR="00BF3A59">
        <w:t xml:space="preserve"> and </w:t>
      </w:r>
      <w:r w:rsidR="001F1078">
        <w:t xml:space="preserve">create the optimal number of randomization </w:t>
      </w:r>
      <w:r w:rsidRPr="00B7416D">
        <w:t>blocks</w:t>
      </w:r>
      <w:r w:rsidR="00ED45F0">
        <w:t xml:space="preserve">. </w:t>
      </w:r>
      <w:r w:rsidR="0021480D">
        <w:t>The</w:t>
      </w:r>
      <w:r w:rsidR="00ED45F0">
        <w:t xml:space="preserve"> goal will be to create </w:t>
      </w:r>
      <w:r w:rsidR="009C15A8">
        <w:t xml:space="preserve">randomization </w:t>
      </w:r>
      <w:r w:rsidR="00ED45F0">
        <w:t>blocks with more than two schools</w:t>
      </w:r>
      <w:r w:rsidR="004762DA">
        <w:t xml:space="preserve"> </w:t>
      </w:r>
      <w:r w:rsidR="00953810">
        <w:t xml:space="preserve">since </w:t>
      </w:r>
      <w:r w:rsidR="00E03B76">
        <w:t>withdrawal</w:t>
      </w:r>
      <w:r w:rsidR="003C1801">
        <w:t xml:space="preserve"> of a </w:t>
      </w:r>
      <w:r w:rsidR="00E03B76">
        <w:t>school from</w:t>
      </w:r>
      <w:r w:rsidR="003C1801">
        <w:t xml:space="preserve"> </w:t>
      </w:r>
      <w:r w:rsidR="00CF6246">
        <w:t xml:space="preserve">a </w:t>
      </w:r>
      <w:r w:rsidR="004762DA">
        <w:t>block with only two schools</w:t>
      </w:r>
      <w:r w:rsidR="003C1801">
        <w:t xml:space="preserve"> would </w:t>
      </w:r>
      <w:r w:rsidR="00953810">
        <w:t>necessitate</w:t>
      </w:r>
      <w:r w:rsidR="003C1801">
        <w:t xml:space="preserve"> the removal of the </w:t>
      </w:r>
      <w:r w:rsidR="00953810">
        <w:t>other pair member from the analysis</w:t>
      </w:r>
      <w:r w:rsidR="00CF6246">
        <w:t xml:space="preserve"> and affect attrition.</w:t>
      </w:r>
      <w:r>
        <w:t xml:space="preserve"> </w:t>
      </w:r>
      <w:r w:rsidR="003E218B">
        <w:t xml:space="preserve">Within each randomization block, </w:t>
      </w:r>
      <w:r w:rsidR="009C15A8">
        <w:t xml:space="preserve">the study team will </w:t>
      </w:r>
      <w:r w:rsidR="00062061">
        <w:t>employ</w:t>
      </w:r>
      <w:r w:rsidR="003E218B">
        <w:t xml:space="preserve"> a sampling function (</w:t>
      </w:r>
      <w:r w:rsidR="0005220F">
        <w:t>such as</w:t>
      </w:r>
      <w:r w:rsidR="003E218B">
        <w:t xml:space="preserve"> the sample function in R)</w:t>
      </w:r>
      <w:r w:rsidR="00BA7447">
        <w:t xml:space="preserve"> without replacement to </w:t>
      </w:r>
      <w:r w:rsidR="009C15A8">
        <w:t>randomly assign</w:t>
      </w:r>
      <w:r w:rsidR="00BA7447">
        <w:t xml:space="preserve"> </w:t>
      </w:r>
      <w:r w:rsidR="00EA61EF">
        <w:t xml:space="preserve">half of the schools to treatment </w:t>
      </w:r>
      <w:r>
        <w:t xml:space="preserve">and half to </w:t>
      </w:r>
      <w:r w:rsidR="00F6545B">
        <w:t xml:space="preserve">comparison </w:t>
      </w:r>
      <w:r w:rsidR="00EA61EF">
        <w:t>group status</w:t>
      </w:r>
      <w:r w:rsidR="00BA7447">
        <w:t xml:space="preserve">. </w:t>
      </w:r>
    </w:p>
    <w:p w:rsidR="006E66D8" w:rsidP="006E66D8" w14:paraId="5ECA0361" w14:textId="6294BBB1">
      <w:pPr>
        <w:pStyle w:val="Heading3"/>
      </w:pPr>
      <w:bookmarkStart w:id="9" w:name="_Toc127438111"/>
      <w:r>
        <w:t>Estimation</w:t>
      </w:r>
      <w:r w:rsidR="004C3742">
        <w:t xml:space="preserve"> Procedures</w:t>
      </w:r>
      <w:bookmarkEnd w:id="9"/>
    </w:p>
    <w:p w:rsidR="005B6F83" w:rsidRPr="005B6F83" w:rsidP="005B6F83" w14:paraId="5D9B2910" w14:textId="3DD733BD">
      <w:pPr>
        <w:pStyle w:val="BodyText"/>
      </w:pPr>
      <w:r>
        <w:t>Th</w:t>
      </w:r>
      <w:r w:rsidR="004E24EA">
        <w:t xml:space="preserve">e </w:t>
      </w:r>
      <w:r w:rsidR="00807D9E">
        <w:t xml:space="preserve">study team will use </w:t>
      </w:r>
      <w:r w:rsidR="00094A8C">
        <w:t>school averages</w:t>
      </w:r>
      <w:r w:rsidR="00807D9E">
        <w:t xml:space="preserve"> of students’ SBA Writing scores</w:t>
      </w:r>
      <w:r w:rsidR="00751DFD">
        <w:t>,</w:t>
      </w:r>
      <w:r w:rsidR="007521F4">
        <w:t xml:space="preserve"> instead of </w:t>
      </w:r>
      <w:r w:rsidR="00C84803">
        <w:t xml:space="preserve">individual </w:t>
      </w:r>
      <w:r w:rsidR="007521F4">
        <w:t>student</w:t>
      </w:r>
      <w:r w:rsidR="00EC0C69">
        <w:t>-level data,</w:t>
      </w:r>
      <w:r w:rsidR="00616A7F">
        <w:t xml:space="preserve"> which produce </w:t>
      </w:r>
      <w:r w:rsidR="00C84803">
        <w:t xml:space="preserve">the same </w:t>
      </w:r>
      <w:r w:rsidR="00F948DE">
        <w:t xml:space="preserve">impact estimate </w:t>
      </w:r>
      <w:r w:rsidR="00D26A63">
        <w:t>as if all student data were available</w:t>
      </w:r>
      <w:r w:rsidR="00C461EF">
        <w:t>,</w:t>
      </w:r>
      <w:r w:rsidR="00D26A63">
        <w:t xml:space="preserve"> while </w:t>
      </w:r>
      <w:r w:rsidR="00FC1EBE">
        <w:t>greatly reduc</w:t>
      </w:r>
      <w:r w:rsidR="00D26A63">
        <w:t>ing</w:t>
      </w:r>
      <w:r w:rsidR="00FC1EBE">
        <w:t xml:space="preserve"> </w:t>
      </w:r>
      <w:r w:rsidR="00274D59">
        <w:t>burden on schools, parents, and students</w:t>
      </w:r>
      <w:r w:rsidR="00694499">
        <w:t>,</w:t>
      </w:r>
      <w:r w:rsidR="00622E0C">
        <w:t xml:space="preserve"> as</w:t>
      </w:r>
      <w:r w:rsidR="001B1A36">
        <w:t xml:space="preserve"> </w:t>
      </w:r>
      <w:r w:rsidRPr="001B1A36" w:rsidR="001B1A36">
        <w:t xml:space="preserve">parents </w:t>
      </w:r>
      <w:r w:rsidR="001B1A36">
        <w:t xml:space="preserve">and students </w:t>
      </w:r>
      <w:r w:rsidRPr="001B1A36" w:rsidR="001B1A36">
        <w:t xml:space="preserve">do not have to </w:t>
      </w:r>
      <w:r w:rsidRPr="001B1A36" w:rsidR="001B1A36">
        <w:t>individually, actively consent to the use of these school averages</w:t>
      </w:r>
      <w:r w:rsidRPr="001B1A36" w:rsidR="001B1A36">
        <w:t>.</w:t>
      </w:r>
      <w:r w:rsidR="001B1A36">
        <w:t xml:space="preserve"> </w:t>
      </w:r>
      <w:r w:rsidR="004134F8">
        <w:t>U</w:t>
      </w:r>
      <w:r w:rsidR="0073715E">
        <w:t>sing school averages</w:t>
      </w:r>
      <w:r w:rsidR="0007628E">
        <w:t xml:space="preserve"> </w:t>
      </w:r>
      <w:r w:rsidR="004134F8">
        <w:t xml:space="preserve">also </w:t>
      </w:r>
      <w:r w:rsidR="0007628E">
        <w:t xml:space="preserve">improves the </w:t>
      </w:r>
      <w:r w:rsidR="007E7775">
        <w:t>generalization of the impact estimate</w:t>
      </w:r>
      <w:r w:rsidR="00F65E8C">
        <w:t>,</w:t>
      </w:r>
      <w:r w:rsidR="007E7775">
        <w:t xml:space="preserve"> as </w:t>
      </w:r>
      <w:r w:rsidR="00D4723D">
        <w:t xml:space="preserve">it precludes bias due to </w:t>
      </w:r>
      <w:r w:rsidR="009B77A9">
        <w:t>compliance non-response</w:t>
      </w:r>
      <w:r w:rsidR="00F65E8C">
        <w:t>,</w:t>
      </w:r>
      <w:r w:rsidR="009B77A9">
        <w:t xml:space="preserve"> </w:t>
      </w:r>
      <w:r w:rsidR="003E481E">
        <w:t xml:space="preserve">while </w:t>
      </w:r>
      <w:r w:rsidR="00C72C00">
        <w:t>maintaining</w:t>
      </w:r>
      <w:r w:rsidR="003E481E">
        <w:t xml:space="preserve"> a low risk of privacy violations</w:t>
      </w:r>
      <w:r w:rsidR="004134F8">
        <w:t xml:space="preserve">. </w:t>
      </w:r>
      <w:r w:rsidR="005D6EEC">
        <w:t>The</w:t>
      </w:r>
      <w:r w:rsidR="00040BF2">
        <w:t xml:space="preserve"> estimation strategy</w:t>
      </w:r>
      <w:r w:rsidR="005D6EEC">
        <w:t xml:space="preserve"> for the student impact analysis</w:t>
      </w:r>
      <w:r w:rsidR="00040BF2">
        <w:t xml:space="preserve"> is a </w:t>
      </w:r>
      <w:r w:rsidR="003E1168">
        <w:t>simple multivariate linear model</w:t>
      </w:r>
      <w:r w:rsidR="00615E90">
        <w:t xml:space="preserve"> (RQ E1)</w:t>
      </w:r>
      <w:r w:rsidR="00B106EA">
        <w:t xml:space="preserve">. </w:t>
      </w:r>
      <w:r w:rsidR="005D6EEC">
        <w:t>The</w:t>
      </w:r>
      <w:r w:rsidR="00B106EA">
        <w:t xml:space="preserve"> analysis of teacher </w:t>
      </w:r>
      <w:r w:rsidR="009B5FD1">
        <w:t>outcomes</w:t>
      </w:r>
      <w:r w:rsidR="00871A72">
        <w:t xml:space="preserve"> based on </w:t>
      </w:r>
      <w:r w:rsidR="005D6EEC">
        <w:t>teacher</w:t>
      </w:r>
      <w:r w:rsidR="00871A72">
        <w:t xml:space="preserve"> logs</w:t>
      </w:r>
      <w:r w:rsidR="0089060F">
        <w:t xml:space="preserve"> and </w:t>
      </w:r>
      <w:r w:rsidR="003F214B">
        <w:t>the administrator survey</w:t>
      </w:r>
      <w:r w:rsidR="00871A72">
        <w:t xml:space="preserve"> </w:t>
      </w:r>
      <w:r w:rsidR="00033044">
        <w:t xml:space="preserve">(questions on teachers’ receipt of professional development and coaching at the school level) </w:t>
      </w:r>
      <w:r w:rsidR="00871A72">
        <w:t xml:space="preserve">will utilize </w:t>
      </w:r>
      <w:r w:rsidR="0035105F">
        <w:t xml:space="preserve">mixed (or hierarchal) </w:t>
      </w:r>
      <w:r w:rsidR="00880048">
        <w:t>generalized linear models</w:t>
      </w:r>
      <w:r w:rsidR="00615E90">
        <w:t xml:space="preserve"> (RQ E2</w:t>
      </w:r>
      <w:r w:rsidR="003F214B">
        <w:t xml:space="preserve">, </w:t>
      </w:r>
      <w:r w:rsidR="00504931">
        <w:t xml:space="preserve">RQ </w:t>
      </w:r>
      <w:r w:rsidR="003E32EF">
        <w:t>I</w:t>
      </w:r>
      <w:r w:rsidR="00396802">
        <w:t>3</w:t>
      </w:r>
      <w:r w:rsidR="00504931">
        <w:t>)</w:t>
      </w:r>
      <w:r w:rsidR="00880048">
        <w:t>.</w:t>
      </w:r>
      <w:r w:rsidR="00504931">
        <w:t xml:space="preserve"> </w:t>
      </w:r>
      <w:r w:rsidR="00033044">
        <w:t>Because</w:t>
      </w:r>
      <w:r w:rsidR="0053339C">
        <w:t xml:space="preserve"> the assignment to treatment or </w:t>
      </w:r>
      <w:r w:rsidR="00B640F8">
        <w:t>comparison</w:t>
      </w:r>
      <w:r w:rsidR="0053339C">
        <w:t xml:space="preserve"> is at the school level, the use of mixed models is </w:t>
      </w:r>
      <w:r w:rsidR="007F24A0">
        <w:t xml:space="preserve">required </w:t>
      </w:r>
      <w:r w:rsidR="0053339C">
        <w:t>to estimate the appropriate standard errors of the impact estimate</w:t>
      </w:r>
      <w:r w:rsidR="00D77545">
        <w:t xml:space="preserve"> of the teacher-level dependent variables</w:t>
      </w:r>
      <w:r w:rsidR="0053339C">
        <w:t xml:space="preserve">. </w:t>
      </w:r>
      <w:r w:rsidR="00CE6FF8">
        <w:t>T</w:t>
      </w:r>
      <w:r w:rsidR="00CA45A0">
        <w:t>he study team</w:t>
      </w:r>
      <w:r w:rsidR="003F1507">
        <w:t xml:space="preserve"> will use </w:t>
      </w:r>
      <w:r w:rsidR="00A03090">
        <w:t xml:space="preserve">these </w:t>
      </w:r>
      <w:r w:rsidR="005E27AD">
        <w:t xml:space="preserve">mixed </w:t>
      </w:r>
      <w:r w:rsidR="006A270F">
        <w:t xml:space="preserve">generalized </w:t>
      </w:r>
      <w:r w:rsidR="00D749C3">
        <w:t xml:space="preserve">models </w:t>
      </w:r>
      <w:r w:rsidR="00935ACB">
        <w:t xml:space="preserve">to </w:t>
      </w:r>
      <w:r w:rsidR="005E27AD">
        <w:t>appropriately model the outcome distributions</w:t>
      </w:r>
      <w:r w:rsidR="00CE6FF8">
        <w:t xml:space="preserve"> for </w:t>
      </w:r>
      <w:r w:rsidR="00A03090">
        <w:t xml:space="preserve">both </w:t>
      </w:r>
      <w:r w:rsidR="00CE6FF8">
        <w:t xml:space="preserve">categorical variables </w:t>
      </w:r>
      <w:r w:rsidR="00A03090">
        <w:t xml:space="preserve">and </w:t>
      </w:r>
      <w:r w:rsidR="00CE6FF8">
        <w:t xml:space="preserve">positive integers. </w:t>
      </w:r>
      <w:r w:rsidR="005E27AD">
        <w:t xml:space="preserve">All impact estimates will </w:t>
      </w:r>
      <w:r w:rsidR="00001401">
        <w:t xml:space="preserve">represent the differences </w:t>
      </w:r>
      <w:r w:rsidR="00001401">
        <w:t xml:space="preserve">between </w:t>
      </w:r>
      <w:r w:rsidR="00A30560">
        <w:t xml:space="preserve">sample schools randomly assigned </w:t>
      </w:r>
      <w:r w:rsidR="007F24A0">
        <w:t xml:space="preserve">to </w:t>
      </w:r>
      <w:r w:rsidR="00A30560">
        <w:t xml:space="preserve">treatment and those assigned </w:t>
      </w:r>
      <w:r w:rsidR="00E8139A">
        <w:t xml:space="preserve">to </w:t>
      </w:r>
      <w:r w:rsidR="00B640F8">
        <w:t>comparison</w:t>
      </w:r>
      <w:r w:rsidR="00544586">
        <w:t>, also known a</w:t>
      </w:r>
      <w:r w:rsidR="009A32C4">
        <w:t>s</w:t>
      </w:r>
      <w:r w:rsidR="00544586">
        <w:t xml:space="preserve"> the intent</w:t>
      </w:r>
      <w:r w:rsidR="009A32C4">
        <w:t>-</w:t>
      </w:r>
      <w:r w:rsidR="00544586">
        <w:t>to</w:t>
      </w:r>
      <w:r w:rsidR="009A32C4">
        <w:t>-</w:t>
      </w:r>
      <w:r w:rsidR="00544586">
        <w:t xml:space="preserve">treat </w:t>
      </w:r>
      <w:r w:rsidR="007F24A0">
        <w:t xml:space="preserve">(ITT) </w:t>
      </w:r>
      <w:r w:rsidR="00DB00B2">
        <w:t xml:space="preserve">impact estimate. </w:t>
      </w:r>
    </w:p>
    <w:p w:rsidR="00BA2DF2" w:rsidRPr="006265A3" w:rsidP="00BA2DF2" w14:paraId="0098A215" w14:textId="46A82CA0">
      <w:pPr>
        <w:pStyle w:val="BodyText"/>
      </w:pPr>
      <w:r w:rsidRPr="009B7BC6">
        <w:rPr>
          <w:b/>
          <w:bCs/>
          <w:i/>
          <w:iCs/>
        </w:rPr>
        <w:t>Student Outcome.</w:t>
      </w:r>
      <w:r>
        <w:t xml:space="preserve"> </w:t>
      </w:r>
      <w:r w:rsidRPr="00CA6EE0">
        <w:rPr>
          <w:lang w:val="en"/>
        </w:rPr>
        <w:t>To a</w:t>
      </w:r>
      <w:r w:rsidR="00B93CB2">
        <w:rPr>
          <w:lang w:val="en"/>
        </w:rPr>
        <w:t>ddress</w:t>
      </w:r>
      <w:r w:rsidRPr="00CA6EE0">
        <w:rPr>
          <w:lang w:val="en"/>
        </w:rPr>
        <w:t xml:space="preserve"> </w:t>
      </w:r>
      <w:r w:rsidR="00A03090">
        <w:rPr>
          <w:lang w:val="en"/>
        </w:rPr>
        <w:t>RQ</w:t>
      </w:r>
      <w:r w:rsidR="00B93CB2">
        <w:rPr>
          <w:lang w:val="en"/>
        </w:rPr>
        <w:t xml:space="preserve"> </w:t>
      </w:r>
      <w:r w:rsidRPr="00CA6EE0">
        <w:rPr>
          <w:lang w:val="en"/>
        </w:rPr>
        <w:t xml:space="preserve">E1 about student outcomes, </w:t>
      </w:r>
      <w:r>
        <w:rPr>
          <w:lang w:val="en"/>
        </w:rPr>
        <w:t xml:space="preserve">the study team will use an </w:t>
      </w:r>
      <w:r w:rsidRPr="00CA6EE0">
        <w:rPr>
          <w:lang w:val="en"/>
        </w:rPr>
        <w:t>O</w:t>
      </w:r>
      <w:r>
        <w:rPr>
          <w:lang w:val="en"/>
        </w:rPr>
        <w:t xml:space="preserve">rdinary Least Squares </w:t>
      </w:r>
      <w:r w:rsidRPr="00CA6EE0">
        <w:rPr>
          <w:lang w:val="en"/>
        </w:rPr>
        <w:t xml:space="preserve">regression model </w:t>
      </w:r>
      <w:r>
        <w:rPr>
          <w:lang w:val="en"/>
        </w:rPr>
        <w:t xml:space="preserve">to estimate </w:t>
      </w:r>
      <w:r w:rsidRPr="00CA6EE0">
        <w:rPr>
          <w:lang w:val="en"/>
        </w:rPr>
        <w:t xml:space="preserve">the average </w:t>
      </w:r>
      <w:r>
        <w:rPr>
          <w:lang w:val="en"/>
        </w:rPr>
        <w:t xml:space="preserve">ITT </w:t>
      </w:r>
      <w:r w:rsidRPr="00CA6EE0">
        <w:rPr>
          <w:lang w:val="en"/>
        </w:rPr>
        <w:t xml:space="preserve">impact of the </w:t>
      </w:r>
      <w:r>
        <w:rPr>
          <w:lang w:val="en"/>
        </w:rPr>
        <w:t>treatment</w:t>
      </w:r>
      <w:r w:rsidRPr="00CA6EE0">
        <w:rPr>
          <w:lang w:val="en"/>
        </w:rPr>
        <w:t xml:space="preserve"> on </w:t>
      </w:r>
      <w:r>
        <w:rPr>
          <w:lang w:val="en"/>
        </w:rPr>
        <w:t xml:space="preserve">the </w:t>
      </w:r>
      <w:r w:rsidRPr="00CA6EE0">
        <w:rPr>
          <w:lang w:val="en"/>
        </w:rPr>
        <w:t>school-level averages of student</w:t>
      </w:r>
      <w:r w:rsidR="00D42B8C">
        <w:rPr>
          <w:lang w:val="en"/>
        </w:rPr>
        <w:t>s’</w:t>
      </w:r>
      <w:r w:rsidRPr="00CA6EE0">
        <w:rPr>
          <w:lang w:val="en"/>
        </w:rPr>
        <w:t xml:space="preserve"> </w:t>
      </w:r>
      <w:r>
        <w:rPr>
          <w:lang w:val="en"/>
        </w:rPr>
        <w:t xml:space="preserve">SBA Writing </w:t>
      </w:r>
      <w:r w:rsidRPr="00CA6EE0">
        <w:rPr>
          <w:lang w:val="en"/>
        </w:rPr>
        <w:t>scores. Th</w:t>
      </w:r>
      <w:r>
        <w:rPr>
          <w:lang w:val="en"/>
        </w:rPr>
        <w:t>e</w:t>
      </w:r>
      <w:r w:rsidRPr="00CA6EE0">
        <w:rPr>
          <w:lang w:val="en"/>
        </w:rPr>
        <w:t xml:space="preserve"> model for outcome </w:t>
      </w:r>
      <w:r w:rsidRPr="00CA6EE0">
        <w:rPr>
          <w:i/>
          <w:iCs/>
          <w:lang w:val="en"/>
        </w:rPr>
        <w:t>y</w:t>
      </w:r>
      <w:r w:rsidRPr="00CA6EE0">
        <w:rPr>
          <w:lang w:val="en"/>
        </w:rPr>
        <w:t xml:space="preserve"> of school </w:t>
      </w:r>
      <m:oMath>
        <m:r>
          <w:rPr>
            <w:rFonts w:ascii="Cambria Math" w:hAnsi="Cambria Math"/>
            <w:lang w:val="en"/>
          </w:rPr>
          <m:t>j</m:t>
        </m:r>
      </m:oMath>
      <w:r w:rsidRPr="00CA6EE0">
        <w:rPr>
          <w:lang w:val="en"/>
        </w:rPr>
        <w:t xml:space="preserve"> in regression notation is</w:t>
      </w:r>
      <w:r>
        <w:rPr>
          <w:lang w:val="en"/>
        </w:rPr>
        <w:t>:</w:t>
      </w:r>
      <w:r w:rsidRPr="00CA6EE0">
        <w:rPr>
          <w:lang w:val="en"/>
        </w:rPr>
        <w:t xml:space="preserve"> </w:t>
      </w:r>
    </w:p>
    <w:p w:rsidR="00BA2DF2" w:rsidRPr="00CA6EE0" w:rsidP="00BA2DF2" w14:paraId="7A8EA8B0" w14:textId="31B2F5E5">
      <w:pPr>
        <w:pStyle w:val="BodyText"/>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Z</m:t>
                </m:r>
              </m:e>
            </m:acc>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T</m:t>
            </m:r>
          </m:e>
          <m:sub>
            <m:r>
              <w:rPr>
                <w:rFonts w:ascii="Cambria Math" w:hAnsi="Cambria Math"/>
              </w:rPr>
              <m:t>j</m:t>
            </m:r>
          </m:sub>
        </m:sSub>
        <m:r>
          <w:rPr>
            <w:rFonts w:ascii="Cambria Math" w:hAnsi="Cambria Math"/>
          </w:rPr>
          <m:t>+</m:t>
        </m:r>
        <m:nary>
          <m:naryPr>
            <m:chr m:val="∑"/>
            <m:supHide/>
            <m:ctrlPr>
              <w:rPr>
                <w:rFonts w:ascii="Cambria Math" w:hAnsi="Cambria Math"/>
                <w:i/>
              </w:rPr>
            </m:ctrlPr>
          </m:naryPr>
          <m:sub>
            <m:r>
              <w:rPr>
                <w:rFonts w:ascii="Cambria Math" w:hAnsi="Cambria Math"/>
              </w:rPr>
              <m:t>c</m:t>
            </m:r>
          </m:sub>
          <m:sup/>
          <m:e>
            <m:sSub>
              <m:sSubPr>
                <m:ctrlPr>
                  <w:rPr>
                    <w:rFonts w:ascii="Cambria Math" w:hAnsi="Cambria Math"/>
                    <w:i/>
                  </w:rPr>
                </m:ctrlPr>
              </m:sSubPr>
              <m:e>
                <m:r>
                  <w:rPr>
                    <w:rFonts w:ascii="Cambria Math" w:hAnsi="Cambria Math"/>
                  </w:rPr>
                  <m:t>γ</m:t>
                </m:r>
              </m:e>
              <m:sub>
                <m:r>
                  <w:rPr>
                    <w:rFonts w:ascii="Cambria Math" w:hAnsi="Cambria Math"/>
                  </w:rPr>
                  <m:t>c</m:t>
                </m:r>
              </m:sub>
            </m:sSub>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c.j</m:t>
                </m:r>
              </m:sub>
            </m:sSub>
          </m:e>
        </m:nary>
        <m:r>
          <w:rPr>
            <w:rFonts w:ascii="Cambria Math" w:hAnsi="Cambria Math"/>
          </w:rPr>
          <m:t>+</m:t>
        </m:r>
        <m:nary>
          <m:naryPr>
            <m:chr m:val="∑"/>
            <m:supHide/>
            <m:ctrlPr>
              <w:rPr>
                <w:rFonts w:ascii="Cambria Math" w:hAnsi="Cambria Math"/>
                <w:i/>
              </w:rPr>
            </m:ctrlPr>
          </m:naryPr>
          <m:sub>
            <m:r>
              <w:rPr>
                <w:rFonts w:ascii="Cambria Math" w:hAnsi="Cambria Math"/>
              </w:rPr>
              <m:t>q</m:t>
            </m:r>
          </m:sub>
          <m:sup/>
          <m:e>
            <m:sSub>
              <m:sSubPr>
                <m:ctrlPr>
                  <w:rPr>
                    <w:rFonts w:ascii="Cambria Math" w:hAnsi="Cambria Math"/>
                    <w:i/>
                  </w:rPr>
                </m:ctrlPr>
              </m:sSubPr>
              <m:e>
                <m:r>
                  <w:rPr>
                    <w:rFonts w:ascii="Cambria Math" w:hAnsi="Cambria Math"/>
                  </w:rPr>
                  <m:t>δ</m:t>
                </m:r>
              </m:e>
              <m:sub>
                <m:r>
                  <w:rPr>
                    <w:rFonts w:ascii="Cambria Math" w:hAnsi="Cambria Math"/>
                  </w:rPr>
                  <m:t>qj</m:t>
                </m:r>
              </m:sub>
            </m:sSub>
          </m:e>
        </m:nary>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j</m:t>
            </m:r>
          </m:sub>
        </m:sSub>
      </m:oMath>
      <w:r>
        <w:t>,</w:t>
      </w:r>
    </w:p>
    <w:p w:rsidR="00BA2DF2" w:rsidP="00BA2DF2" w14:paraId="20C389F1" w14:textId="189763FF">
      <w:pPr>
        <w:pStyle w:val="BodyText"/>
        <w:rPr>
          <w:lang w:val="en"/>
        </w:rPr>
      </w:pPr>
      <w:r>
        <w:rPr>
          <w:lang w:val="en"/>
        </w:rPr>
        <w:t>w</w:t>
      </w:r>
      <w:r w:rsidRPr="00CA6EE0" w:rsidR="00CA6EE0">
        <w:rPr>
          <w:lang w:val="en"/>
        </w:rPr>
        <w:t>here</w:t>
      </w:r>
      <w:r>
        <w:rPr>
          <w:lang w:val="en"/>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Z</m:t>
                </m:r>
              </m:e>
            </m:acc>
          </m:e>
          <m:sub>
            <m:r>
              <w:rPr>
                <w:rFonts w:ascii="Cambria Math" w:hAnsi="Cambria Math"/>
              </w:rPr>
              <m:t>⋅j</m:t>
            </m:r>
          </m:sub>
        </m:sSub>
      </m:oMath>
      <w:r>
        <w:t xml:space="preserve"> is the weighed school average of the</w:t>
      </w:r>
      <w:r w:rsidR="008F4D99">
        <w:t xml:space="preserve"> </w:t>
      </w:r>
      <w:r w:rsidR="00207E13">
        <w:t>teacher and</w:t>
      </w:r>
      <w:r>
        <w:t xml:space="preserve"> grade-specific SBA Writing scores standardized on grade-specific pooled</w:t>
      </w:r>
      <w:r w:rsidR="00D17E22">
        <w:t xml:space="preserve"> </w:t>
      </w:r>
      <w:r>
        <w:t>standard deviations</w:t>
      </w:r>
      <w:r w:rsidR="00A534CE">
        <w:t>;</w:t>
      </w:r>
      <w:r>
        <w:t xml:space="preserve"> </w:t>
      </w:r>
      <w:r w:rsidRPr="00CA6EE0">
        <w:rPr>
          <w:lang w:val="en"/>
        </w:rPr>
        <w:t xml:space="preserve"> </w:t>
      </w:r>
      <m:oMath>
        <m:sSub>
          <m:sSubPr>
            <m:ctrlPr>
              <w:rPr>
                <w:rFonts w:ascii="Cambria Math" w:hAnsi="Cambria Math"/>
                <w:i/>
                <w:lang w:val="en"/>
              </w:rPr>
            </m:ctrlPr>
          </m:sSubPr>
          <m:e>
            <m:r>
              <w:rPr>
                <w:rFonts w:ascii="Cambria Math" w:hAnsi="Cambria Math"/>
                <w:lang w:val="en"/>
              </w:rPr>
              <m:t>β</m:t>
            </m:r>
          </m:e>
          <m:sub>
            <m:r>
              <w:rPr>
                <w:rFonts w:ascii="Cambria Math" w:hAnsi="Cambria Math"/>
                <w:lang w:val="en"/>
              </w:rPr>
              <m:t>1</m:t>
            </m:r>
          </m:sub>
        </m:sSub>
      </m:oMath>
      <w:r w:rsidRPr="00CA6EE0">
        <w:rPr>
          <w:lang w:val="en"/>
        </w:rPr>
        <w:t xml:space="preserve"> is estimated impact of the </w:t>
      </w:r>
      <w:r>
        <w:rPr>
          <w:lang w:val="en"/>
        </w:rPr>
        <w:t>treatment</w:t>
      </w:r>
      <w:r w:rsidRPr="00CA6EE0">
        <w:rPr>
          <w:lang w:val="en"/>
        </w:rPr>
        <w:t xml:space="preserve"> </w:t>
      </w:r>
      <w:r>
        <w:rPr>
          <w:lang w:val="en"/>
        </w:rPr>
        <w:t xml:space="preserve">assignment, </w:t>
      </w:r>
      <m:oMath>
        <m:sSub>
          <m:sSubPr>
            <m:ctrlPr>
              <w:rPr>
                <w:rFonts w:ascii="Cambria Math" w:hAnsi="Cambria Math"/>
                <w:i/>
                <w:lang w:val="en"/>
              </w:rPr>
            </m:ctrlPr>
          </m:sSubPr>
          <m:e>
            <m:r>
              <w:rPr>
                <w:rFonts w:ascii="Cambria Math" w:hAnsi="Cambria Math"/>
                <w:lang w:val="en"/>
              </w:rPr>
              <m:t>T</m:t>
            </m:r>
          </m:e>
          <m:sub>
            <m:r>
              <w:rPr>
                <w:rFonts w:ascii="Cambria Math" w:hAnsi="Cambria Math"/>
                <w:lang w:val="en"/>
              </w:rPr>
              <m:t>j</m:t>
            </m:r>
          </m:sub>
        </m:sSub>
      </m:oMath>
      <w:r w:rsidRPr="00CA6EE0">
        <w:rPr>
          <w:lang w:val="en"/>
        </w:rPr>
        <w:t xml:space="preserve"> </w:t>
      </w:r>
      <w:r>
        <w:rPr>
          <w:lang w:val="en"/>
        </w:rPr>
        <w:t xml:space="preserve">(coded 1 for treatment assignment and 0 for </w:t>
      </w:r>
      <w:r w:rsidR="00B640F8">
        <w:rPr>
          <w:lang w:val="en"/>
        </w:rPr>
        <w:t>comparison</w:t>
      </w:r>
      <w:r>
        <w:rPr>
          <w:lang w:val="en"/>
        </w:rPr>
        <w:t>),</w:t>
      </w:r>
      <w:r w:rsidRPr="00CA6EE0">
        <w:rPr>
          <w:lang w:val="en"/>
        </w:rPr>
        <w:t xml:space="preserve"> on the </w:t>
      </w:r>
      <w:r>
        <w:rPr>
          <w:lang w:val="en"/>
        </w:rPr>
        <w:t>school average SBA Writing</w:t>
      </w:r>
      <w:r w:rsidRPr="00CA6EE0">
        <w:rPr>
          <w:lang w:val="en"/>
        </w:rPr>
        <w:t xml:space="preserve"> score; </w:t>
      </w:r>
      <m:oMath>
        <m:sSub>
          <m:sSubPr>
            <m:ctrlPr>
              <w:rPr>
                <w:rFonts w:ascii="Cambria Math" w:hAnsi="Cambria Math"/>
                <w:i/>
                <w:lang w:val="en"/>
              </w:rPr>
            </m:ctrlPr>
          </m:sSubPr>
          <m:e>
            <m:r>
              <w:rPr>
                <w:rFonts w:ascii="Cambria Math" w:hAnsi="Cambria Math"/>
                <w:lang w:val="en"/>
              </w:rPr>
              <m:t>γ</m:t>
            </m:r>
          </m:e>
          <m:sub>
            <m:r>
              <w:rPr>
                <w:rFonts w:ascii="Cambria Math" w:hAnsi="Cambria Math"/>
                <w:lang w:val="en"/>
              </w:rPr>
              <m:t>c</m:t>
            </m:r>
          </m:sub>
        </m:sSub>
      </m:oMath>
      <w:r w:rsidRPr="00CA6EE0">
        <w:rPr>
          <w:lang w:val="en"/>
        </w:rPr>
        <w:t xml:space="preserve"> are associations of school means </w:t>
      </w:r>
      <w:r>
        <w:rPr>
          <w:lang w:val="en"/>
        </w:rPr>
        <w:t>of demographic</w:t>
      </w:r>
      <w:r w:rsidRPr="00CA6EE0">
        <w:rPr>
          <w:lang w:val="en"/>
        </w:rPr>
        <w:t xml:space="preserve"> covariates</w:t>
      </w:r>
      <w:r>
        <w:rPr>
          <w:lang w:val="en"/>
        </w:rPr>
        <w:t xml:space="preserve"> (</w:t>
      </w:r>
      <w:r w:rsidR="00AC2A97">
        <w:rPr>
          <w:lang w:val="en"/>
        </w:rPr>
        <w:t xml:space="preserve">median income for the school catchment area </w:t>
      </w:r>
      <w:r>
        <w:rPr>
          <w:lang w:val="en"/>
        </w:rPr>
        <w:t xml:space="preserve">and proportion of students who are members of minority groups) and school-specific averages of the SBA Writing scores from the previous year, noted collectively as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c.j</m:t>
            </m:r>
          </m:sub>
        </m:sSub>
      </m:oMath>
      <w:r w:rsidRPr="00CA6EE0">
        <w:rPr>
          <w:lang w:val="en"/>
        </w:rPr>
        <w:t xml:space="preserve">; </w:t>
      </w:r>
      <m:oMath>
        <m:nary>
          <m:naryPr>
            <m:chr m:val="∑"/>
            <m:supHide/>
            <m:ctrlPr>
              <w:rPr>
                <w:rFonts w:ascii="Cambria Math" w:hAnsi="Cambria Math"/>
                <w:i/>
                <w:lang w:val="en"/>
              </w:rPr>
            </m:ctrlPr>
          </m:naryPr>
          <m:sub>
            <m:r>
              <w:rPr>
                <w:rFonts w:ascii="Cambria Math" w:hAnsi="Cambria Math"/>
                <w:lang w:val="en"/>
              </w:rPr>
              <m:t>q</m:t>
            </m:r>
          </m:sub>
          <m:sup/>
          <m:e>
            <m:sSub>
              <m:sSubPr>
                <m:ctrlPr>
                  <w:rPr>
                    <w:rFonts w:ascii="Cambria Math" w:hAnsi="Cambria Math"/>
                    <w:i/>
                    <w:lang w:val="en"/>
                  </w:rPr>
                </m:ctrlPr>
              </m:sSubPr>
              <m:e>
                <m:r>
                  <w:rPr>
                    <w:rFonts w:ascii="Cambria Math" w:hAnsi="Cambria Math"/>
                    <w:lang w:val="en"/>
                  </w:rPr>
                  <m:t>δ</m:t>
                </m:r>
              </m:e>
              <m:sub>
                <m:r>
                  <w:rPr>
                    <w:rFonts w:ascii="Cambria Math" w:hAnsi="Cambria Math"/>
                    <w:lang w:val="en"/>
                  </w:rPr>
                  <m:t>qj</m:t>
                </m:r>
              </m:sub>
            </m:sSub>
          </m:e>
        </m:nary>
      </m:oMath>
      <w:r w:rsidRPr="00CA6EE0">
        <w:rPr>
          <w:lang w:val="en"/>
        </w:rPr>
        <w:t xml:space="preserve"> are the randomization block fixed effects;</w:t>
      </w:r>
      <w:r w:rsidRPr="00CA6EE0">
        <w:rPr>
          <w:vertAlign w:val="superscript"/>
          <w:lang w:val="en"/>
        </w:rPr>
        <w:t xml:space="preserve"> </w:t>
      </w:r>
      <w:r>
        <w:rPr>
          <w:vertAlign w:val="superscript"/>
          <w:lang w:val="en"/>
        </w:rPr>
        <w:footnoteReference w:id="4"/>
      </w:r>
      <w:r w:rsidRPr="00CA6EE0">
        <w:rPr>
          <w:lang w:val="en"/>
        </w:rPr>
        <w:t xml:space="preserve"> and </w:t>
      </w:r>
      <m:oMath>
        <m:sSub>
          <m:sSubPr>
            <m:ctrlPr>
              <w:rPr>
                <w:rFonts w:ascii="Cambria Math" w:hAnsi="Cambria Math"/>
                <w:i/>
                <w:lang w:val="en"/>
              </w:rPr>
            </m:ctrlPr>
          </m:sSubPr>
          <m:e>
            <m:r>
              <w:rPr>
                <w:rFonts w:ascii="Cambria Math" w:hAnsi="Cambria Math"/>
                <w:lang w:val="en"/>
              </w:rPr>
              <m:t>u</m:t>
            </m:r>
          </m:e>
          <m:sub>
            <m:r>
              <w:rPr>
                <w:rFonts w:ascii="Cambria Math" w:hAnsi="Cambria Math"/>
                <w:lang w:val="en"/>
              </w:rPr>
              <m:t>j</m:t>
            </m:r>
          </m:sub>
        </m:sSub>
      </m:oMath>
      <w:r w:rsidRPr="00CA6EE0">
        <w:rPr>
          <w:lang w:val="en"/>
        </w:rPr>
        <w:t xml:space="preserve"> are school residuals on the outcome. The model will be fit with standard regression procedures and tested against the null hypothesis with classical statistical methods.</w:t>
      </w:r>
    </w:p>
    <w:p w:rsidR="00D77594" w:rsidRPr="00BA2DF2" w:rsidP="008E571A" w14:paraId="0670180D" w14:textId="2F94748F">
      <w:pPr>
        <w:pStyle w:val="BodyText"/>
      </w:pPr>
      <w:r>
        <w:t xml:space="preserve">The </w:t>
      </w:r>
      <w:r w:rsidR="00F7060A">
        <w:t>study team will create</w:t>
      </w:r>
      <w:r w:rsidR="000B01D0">
        <w:t xml:space="preserve"> the</w:t>
      </w:r>
      <w:r w:rsidR="00994521">
        <w:t xml:space="preserve"> school-level</w:t>
      </w:r>
      <w:r w:rsidR="000B01D0">
        <w:t xml:space="preserve"> </w:t>
      </w:r>
      <w:r w:rsidR="002A4B76">
        <w:t xml:space="preserve">student </w:t>
      </w:r>
      <w:r>
        <w:t>outcome variable</w:t>
      </w:r>
      <w:r w:rsidR="000B01D0">
        <w:t xml:space="preserve"> as</w:t>
      </w:r>
      <w:r>
        <w:t xml:space="preserve"> </w:t>
      </w:r>
      <w:r w:rsidRPr="00D77594">
        <w:t xml:space="preserve">a weighted mean of the </w:t>
      </w:r>
      <w:r w:rsidR="00207E13">
        <w:t xml:space="preserve">teacher and </w:t>
      </w:r>
      <w:r w:rsidRPr="00D77594">
        <w:t xml:space="preserve">grade-specific averages </w:t>
      </w:r>
      <w:r w:rsidR="00AC1E04">
        <w:t xml:space="preserve">of the SBA Writing score, </w:t>
      </w:r>
      <w:r w:rsidRPr="00D77594">
        <w:t xml:space="preserve">standardized on the grade-specific sample means and standard deviations for each </w:t>
      </w:r>
      <w:r w:rsidR="0094147C">
        <w:t>teacher</w:t>
      </w:r>
      <w:r w:rsidRPr="00D77594">
        <w:t xml:space="preserve">. </w:t>
      </w:r>
      <w:r w:rsidRPr="00A57532" w:rsidR="00A57532">
        <w:t>Each</w:t>
      </w:r>
      <w:r w:rsidR="00BF696C">
        <w:t xml:space="preserve"> teacher </w:t>
      </w:r>
      <w:r w:rsidR="001E539B">
        <w:t xml:space="preserve">for each grade of </w:t>
      </w:r>
      <w:r w:rsidR="001B0F14">
        <w:t>each</w:t>
      </w:r>
      <w:r w:rsidRPr="00A57532" w:rsidR="00A57532">
        <w:t xml:space="preserve"> school will be summarized by three values: the total number of students tested by </w:t>
      </w:r>
      <w:r w:rsidR="001E539B">
        <w:t>teacher</w:t>
      </w:r>
      <w:r w:rsidRPr="00A57532" w:rsidR="00A57532">
        <w:t>, the average SBA</w:t>
      </w:r>
      <w:r w:rsidR="007F3374">
        <w:t xml:space="preserve"> </w:t>
      </w:r>
      <w:r w:rsidR="002A4B76">
        <w:t>W</w:t>
      </w:r>
      <w:r w:rsidRPr="00A57532" w:rsidR="00A57532">
        <w:t>riting scale score</w:t>
      </w:r>
      <w:r w:rsidR="001E539B">
        <w:t xml:space="preserve"> for each teacher</w:t>
      </w:r>
      <w:r w:rsidRPr="00A57532" w:rsidR="00A57532">
        <w:t xml:space="preserve">, and the standard deviation of the </w:t>
      </w:r>
      <w:r w:rsidR="002A4B76">
        <w:t>SBA Writing</w:t>
      </w:r>
      <w:r w:rsidRPr="00A57532" w:rsidR="00A57532">
        <w:t xml:space="preserve"> scale score</w:t>
      </w:r>
      <w:r w:rsidR="00190057">
        <w:t xml:space="preserve"> for each teacher</w:t>
      </w:r>
      <w:r w:rsidRPr="00A57532" w:rsidR="00A57532">
        <w:t xml:space="preserve">. For the school means analysis, the school </w:t>
      </w:r>
      <w:r w:rsidR="008C36A4">
        <w:t>mean</w:t>
      </w:r>
      <w:r w:rsidRPr="00A57532" w:rsidR="00A57532">
        <w:t xml:space="preserve"> will be a weighted average of each </w:t>
      </w:r>
      <w:r w:rsidR="00190057">
        <w:t>teacher’s</w:t>
      </w:r>
      <w:r w:rsidRPr="00A57532" w:rsidR="00A57532">
        <w:t xml:space="preserve"> average </w:t>
      </w:r>
      <w:r w:rsidR="00023C70">
        <w:t>within the school</w:t>
      </w:r>
      <w:r w:rsidR="00833108">
        <w:t>, standardized by the grade-specific pooled standard deviation</w:t>
      </w:r>
      <w:r w:rsidRPr="00A57532" w:rsidR="00A57532">
        <w:t xml:space="preserve">. </w:t>
      </w:r>
      <w:r w:rsidR="00815E40">
        <w:t>This z-score</w:t>
      </w:r>
      <w:r w:rsidR="00B57DB9">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Z</m:t>
                </m:r>
              </m:e>
            </m:acc>
          </m:e>
          <m:sub>
            <m:r>
              <w:rPr>
                <w:rFonts w:ascii="Cambria Math" w:hAnsi="Cambria Math"/>
              </w:rPr>
              <m:t>⋅j</m:t>
            </m:r>
          </m:sub>
        </m:sSub>
      </m:oMath>
      <w:r w:rsidR="00B57DB9">
        <w:t>,</w:t>
      </w:r>
      <w:r w:rsidR="00815E40">
        <w:t xml:space="preserve"> </w:t>
      </w:r>
      <w:r w:rsidR="000722B2">
        <w:t xml:space="preserve">will be a standardized </w:t>
      </w:r>
      <w:r w:rsidR="00E65BB6">
        <w:t xml:space="preserve">measure of how each </w:t>
      </w:r>
      <w:r w:rsidR="004936C5">
        <w:t>school’s</w:t>
      </w:r>
      <w:r w:rsidR="00190057">
        <w:t xml:space="preserve"> </w:t>
      </w:r>
      <w:r w:rsidR="008C36A4">
        <w:t>mean</w:t>
      </w:r>
      <w:r w:rsidR="00E65BB6">
        <w:t xml:space="preserve"> </w:t>
      </w:r>
      <w:r w:rsidR="005D3018">
        <w:t xml:space="preserve">deviates from the </w:t>
      </w:r>
      <w:r w:rsidR="001568AE">
        <w:t>sampl</w:t>
      </w:r>
      <w:r w:rsidR="00855237">
        <w:t xml:space="preserve">e’s </w:t>
      </w:r>
      <w:r w:rsidR="008C36A4">
        <w:t>mean</w:t>
      </w:r>
      <w:r w:rsidR="00D27268">
        <w:t>.</w:t>
      </w:r>
    </w:p>
    <w:p w:rsidR="00D9369C" w:rsidRPr="00D9369C" w:rsidP="00BA2DF2" w14:paraId="499971F7" w14:textId="635DD21B">
      <w:pPr>
        <w:pStyle w:val="BodyText"/>
      </w:pPr>
      <w:r>
        <w:rPr>
          <w:b/>
          <w:bCs/>
          <w:i/>
          <w:iCs/>
        </w:rPr>
        <w:t>Teacher Outcomes</w:t>
      </w:r>
      <w:r w:rsidRPr="00DE2B22" w:rsidR="00414742">
        <w:rPr>
          <w:b/>
          <w:bCs/>
          <w:i/>
          <w:iCs/>
        </w:rPr>
        <w:t>.</w:t>
      </w:r>
      <w:r w:rsidRPr="00DE2B22" w:rsidR="00414742">
        <w:rPr>
          <w:bCs/>
        </w:rPr>
        <w:t xml:space="preserve"> To </w:t>
      </w:r>
      <w:r w:rsidR="00B93CB2">
        <w:rPr>
          <w:bCs/>
        </w:rPr>
        <w:t xml:space="preserve">address </w:t>
      </w:r>
      <w:r w:rsidR="00F6413C">
        <w:rPr>
          <w:bCs/>
        </w:rPr>
        <w:t xml:space="preserve">RQ </w:t>
      </w:r>
      <w:r w:rsidR="005B2A61">
        <w:rPr>
          <w:bCs/>
        </w:rPr>
        <w:t>E</w:t>
      </w:r>
      <w:r w:rsidR="00292369">
        <w:rPr>
          <w:bCs/>
        </w:rPr>
        <w:t>2 about impacts on teacher practice,</w:t>
      </w:r>
      <w:r>
        <w:rPr>
          <w:rStyle w:val="FootnoteReference"/>
          <w:bCs/>
        </w:rPr>
        <w:footnoteReference w:id="5"/>
      </w:r>
      <w:r w:rsidR="00292369">
        <w:rPr>
          <w:bCs/>
        </w:rPr>
        <w:t xml:space="preserve"> the study </w:t>
      </w:r>
      <w:r w:rsidR="00B93CB2">
        <w:rPr>
          <w:bCs/>
        </w:rPr>
        <w:t xml:space="preserve">team will convert the </w:t>
      </w:r>
      <w:r w:rsidRPr="00D9369C">
        <w:t xml:space="preserve">data from the teacher log into aggregate teacher outcome variables that summarize the totals, </w:t>
      </w:r>
      <w:r w:rsidR="009B4687">
        <w:t xml:space="preserve">counts, numbers, </w:t>
      </w:r>
      <w:r w:rsidRPr="00D9369C">
        <w:t xml:space="preserve">and Yes/No </w:t>
      </w:r>
      <w:r w:rsidR="00331078">
        <w:t xml:space="preserve">dichotomous </w:t>
      </w:r>
      <w:r w:rsidRPr="00D9369C">
        <w:t xml:space="preserve">responses, as </w:t>
      </w:r>
      <w:r w:rsidRPr="00CF7878">
        <w:t>shown in Exhibi</w:t>
      </w:r>
      <w:r w:rsidRPr="00CF7878" w:rsidR="00CF7878">
        <w:t>t B</w:t>
      </w:r>
      <w:r w:rsidR="003777FF">
        <w:t>3</w:t>
      </w:r>
      <w:r w:rsidRPr="00D9369C">
        <w:t xml:space="preserve"> below.</w:t>
      </w:r>
      <w:r w:rsidR="00DD4D16">
        <w:t xml:space="preserve"> </w:t>
      </w:r>
      <w:r w:rsidR="00C91B04">
        <w:t xml:space="preserve">These outcome variables correspond to </w:t>
      </w:r>
      <w:r w:rsidR="00204E40">
        <w:t>the recommendations</w:t>
      </w:r>
      <w:r w:rsidR="00DF32D3">
        <w:t xml:space="preserve"> in the </w:t>
      </w:r>
      <w:r w:rsidR="00491FD7">
        <w:t>Practice Guide (</w:t>
      </w:r>
      <w:r w:rsidR="00DF32D3">
        <w:t>PG</w:t>
      </w:r>
      <w:r w:rsidR="00491FD7">
        <w:t>)</w:t>
      </w:r>
      <w:r w:rsidR="006440BD">
        <w:t xml:space="preserve">. </w:t>
      </w:r>
    </w:p>
    <w:p w:rsidR="00D9369C" w:rsidRPr="00963C23" w:rsidP="00963C23" w14:paraId="1EB5DC30" w14:textId="19D196FB">
      <w:pPr>
        <w:pStyle w:val="BodyText"/>
        <w:spacing w:after="0"/>
        <w:rPr>
          <w:rFonts w:ascii="Arial" w:hAnsi="Arial" w:cs="Arial"/>
        </w:rPr>
      </w:pPr>
      <w:r w:rsidRPr="00963C23">
        <w:rPr>
          <w:rFonts w:ascii="Arial" w:hAnsi="Arial" w:cs="Arial"/>
          <w:b/>
        </w:rPr>
        <w:t xml:space="preserve">Exhibit </w:t>
      </w:r>
      <w:r w:rsidRPr="00963C23" w:rsidR="00CF7878">
        <w:rPr>
          <w:rFonts w:ascii="Arial" w:hAnsi="Arial" w:cs="Arial"/>
          <w:b/>
        </w:rPr>
        <w:t>B</w:t>
      </w:r>
      <w:r w:rsidR="00CB5191">
        <w:rPr>
          <w:rFonts w:ascii="Arial" w:hAnsi="Arial" w:cs="Arial"/>
          <w:b/>
        </w:rPr>
        <w:t>3</w:t>
      </w:r>
      <w:r w:rsidRPr="00963C23">
        <w:rPr>
          <w:rFonts w:ascii="Arial" w:hAnsi="Arial" w:cs="Arial"/>
          <w:b/>
        </w:rPr>
        <w:t>. Writing Instruction Outcomes and Metrics from Teacher Log Data</w:t>
      </w:r>
    </w:p>
    <w:tbl>
      <w:tblPr>
        <w:tblStyle w:val="TableGrid"/>
        <w:tblW w:w="4881" w:type="pct"/>
        <w:tblLook w:val="04A0"/>
      </w:tblPr>
      <w:tblGrid>
        <w:gridCol w:w="7734"/>
        <w:gridCol w:w="1393"/>
      </w:tblGrid>
      <w:tr w14:paraId="4416B985" w14:textId="77777777" w:rsidTr="52769551">
        <w:tblPrEx>
          <w:tblW w:w="4881" w:type="pct"/>
          <w:tblLook w:val="04A0"/>
        </w:tblPrEx>
        <w:trPr>
          <w:trHeight w:val="278"/>
        </w:trPr>
        <w:tc>
          <w:tcPr>
            <w:tcW w:w="4237" w:type="pct"/>
            <w:shd w:val="clear" w:color="auto" w:fill="0F4C81"/>
          </w:tcPr>
          <w:p w:rsidR="00D9369C" w:rsidRPr="00963C23" w:rsidP="00963C23" w14:paraId="41CCCD8B" w14:textId="77777777">
            <w:pPr>
              <w:pStyle w:val="BodyText"/>
              <w:spacing w:after="0"/>
              <w:rPr>
                <w:rFonts w:ascii="Arial Narrow" w:hAnsi="Arial Narrow"/>
                <w:b/>
                <w:bCs/>
                <w:color w:val="FFFFFF" w:themeColor="background1"/>
              </w:rPr>
            </w:pPr>
            <w:r w:rsidRPr="00963C23">
              <w:rPr>
                <w:rFonts w:ascii="Arial Narrow" w:hAnsi="Arial Narrow"/>
                <w:b/>
                <w:bCs/>
                <w:color w:val="FFFFFF" w:themeColor="background1"/>
              </w:rPr>
              <w:t>Writing instruction outcome</w:t>
            </w:r>
          </w:p>
        </w:tc>
        <w:tc>
          <w:tcPr>
            <w:tcW w:w="763" w:type="pct"/>
            <w:shd w:val="clear" w:color="auto" w:fill="0F4C81"/>
          </w:tcPr>
          <w:p w:rsidR="00D9369C" w:rsidRPr="00963C23" w:rsidP="00963C23" w14:paraId="68F6187F" w14:textId="77777777">
            <w:pPr>
              <w:pStyle w:val="BodyText"/>
              <w:spacing w:after="0"/>
              <w:rPr>
                <w:rFonts w:ascii="Arial Narrow" w:hAnsi="Arial Narrow"/>
                <w:b/>
                <w:bCs/>
                <w:color w:val="FFFFFF" w:themeColor="background1"/>
              </w:rPr>
            </w:pPr>
            <w:r w:rsidRPr="00963C23">
              <w:rPr>
                <w:rFonts w:ascii="Arial Narrow" w:hAnsi="Arial Narrow"/>
                <w:b/>
                <w:bCs/>
                <w:color w:val="FFFFFF" w:themeColor="background1"/>
              </w:rPr>
              <w:t>Metric</w:t>
            </w:r>
          </w:p>
        </w:tc>
      </w:tr>
      <w:tr w14:paraId="607772D9" w14:textId="77777777" w:rsidTr="52769551">
        <w:tblPrEx>
          <w:tblW w:w="4881" w:type="pct"/>
          <w:tblLook w:val="04A0"/>
        </w:tblPrEx>
        <w:trPr>
          <w:trHeight w:val="188"/>
        </w:trPr>
        <w:tc>
          <w:tcPr>
            <w:tcW w:w="4237" w:type="pct"/>
          </w:tcPr>
          <w:p w:rsidR="00D9369C" w:rsidRPr="00963C23" w:rsidP="00963C23" w14:paraId="36D8070C" w14:textId="77777777">
            <w:pPr>
              <w:pStyle w:val="BodyText"/>
              <w:spacing w:after="0"/>
              <w:rPr>
                <w:rFonts w:ascii="Arial Narrow" w:hAnsi="Arial Narrow"/>
              </w:rPr>
            </w:pPr>
            <w:r w:rsidRPr="52769551">
              <w:rPr>
                <w:rFonts w:ascii="Arial Narrow" w:hAnsi="Arial Narrow"/>
              </w:rPr>
              <w:t>Number of minutes of time spent on writing instruction and writing activities.</w:t>
            </w:r>
          </w:p>
        </w:tc>
        <w:tc>
          <w:tcPr>
            <w:tcW w:w="763" w:type="pct"/>
          </w:tcPr>
          <w:p w:rsidR="00D9369C" w:rsidRPr="00963C23" w:rsidP="00963C23" w14:paraId="18932823" w14:textId="7123CF91">
            <w:pPr>
              <w:pStyle w:val="BodyText"/>
              <w:spacing w:after="0"/>
              <w:rPr>
                <w:rFonts w:ascii="Arial Narrow" w:hAnsi="Arial Narrow"/>
              </w:rPr>
            </w:pPr>
            <w:r w:rsidRPr="52769551">
              <w:rPr>
                <w:rFonts w:ascii="Arial Narrow" w:hAnsi="Arial Narrow"/>
              </w:rPr>
              <w:t>Total minutes</w:t>
            </w:r>
          </w:p>
        </w:tc>
      </w:tr>
      <w:tr w14:paraId="4F2532AF" w14:textId="77777777" w:rsidTr="52769551">
        <w:tblPrEx>
          <w:tblW w:w="4881" w:type="pct"/>
          <w:tblLook w:val="04A0"/>
        </w:tblPrEx>
        <w:tc>
          <w:tcPr>
            <w:tcW w:w="4237" w:type="pct"/>
          </w:tcPr>
          <w:p w:rsidR="00D9369C" w:rsidRPr="00963C23" w:rsidP="00963C23" w14:paraId="617DC825" w14:textId="77777777">
            <w:pPr>
              <w:pStyle w:val="BodyText"/>
              <w:spacing w:after="0"/>
              <w:rPr>
                <w:rFonts w:ascii="Arial Narrow" w:hAnsi="Arial Narrow"/>
              </w:rPr>
            </w:pPr>
            <w:r w:rsidRPr="00963C23">
              <w:rPr>
                <w:rFonts w:ascii="Arial Narrow" w:hAnsi="Arial Narrow"/>
              </w:rPr>
              <w:t>Number of different types</w:t>
            </w:r>
            <w:r w:rsidRPr="00963C23">
              <w:rPr>
                <w:rFonts w:ascii="Arial Narrow" w:hAnsi="Arial Narrow"/>
              </w:rPr>
              <w:t xml:space="preserve"> </w:t>
            </w:r>
            <w:r w:rsidRPr="00963C23">
              <w:rPr>
                <w:rFonts w:ascii="Arial Narrow" w:hAnsi="Arial Narrow"/>
              </w:rPr>
              <w:t>of writing instruction/activities implemented.</w:t>
            </w:r>
          </w:p>
        </w:tc>
        <w:tc>
          <w:tcPr>
            <w:tcW w:w="763" w:type="pct"/>
          </w:tcPr>
          <w:p w:rsidR="00D9369C" w:rsidRPr="00963C23" w:rsidP="00963C23" w14:paraId="31742110" w14:textId="53C73722">
            <w:pPr>
              <w:pStyle w:val="BodyText"/>
              <w:spacing w:after="0"/>
              <w:rPr>
                <w:rFonts w:ascii="Arial Narrow" w:hAnsi="Arial Narrow"/>
              </w:rPr>
            </w:pPr>
            <w:r>
              <w:rPr>
                <w:rFonts w:ascii="Arial Narrow" w:hAnsi="Arial Narrow"/>
              </w:rPr>
              <w:t>Count</w:t>
            </w:r>
            <w:r w:rsidRPr="00963C23">
              <w:rPr>
                <w:rFonts w:ascii="Arial Narrow" w:hAnsi="Arial Narrow"/>
              </w:rPr>
              <w:t xml:space="preserve"> </w:t>
            </w:r>
          </w:p>
        </w:tc>
      </w:tr>
      <w:tr w14:paraId="144937E6" w14:textId="77777777" w:rsidTr="52769551">
        <w:tblPrEx>
          <w:tblW w:w="4881" w:type="pct"/>
          <w:tblLook w:val="04A0"/>
        </w:tblPrEx>
        <w:tc>
          <w:tcPr>
            <w:tcW w:w="4237" w:type="pct"/>
          </w:tcPr>
          <w:p w:rsidR="00D9369C" w:rsidRPr="00963C23" w:rsidP="00963C23" w14:paraId="6116558A" w14:textId="77777777">
            <w:pPr>
              <w:pStyle w:val="BodyText"/>
              <w:spacing w:after="0"/>
              <w:rPr>
                <w:rFonts w:ascii="Arial Narrow" w:hAnsi="Arial Narrow"/>
              </w:rPr>
            </w:pPr>
            <w:r w:rsidRPr="00963C23">
              <w:rPr>
                <w:rFonts w:ascii="Arial Narrow" w:hAnsi="Arial Narrow"/>
              </w:rPr>
              <w:t>Any instruction or feedback that was informed by assessments of student writing.</w:t>
            </w:r>
          </w:p>
        </w:tc>
        <w:tc>
          <w:tcPr>
            <w:tcW w:w="763" w:type="pct"/>
          </w:tcPr>
          <w:p w:rsidR="00D9369C" w:rsidRPr="00963C23" w:rsidP="00963C23" w14:paraId="30DC738A" w14:textId="77777777">
            <w:pPr>
              <w:pStyle w:val="BodyText"/>
              <w:spacing w:after="0"/>
              <w:rPr>
                <w:rFonts w:ascii="Arial Narrow" w:hAnsi="Arial Narrow"/>
              </w:rPr>
            </w:pPr>
            <w:r w:rsidRPr="00963C23">
              <w:rPr>
                <w:rFonts w:ascii="Arial Narrow" w:hAnsi="Arial Narrow"/>
              </w:rPr>
              <w:t>Yes/No</w:t>
            </w:r>
          </w:p>
        </w:tc>
      </w:tr>
      <w:tr w14:paraId="4CB8D003" w14:textId="77777777" w:rsidTr="52769551">
        <w:tblPrEx>
          <w:tblW w:w="4881" w:type="pct"/>
          <w:tblLook w:val="04A0"/>
        </w:tblPrEx>
        <w:tc>
          <w:tcPr>
            <w:tcW w:w="4237" w:type="pct"/>
          </w:tcPr>
          <w:p w:rsidR="00D9369C" w:rsidRPr="00963C23" w:rsidP="00963C23" w14:paraId="57F21FF6" w14:textId="77777777">
            <w:pPr>
              <w:pStyle w:val="BodyText"/>
              <w:spacing w:after="0"/>
              <w:rPr>
                <w:rFonts w:ascii="Arial Narrow" w:hAnsi="Arial Narrow"/>
              </w:rPr>
            </w:pPr>
            <w:r w:rsidRPr="00963C23">
              <w:rPr>
                <w:rFonts w:ascii="Arial Narrow" w:hAnsi="Arial Narrow"/>
              </w:rPr>
              <w:t>Any instruction that integrated writing and reading.</w:t>
            </w:r>
          </w:p>
        </w:tc>
        <w:tc>
          <w:tcPr>
            <w:tcW w:w="763" w:type="pct"/>
          </w:tcPr>
          <w:p w:rsidR="00D9369C" w:rsidRPr="00963C23" w:rsidP="00963C23" w14:paraId="7EC0FD0D" w14:textId="77777777">
            <w:pPr>
              <w:pStyle w:val="BodyText"/>
              <w:spacing w:after="0"/>
              <w:rPr>
                <w:rFonts w:ascii="Arial Narrow" w:hAnsi="Arial Narrow"/>
              </w:rPr>
            </w:pPr>
            <w:r w:rsidRPr="00963C23">
              <w:rPr>
                <w:rFonts w:ascii="Arial Narrow" w:hAnsi="Arial Narrow"/>
              </w:rPr>
              <w:t>Yes/No</w:t>
            </w:r>
          </w:p>
        </w:tc>
      </w:tr>
      <w:tr w14:paraId="158BDEFE" w14:textId="77777777" w:rsidTr="52769551">
        <w:tblPrEx>
          <w:tblW w:w="4881" w:type="pct"/>
          <w:tblLook w:val="04A0"/>
        </w:tblPrEx>
        <w:tc>
          <w:tcPr>
            <w:tcW w:w="4237" w:type="pct"/>
          </w:tcPr>
          <w:p w:rsidR="00D9369C" w:rsidRPr="00963C23" w:rsidP="00963C23" w14:paraId="6910D955" w14:textId="77777777">
            <w:pPr>
              <w:pStyle w:val="BodyText"/>
              <w:spacing w:after="0"/>
              <w:rPr>
                <w:rFonts w:ascii="Arial Narrow" w:hAnsi="Arial Narrow"/>
              </w:rPr>
            </w:pPr>
            <w:r w:rsidRPr="00963C23">
              <w:rPr>
                <w:rFonts w:ascii="Arial Narrow" w:hAnsi="Arial Narrow"/>
              </w:rPr>
              <w:t>Length of longest writing piece that students were assigned/worked on.</w:t>
            </w:r>
          </w:p>
        </w:tc>
        <w:tc>
          <w:tcPr>
            <w:tcW w:w="763" w:type="pct"/>
          </w:tcPr>
          <w:p w:rsidR="00D9369C" w:rsidRPr="00963C23" w:rsidP="00963C23" w14:paraId="466E6E57" w14:textId="77777777">
            <w:pPr>
              <w:pStyle w:val="BodyText"/>
              <w:spacing w:after="0"/>
              <w:rPr>
                <w:rFonts w:ascii="Arial Narrow" w:hAnsi="Arial Narrow"/>
              </w:rPr>
            </w:pPr>
            <w:r w:rsidRPr="00963C23">
              <w:rPr>
                <w:rFonts w:ascii="Arial Narrow" w:hAnsi="Arial Narrow"/>
              </w:rPr>
              <w:t>Number</w:t>
            </w:r>
          </w:p>
        </w:tc>
      </w:tr>
      <w:tr w14:paraId="08CEB9D6" w14:textId="77777777" w:rsidTr="52769551">
        <w:tblPrEx>
          <w:tblW w:w="4881" w:type="pct"/>
          <w:tblLook w:val="04A0"/>
        </w:tblPrEx>
        <w:tc>
          <w:tcPr>
            <w:tcW w:w="4237" w:type="pct"/>
          </w:tcPr>
          <w:p w:rsidR="00D9369C" w:rsidRPr="00963C23" w:rsidP="00963C23" w14:paraId="31F67284" w14:textId="77777777">
            <w:pPr>
              <w:pStyle w:val="BodyText"/>
              <w:spacing w:after="0"/>
              <w:rPr>
                <w:rFonts w:ascii="Arial Narrow" w:hAnsi="Arial Narrow"/>
              </w:rPr>
            </w:pPr>
            <w:r w:rsidRPr="00963C23">
              <w:rPr>
                <w:rFonts w:ascii="Arial Narrow" w:hAnsi="Arial Narrow"/>
              </w:rPr>
              <w:t xml:space="preserve">Any explicit instruction of </w:t>
            </w:r>
            <w:r w:rsidRPr="00963C23">
              <w:rPr>
                <w:rFonts w:ascii="Arial Narrow" w:hAnsi="Arial Narrow"/>
                <w:i/>
                <w:iCs/>
              </w:rPr>
              <w:t>planning</w:t>
            </w:r>
            <w:r w:rsidRPr="00963C23">
              <w:rPr>
                <w:rFonts w:ascii="Arial Narrow" w:hAnsi="Arial Narrow"/>
              </w:rPr>
              <w:t xml:space="preserve"> </w:t>
            </w:r>
            <w:r w:rsidRPr="00963C23">
              <w:rPr>
                <w:rFonts w:ascii="Arial Narrow" w:hAnsi="Arial Narrow"/>
              </w:rPr>
              <w:t>strategies.</w:t>
            </w:r>
            <w:r w:rsidRPr="00963C23">
              <w:rPr>
                <w:rFonts w:ascii="Arial Narrow" w:hAnsi="Arial Narrow"/>
                <w:vertAlign w:val="superscript"/>
              </w:rPr>
              <w:t>a</w:t>
            </w:r>
          </w:p>
        </w:tc>
        <w:tc>
          <w:tcPr>
            <w:tcW w:w="763" w:type="pct"/>
          </w:tcPr>
          <w:p w:rsidR="00D9369C" w:rsidRPr="00963C23" w:rsidP="00963C23" w14:paraId="56940D4A" w14:textId="77777777">
            <w:pPr>
              <w:pStyle w:val="BodyText"/>
              <w:spacing w:after="0"/>
              <w:rPr>
                <w:rFonts w:ascii="Arial Narrow" w:hAnsi="Arial Narrow"/>
              </w:rPr>
            </w:pPr>
            <w:r w:rsidRPr="00963C23">
              <w:rPr>
                <w:rFonts w:ascii="Arial Narrow" w:hAnsi="Arial Narrow"/>
              </w:rPr>
              <w:t>Yes/No</w:t>
            </w:r>
          </w:p>
        </w:tc>
      </w:tr>
      <w:tr w14:paraId="4B616FCF" w14:textId="77777777" w:rsidTr="52769551">
        <w:tblPrEx>
          <w:tblW w:w="4881" w:type="pct"/>
          <w:tblLook w:val="04A0"/>
        </w:tblPrEx>
        <w:tc>
          <w:tcPr>
            <w:tcW w:w="4237" w:type="pct"/>
          </w:tcPr>
          <w:p w:rsidR="00D9369C" w:rsidRPr="00963C23" w:rsidP="00963C23" w14:paraId="7DBBF412" w14:textId="77777777">
            <w:pPr>
              <w:pStyle w:val="BodyText"/>
              <w:spacing w:after="0"/>
              <w:rPr>
                <w:rFonts w:ascii="Arial Narrow" w:hAnsi="Arial Narrow"/>
              </w:rPr>
            </w:pPr>
            <w:r w:rsidRPr="00963C23">
              <w:rPr>
                <w:rFonts w:ascii="Arial Narrow" w:hAnsi="Arial Narrow"/>
              </w:rPr>
              <w:t xml:space="preserve">Number of different </w:t>
            </w:r>
            <w:r w:rsidRPr="00963C23">
              <w:rPr>
                <w:rFonts w:ascii="Arial Narrow" w:hAnsi="Arial Narrow"/>
                <w:i/>
                <w:iCs/>
              </w:rPr>
              <w:t xml:space="preserve">planning </w:t>
            </w:r>
            <w:r w:rsidRPr="00963C23">
              <w:rPr>
                <w:rFonts w:ascii="Arial Narrow" w:hAnsi="Arial Narrow"/>
              </w:rPr>
              <w:t xml:space="preserve">strategies explicitly </w:t>
            </w:r>
            <w:r w:rsidRPr="00963C23">
              <w:rPr>
                <w:rFonts w:ascii="Arial Narrow" w:hAnsi="Arial Narrow"/>
              </w:rPr>
              <w:t>taught.</w:t>
            </w:r>
            <w:r w:rsidRPr="00963C23">
              <w:rPr>
                <w:rFonts w:ascii="Arial Narrow" w:hAnsi="Arial Narrow"/>
                <w:vertAlign w:val="superscript"/>
              </w:rPr>
              <w:t>a</w:t>
            </w:r>
          </w:p>
        </w:tc>
        <w:tc>
          <w:tcPr>
            <w:tcW w:w="763" w:type="pct"/>
          </w:tcPr>
          <w:p w:rsidR="00D9369C" w:rsidRPr="00963C23" w:rsidP="00963C23" w14:paraId="2E8F529F" w14:textId="77777777">
            <w:pPr>
              <w:pStyle w:val="BodyText"/>
              <w:spacing w:after="0"/>
              <w:rPr>
                <w:rFonts w:ascii="Arial Narrow" w:hAnsi="Arial Narrow"/>
              </w:rPr>
            </w:pPr>
            <w:r w:rsidRPr="00963C23">
              <w:rPr>
                <w:rFonts w:ascii="Arial Narrow" w:hAnsi="Arial Narrow"/>
              </w:rPr>
              <w:t xml:space="preserve">Number </w:t>
            </w:r>
          </w:p>
        </w:tc>
      </w:tr>
      <w:tr w14:paraId="69724C98" w14:textId="77777777" w:rsidTr="52769551">
        <w:tblPrEx>
          <w:tblW w:w="4881" w:type="pct"/>
          <w:tblLook w:val="04A0"/>
        </w:tblPrEx>
        <w:tc>
          <w:tcPr>
            <w:tcW w:w="4237" w:type="pct"/>
          </w:tcPr>
          <w:p w:rsidR="00D9369C" w:rsidRPr="00963C23" w:rsidP="00963C23" w14:paraId="740B2E10" w14:textId="77777777">
            <w:pPr>
              <w:pStyle w:val="BodyText"/>
              <w:spacing w:after="0"/>
              <w:rPr>
                <w:rFonts w:ascii="Arial Narrow" w:hAnsi="Arial Narrow"/>
              </w:rPr>
            </w:pPr>
            <w:r w:rsidRPr="00963C23">
              <w:rPr>
                <w:rFonts w:ascii="Arial Narrow" w:hAnsi="Arial Narrow"/>
              </w:rPr>
              <w:t xml:space="preserve">Any modeling of </w:t>
            </w:r>
            <w:r w:rsidRPr="00963C23">
              <w:rPr>
                <w:rFonts w:ascii="Arial Narrow" w:hAnsi="Arial Narrow"/>
                <w:i/>
                <w:iCs/>
              </w:rPr>
              <w:t>planning</w:t>
            </w:r>
            <w:r w:rsidRPr="00963C23">
              <w:rPr>
                <w:rFonts w:ascii="Arial Narrow" w:hAnsi="Arial Narrow"/>
              </w:rPr>
              <w:t xml:space="preserve"> </w:t>
            </w:r>
            <w:r w:rsidRPr="00963C23">
              <w:rPr>
                <w:rFonts w:ascii="Arial Narrow" w:hAnsi="Arial Narrow"/>
              </w:rPr>
              <w:t>strategies.</w:t>
            </w:r>
            <w:r w:rsidRPr="00963C23">
              <w:rPr>
                <w:rFonts w:ascii="Arial Narrow" w:hAnsi="Arial Narrow"/>
                <w:vertAlign w:val="superscript"/>
              </w:rPr>
              <w:t>a</w:t>
            </w:r>
          </w:p>
        </w:tc>
        <w:tc>
          <w:tcPr>
            <w:tcW w:w="763" w:type="pct"/>
          </w:tcPr>
          <w:p w:rsidR="00D9369C" w:rsidRPr="00963C23" w:rsidP="00963C23" w14:paraId="6BF32228" w14:textId="77777777">
            <w:pPr>
              <w:pStyle w:val="BodyText"/>
              <w:spacing w:after="0"/>
              <w:rPr>
                <w:rFonts w:ascii="Arial Narrow" w:hAnsi="Arial Narrow"/>
              </w:rPr>
            </w:pPr>
            <w:r w:rsidRPr="00963C23">
              <w:rPr>
                <w:rFonts w:ascii="Arial Narrow" w:hAnsi="Arial Narrow"/>
              </w:rPr>
              <w:t>Yes/No</w:t>
            </w:r>
          </w:p>
        </w:tc>
      </w:tr>
      <w:tr w14:paraId="05AB8052" w14:textId="77777777" w:rsidTr="52769551">
        <w:tblPrEx>
          <w:tblW w:w="4881" w:type="pct"/>
          <w:tblLook w:val="04A0"/>
        </w:tblPrEx>
        <w:tc>
          <w:tcPr>
            <w:tcW w:w="4237" w:type="pct"/>
          </w:tcPr>
          <w:p w:rsidR="00D9369C" w:rsidRPr="00963C23" w:rsidP="00963C23" w14:paraId="60F14AFE" w14:textId="77777777">
            <w:pPr>
              <w:pStyle w:val="BodyText"/>
              <w:spacing w:after="0"/>
              <w:rPr>
                <w:rFonts w:ascii="Arial Narrow" w:hAnsi="Arial Narrow"/>
              </w:rPr>
            </w:pPr>
            <w:r w:rsidRPr="00963C23">
              <w:rPr>
                <w:rFonts w:ascii="Arial Narrow" w:hAnsi="Arial Narrow"/>
              </w:rPr>
              <w:t xml:space="preserve">Any opportunities for students to practice </w:t>
            </w:r>
            <w:r w:rsidRPr="00963C23">
              <w:rPr>
                <w:rFonts w:ascii="Arial Narrow" w:hAnsi="Arial Narrow"/>
                <w:i/>
                <w:iCs/>
              </w:rPr>
              <w:t xml:space="preserve">planning </w:t>
            </w:r>
            <w:r w:rsidRPr="00963C23">
              <w:rPr>
                <w:rFonts w:ascii="Arial Narrow" w:hAnsi="Arial Narrow"/>
              </w:rPr>
              <w:t xml:space="preserve">strategies in their own </w:t>
            </w:r>
            <w:r w:rsidRPr="00963C23">
              <w:rPr>
                <w:rFonts w:ascii="Arial Narrow" w:hAnsi="Arial Narrow"/>
              </w:rPr>
              <w:t>writing.</w:t>
            </w:r>
            <w:r w:rsidRPr="00963C23">
              <w:rPr>
                <w:rFonts w:ascii="Arial Narrow" w:hAnsi="Arial Narrow"/>
                <w:vertAlign w:val="superscript"/>
              </w:rPr>
              <w:t>a</w:t>
            </w:r>
          </w:p>
        </w:tc>
        <w:tc>
          <w:tcPr>
            <w:tcW w:w="763" w:type="pct"/>
          </w:tcPr>
          <w:p w:rsidR="00D9369C" w:rsidRPr="00963C23" w:rsidP="00963C23" w14:paraId="23D6E212" w14:textId="77777777">
            <w:pPr>
              <w:pStyle w:val="BodyText"/>
              <w:spacing w:after="0"/>
              <w:rPr>
                <w:rFonts w:ascii="Arial Narrow" w:hAnsi="Arial Narrow"/>
              </w:rPr>
            </w:pPr>
            <w:r w:rsidRPr="00963C23">
              <w:rPr>
                <w:rFonts w:ascii="Arial Narrow" w:hAnsi="Arial Narrow"/>
              </w:rPr>
              <w:t>Yes/No</w:t>
            </w:r>
          </w:p>
        </w:tc>
      </w:tr>
      <w:tr w14:paraId="2F071C7E" w14:textId="77777777" w:rsidTr="52769551">
        <w:tblPrEx>
          <w:tblW w:w="4881" w:type="pct"/>
          <w:tblLook w:val="04A0"/>
        </w:tblPrEx>
        <w:tc>
          <w:tcPr>
            <w:tcW w:w="4237" w:type="pct"/>
          </w:tcPr>
          <w:p w:rsidR="00D9369C" w:rsidRPr="00963C23" w:rsidP="00963C23" w14:paraId="1F666A9C" w14:textId="77777777">
            <w:pPr>
              <w:pStyle w:val="BodyText"/>
              <w:spacing w:after="0"/>
              <w:rPr>
                <w:rFonts w:ascii="Arial Narrow" w:hAnsi="Arial Narrow"/>
              </w:rPr>
            </w:pPr>
            <w:r w:rsidRPr="00963C23">
              <w:rPr>
                <w:rFonts w:ascii="Arial Narrow" w:hAnsi="Arial Narrow"/>
              </w:rPr>
              <w:t xml:space="preserve">Any opportunities for students to evaluate or reflect on their use of </w:t>
            </w:r>
            <w:r w:rsidRPr="00963C23">
              <w:rPr>
                <w:rFonts w:ascii="Arial Narrow" w:hAnsi="Arial Narrow"/>
                <w:i/>
                <w:iCs/>
              </w:rPr>
              <w:t xml:space="preserve">planning </w:t>
            </w:r>
            <w:r w:rsidRPr="00963C23">
              <w:rPr>
                <w:rFonts w:ascii="Arial Narrow" w:hAnsi="Arial Narrow"/>
              </w:rPr>
              <w:t xml:space="preserve">strategies in their own or their peers’ </w:t>
            </w:r>
            <w:r w:rsidRPr="00963C23">
              <w:rPr>
                <w:rFonts w:ascii="Arial Narrow" w:hAnsi="Arial Narrow"/>
              </w:rPr>
              <w:t>writing.</w:t>
            </w:r>
            <w:r w:rsidRPr="00963C23">
              <w:rPr>
                <w:rFonts w:ascii="Arial Narrow" w:hAnsi="Arial Narrow"/>
                <w:vertAlign w:val="superscript"/>
              </w:rPr>
              <w:t>a</w:t>
            </w:r>
            <w:r w:rsidRPr="00963C23">
              <w:rPr>
                <w:rFonts w:ascii="Arial Narrow" w:hAnsi="Arial Narrow"/>
                <w:vertAlign w:val="superscript"/>
              </w:rPr>
              <w:t xml:space="preserve"> </w:t>
            </w:r>
          </w:p>
        </w:tc>
        <w:tc>
          <w:tcPr>
            <w:tcW w:w="763" w:type="pct"/>
          </w:tcPr>
          <w:p w:rsidR="00D9369C" w:rsidRPr="00963C23" w:rsidP="00963C23" w14:paraId="3714AB94" w14:textId="77777777">
            <w:pPr>
              <w:pStyle w:val="BodyText"/>
              <w:spacing w:after="0"/>
              <w:rPr>
                <w:rFonts w:ascii="Arial Narrow" w:hAnsi="Arial Narrow"/>
              </w:rPr>
            </w:pPr>
            <w:r w:rsidRPr="00963C23">
              <w:rPr>
                <w:rFonts w:ascii="Arial Narrow" w:hAnsi="Arial Narrow"/>
              </w:rPr>
              <w:t>Yes/No</w:t>
            </w:r>
          </w:p>
        </w:tc>
      </w:tr>
      <w:tr w14:paraId="2FFCC941" w14:textId="77777777" w:rsidTr="52769551">
        <w:tblPrEx>
          <w:tblW w:w="4881" w:type="pct"/>
          <w:tblLook w:val="04A0"/>
        </w:tblPrEx>
        <w:tc>
          <w:tcPr>
            <w:tcW w:w="4237" w:type="pct"/>
          </w:tcPr>
          <w:p w:rsidR="00D9369C" w:rsidRPr="00963C23" w:rsidP="00963C23" w14:paraId="3EDCCB71" w14:textId="77777777">
            <w:pPr>
              <w:pStyle w:val="BodyText"/>
              <w:spacing w:after="0"/>
              <w:rPr>
                <w:rFonts w:ascii="Arial Narrow" w:hAnsi="Arial Narrow"/>
              </w:rPr>
            </w:pPr>
            <w:r w:rsidRPr="00963C23">
              <w:rPr>
                <w:rFonts w:ascii="Arial Narrow" w:hAnsi="Arial Narrow"/>
              </w:rPr>
              <w:t xml:space="preserve">Any instruction that follows the full writing process (teach, model, practice, and reflect) within each of the six components of writing. </w:t>
            </w:r>
          </w:p>
        </w:tc>
        <w:tc>
          <w:tcPr>
            <w:tcW w:w="763" w:type="pct"/>
          </w:tcPr>
          <w:p w:rsidR="00D9369C" w:rsidRPr="00963C23" w:rsidP="00963C23" w14:paraId="37757456" w14:textId="77777777">
            <w:pPr>
              <w:pStyle w:val="BodyText"/>
              <w:spacing w:after="0"/>
              <w:rPr>
                <w:rFonts w:ascii="Arial Narrow" w:hAnsi="Arial Narrow"/>
              </w:rPr>
            </w:pPr>
            <w:r w:rsidRPr="00963C23">
              <w:rPr>
                <w:rFonts w:ascii="Arial Narrow" w:hAnsi="Arial Narrow"/>
              </w:rPr>
              <w:t>Yes/No</w:t>
            </w:r>
          </w:p>
        </w:tc>
      </w:tr>
      <w:tr w14:paraId="11C13E22" w14:textId="77777777" w:rsidTr="52769551">
        <w:tblPrEx>
          <w:tblW w:w="4881" w:type="pct"/>
          <w:tblLook w:val="04A0"/>
        </w:tblPrEx>
        <w:tc>
          <w:tcPr>
            <w:tcW w:w="5000" w:type="pct"/>
            <w:gridSpan w:val="2"/>
          </w:tcPr>
          <w:p w:rsidR="00D9369C" w:rsidRPr="00963C23" w:rsidP="00963C23" w14:paraId="0FC19D6E" w14:textId="77777777">
            <w:pPr>
              <w:pStyle w:val="BodyText"/>
              <w:spacing w:after="0"/>
              <w:rPr>
                <w:rFonts w:ascii="Arial Narrow" w:hAnsi="Arial Narrow"/>
              </w:rPr>
            </w:pPr>
            <w:r w:rsidRPr="00963C23">
              <w:rPr>
                <w:rFonts w:ascii="Arial Narrow" w:hAnsi="Arial Narrow"/>
                <w:vertAlign w:val="superscript"/>
              </w:rPr>
              <w:t>a</w:t>
            </w:r>
            <w:r w:rsidRPr="00963C23">
              <w:rPr>
                <w:rFonts w:ascii="Arial Narrow" w:hAnsi="Arial Narrow"/>
                <w:vertAlign w:val="superscript"/>
              </w:rPr>
              <w:t xml:space="preserve"> </w:t>
            </w:r>
            <w:r w:rsidRPr="00963C23">
              <w:rPr>
                <w:rFonts w:ascii="Arial Narrow" w:hAnsi="Arial Narrow"/>
              </w:rPr>
              <w:t xml:space="preserve">These five outcomes are repeated for the other five components of the writing process: </w:t>
            </w:r>
            <w:r w:rsidRPr="00963C23">
              <w:rPr>
                <w:rFonts w:ascii="Arial Narrow" w:hAnsi="Arial Narrow"/>
                <w:i/>
                <w:iCs/>
              </w:rPr>
              <w:t>goal setting</w:t>
            </w:r>
            <w:r w:rsidRPr="00963C23">
              <w:rPr>
                <w:rFonts w:ascii="Arial Narrow" w:hAnsi="Arial Narrow"/>
              </w:rPr>
              <w:t xml:space="preserve">, </w:t>
            </w:r>
            <w:r w:rsidRPr="00963C23">
              <w:rPr>
                <w:rFonts w:ascii="Arial Narrow" w:hAnsi="Arial Narrow"/>
                <w:i/>
                <w:iCs/>
              </w:rPr>
              <w:t>drafting</w:t>
            </w:r>
            <w:r w:rsidRPr="00963C23">
              <w:rPr>
                <w:rFonts w:ascii="Arial Narrow" w:hAnsi="Arial Narrow"/>
              </w:rPr>
              <w:t xml:space="preserve">, </w:t>
            </w:r>
            <w:r w:rsidRPr="00963C23">
              <w:rPr>
                <w:rFonts w:ascii="Arial Narrow" w:hAnsi="Arial Narrow"/>
                <w:i/>
                <w:iCs/>
              </w:rPr>
              <w:t xml:space="preserve">evaluating, revising, </w:t>
            </w:r>
            <w:r w:rsidRPr="00963C23">
              <w:rPr>
                <w:rFonts w:ascii="Arial Narrow" w:hAnsi="Arial Narrow"/>
              </w:rPr>
              <w:t>and</w:t>
            </w:r>
            <w:r w:rsidRPr="00963C23">
              <w:rPr>
                <w:rFonts w:ascii="Arial Narrow" w:hAnsi="Arial Narrow"/>
                <w:i/>
                <w:iCs/>
              </w:rPr>
              <w:t xml:space="preserve"> editing</w:t>
            </w:r>
            <w:r w:rsidRPr="00963C23">
              <w:rPr>
                <w:rFonts w:ascii="Arial Narrow" w:hAnsi="Arial Narrow"/>
              </w:rPr>
              <w:t>.</w:t>
            </w:r>
          </w:p>
        </w:tc>
      </w:tr>
    </w:tbl>
    <w:p w:rsidR="00D9369C" w:rsidP="00FE0135" w14:paraId="3D796888" w14:textId="77777777">
      <w:pPr>
        <w:pStyle w:val="BodyText"/>
        <w:spacing w:after="0"/>
        <w:rPr>
          <w:b/>
          <w:i/>
        </w:rPr>
      </w:pPr>
    </w:p>
    <w:p w:rsidR="00BA2DF2" w:rsidRPr="00D9369C" w:rsidP="00BA2DF2" w14:paraId="2BADA606" w14:textId="1128CB96">
      <w:pPr>
        <w:pStyle w:val="BodyText"/>
      </w:pPr>
      <w:r>
        <w:t xml:space="preserve">These outcomes will be </w:t>
      </w:r>
      <w:r w:rsidRPr="00D9369C">
        <w:t>analyze</w:t>
      </w:r>
      <w:r>
        <w:t>d</w:t>
      </w:r>
      <w:r w:rsidRPr="00D9369C">
        <w:t xml:space="preserve"> separately using generalized mixed models, where the dependent variable is </w:t>
      </w:r>
      <w:r>
        <w:t>“</w:t>
      </w:r>
      <w:r w:rsidRPr="00D9369C">
        <w:t>transformed</w:t>
      </w:r>
      <w:r>
        <w:t>”</w:t>
      </w:r>
      <w:r w:rsidRPr="00D9369C">
        <w:t xml:space="preserve"> into a linear metric</w:t>
      </w:r>
      <w:r>
        <w:t xml:space="preserve"> during estimation</w:t>
      </w:r>
      <w:r w:rsidRPr="00D9369C">
        <w:t>. For example, totals</w:t>
      </w:r>
      <w:r>
        <w:t>, numbers, and counts</w:t>
      </w:r>
      <w:r w:rsidRPr="00D9369C">
        <w:t xml:space="preserve"> will be analyzed using a Poisson distribution with a log-link function</w:t>
      </w:r>
      <w:r>
        <w:t xml:space="preserve"> (as negative and non-integer values are not possible)</w:t>
      </w:r>
      <w:r w:rsidR="00085E54">
        <w:t>,</w:t>
      </w:r>
      <w:r>
        <w:t xml:space="preserve"> and</w:t>
      </w:r>
      <w:r w:rsidRPr="00D9369C">
        <w:t xml:space="preserve"> dichotomous indicators w</w:t>
      </w:r>
      <w:r>
        <w:t xml:space="preserve">ill </w:t>
      </w:r>
      <w:r w:rsidRPr="00D9369C">
        <w:t xml:space="preserve">be analyzed using a binomial distribution with a logistic function. The model </w:t>
      </w:r>
      <w:r w:rsidR="00A43CBF">
        <w:t xml:space="preserve">will </w:t>
      </w:r>
      <w:r>
        <w:t>be a mixed generalized linear model</w:t>
      </w:r>
      <w:r w:rsidRPr="00D9369C">
        <w:t xml:space="preserve">, </w:t>
      </w:r>
      <w:r>
        <w:t>as noted by</w:t>
      </w:r>
      <w:r w:rsidRPr="00D9369C">
        <w:t xml:space="preserve"> the </w:t>
      </w:r>
      <m:oMath>
        <m:r>
          <w:rPr>
            <w:rFonts w:ascii="Cambria Math" w:hAnsi="Cambria Math"/>
          </w:rPr>
          <m:t xml:space="preserve">g(.) </m:t>
        </m:r>
      </m:oMath>
      <w:r w:rsidRPr="00D9369C">
        <w:t xml:space="preserve">link function and the lack of a teacher-level residual. </w:t>
      </w:r>
      <w:r w:rsidRPr="00D9369C">
        <w:rPr>
          <w:lang w:val="en"/>
        </w:rPr>
        <w:t>Th</w:t>
      </w:r>
      <w:r w:rsidR="00EB149E">
        <w:rPr>
          <w:lang w:val="en"/>
        </w:rPr>
        <w:t>e</w:t>
      </w:r>
      <w:r w:rsidRPr="00D9369C">
        <w:rPr>
          <w:lang w:val="en"/>
        </w:rPr>
        <w:t xml:space="preserve"> model for outcome </w:t>
      </w:r>
      <w:r w:rsidRPr="00D9369C">
        <w:rPr>
          <w:i/>
          <w:iCs/>
          <w:lang w:val="en"/>
        </w:rPr>
        <w:t>y</w:t>
      </w:r>
      <w:r w:rsidRPr="00D9369C">
        <w:rPr>
          <w:lang w:val="en"/>
        </w:rPr>
        <w:t xml:space="preserve"> of the </w:t>
      </w:r>
      <m:oMath>
        <m:r>
          <w:rPr>
            <w:rFonts w:ascii="Cambria Math" w:hAnsi="Cambria Math"/>
            <w:lang w:val="en"/>
          </w:rPr>
          <m:t>i</m:t>
        </m:r>
      </m:oMath>
      <w:r w:rsidRPr="00D9369C">
        <w:rPr>
          <w:vertAlign w:val="superscript"/>
          <w:lang w:val="en"/>
        </w:rPr>
        <w:t>th</w:t>
      </w:r>
      <w:r w:rsidRPr="00D9369C">
        <w:rPr>
          <w:lang w:val="en"/>
        </w:rPr>
        <w:t xml:space="preserve"> teacher in school </w:t>
      </w:r>
      <m:oMath>
        <m:r>
          <w:rPr>
            <w:rFonts w:ascii="Cambria Math" w:hAnsi="Cambria Math"/>
            <w:lang w:val="en"/>
          </w:rPr>
          <m:t>j</m:t>
        </m:r>
      </m:oMath>
      <w:r w:rsidRPr="00D9369C">
        <w:rPr>
          <w:lang w:val="en"/>
        </w:rPr>
        <w:t xml:space="preserve"> in generalized mixed notation is</w:t>
      </w:r>
      <w:r>
        <w:rPr>
          <w:lang w:val="en"/>
        </w:rPr>
        <w:t>:</w:t>
      </w:r>
    </w:p>
    <w:p w:rsidR="00BA2DF2" w:rsidRPr="00D9369C" w:rsidP="00BA2DF2" w14:paraId="3FC6F957" w14:textId="77777777">
      <w:pPr>
        <w:pStyle w:val="BodyText"/>
      </w:pPr>
      <m:oMath>
        <m:r>
          <w:rPr>
            <w:rFonts w:ascii="Cambria Math" w:hAnsi="Cambria Math"/>
          </w:rPr>
          <m:t>g</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ij</m:t>
                </m:r>
              </m:sub>
            </m:sSub>
          </m:e>
        </m:d>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T</m:t>
            </m:r>
          </m:e>
          <m:sub>
            <m:r>
              <w:rPr>
                <w:rFonts w:ascii="Cambria Math" w:hAnsi="Cambria Math"/>
              </w:rPr>
              <m:t>j</m:t>
            </m:r>
          </m:sub>
        </m:sSub>
        <m:r>
          <w:rPr>
            <w:rFonts w:ascii="Cambria Math" w:hAnsi="Cambria Math"/>
          </w:rPr>
          <m:t>+</m:t>
        </m:r>
        <m:nary>
          <m:naryPr>
            <m:chr m:val="∑"/>
            <m:supHide/>
            <m:ctrlPr>
              <w:rPr>
                <w:rFonts w:ascii="Cambria Math" w:hAnsi="Cambria Math"/>
                <w:i/>
              </w:rPr>
            </m:ctrlPr>
          </m:naryPr>
          <m:sub>
            <m:r>
              <w:rPr>
                <w:rFonts w:ascii="Cambria Math" w:hAnsi="Cambria Math"/>
              </w:rPr>
              <m:t>c</m:t>
            </m:r>
          </m:sub>
          <m:sup/>
          <m:e>
            <m:sSub>
              <m:sSubPr>
                <m:ctrlPr>
                  <w:rPr>
                    <w:rFonts w:ascii="Cambria Math" w:hAnsi="Cambria Math"/>
                    <w:i/>
                  </w:rPr>
                </m:ctrlPr>
              </m:sSubPr>
              <m:e>
                <m:r>
                  <w:rPr>
                    <w:rFonts w:ascii="Cambria Math" w:hAnsi="Cambria Math"/>
                  </w:rPr>
                  <m:t>λ</m:t>
                </m:r>
              </m:e>
              <m:sub>
                <m:r>
                  <w:rPr>
                    <w:rFonts w:ascii="Cambria Math" w:hAnsi="Cambria Math"/>
                  </w:rPr>
                  <m:t>c</m:t>
                </m:r>
              </m:sub>
            </m:sSub>
            <m:sSub>
              <m:sSubPr>
                <m:ctrlPr>
                  <w:rPr>
                    <w:rFonts w:ascii="Cambria Math" w:hAnsi="Cambria Math"/>
                    <w:i/>
                  </w:rPr>
                </m:ctrlPr>
              </m:sSubPr>
              <m:e>
                <m:r>
                  <w:rPr>
                    <w:rFonts w:ascii="Cambria Math" w:hAnsi="Cambria Math"/>
                  </w:rPr>
                  <m:t>x</m:t>
                </m:r>
              </m:e>
              <m:sub>
                <m:r>
                  <w:rPr>
                    <w:rFonts w:ascii="Cambria Math" w:hAnsi="Cambria Math"/>
                  </w:rPr>
                  <m:t>cij</m:t>
                </m:r>
              </m:sub>
            </m:sSub>
          </m:e>
        </m:nary>
        <m:r>
          <w:rPr>
            <w:rFonts w:ascii="Cambria Math" w:hAnsi="Cambria Math"/>
          </w:rPr>
          <m:t>+</m:t>
        </m:r>
        <m:nary>
          <m:naryPr>
            <m:chr m:val="∑"/>
            <m:supHide/>
            <m:ctrlPr>
              <w:rPr>
                <w:rFonts w:ascii="Cambria Math" w:hAnsi="Cambria Math"/>
                <w:i/>
              </w:rPr>
            </m:ctrlPr>
          </m:naryPr>
          <m:sub>
            <m:r>
              <w:rPr>
                <w:rFonts w:ascii="Cambria Math" w:hAnsi="Cambria Math"/>
              </w:rPr>
              <m:t>c</m:t>
            </m:r>
          </m:sub>
          <m:sup/>
          <m:e>
            <m:sSub>
              <m:sSubPr>
                <m:ctrlPr>
                  <w:rPr>
                    <w:rFonts w:ascii="Cambria Math" w:hAnsi="Cambria Math"/>
                    <w:i/>
                  </w:rPr>
                </m:ctrlPr>
              </m:sSubPr>
              <m:e>
                <m:r>
                  <w:rPr>
                    <w:rFonts w:ascii="Cambria Math" w:hAnsi="Cambria Math"/>
                  </w:rPr>
                  <m:t>γ</m:t>
                </m:r>
              </m:e>
              <m:sub>
                <m:r>
                  <w:rPr>
                    <w:rFonts w:ascii="Cambria Math" w:hAnsi="Cambria Math"/>
                  </w:rPr>
                  <m:t>c</m:t>
                </m:r>
              </m:sub>
            </m:sSub>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c.j</m:t>
                </m:r>
              </m:sub>
            </m:sSub>
          </m:e>
        </m:nary>
        <m:r>
          <w:rPr>
            <w:rFonts w:ascii="Cambria Math" w:hAnsi="Cambria Math"/>
          </w:rPr>
          <m:t>+</m:t>
        </m:r>
        <m:nary>
          <m:naryPr>
            <m:chr m:val="∑"/>
            <m:supHide/>
            <m:ctrlPr>
              <w:rPr>
                <w:rFonts w:ascii="Cambria Math" w:hAnsi="Cambria Math"/>
                <w:i/>
              </w:rPr>
            </m:ctrlPr>
          </m:naryPr>
          <m:sub>
            <m:r>
              <w:rPr>
                <w:rFonts w:ascii="Cambria Math" w:hAnsi="Cambria Math"/>
              </w:rPr>
              <m:t>q</m:t>
            </m:r>
          </m:sub>
          <m:sup/>
          <m:e>
            <m:sSub>
              <m:sSubPr>
                <m:ctrlPr>
                  <w:rPr>
                    <w:rFonts w:ascii="Cambria Math" w:hAnsi="Cambria Math"/>
                    <w:i/>
                  </w:rPr>
                </m:ctrlPr>
              </m:sSubPr>
              <m:e>
                <m:r>
                  <w:rPr>
                    <w:rFonts w:ascii="Cambria Math" w:hAnsi="Cambria Math"/>
                  </w:rPr>
                  <m:t>δ</m:t>
                </m:r>
              </m:e>
              <m:sub>
                <m:r>
                  <w:rPr>
                    <w:rFonts w:ascii="Cambria Math" w:hAnsi="Cambria Math"/>
                  </w:rPr>
                  <m:t>qj</m:t>
                </m:r>
              </m:sub>
            </m:sSub>
          </m:e>
        </m:nary>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j</m:t>
            </m:r>
          </m:sub>
        </m:sSub>
      </m:oMath>
      <w:r>
        <w:t>,</w:t>
      </w:r>
    </w:p>
    <w:p w:rsidR="00BA2DF2" w:rsidRPr="00D9369C" w:rsidP="00BA2DF2" w14:paraId="4F584B2E" w14:textId="15A2E120">
      <w:pPr>
        <w:pStyle w:val="BodyText"/>
      </w:pPr>
      <w:r w:rsidRPr="00D9369C">
        <w:rPr>
          <w:lang w:val="en"/>
        </w:rPr>
        <w:t xml:space="preserve">where </w:t>
      </w:r>
      <m:oMath>
        <m:sSub>
          <m:sSubPr>
            <m:ctrlPr>
              <w:rPr>
                <w:rFonts w:ascii="Cambria Math" w:hAnsi="Cambria Math"/>
                <w:i/>
                <w:lang w:val="en"/>
              </w:rPr>
            </m:ctrlPr>
          </m:sSubPr>
          <m:e>
            <m:r>
              <w:rPr>
                <w:rFonts w:ascii="Cambria Math" w:hAnsi="Cambria Math"/>
                <w:lang w:val="en"/>
              </w:rPr>
              <m:t>β</m:t>
            </m:r>
          </m:e>
          <m:sub>
            <m:r>
              <w:rPr>
                <w:rFonts w:ascii="Cambria Math" w:hAnsi="Cambria Math"/>
                <w:lang w:val="en"/>
              </w:rPr>
              <m:t>1</m:t>
            </m:r>
          </m:sub>
        </m:sSub>
      </m:oMath>
      <w:r w:rsidRPr="00D9369C">
        <w:rPr>
          <w:lang w:val="en"/>
        </w:rPr>
        <w:t xml:space="preserve"> is</w:t>
      </w:r>
      <w:r w:rsidRPr="00D9369C">
        <w:rPr>
          <w:lang w:val="en"/>
        </w:rPr>
        <w:t xml:space="preserve"> </w:t>
      </w:r>
      <w:r>
        <w:rPr>
          <w:lang w:val="en"/>
        </w:rPr>
        <w:t xml:space="preserve">the </w:t>
      </w:r>
      <w:r w:rsidRPr="00D9369C">
        <w:rPr>
          <w:lang w:val="en"/>
        </w:rPr>
        <w:t xml:space="preserve">estimated impact of the </w:t>
      </w:r>
      <w:r>
        <w:rPr>
          <w:lang w:val="en"/>
        </w:rPr>
        <w:t xml:space="preserve">treatment assignment, </w:t>
      </w:r>
      <m:oMath>
        <m:sSub>
          <m:sSubPr>
            <m:ctrlPr>
              <w:rPr>
                <w:rFonts w:ascii="Cambria Math" w:hAnsi="Cambria Math"/>
                <w:i/>
                <w:lang w:val="en"/>
              </w:rPr>
            </m:ctrlPr>
          </m:sSubPr>
          <m:e>
            <m:r>
              <w:rPr>
                <w:rFonts w:ascii="Cambria Math" w:hAnsi="Cambria Math"/>
                <w:lang w:val="en"/>
              </w:rPr>
              <m:t>T</m:t>
            </m:r>
          </m:e>
          <m:sub>
            <m:r>
              <w:rPr>
                <w:rFonts w:ascii="Cambria Math" w:hAnsi="Cambria Math"/>
                <w:lang w:val="en"/>
              </w:rPr>
              <m:t>j</m:t>
            </m:r>
          </m:sub>
        </m:sSub>
      </m:oMath>
      <w:r>
        <w:rPr>
          <w:lang w:val="en"/>
        </w:rPr>
        <w:t xml:space="preserve"> (coded 1 for treatment assignment and 0 for </w:t>
      </w:r>
      <w:r w:rsidR="00B640F8">
        <w:rPr>
          <w:lang w:val="en"/>
        </w:rPr>
        <w:t>comparison</w:t>
      </w:r>
      <w:r>
        <w:rPr>
          <w:lang w:val="en"/>
        </w:rPr>
        <w:t xml:space="preserve">). Depending on the link function, the natural exponent </w:t>
      </w:r>
      <w:r w:rsidR="00673B69">
        <w:rPr>
          <w:lang w:val="en"/>
        </w:rPr>
        <w:t>(exp)</w:t>
      </w:r>
      <w:r>
        <w:rPr>
          <w:lang w:val="en"/>
        </w:rPr>
        <w:t xml:space="preserve"> of this regression slope will have different interpretations. For Poisson models of totals, numbers, and counts, </w:t>
      </w:r>
      <m:oMath>
        <m:r>
          <m:rPr>
            <m:sty m:val="p"/>
          </m:rPr>
          <w:rPr>
            <w:rFonts w:ascii="Cambria Math" w:hAnsi="Cambria Math"/>
            <w:lang w:val="en"/>
          </w:rPr>
          <m:t>exp⁡</m:t>
        </m:r>
        <m:r>
          <w:rPr>
            <w:rFonts w:ascii="Cambria Math" w:hAnsi="Cambria Math"/>
            <w:lang w:val="en"/>
          </w:rPr>
          <m:t>(</m:t>
        </m:r>
        <m:sSub>
          <m:sSubPr>
            <m:ctrlPr>
              <w:rPr>
                <w:rFonts w:ascii="Cambria Math" w:hAnsi="Cambria Math"/>
                <w:i/>
                <w:lang w:val="en"/>
              </w:rPr>
            </m:ctrlPr>
          </m:sSubPr>
          <m:e>
            <m:r>
              <w:rPr>
                <w:rFonts w:ascii="Cambria Math" w:hAnsi="Cambria Math"/>
                <w:lang w:val="en"/>
              </w:rPr>
              <m:t>β</m:t>
            </m:r>
          </m:e>
          <m:sub>
            <m:r>
              <w:rPr>
                <w:rFonts w:ascii="Cambria Math" w:hAnsi="Cambria Math"/>
                <w:lang w:val="en"/>
              </w:rPr>
              <m:t>1</m:t>
            </m:r>
          </m:sub>
        </m:sSub>
        <m:r>
          <w:rPr>
            <w:rFonts w:ascii="Cambria Math" w:hAnsi="Cambria Math"/>
            <w:lang w:val="en"/>
          </w:rPr>
          <m:t>)</m:t>
        </m:r>
      </m:oMath>
      <w:r>
        <w:rPr>
          <w:lang w:val="en"/>
        </w:rPr>
        <w:t xml:space="preserve"> will be the ratio of the average value of treatment teachers to </w:t>
      </w:r>
      <w:r w:rsidR="00B640F8">
        <w:rPr>
          <w:lang w:val="en"/>
        </w:rPr>
        <w:t>comparison</w:t>
      </w:r>
      <w:r>
        <w:rPr>
          <w:lang w:val="en"/>
        </w:rPr>
        <w:t xml:space="preserve"> teachers. </w:t>
      </w:r>
      <w:r w:rsidR="00EB149E">
        <w:rPr>
          <w:lang w:val="en"/>
        </w:rPr>
        <w:t xml:space="preserve">For dichotomous outcomes, </w:t>
      </w:r>
      <m:oMath>
        <m:func>
          <m:funcPr>
            <m:ctrlPr>
              <w:rPr>
                <w:rFonts w:ascii="Cambria Math" w:hAnsi="Cambria Math"/>
                <w:i/>
                <w:lang w:val="en"/>
              </w:rPr>
            </m:ctrlPr>
          </m:funcPr>
          <m:fName>
            <m:r>
              <m:rPr>
                <m:sty m:val="p"/>
              </m:rPr>
              <w:rPr>
                <w:rFonts w:ascii="Cambria Math" w:hAnsi="Cambria Math"/>
                <w:lang w:val="en"/>
              </w:rPr>
              <m:t>exp</m:t>
            </m:r>
          </m:fName>
          <m:e>
            <m:d>
              <m:dPr>
                <m:ctrlPr>
                  <w:rPr>
                    <w:rFonts w:ascii="Cambria Math" w:hAnsi="Cambria Math"/>
                    <w:i/>
                    <w:lang w:val="en"/>
                  </w:rPr>
                </m:ctrlPr>
              </m:dPr>
              <m:e>
                <m:sSub>
                  <m:sSubPr>
                    <m:ctrlPr>
                      <w:rPr>
                        <w:rFonts w:ascii="Cambria Math" w:hAnsi="Cambria Math"/>
                        <w:i/>
                        <w:lang w:val="en"/>
                      </w:rPr>
                    </m:ctrlPr>
                  </m:sSubPr>
                  <m:e>
                    <m:r>
                      <w:rPr>
                        <w:rFonts w:ascii="Cambria Math" w:hAnsi="Cambria Math"/>
                        <w:lang w:val="en"/>
                      </w:rPr>
                      <m:t>β</m:t>
                    </m:r>
                  </m:e>
                  <m:sub>
                    <m:r>
                      <w:rPr>
                        <w:rFonts w:ascii="Cambria Math" w:hAnsi="Cambria Math"/>
                        <w:lang w:val="en"/>
                      </w:rPr>
                      <m:t>1</m:t>
                    </m:r>
                  </m:sub>
                </m:sSub>
              </m:e>
            </m:d>
          </m:e>
        </m:func>
      </m:oMath>
      <w:r w:rsidR="00EB149E">
        <w:rPr>
          <w:lang w:val="en"/>
        </w:rPr>
        <w:t xml:space="preserve"> will represent the odds ratio of the outcome for treatment teachers relative to </w:t>
      </w:r>
      <w:r w:rsidR="00B640F8">
        <w:rPr>
          <w:lang w:val="en"/>
        </w:rPr>
        <w:t>comparison</w:t>
      </w:r>
      <w:r w:rsidR="00EB149E">
        <w:rPr>
          <w:lang w:val="en"/>
        </w:rPr>
        <w:t xml:space="preserve"> teachers. </w:t>
      </w:r>
      <w:r>
        <w:rPr>
          <w:lang w:val="en"/>
        </w:rPr>
        <w:t xml:space="preserve">Other terms in this model include </w:t>
      </w:r>
      <w:r w:rsidRPr="00D9369C">
        <w:rPr>
          <w:lang w:val="en"/>
        </w:rPr>
        <w:t xml:space="preserve"> </w:t>
      </w:r>
      <m:oMath>
        <m:sSub>
          <m:sSubPr>
            <m:ctrlPr>
              <w:rPr>
                <w:rFonts w:ascii="Cambria Math" w:hAnsi="Cambria Math"/>
                <w:i/>
                <w:lang w:val="en"/>
              </w:rPr>
            </m:ctrlPr>
          </m:sSubPr>
          <m:e>
            <m:r>
              <w:rPr>
                <w:rFonts w:ascii="Cambria Math" w:hAnsi="Cambria Math"/>
                <w:lang w:val="en"/>
              </w:rPr>
              <m:t>λ</m:t>
            </m:r>
          </m:e>
          <m:sub>
            <m:r>
              <w:rPr>
                <w:rFonts w:ascii="Cambria Math" w:hAnsi="Cambria Math"/>
                <w:lang w:val="en"/>
              </w:rPr>
              <m:t>c</m:t>
            </m:r>
          </m:sub>
        </m:sSub>
      </m:oMath>
      <w:r w:rsidR="00DF0D85">
        <w:rPr>
          <w:lang w:val="en"/>
        </w:rPr>
        <w:t>,</w:t>
      </w:r>
      <w:r>
        <w:rPr>
          <w:lang w:val="en"/>
        </w:rPr>
        <w:t xml:space="preserve"> which </w:t>
      </w:r>
      <w:r w:rsidRPr="00D9369C">
        <w:rPr>
          <w:lang w:val="en"/>
        </w:rPr>
        <w:t>are</w:t>
      </w:r>
      <w:r>
        <w:rPr>
          <w:lang w:val="en"/>
        </w:rPr>
        <w:t xml:space="preserve"> </w:t>
      </w:r>
      <w:r w:rsidRPr="00D9369C">
        <w:rPr>
          <w:lang w:val="en"/>
        </w:rPr>
        <w:t>associations of teacher covariates (such as the baseline measure, gender, race/ethnicity, years of teaching experience, and educational credentials)</w:t>
      </w:r>
      <w:r>
        <w:rPr>
          <w:lang w:val="en"/>
        </w:rPr>
        <w:t xml:space="preserve">, noted as </w:t>
      </w:r>
      <m:oMath>
        <m:sSub>
          <m:sSubPr>
            <m:ctrlPr>
              <w:rPr>
                <w:rFonts w:ascii="Cambria Math" w:hAnsi="Cambria Math"/>
                <w:i/>
              </w:rPr>
            </m:ctrlPr>
          </m:sSubPr>
          <m:e>
            <m:r>
              <w:rPr>
                <w:rFonts w:ascii="Cambria Math" w:hAnsi="Cambria Math"/>
              </w:rPr>
              <m:t>x</m:t>
            </m:r>
          </m:e>
          <m:sub>
            <m:r>
              <w:rPr>
                <w:rFonts w:ascii="Cambria Math" w:hAnsi="Cambria Math"/>
              </w:rPr>
              <m:t>cij</m:t>
            </m:r>
          </m:sub>
        </m:sSub>
        <m:r>
          <w:rPr>
            <w:rFonts w:ascii="Cambria Math" w:hAnsi="Cambria Math"/>
          </w:rPr>
          <m:t>;</m:t>
        </m:r>
      </m:oMath>
      <w:r w:rsidRPr="00D9369C">
        <w:rPr>
          <w:lang w:val="en"/>
        </w:rPr>
        <w:t xml:space="preserve"> </w:t>
      </w:r>
      <m:oMath>
        <m:sSub>
          <m:sSubPr>
            <m:ctrlPr>
              <w:rPr>
                <w:rFonts w:ascii="Cambria Math" w:hAnsi="Cambria Math"/>
                <w:i/>
                <w:lang w:val="en"/>
              </w:rPr>
            </m:ctrlPr>
          </m:sSubPr>
          <m:e>
            <m:r>
              <w:rPr>
                <w:rFonts w:ascii="Cambria Math" w:hAnsi="Cambria Math"/>
                <w:lang w:val="en"/>
              </w:rPr>
              <m:t>γ</m:t>
            </m:r>
          </m:e>
          <m:sub>
            <m:r>
              <w:rPr>
                <w:rFonts w:ascii="Cambria Math" w:hAnsi="Cambria Math"/>
                <w:lang w:val="en"/>
              </w:rPr>
              <m:t>c</m:t>
            </m:r>
          </m:sub>
        </m:sSub>
      </m:oMath>
      <w:r w:rsidRPr="00CA6EE0">
        <w:rPr>
          <w:lang w:val="en"/>
        </w:rPr>
        <w:t xml:space="preserve"> are associations of school means</w:t>
      </w:r>
      <w:r>
        <w:rPr>
          <w:lang w:val="en"/>
        </w:rPr>
        <w:t xml:space="preserve"> of demographic </w:t>
      </w:r>
      <w:r w:rsidRPr="00CA6EE0">
        <w:rPr>
          <w:lang w:val="en"/>
        </w:rPr>
        <w:t>covariates</w:t>
      </w:r>
      <w:r>
        <w:rPr>
          <w:lang w:val="en"/>
        </w:rPr>
        <w:t xml:space="preserve"> (proportion </w:t>
      </w:r>
      <w:r w:rsidR="00942044">
        <w:rPr>
          <w:lang w:val="en"/>
        </w:rPr>
        <w:t xml:space="preserve">of </w:t>
      </w:r>
      <w:r>
        <w:rPr>
          <w:lang w:val="en"/>
        </w:rPr>
        <w:t xml:space="preserve">students eligible for free or reduced price lunch and proportion of students who are members of minority groups) and school-specific averages of the SBA Writing scores from the previous year, noted collectively as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c.j</m:t>
            </m:r>
          </m:sub>
        </m:sSub>
      </m:oMath>
      <w:r w:rsidRPr="00D9369C">
        <w:rPr>
          <w:lang w:val="en"/>
        </w:rPr>
        <w:t xml:space="preserve">; </w:t>
      </w:r>
      <m:oMath>
        <m:nary>
          <m:naryPr>
            <m:chr m:val="∑"/>
            <m:supHide/>
            <m:ctrlPr>
              <w:rPr>
                <w:rFonts w:ascii="Cambria Math" w:hAnsi="Cambria Math"/>
                <w:i/>
                <w:lang w:val="en"/>
              </w:rPr>
            </m:ctrlPr>
          </m:naryPr>
          <m:sub>
            <m:r>
              <w:rPr>
                <w:rFonts w:ascii="Cambria Math" w:hAnsi="Cambria Math"/>
                <w:lang w:val="en"/>
              </w:rPr>
              <m:t>q</m:t>
            </m:r>
          </m:sub>
          <m:sup/>
          <m:e>
            <m:sSub>
              <m:sSubPr>
                <m:ctrlPr>
                  <w:rPr>
                    <w:rFonts w:ascii="Cambria Math" w:hAnsi="Cambria Math"/>
                    <w:i/>
                    <w:lang w:val="en"/>
                  </w:rPr>
                </m:ctrlPr>
              </m:sSubPr>
              <m:e>
                <m:r>
                  <w:rPr>
                    <w:rFonts w:ascii="Cambria Math" w:hAnsi="Cambria Math"/>
                    <w:lang w:val="en"/>
                  </w:rPr>
                  <m:t>δ</m:t>
                </m:r>
              </m:e>
              <m:sub>
                <m:r>
                  <w:rPr>
                    <w:rFonts w:ascii="Cambria Math" w:hAnsi="Cambria Math"/>
                    <w:lang w:val="en"/>
                  </w:rPr>
                  <m:t>qj</m:t>
                </m:r>
              </m:sub>
            </m:sSub>
          </m:e>
        </m:nary>
      </m:oMath>
      <w:r w:rsidRPr="00D9369C">
        <w:rPr>
          <w:lang w:val="en"/>
        </w:rPr>
        <w:t xml:space="preserve"> are the </w:t>
      </w:r>
      <w:r>
        <w:rPr>
          <w:lang w:val="en"/>
        </w:rPr>
        <w:t xml:space="preserve">randomization </w:t>
      </w:r>
      <w:r w:rsidRPr="00D9369C">
        <w:rPr>
          <w:lang w:val="en"/>
        </w:rPr>
        <w:t xml:space="preserve">block fixed effects; and </w:t>
      </w:r>
      <m:oMath>
        <m:sSub>
          <m:sSubPr>
            <m:ctrlPr>
              <w:rPr>
                <w:rFonts w:ascii="Cambria Math" w:hAnsi="Cambria Math"/>
                <w:i/>
                <w:lang w:val="en"/>
              </w:rPr>
            </m:ctrlPr>
          </m:sSubPr>
          <m:e>
            <m:r>
              <w:rPr>
                <w:rFonts w:ascii="Cambria Math" w:hAnsi="Cambria Math"/>
                <w:lang w:val="en"/>
              </w:rPr>
              <m:t>r</m:t>
            </m:r>
          </m:e>
          <m:sub>
            <m:r>
              <w:rPr>
                <w:rFonts w:ascii="Cambria Math" w:hAnsi="Cambria Math"/>
                <w:lang w:val="en"/>
              </w:rPr>
              <m:t>j</m:t>
            </m:r>
          </m:sub>
        </m:sSub>
      </m:oMath>
      <w:r w:rsidRPr="00D9369C">
        <w:rPr>
          <w:lang w:val="en"/>
        </w:rPr>
        <w:t xml:space="preserve"> is the random effect at the school level.</w:t>
      </w:r>
      <w:r>
        <w:rPr>
          <w:lang w:val="en"/>
        </w:rPr>
        <w:t xml:space="preserve"> Note that generalized outcomes do not produce residual variation, so this model omits a teacher-level residual. </w:t>
      </w:r>
    </w:p>
    <w:p w:rsidR="00620EDC" w:rsidRPr="00620EDC" w:rsidP="00DC017C" w14:paraId="564446F4" w14:textId="6D99A133">
      <w:pPr>
        <w:pStyle w:val="BodyText"/>
        <w:rPr>
          <w:bCs/>
          <w:iCs/>
        </w:rPr>
      </w:pPr>
      <w:r>
        <w:rPr>
          <w:b/>
          <w:i/>
        </w:rPr>
        <w:t xml:space="preserve">Sensitivity Analyses. </w:t>
      </w:r>
      <w:r w:rsidR="00083E3B">
        <w:rPr>
          <w:bCs/>
          <w:iCs/>
        </w:rPr>
        <w:t xml:space="preserve">We assume most </w:t>
      </w:r>
      <w:r w:rsidRPr="004936C5" w:rsidR="004936C5">
        <w:rPr>
          <w:bCs/>
          <w:iCs/>
        </w:rPr>
        <w:t>peer facilitators w</w:t>
      </w:r>
      <w:r w:rsidR="00083E3B">
        <w:rPr>
          <w:bCs/>
          <w:iCs/>
        </w:rPr>
        <w:t>ill be classroom teachers w</w:t>
      </w:r>
      <w:r w:rsidRPr="004936C5" w:rsidR="004936C5">
        <w:rPr>
          <w:bCs/>
          <w:iCs/>
        </w:rPr>
        <w:t xml:space="preserve">ho </w:t>
      </w:r>
      <w:r w:rsidR="00083E3B">
        <w:rPr>
          <w:bCs/>
          <w:iCs/>
        </w:rPr>
        <w:t xml:space="preserve">will </w:t>
      </w:r>
      <w:r w:rsidRPr="004936C5" w:rsidR="004936C5">
        <w:rPr>
          <w:bCs/>
          <w:iCs/>
        </w:rPr>
        <w:t>implement the evidence-based strategies in their classrooms</w:t>
      </w:r>
      <w:r w:rsidR="00083E3B">
        <w:rPr>
          <w:bCs/>
          <w:iCs/>
        </w:rPr>
        <w:t xml:space="preserve"> </w:t>
      </w:r>
      <w:r w:rsidR="00183AFA">
        <w:rPr>
          <w:bCs/>
          <w:iCs/>
        </w:rPr>
        <w:t>and therefore plan to include them</w:t>
      </w:r>
      <w:r w:rsidRPr="004936C5" w:rsidR="004936C5">
        <w:rPr>
          <w:bCs/>
          <w:iCs/>
        </w:rPr>
        <w:t xml:space="preserve"> in our impact analyses. However, because peer facilitators have a unique role in implementing the intervention, have received additional training, and have no similar counterparts in the counterfactual condition (since there may not be PLCs in comparison schools), we will </w:t>
      </w:r>
      <w:r w:rsidR="00183AFA">
        <w:rPr>
          <w:bCs/>
          <w:iCs/>
        </w:rPr>
        <w:t xml:space="preserve">also </w:t>
      </w:r>
      <w:r w:rsidRPr="004936C5" w:rsidR="004936C5">
        <w:rPr>
          <w:bCs/>
          <w:iCs/>
        </w:rPr>
        <w:t>conduct sensitivity analyses</w:t>
      </w:r>
      <w:r w:rsidR="004049D0">
        <w:rPr>
          <w:bCs/>
          <w:iCs/>
        </w:rPr>
        <w:t>,</w:t>
      </w:r>
      <w:r w:rsidRPr="004936C5" w:rsidR="004936C5">
        <w:rPr>
          <w:bCs/>
          <w:iCs/>
        </w:rPr>
        <w:t xml:space="preserve"> in which we exclude the peer facilitators (n = 20) from the treatment group to determine if their outcomes affect the results for the full sample.</w:t>
      </w:r>
      <w:r w:rsidR="004936C5">
        <w:rPr>
          <w:bCs/>
          <w:iCs/>
        </w:rPr>
        <w:t xml:space="preserve"> To do this</w:t>
      </w:r>
      <w:r w:rsidR="00851D45">
        <w:rPr>
          <w:bCs/>
          <w:iCs/>
        </w:rPr>
        <w:t>,</w:t>
      </w:r>
      <w:r w:rsidR="004936C5">
        <w:rPr>
          <w:bCs/>
          <w:iCs/>
        </w:rPr>
        <w:t xml:space="preserve"> we will re-estimate the </w:t>
      </w:r>
      <w:r w:rsidR="00D424CD">
        <w:rPr>
          <w:bCs/>
          <w:iCs/>
        </w:rPr>
        <w:t>impact estimate</w:t>
      </w:r>
      <w:r w:rsidR="00BE10AF">
        <w:rPr>
          <w:bCs/>
          <w:iCs/>
        </w:rPr>
        <w:t>,</w:t>
      </w:r>
      <w:r w:rsidR="00D424CD">
        <w:rPr>
          <w:bCs/>
          <w:iCs/>
        </w:rPr>
        <w:t xml:space="preserve"> as described above</w:t>
      </w:r>
      <w:r w:rsidR="00BE10AF">
        <w:rPr>
          <w:bCs/>
          <w:iCs/>
        </w:rPr>
        <w:t>,</w:t>
      </w:r>
      <w:r w:rsidR="00D424CD">
        <w:rPr>
          <w:bCs/>
          <w:iCs/>
        </w:rPr>
        <w:t xml:space="preserve"> using school </w:t>
      </w:r>
      <w:r w:rsidR="00CF03AA">
        <w:rPr>
          <w:bCs/>
          <w:iCs/>
        </w:rPr>
        <w:t>averages but</w:t>
      </w:r>
      <w:r w:rsidR="00B74850">
        <w:rPr>
          <w:bCs/>
          <w:iCs/>
        </w:rPr>
        <w:t xml:space="preserve"> omit </w:t>
      </w:r>
      <w:r w:rsidR="00F07B46">
        <w:rPr>
          <w:bCs/>
          <w:iCs/>
        </w:rPr>
        <w:t>the data from the peer facilitator</w:t>
      </w:r>
      <w:r w:rsidR="00183AFA">
        <w:rPr>
          <w:bCs/>
          <w:iCs/>
        </w:rPr>
        <w:t>s</w:t>
      </w:r>
      <w:r w:rsidR="00F07B46">
        <w:rPr>
          <w:bCs/>
          <w:iCs/>
        </w:rPr>
        <w:t xml:space="preserve"> </w:t>
      </w:r>
      <w:r w:rsidR="009C22B5">
        <w:rPr>
          <w:bCs/>
          <w:iCs/>
        </w:rPr>
        <w:t>to compute school averages for the</w:t>
      </w:r>
      <w:r w:rsidR="00CF03AA">
        <w:rPr>
          <w:bCs/>
          <w:iCs/>
        </w:rPr>
        <w:t xml:space="preserve"> sensitivity</w:t>
      </w:r>
      <w:r w:rsidR="009C22B5">
        <w:rPr>
          <w:bCs/>
          <w:iCs/>
        </w:rPr>
        <w:t xml:space="preserve"> analysis. </w:t>
      </w:r>
      <w:r w:rsidR="009B266E">
        <w:rPr>
          <w:bCs/>
          <w:iCs/>
        </w:rPr>
        <w:t xml:space="preserve">To maintain comparability with the primary student outcome analysis, we will use the same pooled standard deviations </w:t>
      </w:r>
      <w:r w:rsidR="00CD4C3A">
        <w:rPr>
          <w:bCs/>
          <w:iCs/>
        </w:rPr>
        <w:t xml:space="preserve">to </w:t>
      </w:r>
      <w:r w:rsidR="00CF03AA">
        <w:rPr>
          <w:bCs/>
          <w:iCs/>
        </w:rPr>
        <w:t>standardize</w:t>
      </w:r>
      <w:r w:rsidR="00CD4C3A">
        <w:rPr>
          <w:bCs/>
          <w:iCs/>
        </w:rPr>
        <w:t xml:space="preserve"> the school means. </w:t>
      </w:r>
      <w:r w:rsidR="003A3632">
        <w:rPr>
          <w:bCs/>
          <w:iCs/>
        </w:rPr>
        <w:t>Sensitivity analyses for teacher outcomes will also</w:t>
      </w:r>
      <w:r w:rsidR="00CC3DF5">
        <w:rPr>
          <w:bCs/>
          <w:iCs/>
        </w:rPr>
        <w:t xml:space="preserve"> exclude peer facilitators </w:t>
      </w:r>
      <w:r w:rsidR="00200A64">
        <w:rPr>
          <w:bCs/>
          <w:iCs/>
        </w:rPr>
        <w:t>but</w:t>
      </w:r>
      <w:r w:rsidR="003A3632">
        <w:rPr>
          <w:bCs/>
          <w:iCs/>
        </w:rPr>
        <w:t xml:space="preserve"> use the same procedures described above for </w:t>
      </w:r>
      <w:r w:rsidR="00EC7671">
        <w:rPr>
          <w:bCs/>
          <w:iCs/>
        </w:rPr>
        <w:t>estimating teacher outcome differences</w:t>
      </w:r>
      <w:r w:rsidR="00CC3DF5">
        <w:rPr>
          <w:bCs/>
          <w:iCs/>
        </w:rPr>
        <w:t xml:space="preserve">. </w:t>
      </w:r>
      <w:r w:rsidR="00E069F0">
        <w:rPr>
          <w:bCs/>
          <w:iCs/>
        </w:rPr>
        <w:t xml:space="preserve">If results differ when peer facilitators are omitted, we will present results for both </w:t>
      </w:r>
      <w:r w:rsidR="00826D43">
        <w:rPr>
          <w:bCs/>
          <w:iCs/>
        </w:rPr>
        <w:t xml:space="preserve">the full sample and the sample that excludes peer facilitators. </w:t>
      </w:r>
    </w:p>
    <w:p w:rsidR="00DC017C" w:rsidRPr="000469D3" w:rsidP="00DC017C" w14:paraId="5DFE549E" w14:textId="5909B919">
      <w:pPr>
        <w:suppressAutoHyphens/>
        <w:rPr>
          <w:bCs/>
        </w:rPr>
      </w:pPr>
      <w:r w:rsidRPr="000469D3">
        <w:rPr>
          <w:b/>
          <w:bCs/>
          <w:i/>
          <w:iCs/>
        </w:rPr>
        <w:t>Strategies for Correcting for Multiple Hypothesis Testing</w:t>
      </w:r>
      <w:r w:rsidRPr="000469D3">
        <w:rPr>
          <w:b/>
          <w:bCs/>
        </w:rPr>
        <w:t>.</w:t>
      </w:r>
      <w:r w:rsidRPr="000469D3">
        <w:rPr>
          <w:bCs/>
        </w:rPr>
        <w:t xml:space="preserve"> </w:t>
      </w:r>
      <w:r w:rsidR="000A0405">
        <w:rPr>
          <w:bCs/>
        </w:rPr>
        <w:t xml:space="preserve">According to the </w:t>
      </w:r>
      <w:hyperlink r:id="rId14" w:history="1">
        <w:r w:rsidRPr="001659CC" w:rsidR="000A0405">
          <w:rPr>
            <w:rStyle w:val="Hyperlink"/>
            <w:bCs/>
          </w:rPr>
          <w:t>What Works Clearinghouse Study Review Protocol, version 1</w:t>
        </w:r>
      </w:hyperlink>
      <w:r w:rsidR="00560BC3">
        <w:rPr>
          <w:rStyle w:val="Hyperlink"/>
          <w:bCs/>
        </w:rPr>
        <w:t>.0</w:t>
      </w:r>
      <w:r w:rsidR="000A0405">
        <w:rPr>
          <w:bCs/>
        </w:rPr>
        <w:t xml:space="preserve"> (U.S. Department of Education, 2020), t</w:t>
      </w:r>
      <w:r w:rsidRPr="000469D3">
        <w:rPr>
          <w:bCs/>
        </w:rPr>
        <w:t xml:space="preserve">he proposed analysis does not require correction for multiple hypothesis testing, as it includes only one confirmatory analysis comparison within the </w:t>
      </w:r>
      <w:r w:rsidR="00F92765">
        <w:rPr>
          <w:bCs/>
        </w:rPr>
        <w:t>W</w:t>
      </w:r>
      <w:r w:rsidR="00AF12A0">
        <w:rPr>
          <w:bCs/>
        </w:rPr>
        <w:t xml:space="preserve">riting </w:t>
      </w:r>
      <w:r w:rsidR="00F92765">
        <w:rPr>
          <w:bCs/>
        </w:rPr>
        <w:t>Q</w:t>
      </w:r>
      <w:r w:rsidR="00AF12A0">
        <w:rPr>
          <w:bCs/>
        </w:rPr>
        <w:t>uality</w:t>
      </w:r>
      <w:r w:rsidRPr="000469D3">
        <w:rPr>
          <w:bCs/>
        </w:rPr>
        <w:t xml:space="preserve"> </w:t>
      </w:r>
      <w:r w:rsidR="00F92765">
        <w:rPr>
          <w:bCs/>
        </w:rPr>
        <w:t>D</w:t>
      </w:r>
      <w:r w:rsidRPr="000469D3">
        <w:rPr>
          <w:bCs/>
        </w:rPr>
        <w:t xml:space="preserve">omain (treatment vs. </w:t>
      </w:r>
      <w:r w:rsidR="00B640F8">
        <w:rPr>
          <w:bCs/>
        </w:rPr>
        <w:t>comparison</w:t>
      </w:r>
      <w:r w:rsidRPr="000469D3">
        <w:rPr>
          <w:bCs/>
        </w:rPr>
        <w:t xml:space="preserve"> outcome for all students)</w:t>
      </w:r>
      <w:r w:rsidR="000A0405">
        <w:rPr>
          <w:bCs/>
        </w:rPr>
        <w:t>.</w:t>
      </w:r>
    </w:p>
    <w:p w:rsidR="00BB31C0" w:rsidRPr="00CB5191" w:rsidP="52769551" w14:paraId="20DE9DA3" w14:textId="3B71ED8C">
      <w:pPr>
        <w:pStyle w:val="BodyText"/>
        <w:rPr>
          <w:rFonts w:asciiTheme="majorBidi" w:hAnsiTheme="majorBidi" w:cstheme="majorBidi"/>
        </w:rPr>
      </w:pPr>
      <w:r w:rsidRPr="52769551">
        <w:rPr>
          <w:rFonts w:asciiTheme="majorBidi" w:hAnsiTheme="majorBidi" w:cstheme="majorBidi"/>
          <w:b/>
          <w:bCs/>
          <w:i/>
          <w:iCs/>
        </w:rPr>
        <w:t xml:space="preserve">Implementation Fidelity. </w:t>
      </w:r>
      <w:r w:rsidRPr="52769551">
        <w:rPr>
          <w:rFonts w:asciiTheme="majorBidi" w:hAnsiTheme="majorBidi" w:cstheme="majorBidi"/>
        </w:rPr>
        <w:t>To assess fidelity at the</w:t>
      </w:r>
      <w:r w:rsidRPr="52769551" w:rsidR="00306D48">
        <w:rPr>
          <w:rFonts w:asciiTheme="majorBidi" w:hAnsiTheme="majorBidi" w:cstheme="majorBidi"/>
        </w:rPr>
        <w:t xml:space="preserve"> </w:t>
      </w:r>
      <w:r w:rsidRPr="52769551" w:rsidR="00E17644">
        <w:rPr>
          <w:rFonts w:asciiTheme="majorBidi" w:hAnsiTheme="majorBidi" w:cstheme="majorBidi"/>
        </w:rPr>
        <w:t>school</w:t>
      </w:r>
      <w:r w:rsidRPr="52769551" w:rsidR="00306D48">
        <w:rPr>
          <w:rFonts w:asciiTheme="majorBidi" w:hAnsiTheme="majorBidi" w:cstheme="majorBidi"/>
        </w:rPr>
        <w:t xml:space="preserve"> level</w:t>
      </w:r>
      <w:r w:rsidRPr="52769551" w:rsidR="00B93CB2">
        <w:rPr>
          <w:rFonts w:asciiTheme="majorBidi" w:hAnsiTheme="majorBidi" w:cstheme="majorBidi"/>
        </w:rPr>
        <w:t xml:space="preserve"> (</w:t>
      </w:r>
      <w:r w:rsidRPr="52769551" w:rsidR="00B026A4">
        <w:rPr>
          <w:rFonts w:asciiTheme="majorBidi" w:hAnsiTheme="majorBidi" w:cstheme="majorBidi"/>
        </w:rPr>
        <w:t xml:space="preserve">RQ </w:t>
      </w:r>
      <w:r w:rsidRPr="52769551" w:rsidR="00B71FB5">
        <w:rPr>
          <w:rFonts w:asciiTheme="majorBidi" w:hAnsiTheme="majorBidi" w:cstheme="majorBidi"/>
        </w:rPr>
        <w:t xml:space="preserve">I2), </w:t>
      </w:r>
      <w:r w:rsidRPr="52769551" w:rsidR="00306D48">
        <w:rPr>
          <w:rFonts w:asciiTheme="majorBidi" w:hAnsiTheme="majorBidi" w:cstheme="majorBidi"/>
        </w:rPr>
        <w:t xml:space="preserve">the </w:t>
      </w:r>
      <w:r w:rsidRPr="52769551" w:rsidR="000B6632">
        <w:rPr>
          <w:rFonts w:asciiTheme="majorBidi" w:hAnsiTheme="majorBidi" w:cstheme="majorBidi"/>
        </w:rPr>
        <w:t>study</w:t>
      </w:r>
      <w:r w:rsidRPr="52769551" w:rsidR="00306D48">
        <w:rPr>
          <w:rFonts w:asciiTheme="majorBidi" w:hAnsiTheme="majorBidi" w:cstheme="majorBidi"/>
        </w:rPr>
        <w:t xml:space="preserve"> team will </w:t>
      </w:r>
      <w:r w:rsidRPr="52769551" w:rsidR="00AC7FC3">
        <w:rPr>
          <w:rFonts w:asciiTheme="majorBidi" w:hAnsiTheme="majorBidi" w:cstheme="majorBidi"/>
        </w:rPr>
        <w:t>calculate quantitative scores for fidelity of implementation of the Toolkit</w:t>
      </w:r>
      <w:r w:rsidRPr="52769551" w:rsidR="0035515C">
        <w:rPr>
          <w:rFonts w:asciiTheme="majorBidi" w:hAnsiTheme="majorBidi" w:cstheme="majorBidi"/>
        </w:rPr>
        <w:t xml:space="preserve"> by comparing information on the implementation as-conducted (actual implementation in Hawai</w:t>
      </w:r>
      <w:r w:rsidRPr="52769551" w:rsidR="007252D4">
        <w:rPr>
          <w:rFonts w:asciiTheme="majorBidi" w:hAnsiTheme="majorBidi" w:cstheme="majorBidi"/>
        </w:rPr>
        <w:t>‘</w:t>
      </w:r>
      <w:r w:rsidRPr="52769551" w:rsidR="00534419">
        <w:rPr>
          <w:rFonts w:asciiTheme="majorBidi" w:hAnsiTheme="majorBidi" w:cstheme="majorBidi"/>
        </w:rPr>
        <w:t xml:space="preserve">i) </w:t>
      </w:r>
      <w:r w:rsidRPr="52769551" w:rsidR="0035515C">
        <w:rPr>
          <w:rFonts w:asciiTheme="majorBidi" w:hAnsiTheme="majorBidi" w:cstheme="majorBidi"/>
        </w:rPr>
        <w:t xml:space="preserve">compared to the implementation as-planned, which </w:t>
      </w:r>
      <w:r w:rsidRPr="52769551" w:rsidR="002250B6">
        <w:rPr>
          <w:rFonts w:asciiTheme="majorBidi" w:hAnsiTheme="majorBidi" w:cstheme="majorBidi"/>
        </w:rPr>
        <w:t xml:space="preserve">is represented by the logic model </w:t>
      </w:r>
      <w:r w:rsidRPr="52769551" w:rsidR="00E159F4">
        <w:rPr>
          <w:rFonts w:asciiTheme="majorBidi" w:hAnsiTheme="majorBidi" w:cstheme="majorBidi"/>
        </w:rPr>
        <w:t xml:space="preserve">the study team </w:t>
      </w:r>
      <w:r w:rsidRPr="52769551" w:rsidR="00105545">
        <w:rPr>
          <w:rFonts w:asciiTheme="majorBidi" w:hAnsiTheme="majorBidi" w:cstheme="majorBidi"/>
        </w:rPr>
        <w:t xml:space="preserve">created </w:t>
      </w:r>
      <w:r w:rsidRPr="52769551" w:rsidR="0035515C">
        <w:rPr>
          <w:rFonts w:asciiTheme="majorBidi" w:hAnsiTheme="majorBidi" w:cstheme="majorBidi"/>
        </w:rPr>
        <w:t>based on information from the Toolkit developer.</w:t>
      </w:r>
      <w:r w:rsidRPr="52769551" w:rsidR="00F7246D">
        <w:rPr>
          <w:rFonts w:asciiTheme="majorBidi" w:hAnsiTheme="majorBidi" w:cstheme="majorBidi"/>
        </w:rPr>
        <w:t xml:space="preserve"> </w:t>
      </w:r>
      <w:r w:rsidRPr="52769551" w:rsidR="002250B6">
        <w:rPr>
          <w:rFonts w:asciiTheme="majorBidi" w:hAnsiTheme="majorBidi" w:cstheme="majorBidi"/>
        </w:rPr>
        <w:t>Using</w:t>
      </w:r>
      <w:r w:rsidRPr="52769551" w:rsidR="009807FB">
        <w:rPr>
          <w:rFonts w:asciiTheme="majorBidi" w:hAnsiTheme="majorBidi" w:cstheme="majorBidi"/>
        </w:rPr>
        <w:t xml:space="preserve"> data collected from</w:t>
      </w:r>
      <w:r w:rsidRPr="52769551" w:rsidR="002250B6">
        <w:rPr>
          <w:rFonts w:asciiTheme="majorBidi" w:hAnsiTheme="majorBidi" w:cstheme="majorBidi"/>
        </w:rPr>
        <w:t xml:space="preserve"> peer facilitators, teachers, and the Toolkit developer</w:t>
      </w:r>
      <w:r w:rsidRPr="52769551" w:rsidR="009807FB">
        <w:rPr>
          <w:rFonts w:asciiTheme="majorBidi" w:hAnsiTheme="majorBidi" w:cstheme="majorBidi"/>
        </w:rPr>
        <w:t>, t</w:t>
      </w:r>
      <w:r w:rsidRPr="52769551" w:rsidR="001A6507">
        <w:rPr>
          <w:rFonts w:asciiTheme="majorBidi" w:hAnsiTheme="majorBidi" w:cstheme="majorBidi"/>
        </w:rPr>
        <w:t xml:space="preserve">he study team </w:t>
      </w:r>
      <w:r w:rsidRPr="52769551" w:rsidR="00803835">
        <w:rPr>
          <w:rFonts w:asciiTheme="majorBidi" w:hAnsiTheme="majorBidi" w:cstheme="majorBidi"/>
        </w:rPr>
        <w:t>will calculate fidelity of implementation at the school</w:t>
      </w:r>
      <w:r w:rsidR="003452D2">
        <w:rPr>
          <w:rFonts w:asciiTheme="majorBidi" w:hAnsiTheme="majorBidi" w:cstheme="majorBidi"/>
        </w:rPr>
        <w:t xml:space="preserve"> </w:t>
      </w:r>
      <w:r w:rsidRPr="52769551" w:rsidR="00803835">
        <w:rPr>
          <w:rFonts w:asciiTheme="majorBidi" w:hAnsiTheme="majorBidi" w:cstheme="majorBidi"/>
        </w:rPr>
        <w:t>level</w:t>
      </w:r>
      <w:r w:rsidRPr="52769551" w:rsidR="00E159F4">
        <w:rPr>
          <w:rFonts w:asciiTheme="majorBidi" w:hAnsiTheme="majorBidi" w:cstheme="majorBidi"/>
        </w:rPr>
        <w:t xml:space="preserve"> in two ways:</w:t>
      </w:r>
      <w:r w:rsidRPr="52769551" w:rsidR="000B215C">
        <w:rPr>
          <w:rFonts w:asciiTheme="majorBidi" w:hAnsiTheme="majorBidi" w:cstheme="majorBidi"/>
        </w:rPr>
        <w:t xml:space="preserve"> 1) separately for the six components of the Toolkit activities (peer facilitator training, administrator training, peer facilitator preparation work before eight PLC sessions, peer facilitator leadership of activities across eight PLC sessions, teacher independent work before eight PLC sessions, and teacher participation activities in eight PLC sessions)</w:t>
      </w:r>
      <w:r w:rsidRPr="52769551" w:rsidR="00F5516E">
        <w:rPr>
          <w:rFonts w:asciiTheme="majorBidi" w:hAnsiTheme="majorBidi" w:cstheme="majorBidi"/>
        </w:rPr>
        <w:t>;</w:t>
      </w:r>
      <w:r w:rsidRPr="52769551" w:rsidR="000B215C">
        <w:rPr>
          <w:rFonts w:asciiTheme="majorBidi" w:hAnsiTheme="majorBidi" w:cstheme="majorBidi"/>
        </w:rPr>
        <w:t xml:space="preserve"> and 2) across the six components. For each component and overall, </w:t>
      </w:r>
      <w:r w:rsidRPr="52769551" w:rsidR="000B6632">
        <w:rPr>
          <w:rFonts w:asciiTheme="majorBidi" w:hAnsiTheme="majorBidi" w:cstheme="majorBidi"/>
        </w:rPr>
        <w:t xml:space="preserve">the study team </w:t>
      </w:r>
      <w:r w:rsidRPr="52769551" w:rsidR="000B215C">
        <w:rPr>
          <w:rFonts w:asciiTheme="majorBidi" w:hAnsiTheme="majorBidi" w:cstheme="majorBidi"/>
        </w:rPr>
        <w:t xml:space="preserve">will score school-level fidelity as high, moderate, or low (Exhibit </w:t>
      </w:r>
      <w:r w:rsidRPr="52769551" w:rsidR="008D13C4">
        <w:rPr>
          <w:rFonts w:asciiTheme="majorBidi" w:hAnsiTheme="majorBidi" w:cstheme="majorBidi"/>
        </w:rPr>
        <w:t>B</w:t>
      </w:r>
      <w:r w:rsidRPr="52769551" w:rsidR="00CB5191">
        <w:rPr>
          <w:rFonts w:asciiTheme="majorBidi" w:hAnsiTheme="majorBidi" w:cstheme="majorBidi"/>
        </w:rPr>
        <w:t>4</w:t>
      </w:r>
      <w:r w:rsidRPr="52769551" w:rsidR="000B215C">
        <w:rPr>
          <w:rFonts w:asciiTheme="majorBidi" w:hAnsiTheme="majorBidi" w:cstheme="majorBidi"/>
        </w:rPr>
        <w:t>).</w:t>
      </w:r>
      <w:r w:rsidRPr="52769551" w:rsidR="000B215C">
        <w:rPr>
          <w:rFonts w:asciiTheme="majorBidi" w:hAnsiTheme="majorBidi" w:cstheme="majorBidi"/>
          <w:lang w:val="en"/>
        </w:rPr>
        <w:t xml:space="preserve"> </w:t>
      </w:r>
      <w:r w:rsidRPr="52769551" w:rsidR="000B6632">
        <w:rPr>
          <w:rFonts w:asciiTheme="majorBidi" w:hAnsiTheme="majorBidi" w:cstheme="majorBidi"/>
        </w:rPr>
        <w:t xml:space="preserve">The study team </w:t>
      </w:r>
      <w:r w:rsidRPr="52769551" w:rsidR="007F7BAD">
        <w:rPr>
          <w:rFonts w:asciiTheme="majorBidi" w:hAnsiTheme="majorBidi" w:cstheme="majorBidi"/>
        </w:rPr>
        <w:t xml:space="preserve">will also determine the level of fidelity of implementation of the Toolkit overall </w:t>
      </w:r>
      <w:r w:rsidRPr="52769551" w:rsidR="00E159F4">
        <w:rPr>
          <w:rFonts w:asciiTheme="majorBidi" w:hAnsiTheme="majorBidi" w:cstheme="majorBidi"/>
        </w:rPr>
        <w:t xml:space="preserve">(at the program level) </w:t>
      </w:r>
      <w:r w:rsidRPr="52769551" w:rsidR="007F7BAD">
        <w:rPr>
          <w:rFonts w:asciiTheme="majorBidi" w:hAnsiTheme="majorBidi" w:cstheme="majorBidi"/>
        </w:rPr>
        <w:t xml:space="preserve">by reporting the overall percentage of schools with high, moderate, or low fidelity. </w:t>
      </w:r>
      <w:r w:rsidRPr="52769551" w:rsidR="00E159F4">
        <w:rPr>
          <w:rFonts w:asciiTheme="majorBidi" w:hAnsiTheme="majorBidi" w:cstheme="majorBidi"/>
        </w:rPr>
        <w:t>This</w:t>
      </w:r>
      <w:r w:rsidRPr="52769551" w:rsidR="00F7246D">
        <w:rPr>
          <w:rFonts w:asciiTheme="majorBidi" w:hAnsiTheme="majorBidi" w:cstheme="majorBidi"/>
        </w:rPr>
        <w:t xml:space="preserve"> </w:t>
      </w:r>
      <w:r w:rsidRPr="52769551" w:rsidR="00F7246D">
        <w:rPr>
          <w:rFonts w:asciiTheme="majorBidi" w:hAnsiTheme="majorBidi" w:cstheme="majorBidi"/>
          <w:lang w:val="en"/>
        </w:rPr>
        <w:t xml:space="preserve">approach will allow </w:t>
      </w:r>
      <w:r w:rsidRPr="52769551" w:rsidR="00E159F4">
        <w:rPr>
          <w:rFonts w:asciiTheme="majorBidi" w:hAnsiTheme="majorBidi" w:cstheme="majorBidi"/>
          <w:lang w:val="en"/>
        </w:rPr>
        <w:t>the study team</w:t>
      </w:r>
      <w:r w:rsidRPr="52769551" w:rsidR="00F7246D">
        <w:rPr>
          <w:rFonts w:asciiTheme="majorBidi" w:hAnsiTheme="majorBidi" w:cstheme="majorBidi"/>
          <w:lang w:val="en"/>
        </w:rPr>
        <w:t xml:space="preserve"> to determine which of the Toolkit activities were met with fidelity or may require additional supports to ensure fidelity in a future implementation. </w:t>
      </w:r>
      <w:r w:rsidRPr="52769551" w:rsidR="005010BB">
        <w:rPr>
          <w:rFonts w:asciiTheme="majorBidi" w:hAnsiTheme="majorBidi" w:cstheme="majorBidi"/>
          <w:lang w:val="en"/>
        </w:rPr>
        <w:t>These data</w:t>
      </w:r>
      <w:r w:rsidRPr="52769551" w:rsidR="00F7246D">
        <w:rPr>
          <w:rFonts w:asciiTheme="majorBidi" w:hAnsiTheme="majorBidi" w:cstheme="majorBidi"/>
          <w:lang w:val="en"/>
        </w:rPr>
        <w:t xml:space="preserve"> will also provide valuable contextual information for the impact evaluation and may help explain variation in impacts.</w:t>
      </w:r>
    </w:p>
    <w:p w:rsidR="00FD5B68" w:rsidRPr="00CB5191" w:rsidP="00CB5191" w14:paraId="2AB32F4F" w14:textId="1BD7BE64">
      <w:pPr>
        <w:pStyle w:val="BodyText"/>
        <w:spacing w:after="0"/>
        <w:rPr>
          <w:rFonts w:ascii="Arial" w:hAnsi="Arial" w:cs="Arial"/>
          <w:b/>
          <w:szCs w:val="22"/>
        </w:rPr>
      </w:pPr>
      <w:r w:rsidRPr="00CB5191">
        <w:rPr>
          <w:rFonts w:ascii="Arial" w:hAnsi="Arial" w:cs="Arial"/>
          <w:b/>
          <w:szCs w:val="22"/>
        </w:rPr>
        <w:t>Exhibit B</w:t>
      </w:r>
      <w:r w:rsidRPr="00CB5191" w:rsidR="00CB5191">
        <w:rPr>
          <w:rFonts w:ascii="Arial" w:hAnsi="Arial" w:cs="Arial"/>
          <w:b/>
          <w:szCs w:val="22"/>
        </w:rPr>
        <w:t>4</w:t>
      </w:r>
      <w:r w:rsidRPr="00CB5191">
        <w:rPr>
          <w:rFonts w:ascii="Arial" w:hAnsi="Arial" w:cs="Arial"/>
          <w:b/>
          <w:szCs w:val="22"/>
        </w:rPr>
        <w:t>.</w:t>
      </w:r>
      <w:r w:rsidRPr="00CB5191" w:rsidR="00020402">
        <w:rPr>
          <w:rFonts w:ascii="Arial" w:eastAsia="Calibri" w:hAnsi="Arial" w:cs="Arial"/>
          <w:b/>
          <w:szCs w:val="22"/>
        </w:rPr>
        <w:t xml:space="preserve"> Fidelity of Implementation Score Matrix to be Calculated for Each Treatment School (across </w:t>
      </w:r>
      <w:r w:rsidR="0021480D">
        <w:rPr>
          <w:rFonts w:ascii="Arial" w:eastAsia="Calibri" w:hAnsi="Arial" w:cs="Arial"/>
          <w:b/>
          <w:szCs w:val="22"/>
        </w:rPr>
        <w:t>four</w:t>
      </w:r>
      <w:r w:rsidRPr="00CB5191" w:rsidR="00020402">
        <w:rPr>
          <w:rFonts w:ascii="Arial" w:eastAsia="Calibri" w:hAnsi="Arial" w:cs="Arial"/>
          <w:b/>
          <w:szCs w:val="22"/>
        </w:rPr>
        <w:t xml:space="preserve"> modules)</w:t>
      </w:r>
    </w:p>
    <w:tbl>
      <w:tblPr>
        <w:tblStyle w:val="TableGrid"/>
        <w:tblW w:w="9535" w:type="dxa"/>
        <w:tblLook w:val="04A0"/>
      </w:tblPr>
      <w:tblGrid>
        <w:gridCol w:w="923"/>
        <w:gridCol w:w="1230"/>
        <w:gridCol w:w="1230"/>
        <w:gridCol w:w="1230"/>
        <w:gridCol w:w="1231"/>
        <w:gridCol w:w="1230"/>
        <w:gridCol w:w="1230"/>
        <w:gridCol w:w="1231"/>
      </w:tblGrid>
      <w:tr w14:paraId="6B034AB1" w14:textId="77777777" w:rsidTr="52769551">
        <w:tblPrEx>
          <w:tblW w:w="9535" w:type="dxa"/>
          <w:tblLook w:val="04A0"/>
        </w:tblPrEx>
        <w:tc>
          <w:tcPr>
            <w:tcW w:w="923" w:type="dxa"/>
            <w:shd w:val="clear" w:color="auto" w:fill="0F4C81"/>
            <w:vAlign w:val="bottom"/>
          </w:tcPr>
          <w:p w:rsidR="00FD5B68" w:rsidRPr="00B62F34" w:rsidP="007C5F23" w14:paraId="1997A1A3" w14:textId="77777777">
            <w:pPr>
              <w:widowControl w:val="0"/>
              <w:spacing w:after="0"/>
              <w:rPr>
                <w:rFonts w:ascii="Arial Narrow" w:hAnsi="Arial Narrow"/>
                <w:b/>
                <w:bCs/>
                <w:color w:val="FFFFFF" w:themeColor="background1"/>
                <w:sz w:val="18"/>
                <w:szCs w:val="18"/>
              </w:rPr>
            </w:pPr>
            <w:r w:rsidRPr="52769551">
              <w:rPr>
                <w:rFonts w:ascii="Arial Narrow" w:hAnsi="Arial Narrow"/>
                <w:b/>
                <w:bCs/>
                <w:color w:val="FFFFFF" w:themeColor="background1"/>
                <w:sz w:val="18"/>
                <w:szCs w:val="18"/>
              </w:rPr>
              <w:t>Level of fidelity for school</w:t>
            </w:r>
          </w:p>
        </w:tc>
        <w:tc>
          <w:tcPr>
            <w:tcW w:w="1230" w:type="dxa"/>
            <w:shd w:val="clear" w:color="auto" w:fill="0F4C81"/>
            <w:vAlign w:val="bottom"/>
          </w:tcPr>
          <w:p w:rsidR="00FD5B68" w:rsidRPr="00E65CD4" w:rsidP="007C5F23" w14:paraId="69209A64" w14:textId="77777777">
            <w:pPr>
              <w:widowControl w:val="0"/>
              <w:spacing w:after="0"/>
              <w:jc w:val="center"/>
              <w:rPr>
                <w:rFonts w:ascii="Arial Narrow" w:hAnsi="Arial Narrow"/>
                <w:b/>
                <w:bCs/>
                <w:color w:val="FFFFFF" w:themeColor="background1"/>
                <w:sz w:val="18"/>
                <w:szCs w:val="18"/>
              </w:rPr>
            </w:pPr>
            <w:r w:rsidRPr="00E65CD4">
              <w:rPr>
                <w:rFonts w:ascii="Arial Narrow" w:hAnsi="Arial Narrow"/>
                <w:b/>
                <w:bCs/>
                <w:color w:val="FFFFFF" w:themeColor="background1"/>
                <w:sz w:val="18"/>
                <w:szCs w:val="18"/>
              </w:rPr>
              <w:t>Component 1:</w:t>
            </w:r>
          </w:p>
          <w:p w:rsidR="00FD5B68" w:rsidRPr="00E65CD4" w:rsidP="007C5F23" w14:paraId="22CFE6AA" w14:textId="77777777">
            <w:pPr>
              <w:widowControl w:val="0"/>
              <w:spacing w:after="0"/>
              <w:jc w:val="center"/>
              <w:rPr>
                <w:rFonts w:ascii="Arial Narrow" w:hAnsi="Arial Narrow"/>
                <w:b/>
                <w:bCs/>
                <w:color w:val="FFFFFF" w:themeColor="background1"/>
                <w:sz w:val="18"/>
                <w:szCs w:val="18"/>
              </w:rPr>
            </w:pPr>
            <w:r w:rsidRPr="00E65CD4">
              <w:rPr>
                <w:rFonts w:ascii="Arial Narrow" w:hAnsi="Arial Narrow"/>
                <w:b/>
                <w:bCs/>
                <w:color w:val="FFFFFF" w:themeColor="background1"/>
                <w:sz w:val="18"/>
                <w:szCs w:val="18"/>
              </w:rPr>
              <w:t>Peer facilitator training</w:t>
            </w:r>
          </w:p>
        </w:tc>
        <w:tc>
          <w:tcPr>
            <w:tcW w:w="1230" w:type="dxa"/>
            <w:shd w:val="clear" w:color="auto" w:fill="0F4C81"/>
            <w:vAlign w:val="bottom"/>
          </w:tcPr>
          <w:p w:rsidR="00FD5B68" w:rsidRPr="00E65CD4" w:rsidP="007C5F23" w14:paraId="1CD0D6A9" w14:textId="77777777">
            <w:pPr>
              <w:widowControl w:val="0"/>
              <w:spacing w:after="0"/>
              <w:jc w:val="center"/>
              <w:rPr>
                <w:rFonts w:ascii="Arial Narrow" w:hAnsi="Arial Narrow"/>
                <w:b/>
                <w:bCs/>
                <w:color w:val="FFFFFF" w:themeColor="background1"/>
                <w:sz w:val="18"/>
                <w:szCs w:val="18"/>
              </w:rPr>
            </w:pPr>
            <w:r w:rsidRPr="00E65CD4">
              <w:rPr>
                <w:rFonts w:ascii="Arial Narrow" w:hAnsi="Arial Narrow"/>
                <w:b/>
                <w:bCs/>
                <w:color w:val="FFFFFF" w:themeColor="background1"/>
                <w:sz w:val="18"/>
                <w:szCs w:val="18"/>
              </w:rPr>
              <w:t>Component 2:</w:t>
            </w:r>
          </w:p>
          <w:p w:rsidR="00FD5B68" w:rsidRPr="00E65CD4" w:rsidP="007C5F23" w14:paraId="12C7CF23" w14:textId="77777777">
            <w:pPr>
              <w:widowControl w:val="0"/>
              <w:spacing w:after="0"/>
              <w:jc w:val="center"/>
              <w:rPr>
                <w:rFonts w:ascii="Arial Narrow" w:hAnsi="Arial Narrow"/>
                <w:b/>
                <w:bCs/>
                <w:color w:val="FFFFFF" w:themeColor="background1"/>
                <w:sz w:val="18"/>
                <w:szCs w:val="18"/>
              </w:rPr>
            </w:pPr>
            <w:r w:rsidRPr="00E65CD4">
              <w:rPr>
                <w:rFonts w:ascii="Arial Narrow" w:hAnsi="Arial Narrow"/>
                <w:b/>
                <w:bCs/>
                <w:color w:val="FFFFFF" w:themeColor="background1"/>
                <w:sz w:val="18"/>
                <w:szCs w:val="18"/>
              </w:rPr>
              <w:t>Administrator training</w:t>
            </w:r>
          </w:p>
        </w:tc>
        <w:tc>
          <w:tcPr>
            <w:tcW w:w="1230" w:type="dxa"/>
            <w:shd w:val="clear" w:color="auto" w:fill="0F4C81"/>
            <w:vAlign w:val="bottom"/>
          </w:tcPr>
          <w:p w:rsidR="00FD5B68" w:rsidRPr="00E65CD4" w:rsidP="007C5F23" w14:paraId="16623EF8" w14:textId="77777777">
            <w:pPr>
              <w:widowControl w:val="0"/>
              <w:spacing w:after="0"/>
              <w:jc w:val="center"/>
              <w:rPr>
                <w:rFonts w:ascii="Arial Narrow" w:hAnsi="Arial Narrow"/>
                <w:b/>
                <w:bCs/>
                <w:color w:val="FFFFFF" w:themeColor="background1"/>
                <w:sz w:val="18"/>
                <w:szCs w:val="18"/>
              </w:rPr>
            </w:pPr>
            <w:r w:rsidRPr="00E65CD4">
              <w:rPr>
                <w:rFonts w:ascii="Arial Narrow" w:hAnsi="Arial Narrow"/>
                <w:b/>
                <w:bCs/>
                <w:color w:val="FFFFFF" w:themeColor="background1"/>
                <w:sz w:val="18"/>
                <w:szCs w:val="18"/>
              </w:rPr>
              <w:t>Component 3:</w:t>
            </w:r>
          </w:p>
          <w:p w:rsidR="00FD5B68" w:rsidRPr="00E65CD4" w:rsidP="007C5F23" w14:paraId="52166DFC" w14:textId="77777777">
            <w:pPr>
              <w:widowControl w:val="0"/>
              <w:spacing w:after="0"/>
              <w:jc w:val="center"/>
              <w:rPr>
                <w:rFonts w:ascii="Arial Narrow" w:hAnsi="Arial Narrow"/>
                <w:b/>
                <w:bCs/>
                <w:color w:val="FFFFFF" w:themeColor="background1"/>
                <w:sz w:val="18"/>
                <w:szCs w:val="18"/>
              </w:rPr>
            </w:pPr>
            <w:r w:rsidRPr="00E65CD4">
              <w:rPr>
                <w:rFonts w:ascii="Arial Narrow" w:hAnsi="Arial Narrow"/>
                <w:b/>
                <w:bCs/>
                <w:color w:val="FFFFFF" w:themeColor="background1"/>
                <w:sz w:val="18"/>
                <w:szCs w:val="18"/>
              </w:rPr>
              <w:t>Peer facilitator preparation work before 8 PLC sessions</w:t>
            </w:r>
          </w:p>
        </w:tc>
        <w:tc>
          <w:tcPr>
            <w:tcW w:w="1231" w:type="dxa"/>
            <w:shd w:val="clear" w:color="auto" w:fill="0F4C81"/>
            <w:vAlign w:val="bottom"/>
          </w:tcPr>
          <w:p w:rsidR="00FD5B68" w:rsidRPr="00E65CD4" w:rsidP="007C5F23" w14:paraId="418637BC" w14:textId="77777777">
            <w:pPr>
              <w:widowControl w:val="0"/>
              <w:spacing w:after="0"/>
              <w:jc w:val="center"/>
              <w:rPr>
                <w:rFonts w:ascii="Arial Narrow" w:hAnsi="Arial Narrow"/>
                <w:b/>
                <w:bCs/>
                <w:color w:val="FFFFFF" w:themeColor="background1"/>
                <w:sz w:val="18"/>
                <w:szCs w:val="18"/>
              </w:rPr>
            </w:pPr>
            <w:r w:rsidRPr="00E65CD4">
              <w:rPr>
                <w:rFonts w:ascii="Arial Narrow" w:hAnsi="Arial Narrow"/>
                <w:b/>
                <w:bCs/>
                <w:color w:val="FFFFFF" w:themeColor="background1"/>
                <w:sz w:val="18"/>
                <w:szCs w:val="18"/>
              </w:rPr>
              <w:t>Component 4:</w:t>
            </w:r>
          </w:p>
          <w:p w:rsidR="00FD5B68" w:rsidRPr="00E65CD4" w:rsidP="007C5F23" w14:paraId="5515034F" w14:textId="77777777">
            <w:pPr>
              <w:widowControl w:val="0"/>
              <w:spacing w:after="0"/>
              <w:jc w:val="center"/>
              <w:rPr>
                <w:rFonts w:ascii="Arial Narrow" w:hAnsi="Arial Narrow"/>
                <w:b/>
                <w:bCs/>
                <w:color w:val="FFFFFF" w:themeColor="background1"/>
                <w:sz w:val="18"/>
                <w:szCs w:val="18"/>
              </w:rPr>
            </w:pPr>
            <w:r w:rsidRPr="00E65CD4">
              <w:rPr>
                <w:rFonts w:ascii="Arial Narrow" w:hAnsi="Arial Narrow"/>
                <w:b/>
                <w:bCs/>
                <w:color w:val="FFFFFF" w:themeColor="background1"/>
                <w:sz w:val="18"/>
                <w:szCs w:val="18"/>
              </w:rPr>
              <w:t>Peer facilitator leadership of activities across 8 PLC sessions</w:t>
            </w:r>
          </w:p>
        </w:tc>
        <w:tc>
          <w:tcPr>
            <w:tcW w:w="1230" w:type="dxa"/>
            <w:shd w:val="clear" w:color="auto" w:fill="0F4C81"/>
            <w:vAlign w:val="bottom"/>
          </w:tcPr>
          <w:p w:rsidR="00FD5B68" w:rsidRPr="00E65CD4" w:rsidP="007C5F23" w14:paraId="222CC9A3" w14:textId="77777777">
            <w:pPr>
              <w:widowControl w:val="0"/>
              <w:spacing w:after="0"/>
              <w:jc w:val="center"/>
              <w:rPr>
                <w:rFonts w:ascii="Arial Narrow" w:hAnsi="Arial Narrow"/>
                <w:b/>
                <w:bCs/>
                <w:color w:val="FFFFFF" w:themeColor="background1"/>
                <w:sz w:val="18"/>
                <w:szCs w:val="18"/>
              </w:rPr>
            </w:pPr>
            <w:r w:rsidRPr="00E65CD4">
              <w:rPr>
                <w:rFonts w:ascii="Arial Narrow" w:hAnsi="Arial Narrow"/>
                <w:b/>
                <w:bCs/>
                <w:color w:val="FFFFFF" w:themeColor="background1"/>
                <w:sz w:val="18"/>
                <w:szCs w:val="18"/>
              </w:rPr>
              <w:t>Component 5:</w:t>
            </w:r>
          </w:p>
          <w:p w:rsidR="00FD5B68" w:rsidRPr="00E65CD4" w:rsidP="007C5F23" w14:paraId="2B40472F" w14:textId="77777777">
            <w:pPr>
              <w:widowControl w:val="0"/>
              <w:spacing w:after="0"/>
              <w:jc w:val="center"/>
              <w:rPr>
                <w:rFonts w:ascii="Arial Narrow" w:hAnsi="Arial Narrow"/>
                <w:b/>
                <w:bCs/>
                <w:color w:val="FFFFFF" w:themeColor="background1"/>
                <w:sz w:val="18"/>
                <w:szCs w:val="18"/>
              </w:rPr>
            </w:pPr>
            <w:r w:rsidRPr="00E65CD4">
              <w:rPr>
                <w:rFonts w:ascii="Arial Narrow" w:hAnsi="Arial Narrow"/>
                <w:b/>
                <w:bCs/>
                <w:color w:val="FFFFFF" w:themeColor="background1"/>
                <w:sz w:val="18"/>
                <w:szCs w:val="18"/>
              </w:rPr>
              <w:t>Teacher independent work before 8 PLC sessions</w:t>
            </w:r>
          </w:p>
        </w:tc>
        <w:tc>
          <w:tcPr>
            <w:tcW w:w="1230" w:type="dxa"/>
            <w:shd w:val="clear" w:color="auto" w:fill="0F4C81"/>
            <w:vAlign w:val="bottom"/>
          </w:tcPr>
          <w:p w:rsidR="00B912E8" w:rsidP="007C5F23" w14:paraId="42A72E86" w14:textId="77777777">
            <w:pPr>
              <w:widowControl w:val="0"/>
              <w:spacing w:after="0"/>
              <w:jc w:val="center"/>
              <w:rPr>
                <w:rFonts w:ascii="Arial Narrow" w:hAnsi="Arial Narrow"/>
                <w:b/>
                <w:bCs/>
                <w:color w:val="FFFFFF" w:themeColor="background1"/>
                <w:sz w:val="18"/>
                <w:szCs w:val="18"/>
              </w:rPr>
            </w:pPr>
            <w:r w:rsidRPr="00E65CD4">
              <w:rPr>
                <w:rFonts w:ascii="Arial Narrow" w:hAnsi="Arial Narrow"/>
                <w:b/>
                <w:bCs/>
                <w:color w:val="FFFFFF" w:themeColor="background1"/>
                <w:sz w:val="18"/>
                <w:szCs w:val="18"/>
              </w:rPr>
              <w:t>Component 6:</w:t>
            </w:r>
          </w:p>
          <w:p w:rsidR="00FD5B68" w:rsidRPr="00E65CD4" w:rsidP="007C5F23" w14:paraId="5BF7AF2A" w14:textId="63357900">
            <w:pPr>
              <w:widowControl w:val="0"/>
              <w:spacing w:after="0"/>
              <w:jc w:val="center"/>
              <w:rPr>
                <w:rFonts w:ascii="Arial Narrow" w:hAnsi="Arial Narrow"/>
                <w:b/>
                <w:bCs/>
                <w:color w:val="FFFFFF" w:themeColor="background1"/>
                <w:sz w:val="18"/>
                <w:szCs w:val="18"/>
              </w:rPr>
            </w:pPr>
            <w:r w:rsidRPr="00E65CD4">
              <w:rPr>
                <w:rFonts w:ascii="Arial Narrow" w:hAnsi="Arial Narrow"/>
                <w:b/>
                <w:bCs/>
                <w:color w:val="FFFFFF" w:themeColor="background1"/>
                <w:sz w:val="18"/>
                <w:szCs w:val="18"/>
              </w:rPr>
              <w:t>Teacher participation in activities in 8 PLC sessions</w:t>
            </w:r>
          </w:p>
        </w:tc>
        <w:tc>
          <w:tcPr>
            <w:tcW w:w="1231" w:type="dxa"/>
            <w:shd w:val="clear" w:color="auto" w:fill="0F4C81"/>
            <w:vAlign w:val="bottom"/>
          </w:tcPr>
          <w:p w:rsidR="00FD5B68" w:rsidRPr="00E65CD4" w:rsidP="007C5F23" w14:paraId="4807B6F9" w14:textId="54F3DB80">
            <w:pPr>
              <w:widowControl w:val="0"/>
              <w:spacing w:after="0"/>
              <w:jc w:val="center"/>
              <w:rPr>
                <w:rFonts w:ascii="Arial Narrow" w:hAnsi="Arial Narrow"/>
                <w:b/>
                <w:bCs/>
                <w:color w:val="FFFFFF" w:themeColor="background1"/>
                <w:sz w:val="18"/>
                <w:szCs w:val="18"/>
              </w:rPr>
            </w:pPr>
            <w:r w:rsidRPr="52769551">
              <w:rPr>
                <w:rFonts w:ascii="Arial Narrow" w:hAnsi="Arial Narrow"/>
                <w:b/>
                <w:bCs/>
                <w:color w:val="FFFFFF" w:themeColor="background1"/>
                <w:sz w:val="18"/>
                <w:szCs w:val="18"/>
              </w:rPr>
              <w:t>Across All Components</w:t>
            </w:r>
          </w:p>
        </w:tc>
      </w:tr>
      <w:tr w14:paraId="76FDADFA" w14:textId="77777777" w:rsidTr="52769551">
        <w:tblPrEx>
          <w:tblW w:w="9535" w:type="dxa"/>
          <w:tblLook w:val="04A0"/>
        </w:tblPrEx>
        <w:tc>
          <w:tcPr>
            <w:tcW w:w="923" w:type="dxa"/>
          </w:tcPr>
          <w:p w:rsidR="00FD5B68" w:rsidRPr="004702B6" w:rsidP="007C5F23" w14:paraId="78555924" w14:textId="77777777">
            <w:pPr>
              <w:widowControl w:val="0"/>
              <w:spacing w:after="0"/>
              <w:rPr>
                <w:rFonts w:ascii="Arial Narrow" w:hAnsi="Arial Narrow"/>
              </w:rPr>
            </w:pPr>
            <w:r>
              <w:rPr>
                <w:rFonts w:ascii="Arial Narrow" w:hAnsi="Arial Narrow"/>
              </w:rPr>
              <w:t>High</w:t>
            </w:r>
          </w:p>
        </w:tc>
        <w:tc>
          <w:tcPr>
            <w:tcW w:w="1230" w:type="dxa"/>
          </w:tcPr>
          <w:p w:rsidR="00FD5B68" w:rsidRPr="004702B6" w:rsidP="007C5F23" w14:paraId="7D49A932" w14:textId="4EC7C7D6">
            <w:pPr>
              <w:widowControl w:val="0"/>
              <w:spacing w:after="0"/>
              <w:rPr>
                <w:rFonts w:ascii="Arial Narrow" w:hAnsi="Arial Narrow"/>
              </w:rPr>
            </w:pPr>
            <w:r>
              <w:rPr>
                <w:rFonts w:ascii="Arial Narrow" w:hAnsi="Arial Narrow"/>
              </w:rPr>
              <w:t>85</w:t>
            </w:r>
            <w:r w:rsidR="00387125">
              <w:rPr>
                <w:rFonts w:ascii="Arial Narrow" w:hAnsi="Arial Narrow"/>
              </w:rPr>
              <w:t>–</w:t>
            </w:r>
            <w:r>
              <w:rPr>
                <w:rFonts w:ascii="Arial Narrow" w:hAnsi="Arial Narrow"/>
              </w:rPr>
              <w:t>100% of total possible points</w:t>
            </w:r>
          </w:p>
        </w:tc>
        <w:tc>
          <w:tcPr>
            <w:tcW w:w="1230" w:type="dxa"/>
          </w:tcPr>
          <w:p w:rsidR="00FD5B68" w:rsidRPr="004702B6" w:rsidP="007C5F23" w14:paraId="0DECCB65" w14:textId="0266CD69">
            <w:pPr>
              <w:widowControl w:val="0"/>
              <w:spacing w:after="0"/>
              <w:rPr>
                <w:rFonts w:ascii="Arial Narrow" w:hAnsi="Arial Narrow"/>
              </w:rPr>
            </w:pPr>
            <w:r>
              <w:rPr>
                <w:rFonts w:ascii="Arial Narrow" w:hAnsi="Arial Narrow"/>
              </w:rPr>
              <w:t>85</w:t>
            </w:r>
            <w:r w:rsidR="00387125">
              <w:rPr>
                <w:rFonts w:ascii="Arial Narrow" w:hAnsi="Arial Narrow"/>
              </w:rPr>
              <w:t>–</w:t>
            </w:r>
            <w:r>
              <w:rPr>
                <w:rFonts w:ascii="Arial Narrow" w:hAnsi="Arial Narrow"/>
              </w:rPr>
              <w:t>100% of total possible points</w:t>
            </w:r>
          </w:p>
        </w:tc>
        <w:tc>
          <w:tcPr>
            <w:tcW w:w="1230" w:type="dxa"/>
          </w:tcPr>
          <w:p w:rsidR="00FD5B68" w:rsidRPr="004702B6" w:rsidP="007C5F23" w14:paraId="50438847" w14:textId="47D37772">
            <w:pPr>
              <w:widowControl w:val="0"/>
              <w:spacing w:after="0"/>
              <w:rPr>
                <w:rFonts w:ascii="Arial Narrow" w:hAnsi="Arial Narrow"/>
              </w:rPr>
            </w:pPr>
            <w:r>
              <w:rPr>
                <w:rFonts w:ascii="Arial Narrow" w:hAnsi="Arial Narrow"/>
              </w:rPr>
              <w:t>85</w:t>
            </w:r>
            <w:r w:rsidR="00387125">
              <w:rPr>
                <w:rFonts w:ascii="Arial Narrow" w:hAnsi="Arial Narrow"/>
              </w:rPr>
              <w:t>–</w:t>
            </w:r>
            <w:r>
              <w:rPr>
                <w:rFonts w:ascii="Arial Narrow" w:hAnsi="Arial Narrow"/>
              </w:rPr>
              <w:t>100% of total possible points</w:t>
            </w:r>
          </w:p>
        </w:tc>
        <w:tc>
          <w:tcPr>
            <w:tcW w:w="1231" w:type="dxa"/>
          </w:tcPr>
          <w:p w:rsidR="00FD5B68" w:rsidRPr="004702B6" w:rsidP="007C5F23" w14:paraId="49CFFA89" w14:textId="5B19E12D">
            <w:pPr>
              <w:widowControl w:val="0"/>
              <w:spacing w:after="0"/>
              <w:rPr>
                <w:rFonts w:ascii="Arial Narrow" w:hAnsi="Arial Narrow"/>
              </w:rPr>
            </w:pPr>
            <w:r>
              <w:rPr>
                <w:rFonts w:ascii="Arial Narrow" w:hAnsi="Arial Narrow"/>
              </w:rPr>
              <w:t>85</w:t>
            </w:r>
            <w:r w:rsidR="00387125">
              <w:rPr>
                <w:rFonts w:ascii="Arial Narrow" w:hAnsi="Arial Narrow"/>
              </w:rPr>
              <w:t>–</w:t>
            </w:r>
            <w:r>
              <w:rPr>
                <w:rFonts w:ascii="Arial Narrow" w:hAnsi="Arial Narrow"/>
              </w:rPr>
              <w:t>100% of total possible points</w:t>
            </w:r>
          </w:p>
        </w:tc>
        <w:tc>
          <w:tcPr>
            <w:tcW w:w="1230" w:type="dxa"/>
          </w:tcPr>
          <w:p w:rsidR="00FD5B68" w:rsidRPr="004702B6" w:rsidP="007C5F23" w14:paraId="4ACB4571" w14:textId="5CCA4382">
            <w:pPr>
              <w:widowControl w:val="0"/>
              <w:spacing w:after="0"/>
              <w:rPr>
                <w:rFonts w:ascii="Arial Narrow" w:hAnsi="Arial Narrow"/>
              </w:rPr>
            </w:pPr>
            <w:r>
              <w:rPr>
                <w:rFonts w:ascii="Arial Narrow" w:hAnsi="Arial Narrow"/>
              </w:rPr>
              <w:t>85</w:t>
            </w:r>
            <w:r w:rsidR="00387125">
              <w:rPr>
                <w:rFonts w:ascii="Arial Narrow" w:hAnsi="Arial Narrow"/>
              </w:rPr>
              <w:t>–</w:t>
            </w:r>
            <w:r>
              <w:rPr>
                <w:rFonts w:ascii="Arial Narrow" w:hAnsi="Arial Narrow"/>
              </w:rPr>
              <w:t>100% of total possible points</w:t>
            </w:r>
          </w:p>
        </w:tc>
        <w:tc>
          <w:tcPr>
            <w:tcW w:w="1230" w:type="dxa"/>
          </w:tcPr>
          <w:p w:rsidR="00FD5B68" w:rsidRPr="004702B6" w:rsidP="007C5F23" w14:paraId="7333DA90" w14:textId="72552D4A">
            <w:pPr>
              <w:widowControl w:val="0"/>
              <w:spacing w:after="0"/>
              <w:rPr>
                <w:rFonts w:ascii="Arial Narrow" w:hAnsi="Arial Narrow"/>
              </w:rPr>
            </w:pPr>
            <w:r>
              <w:rPr>
                <w:rFonts w:ascii="Arial Narrow" w:hAnsi="Arial Narrow"/>
              </w:rPr>
              <w:t>85</w:t>
            </w:r>
            <w:r w:rsidR="00387125">
              <w:rPr>
                <w:rFonts w:ascii="Arial Narrow" w:hAnsi="Arial Narrow"/>
              </w:rPr>
              <w:t>–</w:t>
            </w:r>
            <w:r>
              <w:rPr>
                <w:rFonts w:ascii="Arial Narrow" w:hAnsi="Arial Narrow"/>
              </w:rPr>
              <w:t>100% of total possible points</w:t>
            </w:r>
          </w:p>
        </w:tc>
        <w:tc>
          <w:tcPr>
            <w:tcW w:w="1231" w:type="dxa"/>
          </w:tcPr>
          <w:p w:rsidR="00FD5B68" w:rsidRPr="004702B6" w:rsidP="007C5F23" w14:paraId="2754B056" w14:textId="77777777">
            <w:pPr>
              <w:widowControl w:val="0"/>
              <w:spacing w:after="0"/>
              <w:rPr>
                <w:rFonts w:ascii="Arial Narrow" w:hAnsi="Arial Narrow"/>
              </w:rPr>
            </w:pPr>
            <w:r>
              <w:rPr>
                <w:rFonts w:ascii="Arial Narrow" w:hAnsi="Arial Narrow"/>
              </w:rPr>
              <w:t>“High fidelity” for all components</w:t>
            </w:r>
          </w:p>
        </w:tc>
      </w:tr>
      <w:tr w14:paraId="12E8FFA3" w14:textId="77777777" w:rsidTr="52769551">
        <w:tblPrEx>
          <w:tblW w:w="9535" w:type="dxa"/>
          <w:tblLook w:val="04A0"/>
        </w:tblPrEx>
        <w:tc>
          <w:tcPr>
            <w:tcW w:w="923" w:type="dxa"/>
          </w:tcPr>
          <w:p w:rsidR="00FD5B68" w:rsidRPr="004702B6" w:rsidP="007C5F23" w14:paraId="7D084EBF" w14:textId="77777777">
            <w:pPr>
              <w:widowControl w:val="0"/>
              <w:spacing w:after="0"/>
              <w:rPr>
                <w:rFonts w:ascii="Arial Narrow" w:hAnsi="Arial Narrow"/>
              </w:rPr>
            </w:pPr>
            <w:r>
              <w:rPr>
                <w:rFonts w:ascii="Arial Narrow" w:hAnsi="Arial Narrow"/>
              </w:rPr>
              <w:t>Moderate</w:t>
            </w:r>
          </w:p>
        </w:tc>
        <w:tc>
          <w:tcPr>
            <w:tcW w:w="1230" w:type="dxa"/>
          </w:tcPr>
          <w:p w:rsidR="00FD5B68" w:rsidRPr="004702B6" w:rsidP="007C5F23" w14:paraId="42C1EA33" w14:textId="7E1B539B">
            <w:pPr>
              <w:widowControl w:val="0"/>
              <w:spacing w:after="0"/>
              <w:rPr>
                <w:rFonts w:ascii="Arial Narrow" w:hAnsi="Arial Narrow"/>
              </w:rPr>
            </w:pPr>
            <w:r>
              <w:rPr>
                <w:rFonts w:ascii="Arial Narrow" w:hAnsi="Arial Narrow"/>
              </w:rPr>
              <w:t>50</w:t>
            </w:r>
            <w:r w:rsidR="0020508D">
              <w:rPr>
                <w:rFonts w:ascii="Arial Narrow" w:hAnsi="Arial Narrow"/>
              </w:rPr>
              <w:t>–</w:t>
            </w:r>
            <w:r>
              <w:rPr>
                <w:rFonts w:ascii="Arial Narrow" w:hAnsi="Arial Narrow"/>
              </w:rPr>
              <w:t>84% of total possible points</w:t>
            </w:r>
          </w:p>
        </w:tc>
        <w:tc>
          <w:tcPr>
            <w:tcW w:w="1230" w:type="dxa"/>
          </w:tcPr>
          <w:p w:rsidR="00FD5B68" w:rsidRPr="004702B6" w:rsidP="007C5F23" w14:paraId="24428743" w14:textId="59716236">
            <w:pPr>
              <w:widowControl w:val="0"/>
              <w:spacing w:after="0"/>
              <w:rPr>
                <w:rFonts w:ascii="Arial Narrow" w:hAnsi="Arial Narrow"/>
              </w:rPr>
            </w:pPr>
            <w:r>
              <w:rPr>
                <w:rFonts w:ascii="Arial Narrow" w:hAnsi="Arial Narrow"/>
              </w:rPr>
              <w:t>50</w:t>
            </w:r>
            <w:r w:rsidR="0020508D">
              <w:rPr>
                <w:rFonts w:ascii="Arial Narrow" w:hAnsi="Arial Narrow"/>
              </w:rPr>
              <w:t>–</w:t>
            </w:r>
            <w:r>
              <w:rPr>
                <w:rFonts w:ascii="Arial Narrow" w:hAnsi="Arial Narrow"/>
              </w:rPr>
              <w:t>84% of total possible points</w:t>
            </w:r>
          </w:p>
        </w:tc>
        <w:tc>
          <w:tcPr>
            <w:tcW w:w="1230" w:type="dxa"/>
          </w:tcPr>
          <w:p w:rsidR="00FD5B68" w:rsidRPr="004702B6" w:rsidP="007C5F23" w14:paraId="274BDBED" w14:textId="782AC703">
            <w:pPr>
              <w:widowControl w:val="0"/>
              <w:spacing w:after="0"/>
              <w:rPr>
                <w:rFonts w:ascii="Arial Narrow" w:hAnsi="Arial Narrow"/>
              </w:rPr>
            </w:pPr>
            <w:r>
              <w:rPr>
                <w:rFonts w:ascii="Arial Narrow" w:hAnsi="Arial Narrow"/>
              </w:rPr>
              <w:t>50</w:t>
            </w:r>
            <w:r w:rsidR="0020508D">
              <w:rPr>
                <w:rFonts w:ascii="Arial Narrow" w:hAnsi="Arial Narrow"/>
              </w:rPr>
              <w:t>–</w:t>
            </w:r>
            <w:r>
              <w:rPr>
                <w:rFonts w:ascii="Arial Narrow" w:hAnsi="Arial Narrow"/>
              </w:rPr>
              <w:t>84% of total possible points</w:t>
            </w:r>
          </w:p>
        </w:tc>
        <w:tc>
          <w:tcPr>
            <w:tcW w:w="1231" w:type="dxa"/>
          </w:tcPr>
          <w:p w:rsidR="00FD5B68" w:rsidRPr="004702B6" w:rsidP="007C5F23" w14:paraId="2440CA9F" w14:textId="5394D724">
            <w:pPr>
              <w:widowControl w:val="0"/>
              <w:spacing w:after="0"/>
              <w:rPr>
                <w:rFonts w:ascii="Arial Narrow" w:hAnsi="Arial Narrow"/>
              </w:rPr>
            </w:pPr>
            <w:r>
              <w:rPr>
                <w:rFonts w:ascii="Arial Narrow" w:hAnsi="Arial Narrow"/>
              </w:rPr>
              <w:t>50</w:t>
            </w:r>
            <w:r w:rsidR="0020508D">
              <w:rPr>
                <w:rFonts w:ascii="Arial Narrow" w:hAnsi="Arial Narrow"/>
              </w:rPr>
              <w:t>–</w:t>
            </w:r>
            <w:r>
              <w:rPr>
                <w:rFonts w:ascii="Arial Narrow" w:hAnsi="Arial Narrow"/>
              </w:rPr>
              <w:t>84% of total possible points</w:t>
            </w:r>
          </w:p>
        </w:tc>
        <w:tc>
          <w:tcPr>
            <w:tcW w:w="1230" w:type="dxa"/>
          </w:tcPr>
          <w:p w:rsidR="00FD5B68" w:rsidRPr="004702B6" w:rsidP="007C5F23" w14:paraId="64AA0017" w14:textId="744F78EE">
            <w:pPr>
              <w:widowControl w:val="0"/>
              <w:spacing w:after="0"/>
              <w:rPr>
                <w:rFonts w:ascii="Arial Narrow" w:hAnsi="Arial Narrow"/>
              </w:rPr>
            </w:pPr>
            <w:r>
              <w:rPr>
                <w:rFonts w:ascii="Arial Narrow" w:hAnsi="Arial Narrow"/>
              </w:rPr>
              <w:t>50</w:t>
            </w:r>
            <w:r w:rsidR="0020508D">
              <w:rPr>
                <w:rFonts w:ascii="Arial Narrow" w:hAnsi="Arial Narrow"/>
              </w:rPr>
              <w:t>–</w:t>
            </w:r>
            <w:r>
              <w:rPr>
                <w:rFonts w:ascii="Arial Narrow" w:hAnsi="Arial Narrow"/>
              </w:rPr>
              <w:t>84% of total possible points</w:t>
            </w:r>
          </w:p>
        </w:tc>
        <w:tc>
          <w:tcPr>
            <w:tcW w:w="1230" w:type="dxa"/>
          </w:tcPr>
          <w:p w:rsidR="00FD5B68" w:rsidRPr="004702B6" w:rsidP="007C5F23" w14:paraId="68D25363" w14:textId="1700553F">
            <w:pPr>
              <w:widowControl w:val="0"/>
              <w:spacing w:after="0"/>
              <w:rPr>
                <w:rFonts w:ascii="Arial Narrow" w:hAnsi="Arial Narrow"/>
              </w:rPr>
            </w:pPr>
            <w:r>
              <w:rPr>
                <w:rFonts w:ascii="Arial Narrow" w:hAnsi="Arial Narrow"/>
              </w:rPr>
              <w:t>50</w:t>
            </w:r>
            <w:r w:rsidR="0020508D">
              <w:rPr>
                <w:rFonts w:ascii="Arial Narrow" w:hAnsi="Arial Narrow"/>
              </w:rPr>
              <w:t>–</w:t>
            </w:r>
            <w:r>
              <w:rPr>
                <w:rFonts w:ascii="Arial Narrow" w:hAnsi="Arial Narrow"/>
              </w:rPr>
              <w:t>84% of total possible points</w:t>
            </w:r>
          </w:p>
        </w:tc>
        <w:tc>
          <w:tcPr>
            <w:tcW w:w="1231" w:type="dxa"/>
          </w:tcPr>
          <w:p w:rsidR="00FD5B68" w:rsidRPr="004702B6" w:rsidP="007C5F23" w14:paraId="67D5DF6B" w14:textId="3A183F30">
            <w:pPr>
              <w:widowControl w:val="0"/>
              <w:spacing w:after="0"/>
              <w:rPr>
                <w:rFonts w:ascii="Arial Narrow" w:hAnsi="Arial Narrow"/>
              </w:rPr>
            </w:pPr>
            <w:r>
              <w:rPr>
                <w:rFonts w:ascii="Arial Narrow" w:hAnsi="Arial Narrow"/>
              </w:rPr>
              <w:t>“High fidelity” for components 3</w:t>
            </w:r>
            <w:r w:rsidR="0020508D">
              <w:rPr>
                <w:rFonts w:ascii="Arial Narrow" w:hAnsi="Arial Narrow"/>
              </w:rPr>
              <w:t>–</w:t>
            </w:r>
            <w:r>
              <w:rPr>
                <w:rFonts w:ascii="Arial Narrow" w:hAnsi="Arial Narrow"/>
              </w:rPr>
              <w:t>6</w:t>
            </w:r>
            <w:r w:rsidR="00221BDA">
              <w:rPr>
                <w:rFonts w:ascii="Arial Narrow" w:hAnsi="Arial Narrow"/>
              </w:rPr>
              <w:t>,</w:t>
            </w:r>
            <w:r>
              <w:rPr>
                <w:rFonts w:ascii="Arial Narrow" w:hAnsi="Arial Narrow"/>
              </w:rPr>
              <w:t xml:space="preserve"> but not 1 and 2</w:t>
            </w:r>
          </w:p>
        </w:tc>
      </w:tr>
      <w:tr w14:paraId="5D42A246" w14:textId="77777777" w:rsidTr="52769551">
        <w:tblPrEx>
          <w:tblW w:w="9535" w:type="dxa"/>
          <w:tblLook w:val="04A0"/>
        </w:tblPrEx>
        <w:tc>
          <w:tcPr>
            <w:tcW w:w="923" w:type="dxa"/>
          </w:tcPr>
          <w:p w:rsidR="00FD5B68" w:rsidRPr="004702B6" w:rsidP="007C5F23" w14:paraId="0FA3DC0C" w14:textId="77777777">
            <w:pPr>
              <w:widowControl w:val="0"/>
              <w:spacing w:after="0"/>
              <w:rPr>
                <w:rFonts w:ascii="Arial Narrow" w:hAnsi="Arial Narrow"/>
              </w:rPr>
            </w:pPr>
            <w:r>
              <w:rPr>
                <w:rFonts w:ascii="Arial Narrow" w:hAnsi="Arial Narrow"/>
              </w:rPr>
              <w:t>Low</w:t>
            </w:r>
          </w:p>
        </w:tc>
        <w:tc>
          <w:tcPr>
            <w:tcW w:w="1230" w:type="dxa"/>
          </w:tcPr>
          <w:p w:rsidR="00FD5B68" w:rsidRPr="004702B6" w:rsidP="007C5F23" w14:paraId="1C3D64F2" w14:textId="77777777">
            <w:pPr>
              <w:widowControl w:val="0"/>
              <w:spacing w:after="0"/>
              <w:rPr>
                <w:rFonts w:ascii="Arial Narrow" w:hAnsi="Arial Narrow"/>
              </w:rPr>
            </w:pPr>
            <w:r>
              <w:rPr>
                <w:rFonts w:ascii="Arial Narrow" w:hAnsi="Arial Narrow"/>
              </w:rPr>
              <w:t>&lt; 50% of total possible points</w:t>
            </w:r>
          </w:p>
        </w:tc>
        <w:tc>
          <w:tcPr>
            <w:tcW w:w="1230" w:type="dxa"/>
          </w:tcPr>
          <w:p w:rsidR="00FD5B68" w:rsidRPr="004702B6" w:rsidP="007C5F23" w14:paraId="7A564E4F" w14:textId="77777777">
            <w:pPr>
              <w:widowControl w:val="0"/>
              <w:spacing w:after="0"/>
              <w:rPr>
                <w:rFonts w:ascii="Arial Narrow" w:hAnsi="Arial Narrow"/>
              </w:rPr>
            </w:pPr>
            <w:r>
              <w:rPr>
                <w:rFonts w:ascii="Arial Narrow" w:hAnsi="Arial Narrow"/>
              </w:rPr>
              <w:t>&lt; 50% of total possible points</w:t>
            </w:r>
          </w:p>
        </w:tc>
        <w:tc>
          <w:tcPr>
            <w:tcW w:w="1230" w:type="dxa"/>
          </w:tcPr>
          <w:p w:rsidR="00FD5B68" w:rsidRPr="004702B6" w:rsidP="007C5F23" w14:paraId="5C0727F4" w14:textId="77777777">
            <w:pPr>
              <w:widowControl w:val="0"/>
              <w:spacing w:after="0"/>
              <w:rPr>
                <w:rFonts w:ascii="Arial Narrow" w:hAnsi="Arial Narrow"/>
              </w:rPr>
            </w:pPr>
            <w:r>
              <w:rPr>
                <w:rFonts w:ascii="Arial Narrow" w:hAnsi="Arial Narrow"/>
              </w:rPr>
              <w:t>&lt; 50% of total possible points</w:t>
            </w:r>
          </w:p>
        </w:tc>
        <w:tc>
          <w:tcPr>
            <w:tcW w:w="1231" w:type="dxa"/>
          </w:tcPr>
          <w:p w:rsidR="00FD5B68" w:rsidRPr="004702B6" w:rsidP="007C5F23" w14:paraId="1994B434" w14:textId="77777777">
            <w:pPr>
              <w:widowControl w:val="0"/>
              <w:spacing w:after="0"/>
              <w:rPr>
                <w:rFonts w:ascii="Arial Narrow" w:hAnsi="Arial Narrow"/>
              </w:rPr>
            </w:pPr>
            <w:r>
              <w:rPr>
                <w:rFonts w:ascii="Arial Narrow" w:hAnsi="Arial Narrow"/>
              </w:rPr>
              <w:t>&lt; 50% of total possible points</w:t>
            </w:r>
          </w:p>
        </w:tc>
        <w:tc>
          <w:tcPr>
            <w:tcW w:w="1230" w:type="dxa"/>
          </w:tcPr>
          <w:p w:rsidR="00FD5B68" w:rsidRPr="004702B6" w:rsidP="007C5F23" w14:paraId="78D1EC54" w14:textId="77777777">
            <w:pPr>
              <w:widowControl w:val="0"/>
              <w:spacing w:after="0"/>
              <w:rPr>
                <w:rFonts w:ascii="Arial Narrow" w:hAnsi="Arial Narrow"/>
              </w:rPr>
            </w:pPr>
            <w:r>
              <w:rPr>
                <w:rFonts w:ascii="Arial Narrow" w:hAnsi="Arial Narrow"/>
              </w:rPr>
              <w:t>&lt; 50% of total possible points</w:t>
            </w:r>
          </w:p>
        </w:tc>
        <w:tc>
          <w:tcPr>
            <w:tcW w:w="1230" w:type="dxa"/>
          </w:tcPr>
          <w:p w:rsidR="00FD5B68" w:rsidRPr="004702B6" w:rsidP="007C5F23" w14:paraId="2864509F" w14:textId="77777777">
            <w:pPr>
              <w:widowControl w:val="0"/>
              <w:spacing w:after="0"/>
              <w:rPr>
                <w:rFonts w:ascii="Arial Narrow" w:hAnsi="Arial Narrow"/>
              </w:rPr>
            </w:pPr>
            <w:r>
              <w:rPr>
                <w:rFonts w:ascii="Arial Narrow" w:hAnsi="Arial Narrow"/>
              </w:rPr>
              <w:t>&lt; 50% of total possible points</w:t>
            </w:r>
          </w:p>
        </w:tc>
        <w:tc>
          <w:tcPr>
            <w:tcW w:w="1231" w:type="dxa"/>
          </w:tcPr>
          <w:p w:rsidR="00FD5B68" w:rsidRPr="004702B6" w:rsidP="007C5F23" w14:paraId="2B75B237" w14:textId="661114E5">
            <w:pPr>
              <w:widowControl w:val="0"/>
              <w:spacing w:after="0"/>
              <w:rPr>
                <w:rFonts w:ascii="Arial Narrow" w:hAnsi="Arial Narrow"/>
              </w:rPr>
            </w:pPr>
            <w:r>
              <w:rPr>
                <w:rFonts w:ascii="Arial Narrow" w:hAnsi="Arial Narrow"/>
              </w:rPr>
              <w:t>“High fidelity” for only some of components 3</w:t>
            </w:r>
            <w:r w:rsidR="00EE2BC0">
              <w:rPr>
                <w:rFonts w:ascii="Arial Narrow" w:hAnsi="Arial Narrow"/>
              </w:rPr>
              <w:t>–</w:t>
            </w:r>
            <w:r>
              <w:rPr>
                <w:rFonts w:ascii="Arial Narrow" w:hAnsi="Arial Narrow"/>
              </w:rPr>
              <w:t xml:space="preserve">6 </w:t>
            </w:r>
          </w:p>
        </w:tc>
      </w:tr>
    </w:tbl>
    <w:p w:rsidR="008C352A" w:rsidP="000F026B" w14:paraId="0784B5AE" w14:textId="77777777">
      <w:pPr>
        <w:suppressAutoHyphens/>
        <w:rPr>
          <w:b/>
          <w:bCs/>
          <w:i/>
          <w:iCs/>
        </w:rPr>
      </w:pPr>
    </w:p>
    <w:p w:rsidR="00BB31C0" w:rsidRPr="00132733" w:rsidP="000F026B" w14:paraId="45BA411C" w14:textId="4C35DF12">
      <w:pPr>
        <w:suppressAutoHyphens/>
        <w:rPr>
          <w:bCs/>
        </w:rPr>
      </w:pPr>
      <w:r w:rsidRPr="00AC6414">
        <w:rPr>
          <w:b/>
          <w:bCs/>
          <w:i/>
          <w:iCs/>
        </w:rPr>
        <w:t xml:space="preserve">Implementation </w:t>
      </w:r>
      <w:r w:rsidR="00A276A5">
        <w:rPr>
          <w:b/>
          <w:bCs/>
          <w:i/>
          <w:iCs/>
        </w:rPr>
        <w:t xml:space="preserve">Experiences, </w:t>
      </w:r>
      <w:r w:rsidRPr="00AC6414">
        <w:rPr>
          <w:b/>
          <w:bCs/>
          <w:i/>
          <w:iCs/>
        </w:rPr>
        <w:t>Challenges</w:t>
      </w:r>
      <w:r w:rsidR="00A276A5">
        <w:rPr>
          <w:b/>
          <w:bCs/>
          <w:i/>
          <w:iCs/>
        </w:rPr>
        <w:t>,</w:t>
      </w:r>
      <w:r w:rsidR="00C51621">
        <w:rPr>
          <w:b/>
          <w:bCs/>
          <w:i/>
          <w:iCs/>
        </w:rPr>
        <w:t xml:space="preserve"> and Recommendations for Improvements to the Toolkit</w:t>
      </w:r>
      <w:r w:rsidRPr="00AC6414">
        <w:rPr>
          <w:b/>
          <w:bCs/>
          <w:i/>
          <w:iCs/>
        </w:rPr>
        <w:t>.</w:t>
      </w:r>
      <w:r w:rsidRPr="00AC6414">
        <w:rPr>
          <w:bCs/>
        </w:rPr>
        <w:t xml:space="preserve"> To </w:t>
      </w:r>
      <w:r w:rsidR="00A276A5">
        <w:rPr>
          <w:bCs/>
        </w:rPr>
        <w:t xml:space="preserve">describe </w:t>
      </w:r>
      <w:r w:rsidR="002A4198">
        <w:rPr>
          <w:bCs/>
        </w:rPr>
        <w:t>the experiences of peer facilitators and teachers</w:t>
      </w:r>
      <w:r w:rsidR="0008465A">
        <w:rPr>
          <w:bCs/>
        </w:rPr>
        <w:t xml:space="preserve"> using the Toolkit,</w:t>
      </w:r>
      <w:r w:rsidR="002A4198">
        <w:rPr>
          <w:bCs/>
        </w:rPr>
        <w:t xml:space="preserve"> </w:t>
      </w:r>
      <w:r w:rsidRPr="00AC6414">
        <w:rPr>
          <w:bCs/>
        </w:rPr>
        <w:t xml:space="preserve">identify challenges for completing </w:t>
      </w:r>
      <w:r w:rsidR="002A4B76">
        <w:rPr>
          <w:bCs/>
        </w:rPr>
        <w:t>Toolkit</w:t>
      </w:r>
      <w:r w:rsidRPr="00AC6414">
        <w:rPr>
          <w:bCs/>
        </w:rPr>
        <w:t xml:space="preserve"> activities</w:t>
      </w:r>
      <w:r w:rsidR="0008465A">
        <w:rPr>
          <w:bCs/>
        </w:rPr>
        <w:t>,</w:t>
      </w:r>
      <w:r w:rsidR="00C51621">
        <w:rPr>
          <w:bCs/>
        </w:rPr>
        <w:t xml:space="preserve"> and </w:t>
      </w:r>
      <w:r w:rsidR="0008465A">
        <w:rPr>
          <w:bCs/>
        </w:rPr>
        <w:t xml:space="preserve">summarize </w:t>
      </w:r>
      <w:r w:rsidR="00C51621">
        <w:rPr>
          <w:bCs/>
        </w:rPr>
        <w:t>recommendations for improvements in future implementations</w:t>
      </w:r>
      <w:r w:rsidR="00B71FB5">
        <w:rPr>
          <w:bCs/>
        </w:rPr>
        <w:t xml:space="preserve"> (</w:t>
      </w:r>
      <w:r w:rsidR="007A67F7">
        <w:rPr>
          <w:bCs/>
        </w:rPr>
        <w:t>RQ</w:t>
      </w:r>
      <w:r w:rsidR="00B71FB5">
        <w:rPr>
          <w:bCs/>
        </w:rPr>
        <w:t xml:space="preserve"> </w:t>
      </w:r>
      <w:r w:rsidR="0034207C">
        <w:rPr>
          <w:bCs/>
        </w:rPr>
        <w:t xml:space="preserve">I1, sub-questions </w:t>
      </w:r>
      <w:r w:rsidR="00B8040F">
        <w:rPr>
          <w:bCs/>
        </w:rPr>
        <w:t xml:space="preserve">1, </w:t>
      </w:r>
      <w:r w:rsidR="0034207C">
        <w:rPr>
          <w:bCs/>
        </w:rPr>
        <w:t>2</w:t>
      </w:r>
      <w:r w:rsidR="00374940">
        <w:rPr>
          <w:bCs/>
        </w:rPr>
        <w:t>,</w:t>
      </w:r>
      <w:r w:rsidR="0034207C">
        <w:rPr>
          <w:bCs/>
        </w:rPr>
        <w:t xml:space="preserve"> &amp; 3)</w:t>
      </w:r>
      <w:r w:rsidRPr="00AC6414">
        <w:rPr>
          <w:bCs/>
        </w:rPr>
        <w:t xml:space="preserve">, the </w:t>
      </w:r>
      <w:r w:rsidR="00475EFB">
        <w:rPr>
          <w:bCs/>
        </w:rPr>
        <w:t>study</w:t>
      </w:r>
      <w:r w:rsidRPr="00AC6414">
        <w:rPr>
          <w:bCs/>
        </w:rPr>
        <w:t xml:space="preserve"> team will collect and analyze </w:t>
      </w:r>
      <w:r w:rsidR="00A82E5A">
        <w:rPr>
          <w:bCs/>
        </w:rPr>
        <w:t xml:space="preserve">quantitative </w:t>
      </w:r>
      <w:r w:rsidR="00A82E5A">
        <w:rPr>
          <w:bCs/>
        </w:rPr>
        <w:t xml:space="preserve">data from the </w:t>
      </w:r>
      <w:r w:rsidR="00630357">
        <w:rPr>
          <w:bCs/>
        </w:rPr>
        <w:t>Professional Learning Tracker (</w:t>
      </w:r>
      <w:r w:rsidR="00A82E5A">
        <w:rPr>
          <w:bCs/>
        </w:rPr>
        <w:t>PLT</w:t>
      </w:r>
      <w:r w:rsidR="00630357">
        <w:rPr>
          <w:bCs/>
        </w:rPr>
        <w:t>)</w:t>
      </w:r>
      <w:r w:rsidR="00A82E5A">
        <w:rPr>
          <w:bCs/>
        </w:rPr>
        <w:t xml:space="preserve"> and </w:t>
      </w:r>
      <w:r w:rsidR="0027386C">
        <w:rPr>
          <w:bCs/>
        </w:rPr>
        <w:t xml:space="preserve">qualitative </w:t>
      </w:r>
      <w:r w:rsidRPr="00AC6414">
        <w:rPr>
          <w:bCs/>
        </w:rPr>
        <w:t>data from teacher</w:t>
      </w:r>
      <w:r w:rsidR="0027386C">
        <w:rPr>
          <w:bCs/>
        </w:rPr>
        <w:t xml:space="preserve"> </w:t>
      </w:r>
      <w:r w:rsidR="00475EFB">
        <w:rPr>
          <w:bCs/>
        </w:rPr>
        <w:t>and peer facilitator</w:t>
      </w:r>
      <w:r w:rsidR="0027386C">
        <w:rPr>
          <w:bCs/>
        </w:rPr>
        <w:t xml:space="preserve"> focus groups</w:t>
      </w:r>
      <w:r w:rsidR="00D465D5">
        <w:rPr>
          <w:bCs/>
        </w:rPr>
        <w:t xml:space="preserve">. </w:t>
      </w:r>
      <w:r w:rsidR="00C96C39">
        <w:rPr>
          <w:bCs/>
        </w:rPr>
        <w:t xml:space="preserve">The PLT asks teachers Yes/No questions about what Toolkit resources they used and activities they participated in during the PLCs </w:t>
      </w:r>
      <w:r w:rsidR="00A644D2">
        <w:rPr>
          <w:bCs/>
        </w:rPr>
        <w:t>and</w:t>
      </w:r>
      <w:r w:rsidR="00C96C39">
        <w:rPr>
          <w:bCs/>
        </w:rPr>
        <w:t xml:space="preserve"> in their independent work in their classrooms, such as “During today’s PLC session, did you </w:t>
      </w:r>
      <w:r w:rsidR="00C96C39">
        <w:rPr>
          <w:rFonts w:cstheme="minorHAnsi"/>
        </w:rPr>
        <w:t>use a protocol for reflecting on and discussing the video?” and “Before today’s PLC session, did you read relevant sections from the W</w:t>
      </w:r>
      <w:r w:rsidR="00A8047A">
        <w:rPr>
          <w:rFonts w:cstheme="minorHAnsi"/>
        </w:rPr>
        <w:t xml:space="preserve">hat Works Clearinghouse </w:t>
      </w:r>
      <w:r w:rsidR="00C96C39">
        <w:rPr>
          <w:rFonts w:cstheme="minorHAnsi"/>
        </w:rPr>
        <w:t xml:space="preserve">Practice Guide?” It also asks teachers to rate how helpful the resources and activities were for them </w:t>
      </w:r>
      <w:r w:rsidR="00C96C39">
        <w:rPr>
          <w:bCs/>
        </w:rPr>
        <w:t xml:space="preserve">on a Likert scale. </w:t>
      </w:r>
      <w:r w:rsidR="00A52C25">
        <w:rPr>
          <w:bCs/>
        </w:rPr>
        <w:t xml:space="preserve">The study will conduct descriptive analyses of these responses. </w:t>
      </w:r>
      <w:r w:rsidR="00C96C39">
        <w:rPr>
          <w:bCs/>
        </w:rPr>
        <w:t>The focus groups ask teachers more open-ended questions about their experiences in using the Toolkit resources and activities</w:t>
      </w:r>
      <w:r w:rsidR="007F1032">
        <w:rPr>
          <w:bCs/>
        </w:rPr>
        <w:t>, the challenges they encountered</w:t>
      </w:r>
      <w:r w:rsidR="00A52C25">
        <w:rPr>
          <w:bCs/>
        </w:rPr>
        <w:t>,</w:t>
      </w:r>
      <w:r w:rsidR="007F1032">
        <w:rPr>
          <w:bCs/>
        </w:rPr>
        <w:t xml:space="preserve"> and recommendations for improving the Toolkit</w:t>
      </w:r>
      <w:r w:rsidR="00134D29">
        <w:rPr>
          <w:bCs/>
        </w:rPr>
        <w:t>,</w:t>
      </w:r>
      <w:r w:rsidR="00132733">
        <w:rPr>
          <w:bCs/>
        </w:rPr>
        <w:t xml:space="preserve"> such as </w:t>
      </w:r>
      <w:r w:rsidRPr="00743196" w:rsidR="008F7127">
        <w:rPr>
          <w:rFonts w:asciiTheme="majorBidi" w:hAnsiTheme="majorBidi" w:cstheme="majorBidi"/>
          <w:bCs/>
          <w:szCs w:val="22"/>
        </w:rPr>
        <w:t>“How challenging was it for you to take on the PLC activities in addition to your regular classroom and school/district responsibilities?”</w:t>
      </w:r>
      <w:r w:rsidRPr="00743196" w:rsidR="00356A82">
        <w:rPr>
          <w:rFonts w:asciiTheme="majorBidi" w:hAnsiTheme="majorBidi" w:cstheme="majorBidi"/>
          <w:bCs/>
          <w:szCs w:val="22"/>
        </w:rPr>
        <w:t xml:space="preserve"> and “</w:t>
      </w:r>
      <w:r w:rsidRPr="00743196" w:rsidR="005B5C8E">
        <w:rPr>
          <w:rFonts w:asciiTheme="majorBidi" w:hAnsiTheme="majorBidi" w:cstheme="majorBidi"/>
          <w:bCs/>
          <w:szCs w:val="22"/>
        </w:rPr>
        <w:t>What additional supports might have been helpful in making participation in the PLC more manageable?</w:t>
      </w:r>
      <w:r w:rsidRPr="00743196" w:rsidR="00356A82">
        <w:rPr>
          <w:rFonts w:asciiTheme="majorBidi" w:hAnsiTheme="majorBidi" w:cstheme="majorBidi"/>
          <w:bCs/>
          <w:szCs w:val="22"/>
        </w:rPr>
        <w:t xml:space="preserve">” </w:t>
      </w:r>
      <w:r w:rsidR="0091309D">
        <w:rPr>
          <w:rFonts w:asciiTheme="majorBidi" w:hAnsiTheme="majorBidi" w:cstheme="majorBidi"/>
          <w:bCs/>
          <w:szCs w:val="22"/>
        </w:rPr>
        <w:t>T</w:t>
      </w:r>
      <w:r w:rsidRPr="00743196" w:rsidR="00356A82">
        <w:rPr>
          <w:rFonts w:asciiTheme="majorBidi" w:hAnsiTheme="majorBidi" w:cstheme="majorBidi"/>
          <w:bCs/>
          <w:szCs w:val="22"/>
        </w:rPr>
        <w:t xml:space="preserve">he study team will </w:t>
      </w:r>
      <w:r w:rsidRPr="00743196" w:rsidR="008C64FF">
        <w:rPr>
          <w:rFonts w:asciiTheme="majorBidi" w:hAnsiTheme="majorBidi" w:cstheme="majorBidi"/>
          <w:bCs/>
          <w:szCs w:val="22"/>
        </w:rPr>
        <w:t>apply</w:t>
      </w:r>
      <w:r w:rsidRPr="00743196" w:rsidR="0030011A">
        <w:rPr>
          <w:rFonts w:asciiTheme="majorBidi" w:hAnsiTheme="majorBidi" w:cstheme="majorBidi"/>
          <w:bCs/>
          <w:szCs w:val="22"/>
        </w:rPr>
        <w:t xml:space="preserve"> thematic analysis </w:t>
      </w:r>
      <w:r w:rsidRPr="00743196" w:rsidR="0030011A">
        <w:rPr>
          <w:rFonts w:asciiTheme="majorBidi" w:hAnsiTheme="majorBidi" w:cstheme="majorBidi"/>
          <w:bCs/>
          <w:szCs w:val="22"/>
          <w:lang w:val="en"/>
        </w:rPr>
        <w:t xml:space="preserve">(Guest, MacQueen, &amp; </w:t>
      </w:r>
      <w:r w:rsidRPr="00743196" w:rsidR="0030011A">
        <w:rPr>
          <w:rFonts w:asciiTheme="majorBidi" w:hAnsiTheme="majorBidi" w:cstheme="majorBidi"/>
          <w:bCs/>
          <w:szCs w:val="22"/>
          <w:lang w:val="en"/>
        </w:rPr>
        <w:t>Namey</w:t>
      </w:r>
      <w:r w:rsidRPr="00743196" w:rsidR="0030011A">
        <w:rPr>
          <w:rFonts w:asciiTheme="majorBidi" w:hAnsiTheme="majorBidi" w:cstheme="majorBidi"/>
          <w:bCs/>
          <w:szCs w:val="22"/>
          <w:lang w:val="en"/>
        </w:rPr>
        <w:t>, 2012</w:t>
      </w:r>
      <w:r w:rsidR="0030011A">
        <w:rPr>
          <w:rFonts w:asciiTheme="majorBidi" w:hAnsiTheme="majorBidi" w:cstheme="majorBidi"/>
          <w:bCs/>
          <w:szCs w:val="22"/>
          <w:lang w:val="en"/>
        </w:rPr>
        <w:t xml:space="preserve">) to analyze </w:t>
      </w:r>
      <w:r w:rsidRPr="00743196" w:rsidR="00356A82">
        <w:rPr>
          <w:rFonts w:asciiTheme="majorBidi" w:hAnsiTheme="majorBidi" w:cstheme="majorBidi"/>
          <w:bCs/>
          <w:szCs w:val="22"/>
        </w:rPr>
        <w:t>the</w:t>
      </w:r>
      <w:r w:rsidR="00132733">
        <w:rPr>
          <w:rFonts w:asciiTheme="majorBidi" w:hAnsiTheme="majorBidi" w:cstheme="majorBidi"/>
          <w:bCs/>
          <w:szCs w:val="22"/>
        </w:rPr>
        <w:t xml:space="preserve"> focus group</w:t>
      </w:r>
      <w:r w:rsidRPr="00743196" w:rsidR="00356A82">
        <w:rPr>
          <w:rFonts w:asciiTheme="majorBidi" w:hAnsiTheme="majorBidi" w:cstheme="majorBidi"/>
          <w:bCs/>
          <w:szCs w:val="22"/>
        </w:rPr>
        <w:t xml:space="preserve"> responses </w:t>
      </w:r>
      <w:r w:rsidR="0030011A">
        <w:rPr>
          <w:rFonts w:asciiTheme="majorBidi" w:hAnsiTheme="majorBidi" w:cstheme="majorBidi"/>
          <w:bCs/>
          <w:szCs w:val="22"/>
        </w:rPr>
        <w:t xml:space="preserve">in NVivo 12.0. Through this process, the study team will </w:t>
      </w:r>
      <w:r w:rsidRPr="00743196" w:rsidR="0068355E">
        <w:rPr>
          <w:rFonts w:asciiTheme="majorBidi" w:hAnsiTheme="majorBidi" w:cstheme="majorBidi"/>
          <w:bCs/>
          <w:szCs w:val="22"/>
          <w:lang w:val="en"/>
        </w:rPr>
        <w:t>generate a set of themes that emerge in the data</w:t>
      </w:r>
      <w:r w:rsidR="00743196">
        <w:rPr>
          <w:rFonts w:asciiTheme="majorBidi" w:hAnsiTheme="majorBidi" w:cstheme="majorBidi"/>
          <w:bCs/>
          <w:szCs w:val="22"/>
          <w:lang w:val="en"/>
        </w:rPr>
        <w:t xml:space="preserve"> and develop summaries </w:t>
      </w:r>
      <w:r w:rsidR="000C6606">
        <w:rPr>
          <w:rFonts w:asciiTheme="majorBidi" w:hAnsiTheme="majorBidi" w:cstheme="majorBidi"/>
          <w:bCs/>
          <w:szCs w:val="22"/>
          <w:lang w:val="en"/>
        </w:rPr>
        <w:t xml:space="preserve">for the most commonly occurring challenges </w:t>
      </w:r>
      <w:r w:rsidR="0091309D">
        <w:rPr>
          <w:rFonts w:asciiTheme="majorBidi" w:hAnsiTheme="majorBidi" w:cstheme="majorBidi"/>
          <w:bCs/>
          <w:szCs w:val="22"/>
          <w:lang w:val="en"/>
        </w:rPr>
        <w:t>and recommendations for improvement</w:t>
      </w:r>
      <w:r w:rsidR="00A52C25">
        <w:rPr>
          <w:rFonts w:asciiTheme="majorBidi" w:hAnsiTheme="majorBidi" w:cstheme="majorBidi"/>
          <w:bCs/>
          <w:szCs w:val="22"/>
          <w:lang w:val="en"/>
        </w:rPr>
        <w:t>.</w:t>
      </w:r>
      <w:r w:rsidR="00A03FDD">
        <w:rPr>
          <w:rFonts w:asciiTheme="majorBidi" w:hAnsiTheme="majorBidi" w:cstheme="majorBidi"/>
          <w:bCs/>
          <w:szCs w:val="22"/>
          <w:lang w:val="en"/>
        </w:rPr>
        <w:t xml:space="preserve"> The study team will </w:t>
      </w:r>
      <w:r w:rsidRPr="003B4C5D" w:rsidR="00132733">
        <w:rPr>
          <w:bCs/>
        </w:rPr>
        <w:t xml:space="preserve">use </w:t>
      </w:r>
      <w:r w:rsidR="00132733">
        <w:rPr>
          <w:bCs/>
        </w:rPr>
        <w:t>the</w:t>
      </w:r>
      <w:r w:rsidR="009758AB">
        <w:rPr>
          <w:bCs/>
        </w:rPr>
        <w:t xml:space="preserve"> results of the qualitative analysis </w:t>
      </w:r>
      <w:r w:rsidR="00132733">
        <w:rPr>
          <w:bCs/>
        </w:rPr>
        <w:t xml:space="preserve">to </w:t>
      </w:r>
      <w:r w:rsidRPr="003B4C5D" w:rsidR="00132733">
        <w:rPr>
          <w:bCs/>
        </w:rPr>
        <w:t>supplement the quantitative PLT data.</w:t>
      </w:r>
    </w:p>
    <w:p w:rsidR="00C75F0E" w:rsidP="000F026B" w14:paraId="388E1825" w14:textId="534DD902">
      <w:pPr>
        <w:suppressAutoHyphens/>
        <w:rPr>
          <w:rStyle w:val="Heading4Char"/>
          <w:b w:val="0"/>
          <w:bCs/>
          <w:i w:val="0"/>
          <w:iCs/>
          <w:color w:val="000000" w:themeColor="text1"/>
        </w:rPr>
      </w:pPr>
      <w:r w:rsidRPr="00DE2B22">
        <w:rPr>
          <w:b/>
          <w:bCs/>
          <w:i/>
          <w:iCs/>
        </w:rPr>
        <w:t xml:space="preserve">Treatment </w:t>
      </w:r>
      <w:r w:rsidR="00B640F8">
        <w:rPr>
          <w:b/>
          <w:bCs/>
          <w:i/>
          <w:iCs/>
        </w:rPr>
        <w:t>Comparison</w:t>
      </w:r>
      <w:r>
        <w:rPr>
          <w:b/>
          <w:bCs/>
          <w:i/>
          <w:iCs/>
        </w:rPr>
        <w:t xml:space="preserve"> </w:t>
      </w:r>
      <w:r w:rsidRPr="00DE2B22">
        <w:rPr>
          <w:b/>
          <w:bCs/>
          <w:i/>
          <w:iCs/>
        </w:rPr>
        <w:t>Contrast.</w:t>
      </w:r>
      <w:r w:rsidRPr="00DE2B22">
        <w:rPr>
          <w:bCs/>
        </w:rPr>
        <w:t xml:space="preserve"> </w:t>
      </w:r>
      <w:r w:rsidRPr="009A2B95">
        <w:rPr>
          <w:bCs/>
        </w:rPr>
        <w:t xml:space="preserve">To </w:t>
      </w:r>
      <w:r>
        <w:rPr>
          <w:bCs/>
        </w:rPr>
        <w:t xml:space="preserve">assess </w:t>
      </w:r>
      <w:r w:rsidRPr="009A2B95">
        <w:rPr>
          <w:bCs/>
        </w:rPr>
        <w:t xml:space="preserve">contrasts between </w:t>
      </w:r>
      <w:r>
        <w:rPr>
          <w:bCs/>
        </w:rPr>
        <w:t>treatment</w:t>
      </w:r>
      <w:r w:rsidRPr="009A2B95">
        <w:rPr>
          <w:bCs/>
        </w:rPr>
        <w:t xml:space="preserve"> and </w:t>
      </w:r>
      <w:r w:rsidR="00B640F8">
        <w:rPr>
          <w:bCs/>
        </w:rPr>
        <w:t>comparison</w:t>
      </w:r>
      <w:r w:rsidRPr="009A2B95">
        <w:rPr>
          <w:bCs/>
        </w:rPr>
        <w:t xml:space="preserve"> group teachers</w:t>
      </w:r>
      <w:r>
        <w:rPr>
          <w:bCs/>
        </w:rPr>
        <w:t xml:space="preserve"> (RQ I3)</w:t>
      </w:r>
      <w:r w:rsidRPr="009A2B95">
        <w:rPr>
          <w:bCs/>
        </w:rPr>
        <w:t>, the study team will conduct analyses of two key aspects</w:t>
      </w:r>
      <w:r>
        <w:rPr>
          <w:bCs/>
        </w:rPr>
        <w:t xml:space="preserve"> of implementation</w:t>
      </w:r>
      <w:r w:rsidRPr="009A2B95">
        <w:rPr>
          <w:bCs/>
        </w:rPr>
        <w:t xml:space="preserve">: </w:t>
      </w:r>
      <w:r>
        <w:rPr>
          <w:bCs/>
        </w:rPr>
        <w:t xml:space="preserve">1) </w:t>
      </w:r>
      <w:r w:rsidR="00FE0228">
        <w:rPr>
          <w:bCs/>
        </w:rPr>
        <w:t xml:space="preserve">teachers’ receipt of </w:t>
      </w:r>
      <w:r w:rsidR="005856DE">
        <w:rPr>
          <w:bCs/>
        </w:rPr>
        <w:t>professional development and coaching on writing</w:t>
      </w:r>
      <w:r>
        <w:rPr>
          <w:bCs/>
        </w:rPr>
        <w:t xml:space="preserve">; </w:t>
      </w:r>
      <w:r w:rsidRPr="009A2B95">
        <w:rPr>
          <w:bCs/>
        </w:rPr>
        <w:t xml:space="preserve">and </w:t>
      </w:r>
      <w:r>
        <w:rPr>
          <w:bCs/>
        </w:rPr>
        <w:t xml:space="preserve">2) the use of best practices in </w:t>
      </w:r>
      <w:r w:rsidRPr="009A2B95">
        <w:rPr>
          <w:bCs/>
        </w:rPr>
        <w:t>writing</w:t>
      </w:r>
      <w:r>
        <w:rPr>
          <w:bCs/>
        </w:rPr>
        <w:t xml:space="preserve"> instruction</w:t>
      </w:r>
      <w:r w:rsidRPr="009A2B95">
        <w:rPr>
          <w:bCs/>
        </w:rPr>
        <w:t xml:space="preserve"> in the classroom. F</w:t>
      </w:r>
      <w:r w:rsidR="00BC6A10">
        <w:rPr>
          <w:bCs/>
        </w:rPr>
        <w:t xml:space="preserve">or the first aspect, </w:t>
      </w:r>
      <w:r w:rsidRPr="009A2B95">
        <w:rPr>
          <w:bCs/>
        </w:rPr>
        <w:t xml:space="preserve">the study team </w:t>
      </w:r>
      <w:r w:rsidRPr="009A2B95">
        <w:rPr>
          <w:rStyle w:val="Heading4Char"/>
          <w:b w:val="0"/>
          <w:bCs/>
          <w:i w:val="0"/>
          <w:iCs/>
          <w:color w:val="000000" w:themeColor="text1"/>
        </w:rPr>
        <w:t xml:space="preserve">will examine the contrast in the </w:t>
      </w:r>
      <w:r w:rsidR="00224A92">
        <w:rPr>
          <w:rStyle w:val="Heading4Char"/>
          <w:b w:val="0"/>
          <w:bCs/>
          <w:i w:val="0"/>
          <w:iCs/>
          <w:color w:val="000000" w:themeColor="text1"/>
        </w:rPr>
        <w:t>professional development and coaching on writing</w:t>
      </w:r>
      <w:r w:rsidR="00446125">
        <w:rPr>
          <w:rStyle w:val="Heading4Char"/>
          <w:b w:val="0"/>
          <w:bCs/>
          <w:i w:val="0"/>
          <w:iCs/>
          <w:color w:val="000000" w:themeColor="text1"/>
        </w:rPr>
        <w:t xml:space="preserve"> </w:t>
      </w:r>
      <w:r w:rsidRPr="009A2B95">
        <w:rPr>
          <w:rStyle w:val="Heading4Char"/>
          <w:b w:val="0"/>
          <w:bCs/>
          <w:i w:val="0"/>
          <w:iCs/>
          <w:color w:val="000000" w:themeColor="text1"/>
        </w:rPr>
        <w:t xml:space="preserve">received by treatment and </w:t>
      </w:r>
      <w:r w:rsidR="00B640F8">
        <w:rPr>
          <w:rStyle w:val="Heading4Char"/>
          <w:b w:val="0"/>
          <w:bCs/>
          <w:i w:val="0"/>
          <w:iCs/>
          <w:color w:val="000000" w:themeColor="text1"/>
        </w:rPr>
        <w:t>comparison</w:t>
      </w:r>
      <w:r w:rsidRPr="009A2B95">
        <w:rPr>
          <w:rStyle w:val="Heading4Char"/>
          <w:b w:val="0"/>
          <w:bCs/>
          <w:i w:val="0"/>
          <w:iCs/>
          <w:color w:val="000000" w:themeColor="text1"/>
        </w:rPr>
        <w:t xml:space="preserve"> teachers </w:t>
      </w:r>
      <w:r w:rsidR="000028A0">
        <w:rPr>
          <w:rStyle w:val="Heading4Char"/>
          <w:b w:val="0"/>
          <w:bCs/>
          <w:i w:val="0"/>
          <w:iCs/>
          <w:color w:val="000000" w:themeColor="text1"/>
        </w:rPr>
        <w:t xml:space="preserve">(above and beyond the Toolkit for treatment schools) </w:t>
      </w:r>
      <w:r w:rsidRPr="009A2B95">
        <w:rPr>
          <w:rStyle w:val="Heading4Char"/>
          <w:b w:val="0"/>
          <w:bCs/>
          <w:i w:val="0"/>
          <w:iCs/>
          <w:color w:val="000000" w:themeColor="text1"/>
        </w:rPr>
        <w:t xml:space="preserve">by administering a survey to administrators in both treatment and </w:t>
      </w:r>
      <w:r w:rsidR="00B640F8">
        <w:rPr>
          <w:rStyle w:val="Heading4Char"/>
          <w:b w:val="0"/>
          <w:bCs/>
          <w:i w:val="0"/>
          <w:iCs/>
          <w:color w:val="000000" w:themeColor="text1"/>
        </w:rPr>
        <w:t>comparison</w:t>
      </w:r>
      <w:r w:rsidRPr="009A2B95">
        <w:rPr>
          <w:rStyle w:val="Heading4Char"/>
          <w:b w:val="0"/>
          <w:bCs/>
          <w:i w:val="0"/>
          <w:iCs/>
          <w:color w:val="000000" w:themeColor="text1"/>
        </w:rPr>
        <w:t xml:space="preserve"> schools about the types of professional development and coaching on writing that their teachers have received during the </w:t>
      </w:r>
      <w:r w:rsidR="00224A92">
        <w:rPr>
          <w:rStyle w:val="Heading4Char"/>
          <w:b w:val="0"/>
          <w:bCs/>
          <w:i w:val="0"/>
          <w:iCs/>
          <w:color w:val="000000" w:themeColor="text1"/>
        </w:rPr>
        <w:t>2024</w:t>
      </w:r>
      <w:r w:rsidR="00BD1E56">
        <w:rPr>
          <w:rStyle w:val="Heading4Char"/>
          <w:b w:val="0"/>
          <w:bCs/>
          <w:i w:val="0"/>
          <w:iCs/>
          <w:color w:val="000000" w:themeColor="text1"/>
        </w:rPr>
        <w:t>/</w:t>
      </w:r>
      <w:r w:rsidR="00224A92">
        <w:rPr>
          <w:rStyle w:val="Heading4Char"/>
          <w:b w:val="0"/>
          <w:bCs/>
          <w:i w:val="0"/>
          <w:iCs/>
          <w:color w:val="000000" w:themeColor="text1"/>
        </w:rPr>
        <w:t xml:space="preserve">25 school </w:t>
      </w:r>
      <w:r w:rsidRPr="009A2B95">
        <w:rPr>
          <w:rStyle w:val="Heading4Char"/>
          <w:b w:val="0"/>
          <w:bCs/>
          <w:i w:val="0"/>
          <w:iCs/>
          <w:color w:val="000000" w:themeColor="text1"/>
        </w:rPr>
        <w:t>year</w:t>
      </w:r>
      <w:r w:rsidR="000028A0">
        <w:rPr>
          <w:rStyle w:val="Heading4Char"/>
          <w:b w:val="0"/>
          <w:bCs/>
          <w:i w:val="0"/>
          <w:iCs/>
          <w:color w:val="000000" w:themeColor="text1"/>
        </w:rPr>
        <w:t>.</w:t>
      </w:r>
      <w:r w:rsidR="00942AF7">
        <w:rPr>
          <w:rStyle w:val="Heading4Char"/>
          <w:b w:val="0"/>
          <w:bCs/>
          <w:i w:val="0"/>
          <w:iCs/>
          <w:color w:val="000000" w:themeColor="text1"/>
        </w:rPr>
        <w:t xml:space="preserve"> </w:t>
      </w:r>
      <w:r>
        <w:rPr>
          <w:rStyle w:val="Heading4Char"/>
          <w:b w:val="0"/>
          <w:bCs/>
          <w:i w:val="0"/>
          <w:iCs/>
          <w:color w:val="000000" w:themeColor="text1"/>
        </w:rPr>
        <w:t xml:space="preserve">These data will represent professional activities at the </w:t>
      </w:r>
      <w:r w:rsidR="00224A92">
        <w:rPr>
          <w:rStyle w:val="Heading4Char"/>
          <w:b w:val="0"/>
          <w:bCs/>
          <w:i w:val="0"/>
          <w:iCs/>
          <w:color w:val="000000" w:themeColor="text1"/>
        </w:rPr>
        <w:t>school level</w:t>
      </w:r>
      <w:r w:rsidR="000028A0">
        <w:rPr>
          <w:rStyle w:val="Heading4Char"/>
          <w:b w:val="0"/>
          <w:bCs/>
          <w:i w:val="0"/>
          <w:iCs/>
          <w:color w:val="000000" w:themeColor="text1"/>
        </w:rPr>
        <w:t xml:space="preserve"> (</w:t>
      </w:r>
      <w:r w:rsidR="00EB32A4">
        <w:rPr>
          <w:rStyle w:val="Heading4Char"/>
          <w:b w:val="0"/>
          <w:bCs/>
          <w:i w:val="0"/>
          <w:iCs/>
          <w:color w:val="000000" w:themeColor="text1"/>
        </w:rPr>
        <w:t>f</w:t>
      </w:r>
      <w:r w:rsidR="008D54AB">
        <w:rPr>
          <w:rStyle w:val="Heading4Char"/>
          <w:b w:val="0"/>
          <w:bCs/>
          <w:i w:val="0"/>
          <w:iCs/>
          <w:color w:val="000000" w:themeColor="text1"/>
        </w:rPr>
        <w:t>or treatment schoo</w:t>
      </w:r>
      <w:r w:rsidR="004D44CA">
        <w:rPr>
          <w:rStyle w:val="Heading4Char"/>
          <w:b w:val="0"/>
          <w:bCs/>
          <w:i w:val="0"/>
          <w:iCs/>
          <w:color w:val="000000" w:themeColor="text1"/>
        </w:rPr>
        <w:t>ls</w:t>
      </w:r>
      <w:r w:rsidR="00EB32A4">
        <w:rPr>
          <w:rStyle w:val="Heading4Char"/>
          <w:b w:val="0"/>
          <w:bCs/>
          <w:i w:val="0"/>
          <w:iCs/>
          <w:color w:val="000000" w:themeColor="text1"/>
        </w:rPr>
        <w:t>, t</w:t>
      </w:r>
      <w:r w:rsidR="008D54AB">
        <w:rPr>
          <w:rStyle w:val="Heading4Char"/>
          <w:b w:val="0"/>
          <w:bCs/>
          <w:i w:val="0"/>
          <w:iCs/>
          <w:color w:val="000000" w:themeColor="text1"/>
        </w:rPr>
        <w:t xml:space="preserve">he study team will </w:t>
      </w:r>
      <w:r w:rsidR="000028A0">
        <w:rPr>
          <w:rStyle w:val="Heading4Char"/>
          <w:b w:val="0"/>
          <w:bCs/>
          <w:i w:val="0"/>
          <w:iCs/>
          <w:color w:val="000000" w:themeColor="text1"/>
        </w:rPr>
        <w:t xml:space="preserve">also </w:t>
      </w:r>
      <w:r w:rsidR="008D54AB">
        <w:rPr>
          <w:rStyle w:val="Heading4Char"/>
          <w:b w:val="0"/>
          <w:bCs/>
          <w:i w:val="0"/>
          <w:iCs/>
          <w:color w:val="000000" w:themeColor="text1"/>
        </w:rPr>
        <w:t>include the Toolkit</w:t>
      </w:r>
      <w:r w:rsidR="00D14440">
        <w:rPr>
          <w:rStyle w:val="Heading4Char"/>
          <w:b w:val="0"/>
          <w:bCs/>
          <w:i w:val="0"/>
          <w:iCs/>
          <w:color w:val="000000" w:themeColor="text1"/>
        </w:rPr>
        <w:t xml:space="preserve"> professional development and coaching</w:t>
      </w:r>
      <w:r w:rsidR="000028A0">
        <w:rPr>
          <w:rStyle w:val="Heading4Char"/>
          <w:b w:val="0"/>
          <w:bCs/>
          <w:i w:val="0"/>
          <w:iCs/>
          <w:color w:val="000000" w:themeColor="text1"/>
        </w:rPr>
        <w:t>)</w:t>
      </w:r>
      <w:r w:rsidR="00224A92">
        <w:rPr>
          <w:rStyle w:val="Heading4Char"/>
          <w:b w:val="0"/>
          <w:bCs/>
          <w:i w:val="0"/>
          <w:iCs/>
          <w:color w:val="000000" w:themeColor="text1"/>
        </w:rPr>
        <w:t xml:space="preserve">. Because teachers may have also </w:t>
      </w:r>
      <w:r w:rsidR="000028A0">
        <w:rPr>
          <w:rStyle w:val="Heading4Char"/>
          <w:b w:val="0"/>
          <w:bCs/>
          <w:i w:val="0"/>
          <w:iCs/>
          <w:color w:val="000000" w:themeColor="text1"/>
        </w:rPr>
        <w:t xml:space="preserve">individually </w:t>
      </w:r>
      <w:r w:rsidR="00224A92">
        <w:rPr>
          <w:rStyle w:val="Heading4Char"/>
          <w:b w:val="0"/>
          <w:bCs/>
          <w:i w:val="0"/>
          <w:iCs/>
          <w:color w:val="000000" w:themeColor="text1"/>
        </w:rPr>
        <w:t xml:space="preserve">pursued </w:t>
      </w:r>
      <w:r w:rsidR="003E2DA4">
        <w:rPr>
          <w:rStyle w:val="Heading4Char"/>
          <w:b w:val="0"/>
          <w:bCs/>
          <w:i w:val="0"/>
          <w:iCs/>
          <w:color w:val="000000" w:themeColor="text1"/>
        </w:rPr>
        <w:t xml:space="preserve">professional development and/or coaching </w:t>
      </w:r>
      <w:r w:rsidR="000028A0">
        <w:rPr>
          <w:rStyle w:val="Heading4Char"/>
          <w:b w:val="0"/>
          <w:bCs/>
          <w:i w:val="0"/>
          <w:iCs/>
          <w:color w:val="000000" w:themeColor="text1"/>
        </w:rPr>
        <w:t>outside of their school</w:t>
      </w:r>
      <w:r w:rsidR="003E2DA4">
        <w:rPr>
          <w:rStyle w:val="Heading4Char"/>
          <w:b w:val="0"/>
          <w:bCs/>
          <w:i w:val="0"/>
          <w:iCs/>
          <w:color w:val="000000" w:themeColor="text1"/>
        </w:rPr>
        <w:t xml:space="preserve">, </w:t>
      </w:r>
      <w:r w:rsidR="00A203F0">
        <w:rPr>
          <w:rStyle w:val="Heading4Char"/>
          <w:b w:val="0"/>
          <w:bCs/>
          <w:i w:val="0"/>
          <w:iCs/>
          <w:color w:val="000000" w:themeColor="text1"/>
        </w:rPr>
        <w:t xml:space="preserve">the </w:t>
      </w:r>
      <w:r w:rsidR="00E830DD">
        <w:rPr>
          <w:rStyle w:val="Heading4Char"/>
          <w:b w:val="0"/>
          <w:bCs/>
          <w:i w:val="0"/>
          <w:iCs/>
          <w:color w:val="000000" w:themeColor="text1"/>
        </w:rPr>
        <w:t>second teacher log (in February 2025)</w:t>
      </w:r>
      <w:r w:rsidR="00A203F0">
        <w:rPr>
          <w:rStyle w:val="Heading4Char"/>
          <w:b w:val="0"/>
          <w:bCs/>
          <w:i w:val="0"/>
          <w:iCs/>
          <w:color w:val="000000" w:themeColor="text1"/>
        </w:rPr>
        <w:t xml:space="preserve"> asks</w:t>
      </w:r>
      <w:r w:rsidR="00082B3D">
        <w:rPr>
          <w:rStyle w:val="Heading4Char"/>
          <w:b w:val="0"/>
          <w:bCs/>
          <w:i w:val="0"/>
          <w:iCs/>
          <w:color w:val="000000" w:themeColor="text1"/>
        </w:rPr>
        <w:t xml:space="preserve"> treatment and </w:t>
      </w:r>
      <w:r w:rsidR="00B640F8">
        <w:rPr>
          <w:rStyle w:val="Heading4Char"/>
          <w:b w:val="0"/>
          <w:bCs/>
          <w:i w:val="0"/>
          <w:iCs/>
          <w:color w:val="000000" w:themeColor="text1"/>
        </w:rPr>
        <w:t>comparison</w:t>
      </w:r>
      <w:r w:rsidR="00A203F0">
        <w:rPr>
          <w:rStyle w:val="Heading4Char"/>
          <w:b w:val="0"/>
          <w:bCs/>
          <w:i w:val="0"/>
          <w:iCs/>
          <w:color w:val="000000" w:themeColor="text1"/>
        </w:rPr>
        <w:t xml:space="preserve"> teachers about </w:t>
      </w:r>
      <w:r w:rsidR="00446125">
        <w:rPr>
          <w:rStyle w:val="Heading4Char"/>
          <w:b w:val="0"/>
          <w:bCs/>
          <w:i w:val="0"/>
          <w:iCs/>
          <w:color w:val="000000" w:themeColor="text1"/>
        </w:rPr>
        <w:t xml:space="preserve">any </w:t>
      </w:r>
      <w:r w:rsidR="009A2658">
        <w:rPr>
          <w:rStyle w:val="Heading4Char"/>
          <w:b w:val="0"/>
          <w:bCs/>
          <w:i w:val="0"/>
          <w:iCs/>
          <w:color w:val="000000" w:themeColor="text1"/>
        </w:rPr>
        <w:t xml:space="preserve">professional support on writing </w:t>
      </w:r>
      <w:r w:rsidR="00A203F0">
        <w:rPr>
          <w:rStyle w:val="Heading4Char"/>
          <w:b w:val="0"/>
          <w:bCs/>
          <w:i w:val="0"/>
          <w:iCs/>
          <w:color w:val="000000" w:themeColor="text1"/>
        </w:rPr>
        <w:t xml:space="preserve">they have received </w:t>
      </w:r>
      <w:r w:rsidR="00D14440">
        <w:rPr>
          <w:rStyle w:val="Heading4Char"/>
          <w:b w:val="0"/>
          <w:bCs/>
          <w:i w:val="0"/>
          <w:iCs/>
          <w:color w:val="000000" w:themeColor="text1"/>
        </w:rPr>
        <w:t>(above and beyond the Toolki</w:t>
      </w:r>
      <w:r w:rsidR="004D44CA">
        <w:rPr>
          <w:rStyle w:val="Heading4Char"/>
          <w:b w:val="0"/>
          <w:bCs/>
          <w:i w:val="0"/>
          <w:iCs/>
          <w:color w:val="000000" w:themeColor="text1"/>
        </w:rPr>
        <w:t>t for treatment teachers</w:t>
      </w:r>
      <w:r w:rsidR="00D14440">
        <w:rPr>
          <w:rStyle w:val="Heading4Char"/>
          <w:b w:val="0"/>
          <w:bCs/>
          <w:i w:val="0"/>
          <w:iCs/>
          <w:color w:val="000000" w:themeColor="text1"/>
        </w:rPr>
        <w:t xml:space="preserve">) </w:t>
      </w:r>
      <w:r w:rsidR="00A203F0">
        <w:rPr>
          <w:rStyle w:val="Heading4Char"/>
          <w:b w:val="0"/>
          <w:bCs/>
          <w:i w:val="0"/>
          <w:iCs/>
          <w:color w:val="000000" w:themeColor="text1"/>
        </w:rPr>
        <w:t>during the 202</w:t>
      </w:r>
      <w:r w:rsidR="00F41702">
        <w:rPr>
          <w:rStyle w:val="Heading4Char"/>
          <w:b w:val="0"/>
          <w:bCs/>
          <w:i w:val="0"/>
          <w:iCs/>
          <w:color w:val="000000" w:themeColor="text1"/>
        </w:rPr>
        <w:t>4</w:t>
      </w:r>
      <w:r w:rsidR="00EA7A15">
        <w:rPr>
          <w:rStyle w:val="Heading4Char"/>
          <w:b w:val="0"/>
          <w:bCs/>
          <w:i w:val="0"/>
          <w:iCs/>
          <w:color w:val="000000" w:themeColor="text1"/>
        </w:rPr>
        <w:t>/</w:t>
      </w:r>
      <w:r w:rsidR="00A203F0">
        <w:rPr>
          <w:rStyle w:val="Heading4Char"/>
          <w:b w:val="0"/>
          <w:bCs/>
          <w:i w:val="0"/>
          <w:iCs/>
          <w:color w:val="000000" w:themeColor="text1"/>
        </w:rPr>
        <w:t>25 school year</w:t>
      </w:r>
      <w:r w:rsidR="00E830DD">
        <w:rPr>
          <w:rStyle w:val="Heading4Char"/>
          <w:b w:val="0"/>
          <w:bCs/>
          <w:i w:val="0"/>
          <w:iCs/>
          <w:color w:val="000000" w:themeColor="text1"/>
        </w:rPr>
        <w:t xml:space="preserve">. </w:t>
      </w:r>
      <w:r w:rsidRPr="00017537" w:rsidR="00E830DD">
        <w:rPr>
          <w:rStyle w:val="Heading4Char"/>
          <w:b w:val="0"/>
          <w:bCs/>
          <w:i w:val="0"/>
          <w:iCs/>
          <w:color w:val="000000" w:themeColor="text1"/>
        </w:rPr>
        <w:t xml:space="preserve">The study </w:t>
      </w:r>
      <w:r w:rsidRPr="00017537" w:rsidR="00082B3D">
        <w:rPr>
          <w:rStyle w:val="Heading4Char"/>
          <w:b w:val="0"/>
          <w:bCs/>
          <w:i w:val="0"/>
          <w:iCs/>
          <w:color w:val="000000" w:themeColor="text1"/>
        </w:rPr>
        <w:t>te</w:t>
      </w:r>
      <w:r w:rsidRPr="00017537" w:rsidR="004459B0">
        <w:rPr>
          <w:rStyle w:val="Heading4Char"/>
          <w:b w:val="0"/>
          <w:bCs/>
          <w:i w:val="0"/>
          <w:iCs/>
          <w:color w:val="000000" w:themeColor="text1"/>
        </w:rPr>
        <w:t xml:space="preserve">am will </w:t>
      </w:r>
      <w:r w:rsidR="00B0668F">
        <w:rPr>
          <w:rStyle w:val="Heading4Char"/>
          <w:b w:val="0"/>
          <w:bCs/>
          <w:i w:val="0"/>
          <w:iCs/>
          <w:color w:val="000000" w:themeColor="text1"/>
        </w:rPr>
        <w:t xml:space="preserve">combine these two </w:t>
      </w:r>
      <w:r w:rsidR="00BC6A10">
        <w:rPr>
          <w:rStyle w:val="Heading4Char"/>
          <w:b w:val="0"/>
          <w:bCs/>
          <w:i w:val="0"/>
          <w:iCs/>
          <w:color w:val="000000" w:themeColor="text1"/>
        </w:rPr>
        <w:t xml:space="preserve">data sources </w:t>
      </w:r>
      <w:r w:rsidR="00EB32A4">
        <w:rPr>
          <w:rStyle w:val="Heading4Char"/>
          <w:b w:val="0"/>
          <w:bCs/>
          <w:i w:val="0"/>
          <w:iCs/>
          <w:color w:val="000000" w:themeColor="text1"/>
        </w:rPr>
        <w:t>(school and individual teacher</w:t>
      </w:r>
      <w:r w:rsidR="00763DFB">
        <w:rPr>
          <w:rStyle w:val="Heading4Char"/>
          <w:b w:val="0"/>
          <w:bCs/>
          <w:i w:val="0"/>
          <w:iCs/>
          <w:color w:val="000000" w:themeColor="text1"/>
        </w:rPr>
        <w:t>-</w:t>
      </w:r>
      <w:r w:rsidR="00EB32A4">
        <w:rPr>
          <w:rStyle w:val="Heading4Char"/>
          <w:b w:val="0"/>
          <w:bCs/>
          <w:i w:val="0"/>
          <w:iCs/>
          <w:color w:val="000000" w:themeColor="text1"/>
        </w:rPr>
        <w:t>level</w:t>
      </w:r>
      <w:r w:rsidR="000028A0">
        <w:rPr>
          <w:rStyle w:val="Heading4Char"/>
          <w:b w:val="0"/>
          <w:bCs/>
          <w:i w:val="0"/>
          <w:iCs/>
          <w:color w:val="000000" w:themeColor="text1"/>
        </w:rPr>
        <w:t xml:space="preserve"> reports of </w:t>
      </w:r>
      <w:r w:rsidR="00C71882">
        <w:rPr>
          <w:rStyle w:val="Heading4Char"/>
          <w:b w:val="0"/>
          <w:bCs/>
          <w:i w:val="0"/>
          <w:iCs/>
          <w:color w:val="000000" w:themeColor="text1"/>
        </w:rPr>
        <w:t>receipt of professional development and coaching on writing</w:t>
      </w:r>
      <w:r w:rsidR="00EB32A4">
        <w:rPr>
          <w:rStyle w:val="Heading4Char"/>
          <w:b w:val="0"/>
          <w:bCs/>
          <w:i w:val="0"/>
          <w:iCs/>
          <w:color w:val="000000" w:themeColor="text1"/>
        </w:rPr>
        <w:t xml:space="preserve">) for each teacher </w:t>
      </w:r>
      <w:r w:rsidR="00FC0057">
        <w:rPr>
          <w:rStyle w:val="Heading4Char"/>
          <w:b w:val="0"/>
          <w:bCs/>
          <w:i w:val="0"/>
          <w:iCs/>
          <w:color w:val="000000" w:themeColor="text1"/>
        </w:rPr>
        <w:t xml:space="preserve">to create a new variable </w:t>
      </w:r>
      <w:r w:rsidR="00C71882">
        <w:rPr>
          <w:rStyle w:val="Heading4Char"/>
          <w:b w:val="0"/>
          <w:bCs/>
          <w:i w:val="0"/>
          <w:iCs/>
          <w:color w:val="000000" w:themeColor="text1"/>
        </w:rPr>
        <w:t>to use in</w:t>
      </w:r>
      <w:r w:rsidR="001C5A07">
        <w:rPr>
          <w:rStyle w:val="Heading4Char"/>
          <w:b w:val="0"/>
          <w:bCs/>
          <w:i w:val="0"/>
          <w:iCs/>
          <w:color w:val="000000" w:themeColor="text1"/>
        </w:rPr>
        <w:t xml:space="preserve"> </w:t>
      </w:r>
      <w:r w:rsidR="00EB32A4">
        <w:rPr>
          <w:rStyle w:val="Heading4Char"/>
          <w:b w:val="0"/>
          <w:bCs/>
          <w:i w:val="0"/>
          <w:iCs/>
          <w:color w:val="000000" w:themeColor="text1"/>
        </w:rPr>
        <w:t xml:space="preserve">the </w:t>
      </w:r>
      <w:r w:rsidR="00310EA3">
        <w:rPr>
          <w:rStyle w:val="Heading4Char"/>
          <w:b w:val="0"/>
          <w:bCs/>
          <w:i w:val="0"/>
          <w:iCs/>
          <w:color w:val="000000" w:themeColor="text1"/>
        </w:rPr>
        <w:t xml:space="preserve">treatment </w:t>
      </w:r>
      <w:r w:rsidR="00B640F8">
        <w:rPr>
          <w:rStyle w:val="Heading4Char"/>
          <w:b w:val="0"/>
          <w:bCs/>
          <w:i w:val="0"/>
          <w:iCs/>
          <w:color w:val="000000" w:themeColor="text1"/>
        </w:rPr>
        <w:t>comparison</w:t>
      </w:r>
      <w:r w:rsidR="00310EA3">
        <w:rPr>
          <w:rStyle w:val="Heading4Char"/>
          <w:b w:val="0"/>
          <w:bCs/>
          <w:i w:val="0"/>
          <w:iCs/>
          <w:color w:val="000000" w:themeColor="text1"/>
        </w:rPr>
        <w:t xml:space="preserve"> contrast analysis</w:t>
      </w:r>
      <w:r w:rsidR="00FC0057">
        <w:rPr>
          <w:rStyle w:val="Heading4Char"/>
          <w:b w:val="0"/>
          <w:bCs/>
          <w:i w:val="0"/>
          <w:iCs/>
          <w:color w:val="000000" w:themeColor="text1"/>
        </w:rPr>
        <w:t xml:space="preserve">. </w:t>
      </w:r>
      <w:r w:rsidR="00BC6A10">
        <w:rPr>
          <w:rStyle w:val="Heading4Char"/>
          <w:b w:val="0"/>
          <w:bCs/>
          <w:i w:val="0"/>
          <w:iCs/>
          <w:color w:val="000000" w:themeColor="text1"/>
        </w:rPr>
        <w:t>For the second aspect</w:t>
      </w:r>
      <w:r w:rsidRPr="009A2B95">
        <w:rPr>
          <w:rStyle w:val="Heading4Char"/>
          <w:b w:val="0"/>
          <w:bCs/>
          <w:i w:val="0"/>
          <w:iCs/>
          <w:color w:val="000000" w:themeColor="text1"/>
        </w:rPr>
        <w:t xml:space="preserve">, the study team will examine the contrast in the writing instruction implemented by treatment and </w:t>
      </w:r>
      <w:r w:rsidR="00B640F8">
        <w:rPr>
          <w:rStyle w:val="Heading4Char"/>
          <w:b w:val="0"/>
          <w:bCs/>
          <w:i w:val="0"/>
          <w:iCs/>
          <w:color w:val="000000" w:themeColor="text1"/>
        </w:rPr>
        <w:t>comparison</w:t>
      </w:r>
      <w:r w:rsidRPr="009A2B95">
        <w:rPr>
          <w:rStyle w:val="Heading4Char"/>
          <w:b w:val="0"/>
          <w:bCs/>
          <w:i w:val="0"/>
          <w:iCs/>
          <w:color w:val="000000" w:themeColor="text1"/>
        </w:rPr>
        <w:t xml:space="preserve"> teachers using data from the </w:t>
      </w:r>
      <w:r w:rsidRPr="009A2B95">
        <w:rPr>
          <w:rStyle w:val="Heading4Char"/>
          <w:b w:val="0"/>
          <w:i w:val="0"/>
          <w:iCs/>
          <w:color w:val="000000" w:themeColor="text1"/>
        </w:rPr>
        <w:t>teacher log, which asks teachers about their implementation of best practices in writing instructio</w:t>
      </w:r>
      <w:r>
        <w:rPr>
          <w:rStyle w:val="Heading4Char"/>
          <w:b w:val="0"/>
          <w:i w:val="0"/>
          <w:iCs/>
          <w:color w:val="000000" w:themeColor="text1"/>
        </w:rPr>
        <w:t>n</w:t>
      </w:r>
      <w:r w:rsidRPr="009A2B95">
        <w:rPr>
          <w:rStyle w:val="Heading4Char"/>
          <w:b w:val="0"/>
          <w:i w:val="0"/>
          <w:iCs/>
          <w:color w:val="000000" w:themeColor="text1"/>
        </w:rPr>
        <w:t>.</w:t>
      </w:r>
      <w:r w:rsidR="00BC6A10">
        <w:rPr>
          <w:rStyle w:val="Heading4Char"/>
          <w:b w:val="0"/>
          <w:i w:val="0"/>
          <w:iCs/>
          <w:color w:val="000000" w:themeColor="text1"/>
        </w:rPr>
        <w:t xml:space="preserve"> </w:t>
      </w:r>
      <w:r>
        <w:rPr>
          <w:rStyle w:val="Heading4Char"/>
          <w:b w:val="0"/>
          <w:i w:val="0"/>
          <w:iCs/>
          <w:color w:val="000000" w:themeColor="text1"/>
        </w:rPr>
        <w:t xml:space="preserve">The </w:t>
      </w:r>
      <w:r w:rsidR="00E70C39">
        <w:rPr>
          <w:rStyle w:val="Heading4Char"/>
          <w:b w:val="0"/>
          <w:i w:val="0"/>
          <w:iCs/>
          <w:color w:val="000000" w:themeColor="text1"/>
        </w:rPr>
        <w:t>analysis</w:t>
      </w:r>
      <w:r>
        <w:rPr>
          <w:rStyle w:val="Heading4Char"/>
          <w:b w:val="0"/>
          <w:i w:val="0"/>
          <w:iCs/>
          <w:color w:val="000000" w:themeColor="text1"/>
        </w:rPr>
        <w:t xml:space="preserve"> a</w:t>
      </w:r>
      <w:r w:rsidR="00E70C39">
        <w:rPr>
          <w:rStyle w:val="Heading4Char"/>
          <w:b w:val="0"/>
          <w:i w:val="0"/>
          <w:iCs/>
          <w:color w:val="000000" w:themeColor="text1"/>
        </w:rPr>
        <w:t>pproach</w:t>
      </w:r>
      <w:r>
        <w:rPr>
          <w:rStyle w:val="Heading4Char"/>
          <w:b w:val="0"/>
          <w:i w:val="0"/>
          <w:iCs/>
          <w:color w:val="000000" w:themeColor="text1"/>
        </w:rPr>
        <w:t xml:space="preserve"> </w:t>
      </w:r>
      <w:r w:rsidR="00BC6A10">
        <w:rPr>
          <w:rStyle w:val="Heading4Char"/>
          <w:b w:val="0"/>
          <w:i w:val="0"/>
          <w:iCs/>
          <w:color w:val="000000" w:themeColor="text1"/>
        </w:rPr>
        <w:t xml:space="preserve">for </w:t>
      </w:r>
      <w:r w:rsidR="00E70C39">
        <w:rPr>
          <w:rStyle w:val="Heading4Char"/>
          <w:b w:val="0"/>
          <w:i w:val="0"/>
          <w:iCs/>
          <w:color w:val="000000" w:themeColor="text1"/>
        </w:rPr>
        <w:t xml:space="preserve">both these aspects of implementation </w:t>
      </w:r>
      <w:r>
        <w:rPr>
          <w:rStyle w:val="Heading4Char"/>
          <w:b w:val="0"/>
          <w:i w:val="0"/>
          <w:iCs/>
          <w:color w:val="000000" w:themeColor="text1"/>
        </w:rPr>
        <w:t>is explained above under Teacher Outcomes</w:t>
      </w:r>
      <w:r w:rsidR="00E70C39">
        <w:rPr>
          <w:rStyle w:val="Heading4Char"/>
          <w:b w:val="0"/>
          <w:i w:val="0"/>
          <w:iCs/>
          <w:color w:val="000000" w:themeColor="text1"/>
        </w:rPr>
        <w:t xml:space="preserve">. </w:t>
      </w:r>
      <w:r w:rsidRPr="009A2B95">
        <w:rPr>
          <w:rStyle w:val="Heading4Char"/>
          <w:b w:val="0"/>
          <w:bCs/>
          <w:i w:val="0"/>
          <w:iCs/>
          <w:color w:val="000000" w:themeColor="text1"/>
        </w:rPr>
        <w:t xml:space="preserve">The data collected from the administrator survey and the </w:t>
      </w:r>
      <w:r w:rsidR="00E70C39">
        <w:rPr>
          <w:rStyle w:val="Heading4Char"/>
          <w:b w:val="0"/>
          <w:bCs/>
          <w:i w:val="0"/>
          <w:iCs/>
          <w:color w:val="000000" w:themeColor="text1"/>
        </w:rPr>
        <w:t xml:space="preserve">teacher </w:t>
      </w:r>
      <w:r w:rsidRPr="009A2B95">
        <w:rPr>
          <w:rStyle w:val="Heading4Char"/>
          <w:b w:val="0"/>
          <w:bCs/>
          <w:i w:val="0"/>
          <w:iCs/>
          <w:color w:val="000000" w:themeColor="text1"/>
        </w:rPr>
        <w:t xml:space="preserve">log will </w:t>
      </w:r>
      <w:r>
        <w:rPr>
          <w:rStyle w:val="Heading4Char"/>
          <w:b w:val="0"/>
          <w:bCs/>
          <w:i w:val="0"/>
          <w:iCs/>
          <w:color w:val="000000" w:themeColor="text1"/>
        </w:rPr>
        <w:t xml:space="preserve">also </w:t>
      </w:r>
      <w:r w:rsidRPr="009A2B95">
        <w:rPr>
          <w:rStyle w:val="Heading4Char"/>
          <w:b w:val="0"/>
          <w:bCs/>
          <w:i w:val="0"/>
          <w:iCs/>
          <w:color w:val="000000" w:themeColor="text1"/>
        </w:rPr>
        <w:t>provide insights into what “business as usual” looks like in the counterfactual.</w:t>
      </w:r>
      <w:r>
        <w:rPr>
          <w:rStyle w:val="Heading4Char"/>
          <w:b w:val="0"/>
          <w:bCs/>
          <w:i w:val="0"/>
          <w:iCs/>
          <w:color w:val="000000" w:themeColor="text1"/>
        </w:rPr>
        <w:t xml:space="preserve"> </w:t>
      </w:r>
    </w:p>
    <w:p w:rsidR="007921DA" w:rsidP="007921DA" w14:paraId="06B19DCB" w14:textId="68ADE336">
      <w:pPr>
        <w:pStyle w:val="Heading3"/>
      </w:pPr>
      <w:bookmarkStart w:id="10" w:name="_Toc127438112"/>
      <w:r>
        <w:t xml:space="preserve">Degree </w:t>
      </w:r>
      <w:r>
        <w:t>of Accuracy</w:t>
      </w:r>
      <w:r>
        <w:t xml:space="preserve"> Needed</w:t>
      </w:r>
      <w:bookmarkEnd w:id="10"/>
    </w:p>
    <w:p w:rsidR="009B3177" w:rsidP="00C83FEB" w14:paraId="576F75AC" w14:textId="32C27CF5">
      <w:pPr>
        <w:pStyle w:val="BodyText"/>
        <w:rPr>
          <w:lang w:val="en"/>
        </w:rPr>
      </w:pPr>
      <w:r>
        <w:rPr>
          <w:lang w:val="en"/>
        </w:rPr>
        <w:t xml:space="preserve">The study team used </w:t>
      </w:r>
      <w:r w:rsidRPr="0029148B" w:rsidR="0029148B">
        <w:rPr>
          <w:lang w:val="en"/>
        </w:rPr>
        <w:t xml:space="preserve">school-level enrollment data from </w:t>
      </w:r>
      <w:r w:rsidR="00244E97">
        <w:rPr>
          <w:lang w:val="en"/>
        </w:rPr>
        <w:t xml:space="preserve">HIDOE for </w:t>
      </w:r>
      <w:r w:rsidRPr="0029148B" w:rsidR="0029148B">
        <w:rPr>
          <w:lang w:val="en"/>
        </w:rPr>
        <w:t>the 2021/22 school year</w:t>
      </w:r>
      <w:r w:rsidR="00244E97">
        <w:rPr>
          <w:lang w:val="en"/>
        </w:rPr>
        <w:t xml:space="preserve"> </w:t>
      </w:r>
      <w:r w:rsidRPr="0029148B" w:rsidR="0029148B">
        <w:rPr>
          <w:lang w:val="en"/>
        </w:rPr>
        <w:t xml:space="preserve">to identify the </w:t>
      </w:r>
      <w:r w:rsidR="00C01B94">
        <w:rPr>
          <w:lang w:val="en"/>
        </w:rPr>
        <w:t>schools that are eligible for the recruitment pool (schools</w:t>
      </w:r>
      <w:r w:rsidRPr="00C01B94" w:rsidR="00C01B94">
        <w:rPr>
          <w:lang w:val="en"/>
        </w:rPr>
        <w:t xml:space="preserve"> that employ at least two ELA teachers in at least one of the target grades </w:t>
      </w:r>
      <w:r w:rsidR="00862C7D">
        <w:rPr>
          <w:lang w:val="en"/>
        </w:rPr>
        <w:t xml:space="preserve">of </w:t>
      </w:r>
      <w:r w:rsidRPr="00C01B94" w:rsidR="00C01B94">
        <w:rPr>
          <w:lang w:val="en"/>
        </w:rPr>
        <w:t>6–8).</w:t>
      </w:r>
      <w:r w:rsidR="00C01B94">
        <w:rPr>
          <w:lang w:val="en"/>
        </w:rPr>
        <w:t xml:space="preserve"> </w:t>
      </w:r>
      <w:r w:rsidR="0068092F">
        <w:rPr>
          <w:lang w:val="en"/>
        </w:rPr>
        <w:t>The student</w:t>
      </w:r>
      <w:r w:rsidRPr="0026564A" w:rsidR="0026564A">
        <w:rPr>
          <w:lang w:val="en"/>
        </w:rPr>
        <w:t xml:space="preserve"> impact will be estimated as the difference in the school means</w:t>
      </w:r>
      <w:r w:rsidRPr="0026564A" w:rsidR="0026564A">
        <w:rPr>
          <w:lang w:val="en"/>
        </w:rPr>
        <w:t xml:space="preserve"> </w:t>
      </w:r>
      <w:r w:rsidRPr="0026564A" w:rsidR="0026564A">
        <w:rPr>
          <w:lang w:val="en"/>
        </w:rPr>
        <w:t xml:space="preserve">of the SBA Writing score between the treatment and </w:t>
      </w:r>
      <w:r w:rsidR="00B640F8">
        <w:rPr>
          <w:lang w:val="en"/>
        </w:rPr>
        <w:t>comparison</w:t>
      </w:r>
      <w:r w:rsidRPr="0026564A" w:rsidR="0026564A">
        <w:rPr>
          <w:lang w:val="en"/>
        </w:rPr>
        <w:t xml:space="preserve"> schools. As such, the power analysis is based on a simple independent t-test comparing 20 treatment schools and 20 </w:t>
      </w:r>
      <w:r w:rsidR="00B640F8">
        <w:rPr>
          <w:lang w:val="en"/>
        </w:rPr>
        <w:t>comparison</w:t>
      </w:r>
      <w:r w:rsidRPr="00C83FEB" w:rsidR="00C83FEB">
        <w:rPr>
          <w:lang w:val="en"/>
        </w:rPr>
        <w:t xml:space="preserve"> schools</w:t>
      </w:r>
      <w:r w:rsidR="00E9584A">
        <w:rPr>
          <w:lang w:val="en"/>
        </w:rPr>
        <w:t xml:space="preserve"> using formulas found in</w:t>
      </w:r>
      <w:r w:rsidRPr="00C83FEB" w:rsidR="00C83FEB">
        <w:rPr>
          <w:lang w:val="en"/>
        </w:rPr>
        <w:t xml:space="preserve"> </w:t>
      </w:r>
      <w:r w:rsidRPr="00C83FEB" w:rsidR="00C83FEB">
        <w:t>Hedges &amp; Rhoads (2010).</w:t>
      </w:r>
      <w:r w:rsidRPr="00C83FEB" w:rsidR="00C83FEB">
        <w:rPr>
          <w:lang w:val="en"/>
        </w:rPr>
        <w:t xml:space="preserve"> </w:t>
      </w:r>
      <w:r w:rsidRPr="0026564A" w:rsidR="0026564A">
        <w:rPr>
          <w:lang w:val="en"/>
        </w:rPr>
        <w:t xml:space="preserve">The minimum detectable difference, based on including a covariate measuring each school’s average Writing score from the previous year </w:t>
      </w:r>
      <w:r w:rsidR="006632D0">
        <w:rPr>
          <w:lang w:val="en"/>
        </w:rPr>
        <w:t>and</w:t>
      </w:r>
      <w:r w:rsidRPr="0026564A" w:rsidR="0026564A">
        <w:rPr>
          <w:lang w:val="en"/>
        </w:rPr>
        <w:t xml:space="preserve"> </w:t>
      </w:r>
      <w:r w:rsidRPr="0026564A" w:rsidR="0026564A">
        <w:rPr>
          <w:lang w:val="en"/>
        </w:rPr>
        <w:t xml:space="preserve">randomization blocks, is expected to explain 80 percent of the residual variance (see Hedges &amp; Hedberg </w:t>
      </w:r>
      <w:r w:rsidR="00E9584A">
        <w:rPr>
          <w:lang w:val="en"/>
        </w:rPr>
        <w:t>[</w:t>
      </w:r>
      <w:r w:rsidRPr="0026564A" w:rsidR="0026564A">
        <w:rPr>
          <w:lang w:val="en"/>
        </w:rPr>
        <w:t>2013] Table 8, which indicates .80 is a typical value for within-district school-level reading score pretest R-squares; to our knowledge, design parameters for writing are not available in the literature), which leads to an effective minimum detectable effect size (MDES) of 0.41 (</w:t>
      </w:r>
      <m:oMath>
        <m:r>
          <w:rPr>
            <w:rFonts w:ascii="Cambria Math" w:hAnsi="Cambria Math"/>
            <w:lang w:val="en"/>
          </w:rPr>
          <m:t>0.91×</m:t>
        </m:r>
        <m:rad>
          <m:radPr>
            <m:degHide/>
            <m:ctrlPr>
              <w:rPr>
                <w:rFonts w:ascii="Cambria Math" w:hAnsi="Cambria Math"/>
                <w:i/>
                <w:lang w:val="en"/>
              </w:rPr>
            </m:ctrlPr>
          </m:radPr>
          <m:deg/>
          <m:e>
            <m:r>
              <w:rPr>
                <w:rFonts w:ascii="Cambria Math" w:hAnsi="Cambria Math"/>
                <w:lang w:val="en"/>
              </w:rPr>
              <m:t>1-.8</m:t>
            </m:r>
          </m:e>
        </m:rad>
        <m:r>
          <w:rPr>
            <w:rFonts w:ascii="Cambria Math" w:hAnsi="Cambria Math"/>
            <w:lang w:val="en"/>
          </w:rPr>
          <m:t>=0.41</m:t>
        </m:r>
      </m:oMath>
      <w:r w:rsidRPr="0026564A" w:rsidR="0026564A">
        <w:rPr>
          <w:lang w:val="en"/>
        </w:rPr>
        <w:t>) in school-level standard deviation units</w:t>
      </w:r>
      <w:r w:rsidR="00E9584A">
        <w:rPr>
          <w:lang w:val="en"/>
        </w:rPr>
        <w:t>.</w:t>
      </w:r>
      <w:r w:rsidRPr="0026564A" w:rsidR="0026564A">
        <w:rPr>
          <w:lang w:val="en"/>
        </w:rPr>
        <w:t xml:space="preserve"> To translate this value into a student-level effect size metric, a school-level </w:t>
      </w:r>
      <w:r w:rsidR="00AF1EA3">
        <w:rPr>
          <w:lang w:val="en"/>
        </w:rPr>
        <w:t>intraclass correlation coefficient (I</w:t>
      </w:r>
      <w:r w:rsidRPr="0026564A" w:rsidR="0026564A">
        <w:rPr>
          <w:lang w:val="en"/>
        </w:rPr>
        <w:t>CC</w:t>
      </w:r>
      <w:r w:rsidR="00AF1EA3">
        <w:rPr>
          <w:lang w:val="en"/>
        </w:rPr>
        <w:t>)</w:t>
      </w:r>
      <w:r w:rsidRPr="0026564A" w:rsidR="0026564A">
        <w:rPr>
          <w:lang w:val="en"/>
        </w:rPr>
        <w:t xml:space="preserve"> of 0.15 for the SBA Writing score outcome </w:t>
      </w:r>
      <w:r w:rsidR="00344B26">
        <w:rPr>
          <w:lang w:val="en"/>
        </w:rPr>
        <w:t xml:space="preserve">was estimated </w:t>
      </w:r>
      <w:r w:rsidRPr="0026564A" w:rsidR="0026564A">
        <w:rPr>
          <w:lang w:val="en"/>
        </w:rPr>
        <w:t>by using available data from HIDOE on SBA ELA proficiency for the 110 eligible schools.</w:t>
      </w:r>
      <w:r>
        <w:rPr>
          <w:vertAlign w:val="superscript"/>
          <w:lang w:val="en"/>
        </w:rPr>
        <w:footnoteReference w:id="6"/>
      </w:r>
      <w:r w:rsidRPr="0026564A" w:rsidR="0026564A">
        <w:rPr>
          <w:lang w:val="en"/>
        </w:rPr>
        <w:t xml:space="preserve"> Using this school-level ICC of 0.15, </w:t>
      </w:r>
      <w:r w:rsidR="00344B26">
        <w:rPr>
          <w:lang w:val="en"/>
        </w:rPr>
        <w:t>the school</w:t>
      </w:r>
      <w:r w:rsidR="004A1376">
        <w:rPr>
          <w:lang w:val="en"/>
        </w:rPr>
        <w:t>-</w:t>
      </w:r>
      <w:r w:rsidRPr="0026564A" w:rsidR="0026564A">
        <w:rPr>
          <w:lang w:val="en"/>
        </w:rPr>
        <w:t>level effect size of 0.41 translates into a student-level effect size of 0.17 (0</w:t>
      </w:r>
      <m:oMath>
        <m:r>
          <w:rPr>
            <w:rFonts w:ascii="Cambria Math" w:hAnsi="Cambria Math"/>
            <w:lang w:val="en"/>
          </w:rPr>
          <m:t>.41×</m:t>
        </m:r>
        <m:rad>
          <m:radPr>
            <m:degHide/>
            <m:ctrlPr>
              <w:rPr>
                <w:rFonts w:ascii="Cambria Math" w:hAnsi="Cambria Math"/>
                <w:i/>
                <w:lang w:val="en"/>
              </w:rPr>
            </m:ctrlPr>
          </m:radPr>
          <m:deg/>
          <m:e>
            <m:r>
              <w:rPr>
                <w:rFonts w:ascii="Cambria Math" w:hAnsi="Cambria Math"/>
                <w:lang w:val="en"/>
              </w:rPr>
              <m:t>.15</m:t>
            </m:r>
          </m:e>
        </m:rad>
      </m:oMath>
      <w:r w:rsidRPr="0026564A" w:rsidR="0026564A">
        <w:rPr>
          <w:lang w:val="en"/>
        </w:rPr>
        <w:t xml:space="preserve"> = 0.17).</w:t>
      </w:r>
    </w:p>
    <w:p w:rsidR="00473388" w:rsidP="00C83FEB" w14:paraId="1D213D86" w14:textId="131329F7">
      <w:pPr>
        <w:pStyle w:val="BodyText"/>
        <w:rPr>
          <w:lang w:val="en"/>
        </w:rPr>
      </w:pPr>
      <w:r>
        <w:rPr>
          <w:lang w:val="en"/>
        </w:rPr>
        <w:t xml:space="preserve">The teacher impact will be estimated </w:t>
      </w:r>
      <w:r w:rsidR="00FC752A">
        <w:rPr>
          <w:lang w:val="en"/>
        </w:rPr>
        <w:t>as the differen</w:t>
      </w:r>
      <w:r w:rsidR="0042769E">
        <w:rPr>
          <w:lang w:val="en"/>
        </w:rPr>
        <w:t>ce</w:t>
      </w:r>
      <w:r w:rsidR="00047FF2">
        <w:rPr>
          <w:lang w:val="en"/>
        </w:rPr>
        <w:t>s</w:t>
      </w:r>
      <w:r w:rsidR="0042769E">
        <w:rPr>
          <w:lang w:val="en"/>
        </w:rPr>
        <w:t xml:space="preserve"> in</w:t>
      </w:r>
      <w:r w:rsidR="00091959">
        <w:rPr>
          <w:lang w:val="en"/>
        </w:rPr>
        <w:t xml:space="preserve"> </w:t>
      </w:r>
      <w:r w:rsidR="0074732B">
        <w:rPr>
          <w:lang w:val="en"/>
        </w:rPr>
        <w:t xml:space="preserve">teacher log variables between the treatment and </w:t>
      </w:r>
      <w:r w:rsidR="00B640F8">
        <w:rPr>
          <w:lang w:val="en"/>
        </w:rPr>
        <w:t>comparison</w:t>
      </w:r>
      <w:r w:rsidR="0074732B">
        <w:rPr>
          <w:lang w:val="en"/>
        </w:rPr>
        <w:t xml:space="preserve"> teachers. The </w:t>
      </w:r>
      <w:r w:rsidRPr="00473388">
        <w:rPr>
          <w:lang w:val="en"/>
        </w:rPr>
        <w:t xml:space="preserve">expectation is that a pool of 40 recruited schools will translate into </w:t>
      </w:r>
      <w:r w:rsidR="009F08CD">
        <w:rPr>
          <w:lang w:val="en"/>
        </w:rPr>
        <w:t>200</w:t>
      </w:r>
      <w:r w:rsidRPr="00473388">
        <w:rPr>
          <w:lang w:val="en"/>
        </w:rPr>
        <w:t xml:space="preserve"> teachers in the sample</w:t>
      </w:r>
      <w:r w:rsidR="009F08CD">
        <w:rPr>
          <w:lang w:val="en"/>
        </w:rPr>
        <w:t xml:space="preserve">, which </w:t>
      </w:r>
      <w:r w:rsidRPr="00473388">
        <w:rPr>
          <w:lang w:val="en"/>
        </w:rPr>
        <w:t xml:space="preserve">will result in a </w:t>
      </w:r>
      <w:r w:rsidR="0074732B">
        <w:rPr>
          <w:lang w:val="en"/>
        </w:rPr>
        <w:t>M</w:t>
      </w:r>
      <w:r w:rsidRPr="00473388">
        <w:rPr>
          <w:lang w:val="en"/>
        </w:rPr>
        <w:t xml:space="preserve">DES of 0.36 for the teacher outcomes. </w:t>
      </w:r>
      <w:r w:rsidR="009D2ADC">
        <w:rPr>
          <w:lang w:val="en"/>
        </w:rPr>
        <w:t>T</w:t>
      </w:r>
      <w:r w:rsidRPr="00473388">
        <w:rPr>
          <w:lang w:val="en"/>
        </w:rPr>
        <w:t xml:space="preserve">his MDES will allow </w:t>
      </w:r>
      <w:r w:rsidR="004527C8">
        <w:rPr>
          <w:lang w:val="en"/>
        </w:rPr>
        <w:t xml:space="preserve">the study team to </w:t>
      </w:r>
      <w:r w:rsidRPr="00473388">
        <w:rPr>
          <w:lang w:val="en"/>
        </w:rPr>
        <w:t xml:space="preserve">detect the likely size of effects on teacher outcome since </w:t>
      </w:r>
      <w:r w:rsidR="004527C8">
        <w:rPr>
          <w:lang w:val="en"/>
        </w:rPr>
        <w:t xml:space="preserve">it is likely </w:t>
      </w:r>
      <w:r w:rsidRPr="00473388">
        <w:rPr>
          <w:lang w:val="en"/>
        </w:rPr>
        <w:t xml:space="preserve">that the differences between treatment and </w:t>
      </w:r>
      <w:r w:rsidR="00B640F8">
        <w:rPr>
          <w:lang w:val="en"/>
        </w:rPr>
        <w:t>comparison</w:t>
      </w:r>
      <w:r w:rsidRPr="00473388">
        <w:rPr>
          <w:lang w:val="en"/>
        </w:rPr>
        <w:t xml:space="preserve"> teachers on writing instruction </w:t>
      </w:r>
      <w:r w:rsidR="004527C8">
        <w:rPr>
          <w:lang w:val="en"/>
        </w:rPr>
        <w:t>will</w:t>
      </w:r>
      <w:r w:rsidRPr="00473388">
        <w:rPr>
          <w:lang w:val="en"/>
        </w:rPr>
        <w:t xml:space="preserve"> be large. </w:t>
      </w:r>
      <w:r w:rsidR="004527C8">
        <w:rPr>
          <w:lang w:val="en"/>
        </w:rPr>
        <w:t xml:space="preserve">The study team </w:t>
      </w:r>
      <w:r w:rsidRPr="00473388">
        <w:rPr>
          <w:lang w:val="en"/>
        </w:rPr>
        <w:t>base</w:t>
      </w:r>
      <w:r w:rsidR="004527C8">
        <w:rPr>
          <w:lang w:val="en"/>
        </w:rPr>
        <w:t>s</w:t>
      </w:r>
      <w:r w:rsidRPr="00473388">
        <w:rPr>
          <w:lang w:val="en"/>
        </w:rPr>
        <w:t xml:space="preserve"> this expectation on the assumption that </w:t>
      </w:r>
      <w:r w:rsidR="00B640F8">
        <w:rPr>
          <w:lang w:val="en"/>
        </w:rPr>
        <w:t>comparison</w:t>
      </w:r>
      <w:r w:rsidRPr="00473388">
        <w:rPr>
          <w:lang w:val="en"/>
        </w:rPr>
        <w:t xml:space="preserve"> group means are likely to be very low relative to the treatment group and have low overall </w:t>
      </w:r>
      <w:r w:rsidR="009D2ADC">
        <w:rPr>
          <w:lang w:val="en"/>
        </w:rPr>
        <w:t>standard deviations</w:t>
      </w:r>
      <w:r w:rsidR="00E17993">
        <w:rPr>
          <w:lang w:val="en"/>
        </w:rPr>
        <w:t>,</w:t>
      </w:r>
      <w:r w:rsidRPr="00473388">
        <w:rPr>
          <w:lang w:val="en"/>
        </w:rPr>
        <w:t xml:space="preserve"> given that teachers are not often provided effective </w:t>
      </w:r>
      <w:r w:rsidR="00B31B91">
        <w:rPr>
          <w:lang w:val="en"/>
        </w:rPr>
        <w:t>professional development</w:t>
      </w:r>
      <w:r w:rsidRPr="00473388">
        <w:rPr>
          <w:lang w:val="en"/>
        </w:rPr>
        <w:t xml:space="preserve"> in writing instruction (Graham, 2019) and that HIDOE has </w:t>
      </w:r>
      <w:r w:rsidR="00091959">
        <w:rPr>
          <w:lang w:val="en"/>
        </w:rPr>
        <w:t xml:space="preserve">indicated </w:t>
      </w:r>
      <w:r w:rsidRPr="00473388">
        <w:rPr>
          <w:lang w:val="en"/>
        </w:rPr>
        <w:t>that teachers in Hawai‘i receive very little, if any, professional development in writing.</w:t>
      </w:r>
      <w:r w:rsidR="00B31B91">
        <w:rPr>
          <w:lang w:val="en"/>
        </w:rPr>
        <w:t xml:space="preserve"> </w:t>
      </w:r>
      <w:r w:rsidRPr="00473388">
        <w:rPr>
          <w:lang w:val="en"/>
        </w:rPr>
        <w:t xml:space="preserve">Moreover, this MDES is consistent with previous studies on teacher writing practice (Gallagher et al., 2017). Based on the parameters for the ICC and R-square values in Exhibit </w:t>
      </w:r>
      <w:r w:rsidR="0005567F">
        <w:rPr>
          <w:lang w:val="en"/>
        </w:rPr>
        <w:t>B5</w:t>
      </w:r>
      <w:r w:rsidRPr="00473388">
        <w:rPr>
          <w:lang w:val="en"/>
        </w:rPr>
        <w:t xml:space="preserve">, which are consistent with </w:t>
      </w:r>
      <w:r w:rsidRPr="00473388">
        <w:rPr>
          <w:lang w:val="en"/>
        </w:rPr>
        <w:t>Westine</w:t>
      </w:r>
      <w:r w:rsidRPr="00473388">
        <w:rPr>
          <w:lang w:val="en"/>
        </w:rPr>
        <w:t xml:space="preserve"> et al. (2020) and </w:t>
      </w:r>
      <w:r w:rsidRPr="00473388">
        <w:rPr>
          <w:lang w:val="en"/>
        </w:rPr>
        <w:t>Kelcey</w:t>
      </w:r>
      <w:r w:rsidRPr="00473388">
        <w:rPr>
          <w:lang w:val="en"/>
        </w:rPr>
        <w:t xml:space="preserve"> </w:t>
      </w:r>
      <w:r w:rsidR="00CC5CAA">
        <w:rPr>
          <w:lang w:val="en"/>
        </w:rPr>
        <w:t>&amp;</w:t>
      </w:r>
      <w:r w:rsidRPr="00473388" w:rsidR="00CC5CAA">
        <w:rPr>
          <w:lang w:val="en"/>
        </w:rPr>
        <w:t xml:space="preserve"> </w:t>
      </w:r>
      <w:r w:rsidRPr="00473388">
        <w:rPr>
          <w:lang w:val="en"/>
        </w:rPr>
        <w:t xml:space="preserve">Phelps (2014) for other </w:t>
      </w:r>
      <w:r w:rsidR="00CC5CAA">
        <w:rPr>
          <w:lang w:val="en"/>
        </w:rPr>
        <w:t>professional development (</w:t>
      </w:r>
      <w:r w:rsidRPr="00473388">
        <w:rPr>
          <w:lang w:val="en"/>
        </w:rPr>
        <w:t>PD</w:t>
      </w:r>
      <w:r w:rsidR="00CC5CAA">
        <w:rPr>
          <w:lang w:val="en"/>
        </w:rPr>
        <w:t>)</w:t>
      </w:r>
      <w:r w:rsidRPr="00473388">
        <w:rPr>
          <w:lang w:val="en"/>
        </w:rPr>
        <w:t xml:space="preserve"> teacher outcomes related to science and math instruction, </w:t>
      </w:r>
      <w:r w:rsidR="00CA5476">
        <w:rPr>
          <w:lang w:val="en"/>
        </w:rPr>
        <w:t>the study team</w:t>
      </w:r>
      <w:r w:rsidRPr="00473388">
        <w:rPr>
          <w:lang w:val="en"/>
        </w:rPr>
        <w:t xml:space="preserve"> estimate</w:t>
      </w:r>
      <w:r w:rsidR="00CA5476">
        <w:rPr>
          <w:lang w:val="en"/>
        </w:rPr>
        <w:t>s</w:t>
      </w:r>
      <w:r w:rsidRPr="00473388">
        <w:rPr>
          <w:lang w:val="en"/>
        </w:rPr>
        <w:t xml:space="preserve"> a maximum MDES of 0.36 </w:t>
      </w:r>
      <w:r w:rsidR="00AF1EA3">
        <w:rPr>
          <w:lang w:val="en"/>
        </w:rPr>
        <w:t>standard deviation (</w:t>
      </w:r>
      <w:r w:rsidRPr="00473388">
        <w:rPr>
          <w:lang w:val="en"/>
        </w:rPr>
        <w:t>SD</w:t>
      </w:r>
      <w:r w:rsidR="00AF1EA3">
        <w:rPr>
          <w:lang w:val="en"/>
        </w:rPr>
        <w:t>)</w:t>
      </w:r>
      <w:r w:rsidRPr="00473388">
        <w:rPr>
          <w:lang w:val="en"/>
        </w:rPr>
        <w:t xml:space="preserve"> for power of 0.80 for a two-tailed test at α</w:t>
      </w:r>
      <w:r w:rsidR="003026C1">
        <w:rPr>
          <w:lang w:val="en"/>
        </w:rPr>
        <w:t xml:space="preserve"> </w:t>
      </w:r>
      <w:r w:rsidRPr="00473388">
        <w:rPr>
          <w:lang w:val="en"/>
        </w:rPr>
        <w:t xml:space="preserve">= </w:t>
      </w:r>
      <w:r w:rsidR="003026C1">
        <w:rPr>
          <w:lang w:val="en"/>
        </w:rPr>
        <w:t>0</w:t>
      </w:r>
      <w:r w:rsidRPr="00473388">
        <w:rPr>
          <w:lang w:val="en"/>
        </w:rPr>
        <w:t xml:space="preserve">.05. The teacher log on writing instructional practices will be administered in both fall </w:t>
      </w:r>
      <w:r w:rsidR="00735FE4">
        <w:rPr>
          <w:lang w:val="en"/>
        </w:rPr>
        <w:t>2024</w:t>
      </w:r>
      <w:r w:rsidRPr="00473388">
        <w:rPr>
          <w:lang w:val="en"/>
        </w:rPr>
        <w:t xml:space="preserve"> and spring</w:t>
      </w:r>
      <w:r w:rsidR="00695645">
        <w:rPr>
          <w:lang w:val="en"/>
        </w:rPr>
        <w:t xml:space="preserve"> 2025</w:t>
      </w:r>
      <w:r w:rsidRPr="00473388">
        <w:rPr>
          <w:lang w:val="en"/>
        </w:rPr>
        <w:t xml:space="preserve">, so </w:t>
      </w:r>
      <w:r w:rsidR="00CA5476">
        <w:rPr>
          <w:lang w:val="en"/>
        </w:rPr>
        <w:t xml:space="preserve">there will be </w:t>
      </w:r>
      <w:r w:rsidRPr="00473388">
        <w:rPr>
          <w:lang w:val="en"/>
        </w:rPr>
        <w:t>a natural pretest for this outcome.</w:t>
      </w:r>
    </w:p>
    <w:p w:rsidR="0005567F" w:rsidRPr="0005567F" w:rsidP="0005567F" w14:paraId="0BD94AED" w14:textId="0B31C916">
      <w:pPr>
        <w:spacing w:after="0" w:line="240" w:lineRule="auto"/>
        <w:rPr>
          <w:rFonts w:ascii="Arial" w:hAnsi="Arial" w:cs="Arial"/>
          <w:sz w:val="24"/>
          <w:szCs w:val="24"/>
          <w:lang w:val="en"/>
        </w:rPr>
      </w:pPr>
      <w:r w:rsidRPr="0005567F">
        <w:rPr>
          <w:rFonts w:ascii="Arial" w:eastAsia="Calibri" w:hAnsi="Arial" w:cs="Arial"/>
          <w:b/>
        </w:rPr>
        <w:t xml:space="preserve">Exhibit </w:t>
      </w:r>
      <w:r>
        <w:rPr>
          <w:rFonts w:ascii="Arial" w:eastAsia="Calibri" w:hAnsi="Arial" w:cs="Arial"/>
          <w:b/>
        </w:rPr>
        <w:t>B5</w:t>
      </w:r>
      <w:r w:rsidRPr="0005567F">
        <w:rPr>
          <w:rFonts w:ascii="Arial" w:eastAsia="Calibri" w:hAnsi="Arial" w:cs="Arial"/>
          <w:b/>
        </w:rPr>
        <w:t>. Power Parameters for Teacher Outcome Analyses</w:t>
      </w:r>
    </w:p>
    <w:tbl>
      <w:tblPr>
        <w:tblStyle w:val="TableGrid18"/>
        <w:tblW w:w="0" w:type="auto"/>
        <w:tblLook w:val="06A0"/>
      </w:tblPr>
      <w:tblGrid>
        <w:gridCol w:w="1796"/>
        <w:gridCol w:w="1292"/>
        <w:gridCol w:w="1292"/>
        <w:gridCol w:w="1667"/>
        <w:gridCol w:w="1614"/>
        <w:gridCol w:w="1614"/>
      </w:tblGrid>
      <w:tr w14:paraId="64BC9ABE" w14:textId="77777777">
        <w:tblPrEx>
          <w:tblW w:w="0" w:type="auto"/>
          <w:tblLook w:val="06A0"/>
        </w:tblPrEx>
        <w:tc>
          <w:tcPr>
            <w:tcW w:w="1796" w:type="dxa"/>
            <w:vMerge w:val="restart"/>
            <w:shd w:val="clear" w:color="auto" w:fill="0F4C81"/>
            <w:tcMar>
              <w:left w:w="58" w:type="dxa"/>
              <w:right w:w="58" w:type="dxa"/>
            </w:tcMar>
            <w:vAlign w:val="bottom"/>
          </w:tcPr>
          <w:p w:rsidR="0005567F" w:rsidRPr="00BD395B" w14:paraId="2A1C2BDC" w14:textId="77777777">
            <w:pPr>
              <w:widowControl w:val="0"/>
              <w:jc w:val="center"/>
              <w:rPr>
                <w:rFonts w:ascii="Arial Narrow" w:hAnsi="Arial Narrow"/>
                <w:b/>
                <w:bCs/>
                <w:color w:val="FFFFFF"/>
              </w:rPr>
            </w:pPr>
            <w:r w:rsidRPr="00BD395B">
              <w:rPr>
                <w:rFonts w:ascii="Arial Narrow" w:hAnsi="Arial Narrow"/>
                <w:b/>
                <w:bCs/>
                <w:color w:val="FFFFFF"/>
              </w:rPr>
              <w:t xml:space="preserve">Minimum </w:t>
            </w:r>
            <w:r>
              <w:rPr>
                <w:rFonts w:ascii="Arial Narrow" w:hAnsi="Arial Narrow"/>
                <w:b/>
                <w:bCs/>
                <w:color w:val="FFFFFF"/>
              </w:rPr>
              <w:t xml:space="preserve">Detectable </w:t>
            </w:r>
            <w:r w:rsidRPr="00BD395B">
              <w:rPr>
                <w:rFonts w:ascii="Arial Narrow" w:hAnsi="Arial Narrow"/>
                <w:b/>
                <w:bCs/>
                <w:color w:val="FFFFFF"/>
              </w:rPr>
              <w:t>Effect Size</w:t>
            </w:r>
          </w:p>
        </w:tc>
        <w:tc>
          <w:tcPr>
            <w:tcW w:w="2584" w:type="dxa"/>
            <w:gridSpan w:val="2"/>
            <w:shd w:val="clear" w:color="auto" w:fill="0F4C81"/>
            <w:tcMar>
              <w:left w:w="58" w:type="dxa"/>
              <w:right w:w="58" w:type="dxa"/>
            </w:tcMar>
          </w:tcPr>
          <w:p w:rsidR="0005567F" w:rsidRPr="00BD395B" w14:paraId="15CB4E86" w14:textId="77777777">
            <w:pPr>
              <w:widowControl w:val="0"/>
              <w:jc w:val="center"/>
              <w:rPr>
                <w:rFonts w:ascii="Arial Narrow" w:hAnsi="Arial Narrow"/>
                <w:b/>
                <w:bCs/>
                <w:color w:val="FFFFFF"/>
              </w:rPr>
            </w:pPr>
            <w:r w:rsidRPr="00BD395B">
              <w:rPr>
                <w:rFonts w:ascii="Arial Narrow" w:hAnsi="Arial Narrow"/>
                <w:b/>
                <w:bCs/>
                <w:color w:val="FFFFFF"/>
              </w:rPr>
              <w:t>Samples at Each Level</w:t>
            </w:r>
          </w:p>
        </w:tc>
        <w:tc>
          <w:tcPr>
            <w:tcW w:w="1667" w:type="dxa"/>
            <w:vMerge w:val="restart"/>
            <w:shd w:val="clear" w:color="auto" w:fill="0F4C81"/>
            <w:tcMar>
              <w:left w:w="58" w:type="dxa"/>
              <w:right w:w="58" w:type="dxa"/>
            </w:tcMar>
          </w:tcPr>
          <w:p w:rsidR="0005567F" w:rsidRPr="00BD395B" w14:paraId="3390159D" w14:textId="77777777">
            <w:pPr>
              <w:widowControl w:val="0"/>
              <w:jc w:val="center"/>
              <w:rPr>
                <w:rFonts w:ascii="Arial Narrow" w:hAnsi="Arial Narrow"/>
                <w:b/>
                <w:bCs/>
                <w:color w:val="FFFFFF"/>
              </w:rPr>
            </w:pPr>
            <w:r w:rsidRPr="00BD395B">
              <w:rPr>
                <w:rFonts w:ascii="Arial Narrow" w:hAnsi="Arial Narrow"/>
                <w:b/>
                <w:bCs/>
                <w:color w:val="FFFFFF"/>
              </w:rPr>
              <w:t>School Intraclass Correlation</w:t>
            </w:r>
          </w:p>
        </w:tc>
        <w:tc>
          <w:tcPr>
            <w:tcW w:w="3228" w:type="dxa"/>
            <w:gridSpan w:val="2"/>
            <w:shd w:val="clear" w:color="auto" w:fill="0F4C81"/>
            <w:tcMar>
              <w:left w:w="58" w:type="dxa"/>
              <w:right w:w="58" w:type="dxa"/>
            </w:tcMar>
          </w:tcPr>
          <w:p w:rsidR="0005567F" w:rsidRPr="00BD395B" w14:paraId="399A04F2" w14:textId="77777777">
            <w:pPr>
              <w:widowControl w:val="0"/>
              <w:jc w:val="center"/>
              <w:rPr>
                <w:rFonts w:ascii="Arial Narrow" w:hAnsi="Arial Narrow"/>
                <w:b/>
                <w:bCs/>
                <w:color w:val="FFFFFF"/>
              </w:rPr>
            </w:pPr>
            <w:r w:rsidRPr="00BD395B">
              <w:rPr>
                <w:rFonts w:ascii="Arial Narrow" w:hAnsi="Arial Narrow"/>
                <w:b/>
                <w:bCs/>
                <w:color w:val="FFFFFF"/>
              </w:rPr>
              <w:t>Covariate R-Squares</w:t>
            </w:r>
          </w:p>
        </w:tc>
      </w:tr>
      <w:tr w14:paraId="473BC003" w14:textId="77777777">
        <w:tblPrEx>
          <w:tblW w:w="0" w:type="auto"/>
          <w:tblLook w:val="06A0"/>
        </w:tblPrEx>
        <w:tc>
          <w:tcPr>
            <w:tcW w:w="1796" w:type="dxa"/>
            <w:vMerge/>
            <w:shd w:val="clear" w:color="auto" w:fill="0F4C81"/>
            <w:tcMar>
              <w:left w:w="58" w:type="dxa"/>
              <w:right w:w="58" w:type="dxa"/>
            </w:tcMar>
          </w:tcPr>
          <w:p w:rsidR="0005567F" w:rsidRPr="00BD395B" w14:paraId="32895B44" w14:textId="77777777">
            <w:pPr>
              <w:widowControl w:val="0"/>
              <w:rPr>
                <w:rFonts w:ascii="Arial Narrow" w:hAnsi="Arial Narrow"/>
                <w:color w:val="FFFFFF"/>
              </w:rPr>
            </w:pPr>
          </w:p>
        </w:tc>
        <w:tc>
          <w:tcPr>
            <w:tcW w:w="1292" w:type="dxa"/>
            <w:shd w:val="clear" w:color="auto" w:fill="0F4C81"/>
            <w:tcMar>
              <w:left w:w="58" w:type="dxa"/>
              <w:right w:w="58" w:type="dxa"/>
            </w:tcMar>
          </w:tcPr>
          <w:p w:rsidR="0005567F" w:rsidRPr="00BD395B" w14:paraId="5A7F1D4A" w14:textId="77777777">
            <w:pPr>
              <w:widowControl w:val="0"/>
              <w:jc w:val="center"/>
              <w:rPr>
                <w:rFonts w:ascii="Arial Narrow" w:hAnsi="Arial Narrow"/>
                <w:b/>
                <w:bCs/>
                <w:color w:val="FFFFFF"/>
              </w:rPr>
            </w:pPr>
            <w:r w:rsidRPr="00BD395B">
              <w:rPr>
                <w:rFonts w:ascii="Arial Narrow" w:hAnsi="Arial Narrow"/>
                <w:b/>
                <w:bCs/>
                <w:color w:val="FFFFFF"/>
              </w:rPr>
              <w:t>School</w:t>
            </w:r>
          </w:p>
        </w:tc>
        <w:tc>
          <w:tcPr>
            <w:tcW w:w="1292" w:type="dxa"/>
            <w:shd w:val="clear" w:color="auto" w:fill="0F4C81"/>
            <w:tcMar>
              <w:left w:w="58" w:type="dxa"/>
              <w:right w:w="58" w:type="dxa"/>
            </w:tcMar>
          </w:tcPr>
          <w:p w:rsidR="0005567F" w:rsidRPr="00BD395B" w14:paraId="599374B3" w14:textId="77777777">
            <w:pPr>
              <w:widowControl w:val="0"/>
              <w:jc w:val="center"/>
              <w:rPr>
                <w:rFonts w:ascii="Arial Narrow" w:hAnsi="Arial Narrow"/>
                <w:b/>
                <w:bCs/>
                <w:color w:val="FFFFFF"/>
              </w:rPr>
            </w:pPr>
            <w:r w:rsidRPr="00BD395B">
              <w:rPr>
                <w:rFonts w:ascii="Arial Narrow" w:hAnsi="Arial Narrow"/>
                <w:b/>
                <w:bCs/>
                <w:color w:val="FFFFFF"/>
              </w:rPr>
              <w:t>Teacher</w:t>
            </w:r>
          </w:p>
        </w:tc>
        <w:tc>
          <w:tcPr>
            <w:tcW w:w="1667" w:type="dxa"/>
            <w:vMerge/>
            <w:shd w:val="clear" w:color="auto" w:fill="0F4C81"/>
            <w:tcMar>
              <w:left w:w="58" w:type="dxa"/>
              <w:right w:w="58" w:type="dxa"/>
            </w:tcMar>
          </w:tcPr>
          <w:p w:rsidR="0005567F" w:rsidRPr="00BD395B" w14:paraId="08F0E88C" w14:textId="77777777">
            <w:pPr>
              <w:widowControl w:val="0"/>
              <w:rPr>
                <w:rFonts w:ascii="Arial Narrow" w:hAnsi="Arial Narrow"/>
                <w:color w:val="FFFFFF"/>
              </w:rPr>
            </w:pPr>
          </w:p>
        </w:tc>
        <w:tc>
          <w:tcPr>
            <w:tcW w:w="1614" w:type="dxa"/>
            <w:shd w:val="clear" w:color="auto" w:fill="0F4C81"/>
            <w:tcMar>
              <w:left w:w="58" w:type="dxa"/>
              <w:right w:w="58" w:type="dxa"/>
            </w:tcMar>
          </w:tcPr>
          <w:p w:rsidR="0005567F" w:rsidRPr="00BD395B" w14:paraId="1D15FD75" w14:textId="77777777">
            <w:pPr>
              <w:widowControl w:val="0"/>
              <w:jc w:val="center"/>
              <w:rPr>
                <w:rFonts w:ascii="Arial Narrow" w:hAnsi="Arial Narrow"/>
                <w:b/>
                <w:bCs/>
                <w:color w:val="FFFFFF"/>
              </w:rPr>
            </w:pPr>
            <w:r w:rsidRPr="00BD395B">
              <w:rPr>
                <w:rFonts w:ascii="Arial Narrow" w:hAnsi="Arial Narrow"/>
                <w:b/>
                <w:bCs/>
                <w:color w:val="FFFFFF"/>
              </w:rPr>
              <w:t>School</w:t>
            </w:r>
          </w:p>
        </w:tc>
        <w:tc>
          <w:tcPr>
            <w:tcW w:w="1614" w:type="dxa"/>
            <w:shd w:val="clear" w:color="auto" w:fill="0F4C81"/>
            <w:tcMar>
              <w:left w:w="58" w:type="dxa"/>
              <w:right w:w="58" w:type="dxa"/>
            </w:tcMar>
          </w:tcPr>
          <w:p w:rsidR="0005567F" w:rsidRPr="00BD395B" w14:paraId="6FA926A0" w14:textId="77777777">
            <w:pPr>
              <w:widowControl w:val="0"/>
              <w:jc w:val="center"/>
              <w:rPr>
                <w:rFonts w:ascii="Arial Narrow" w:hAnsi="Arial Narrow"/>
                <w:b/>
                <w:bCs/>
                <w:color w:val="FFFFFF"/>
              </w:rPr>
            </w:pPr>
            <w:r w:rsidRPr="00BD395B">
              <w:rPr>
                <w:rFonts w:ascii="Arial Narrow" w:hAnsi="Arial Narrow"/>
                <w:b/>
                <w:bCs/>
                <w:color w:val="FFFFFF"/>
              </w:rPr>
              <w:t>Teacher</w:t>
            </w:r>
          </w:p>
        </w:tc>
      </w:tr>
      <w:tr w14:paraId="36DD8DD5" w14:textId="77777777">
        <w:tblPrEx>
          <w:tblW w:w="0" w:type="auto"/>
          <w:tblLook w:val="06A0"/>
        </w:tblPrEx>
        <w:tc>
          <w:tcPr>
            <w:tcW w:w="1796" w:type="dxa"/>
            <w:shd w:val="clear" w:color="auto" w:fill="auto"/>
            <w:tcMar>
              <w:left w:w="58" w:type="dxa"/>
              <w:right w:w="58" w:type="dxa"/>
            </w:tcMar>
          </w:tcPr>
          <w:p w:rsidR="0005567F" w:rsidRPr="00BD395B" w14:paraId="5A41FE8B" w14:textId="77777777">
            <w:pPr>
              <w:widowControl w:val="0"/>
              <w:jc w:val="center"/>
              <w:rPr>
                <w:rFonts w:ascii="Arial Narrow" w:hAnsi="Arial Narrow"/>
                <w:b/>
                <w:bCs/>
              </w:rPr>
            </w:pPr>
            <w:r w:rsidRPr="00BD395B">
              <w:rPr>
                <w:rFonts w:ascii="Arial Narrow" w:hAnsi="Arial Narrow"/>
                <w:b/>
                <w:bCs/>
              </w:rPr>
              <w:t>0.</w:t>
            </w:r>
            <w:r>
              <w:rPr>
                <w:rFonts w:ascii="Arial Narrow" w:hAnsi="Arial Narrow"/>
                <w:b/>
                <w:bCs/>
              </w:rPr>
              <w:t>36</w:t>
            </w:r>
          </w:p>
        </w:tc>
        <w:tc>
          <w:tcPr>
            <w:tcW w:w="1292" w:type="dxa"/>
            <w:vMerge w:val="restart"/>
            <w:tcMar>
              <w:left w:w="58" w:type="dxa"/>
              <w:right w:w="58" w:type="dxa"/>
            </w:tcMar>
            <w:vAlign w:val="center"/>
          </w:tcPr>
          <w:p w:rsidR="0005567F" w:rsidRPr="00BD395B" w14:paraId="30CEF0F7" w14:textId="77777777">
            <w:pPr>
              <w:widowControl w:val="0"/>
              <w:jc w:val="center"/>
              <w:rPr>
                <w:rFonts w:ascii="Arial Narrow" w:hAnsi="Arial Narrow"/>
              </w:rPr>
            </w:pPr>
            <w:r w:rsidRPr="00BD395B">
              <w:rPr>
                <w:rFonts w:ascii="Arial Narrow" w:hAnsi="Arial Narrow"/>
              </w:rPr>
              <w:t>40</w:t>
            </w:r>
          </w:p>
        </w:tc>
        <w:tc>
          <w:tcPr>
            <w:tcW w:w="1292" w:type="dxa"/>
            <w:tcMar>
              <w:left w:w="58" w:type="dxa"/>
              <w:right w:w="58" w:type="dxa"/>
            </w:tcMar>
          </w:tcPr>
          <w:p w:rsidR="0005567F" w:rsidRPr="00BD395B" w14:paraId="0DFEFEBD" w14:textId="77777777">
            <w:pPr>
              <w:widowControl w:val="0"/>
              <w:jc w:val="center"/>
              <w:rPr>
                <w:rFonts w:ascii="Arial Narrow" w:hAnsi="Arial Narrow"/>
              </w:rPr>
            </w:pPr>
            <w:r w:rsidRPr="00BD395B">
              <w:rPr>
                <w:rFonts w:ascii="Arial Narrow" w:hAnsi="Arial Narrow"/>
              </w:rPr>
              <w:t>5</w:t>
            </w:r>
          </w:p>
        </w:tc>
        <w:tc>
          <w:tcPr>
            <w:tcW w:w="1667" w:type="dxa"/>
            <w:vMerge w:val="restart"/>
            <w:tcMar>
              <w:left w:w="58" w:type="dxa"/>
              <w:right w:w="58" w:type="dxa"/>
            </w:tcMar>
            <w:vAlign w:val="center"/>
          </w:tcPr>
          <w:p w:rsidR="0005567F" w:rsidRPr="00BD395B" w14:paraId="0A7F4552" w14:textId="77777777">
            <w:pPr>
              <w:widowControl w:val="0"/>
              <w:jc w:val="center"/>
              <w:rPr>
                <w:rFonts w:ascii="Arial Narrow" w:hAnsi="Arial Narrow"/>
              </w:rPr>
            </w:pPr>
            <w:r w:rsidRPr="00BD395B">
              <w:rPr>
                <w:rFonts w:ascii="Arial Narrow" w:hAnsi="Arial Narrow"/>
              </w:rPr>
              <w:t>.1</w:t>
            </w:r>
          </w:p>
        </w:tc>
        <w:tc>
          <w:tcPr>
            <w:tcW w:w="1614" w:type="dxa"/>
            <w:vMerge w:val="restart"/>
            <w:tcMar>
              <w:left w:w="58" w:type="dxa"/>
              <w:right w:w="58" w:type="dxa"/>
            </w:tcMar>
            <w:vAlign w:val="center"/>
          </w:tcPr>
          <w:p w:rsidR="0005567F" w:rsidRPr="00BD395B" w14:paraId="4F931828" w14:textId="77777777">
            <w:pPr>
              <w:widowControl w:val="0"/>
              <w:jc w:val="center"/>
              <w:rPr>
                <w:rFonts w:ascii="Arial Narrow" w:hAnsi="Arial Narrow"/>
              </w:rPr>
            </w:pPr>
            <w:r w:rsidRPr="00BD395B">
              <w:rPr>
                <w:rFonts w:ascii="Arial Narrow" w:hAnsi="Arial Narrow"/>
              </w:rPr>
              <w:t>0.3</w:t>
            </w:r>
          </w:p>
        </w:tc>
        <w:tc>
          <w:tcPr>
            <w:tcW w:w="1614" w:type="dxa"/>
            <w:vMerge w:val="restart"/>
            <w:tcMar>
              <w:left w:w="58" w:type="dxa"/>
              <w:right w:w="58" w:type="dxa"/>
            </w:tcMar>
            <w:vAlign w:val="center"/>
          </w:tcPr>
          <w:p w:rsidR="0005567F" w:rsidRPr="00BD395B" w14:paraId="5912874E" w14:textId="77777777">
            <w:pPr>
              <w:widowControl w:val="0"/>
              <w:jc w:val="center"/>
              <w:rPr>
                <w:rFonts w:ascii="Arial Narrow" w:hAnsi="Arial Narrow"/>
              </w:rPr>
            </w:pPr>
            <w:r w:rsidRPr="00BD395B">
              <w:rPr>
                <w:rFonts w:ascii="Arial Narrow" w:hAnsi="Arial Narrow"/>
              </w:rPr>
              <w:t>0.5</w:t>
            </w:r>
          </w:p>
        </w:tc>
      </w:tr>
      <w:tr w14:paraId="54990205" w14:textId="77777777">
        <w:tblPrEx>
          <w:tblW w:w="0" w:type="auto"/>
          <w:tblLook w:val="06A0"/>
        </w:tblPrEx>
        <w:tc>
          <w:tcPr>
            <w:tcW w:w="1796" w:type="dxa"/>
            <w:shd w:val="clear" w:color="auto" w:fill="auto"/>
            <w:tcMar>
              <w:left w:w="58" w:type="dxa"/>
              <w:right w:w="58" w:type="dxa"/>
            </w:tcMar>
          </w:tcPr>
          <w:p w:rsidR="0005567F" w:rsidRPr="00BD395B" w14:paraId="6C96FDB1" w14:textId="77777777">
            <w:pPr>
              <w:widowControl w:val="0"/>
              <w:jc w:val="center"/>
              <w:rPr>
                <w:rFonts w:ascii="Arial Narrow" w:hAnsi="Arial Narrow"/>
                <w:b/>
                <w:bCs/>
              </w:rPr>
            </w:pPr>
            <w:r>
              <w:rPr>
                <w:rFonts w:ascii="Arial Narrow" w:hAnsi="Arial Narrow"/>
                <w:b/>
                <w:bCs/>
              </w:rPr>
              <w:t>0.35</w:t>
            </w:r>
          </w:p>
        </w:tc>
        <w:tc>
          <w:tcPr>
            <w:tcW w:w="1292" w:type="dxa"/>
            <w:vMerge/>
            <w:tcMar>
              <w:left w:w="58" w:type="dxa"/>
              <w:right w:w="58" w:type="dxa"/>
            </w:tcMar>
          </w:tcPr>
          <w:p w:rsidR="0005567F" w:rsidRPr="00BD395B" w14:paraId="778F5CEB" w14:textId="77777777">
            <w:pPr>
              <w:widowControl w:val="0"/>
              <w:jc w:val="center"/>
              <w:rPr>
                <w:rFonts w:ascii="Arial Narrow" w:hAnsi="Arial Narrow"/>
              </w:rPr>
            </w:pPr>
          </w:p>
        </w:tc>
        <w:tc>
          <w:tcPr>
            <w:tcW w:w="1292" w:type="dxa"/>
            <w:tcMar>
              <w:left w:w="58" w:type="dxa"/>
              <w:right w:w="58" w:type="dxa"/>
            </w:tcMar>
          </w:tcPr>
          <w:p w:rsidR="0005567F" w:rsidRPr="00BD395B" w14:paraId="51EC99AF" w14:textId="77777777">
            <w:pPr>
              <w:widowControl w:val="0"/>
              <w:jc w:val="center"/>
              <w:rPr>
                <w:rFonts w:ascii="Arial Narrow" w:hAnsi="Arial Narrow"/>
              </w:rPr>
            </w:pPr>
            <w:r>
              <w:rPr>
                <w:rFonts w:ascii="Arial Narrow" w:hAnsi="Arial Narrow"/>
              </w:rPr>
              <w:t>6</w:t>
            </w:r>
          </w:p>
        </w:tc>
        <w:tc>
          <w:tcPr>
            <w:tcW w:w="1667" w:type="dxa"/>
            <w:vMerge/>
            <w:tcMar>
              <w:left w:w="58" w:type="dxa"/>
              <w:right w:w="58" w:type="dxa"/>
            </w:tcMar>
          </w:tcPr>
          <w:p w:rsidR="0005567F" w:rsidRPr="00BD395B" w14:paraId="7CD0A137" w14:textId="77777777">
            <w:pPr>
              <w:widowControl w:val="0"/>
              <w:jc w:val="center"/>
              <w:rPr>
                <w:rFonts w:ascii="Arial Narrow" w:hAnsi="Arial Narrow"/>
              </w:rPr>
            </w:pPr>
          </w:p>
        </w:tc>
        <w:tc>
          <w:tcPr>
            <w:tcW w:w="1614" w:type="dxa"/>
            <w:vMerge/>
            <w:tcMar>
              <w:left w:w="58" w:type="dxa"/>
              <w:right w:w="58" w:type="dxa"/>
            </w:tcMar>
          </w:tcPr>
          <w:p w:rsidR="0005567F" w:rsidRPr="00BD395B" w14:paraId="6AC5C898" w14:textId="77777777">
            <w:pPr>
              <w:widowControl w:val="0"/>
              <w:jc w:val="center"/>
              <w:rPr>
                <w:rFonts w:ascii="Arial Narrow" w:hAnsi="Arial Narrow"/>
              </w:rPr>
            </w:pPr>
          </w:p>
        </w:tc>
        <w:tc>
          <w:tcPr>
            <w:tcW w:w="1614" w:type="dxa"/>
            <w:vMerge/>
            <w:tcMar>
              <w:left w:w="58" w:type="dxa"/>
              <w:right w:w="58" w:type="dxa"/>
            </w:tcMar>
          </w:tcPr>
          <w:p w:rsidR="0005567F" w:rsidRPr="00BD395B" w14:paraId="40AD54BF" w14:textId="77777777">
            <w:pPr>
              <w:widowControl w:val="0"/>
              <w:jc w:val="center"/>
              <w:rPr>
                <w:rFonts w:ascii="Arial Narrow" w:hAnsi="Arial Narrow"/>
              </w:rPr>
            </w:pPr>
          </w:p>
        </w:tc>
      </w:tr>
      <w:tr w14:paraId="2B8D1452" w14:textId="77777777">
        <w:tblPrEx>
          <w:tblW w:w="0" w:type="auto"/>
          <w:tblLook w:val="06A0"/>
        </w:tblPrEx>
        <w:tc>
          <w:tcPr>
            <w:tcW w:w="1796" w:type="dxa"/>
            <w:shd w:val="clear" w:color="auto" w:fill="auto"/>
            <w:tcMar>
              <w:left w:w="58" w:type="dxa"/>
              <w:right w:w="58" w:type="dxa"/>
            </w:tcMar>
          </w:tcPr>
          <w:p w:rsidR="0005567F" w:rsidRPr="00BD395B" w14:paraId="0CEF6378" w14:textId="77777777">
            <w:pPr>
              <w:widowControl w:val="0"/>
              <w:jc w:val="center"/>
              <w:rPr>
                <w:rFonts w:ascii="Arial Narrow" w:hAnsi="Arial Narrow"/>
                <w:b/>
                <w:bCs/>
              </w:rPr>
            </w:pPr>
            <w:r>
              <w:rPr>
                <w:rFonts w:ascii="Arial Narrow" w:hAnsi="Arial Narrow"/>
                <w:b/>
                <w:bCs/>
              </w:rPr>
              <w:t>0.33</w:t>
            </w:r>
          </w:p>
        </w:tc>
        <w:tc>
          <w:tcPr>
            <w:tcW w:w="1292" w:type="dxa"/>
            <w:vMerge/>
            <w:tcMar>
              <w:left w:w="58" w:type="dxa"/>
              <w:right w:w="58" w:type="dxa"/>
            </w:tcMar>
          </w:tcPr>
          <w:p w:rsidR="0005567F" w:rsidRPr="00BD395B" w14:paraId="56C7AA6A" w14:textId="77777777">
            <w:pPr>
              <w:widowControl w:val="0"/>
              <w:jc w:val="center"/>
              <w:rPr>
                <w:rFonts w:ascii="Arial Narrow" w:hAnsi="Arial Narrow"/>
              </w:rPr>
            </w:pPr>
          </w:p>
        </w:tc>
        <w:tc>
          <w:tcPr>
            <w:tcW w:w="1292" w:type="dxa"/>
            <w:tcMar>
              <w:left w:w="58" w:type="dxa"/>
              <w:right w:w="58" w:type="dxa"/>
            </w:tcMar>
          </w:tcPr>
          <w:p w:rsidR="0005567F" w:rsidRPr="00BD395B" w14:paraId="44E18AB6" w14:textId="77777777">
            <w:pPr>
              <w:widowControl w:val="0"/>
              <w:jc w:val="center"/>
              <w:rPr>
                <w:rFonts w:ascii="Arial Narrow" w:hAnsi="Arial Narrow"/>
              </w:rPr>
            </w:pPr>
            <w:r>
              <w:rPr>
                <w:rFonts w:ascii="Arial Narrow" w:hAnsi="Arial Narrow"/>
              </w:rPr>
              <w:t>7</w:t>
            </w:r>
          </w:p>
        </w:tc>
        <w:tc>
          <w:tcPr>
            <w:tcW w:w="1667" w:type="dxa"/>
            <w:vMerge/>
            <w:tcMar>
              <w:left w:w="58" w:type="dxa"/>
              <w:right w:w="58" w:type="dxa"/>
            </w:tcMar>
          </w:tcPr>
          <w:p w:rsidR="0005567F" w:rsidRPr="00BD395B" w14:paraId="1B9338AB" w14:textId="77777777">
            <w:pPr>
              <w:widowControl w:val="0"/>
              <w:jc w:val="center"/>
              <w:rPr>
                <w:rFonts w:ascii="Arial Narrow" w:hAnsi="Arial Narrow"/>
              </w:rPr>
            </w:pPr>
          </w:p>
        </w:tc>
        <w:tc>
          <w:tcPr>
            <w:tcW w:w="1614" w:type="dxa"/>
            <w:vMerge/>
            <w:tcMar>
              <w:left w:w="58" w:type="dxa"/>
              <w:right w:w="58" w:type="dxa"/>
            </w:tcMar>
          </w:tcPr>
          <w:p w:rsidR="0005567F" w:rsidRPr="00BD395B" w14:paraId="79F1B5B5" w14:textId="77777777">
            <w:pPr>
              <w:widowControl w:val="0"/>
              <w:jc w:val="center"/>
              <w:rPr>
                <w:rFonts w:ascii="Arial Narrow" w:hAnsi="Arial Narrow"/>
              </w:rPr>
            </w:pPr>
          </w:p>
        </w:tc>
        <w:tc>
          <w:tcPr>
            <w:tcW w:w="1614" w:type="dxa"/>
            <w:vMerge/>
            <w:tcMar>
              <w:left w:w="58" w:type="dxa"/>
              <w:right w:w="58" w:type="dxa"/>
            </w:tcMar>
          </w:tcPr>
          <w:p w:rsidR="0005567F" w:rsidRPr="00BD395B" w14:paraId="48D4ECCB" w14:textId="77777777">
            <w:pPr>
              <w:widowControl w:val="0"/>
              <w:jc w:val="center"/>
              <w:rPr>
                <w:rFonts w:ascii="Arial Narrow" w:hAnsi="Arial Narrow"/>
              </w:rPr>
            </w:pPr>
          </w:p>
        </w:tc>
      </w:tr>
    </w:tbl>
    <w:p w:rsidR="00CE77CB" w:rsidRPr="00114D3C" w:rsidP="001B7C1F" w14:paraId="33463F0B" w14:textId="65900E86">
      <w:pPr>
        <w:pStyle w:val="Heading3"/>
      </w:pPr>
      <w:bookmarkStart w:id="11" w:name="_Toc127438113"/>
      <w:r w:rsidRPr="00CE77CB">
        <w:t>Unusual Problems Requiring Specialized Sampling Procedures</w:t>
      </w:r>
      <w:bookmarkEnd w:id="11"/>
    </w:p>
    <w:p w:rsidR="00CE77CB" w:rsidP="00CE77CB" w14:paraId="4B99DD65" w14:textId="7AA6A3B6">
      <w:pPr>
        <w:suppressAutoHyphens/>
        <w:rPr>
          <w:bCs/>
        </w:rPr>
      </w:pPr>
      <w:r w:rsidRPr="003D60DC">
        <w:rPr>
          <w:bCs/>
        </w:rPr>
        <w:t>There are no unusual problems requiring specialized sampling procedures.</w:t>
      </w:r>
    </w:p>
    <w:p w:rsidR="00E80162" w:rsidRPr="00114D3C" w:rsidP="00E80162" w14:paraId="5FDBEC1C" w14:textId="35023D08">
      <w:pPr>
        <w:pStyle w:val="Heading3"/>
      </w:pPr>
      <w:bookmarkStart w:id="12" w:name="_Toc127438114"/>
      <w:r w:rsidRPr="00CE77CB">
        <w:t>U</w:t>
      </w:r>
      <w:r>
        <w:t>se of Periodic (less than annual) Data Collection to Reduce Burden</w:t>
      </w:r>
      <w:bookmarkEnd w:id="12"/>
    </w:p>
    <w:p w:rsidR="00E80162" w:rsidP="00B4302C" w14:paraId="1D8A13DA" w14:textId="11E13D6D">
      <w:pPr>
        <w:suppressAutoHyphens/>
        <w:rPr>
          <w:bCs/>
        </w:rPr>
      </w:pPr>
      <w:r w:rsidRPr="00CA6D4B">
        <w:rPr>
          <w:bCs/>
        </w:rPr>
        <w:t xml:space="preserve">This </w:t>
      </w:r>
      <w:r w:rsidR="006B3BC4">
        <w:rPr>
          <w:bCs/>
        </w:rPr>
        <w:t>evaluation</w:t>
      </w:r>
      <w:r>
        <w:rPr>
          <w:bCs/>
        </w:rPr>
        <w:t xml:space="preserve"> will collect data one time for recruitment. </w:t>
      </w:r>
      <w:r w:rsidR="008B15DE">
        <w:rPr>
          <w:bCs/>
        </w:rPr>
        <w:t>S</w:t>
      </w:r>
      <w:r w:rsidR="00CF1925">
        <w:rPr>
          <w:bCs/>
        </w:rPr>
        <w:t>imilarly, s</w:t>
      </w:r>
      <w:r w:rsidR="008B15DE">
        <w:rPr>
          <w:bCs/>
        </w:rPr>
        <w:t xml:space="preserve">tudent outcome and background data will </w:t>
      </w:r>
      <w:r w:rsidR="008A702A">
        <w:rPr>
          <w:bCs/>
        </w:rPr>
        <w:t xml:space="preserve">only </w:t>
      </w:r>
      <w:r w:rsidR="008B15DE">
        <w:rPr>
          <w:bCs/>
        </w:rPr>
        <w:t xml:space="preserve">be requested from HIDOE </w:t>
      </w:r>
      <w:r w:rsidR="00CF1925">
        <w:rPr>
          <w:bCs/>
        </w:rPr>
        <w:t>once per year (</w:t>
      </w:r>
      <w:r w:rsidR="008A702A">
        <w:rPr>
          <w:bCs/>
        </w:rPr>
        <w:t xml:space="preserve">July </w:t>
      </w:r>
      <w:r w:rsidR="00D57EC5">
        <w:rPr>
          <w:bCs/>
        </w:rPr>
        <w:t xml:space="preserve">2024 and </w:t>
      </w:r>
      <w:r w:rsidR="008A702A">
        <w:rPr>
          <w:bCs/>
        </w:rPr>
        <w:t xml:space="preserve">September </w:t>
      </w:r>
      <w:r w:rsidR="00D57EC5">
        <w:rPr>
          <w:bCs/>
        </w:rPr>
        <w:t>2025</w:t>
      </w:r>
      <w:r w:rsidR="00CF1925">
        <w:rPr>
          <w:bCs/>
        </w:rPr>
        <w:t xml:space="preserve">). </w:t>
      </w:r>
      <w:r w:rsidR="001A49BE">
        <w:rPr>
          <w:bCs/>
        </w:rPr>
        <w:t>Administrators will only be surveyed once</w:t>
      </w:r>
      <w:r w:rsidR="00A21587">
        <w:rPr>
          <w:bCs/>
        </w:rPr>
        <w:t>,</w:t>
      </w:r>
      <w:r w:rsidR="001A49BE">
        <w:rPr>
          <w:bCs/>
        </w:rPr>
        <w:t xml:space="preserve"> </w:t>
      </w:r>
      <w:r w:rsidR="00A21587">
        <w:rPr>
          <w:bCs/>
        </w:rPr>
        <w:t>and peer facilitator and teacher focus groups will only happen once (March/April 2025)</w:t>
      </w:r>
      <w:r w:rsidR="001A49BE">
        <w:rPr>
          <w:bCs/>
        </w:rPr>
        <w:t>. However, t</w:t>
      </w:r>
      <w:r w:rsidR="00D57EC5">
        <w:rPr>
          <w:bCs/>
        </w:rPr>
        <w:t xml:space="preserve">eacher </w:t>
      </w:r>
      <w:r>
        <w:rPr>
          <w:bCs/>
        </w:rPr>
        <w:t>data</w:t>
      </w:r>
      <w:r w:rsidR="001A49BE">
        <w:rPr>
          <w:bCs/>
        </w:rPr>
        <w:t xml:space="preserve"> </w:t>
      </w:r>
      <w:r>
        <w:rPr>
          <w:bCs/>
        </w:rPr>
        <w:t xml:space="preserve">will need to be collected more frequently than annually because the evaluation is occurring within one school year, and some measures will need to be assessed </w:t>
      </w:r>
      <w:r w:rsidR="00F17A53">
        <w:rPr>
          <w:bCs/>
        </w:rPr>
        <w:t xml:space="preserve">pre- and post-treatment </w:t>
      </w:r>
      <w:r>
        <w:rPr>
          <w:bCs/>
        </w:rPr>
        <w:t xml:space="preserve">in September </w:t>
      </w:r>
      <w:r w:rsidR="0013486C">
        <w:rPr>
          <w:bCs/>
        </w:rPr>
        <w:t xml:space="preserve">2024 </w:t>
      </w:r>
      <w:r>
        <w:rPr>
          <w:bCs/>
        </w:rPr>
        <w:t>and February</w:t>
      </w:r>
      <w:r w:rsidR="0013486C">
        <w:rPr>
          <w:bCs/>
        </w:rPr>
        <w:t xml:space="preserve"> 2025</w:t>
      </w:r>
      <w:r>
        <w:rPr>
          <w:bCs/>
        </w:rPr>
        <w:t xml:space="preserve"> (</w:t>
      </w:r>
      <w:r w:rsidR="00F17A53">
        <w:rPr>
          <w:bCs/>
        </w:rPr>
        <w:t xml:space="preserve">teacher log) or </w:t>
      </w:r>
      <w:r w:rsidR="009A46B4">
        <w:rPr>
          <w:bCs/>
        </w:rPr>
        <w:t>after each PLC (about twice per month for four</w:t>
      </w:r>
      <w:r w:rsidR="00923606">
        <w:rPr>
          <w:bCs/>
        </w:rPr>
        <w:t>–</w:t>
      </w:r>
      <w:r w:rsidR="00A21587">
        <w:rPr>
          <w:bCs/>
        </w:rPr>
        <w:t>five</w:t>
      </w:r>
      <w:r w:rsidR="009A46B4">
        <w:rPr>
          <w:bCs/>
        </w:rPr>
        <w:t xml:space="preserve"> months</w:t>
      </w:r>
      <w:r w:rsidR="003903E4">
        <w:rPr>
          <w:bCs/>
        </w:rPr>
        <w:t xml:space="preserve"> using the </w:t>
      </w:r>
      <w:r w:rsidR="00A21587">
        <w:rPr>
          <w:bCs/>
        </w:rPr>
        <w:t>PLT</w:t>
      </w:r>
      <w:r w:rsidR="009A46B4">
        <w:rPr>
          <w:bCs/>
        </w:rPr>
        <w:t>).</w:t>
      </w:r>
      <w:r>
        <w:rPr>
          <w:bCs/>
        </w:rPr>
        <w:t xml:space="preserve"> A longer period between data collection </w:t>
      </w:r>
      <w:r w:rsidR="008F32EF">
        <w:rPr>
          <w:bCs/>
        </w:rPr>
        <w:t xml:space="preserve">for the teacher log </w:t>
      </w:r>
      <w:r>
        <w:rPr>
          <w:bCs/>
        </w:rPr>
        <w:t>would make it difficult for the study team to meet the requirements for the efficacy study (by preventing baseline and follow</w:t>
      </w:r>
      <w:r w:rsidR="00102260">
        <w:rPr>
          <w:bCs/>
        </w:rPr>
        <w:t>-</w:t>
      </w:r>
      <w:r>
        <w:rPr>
          <w:bCs/>
        </w:rPr>
        <w:t>up data collection in the timeframe necessary for the evaluation).</w:t>
      </w:r>
      <w:r w:rsidR="008F32EF">
        <w:rPr>
          <w:bCs/>
        </w:rPr>
        <w:t xml:space="preserve"> A longer period between data collections for the </w:t>
      </w:r>
      <w:r w:rsidR="00A21587">
        <w:rPr>
          <w:bCs/>
        </w:rPr>
        <w:t>PLT</w:t>
      </w:r>
      <w:r w:rsidR="003903E4">
        <w:rPr>
          <w:bCs/>
        </w:rPr>
        <w:t xml:space="preserve"> would mean that </w:t>
      </w:r>
      <w:r w:rsidR="006C0A53">
        <w:rPr>
          <w:bCs/>
        </w:rPr>
        <w:t xml:space="preserve">the evaluation would not be able to gather timely data on implementation and meet the requirements to conduct an implementation evaluation. </w:t>
      </w:r>
    </w:p>
    <w:p w:rsidR="006A5394" w:rsidRPr="00140B8F" w:rsidP="006A5394" w14:paraId="24D9F5DF" w14:textId="78123E88">
      <w:pPr>
        <w:pStyle w:val="Heading2"/>
      </w:pPr>
      <w:bookmarkStart w:id="13" w:name="_Toc127438115"/>
      <w:r>
        <w:t xml:space="preserve">Methods for </w:t>
      </w:r>
      <w:r w:rsidR="00BC1991">
        <w:t xml:space="preserve">Maximizing </w:t>
      </w:r>
      <w:r w:rsidR="00046C38">
        <w:t xml:space="preserve">the </w:t>
      </w:r>
      <w:r w:rsidR="00BC1991">
        <w:t>Response Rate</w:t>
      </w:r>
      <w:bookmarkEnd w:id="13"/>
    </w:p>
    <w:p w:rsidR="00941B3E" w:rsidP="21B0E4DC" w14:paraId="0F3D6FB9" w14:textId="4528D2D8">
      <w:pPr>
        <w:suppressAutoHyphens/>
        <w:rPr>
          <w:rFonts w:asciiTheme="majorBidi" w:hAnsiTheme="majorBidi" w:cstheme="majorBidi"/>
          <w:lang w:val="en"/>
        </w:rPr>
      </w:pPr>
      <w:r w:rsidRPr="21B0E4DC">
        <w:rPr>
          <w:rFonts w:asciiTheme="majorBidi" w:hAnsiTheme="majorBidi" w:cstheme="majorBidi"/>
        </w:rPr>
        <w:t>The study team is committed to obtaining complete</w:t>
      </w:r>
      <w:r w:rsidRPr="21B0E4DC" w:rsidR="66F3D300">
        <w:rPr>
          <w:rFonts w:asciiTheme="majorBidi" w:hAnsiTheme="majorBidi" w:cstheme="majorBidi"/>
        </w:rPr>
        <w:t xml:space="preserve"> and high-quality</w:t>
      </w:r>
      <w:r w:rsidRPr="21B0E4DC">
        <w:rPr>
          <w:rFonts w:asciiTheme="majorBidi" w:hAnsiTheme="majorBidi" w:cstheme="majorBidi"/>
        </w:rPr>
        <w:t xml:space="preserve"> data for this evaluation. </w:t>
      </w:r>
      <w:r w:rsidRPr="21B0E4DC" w:rsidR="3A5F2767">
        <w:rPr>
          <w:rFonts w:asciiTheme="majorBidi" w:hAnsiTheme="majorBidi" w:cstheme="majorBidi"/>
          <w:lang w:val="en"/>
        </w:rPr>
        <w:t>T</w:t>
      </w:r>
      <w:r w:rsidRPr="21B0E4DC" w:rsidR="6C97C2D5">
        <w:rPr>
          <w:rFonts w:asciiTheme="majorBidi" w:hAnsiTheme="majorBidi" w:cstheme="majorBidi"/>
          <w:lang w:val="en"/>
        </w:rPr>
        <w:t xml:space="preserve">he </w:t>
      </w:r>
      <w:r w:rsidRPr="21B0E4DC" w:rsidR="3A5F2767">
        <w:rPr>
          <w:rFonts w:asciiTheme="majorBidi" w:hAnsiTheme="majorBidi" w:cstheme="majorBidi"/>
          <w:lang w:val="en"/>
        </w:rPr>
        <w:t xml:space="preserve">primary </w:t>
      </w:r>
      <w:r w:rsidRPr="21B0E4DC" w:rsidR="6C97C2D5">
        <w:rPr>
          <w:rFonts w:asciiTheme="majorBidi" w:hAnsiTheme="majorBidi" w:cstheme="majorBidi"/>
          <w:lang w:val="en"/>
        </w:rPr>
        <w:t>efficacy evaluation question</w:t>
      </w:r>
      <w:r w:rsidRPr="21B0E4DC" w:rsidR="1AA5232A">
        <w:rPr>
          <w:rFonts w:asciiTheme="majorBidi" w:hAnsiTheme="majorBidi" w:cstheme="majorBidi"/>
          <w:lang w:val="en"/>
        </w:rPr>
        <w:t xml:space="preserve"> on student writing</w:t>
      </w:r>
      <w:r w:rsidRPr="21B0E4DC" w:rsidR="6C97C2D5">
        <w:rPr>
          <w:rFonts w:asciiTheme="majorBidi" w:hAnsiTheme="majorBidi" w:cstheme="majorBidi"/>
          <w:lang w:val="en"/>
        </w:rPr>
        <w:t xml:space="preserve"> relies </w:t>
      </w:r>
      <w:r w:rsidRPr="21B0E4DC" w:rsidR="1AA5232A">
        <w:rPr>
          <w:rFonts w:asciiTheme="majorBidi" w:hAnsiTheme="majorBidi" w:cstheme="majorBidi"/>
          <w:lang w:val="en"/>
        </w:rPr>
        <w:t>entirely</w:t>
      </w:r>
      <w:r w:rsidRPr="21B0E4DC" w:rsidR="6C97C2D5">
        <w:rPr>
          <w:rFonts w:asciiTheme="majorBidi" w:hAnsiTheme="majorBidi" w:cstheme="majorBidi"/>
          <w:lang w:val="en"/>
        </w:rPr>
        <w:t xml:space="preserve"> </w:t>
      </w:r>
      <w:r w:rsidRPr="21B0E4DC" w:rsidR="0E9D7B37">
        <w:rPr>
          <w:rFonts w:asciiTheme="majorBidi" w:hAnsiTheme="majorBidi" w:cstheme="majorBidi"/>
          <w:lang w:val="en"/>
        </w:rPr>
        <w:t>on</w:t>
      </w:r>
      <w:r w:rsidRPr="21B0E4DC" w:rsidR="6C97C2D5">
        <w:rPr>
          <w:rFonts w:asciiTheme="majorBidi" w:hAnsiTheme="majorBidi" w:cstheme="majorBidi"/>
          <w:lang w:val="en"/>
        </w:rPr>
        <w:t xml:space="preserve"> administrative data </w:t>
      </w:r>
      <w:r w:rsidRPr="21B0E4DC" w:rsidR="1B9349AE">
        <w:rPr>
          <w:rFonts w:asciiTheme="majorBidi" w:hAnsiTheme="majorBidi" w:cstheme="majorBidi"/>
          <w:lang w:val="en"/>
        </w:rPr>
        <w:t xml:space="preserve">from </w:t>
      </w:r>
      <w:r w:rsidRPr="21B0E4DC" w:rsidR="4240FD5A">
        <w:rPr>
          <w:rFonts w:asciiTheme="majorBidi" w:hAnsiTheme="majorBidi" w:cstheme="majorBidi"/>
          <w:lang w:val="en"/>
        </w:rPr>
        <w:t>one district</w:t>
      </w:r>
      <w:r w:rsidRPr="21B0E4DC" w:rsidR="39755CF8">
        <w:rPr>
          <w:rFonts w:asciiTheme="majorBidi" w:hAnsiTheme="majorBidi" w:cstheme="majorBidi"/>
          <w:lang w:val="en"/>
        </w:rPr>
        <w:t>—HIDOE—</w:t>
      </w:r>
      <w:r w:rsidRPr="21B0E4DC" w:rsidR="1B9349AE">
        <w:rPr>
          <w:rFonts w:asciiTheme="majorBidi" w:hAnsiTheme="majorBidi" w:cstheme="majorBidi"/>
          <w:lang w:val="en"/>
        </w:rPr>
        <w:t>on student SBA Writing scores averaged at the school</w:t>
      </w:r>
      <w:r w:rsidR="00056A13">
        <w:rPr>
          <w:rFonts w:asciiTheme="majorBidi" w:hAnsiTheme="majorBidi" w:cstheme="majorBidi"/>
          <w:lang w:val="en"/>
        </w:rPr>
        <w:t xml:space="preserve"> </w:t>
      </w:r>
      <w:r w:rsidRPr="21B0E4DC" w:rsidR="1B9349AE">
        <w:rPr>
          <w:rFonts w:asciiTheme="majorBidi" w:hAnsiTheme="majorBidi" w:cstheme="majorBidi"/>
          <w:lang w:val="en"/>
        </w:rPr>
        <w:t>level</w:t>
      </w:r>
      <w:r w:rsidR="00026C0B">
        <w:rPr>
          <w:rFonts w:asciiTheme="majorBidi" w:hAnsiTheme="majorBidi" w:cstheme="majorBidi"/>
          <w:lang w:val="en"/>
        </w:rPr>
        <w:t>,</w:t>
      </w:r>
      <w:r w:rsidRPr="21B0E4DC" w:rsidR="1B9349AE">
        <w:rPr>
          <w:rFonts w:asciiTheme="majorBidi" w:hAnsiTheme="majorBidi" w:cstheme="majorBidi"/>
          <w:lang w:val="en"/>
        </w:rPr>
        <w:t xml:space="preserve"> and student and </w:t>
      </w:r>
      <w:r w:rsidRPr="21B0E4DC" w:rsidR="0E9D7B37">
        <w:rPr>
          <w:rFonts w:asciiTheme="majorBidi" w:hAnsiTheme="majorBidi" w:cstheme="majorBidi"/>
          <w:lang w:val="en"/>
        </w:rPr>
        <w:t>school characteristics</w:t>
      </w:r>
      <w:r w:rsidRPr="21B0E4DC" w:rsidR="1B9349AE">
        <w:rPr>
          <w:rFonts w:asciiTheme="majorBidi" w:hAnsiTheme="majorBidi" w:cstheme="majorBidi"/>
          <w:lang w:val="en"/>
        </w:rPr>
        <w:t xml:space="preserve">. </w:t>
      </w:r>
      <w:r w:rsidRPr="21B0E4DC" w:rsidR="48DCF4A0">
        <w:rPr>
          <w:rFonts w:asciiTheme="majorBidi" w:hAnsiTheme="majorBidi" w:cstheme="majorBidi"/>
          <w:lang w:val="en"/>
        </w:rPr>
        <w:t>Given the use of school-level averages</w:t>
      </w:r>
      <w:r w:rsidRPr="21B0E4DC" w:rsidR="20CFEC10">
        <w:rPr>
          <w:rFonts w:asciiTheme="majorBidi" w:hAnsiTheme="majorBidi" w:cstheme="majorBidi"/>
          <w:lang w:val="en"/>
        </w:rPr>
        <w:t xml:space="preserve"> from administrative data</w:t>
      </w:r>
      <w:r w:rsidRPr="21B0E4DC" w:rsidR="48DCF4A0">
        <w:rPr>
          <w:rFonts w:asciiTheme="majorBidi" w:hAnsiTheme="majorBidi" w:cstheme="majorBidi"/>
          <w:lang w:val="en"/>
        </w:rPr>
        <w:t xml:space="preserve">, </w:t>
      </w:r>
      <w:r w:rsidRPr="21B0E4DC" w:rsidR="00F39FD0">
        <w:rPr>
          <w:rFonts w:asciiTheme="majorBidi" w:hAnsiTheme="majorBidi" w:cstheme="majorBidi"/>
          <w:lang w:val="en"/>
        </w:rPr>
        <w:t>the study team does not expect to have any missing student writing data</w:t>
      </w:r>
      <w:r w:rsidRPr="21B0E4DC" w:rsidR="409AC9AA">
        <w:rPr>
          <w:rFonts w:asciiTheme="majorBidi" w:hAnsiTheme="majorBidi" w:cstheme="majorBidi"/>
          <w:lang w:val="en"/>
        </w:rPr>
        <w:t xml:space="preserve"> at the school level</w:t>
      </w:r>
      <w:r w:rsidRPr="21B0E4DC" w:rsidR="6E552275">
        <w:rPr>
          <w:rFonts w:asciiTheme="majorBidi" w:hAnsiTheme="majorBidi" w:cstheme="majorBidi"/>
          <w:lang w:val="en"/>
        </w:rPr>
        <w:t>.</w:t>
      </w:r>
      <w:r w:rsidRPr="21B0E4DC" w:rsidR="60830263">
        <w:rPr>
          <w:rFonts w:asciiTheme="majorBidi" w:hAnsiTheme="majorBidi" w:cstheme="majorBidi"/>
          <w:lang w:val="en"/>
        </w:rPr>
        <w:t xml:space="preserve"> </w:t>
      </w:r>
      <w:r w:rsidRPr="21B0E4DC" w:rsidR="31377A2A">
        <w:rPr>
          <w:rFonts w:asciiTheme="majorBidi" w:hAnsiTheme="majorBidi" w:cstheme="majorBidi"/>
          <w:lang w:val="en"/>
        </w:rPr>
        <w:t xml:space="preserve">While not every student enrolled during the full academic year is likely to complete the </w:t>
      </w:r>
      <w:r w:rsidRPr="21B0E4DC" w:rsidR="5901485F">
        <w:rPr>
          <w:rFonts w:asciiTheme="majorBidi" w:hAnsiTheme="majorBidi" w:cstheme="majorBidi"/>
          <w:lang w:val="en"/>
        </w:rPr>
        <w:t>assessment</w:t>
      </w:r>
      <w:r w:rsidRPr="21B0E4DC" w:rsidR="31377A2A">
        <w:rPr>
          <w:rFonts w:asciiTheme="majorBidi" w:hAnsiTheme="majorBidi" w:cstheme="majorBidi"/>
          <w:lang w:val="en"/>
        </w:rPr>
        <w:t xml:space="preserve"> at each school, schools are legislatively mandated to ensure that 95 percent of stud</w:t>
      </w:r>
      <w:r w:rsidRPr="21B0E4DC" w:rsidR="6EF572D4">
        <w:rPr>
          <w:rFonts w:asciiTheme="majorBidi" w:hAnsiTheme="majorBidi" w:cstheme="majorBidi"/>
          <w:lang w:val="en"/>
        </w:rPr>
        <w:t>ents are tested, which poses a low</w:t>
      </w:r>
      <w:r w:rsidRPr="21B0E4DC" w:rsidR="5901485F">
        <w:rPr>
          <w:rFonts w:asciiTheme="majorBidi" w:hAnsiTheme="majorBidi" w:cstheme="majorBidi"/>
          <w:lang w:val="en"/>
        </w:rPr>
        <w:t xml:space="preserve"> </w:t>
      </w:r>
      <w:r w:rsidRPr="21B0E4DC" w:rsidR="6EF572D4">
        <w:rPr>
          <w:rFonts w:asciiTheme="majorBidi" w:hAnsiTheme="majorBidi" w:cstheme="majorBidi"/>
          <w:lang w:val="en"/>
        </w:rPr>
        <w:t>risk of bias in the derived admini</w:t>
      </w:r>
      <w:r w:rsidRPr="21B0E4DC" w:rsidR="5901485F">
        <w:rPr>
          <w:rFonts w:asciiTheme="majorBidi" w:hAnsiTheme="majorBidi" w:cstheme="majorBidi"/>
          <w:lang w:val="en"/>
        </w:rPr>
        <w:t>s</w:t>
      </w:r>
      <w:r w:rsidRPr="21B0E4DC" w:rsidR="6EF572D4">
        <w:rPr>
          <w:rFonts w:asciiTheme="majorBidi" w:hAnsiTheme="majorBidi" w:cstheme="majorBidi"/>
          <w:lang w:val="en"/>
        </w:rPr>
        <w:t>t</w:t>
      </w:r>
      <w:r w:rsidRPr="21B0E4DC" w:rsidR="5901485F">
        <w:rPr>
          <w:rFonts w:asciiTheme="majorBidi" w:hAnsiTheme="majorBidi" w:cstheme="majorBidi"/>
          <w:lang w:val="en"/>
        </w:rPr>
        <w:t>r</w:t>
      </w:r>
      <w:r w:rsidRPr="21B0E4DC" w:rsidR="6EF572D4">
        <w:rPr>
          <w:rFonts w:asciiTheme="majorBidi" w:hAnsiTheme="majorBidi" w:cstheme="majorBidi"/>
          <w:lang w:val="en"/>
        </w:rPr>
        <w:t>ative averages of schools</w:t>
      </w:r>
      <w:r w:rsidRPr="21B0E4DC" w:rsidR="6B4E32A1">
        <w:rPr>
          <w:rFonts w:asciiTheme="majorBidi" w:hAnsiTheme="majorBidi" w:cstheme="majorBidi"/>
          <w:lang w:val="en"/>
        </w:rPr>
        <w:t>. D</w:t>
      </w:r>
      <w:r w:rsidRPr="21B0E4DC" w:rsidR="6EF572D4">
        <w:rPr>
          <w:rFonts w:asciiTheme="majorBidi" w:hAnsiTheme="majorBidi" w:cstheme="majorBidi"/>
          <w:lang w:val="en"/>
        </w:rPr>
        <w:t xml:space="preserve">ifferential bias between treatment and comparison schools </w:t>
      </w:r>
      <w:r w:rsidRPr="21B0E4DC" w:rsidR="6B4E32A1">
        <w:rPr>
          <w:rFonts w:asciiTheme="majorBidi" w:hAnsiTheme="majorBidi" w:cstheme="majorBidi"/>
          <w:lang w:val="en"/>
        </w:rPr>
        <w:t xml:space="preserve">is also not </w:t>
      </w:r>
      <w:r w:rsidRPr="21B0E4DC" w:rsidR="6EF572D4">
        <w:rPr>
          <w:rFonts w:asciiTheme="majorBidi" w:hAnsiTheme="majorBidi" w:cstheme="majorBidi"/>
          <w:lang w:val="en"/>
        </w:rPr>
        <w:t>likely to be a</w:t>
      </w:r>
      <w:r w:rsidRPr="21B0E4DC" w:rsidR="17812358">
        <w:rPr>
          <w:rFonts w:asciiTheme="majorBidi" w:hAnsiTheme="majorBidi" w:cstheme="majorBidi"/>
          <w:lang w:val="en"/>
        </w:rPr>
        <w:t>n issue</w:t>
      </w:r>
      <w:r w:rsidRPr="21B0E4DC" w:rsidR="6EF572D4">
        <w:rPr>
          <w:rFonts w:asciiTheme="majorBidi" w:hAnsiTheme="majorBidi" w:cstheme="majorBidi"/>
          <w:lang w:val="en"/>
        </w:rPr>
        <w:t xml:space="preserve">. </w:t>
      </w:r>
      <w:r w:rsidRPr="21B0E4DC" w:rsidR="6F674957">
        <w:rPr>
          <w:rFonts w:asciiTheme="majorBidi" w:hAnsiTheme="majorBidi" w:cstheme="majorBidi"/>
          <w:lang w:val="en"/>
        </w:rPr>
        <w:t xml:space="preserve">The study team has already been in contact with HIDOE and </w:t>
      </w:r>
      <w:r w:rsidRPr="21B0E4DC" w:rsidR="2E4CCBE9">
        <w:rPr>
          <w:rFonts w:asciiTheme="majorBidi" w:hAnsiTheme="majorBidi" w:cstheme="majorBidi"/>
          <w:lang w:val="en"/>
        </w:rPr>
        <w:t xml:space="preserve">will carefully check all data received for completeness. Follow-up emails and calls </w:t>
      </w:r>
      <w:r w:rsidRPr="21B0E4DC" w:rsidR="605B8010">
        <w:rPr>
          <w:rFonts w:asciiTheme="majorBidi" w:hAnsiTheme="majorBidi" w:cstheme="majorBidi"/>
          <w:lang w:val="en"/>
        </w:rPr>
        <w:t>will be made to ensure th</w:t>
      </w:r>
      <w:r w:rsidRPr="21B0E4DC" w:rsidR="4240FD5A">
        <w:rPr>
          <w:rFonts w:asciiTheme="majorBidi" w:hAnsiTheme="majorBidi" w:cstheme="majorBidi"/>
          <w:lang w:val="en"/>
        </w:rPr>
        <w:t>at all data needed for the evaluation are received</w:t>
      </w:r>
      <w:r w:rsidRPr="21B0E4DC" w:rsidR="28085265">
        <w:rPr>
          <w:rFonts w:asciiTheme="majorBidi" w:hAnsiTheme="majorBidi" w:cstheme="majorBidi"/>
          <w:lang w:val="en"/>
        </w:rPr>
        <w:t xml:space="preserve"> in a timely manner. </w:t>
      </w:r>
    </w:p>
    <w:p w:rsidR="00941B3E" w:rsidP="21B0E4DC" w14:paraId="1AB47DC5" w14:textId="3F3DDF0C">
      <w:pPr>
        <w:suppressAutoHyphens/>
        <w:rPr>
          <w:rFonts w:asciiTheme="majorBidi" w:hAnsiTheme="majorBidi" w:cstheme="majorBidi"/>
          <w:lang w:val="en"/>
        </w:rPr>
      </w:pPr>
      <w:r w:rsidRPr="21B0E4DC">
        <w:rPr>
          <w:rFonts w:asciiTheme="majorBidi" w:hAnsiTheme="majorBidi" w:cstheme="majorBidi"/>
          <w:lang w:val="en"/>
        </w:rPr>
        <w:t>F</w:t>
      </w:r>
      <w:r w:rsidRPr="21B0E4DC" w:rsidR="00F39FD0">
        <w:rPr>
          <w:rFonts w:asciiTheme="majorBidi" w:hAnsiTheme="majorBidi" w:cstheme="majorBidi"/>
          <w:lang w:val="en"/>
        </w:rPr>
        <w:t xml:space="preserve">or all other data collection activities, </w:t>
      </w:r>
      <w:r w:rsidRPr="21B0E4DC" w:rsidR="6BE657C3">
        <w:rPr>
          <w:rFonts w:asciiTheme="majorBidi" w:hAnsiTheme="majorBidi" w:cstheme="majorBidi"/>
          <w:lang w:val="en"/>
        </w:rPr>
        <w:t>the study team will use multiple strategies to ensure high response rates and high-quality data and to protect respondents</w:t>
      </w:r>
      <w:r w:rsidRPr="21B0E4DC" w:rsidR="6BE657C3">
        <w:rPr>
          <w:rFonts w:eastAsia="Batang" w:asciiTheme="majorBidi" w:hAnsiTheme="majorBidi" w:cstheme="majorBidi"/>
        </w:rPr>
        <w:t>’</w:t>
      </w:r>
      <w:r w:rsidRPr="21B0E4DC" w:rsidR="6BE657C3">
        <w:rPr>
          <w:rFonts w:asciiTheme="majorBidi" w:hAnsiTheme="majorBidi" w:cstheme="majorBidi"/>
          <w:lang w:val="en"/>
        </w:rPr>
        <w:t xml:space="preserve"> privacy, regardless of data type. </w:t>
      </w:r>
      <w:r w:rsidRPr="21B0E4DC" w:rsidR="5F27126A">
        <w:rPr>
          <w:rFonts w:asciiTheme="majorBidi" w:hAnsiTheme="majorBidi" w:cstheme="majorBidi"/>
          <w:lang w:val="en"/>
        </w:rPr>
        <w:t>As noted in Exhibit B2 above, t</w:t>
      </w:r>
      <w:r w:rsidRPr="21B0E4DC" w:rsidR="2699E8B8">
        <w:rPr>
          <w:rFonts w:asciiTheme="majorBidi" w:hAnsiTheme="majorBidi" w:cstheme="majorBidi"/>
          <w:lang w:val="en"/>
        </w:rPr>
        <w:t xml:space="preserve">he study team expects a </w:t>
      </w:r>
      <w:r w:rsidRPr="21B0E4DC" w:rsidR="7EADD0E1">
        <w:rPr>
          <w:rFonts w:asciiTheme="majorBidi" w:hAnsiTheme="majorBidi" w:cstheme="majorBidi"/>
          <w:lang w:val="en"/>
        </w:rPr>
        <w:t>90</w:t>
      </w:r>
      <w:r w:rsidR="005A1C64">
        <w:rPr>
          <w:rFonts w:asciiTheme="majorBidi" w:hAnsiTheme="majorBidi" w:cstheme="majorBidi"/>
          <w:lang w:val="en"/>
        </w:rPr>
        <w:t xml:space="preserve"> percent</w:t>
      </w:r>
      <w:r w:rsidRPr="21B0E4DC" w:rsidR="005A1C64">
        <w:rPr>
          <w:rFonts w:asciiTheme="majorBidi" w:hAnsiTheme="majorBidi" w:cstheme="majorBidi"/>
          <w:lang w:val="en"/>
        </w:rPr>
        <w:t xml:space="preserve"> </w:t>
      </w:r>
      <w:r w:rsidRPr="21B0E4DC" w:rsidR="2699E8B8">
        <w:rPr>
          <w:rFonts w:asciiTheme="majorBidi" w:hAnsiTheme="majorBidi" w:cstheme="majorBidi"/>
          <w:lang w:val="en"/>
        </w:rPr>
        <w:t>response rate for peer facilitators</w:t>
      </w:r>
      <w:r w:rsidRPr="21B0E4DC" w:rsidR="5F27126A">
        <w:rPr>
          <w:rFonts w:asciiTheme="majorBidi" w:hAnsiTheme="majorBidi" w:cstheme="majorBidi"/>
          <w:lang w:val="en"/>
        </w:rPr>
        <w:t xml:space="preserve"> (who are also teachers)</w:t>
      </w:r>
      <w:r w:rsidRPr="21B0E4DC" w:rsidR="22E7EA19">
        <w:rPr>
          <w:rFonts w:asciiTheme="majorBidi" w:hAnsiTheme="majorBidi" w:cstheme="majorBidi"/>
          <w:lang w:val="en"/>
        </w:rPr>
        <w:t xml:space="preserve"> and 85</w:t>
      </w:r>
      <w:r w:rsidR="00520382">
        <w:rPr>
          <w:rFonts w:asciiTheme="majorBidi" w:hAnsiTheme="majorBidi" w:cstheme="majorBidi"/>
          <w:lang w:val="en"/>
        </w:rPr>
        <w:t xml:space="preserve"> percent</w:t>
      </w:r>
      <w:r w:rsidRPr="21B0E4DC" w:rsidR="00520382">
        <w:rPr>
          <w:rFonts w:asciiTheme="majorBidi" w:hAnsiTheme="majorBidi" w:cstheme="majorBidi"/>
          <w:lang w:val="en"/>
        </w:rPr>
        <w:t xml:space="preserve"> </w:t>
      </w:r>
      <w:r w:rsidRPr="21B0E4DC" w:rsidR="22E7EA19">
        <w:rPr>
          <w:rFonts w:asciiTheme="majorBidi" w:hAnsiTheme="majorBidi" w:cstheme="majorBidi"/>
          <w:lang w:val="en"/>
        </w:rPr>
        <w:t>response rate for other participating teachers and administrators.</w:t>
      </w:r>
      <w:r w:rsidRPr="21B0E4DC" w:rsidR="125307D8">
        <w:rPr>
          <w:rFonts w:asciiTheme="majorBidi" w:hAnsiTheme="majorBidi" w:cstheme="majorBidi"/>
          <w:lang w:val="en"/>
        </w:rPr>
        <w:t xml:space="preserve"> </w:t>
      </w:r>
      <w:r w:rsidRPr="21B0E4DC" w:rsidR="6E8C9860">
        <w:rPr>
          <w:rFonts w:asciiTheme="majorBidi" w:hAnsiTheme="majorBidi" w:cstheme="majorBidi"/>
          <w:lang w:val="en"/>
        </w:rPr>
        <w:t>The study team will</w:t>
      </w:r>
      <w:r w:rsidRPr="21B0E4DC" w:rsidR="4D360557">
        <w:rPr>
          <w:rFonts w:asciiTheme="majorBidi" w:hAnsiTheme="majorBidi" w:cstheme="majorBidi"/>
          <w:lang w:val="en"/>
        </w:rPr>
        <w:t>: 1</w:t>
      </w:r>
      <w:r w:rsidRPr="21B0E4DC" w:rsidR="6E8C9860">
        <w:rPr>
          <w:rFonts w:asciiTheme="majorBidi" w:hAnsiTheme="majorBidi" w:cstheme="majorBidi"/>
          <w:lang w:val="en"/>
        </w:rPr>
        <w:t xml:space="preserve">) use well-designed and respondent-tailored instruments; </w:t>
      </w:r>
      <w:r w:rsidRPr="21B0E4DC" w:rsidR="4D360557">
        <w:rPr>
          <w:rFonts w:asciiTheme="majorBidi" w:hAnsiTheme="majorBidi" w:cstheme="majorBidi"/>
          <w:lang w:val="en"/>
        </w:rPr>
        <w:t>2</w:t>
      </w:r>
      <w:r w:rsidRPr="21B0E4DC" w:rsidR="6E8C9860">
        <w:rPr>
          <w:rFonts w:asciiTheme="majorBidi" w:hAnsiTheme="majorBidi" w:cstheme="majorBidi"/>
          <w:lang w:val="en"/>
        </w:rPr>
        <w:t xml:space="preserve">) develop strong partnerships at both the district and school levels and obtain buy-in at the district and school levels to encourage participation of teachers and students and coordinate scheduling of study data collection with school and testing schedules; </w:t>
      </w:r>
      <w:r w:rsidRPr="21B0E4DC" w:rsidR="4D360557">
        <w:rPr>
          <w:rFonts w:asciiTheme="majorBidi" w:hAnsiTheme="majorBidi" w:cstheme="majorBidi"/>
          <w:lang w:val="en"/>
        </w:rPr>
        <w:t>3</w:t>
      </w:r>
      <w:r w:rsidRPr="21B0E4DC" w:rsidR="6E8C9860">
        <w:rPr>
          <w:rFonts w:asciiTheme="majorBidi" w:hAnsiTheme="majorBidi" w:cstheme="majorBidi"/>
          <w:lang w:val="en"/>
        </w:rPr>
        <w:t xml:space="preserve">) use multiple approaches to engage participants in the data collection, including </w:t>
      </w:r>
      <w:r w:rsidRPr="21B0E4DC" w:rsidR="4D360557">
        <w:rPr>
          <w:rFonts w:asciiTheme="majorBidi" w:hAnsiTheme="majorBidi" w:cstheme="majorBidi"/>
          <w:lang w:val="en"/>
        </w:rPr>
        <w:t xml:space="preserve">reminder </w:t>
      </w:r>
      <w:r w:rsidRPr="21B0E4DC" w:rsidR="6E8C9860">
        <w:rPr>
          <w:rFonts w:asciiTheme="majorBidi" w:hAnsiTheme="majorBidi" w:cstheme="majorBidi"/>
          <w:lang w:val="en"/>
        </w:rPr>
        <w:t>emails</w:t>
      </w:r>
      <w:r w:rsidRPr="21B0E4DC" w:rsidR="4D360557">
        <w:rPr>
          <w:rFonts w:asciiTheme="majorBidi" w:hAnsiTheme="majorBidi" w:cstheme="majorBidi"/>
          <w:lang w:val="en"/>
        </w:rPr>
        <w:t xml:space="preserve"> </w:t>
      </w:r>
      <w:r w:rsidRPr="21B0E4DC" w:rsidR="6E8C9860">
        <w:rPr>
          <w:rFonts w:asciiTheme="majorBidi" w:hAnsiTheme="majorBidi" w:cstheme="majorBidi"/>
          <w:lang w:val="en"/>
        </w:rPr>
        <w:t xml:space="preserve">and telephone calls to ensure high response rates; </w:t>
      </w:r>
      <w:r w:rsidRPr="21B0E4DC" w:rsidR="6C82F9F4">
        <w:rPr>
          <w:rFonts w:asciiTheme="majorBidi" w:hAnsiTheme="majorBidi" w:cstheme="majorBidi"/>
          <w:lang w:val="en"/>
        </w:rPr>
        <w:t>4</w:t>
      </w:r>
      <w:r w:rsidRPr="21B0E4DC" w:rsidR="6E8C9860">
        <w:rPr>
          <w:rFonts w:asciiTheme="majorBidi" w:hAnsiTheme="majorBidi" w:cstheme="majorBidi"/>
          <w:lang w:val="en"/>
        </w:rPr>
        <w:t>) offer incentives for completion</w:t>
      </w:r>
      <w:r w:rsidRPr="21B0E4DC" w:rsidR="720C0B2E">
        <w:rPr>
          <w:rFonts w:asciiTheme="majorBidi" w:hAnsiTheme="majorBidi" w:cstheme="majorBidi"/>
          <w:lang w:val="en"/>
        </w:rPr>
        <w:t xml:space="preserve"> ($</w:t>
      </w:r>
      <w:r w:rsidRPr="21B0E4DC" w:rsidR="34F6BBDD">
        <w:rPr>
          <w:rFonts w:asciiTheme="majorBidi" w:hAnsiTheme="majorBidi" w:cstheme="majorBidi"/>
          <w:lang w:val="en"/>
        </w:rPr>
        <w:t>10/day to teachers</w:t>
      </w:r>
      <w:r w:rsidRPr="21B0E4DC" w:rsidR="5BD2EEA6">
        <w:rPr>
          <w:rFonts w:asciiTheme="majorBidi" w:hAnsiTheme="majorBidi" w:cstheme="majorBidi"/>
          <w:lang w:val="en"/>
        </w:rPr>
        <w:t xml:space="preserve"> and peer facilitators</w:t>
      </w:r>
      <w:r w:rsidRPr="21B0E4DC" w:rsidR="34F6BBDD">
        <w:rPr>
          <w:rFonts w:asciiTheme="majorBidi" w:hAnsiTheme="majorBidi" w:cstheme="majorBidi"/>
          <w:lang w:val="en"/>
        </w:rPr>
        <w:t xml:space="preserve"> for</w:t>
      </w:r>
      <w:r w:rsidRPr="21B0E4DC" w:rsidR="682584DE">
        <w:rPr>
          <w:rFonts w:asciiTheme="majorBidi" w:hAnsiTheme="majorBidi" w:cstheme="majorBidi"/>
          <w:lang w:val="en"/>
        </w:rPr>
        <w:t xml:space="preserve"> the</w:t>
      </w:r>
      <w:r w:rsidRPr="21B0E4DC" w:rsidR="34F6BBDD">
        <w:rPr>
          <w:rFonts w:asciiTheme="majorBidi" w:hAnsiTheme="majorBidi" w:cstheme="majorBidi"/>
          <w:lang w:val="en"/>
        </w:rPr>
        <w:t xml:space="preserve"> log </w:t>
      </w:r>
      <w:r w:rsidRPr="21B0E4DC" w:rsidR="682584DE">
        <w:rPr>
          <w:rFonts w:asciiTheme="majorBidi" w:hAnsiTheme="majorBidi" w:cstheme="majorBidi"/>
          <w:lang w:val="en"/>
        </w:rPr>
        <w:t>for 10 days</w:t>
      </w:r>
      <w:r w:rsidRPr="21B0E4DC" w:rsidR="5BD2EEA6">
        <w:rPr>
          <w:rFonts w:asciiTheme="majorBidi" w:hAnsiTheme="majorBidi" w:cstheme="majorBidi"/>
          <w:lang w:val="en"/>
        </w:rPr>
        <w:t xml:space="preserve">, </w:t>
      </w:r>
      <w:r w:rsidRPr="21B0E4DC" w:rsidR="682584DE">
        <w:rPr>
          <w:rFonts w:asciiTheme="majorBidi" w:hAnsiTheme="majorBidi" w:cstheme="majorBidi"/>
          <w:lang w:val="en"/>
        </w:rPr>
        <w:t>$50 for the PLT</w:t>
      </w:r>
      <w:r w:rsidRPr="21B0E4DC" w:rsidR="5BD2EEA6">
        <w:rPr>
          <w:rFonts w:asciiTheme="majorBidi" w:hAnsiTheme="majorBidi" w:cstheme="majorBidi"/>
          <w:lang w:val="en"/>
        </w:rPr>
        <w:t>, and $30 for the focus group</w:t>
      </w:r>
      <w:r w:rsidRPr="21B0E4DC" w:rsidR="682584DE">
        <w:rPr>
          <w:rFonts w:asciiTheme="majorBidi" w:hAnsiTheme="majorBidi" w:cstheme="majorBidi"/>
          <w:lang w:val="en"/>
        </w:rPr>
        <w:t>;</w:t>
      </w:r>
      <w:r w:rsidRPr="21B0E4DC" w:rsidR="321DCC7E">
        <w:rPr>
          <w:rFonts w:asciiTheme="majorBidi" w:hAnsiTheme="majorBidi" w:cstheme="majorBidi"/>
          <w:lang w:val="en"/>
        </w:rPr>
        <w:t xml:space="preserve"> $15 to administrators for the survey; </w:t>
      </w:r>
      <w:r w:rsidRPr="21B0E4DC" w:rsidR="31285C9D">
        <w:rPr>
          <w:rFonts w:asciiTheme="majorBidi" w:hAnsiTheme="majorBidi" w:cstheme="majorBidi"/>
          <w:lang w:val="en"/>
        </w:rPr>
        <w:t xml:space="preserve">and </w:t>
      </w:r>
      <w:r w:rsidRPr="21B0E4DC" w:rsidR="321DCC7E">
        <w:rPr>
          <w:rFonts w:asciiTheme="majorBidi" w:hAnsiTheme="majorBidi" w:cstheme="majorBidi"/>
          <w:lang w:val="en"/>
        </w:rPr>
        <w:t xml:space="preserve">$2,500 to </w:t>
      </w:r>
      <w:r w:rsidRPr="21B0E4DC" w:rsidR="5F1DD9A5">
        <w:rPr>
          <w:rFonts w:asciiTheme="majorBidi" w:hAnsiTheme="majorBidi" w:cstheme="majorBidi"/>
          <w:lang w:val="en"/>
        </w:rPr>
        <w:t>comparison</w:t>
      </w:r>
      <w:r w:rsidRPr="21B0E4DC" w:rsidR="321DCC7E">
        <w:rPr>
          <w:rFonts w:asciiTheme="majorBidi" w:hAnsiTheme="majorBidi" w:cstheme="majorBidi"/>
          <w:lang w:val="en"/>
        </w:rPr>
        <w:t xml:space="preserve"> schools)</w:t>
      </w:r>
      <w:r w:rsidRPr="21B0E4DC" w:rsidR="47D68ED4">
        <w:rPr>
          <w:rFonts w:asciiTheme="majorBidi" w:hAnsiTheme="majorBidi" w:cstheme="majorBidi"/>
          <w:lang w:val="en"/>
        </w:rPr>
        <w:t>;</w:t>
      </w:r>
      <w:r>
        <w:rPr>
          <w:rStyle w:val="FootnoteReference"/>
          <w:rFonts w:asciiTheme="majorBidi" w:hAnsiTheme="majorBidi" w:cstheme="majorBidi"/>
          <w:lang w:val="en"/>
        </w:rPr>
        <w:footnoteReference w:id="7"/>
      </w:r>
      <w:r w:rsidR="00537414">
        <w:rPr>
          <w:rFonts w:asciiTheme="majorBidi" w:hAnsiTheme="majorBidi" w:cstheme="majorBidi"/>
          <w:lang w:val="en"/>
        </w:rPr>
        <w:t xml:space="preserve"> </w:t>
      </w:r>
      <w:r w:rsidRPr="21B0E4DC" w:rsidR="6E8C9860">
        <w:rPr>
          <w:rFonts w:asciiTheme="majorBidi" w:hAnsiTheme="majorBidi" w:cstheme="majorBidi"/>
          <w:lang w:val="en"/>
        </w:rPr>
        <w:t>and</w:t>
      </w:r>
      <w:r w:rsidRPr="21B0E4DC" w:rsidR="614F0A3C">
        <w:rPr>
          <w:rFonts w:asciiTheme="majorBidi" w:hAnsiTheme="majorBidi" w:cstheme="majorBidi"/>
          <w:lang w:val="en"/>
        </w:rPr>
        <w:t xml:space="preserve"> </w:t>
      </w:r>
      <w:r w:rsidRPr="21B0E4DC" w:rsidR="6C82F9F4">
        <w:rPr>
          <w:rFonts w:asciiTheme="majorBidi" w:hAnsiTheme="majorBidi" w:cstheme="majorBidi"/>
          <w:lang w:val="en"/>
        </w:rPr>
        <w:t>5</w:t>
      </w:r>
      <w:r w:rsidRPr="21B0E4DC" w:rsidR="614F0A3C">
        <w:rPr>
          <w:rFonts w:asciiTheme="majorBidi" w:hAnsiTheme="majorBidi" w:cstheme="majorBidi"/>
          <w:lang w:val="en"/>
        </w:rPr>
        <w:t>)</w:t>
      </w:r>
      <w:r w:rsidRPr="21B0E4DC" w:rsidR="6E8C9860">
        <w:rPr>
          <w:rFonts w:asciiTheme="majorBidi" w:hAnsiTheme="majorBidi" w:cstheme="majorBidi"/>
          <w:lang w:val="en"/>
        </w:rPr>
        <w:t xml:space="preserve"> employ a comprehensive tracking system to ensure follow</w:t>
      </w:r>
      <w:r w:rsidR="00C04BB7">
        <w:rPr>
          <w:rFonts w:asciiTheme="majorBidi" w:hAnsiTheme="majorBidi" w:cstheme="majorBidi"/>
          <w:lang w:val="en"/>
        </w:rPr>
        <w:t>-</w:t>
      </w:r>
      <w:r w:rsidRPr="21B0E4DC" w:rsidR="6E8C9860">
        <w:rPr>
          <w:rFonts w:asciiTheme="majorBidi" w:hAnsiTheme="majorBidi" w:cstheme="majorBidi"/>
          <w:lang w:val="en"/>
        </w:rPr>
        <w:t xml:space="preserve">up with non-response during data collection in a timely manner using intentionally varied strategies. </w:t>
      </w:r>
    </w:p>
    <w:p w:rsidR="00CE430A" w:rsidRPr="00D25123" w:rsidP="005A62F3" w14:paraId="27F48F17" w14:textId="02E3F4BF">
      <w:pPr>
        <w:suppressAutoHyphens/>
        <w:rPr>
          <w:rFonts w:asciiTheme="majorBidi" w:hAnsiTheme="majorBidi" w:cstheme="majorBidi"/>
          <w:szCs w:val="22"/>
          <w:lang w:val="en"/>
        </w:rPr>
      </w:pPr>
      <w:r>
        <w:rPr>
          <w:rFonts w:asciiTheme="majorBidi" w:hAnsiTheme="majorBidi" w:cstheme="majorBidi"/>
          <w:szCs w:val="22"/>
          <w:lang w:val="en"/>
        </w:rPr>
        <w:t>T</w:t>
      </w:r>
      <w:r w:rsidRPr="00D25123" w:rsidR="00E43E11">
        <w:rPr>
          <w:rFonts w:asciiTheme="majorBidi" w:hAnsiTheme="majorBidi" w:cstheme="majorBidi"/>
          <w:szCs w:val="22"/>
          <w:lang w:val="en"/>
        </w:rPr>
        <w:t xml:space="preserve">he study team will hire temporary </w:t>
      </w:r>
      <w:r w:rsidR="000116F3">
        <w:rPr>
          <w:rFonts w:asciiTheme="majorBidi" w:hAnsiTheme="majorBidi" w:cstheme="majorBidi"/>
          <w:szCs w:val="22"/>
          <w:lang w:val="en"/>
        </w:rPr>
        <w:t>data collection</w:t>
      </w:r>
      <w:r w:rsidRPr="00D25123" w:rsidR="000116F3">
        <w:rPr>
          <w:rFonts w:asciiTheme="majorBidi" w:hAnsiTheme="majorBidi" w:cstheme="majorBidi"/>
          <w:szCs w:val="22"/>
          <w:lang w:val="en"/>
        </w:rPr>
        <w:t xml:space="preserve"> </w:t>
      </w:r>
      <w:r w:rsidRPr="00D25123" w:rsidR="00E43E11">
        <w:rPr>
          <w:rFonts w:asciiTheme="majorBidi" w:hAnsiTheme="majorBidi" w:cstheme="majorBidi"/>
          <w:szCs w:val="22"/>
          <w:lang w:val="en"/>
        </w:rPr>
        <w:t xml:space="preserve">staff in </w:t>
      </w:r>
      <w:r w:rsidRPr="00D25123" w:rsidR="00E43E11">
        <w:rPr>
          <w:rFonts w:asciiTheme="majorBidi" w:hAnsiTheme="majorBidi" w:cstheme="majorBidi"/>
          <w:szCs w:val="22"/>
          <w:lang w:val="en"/>
        </w:rPr>
        <w:t>Hawai‘</w:t>
      </w:r>
      <w:r w:rsidRPr="00D25123" w:rsidR="00E43E11">
        <w:rPr>
          <w:rFonts w:asciiTheme="majorBidi" w:hAnsiTheme="majorBidi" w:cstheme="majorBidi"/>
          <w:szCs w:val="22"/>
          <w:lang w:val="en"/>
        </w:rPr>
        <w:t xml:space="preserve">i who will serve as study liaisons to the schools to help with data collection. With 40 schools, </w:t>
      </w:r>
      <w:r w:rsidRPr="00D25123" w:rsidR="003A0DCE">
        <w:rPr>
          <w:rFonts w:asciiTheme="majorBidi" w:hAnsiTheme="majorBidi" w:cstheme="majorBidi"/>
          <w:szCs w:val="22"/>
          <w:lang w:val="en"/>
        </w:rPr>
        <w:t>the study team</w:t>
      </w:r>
      <w:r w:rsidRPr="00D25123" w:rsidR="00E43E11">
        <w:rPr>
          <w:rFonts w:asciiTheme="majorBidi" w:hAnsiTheme="majorBidi" w:cstheme="majorBidi"/>
          <w:szCs w:val="22"/>
          <w:lang w:val="en"/>
        </w:rPr>
        <w:t xml:space="preserve"> assume</w:t>
      </w:r>
      <w:r w:rsidRPr="00D25123" w:rsidR="003A0DCE">
        <w:rPr>
          <w:rFonts w:asciiTheme="majorBidi" w:hAnsiTheme="majorBidi" w:cstheme="majorBidi"/>
          <w:szCs w:val="22"/>
          <w:lang w:val="en"/>
        </w:rPr>
        <w:t xml:space="preserve">s that </w:t>
      </w:r>
      <w:r w:rsidRPr="00D25123" w:rsidR="00E43E11">
        <w:rPr>
          <w:rFonts w:asciiTheme="majorBidi" w:hAnsiTheme="majorBidi" w:cstheme="majorBidi"/>
          <w:szCs w:val="22"/>
          <w:lang w:val="en"/>
        </w:rPr>
        <w:t>approximately 8</w:t>
      </w:r>
      <w:r w:rsidR="002807F3">
        <w:rPr>
          <w:rFonts w:asciiTheme="majorBidi" w:hAnsiTheme="majorBidi" w:cstheme="majorBidi"/>
          <w:szCs w:val="22"/>
          <w:lang w:val="en"/>
        </w:rPr>
        <w:t>–</w:t>
      </w:r>
      <w:r w:rsidRPr="00D25123" w:rsidR="00E43E11">
        <w:rPr>
          <w:rFonts w:asciiTheme="majorBidi" w:hAnsiTheme="majorBidi" w:cstheme="majorBidi"/>
          <w:szCs w:val="22"/>
          <w:lang w:val="en"/>
        </w:rPr>
        <w:t>10 field staff</w:t>
      </w:r>
      <w:r w:rsidRPr="00D25123" w:rsidR="003A0DCE">
        <w:rPr>
          <w:rFonts w:asciiTheme="majorBidi" w:hAnsiTheme="majorBidi" w:cstheme="majorBidi"/>
          <w:szCs w:val="22"/>
          <w:lang w:val="en"/>
        </w:rPr>
        <w:t xml:space="preserve"> are needed</w:t>
      </w:r>
      <w:r w:rsidRPr="00D25123" w:rsidR="00E43E11">
        <w:rPr>
          <w:rFonts w:asciiTheme="majorBidi" w:hAnsiTheme="majorBidi" w:cstheme="majorBidi"/>
          <w:szCs w:val="22"/>
          <w:lang w:val="en"/>
        </w:rPr>
        <w:t xml:space="preserve">, each of whom will cover multiple schools. The study liaisons’ tasks will </w:t>
      </w:r>
      <w:r>
        <w:rPr>
          <w:rFonts w:asciiTheme="majorBidi" w:hAnsiTheme="majorBidi" w:cstheme="majorBidi"/>
          <w:szCs w:val="22"/>
          <w:lang w:val="en"/>
        </w:rPr>
        <w:t xml:space="preserve">be to </w:t>
      </w:r>
      <w:r w:rsidRPr="00D25123" w:rsidR="00E43E11">
        <w:rPr>
          <w:rFonts w:asciiTheme="majorBidi" w:hAnsiTheme="majorBidi" w:cstheme="majorBidi"/>
          <w:szCs w:val="22"/>
          <w:lang w:val="en"/>
        </w:rPr>
        <w:t xml:space="preserve">cover all aspects of data collection, including alerting teachers about missing logs </w:t>
      </w:r>
      <w:r w:rsidRPr="00D25123">
        <w:rPr>
          <w:rFonts w:asciiTheme="majorBidi" w:hAnsiTheme="majorBidi" w:cstheme="majorBidi"/>
          <w:szCs w:val="22"/>
          <w:lang w:val="en"/>
        </w:rPr>
        <w:t>daily</w:t>
      </w:r>
      <w:r w:rsidRPr="00D25123" w:rsidR="00E43E11">
        <w:rPr>
          <w:rFonts w:asciiTheme="majorBidi" w:hAnsiTheme="majorBidi" w:cstheme="majorBidi"/>
          <w:szCs w:val="22"/>
          <w:lang w:val="en"/>
        </w:rPr>
        <w:t xml:space="preserve"> during the data collection period, following</w:t>
      </w:r>
      <w:r w:rsidR="00DB64DE">
        <w:rPr>
          <w:rFonts w:asciiTheme="majorBidi" w:hAnsiTheme="majorBidi" w:cstheme="majorBidi"/>
          <w:szCs w:val="22"/>
          <w:lang w:val="en"/>
        </w:rPr>
        <w:t xml:space="preserve"> </w:t>
      </w:r>
      <w:r w:rsidRPr="00D25123" w:rsidR="00E43E11">
        <w:rPr>
          <w:rFonts w:asciiTheme="majorBidi" w:hAnsiTheme="majorBidi" w:cstheme="majorBidi"/>
          <w:szCs w:val="22"/>
          <w:lang w:val="en"/>
        </w:rPr>
        <w:t>up with peer facilitators and teachers about</w:t>
      </w:r>
      <w:r w:rsidR="00A21587">
        <w:rPr>
          <w:rFonts w:asciiTheme="majorBidi" w:hAnsiTheme="majorBidi" w:cstheme="majorBidi"/>
          <w:szCs w:val="22"/>
          <w:lang w:val="en"/>
        </w:rPr>
        <w:t xml:space="preserve"> PLT </w:t>
      </w:r>
      <w:r w:rsidRPr="00D25123" w:rsidR="00E43E11">
        <w:rPr>
          <w:rFonts w:asciiTheme="majorBidi" w:hAnsiTheme="majorBidi" w:cstheme="majorBidi"/>
          <w:szCs w:val="22"/>
          <w:lang w:val="en"/>
        </w:rPr>
        <w:t xml:space="preserve">completion, recruiting participants for focus groups, and being available for general data collection questions. </w:t>
      </w:r>
      <w:r w:rsidRPr="00D25123" w:rsidR="003A0DCE">
        <w:rPr>
          <w:rFonts w:asciiTheme="majorBidi" w:hAnsiTheme="majorBidi" w:cstheme="majorBidi"/>
          <w:szCs w:val="22"/>
          <w:lang w:val="en"/>
        </w:rPr>
        <w:t>The study team</w:t>
      </w:r>
      <w:r w:rsidRPr="00D25123" w:rsidR="00E43E11">
        <w:rPr>
          <w:rFonts w:asciiTheme="majorBidi" w:hAnsiTheme="majorBidi" w:cstheme="majorBidi"/>
          <w:szCs w:val="22"/>
          <w:lang w:val="en"/>
        </w:rPr>
        <w:t xml:space="preserve"> has used this approach in the past</w:t>
      </w:r>
      <w:r w:rsidR="008238BD">
        <w:rPr>
          <w:rFonts w:asciiTheme="majorBidi" w:hAnsiTheme="majorBidi" w:cstheme="majorBidi"/>
          <w:szCs w:val="22"/>
          <w:lang w:val="en"/>
        </w:rPr>
        <w:t>,</w:t>
      </w:r>
      <w:r>
        <w:rPr>
          <w:rFonts w:asciiTheme="majorBidi" w:hAnsiTheme="majorBidi" w:cstheme="majorBidi"/>
          <w:szCs w:val="22"/>
          <w:lang w:val="en"/>
        </w:rPr>
        <w:t xml:space="preserve"> and it</w:t>
      </w:r>
      <w:r w:rsidRPr="00D25123" w:rsidR="00E43E11">
        <w:rPr>
          <w:rFonts w:asciiTheme="majorBidi" w:hAnsiTheme="majorBidi" w:cstheme="majorBidi"/>
          <w:szCs w:val="22"/>
          <w:lang w:val="en"/>
        </w:rPr>
        <w:t xml:space="preserve"> has resulted in efficient and secure data collection and high response rates.</w:t>
      </w:r>
    </w:p>
    <w:p w:rsidR="00C823CB" w:rsidRPr="00D25123" w:rsidP="00D25123" w14:paraId="30B1B404" w14:textId="4F99FB71">
      <w:pPr>
        <w:suppressAutoHyphens/>
        <w:rPr>
          <w:rFonts w:asciiTheme="majorBidi" w:hAnsiTheme="majorBidi" w:cstheme="majorBidi"/>
          <w:bCs/>
          <w:szCs w:val="22"/>
        </w:rPr>
      </w:pPr>
      <w:r w:rsidRPr="00D25123">
        <w:rPr>
          <w:rFonts w:asciiTheme="majorBidi" w:hAnsiTheme="majorBidi" w:cstheme="majorBidi"/>
          <w:bCs/>
          <w:szCs w:val="22"/>
        </w:rPr>
        <w:t xml:space="preserve">In addition to the activities focused on maximizing response rates, the study team </w:t>
      </w:r>
      <w:r w:rsidR="002B2EDA">
        <w:rPr>
          <w:rFonts w:asciiTheme="majorBidi" w:hAnsiTheme="majorBidi" w:cstheme="majorBidi"/>
          <w:bCs/>
          <w:szCs w:val="22"/>
        </w:rPr>
        <w:t>will use</w:t>
      </w:r>
      <w:r w:rsidRPr="00D25123">
        <w:rPr>
          <w:rFonts w:asciiTheme="majorBidi" w:hAnsiTheme="majorBidi" w:cstheme="majorBidi"/>
          <w:bCs/>
          <w:szCs w:val="22"/>
        </w:rPr>
        <w:t xml:space="preserve"> </w:t>
      </w:r>
      <w:r w:rsidR="00FD41B5">
        <w:rPr>
          <w:rFonts w:asciiTheme="majorBidi" w:hAnsiTheme="majorBidi" w:cstheme="majorBidi"/>
          <w:bCs/>
          <w:szCs w:val="22"/>
        </w:rPr>
        <w:t>W</w:t>
      </w:r>
      <w:r w:rsidR="007C47DF">
        <w:rPr>
          <w:rFonts w:asciiTheme="majorBidi" w:hAnsiTheme="majorBidi" w:cstheme="majorBidi"/>
          <w:bCs/>
          <w:szCs w:val="22"/>
        </w:rPr>
        <w:t>hat Works Clearinghouse</w:t>
      </w:r>
      <w:r w:rsidR="00FD41B5">
        <w:rPr>
          <w:rFonts w:asciiTheme="majorBidi" w:hAnsiTheme="majorBidi" w:cstheme="majorBidi"/>
          <w:bCs/>
          <w:szCs w:val="22"/>
        </w:rPr>
        <w:t xml:space="preserve">-accepted </w:t>
      </w:r>
      <w:r w:rsidR="002B2EDA">
        <w:rPr>
          <w:rFonts w:asciiTheme="majorBidi" w:hAnsiTheme="majorBidi" w:cstheme="majorBidi"/>
          <w:bCs/>
          <w:szCs w:val="22"/>
        </w:rPr>
        <w:t>technique</w:t>
      </w:r>
      <w:r w:rsidR="000142BE">
        <w:rPr>
          <w:rFonts w:asciiTheme="majorBidi" w:hAnsiTheme="majorBidi" w:cstheme="majorBidi"/>
          <w:bCs/>
          <w:szCs w:val="22"/>
        </w:rPr>
        <w:t>s</w:t>
      </w:r>
      <w:r w:rsidR="00FD41B5">
        <w:rPr>
          <w:rFonts w:asciiTheme="majorBidi" w:hAnsiTheme="majorBidi" w:cstheme="majorBidi"/>
          <w:bCs/>
          <w:szCs w:val="22"/>
        </w:rPr>
        <w:t xml:space="preserve"> </w:t>
      </w:r>
      <w:r w:rsidRPr="00D25123">
        <w:rPr>
          <w:rFonts w:asciiTheme="majorBidi" w:hAnsiTheme="majorBidi" w:cstheme="majorBidi"/>
          <w:bCs/>
          <w:szCs w:val="22"/>
        </w:rPr>
        <w:t>to deal with missing data due to non-response</w:t>
      </w:r>
      <w:r w:rsidR="00294ECD">
        <w:rPr>
          <w:rFonts w:asciiTheme="majorBidi" w:hAnsiTheme="majorBidi" w:cstheme="majorBidi"/>
          <w:bCs/>
          <w:szCs w:val="22"/>
        </w:rPr>
        <w:t xml:space="preserve"> (</w:t>
      </w:r>
      <w:r w:rsidR="0088571E">
        <w:rPr>
          <w:rFonts w:asciiTheme="majorBidi" w:hAnsiTheme="majorBidi" w:cstheme="majorBidi"/>
          <w:bCs/>
          <w:szCs w:val="22"/>
        </w:rPr>
        <w:t>for example</w:t>
      </w:r>
      <w:r w:rsidR="00294ECD">
        <w:rPr>
          <w:rFonts w:asciiTheme="majorBidi" w:hAnsiTheme="majorBidi" w:cstheme="majorBidi"/>
          <w:bCs/>
          <w:szCs w:val="22"/>
        </w:rPr>
        <w:t xml:space="preserve">, creating </w:t>
      </w:r>
      <w:r w:rsidR="002B2EDA">
        <w:rPr>
          <w:rFonts w:asciiTheme="majorBidi" w:hAnsiTheme="majorBidi" w:cstheme="majorBidi"/>
          <w:bCs/>
          <w:szCs w:val="22"/>
        </w:rPr>
        <w:t>non-response and analysis weights, imputation)</w:t>
      </w:r>
      <w:r w:rsidRPr="00D25123">
        <w:rPr>
          <w:rFonts w:asciiTheme="majorBidi" w:hAnsiTheme="majorBidi" w:cstheme="majorBidi"/>
          <w:bCs/>
          <w:szCs w:val="22"/>
        </w:rPr>
        <w:t xml:space="preserve">. </w:t>
      </w:r>
      <w:r w:rsidRPr="00D25123" w:rsidR="00D46A29">
        <w:rPr>
          <w:rFonts w:asciiTheme="majorBidi" w:hAnsiTheme="majorBidi" w:cstheme="majorBidi"/>
          <w:bCs/>
          <w:szCs w:val="22"/>
        </w:rPr>
        <w:t xml:space="preserve">The </w:t>
      </w:r>
      <w:r w:rsidR="005E4097">
        <w:rPr>
          <w:rFonts w:asciiTheme="majorBidi" w:hAnsiTheme="majorBidi" w:cstheme="majorBidi"/>
          <w:bCs/>
          <w:szCs w:val="22"/>
        </w:rPr>
        <w:t xml:space="preserve">study team will also consider the </w:t>
      </w:r>
      <w:r w:rsidRPr="00D25123" w:rsidR="00D46A29">
        <w:rPr>
          <w:rFonts w:asciiTheme="majorBidi" w:hAnsiTheme="majorBidi" w:cstheme="majorBidi"/>
          <w:bCs/>
          <w:szCs w:val="22"/>
        </w:rPr>
        <w:t>most recent statistical literature to examine other additional methods. If such methods are necessary, results using data not adjusted for missingness will also be included in an appendix for the report.</w:t>
      </w:r>
    </w:p>
    <w:p w:rsidR="00333D28" w:rsidRPr="00A21587" w:rsidP="00A21587" w14:paraId="3C256851" w14:textId="499BFD05">
      <w:pPr>
        <w:pStyle w:val="Heading2"/>
      </w:pPr>
      <w:bookmarkStart w:id="14" w:name="_Toc127438116"/>
      <w:r>
        <w:t>Test of Procedures</w:t>
      </w:r>
      <w:bookmarkEnd w:id="14"/>
    </w:p>
    <w:p w:rsidR="00F37F89" w:rsidP="00333D28" w14:paraId="2A410105" w14:textId="073F1A80">
      <w:pPr>
        <w:pStyle w:val="ListParagraph"/>
        <w:suppressAutoHyphens/>
        <w:ind w:left="0"/>
        <w:contextualSpacing w:val="0"/>
        <w:rPr>
          <w:szCs w:val="24"/>
        </w:rPr>
      </w:pPr>
      <w:r>
        <w:rPr>
          <w:szCs w:val="24"/>
        </w:rPr>
        <w:t>The student outcome measure</w:t>
      </w:r>
      <w:r w:rsidR="00C167CD">
        <w:rPr>
          <w:szCs w:val="24"/>
        </w:rPr>
        <w:t xml:space="preserve"> </w:t>
      </w:r>
      <w:r w:rsidR="005C565A">
        <w:rPr>
          <w:szCs w:val="24"/>
        </w:rPr>
        <w:t xml:space="preserve">used to analyze the impact of the Toolkit </w:t>
      </w:r>
      <w:r w:rsidR="00C167CD">
        <w:rPr>
          <w:szCs w:val="24"/>
        </w:rPr>
        <w:t>is a standardized state assessment</w:t>
      </w:r>
      <w:r>
        <w:rPr>
          <w:szCs w:val="24"/>
        </w:rPr>
        <w:t xml:space="preserve"> </w:t>
      </w:r>
      <w:r w:rsidR="00737518">
        <w:rPr>
          <w:szCs w:val="24"/>
        </w:rPr>
        <w:t xml:space="preserve">that has demonstrated </w:t>
      </w:r>
      <w:r w:rsidRPr="00C31130">
        <w:rPr>
          <w:szCs w:val="24"/>
        </w:rPr>
        <w:t>validity and reliability</w:t>
      </w:r>
      <w:r>
        <w:rPr>
          <w:szCs w:val="24"/>
        </w:rPr>
        <w:t xml:space="preserve"> and will not require pretesting. T</w:t>
      </w:r>
      <w:r w:rsidR="00511070">
        <w:rPr>
          <w:szCs w:val="24"/>
        </w:rPr>
        <w:t>he</w:t>
      </w:r>
      <w:r w:rsidR="00A553F0">
        <w:rPr>
          <w:szCs w:val="24"/>
        </w:rPr>
        <w:t xml:space="preserve"> </w:t>
      </w:r>
      <w:r w:rsidR="00EA78E4">
        <w:rPr>
          <w:szCs w:val="24"/>
        </w:rPr>
        <w:t>teacher measures for impact and implementation, including the teacher log, the PLT, and the focus group protocols</w:t>
      </w:r>
      <w:r w:rsidR="003E7207">
        <w:rPr>
          <w:szCs w:val="24"/>
        </w:rPr>
        <w:t>,</w:t>
      </w:r>
      <w:r w:rsidR="00EA78E4">
        <w:rPr>
          <w:szCs w:val="24"/>
        </w:rPr>
        <w:t xml:space="preserve"> are new instruments. </w:t>
      </w:r>
      <w:r w:rsidR="00C31399">
        <w:rPr>
          <w:szCs w:val="24"/>
        </w:rPr>
        <w:t xml:space="preserve">For the teacher log, which will be used to measure the impact of the Toolkit on teacher practice, the </w:t>
      </w:r>
      <w:r w:rsidR="00EA78E4">
        <w:rPr>
          <w:szCs w:val="24"/>
        </w:rPr>
        <w:t xml:space="preserve">study team will </w:t>
      </w:r>
      <w:r w:rsidRPr="00A553F0" w:rsidR="00A553F0">
        <w:rPr>
          <w:szCs w:val="24"/>
        </w:rPr>
        <w:t>conduct a pilot study in Sp</w:t>
      </w:r>
      <w:r w:rsidR="00387E3A">
        <w:rPr>
          <w:szCs w:val="24"/>
        </w:rPr>
        <w:t>ring</w:t>
      </w:r>
      <w:r w:rsidRPr="00A553F0" w:rsidR="00A553F0">
        <w:rPr>
          <w:szCs w:val="24"/>
        </w:rPr>
        <w:t xml:space="preserve"> 2023 with six teachers (two per grade level). The objective of the pilot study will be to validate teachers’ report of instructional practices on the log against observer report.</w:t>
      </w:r>
      <w:r w:rsidR="00C31399">
        <w:rPr>
          <w:szCs w:val="24"/>
        </w:rPr>
        <w:t xml:space="preserve"> The study team </w:t>
      </w:r>
      <w:r w:rsidRPr="00A553F0" w:rsidR="00A553F0">
        <w:rPr>
          <w:szCs w:val="24"/>
        </w:rPr>
        <w:t xml:space="preserve">will train two observers on the log and have them observe in the teachers’ classrooms during ELA instruction for one week. </w:t>
      </w:r>
      <w:r w:rsidR="00C31399">
        <w:rPr>
          <w:szCs w:val="24"/>
        </w:rPr>
        <w:t>The study team</w:t>
      </w:r>
      <w:r w:rsidRPr="00A553F0" w:rsidR="00A553F0">
        <w:rPr>
          <w:szCs w:val="24"/>
        </w:rPr>
        <w:t xml:space="preserve"> will also conduct a training for the pilot teachers on how to complete the log</w:t>
      </w:r>
      <w:r w:rsidR="00C31399">
        <w:rPr>
          <w:szCs w:val="24"/>
        </w:rPr>
        <w:t xml:space="preserve"> and</w:t>
      </w:r>
      <w:r w:rsidRPr="00A553F0" w:rsidR="00A553F0">
        <w:rPr>
          <w:szCs w:val="24"/>
        </w:rPr>
        <w:t xml:space="preserve"> then compare teacher to observer reports to check for consistency. </w:t>
      </w:r>
      <w:r w:rsidR="003C7B1F">
        <w:rPr>
          <w:szCs w:val="24"/>
        </w:rPr>
        <w:t xml:space="preserve">The study team will </w:t>
      </w:r>
      <w:r w:rsidRPr="00A553F0" w:rsidR="00A553F0">
        <w:rPr>
          <w:szCs w:val="24"/>
        </w:rPr>
        <w:t>also conduct cognitive interviews with the teachers and observers</w:t>
      </w:r>
      <w:r w:rsidR="003C7B1F">
        <w:rPr>
          <w:szCs w:val="24"/>
        </w:rPr>
        <w:t xml:space="preserve"> to obtain</w:t>
      </w:r>
      <w:r w:rsidRPr="00A553F0" w:rsidR="00A553F0">
        <w:rPr>
          <w:szCs w:val="24"/>
        </w:rPr>
        <w:t xml:space="preserve"> feedback on how they underst</w:t>
      </w:r>
      <w:r w:rsidR="00F744DC">
        <w:rPr>
          <w:szCs w:val="24"/>
        </w:rPr>
        <w:t>oo</w:t>
      </w:r>
      <w:r w:rsidRPr="00A553F0" w:rsidR="00A553F0">
        <w:rPr>
          <w:szCs w:val="24"/>
        </w:rPr>
        <w:t>d and interpret</w:t>
      </w:r>
      <w:r w:rsidR="00F744DC">
        <w:rPr>
          <w:szCs w:val="24"/>
        </w:rPr>
        <w:t>ed</w:t>
      </w:r>
      <w:r w:rsidRPr="00A553F0" w:rsidR="00A553F0">
        <w:rPr>
          <w:szCs w:val="24"/>
        </w:rPr>
        <w:t xml:space="preserve"> the questions in the log, which will identify any issues related to question wording, ordering, and format that need to be addressed in preparing the final version of the log.</w:t>
      </w:r>
      <w:r w:rsidR="003C7B1F">
        <w:rPr>
          <w:szCs w:val="24"/>
        </w:rPr>
        <w:t xml:space="preserve"> Fo</w:t>
      </w:r>
      <w:r w:rsidR="00C43FDC">
        <w:rPr>
          <w:szCs w:val="24"/>
        </w:rPr>
        <w:t xml:space="preserve">r the </w:t>
      </w:r>
      <w:r w:rsidR="005C520A">
        <w:rPr>
          <w:szCs w:val="24"/>
        </w:rPr>
        <w:t xml:space="preserve">remaining </w:t>
      </w:r>
      <w:r w:rsidR="00C43FDC">
        <w:rPr>
          <w:szCs w:val="24"/>
        </w:rPr>
        <w:t xml:space="preserve">teacher </w:t>
      </w:r>
      <w:r w:rsidR="005C520A">
        <w:rPr>
          <w:szCs w:val="24"/>
        </w:rPr>
        <w:t xml:space="preserve">measures </w:t>
      </w:r>
      <w:r w:rsidR="00F744DC">
        <w:rPr>
          <w:szCs w:val="24"/>
        </w:rPr>
        <w:t xml:space="preserve">(PLT and focus groups) </w:t>
      </w:r>
      <w:r w:rsidR="00C43FDC">
        <w:rPr>
          <w:szCs w:val="24"/>
        </w:rPr>
        <w:t xml:space="preserve">and </w:t>
      </w:r>
      <w:r w:rsidR="005C520A">
        <w:rPr>
          <w:szCs w:val="24"/>
        </w:rPr>
        <w:t xml:space="preserve">the </w:t>
      </w:r>
      <w:r w:rsidR="00C43FDC">
        <w:rPr>
          <w:szCs w:val="24"/>
        </w:rPr>
        <w:t>administrator</w:t>
      </w:r>
      <w:r w:rsidR="00713DB7">
        <w:rPr>
          <w:szCs w:val="24"/>
        </w:rPr>
        <w:t xml:space="preserve"> </w:t>
      </w:r>
      <w:r w:rsidR="005C520A">
        <w:rPr>
          <w:szCs w:val="24"/>
        </w:rPr>
        <w:t xml:space="preserve">survey, all of which are used to measure implementation, the study team </w:t>
      </w:r>
      <w:r w:rsidRPr="00713DB7" w:rsidR="00713DB7">
        <w:rPr>
          <w:szCs w:val="24"/>
        </w:rPr>
        <w:t>will conduct at least two</w:t>
      </w:r>
      <w:r w:rsidR="005C520A">
        <w:rPr>
          <w:szCs w:val="24"/>
        </w:rPr>
        <w:t>, but not more than nine</w:t>
      </w:r>
      <w:r w:rsidR="0056789E">
        <w:rPr>
          <w:szCs w:val="24"/>
        </w:rPr>
        <w:t>,</w:t>
      </w:r>
      <w:r w:rsidRPr="00713DB7" w:rsidR="00713DB7">
        <w:rPr>
          <w:szCs w:val="24"/>
        </w:rPr>
        <w:t xml:space="preserve"> cognitive interviews with teachers in the schools that are participating in the Toolkit usability testing</w:t>
      </w:r>
      <w:r w:rsidR="009F7BD9">
        <w:rPr>
          <w:szCs w:val="24"/>
        </w:rPr>
        <w:t xml:space="preserve"> during the 2022</w:t>
      </w:r>
      <w:r w:rsidR="008419B4">
        <w:rPr>
          <w:szCs w:val="24"/>
        </w:rPr>
        <w:t>/</w:t>
      </w:r>
      <w:r w:rsidR="009F7BD9">
        <w:rPr>
          <w:szCs w:val="24"/>
        </w:rPr>
        <w:t xml:space="preserve">23 school year. </w:t>
      </w:r>
      <w:r>
        <w:rPr>
          <w:szCs w:val="24"/>
        </w:rPr>
        <w:t>The instruments are included in Appendix C.</w:t>
      </w:r>
    </w:p>
    <w:p w:rsidR="00F37F89" w:rsidP="00F37F89" w14:paraId="7BBB9745" w14:textId="13E671F2">
      <w:pPr>
        <w:pStyle w:val="Heading2"/>
      </w:pPr>
      <w:bookmarkStart w:id="15" w:name="_Hlk114233606"/>
      <w:bookmarkStart w:id="16" w:name="_Toc127438117"/>
      <w:r>
        <w:t xml:space="preserve">Methods </w:t>
      </w:r>
      <w:bookmarkEnd w:id="15"/>
      <w:r w:rsidR="00B3231F">
        <w:t>to Minimizing Burden on Small Entities</w:t>
      </w:r>
      <w:bookmarkEnd w:id="16"/>
    </w:p>
    <w:p w:rsidR="00F37F89" w:rsidRPr="00874202" w:rsidP="52769551" w14:paraId="346ED333" w14:textId="77777777">
      <w:pPr>
        <w:pStyle w:val="ListParagraph"/>
        <w:suppressAutoHyphens/>
        <w:ind w:left="0"/>
      </w:pPr>
      <w:r>
        <w:t>The individuals consulted on the statistical aspects of the design include:</w:t>
      </w:r>
    </w:p>
    <w:p w:rsidR="00F26085" w:rsidRPr="00FB3277" w:rsidP="00FB3277" w14:paraId="3E551644" w14:textId="5F03A27C">
      <w:pPr>
        <w:suppressAutoHyphens/>
      </w:pPr>
      <w:r>
        <w:t>Paul J. Burkander</w:t>
      </w:r>
      <w:r w:rsidR="23D12CFB">
        <w:t xml:space="preserve">, </w:t>
      </w:r>
      <w:r w:rsidR="00C7263C">
        <w:t>s</w:t>
      </w:r>
      <w:r w:rsidR="23D12CFB">
        <w:t xml:space="preserve">enior </w:t>
      </w:r>
      <w:r w:rsidR="00C7263C">
        <w:t>e</w:t>
      </w:r>
      <w:r w:rsidR="23D12CFB">
        <w:t xml:space="preserve">ducation </w:t>
      </w:r>
      <w:r w:rsidR="00C7263C">
        <w:t>r</w:t>
      </w:r>
      <w:r w:rsidR="23D12CFB">
        <w:t>esearcher</w:t>
      </w:r>
      <w:r>
        <w:t xml:space="preserve">, SRI </w:t>
      </w:r>
      <w:r w:rsidR="0BCA9EBF">
        <w:t xml:space="preserve">Education, </w:t>
      </w:r>
      <w:r w:rsidR="5F623A71">
        <w:t xml:space="preserve">(650) 859-2000, </w:t>
      </w:r>
      <w:hyperlink r:id="rId15">
        <w:r w:rsidRPr="21B0E4DC" w:rsidR="41FEFC39">
          <w:rPr>
            <w:rStyle w:val="Hyperlink"/>
          </w:rPr>
          <w:t>paul.burkander@sri.com</w:t>
        </w:r>
      </w:hyperlink>
      <w:r w:rsidR="41FEFC39">
        <w:t xml:space="preserve"> </w:t>
      </w:r>
    </w:p>
    <w:p w:rsidR="33A4B9BD" w:rsidP="3E0E38A7" w14:paraId="148B5959" w14:textId="1DBD39FC">
      <w:r>
        <w:t xml:space="preserve">Christina Tydeman, </w:t>
      </w:r>
      <w:r w:rsidR="00B72A1A">
        <w:t xml:space="preserve">executive program </w:t>
      </w:r>
      <w:r w:rsidR="00C7263C">
        <w:t>d</w:t>
      </w:r>
      <w:r>
        <w:t xml:space="preserve">irector, </w:t>
      </w:r>
      <w:r w:rsidR="50825670">
        <w:t xml:space="preserve">Regional Educational Laboratory </w:t>
      </w:r>
      <w:r w:rsidR="7F7DCF44">
        <w:t xml:space="preserve">of the </w:t>
      </w:r>
      <w:r w:rsidR="50825670">
        <w:t xml:space="preserve">Pacific at </w:t>
      </w:r>
      <w:r>
        <w:t>McREL</w:t>
      </w:r>
      <w:r>
        <w:t xml:space="preserve"> International</w:t>
      </w:r>
      <w:r w:rsidR="43772102">
        <w:t>,</w:t>
      </w:r>
      <w:r>
        <w:t xml:space="preserve"> (303) 337-0990, </w:t>
      </w:r>
      <w:hyperlink r:id="rId16" w:history="1">
        <w:r w:rsidRPr="003B7CF9" w:rsidR="006C7DB0">
          <w:rPr>
            <w:rStyle w:val="Hyperlink"/>
          </w:rPr>
          <w:t>ctydeman@mcrel.org</w:t>
        </w:r>
      </w:hyperlink>
      <w:r w:rsidR="006C7DB0">
        <w:t xml:space="preserve"> </w:t>
      </w:r>
    </w:p>
    <w:p w:rsidR="3E0E38A7" w:rsidP="3E0E38A7" w14:paraId="16650426" w14:textId="35F9E3FF"/>
    <w:p w:rsidR="00BB5A78" w:rsidRPr="00714020" w:rsidP="00B632B6" w14:paraId="6136A058" w14:textId="7798B3FC">
      <w:pPr>
        <w:pStyle w:val="BodyText"/>
        <w:tabs>
          <w:tab w:val="left" w:pos="180"/>
        </w:tabs>
        <w:spacing w:after="0" w:line="240" w:lineRule="auto"/>
        <w:rPr>
          <w:rFonts w:ascii="Arial Narrow" w:hAnsi="Arial Narrow"/>
          <w:color w:val="000000"/>
          <w:sz w:val="20"/>
          <w:highlight w:val="yellow"/>
        </w:rPr>
      </w:pPr>
      <w:r w:rsidRPr="00714020">
        <w:rPr>
          <w:rFonts w:ascii="Arial Narrow" w:hAnsi="Arial Narrow"/>
          <w:color w:val="000000"/>
          <w:sz w:val="20"/>
          <w:highlight w:val="yellow"/>
        </w:rPr>
        <w:br w:type="page"/>
      </w:r>
    </w:p>
    <w:p w:rsidR="000666EA" w:rsidRPr="00714020" w:rsidP="002621D2" w14:paraId="03CF06D5" w14:textId="77777777">
      <w:pPr>
        <w:rPr>
          <w:highlight w:val="yellow"/>
        </w:rPr>
        <w:sectPr w:rsidSect="009F546B">
          <w:headerReference w:type="default" r:id="rId17"/>
          <w:footerReference w:type="default" r:id="rId18"/>
          <w:endnotePr>
            <w:numFmt w:val="decimal"/>
          </w:endnotePr>
          <w:pgSz w:w="12240" w:h="15840" w:code="1"/>
          <w:pgMar w:top="1440" w:right="1440" w:bottom="1440" w:left="1440" w:header="432" w:footer="720" w:gutter="0"/>
          <w:cols w:space="720"/>
          <w:docGrid w:linePitch="299"/>
        </w:sectPr>
      </w:pPr>
    </w:p>
    <w:p w:rsidR="00696572" w:rsidRPr="00400016" w:rsidP="00C530AF" w14:paraId="7FF6B2F8" w14:textId="38D49946">
      <w:pPr>
        <w:pStyle w:val="Heading2"/>
        <w:numPr>
          <w:ilvl w:val="0"/>
          <w:numId w:val="0"/>
        </w:numPr>
      </w:pPr>
      <w:bookmarkStart w:id="17" w:name="_Toc127438118"/>
      <w:r w:rsidRPr="00400016">
        <w:t>References</w:t>
      </w:r>
      <w:bookmarkEnd w:id="17"/>
    </w:p>
    <w:p w:rsidR="00D81271" w:rsidRPr="00D81271" w:rsidP="00D81271" w14:paraId="6A63CA90" w14:textId="3C40DFD3">
      <w:pPr>
        <w:widowControl w:val="0"/>
        <w:spacing w:after="240" w:line="240" w:lineRule="auto"/>
        <w:ind w:left="360" w:hanging="360"/>
        <w:rPr>
          <w:szCs w:val="22"/>
        </w:rPr>
      </w:pPr>
      <w:r w:rsidRPr="00D81271">
        <w:rPr>
          <w:szCs w:val="22"/>
        </w:rPr>
        <w:t>Gallagher, A.</w:t>
      </w:r>
      <w:r w:rsidR="00415649">
        <w:rPr>
          <w:szCs w:val="22"/>
        </w:rPr>
        <w:t xml:space="preserve"> </w:t>
      </w:r>
      <w:r w:rsidRPr="00D81271">
        <w:rPr>
          <w:szCs w:val="22"/>
        </w:rPr>
        <w:t xml:space="preserve">H., </w:t>
      </w:r>
      <w:r w:rsidRPr="00D81271">
        <w:rPr>
          <w:szCs w:val="22"/>
        </w:rPr>
        <w:t>Arshan</w:t>
      </w:r>
      <w:r w:rsidRPr="00D81271">
        <w:rPr>
          <w:szCs w:val="22"/>
        </w:rPr>
        <w:t>, N., &amp; Woodworth, K. (2017). Impact of the National Writing Project</w:t>
      </w:r>
      <w:r w:rsidR="00415649">
        <w:rPr>
          <w:szCs w:val="22"/>
        </w:rPr>
        <w:t>’</w:t>
      </w:r>
      <w:r w:rsidRPr="00D81271">
        <w:rPr>
          <w:szCs w:val="22"/>
        </w:rPr>
        <w:t xml:space="preserve">s College-Ready Writers Program in high-need rural districts. </w:t>
      </w:r>
      <w:r w:rsidRPr="00E530EA">
        <w:rPr>
          <w:i/>
          <w:iCs/>
          <w:szCs w:val="22"/>
        </w:rPr>
        <w:t>Journal of Research on Educational Effectiveness, 10</w:t>
      </w:r>
      <w:r w:rsidRPr="00D81271">
        <w:rPr>
          <w:szCs w:val="22"/>
        </w:rPr>
        <w:t>(3)</w:t>
      </w:r>
      <w:r w:rsidR="00B42BC3">
        <w:rPr>
          <w:szCs w:val="22"/>
        </w:rPr>
        <w:t>,</w:t>
      </w:r>
      <w:r w:rsidRPr="00D81271">
        <w:rPr>
          <w:szCs w:val="22"/>
        </w:rPr>
        <w:t xml:space="preserve"> 570–595. </w:t>
      </w:r>
      <w:hyperlink r:id="rId19" w:history="1">
        <w:r w:rsidRPr="008703EE">
          <w:rPr>
            <w:rStyle w:val="Hyperlink"/>
            <w:szCs w:val="22"/>
          </w:rPr>
          <w:t>https://doi.org/10.1080/19345747.2017.1300361</w:t>
        </w:r>
      </w:hyperlink>
      <w:r>
        <w:rPr>
          <w:szCs w:val="22"/>
        </w:rPr>
        <w:t xml:space="preserve"> </w:t>
      </w:r>
    </w:p>
    <w:p w:rsidR="00D81271" w:rsidP="00D81271" w14:paraId="446FB1C6" w14:textId="17028400">
      <w:pPr>
        <w:widowControl w:val="0"/>
        <w:spacing w:after="240" w:line="240" w:lineRule="auto"/>
        <w:ind w:left="360" w:hanging="360"/>
        <w:rPr>
          <w:szCs w:val="22"/>
        </w:rPr>
      </w:pPr>
      <w:r w:rsidRPr="00D81271">
        <w:rPr>
          <w:szCs w:val="22"/>
        </w:rPr>
        <w:t xml:space="preserve">Graham, S. (2019). Changing how writing is taught. </w:t>
      </w:r>
      <w:r w:rsidRPr="00A046D1">
        <w:rPr>
          <w:i/>
          <w:iCs/>
          <w:szCs w:val="22"/>
        </w:rPr>
        <w:t>Review of Research in Education, 43</w:t>
      </w:r>
      <w:r w:rsidRPr="00D81271">
        <w:rPr>
          <w:szCs w:val="22"/>
        </w:rPr>
        <w:t>(1)</w:t>
      </w:r>
      <w:r w:rsidR="00A046D1">
        <w:rPr>
          <w:szCs w:val="22"/>
        </w:rPr>
        <w:t>,</w:t>
      </w:r>
      <w:r w:rsidRPr="00D81271">
        <w:rPr>
          <w:szCs w:val="22"/>
        </w:rPr>
        <w:t xml:space="preserve"> 277–303. </w:t>
      </w:r>
      <w:hyperlink r:id="rId20" w:history="1">
        <w:r w:rsidRPr="008703EE">
          <w:rPr>
            <w:rStyle w:val="Hyperlink"/>
            <w:szCs w:val="22"/>
          </w:rPr>
          <w:t>https://doi.org/10.3102%2F0091732X18821125</w:t>
        </w:r>
      </w:hyperlink>
    </w:p>
    <w:p w:rsidR="00833382" w:rsidRPr="000C730A" w:rsidP="00040BA0" w14:paraId="2ED4A8E3" w14:textId="540D0537">
      <w:pPr>
        <w:widowControl w:val="0"/>
        <w:spacing w:after="240" w:line="240" w:lineRule="auto"/>
        <w:ind w:left="360" w:hanging="360"/>
        <w:rPr>
          <w:szCs w:val="22"/>
        </w:rPr>
      </w:pPr>
      <w:r w:rsidRPr="000C730A">
        <w:rPr>
          <w:szCs w:val="22"/>
        </w:rPr>
        <w:t xml:space="preserve">Guest, G., MacQueen, K. M., &amp; </w:t>
      </w:r>
      <w:r w:rsidRPr="000C730A">
        <w:rPr>
          <w:szCs w:val="22"/>
        </w:rPr>
        <w:t>Namey</w:t>
      </w:r>
      <w:r w:rsidRPr="000C730A">
        <w:rPr>
          <w:szCs w:val="22"/>
        </w:rPr>
        <w:t xml:space="preserve">, E. E. (2012). Applied thematic analysis. SAGE Publications, Inc. </w:t>
      </w:r>
      <w:hyperlink r:id="rId21" w:history="1">
        <w:r w:rsidRPr="000C730A">
          <w:rPr>
            <w:rStyle w:val="Hyperlink"/>
            <w:szCs w:val="22"/>
          </w:rPr>
          <w:t>https://www.doi.org/10.4135/9781483384436</w:t>
        </w:r>
      </w:hyperlink>
      <w:r w:rsidRPr="000C730A">
        <w:rPr>
          <w:szCs w:val="22"/>
        </w:rPr>
        <w:t xml:space="preserve"> </w:t>
      </w:r>
    </w:p>
    <w:p w:rsidR="006C469B" w:rsidRPr="000C730A" w:rsidP="00040BA0" w14:paraId="008A6878" w14:textId="57CE0D74">
      <w:pPr>
        <w:widowControl w:val="0"/>
        <w:spacing w:after="240" w:line="240" w:lineRule="auto"/>
        <w:ind w:left="360" w:hanging="360"/>
        <w:rPr>
          <w:szCs w:val="22"/>
        </w:rPr>
      </w:pPr>
      <w:r w:rsidRPr="000C730A">
        <w:rPr>
          <w:szCs w:val="22"/>
        </w:rPr>
        <w:t xml:space="preserve">Hedges, L. V., &amp; Hedberg, E. C. (2013). </w:t>
      </w:r>
      <w:r w:rsidRPr="00615D53">
        <w:rPr>
          <w:szCs w:val="22"/>
        </w:rPr>
        <w:t>Intraclass correlations and covariate outcome correlations for planning two-</w:t>
      </w:r>
      <w:r w:rsidRPr="00615D53" w:rsidR="00D12FA6">
        <w:rPr>
          <w:szCs w:val="22"/>
        </w:rPr>
        <w:t xml:space="preserve"> </w:t>
      </w:r>
      <w:r w:rsidRPr="00615D53">
        <w:rPr>
          <w:szCs w:val="22"/>
        </w:rPr>
        <w:t>and three-level cluster-randomized experiments in education</w:t>
      </w:r>
      <w:r w:rsidRPr="000C730A">
        <w:rPr>
          <w:szCs w:val="22"/>
        </w:rPr>
        <w:t>. </w:t>
      </w:r>
      <w:r w:rsidRPr="00615D53">
        <w:rPr>
          <w:i/>
          <w:iCs/>
          <w:szCs w:val="22"/>
        </w:rPr>
        <w:t>Evaluation Review, 37</w:t>
      </w:r>
      <w:r w:rsidRPr="000C730A">
        <w:rPr>
          <w:szCs w:val="22"/>
        </w:rPr>
        <w:t>(6), 445</w:t>
      </w:r>
      <w:r w:rsidR="00615D53">
        <w:rPr>
          <w:szCs w:val="22"/>
        </w:rPr>
        <w:t>–</w:t>
      </w:r>
      <w:r w:rsidRPr="000C730A">
        <w:rPr>
          <w:szCs w:val="22"/>
        </w:rPr>
        <w:t xml:space="preserve">489. </w:t>
      </w:r>
    </w:p>
    <w:p w:rsidR="00AC05A0" w:rsidRPr="000C730A" w:rsidP="00040BA0" w14:paraId="28355A6C" w14:textId="4EC1D862">
      <w:pPr>
        <w:widowControl w:val="0"/>
        <w:spacing w:after="240" w:line="240" w:lineRule="auto"/>
        <w:ind w:left="360" w:hanging="360"/>
        <w:rPr>
          <w:szCs w:val="22"/>
        </w:rPr>
      </w:pPr>
      <w:r w:rsidRPr="000C730A">
        <w:rPr>
          <w:szCs w:val="22"/>
        </w:rPr>
        <w:t>Hedges, L.</w:t>
      </w:r>
      <w:r w:rsidR="00171B20">
        <w:rPr>
          <w:szCs w:val="22"/>
        </w:rPr>
        <w:t xml:space="preserve"> </w:t>
      </w:r>
      <w:r w:rsidRPr="000C730A">
        <w:rPr>
          <w:szCs w:val="22"/>
        </w:rPr>
        <w:t>V.,</w:t>
      </w:r>
      <w:r w:rsidR="0068092F">
        <w:rPr>
          <w:szCs w:val="22"/>
        </w:rPr>
        <w:t xml:space="preserve"> &amp;</w:t>
      </w:r>
      <w:r w:rsidRPr="000C730A">
        <w:rPr>
          <w:szCs w:val="22"/>
        </w:rPr>
        <w:t xml:space="preserve"> Rhoads, C. (2010). </w:t>
      </w:r>
      <w:r w:rsidRPr="000C730A">
        <w:rPr>
          <w:i/>
          <w:iCs/>
          <w:szCs w:val="22"/>
        </w:rPr>
        <w:t>Statistical power analysis in education research</w:t>
      </w:r>
      <w:r w:rsidRPr="000C730A">
        <w:rPr>
          <w:szCs w:val="22"/>
        </w:rPr>
        <w:t xml:space="preserve"> (NCSER 2010-3006). National Center for Special Education Research, Institute of Education Sciences, U.S. Department of Education. </w:t>
      </w:r>
      <w:hyperlink r:id="rId22" w:history="1">
        <w:r w:rsidRPr="000C730A">
          <w:rPr>
            <w:rStyle w:val="Hyperlink"/>
            <w:szCs w:val="22"/>
          </w:rPr>
          <w:t>https://ies.ed.gov/ncser/pubs/20103006/pdf/20103006.pdf</w:t>
        </w:r>
      </w:hyperlink>
      <w:r w:rsidR="00CC0656">
        <w:rPr>
          <w:szCs w:val="22"/>
        </w:rPr>
        <w:t>.</w:t>
      </w:r>
    </w:p>
    <w:p w:rsidR="006C2DCF" w:rsidP="00F707C3" w14:paraId="0E187AEE" w14:textId="77777777">
      <w:pPr>
        <w:widowControl w:val="0"/>
        <w:spacing w:after="240" w:line="240" w:lineRule="auto"/>
        <w:ind w:left="360" w:hanging="360"/>
        <w:rPr>
          <w:rStyle w:val="Hyperlink"/>
          <w:szCs w:val="22"/>
        </w:rPr>
      </w:pPr>
      <w:r w:rsidRPr="000C730A">
        <w:rPr>
          <w:szCs w:val="22"/>
        </w:rPr>
        <w:t>Institute of Education Sciences</w:t>
      </w:r>
      <w:r>
        <w:rPr>
          <w:szCs w:val="22"/>
        </w:rPr>
        <w:t>.</w:t>
      </w:r>
      <w:r w:rsidRPr="000C730A">
        <w:rPr>
          <w:szCs w:val="22"/>
        </w:rPr>
        <w:t xml:space="preserve"> (2021). </w:t>
      </w:r>
      <w:r w:rsidRPr="000C730A">
        <w:rPr>
          <w:i/>
          <w:iCs/>
          <w:szCs w:val="22"/>
        </w:rPr>
        <w:t>Study review protocol, version 1.0</w:t>
      </w:r>
      <w:r w:rsidRPr="000C730A">
        <w:rPr>
          <w:szCs w:val="22"/>
        </w:rPr>
        <w:t>. Washington, D.C.</w:t>
      </w:r>
      <w:r>
        <w:rPr>
          <w:szCs w:val="22"/>
        </w:rPr>
        <w:t>:</w:t>
      </w:r>
      <w:r w:rsidRPr="000C730A">
        <w:rPr>
          <w:szCs w:val="22"/>
        </w:rPr>
        <w:t xml:space="preserve"> U.S. Department of Education, National Center for Education Evaluation and Regional Assistance</w:t>
      </w:r>
      <w:r>
        <w:rPr>
          <w:szCs w:val="22"/>
        </w:rPr>
        <w:t>.</w:t>
      </w:r>
      <w:r>
        <w:t xml:space="preserve"> </w:t>
      </w:r>
      <w:hyperlink r:id="rId14">
        <w:r w:rsidRPr="000C730A">
          <w:rPr>
            <w:rStyle w:val="Hyperlink"/>
            <w:szCs w:val="22"/>
          </w:rPr>
          <w:t>https://ies.ed.gov/ncee/wwc/Document/1297</w:t>
        </w:r>
      </w:hyperlink>
    </w:p>
    <w:p w:rsidR="00F707C3" w:rsidRPr="000C730A" w:rsidP="00F707C3" w14:paraId="3F883C78" w14:textId="16EC95ED">
      <w:pPr>
        <w:widowControl w:val="0"/>
        <w:spacing w:after="240" w:line="240" w:lineRule="auto"/>
        <w:ind w:left="360" w:hanging="360"/>
        <w:rPr>
          <w:szCs w:val="22"/>
        </w:rPr>
      </w:pPr>
      <w:r w:rsidRPr="00F707C3">
        <w:rPr>
          <w:szCs w:val="22"/>
        </w:rPr>
        <w:t>Kelcey</w:t>
      </w:r>
      <w:r w:rsidRPr="00F707C3">
        <w:rPr>
          <w:szCs w:val="22"/>
        </w:rPr>
        <w:t xml:space="preserve">, B., </w:t>
      </w:r>
      <w:r w:rsidRPr="00F707C3">
        <w:rPr>
          <w:szCs w:val="22"/>
          <w:lang w:val="en"/>
        </w:rPr>
        <w:t>&amp;</w:t>
      </w:r>
      <w:r w:rsidRPr="00F707C3">
        <w:rPr>
          <w:szCs w:val="22"/>
        </w:rPr>
        <w:t xml:space="preserve"> Phelps, G. (2014). Strategies for improving power in school-randomized studies of professional development. </w:t>
      </w:r>
      <w:r w:rsidRPr="00F707C3">
        <w:rPr>
          <w:i/>
          <w:iCs/>
          <w:szCs w:val="22"/>
        </w:rPr>
        <w:t>Evaluation Review, 37</w:t>
      </w:r>
      <w:r w:rsidRPr="00F707C3">
        <w:rPr>
          <w:szCs w:val="22"/>
        </w:rPr>
        <w:t>(6</w:t>
      </w:r>
      <w:r w:rsidRPr="00F707C3" w:rsidR="009E7E6B">
        <w:rPr>
          <w:szCs w:val="22"/>
        </w:rPr>
        <w:t>)</w:t>
      </w:r>
      <w:r w:rsidR="009E7E6B">
        <w:rPr>
          <w:szCs w:val="22"/>
        </w:rPr>
        <w:t>,</w:t>
      </w:r>
      <w:r w:rsidRPr="00F707C3" w:rsidR="009E7E6B">
        <w:rPr>
          <w:szCs w:val="22"/>
        </w:rPr>
        <w:t xml:space="preserve"> </w:t>
      </w:r>
      <w:r w:rsidRPr="00F707C3">
        <w:rPr>
          <w:szCs w:val="22"/>
        </w:rPr>
        <w:t>520</w:t>
      </w:r>
      <w:r w:rsidRPr="00F707C3">
        <w:rPr>
          <w:szCs w:val="22"/>
          <w:lang w:val="en"/>
        </w:rPr>
        <w:t>–</w:t>
      </w:r>
      <w:r w:rsidRPr="00F707C3">
        <w:rPr>
          <w:szCs w:val="22"/>
        </w:rPr>
        <w:t xml:space="preserve">554. </w:t>
      </w:r>
      <w:hyperlink r:id="rId23" w:history="1">
        <w:r w:rsidRPr="00F707C3">
          <w:rPr>
            <w:rStyle w:val="Hyperlink"/>
            <w:szCs w:val="22"/>
          </w:rPr>
          <w:t>https://doi.org/10.1177%2F0193841X14528906</w:t>
        </w:r>
      </w:hyperlink>
      <w:r w:rsidRPr="00F707C3">
        <w:rPr>
          <w:szCs w:val="22"/>
        </w:rPr>
        <w:t xml:space="preserve"> </w:t>
      </w:r>
    </w:p>
    <w:p w:rsidR="0079703D" w:rsidRPr="000C730A" w:rsidP="00040BA0" w14:paraId="3EEB800A" w14:textId="77777777">
      <w:pPr>
        <w:widowControl w:val="0"/>
        <w:spacing w:after="240" w:line="240" w:lineRule="auto"/>
        <w:ind w:left="360" w:hanging="360"/>
        <w:rPr>
          <w:szCs w:val="22"/>
        </w:rPr>
      </w:pPr>
      <w:r w:rsidRPr="000C730A">
        <w:rPr>
          <w:szCs w:val="22"/>
        </w:rPr>
        <w:t xml:space="preserve">National Center for Education Statistics (NCES). (2020, September 21). National Assessment of     Educational Progress (NAEP): Writing. </w:t>
      </w:r>
      <w:hyperlink r:id="rId24" w:history="1">
        <w:r w:rsidRPr="000C730A">
          <w:rPr>
            <w:rStyle w:val="Hyperlink"/>
            <w:szCs w:val="22"/>
          </w:rPr>
          <w:t>nces.ed.gov/</w:t>
        </w:r>
        <w:r w:rsidRPr="000C730A">
          <w:rPr>
            <w:rStyle w:val="Hyperlink"/>
            <w:szCs w:val="22"/>
          </w:rPr>
          <w:t>nationsreportcard</w:t>
        </w:r>
        <w:r w:rsidRPr="000C730A">
          <w:rPr>
            <w:rStyle w:val="Hyperlink"/>
            <w:szCs w:val="22"/>
          </w:rPr>
          <w:t>/writing/</w:t>
        </w:r>
      </w:hyperlink>
      <w:r w:rsidRPr="000C730A">
        <w:rPr>
          <w:szCs w:val="22"/>
        </w:rPr>
        <w:t xml:space="preserve"> </w:t>
      </w:r>
    </w:p>
    <w:p w:rsidR="0079703D" w:rsidRPr="000C730A" w:rsidP="00040BA0" w14:paraId="6B9BCA09" w14:textId="6B792C30">
      <w:pPr>
        <w:widowControl w:val="0"/>
        <w:spacing w:after="240" w:line="240" w:lineRule="auto"/>
        <w:ind w:left="360" w:hanging="360"/>
        <w:rPr>
          <w:szCs w:val="22"/>
        </w:rPr>
      </w:pPr>
      <w:r w:rsidRPr="000C730A">
        <w:rPr>
          <w:szCs w:val="22"/>
        </w:rPr>
        <w:t xml:space="preserve">National Institute for Literacy. (2008). </w:t>
      </w:r>
      <w:r w:rsidRPr="000C730A">
        <w:rPr>
          <w:i/>
          <w:iCs/>
          <w:szCs w:val="22"/>
        </w:rPr>
        <w:t>Developing early literacy: Report of the National Early Literacy Panel</w:t>
      </w:r>
      <w:r w:rsidRPr="000C730A">
        <w:rPr>
          <w:szCs w:val="22"/>
        </w:rPr>
        <w:t xml:space="preserve">. National Center for Family Literacy. </w:t>
      </w:r>
      <w:hyperlink r:id="rId25" w:history="1">
        <w:r w:rsidRPr="000C730A">
          <w:rPr>
            <w:rStyle w:val="Hyperlink"/>
            <w:szCs w:val="22"/>
          </w:rPr>
          <w:t>lincs.ed.gov/publications/pdf/NELPReport09.pdf</w:t>
        </w:r>
      </w:hyperlink>
      <w:r w:rsidR="0017457C">
        <w:rPr>
          <w:szCs w:val="22"/>
        </w:rPr>
        <w:t>.</w:t>
      </w:r>
    </w:p>
    <w:p w:rsidR="00A26814" w:rsidRPr="000C730A" w:rsidP="00040BA0" w14:paraId="2C11F209" w14:textId="5E5083DA">
      <w:pPr>
        <w:widowControl w:val="0"/>
        <w:spacing w:after="240" w:line="240" w:lineRule="auto"/>
        <w:ind w:left="360" w:hanging="360"/>
        <w:rPr>
          <w:szCs w:val="22"/>
        </w:rPr>
      </w:pPr>
      <w:r w:rsidRPr="000C730A">
        <w:rPr>
          <w:szCs w:val="22"/>
        </w:rPr>
        <w:t>U.S. Bureau of Labor Statistics. (2019).</w:t>
      </w:r>
      <w:r w:rsidRPr="000C730A">
        <w:rPr>
          <w:i/>
          <w:iCs/>
          <w:szCs w:val="22"/>
        </w:rPr>
        <w:t xml:space="preserve"> Median weekly earnings $606 for high school dropouts, $1,559 for advanced degree holders</w:t>
      </w:r>
      <w:r w:rsidRPr="000C730A">
        <w:rPr>
          <w:szCs w:val="22"/>
        </w:rPr>
        <w:t xml:space="preserve">. U.S. Department of Labor. </w:t>
      </w:r>
      <w:r w:rsidRPr="00420F5C" w:rsidR="00420F5C">
        <w:rPr>
          <w:szCs w:val="22"/>
        </w:rPr>
        <w:t>https://www.bls.gov/opub/ted/2019/median-weekly-earnings-606-for-high-school-dropouts-1559-for-advanced-degree-holders.htm</w:t>
      </w:r>
    </w:p>
    <w:p w:rsidR="000D03F8" w:rsidRPr="000D03F8" w:rsidP="000D03F8" w14:paraId="45CC8E53" w14:textId="4B136105">
      <w:pPr>
        <w:widowControl w:val="0"/>
        <w:spacing w:after="240" w:line="240" w:lineRule="auto"/>
        <w:ind w:left="360" w:hanging="360"/>
        <w:rPr>
          <w:szCs w:val="22"/>
        </w:rPr>
      </w:pPr>
      <w:r w:rsidRPr="000D03F8">
        <w:rPr>
          <w:szCs w:val="22"/>
        </w:rPr>
        <w:t>Westine</w:t>
      </w:r>
      <w:r w:rsidRPr="000D03F8">
        <w:rPr>
          <w:szCs w:val="22"/>
        </w:rPr>
        <w:t xml:space="preserve">, C. D., </w:t>
      </w:r>
      <w:r w:rsidRPr="000D03F8">
        <w:rPr>
          <w:szCs w:val="22"/>
        </w:rPr>
        <w:t>Unlu</w:t>
      </w:r>
      <w:r w:rsidRPr="000D03F8">
        <w:rPr>
          <w:szCs w:val="22"/>
        </w:rPr>
        <w:t xml:space="preserve">, F., Taylor, J., </w:t>
      </w:r>
      <w:r w:rsidRPr="000D03F8">
        <w:rPr>
          <w:szCs w:val="22"/>
        </w:rPr>
        <w:t>Spybrook</w:t>
      </w:r>
      <w:r w:rsidRPr="000D03F8">
        <w:rPr>
          <w:szCs w:val="22"/>
        </w:rPr>
        <w:t xml:space="preserve">, J., Zhang, Q., </w:t>
      </w:r>
      <w:r w:rsidRPr="000D03F8">
        <w:rPr>
          <w:szCs w:val="22"/>
          <w:lang w:val="en"/>
        </w:rPr>
        <w:t>&amp;</w:t>
      </w:r>
      <w:r w:rsidRPr="000D03F8">
        <w:rPr>
          <w:szCs w:val="22"/>
        </w:rPr>
        <w:t xml:space="preserve"> Anderson, B. (2020). Design parameter </w:t>
      </w:r>
      <w:r w:rsidR="00190AE4">
        <w:rPr>
          <w:szCs w:val="22"/>
        </w:rPr>
        <w:t xml:space="preserve">values </w:t>
      </w:r>
      <w:r w:rsidRPr="000D03F8">
        <w:rPr>
          <w:szCs w:val="22"/>
        </w:rPr>
        <w:t>for impact evaluation</w:t>
      </w:r>
      <w:r w:rsidR="00190AE4">
        <w:rPr>
          <w:szCs w:val="22"/>
        </w:rPr>
        <w:t>s</w:t>
      </w:r>
      <w:r w:rsidRPr="000D03F8">
        <w:rPr>
          <w:szCs w:val="22"/>
        </w:rPr>
        <w:t xml:space="preserve"> of science and mathematics intervention</w:t>
      </w:r>
      <w:r w:rsidR="00190AE4">
        <w:rPr>
          <w:szCs w:val="22"/>
        </w:rPr>
        <w:t>s</w:t>
      </w:r>
      <w:r w:rsidRPr="000D03F8">
        <w:rPr>
          <w:szCs w:val="22"/>
        </w:rPr>
        <w:t xml:space="preserve"> involving teacher outcomes. </w:t>
      </w:r>
      <w:r w:rsidRPr="000D03F8">
        <w:rPr>
          <w:i/>
          <w:iCs/>
          <w:szCs w:val="22"/>
        </w:rPr>
        <w:t>Journal of Research on Educational Effectiveness, 13</w:t>
      </w:r>
      <w:r w:rsidRPr="000D03F8">
        <w:rPr>
          <w:szCs w:val="22"/>
        </w:rPr>
        <w:t>(4</w:t>
      </w:r>
      <w:r w:rsidRPr="000D03F8" w:rsidR="00C57A08">
        <w:rPr>
          <w:szCs w:val="22"/>
        </w:rPr>
        <w:t>)</w:t>
      </w:r>
      <w:r w:rsidR="00C57A08">
        <w:rPr>
          <w:szCs w:val="22"/>
        </w:rPr>
        <w:t>,</w:t>
      </w:r>
      <w:r w:rsidRPr="000D03F8" w:rsidR="00C57A08">
        <w:rPr>
          <w:szCs w:val="22"/>
        </w:rPr>
        <w:t xml:space="preserve"> </w:t>
      </w:r>
      <w:r w:rsidRPr="000D03F8">
        <w:rPr>
          <w:szCs w:val="22"/>
        </w:rPr>
        <w:t>816</w:t>
      </w:r>
      <w:r w:rsidRPr="000D03F8">
        <w:rPr>
          <w:szCs w:val="22"/>
          <w:lang w:val="en"/>
        </w:rPr>
        <w:t>–</w:t>
      </w:r>
      <w:r w:rsidRPr="000D03F8">
        <w:rPr>
          <w:szCs w:val="22"/>
        </w:rPr>
        <w:t xml:space="preserve">839. </w:t>
      </w:r>
      <w:hyperlink r:id="rId26">
        <w:r w:rsidRPr="000D03F8">
          <w:rPr>
            <w:rStyle w:val="Hyperlink"/>
            <w:szCs w:val="22"/>
          </w:rPr>
          <w:t>https://doi.org/10.1080/19345747.2020.1821849</w:t>
        </w:r>
      </w:hyperlink>
      <w:r w:rsidRPr="000D03F8">
        <w:rPr>
          <w:szCs w:val="22"/>
        </w:rPr>
        <w:t xml:space="preserve"> </w:t>
      </w:r>
    </w:p>
    <w:p w:rsidR="000D03F8" w:rsidRPr="000C730A" w:rsidP="00040BA0" w14:paraId="3AA224B3" w14:textId="77777777">
      <w:pPr>
        <w:widowControl w:val="0"/>
        <w:spacing w:after="240" w:line="240" w:lineRule="auto"/>
        <w:ind w:left="360" w:hanging="360"/>
        <w:rPr>
          <w:szCs w:val="22"/>
        </w:rPr>
      </w:pPr>
    </w:p>
    <w:p w:rsidR="00C144AC" w:rsidRPr="0034497C" w:rsidP="00BD49BE" w14:paraId="55AD6AB8" w14:textId="2BAA99DE">
      <w:pPr>
        <w:ind w:left="361" w:hanging="361" w:hangingChars="164"/>
      </w:pPr>
    </w:p>
    <w:sectPr w:rsidSect="00507078">
      <w:pgSz w:w="12240" w:h="15840" w:code="1"/>
      <w:pgMar w:top="1440" w:right="1440" w:bottom="1440" w:left="1800" w:header="864"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ヒラギノ角ゴ Pro W3">
    <w:altName w:val="Times New Roman"/>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7DC1" w:rsidRPr="00C2759C" w:rsidP="00E635FB" w14:paraId="214C51E3" w14:textId="77777777">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7DC1" w:rsidRPr="0066134E" w:rsidP="00E635FB" w14:paraId="451042DF" w14:textId="77777777">
    <w:pPr>
      <w:pStyle w:val="Footer"/>
      <w:tabs>
        <w:tab w:val="clear" w:pos="4507"/>
      </w:tabs>
    </w:pPr>
    <w:r w:rsidRPr="00AD3EA5">
      <w:rPr>
        <w:color w:val="000000" w:themeColor="text1"/>
      </w:rPr>
      <w:t>Abt</w:t>
    </w:r>
    <w:r w:rsidRPr="00AD3EA5">
      <w:rPr>
        <w:color w:val="000000" w:themeColor="text1"/>
      </w:rPr>
      <w:t xml:space="preserve"> Associates Inc.</w:t>
    </w:r>
    <w:r w:rsidRPr="0066134E">
      <w:tab/>
    </w:r>
    <w:r>
      <w:t xml:space="preserve">Table of </w:t>
    </w:r>
    <w:r>
      <w:rPr>
        <w:rStyle w:val="PageNumber"/>
        <w:b/>
      </w:rPr>
      <w:t>Contents</w:t>
    </w:r>
    <w:r>
      <w:rPr>
        <w:rStyle w:val="PageNumber"/>
        <w:b/>
      </w:rPr>
      <w:t> </w:t>
    </w:r>
    <w:r>
      <w:rPr>
        <w:rStyle w:val="PageNumber"/>
        <w:rFonts w:cs="Arial"/>
        <w:b/>
      </w:rPr>
      <w:t>▌</w:t>
    </w:r>
    <w:r>
      <w:rPr>
        <w:rStyle w:val="PageNumber"/>
        <w:b/>
      </w:rPr>
      <w:t xml:space="preserve">pg. </w:t>
    </w:r>
    <w:r w:rsidRPr="007135AF">
      <w:fldChar w:fldCharType="begin"/>
    </w:r>
    <w:r w:rsidRPr="007135AF">
      <w:rPr>
        <w:color w:val="1F497D" w:themeColor="text2"/>
      </w:rPr>
      <w:instrText xml:space="preserve"> PAGE   \* MERGEFORMAT </w:instrText>
    </w:r>
    <w:r w:rsidRPr="007135AF">
      <w:fldChar w:fldCharType="separate"/>
    </w:r>
    <w:r w:rsidRPr="007135AF">
      <w:rPr>
        <w:rStyle w:val="PageNumber"/>
        <w:b/>
        <w:noProof/>
        <w:color w:val="1F497D" w:themeColor="text2"/>
      </w:rPr>
      <w:t>i</w:t>
    </w:r>
    <w:r w:rsidRPr="007135AF">
      <w:rPr>
        <w:rStyle w:val="PageNumber"/>
        <w:b/>
        <w:noProof/>
        <w:color w:val="1F497D" w:themeColor="text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7DC1" w:rsidRPr="0066134E" w:rsidP="00E635FB" w14:paraId="6A263341" w14:textId="03981C7D">
    <w:pPr>
      <w:pStyle w:val="Footer"/>
      <w:tabs>
        <w:tab w:val="clear" w:pos="4507"/>
      </w:tabs>
    </w:pPr>
    <w:r>
      <w:rPr>
        <w:color w:val="4F81BD" w:themeColor="accent1"/>
        <w:szCs w:val="24"/>
      </w:rPr>
      <w:t>REL Pacific</w:t>
    </w:r>
    <w:r w:rsidRPr="0066134E">
      <w:tab/>
    </w:r>
    <w:r w:rsidRPr="00AD3EA5">
      <w:rPr>
        <w:color w:val="000000" w:themeColor="text1"/>
      </w:rPr>
      <w:t xml:space="preserve">Part B: </w:t>
    </w:r>
    <w:r w:rsidRPr="00AD3EA5">
      <w:rPr>
        <w:rStyle w:val="PageNumber"/>
        <w:b/>
        <w:color w:val="000000" w:themeColor="text1"/>
      </w:rPr>
      <w:t>Collection of Information Employing Statistical Methods</w:t>
    </w:r>
    <w:r>
      <w:rPr>
        <w:rStyle w:val="PageNumber"/>
        <w:b/>
      </w:rPr>
      <w:t> </w:t>
    </w:r>
    <w:r>
      <w:rPr>
        <w:rStyle w:val="PageNumber"/>
        <w:rFonts w:cs="Arial"/>
        <w:b/>
      </w:rPr>
      <w:t>▌</w:t>
    </w:r>
    <w:r>
      <w:rPr>
        <w:rStyle w:val="PageNumber"/>
        <w:b/>
      </w:rPr>
      <w:t xml:space="preserve">pg. </w:t>
    </w:r>
    <w:r w:rsidRPr="00452D04">
      <w:fldChar w:fldCharType="begin"/>
    </w:r>
    <w:r w:rsidRPr="00452D04">
      <w:rPr>
        <w:color w:val="4F81BD" w:themeColor="accent1"/>
      </w:rPr>
      <w:instrText xml:space="preserve"> PAGE   \* MERGEFORMAT </w:instrText>
    </w:r>
    <w:r w:rsidRPr="00452D04">
      <w:fldChar w:fldCharType="separate"/>
    </w:r>
    <w:r w:rsidRPr="00452D04">
      <w:rPr>
        <w:rStyle w:val="PageNumber"/>
        <w:b/>
        <w:color w:val="4F81BD" w:themeColor="accent1"/>
      </w:rPr>
      <w:t>15</w:t>
    </w:r>
    <w:r w:rsidRPr="00452D04">
      <w:rPr>
        <w:rStyle w:val="PageNumber"/>
        <w:b/>
        <w:color w:val="4F81BD"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45DA3" w:rsidP="00696572" w14:paraId="0FDDAF0B" w14:textId="77777777">
      <w:pPr>
        <w:spacing w:after="0" w:line="240" w:lineRule="auto"/>
      </w:pPr>
      <w:r>
        <w:separator/>
      </w:r>
    </w:p>
  </w:footnote>
  <w:footnote w:type="continuationSeparator" w:id="1">
    <w:p w:rsidR="00245DA3" w:rsidP="00696572" w14:paraId="4370313D" w14:textId="77777777">
      <w:pPr>
        <w:spacing w:after="0" w:line="240" w:lineRule="auto"/>
      </w:pPr>
      <w:r>
        <w:continuationSeparator/>
      </w:r>
    </w:p>
  </w:footnote>
  <w:footnote w:type="continuationNotice" w:id="2">
    <w:p w:rsidR="00245DA3" w14:paraId="0A89019E" w14:textId="77777777">
      <w:pPr>
        <w:spacing w:after="0" w:line="240" w:lineRule="auto"/>
      </w:pPr>
    </w:p>
  </w:footnote>
  <w:footnote w:id="3">
    <w:p w:rsidR="006E66D8" w:rsidP="006E66D8" w14:paraId="55238823" w14:textId="77777777">
      <w:pPr>
        <w:pStyle w:val="FootnoteText"/>
        <w:ind w:left="180" w:hanging="180"/>
      </w:pPr>
      <w:r w:rsidRPr="00CB472B">
        <w:rPr>
          <w:rStyle w:val="FootnoteReference"/>
        </w:rPr>
        <w:footnoteRef/>
      </w:r>
      <w:r w:rsidRPr="00CB472B">
        <w:t xml:space="preserve"> </w:t>
      </w:r>
      <w:r w:rsidRPr="00CB472B" w:rsidR="00286AF8">
        <w:t xml:space="preserve"> </w:t>
      </w:r>
      <w:r w:rsidRPr="00CB472B">
        <w:t>Ratios are not normally distributed and sensitive to extreme values. By taking the natural log of such ratios, the k-means clustering procedure assumptions are better met.</w:t>
      </w:r>
      <w:r>
        <w:t xml:space="preserve"> </w:t>
      </w:r>
    </w:p>
  </w:footnote>
  <w:footnote w:id="4">
    <w:p w:rsidR="00BA2DF2" w:rsidRPr="00CC65E9" w:rsidP="00BA2DF2" w14:paraId="71936C1F" w14:textId="4D5A644C">
      <w:pPr>
        <w:pStyle w:val="FootnoteText"/>
        <w:ind w:left="180" w:hanging="180"/>
      </w:pPr>
      <w:r w:rsidRPr="00CC65E9">
        <w:rPr>
          <w:rStyle w:val="FootnoteReference"/>
        </w:rPr>
        <w:footnoteRef/>
      </w:r>
      <w:r w:rsidRPr="00CC65E9">
        <w:t xml:space="preserve"> </w:t>
      </w:r>
      <w:r w:rsidRPr="00CC65E9">
        <w:tab/>
        <w:t>Should the number of blocks be large, such as each block is only a pair of schools, the study team will employ alternative methods to explain this variance</w:t>
      </w:r>
      <w:r w:rsidR="00D87E19">
        <w:t>,</w:t>
      </w:r>
      <w:r w:rsidRPr="00CC65E9">
        <w:t xml:space="preserve"> such as de-meaning or adding the blocks as a higher random effect level to increase sensitivity.</w:t>
      </w:r>
    </w:p>
  </w:footnote>
  <w:footnote w:id="5">
    <w:p w:rsidR="00B64B95" w:rsidP="00B64B95" w14:paraId="35B258B8" w14:textId="4B219052">
      <w:pPr>
        <w:pStyle w:val="FootnoteText"/>
        <w:ind w:left="180" w:hanging="180"/>
      </w:pPr>
      <w:r>
        <w:rPr>
          <w:rStyle w:val="FootnoteReference"/>
        </w:rPr>
        <w:footnoteRef/>
      </w:r>
      <w:r>
        <w:t xml:space="preserve">  D</w:t>
      </w:r>
      <w:r w:rsidRPr="00B64B95">
        <w:t xml:space="preserve">ata from the teacher log </w:t>
      </w:r>
      <w:r w:rsidR="00C51F38">
        <w:t>serves two purposes</w:t>
      </w:r>
      <w:r w:rsidRPr="00B64B95">
        <w:t>: 1) it illustrates the effect of the Toolkit on teachers’ self-reported practice (RQ E2); and 2) it provides information on the treatment-control contrast in classroom instruction, which is a requirement of the implementation evaluation (RQ I3, sub-question 2).</w:t>
      </w:r>
    </w:p>
  </w:footnote>
  <w:footnote w:id="6">
    <w:p w:rsidR="0026564A" w:rsidRPr="00040BA0" w:rsidP="0026564A" w14:paraId="0D52F8DD" w14:textId="49256F1B">
      <w:pPr>
        <w:pStyle w:val="FootnoteText"/>
        <w:ind w:left="180" w:hanging="180"/>
      </w:pPr>
      <w:r w:rsidRPr="00040BA0">
        <w:rPr>
          <w:rStyle w:val="FootnoteReference"/>
        </w:rPr>
        <w:footnoteRef/>
      </w:r>
      <w:r w:rsidRPr="00040BA0">
        <w:t xml:space="preserve"> </w:t>
      </w:r>
      <w:r w:rsidRPr="00040BA0">
        <w:tab/>
        <w:t xml:space="preserve">While it would be better to use the ICC for the SBA Writing score, this value was not available. Therefore, </w:t>
      </w:r>
      <w:r w:rsidRPr="00040BA0" w:rsidR="00DD1565">
        <w:t>the study team</w:t>
      </w:r>
      <w:r w:rsidRPr="00040BA0">
        <w:t xml:space="preserve"> computed this value on the next most correlated outcome, ELA scores, using the following procedure. </w:t>
      </w:r>
      <w:r w:rsidRPr="00040BA0" w:rsidR="00DD1565">
        <w:t>After downloading</w:t>
      </w:r>
      <w:r w:rsidRPr="00040BA0">
        <w:t xml:space="preserve"> the 2020–21 state report card data</w:t>
      </w:r>
      <w:r w:rsidRPr="00040BA0" w:rsidR="00DD1565">
        <w:t xml:space="preserve">, </w:t>
      </w:r>
      <w:r w:rsidRPr="00040BA0" w:rsidR="00D45A00">
        <w:t>t</w:t>
      </w:r>
      <w:r w:rsidRPr="00040BA0">
        <w:t xml:space="preserve">he </w:t>
      </w:r>
      <w:r w:rsidRPr="00040BA0" w:rsidR="00DD1565">
        <w:t>study team filtered the data to the</w:t>
      </w:r>
      <w:r w:rsidRPr="00040BA0">
        <w:t xml:space="preserve"> 110 schools and the rows for “all students.” </w:t>
      </w:r>
      <w:r w:rsidRPr="00040BA0" w:rsidR="00866E0E">
        <w:t xml:space="preserve">The </w:t>
      </w:r>
      <w:r w:rsidRPr="00040BA0">
        <w:t xml:space="preserve">percent proficient in ELA metric represents the probability of being proficient for each school, multiplied by 100. </w:t>
      </w:r>
      <w:r w:rsidRPr="00040BA0" w:rsidR="000C46E1">
        <w:t>The study team</w:t>
      </w:r>
      <w:r w:rsidRPr="00040BA0">
        <w:t xml:space="preserve"> then converted these percentages into log-odds metrics</w:t>
      </w:r>
      <w:r w:rsidR="00F513D8">
        <w:t>,</w:t>
      </w:r>
      <w:r w:rsidRPr="00040BA0">
        <w:t xml:space="preserve"> with </w:t>
      </w:r>
      <m:oMath>
        <m:func>
          <m:funcPr>
            <m:ctrlPr>
              <w:rPr>
                <w:rFonts w:ascii="Cambria Math" w:hAnsi="Cambria Math"/>
                <w:i/>
              </w:rPr>
            </m:ctrlPr>
          </m:funcPr>
          <m:fName>
            <m:r>
              <m:rPr>
                <m:sty m:val="p"/>
              </m:rPr>
              <w:rPr>
                <w:rFonts w:ascii="Cambria Math" w:hAnsi="Cambria Math"/>
              </w:rPr>
              <m:t>Λ=ln</m:t>
            </m:r>
          </m:fName>
          <m:e>
            <m:d>
              <m:dPr>
                <m:ctrlPr>
                  <w:rPr>
                    <w:rFonts w:ascii="Cambria Math" w:hAnsi="Cambria Math"/>
                    <w:i/>
                  </w:rPr>
                </m:ctrlPr>
              </m:dPr>
              <m:e>
                <m:r>
                  <w:rPr>
                    <w:rFonts w:ascii="Cambria Math" w:hAnsi="Cambria Math"/>
                  </w:rPr>
                  <m:t>%/(100-%)</m:t>
                </m:r>
              </m:e>
            </m:d>
          </m:e>
        </m:func>
      </m:oMath>
      <w:r w:rsidR="00F513D8">
        <w:t>,</w:t>
      </w:r>
      <w:r w:rsidRPr="00040BA0">
        <w:t xml:space="preserve"> and found the variance of </w:t>
      </w:r>
      <m:oMath>
        <m:r>
          <m:rPr>
            <m:sty m:val="p"/>
          </m:rPr>
          <w:rPr>
            <w:rFonts w:ascii="Cambria Math" w:hAnsi="Cambria Math"/>
          </w:rPr>
          <m:t>Λ</m:t>
        </m:r>
      </m:oMath>
      <w:r w:rsidRPr="00040BA0">
        <w:t xml:space="preserve"> across the 1</w:t>
      </w:r>
      <w:r w:rsidR="002F017A">
        <w:t>1</w:t>
      </w:r>
      <w:r w:rsidRPr="00040BA0">
        <w:t xml:space="preserve">0 schools, </w:t>
      </w:r>
      <m:oMath>
        <m:r>
          <w:rPr>
            <w:rFonts w:ascii="Cambria Math" w:hAnsi="Cambria Math"/>
          </w:rPr>
          <m:t>V</m:t>
        </m:r>
        <m:d>
          <m:dPr>
            <m:begChr m:val="{"/>
            <m:endChr m:val="}"/>
            <m:ctrlPr>
              <w:rPr>
                <w:rFonts w:ascii="Cambria Math" w:hAnsi="Cambria Math"/>
                <w:i/>
              </w:rPr>
            </m:ctrlPr>
          </m:dPr>
          <m:e>
            <m:r>
              <m:rPr>
                <m:sty m:val="p"/>
              </m:rPr>
              <w:rPr>
                <w:rFonts w:ascii="Cambria Math" w:hAnsi="Cambria Math"/>
              </w:rPr>
              <m:t>Λ</m:t>
            </m:r>
          </m:e>
        </m:d>
      </m:oMath>
      <w:r w:rsidRPr="00040BA0">
        <w:t xml:space="preserve">. This approximates the school-level variance component (variances in means) of a logistic regression predicting the chance of a student being proficient. The intraclass correlation for such an outcome employs the variance of the logistic function, </w:t>
      </w:r>
      <m:oMath>
        <m:sSup>
          <m:sSupPr>
            <m:ctrlPr>
              <w:rPr>
                <w:rFonts w:ascii="Cambria Math" w:hAnsi="Cambria Math"/>
                <w:i/>
              </w:rPr>
            </m:ctrlPr>
          </m:sSupPr>
          <m:e>
            <m:r>
              <w:rPr>
                <w:rFonts w:ascii="Cambria Math" w:hAnsi="Cambria Math"/>
              </w:rPr>
              <m:t>σ</m:t>
            </m:r>
          </m:e>
          <m:sup>
            <m:r>
              <w:rPr>
                <w:rFonts w:ascii="Cambria Math" w:hAnsi="Cambria Math"/>
              </w:rPr>
              <m:t>2</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π</m:t>
                </m:r>
              </m:e>
              <m:sup>
                <m:r>
                  <w:rPr>
                    <w:rFonts w:ascii="Cambria Math" w:hAnsi="Cambria Math"/>
                  </w:rPr>
                  <m:t>2</m:t>
                </m:r>
              </m:sup>
            </m:sSup>
          </m:num>
          <m:den>
            <m:r>
              <w:rPr>
                <w:rFonts w:ascii="Cambria Math" w:hAnsi="Cambria Math"/>
              </w:rPr>
              <m:t>3</m:t>
            </m:r>
          </m:den>
        </m:f>
      </m:oMath>
      <w:r w:rsidRPr="00040BA0">
        <w:t xml:space="preserve">, </w:t>
      </w:r>
      <w:r w:rsidR="006E490B">
        <w:t xml:space="preserve">which </w:t>
      </w:r>
      <w:r w:rsidRPr="00040BA0">
        <w:t xml:space="preserve">is then </w:t>
      </w:r>
      <m:oMath>
        <m:r>
          <w:rPr>
            <w:rFonts w:ascii="Cambria Math" w:hAnsi="Cambria Math"/>
          </w:rPr>
          <m:t>ICC=</m:t>
        </m:r>
        <m:f>
          <m:fPr>
            <m:ctrlPr>
              <w:rPr>
                <w:rFonts w:ascii="Cambria Math" w:hAnsi="Cambria Math"/>
                <w:i/>
              </w:rPr>
            </m:ctrlPr>
          </m:fPr>
          <m:num>
            <m:r>
              <w:rPr>
                <w:rFonts w:ascii="Cambria Math" w:hAnsi="Cambria Math"/>
              </w:rPr>
              <m:t>V</m:t>
            </m:r>
            <m:d>
              <m:dPr>
                <m:begChr m:val="{"/>
                <m:endChr m:val="}"/>
                <m:ctrlPr>
                  <w:rPr>
                    <w:rFonts w:ascii="Cambria Math" w:hAnsi="Cambria Math"/>
                    <w:i/>
                  </w:rPr>
                </m:ctrlPr>
              </m:dPr>
              <m:e>
                <m:r>
                  <m:rPr>
                    <m:sty m:val="p"/>
                  </m:rPr>
                  <w:rPr>
                    <w:rFonts w:ascii="Cambria Math" w:hAnsi="Cambria Math"/>
                  </w:rPr>
                  <m:t>Λ</m:t>
                </m:r>
              </m:e>
            </m:d>
          </m:num>
          <m:den>
            <m:r>
              <w:rPr>
                <w:rFonts w:ascii="Cambria Math" w:hAnsi="Cambria Math"/>
              </w:rPr>
              <m:t>V</m:t>
            </m:r>
            <m:d>
              <m:dPr>
                <m:begChr m:val="{"/>
                <m:endChr m:val="}"/>
                <m:ctrlPr>
                  <w:rPr>
                    <w:rFonts w:ascii="Cambria Math" w:hAnsi="Cambria Math"/>
                    <w:i/>
                  </w:rPr>
                </m:ctrlPr>
              </m:dPr>
              <m:e>
                <m:r>
                  <w:rPr>
                    <w:rFonts w:ascii="Cambria Math" w:hAnsi="Cambria Math"/>
                  </w:rPr>
                  <m:t>|</m:t>
                </m:r>
                <m:r>
                  <m:rPr>
                    <m:sty m:val="p"/>
                  </m:rPr>
                  <w:rPr>
                    <w:rFonts w:ascii="Cambria Math" w:hAnsi="Cambria Math"/>
                  </w:rPr>
                  <m:t>Λ</m:t>
                </m:r>
              </m:e>
            </m:d>
            <m:r>
              <w:rPr>
                <w:rFonts w:ascii="Cambria Math" w:hAnsi="Cambria Math"/>
              </w:rPr>
              <m:t>+</m:t>
            </m:r>
            <m:sSup>
              <m:sSupPr>
                <m:ctrlPr>
                  <w:rPr>
                    <w:rFonts w:ascii="Cambria Math" w:hAnsi="Cambria Math"/>
                    <w:i/>
                  </w:rPr>
                </m:ctrlPr>
              </m:sSupPr>
              <m:e>
                <m:r>
                  <w:rPr>
                    <w:rFonts w:ascii="Cambria Math" w:hAnsi="Cambria Math"/>
                  </w:rPr>
                  <m:t>σ</m:t>
                </m:r>
              </m:e>
              <m:sup>
                <m:r>
                  <w:rPr>
                    <w:rFonts w:ascii="Cambria Math" w:hAnsi="Cambria Math"/>
                  </w:rPr>
                  <m:t>2</m:t>
                </m:r>
              </m:sup>
            </m:sSup>
          </m:den>
        </m:f>
      </m:oMath>
      <w:r w:rsidRPr="00040BA0">
        <w:t>.</w:t>
      </w:r>
    </w:p>
  </w:footnote>
  <w:footnote w:id="7">
    <w:p w:rsidR="00AA4FF5" w14:paraId="309AFE54" w14:textId="3EC4B58D">
      <w:pPr>
        <w:pStyle w:val="FootnoteText"/>
      </w:pPr>
      <w:r>
        <w:rPr>
          <w:rStyle w:val="FootnoteReference"/>
        </w:rPr>
        <w:footnoteRef/>
      </w:r>
      <w:r w:rsidR="21B0E4DC">
        <w:t xml:space="preserve"> </w:t>
      </w:r>
      <w:r>
        <w:tab/>
      </w:r>
      <w:r w:rsidR="21B0E4DC">
        <w:t>This incentive amount is necessary to encourage participation in the study and has been approved by 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7DC1" w:rsidRPr="00C2759C" w:rsidP="00E635FB" w14:paraId="1108E943"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7DC1" w:rsidP="00E635FB" w14:paraId="59F45637" w14:textId="4CF0316E">
    <w:pPr>
      <w:pStyle w:val="Header"/>
      <w:tabs>
        <w:tab w:val="clear" w:pos="4507"/>
      </w:tabs>
    </w:pPr>
    <w:r>
      <w:t>OMB Supporting Statement</w:t>
    </w:r>
    <w:r>
      <w:tab/>
    </w:r>
    <w:r w:rsidRPr="00EB2E21">
      <w:t>Evaluati</w:t>
    </w:r>
    <w:r w:rsidR="00AE58A4">
      <w:t>on of the Secondary Writing Toolkit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7DC1" w:rsidP="00E635FB" w14:paraId="337C09ED" w14:textId="072B6D65">
    <w:pPr>
      <w:pStyle w:val="Header"/>
      <w:tabs>
        <w:tab w:val="clear" w:pos="4507"/>
      </w:tabs>
    </w:pPr>
    <w:r>
      <w:t>OMB Supporting Statement</w:t>
    </w:r>
    <w:r>
      <w:tab/>
    </w:r>
    <w:r w:rsidRPr="00EB2E21" w:rsidR="00EF1BCF">
      <w:t>Evaluati</w:t>
    </w:r>
    <w:r w:rsidR="00EF1BCF">
      <w:t>on of the Secondary Writing Toolkit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5A7D9B"/>
    <w:multiLevelType w:val="hybridMultilevel"/>
    <w:tmpl w:val="04A23C5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C276AEA"/>
    <w:multiLevelType w:val="hybridMultilevel"/>
    <w:tmpl w:val="631ECD46"/>
    <w:lvl w:ilvl="0">
      <w:start w:val="1"/>
      <w:numFmt w:val="decimal"/>
      <w:lvlText w:val="%1."/>
      <w:lvlJc w:val="left"/>
      <w:pPr>
        <w:ind w:left="566" w:hanging="360"/>
      </w:pPr>
      <w:rPr>
        <w:rFonts w:hint="default"/>
      </w:rPr>
    </w:lvl>
    <w:lvl w:ilvl="1" w:tentative="1">
      <w:start w:val="1"/>
      <w:numFmt w:val="lowerLetter"/>
      <w:lvlText w:val="%2."/>
      <w:lvlJc w:val="left"/>
      <w:pPr>
        <w:ind w:left="1286" w:hanging="360"/>
      </w:pPr>
    </w:lvl>
    <w:lvl w:ilvl="2" w:tentative="1">
      <w:start w:val="1"/>
      <w:numFmt w:val="lowerRoman"/>
      <w:lvlText w:val="%3."/>
      <w:lvlJc w:val="right"/>
      <w:pPr>
        <w:ind w:left="2006" w:hanging="180"/>
      </w:pPr>
    </w:lvl>
    <w:lvl w:ilvl="3" w:tentative="1">
      <w:start w:val="1"/>
      <w:numFmt w:val="decimal"/>
      <w:lvlText w:val="%4."/>
      <w:lvlJc w:val="left"/>
      <w:pPr>
        <w:ind w:left="2726" w:hanging="360"/>
      </w:pPr>
    </w:lvl>
    <w:lvl w:ilvl="4" w:tentative="1">
      <w:start w:val="1"/>
      <w:numFmt w:val="lowerLetter"/>
      <w:lvlText w:val="%5."/>
      <w:lvlJc w:val="left"/>
      <w:pPr>
        <w:ind w:left="3446" w:hanging="360"/>
      </w:pPr>
    </w:lvl>
    <w:lvl w:ilvl="5" w:tentative="1">
      <w:start w:val="1"/>
      <w:numFmt w:val="lowerRoman"/>
      <w:lvlText w:val="%6."/>
      <w:lvlJc w:val="right"/>
      <w:pPr>
        <w:ind w:left="4166" w:hanging="180"/>
      </w:pPr>
    </w:lvl>
    <w:lvl w:ilvl="6" w:tentative="1">
      <w:start w:val="1"/>
      <w:numFmt w:val="decimal"/>
      <w:lvlText w:val="%7."/>
      <w:lvlJc w:val="left"/>
      <w:pPr>
        <w:ind w:left="4886" w:hanging="360"/>
      </w:pPr>
    </w:lvl>
    <w:lvl w:ilvl="7" w:tentative="1">
      <w:start w:val="1"/>
      <w:numFmt w:val="lowerLetter"/>
      <w:lvlText w:val="%8."/>
      <w:lvlJc w:val="left"/>
      <w:pPr>
        <w:ind w:left="5606" w:hanging="360"/>
      </w:pPr>
    </w:lvl>
    <w:lvl w:ilvl="8" w:tentative="1">
      <w:start w:val="1"/>
      <w:numFmt w:val="lowerRoman"/>
      <w:lvlText w:val="%9."/>
      <w:lvlJc w:val="right"/>
      <w:pPr>
        <w:ind w:left="6326" w:hanging="180"/>
      </w:pPr>
    </w:lvl>
  </w:abstractNum>
  <w:abstractNum w:abstractNumId="2">
    <w:nsid w:val="1EBD6CCB"/>
    <w:multiLevelType w:val="hybridMultilevel"/>
    <w:tmpl w:val="FB00D998"/>
    <w:lvl w:ilvl="0">
      <w:start w:val="1"/>
      <w:numFmt w:val="low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3">
    <w:nsid w:val="20D71A4D"/>
    <w:multiLevelType w:val="hybridMultilevel"/>
    <w:tmpl w:val="57105C96"/>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25C48D9"/>
    <w:multiLevelType w:val="hybridMultilevel"/>
    <w:tmpl w:val="3AC4E7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44107DB"/>
    <w:multiLevelType w:val="hybridMultilevel"/>
    <w:tmpl w:val="F4D07F2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7">
    <w:nsid w:val="2A153291"/>
    <w:multiLevelType w:val="hybridMultilevel"/>
    <w:tmpl w:val="300C92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6034FB1"/>
    <w:multiLevelType w:val="hybridMultilevel"/>
    <w:tmpl w:val="FA5E7D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EAD33C4"/>
    <w:multiLevelType w:val="multilevel"/>
    <w:tmpl w:val="3E860564"/>
    <w:lvl w:ilvl="0">
      <w:start w:val="2"/>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5040"/>
        </w:tabs>
        <w:ind w:left="504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0">
    <w:nsid w:val="46BA1680"/>
    <w:multiLevelType w:val="hybridMultilevel"/>
    <w:tmpl w:val="DB3C1FBC"/>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53E25128"/>
    <w:multiLevelType w:val="hybridMultilevel"/>
    <w:tmpl w:val="5FE07BA6"/>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034815"/>
    <w:multiLevelType w:val="hybridMultilevel"/>
    <w:tmpl w:val="14846B50"/>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CEB7637"/>
    <w:multiLevelType w:val="hybridMultilevel"/>
    <w:tmpl w:val="EB129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4555A34"/>
    <w:multiLevelType w:val="hybridMultilevel"/>
    <w:tmpl w:val="6F5CA2A4"/>
    <w:lvl w:ilvl="0">
      <w:start w:val="1"/>
      <w:numFmt w:val="decimal"/>
      <w:lvlText w:val="%1."/>
      <w:lvlJc w:val="left"/>
      <w:pPr>
        <w:ind w:left="720" w:hanging="360"/>
      </w:pPr>
      <w:rPr>
        <w:rFonts w:ascii="Arial Narrow" w:hAnsi="Arial Narrow"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5245E82"/>
    <w:multiLevelType w:val="hybridMultilevel"/>
    <w:tmpl w:val="941C8E2E"/>
    <w:lvl w:ilvl="0">
      <w:start w:val="1"/>
      <w:numFmt w:val="bullet"/>
      <w:pStyle w:val="Bullets"/>
      <w:lvlText w:val=""/>
      <w:lvlJc w:val="left"/>
      <w:pPr>
        <w:ind w:left="720" w:hanging="360"/>
      </w:pPr>
      <w:rPr>
        <w:rFonts w:ascii="Symbol" w:hAnsi="Symbol" w:hint="default"/>
        <w:color w:val="4F81BD" w:themeColor="accent1"/>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74470D0"/>
    <w:multiLevelType w:val="hybridMultilevel"/>
    <w:tmpl w:val="38F6AA0C"/>
    <w:lvl w:ilvl="0">
      <w:start w:val="1"/>
      <w:numFmt w:val="lowerLetter"/>
      <w:lvlText w:val="%1."/>
      <w:lvlJc w:val="left"/>
      <w:pPr>
        <w:ind w:left="360" w:hanging="360"/>
      </w:pPr>
      <w:rPr>
        <w:rFonts w:hint="default"/>
        <w:b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B2F3391"/>
    <w:multiLevelType w:val="hybridMultilevel"/>
    <w:tmpl w:val="E00A9656"/>
    <w:lvl w:ilvl="0">
      <w:start w:val="1"/>
      <w:numFmt w:val="decimal"/>
      <w:pStyle w:val="cAns"/>
      <w:lvlText w:val="%1"/>
      <w:lvlJc w:val="left"/>
      <w:pPr>
        <w:tabs>
          <w:tab w:val="num" w:pos="792"/>
        </w:tabs>
        <w:ind w:left="432" w:firstLine="0"/>
      </w:pPr>
      <w:rPr>
        <w:rFonts w:ascii="Arial" w:hAnsi="Arial" w:hint="default"/>
        <w:b w:val="0"/>
        <w:i w:val="0"/>
        <w:sz w:val="16"/>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B794E48"/>
    <w:multiLevelType w:val="hybridMultilevel"/>
    <w:tmpl w:val="AA9A4F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BA02B11"/>
    <w:multiLevelType w:val="hybridMultilevel"/>
    <w:tmpl w:val="C3A895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FAD7EF8"/>
    <w:multiLevelType w:val="hybridMultilevel"/>
    <w:tmpl w:val="71FAF0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3">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F3578E4"/>
    <w:multiLevelType w:val="hybridMultilevel"/>
    <w:tmpl w:val="3D32F538"/>
    <w:lvl w:ilvl="0">
      <w:start w:val="1"/>
      <w:numFmt w:val="decimal"/>
      <w:lvlText w:val="(%1)"/>
      <w:lvlJc w:val="left"/>
      <w:pPr>
        <w:ind w:left="600" w:hanging="360"/>
      </w:pPr>
      <w:rPr>
        <w:rFonts w:hint="default"/>
      </w:rPr>
    </w:lvl>
    <w:lvl w:ilvl="1" w:tentative="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25">
    <w:nsid w:val="7FCF753D"/>
    <w:multiLevelType w:val="hybridMultilevel"/>
    <w:tmpl w:val="A1E6A41C"/>
    <w:lvl w:ilvl="0">
      <w:start w:val="1"/>
      <w:numFmt w:val="bullet"/>
      <w:pStyle w:val="Bullet2"/>
      <w:lvlText w:val=""/>
      <w:lvlJc w:val="left"/>
      <w:pPr>
        <w:tabs>
          <w:tab w:val="num" w:pos="720"/>
        </w:tabs>
        <w:ind w:left="720" w:hanging="360"/>
      </w:pPr>
      <w:rPr>
        <w:rFonts w:ascii="Symbol" w:hAnsi="Symbol" w:hint="default"/>
        <w:color w:val="0000AC"/>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41912027">
    <w:abstractNumId w:val="6"/>
  </w:num>
  <w:num w:numId="2" w16cid:durableId="1430390378">
    <w:abstractNumId w:val="22"/>
  </w:num>
  <w:num w:numId="3" w16cid:durableId="157498768">
    <w:abstractNumId w:val="9"/>
  </w:num>
  <w:num w:numId="4" w16cid:durableId="2088190427">
    <w:abstractNumId w:val="25"/>
  </w:num>
  <w:num w:numId="5" w16cid:durableId="185873864">
    <w:abstractNumId w:val="16"/>
  </w:num>
  <w:num w:numId="6" w16cid:durableId="878200708">
    <w:abstractNumId w:val="24"/>
  </w:num>
  <w:num w:numId="7" w16cid:durableId="361443366">
    <w:abstractNumId w:val="18"/>
  </w:num>
  <w:num w:numId="8" w16cid:durableId="475074270">
    <w:abstractNumId w:val="8"/>
  </w:num>
  <w:num w:numId="9" w16cid:durableId="1772357233">
    <w:abstractNumId w:val="19"/>
  </w:num>
  <w:num w:numId="10" w16cid:durableId="803229469">
    <w:abstractNumId w:val="14"/>
  </w:num>
  <w:num w:numId="11" w16cid:durableId="974681400">
    <w:abstractNumId w:val="12"/>
  </w:num>
  <w:num w:numId="12" w16cid:durableId="231889171">
    <w:abstractNumId w:val="17"/>
  </w:num>
  <w:num w:numId="13" w16cid:durableId="273446879">
    <w:abstractNumId w:val="3"/>
  </w:num>
  <w:num w:numId="14" w16cid:durableId="1374378447">
    <w:abstractNumId w:val="10"/>
  </w:num>
  <w:num w:numId="15" w16cid:durableId="425274726">
    <w:abstractNumId w:val="7"/>
  </w:num>
  <w:num w:numId="16" w16cid:durableId="503907299">
    <w:abstractNumId w:val="5"/>
  </w:num>
  <w:num w:numId="17" w16cid:durableId="1213885461">
    <w:abstractNumId w:val="4"/>
  </w:num>
  <w:num w:numId="18" w16cid:durableId="1107115050">
    <w:abstractNumId w:val="0"/>
  </w:num>
  <w:num w:numId="19" w16cid:durableId="292517656">
    <w:abstractNumId w:val="15"/>
  </w:num>
  <w:num w:numId="20" w16cid:durableId="1295795530">
    <w:abstractNumId w:val="21"/>
  </w:num>
  <w:num w:numId="21" w16cid:durableId="1249387876">
    <w:abstractNumId w:val="11"/>
  </w:num>
  <w:num w:numId="22" w16cid:durableId="1517964638">
    <w:abstractNumId w:val="1"/>
  </w:num>
  <w:num w:numId="23" w16cid:durableId="1220704019">
    <w:abstractNumId w:val="2"/>
  </w:num>
  <w:num w:numId="24" w16cid:durableId="1234466369">
    <w:abstractNumId w:val="20"/>
  </w:num>
  <w:num w:numId="25" w16cid:durableId="1058358684">
    <w:abstractNumId w:val="23"/>
  </w:num>
  <w:num w:numId="26" w16cid:durableId="239825678">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572"/>
    <w:rsid w:val="00001401"/>
    <w:rsid w:val="00001EDB"/>
    <w:rsid w:val="000028A0"/>
    <w:rsid w:val="00006BC6"/>
    <w:rsid w:val="00007089"/>
    <w:rsid w:val="000070C9"/>
    <w:rsid w:val="00007EBF"/>
    <w:rsid w:val="00010326"/>
    <w:rsid w:val="00010DB2"/>
    <w:rsid w:val="00011361"/>
    <w:rsid w:val="000116F3"/>
    <w:rsid w:val="00012228"/>
    <w:rsid w:val="00012C27"/>
    <w:rsid w:val="000142BE"/>
    <w:rsid w:val="00017537"/>
    <w:rsid w:val="000178CB"/>
    <w:rsid w:val="0002028D"/>
    <w:rsid w:val="00020402"/>
    <w:rsid w:val="00023C70"/>
    <w:rsid w:val="00023EB0"/>
    <w:rsid w:val="00024D34"/>
    <w:rsid w:val="0002566B"/>
    <w:rsid w:val="000258BF"/>
    <w:rsid w:val="000263CB"/>
    <w:rsid w:val="00026597"/>
    <w:rsid w:val="000266C4"/>
    <w:rsid w:val="00026C0B"/>
    <w:rsid w:val="00027A80"/>
    <w:rsid w:val="000303CA"/>
    <w:rsid w:val="000306B5"/>
    <w:rsid w:val="00031DFB"/>
    <w:rsid w:val="00033044"/>
    <w:rsid w:val="00034763"/>
    <w:rsid w:val="00036AFE"/>
    <w:rsid w:val="00036DA6"/>
    <w:rsid w:val="000371CC"/>
    <w:rsid w:val="00037E87"/>
    <w:rsid w:val="000403CA"/>
    <w:rsid w:val="00040905"/>
    <w:rsid w:val="0004094E"/>
    <w:rsid w:val="00040BA0"/>
    <w:rsid w:val="00040BF2"/>
    <w:rsid w:val="00041502"/>
    <w:rsid w:val="00041E00"/>
    <w:rsid w:val="000428F9"/>
    <w:rsid w:val="000432DE"/>
    <w:rsid w:val="000432F3"/>
    <w:rsid w:val="000433B1"/>
    <w:rsid w:val="000458BD"/>
    <w:rsid w:val="0004646F"/>
    <w:rsid w:val="000469D3"/>
    <w:rsid w:val="00046C38"/>
    <w:rsid w:val="00047269"/>
    <w:rsid w:val="00047919"/>
    <w:rsid w:val="00047FF2"/>
    <w:rsid w:val="000513E5"/>
    <w:rsid w:val="00051D83"/>
    <w:rsid w:val="0005220F"/>
    <w:rsid w:val="00053098"/>
    <w:rsid w:val="00053177"/>
    <w:rsid w:val="0005346F"/>
    <w:rsid w:val="000538D0"/>
    <w:rsid w:val="0005567F"/>
    <w:rsid w:val="0005634A"/>
    <w:rsid w:val="00056492"/>
    <w:rsid w:val="000564C6"/>
    <w:rsid w:val="000565F4"/>
    <w:rsid w:val="00056A13"/>
    <w:rsid w:val="00056B0B"/>
    <w:rsid w:val="00056C5A"/>
    <w:rsid w:val="00060968"/>
    <w:rsid w:val="00060D09"/>
    <w:rsid w:val="00060EFF"/>
    <w:rsid w:val="00062061"/>
    <w:rsid w:val="000620E2"/>
    <w:rsid w:val="00062786"/>
    <w:rsid w:val="00063127"/>
    <w:rsid w:val="00063E35"/>
    <w:rsid w:val="00063EA2"/>
    <w:rsid w:val="00064712"/>
    <w:rsid w:val="000654D3"/>
    <w:rsid w:val="000666EA"/>
    <w:rsid w:val="00066EB7"/>
    <w:rsid w:val="00067138"/>
    <w:rsid w:val="000675C0"/>
    <w:rsid w:val="00070488"/>
    <w:rsid w:val="00070B93"/>
    <w:rsid w:val="000710F3"/>
    <w:rsid w:val="00071841"/>
    <w:rsid w:val="0007219A"/>
    <w:rsid w:val="000722B2"/>
    <w:rsid w:val="0007310B"/>
    <w:rsid w:val="000744CF"/>
    <w:rsid w:val="00075D31"/>
    <w:rsid w:val="0007628E"/>
    <w:rsid w:val="00076CE4"/>
    <w:rsid w:val="0008012A"/>
    <w:rsid w:val="0008046F"/>
    <w:rsid w:val="0008093C"/>
    <w:rsid w:val="00081EA3"/>
    <w:rsid w:val="000820FD"/>
    <w:rsid w:val="00082B3D"/>
    <w:rsid w:val="00083E3B"/>
    <w:rsid w:val="0008465A"/>
    <w:rsid w:val="00085E54"/>
    <w:rsid w:val="00085F76"/>
    <w:rsid w:val="00086017"/>
    <w:rsid w:val="000863E4"/>
    <w:rsid w:val="00086E4A"/>
    <w:rsid w:val="00087509"/>
    <w:rsid w:val="000878BC"/>
    <w:rsid w:val="000914C1"/>
    <w:rsid w:val="00091959"/>
    <w:rsid w:val="00091A79"/>
    <w:rsid w:val="00092868"/>
    <w:rsid w:val="00093323"/>
    <w:rsid w:val="00094A8C"/>
    <w:rsid w:val="00094CA7"/>
    <w:rsid w:val="00094F66"/>
    <w:rsid w:val="000955D1"/>
    <w:rsid w:val="00097481"/>
    <w:rsid w:val="00097621"/>
    <w:rsid w:val="00097C24"/>
    <w:rsid w:val="00097E7E"/>
    <w:rsid w:val="000A0405"/>
    <w:rsid w:val="000A0B3C"/>
    <w:rsid w:val="000A35E7"/>
    <w:rsid w:val="000A4A29"/>
    <w:rsid w:val="000A5226"/>
    <w:rsid w:val="000A6E79"/>
    <w:rsid w:val="000A7D1F"/>
    <w:rsid w:val="000B0000"/>
    <w:rsid w:val="000B01D0"/>
    <w:rsid w:val="000B1E47"/>
    <w:rsid w:val="000B215C"/>
    <w:rsid w:val="000B4149"/>
    <w:rsid w:val="000B4FDE"/>
    <w:rsid w:val="000B6632"/>
    <w:rsid w:val="000B7378"/>
    <w:rsid w:val="000C0A50"/>
    <w:rsid w:val="000C2F9E"/>
    <w:rsid w:val="000C37E9"/>
    <w:rsid w:val="000C3AC8"/>
    <w:rsid w:val="000C46E1"/>
    <w:rsid w:val="000C46E3"/>
    <w:rsid w:val="000C4F57"/>
    <w:rsid w:val="000C624C"/>
    <w:rsid w:val="000C6606"/>
    <w:rsid w:val="000C730A"/>
    <w:rsid w:val="000C7DDF"/>
    <w:rsid w:val="000D0359"/>
    <w:rsid w:val="000D03F8"/>
    <w:rsid w:val="000D3BA7"/>
    <w:rsid w:val="000D4EC7"/>
    <w:rsid w:val="000D53FC"/>
    <w:rsid w:val="000D54E7"/>
    <w:rsid w:val="000D5A6A"/>
    <w:rsid w:val="000D5F71"/>
    <w:rsid w:val="000D5F8F"/>
    <w:rsid w:val="000D70BF"/>
    <w:rsid w:val="000D77BB"/>
    <w:rsid w:val="000D7DF0"/>
    <w:rsid w:val="000E0359"/>
    <w:rsid w:val="000E0DF4"/>
    <w:rsid w:val="000E1CA2"/>
    <w:rsid w:val="000E212E"/>
    <w:rsid w:val="000E3046"/>
    <w:rsid w:val="000E3932"/>
    <w:rsid w:val="000E7541"/>
    <w:rsid w:val="000E7C5A"/>
    <w:rsid w:val="000E7CE5"/>
    <w:rsid w:val="000F026B"/>
    <w:rsid w:val="000F0916"/>
    <w:rsid w:val="000F135E"/>
    <w:rsid w:val="000F399E"/>
    <w:rsid w:val="000F3A53"/>
    <w:rsid w:val="000F4414"/>
    <w:rsid w:val="000F4508"/>
    <w:rsid w:val="000F509A"/>
    <w:rsid w:val="001005AD"/>
    <w:rsid w:val="00100827"/>
    <w:rsid w:val="00101775"/>
    <w:rsid w:val="00102260"/>
    <w:rsid w:val="001030CB"/>
    <w:rsid w:val="00103330"/>
    <w:rsid w:val="00103988"/>
    <w:rsid w:val="00103CBE"/>
    <w:rsid w:val="00105545"/>
    <w:rsid w:val="00105AEF"/>
    <w:rsid w:val="00107958"/>
    <w:rsid w:val="001112D4"/>
    <w:rsid w:val="0011149B"/>
    <w:rsid w:val="001119A0"/>
    <w:rsid w:val="001121F0"/>
    <w:rsid w:val="00112B72"/>
    <w:rsid w:val="0011366B"/>
    <w:rsid w:val="00114D3C"/>
    <w:rsid w:val="00115DBD"/>
    <w:rsid w:val="00116018"/>
    <w:rsid w:val="00117359"/>
    <w:rsid w:val="00117872"/>
    <w:rsid w:val="00121BB0"/>
    <w:rsid w:val="001234D3"/>
    <w:rsid w:val="001245FC"/>
    <w:rsid w:val="00124F98"/>
    <w:rsid w:val="0012622C"/>
    <w:rsid w:val="00127DB2"/>
    <w:rsid w:val="00131B9F"/>
    <w:rsid w:val="00131BDD"/>
    <w:rsid w:val="00132733"/>
    <w:rsid w:val="001327F2"/>
    <w:rsid w:val="00133E2F"/>
    <w:rsid w:val="00134546"/>
    <w:rsid w:val="0013486C"/>
    <w:rsid w:val="00134D29"/>
    <w:rsid w:val="00135D15"/>
    <w:rsid w:val="001361ED"/>
    <w:rsid w:val="00137E53"/>
    <w:rsid w:val="00137E8E"/>
    <w:rsid w:val="0014029A"/>
    <w:rsid w:val="00140B8F"/>
    <w:rsid w:val="00143040"/>
    <w:rsid w:val="00146689"/>
    <w:rsid w:val="00147514"/>
    <w:rsid w:val="001502E6"/>
    <w:rsid w:val="0015041B"/>
    <w:rsid w:val="00150DE3"/>
    <w:rsid w:val="00151DB4"/>
    <w:rsid w:val="001521C6"/>
    <w:rsid w:val="001532FB"/>
    <w:rsid w:val="00153512"/>
    <w:rsid w:val="001537B6"/>
    <w:rsid w:val="00155A3B"/>
    <w:rsid w:val="001568AE"/>
    <w:rsid w:val="001573F5"/>
    <w:rsid w:val="00157DC1"/>
    <w:rsid w:val="00160567"/>
    <w:rsid w:val="00160606"/>
    <w:rsid w:val="001640FF"/>
    <w:rsid w:val="001659CC"/>
    <w:rsid w:val="00167297"/>
    <w:rsid w:val="001674E5"/>
    <w:rsid w:val="0017010E"/>
    <w:rsid w:val="00171B20"/>
    <w:rsid w:val="0017228C"/>
    <w:rsid w:val="00172B2A"/>
    <w:rsid w:val="00172CFF"/>
    <w:rsid w:val="0017327F"/>
    <w:rsid w:val="001736B5"/>
    <w:rsid w:val="0017457C"/>
    <w:rsid w:val="0017559B"/>
    <w:rsid w:val="00175ADE"/>
    <w:rsid w:val="001773C0"/>
    <w:rsid w:val="0018004D"/>
    <w:rsid w:val="00182BC6"/>
    <w:rsid w:val="00182BE5"/>
    <w:rsid w:val="00183AFA"/>
    <w:rsid w:val="00183C53"/>
    <w:rsid w:val="0018459B"/>
    <w:rsid w:val="001855C1"/>
    <w:rsid w:val="001856E6"/>
    <w:rsid w:val="00187681"/>
    <w:rsid w:val="00190057"/>
    <w:rsid w:val="00190AE4"/>
    <w:rsid w:val="00191358"/>
    <w:rsid w:val="00191928"/>
    <w:rsid w:val="00193310"/>
    <w:rsid w:val="00193A49"/>
    <w:rsid w:val="00194D98"/>
    <w:rsid w:val="0019510E"/>
    <w:rsid w:val="001A0EA7"/>
    <w:rsid w:val="001A1EC8"/>
    <w:rsid w:val="001A49BE"/>
    <w:rsid w:val="001A550D"/>
    <w:rsid w:val="001A6507"/>
    <w:rsid w:val="001A7769"/>
    <w:rsid w:val="001A7826"/>
    <w:rsid w:val="001B0F14"/>
    <w:rsid w:val="001B1A36"/>
    <w:rsid w:val="001B35F2"/>
    <w:rsid w:val="001B43B2"/>
    <w:rsid w:val="001B5865"/>
    <w:rsid w:val="001B6450"/>
    <w:rsid w:val="001B7376"/>
    <w:rsid w:val="001B7C1F"/>
    <w:rsid w:val="001B7E5E"/>
    <w:rsid w:val="001B7FEC"/>
    <w:rsid w:val="001C0082"/>
    <w:rsid w:val="001C0CFB"/>
    <w:rsid w:val="001C131C"/>
    <w:rsid w:val="001C1D94"/>
    <w:rsid w:val="001C44BF"/>
    <w:rsid w:val="001C53C9"/>
    <w:rsid w:val="001C5A07"/>
    <w:rsid w:val="001C6302"/>
    <w:rsid w:val="001C7AF4"/>
    <w:rsid w:val="001D317B"/>
    <w:rsid w:val="001D37DD"/>
    <w:rsid w:val="001D4210"/>
    <w:rsid w:val="001D49D9"/>
    <w:rsid w:val="001D51BB"/>
    <w:rsid w:val="001D58D3"/>
    <w:rsid w:val="001D63BF"/>
    <w:rsid w:val="001D7B62"/>
    <w:rsid w:val="001E1050"/>
    <w:rsid w:val="001E1318"/>
    <w:rsid w:val="001E211D"/>
    <w:rsid w:val="001E4AA1"/>
    <w:rsid w:val="001E539B"/>
    <w:rsid w:val="001E65A7"/>
    <w:rsid w:val="001F02F5"/>
    <w:rsid w:val="001F031E"/>
    <w:rsid w:val="001F1078"/>
    <w:rsid w:val="001F3BE5"/>
    <w:rsid w:val="001F3F8D"/>
    <w:rsid w:val="001F4DAA"/>
    <w:rsid w:val="001F6093"/>
    <w:rsid w:val="001F61BC"/>
    <w:rsid w:val="001F78F2"/>
    <w:rsid w:val="001F7A7C"/>
    <w:rsid w:val="001F7EDF"/>
    <w:rsid w:val="002003B9"/>
    <w:rsid w:val="00200A64"/>
    <w:rsid w:val="00201A63"/>
    <w:rsid w:val="00201C57"/>
    <w:rsid w:val="00202F54"/>
    <w:rsid w:val="002034AF"/>
    <w:rsid w:val="0020419A"/>
    <w:rsid w:val="00204E40"/>
    <w:rsid w:val="0020508D"/>
    <w:rsid w:val="00206A05"/>
    <w:rsid w:val="00206FC3"/>
    <w:rsid w:val="00207E13"/>
    <w:rsid w:val="002112F5"/>
    <w:rsid w:val="00211945"/>
    <w:rsid w:val="00211CE7"/>
    <w:rsid w:val="00212173"/>
    <w:rsid w:val="0021245C"/>
    <w:rsid w:val="00212FAC"/>
    <w:rsid w:val="00213111"/>
    <w:rsid w:val="00213A9F"/>
    <w:rsid w:val="0021463A"/>
    <w:rsid w:val="002146DF"/>
    <w:rsid w:val="0021480D"/>
    <w:rsid w:val="00214B23"/>
    <w:rsid w:val="00214DD3"/>
    <w:rsid w:val="0021543B"/>
    <w:rsid w:val="00216D15"/>
    <w:rsid w:val="0022057A"/>
    <w:rsid w:val="002209EF"/>
    <w:rsid w:val="0022136B"/>
    <w:rsid w:val="00221BDA"/>
    <w:rsid w:val="0022263C"/>
    <w:rsid w:val="0022371D"/>
    <w:rsid w:val="00224103"/>
    <w:rsid w:val="00224A92"/>
    <w:rsid w:val="00224D20"/>
    <w:rsid w:val="002250B6"/>
    <w:rsid w:val="0022613C"/>
    <w:rsid w:val="00226880"/>
    <w:rsid w:val="00226A24"/>
    <w:rsid w:val="002272D3"/>
    <w:rsid w:val="00227360"/>
    <w:rsid w:val="00227FDB"/>
    <w:rsid w:val="00231572"/>
    <w:rsid w:val="00231FF4"/>
    <w:rsid w:val="002322DA"/>
    <w:rsid w:val="00234142"/>
    <w:rsid w:val="00234237"/>
    <w:rsid w:val="002366E5"/>
    <w:rsid w:val="00237115"/>
    <w:rsid w:val="00237311"/>
    <w:rsid w:val="00237E31"/>
    <w:rsid w:val="00241D5C"/>
    <w:rsid w:val="00244E97"/>
    <w:rsid w:val="0024568F"/>
    <w:rsid w:val="002457D8"/>
    <w:rsid w:val="00245835"/>
    <w:rsid w:val="00245A6A"/>
    <w:rsid w:val="00245DA3"/>
    <w:rsid w:val="00245E91"/>
    <w:rsid w:val="0024628F"/>
    <w:rsid w:val="00250D54"/>
    <w:rsid w:val="002528C0"/>
    <w:rsid w:val="00253B1D"/>
    <w:rsid w:val="002546AC"/>
    <w:rsid w:val="00255860"/>
    <w:rsid w:val="00257A27"/>
    <w:rsid w:val="00260D0E"/>
    <w:rsid w:val="002621D2"/>
    <w:rsid w:val="00263007"/>
    <w:rsid w:val="0026564A"/>
    <w:rsid w:val="0027055B"/>
    <w:rsid w:val="00272401"/>
    <w:rsid w:val="0027386C"/>
    <w:rsid w:val="00274D59"/>
    <w:rsid w:val="0027684C"/>
    <w:rsid w:val="00276969"/>
    <w:rsid w:val="002772CC"/>
    <w:rsid w:val="00277F16"/>
    <w:rsid w:val="002803B9"/>
    <w:rsid w:val="002807F3"/>
    <w:rsid w:val="0028152B"/>
    <w:rsid w:val="002821E2"/>
    <w:rsid w:val="00283386"/>
    <w:rsid w:val="00284C93"/>
    <w:rsid w:val="00284FBB"/>
    <w:rsid w:val="00285035"/>
    <w:rsid w:val="0028663A"/>
    <w:rsid w:val="00286AF8"/>
    <w:rsid w:val="00290326"/>
    <w:rsid w:val="0029148B"/>
    <w:rsid w:val="00292369"/>
    <w:rsid w:val="0029236E"/>
    <w:rsid w:val="00292E86"/>
    <w:rsid w:val="0029383B"/>
    <w:rsid w:val="00294337"/>
    <w:rsid w:val="002944FD"/>
    <w:rsid w:val="00294589"/>
    <w:rsid w:val="00294708"/>
    <w:rsid w:val="00294ECD"/>
    <w:rsid w:val="00295807"/>
    <w:rsid w:val="00295AF2"/>
    <w:rsid w:val="002A11A8"/>
    <w:rsid w:val="002A2140"/>
    <w:rsid w:val="002A24AF"/>
    <w:rsid w:val="002A4198"/>
    <w:rsid w:val="002A4926"/>
    <w:rsid w:val="002A4B76"/>
    <w:rsid w:val="002A5A8A"/>
    <w:rsid w:val="002A5F84"/>
    <w:rsid w:val="002A6303"/>
    <w:rsid w:val="002A6CF5"/>
    <w:rsid w:val="002B0723"/>
    <w:rsid w:val="002B0C31"/>
    <w:rsid w:val="002B116B"/>
    <w:rsid w:val="002B2256"/>
    <w:rsid w:val="002B2633"/>
    <w:rsid w:val="002B2A3E"/>
    <w:rsid w:val="002B2A59"/>
    <w:rsid w:val="002B2C64"/>
    <w:rsid w:val="002B2EDA"/>
    <w:rsid w:val="002B3967"/>
    <w:rsid w:val="002C0394"/>
    <w:rsid w:val="002C16EC"/>
    <w:rsid w:val="002C1B06"/>
    <w:rsid w:val="002C2E2A"/>
    <w:rsid w:val="002C2FA4"/>
    <w:rsid w:val="002C3121"/>
    <w:rsid w:val="002C383B"/>
    <w:rsid w:val="002C3E32"/>
    <w:rsid w:val="002C6800"/>
    <w:rsid w:val="002C72FE"/>
    <w:rsid w:val="002C7A57"/>
    <w:rsid w:val="002D0608"/>
    <w:rsid w:val="002D0AFF"/>
    <w:rsid w:val="002D227E"/>
    <w:rsid w:val="002D2301"/>
    <w:rsid w:val="002D2382"/>
    <w:rsid w:val="002D27A0"/>
    <w:rsid w:val="002D3543"/>
    <w:rsid w:val="002D406B"/>
    <w:rsid w:val="002D495F"/>
    <w:rsid w:val="002D576D"/>
    <w:rsid w:val="002D585D"/>
    <w:rsid w:val="002E3737"/>
    <w:rsid w:val="002E3755"/>
    <w:rsid w:val="002E3A3E"/>
    <w:rsid w:val="002E6AF2"/>
    <w:rsid w:val="002E6F2C"/>
    <w:rsid w:val="002E712A"/>
    <w:rsid w:val="002F0012"/>
    <w:rsid w:val="002F017A"/>
    <w:rsid w:val="002F17C7"/>
    <w:rsid w:val="002F3FFF"/>
    <w:rsid w:val="002F4021"/>
    <w:rsid w:val="002F444D"/>
    <w:rsid w:val="002F4CE7"/>
    <w:rsid w:val="002F4EDD"/>
    <w:rsid w:val="002F5F48"/>
    <w:rsid w:val="002F7566"/>
    <w:rsid w:val="002F75B1"/>
    <w:rsid w:val="002F75F3"/>
    <w:rsid w:val="002F777B"/>
    <w:rsid w:val="002F7924"/>
    <w:rsid w:val="0030011A"/>
    <w:rsid w:val="003011A9"/>
    <w:rsid w:val="003026C1"/>
    <w:rsid w:val="00302D5C"/>
    <w:rsid w:val="00303C49"/>
    <w:rsid w:val="00306D48"/>
    <w:rsid w:val="00310EA3"/>
    <w:rsid w:val="003115D8"/>
    <w:rsid w:val="00311C92"/>
    <w:rsid w:val="00316045"/>
    <w:rsid w:val="003163DE"/>
    <w:rsid w:val="00317EFD"/>
    <w:rsid w:val="00321C22"/>
    <w:rsid w:val="00321EE8"/>
    <w:rsid w:val="0032229D"/>
    <w:rsid w:val="003222D8"/>
    <w:rsid w:val="00322E10"/>
    <w:rsid w:val="00326380"/>
    <w:rsid w:val="0033015F"/>
    <w:rsid w:val="00331078"/>
    <w:rsid w:val="003315B1"/>
    <w:rsid w:val="00331811"/>
    <w:rsid w:val="00332510"/>
    <w:rsid w:val="00332AF0"/>
    <w:rsid w:val="00333D28"/>
    <w:rsid w:val="00334230"/>
    <w:rsid w:val="003346D1"/>
    <w:rsid w:val="00334EA2"/>
    <w:rsid w:val="0033504D"/>
    <w:rsid w:val="003353D0"/>
    <w:rsid w:val="00335991"/>
    <w:rsid w:val="003361CC"/>
    <w:rsid w:val="003415CF"/>
    <w:rsid w:val="00341FEB"/>
    <w:rsid w:val="0034207C"/>
    <w:rsid w:val="00342D2D"/>
    <w:rsid w:val="00342ED5"/>
    <w:rsid w:val="0034497C"/>
    <w:rsid w:val="00344B26"/>
    <w:rsid w:val="003452D2"/>
    <w:rsid w:val="0034686E"/>
    <w:rsid w:val="00346917"/>
    <w:rsid w:val="00346C50"/>
    <w:rsid w:val="00346D4F"/>
    <w:rsid w:val="003478F3"/>
    <w:rsid w:val="0035105F"/>
    <w:rsid w:val="0035307F"/>
    <w:rsid w:val="003547CD"/>
    <w:rsid w:val="0035515C"/>
    <w:rsid w:val="0035598A"/>
    <w:rsid w:val="003565A8"/>
    <w:rsid w:val="00356A82"/>
    <w:rsid w:val="00356B65"/>
    <w:rsid w:val="00357F46"/>
    <w:rsid w:val="003613E1"/>
    <w:rsid w:val="00362055"/>
    <w:rsid w:val="00362B97"/>
    <w:rsid w:val="00364196"/>
    <w:rsid w:val="00364355"/>
    <w:rsid w:val="0036463E"/>
    <w:rsid w:val="00364C55"/>
    <w:rsid w:val="0036723A"/>
    <w:rsid w:val="00367A40"/>
    <w:rsid w:val="00367FD7"/>
    <w:rsid w:val="003701E4"/>
    <w:rsid w:val="00370C9E"/>
    <w:rsid w:val="00372A8A"/>
    <w:rsid w:val="00373DBD"/>
    <w:rsid w:val="00374143"/>
    <w:rsid w:val="00374629"/>
    <w:rsid w:val="00374940"/>
    <w:rsid w:val="00374D27"/>
    <w:rsid w:val="00375720"/>
    <w:rsid w:val="00375AE4"/>
    <w:rsid w:val="00376111"/>
    <w:rsid w:val="00376623"/>
    <w:rsid w:val="00377052"/>
    <w:rsid w:val="00377345"/>
    <w:rsid w:val="003776BB"/>
    <w:rsid w:val="003777FF"/>
    <w:rsid w:val="003817A2"/>
    <w:rsid w:val="00381E02"/>
    <w:rsid w:val="00382BA0"/>
    <w:rsid w:val="003833F9"/>
    <w:rsid w:val="003835D0"/>
    <w:rsid w:val="00383A6C"/>
    <w:rsid w:val="00384136"/>
    <w:rsid w:val="003852EC"/>
    <w:rsid w:val="0038614B"/>
    <w:rsid w:val="00386B6C"/>
    <w:rsid w:val="00387125"/>
    <w:rsid w:val="00387E3A"/>
    <w:rsid w:val="003903E4"/>
    <w:rsid w:val="003910B9"/>
    <w:rsid w:val="00391ABE"/>
    <w:rsid w:val="00391DC5"/>
    <w:rsid w:val="0039257A"/>
    <w:rsid w:val="0039662A"/>
    <w:rsid w:val="00396802"/>
    <w:rsid w:val="003A0DCE"/>
    <w:rsid w:val="003A1499"/>
    <w:rsid w:val="003A3632"/>
    <w:rsid w:val="003A3C9A"/>
    <w:rsid w:val="003A3F15"/>
    <w:rsid w:val="003A4327"/>
    <w:rsid w:val="003A4C60"/>
    <w:rsid w:val="003A4C62"/>
    <w:rsid w:val="003A7F3C"/>
    <w:rsid w:val="003B0369"/>
    <w:rsid w:val="003B1207"/>
    <w:rsid w:val="003B16B1"/>
    <w:rsid w:val="003B1FB3"/>
    <w:rsid w:val="003B42F6"/>
    <w:rsid w:val="003B49AE"/>
    <w:rsid w:val="003B4C5D"/>
    <w:rsid w:val="003B6EF4"/>
    <w:rsid w:val="003B7214"/>
    <w:rsid w:val="003B7CF9"/>
    <w:rsid w:val="003B7D46"/>
    <w:rsid w:val="003B7D7B"/>
    <w:rsid w:val="003C09F3"/>
    <w:rsid w:val="003C0A7D"/>
    <w:rsid w:val="003C0C07"/>
    <w:rsid w:val="003C1801"/>
    <w:rsid w:val="003C30C1"/>
    <w:rsid w:val="003C3FE8"/>
    <w:rsid w:val="003C506A"/>
    <w:rsid w:val="003C525B"/>
    <w:rsid w:val="003C7B1F"/>
    <w:rsid w:val="003C7EDB"/>
    <w:rsid w:val="003D0796"/>
    <w:rsid w:val="003D0EAF"/>
    <w:rsid w:val="003D18DC"/>
    <w:rsid w:val="003D1F35"/>
    <w:rsid w:val="003D206C"/>
    <w:rsid w:val="003D2422"/>
    <w:rsid w:val="003D4018"/>
    <w:rsid w:val="003D45D6"/>
    <w:rsid w:val="003D57BB"/>
    <w:rsid w:val="003D5C41"/>
    <w:rsid w:val="003D60DC"/>
    <w:rsid w:val="003D7FDE"/>
    <w:rsid w:val="003E0EB6"/>
    <w:rsid w:val="003E10CC"/>
    <w:rsid w:val="003E1168"/>
    <w:rsid w:val="003E218B"/>
    <w:rsid w:val="003E2DA4"/>
    <w:rsid w:val="003E31EE"/>
    <w:rsid w:val="003E32EF"/>
    <w:rsid w:val="003E4490"/>
    <w:rsid w:val="003E481E"/>
    <w:rsid w:val="003E55ED"/>
    <w:rsid w:val="003E5D0D"/>
    <w:rsid w:val="003E63B2"/>
    <w:rsid w:val="003E68C3"/>
    <w:rsid w:val="003E709B"/>
    <w:rsid w:val="003E70D4"/>
    <w:rsid w:val="003E7207"/>
    <w:rsid w:val="003E7A01"/>
    <w:rsid w:val="003E7F03"/>
    <w:rsid w:val="003F0570"/>
    <w:rsid w:val="003F08B3"/>
    <w:rsid w:val="003F1507"/>
    <w:rsid w:val="003F1B06"/>
    <w:rsid w:val="003F214B"/>
    <w:rsid w:val="003F3A52"/>
    <w:rsid w:val="003F4073"/>
    <w:rsid w:val="003F40E2"/>
    <w:rsid w:val="003F5C43"/>
    <w:rsid w:val="003F5C70"/>
    <w:rsid w:val="003F5E6F"/>
    <w:rsid w:val="003F6A55"/>
    <w:rsid w:val="003F745C"/>
    <w:rsid w:val="003F75D2"/>
    <w:rsid w:val="003F7BEC"/>
    <w:rsid w:val="00400016"/>
    <w:rsid w:val="0040003A"/>
    <w:rsid w:val="00400285"/>
    <w:rsid w:val="004008A9"/>
    <w:rsid w:val="00400B62"/>
    <w:rsid w:val="004016E7"/>
    <w:rsid w:val="00402661"/>
    <w:rsid w:val="00404284"/>
    <w:rsid w:val="004045DB"/>
    <w:rsid w:val="004049D0"/>
    <w:rsid w:val="0040575A"/>
    <w:rsid w:val="0040652B"/>
    <w:rsid w:val="00406560"/>
    <w:rsid w:val="0041025F"/>
    <w:rsid w:val="00410720"/>
    <w:rsid w:val="00411553"/>
    <w:rsid w:val="004134F8"/>
    <w:rsid w:val="00414742"/>
    <w:rsid w:val="004147B6"/>
    <w:rsid w:val="004151F3"/>
    <w:rsid w:val="00415649"/>
    <w:rsid w:val="004158B4"/>
    <w:rsid w:val="00416010"/>
    <w:rsid w:val="0041746D"/>
    <w:rsid w:val="00417EA6"/>
    <w:rsid w:val="0042040B"/>
    <w:rsid w:val="00420819"/>
    <w:rsid w:val="004208B3"/>
    <w:rsid w:val="004209B2"/>
    <w:rsid w:val="00420F5C"/>
    <w:rsid w:val="004213D3"/>
    <w:rsid w:val="00422007"/>
    <w:rsid w:val="004233CA"/>
    <w:rsid w:val="00424908"/>
    <w:rsid w:val="00424F05"/>
    <w:rsid w:val="00425F09"/>
    <w:rsid w:val="0042742D"/>
    <w:rsid w:val="0042744C"/>
    <w:rsid w:val="0042769E"/>
    <w:rsid w:val="0042791E"/>
    <w:rsid w:val="004302ED"/>
    <w:rsid w:val="00430409"/>
    <w:rsid w:val="00431E29"/>
    <w:rsid w:val="004328D6"/>
    <w:rsid w:val="0043381D"/>
    <w:rsid w:val="00433D0D"/>
    <w:rsid w:val="00433F88"/>
    <w:rsid w:val="004348E2"/>
    <w:rsid w:val="00434F90"/>
    <w:rsid w:val="00436DDB"/>
    <w:rsid w:val="00440191"/>
    <w:rsid w:val="00440AB2"/>
    <w:rsid w:val="00441086"/>
    <w:rsid w:val="00441D6C"/>
    <w:rsid w:val="00442FFF"/>
    <w:rsid w:val="004437E5"/>
    <w:rsid w:val="00444B77"/>
    <w:rsid w:val="004453C4"/>
    <w:rsid w:val="004459B0"/>
    <w:rsid w:val="00446125"/>
    <w:rsid w:val="00447082"/>
    <w:rsid w:val="00447D8E"/>
    <w:rsid w:val="00451B74"/>
    <w:rsid w:val="00451DC2"/>
    <w:rsid w:val="004527C8"/>
    <w:rsid w:val="00452D04"/>
    <w:rsid w:val="004554BE"/>
    <w:rsid w:val="0045666B"/>
    <w:rsid w:val="004571A3"/>
    <w:rsid w:val="00457CAB"/>
    <w:rsid w:val="004618A4"/>
    <w:rsid w:val="00464BBD"/>
    <w:rsid w:val="00465C2D"/>
    <w:rsid w:val="0046607B"/>
    <w:rsid w:val="00466D35"/>
    <w:rsid w:val="00466E6A"/>
    <w:rsid w:val="00466FCE"/>
    <w:rsid w:val="00466FF8"/>
    <w:rsid w:val="00467ADD"/>
    <w:rsid w:val="00467C1F"/>
    <w:rsid w:val="004702B6"/>
    <w:rsid w:val="004718B5"/>
    <w:rsid w:val="00471950"/>
    <w:rsid w:val="00472A40"/>
    <w:rsid w:val="00472EC2"/>
    <w:rsid w:val="00473388"/>
    <w:rsid w:val="00473D0B"/>
    <w:rsid w:val="00474552"/>
    <w:rsid w:val="00474DDF"/>
    <w:rsid w:val="00475B57"/>
    <w:rsid w:val="00475EFB"/>
    <w:rsid w:val="004762DA"/>
    <w:rsid w:val="0047649A"/>
    <w:rsid w:val="004765B4"/>
    <w:rsid w:val="0047737D"/>
    <w:rsid w:val="004852F1"/>
    <w:rsid w:val="004853B3"/>
    <w:rsid w:val="004867CB"/>
    <w:rsid w:val="004869F9"/>
    <w:rsid w:val="00487564"/>
    <w:rsid w:val="00487BAD"/>
    <w:rsid w:val="004904BD"/>
    <w:rsid w:val="00490AA0"/>
    <w:rsid w:val="00490B09"/>
    <w:rsid w:val="00490B4C"/>
    <w:rsid w:val="00490C05"/>
    <w:rsid w:val="00490C4C"/>
    <w:rsid w:val="00491FD7"/>
    <w:rsid w:val="00492CD1"/>
    <w:rsid w:val="004936C5"/>
    <w:rsid w:val="00493CB6"/>
    <w:rsid w:val="004946C1"/>
    <w:rsid w:val="00496827"/>
    <w:rsid w:val="00496AF4"/>
    <w:rsid w:val="004A1376"/>
    <w:rsid w:val="004A213C"/>
    <w:rsid w:val="004A23A5"/>
    <w:rsid w:val="004A278E"/>
    <w:rsid w:val="004A4D17"/>
    <w:rsid w:val="004A55EE"/>
    <w:rsid w:val="004A606C"/>
    <w:rsid w:val="004A74B5"/>
    <w:rsid w:val="004A7940"/>
    <w:rsid w:val="004A7A0E"/>
    <w:rsid w:val="004B0657"/>
    <w:rsid w:val="004B0898"/>
    <w:rsid w:val="004B0F6C"/>
    <w:rsid w:val="004B4B21"/>
    <w:rsid w:val="004B628C"/>
    <w:rsid w:val="004B658A"/>
    <w:rsid w:val="004B7620"/>
    <w:rsid w:val="004C0D29"/>
    <w:rsid w:val="004C137D"/>
    <w:rsid w:val="004C2541"/>
    <w:rsid w:val="004C25CE"/>
    <w:rsid w:val="004C2A12"/>
    <w:rsid w:val="004C3742"/>
    <w:rsid w:val="004C5A33"/>
    <w:rsid w:val="004C5D8C"/>
    <w:rsid w:val="004C717A"/>
    <w:rsid w:val="004C77FF"/>
    <w:rsid w:val="004D0740"/>
    <w:rsid w:val="004D0B69"/>
    <w:rsid w:val="004D1048"/>
    <w:rsid w:val="004D2071"/>
    <w:rsid w:val="004D2B9A"/>
    <w:rsid w:val="004D2FA7"/>
    <w:rsid w:val="004D3002"/>
    <w:rsid w:val="004D3D34"/>
    <w:rsid w:val="004D44CA"/>
    <w:rsid w:val="004D4FC9"/>
    <w:rsid w:val="004D63AC"/>
    <w:rsid w:val="004D6979"/>
    <w:rsid w:val="004D7CED"/>
    <w:rsid w:val="004E14A4"/>
    <w:rsid w:val="004E24EA"/>
    <w:rsid w:val="004E2BB9"/>
    <w:rsid w:val="004E3E0F"/>
    <w:rsid w:val="004E5222"/>
    <w:rsid w:val="004E58CA"/>
    <w:rsid w:val="004E5DF3"/>
    <w:rsid w:val="004E7D87"/>
    <w:rsid w:val="004F104F"/>
    <w:rsid w:val="004F13A6"/>
    <w:rsid w:val="004F184B"/>
    <w:rsid w:val="004F1F86"/>
    <w:rsid w:val="004F21DF"/>
    <w:rsid w:val="004F2DEC"/>
    <w:rsid w:val="004F5171"/>
    <w:rsid w:val="004F5DCE"/>
    <w:rsid w:val="004F721C"/>
    <w:rsid w:val="004F7735"/>
    <w:rsid w:val="004F7B0E"/>
    <w:rsid w:val="004F7F76"/>
    <w:rsid w:val="00500CBD"/>
    <w:rsid w:val="005010BB"/>
    <w:rsid w:val="0050152B"/>
    <w:rsid w:val="0050201F"/>
    <w:rsid w:val="0050391E"/>
    <w:rsid w:val="005048F1"/>
    <w:rsid w:val="00504931"/>
    <w:rsid w:val="00505873"/>
    <w:rsid w:val="00506520"/>
    <w:rsid w:val="00507078"/>
    <w:rsid w:val="005075D5"/>
    <w:rsid w:val="0050771C"/>
    <w:rsid w:val="005101E0"/>
    <w:rsid w:val="00511070"/>
    <w:rsid w:val="0051238D"/>
    <w:rsid w:val="005127AA"/>
    <w:rsid w:val="0051325C"/>
    <w:rsid w:val="00513398"/>
    <w:rsid w:val="005151BF"/>
    <w:rsid w:val="005157EB"/>
    <w:rsid w:val="005164D1"/>
    <w:rsid w:val="00517285"/>
    <w:rsid w:val="005172AF"/>
    <w:rsid w:val="00520382"/>
    <w:rsid w:val="005204F5"/>
    <w:rsid w:val="00520BD2"/>
    <w:rsid w:val="00521438"/>
    <w:rsid w:val="0052151E"/>
    <w:rsid w:val="00521C6F"/>
    <w:rsid w:val="00523366"/>
    <w:rsid w:val="005234A8"/>
    <w:rsid w:val="005234CF"/>
    <w:rsid w:val="00523C5A"/>
    <w:rsid w:val="00524DFC"/>
    <w:rsid w:val="0052575A"/>
    <w:rsid w:val="0052605A"/>
    <w:rsid w:val="00526F30"/>
    <w:rsid w:val="00527C95"/>
    <w:rsid w:val="005309DA"/>
    <w:rsid w:val="00531B7E"/>
    <w:rsid w:val="00532439"/>
    <w:rsid w:val="0053339C"/>
    <w:rsid w:val="005337F2"/>
    <w:rsid w:val="00534419"/>
    <w:rsid w:val="005344D6"/>
    <w:rsid w:val="0053593F"/>
    <w:rsid w:val="00535FE7"/>
    <w:rsid w:val="00536A81"/>
    <w:rsid w:val="00536D06"/>
    <w:rsid w:val="00537414"/>
    <w:rsid w:val="00537EFA"/>
    <w:rsid w:val="005404D2"/>
    <w:rsid w:val="00540A82"/>
    <w:rsid w:val="00540F2A"/>
    <w:rsid w:val="00542335"/>
    <w:rsid w:val="00542C06"/>
    <w:rsid w:val="0054301C"/>
    <w:rsid w:val="00544586"/>
    <w:rsid w:val="005451AB"/>
    <w:rsid w:val="0054557A"/>
    <w:rsid w:val="00546E19"/>
    <w:rsid w:val="00547662"/>
    <w:rsid w:val="0055296F"/>
    <w:rsid w:val="005530A2"/>
    <w:rsid w:val="0055466C"/>
    <w:rsid w:val="0055601F"/>
    <w:rsid w:val="00556269"/>
    <w:rsid w:val="00556F76"/>
    <w:rsid w:val="005575E0"/>
    <w:rsid w:val="00557A68"/>
    <w:rsid w:val="00557C75"/>
    <w:rsid w:val="00557CF5"/>
    <w:rsid w:val="00560260"/>
    <w:rsid w:val="00560BC3"/>
    <w:rsid w:val="00560BDE"/>
    <w:rsid w:val="005617C8"/>
    <w:rsid w:val="005628D8"/>
    <w:rsid w:val="00563BA4"/>
    <w:rsid w:val="00565A02"/>
    <w:rsid w:val="00567127"/>
    <w:rsid w:val="0056789E"/>
    <w:rsid w:val="0057060E"/>
    <w:rsid w:val="00572C71"/>
    <w:rsid w:val="005730EB"/>
    <w:rsid w:val="00574336"/>
    <w:rsid w:val="0057454E"/>
    <w:rsid w:val="00574BAA"/>
    <w:rsid w:val="00576BC3"/>
    <w:rsid w:val="00577315"/>
    <w:rsid w:val="00577F6F"/>
    <w:rsid w:val="005803D8"/>
    <w:rsid w:val="00580D6E"/>
    <w:rsid w:val="005827C1"/>
    <w:rsid w:val="0058407E"/>
    <w:rsid w:val="00584543"/>
    <w:rsid w:val="005856DE"/>
    <w:rsid w:val="00585764"/>
    <w:rsid w:val="00586A24"/>
    <w:rsid w:val="005870DB"/>
    <w:rsid w:val="00587280"/>
    <w:rsid w:val="005873CD"/>
    <w:rsid w:val="00593A2D"/>
    <w:rsid w:val="00593F69"/>
    <w:rsid w:val="005942B9"/>
    <w:rsid w:val="005952F8"/>
    <w:rsid w:val="00596F3D"/>
    <w:rsid w:val="005A1C64"/>
    <w:rsid w:val="005A46F0"/>
    <w:rsid w:val="005A47D0"/>
    <w:rsid w:val="005A48FF"/>
    <w:rsid w:val="005A52A1"/>
    <w:rsid w:val="005A56B8"/>
    <w:rsid w:val="005A6029"/>
    <w:rsid w:val="005A62F3"/>
    <w:rsid w:val="005A7029"/>
    <w:rsid w:val="005B087A"/>
    <w:rsid w:val="005B0E1F"/>
    <w:rsid w:val="005B1D49"/>
    <w:rsid w:val="005B1D85"/>
    <w:rsid w:val="005B2A61"/>
    <w:rsid w:val="005B2D84"/>
    <w:rsid w:val="005B2DE6"/>
    <w:rsid w:val="005B598F"/>
    <w:rsid w:val="005B5C8E"/>
    <w:rsid w:val="005B6521"/>
    <w:rsid w:val="005B6928"/>
    <w:rsid w:val="005B6F83"/>
    <w:rsid w:val="005B7B04"/>
    <w:rsid w:val="005C0B86"/>
    <w:rsid w:val="005C0BC6"/>
    <w:rsid w:val="005C1A90"/>
    <w:rsid w:val="005C26B7"/>
    <w:rsid w:val="005C28D2"/>
    <w:rsid w:val="005C520A"/>
    <w:rsid w:val="005C565A"/>
    <w:rsid w:val="005C56B6"/>
    <w:rsid w:val="005C5EFE"/>
    <w:rsid w:val="005C64F1"/>
    <w:rsid w:val="005C74F9"/>
    <w:rsid w:val="005C77E7"/>
    <w:rsid w:val="005C7CA3"/>
    <w:rsid w:val="005D0480"/>
    <w:rsid w:val="005D04A0"/>
    <w:rsid w:val="005D091F"/>
    <w:rsid w:val="005D1213"/>
    <w:rsid w:val="005D1D2E"/>
    <w:rsid w:val="005D3018"/>
    <w:rsid w:val="005D3316"/>
    <w:rsid w:val="005D4299"/>
    <w:rsid w:val="005D45F1"/>
    <w:rsid w:val="005D609F"/>
    <w:rsid w:val="005D6EEC"/>
    <w:rsid w:val="005D7364"/>
    <w:rsid w:val="005E0A93"/>
    <w:rsid w:val="005E1719"/>
    <w:rsid w:val="005E1B5C"/>
    <w:rsid w:val="005E1FC1"/>
    <w:rsid w:val="005E27AD"/>
    <w:rsid w:val="005E2B38"/>
    <w:rsid w:val="005E380A"/>
    <w:rsid w:val="005E4097"/>
    <w:rsid w:val="005E4AB5"/>
    <w:rsid w:val="005E4E0B"/>
    <w:rsid w:val="005E5554"/>
    <w:rsid w:val="005E5C18"/>
    <w:rsid w:val="005E624A"/>
    <w:rsid w:val="005F039C"/>
    <w:rsid w:val="005F23C3"/>
    <w:rsid w:val="005F6232"/>
    <w:rsid w:val="005F73A7"/>
    <w:rsid w:val="005F7EC6"/>
    <w:rsid w:val="00600298"/>
    <w:rsid w:val="00600330"/>
    <w:rsid w:val="00600EFE"/>
    <w:rsid w:val="0060108A"/>
    <w:rsid w:val="0060557F"/>
    <w:rsid w:val="006055B6"/>
    <w:rsid w:val="00606288"/>
    <w:rsid w:val="0060661F"/>
    <w:rsid w:val="006075D2"/>
    <w:rsid w:val="00610386"/>
    <w:rsid w:val="00610DE1"/>
    <w:rsid w:val="00610E65"/>
    <w:rsid w:val="006121BB"/>
    <w:rsid w:val="00612942"/>
    <w:rsid w:val="00614283"/>
    <w:rsid w:val="0061490B"/>
    <w:rsid w:val="00615923"/>
    <w:rsid w:val="00615D53"/>
    <w:rsid w:val="00615E90"/>
    <w:rsid w:val="00616A7F"/>
    <w:rsid w:val="00620743"/>
    <w:rsid w:val="00620CF6"/>
    <w:rsid w:val="00620EDC"/>
    <w:rsid w:val="00621236"/>
    <w:rsid w:val="00622008"/>
    <w:rsid w:val="00622E0C"/>
    <w:rsid w:val="00623E03"/>
    <w:rsid w:val="00624484"/>
    <w:rsid w:val="00625106"/>
    <w:rsid w:val="00625613"/>
    <w:rsid w:val="006265A3"/>
    <w:rsid w:val="00626BB7"/>
    <w:rsid w:val="00630357"/>
    <w:rsid w:val="0063082E"/>
    <w:rsid w:val="00630919"/>
    <w:rsid w:val="00634818"/>
    <w:rsid w:val="00635C7F"/>
    <w:rsid w:val="00636889"/>
    <w:rsid w:val="00637510"/>
    <w:rsid w:val="00637801"/>
    <w:rsid w:val="006404F8"/>
    <w:rsid w:val="006409A7"/>
    <w:rsid w:val="00640B94"/>
    <w:rsid w:val="00640D99"/>
    <w:rsid w:val="00640DDC"/>
    <w:rsid w:val="006415AD"/>
    <w:rsid w:val="00642C86"/>
    <w:rsid w:val="00643504"/>
    <w:rsid w:val="006440BD"/>
    <w:rsid w:val="00644F5D"/>
    <w:rsid w:val="00645151"/>
    <w:rsid w:val="00645481"/>
    <w:rsid w:val="00645C22"/>
    <w:rsid w:val="00646C0D"/>
    <w:rsid w:val="00650A35"/>
    <w:rsid w:val="00650F66"/>
    <w:rsid w:val="006510FD"/>
    <w:rsid w:val="00654675"/>
    <w:rsid w:val="00655316"/>
    <w:rsid w:val="00656124"/>
    <w:rsid w:val="00660997"/>
    <w:rsid w:val="0066134E"/>
    <w:rsid w:val="0066300C"/>
    <w:rsid w:val="006632D0"/>
    <w:rsid w:val="00664032"/>
    <w:rsid w:val="0066413B"/>
    <w:rsid w:val="006641B1"/>
    <w:rsid w:val="0066441E"/>
    <w:rsid w:val="00664540"/>
    <w:rsid w:val="0066512B"/>
    <w:rsid w:val="006657FC"/>
    <w:rsid w:val="00665A6F"/>
    <w:rsid w:val="00667E2E"/>
    <w:rsid w:val="00673075"/>
    <w:rsid w:val="00673B69"/>
    <w:rsid w:val="00675170"/>
    <w:rsid w:val="006758D3"/>
    <w:rsid w:val="00676C3F"/>
    <w:rsid w:val="006808F9"/>
    <w:rsid w:val="0068092F"/>
    <w:rsid w:val="0068355E"/>
    <w:rsid w:val="00684F91"/>
    <w:rsid w:val="00686D35"/>
    <w:rsid w:val="00687129"/>
    <w:rsid w:val="006874D2"/>
    <w:rsid w:val="006901FC"/>
    <w:rsid w:val="00690966"/>
    <w:rsid w:val="00690A6D"/>
    <w:rsid w:val="00690B6E"/>
    <w:rsid w:val="0069224D"/>
    <w:rsid w:val="006932E7"/>
    <w:rsid w:val="00693921"/>
    <w:rsid w:val="00694499"/>
    <w:rsid w:val="006947D6"/>
    <w:rsid w:val="006954E5"/>
    <w:rsid w:val="00695645"/>
    <w:rsid w:val="00696572"/>
    <w:rsid w:val="0069743F"/>
    <w:rsid w:val="006A2053"/>
    <w:rsid w:val="006A230A"/>
    <w:rsid w:val="006A270F"/>
    <w:rsid w:val="006A3CA3"/>
    <w:rsid w:val="006A5394"/>
    <w:rsid w:val="006A5651"/>
    <w:rsid w:val="006A674B"/>
    <w:rsid w:val="006A7359"/>
    <w:rsid w:val="006A77BF"/>
    <w:rsid w:val="006B0377"/>
    <w:rsid w:val="006B0864"/>
    <w:rsid w:val="006B14D4"/>
    <w:rsid w:val="006B346F"/>
    <w:rsid w:val="006B3BC4"/>
    <w:rsid w:val="006B3DE5"/>
    <w:rsid w:val="006B55B3"/>
    <w:rsid w:val="006B6E69"/>
    <w:rsid w:val="006B7A1B"/>
    <w:rsid w:val="006C0A53"/>
    <w:rsid w:val="006C2DCF"/>
    <w:rsid w:val="006C38AF"/>
    <w:rsid w:val="006C3AB6"/>
    <w:rsid w:val="006C469B"/>
    <w:rsid w:val="006C64DA"/>
    <w:rsid w:val="006C6A9D"/>
    <w:rsid w:val="006C71AE"/>
    <w:rsid w:val="006C723E"/>
    <w:rsid w:val="006C773D"/>
    <w:rsid w:val="006C77A4"/>
    <w:rsid w:val="006C7BB8"/>
    <w:rsid w:val="006C7DB0"/>
    <w:rsid w:val="006D00A4"/>
    <w:rsid w:val="006D053E"/>
    <w:rsid w:val="006D0B0F"/>
    <w:rsid w:val="006D29BC"/>
    <w:rsid w:val="006D2F66"/>
    <w:rsid w:val="006D44EC"/>
    <w:rsid w:val="006D554E"/>
    <w:rsid w:val="006D5CD4"/>
    <w:rsid w:val="006D6E00"/>
    <w:rsid w:val="006D755B"/>
    <w:rsid w:val="006E1633"/>
    <w:rsid w:val="006E26EF"/>
    <w:rsid w:val="006E2C28"/>
    <w:rsid w:val="006E2EE3"/>
    <w:rsid w:val="006E36AB"/>
    <w:rsid w:val="006E490B"/>
    <w:rsid w:val="006E5B7B"/>
    <w:rsid w:val="006E650F"/>
    <w:rsid w:val="006E66D8"/>
    <w:rsid w:val="006E69D5"/>
    <w:rsid w:val="006E6C7F"/>
    <w:rsid w:val="006E6FF2"/>
    <w:rsid w:val="006E758C"/>
    <w:rsid w:val="006F0AFF"/>
    <w:rsid w:val="006F2369"/>
    <w:rsid w:val="006F3F83"/>
    <w:rsid w:val="006F4960"/>
    <w:rsid w:val="006F4C86"/>
    <w:rsid w:val="006F75DC"/>
    <w:rsid w:val="00700A64"/>
    <w:rsid w:val="00700B47"/>
    <w:rsid w:val="00700E03"/>
    <w:rsid w:val="00704461"/>
    <w:rsid w:val="00705EB7"/>
    <w:rsid w:val="00706430"/>
    <w:rsid w:val="00707D41"/>
    <w:rsid w:val="00707FB7"/>
    <w:rsid w:val="0071045F"/>
    <w:rsid w:val="007105D2"/>
    <w:rsid w:val="007135AF"/>
    <w:rsid w:val="00713DB7"/>
    <w:rsid w:val="00714020"/>
    <w:rsid w:val="007155F9"/>
    <w:rsid w:val="00716154"/>
    <w:rsid w:val="00717845"/>
    <w:rsid w:val="00717C4A"/>
    <w:rsid w:val="00720DC6"/>
    <w:rsid w:val="00721343"/>
    <w:rsid w:val="0072527E"/>
    <w:rsid w:val="007252D4"/>
    <w:rsid w:val="00725538"/>
    <w:rsid w:val="00730808"/>
    <w:rsid w:val="00731A29"/>
    <w:rsid w:val="00732331"/>
    <w:rsid w:val="00732827"/>
    <w:rsid w:val="00733E63"/>
    <w:rsid w:val="00734BCC"/>
    <w:rsid w:val="0073577B"/>
    <w:rsid w:val="00735FE4"/>
    <w:rsid w:val="007362AB"/>
    <w:rsid w:val="0073715E"/>
    <w:rsid w:val="00737518"/>
    <w:rsid w:val="00737BF9"/>
    <w:rsid w:val="00740911"/>
    <w:rsid w:val="007412DB"/>
    <w:rsid w:val="00741569"/>
    <w:rsid w:val="00741BCC"/>
    <w:rsid w:val="00742C39"/>
    <w:rsid w:val="00743196"/>
    <w:rsid w:val="00743679"/>
    <w:rsid w:val="00744352"/>
    <w:rsid w:val="00744DE4"/>
    <w:rsid w:val="0074507D"/>
    <w:rsid w:val="00745A0B"/>
    <w:rsid w:val="00745FCC"/>
    <w:rsid w:val="007460D7"/>
    <w:rsid w:val="007470DF"/>
    <w:rsid w:val="0074724C"/>
    <w:rsid w:val="0074732B"/>
    <w:rsid w:val="00747EC7"/>
    <w:rsid w:val="00750A98"/>
    <w:rsid w:val="00751A5C"/>
    <w:rsid w:val="00751DFD"/>
    <w:rsid w:val="007521F4"/>
    <w:rsid w:val="00752B33"/>
    <w:rsid w:val="007552B3"/>
    <w:rsid w:val="007553A1"/>
    <w:rsid w:val="007563F7"/>
    <w:rsid w:val="00760AB3"/>
    <w:rsid w:val="00760BF3"/>
    <w:rsid w:val="00760E0F"/>
    <w:rsid w:val="00761D6D"/>
    <w:rsid w:val="00763DFB"/>
    <w:rsid w:val="00764151"/>
    <w:rsid w:val="00765DD9"/>
    <w:rsid w:val="007662CC"/>
    <w:rsid w:val="007662F7"/>
    <w:rsid w:val="007664B2"/>
    <w:rsid w:val="00770413"/>
    <w:rsid w:val="00770BC0"/>
    <w:rsid w:val="00771247"/>
    <w:rsid w:val="007721AE"/>
    <w:rsid w:val="00775191"/>
    <w:rsid w:val="007758A0"/>
    <w:rsid w:val="00777752"/>
    <w:rsid w:val="0077781F"/>
    <w:rsid w:val="0077784D"/>
    <w:rsid w:val="007803BF"/>
    <w:rsid w:val="00780B79"/>
    <w:rsid w:val="007840E7"/>
    <w:rsid w:val="007842BA"/>
    <w:rsid w:val="007851DC"/>
    <w:rsid w:val="007856BF"/>
    <w:rsid w:val="00786BCA"/>
    <w:rsid w:val="00787EE6"/>
    <w:rsid w:val="00790404"/>
    <w:rsid w:val="007921CE"/>
    <w:rsid w:val="007921DA"/>
    <w:rsid w:val="00792B80"/>
    <w:rsid w:val="00793656"/>
    <w:rsid w:val="00796D7A"/>
    <w:rsid w:val="00796E65"/>
    <w:rsid w:val="0079703D"/>
    <w:rsid w:val="007A0E6B"/>
    <w:rsid w:val="007A169B"/>
    <w:rsid w:val="007A244F"/>
    <w:rsid w:val="007A3264"/>
    <w:rsid w:val="007A5CD5"/>
    <w:rsid w:val="007A5CDA"/>
    <w:rsid w:val="007A67F7"/>
    <w:rsid w:val="007A69B8"/>
    <w:rsid w:val="007A6DE3"/>
    <w:rsid w:val="007A6E2F"/>
    <w:rsid w:val="007A7FD1"/>
    <w:rsid w:val="007B04DC"/>
    <w:rsid w:val="007B0619"/>
    <w:rsid w:val="007B0FE4"/>
    <w:rsid w:val="007B13CC"/>
    <w:rsid w:val="007B196B"/>
    <w:rsid w:val="007B232B"/>
    <w:rsid w:val="007B2341"/>
    <w:rsid w:val="007B36EC"/>
    <w:rsid w:val="007B4881"/>
    <w:rsid w:val="007B4E4F"/>
    <w:rsid w:val="007B519A"/>
    <w:rsid w:val="007B6979"/>
    <w:rsid w:val="007B69A9"/>
    <w:rsid w:val="007C01D3"/>
    <w:rsid w:val="007C13A1"/>
    <w:rsid w:val="007C1E17"/>
    <w:rsid w:val="007C2117"/>
    <w:rsid w:val="007C3675"/>
    <w:rsid w:val="007C4770"/>
    <w:rsid w:val="007C47DF"/>
    <w:rsid w:val="007C5740"/>
    <w:rsid w:val="007C5DDE"/>
    <w:rsid w:val="007C5F23"/>
    <w:rsid w:val="007C6BFD"/>
    <w:rsid w:val="007C7F10"/>
    <w:rsid w:val="007D0B8D"/>
    <w:rsid w:val="007D0BA1"/>
    <w:rsid w:val="007D1838"/>
    <w:rsid w:val="007D20ED"/>
    <w:rsid w:val="007D245B"/>
    <w:rsid w:val="007D27A8"/>
    <w:rsid w:val="007D37F0"/>
    <w:rsid w:val="007D472A"/>
    <w:rsid w:val="007D69F8"/>
    <w:rsid w:val="007D6D4F"/>
    <w:rsid w:val="007D7026"/>
    <w:rsid w:val="007D7827"/>
    <w:rsid w:val="007D7B37"/>
    <w:rsid w:val="007E286E"/>
    <w:rsid w:val="007E55EC"/>
    <w:rsid w:val="007E6471"/>
    <w:rsid w:val="007E7775"/>
    <w:rsid w:val="007E7D9C"/>
    <w:rsid w:val="007F0CA6"/>
    <w:rsid w:val="007F0F86"/>
    <w:rsid w:val="007F1032"/>
    <w:rsid w:val="007F1FA3"/>
    <w:rsid w:val="007F24A0"/>
    <w:rsid w:val="007F2EA0"/>
    <w:rsid w:val="007F3374"/>
    <w:rsid w:val="007F3635"/>
    <w:rsid w:val="007F3889"/>
    <w:rsid w:val="007F3D1D"/>
    <w:rsid w:val="007F3EC9"/>
    <w:rsid w:val="007F3FB8"/>
    <w:rsid w:val="007F4059"/>
    <w:rsid w:val="007F4160"/>
    <w:rsid w:val="007F4C4E"/>
    <w:rsid w:val="007F55EA"/>
    <w:rsid w:val="007F5ED8"/>
    <w:rsid w:val="007F7072"/>
    <w:rsid w:val="007F7346"/>
    <w:rsid w:val="007F7BAD"/>
    <w:rsid w:val="00800AB0"/>
    <w:rsid w:val="00802332"/>
    <w:rsid w:val="00803835"/>
    <w:rsid w:val="008041C7"/>
    <w:rsid w:val="008047A0"/>
    <w:rsid w:val="00805376"/>
    <w:rsid w:val="00805565"/>
    <w:rsid w:val="0080589B"/>
    <w:rsid w:val="00807D9E"/>
    <w:rsid w:val="00810863"/>
    <w:rsid w:val="00810DC4"/>
    <w:rsid w:val="00811533"/>
    <w:rsid w:val="008117F4"/>
    <w:rsid w:val="0081452C"/>
    <w:rsid w:val="00814E5A"/>
    <w:rsid w:val="00815E40"/>
    <w:rsid w:val="008170A7"/>
    <w:rsid w:val="00822435"/>
    <w:rsid w:val="008238BD"/>
    <w:rsid w:val="00823FF9"/>
    <w:rsid w:val="00826D43"/>
    <w:rsid w:val="00827DE0"/>
    <w:rsid w:val="0083100F"/>
    <w:rsid w:val="00833108"/>
    <w:rsid w:val="00833382"/>
    <w:rsid w:val="00835E84"/>
    <w:rsid w:val="008363F2"/>
    <w:rsid w:val="00837694"/>
    <w:rsid w:val="00840486"/>
    <w:rsid w:val="0084190F"/>
    <w:rsid w:val="008419B4"/>
    <w:rsid w:val="008421CC"/>
    <w:rsid w:val="008435E7"/>
    <w:rsid w:val="008471A4"/>
    <w:rsid w:val="00850643"/>
    <w:rsid w:val="0085082A"/>
    <w:rsid w:val="008516B7"/>
    <w:rsid w:val="00851D45"/>
    <w:rsid w:val="00852A0E"/>
    <w:rsid w:val="00854A22"/>
    <w:rsid w:val="00854B2B"/>
    <w:rsid w:val="00855237"/>
    <w:rsid w:val="008601C9"/>
    <w:rsid w:val="0086047E"/>
    <w:rsid w:val="0086090B"/>
    <w:rsid w:val="00860A7E"/>
    <w:rsid w:val="00862B98"/>
    <w:rsid w:val="00862C7D"/>
    <w:rsid w:val="0086339F"/>
    <w:rsid w:val="008640A2"/>
    <w:rsid w:val="008641AC"/>
    <w:rsid w:val="0086471F"/>
    <w:rsid w:val="00866394"/>
    <w:rsid w:val="008663C8"/>
    <w:rsid w:val="00866E0E"/>
    <w:rsid w:val="008677D3"/>
    <w:rsid w:val="008703EE"/>
    <w:rsid w:val="00871250"/>
    <w:rsid w:val="00871A72"/>
    <w:rsid w:val="00871C80"/>
    <w:rsid w:val="008731C4"/>
    <w:rsid w:val="00873F08"/>
    <w:rsid w:val="0087412C"/>
    <w:rsid w:val="00874202"/>
    <w:rsid w:val="00874CA0"/>
    <w:rsid w:val="00875D74"/>
    <w:rsid w:val="00876193"/>
    <w:rsid w:val="00880048"/>
    <w:rsid w:val="008802A1"/>
    <w:rsid w:val="0088039E"/>
    <w:rsid w:val="00883658"/>
    <w:rsid w:val="008841EE"/>
    <w:rsid w:val="00884622"/>
    <w:rsid w:val="0088571E"/>
    <w:rsid w:val="008857FA"/>
    <w:rsid w:val="00886356"/>
    <w:rsid w:val="008863CF"/>
    <w:rsid w:val="00886FED"/>
    <w:rsid w:val="008877CB"/>
    <w:rsid w:val="0089060F"/>
    <w:rsid w:val="008917FB"/>
    <w:rsid w:val="0089259A"/>
    <w:rsid w:val="00893486"/>
    <w:rsid w:val="00893ABF"/>
    <w:rsid w:val="00895E1A"/>
    <w:rsid w:val="008960C5"/>
    <w:rsid w:val="00896F83"/>
    <w:rsid w:val="008973CD"/>
    <w:rsid w:val="008A199A"/>
    <w:rsid w:val="008A2291"/>
    <w:rsid w:val="008A2676"/>
    <w:rsid w:val="008A2E5E"/>
    <w:rsid w:val="008A3A2E"/>
    <w:rsid w:val="008A3BA8"/>
    <w:rsid w:val="008A451E"/>
    <w:rsid w:val="008A53C9"/>
    <w:rsid w:val="008A6DA1"/>
    <w:rsid w:val="008A702A"/>
    <w:rsid w:val="008A7B56"/>
    <w:rsid w:val="008B15DE"/>
    <w:rsid w:val="008B5A36"/>
    <w:rsid w:val="008B5AD1"/>
    <w:rsid w:val="008B6BF4"/>
    <w:rsid w:val="008B6F81"/>
    <w:rsid w:val="008B7173"/>
    <w:rsid w:val="008B7E9B"/>
    <w:rsid w:val="008C182A"/>
    <w:rsid w:val="008C352A"/>
    <w:rsid w:val="008C36A4"/>
    <w:rsid w:val="008C5460"/>
    <w:rsid w:val="008C64FF"/>
    <w:rsid w:val="008C762A"/>
    <w:rsid w:val="008D028E"/>
    <w:rsid w:val="008D06DF"/>
    <w:rsid w:val="008D11D1"/>
    <w:rsid w:val="008D13C4"/>
    <w:rsid w:val="008D1ED1"/>
    <w:rsid w:val="008D3067"/>
    <w:rsid w:val="008D53EB"/>
    <w:rsid w:val="008D54AB"/>
    <w:rsid w:val="008D5EDF"/>
    <w:rsid w:val="008D6B52"/>
    <w:rsid w:val="008D6BE0"/>
    <w:rsid w:val="008E00DA"/>
    <w:rsid w:val="008E04B9"/>
    <w:rsid w:val="008E0FC7"/>
    <w:rsid w:val="008E2936"/>
    <w:rsid w:val="008E29EE"/>
    <w:rsid w:val="008E3D67"/>
    <w:rsid w:val="008E3DA0"/>
    <w:rsid w:val="008E4357"/>
    <w:rsid w:val="008E4E25"/>
    <w:rsid w:val="008E571A"/>
    <w:rsid w:val="008E5AAF"/>
    <w:rsid w:val="008E787A"/>
    <w:rsid w:val="008F2432"/>
    <w:rsid w:val="008F2C40"/>
    <w:rsid w:val="008F306A"/>
    <w:rsid w:val="008F32EF"/>
    <w:rsid w:val="008F4D99"/>
    <w:rsid w:val="008F7127"/>
    <w:rsid w:val="009000F9"/>
    <w:rsid w:val="0090054A"/>
    <w:rsid w:val="00901730"/>
    <w:rsid w:val="00905461"/>
    <w:rsid w:val="00905BB0"/>
    <w:rsid w:val="00906E4D"/>
    <w:rsid w:val="0090758D"/>
    <w:rsid w:val="00911D51"/>
    <w:rsid w:val="0091309D"/>
    <w:rsid w:val="009137A7"/>
    <w:rsid w:val="00913D17"/>
    <w:rsid w:val="009142CE"/>
    <w:rsid w:val="00914D41"/>
    <w:rsid w:val="00917E67"/>
    <w:rsid w:val="00917F3C"/>
    <w:rsid w:val="0091F7D6"/>
    <w:rsid w:val="00921423"/>
    <w:rsid w:val="00922613"/>
    <w:rsid w:val="00923606"/>
    <w:rsid w:val="00923F17"/>
    <w:rsid w:val="0092423D"/>
    <w:rsid w:val="00925237"/>
    <w:rsid w:val="00927BE7"/>
    <w:rsid w:val="00927CE4"/>
    <w:rsid w:val="0093091F"/>
    <w:rsid w:val="00931B73"/>
    <w:rsid w:val="00931F4B"/>
    <w:rsid w:val="0093335C"/>
    <w:rsid w:val="009333E8"/>
    <w:rsid w:val="00933E7C"/>
    <w:rsid w:val="00934A6E"/>
    <w:rsid w:val="009350B0"/>
    <w:rsid w:val="009353F7"/>
    <w:rsid w:val="00935703"/>
    <w:rsid w:val="00935ACB"/>
    <w:rsid w:val="009364FB"/>
    <w:rsid w:val="0093660A"/>
    <w:rsid w:val="009377C7"/>
    <w:rsid w:val="00937956"/>
    <w:rsid w:val="00937AC8"/>
    <w:rsid w:val="009400A7"/>
    <w:rsid w:val="00940729"/>
    <w:rsid w:val="00940A17"/>
    <w:rsid w:val="0094147C"/>
    <w:rsid w:val="00941673"/>
    <w:rsid w:val="00941B3E"/>
    <w:rsid w:val="00942044"/>
    <w:rsid w:val="00942A72"/>
    <w:rsid w:val="00942AF7"/>
    <w:rsid w:val="00943661"/>
    <w:rsid w:val="00946F9C"/>
    <w:rsid w:val="009471BA"/>
    <w:rsid w:val="00947B4B"/>
    <w:rsid w:val="00951AFC"/>
    <w:rsid w:val="00951CD0"/>
    <w:rsid w:val="00952195"/>
    <w:rsid w:val="00953810"/>
    <w:rsid w:val="0095394B"/>
    <w:rsid w:val="00954501"/>
    <w:rsid w:val="00955CFE"/>
    <w:rsid w:val="009564AD"/>
    <w:rsid w:val="0095750C"/>
    <w:rsid w:val="00962B41"/>
    <w:rsid w:val="00963C23"/>
    <w:rsid w:val="00965E23"/>
    <w:rsid w:val="00966A7A"/>
    <w:rsid w:val="00966F57"/>
    <w:rsid w:val="00966FE4"/>
    <w:rsid w:val="00967337"/>
    <w:rsid w:val="009704EF"/>
    <w:rsid w:val="00970861"/>
    <w:rsid w:val="009758AB"/>
    <w:rsid w:val="0097685E"/>
    <w:rsid w:val="009807FB"/>
    <w:rsid w:val="00982794"/>
    <w:rsid w:val="00983612"/>
    <w:rsid w:val="0098407F"/>
    <w:rsid w:val="00986066"/>
    <w:rsid w:val="009861D5"/>
    <w:rsid w:val="00987E4D"/>
    <w:rsid w:val="009902B7"/>
    <w:rsid w:val="00990BBE"/>
    <w:rsid w:val="00992920"/>
    <w:rsid w:val="009931D5"/>
    <w:rsid w:val="00994521"/>
    <w:rsid w:val="00994788"/>
    <w:rsid w:val="0099490A"/>
    <w:rsid w:val="009954D8"/>
    <w:rsid w:val="009965EF"/>
    <w:rsid w:val="009968CA"/>
    <w:rsid w:val="00996FAC"/>
    <w:rsid w:val="009A2658"/>
    <w:rsid w:val="009A2B95"/>
    <w:rsid w:val="009A2CC2"/>
    <w:rsid w:val="009A32C4"/>
    <w:rsid w:val="009A3B07"/>
    <w:rsid w:val="009A3CD5"/>
    <w:rsid w:val="009A46B4"/>
    <w:rsid w:val="009A4AD4"/>
    <w:rsid w:val="009A4FD5"/>
    <w:rsid w:val="009A534D"/>
    <w:rsid w:val="009A5371"/>
    <w:rsid w:val="009A60ED"/>
    <w:rsid w:val="009B0A76"/>
    <w:rsid w:val="009B1D50"/>
    <w:rsid w:val="009B266E"/>
    <w:rsid w:val="009B3177"/>
    <w:rsid w:val="009B4687"/>
    <w:rsid w:val="009B4F68"/>
    <w:rsid w:val="009B5A82"/>
    <w:rsid w:val="009B5FD1"/>
    <w:rsid w:val="009B77A9"/>
    <w:rsid w:val="009B7BC6"/>
    <w:rsid w:val="009C00C6"/>
    <w:rsid w:val="009C1530"/>
    <w:rsid w:val="009C15A8"/>
    <w:rsid w:val="009C1ED7"/>
    <w:rsid w:val="009C22B5"/>
    <w:rsid w:val="009C2BC3"/>
    <w:rsid w:val="009C2E13"/>
    <w:rsid w:val="009C5191"/>
    <w:rsid w:val="009C53F4"/>
    <w:rsid w:val="009C699C"/>
    <w:rsid w:val="009C6C41"/>
    <w:rsid w:val="009C6D65"/>
    <w:rsid w:val="009C765B"/>
    <w:rsid w:val="009C76EB"/>
    <w:rsid w:val="009D2ADC"/>
    <w:rsid w:val="009D3030"/>
    <w:rsid w:val="009D5655"/>
    <w:rsid w:val="009D58DD"/>
    <w:rsid w:val="009D5B16"/>
    <w:rsid w:val="009D621C"/>
    <w:rsid w:val="009D705C"/>
    <w:rsid w:val="009D7A57"/>
    <w:rsid w:val="009D7EAC"/>
    <w:rsid w:val="009E0934"/>
    <w:rsid w:val="009E11DF"/>
    <w:rsid w:val="009E1F6E"/>
    <w:rsid w:val="009E4FD4"/>
    <w:rsid w:val="009E661A"/>
    <w:rsid w:val="009E7E6B"/>
    <w:rsid w:val="009F050A"/>
    <w:rsid w:val="009F08CD"/>
    <w:rsid w:val="009F10C6"/>
    <w:rsid w:val="009F1D95"/>
    <w:rsid w:val="009F49F5"/>
    <w:rsid w:val="009F50D3"/>
    <w:rsid w:val="009F546B"/>
    <w:rsid w:val="009F58DD"/>
    <w:rsid w:val="009F7BD9"/>
    <w:rsid w:val="00A005AE"/>
    <w:rsid w:val="00A00A55"/>
    <w:rsid w:val="00A0164A"/>
    <w:rsid w:val="00A017AC"/>
    <w:rsid w:val="00A01D55"/>
    <w:rsid w:val="00A0210B"/>
    <w:rsid w:val="00A02568"/>
    <w:rsid w:val="00A03090"/>
    <w:rsid w:val="00A03FDD"/>
    <w:rsid w:val="00A046D1"/>
    <w:rsid w:val="00A10637"/>
    <w:rsid w:val="00A11836"/>
    <w:rsid w:val="00A11AB0"/>
    <w:rsid w:val="00A11E5C"/>
    <w:rsid w:val="00A11F6B"/>
    <w:rsid w:val="00A12058"/>
    <w:rsid w:val="00A124C7"/>
    <w:rsid w:val="00A125BA"/>
    <w:rsid w:val="00A126D2"/>
    <w:rsid w:val="00A129BB"/>
    <w:rsid w:val="00A138BB"/>
    <w:rsid w:val="00A14358"/>
    <w:rsid w:val="00A1538D"/>
    <w:rsid w:val="00A20076"/>
    <w:rsid w:val="00A203F0"/>
    <w:rsid w:val="00A21587"/>
    <w:rsid w:val="00A2277E"/>
    <w:rsid w:val="00A22DA3"/>
    <w:rsid w:val="00A23292"/>
    <w:rsid w:val="00A24071"/>
    <w:rsid w:val="00A26813"/>
    <w:rsid w:val="00A26814"/>
    <w:rsid w:val="00A2734B"/>
    <w:rsid w:val="00A274CF"/>
    <w:rsid w:val="00A276A5"/>
    <w:rsid w:val="00A27D7B"/>
    <w:rsid w:val="00A30560"/>
    <w:rsid w:val="00A3118D"/>
    <w:rsid w:val="00A3203D"/>
    <w:rsid w:val="00A32994"/>
    <w:rsid w:val="00A341DB"/>
    <w:rsid w:val="00A3434B"/>
    <w:rsid w:val="00A3478D"/>
    <w:rsid w:val="00A35702"/>
    <w:rsid w:val="00A36529"/>
    <w:rsid w:val="00A37DB6"/>
    <w:rsid w:val="00A40D27"/>
    <w:rsid w:val="00A41607"/>
    <w:rsid w:val="00A417B7"/>
    <w:rsid w:val="00A41E93"/>
    <w:rsid w:val="00A42366"/>
    <w:rsid w:val="00A42D0B"/>
    <w:rsid w:val="00A42FC2"/>
    <w:rsid w:val="00A43CBF"/>
    <w:rsid w:val="00A45505"/>
    <w:rsid w:val="00A45F61"/>
    <w:rsid w:val="00A4600F"/>
    <w:rsid w:val="00A461E2"/>
    <w:rsid w:val="00A46978"/>
    <w:rsid w:val="00A50743"/>
    <w:rsid w:val="00A51AFF"/>
    <w:rsid w:val="00A51B63"/>
    <w:rsid w:val="00A51CCE"/>
    <w:rsid w:val="00A51F91"/>
    <w:rsid w:val="00A5272C"/>
    <w:rsid w:val="00A52C25"/>
    <w:rsid w:val="00A52D26"/>
    <w:rsid w:val="00A5319C"/>
    <w:rsid w:val="00A534CE"/>
    <w:rsid w:val="00A5374E"/>
    <w:rsid w:val="00A5441A"/>
    <w:rsid w:val="00A553F0"/>
    <w:rsid w:val="00A55E61"/>
    <w:rsid w:val="00A57532"/>
    <w:rsid w:val="00A644D2"/>
    <w:rsid w:val="00A66C3F"/>
    <w:rsid w:val="00A6727D"/>
    <w:rsid w:val="00A67696"/>
    <w:rsid w:val="00A701AB"/>
    <w:rsid w:val="00A7049D"/>
    <w:rsid w:val="00A71933"/>
    <w:rsid w:val="00A71D9E"/>
    <w:rsid w:val="00A72937"/>
    <w:rsid w:val="00A73A36"/>
    <w:rsid w:val="00A74827"/>
    <w:rsid w:val="00A7710A"/>
    <w:rsid w:val="00A7793A"/>
    <w:rsid w:val="00A8047A"/>
    <w:rsid w:val="00A80CE5"/>
    <w:rsid w:val="00A81193"/>
    <w:rsid w:val="00A816DF"/>
    <w:rsid w:val="00A8199A"/>
    <w:rsid w:val="00A821E9"/>
    <w:rsid w:val="00A825ED"/>
    <w:rsid w:val="00A82D45"/>
    <w:rsid w:val="00A82E5A"/>
    <w:rsid w:val="00A83617"/>
    <w:rsid w:val="00A837C2"/>
    <w:rsid w:val="00A83D12"/>
    <w:rsid w:val="00A843A4"/>
    <w:rsid w:val="00A87060"/>
    <w:rsid w:val="00A8747A"/>
    <w:rsid w:val="00A916BF"/>
    <w:rsid w:val="00A93054"/>
    <w:rsid w:val="00A94074"/>
    <w:rsid w:val="00A943A2"/>
    <w:rsid w:val="00A950A4"/>
    <w:rsid w:val="00A95620"/>
    <w:rsid w:val="00A9750C"/>
    <w:rsid w:val="00AA13BF"/>
    <w:rsid w:val="00AA18A5"/>
    <w:rsid w:val="00AA1E90"/>
    <w:rsid w:val="00AA1F74"/>
    <w:rsid w:val="00AA223C"/>
    <w:rsid w:val="00AA3280"/>
    <w:rsid w:val="00AA32B1"/>
    <w:rsid w:val="00AA33FE"/>
    <w:rsid w:val="00AA3AFB"/>
    <w:rsid w:val="00AA3C22"/>
    <w:rsid w:val="00AA4AB2"/>
    <w:rsid w:val="00AA4BDA"/>
    <w:rsid w:val="00AA4FF5"/>
    <w:rsid w:val="00AA5111"/>
    <w:rsid w:val="00AA718C"/>
    <w:rsid w:val="00AA7985"/>
    <w:rsid w:val="00AA7C51"/>
    <w:rsid w:val="00AA7CAA"/>
    <w:rsid w:val="00AA7F21"/>
    <w:rsid w:val="00AB11D5"/>
    <w:rsid w:val="00AB2BB2"/>
    <w:rsid w:val="00AB4543"/>
    <w:rsid w:val="00AB59B5"/>
    <w:rsid w:val="00AC05A0"/>
    <w:rsid w:val="00AC05D6"/>
    <w:rsid w:val="00AC1DF5"/>
    <w:rsid w:val="00AC1E04"/>
    <w:rsid w:val="00AC2A97"/>
    <w:rsid w:val="00AC3325"/>
    <w:rsid w:val="00AC392D"/>
    <w:rsid w:val="00AC4A5E"/>
    <w:rsid w:val="00AC59D8"/>
    <w:rsid w:val="00AC6414"/>
    <w:rsid w:val="00AC6AD3"/>
    <w:rsid w:val="00AC72F2"/>
    <w:rsid w:val="00AC745D"/>
    <w:rsid w:val="00AC7FC3"/>
    <w:rsid w:val="00AD03C8"/>
    <w:rsid w:val="00AD1E23"/>
    <w:rsid w:val="00AD2DF2"/>
    <w:rsid w:val="00AD3EA5"/>
    <w:rsid w:val="00AD5989"/>
    <w:rsid w:val="00AD694C"/>
    <w:rsid w:val="00AD6B9C"/>
    <w:rsid w:val="00AD773E"/>
    <w:rsid w:val="00AE055F"/>
    <w:rsid w:val="00AE3460"/>
    <w:rsid w:val="00AE41FD"/>
    <w:rsid w:val="00AE5152"/>
    <w:rsid w:val="00AE58A4"/>
    <w:rsid w:val="00AE6B16"/>
    <w:rsid w:val="00AE6E48"/>
    <w:rsid w:val="00AE79DA"/>
    <w:rsid w:val="00AE7B54"/>
    <w:rsid w:val="00AF08ED"/>
    <w:rsid w:val="00AF0D68"/>
    <w:rsid w:val="00AF0FE4"/>
    <w:rsid w:val="00AF12A0"/>
    <w:rsid w:val="00AF1EA3"/>
    <w:rsid w:val="00AF35BE"/>
    <w:rsid w:val="00AF4A4F"/>
    <w:rsid w:val="00AF662E"/>
    <w:rsid w:val="00AF775B"/>
    <w:rsid w:val="00AF7B61"/>
    <w:rsid w:val="00AF7E1D"/>
    <w:rsid w:val="00B0031A"/>
    <w:rsid w:val="00B00EF9"/>
    <w:rsid w:val="00B0139E"/>
    <w:rsid w:val="00B026A4"/>
    <w:rsid w:val="00B0292C"/>
    <w:rsid w:val="00B04C08"/>
    <w:rsid w:val="00B0557C"/>
    <w:rsid w:val="00B0625B"/>
    <w:rsid w:val="00B0633E"/>
    <w:rsid w:val="00B0656F"/>
    <w:rsid w:val="00B0668F"/>
    <w:rsid w:val="00B076D9"/>
    <w:rsid w:val="00B106EA"/>
    <w:rsid w:val="00B1098D"/>
    <w:rsid w:val="00B1125B"/>
    <w:rsid w:val="00B13EF1"/>
    <w:rsid w:val="00B154E3"/>
    <w:rsid w:val="00B16CA7"/>
    <w:rsid w:val="00B17B97"/>
    <w:rsid w:val="00B17C4F"/>
    <w:rsid w:val="00B20013"/>
    <w:rsid w:val="00B21113"/>
    <w:rsid w:val="00B21262"/>
    <w:rsid w:val="00B22D6D"/>
    <w:rsid w:val="00B234AD"/>
    <w:rsid w:val="00B23563"/>
    <w:rsid w:val="00B2384D"/>
    <w:rsid w:val="00B24B5C"/>
    <w:rsid w:val="00B25483"/>
    <w:rsid w:val="00B27448"/>
    <w:rsid w:val="00B27A44"/>
    <w:rsid w:val="00B30F67"/>
    <w:rsid w:val="00B310F3"/>
    <w:rsid w:val="00B31B91"/>
    <w:rsid w:val="00B31C4F"/>
    <w:rsid w:val="00B3231F"/>
    <w:rsid w:val="00B33760"/>
    <w:rsid w:val="00B40991"/>
    <w:rsid w:val="00B40A36"/>
    <w:rsid w:val="00B41512"/>
    <w:rsid w:val="00B42BC3"/>
    <w:rsid w:val="00B42D8A"/>
    <w:rsid w:val="00B4302C"/>
    <w:rsid w:val="00B4447E"/>
    <w:rsid w:val="00B446FC"/>
    <w:rsid w:val="00B44E75"/>
    <w:rsid w:val="00B450C6"/>
    <w:rsid w:val="00B4600A"/>
    <w:rsid w:val="00B468AC"/>
    <w:rsid w:val="00B5313E"/>
    <w:rsid w:val="00B53C80"/>
    <w:rsid w:val="00B544C7"/>
    <w:rsid w:val="00B5575C"/>
    <w:rsid w:val="00B566D5"/>
    <w:rsid w:val="00B57DB9"/>
    <w:rsid w:val="00B57E4F"/>
    <w:rsid w:val="00B6087F"/>
    <w:rsid w:val="00B62756"/>
    <w:rsid w:val="00B62F34"/>
    <w:rsid w:val="00B632B6"/>
    <w:rsid w:val="00B6353E"/>
    <w:rsid w:val="00B640F8"/>
    <w:rsid w:val="00B64B95"/>
    <w:rsid w:val="00B65391"/>
    <w:rsid w:val="00B657CE"/>
    <w:rsid w:val="00B65D19"/>
    <w:rsid w:val="00B65EC9"/>
    <w:rsid w:val="00B66D94"/>
    <w:rsid w:val="00B66F1A"/>
    <w:rsid w:val="00B67BBC"/>
    <w:rsid w:val="00B70A3F"/>
    <w:rsid w:val="00B70A62"/>
    <w:rsid w:val="00B71AAF"/>
    <w:rsid w:val="00B71C4C"/>
    <w:rsid w:val="00B71FB5"/>
    <w:rsid w:val="00B72A1A"/>
    <w:rsid w:val="00B73E76"/>
    <w:rsid w:val="00B7416D"/>
    <w:rsid w:val="00B74850"/>
    <w:rsid w:val="00B75950"/>
    <w:rsid w:val="00B76D6A"/>
    <w:rsid w:val="00B803EF"/>
    <w:rsid w:val="00B8040F"/>
    <w:rsid w:val="00B83050"/>
    <w:rsid w:val="00B84095"/>
    <w:rsid w:val="00B84872"/>
    <w:rsid w:val="00B85B7D"/>
    <w:rsid w:val="00B86597"/>
    <w:rsid w:val="00B8737A"/>
    <w:rsid w:val="00B912E8"/>
    <w:rsid w:val="00B913EC"/>
    <w:rsid w:val="00B91600"/>
    <w:rsid w:val="00B93363"/>
    <w:rsid w:val="00B93880"/>
    <w:rsid w:val="00B93CB2"/>
    <w:rsid w:val="00B93FD6"/>
    <w:rsid w:val="00B94BF0"/>
    <w:rsid w:val="00B9506E"/>
    <w:rsid w:val="00B9573C"/>
    <w:rsid w:val="00B96CE0"/>
    <w:rsid w:val="00B96F26"/>
    <w:rsid w:val="00BA0457"/>
    <w:rsid w:val="00BA1AF4"/>
    <w:rsid w:val="00BA2B50"/>
    <w:rsid w:val="00BA2DF2"/>
    <w:rsid w:val="00BA3021"/>
    <w:rsid w:val="00BA5269"/>
    <w:rsid w:val="00BA618C"/>
    <w:rsid w:val="00BA66A6"/>
    <w:rsid w:val="00BA7447"/>
    <w:rsid w:val="00BA7A3F"/>
    <w:rsid w:val="00BB0337"/>
    <w:rsid w:val="00BB0E6B"/>
    <w:rsid w:val="00BB18A3"/>
    <w:rsid w:val="00BB27D7"/>
    <w:rsid w:val="00BB31C0"/>
    <w:rsid w:val="00BB3546"/>
    <w:rsid w:val="00BB380F"/>
    <w:rsid w:val="00BB4A39"/>
    <w:rsid w:val="00BB4F7C"/>
    <w:rsid w:val="00BB539D"/>
    <w:rsid w:val="00BB5A78"/>
    <w:rsid w:val="00BB5C1B"/>
    <w:rsid w:val="00BB6408"/>
    <w:rsid w:val="00BB656C"/>
    <w:rsid w:val="00BB77EF"/>
    <w:rsid w:val="00BC0D18"/>
    <w:rsid w:val="00BC11B9"/>
    <w:rsid w:val="00BC1638"/>
    <w:rsid w:val="00BC1991"/>
    <w:rsid w:val="00BC1D45"/>
    <w:rsid w:val="00BC2049"/>
    <w:rsid w:val="00BC28D7"/>
    <w:rsid w:val="00BC2B9E"/>
    <w:rsid w:val="00BC3084"/>
    <w:rsid w:val="00BC38AE"/>
    <w:rsid w:val="00BC3B99"/>
    <w:rsid w:val="00BC3D38"/>
    <w:rsid w:val="00BC4CD1"/>
    <w:rsid w:val="00BC6784"/>
    <w:rsid w:val="00BC6A10"/>
    <w:rsid w:val="00BC6A42"/>
    <w:rsid w:val="00BD0787"/>
    <w:rsid w:val="00BD1E56"/>
    <w:rsid w:val="00BD395B"/>
    <w:rsid w:val="00BD39BD"/>
    <w:rsid w:val="00BD3DC5"/>
    <w:rsid w:val="00BD49BE"/>
    <w:rsid w:val="00BD5F85"/>
    <w:rsid w:val="00BD7B21"/>
    <w:rsid w:val="00BE00C3"/>
    <w:rsid w:val="00BE0788"/>
    <w:rsid w:val="00BE0C63"/>
    <w:rsid w:val="00BE0FC5"/>
    <w:rsid w:val="00BE10AF"/>
    <w:rsid w:val="00BE1A11"/>
    <w:rsid w:val="00BE1B18"/>
    <w:rsid w:val="00BE5EB6"/>
    <w:rsid w:val="00BE5FC8"/>
    <w:rsid w:val="00BE7063"/>
    <w:rsid w:val="00BF1D36"/>
    <w:rsid w:val="00BF1EFE"/>
    <w:rsid w:val="00BF3A59"/>
    <w:rsid w:val="00BF696C"/>
    <w:rsid w:val="00BF7069"/>
    <w:rsid w:val="00BF7B0B"/>
    <w:rsid w:val="00BF7EFB"/>
    <w:rsid w:val="00C00570"/>
    <w:rsid w:val="00C018B1"/>
    <w:rsid w:val="00C019BB"/>
    <w:rsid w:val="00C01B50"/>
    <w:rsid w:val="00C01B94"/>
    <w:rsid w:val="00C021DC"/>
    <w:rsid w:val="00C028BD"/>
    <w:rsid w:val="00C0363F"/>
    <w:rsid w:val="00C03CE2"/>
    <w:rsid w:val="00C03E2E"/>
    <w:rsid w:val="00C04BB7"/>
    <w:rsid w:val="00C0530F"/>
    <w:rsid w:val="00C05D79"/>
    <w:rsid w:val="00C06033"/>
    <w:rsid w:val="00C06586"/>
    <w:rsid w:val="00C06620"/>
    <w:rsid w:val="00C06D3A"/>
    <w:rsid w:val="00C07888"/>
    <w:rsid w:val="00C1072F"/>
    <w:rsid w:val="00C12284"/>
    <w:rsid w:val="00C12673"/>
    <w:rsid w:val="00C126F9"/>
    <w:rsid w:val="00C144AC"/>
    <w:rsid w:val="00C167CD"/>
    <w:rsid w:val="00C17B31"/>
    <w:rsid w:val="00C2253F"/>
    <w:rsid w:val="00C2383B"/>
    <w:rsid w:val="00C23FB3"/>
    <w:rsid w:val="00C25968"/>
    <w:rsid w:val="00C26604"/>
    <w:rsid w:val="00C26B89"/>
    <w:rsid w:val="00C26BDD"/>
    <w:rsid w:val="00C27057"/>
    <w:rsid w:val="00C270BB"/>
    <w:rsid w:val="00C2759C"/>
    <w:rsid w:val="00C27773"/>
    <w:rsid w:val="00C30117"/>
    <w:rsid w:val="00C30F5B"/>
    <w:rsid w:val="00C31130"/>
    <w:rsid w:val="00C31399"/>
    <w:rsid w:val="00C33891"/>
    <w:rsid w:val="00C33E47"/>
    <w:rsid w:val="00C33EB3"/>
    <w:rsid w:val="00C355F5"/>
    <w:rsid w:val="00C3787C"/>
    <w:rsid w:val="00C40CA1"/>
    <w:rsid w:val="00C40E0E"/>
    <w:rsid w:val="00C417FF"/>
    <w:rsid w:val="00C43234"/>
    <w:rsid w:val="00C43FDC"/>
    <w:rsid w:val="00C44841"/>
    <w:rsid w:val="00C44D07"/>
    <w:rsid w:val="00C45440"/>
    <w:rsid w:val="00C45898"/>
    <w:rsid w:val="00C45F5A"/>
    <w:rsid w:val="00C461EF"/>
    <w:rsid w:val="00C4712C"/>
    <w:rsid w:val="00C47BD2"/>
    <w:rsid w:val="00C504F9"/>
    <w:rsid w:val="00C50849"/>
    <w:rsid w:val="00C51621"/>
    <w:rsid w:val="00C5194F"/>
    <w:rsid w:val="00C51F38"/>
    <w:rsid w:val="00C530AF"/>
    <w:rsid w:val="00C5495B"/>
    <w:rsid w:val="00C54A59"/>
    <w:rsid w:val="00C55174"/>
    <w:rsid w:val="00C56448"/>
    <w:rsid w:val="00C57A08"/>
    <w:rsid w:val="00C61536"/>
    <w:rsid w:val="00C61BBC"/>
    <w:rsid w:val="00C635B8"/>
    <w:rsid w:val="00C65364"/>
    <w:rsid w:val="00C65A98"/>
    <w:rsid w:val="00C66C82"/>
    <w:rsid w:val="00C67184"/>
    <w:rsid w:val="00C67F24"/>
    <w:rsid w:val="00C70649"/>
    <w:rsid w:val="00C70E0A"/>
    <w:rsid w:val="00C71882"/>
    <w:rsid w:val="00C71A6A"/>
    <w:rsid w:val="00C7263C"/>
    <w:rsid w:val="00C72748"/>
    <w:rsid w:val="00C72AFA"/>
    <w:rsid w:val="00C72C00"/>
    <w:rsid w:val="00C733F6"/>
    <w:rsid w:val="00C73811"/>
    <w:rsid w:val="00C75BC5"/>
    <w:rsid w:val="00C75F0E"/>
    <w:rsid w:val="00C823CB"/>
    <w:rsid w:val="00C83FEB"/>
    <w:rsid w:val="00C84803"/>
    <w:rsid w:val="00C867DB"/>
    <w:rsid w:val="00C87F17"/>
    <w:rsid w:val="00C91B04"/>
    <w:rsid w:val="00C932FF"/>
    <w:rsid w:val="00C943C4"/>
    <w:rsid w:val="00C94826"/>
    <w:rsid w:val="00C960FE"/>
    <w:rsid w:val="00C96396"/>
    <w:rsid w:val="00C96C39"/>
    <w:rsid w:val="00CA048A"/>
    <w:rsid w:val="00CA055E"/>
    <w:rsid w:val="00CA0E06"/>
    <w:rsid w:val="00CA20C3"/>
    <w:rsid w:val="00CA2AB8"/>
    <w:rsid w:val="00CA2CBD"/>
    <w:rsid w:val="00CA45A0"/>
    <w:rsid w:val="00CA46B1"/>
    <w:rsid w:val="00CA5476"/>
    <w:rsid w:val="00CA5800"/>
    <w:rsid w:val="00CA5926"/>
    <w:rsid w:val="00CA5BC4"/>
    <w:rsid w:val="00CA6D4B"/>
    <w:rsid w:val="00CA6EE0"/>
    <w:rsid w:val="00CB0FF6"/>
    <w:rsid w:val="00CB11DE"/>
    <w:rsid w:val="00CB2CDA"/>
    <w:rsid w:val="00CB2F52"/>
    <w:rsid w:val="00CB2F9F"/>
    <w:rsid w:val="00CB369C"/>
    <w:rsid w:val="00CB472B"/>
    <w:rsid w:val="00CB4AAE"/>
    <w:rsid w:val="00CB5191"/>
    <w:rsid w:val="00CB653A"/>
    <w:rsid w:val="00CB656B"/>
    <w:rsid w:val="00CB7575"/>
    <w:rsid w:val="00CC0005"/>
    <w:rsid w:val="00CC0656"/>
    <w:rsid w:val="00CC095A"/>
    <w:rsid w:val="00CC125E"/>
    <w:rsid w:val="00CC1544"/>
    <w:rsid w:val="00CC1F77"/>
    <w:rsid w:val="00CC2F59"/>
    <w:rsid w:val="00CC371F"/>
    <w:rsid w:val="00CC3B14"/>
    <w:rsid w:val="00CC3DF5"/>
    <w:rsid w:val="00CC5CAA"/>
    <w:rsid w:val="00CC6393"/>
    <w:rsid w:val="00CC65E9"/>
    <w:rsid w:val="00CC6A58"/>
    <w:rsid w:val="00CC7252"/>
    <w:rsid w:val="00CD0AC0"/>
    <w:rsid w:val="00CD0CCA"/>
    <w:rsid w:val="00CD28FB"/>
    <w:rsid w:val="00CD2DD4"/>
    <w:rsid w:val="00CD4427"/>
    <w:rsid w:val="00CD4777"/>
    <w:rsid w:val="00CD4C3A"/>
    <w:rsid w:val="00CD53B2"/>
    <w:rsid w:val="00CD585D"/>
    <w:rsid w:val="00CD59ED"/>
    <w:rsid w:val="00CE0156"/>
    <w:rsid w:val="00CE052B"/>
    <w:rsid w:val="00CE092A"/>
    <w:rsid w:val="00CE0E07"/>
    <w:rsid w:val="00CE1345"/>
    <w:rsid w:val="00CE166D"/>
    <w:rsid w:val="00CE378D"/>
    <w:rsid w:val="00CE430A"/>
    <w:rsid w:val="00CE4B68"/>
    <w:rsid w:val="00CE6FF8"/>
    <w:rsid w:val="00CE76E0"/>
    <w:rsid w:val="00CE77CB"/>
    <w:rsid w:val="00CF03AA"/>
    <w:rsid w:val="00CF04C3"/>
    <w:rsid w:val="00CF1925"/>
    <w:rsid w:val="00CF21B5"/>
    <w:rsid w:val="00CF2C5A"/>
    <w:rsid w:val="00CF39C5"/>
    <w:rsid w:val="00CF4FF4"/>
    <w:rsid w:val="00CF56AA"/>
    <w:rsid w:val="00CF6056"/>
    <w:rsid w:val="00CF6246"/>
    <w:rsid w:val="00CF657F"/>
    <w:rsid w:val="00CF6F54"/>
    <w:rsid w:val="00CF7703"/>
    <w:rsid w:val="00CF7878"/>
    <w:rsid w:val="00D0043D"/>
    <w:rsid w:val="00D0135C"/>
    <w:rsid w:val="00D0159C"/>
    <w:rsid w:val="00D0250D"/>
    <w:rsid w:val="00D0266C"/>
    <w:rsid w:val="00D046A0"/>
    <w:rsid w:val="00D04D55"/>
    <w:rsid w:val="00D05F15"/>
    <w:rsid w:val="00D071AC"/>
    <w:rsid w:val="00D07916"/>
    <w:rsid w:val="00D07C31"/>
    <w:rsid w:val="00D101F2"/>
    <w:rsid w:val="00D1150F"/>
    <w:rsid w:val="00D12F9B"/>
    <w:rsid w:val="00D12FA6"/>
    <w:rsid w:val="00D14440"/>
    <w:rsid w:val="00D14C22"/>
    <w:rsid w:val="00D1542B"/>
    <w:rsid w:val="00D1589F"/>
    <w:rsid w:val="00D15DC0"/>
    <w:rsid w:val="00D15EED"/>
    <w:rsid w:val="00D16015"/>
    <w:rsid w:val="00D17B61"/>
    <w:rsid w:val="00D17DAA"/>
    <w:rsid w:val="00D17E22"/>
    <w:rsid w:val="00D20785"/>
    <w:rsid w:val="00D20D9B"/>
    <w:rsid w:val="00D2123B"/>
    <w:rsid w:val="00D213D3"/>
    <w:rsid w:val="00D23CCF"/>
    <w:rsid w:val="00D23FB3"/>
    <w:rsid w:val="00D24485"/>
    <w:rsid w:val="00D24D7C"/>
    <w:rsid w:val="00D25123"/>
    <w:rsid w:val="00D25B71"/>
    <w:rsid w:val="00D25DDA"/>
    <w:rsid w:val="00D25E12"/>
    <w:rsid w:val="00D26A63"/>
    <w:rsid w:val="00D27268"/>
    <w:rsid w:val="00D30604"/>
    <w:rsid w:val="00D30719"/>
    <w:rsid w:val="00D3159B"/>
    <w:rsid w:val="00D34CD6"/>
    <w:rsid w:val="00D34E2F"/>
    <w:rsid w:val="00D35237"/>
    <w:rsid w:val="00D37040"/>
    <w:rsid w:val="00D401AC"/>
    <w:rsid w:val="00D40B56"/>
    <w:rsid w:val="00D40D1E"/>
    <w:rsid w:val="00D41318"/>
    <w:rsid w:val="00D424CD"/>
    <w:rsid w:val="00D42B8C"/>
    <w:rsid w:val="00D4319A"/>
    <w:rsid w:val="00D433CD"/>
    <w:rsid w:val="00D44C95"/>
    <w:rsid w:val="00D44F86"/>
    <w:rsid w:val="00D45338"/>
    <w:rsid w:val="00D45510"/>
    <w:rsid w:val="00D45A00"/>
    <w:rsid w:val="00D465D5"/>
    <w:rsid w:val="00D4685B"/>
    <w:rsid w:val="00D46A29"/>
    <w:rsid w:val="00D4723D"/>
    <w:rsid w:val="00D47519"/>
    <w:rsid w:val="00D47648"/>
    <w:rsid w:val="00D5098F"/>
    <w:rsid w:val="00D50BB7"/>
    <w:rsid w:val="00D5340E"/>
    <w:rsid w:val="00D54C36"/>
    <w:rsid w:val="00D5577B"/>
    <w:rsid w:val="00D55BBB"/>
    <w:rsid w:val="00D57435"/>
    <w:rsid w:val="00D57CA7"/>
    <w:rsid w:val="00D57EC5"/>
    <w:rsid w:val="00D60930"/>
    <w:rsid w:val="00D640B5"/>
    <w:rsid w:val="00D6507C"/>
    <w:rsid w:val="00D65182"/>
    <w:rsid w:val="00D65CEB"/>
    <w:rsid w:val="00D700E9"/>
    <w:rsid w:val="00D708B2"/>
    <w:rsid w:val="00D71FF6"/>
    <w:rsid w:val="00D73965"/>
    <w:rsid w:val="00D747C4"/>
    <w:rsid w:val="00D749C3"/>
    <w:rsid w:val="00D74A88"/>
    <w:rsid w:val="00D74EA0"/>
    <w:rsid w:val="00D74EEB"/>
    <w:rsid w:val="00D74F36"/>
    <w:rsid w:val="00D75AAC"/>
    <w:rsid w:val="00D77545"/>
    <w:rsid w:val="00D77594"/>
    <w:rsid w:val="00D778FD"/>
    <w:rsid w:val="00D81271"/>
    <w:rsid w:val="00D816FF"/>
    <w:rsid w:val="00D8242D"/>
    <w:rsid w:val="00D86175"/>
    <w:rsid w:val="00D87E19"/>
    <w:rsid w:val="00D87EE5"/>
    <w:rsid w:val="00D91035"/>
    <w:rsid w:val="00D9181D"/>
    <w:rsid w:val="00D92A8D"/>
    <w:rsid w:val="00D92E3C"/>
    <w:rsid w:val="00D9369C"/>
    <w:rsid w:val="00D93ADC"/>
    <w:rsid w:val="00D93B05"/>
    <w:rsid w:val="00D93DD7"/>
    <w:rsid w:val="00D95757"/>
    <w:rsid w:val="00D9628C"/>
    <w:rsid w:val="00D9669A"/>
    <w:rsid w:val="00DA054C"/>
    <w:rsid w:val="00DA1848"/>
    <w:rsid w:val="00DA2654"/>
    <w:rsid w:val="00DA3636"/>
    <w:rsid w:val="00DA38E6"/>
    <w:rsid w:val="00DA48F4"/>
    <w:rsid w:val="00DA4BC5"/>
    <w:rsid w:val="00DA5EB5"/>
    <w:rsid w:val="00DA70BD"/>
    <w:rsid w:val="00DB00B2"/>
    <w:rsid w:val="00DB03E2"/>
    <w:rsid w:val="00DB0A08"/>
    <w:rsid w:val="00DB0D5B"/>
    <w:rsid w:val="00DB1B87"/>
    <w:rsid w:val="00DB2BD1"/>
    <w:rsid w:val="00DB2C45"/>
    <w:rsid w:val="00DB3AFC"/>
    <w:rsid w:val="00DB3B10"/>
    <w:rsid w:val="00DB4CBB"/>
    <w:rsid w:val="00DB64DE"/>
    <w:rsid w:val="00DC017C"/>
    <w:rsid w:val="00DC07F6"/>
    <w:rsid w:val="00DC225F"/>
    <w:rsid w:val="00DC28D7"/>
    <w:rsid w:val="00DC559A"/>
    <w:rsid w:val="00DD044F"/>
    <w:rsid w:val="00DD0E0A"/>
    <w:rsid w:val="00DD147F"/>
    <w:rsid w:val="00DD1565"/>
    <w:rsid w:val="00DD1D65"/>
    <w:rsid w:val="00DD4642"/>
    <w:rsid w:val="00DD4D16"/>
    <w:rsid w:val="00DD7101"/>
    <w:rsid w:val="00DE1CC3"/>
    <w:rsid w:val="00DE2359"/>
    <w:rsid w:val="00DE236D"/>
    <w:rsid w:val="00DE2B22"/>
    <w:rsid w:val="00DE32B9"/>
    <w:rsid w:val="00DE4885"/>
    <w:rsid w:val="00DE4A11"/>
    <w:rsid w:val="00DE5CC8"/>
    <w:rsid w:val="00DE6682"/>
    <w:rsid w:val="00DF0744"/>
    <w:rsid w:val="00DF0D85"/>
    <w:rsid w:val="00DF22FB"/>
    <w:rsid w:val="00DF2D7F"/>
    <w:rsid w:val="00DF32D3"/>
    <w:rsid w:val="00DF4958"/>
    <w:rsid w:val="00DF57C5"/>
    <w:rsid w:val="00DF5B65"/>
    <w:rsid w:val="00DF754D"/>
    <w:rsid w:val="00E004F5"/>
    <w:rsid w:val="00E00620"/>
    <w:rsid w:val="00E00671"/>
    <w:rsid w:val="00E00956"/>
    <w:rsid w:val="00E00BC7"/>
    <w:rsid w:val="00E00C8A"/>
    <w:rsid w:val="00E01425"/>
    <w:rsid w:val="00E0155E"/>
    <w:rsid w:val="00E017F7"/>
    <w:rsid w:val="00E01FCF"/>
    <w:rsid w:val="00E02295"/>
    <w:rsid w:val="00E02381"/>
    <w:rsid w:val="00E03B76"/>
    <w:rsid w:val="00E03C8F"/>
    <w:rsid w:val="00E048B6"/>
    <w:rsid w:val="00E05154"/>
    <w:rsid w:val="00E05CB8"/>
    <w:rsid w:val="00E05F9F"/>
    <w:rsid w:val="00E06106"/>
    <w:rsid w:val="00E069F0"/>
    <w:rsid w:val="00E06D75"/>
    <w:rsid w:val="00E07368"/>
    <w:rsid w:val="00E11E74"/>
    <w:rsid w:val="00E12CAA"/>
    <w:rsid w:val="00E13955"/>
    <w:rsid w:val="00E15213"/>
    <w:rsid w:val="00E15509"/>
    <w:rsid w:val="00E15753"/>
    <w:rsid w:val="00E159F4"/>
    <w:rsid w:val="00E16FCF"/>
    <w:rsid w:val="00E17644"/>
    <w:rsid w:val="00E17993"/>
    <w:rsid w:val="00E179B5"/>
    <w:rsid w:val="00E20C7F"/>
    <w:rsid w:val="00E21E1D"/>
    <w:rsid w:val="00E2442C"/>
    <w:rsid w:val="00E247F1"/>
    <w:rsid w:val="00E25F02"/>
    <w:rsid w:val="00E27438"/>
    <w:rsid w:val="00E27A70"/>
    <w:rsid w:val="00E27E04"/>
    <w:rsid w:val="00E30DAA"/>
    <w:rsid w:val="00E3387A"/>
    <w:rsid w:val="00E33B66"/>
    <w:rsid w:val="00E34B5B"/>
    <w:rsid w:val="00E36870"/>
    <w:rsid w:val="00E37B22"/>
    <w:rsid w:val="00E410C7"/>
    <w:rsid w:val="00E42461"/>
    <w:rsid w:val="00E42612"/>
    <w:rsid w:val="00E43E11"/>
    <w:rsid w:val="00E50E3C"/>
    <w:rsid w:val="00E530EA"/>
    <w:rsid w:val="00E5374D"/>
    <w:rsid w:val="00E53E6B"/>
    <w:rsid w:val="00E5407D"/>
    <w:rsid w:val="00E54082"/>
    <w:rsid w:val="00E54D07"/>
    <w:rsid w:val="00E56527"/>
    <w:rsid w:val="00E577C1"/>
    <w:rsid w:val="00E57A7B"/>
    <w:rsid w:val="00E60D9C"/>
    <w:rsid w:val="00E61458"/>
    <w:rsid w:val="00E61C74"/>
    <w:rsid w:val="00E635FB"/>
    <w:rsid w:val="00E63A50"/>
    <w:rsid w:val="00E63C77"/>
    <w:rsid w:val="00E64B8E"/>
    <w:rsid w:val="00E65862"/>
    <w:rsid w:val="00E65BB6"/>
    <w:rsid w:val="00E65CD4"/>
    <w:rsid w:val="00E66EAD"/>
    <w:rsid w:val="00E6728E"/>
    <w:rsid w:val="00E6753B"/>
    <w:rsid w:val="00E67935"/>
    <w:rsid w:val="00E7018E"/>
    <w:rsid w:val="00E7039B"/>
    <w:rsid w:val="00E70604"/>
    <w:rsid w:val="00E70C39"/>
    <w:rsid w:val="00E715CF"/>
    <w:rsid w:val="00E73ACE"/>
    <w:rsid w:val="00E74D2B"/>
    <w:rsid w:val="00E76719"/>
    <w:rsid w:val="00E76948"/>
    <w:rsid w:val="00E77B97"/>
    <w:rsid w:val="00E80162"/>
    <w:rsid w:val="00E808F5"/>
    <w:rsid w:val="00E80977"/>
    <w:rsid w:val="00E8139A"/>
    <w:rsid w:val="00E81606"/>
    <w:rsid w:val="00E829DB"/>
    <w:rsid w:val="00E830DD"/>
    <w:rsid w:val="00E834EA"/>
    <w:rsid w:val="00E84053"/>
    <w:rsid w:val="00E86EFB"/>
    <w:rsid w:val="00E8723F"/>
    <w:rsid w:val="00E90D03"/>
    <w:rsid w:val="00E91D9E"/>
    <w:rsid w:val="00E927EF"/>
    <w:rsid w:val="00E92DBE"/>
    <w:rsid w:val="00E933E6"/>
    <w:rsid w:val="00E94082"/>
    <w:rsid w:val="00E94D1D"/>
    <w:rsid w:val="00E95508"/>
    <w:rsid w:val="00E9584A"/>
    <w:rsid w:val="00E9602A"/>
    <w:rsid w:val="00E96361"/>
    <w:rsid w:val="00E976D8"/>
    <w:rsid w:val="00E9782A"/>
    <w:rsid w:val="00E97ADE"/>
    <w:rsid w:val="00E97B09"/>
    <w:rsid w:val="00EA0AA6"/>
    <w:rsid w:val="00EA0BBF"/>
    <w:rsid w:val="00EA11A6"/>
    <w:rsid w:val="00EA20AE"/>
    <w:rsid w:val="00EA2C07"/>
    <w:rsid w:val="00EA567A"/>
    <w:rsid w:val="00EA61EF"/>
    <w:rsid w:val="00EA78E4"/>
    <w:rsid w:val="00EA7A15"/>
    <w:rsid w:val="00EB0B89"/>
    <w:rsid w:val="00EB149E"/>
    <w:rsid w:val="00EB2838"/>
    <w:rsid w:val="00EB2E21"/>
    <w:rsid w:val="00EB32A4"/>
    <w:rsid w:val="00EB334D"/>
    <w:rsid w:val="00EB3533"/>
    <w:rsid w:val="00EB52E4"/>
    <w:rsid w:val="00EB5A5E"/>
    <w:rsid w:val="00EB5C42"/>
    <w:rsid w:val="00EB6513"/>
    <w:rsid w:val="00EB6BED"/>
    <w:rsid w:val="00EC0B56"/>
    <w:rsid w:val="00EC0C69"/>
    <w:rsid w:val="00EC1F17"/>
    <w:rsid w:val="00EC24A0"/>
    <w:rsid w:val="00EC3CA4"/>
    <w:rsid w:val="00EC60D5"/>
    <w:rsid w:val="00EC6199"/>
    <w:rsid w:val="00EC69E9"/>
    <w:rsid w:val="00EC7671"/>
    <w:rsid w:val="00EC7A29"/>
    <w:rsid w:val="00ED353A"/>
    <w:rsid w:val="00ED39BB"/>
    <w:rsid w:val="00ED4240"/>
    <w:rsid w:val="00ED45F0"/>
    <w:rsid w:val="00ED7863"/>
    <w:rsid w:val="00ED7D27"/>
    <w:rsid w:val="00EE025D"/>
    <w:rsid w:val="00EE04FB"/>
    <w:rsid w:val="00EE075D"/>
    <w:rsid w:val="00EE0BD7"/>
    <w:rsid w:val="00EE1536"/>
    <w:rsid w:val="00EE1D72"/>
    <w:rsid w:val="00EE22B3"/>
    <w:rsid w:val="00EE2B74"/>
    <w:rsid w:val="00EE2BC0"/>
    <w:rsid w:val="00EE3711"/>
    <w:rsid w:val="00EE628E"/>
    <w:rsid w:val="00EE764F"/>
    <w:rsid w:val="00EF1BCF"/>
    <w:rsid w:val="00EF2BAB"/>
    <w:rsid w:val="00EF3180"/>
    <w:rsid w:val="00EF5822"/>
    <w:rsid w:val="00EF5A73"/>
    <w:rsid w:val="00F00142"/>
    <w:rsid w:val="00F00BA7"/>
    <w:rsid w:val="00F02025"/>
    <w:rsid w:val="00F02A1E"/>
    <w:rsid w:val="00F031F7"/>
    <w:rsid w:val="00F03477"/>
    <w:rsid w:val="00F0347A"/>
    <w:rsid w:val="00F03929"/>
    <w:rsid w:val="00F03AC9"/>
    <w:rsid w:val="00F03CE1"/>
    <w:rsid w:val="00F03EBB"/>
    <w:rsid w:val="00F0468E"/>
    <w:rsid w:val="00F05281"/>
    <w:rsid w:val="00F05EE8"/>
    <w:rsid w:val="00F07B46"/>
    <w:rsid w:val="00F07E6E"/>
    <w:rsid w:val="00F103D9"/>
    <w:rsid w:val="00F11BF7"/>
    <w:rsid w:val="00F14012"/>
    <w:rsid w:val="00F15D0C"/>
    <w:rsid w:val="00F16C94"/>
    <w:rsid w:val="00F17A53"/>
    <w:rsid w:val="00F20BF7"/>
    <w:rsid w:val="00F217DC"/>
    <w:rsid w:val="00F26085"/>
    <w:rsid w:val="00F2624A"/>
    <w:rsid w:val="00F26BAB"/>
    <w:rsid w:val="00F26C4C"/>
    <w:rsid w:val="00F26C8A"/>
    <w:rsid w:val="00F26EDE"/>
    <w:rsid w:val="00F2740F"/>
    <w:rsid w:val="00F278A6"/>
    <w:rsid w:val="00F30170"/>
    <w:rsid w:val="00F31037"/>
    <w:rsid w:val="00F3176A"/>
    <w:rsid w:val="00F320FF"/>
    <w:rsid w:val="00F32870"/>
    <w:rsid w:val="00F32EDE"/>
    <w:rsid w:val="00F33623"/>
    <w:rsid w:val="00F3413E"/>
    <w:rsid w:val="00F3567E"/>
    <w:rsid w:val="00F3659D"/>
    <w:rsid w:val="00F37F89"/>
    <w:rsid w:val="00F37FE0"/>
    <w:rsid w:val="00F39FD0"/>
    <w:rsid w:val="00F4036D"/>
    <w:rsid w:val="00F41702"/>
    <w:rsid w:val="00F41EE6"/>
    <w:rsid w:val="00F43CBD"/>
    <w:rsid w:val="00F44E39"/>
    <w:rsid w:val="00F45392"/>
    <w:rsid w:val="00F47404"/>
    <w:rsid w:val="00F47678"/>
    <w:rsid w:val="00F47C0E"/>
    <w:rsid w:val="00F50680"/>
    <w:rsid w:val="00F508FE"/>
    <w:rsid w:val="00F50E3C"/>
    <w:rsid w:val="00F513D8"/>
    <w:rsid w:val="00F51B43"/>
    <w:rsid w:val="00F52203"/>
    <w:rsid w:val="00F52869"/>
    <w:rsid w:val="00F535F1"/>
    <w:rsid w:val="00F5379A"/>
    <w:rsid w:val="00F53C94"/>
    <w:rsid w:val="00F5516E"/>
    <w:rsid w:val="00F56336"/>
    <w:rsid w:val="00F567D6"/>
    <w:rsid w:val="00F61BAD"/>
    <w:rsid w:val="00F62B27"/>
    <w:rsid w:val="00F62EDD"/>
    <w:rsid w:val="00F62F60"/>
    <w:rsid w:val="00F63EDE"/>
    <w:rsid w:val="00F640A7"/>
    <w:rsid w:val="00F6413C"/>
    <w:rsid w:val="00F6444F"/>
    <w:rsid w:val="00F64759"/>
    <w:rsid w:val="00F65439"/>
    <w:rsid w:val="00F6545B"/>
    <w:rsid w:val="00F65E8C"/>
    <w:rsid w:val="00F66470"/>
    <w:rsid w:val="00F66C85"/>
    <w:rsid w:val="00F66F93"/>
    <w:rsid w:val="00F6772E"/>
    <w:rsid w:val="00F7060A"/>
    <w:rsid w:val="00F707C3"/>
    <w:rsid w:val="00F71534"/>
    <w:rsid w:val="00F71D7F"/>
    <w:rsid w:val="00F71EFF"/>
    <w:rsid w:val="00F7246D"/>
    <w:rsid w:val="00F72B8D"/>
    <w:rsid w:val="00F739ED"/>
    <w:rsid w:val="00F744DC"/>
    <w:rsid w:val="00F76049"/>
    <w:rsid w:val="00F76E51"/>
    <w:rsid w:val="00F775CD"/>
    <w:rsid w:val="00F77677"/>
    <w:rsid w:val="00F77B80"/>
    <w:rsid w:val="00F77D98"/>
    <w:rsid w:val="00F80A01"/>
    <w:rsid w:val="00F81DCC"/>
    <w:rsid w:val="00F81FDB"/>
    <w:rsid w:val="00F82463"/>
    <w:rsid w:val="00F8446A"/>
    <w:rsid w:val="00F84C99"/>
    <w:rsid w:val="00F85059"/>
    <w:rsid w:val="00F87691"/>
    <w:rsid w:val="00F87AD4"/>
    <w:rsid w:val="00F9032C"/>
    <w:rsid w:val="00F90575"/>
    <w:rsid w:val="00F90AFB"/>
    <w:rsid w:val="00F916A6"/>
    <w:rsid w:val="00F91805"/>
    <w:rsid w:val="00F92765"/>
    <w:rsid w:val="00F930D0"/>
    <w:rsid w:val="00F93371"/>
    <w:rsid w:val="00F9423E"/>
    <w:rsid w:val="00F948DE"/>
    <w:rsid w:val="00F96BC6"/>
    <w:rsid w:val="00F96C77"/>
    <w:rsid w:val="00F979CA"/>
    <w:rsid w:val="00FA1A93"/>
    <w:rsid w:val="00FA3F31"/>
    <w:rsid w:val="00FA4654"/>
    <w:rsid w:val="00FA723F"/>
    <w:rsid w:val="00FB0139"/>
    <w:rsid w:val="00FB1E25"/>
    <w:rsid w:val="00FB3277"/>
    <w:rsid w:val="00FB3D94"/>
    <w:rsid w:val="00FB42B1"/>
    <w:rsid w:val="00FB47C1"/>
    <w:rsid w:val="00FB515B"/>
    <w:rsid w:val="00FB64D6"/>
    <w:rsid w:val="00FB6851"/>
    <w:rsid w:val="00FC0057"/>
    <w:rsid w:val="00FC0BD6"/>
    <w:rsid w:val="00FC1EBE"/>
    <w:rsid w:val="00FC1F8A"/>
    <w:rsid w:val="00FC2A56"/>
    <w:rsid w:val="00FC2AA8"/>
    <w:rsid w:val="00FC3DE0"/>
    <w:rsid w:val="00FC5D1E"/>
    <w:rsid w:val="00FC5ED1"/>
    <w:rsid w:val="00FC60C5"/>
    <w:rsid w:val="00FC673B"/>
    <w:rsid w:val="00FC718E"/>
    <w:rsid w:val="00FC752A"/>
    <w:rsid w:val="00FC77C3"/>
    <w:rsid w:val="00FC7D39"/>
    <w:rsid w:val="00FD03D4"/>
    <w:rsid w:val="00FD167E"/>
    <w:rsid w:val="00FD2560"/>
    <w:rsid w:val="00FD3F4A"/>
    <w:rsid w:val="00FD41B5"/>
    <w:rsid w:val="00FD44E1"/>
    <w:rsid w:val="00FD5B68"/>
    <w:rsid w:val="00FD6740"/>
    <w:rsid w:val="00FD7940"/>
    <w:rsid w:val="00FD7ADB"/>
    <w:rsid w:val="00FE0135"/>
    <w:rsid w:val="00FE0228"/>
    <w:rsid w:val="00FE06C3"/>
    <w:rsid w:val="00FE3A30"/>
    <w:rsid w:val="00FE577E"/>
    <w:rsid w:val="00FE581C"/>
    <w:rsid w:val="00FE635D"/>
    <w:rsid w:val="00FE6546"/>
    <w:rsid w:val="00FE7FA1"/>
    <w:rsid w:val="00FE7FC4"/>
    <w:rsid w:val="00FF206A"/>
    <w:rsid w:val="00FF3BD7"/>
    <w:rsid w:val="00FF44BF"/>
    <w:rsid w:val="00FF4D0A"/>
    <w:rsid w:val="00FF58A9"/>
    <w:rsid w:val="00FF5B9F"/>
    <w:rsid w:val="01076C89"/>
    <w:rsid w:val="013E7185"/>
    <w:rsid w:val="02BB05BA"/>
    <w:rsid w:val="035B8B44"/>
    <w:rsid w:val="03FC4924"/>
    <w:rsid w:val="04836EF6"/>
    <w:rsid w:val="04BA4C37"/>
    <w:rsid w:val="04F68A69"/>
    <w:rsid w:val="063020A0"/>
    <w:rsid w:val="07226640"/>
    <w:rsid w:val="07BD3739"/>
    <w:rsid w:val="08F0EB07"/>
    <w:rsid w:val="08F6EAFE"/>
    <w:rsid w:val="0973E552"/>
    <w:rsid w:val="0A95644A"/>
    <w:rsid w:val="0AF403AC"/>
    <w:rsid w:val="0B239208"/>
    <w:rsid w:val="0BCA9EBF"/>
    <w:rsid w:val="0C2D57E9"/>
    <w:rsid w:val="0DF128F2"/>
    <w:rsid w:val="0E6EDFAC"/>
    <w:rsid w:val="0E9D7B37"/>
    <w:rsid w:val="0F6D0BD6"/>
    <w:rsid w:val="0F865694"/>
    <w:rsid w:val="0FDD9C45"/>
    <w:rsid w:val="10E160AE"/>
    <w:rsid w:val="12021E85"/>
    <w:rsid w:val="125307D8"/>
    <w:rsid w:val="12EE10A1"/>
    <w:rsid w:val="13109A80"/>
    <w:rsid w:val="13599BD5"/>
    <w:rsid w:val="14947879"/>
    <w:rsid w:val="14C3350A"/>
    <w:rsid w:val="14F3A677"/>
    <w:rsid w:val="1598BE77"/>
    <w:rsid w:val="16B6F6B4"/>
    <w:rsid w:val="16E364DC"/>
    <w:rsid w:val="17812358"/>
    <w:rsid w:val="17C55908"/>
    <w:rsid w:val="18F2FEC2"/>
    <w:rsid w:val="19102FF4"/>
    <w:rsid w:val="1928B390"/>
    <w:rsid w:val="19B902A0"/>
    <w:rsid w:val="1AA5232A"/>
    <w:rsid w:val="1B9349AE"/>
    <w:rsid w:val="1C48CDDF"/>
    <w:rsid w:val="1FCB0A90"/>
    <w:rsid w:val="201A94D3"/>
    <w:rsid w:val="20CFEC10"/>
    <w:rsid w:val="21A8C3FA"/>
    <w:rsid w:val="21A95758"/>
    <w:rsid w:val="21B0E4DC"/>
    <w:rsid w:val="22E7EA19"/>
    <w:rsid w:val="22F13697"/>
    <w:rsid w:val="22F723FC"/>
    <w:rsid w:val="2322BB1C"/>
    <w:rsid w:val="23D12CFB"/>
    <w:rsid w:val="253491CE"/>
    <w:rsid w:val="25550782"/>
    <w:rsid w:val="2699E8B8"/>
    <w:rsid w:val="26AC13EC"/>
    <w:rsid w:val="26AE5A0C"/>
    <w:rsid w:val="28085265"/>
    <w:rsid w:val="291491BC"/>
    <w:rsid w:val="29583737"/>
    <w:rsid w:val="29FF2478"/>
    <w:rsid w:val="2B036930"/>
    <w:rsid w:val="2C9E8CFB"/>
    <w:rsid w:val="2CFC9CB4"/>
    <w:rsid w:val="2D129864"/>
    <w:rsid w:val="2D12CB86"/>
    <w:rsid w:val="2D22B19F"/>
    <w:rsid w:val="2D43E84D"/>
    <w:rsid w:val="2D81915A"/>
    <w:rsid w:val="2DD5A12A"/>
    <w:rsid w:val="2E45A26D"/>
    <w:rsid w:val="2E4CCBE9"/>
    <w:rsid w:val="30546A6E"/>
    <w:rsid w:val="30BC5393"/>
    <w:rsid w:val="31285C9D"/>
    <w:rsid w:val="31377A2A"/>
    <w:rsid w:val="317ED1BB"/>
    <w:rsid w:val="321DCC7E"/>
    <w:rsid w:val="33A4B9BD"/>
    <w:rsid w:val="342A7F18"/>
    <w:rsid w:val="344399F2"/>
    <w:rsid w:val="34AEC2BB"/>
    <w:rsid w:val="34F6BBDD"/>
    <w:rsid w:val="373BD932"/>
    <w:rsid w:val="376135FD"/>
    <w:rsid w:val="376BAA0C"/>
    <w:rsid w:val="3774F75D"/>
    <w:rsid w:val="3904159F"/>
    <w:rsid w:val="391FD003"/>
    <w:rsid w:val="39755CF8"/>
    <w:rsid w:val="3A0A434F"/>
    <w:rsid w:val="3A5F2767"/>
    <w:rsid w:val="3B3D5463"/>
    <w:rsid w:val="3CAD4107"/>
    <w:rsid w:val="3D7A8D68"/>
    <w:rsid w:val="3DA53A9E"/>
    <w:rsid w:val="3E03A9EB"/>
    <w:rsid w:val="3E0E38A7"/>
    <w:rsid w:val="3E52C885"/>
    <w:rsid w:val="3F6FA5CD"/>
    <w:rsid w:val="4054309C"/>
    <w:rsid w:val="408D9919"/>
    <w:rsid w:val="409319B2"/>
    <w:rsid w:val="409AC9AA"/>
    <w:rsid w:val="41FEFC39"/>
    <w:rsid w:val="4240FD5A"/>
    <w:rsid w:val="42962921"/>
    <w:rsid w:val="43772102"/>
    <w:rsid w:val="442D8448"/>
    <w:rsid w:val="44BA2F01"/>
    <w:rsid w:val="45971B3D"/>
    <w:rsid w:val="465D2EEE"/>
    <w:rsid w:val="468520FF"/>
    <w:rsid w:val="47D68ED4"/>
    <w:rsid w:val="48085856"/>
    <w:rsid w:val="48A681A5"/>
    <w:rsid w:val="48DCF4A0"/>
    <w:rsid w:val="4AB454B5"/>
    <w:rsid w:val="4AD4D0B1"/>
    <w:rsid w:val="4B27CBA1"/>
    <w:rsid w:val="4B5003C6"/>
    <w:rsid w:val="4B9BBE5E"/>
    <w:rsid w:val="4BC2E6BD"/>
    <w:rsid w:val="4C6EB318"/>
    <w:rsid w:val="4CAB2FA9"/>
    <w:rsid w:val="4CD34647"/>
    <w:rsid w:val="4D265DE1"/>
    <w:rsid w:val="4D360557"/>
    <w:rsid w:val="4E0BD74A"/>
    <w:rsid w:val="4E6A09EE"/>
    <w:rsid w:val="4E948941"/>
    <w:rsid w:val="4FA653DA"/>
    <w:rsid w:val="4FD634CB"/>
    <w:rsid w:val="50712795"/>
    <w:rsid w:val="50825670"/>
    <w:rsid w:val="5142243B"/>
    <w:rsid w:val="51728707"/>
    <w:rsid w:val="51E5157D"/>
    <w:rsid w:val="52663326"/>
    <w:rsid w:val="52769551"/>
    <w:rsid w:val="52B03435"/>
    <w:rsid w:val="52DDF49C"/>
    <w:rsid w:val="5472A570"/>
    <w:rsid w:val="54DDA109"/>
    <w:rsid w:val="55667ED1"/>
    <w:rsid w:val="56698362"/>
    <w:rsid w:val="57268567"/>
    <w:rsid w:val="576CE5D4"/>
    <w:rsid w:val="58C6F5F2"/>
    <w:rsid w:val="5901485F"/>
    <w:rsid w:val="5AEE76E0"/>
    <w:rsid w:val="5BD2EEA6"/>
    <w:rsid w:val="5C99927C"/>
    <w:rsid w:val="5CADF8AB"/>
    <w:rsid w:val="5D638221"/>
    <w:rsid w:val="5DEE2016"/>
    <w:rsid w:val="5E1167CF"/>
    <w:rsid w:val="5F1DD9A5"/>
    <w:rsid w:val="5F27126A"/>
    <w:rsid w:val="5F3694A7"/>
    <w:rsid w:val="5F623A71"/>
    <w:rsid w:val="5F901BE8"/>
    <w:rsid w:val="605B8010"/>
    <w:rsid w:val="60830263"/>
    <w:rsid w:val="60E053BF"/>
    <w:rsid w:val="614F0A3C"/>
    <w:rsid w:val="618E1618"/>
    <w:rsid w:val="6339E7B3"/>
    <w:rsid w:val="64200456"/>
    <w:rsid w:val="6432613F"/>
    <w:rsid w:val="6453FBD3"/>
    <w:rsid w:val="653C0B7E"/>
    <w:rsid w:val="66F3D300"/>
    <w:rsid w:val="676F05FF"/>
    <w:rsid w:val="682584DE"/>
    <w:rsid w:val="68C3EA9D"/>
    <w:rsid w:val="696FE18F"/>
    <w:rsid w:val="6ADF8AAE"/>
    <w:rsid w:val="6B4E32A1"/>
    <w:rsid w:val="6B682042"/>
    <w:rsid w:val="6BE657C3"/>
    <w:rsid w:val="6C82F9F4"/>
    <w:rsid w:val="6C97C2D5"/>
    <w:rsid w:val="6D764035"/>
    <w:rsid w:val="6DA61BEE"/>
    <w:rsid w:val="6E552275"/>
    <w:rsid w:val="6E62DF83"/>
    <w:rsid w:val="6E88BED4"/>
    <w:rsid w:val="6E8C9860"/>
    <w:rsid w:val="6EF572D4"/>
    <w:rsid w:val="6F674957"/>
    <w:rsid w:val="702304FA"/>
    <w:rsid w:val="7023B6EC"/>
    <w:rsid w:val="7091F6F3"/>
    <w:rsid w:val="720C0B2E"/>
    <w:rsid w:val="725FEB00"/>
    <w:rsid w:val="72B685DF"/>
    <w:rsid w:val="72D20BAE"/>
    <w:rsid w:val="72D9EC89"/>
    <w:rsid w:val="73377CF8"/>
    <w:rsid w:val="7358A477"/>
    <w:rsid w:val="739A05A8"/>
    <w:rsid w:val="73B492F6"/>
    <w:rsid w:val="7440071F"/>
    <w:rsid w:val="756E8B65"/>
    <w:rsid w:val="77353765"/>
    <w:rsid w:val="784EC9EE"/>
    <w:rsid w:val="79F85E39"/>
    <w:rsid w:val="7A29ADDF"/>
    <w:rsid w:val="7B4C86AE"/>
    <w:rsid w:val="7BA935F4"/>
    <w:rsid w:val="7BC322A5"/>
    <w:rsid w:val="7C4754C7"/>
    <w:rsid w:val="7C5DA960"/>
    <w:rsid w:val="7D023B14"/>
    <w:rsid w:val="7E408CE7"/>
    <w:rsid w:val="7E5E375C"/>
    <w:rsid w:val="7EADD0E1"/>
    <w:rsid w:val="7F7DCF44"/>
    <w:rsid w:val="7F8364F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421325B"/>
  <w15:docId w15:val="{0943CC06-D744-4026-9C89-7F8798E66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6572"/>
    <w:pPr>
      <w:spacing w:after="180" w:line="264" w:lineRule="auto"/>
    </w:pPr>
    <w:rPr>
      <w:rFonts w:ascii="Times New Roman" w:eastAsia="Times New Roman" w:hAnsi="Times New Roman" w:cs="Times New Roman"/>
      <w:szCs w:val="20"/>
    </w:rPr>
  </w:style>
  <w:style w:type="paragraph" w:styleId="Heading1">
    <w:name w:val="heading 1"/>
    <w:aliases w:val="Abt Heading A"/>
    <w:basedOn w:val="Normal"/>
    <w:next w:val="BodyText"/>
    <w:link w:val="Heading1Char"/>
    <w:qFormat/>
    <w:rsid w:val="00EE04FB"/>
    <w:pPr>
      <w:keepNext/>
      <w:keepLines/>
      <w:pageBreakBefore/>
      <w:numPr>
        <w:numId w:val="3"/>
      </w:numPr>
      <w:shd w:val="clear" w:color="auto" w:fill="C00000"/>
      <w:outlineLvl w:val="0"/>
    </w:pPr>
    <w:rPr>
      <w:rFonts w:ascii="Arial" w:hAnsi="Arial"/>
      <w:b/>
      <w:color w:val="FFFFFF"/>
      <w:kern w:val="28"/>
      <w:sz w:val="28"/>
    </w:rPr>
  </w:style>
  <w:style w:type="paragraph" w:styleId="Heading2">
    <w:name w:val="heading 2"/>
    <w:basedOn w:val="Normal"/>
    <w:next w:val="BodyText"/>
    <w:link w:val="Heading2Char"/>
    <w:qFormat/>
    <w:rsid w:val="00C530AF"/>
    <w:pPr>
      <w:keepNext/>
      <w:numPr>
        <w:ilvl w:val="1"/>
        <w:numId w:val="3"/>
      </w:numPr>
      <w:pBdr>
        <w:top w:val="single" w:sz="6" w:space="0"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696572"/>
    <w:pPr>
      <w:keepNext/>
      <w:numPr>
        <w:ilvl w:val="2"/>
        <w:numId w:val="3"/>
      </w:numPr>
      <w:tabs>
        <w:tab w:val="num" w:pos="720"/>
        <w:tab w:val="clear" w:pos="5040"/>
      </w:tabs>
      <w:spacing w:before="60" w:after="120"/>
      <w:ind w:left="720"/>
      <w:outlineLvl w:val="2"/>
    </w:pPr>
    <w:rPr>
      <w:rFonts w:ascii="Arial" w:hAnsi="Arial"/>
      <w:b/>
      <w:color w:val="000000" w:themeColor="text1"/>
      <w:sz w:val="20"/>
    </w:rPr>
  </w:style>
  <w:style w:type="paragraph" w:styleId="Heading4">
    <w:name w:val="heading 4"/>
    <w:basedOn w:val="Normal"/>
    <w:next w:val="BodyText"/>
    <w:link w:val="Heading4Char"/>
    <w:qFormat/>
    <w:rsid w:val="00696572"/>
    <w:pPr>
      <w:keepNext/>
      <w:numPr>
        <w:ilvl w:val="3"/>
        <w:numId w:val="3"/>
      </w:numPr>
      <w:spacing w:before="60" w:after="60"/>
      <w:outlineLvl w:val="3"/>
    </w:pPr>
    <w:rPr>
      <w:b/>
      <w:i/>
    </w:rPr>
  </w:style>
  <w:style w:type="paragraph" w:styleId="Heading5">
    <w:name w:val="heading 5"/>
    <w:basedOn w:val="Normal"/>
    <w:next w:val="BodyText"/>
    <w:link w:val="Heading5Char"/>
    <w:qFormat/>
    <w:rsid w:val="00696572"/>
    <w:pPr>
      <w:keepNext/>
      <w:keepLines/>
      <w:numPr>
        <w:ilvl w:val="4"/>
        <w:numId w:val="3"/>
      </w:numPr>
      <w:spacing w:before="60" w:after="120"/>
      <w:outlineLvl w:val="4"/>
    </w:pPr>
    <w:rPr>
      <w:b/>
      <w:i/>
      <w:color w:val="DA291C"/>
    </w:rPr>
  </w:style>
  <w:style w:type="paragraph" w:styleId="Heading6">
    <w:name w:val="heading 6"/>
    <w:basedOn w:val="Normal"/>
    <w:next w:val="Normal"/>
    <w:link w:val="Heading6Char"/>
    <w:qFormat/>
    <w:rsid w:val="00696572"/>
    <w:pPr>
      <w:numPr>
        <w:ilvl w:val="5"/>
        <w:numId w:val="3"/>
      </w:numPr>
      <w:spacing w:before="60" w:after="60"/>
      <w:outlineLvl w:val="5"/>
    </w:pPr>
    <w:rPr>
      <w:b/>
      <w:bCs/>
      <w:szCs w:val="22"/>
    </w:rPr>
  </w:style>
  <w:style w:type="paragraph" w:styleId="Heading7">
    <w:name w:val="heading 7"/>
    <w:basedOn w:val="Normal"/>
    <w:next w:val="Normal"/>
    <w:link w:val="Heading7Char"/>
    <w:qFormat/>
    <w:rsid w:val="00696572"/>
    <w:pPr>
      <w:numPr>
        <w:ilvl w:val="6"/>
        <w:numId w:val="3"/>
      </w:numPr>
      <w:spacing w:before="240" w:after="60"/>
      <w:outlineLvl w:val="6"/>
    </w:pPr>
    <w:rPr>
      <w:sz w:val="24"/>
      <w:szCs w:val="24"/>
    </w:rPr>
  </w:style>
  <w:style w:type="paragraph" w:styleId="Heading8">
    <w:name w:val="heading 8"/>
    <w:basedOn w:val="Normal"/>
    <w:next w:val="Normal"/>
    <w:link w:val="Heading8Char"/>
    <w:qFormat/>
    <w:rsid w:val="00696572"/>
    <w:pPr>
      <w:numPr>
        <w:ilvl w:val="7"/>
        <w:numId w:val="3"/>
      </w:numPr>
      <w:spacing w:before="240" w:after="60"/>
      <w:outlineLvl w:val="7"/>
    </w:pPr>
    <w:rPr>
      <w:i/>
      <w:iCs/>
      <w:sz w:val="24"/>
      <w:szCs w:val="24"/>
    </w:rPr>
  </w:style>
  <w:style w:type="paragraph" w:styleId="Heading9">
    <w:name w:val="heading 9"/>
    <w:basedOn w:val="Normal"/>
    <w:next w:val="Normal"/>
    <w:link w:val="Heading9Char"/>
    <w:qFormat/>
    <w:rsid w:val="00696572"/>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basedOn w:val="DefaultParagraphFont"/>
    <w:link w:val="Heading1"/>
    <w:rsid w:val="00EE04FB"/>
    <w:rPr>
      <w:rFonts w:ascii="Arial" w:eastAsia="Times New Roman" w:hAnsi="Arial" w:cs="Times New Roman"/>
      <w:b/>
      <w:color w:val="FFFFFF"/>
      <w:kern w:val="28"/>
      <w:sz w:val="28"/>
      <w:szCs w:val="20"/>
      <w:shd w:val="clear" w:color="auto" w:fill="C00000"/>
    </w:rPr>
  </w:style>
  <w:style w:type="character" w:customStyle="1" w:styleId="Heading2Char">
    <w:name w:val="Heading 2 Char"/>
    <w:basedOn w:val="DefaultParagraphFont"/>
    <w:link w:val="Heading2"/>
    <w:rsid w:val="00C530A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696572"/>
    <w:rPr>
      <w:rFonts w:ascii="Arial" w:eastAsia="Times New Roman" w:hAnsi="Arial" w:cs="Times New Roman"/>
      <w:b/>
      <w:color w:val="000000" w:themeColor="text1"/>
      <w:sz w:val="20"/>
      <w:szCs w:val="20"/>
    </w:rPr>
  </w:style>
  <w:style w:type="character" w:customStyle="1" w:styleId="Heading4Char">
    <w:name w:val="Heading 4 Char"/>
    <w:basedOn w:val="DefaultParagraphFont"/>
    <w:link w:val="Heading4"/>
    <w:uiPriority w:val="9"/>
    <w:rsid w:val="00696572"/>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696572"/>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696572"/>
    <w:rPr>
      <w:rFonts w:ascii="Times New Roman" w:eastAsia="Times New Roman" w:hAnsi="Times New Roman" w:cs="Times New Roman"/>
      <w:b/>
      <w:bCs/>
    </w:rPr>
  </w:style>
  <w:style w:type="character" w:customStyle="1" w:styleId="Heading7Char">
    <w:name w:val="Heading 7 Char"/>
    <w:basedOn w:val="DefaultParagraphFont"/>
    <w:link w:val="Heading7"/>
    <w:rsid w:val="0069657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9657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96572"/>
    <w:rPr>
      <w:rFonts w:ascii="Arial" w:eastAsia="Times New Roman" w:hAnsi="Arial" w:cs="Arial"/>
    </w:rPr>
  </w:style>
  <w:style w:type="paragraph" w:styleId="Footer">
    <w:name w:val="footer"/>
    <w:basedOn w:val="Normal"/>
    <w:link w:val="FooterChar"/>
    <w:uiPriority w:val="99"/>
    <w:rsid w:val="00696572"/>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696572"/>
    <w:rPr>
      <w:rFonts w:ascii="Arial" w:eastAsia="Times New Roman" w:hAnsi="Arial" w:cs="Times New Roman"/>
      <w:b/>
      <w:color w:val="595959" w:themeColor="text1" w:themeTint="A6"/>
      <w:sz w:val="18"/>
      <w:szCs w:val="20"/>
    </w:rPr>
  </w:style>
  <w:style w:type="paragraph" w:customStyle="1" w:styleId="ExhibitRowHeader">
    <w:name w:val="Exhibit Row Header"/>
    <w:basedOn w:val="BodyText"/>
    <w:rsid w:val="00696572"/>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696572"/>
  </w:style>
  <w:style w:type="character" w:customStyle="1" w:styleId="BodyTextChar">
    <w:name w:val="Body Text Char"/>
    <w:basedOn w:val="DefaultParagraphFont"/>
    <w:link w:val="BodyText"/>
    <w:rsid w:val="00696572"/>
    <w:rPr>
      <w:rFonts w:ascii="Times New Roman" w:eastAsia="Times New Roman" w:hAnsi="Times New Roman" w:cs="Times New Roman"/>
      <w:szCs w:val="20"/>
    </w:rPr>
  </w:style>
  <w:style w:type="character" w:styleId="PageNumber">
    <w:name w:val="page number"/>
    <w:basedOn w:val="DefaultParagraphFont"/>
    <w:rsid w:val="00696572"/>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696572"/>
    <w:pPr>
      <w:spacing w:after="180"/>
    </w:pPr>
  </w:style>
  <w:style w:type="paragraph" w:customStyle="1" w:styleId="Bullets">
    <w:name w:val="Bullets"/>
    <w:basedOn w:val="BodyText"/>
    <w:rsid w:val="00696572"/>
    <w:pPr>
      <w:numPr>
        <w:numId w:val="5"/>
      </w:numPr>
      <w:spacing w:after="120"/>
    </w:pPr>
  </w:style>
  <w:style w:type="paragraph" w:customStyle="1" w:styleId="RefNumbers">
    <w:name w:val="Ref Numbers"/>
    <w:basedOn w:val="BodyText"/>
    <w:rsid w:val="00696572"/>
    <w:pPr>
      <w:numPr>
        <w:numId w:val="2"/>
      </w:numPr>
      <w:spacing w:after="240"/>
    </w:pPr>
  </w:style>
  <w:style w:type="paragraph" w:styleId="Header">
    <w:name w:val="header"/>
    <w:basedOn w:val="Normal"/>
    <w:link w:val="HeaderChar"/>
    <w:uiPriority w:val="99"/>
    <w:rsid w:val="00696572"/>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696572"/>
    <w:rPr>
      <w:rFonts w:ascii="Arial" w:eastAsia="Times New Roman" w:hAnsi="Arial" w:cs="Times New Roman"/>
      <w:b/>
      <w:color w:val="595959" w:themeColor="text1" w:themeTint="A6"/>
      <w:sz w:val="18"/>
      <w:szCs w:val="20"/>
    </w:rPr>
  </w:style>
  <w:style w:type="paragraph" w:styleId="TOC1">
    <w:name w:val="toc 1"/>
    <w:basedOn w:val="BodyText"/>
    <w:next w:val="BodyText"/>
    <w:uiPriority w:val="39"/>
    <w:rsid w:val="00696572"/>
    <w:pPr>
      <w:spacing w:before="240"/>
    </w:pPr>
    <w:rPr>
      <w:b/>
    </w:rPr>
  </w:style>
  <w:style w:type="character" w:styleId="CommentReference">
    <w:name w:val="annotation reference"/>
    <w:basedOn w:val="DefaultParagraphFont"/>
    <w:uiPriority w:val="99"/>
    <w:rsid w:val="00696572"/>
    <w:rPr>
      <w:sz w:val="16"/>
    </w:rPr>
  </w:style>
  <w:style w:type="paragraph" w:styleId="TOC2">
    <w:name w:val="toc 2"/>
    <w:basedOn w:val="BodyText"/>
    <w:next w:val="BodyText"/>
    <w:uiPriority w:val="39"/>
    <w:rsid w:val="00696572"/>
    <w:pPr>
      <w:spacing w:before="60" w:after="0"/>
      <w:ind w:left="576"/>
    </w:pPr>
  </w:style>
  <w:style w:type="paragraph" w:styleId="TOC3">
    <w:name w:val="toc 3"/>
    <w:basedOn w:val="BodyText"/>
    <w:next w:val="BodyText"/>
    <w:uiPriority w:val="39"/>
    <w:rsid w:val="00696572"/>
    <w:pPr>
      <w:spacing w:after="0"/>
      <w:ind w:left="1152"/>
    </w:pPr>
  </w:style>
  <w:style w:type="paragraph" w:styleId="TOC4">
    <w:name w:val="toc 4"/>
    <w:basedOn w:val="BodyText"/>
    <w:next w:val="BodyText"/>
    <w:semiHidden/>
    <w:rsid w:val="00696572"/>
    <w:pPr>
      <w:ind w:left="1728"/>
    </w:pPr>
  </w:style>
  <w:style w:type="paragraph" w:styleId="TOC5">
    <w:name w:val="toc 5"/>
    <w:basedOn w:val="Normal"/>
    <w:next w:val="Normal"/>
    <w:autoRedefine/>
    <w:semiHidden/>
    <w:rsid w:val="00696572"/>
    <w:pPr>
      <w:ind w:left="960"/>
    </w:pPr>
  </w:style>
  <w:style w:type="paragraph" w:styleId="TOC6">
    <w:name w:val="toc 6"/>
    <w:basedOn w:val="Normal"/>
    <w:next w:val="Normal"/>
    <w:autoRedefine/>
    <w:semiHidden/>
    <w:rsid w:val="00696572"/>
    <w:pPr>
      <w:ind w:left="1200"/>
    </w:pPr>
  </w:style>
  <w:style w:type="paragraph" w:styleId="TOC7">
    <w:name w:val="toc 7"/>
    <w:basedOn w:val="Normal"/>
    <w:next w:val="Normal"/>
    <w:autoRedefine/>
    <w:semiHidden/>
    <w:rsid w:val="00696572"/>
    <w:pPr>
      <w:ind w:left="1440"/>
    </w:pPr>
  </w:style>
  <w:style w:type="paragraph" w:styleId="TOC8">
    <w:name w:val="toc 8"/>
    <w:basedOn w:val="Normal"/>
    <w:next w:val="Normal"/>
    <w:autoRedefine/>
    <w:semiHidden/>
    <w:rsid w:val="00696572"/>
    <w:pPr>
      <w:ind w:left="1680"/>
    </w:pPr>
  </w:style>
  <w:style w:type="paragraph" w:styleId="TOC9">
    <w:name w:val="toc 9"/>
    <w:basedOn w:val="Normal"/>
    <w:next w:val="Normal"/>
    <w:autoRedefine/>
    <w:semiHidden/>
    <w:rsid w:val="00696572"/>
    <w:pPr>
      <w:ind w:left="1920"/>
    </w:pPr>
  </w:style>
  <w:style w:type="character" w:styleId="FootnoteReference">
    <w:name w:val="footnote reference"/>
    <w:aliases w:val="*Footnote Reference,footnote reference,fr"/>
    <w:basedOn w:val="DefaultParagraphFont"/>
    <w:uiPriority w:val="99"/>
    <w:rsid w:val="00696572"/>
    <w:rPr>
      <w:vertAlign w:val="superscript"/>
    </w:rPr>
  </w:style>
  <w:style w:type="paragraph" w:customStyle="1" w:styleId="Exhibit">
    <w:name w:val="Exhibit"/>
    <w:basedOn w:val="Normal"/>
    <w:rsid w:val="00696572"/>
    <w:rPr>
      <w:rFonts w:ascii="Arial" w:hAnsi="Arial"/>
      <w:sz w:val="18"/>
    </w:rPr>
  </w:style>
  <w:style w:type="paragraph" w:styleId="FootnoteText">
    <w:name w:val="footnote text"/>
    <w:aliases w:val="*Footnote Text,F,F1,Footnote Text Char Char,Footnote Text Char1,Footnote Text r,Footnote Text2,figure or table,fn,footnote text,ft"/>
    <w:basedOn w:val="Normal"/>
    <w:link w:val="FootnoteTextChar"/>
    <w:uiPriority w:val="99"/>
    <w:qFormat/>
    <w:rsid w:val="00696572"/>
    <w:pPr>
      <w:spacing w:after="120"/>
      <w:ind w:left="360" w:hanging="360"/>
    </w:pPr>
    <w:rPr>
      <w:sz w:val="20"/>
    </w:rPr>
  </w:style>
  <w:style w:type="character" w:customStyle="1" w:styleId="FootnoteTextChar">
    <w:name w:val="Footnote Text Char"/>
    <w:aliases w:val="*Footnote Text Char,F Char,F1 Char,Footnote Text Char Char Char,Footnote Text Char1 Char,Footnote Text r Char,Footnote Text2 Char,figure or table Char,fn Char,footnote text Char,ft Char"/>
    <w:basedOn w:val="DefaultParagraphFont"/>
    <w:link w:val="FootnoteText"/>
    <w:uiPriority w:val="99"/>
    <w:rsid w:val="00696572"/>
    <w:rPr>
      <w:rFonts w:ascii="Times New Roman" w:eastAsia="Times New Roman" w:hAnsi="Times New Roman" w:cs="Times New Roman"/>
      <w:sz w:val="20"/>
      <w:szCs w:val="20"/>
    </w:rPr>
  </w:style>
  <w:style w:type="paragraph" w:styleId="Index1">
    <w:name w:val="index 1"/>
    <w:basedOn w:val="Normal"/>
    <w:next w:val="Normal"/>
    <w:autoRedefine/>
    <w:semiHidden/>
    <w:rsid w:val="00696572"/>
    <w:pPr>
      <w:ind w:left="220" w:hanging="220"/>
    </w:pPr>
    <w:rPr>
      <w:sz w:val="20"/>
    </w:rPr>
  </w:style>
  <w:style w:type="paragraph" w:styleId="Index2">
    <w:name w:val="index 2"/>
    <w:basedOn w:val="Normal"/>
    <w:next w:val="Normal"/>
    <w:autoRedefine/>
    <w:semiHidden/>
    <w:rsid w:val="00696572"/>
    <w:pPr>
      <w:ind w:left="440" w:hanging="220"/>
    </w:pPr>
    <w:rPr>
      <w:sz w:val="20"/>
    </w:rPr>
  </w:style>
  <w:style w:type="paragraph" w:styleId="Index3">
    <w:name w:val="index 3"/>
    <w:basedOn w:val="Normal"/>
    <w:next w:val="Normal"/>
    <w:autoRedefine/>
    <w:semiHidden/>
    <w:rsid w:val="00696572"/>
    <w:pPr>
      <w:ind w:left="660" w:hanging="220"/>
    </w:pPr>
    <w:rPr>
      <w:sz w:val="20"/>
    </w:rPr>
  </w:style>
  <w:style w:type="paragraph" w:customStyle="1" w:styleId="Numbers">
    <w:name w:val="Numbers"/>
    <w:basedOn w:val="BodyText"/>
    <w:rsid w:val="00696572"/>
    <w:pPr>
      <w:numPr>
        <w:numId w:val="1"/>
      </w:numPr>
      <w:ind w:left="720"/>
    </w:pPr>
  </w:style>
  <w:style w:type="paragraph" w:customStyle="1" w:styleId="BoxText">
    <w:name w:val="Box Text"/>
    <w:basedOn w:val="BodyText"/>
    <w:rsid w:val="00696572"/>
    <w:rPr>
      <w:rFonts w:ascii="Arial" w:hAnsi="Arial" w:cs="Arial"/>
      <w:sz w:val="18"/>
    </w:rPr>
  </w:style>
  <w:style w:type="paragraph" w:styleId="CommentText">
    <w:name w:val="annotation text"/>
    <w:basedOn w:val="Normal"/>
    <w:link w:val="CommentTextChar"/>
    <w:uiPriority w:val="99"/>
    <w:rsid w:val="00696572"/>
    <w:rPr>
      <w:sz w:val="20"/>
    </w:rPr>
  </w:style>
  <w:style w:type="character" w:customStyle="1" w:styleId="CommentTextChar">
    <w:name w:val="Comment Text Char"/>
    <w:basedOn w:val="DefaultParagraphFont"/>
    <w:link w:val="CommentText"/>
    <w:uiPriority w:val="99"/>
    <w:rsid w:val="006965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96572"/>
    <w:rPr>
      <w:b/>
      <w:bCs/>
    </w:rPr>
  </w:style>
  <w:style w:type="character" w:customStyle="1" w:styleId="CommentSubjectChar">
    <w:name w:val="Comment Subject Char"/>
    <w:basedOn w:val="CommentTextChar"/>
    <w:link w:val="CommentSubject"/>
    <w:semiHidden/>
    <w:rsid w:val="00696572"/>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696572"/>
    <w:rPr>
      <w:rFonts w:ascii="Tahoma" w:hAnsi="Tahoma" w:cs="Tahoma"/>
      <w:sz w:val="16"/>
      <w:szCs w:val="16"/>
    </w:rPr>
  </w:style>
  <w:style w:type="character" w:customStyle="1" w:styleId="BalloonTextChar">
    <w:name w:val="Balloon Text Char"/>
    <w:basedOn w:val="DefaultParagraphFont"/>
    <w:link w:val="BalloonText"/>
    <w:semiHidden/>
    <w:rsid w:val="00696572"/>
    <w:rPr>
      <w:rFonts w:ascii="Tahoma" w:eastAsia="Times New Roman" w:hAnsi="Tahoma" w:cs="Tahoma"/>
      <w:sz w:val="16"/>
      <w:szCs w:val="16"/>
    </w:rPr>
  </w:style>
  <w:style w:type="table" w:styleId="TableGrid">
    <w:name w:val="Table Grid"/>
    <w:basedOn w:val="TableNormal"/>
    <w:uiPriority w:val="39"/>
    <w:rsid w:val="006965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96572"/>
    <w:rPr>
      <w:color w:val="0000FF"/>
      <w:u w:val="single"/>
    </w:rPr>
  </w:style>
  <w:style w:type="paragraph" w:customStyle="1" w:styleId="TOCHeader">
    <w:name w:val="TOC Header"/>
    <w:basedOn w:val="Normal"/>
    <w:next w:val="BodyText"/>
    <w:rsid w:val="00696572"/>
    <w:rPr>
      <w:rFonts w:ascii="Arial" w:hAnsi="Arial"/>
      <w:b/>
      <w:color w:val="898D8D"/>
      <w:sz w:val="24"/>
    </w:rPr>
  </w:style>
  <w:style w:type="paragraph" w:customStyle="1" w:styleId="ReportTitle-TOCPage">
    <w:name w:val="Report Title - TOC Page"/>
    <w:basedOn w:val="Normal"/>
    <w:next w:val="BodyText"/>
    <w:rsid w:val="00696572"/>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996FAC"/>
    <w:pPr>
      <w:spacing w:after="120" w:line="240" w:lineRule="auto"/>
    </w:pPr>
    <w:rPr>
      <w:rFonts w:ascii="Arial" w:hAnsi="Arial" w:cs="Arial"/>
      <w:b/>
      <w:szCs w:val="24"/>
    </w:rPr>
  </w:style>
  <w:style w:type="paragraph" w:customStyle="1" w:styleId="FooterLandscape">
    <w:name w:val="Footer Landscape"/>
    <w:basedOn w:val="Footer"/>
    <w:rsid w:val="00696572"/>
    <w:pPr>
      <w:tabs>
        <w:tab w:val="clear" w:pos="4507"/>
        <w:tab w:val="center" w:pos="6480"/>
        <w:tab w:val="clear" w:pos="9000"/>
        <w:tab w:val="right" w:pos="12960"/>
      </w:tabs>
    </w:pPr>
  </w:style>
  <w:style w:type="paragraph" w:customStyle="1" w:styleId="CoverTechorBusiness">
    <w:name w:val="Cover Tech or Business"/>
    <w:basedOn w:val="Normal"/>
    <w:qFormat/>
    <w:rsid w:val="00696572"/>
    <w:pPr>
      <w:shd w:val="solid" w:color="FFFFFF" w:fill="FFFFFF"/>
      <w:spacing w:line="276" w:lineRule="auto"/>
      <w:jc w:val="right"/>
    </w:pPr>
    <w:rPr>
      <w:rFonts w:ascii="Arial" w:hAnsi="Arial"/>
      <w:color w:val="DA291C"/>
      <w:sz w:val="20"/>
    </w:rPr>
  </w:style>
  <w:style w:type="paragraph" w:customStyle="1" w:styleId="Bullet2">
    <w:name w:val="Bullet2"/>
    <w:basedOn w:val="Normal"/>
    <w:rsid w:val="00696572"/>
    <w:pPr>
      <w:numPr>
        <w:numId w:val="4"/>
      </w:numPr>
      <w:spacing w:after="120"/>
    </w:pPr>
  </w:style>
  <w:style w:type="paragraph" w:customStyle="1" w:styleId="ProposalTitle">
    <w:name w:val="Proposal Title"/>
    <w:basedOn w:val="Normal"/>
    <w:qFormat/>
    <w:rsid w:val="00696572"/>
    <w:pPr>
      <w:autoSpaceDE w:val="0"/>
      <w:autoSpaceDN w:val="0"/>
      <w:adjustRightInd w:val="0"/>
      <w:ind w:left="6696" w:right="-792"/>
    </w:pPr>
    <w:rPr>
      <w:b/>
      <w:sz w:val="32"/>
      <w:szCs w:val="32"/>
    </w:rPr>
  </w:style>
  <w:style w:type="paragraph" w:customStyle="1" w:styleId="RFPNumber">
    <w:name w:val="RFP Number"/>
    <w:basedOn w:val="Normal"/>
    <w:qFormat/>
    <w:rsid w:val="00696572"/>
    <w:pPr>
      <w:autoSpaceDE w:val="0"/>
      <w:autoSpaceDN w:val="0"/>
      <w:adjustRightInd w:val="0"/>
      <w:ind w:left="6696" w:right="-792"/>
    </w:pPr>
    <w:rPr>
      <w:sz w:val="32"/>
      <w:szCs w:val="32"/>
    </w:rPr>
  </w:style>
  <w:style w:type="paragraph" w:customStyle="1" w:styleId="CoverTextRed16pt">
    <w:name w:val="Cover Text  Red 16pt"/>
    <w:basedOn w:val="Normal"/>
    <w:qFormat/>
    <w:rsid w:val="00696572"/>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696572"/>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696572"/>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696572"/>
    <w:rPr>
      <w:sz w:val="18"/>
      <w:szCs w:val="18"/>
    </w:rPr>
  </w:style>
  <w:style w:type="paragraph" w:customStyle="1" w:styleId="TableText">
    <w:name w:val="Table Text"/>
    <w:basedOn w:val="Normal"/>
    <w:qFormat/>
    <w:rsid w:val="00696572"/>
    <w:pPr>
      <w:spacing w:before="40" w:after="40"/>
    </w:pPr>
    <w:rPr>
      <w:rFonts w:ascii="Arial" w:hAnsi="Arial" w:cs="Arial"/>
      <w:bCs/>
      <w:color w:val="000000"/>
      <w:sz w:val="20"/>
    </w:rPr>
  </w:style>
  <w:style w:type="paragraph" w:customStyle="1" w:styleId="ExhibitSource">
    <w:name w:val="Exhibit Source"/>
    <w:basedOn w:val="Normal"/>
    <w:qFormat/>
    <w:rsid w:val="00696572"/>
    <w:pPr>
      <w:spacing w:before="120"/>
    </w:pPr>
    <w:rPr>
      <w:rFonts w:ascii="Arial" w:hAnsi="Arial" w:cs="Arial"/>
      <w:sz w:val="18"/>
    </w:rPr>
  </w:style>
  <w:style w:type="paragraph" w:customStyle="1" w:styleId="ExhibitText">
    <w:name w:val="Exhibit Text"/>
    <w:basedOn w:val="TableText"/>
    <w:qFormat/>
    <w:rsid w:val="00696572"/>
  </w:style>
  <w:style w:type="paragraph" w:customStyle="1" w:styleId="ExhibitColumnHeader">
    <w:name w:val="Exhibit Column Header"/>
    <w:basedOn w:val="ExhibitRowHeader"/>
    <w:qFormat/>
    <w:rsid w:val="00696572"/>
    <w:rPr>
      <w:color w:val="000000" w:themeColor="text1"/>
    </w:rPr>
  </w:style>
  <w:style w:type="paragraph" w:customStyle="1" w:styleId="CoverTextGreyBold">
    <w:name w:val="Cover Text Grey Bold"/>
    <w:basedOn w:val="Normal"/>
    <w:qFormat/>
    <w:rsid w:val="00696572"/>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696572"/>
    <w:pPr>
      <w:shd w:val="solid" w:color="FFFFFF" w:fill="FFFFFF"/>
      <w:spacing w:line="240" w:lineRule="auto"/>
      <w:jc w:val="both"/>
    </w:pPr>
    <w:rPr>
      <w:rFonts w:ascii="Arial" w:hAnsi="Arial"/>
      <w:color w:val="000000"/>
      <w:sz w:val="18"/>
    </w:rPr>
  </w:style>
  <w:style w:type="paragraph" w:customStyle="1" w:styleId="NormalSS">
    <w:name w:val="NormalSS"/>
    <w:basedOn w:val="Normal"/>
    <w:qFormat/>
    <w:rsid w:val="00696572"/>
    <w:pPr>
      <w:tabs>
        <w:tab w:val="left" w:pos="432"/>
      </w:tabs>
      <w:spacing w:after="0" w:line="240" w:lineRule="auto"/>
      <w:ind w:firstLine="432"/>
      <w:jc w:val="both"/>
    </w:pPr>
    <w:rPr>
      <w:sz w:val="24"/>
      <w:szCs w:val="24"/>
    </w:rPr>
  </w:style>
  <w:style w:type="paragraph" w:customStyle="1" w:styleId="ExhibitTitle">
    <w:name w:val="Exhibit Title"/>
    <w:basedOn w:val="Caption"/>
    <w:next w:val="BodyText"/>
    <w:rsid w:val="00696572"/>
    <w:pPr>
      <w:spacing w:after="40"/>
    </w:pPr>
  </w:style>
  <w:style w:type="paragraph" w:styleId="ListParagraph">
    <w:name w:val="List Paragraph"/>
    <w:aliases w:val="Bullets 3 pt,Primary Bullet List"/>
    <w:basedOn w:val="Normal"/>
    <w:link w:val="ListParagraphChar"/>
    <w:uiPriority w:val="34"/>
    <w:qFormat/>
    <w:rsid w:val="00696572"/>
    <w:pPr>
      <w:ind w:left="720"/>
      <w:contextualSpacing/>
    </w:pPr>
  </w:style>
  <w:style w:type="character" w:customStyle="1" w:styleId="apple-style-span">
    <w:name w:val="apple-style-span"/>
    <w:basedOn w:val="DefaultParagraphFont"/>
    <w:rsid w:val="00696572"/>
  </w:style>
  <w:style w:type="paragraph" w:styleId="Revision">
    <w:name w:val="Revision"/>
    <w:hidden/>
    <w:uiPriority w:val="99"/>
    <w:semiHidden/>
    <w:rsid w:val="00696572"/>
    <w:pPr>
      <w:spacing w:after="0" w:line="240" w:lineRule="auto"/>
    </w:pPr>
    <w:rPr>
      <w:rFonts w:ascii="Times New Roman" w:eastAsia="Times New Roman" w:hAnsi="Times New Roman" w:cs="Times New Roman"/>
      <w:szCs w:val="20"/>
    </w:rPr>
  </w:style>
  <w:style w:type="character" w:customStyle="1" w:styleId="apple-converted-space">
    <w:name w:val="apple-converted-space"/>
    <w:basedOn w:val="DefaultParagraphFont"/>
    <w:rsid w:val="00696572"/>
  </w:style>
  <w:style w:type="paragraph" w:styleId="TableofFigures">
    <w:name w:val="table of figures"/>
    <w:basedOn w:val="Normal"/>
    <w:next w:val="Normal"/>
    <w:uiPriority w:val="99"/>
    <w:rsid w:val="00696572"/>
    <w:pPr>
      <w:spacing w:after="0"/>
    </w:pPr>
  </w:style>
  <w:style w:type="paragraph" w:customStyle="1" w:styleId="FootnoteText10">
    <w:name w:val="Footnote Text1"/>
    <w:rsid w:val="00696572"/>
    <w:pPr>
      <w:spacing w:after="120" w:line="240" w:lineRule="auto"/>
      <w:ind w:left="360" w:hanging="360"/>
    </w:pPr>
    <w:rPr>
      <w:rFonts w:ascii="Times New Roman" w:eastAsia="ヒラギノ角ゴ Pro W3" w:hAnsi="Times New Roman" w:cs="Times New Roman"/>
      <w:color w:val="000000"/>
      <w:sz w:val="20"/>
      <w:szCs w:val="20"/>
    </w:rPr>
  </w:style>
  <w:style w:type="character" w:styleId="PlaceholderText">
    <w:name w:val="Placeholder Text"/>
    <w:basedOn w:val="DefaultParagraphFont"/>
    <w:uiPriority w:val="99"/>
    <w:semiHidden/>
    <w:rsid w:val="00696572"/>
    <w:rPr>
      <w:color w:val="808080"/>
    </w:rPr>
  </w:style>
  <w:style w:type="paragraph" w:customStyle="1" w:styleId="cAns">
    <w:name w:val="cAns"/>
    <w:basedOn w:val="Normal"/>
    <w:rsid w:val="00696572"/>
    <w:pPr>
      <w:numPr>
        <w:numId w:val="7"/>
      </w:numPr>
      <w:tabs>
        <w:tab w:val="left" w:pos="1170"/>
      </w:tabs>
      <w:spacing w:line="240" w:lineRule="auto"/>
    </w:pPr>
    <w:rPr>
      <w:rFonts w:ascii="Arial" w:hAnsi="Arial" w:cs="Arial"/>
      <w:sz w:val="20"/>
    </w:rPr>
  </w:style>
  <w:style w:type="paragraph" w:styleId="NormalWeb">
    <w:name w:val="Normal (Web)"/>
    <w:basedOn w:val="Normal"/>
    <w:uiPriority w:val="99"/>
    <w:unhideWhenUsed/>
    <w:rsid w:val="00696572"/>
    <w:pPr>
      <w:spacing w:before="100" w:beforeAutospacing="1" w:after="100" w:afterAutospacing="1" w:line="240" w:lineRule="auto"/>
    </w:pPr>
    <w:rPr>
      <w:rFonts w:eastAsiaTheme="minorEastAsia"/>
      <w:sz w:val="24"/>
      <w:szCs w:val="24"/>
    </w:rPr>
  </w:style>
  <w:style w:type="paragraph" w:customStyle="1" w:styleId="Table">
    <w:name w:val="Table"/>
    <w:basedOn w:val="Normal"/>
    <w:rsid w:val="00696572"/>
    <w:pPr>
      <w:tabs>
        <w:tab w:val="left" w:pos="720"/>
        <w:tab w:val="left" w:pos="1080"/>
        <w:tab w:val="left" w:pos="1440"/>
        <w:tab w:val="left" w:pos="1800"/>
      </w:tabs>
      <w:spacing w:after="0" w:line="240" w:lineRule="auto"/>
    </w:pPr>
    <w:rPr>
      <w:rFonts w:ascii="Arial" w:hAnsi="Arial"/>
      <w:sz w:val="20"/>
      <w:szCs w:val="24"/>
    </w:rPr>
  </w:style>
  <w:style w:type="paragraph" w:customStyle="1" w:styleId="IESPublications">
    <w:name w:val="IES_Publications"/>
    <w:rsid w:val="00696572"/>
    <w:pPr>
      <w:spacing w:after="120" w:line="240" w:lineRule="auto"/>
      <w:ind w:left="360" w:hanging="360"/>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F0468E"/>
    <w:rPr>
      <w:color w:val="800080" w:themeColor="followedHyperlink"/>
      <w:u w:val="single"/>
    </w:rPr>
  </w:style>
  <w:style w:type="paragraph" w:styleId="NoSpacing">
    <w:name w:val="No Spacing"/>
    <w:uiPriority w:val="1"/>
    <w:qFormat/>
    <w:rsid w:val="000F135E"/>
    <w:pPr>
      <w:spacing w:after="0" w:line="240" w:lineRule="auto"/>
    </w:pPr>
  </w:style>
  <w:style w:type="character" w:customStyle="1" w:styleId="ListParagraphChar">
    <w:name w:val="List Paragraph Char"/>
    <w:aliases w:val="Bullets 3 pt Char,Primary Bullet List Char"/>
    <w:link w:val="ListParagraph"/>
    <w:uiPriority w:val="99"/>
    <w:locked/>
    <w:rsid w:val="006510FD"/>
    <w:rPr>
      <w:rFonts w:ascii="Times New Roman" w:eastAsia="Times New Roman" w:hAnsi="Times New Roman" w:cs="Times New Roman"/>
      <w:szCs w:val="20"/>
    </w:rPr>
  </w:style>
  <w:style w:type="paragraph" w:customStyle="1" w:styleId="BodyTextGraphic">
    <w:name w:val="Body Text Graphic"/>
    <w:basedOn w:val="BodyText"/>
    <w:next w:val="BodyText"/>
    <w:qFormat/>
    <w:rsid w:val="002621D2"/>
    <w:pPr>
      <w:spacing w:after="360" w:line="240" w:lineRule="auto"/>
      <w:jc w:val="center"/>
    </w:pPr>
    <w:rPr>
      <w:lang w:val="en"/>
    </w:rPr>
  </w:style>
  <w:style w:type="table" w:customStyle="1" w:styleId="TableGrid1">
    <w:name w:val="Table Grid1"/>
    <w:basedOn w:val="TableNormal"/>
    <w:next w:val="TableGrid"/>
    <w:uiPriority w:val="39"/>
    <w:rsid w:val="002621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STTableText-Left">
    <w:name w:val="ITEST Table Text - Left"/>
    <w:basedOn w:val="Normal"/>
    <w:qFormat/>
    <w:rsid w:val="00127DB2"/>
    <w:pPr>
      <w:spacing w:before="40" w:after="40" w:line="240" w:lineRule="auto"/>
    </w:pPr>
    <w:rPr>
      <w:rFonts w:ascii="Arial" w:hAnsi="Arial" w:eastAsiaTheme="minorHAnsi" w:cs="Arial"/>
      <w:sz w:val="20"/>
    </w:rPr>
  </w:style>
  <w:style w:type="table" w:customStyle="1" w:styleId="TableGrid2">
    <w:name w:val="Table Grid2"/>
    <w:basedOn w:val="TableNormal"/>
    <w:next w:val="TableGrid"/>
    <w:rsid w:val="00127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STColumnHeader-Center">
    <w:name w:val="ITEST Column Header - Center"/>
    <w:basedOn w:val="Normal"/>
    <w:qFormat/>
    <w:rsid w:val="004016E7"/>
    <w:pPr>
      <w:spacing w:before="40" w:after="40" w:line="240" w:lineRule="auto"/>
      <w:jc w:val="center"/>
    </w:pPr>
    <w:rPr>
      <w:rFonts w:ascii="Arial" w:hAnsi="Arial" w:eastAsiaTheme="minorHAnsi" w:cs="Arial"/>
      <w:b/>
      <w:bCs/>
      <w:sz w:val="20"/>
    </w:rPr>
  </w:style>
  <w:style w:type="paragraph" w:customStyle="1" w:styleId="ITESTTableText-Center">
    <w:name w:val="ITEST Table Text - Center"/>
    <w:basedOn w:val="Normal"/>
    <w:qFormat/>
    <w:rsid w:val="004016E7"/>
    <w:pPr>
      <w:spacing w:before="40" w:after="40" w:line="240" w:lineRule="auto"/>
      <w:jc w:val="center"/>
    </w:pPr>
    <w:rPr>
      <w:rFonts w:ascii="Arial" w:hAnsi="Arial" w:eastAsiaTheme="minorHAnsi" w:cs="Arial"/>
      <w:sz w:val="20"/>
    </w:rPr>
  </w:style>
  <w:style w:type="paragraph" w:styleId="EndnoteText">
    <w:name w:val="endnote text"/>
    <w:basedOn w:val="Normal"/>
    <w:link w:val="EndnoteTextChar"/>
    <w:unhideWhenUsed/>
    <w:rsid w:val="00CE76E0"/>
    <w:pPr>
      <w:spacing w:after="0" w:line="240" w:lineRule="auto"/>
    </w:pPr>
    <w:rPr>
      <w:sz w:val="20"/>
    </w:rPr>
  </w:style>
  <w:style w:type="character" w:customStyle="1" w:styleId="EndnoteTextChar">
    <w:name w:val="Endnote Text Char"/>
    <w:basedOn w:val="DefaultParagraphFont"/>
    <w:link w:val="EndnoteText"/>
    <w:rsid w:val="00CE76E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E76E0"/>
    <w:rPr>
      <w:vertAlign w:val="superscript"/>
    </w:rPr>
  </w:style>
  <w:style w:type="table" w:styleId="GridTable2">
    <w:name w:val="Grid Table 2"/>
    <w:basedOn w:val="TableNormal"/>
    <w:uiPriority w:val="47"/>
    <w:rsid w:val="002F777B"/>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4">
    <w:name w:val="Grid Table 4 Accent 4"/>
    <w:basedOn w:val="TableNormal"/>
    <w:uiPriority w:val="49"/>
    <w:rsid w:val="002F777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4">
    <w:name w:val="Grid Table 2 Accent 4"/>
    <w:basedOn w:val="TableNormal"/>
    <w:uiPriority w:val="47"/>
    <w:rsid w:val="00547662"/>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Heading2a">
    <w:name w:val="Heading 2a"/>
    <w:basedOn w:val="Heading2"/>
    <w:link w:val="Heading2aChar"/>
    <w:qFormat/>
    <w:rsid w:val="00B57E4F"/>
    <w:pPr>
      <w:numPr>
        <w:ilvl w:val="0"/>
        <w:numId w:val="0"/>
      </w:numPr>
      <w:pBdr>
        <w:top w:val="none" w:sz="0" w:space="0" w:color="auto"/>
        <w:bottom w:val="none" w:sz="0" w:space="0" w:color="auto"/>
      </w:pBdr>
      <w:shd w:val="clear" w:color="auto" w:fill="auto"/>
      <w:ind w:left="720" w:hanging="720"/>
    </w:pPr>
    <w:rPr>
      <w:rFonts w:asciiTheme="minorHAnsi" w:hAnsiTheme="minorHAnsi" w:cstheme="minorHAnsi"/>
      <w:color w:val="4F81BD" w:themeColor="accent1"/>
      <w:sz w:val="28"/>
    </w:rPr>
  </w:style>
  <w:style w:type="character" w:customStyle="1" w:styleId="Heading2aChar">
    <w:name w:val="Heading 2a Char"/>
    <w:basedOn w:val="DefaultParagraphFont"/>
    <w:link w:val="Heading2a"/>
    <w:rsid w:val="00B57E4F"/>
    <w:rPr>
      <w:rFonts w:eastAsia="Times New Roman" w:cstheme="minorHAnsi"/>
      <w:b/>
      <w:bCs/>
      <w:iCs/>
      <w:color w:val="4F81BD" w:themeColor="accent1"/>
      <w:sz w:val="28"/>
      <w:szCs w:val="28"/>
    </w:rPr>
  </w:style>
  <w:style w:type="paragraph" w:customStyle="1" w:styleId="TableColumnHeader">
    <w:name w:val="Table Column Header"/>
    <w:basedOn w:val="Normal"/>
    <w:qFormat/>
    <w:rsid w:val="00D65182"/>
    <w:pPr>
      <w:spacing w:before="20" w:after="20" w:line="240" w:lineRule="auto"/>
      <w:jc w:val="center"/>
    </w:pPr>
    <w:rPr>
      <w:rFonts w:ascii="Arial Narrow" w:hAnsi="Arial Narrow"/>
      <w:b/>
      <w:color w:val="FFFFFF" w:themeColor="background1"/>
      <w:sz w:val="20"/>
    </w:rPr>
  </w:style>
  <w:style w:type="character" w:customStyle="1" w:styleId="apple-tab-span">
    <w:name w:val="apple-tab-span"/>
    <w:basedOn w:val="DefaultParagraphFont"/>
    <w:rsid w:val="00062786"/>
  </w:style>
  <w:style w:type="table" w:styleId="GridTable4Accent1">
    <w:name w:val="Grid Table 4 Accent 1"/>
    <w:basedOn w:val="TableNormal"/>
    <w:uiPriority w:val="49"/>
    <w:rsid w:val="00E7018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8">
    <w:name w:val="Table Grid18"/>
    <w:basedOn w:val="TableNormal"/>
    <w:next w:val="TableGrid"/>
    <w:uiPriority w:val="39"/>
    <w:rsid w:val="004B4B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F7EDF"/>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686D35"/>
  </w:style>
  <w:style w:type="character" w:customStyle="1" w:styleId="eop">
    <w:name w:val="eop"/>
    <w:basedOn w:val="DefaultParagraphFont"/>
    <w:rsid w:val="00686D35"/>
  </w:style>
  <w:style w:type="character" w:styleId="UnresolvedMention">
    <w:name w:val="Unresolved Mention"/>
    <w:basedOn w:val="DefaultParagraphFont"/>
    <w:uiPriority w:val="99"/>
    <w:semiHidden/>
    <w:unhideWhenUsed/>
    <w:rsid w:val="003B16B1"/>
    <w:rPr>
      <w:color w:val="605E5C"/>
      <w:shd w:val="clear" w:color="auto" w:fill="E1DFDD"/>
    </w:rPr>
  </w:style>
  <w:style w:type="character" w:styleId="Mention">
    <w:name w:val="Mention"/>
    <w:basedOn w:val="DefaultParagraphFont"/>
    <w:uiPriority w:val="99"/>
    <w:unhideWhenUsed/>
    <w:rsid w:val="00AE58A4"/>
    <w:rPr>
      <w:color w:val="2B579A"/>
      <w:shd w:val="clear" w:color="auto" w:fill="E1DFDD"/>
    </w:rPr>
  </w:style>
  <w:style w:type="character" w:customStyle="1" w:styleId="cf01">
    <w:name w:val="cf01"/>
    <w:basedOn w:val="DefaultParagraphFont"/>
    <w:rsid w:val="001B7FEC"/>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yperlink" Target="https://ies.ed.gov/ncee/wwc/practiceguide/22" TargetMode="External" /><Relationship Id="rId14" Type="http://schemas.openxmlformats.org/officeDocument/2006/relationships/hyperlink" Target="https://ies.ed.gov/ncee/wwc/Document/1297" TargetMode="External" /><Relationship Id="rId15" Type="http://schemas.openxmlformats.org/officeDocument/2006/relationships/hyperlink" Target="mailto:paul.burkander@sri.com" TargetMode="External" /><Relationship Id="rId16" Type="http://schemas.openxmlformats.org/officeDocument/2006/relationships/hyperlink" Target="mailto:ctydeman@mcrel.org" TargetMode="Externa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hyperlink" Target="https://doi.org/10.1080/19345747.2017.1300361" TargetMode="External" /><Relationship Id="rId2" Type="http://schemas.openxmlformats.org/officeDocument/2006/relationships/settings" Target="settings.xml" /><Relationship Id="rId20" Type="http://schemas.openxmlformats.org/officeDocument/2006/relationships/hyperlink" Target="https://doi.org/10.3102%2F0091732X18821125" TargetMode="External" /><Relationship Id="rId21" Type="http://schemas.openxmlformats.org/officeDocument/2006/relationships/hyperlink" Target="https://www.doi.org/10.4135/9781483384436" TargetMode="External" /><Relationship Id="rId22" Type="http://schemas.openxmlformats.org/officeDocument/2006/relationships/hyperlink" Target="https://ies.ed.gov/ncser/pubs/20103006/pdf/20103006.pdf" TargetMode="External" /><Relationship Id="rId23" Type="http://schemas.openxmlformats.org/officeDocument/2006/relationships/hyperlink" Target="https://doi.org/10.1177%2F0193841X14528906" TargetMode="External" /><Relationship Id="rId24" Type="http://schemas.openxmlformats.org/officeDocument/2006/relationships/hyperlink" Target="https://nces.ed.gov/nationsreportcard/writing/" TargetMode="External" /><Relationship Id="rId25" Type="http://schemas.openxmlformats.org/officeDocument/2006/relationships/hyperlink" Target="https://lincs.ed.gov/publications/pdf/NELPReport09.pdf" TargetMode="External" /><Relationship Id="rId26" Type="http://schemas.openxmlformats.org/officeDocument/2006/relationships/hyperlink" Target="https://doi.org/10.1080/19345747.2020.1821849" TargetMode="Externa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6090D37CA3B54AA55E36DB7F37EDBC" ma:contentTypeVersion="4" ma:contentTypeDescription="Create a new document." ma:contentTypeScope="" ma:versionID="40a65a9c6da86be9810e559346620d58">
  <xsd:schema xmlns:xsd="http://www.w3.org/2001/XMLSchema" xmlns:xs="http://www.w3.org/2001/XMLSchema" xmlns:p="http://schemas.microsoft.com/office/2006/metadata/properties" xmlns:ns2="e4071d5f-8efe-4ffc-9d04-e226653328eb" targetNamespace="http://schemas.microsoft.com/office/2006/metadata/properties" ma:root="true" ma:fieldsID="b39a8903082cda0b99c9b6b8f71e6d8c" ns2:_="">
    <xsd:import namespace="e4071d5f-8efe-4ffc-9d04-e226653328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71d5f-8efe-4ffc-9d04-e22665332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0F25-1D0A-4FD7-84AB-7E3EF24083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7B637E-685C-4BEF-9CD7-F03919237700}">
  <ds:schemaRefs>
    <ds:schemaRef ds:uri="http://schemas.microsoft.com/sharepoint/v3/contenttype/forms"/>
  </ds:schemaRefs>
</ds:datastoreItem>
</file>

<file path=customXml/itemProps3.xml><?xml version="1.0" encoding="utf-8"?>
<ds:datastoreItem xmlns:ds="http://schemas.openxmlformats.org/officeDocument/2006/customXml" ds:itemID="{E88F5FB9-F068-488E-BECF-765E0E65B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71d5f-8efe-4ffc-9d04-e22665332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70FDAE-E88F-4260-B0F7-C4B4F2E0F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13</Pages>
  <Words>6164</Words>
  <Characters>35140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Porowski</dc:creator>
  <cp:lastModifiedBy>Nolan, Elizabeth</cp:lastModifiedBy>
  <cp:revision>19</cp:revision>
  <cp:lastPrinted>2015-01-13T14:10:00Z</cp:lastPrinted>
  <dcterms:created xsi:type="dcterms:W3CDTF">2023-03-07T19:41:00Z</dcterms:created>
  <dcterms:modified xsi:type="dcterms:W3CDTF">2023-04-12T14:37:00Z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0x0101000F6090D37CA3B54AA55E36DB7F37EDBC</vt:lpwstr>
  </property>
  <property fmtid="{D5CDD505-2E9C-101B-9397-08002B2CF9AE}" pid="3" name="MediaServiceImageTags">
    <vt:lpwstr/>
  </property>
</Properties>
</file>