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5ADF" w:rsidP="006B770B" w14:paraId="6AC0B6AB" w14:textId="77777777">
      <w:pPr>
        <w:pStyle w:val="Cov-Title"/>
        <w:spacing w:before="1080"/>
      </w:pPr>
      <w:bookmarkStart w:id="0" w:name="_Toc62613679"/>
      <w:bookmarkStart w:id="1" w:name="_Toc62614425"/>
      <w:bookmarkStart w:id="2" w:name="_Toc62630085"/>
      <w:bookmarkStart w:id="3" w:name="_Toc94419923"/>
    </w:p>
    <w:p w:rsidR="006B770B" w:rsidP="006B770B" w14:paraId="744CF1C4" w14:textId="5357CF83">
      <w:pPr>
        <w:pStyle w:val="Cov-Title"/>
        <w:spacing w:before="1080"/>
        <w:rPr>
          <w:sz w:val="32"/>
          <w:szCs w:val="32"/>
        </w:rPr>
      </w:pPr>
      <w:r w:rsidRPr="00467437">
        <w:t>2020/2</w:t>
      </w:r>
      <w:r>
        <w:t>5</w:t>
      </w:r>
      <w:r w:rsidRPr="00467437">
        <w:t xml:space="preserve"> Beginning Postsecondary Students (BPS:20/2</w:t>
      </w:r>
      <w:r>
        <w:t>5</w:t>
      </w:r>
      <w:r w:rsidRPr="00467437">
        <w:t xml:space="preserve">) </w:t>
      </w:r>
      <w:r>
        <w:t>Full-Scale Study</w:t>
      </w:r>
    </w:p>
    <w:p w:rsidR="00B75F1D" w:rsidP="00B75F1D" w14:paraId="312BEB4E" w14:textId="77777777">
      <w:pPr>
        <w:pStyle w:val="Cov-Subtitle"/>
        <w:spacing w:before="480"/>
        <w:rPr>
          <w:szCs w:val="32"/>
        </w:rPr>
      </w:pPr>
      <w:r w:rsidRPr="00B75F1D">
        <w:rPr>
          <w:szCs w:val="32"/>
        </w:rPr>
        <w:t xml:space="preserve">Supporting Statement </w:t>
      </w:r>
      <w:r w:rsidRPr="00B75F1D" w:rsidR="007943E4">
        <w:rPr>
          <w:szCs w:val="32"/>
        </w:rPr>
        <w:t>Part A</w:t>
      </w:r>
    </w:p>
    <w:p w:rsidR="006B770B" w:rsidP="006B770B" w14:paraId="7833821F" w14:textId="37D6145B">
      <w:pPr>
        <w:pStyle w:val="Cov-Subtitle"/>
        <w:spacing w:before="480"/>
        <w:rPr>
          <w:szCs w:val="32"/>
        </w:rPr>
      </w:pPr>
      <w:r>
        <w:t xml:space="preserve">OMB # </w:t>
      </w:r>
      <w:r>
        <w:rPr>
          <w:szCs w:val="32"/>
        </w:rPr>
        <w:t>1850-</w:t>
      </w:r>
      <w:r w:rsidRPr="00100543">
        <w:rPr>
          <w:szCs w:val="32"/>
        </w:rPr>
        <w:t>0631 v.</w:t>
      </w:r>
      <w:r w:rsidR="00A12A14">
        <w:rPr>
          <w:szCs w:val="32"/>
        </w:rPr>
        <w:t>2</w:t>
      </w:r>
      <w:r w:rsidRPr="00100543" w:rsidR="00100543">
        <w:rPr>
          <w:szCs w:val="32"/>
        </w:rPr>
        <w:t>1</w:t>
      </w:r>
    </w:p>
    <w:p w:rsidR="00E84DB5" w:rsidRPr="00B75F1D" w:rsidP="40F5E707" w14:paraId="3756B440" w14:textId="6B13CD54">
      <w:pPr>
        <w:pStyle w:val="Cov-Subtitle"/>
        <w:spacing w:before="480"/>
        <w:rPr>
          <w:b/>
          <w:bCs/>
        </w:rPr>
      </w:pPr>
    </w:p>
    <w:p w:rsidR="0079416A" w:rsidRPr="00477529" w:rsidP="00B75F1D" w14:paraId="1455D20D" w14:textId="77777777">
      <w:pPr>
        <w:pStyle w:val="Cov-Address"/>
        <w:spacing w:before="3240"/>
        <w:rPr>
          <w:b/>
        </w:rPr>
      </w:pPr>
      <w:r w:rsidRPr="00477529">
        <w:rPr>
          <w:b/>
        </w:rPr>
        <w:t>Submitted by</w:t>
      </w:r>
    </w:p>
    <w:p w:rsidR="00363BC6" w:rsidRPr="00477529" w:rsidP="007B3A35" w14:paraId="3B67F3CC" w14:textId="77777777">
      <w:pPr>
        <w:pStyle w:val="Cov-Address"/>
        <w:rPr>
          <w:b/>
        </w:rPr>
      </w:pPr>
      <w:r w:rsidRPr="00477529">
        <w:rPr>
          <w:b/>
        </w:rPr>
        <w:t>National Center for Education Statistics</w:t>
      </w:r>
    </w:p>
    <w:p w:rsidR="00363BC6" w:rsidRPr="00477529" w:rsidP="007B3A35" w14:paraId="1E009FFE" w14:textId="77777777">
      <w:pPr>
        <w:pStyle w:val="Cov-Address"/>
        <w:rPr>
          <w:b/>
          <w:bCs/>
        </w:rPr>
      </w:pPr>
      <w:r w:rsidRPr="00477529">
        <w:rPr>
          <w:b/>
        </w:rPr>
        <w:t>U.S. Department of Education</w:t>
      </w:r>
    </w:p>
    <w:p w:rsidR="00910011" w:rsidP="005F323F" w14:paraId="699784C3" w14:textId="06D9D3E2">
      <w:pPr>
        <w:pStyle w:val="Cov-Address"/>
        <w:spacing w:before="2640"/>
        <w:rPr>
          <w:b/>
          <w:bCs/>
        </w:rPr>
      </w:pPr>
      <w:r>
        <w:rPr>
          <w:b/>
          <w:bCs/>
        </w:rPr>
        <w:t>October</w:t>
      </w:r>
      <w:r w:rsidR="00100543">
        <w:rPr>
          <w:b/>
          <w:bCs/>
        </w:rPr>
        <w:t xml:space="preserve"> 2024</w:t>
      </w:r>
    </w:p>
    <w:bookmarkEnd w:id="0"/>
    <w:bookmarkEnd w:id="1"/>
    <w:bookmarkEnd w:id="2"/>
    <w:bookmarkEnd w:id="3"/>
    <w:p w:rsidR="00B943D1" w:rsidRPr="00477529" w:rsidP="007B3A35" w14:paraId="2EAF6152" w14:textId="77777777"/>
    <w:p w:rsidR="00A6118C" w:rsidRPr="00810383" w:rsidP="007B3A35" w14:paraId="2635E6AC" w14:textId="77777777">
      <w:pPr>
        <w:pStyle w:val="TOCHeading"/>
        <w:spacing w:after="120"/>
      </w:pPr>
      <w:r w:rsidRPr="00810383">
        <w:t>Contents</w:t>
      </w:r>
    </w:p>
    <w:p w:rsidR="005B361C" w14:paraId="7AC5E0A7" w14:textId="52F81AD6">
      <w:pPr>
        <w:pStyle w:val="TOC1"/>
        <w:rPr>
          <w:rFonts w:asciiTheme="minorHAnsi" w:eastAsiaTheme="minorEastAsia" w:hAnsiTheme="minorHAnsi" w:cstheme="minorBidi"/>
          <w:b w:val="0"/>
          <w:bCs w:val="0"/>
          <w:kern w:val="2"/>
          <w:szCs w:val="22"/>
          <w14:ligatures w14:val="standardContextual"/>
        </w:rPr>
      </w:pPr>
      <w:r w:rsidRPr="00660BA8">
        <w:rPr>
          <w:szCs w:val="22"/>
          <w:highlight w:val="yellow"/>
        </w:rPr>
        <w:fldChar w:fldCharType="begin"/>
      </w:r>
      <w:r w:rsidRPr="00660BA8">
        <w:rPr>
          <w:szCs w:val="22"/>
          <w:highlight w:val="yellow"/>
        </w:rPr>
        <w:instrText xml:space="preserve"> TOC \o "1-3" </w:instrText>
      </w:r>
      <w:r w:rsidRPr="00660BA8">
        <w:rPr>
          <w:szCs w:val="22"/>
          <w:highlight w:val="yellow"/>
        </w:rPr>
        <w:fldChar w:fldCharType="separate"/>
      </w:r>
      <w:r>
        <w:t>A.</w:t>
      </w:r>
      <w:r>
        <w:rPr>
          <w:rFonts w:asciiTheme="minorHAnsi" w:eastAsiaTheme="minorEastAsia" w:hAnsiTheme="minorHAnsi" w:cstheme="minorBidi"/>
          <w:b w:val="0"/>
          <w:bCs w:val="0"/>
          <w:kern w:val="2"/>
          <w:szCs w:val="22"/>
          <w14:ligatures w14:val="standardContextual"/>
        </w:rPr>
        <w:tab/>
      </w:r>
      <w:r>
        <w:t>Justification</w:t>
      </w:r>
      <w:r>
        <w:tab/>
      </w:r>
      <w:r>
        <w:fldChar w:fldCharType="begin"/>
      </w:r>
      <w:r>
        <w:instrText xml:space="preserve"> PAGEREF _Toc174598601 \h </w:instrText>
      </w:r>
      <w:r>
        <w:fldChar w:fldCharType="separate"/>
      </w:r>
      <w:r>
        <w:t>1</w:t>
      </w:r>
      <w:r>
        <w:fldChar w:fldCharType="end"/>
      </w:r>
    </w:p>
    <w:p w:rsidR="005B361C" w14:paraId="14487077" w14:textId="05E65005">
      <w:pPr>
        <w:pStyle w:val="TOC2"/>
        <w:tabs>
          <w:tab w:val="left" w:pos="1080"/>
        </w:tabs>
        <w:rPr>
          <w:rFonts w:asciiTheme="minorHAnsi" w:eastAsiaTheme="minorEastAsia" w:hAnsiTheme="minorHAnsi" w:cstheme="minorBidi"/>
          <w:bCs w:val="0"/>
          <w:kern w:val="2"/>
          <w:szCs w:val="22"/>
          <w14:ligatures w14:val="standardContextual"/>
        </w:rPr>
      </w:pPr>
      <w:r>
        <w:t>1.</w:t>
      </w:r>
      <w:r>
        <w:rPr>
          <w:rFonts w:asciiTheme="minorHAnsi" w:eastAsiaTheme="minorEastAsia" w:hAnsiTheme="minorHAnsi" w:cstheme="minorBidi"/>
          <w:bCs w:val="0"/>
          <w:kern w:val="2"/>
          <w:szCs w:val="22"/>
          <w14:ligatures w14:val="standardContextual"/>
        </w:rPr>
        <w:tab/>
      </w:r>
      <w:r>
        <w:t>Circumstances Making Collection of Information Necessary</w:t>
      </w:r>
      <w:r>
        <w:tab/>
      </w:r>
      <w:r>
        <w:fldChar w:fldCharType="begin"/>
      </w:r>
      <w:r>
        <w:instrText xml:space="preserve"> PAGEREF _Toc174598602 \h </w:instrText>
      </w:r>
      <w:r>
        <w:fldChar w:fldCharType="separate"/>
      </w:r>
      <w:r>
        <w:t>1</w:t>
      </w:r>
      <w:r>
        <w:fldChar w:fldCharType="end"/>
      </w:r>
    </w:p>
    <w:p w:rsidR="005B361C" w14:paraId="3A0F3A35" w14:textId="69661593">
      <w:pPr>
        <w:pStyle w:val="TOC3"/>
        <w:tabs>
          <w:tab w:val="left" w:pos="1080"/>
        </w:tabs>
        <w:rPr>
          <w:rFonts w:asciiTheme="minorHAnsi" w:eastAsiaTheme="minorEastAsia" w:hAnsiTheme="minorHAnsi" w:cstheme="minorBidi"/>
          <w:kern w:val="2"/>
          <w:szCs w:val="22"/>
          <w14:ligatures w14:val="standardContextual"/>
        </w:rPr>
      </w:pPr>
      <w:r>
        <w:t>a.</w:t>
      </w:r>
      <w:r>
        <w:rPr>
          <w:rFonts w:asciiTheme="minorHAnsi" w:eastAsiaTheme="minorEastAsia" w:hAnsiTheme="minorHAnsi" w:cstheme="minorBidi"/>
          <w:kern w:val="2"/>
          <w:szCs w:val="22"/>
          <w14:ligatures w14:val="standardContextual"/>
        </w:rPr>
        <w:tab/>
      </w:r>
      <w:r>
        <w:t>Purpose of this Submission</w:t>
      </w:r>
      <w:r>
        <w:tab/>
      </w:r>
      <w:r>
        <w:fldChar w:fldCharType="begin"/>
      </w:r>
      <w:r>
        <w:instrText xml:space="preserve"> PAGEREF _Toc174598603 \h </w:instrText>
      </w:r>
      <w:r>
        <w:fldChar w:fldCharType="separate"/>
      </w:r>
      <w:r>
        <w:t>1</w:t>
      </w:r>
      <w:r>
        <w:fldChar w:fldCharType="end"/>
      </w:r>
    </w:p>
    <w:p w:rsidR="005B361C" w14:paraId="7538C6D6" w14:textId="33F48B05">
      <w:pPr>
        <w:pStyle w:val="TOC3"/>
        <w:tabs>
          <w:tab w:val="left" w:pos="1320"/>
        </w:tabs>
        <w:rPr>
          <w:rFonts w:asciiTheme="minorHAnsi" w:eastAsiaTheme="minorEastAsia" w:hAnsiTheme="minorHAnsi" w:cstheme="minorBidi"/>
          <w:kern w:val="2"/>
          <w:szCs w:val="22"/>
          <w14:ligatures w14:val="standardContextual"/>
        </w:rPr>
      </w:pPr>
      <w:r>
        <w:t>b.</w:t>
      </w:r>
      <w:r>
        <w:rPr>
          <w:rFonts w:asciiTheme="minorHAnsi" w:eastAsiaTheme="minorEastAsia" w:hAnsiTheme="minorHAnsi" w:cstheme="minorBidi"/>
          <w:kern w:val="2"/>
          <w:szCs w:val="22"/>
          <w14:ligatures w14:val="standardContextual"/>
        </w:rPr>
        <w:tab/>
      </w:r>
      <w:r>
        <w:t>Legislative Authorization</w:t>
      </w:r>
      <w:r>
        <w:tab/>
      </w:r>
      <w:r>
        <w:fldChar w:fldCharType="begin"/>
      </w:r>
      <w:r>
        <w:instrText xml:space="preserve"> PAGEREF _Toc174598604 \h </w:instrText>
      </w:r>
      <w:r>
        <w:fldChar w:fldCharType="separate"/>
      </w:r>
      <w:r>
        <w:t>1</w:t>
      </w:r>
      <w:r>
        <w:fldChar w:fldCharType="end"/>
      </w:r>
    </w:p>
    <w:p w:rsidR="005B361C" w14:paraId="1E30F9CE" w14:textId="420B1AC4">
      <w:pPr>
        <w:pStyle w:val="TOC3"/>
        <w:tabs>
          <w:tab w:val="left" w:pos="1100"/>
        </w:tabs>
        <w:rPr>
          <w:rFonts w:asciiTheme="minorHAnsi" w:eastAsiaTheme="minorEastAsia" w:hAnsiTheme="minorHAnsi" w:cstheme="minorBidi"/>
          <w:kern w:val="2"/>
          <w:szCs w:val="22"/>
          <w14:ligatures w14:val="standardContextual"/>
        </w:rPr>
      </w:pPr>
      <w:r>
        <w:t>c.</w:t>
      </w:r>
      <w:r>
        <w:rPr>
          <w:rFonts w:asciiTheme="minorHAnsi" w:eastAsiaTheme="minorEastAsia" w:hAnsiTheme="minorHAnsi" w:cstheme="minorBidi"/>
          <w:kern w:val="2"/>
          <w:szCs w:val="22"/>
          <w14:ligatures w14:val="standardContextual"/>
        </w:rPr>
        <w:tab/>
      </w:r>
      <w:r>
        <w:t>Prior BPS Studies</w:t>
      </w:r>
      <w:r>
        <w:tab/>
      </w:r>
      <w:r>
        <w:fldChar w:fldCharType="begin"/>
      </w:r>
      <w:r>
        <w:instrText xml:space="preserve"> PAGEREF _Toc174598605 \h </w:instrText>
      </w:r>
      <w:r>
        <w:fldChar w:fldCharType="separate"/>
      </w:r>
      <w:r>
        <w:t>2</w:t>
      </w:r>
      <w:r>
        <w:fldChar w:fldCharType="end"/>
      </w:r>
    </w:p>
    <w:p w:rsidR="005B361C" w14:paraId="57EC0344" w14:textId="4DAE365A">
      <w:pPr>
        <w:pStyle w:val="TOC3"/>
        <w:tabs>
          <w:tab w:val="left" w:pos="1100"/>
        </w:tabs>
        <w:rPr>
          <w:rFonts w:asciiTheme="minorHAnsi" w:eastAsiaTheme="minorEastAsia" w:hAnsiTheme="minorHAnsi" w:cstheme="minorBidi"/>
          <w:kern w:val="2"/>
          <w:szCs w:val="22"/>
          <w14:ligatures w14:val="standardContextual"/>
        </w:rPr>
      </w:pPr>
      <w:r>
        <w:t>d.</w:t>
      </w:r>
      <w:r>
        <w:rPr>
          <w:rFonts w:asciiTheme="minorHAnsi" w:eastAsiaTheme="minorEastAsia" w:hAnsiTheme="minorHAnsi" w:cstheme="minorBidi"/>
          <w:kern w:val="2"/>
          <w:szCs w:val="22"/>
          <w14:ligatures w14:val="standardContextual"/>
        </w:rPr>
        <w:tab/>
      </w:r>
      <w:r>
        <w:t>Prior and Related Studies</w:t>
      </w:r>
      <w:r>
        <w:tab/>
      </w:r>
      <w:r>
        <w:fldChar w:fldCharType="begin"/>
      </w:r>
      <w:r>
        <w:instrText xml:space="preserve"> PAGEREF _Toc174598606 \h </w:instrText>
      </w:r>
      <w:r>
        <w:fldChar w:fldCharType="separate"/>
      </w:r>
      <w:r>
        <w:t>2</w:t>
      </w:r>
      <w:r>
        <w:fldChar w:fldCharType="end"/>
      </w:r>
    </w:p>
    <w:p w:rsidR="005B361C" w14:paraId="144620B9" w14:textId="35A3969F">
      <w:pPr>
        <w:pStyle w:val="TOC2"/>
        <w:tabs>
          <w:tab w:val="left" w:pos="1080"/>
        </w:tabs>
        <w:rPr>
          <w:rFonts w:asciiTheme="minorHAnsi" w:eastAsiaTheme="minorEastAsia" w:hAnsiTheme="minorHAnsi" w:cstheme="minorBidi"/>
          <w:bCs w:val="0"/>
          <w:kern w:val="2"/>
          <w:szCs w:val="22"/>
          <w14:ligatures w14:val="standardContextual"/>
        </w:rPr>
      </w:pPr>
      <w:r>
        <w:t>2.</w:t>
      </w:r>
      <w:r>
        <w:rPr>
          <w:rFonts w:asciiTheme="minorHAnsi" w:eastAsiaTheme="minorEastAsia" w:hAnsiTheme="minorHAnsi" w:cstheme="minorBidi"/>
          <w:bCs w:val="0"/>
          <w:kern w:val="2"/>
          <w:szCs w:val="22"/>
          <w14:ligatures w14:val="standardContextual"/>
        </w:rPr>
        <w:tab/>
      </w:r>
      <w:r>
        <w:t>Purposes and Uses of the Data</w:t>
      </w:r>
      <w:r>
        <w:tab/>
      </w:r>
      <w:r>
        <w:fldChar w:fldCharType="begin"/>
      </w:r>
      <w:r>
        <w:instrText xml:space="preserve"> PAGEREF _Toc174598607 \h </w:instrText>
      </w:r>
      <w:r>
        <w:fldChar w:fldCharType="separate"/>
      </w:r>
      <w:r>
        <w:t>3</w:t>
      </w:r>
      <w:r>
        <w:fldChar w:fldCharType="end"/>
      </w:r>
    </w:p>
    <w:p w:rsidR="005B361C" w14:paraId="61620497" w14:textId="48F94799">
      <w:pPr>
        <w:pStyle w:val="TOC3"/>
        <w:tabs>
          <w:tab w:val="left" w:pos="1080"/>
        </w:tabs>
        <w:rPr>
          <w:rFonts w:asciiTheme="minorHAnsi" w:eastAsiaTheme="minorEastAsia" w:hAnsiTheme="minorHAnsi" w:cstheme="minorBidi"/>
          <w:kern w:val="2"/>
          <w:szCs w:val="22"/>
          <w14:ligatures w14:val="standardContextual"/>
        </w:rPr>
      </w:pPr>
      <w:r>
        <w:t>a.</w:t>
      </w:r>
      <w:r>
        <w:rPr>
          <w:rFonts w:asciiTheme="minorHAnsi" w:eastAsiaTheme="minorEastAsia" w:hAnsiTheme="minorHAnsi" w:cstheme="minorBidi"/>
          <w:kern w:val="2"/>
          <w:szCs w:val="22"/>
          <w14:ligatures w14:val="standardContextual"/>
        </w:rPr>
        <w:tab/>
      </w:r>
      <w:r>
        <w:t>BPS:20/25 Purposes</w:t>
      </w:r>
      <w:r>
        <w:tab/>
      </w:r>
      <w:r>
        <w:fldChar w:fldCharType="begin"/>
      </w:r>
      <w:r>
        <w:instrText xml:space="preserve"> PAGEREF _Toc174598608 \h </w:instrText>
      </w:r>
      <w:r>
        <w:fldChar w:fldCharType="separate"/>
      </w:r>
      <w:r>
        <w:t>3</w:t>
      </w:r>
      <w:r>
        <w:fldChar w:fldCharType="end"/>
      </w:r>
    </w:p>
    <w:p w:rsidR="005B361C" w14:paraId="0856F538" w14:textId="29BFEAB1">
      <w:pPr>
        <w:pStyle w:val="TOC3"/>
        <w:tabs>
          <w:tab w:val="left" w:pos="1320"/>
        </w:tabs>
        <w:rPr>
          <w:rFonts w:asciiTheme="minorHAnsi" w:eastAsiaTheme="minorEastAsia" w:hAnsiTheme="minorHAnsi" w:cstheme="minorBidi"/>
          <w:kern w:val="2"/>
          <w:szCs w:val="22"/>
          <w14:ligatures w14:val="standardContextual"/>
        </w:rPr>
      </w:pPr>
      <w:r>
        <w:t>b.</w:t>
      </w:r>
      <w:r>
        <w:rPr>
          <w:rFonts w:asciiTheme="minorHAnsi" w:eastAsiaTheme="minorEastAsia" w:hAnsiTheme="minorHAnsi" w:cstheme="minorBidi"/>
          <w:kern w:val="2"/>
          <w:szCs w:val="22"/>
          <w14:ligatures w14:val="standardContextual"/>
        </w:rPr>
        <w:tab/>
      </w:r>
      <w:r>
        <w:t>BPS:20/25 Research and Policy Issues</w:t>
      </w:r>
      <w:r>
        <w:tab/>
      </w:r>
      <w:r>
        <w:fldChar w:fldCharType="begin"/>
      </w:r>
      <w:r>
        <w:instrText xml:space="preserve"> PAGEREF _Toc174598609 \h </w:instrText>
      </w:r>
      <w:r>
        <w:fldChar w:fldCharType="separate"/>
      </w:r>
      <w:r>
        <w:t>4</w:t>
      </w:r>
      <w:r>
        <w:fldChar w:fldCharType="end"/>
      </w:r>
    </w:p>
    <w:p w:rsidR="005B361C" w14:paraId="0B0A0917" w14:textId="0718A12D">
      <w:pPr>
        <w:pStyle w:val="TOC2"/>
        <w:tabs>
          <w:tab w:val="left" w:pos="1080"/>
        </w:tabs>
        <w:rPr>
          <w:rFonts w:asciiTheme="minorHAnsi" w:eastAsiaTheme="minorEastAsia" w:hAnsiTheme="minorHAnsi" w:cstheme="minorBidi"/>
          <w:bCs w:val="0"/>
          <w:kern w:val="2"/>
          <w:szCs w:val="22"/>
          <w14:ligatures w14:val="standardContextual"/>
        </w:rPr>
      </w:pPr>
      <w:r>
        <w:t>3.</w:t>
      </w:r>
      <w:r>
        <w:rPr>
          <w:rFonts w:asciiTheme="minorHAnsi" w:eastAsiaTheme="minorEastAsia" w:hAnsiTheme="minorHAnsi" w:cstheme="minorBidi"/>
          <w:bCs w:val="0"/>
          <w:kern w:val="2"/>
          <w:szCs w:val="22"/>
          <w14:ligatures w14:val="standardContextual"/>
        </w:rPr>
        <w:tab/>
      </w:r>
      <w:r>
        <w:t>Use of Information Technology</w:t>
      </w:r>
      <w:r>
        <w:tab/>
      </w:r>
      <w:r>
        <w:fldChar w:fldCharType="begin"/>
      </w:r>
      <w:r>
        <w:instrText xml:space="preserve"> PAGEREF _Toc174598610 \h </w:instrText>
      </w:r>
      <w:r>
        <w:fldChar w:fldCharType="separate"/>
      </w:r>
      <w:r>
        <w:t>5</w:t>
      </w:r>
      <w:r>
        <w:fldChar w:fldCharType="end"/>
      </w:r>
    </w:p>
    <w:p w:rsidR="005B361C" w14:paraId="1B0B5D1F" w14:textId="12F0F4A7">
      <w:pPr>
        <w:pStyle w:val="TOC2"/>
        <w:tabs>
          <w:tab w:val="left" w:pos="1080"/>
        </w:tabs>
        <w:rPr>
          <w:rFonts w:asciiTheme="minorHAnsi" w:eastAsiaTheme="minorEastAsia" w:hAnsiTheme="minorHAnsi" w:cstheme="minorBidi"/>
          <w:bCs w:val="0"/>
          <w:kern w:val="2"/>
          <w:szCs w:val="22"/>
          <w14:ligatures w14:val="standardContextual"/>
        </w:rPr>
      </w:pPr>
      <w:r>
        <w:t>4.</w:t>
      </w:r>
      <w:r>
        <w:rPr>
          <w:rFonts w:asciiTheme="minorHAnsi" w:eastAsiaTheme="minorEastAsia" w:hAnsiTheme="minorHAnsi" w:cstheme="minorBidi"/>
          <w:bCs w:val="0"/>
          <w:kern w:val="2"/>
          <w:szCs w:val="22"/>
          <w14:ligatures w14:val="standardContextual"/>
        </w:rPr>
        <w:tab/>
      </w:r>
      <w:r>
        <w:t>Efforts to Identify Duplication</w:t>
      </w:r>
      <w:r>
        <w:tab/>
      </w:r>
      <w:r>
        <w:fldChar w:fldCharType="begin"/>
      </w:r>
      <w:r>
        <w:instrText xml:space="preserve"> PAGEREF _Toc174598611 \h </w:instrText>
      </w:r>
      <w:r>
        <w:fldChar w:fldCharType="separate"/>
      </w:r>
      <w:r>
        <w:t>6</w:t>
      </w:r>
      <w:r>
        <w:fldChar w:fldCharType="end"/>
      </w:r>
    </w:p>
    <w:p w:rsidR="005B361C" w14:paraId="1E0036B8" w14:textId="1D9E056E">
      <w:pPr>
        <w:pStyle w:val="TOC2"/>
        <w:tabs>
          <w:tab w:val="left" w:pos="1080"/>
        </w:tabs>
        <w:rPr>
          <w:rFonts w:asciiTheme="minorHAnsi" w:eastAsiaTheme="minorEastAsia" w:hAnsiTheme="minorHAnsi" w:cstheme="minorBidi"/>
          <w:bCs w:val="0"/>
          <w:kern w:val="2"/>
          <w:szCs w:val="22"/>
          <w14:ligatures w14:val="standardContextual"/>
        </w:rPr>
      </w:pPr>
      <w:r>
        <w:t>5.</w:t>
      </w:r>
      <w:r>
        <w:rPr>
          <w:rFonts w:asciiTheme="minorHAnsi" w:eastAsiaTheme="minorEastAsia" w:hAnsiTheme="minorHAnsi" w:cstheme="minorBidi"/>
          <w:bCs w:val="0"/>
          <w:kern w:val="2"/>
          <w:szCs w:val="22"/>
          <w14:ligatures w14:val="standardContextual"/>
        </w:rPr>
        <w:tab/>
      </w:r>
      <w:r>
        <w:t>Method Used to Minimize Burden on Small Businesses</w:t>
      </w:r>
      <w:r>
        <w:tab/>
      </w:r>
      <w:r>
        <w:fldChar w:fldCharType="begin"/>
      </w:r>
      <w:r>
        <w:instrText xml:space="preserve"> PAGEREF _Toc174598612 \h </w:instrText>
      </w:r>
      <w:r>
        <w:fldChar w:fldCharType="separate"/>
      </w:r>
      <w:r>
        <w:t>6</w:t>
      </w:r>
      <w:r>
        <w:fldChar w:fldCharType="end"/>
      </w:r>
    </w:p>
    <w:p w:rsidR="005B361C" w14:paraId="093FFD20" w14:textId="0EB2A645">
      <w:pPr>
        <w:pStyle w:val="TOC2"/>
        <w:tabs>
          <w:tab w:val="left" w:pos="1080"/>
        </w:tabs>
        <w:rPr>
          <w:rFonts w:asciiTheme="minorHAnsi" w:eastAsiaTheme="minorEastAsia" w:hAnsiTheme="minorHAnsi" w:cstheme="minorBidi"/>
          <w:bCs w:val="0"/>
          <w:kern w:val="2"/>
          <w:szCs w:val="22"/>
          <w14:ligatures w14:val="standardContextual"/>
        </w:rPr>
      </w:pPr>
      <w:r>
        <w:t>6.</w:t>
      </w:r>
      <w:r>
        <w:rPr>
          <w:rFonts w:asciiTheme="minorHAnsi" w:eastAsiaTheme="minorEastAsia" w:hAnsiTheme="minorHAnsi" w:cstheme="minorBidi"/>
          <w:bCs w:val="0"/>
          <w:kern w:val="2"/>
          <w:szCs w:val="22"/>
          <w14:ligatures w14:val="standardContextual"/>
        </w:rPr>
        <w:tab/>
      </w:r>
      <w:r>
        <w:t>Frequency of Data Collection</w:t>
      </w:r>
      <w:r>
        <w:tab/>
      </w:r>
      <w:r>
        <w:fldChar w:fldCharType="begin"/>
      </w:r>
      <w:r>
        <w:instrText xml:space="preserve"> PAGEREF _Toc174598613 \h </w:instrText>
      </w:r>
      <w:r>
        <w:fldChar w:fldCharType="separate"/>
      </w:r>
      <w:r>
        <w:t>6</w:t>
      </w:r>
      <w:r>
        <w:fldChar w:fldCharType="end"/>
      </w:r>
    </w:p>
    <w:p w:rsidR="005B361C" w14:paraId="76DE64A7" w14:textId="3C61BF28">
      <w:pPr>
        <w:pStyle w:val="TOC2"/>
        <w:tabs>
          <w:tab w:val="left" w:pos="1080"/>
        </w:tabs>
        <w:rPr>
          <w:rFonts w:asciiTheme="minorHAnsi" w:eastAsiaTheme="minorEastAsia" w:hAnsiTheme="minorHAnsi" w:cstheme="minorBidi"/>
          <w:bCs w:val="0"/>
          <w:kern w:val="2"/>
          <w:szCs w:val="22"/>
          <w14:ligatures w14:val="standardContextual"/>
        </w:rPr>
      </w:pPr>
      <w:r>
        <w:t>7.</w:t>
      </w:r>
      <w:r>
        <w:rPr>
          <w:rFonts w:asciiTheme="minorHAnsi" w:eastAsiaTheme="minorEastAsia" w:hAnsiTheme="minorHAnsi" w:cstheme="minorBidi"/>
          <w:bCs w:val="0"/>
          <w:kern w:val="2"/>
          <w:szCs w:val="22"/>
          <w14:ligatures w14:val="standardContextual"/>
        </w:rPr>
        <w:tab/>
      </w:r>
      <w:r>
        <w:t>Special Circumstances of Data Collection</w:t>
      </w:r>
      <w:r>
        <w:tab/>
      </w:r>
      <w:r>
        <w:fldChar w:fldCharType="begin"/>
      </w:r>
      <w:r>
        <w:instrText xml:space="preserve"> PAGEREF _Toc174598614 \h </w:instrText>
      </w:r>
      <w:r>
        <w:fldChar w:fldCharType="separate"/>
      </w:r>
      <w:r>
        <w:t>7</w:t>
      </w:r>
      <w:r>
        <w:fldChar w:fldCharType="end"/>
      </w:r>
    </w:p>
    <w:p w:rsidR="005B361C" w14:paraId="4CC84511" w14:textId="7AB22E11">
      <w:pPr>
        <w:pStyle w:val="TOC2"/>
        <w:tabs>
          <w:tab w:val="left" w:pos="1080"/>
        </w:tabs>
        <w:rPr>
          <w:rFonts w:asciiTheme="minorHAnsi" w:eastAsiaTheme="minorEastAsia" w:hAnsiTheme="minorHAnsi" w:cstheme="minorBidi"/>
          <w:bCs w:val="0"/>
          <w:kern w:val="2"/>
          <w:szCs w:val="22"/>
          <w14:ligatures w14:val="standardContextual"/>
        </w:rPr>
      </w:pPr>
      <w:r>
        <w:t>8.</w:t>
      </w:r>
      <w:r>
        <w:rPr>
          <w:rFonts w:asciiTheme="minorHAnsi" w:eastAsiaTheme="minorEastAsia" w:hAnsiTheme="minorHAnsi" w:cstheme="minorBidi"/>
          <w:bCs w:val="0"/>
          <w:kern w:val="2"/>
          <w:szCs w:val="22"/>
          <w14:ligatures w14:val="standardContextual"/>
        </w:rPr>
        <w:tab/>
      </w:r>
      <w:r>
        <w:t>Consultants Outside the Agency</w:t>
      </w:r>
      <w:r>
        <w:tab/>
      </w:r>
      <w:r>
        <w:fldChar w:fldCharType="begin"/>
      </w:r>
      <w:r>
        <w:instrText xml:space="preserve"> PAGEREF _Toc174598615 \h </w:instrText>
      </w:r>
      <w:r>
        <w:fldChar w:fldCharType="separate"/>
      </w:r>
      <w:r>
        <w:t>7</w:t>
      </w:r>
      <w:r>
        <w:fldChar w:fldCharType="end"/>
      </w:r>
    </w:p>
    <w:p w:rsidR="005B361C" w14:paraId="3A0E7451" w14:textId="114535E7">
      <w:pPr>
        <w:pStyle w:val="TOC2"/>
        <w:tabs>
          <w:tab w:val="left" w:pos="1080"/>
        </w:tabs>
        <w:rPr>
          <w:rFonts w:asciiTheme="minorHAnsi" w:eastAsiaTheme="minorEastAsia" w:hAnsiTheme="minorHAnsi" w:cstheme="minorBidi"/>
          <w:bCs w:val="0"/>
          <w:kern w:val="2"/>
          <w:szCs w:val="22"/>
          <w14:ligatures w14:val="standardContextual"/>
        </w:rPr>
      </w:pPr>
      <w:r>
        <w:t>9.</w:t>
      </w:r>
      <w:r>
        <w:rPr>
          <w:rFonts w:asciiTheme="minorHAnsi" w:eastAsiaTheme="minorEastAsia" w:hAnsiTheme="minorHAnsi" w:cstheme="minorBidi"/>
          <w:bCs w:val="0"/>
          <w:kern w:val="2"/>
          <w:szCs w:val="22"/>
          <w14:ligatures w14:val="standardContextual"/>
        </w:rPr>
        <w:tab/>
      </w:r>
      <w:r>
        <w:t>Provision of Payments or Gifts to Respondents</w:t>
      </w:r>
      <w:r>
        <w:tab/>
      </w:r>
      <w:r>
        <w:fldChar w:fldCharType="begin"/>
      </w:r>
      <w:r>
        <w:instrText xml:space="preserve"> PAGEREF _Toc174598616 \h </w:instrText>
      </w:r>
      <w:r>
        <w:fldChar w:fldCharType="separate"/>
      </w:r>
      <w:r>
        <w:t>7</w:t>
      </w:r>
      <w:r>
        <w:fldChar w:fldCharType="end"/>
      </w:r>
    </w:p>
    <w:p w:rsidR="005B361C" w14:paraId="57912AC8" w14:textId="3798DBEF">
      <w:pPr>
        <w:pStyle w:val="TOC2"/>
        <w:tabs>
          <w:tab w:val="left" w:pos="1080"/>
        </w:tabs>
        <w:rPr>
          <w:rFonts w:asciiTheme="minorHAnsi" w:eastAsiaTheme="minorEastAsia" w:hAnsiTheme="minorHAnsi" w:cstheme="minorBidi"/>
          <w:bCs w:val="0"/>
          <w:kern w:val="2"/>
          <w:szCs w:val="22"/>
          <w14:ligatures w14:val="standardContextual"/>
        </w:rPr>
      </w:pPr>
      <w:r>
        <w:t>10.</w:t>
      </w:r>
      <w:r>
        <w:rPr>
          <w:rFonts w:asciiTheme="minorHAnsi" w:eastAsiaTheme="minorEastAsia" w:hAnsiTheme="minorHAnsi" w:cstheme="minorBidi"/>
          <w:bCs w:val="0"/>
          <w:kern w:val="2"/>
          <w:szCs w:val="22"/>
          <w14:ligatures w14:val="standardContextual"/>
        </w:rPr>
        <w:tab/>
      </w:r>
      <w:r>
        <w:t>Assurance of Confidentiality</w:t>
      </w:r>
      <w:r>
        <w:tab/>
      </w:r>
      <w:r>
        <w:fldChar w:fldCharType="begin"/>
      </w:r>
      <w:r>
        <w:instrText xml:space="preserve"> PAGEREF _Toc174598617 \h </w:instrText>
      </w:r>
      <w:r>
        <w:fldChar w:fldCharType="separate"/>
      </w:r>
      <w:r>
        <w:t>9</w:t>
      </w:r>
      <w:r>
        <w:fldChar w:fldCharType="end"/>
      </w:r>
    </w:p>
    <w:p w:rsidR="005B361C" w14:paraId="77230EF3" w14:textId="79B6A81D">
      <w:pPr>
        <w:pStyle w:val="TOC2"/>
        <w:tabs>
          <w:tab w:val="left" w:pos="1080"/>
        </w:tabs>
        <w:rPr>
          <w:rFonts w:asciiTheme="minorHAnsi" w:eastAsiaTheme="minorEastAsia" w:hAnsiTheme="minorHAnsi" w:cstheme="minorBidi"/>
          <w:bCs w:val="0"/>
          <w:kern w:val="2"/>
          <w:szCs w:val="22"/>
          <w14:ligatures w14:val="standardContextual"/>
        </w:rPr>
      </w:pPr>
      <w:r>
        <w:t>11.</w:t>
      </w:r>
      <w:r>
        <w:rPr>
          <w:rFonts w:asciiTheme="minorHAnsi" w:eastAsiaTheme="minorEastAsia" w:hAnsiTheme="minorHAnsi" w:cstheme="minorBidi"/>
          <w:bCs w:val="0"/>
          <w:kern w:val="2"/>
          <w:szCs w:val="22"/>
          <w14:ligatures w14:val="standardContextual"/>
        </w:rPr>
        <w:tab/>
      </w:r>
      <w:r>
        <w:t>Sensitive Questions</w:t>
      </w:r>
      <w:r>
        <w:tab/>
      </w:r>
      <w:r>
        <w:fldChar w:fldCharType="begin"/>
      </w:r>
      <w:r>
        <w:instrText xml:space="preserve"> PAGEREF _Toc174598618 \h </w:instrText>
      </w:r>
      <w:r>
        <w:fldChar w:fldCharType="separate"/>
      </w:r>
      <w:r>
        <w:t>12</w:t>
      </w:r>
      <w:r>
        <w:fldChar w:fldCharType="end"/>
      </w:r>
    </w:p>
    <w:p w:rsidR="005B361C" w14:paraId="17016762" w14:textId="4B0A1A61">
      <w:pPr>
        <w:pStyle w:val="TOC2"/>
        <w:tabs>
          <w:tab w:val="left" w:pos="1080"/>
        </w:tabs>
        <w:rPr>
          <w:rFonts w:asciiTheme="minorHAnsi" w:eastAsiaTheme="minorEastAsia" w:hAnsiTheme="minorHAnsi" w:cstheme="minorBidi"/>
          <w:bCs w:val="0"/>
          <w:kern w:val="2"/>
          <w:szCs w:val="22"/>
          <w14:ligatures w14:val="standardContextual"/>
        </w:rPr>
      </w:pPr>
      <w:r>
        <w:t>12.</w:t>
      </w:r>
      <w:r>
        <w:rPr>
          <w:rFonts w:asciiTheme="minorHAnsi" w:eastAsiaTheme="minorEastAsia" w:hAnsiTheme="minorHAnsi" w:cstheme="minorBidi"/>
          <w:bCs w:val="0"/>
          <w:kern w:val="2"/>
          <w:szCs w:val="22"/>
          <w14:ligatures w14:val="standardContextual"/>
        </w:rPr>
        <w:tab/>
      </w:r>
      <w:r>
        <w:t>Estimates of Response Burden</w:t>
      </w:r>
      <w:r>
        <w:tab/>
      </w:r>
      <w:r>
        <w:fldChar w:fldCharType="begin"/>
      </w:r>
      <w:r>
        <w:instrText xml:space="preserve"> PAGEREF _Toc174598619 \h </w:instrText>
      </w:r>
      <w:r>
        <w:fldChar w:fldCharType="separate"/>
      </w:r>
      <w:r>
        <w:t>12</w:t>
      </w:r>
      <w:r>
        <w:fldChar w:fldCharType="end"/>
      </w:r>
    </w:p>
    <w:p w:rsidR="005B361C" w14:paraId="2BE7CBAE" w14:textId="2A8CD1E2">
      <w:pPr>
        <w:pStyle w:val="TOC2"/>
        <w:tabs>
          <w:tab w:val="left" w:pos="1080"/>
        </w:tabs>
        <w:rPr>
          <w:rFonts w:asciiTheme="minorHAnsi" w:eastAsiaTheme="minorEastAsia" w:hAnsiTheme="minorHAnsi" w:cstheme="minorBidi"/>
          <w:bCs w:val="0"/>
          <w:kern w:val="2"/>
          <w:szCs w:val="22"/>
          <w14:ligatures w14:val="standardContextual"/>
        </w:rPr>
      </w:pPr>
      <w:r>
        <w:t>13.</w:t>
      </w:r>
      <w:r>
        <w:rPr>
          <w:rFonts w:asciiTheme="minorHAnsi" w:eastAsiaTheme="minorEastAsia" w:hAnsiTheme="minorHAnsi" w:cstheme="minorBidi"/>
          <w:bCs w:val="0"/>
          <w:kern w:val="2"/>
          <w:szCs w:val="22"/>
          <w14:ligatures w14:val="standardContextual"/>
        </w:rPr>
        <w:tab/>
      </w:r>
      <w:r>
        <w:t>Estimates of Cost</w:t>
      </w:r>
      <w:r>
        <w:tab/>
      </w:r>
      <w:r>
        <w:fldChar w:fldCharType="begin"/>
      </w:r>
      <w:r>
        <w:instrText xml:space="preserve"> PAGEREF _Toc174598620 \h </w:instrText>
      </w:r>
      <w:r>
        <w:fldChar w:fldCharType="separate"/>
      </w:r>
      <w:r>
        <w:t>13</w:t>
      </w:r>
      <w:r>
        <w:fldChar w:fldCharType="end"/>
      </w:r>
    </w:p>
    <w:p w:rsidR="005B361C" w14:paraId="767DAB13" w14:textId="7F0D53AE">
      <w:pPr>
        <w:pStyle w:val="TOC2"/>
        <w:tabs>
          <w:tab w:val="left" w:pos="1080"/>
        </w:tabs>
        <w:rPr>
          <w:rFonts w:asciiTheme="minorHAnsi" w:eastAsiaTheme="minorEastAsia" w:hAnsiTheme="minorHAnsi" w:cstheme="minorBidi"/>
          <w:bCs w:val="0"/>
          <w:kern w:val="2"/>
          <w:szCs w:val="22"/>
          <w14:ligatures w14:val="standardContextual"/>
        </w:rPr>
      </w:pPr>
      <w:r>
        <w:t>14.</w:t>
      </w:r>
      <w:r>
        <w:rPr>
          <w:rFonts w:asciiTheme="minorHAnsi" w:eastAsiaTheme="minorEastAsia" w:hAnsiTheme="minorHAnsi" w:cstheme="minorBidi"/>
          <w:bCs w:val="0"/>
          <w:kern w:val="2"/>
          <w:szCs w:val="22"/>
          <w14:ligatures w14:val="standardContextual"/>
        </w:rPr>
        <w:tab/>
      </w:r>
      <w:r>
        <w:t>Costs to Federal Government</w:t>
      </w:r>
      <w:r>
        <w:tab/>
      </w:r>
      <w:r>
        <w:fldChar w:fldCharType="begin"/>
      </w:r>
      <w:r>
        <w:instrText xml:space="preserve"> PAGEREF _Toc174598621 \h </w:instrText>
      </w:r>
      <w:r>
        <w:fldChar w:fldCharType="separate"/>
      </w:r>
      <w:r>
        <w:t>13</w:t>
      </w:r>
      <w:r>
        <w:fldChar w:fldCharType="end"/>
      </w:r>
    </w:p>
    <w:p w:rsidR="005B361C" w14:paraId="4E18E213" w14:textId="1914F8A4">
      <w:pPr>
        <w:pStyle w:val="TOC2"/>
        <w:tabs>
          <w:tab w:val="left" w:pos="1080"/>
        </w:tabs>
        <w:rPr>
          <w:rFonts w:asciiTheme="minorHAnsi" w:eastAsiaTheme="minorEastAsia" w:hAnsiTheme="minorHAnsi" w:cstheme="minorBidi"/>
          <w:bCs w:val="0"/>
          <w:kern w:val="2"/>
          <w:szCs w:val="22"/>
          <w14:ligatures w14:val="standardContextual"/>
        </w:rPr>
      </w:pPr>
      <w:r>
        <w:t>15.</w:t>
      </w:r>
      <w:r>
        <w:rPr>
          <w:rFonts w:asciiTheme="minorHAnsi" w:eastAsiaTheme="minorEastAsia" w:hAnsiTheme="minorHAnsi" w:cstheme="minorBidi"/>
          <w:bCs w:val="0"/>
          <w:kern w:val="2"/>
          <w:szCs w:val="22"/>
          <w14:ligatures w14:val="standardContextual"/>
        </w:rPr>
        <w:tab/>
      </w:r>
      <w:r>
        <w:t>Reasons for Changes in Response Burden and Costs</w:t>
      </w:r>
      <w:r>
        <w:tab/>
      </w:r>
      <w:r>
        <w:fldChar w:fldCharType="begin"/>
      </w:r>
      <w:r>
        <w:instrText xml:space="preserve"> PAGEREF _Toc174598622 \h </w:instrText>
      </w:r>
      <w:r>
        <w:fldChar w:fldCharType="separate"/>
      </w:r>
      <w:r>
        <w:t>13</w:t>
      </w:r>
      <w:r>
        <w:fldChar w:fldCharType="end"/>
      </w:r>
    </w:p>
    <w:p w:rsidR="005B361C" w14:paraId="2BA5DB94" w14:textId="533A6FD8">
      <w:pPr>
        <w:pStyle w:val="TOC2"/>
        <w:tabs>
          <w:tab w:val="left" w:pos="1080"/>
        </w:tabs>
        <w:rPr>
          <w:rFonts w:asciiTheme="minorHAnsi" w:eastAsiaTheme="minorEastAsia" w:hAnsiTheme="minorHAnsi" w:cstheme="minorBidi"/>
          <w:bCs w:val="0"/>
          <w:kern w:val="2"/>
          <w:szCs w:val="22"/>
          <w14:ligatures w14:val="standardContextual"/>
        </w:rPr>
      </w:pPr>
      <w:r>
        <w:t>16.</w:t>
      </w:r>
      <w:r>
        <w:rPr>
          <w:rFonts w:asciiTheme="minorHAnsi" w:eastAsiaTheme="minorEastAsia" w:hAnsiTheme="minorHAnsi" w:cstheme="minorBidi"/>
          <w:bCs w:val="0"/>
          <w:kern w:val="2"/>
          <w:szCs w:val="22"/>
          <w14:ligatures w14:val="standardContextual"/>
        </w:rPr>
        <w:tab/>
      </w:r>
      <w:r>
        <w:t>Publication Plans and Time Schedule</w:t>
      </w:r>
      <w:r>
        <w:tab/>
      </w:r>
      <w:r>
        <w:fldChar w:fldCharType="begin"/>
      </w:r>
      <w:r>
        <w:instrText xml:space="preserve"> PAGEREF _Toc174598623 \h </w:instrText>
      </w:r>
      <w:r>
        <w:fldChar w:fldCharType="separate"/>
      </w:r>
      <w:r>
        <w:t>13</w:t>
      </w:r>
      <w:r>
        <w:fldChar w:fldCharType="end"/>
      </w:r>
    </w:p>
    <w:p w:rsidR="005B361C" w14:paraId="14E58D17" w14:textId="75C02AB5">
      <w:pPr>
        <w:pStyle w:val="TOC2"/>
        <w:tabs>
          <w:tab w:val="left" w:pos="1080"/>
        </w:tabs>
        <w:rPr>
          <w:rFonts w:asciiTheme="minorHAnsi" w:eastAsiaTheme="minorEastAsia" w:hAnsiTheme="minorHAnsi" w:cstheme="minorBidi"/>
          <w:bCs w:val="0"/>
          <w:kern w:val="2"/>
          <w:szCs w:val="22"/>
          <w14:ligatures w14:val="standardContextual"/>
        </w:rPr>
      </w:pPr>
      <w:r>
        <w:t>17.</w:t>
      </w:r>
      <w:r>
        <w:rPr>
          <w:rFonts w:asciiTheme="minorHAnsi" w:eastAsiaTheme="minorEastAsia" w:hAnsiTheme="minorHAnsi" w:cstheme="minorBidi"/>
          <w:bCs w:val="0"/>
          <w:kern w:val="2"/>
          <w:szCs w:val="22"/>
          <w14:ligatures w14:val="standardContextual"/>
        </w:rPr>
        <w:tab/>
      </w:r>
      <w:r>
        <w:t>Approval to Not Display Expiration Date for OMB Approval</w:t>
      </w:r>
      <w:r>
        <w:tab/>
      </w:r>
      <w:r>
        <w:fldChar w:fldCharType="begin"/>
      </w:r>
      <w:r>
        <w:instrText xml:space="preserve"> PAGEREF _Toc174598624 \h </w:instrText>
      </w:r>
      <w:r>
        <w:fldChar w:fldCharType="separate"/>
      </w:r>
      <w:r>
        <w:t>14</w:t>
      </w:r>
      <w:r>
        <w:fldChar w:fldCharType="end"/>
      </w:r>
    </w:p>
    <w:p w:rsidR="005B361C" w14:paraId="45627A68" w14:textId="75D4EB78">
      <w:pPr>
        <w:pStyle w:val="TOC2"/>
        <w:tabs>
          <w:tab w:val="left" w:pos="1080"/>
        </w:tabs>
        <w:rPr>
          <w:rFonts w:asciiTheme="minorHAnsi" w:eastAsiaTheme="minorEastAsia" w:hAnsiTheme="minorHAnsi" w:cstheme="minorBidi"/>
          <w:bCs w:val="0"/>
          <w:kern w:val="2"/>
          <w:szCs w:val="22"/>
          <w14:ligatures w14:val="standardContextual"/>
        </w:rPr>
      </w:pPr>
      <w:r>
        <w:t>18.</w:t>
      </w:r>
      <w:r>
        <w:rPr>
          <w:rFonts w:asciiTheme="minorHAnsi" w:eastAsiaTheme="minorEastAsia" w:hAnsiTheme="minorHAnsi" w:cstheme="minorBidi"/>
          <w:bCs w:val="0"/>
          <w:kern w:val="2"/>
          <w:szCs w:val="22"/>
          <w14:ligatures w14:val="standardContextual"/>
        </w:rPr>
        <w:tab/>
      </w:r>
      <w:r>
        <w:t>Exceptions to Certification for Paperwork Reduction Act Submissions</w:t>
      </w:r>
      <w:r>
        <w:tab/>
      </w:r>
      <w:r>
        <w:fldChar w:fldCharType="begin"/>
      </w:r>
      <w:r>
        <w:instrText xml:space="preserve"> PAGEREF _Toc174598625 \h </w:instrText>
      </w:r>
      <w:r>
        <w:fldChar w:fldCharType="separate"/>
      </w:r>
      <w:r>
        <w:t>14</w:t>
      </w:r>
      <w:r>
        <w:fldChar w:fldCharType="end"/>
      </w:r>
    </w:p>
    <w:p w:rsidR="00D15F40" w:rsidRPr="00660BA8" w:rsidP="00880D7B" w14:paraId="30CA5438" w14:textId="6DFEB375">
      <w:pPr>
        <w:pStyle w:val="TOC2"/>
        <w:tabs>
          <w:tab w:val="left" w:pos="1080"/>
        </w:tabs>
        <w:rPr>
          <w:rFonts w:cs="Arial"/>
          <w:b/>
          <w:bCs w:val="0"/>
          <w:szCs w:val="22"/>
          <w:highlight w:val="yellow"/>
        </w:rPr>
      </w:pPr>
      <w:r w:rsidRPr="00660BA8">
        <w:rPr>
          <w:rFonts w:cs="Arial"/>
          <w:b/>
          <w:bCs w:val="0"/>
          <w:szCs w:val="22"/>
          <w:highlight w:val="yellow"/>
        </w:rPr>
        <w:fldChar w:fldCharType="end"/>
      </w:r>
    </w:p>
    <w:p w:rsidR="0035340C" w:rsidRPr="006D5B4B" w:rsidP="00BF598A" w14:paraId="6FDD24EA" w14:textId="2BBB7C18">
      <w:pPr>
        <w:pStyle w:val="TOC1"/>
      </w:pPr>
      <w:r w:rsidRPr="006D5B4B">
        <w:rPr>
          <w:szCs w:val="22"/>
        </w:rPr>
        <w:t>B.</w:t>
      </w:r>
      <w:r w:rsidRPr="006D5B4B">
        <w:rPr>
          <w:rFonts w:asciiTheme="minorHAnsi" w:eastAsiaTheme="minorEastAsia" w:hAnsiTheme="minorHAnsi" w:cstheme="minorBidi"/>
          <w:b w:val="0"/>
          <w:bCs w:val="0"/>
          <w:szCs w:val="22"/>
        </w:rPr>
        <w:tab/>
      </w:r>
      <w:r w:rsidRPr="006D5B4B">
        <w:rPr>
          <w:szCs w:val="22"/>
        </w:rPr>
        <w:t>Collection of Information Employing Statistical Methods</w:t>
      </w:r>
    </w:p>
    <w:p w:rsidR="00504C42" w:rsidRPr="006D5B4B" w:rsidP="00880D7B" w14:paraId="11DE0BD0" w14:textId="77777777">
      <w:pPr>
        <w:keepLines/>
        <w:tabs>
          <w:tab w:val="right" w:pos="9360"/>
        </w:tabs>
        <w:spacing w:before="120"/>
        <w:ind w:left="1260" w:hanging="1260"/>
        <w:rPr>
          <w:rFonts w:cs="Arial"/>
          <w:b/>
          <w:bCs/>
          <w:noProof/>
          <w:sz w:val="22"/>
          <w:szCs w:val="22"/>
        </w:rPr>
      </w:pPr>
      <w:r w:rsidRPr="006D5B4B">
        <w:rPr>
          <w:rFonts w:cs="Arial"/>
          <w:b/>
          <w:bCs/>
          <w:noProof/>
          <w:sz w:val="22"/>
          <w:szCs w:val="22"/>
        </w:rPr>
        <w:t>Appendixes</w:t>
      </w:r>
    </w:p>
    <w:p w:rsidR="003D6D30" w:rsidRPr="006D5B4B" w:rsidP="007B3A35" w14:paraId="0E77E622" w14:textId="77777777">
      <w:pPr>
        <w:keepLines/>
        <w:numPr>
          <w:ilvl w:val="0"/>
          <w:numId w:val="44"/>
        </w:numPr>
        <w:rPr>
          <w:sz w:val="22"/>
          <w:szCs w:val="22"/>
        </w:rPr>
      </w:pPr>
      <w:r w:rsidRPr="006D5B4B">
        <w:rPr>
          <w:sz w:val="22"/>
          <w:szCs w:val="22"/>
        </w:rPr>
        <w:t>Technical Review Panel Members</w:t>
      </w:r>
    </w:p>
    <w:p w:rsidR="00A25936" w:rsidRPr="006D5B4B" w:rsidP="007B3A35" w14:paraId="1209F0EC" w14:textId="77777777">
      <w:pPr>
        <w:pStyle w:val="ListParagraph"/>
        <w:keepLines/>
        <w:numPr>
          <w:ilvl w:val="0"/>
          <w:numId w:val="44"/>
        </w:numPr>
        <w:rPr>
          <w:sz w:val="22"/>
          <w:szCs w:val="22"/>
        </w:rPr>
      </w:pPr>
      <w:r w:rsidRPr="006D5B4B">
        <w:rPr>
          <w:sz w:val="22"/>
          <w:szCs w:val="22"/>
        </w:rPr>
        <w:t xml:space="preserve">Confidentiality </w:t>
      </w:r>
      <w:r w:rsidRPr="006D5B4B" w:rsidR="00D66001">
        <w:rPr>
          <w:sz w:val="22"/>
          <w:szCs w:val="22"/>
        </w:rPr>
        <w:t>for Administrative Record Matching</w:t>
      </w:r>
    </w:p>
    <w:p w:rsidR="006B770B" w:rsidRPr="006D5B4B" w:rsidP="006B770B" w14:paraId="566A399B" w14:textId="4CCD50CA">
      <w:pPr>
        <w:keepLines/>
        <w:numPr>
          <w:ilvl w:val="0"/>
          <w:numId w:val="44"/>
        </w:numPr>
        <w:rPr>
          <w:sz w:val="22"/>
          <w:szCs w:val="22"/>
        </w:rPr>
      </w:pPr>
      <w:r w:rsidRPr="006D5B4B">
        <w:rPr>
          <w:sz w:val="22"/>
          <w:szCs w:val="22"/>
        </w:rPr>
        <w:t>Data Collection Materials</w:t>
      </w:r>
    </w:p>
    <w:p w:rsidR="001E3B89" w:rsidRPr="006D5B4B" w:rsidP="007B3A35" w14:paraId="3D96E435" w14:textId="1548B9B4">
      <w:pPr>
        <w:keepLines/>
        <w:numPr>
          <w:ilvl w:val="0"/>
          <w:numId w:val="44"/>
        </w:numPr>
        <w:rPr>
          <w:sz w:val="22"/>
          <w:szCs w:val="22"/>
        </w:rPr>
      </w:pPr>
      <w:r w:rsidRPr="006D5B4B">
        <w:rPr>
          <w:sz w:val="22"/>
          <w:szCs w:val="22"/>
        </w:rPr>
        <w:t xml:space="preserve">Results of the </w:t>
      </w:r>
      <w:r w:rsidR="006B770B">
        <w:rPr>
          <w:sz w:val="22"/>
          <w:szCs w:val="22"/>
        </w:rPr>
        <w:t>BPS:20/25</w:t>
      </w:r>
      <w:r w:rsidRPr="006D5B4B">
        <w:rPr>
          <w:sz w:val="22"/>
          <w:szCs w:val="22"/>
        </w:rPr>
        <w:t xml:space="preserve"> Field Test </w:t>
      </w:r>
      <w:r w:rsidR="006B770B">
        <w:rPr>
          <w:sz w:val="22"/>
          <w:szCs w:val="22"/>
        </w:rPr>
        <w:t>Procedures and Methods</w:t>
      </w:r>
    </w:p>
    <w:p w:rsidR="001E3B89" w:rsidRPr="006D5B4B" w:rsidP="007B3A35" w14:paraId="56E1C285" w14:textId="2208F5E0">
      <w:pPr>
        <w:keepLines/>
        <w:numPr>
          <w:ilvl w:val="0"/>
          <w:numId w:val="44"/>
        </w:numPr>
        <w:rPr>
          <w:sz w:val="22"/>
          <w:szCs w:val="22"/>
        </w:rPr>
      </w:pPr>
      <w:r w:rsidRPr="006D5B4B">
        <w:rPr>
          <w:sz w:val="22"/>
          <w:szCs w:val="22"/>
        </w:rPr>
        <w:t>Survey Instrument</w:t>
      </w:r>
    </w:p>
    <w:p w:rsidR="0087411A" w:rsidP="00880D7B" w14:paraId="39E2E7E7" w14:textId="425F3F71">
      <w:pPr>
        <w:keepNext/>
        <w:tabs>
          <w:tab w:val="right" w:pos="10620"/>
        </w:tabs>
        <w:spacing w:before="120"/>
        <w:ind w:left="360" w:hanging="360"/>
        <w:rPr>
          <w:b/>
          <w:bCs/>
          <w:sz w:val="22"/>
          <w:szCs w:val="22"/>
        </w:rPr>
      </w:pPr>
      <w:r w:rsidRPr="006D5B4B">
        <w:rPr>
          <w:b/>
          <w:bCs/>
          <w:sz w:val="22"/>
          <w:szCs w:val="22"/>
        </w:rPr>
        <w:t>Tables</w:t>
      </w:r>
    </w:p>
    <w:bookmarkStart w:id="4" w:name="_Toc418171228"/>
    <w:bookmarkStart w:id="5" w:name="_Toc99781028"/>
    <w:bookmarkStart w:id="6" w:name="_Toc115671404"/>
    <w:bookmarkStart w:id="7" w:name="_Toc383113357"/>
    <w:bookmarkStart w:id="8" w:name="_Toc418171229"/>
    <w:bookmarkEnd w:id="4"/>
    <w:p w:rsidR="00317B34" w:rsidRPr="00B22BBC" w:rsidP="00317B34" w14:paraId="3EAF1C12" w14:textId="2ECDBC73">
      <w:pPr>
        <w:pStyle w:val="TableofFigures"/>
        <w:ind w:left="360"/>
        <w:rPr>
          <w:rFonts w:asciiTheme="minorHAnsi" w:eastAsiaTheme="minorEastAsia" w:hAnsiTheme="minorHAnsi" w:cstheme="minorBidi"/>
          <w:noProof/>
          <w:kern w:val="2"/>
          <w:sz w:val="20"/>
          <w14:ligatures w14:val="standardContextual"/>
        </w:rPr>
      </w:pPr>
      <w:r>
        <w:rPr>
          <w:highlight w:val="yellow"/>
        </w:rPr>
        <w:fldChar w:fldCharType="begin"/>
      </w:r>
      <w:r>
        <w:rPr>
          <w:highlight w:val="yellow"/>
        </w:rPr>
        <w:instrText xml:space="preserve"> TOC \h \z \t "Table Title" \c </w:instrText>
      </w:r>
      <w:r>
        <w:rPr>
          <w:highlight w:val="yellow"/>
        </w:rPr>
        <w:fldChar w:fldCharType="separate"/>
      </w:r>
      <w:r>
        <w:fldChar w:fldCharType="begin"/>
      </w:r>
      <w:r>
        <w:instrText xml:space="preserve"> HYPERLINK \l "_Toc174606374" </w:instrText>
      </w:r>
      <w:r>
        <w:fldChar w:fldCharType="separate"/>
      </w:r>
      <w:r w:rsidRPr="00B22BBC">
        <w:rPr>
          <w:rStyle w:val="Hyperlink"/>
          <w:noProof/>
          <w:sz w:val="22"/>
          <w:szCs w:val="18"/>
        </w:rPr>
        <w:t>Table 1. Chronology of NPSAS and its Longitudinal Components</w:t>
      </w:r>
      <w:r w:rsidRPr="00B22BBC">
        <w:rPr>
          <w:noProof/>
          <w:webHidden/>
          <w:sz w:val="22"/>
          <w:szCs w:val="18"/>
        </w:rPr>
        <w:tab/>
      </w:r>
      <w:r w:rsidRPr="00B22BBC">
        <w:rPr>
          <w:noProof/>
          <w:webHidden/>
          <w:sz w:val="22"/>
          <w:szCs w:val="18"/>
        </w:rPr>
        <w:fldChar w:fldCharType="begin"/>
      </w:r>
      <w:r w:rsidRPr="00B22BBC">
        <w:rPr>
          <w:noProof/>
          <w:webHidden/>
          <w:sz w:val="22"/>
          <w:szCs w:val="18"/>
        </w:rPr>
        <w:instrText xml:space="preserve"> PAGEREF _Toc174606374 \h </w:instrText>
      </w:r>
      <w:r w:rsidRPr="00B22BBC">
        <w:rPr>
          <w:noProof/>
          <w:webHidden/>
          <w:sz w:val="22"/>
          <w:szCs w:val="18"/>
        </w:rPr>
        <w:fldChar w:fldCharType="separate"/>
      </w:r>
      <w:r w:rsidRPr="00B22BBC">
        <w:rPr>
          <w:noProof/>
          <w:webHidden/>
          <w:sz w:val="22"/>
          <w:szCs w:val="18"/>
        </w:rPr>
        <w:t>2</w:t>
      </w:r>
      <w:r w:rsidRPr="00B22BBC">
        <w:rPr>
          <w:noProof/>
          <w:webHidden/>
          <w:sz w:val="22"/>
          <w:szCs w:val="18"/>
        </w:rPr>
        <w:fldChar w:fldCharType="end"/>
      </w:r>
      <w:r>
        <w:fldChar w:fldCharType="end"/>
      </w:r>
    </w:p>
    <w:p w:rsidR="00317B34" w:rsidRPr="00B22BBC" w:rsidP="00317B34" w14:paraId="5ED4C03E" w14:textId="4245AE1B">
      <w:pPr>
        <w:pStyle w:val="TableofFigures"/>
        <w:ind w:left="360"/>
        <w:rPr>
          <w:rFonts w:asciiTheme="minorHAnsi" w:eastAsiaTheme="minorEastAsia" w:hAnsiTheme="minorHAnsi" w:cstheme="minorBidi"/>
          <w:noProof/>
          <w:kern w:val="2"/>
          <w:sz w:val="20"/>
          <w14:ligatures w14:val="standardContextual"/>
        </w:rPr>
      </w:pPr>
      <w:hyperlink w:anchor="_Toc174606375" w:history="1">
        <w:r w:rsidRPr="00B22BBC">
          <w:rPr>
            <w:rStyle w:val="Hyperlink"/>
            <w:noProof/>
            <w:sz w:val="22"/>
            <w:szCs w:val="18"/>
          </w:rPr>
          <w:t>Table 2. Average estimated burden to respondents for the BPS:20/25 full-scale data collection</w:t>
        </w:r>
        <w:r w:rsidRPr="00B22BBC">
          <w:rPr>
            <w:noProof/>
            <w:webHidden/>
            <w:sz w:val="22"/>
            <w:szCs w:val="18"/>
          </w:rPr>
          <w:tab/>
        </w:r>
        <w:r w:rsidRPr="00B22BBC">
          <w:rPr>
            <w:noProof/>
            <w:webHidden/>
            <w:sz w:val="22"/>
            <w:szCs w:val="18"/>
          </w:rPr>
          <w:fldChar w:fldCharType="begin"/>
        </w:r>
        <w:r w:rsidRPr="00B22BBC">
          <w:rPr>
            <w:noProof/>
            <w:webHidden/>
            <w:sz w:val="22"/>
            <w:szCs w:val="18"/>
          </w:rPr>
          <w:instrText xml:space="preserve"> PAGEREF _Toc174606375 \h </w:instrText>
        </w:r>
        <w:r w:rsidRPr="00B22BBC">
          <w:rPr>
            <w:noProof/>
            <w:webHidden/>
            <w:sz w:val="22"/>
            <w:szCs w:val="18"/>
          </w:rPr>
          <w:fldChar w:fldCharType="separate"/>
        </w:r>
        <w:r w:rsidRPr="00B22BBC">
          <w:rPr>
            <w:noProof/>
            <w:webHidden/>
            <w:sz w:val="22"/>
            <w:szCs w:val="18"/>
          </w:rPr>
          <w:t>13</w:t>
        </w:r>
        <w:r w:rsidRPr="00B22BBC">
          <w:rPr>
            <w:noProof/>
            <w:webHidden/>
            <w:sz w:val="22"/>
            <w:szCs w:val="18"/>
          </w:rPr>
          <w:fldChar w:fldCharType="end"/>
        </w:r>
      </w:hyperlink>
    </w:p>
    <w:p w:rsidR="00317B34" w:rsidRPr="00B22BBC" w:rsidP="00317B34" w14:paraId="22E00555" w14:textId="38113A1A">
      <w:pPr>
        <w:pStyle w:val="TableofFigures"/>
        <w:ind w:left="360"/>
        <w:rPr>
          <w:rFonts w:asciiTheme="minorHAnsi" w:eastAsiaTheme="minorEastAsia" w:hAnsiTheme="minorHAnsi" w:cstheme="minorBidi"/>
          <w:noProof/>
          <w:kern w:val="2"/>
          <w:sz w:val="20"/>
          <w14:ligatures w14:val="standardContextual"/>
        </w:rPr>
      </w:pPr>
      <w:hyperlink w:anchor="_Toc174606376" w:history="1">
        <w:r w:rsidRPr="00B22BBC">
          <w:rPr>
            <w:rStyle w:val="Hyperlink"/>
            <w:noProof/>
            <w:sz w:val="22"/>
            <w:szCs w:val="18"/>
          </w:rPr>
          <w:t>Table 3. Costs to NCES for BPS:20/25 Study</w:t>
        </w:r>
        <w:r w:rsidRPr="00B22BBC">
          <w:rPr>
            <w:noProof/>
            <w:webHidden/>
            <w:sz w:val="22"/>
            <w:szCs w:val="18"/>
          </w:rPr>
          <w:tab/>
        </w:r>
        <w:r w:rsidRPr="00B22BBC">
          <w:rPr>
            <w:noProof/>
            <w:webHidden/>
            <w:sz w:val="22"/>
            <w:szCs w:val="18"/>
          </w:rPr>
          <w:fldChar w:fldCharType="begin"/>
        </w:r>
        <w:r w:rsidRPr="00B22BBC">
          <w:rPr>
            <w:noProof/>
            <w:webHidden/>
            <w:sz w:val="22"/>
            <w:szCs w:val="18"/>
          </w:rPr>
          <w:instrText xml:space="preserve"> PAGEREF _Toc174606376 \h </w:instrText>
        </w:r>
        <w:r w:rsidRPr="00B22BBC">
          <w:rPr>
            <w:noProof/>
            <w:webHidden/>
            <w:sz w:val="22"/>
            <w:szCs w:val="18"/>
          </w:rPr>
          <w:fldChar w:fldCharType="separate"/>
        </w:r>
        <w:r w:rsidRPr="00B22BBC">
          <w:rPr>
            <w:noProof/>
            <w:webHidden/>
            <w:sz w:val="22"/>
            <w:szCs w:val="18"/>
          </w:rPr>
          <w:t>13</w:t>
        </w:r>
        <w:r w:rsidRPr="00B22BBC">
          <w:rPr>
            <w:noProof/>
            <w:webHidden/>
            <w:sz w:val="22"/>
            <w:szCs w:val="18"/>
          </w:rPr>
          <w:fldChar w:fldCharType="end"/>
        </w:r>
      </w:hyperlink>
    </w:p>
    <w:p w:rsidR="00317B34" w:rsidP="00317B34" w14:paraId="07395C8F" w14:textId="560EB897">
      <w:pPr>
        <w:pStyle w:val="TableofFigures"/>
        <w:ind w:left="360"/>
        <w:rPr>
          <w:rFonts w:asciiTheme="minorHAnsi" w:eastAsiaTheme="minorEastAsia" w:hAnsiTheme="minorHAnsi" w:cstheme="minorBidi"/>
          <w:noProof/>
          <w:kern w:val="2"/>
          <w:sz w:val="22"/>
          <w:szCs w:val="22"/>
          <w14:ligatures w14:val="standardContextual"/>
        </w:rPr>
      </w:pPr>
      <w:hyperlink w:anchor="_Toc174606377" w:history="1">
        <w:r w:rsidRPr="00B22BBC">
          <w:rPr>
            <w:rStyle w:val="Hyperlink"/>
            <w:noProof/>
            <w:sz w:val="22"/>
            <w:szCs w:val="18"/>
          </w:rPr>
          <w:t>Table 4. Operational Schedule for BPS:20/25 Full-scale Study</w:t>
        </w:r>
        <w:r w:rsidRPr="00B22BBC">
          <w:rPr>
            <w:noProof/>
            <w:webHidden/>
            <w:sz w:val="22"/>
            <w:szCs w:val="18"/>
          </w:rPr>
          <w:tab/>
        </w:r>
        <w:r w:rsidRPr="00B22BBC">
          <w:rPr>
            <w:noProof/>
            <w:webHidden/>
            <w:sz w:val="22"/>
            <w:szCs w:val="18"/>
          </w:rPr>
          <w:fldChar w:fldCharType="begin"/>
        </w:r>
        <w:r w:rsidRPr="00B22BBC">
          <w:rPr>
            <w:noProof/>
            <w:webHidden/>
            <w:sz w:val="22"/>
            <w:szCs w:val="18"/>
          </w:rPr>
          <w:instrText xml:space="preserve"> PAGEREF _Toc174606377 \h </w:instrText>
        </w:r>
        <w:r w:rsidRPr="00B22BBC">
          <w:rPr>
            <w:noProof/>
            <w:webHidden/>
            <w:sz w:val="22"/>
            <w:szCs w:val="18"/>
          </w:rPr>
          <w:fldChar w:fldCharType="separate"/>
        </w:r>
        <w:r w:rsidRPr="00B22BBC">
          <w:rPr>
            <w:noProof/>
            <w:webHidden/>
            <w:sz w:val="22"/>
            <w:szCs w:val="18"/>
          </w:rPr>
          <w:t>13</w:t>
        </w:r>
        <w:r w:rsidRPr="00B22BBC">
          <w:rPr>
            <w:noProof/>
            <w:webHidden/>
            <w:sz w:val="22"/>
            <w:szCs w:val="18"/>
          </w:rPr>
          <w:fldChar w:fldCharType="end"/>
        </w:r>
      </w:hyperlink>
    </w:p>
    <w:p w:rsidR="0075381B" w:rsidRPr="00D45498" w:rsidP="00317B34" w14:paraId="0C675050" w14:textId="3EA082C9">
      <w:pPr>
        <w:pStyle w:val="TOC5"/>
        <w:ind w:left="360" w:firstLine="0"/>
        <w:sectPr w:rsidSect="00B75F1D">
          <w:footerReference w:type="even" r:id="rId9"/>
          <w:footerReference w:type="default" r:id="rId10"/>
          <w:footerReference w:type="first" r:id="rId11"/>
          <w:type w:val="oddPage"/>
          <w:pgSz w:w="12240" w:h="15840" w:code="1"/>
          <w:pgMar w:top="1008" w:right="1008" w:bottom="1008" w:left="1008" w:header="432" w:footer="288" w:gutter="0"/>
          <w:pgNumType w:fmt="lowerRoman" w:start="1"/>
          <w:cols w:space="720"/>
          <w:titlePg/>
          <w:docGrid w:linePitch="326"/>
        </w:sectPr>
      </w:pPr>
      <w:r>
        <w:rPr>
          <w:noProof w:val="0"/>
          <w:color w:val="auto"/>
          <w:sz w:val="24"/>
          <w:highlight w:val="yellow"/>
        </w:rPr>
        <w:fldChar w:fldCharType="end"/>
      </w:r>
    </w:p>
    <w:p w:rsidR="00091671" w:rsidRPr="00477529" w:rsidP="007B3A35" w14:paraId="7280C03C" w14:textId="77777777">
      <w:pPr>
        <w:pStyle w:val="Heading1"/>
      </w:pPr>
      <w:bookmarkStart w:id="9" w:name="_Toc5011092"/>
      <w:bookmarkStart w:id="10" w:name="_Toc174598601"/>
      <w:r w:rsidRPr="00477529">
        <w:t>Justification</w:t>
      </w:r>
      <w:bookmarkEnd w:id="5"/>
      <w:bookmarkEnd w:id="6"/>
      <w:bookmarkEnd w:id="7"/>
      <w:bookmarkEnd w:id="8"/>
      <w:bookmarkEnd w:id="9"/>
      <w:bookmarkEnd w:id="10"/>
    </w:p>
    <w:p w:rsidR="002D2120" w:rsidRPr="00477529" w:rsidP="00880D7B" w14:paraId="505BC052" w14:textId="77777777">
      <w:pPr>
        <w:pStyle w:val="Heading2"/>
      </w:pPr>
      <w:bookmarkStart w:id="11" w:name="_Toc99781029"/>
      <w:bookmarkStart w:id="12" w:name="_Toc115671405"/>
      <w:bookmarkStart w:id="13" w:name="_Toc383113358"/>
      <w:bookmarkStart w:id="14" w:name="_Toc5011093"/>
      <w:bookmarkStart w:id="15" w:name="_Toc174598602"/>
      <w:r w:rsidRPr="00477529">
        <w:t xml:space="preserve">Circumstances Making Collection of Information </w:t>
      </w:r>
      <w:bookmarkStart w:id="16" w:name="_Toc99781030"/>
      <w:bookmarkEnd w:id="11"/>
      <w:r w:rsidRPr="00477529" w:rsidR="00462551">
        <w:t>Necessary</w:t>
      </w:r>
      <w:bookmarkEnd w:id="12"/>
      <w:bookmarkEnd w:id="13"/>
      <w:bookmarkEnd w:id="14"/>
      <w:bookmarkEnd w:id="15"/>
    </w:p>
    <w:p w:rsidR="00091671" w:rsidRPr="00477529" w:rsidP="00880D7B" w14:paraId="6AEDF3CF" w14:textId="77777777">
      <w:pPr>
        <w:pStyle w:val="Heading3"/>
      </w:pPr>
      <w:bookmarkStart w:id="17" w:name="_Toc115671406"/>
      <w:bookmarkStart w:id="18" w:name="_Toc383113359"/>
      <w:bookmarkStart w:id="19" w:name="_Toc5011094"/>
      <w:bookmarkStart w:id="20" w:name="_Toc174598603"/>
      <w:r w:rsidRPr="00477529">
        <w:t xml:space="preserve">Purpose of this </w:t>
      </w:r>
      <w:r w:rsidRPr="00880D7B">
        <w:t>Submission</w:t>
      </w:r>
      <w:bookmarkEnd w:id="16"/>
      <w:bookmarkEnd w:id="17"/>
      <w:bookmarkEnd w:id="18"/>
      <w:bookmarkEnd w:id="19"/>
      <w:bookmarkEnd w:id="20"/>
    </w:p>
    <w:p w:rsidR="004E0758" w:rsidP="00F353B7" w14:paraId="2CF38F97" w14:textId="5CCF561F">
      <w:pPr>
        <w:pStyle w:val="BodyText"/>
        <w:rPr>
          <w:color w:val="000000"/>
        </w:rPr>
      </w:pPr>
      <w:r w:rsidRPr="006B770B">
        <w:t>This request is for the National Center for Education Statistics (NCES), within the Institute of Education Sciences (IES), a part of the U.S. Department of Education, to conduct the full-scale data collection for the 2020/2</w:t>
      </w:r>
      <w:r>
        <w:t xml:space="preserve">5 </w:t>
      </w:r>
      <w:r w:rsidRPr="006B770B">
        <w:t>Beginning Postsecondary Students Longitudinal Study (BPS:20/2</w:t>
      </w:r>
      <w:r>
        <w:t>5</w:t>
      </w:r>
      <w:r w:rsidRPr="006B770B">
        <w:t>). The primary contractor for this study is RTI International (Contract# 919900-18-C-0039)</w:t>
      </w:r>
      <w:r w:rsidRPr="00E93C24">
        <w:rPr>
          <w:color w:val="000000"/>
        </w:rPr>
        <w:t xml:space="preserve"> and subcontractors include Activate Research, Inc.; EurekaFacts, LLC; HR Directions, LLC; Leonard Resource Group; Research Support Services, Inc.; and Strategic Communications.</w:t>
      </w:r>
    </w:p>
    <w:p w:rsidR="006B770B" w:rsidP="00DC5F58" w14:paraId="3EB3C3A0" w14:textId="17D02FDA">
      <w:pPr>
        <w:rPr>
          <w:szCs w:val="24"/>
        </w:rPr>
      </w:pPr>
      <w:r w:rsidRPr="006B770B">
        <w:rPr>
          <w:szCs w:val="24"/>
        </w:rPr>
        <w:t>This submission covers BPS:20/2</w:t>
      </w:r>
      <w:r>
        <w:rPr>
          <w:szCs w:val="24"/>
        </w:rPr>
        <w:t>5</w:t>
      </w:r>
      <w:r w:rsidRPr="006B770B">
        <w:rPr>
          <w:szCs w:val="24"/>
        </w:rPr>
        <w:t xml:space="preserve"> full-scale materials and procedures required for conducting the student survey and for matching data to administrative records. The materials for the BPS:20/2</w:t>
      </w:r>
      <w:r>
        <w:rPr>
          <w:szCs w:val="24"/>
        </w:rPr>
        <w:t>5</w:t>
      </w:r>
      <w:r w:rsidRPr="006B770B">
        <w:rPr>
          <w:szCs w:val="24"/>
        </w:rPr>
        <w:t xml:space="preserve"> full-scale study are based upon the field test materials. This submission is designed to adequately justify the need for and overall practical utility of the full study, presenting the overarching plan for all of the phases of the data collection and providing as much detail about the measures to be used as is available at the time of this submission. </w:t>
      </w:r>
      <w:r w:rsidR="00D158AB">
        <w:rPr>
          <w:szCs w:val="24"/>
        </w:rPr>
        <w:t>Prior to</w:t>
      </w:r>
      <w:r w:rsidR="00A9384C">
        <w:rPr>
          <w:szCs w:val="24"/>
        </w:rPr>
        <w:t xml:space="preserve"> the</w:t>
      </w:r>
      <w:r w:rsidRPr="006B770B">
        <w:rPr>
          <w:szCs w:val="24"/>
        </w:rPr>
        <w:t xml:space="preserve"> field test, NCES published a notice in the Federal Register allowing first a 60- and then a 30-day public comment period. Field test materials, procedures, and results have informed this request for clearance for the full-scale study. For this full-scale study NCES will publish a notice in the Federal Register allowing an additional 30-day public comment period on the final details of the BPS:20/2</w:t>
      </w:r>
      <w:r>
        <w:rPr>
          <w:szCs w:val="24"/>
        </w:rPr>
        <w:t>5</w:t>
      </w:r>
      <w:r w:rsidRPr="006B770B">
        <w:rPr>
          <w:szCs w:val="24"/>
        </w:rPr>
        <w:t xml:space="preserve"> full-scale study.</w:t>
      </w:r>
    </w:p>
    <w:p w:rsidR="006B770B" w:rsidP="00DC5F58" w14:paraId="5C19CD42" w14:textId="77777777">
      <w:pPr>
        <w:rPr>
          <w:szCs w:val="24"/>
        </w:rPr>
      </w:pPr>
    </w:p>
    <w:p w:rsidR="00967B42" w:rsidP="00DC5F58" w14:paraId="4288525E" w14:textId="71DD286C">
      <w:r w:rsidRPr="0099625F">
        <w:t xml:space="preserve">BPS studies are designed to follow a cohort of students who enroll in postsecondary education for the first time during the same academic year, irrespective of the date of high school completion. The study collects data on students' persistence in and completion of postsecondary education programs; their transition to employment; demographic characteristics; and changes over time in their goals, marital status, income, and debt, among other indicators. </w:t>
      </w:r>
      <w:r w:rsidR="000058D7">
        <w:t>Nationally representative d</w:t>
      </w:r>
      <w:r w:rsidRPr="0099625F">
        <w:t>ata from BPS are used to help researchers and policymakers better understand how financial aid influences persistence and completion, what percentages of students complete various degree programs, what are the early employment and wage outcomes for certificate and degree attainers, and why students leave school.</w:t>
      </w:r>
    </w:p>
    <w:p w:rsidR="006B770B" w:rsidRPr="004E6654" w:rsidP="00DC5F58" w14:paraId="2F668962" w14:textId="77777777"/>
    <w:p w:rsidR="00835CAB" w:rsidP="007B3A35" w14:paraId="740377C5" w14:textId="4D6C43B4">
      <w:pPr>
        <w:pStyle w:val="BodyText"/>
        <w:spacing w:before="0" w:after="0"/>
      </w:pPr>
      <w:r w:rsidRPr="004E6654">
        <w:t>This submission describes the planned sampling, recruitment, and data collection procedures, and includes</w:t>
      </w:r>
      <w:r w:rsidR="00D62154">
        <w:t>:</w:t>
      </w:r>
    </w:p>
    <w:p w:rsidR="00AD5ACD" w:rsidRPr="004E6654" w:rsidP="007B3A35" w14:paraId="5E5187F5" w14:textId="77777777">
      <w:pPr>
        <w:pStyle w:val="BodyText"/>
        <w:spacing w:before="0" w:after="0"/>
      </w:pPr>
    </w:p>
    <w:p w:rsidR="00AD5ACD" w:rsidP="00D62154" w14:paraId="38969ADA" w14:textId="5FEC496C">
      <w:pPr>
        <w:pStyle w:val="bulletround"/>
        <w:numPr>
          <w:ilvl w:val="0"/>
          <w:numId w:val="0"/>
        </w:numPr>
        <w:ind w:left="720"/>
        <w:rPr>
          <w:color w:val="000000"/>
        </w:rPr>
      </w:pPr>
      <w:r w:rsidRPr="00E93C24">
        <w:rPr>
          <w:color w:val="000000"/>
        </w:rPr>
        <w:t>- A membership list of the Technical Review Panel (TRP) (appendix A);</w:t>
      </w:r>
      <w:r w:rsidRPr="00E93C24">
        <w:rPr>
          <w:color w:val="000000"/>
        </w:rPr>
        <w:br/>
        <w:t>- A description of the confidentiality procedures in place for the administrative record matching (appendix B);</w:t>
      </w:r>
      <w:r w:rsidRPr="00E93C24">
        <w:rPr>
          <w:color w:val="000000"/>
        </w:rPr>
        <w:br/>
        <w:t xml:space="preserve">- </w:t>
      </w:r>
      <w:r>
        <w:rPr>
          <w:color w:val="000000"/>
        </w:rPr>
        <w:t>D</w:t>
      </w:r>
      <w:r w:rsidRPr="00E93C24">
        <w:rPr>
          <w:color w:val="000000"/>
        </w:rPr>
        <w:t>ata collection contacting materials (appendix C);</w:t>
      </w:r>
      <w:r w:rsidRPr="00E93C24">
        <w:rPr>
          <w:color w:val="000000"/>
        </w:rPr>
        <w:br/>
        <w:t xml:space="preserve">- </w:t>
      </w:r>
      <w:r w:rsidRPr="00D62154">
        <w:rPr>
          <w:color w:val="000000"/>
        </w:rPr>
        <w:t>Results of the BPS:20/2</w:t>
      </w:r>
      <w:r>
        <w:rPr>
          <w:color w:val="000000"/>
        </w:rPr>
        <w:t>5</w:t>
      </w:r>
      <w:r w:rsidRPr="00D62154">
        <w:rPr>
          <w:color w:val="000000"/>
        </w:rPr>
        <w:t xml:space="preserve"> field test procedures and methods </w:t>
      </w:r>
      <w:r w:rsidRPr="00E93C24">
        <w:rPr>
          <w:color w:val="000000"/>
        </w:rPr>
        <w:t>(appendix D); and</w:t>
      </w:r>
      <w:r w:rsidRPr="00E93C24">
        <w:rPr>
          <w:color w:val="000000"/>
        </w:rPr>
        <w:br/>
        <w:t>- Survey instrument (appendix E).</w:t>
      </w:r>
    </w:p>
    <w:p w:rsidR="00D62154" w:rsidRPr="004E6654" w:rsidP="00AD5ACD" w14:paraId="3E8373F6" w14:textId="77777777">
      <w:pPr>
        <w:pStyle w:val="bulletround"/>
        <w:numPr>
          <w:ilvl w:val="0"/>
          <w:numId w:val="0"/>
        </w:numPr>
        <w:rPr>
          <w:rFonts w:cs="Times New Roman"/>
        </w:rPr>
      </w:pPr>
    </w:p>
    <w:p w:rsidR="00835CAB" w:rsidRPr="00477529" w:rsidP="00A64EB8" w14:paraId="730FB1D5" w14:textId="77777777">
      <w:pPr>
        <w:pStyle w:val="Heading3"/>
      </w:pPr>
      <w:bookmarkStart w:id="21" w:name="_Toc383113360"/>
      <w:bookmarkStart w:id="22" w:name="_Toc5011095"/>
      <w:bookmarkStart w:id="23" w:name="_Toc174598604"/>
      <w:r w:rsidRPr="00477529">
        <w:t>Legislative Authorization</w:t>
      </w:r>
      <w:bookmarkEnd w:id="21"/>
      <w:bookmarkEnd w:id="22"/>
      <w:bookmarkEnd w:id="23"/>
    </w:p>
    <w:p w:rsidR="00835CAB" w:rsidRPr="004E6654" w:rsidP="00A05984" w14:paraId="3C262F84" w14:textId="172F6D6B">
      <w:pPr>
        <w:pStyle w:val="BodyText"/>
        <w:widowControl w:val="0"/>
      </w:pPr>
      <w:r w:rsidRPr="004E6654">
        <w:t xml:space="preserve">NCES conducts </w:t>
      </w:r>
      <w:r w:rsidR="00D62154">
        <w:rPr>
          <w:rFonts w:cs="Calibri"/>
          <w:color w:val="000000"/>
          <w:szCs w:val="24"/>
        </w:rPr>
        <w:t>BPS:20/25</w:t>
      </w:r>
      <w:r w:rsidRPr="00E93C24" w:rsidR="00D62154">
        <w:rPr>
          <w:rFonts w:cs="Calibri"/>
          <w:color w:val="000000"/>
          <w:szCs w:val="24"/>
        </w:rPr>
        <w:t xml:space="preserve"> </w:t>
      </w:r>
      <w:r w:rsidRPr="004E6654">
        <w:t xml:space="preserve">in close consultation with other </w:t>
      </w:r>
      <w:r w:rsidRPr="004E6654" w:rsidR="00396375">
        <w:t xml:space="preserve">U.S. Department of Education </w:t>
      </w:r>
      <w:r w:rsidRPr="004E6654">
        <w:t>offices</w:t>
      </w:r>
      <w:r w:rsidRPr="004E6654" w:rsidR="00396375">
        <w:t>, federal agencies,</w:t>
      </w:r>
      <w:r w:rsidRPr="004E6654">
        <w:t xml:space="preserve"> and organizations</w:t>
      </w:r>
      <w:r w:rsidRPr="004E6654" w:rsidR="00036866">
        <w:t xml:space="preserve"> (see sections A.4 and A.8 of this document)</w:t>
      </w:r>
      <w:r w:rsidRPr="004E6654">
        <w:t xml:space="preserve">. </w:t>
      </w:r>
      <w:r w:rsidRPr="004E6654">
        <w:t xml:space="preserve">NCES </w:t>
      </w:r>
      <w:r w:rsidRPr="004E6654">
        <w:t>is authorized</w:t>
      </w:r>
      <w:r w:rsidRPr="004E6654">
        <w:t xml:space="preserve"> to conduct </w:t>
      </w:r>
      <w:r w:rsidR="00D62154">
        <w:t>BPS</w:t>
      </w:r>
      <w:r w:rsidRPr="004E6654">
        <w:t xml:space="preserve"> under the </w:t>
      </w:r>
      <w:r w:rsidRPr="004E6654" w:rsidR="003D1801">
        <w:t>Education Sciences Reform Act</w:t>
      </w:r>
      <w:r w:rsidRPr="004E6654" w:rsidR="005E5312">
        <w:t xml:space="preserve"> </w:t>
      </w:r>
      <w:r w:rsidRPr="004E6654" w:rsidR="003D1801">
        <w:t>of 2002 (</w:t>
      </w:r>
      <w:r w:rsidRPr="004E6654" w:rsidR="001E1E2E">
        <w:t xml:space="preserve">ESRA 2002, </w:t>
      </w:r>
      <w:r w:rsidRPr="004E6654" w:rsidR="003D1801">
        <w:t>20 U.S.C. §95</w:t>
      </w:r>
      <w:r w:rsidRPr="004E6654" w:rsidR="007C4A27">
        <w:t>43</w:t>
      </w:r>
      <w:r w:rsidRPr="004E6654" w:rsidR="003D1801">
        <w:t xml:space="preserve">) and the </w:t>
      </w:r>
      <w:r w:rsidRPr="004E6654">
        <w:t>Higher Education Opportunity Act</w:t>
      </w:r>
      <w:r w:rsidRPr="004E6654" w:rsidR="003D1801">
        <w:t xml:space="preserve"> </w:t>
      </w:r>
      <w:r w:rsidRPr="004E6654">
        <w:t>of 2008</w:t>
      </w:r>
      <w:r w:rsidRPr="004E6654" w:rsidR="00036866">
        <w:t xml:space="preserve"> [</w:t>
      </w:r>
      <w:r w:rsidRPr="004E6654" w:rsidR="001E1E2E">
        <w:t xml:space="preserve">HEOA 2008, </w:t>
      </w:r>
      <w:r w:rsidRPr="004E6654">
        <w:t>20 U.S.C. §1015</w:t>
      </w:r>
      <w:r w:rsidRPr="004E6654" w:rsidR="00036866">
        <w:t>(a)(k)]</w:t>
      </w:r>
      <w:r w:rsidRPr="004E6654">
        <w:t>:</w:t>
      </w:r>
    </w:p>
    <w:p w:rsidR="00D62154" w:rsidRPr="00E93C24" w:rsidP="00D62154" w14:paraId="54E34184" w14:textId="77777777">
      <w:pPr>
        <w:ind w:left="180"/>
        <w:rPr>
          <w:szCs w:val="24"/>
        </w:rPr>
      </w:pPr>
      <w:bookmarkStart w:id="24" w:name="_Toc383113361"/>
      <w:r w:rsidRPr="00E93C24">
        <w:rPr>
          <w:szCs w:val="24"/>
        </w:rPr>
        <w:t>“Student aid recipient survey</w:t>
      </w:r>
    </w:p>
    <w:p w:rsidR="00D62154" w:rsidRPr="00E93C24" w:rsidP="00D62154" w14:paraId="2D554576" w14:textId="77777777">
      <w:pPr>
        <w:widowControl w:val="0"/>
        <w:ind w:left="630" w:hanging="274"/>
        <w:rPr>
          <w:szCs w:val="24"/>
        </w:rPr>
      </w:pPr>
      <w:r w:rsidRPr="00E93C24">
        <w:rPr>
          <w:szCs w:val="24"/>
        </w:rPr>
        <w:t>(1) Survey required: The Secretary, acting through the Commissioner for Education Statistics, shall conduct, on a State-by-State basis, a survey of recipients of Federal student financial aid under subchapter IV of this chapter and part C of subchapter I of chapter 34 of title 42—</w:t>
      </w:r>
    </w:p>
    <w:p w:rsidR="00D62154" w:rsidRPr="00E93C24" w:rsidP="00D62154" w14:paraId="3B5697E9" w14:textId="77777777">
      <w:pPr>
        <w:ind w:left="1080" w:hanging="360"/>
        <w:rPr>
          <w:szCs w:val="24"/>
        </w:rPr>
      </w:pPr>
      <w:r w:rsidRPr="00E93C24">
        <w:rPr>
          <w:szCs w:val="24"/>
        </w:rPr>
        <w:t>(A) to identify the population of students receiving such Federal student financial aid;</w:t>
      </w:r>
    </w:p>
    <w:p w:rsidR="00D62154" w:rsidRPr="00E93C24" w:rsidP="00D62154" w14:paraId="040E8989" w14:textId="77777777">
      <w:pPr>
        <w:ind w:left="1080" w:hanging="360"/>
        <w:rPr>
          <w:szCs w:val="24"/>
        </w:rPr>
      </w:pPr>
      <w:r w:rsidRPr="00E93C24">
        <w:rPr>
          <w:szCs w:val="24"/>
        </w:rPr>
        <w:t>(B) to describe the income distribution and other socioeconomic characteristics of recipients of such Federal student financial aid;</w:t>
      </w:r>
    </w:p>
    <w:p w:rsidR="00D62154" w:rsidRPr="00E93C24" w:rsidP="00D62154" w14:paraId="3CBEEF9D" w14:textId="77777777">
      <w:pPr>
        <w:widowControl w:val="0"/>
        <w:ind w:left="1080" w:hanging="360"/>
        <w:rPr>
          <w:szCs w:val="24"/>
        </w:rPr>
      </w:pPr>
      <w:r w:rsidRPr="00E93C24">
        <w:rPr>
          <w:szCs w:val="24"/>
        </w:rPr>
        <w:t>(C) to describe the combinations of aid from Federal, State, and private sources received by such recipients from all income categories;</w:t>
      </w:r>
    </w:p>
    <w:p w:rsidR="00D62154" w:rsidRPr="00E93C24" w:rsidP="00D62154" w14:paraId="03FB1F46" w14:textId="77777777">
      <w:pPr>
        <w:widowControl w:val="0"/>
        <w:ind w:left="1080" w:hanging="360"/>
        <w:rPr>
          <w:szCs w:val="24"/>
        </w:rPr>
      </w:pPr>
      <w:r w:rsidRPr="00E93C24">
        <w:rPr>
          <w:szCs w:val="24"/>
        </w:rPr>
        <w:t>(D) to describe the—</w:t>
      </w:r>
    </w:p>
    <w:p w:rsidR="00D62154" w:rsidRPr="00E93C24" w:rsidP="00D62154" w14:paraId="53EB6D9C" w14:textId="77777777">
      <w:pPr>
        <w:widowControl w:val="0"/>
        <w:ind w:left="1170"/>
        <w:rPr>
          <w:szCs w:val="24"/>
        </w:rPr>
      </w:pPr>
      <w:r w:rsidRPr="00E93C24">
        <w:rPr>
          <w:szCs w:val="24"/>
        </w:rPr>
        <w:t>(</w:t>
      </w:r>
      <w:r w:rsidRPr="00E93C24">
        <w:rPr>
          <w:szCs w:val="24"/>
        </w:rPr>
        <w:t>i</w:t>
      </w:r>
      <w:r w:rsidRPr="00E93C24">
        <w:rPr>
          <w:szCs w:val="24"/>
        </w:rPr>
        <w:t>) debt burden of such loan recipients, and their capacity to repay their education debts; and</w:t>
      </w:r>
    </w:p>
    <w:p w:rsidR="00D62154" w:rsidRPr="00E93C24" w:rsidP="00D62154" w14:paraId="09D8E7D2" w14:textId="77777777">
      <w:pPr>
        <w:ind w:left="1170"/>
        <w:rPr>
          <w:spacing w:val="-2"/>
          <w:szCs w:val="24"/>
        </w:rPr>
      </w:pPr>
      <w:r w:rsidRPr="00E93C24">
        <w:rPr>
          <w:szCs w:val="24"/>
        </w:rPr>
        <w:t xml:space="preserve">(ii) </w:t>
      </w:r>
      <w:r w:rsidRPr="00E93C24">
        <w:rPr>
          <w:spacing w:val="-2"/>
          <w:szCs w:val="24"/>
        </w:rPr>
        <w:t>the impact of such debt burden on the recipients’ course of study and post-graduation plans;</w:t>
      </w:r>
    </w:p>
    <w:p w:rsidR="00D62154" w:rsidRPr="00E93C24" w:rsidP="00D62154" w14:paraId="61421736" w14:textId="77777777">
      <w:pPr>
        <w:ind w:left="1080" w:hanging="360"/>
        <w:rPr>
          <w:szCs w:val="24"/>
        </w:rPr>
      </w:pPr>
      <w:r w:rsidRPr="00E93C24">
        <w:rPr>
          <w:szCs w:val="24"/>
        </w:rPr>
        <w:t>(E) to describe the impact of the cost of attendance of postsecondary education in the determination by students of what institution of higher education to attend; and</w:t>
      </w:r>
    </w:p>
    <w:p w:rsidR="00D62154" w:rsidRPr="00E93C24" w:rsidP="00D62154" w14:paraId="3F816E19" w14:textId="77777777">
      <w:pPr>
        <w:ind w:left="1080" w:hanging="360"/>
        <w:rPr>
          <w:szCs w:val="24"/>
        </w:rPr>
      </w:pPr>
      <w:r w:rsidRPr="00E93C24">
        <w:rPr>
          <w:szCs w:val="24"/>
        </w:rPr>
        <w:t>(F) to describe how the costs of textbooks and other instructional materials affect the costs of postsecondary education for students.</w:t>
      </w:r>
    </w:p>
    <w:p w:rsidR="00D62154" w:rsidRPr="00E93C24" w:rsidP="00D62154" w14:paraId="63699C1B" w14:textId="77777777">
      <w:pPr>
        <w:ind w:left="630" w:hanging="270"/>
        <w:rPr>
          <w:szCs w:val="24"/>
        </w:rPr>
      </w:pPr>
      <w:r w:rsidRPr="000762B9">
        <w:rPr>
          <w:szCs w:val="24"/>
        </w:rPr>
        <w:t>(2) Frequency: The survey shall be conducted on a regular cycle and not less often than once every four years.</w:t>
      </w:r>
    </w:p>
    <w:p w:rsidR="00D62154" w:rsidRPr="00E93C24" w:rsidP="00D62154" w14:paraId="6596AEA5" w14:textId="77777777">
      <w:pPr>
        <w:ind w:left="630" w:hanging="270"/>
        <w:rPr>
          <w:szCs w:val="24"/>
        </w:rPr>
      </w:pPr>
      <w:r w:rsidRPr="00E93C24">
        <w:rPr>
          <w:szCs w:val="24"/>
        </w:rPr>
        <w:t>(3) Survey design: The survey shall be representative of students from all types of institutions, including full-time and part-time students, undergraduate, graduate, and professional students, and current and former students.</w:t>
      </w:r>
    </w:p>
    <w:p w:rsidR="00D62154" w:rsidRPr="00E93C24" w:rsidP="00D62154" w14:paraId="60B6CCED" w14:textId="77777777">
      <w:pPr>
        <w:ind w:left="630" w:hanging="270"/>
        <w:rPr>
          <w:szCs w:val="24"/>
        </w:rPr>
      </w:pPr>
      <w:r w:rsidRPr="00E93C24">
        <w:rPr>
          <w:szCs w:val="24"/>
        </w:rPr>
        <w:t>(4) Dissemination: The Commissioner for Education Statistics shall disseminate to the public, in printed and electronic form, the information resulting from the survey.”</w:t>
      </w:r>
    </w:p>
    <w:p w:rsidR="005F3E77" w:rsidRPr="00477529" w:rsidP="007B3A35" w14:paraId="55F7C44E" w14:textId="7BB7A88E">
      <w:pPr>
        <w:pStyle w:val="Heading3"/>
      </w:pPr>
      <w:bookmarkStart w:id="25" w:name="_Toc174598605"/>
      <w:r w:rsidRPr="00477529">
        <w:t xml:space="preserve">Prior </w:t>
      </w:r>
      <w:r w:rsidR="00D62154">
        <w:t>BPS</w:t>
      </w:r>
      <w:r w:rsidRPr="00477529">
        <w:t xml:space="preserve"> Studies</w:t>
      </w:r>
      <w:bookmarkEnd w:id="24"/>
      <w:bookmarkEnd w:id="25"/>
    </w:p>
    <w:p w:rsidR="00D62154" w:rsidRPr="00C80844" w:rsidP="00D62154" w14:paraId="1F8C0852" w14:textId="2278C8FA">
      <w:pPr>
        <w:pStyle w:val="NormalWeb"/>
        <w:rPr>
          <w:rFonts w:ascii="Garamond" w:hAnsi="Garamond"/>
          <w:color w:val="000000"/>
          <w:highlight w:val="yellow"/>
        </w:rPr>
      </w:pPr>
      <w:bookmarkStart w:id="26" w:name="_Toc383113362"/>
      <w:bookmarkStart w:id="27" w:name="_Toc418171234"/>
      <w:bookmarkStart w:id="28" w:name="_Toc5011097"/>
      <w:r w:rsidRPr="245DED47">
        <w:rPr>
          <w:rFonts w:ascii="Garamond" w:hAnsi="Garamond"/>
          <w:color w:val="000000" w:themeColor="text1"/>
        </w:rPr>
        <w:t xml:space="preserve">With the first BPS cohort starting in 1990 (BPS:90), the BPS:20 cohort is the fifth study of beginning postsecondary students. Beginning with the BPS:96 cohort, </w:t>
      </w:r>
      <w:r>
        <w:rPr>
          <w:rFonts w:ascii="Garamond" w:hAnsi="Garamond"/>
          <w:color w:val="000000" w:themeColor="text1"/>
        </w:rPr>
        <w:t>first time beginning (</w:t>
      </w:r>
      <w:r w:rsidRPr="245DED47">
        <w:rPr>
          <w:rFonts w:ascii="Garamond" w:hAnsi="Garamond"/>
          <w:color w:val="000000" w:themeColor="text1"/>
        </w:rPr>
        <w:t>FTB</w:t>
      </w:r>
      <w:r>
        <w:rPr>
          <w:rFonts w:ascii="Garamond" w:hAnsi="Garamond"/>
          <w:color w:val="000000" w:themeColor="text1"/>
        </w:rPr>
        <w:t>)</w:t>
      </w:r>
      <w:r w:rsidRPr="245DED47">
        <w:rPr>
          <w:rFonts w:ascii="Garamond" w:hAnsi="Garamond"/>
          <w:color w:val="000000" w:themeColor="text1"/>
        </w:rPr>
        <w:t xml:space="preserve"> students are surveyed at three points in time for up to 6 years: in the base year (through the NPSAS student interview) and 3 and 6 years later in the BPS follow-up interviews. </w:t>
      </w:r>
    </w:p>
    <w:p w:rsidR="00FB77C4" w:rsidP="00FB77C4" w14:paraId="3E4B3E88" w14:textId="77777777">
      <w:pPr>
        <w:pStyle w:val="Heading3"/>
        <w:ind w:left="1440" w:hanging="360"/>
      </w:pPr>
      <w:bookmarkStart w:id="29" w:name="_Toc174598606"/>
      <w:r>
        <w:t>Prior and Related Studies</w:t>
      </w:r>
      <w:bookmarkEnd w:id="26"/>
      <w:bookmarkEnd w:id="27"/>
      <w:bookmarkEnd w:id="28"/>
      <w:bookmarkEnd w:id="29"/>
    </w:p>
    <w:p w:rsidR="00D62154" w:rsidRPr="00E93C24" w:rsidP="00D62154" w14:paraId="3ED96F29" w14:textId="3473B64C">
      <w:pPr>
        <w:pStyle w:val="NormalWeb"/>
        <w:rPr>
          <w:rFonts w:ascii="Garamond" w:hAnsi="Garamond"/>
          <w:color w:val="000000"/>
        </w:rPr>
      </w:pPr>
      <w:bookmarkStart w:id="30" w:name="_Toc417667896"/>
      <w:bookmarkStart w:id="31" w:name="_Toc381969977"/>
      <w:bookmarkStart w:id="32" w:name="_Toc5011117"/>
      <w:bookmarkStart w:id="33" w:name="_Hlk136335575"/>
      <w:r w:rsidRPr="245DED47">
        <w:rPr>
          <w:rFonts w:ascii="Garamond" w:hAnsi="Garamond"/>
          <w:color w:val="000000" w:themeColor="text1"/>
        </w:rPr>
        <w:t xml:space="preserve">The chronology of the previous administrations of the </w:t>
      </w:r>
      <w:r>
        <w:rPr>
          <w:rFonts w:ascii="Garamond" w:hAnsi="Garamond"/>
          <w:color w:val="000000" w:themeColor="text1"/>
        </w:rPr>
        <w:t>National Postsecondary Student Aid Study (</w:t>
      </w:r>
      <w:r w:rsidRPr="245DED47">
        <w:rPr>
          <w:rFonts w:ascii="Garamond" w:hAnsi="Garamond"/>
          <w:color w:val="000000" w:themeColor="text1"/>
        </w:rPr>
        <w:t>NPSAS</w:t>
      </w:r>
      <w:r>
        <w:rPr>
          <w:rFonts w:ascii="Garamond" w:hAnsi="Garamond"/>
          <w:color w:val="000000" w:themeColor="text1"/>
        </w:rPr>
        <w:t>)</w:t>
      </w:r>
      <w:r w:rsidRPr="245DED47">
        <w:rPr>
          <w:rFonts w:ascii="Garamond" w:hAnsi="Garamond"/>
          <w:color w:val="000000" w:themeColor="text1"/>
        </w:rPr>
        <w:t xml:space="preserve"> study and its associated BPS and </w:t>
      </w:r>
      <w:r>
        <w:rPr>
          <w:rFonts w:ascii="Garamond" w:hAnsi="Garamond"/>
          <w:color w:val="000000" w:themeColor="text1"/>
        </w:rPr>
        <w:t>Baccalaureate and Beyond (</w:t>
      </w:r>
      <w:r w:rsidRPr="245DED47">
        <w:rPr>
          <w:rFonts w:ascii="Garamond" w:hAnsi="Garamond"/>
          <w:color w:val="000000" w:themeColor="text1"/>
        </w:rPr>
        <w:t>B&amp;B</w:t>
      </w:r>
      <w:r>
        <w:rPr>
          <w:rFonts w:ascii="Garamond" w:hAnsi="Garamond"/>
          <w:color w:val="000000" w:themeColor="text1"/>
        </w:rPr>
        <w:t>)</w:t>
      </w:r>
      <w:r w:rsidRPr="245DED47">
        <w:rPr>
          <w:rFonts w:ascii="Garamond" w:hAnsi="Garamond"/>
          <w:color w:val="000000" w:themeColor="text1"/>
        </w:rPr>
        <w:t xml:space="preserve"> longitudinal components are shown in Table 1 below.</w:t>
      </w:r>
      <w:r w:rsidR="00222C1D">
        <w:rPr>
          <w:rFonts w:ascii="Garamond" w:hAnsi="Garamond"/>
          <w:color w:val="000000" w:themeColor="text1"/>
        </w:rPr>
        <w:t xml:space="preserve"> </w:t>
      </w:r>
    </w:p>
    <w:p w:rsidR="00FB77C4" w:rsidRPr="00BD70A2" w:rsidP="00BD70A2" w14:paraId="199F83C6" w14:textId="6712F884">
      <w:pPr>
        <w:pStyle w:val="TableTitle"/>
      </w:pPr>
      <w:bookmarkStart w:id="34" w:name="_Toc174606374"/>
      <w:r w:rsidRPr="00BD70A2">
        <w:t>Table 1.</w:t>
      </w:r>
      <w:r w:rsidR="00317B34">
        <w:t xml:space="preserve"> </w:t>
      </w:r>
      <w:r w:rsidRPr="00BD70A2">
        <w:t xml:space="preserve">Chronology of NPSAS and its </w:t>
      </w:r>
      <w:r w:rsidRPr="00BD70A2" w:rsidR="00080A30">
        <w:t>L</w:t>
      </w:r>
      <w:r w:rsidRPr="00BD70A2">
        <w:t xml:space="preserve">ongitudinal </w:t>
      </w:r>
      <w:r w:rsidRPr="00BD70A2" w:rsidR="00080A30">
        <w:t>C</w:t>
      </w:r>
      <w:r w:rsidRPr="00BD70A2">
        <w:t>omponents</w:t>
      </w:r>
      <w:bookmarkEnd w:id="30"/>
      <w:bookmarkEnd w:id="31"/>
      <w:bookmarkEnd w:id="32"/>
      <w:bookmarkEnd w:id="34"/>
    </w:p>
    <w:tbl>
      <w:tblPr>
        <w:tblStyle w:val="TableGrid"/>
        <w:tblW w:w="5000" w:type="pct"/>
        <w:tblLook w:val="01E0"/>
      </w:tblPr>
      <w:tblGrid>
        <w:gridCol w:w="2843"/>
        <w:gridCol w:w="2556"/>
        <w:gridCol w:w="2556"/>
        <w:gridCol w:w="2557"/>
      </w:tblGrid>
      <w:tr w14:paraId="038BEC27" w14:textId="77777777" w:rsidTr="00874EA4">
        <w:tblPrEx>
          <w:tblW w:w="5000" w:type="pct"/>
          <w:tblLook w:val="01E0"/>
        </w:tblPrEx>
        <w:tc>
          <w:tcPr>
            <w:tcW w:w="2843" w:type="dxa"/>
          </w:tcPr>
          <w:p w:rsidR="00FB77C4" w:rsidRPr="00FC703F" w:rsidP="00E210A1" w14:paraId="178EF8F5" w14:textId="77777777">
            <w:pPr>
              <w:pStyle w:val="Tabletext"/>
              <w:rPr>
                <w:rFonts w:cs="Arial"/>
                <w:b/>
                <w:szCs w:val="16"/>
              </w:rPr>
            </w:pPr>
            <w:r w:rsidRPr="00FC703F">
              <w:rPr>
                <w:rFonts w:cs="Arial"/>
                <w:b/>
                <w:szCs w:val="16"/>
              </w:rPr>
              <w:t>Base year</w:t>
            </w:r>
          </w:p>
        </w:tc>
        <w:tc>
          <w:tcPr>
            <w:tcW w:w="2556" w:type="dxa"/>
          </w:tcPr>
          <w:p w:rsidR="00FB77C4" w:rsidRPr="00FC703F" w:rsidP="00E210A1" w14:paraId="62F1810E" w14:textId="77777777">
            <w:pPr>
              <w:pStyle w:val="Tabletext"/>
              <w:jc w:val="left"/>
              <w:rPr>
                <w:rFonts w:cs="Arial"/>
                <w:b/>
                <w:szCs w:val="16"/>
              </w:rPr>
            </w:pPr>
            <w:r w:rsidRPr="00FC703F">
              <w:rPr>
                <w:rFonts w:cs="Arial"/>
                <w:b/>
                <w:szCs w:val="16"/>
              </w:rPr>
              <w:t>First follow-up</w:t>
            </w:r>
          </w:p>
        </w:tc>
        <w:tc>
          <w:tcPr>
            <w:tcW w:w="2556" w:type="dxa"/>
          </w:tcPr>
          <w:p w:rsidR="00FB77C4" w:rsidRPr="00FC703F" w:rsidP="00E210A1" w14:paraId="65F0DCD0" w14:textId="77777777">
            <w:pPr>
              <w:pStyle w:val="Tabletext"/>
              <w:jc w:val="left"/>
              <w:rPr>
                <w:rFonts w:cs="Arial"/>
                <w:b/>
                <w:szCs w:val="16"/>
              </w:rPr>
            </w:pPr>
            <w:r w:rsidRPr="00FC703F">
              <w:rPr>
                <w:rFonts w:cs="Arial"/>
                <w:b/>
                <w:szCs w:val="16"/>
              </w:rPr>
              <w:t>Second follow-up</w:t>
            </w:r>
          </w:p>
        </w:tc>
        <w:tc>
          <w:tcPr>
            <w:tcW w:w="2557" w:type="dxa"/>
          </w:tcPr>
          <w:p w:rsidR="00FB77C4" w:rsidRPr="00FC703F" w:rsidP="00E210A1" w14:paraId="6453F286" w14:textId="77777777">
            <w:pPr>
              <w:pStyle w:val="Tabletext"/>
              <w:jc w:val="left"/>
              <w:rPr>
                <w:rFonts w:cs="Arial"/>
                <w:b/>
                <w:szCs w:val="16"/>
              </w:rPr>
            </w:pPr>
            <w:r w:rsidRPr="00FC703F">
              <w:rPr>
                <w:rFonts w:cs="Arial"/>
                <w:b/>
                <w:szCs w:val="16"/>
              </w:rPr>
              <w:t>Third follow-up</w:t>
            </w:r>
          </w:p>
        </w:tc>
      </w:tr>
      <w:tr w14:paraId="60E38D9F" w14:textId="77777777" w:rsidTr="00874EA4">
        <w:tblPrEx>
          <w:tblW w:w="5000" w:type="pct"/>
          <w:tblLook w:val="01E0"/>
        </w:tblPrEx>
        <w:tc>
          <w:tcPr>
            <w:tcW w:w="2843" w:type="dxa"/>
          </w:tcPr>
          <w:p w:rsidR="00FB77C4" w:rsidRPr="00FC703F" w:rsidP="00E210A1" w14:paraId="29EF561B" w14:textId="77777777">
            <w:pPr>
              <w:pStyle w:val="Tablebody"/>
              <w:rPr>
                <w:rFonts w:cs="Arial"/>
                <w:sz w:val="16"/>
                <w:szCs w:val="16"/>
              </w:rPr>
            </w:pPr>
            <w:r w:rsidRPr="00FC703F">
              <w:rPr>
                <w:rFonts w:cs="Arial"/>
                <w:sz w:val="16"/>
                <w:szCs w:val="16"/>
              </w:rPr>
              <w:t>NPSAS:90</w:t>
            </w:r>
          </w:p>
        </w:tc>
        <w:tc>
          <w:tcPr>
            <w:tcW w:w="2556" w:type="dxa"/>
          </w:tcPr>
          <w:p w:rsidR="00FB77C4" w:rsidRPr="00FC703F" w:rsidP="00E210A1" w14:paraId="5DC71DA7" w14:textId="77777777">
            <w:pPr>
              <w:pStyle w:val="Tabletext"/>
              <w:rPr>
                <w:rFonts w:cs="Arial"/>
                <w:szCs w:val="16"/>
              </w:rPr>
            </w:pPr>
            <w:r w:rsidRPr="00FC703F">
              <w:rPr>
                <w:rFonts w:cs="Arial"/>
                <w:szCs w:val="16"/>
              </w:rPr>
              <w:t>BPS:90/92</w:t>
            </w:r>
          </w:p>
        </w:tc>
        <w:tc>
          <w:tcPr>
            <w:tcW w:w="2556" w:type="dxa"/>
          </w:tcPr>
          <w:p w:rsidR="00FB77C4" w:rsidRPr="00FC703F" w:rsidP="00E210A1" w14:paraId="3AC97353" w14:textId="77777777">
            <w:pPr>
              <w:pStyle w:val="Tabletext"/>
              <w:rPr>
                <w:rFonts w:cs="Arial"/>
                <w:szCs w:val="16"/>
              </w:rPr>
            </w:pPr>
            <w:r w:rsidRPr="00FC703F">
              <w:rPr>
                <w:rFonts w:cs="Arial"/>
                <w:szCs w:val="16"/>
              </w:rPr>
              <w:t>BPS:90/94</w:t>
            </w:r>
          </w:p>
        </w:tc>
        <w:tc>
          <w:tcPr>
            <w:tcW w:w="2557" w:type="dxa"/>
          </w:tcPr>
          <w:p w:rsidR="00FB77C4" w:rsidRPr="00FC703F" w:rsidP="00E210A1" w14:paraId="5D5A00F5" w14:textId="77777777">
            <w:pPr>
              <w:pStyle w:val="Tabletext"/>
              <w:rPr>
                <w:rFonts w:cs="Arial"/>
                <w:szCs w:val="16"/>
              </w:rPr>
            </w:pPr>
            <w:r w:rsidRPr="00FC703F">
              <w:rPr>
                <w:rFonts w:cs="Arial"/>
                <w:szCs w:val="16"/>
              </w:rPr>
              <w:t>—</w:t>
            </w:r>
          </w:p>
        </w:tc>
      </w:tr>
      <w:tr w14:paraId="500A6FFF" w14:textId="77777777" w:rsidTr="00874EA4">
        <w:tblPrEx>
          <w:tblW w:w="5000" w:type="pct"/>
          <w:tblLook w:val="01E0"/>
        </w:tblPrEx>
        <w:tc>
          <w:tcPr>
            <w:tcW w:w="2843" w:type="dxa"/>
          </w:tcPr>
          <w:p w:rsidR="00FB77C4" w:rsidRPr="00FC703F" w:rsidP="00E210A1" w14:paraId="14BCE5B4" w14:textId="77777777">
            <w:pPr>
              <w:pStyle w:val="Tablebody"/>
              <w:rPr>
                <w:rFonts w:cs="Arial"/>
                <w:sz w:val="16"/>
                <w:szCs w:val="16"/>
              </w:rPr>
            </w:pPr>
            <w:r w:rsidRPr="00FC703F">
              <w:rPr>
                <w:rFonts w:cs="Arial"/>
                <w:sz w:val="16"/>
                <w:szCs w:val="16"/>
              </w:rPr>
              <w:t>NPSAS:93</w:t>
            </w:r>
          </w:p>
        </w:tc>
        <w:tc>
          <w:tcPr>
            <w:tcW w:w="2556" w:type="dxa"/>
          </w:tcPr>
          <w:p w:rsidR="00FB77C4" w:rsidRPr="00FC703F" w:rsidP="00E210A1" w14:paraId="2DC4F52C" w14:textId="77777777">
            <w:pPr>
              <w:pStyle w:val="Tabletext"/>
              <w:rPr>
                <w:rFonts w:cs="Arial"/>
                <w:szCs w:val="16"/>
              </w:rPr>
            </w:pPr>
            <w:r w:rsidRPr="00FC703F">
              <w:rPr>
                <w:rFonts w:cs="Arial"/>
                <w:szCs w:val="16"/>
              </w:rPr>
              <w:t>B&amp;B:93/94</w:t>
            </w:r>
          </w:p>
        </w:tc>
        <w:tc>
          <w:tcPr>
            <w:tcW w:w="2556" w:type="dxa"/>
          </w:tcPr>
          <w:p w:rsidR="00FB77C4" w:rsidRPr="00FC703F" w:rsidP="00E210A1" w14:paraId="77FE5719" w14:textId="77777777">
            <w:pPr>
              <w:pStyle w:val="Tabletext"/>
              <w:rPr>
                <w:rFonts w:cs="Arial"/>
                <w:szCs w:val="16"/>
              </w:rPr>
            </w:pPr>
            <w:r w:rsidRPr="00FC703F">
              <w:rPr>
                <w:rFonts w:cs="Arial"/>
                <w:szCs w:val="16"/>
              </w:rPr>
              <w:t>B&amp;B:93/97</w:t>
            </w:r>
          </w:p>
        </w:tc>
        <w:tc>
          <w:tcPr>
            <w:tcW w:w="2557" w:type="dxa"/>
          </w:tcPr>
          <w:p w:rsidR="00FB77C4" w:rsidRPr="00FC703F" w:rsidP="00E210A1" w14:paraId="73604A2C" w14:textId="77777777">
            <w:pPr>
              <w:pStyle w:val="Tabletext"/>
              <w:rPr>
                <w:rFonts w:cs="Arial"/>
                <w:szCs w:val="16"/>
              </w:rPr>
            </w:pPr>
            <w:r w:rsidRPr="00FC703F">
              <w:rPr>
                <w:rFonts w:cs="Arial"/>
                <w:szCs w:val="16"/>
              </w:rPr>
              <w:t>B&amp;B:93/03</w:t>
            </w:r>
          </w:p>
        </w:tc>
      </w:tr>
      <w:tr w14:paraId="75BA7F67" w14:textId="77777777" w:rsidTr="00874EA4">
        <w:tblPrEx>
          <w:tblW w:w="5000" w:type="pct"/>
          <w:tblLook w:val="01E0"/>
        </w:tblPrEx>
        <w:tc>
          <w:tcPr>
            <w:tcW w:w="2843" w:type="dxa"/>
          </w:tcPr>
          <w:p w:rsidR="00FB77C4" w:rsidRPr="00FC703F" w:rsidP="00E210A1" w14:paraId="3B7766C6" w14:textId="77777777">
            <w:pPr>
              <w:pStyle w:val="Tablebody"/>
              <w:rPr>
                <w:rFonts w:cs="Arial"/>
                <w:sz w:val="16"/>
                <w:szCs w:val="16"/>
              </w:rPr>
            </w:pPr>
            <w:r w:rsidRPr="00FC703F">
              <w:rPr>
                <w:rFonts w:cs="Arial"/>
                <w:sz w:val="16"/>
                <w:szCs w:val="16"/>
              </w:rPr>
              <w:t>NPSAS:96</w:t>
            </w:r>
          </w:p>
        </w:tc>
        <w:tc>
          <w:tcPr>
            <w:tcW w:w="2556" w:type="dxa"/>
          </w:tcPr>
          <w:p w:rsidR="00FB77C4" w:rsidRPr="00FC703F" w:rsidP="00E210A1" w14:paraId="6EAE8B4D" w14:textId="77777777">
            <w:pPr>
              <w:pStyle w:val="Tabletext"/>
              <w:rPr>
                <w:rFonts w:cs="Arial"/>
                <w:szCs w:val="16"/>
              </w:rPr>
            </w:pPr>
            <w:r w:rsidRPr="00FC703F">
              <w:rPr>
                <w:rFonts w:cs="Arial"/>
                <w:szCs w:val="16"/>
              </w:rPr>
              <w:t>BPS:96/98</w:t>
            </w:r>
          </w:p>
        </w:tc>
        <w:tc>
          <w:tcPr>
            <w:tcW w:w="2556" w:type="dxa"/>
          </w:tcPr>
          <w:p w:rsidR="00FB77C4" w:rsidRPr="00FC703F" w:rsidP="00E210A1" w14:paraId="3922ECDA" w14:textId="77777777">
            <w:pPr>
              <w:pStyle w:val="Tabletext"/>
              <w:rPr>
                <w:rFonts w:cs="Arial"/>
                <w:szCs w:val="16"/>
              </w:rPr>
            </w:pPr>
            <w:r w:rsidRPr="00FC703F">
              <w:rPr>
                <w:rFonts w:cs="Arial"/>
                <w:szCs w:val="16"/>
              </w:rPr>
              <w:t>BPS:96/01</w:t>
            </w:r>
          </w:p>
        </w:tc>
        <w:tc>
          <w:tcPr>
            <w:tcW w:w="2557" w:type="dxa"/>
          </w:tcPr>
          <w:p w:rsidR="00FB77C4" w:rsidRPr="00FC703F" w:rsidP="00E210A1" w14:paraId="0BE545FC" w14:textId="77777777">
            <w:pPr>
              <w:pStyle w:val="Tabletext"/>
              <w:rPr>
                <w:rFonts w:cs="Arial"/>
                <w:szCs w:val="16"/>
              </w:rPr>
            </w:pPr>
            <w:r w:rsidRPr="00FC703F">
              <w:rPr>
                <w:rFonts w:cs="Arial"/>
                <w:szCs w:val="16"/>
              </w:rPr>
              <w:t>—</w:t>
            </w:r>
          </w:p>
        </w:tc>
      </w:tr>
      <w:tr w14:paraId="4E608C85" w14:textId="77777777" w:rsidTr="00874EA4">
        <w:tblPrEx>
          <w:tblW w:w="5000" w:type="pct"/>
          <w:tblLook w:val="01E0"/>
        </w:tblPrEx>
        <w:tc>
          <w:tcPr>
            <w:tcW w:w="2843" w:type="dxa"/>
          </w:tcPr>
          <w:p w:rsidR="00FB77C4" w:rsidRPr="00FC703F" w:rsidP="00E210A1" w14:paraId="0EB68EBA" w14:textId="77777777">
            <w:pPr>
              <w:pStyle w:val="Tablebody"/>
              <w:rPr>
                <w:rFonts w:cs="Arial"/>
                <w:sz w:val="16"/>
                <w:szCs w:val="16"/>
              </w:rPr>
            </w:pPr>
            <w:r w:rsidRPr="00FC703F">
              <w:rPr>
                <w:rFonts w:cs="Arial"/>
                <w:sz w:val="16"/>
                <w:szCs w:val="16"/>
              </w:rPr>
              <w:t>NPSAS:2000</w:t>
            </w:r>
          </w:p>
        </w:tc>
        <w:tc>
          <w:tcPr>
            <w:tcW w:w="2556" w:type="dxa"/>
          </w:tcPr>
          <w:p w:rsidR="00FB77C4" w:rsidRPr="00FC703F" w:rsidP="00E210A1" w14:paraId="0C8E363D" w14:textId="77777777">
            <w:pPr>
              <w:pStyle w:val="Tabletext"/>
              <w:rPr>
                <w:rFonts w:cs="Arial"/>
                <w:szCs w:val="16"/>
              </w:rPr>
            </w:pPr>
            <w:r w:rsidRPr="00FC703F">
              <w:rPr>
                <w:rFonts w:cs="Arial"/>
                <w:szCs w:val="16"/>
              </w:rPr>
              <w:t>B&amp;B:2000/01</w:t>
            </w:r>
          </w:p>
        </w:tc>
        <w:tc>
          <w:tcPr>
            <w:tcW w:w="2556" w:type="dxa"/>
          </w:tcPr>
          <w:p w:rsidR="00FB77C4" w:rsidRPr="00FC703F" w:rsidP="00E210A1" w14:paraId="46C36C45" w14:textId="18EA03C4">
            <w:pPr>
              <w:pStyle w:val="Tabletext"/>
              <w:rPr>
                <w:rFonts w:cs="Arial"/>
                <w:szCs w:val="16"/>
              </w:rPr>
            </w:pPr>
            <w:r>
              <w:rPr>
                <w:rFonts w:cs="Arial"/>
                <w:szCs w:val="16"/>
              </w:rPr>
              <w:t>ǂ</w:t>
            </w:r>
          </w:p>
        </w:tc>
        <w:tc>
          <w:tcPr>
            <w:tcW w:w="2557" w:type="dxa"/>
          </w:tcPr>
          <w:p w:rsidR="00FB77C4" w:rsidRPr="00FC703F" w:rsidP="00E210A1" w14:paraId="521D700D" w14:textId="649F3FB5">
            <w:pPr>
              <w:pStyle w:val="Tabletext"/>
              <w:rPr>
                <w:rFonts w:cs="Arial"/>
                <w:szCs w:val="16"/>
              </w:rPr>
            </w:pPr>
            <w:r>
              <w:rPr>
                <w:rFonts w:cs="Arial"/>
                <w:szCs w:val="16"/>
              </w:rPr>
              <w:t>ǂ</w:t>
            </w:r>
          </w:p>
        </w:tc>
      </w:tr>
      <w:tr w14:paraId="3F1EB164" w14:textId="77777777" w:rsidTr="00874EA4">
        <w:tblPrEx>
          <w:tblW w:w="5000" w:type="pct"/>
          <w:tblLook w:val="01E0"/>
        </w:tblPrEx>
        <w:tc>
          <w:tcPr>
            <w:tcW w:w="2843" w:type="dxa"/>
          </w:tcPr>
          <w:p w:rsidR="00FB77C4" w:rsidRPr="00FC703F" w:rsidP="00E210A1" w14:paraId="68FBB670" w14:textId="77777777">
            <w:pPr>
              <w:pStyle w:val="Tablebody"/>
              <w:rPr>
                <w:rFonts w:cs="Arial"/>
                <w:sz w:val="16"/>
                <w:szCs w:val="16"/>
              </w:rPr>
            </w:pPr>
            <w:r w:rsidRPr="00FC703F">
              <w:rPr>
                <w:rFonts w:cs="Arial"/>
                <w:sz w:val="16"/>
                <w:szCs w:val="16"/>
              </w:rPr>
              <w:t>NPSAS:04</w:t>
            </w:r>
          </w:p>
        </w:tc>
        <w:tc>
          <w:tcPr>
            <w:tcW w:w="2556" w:type="dxa"/>
          </w:tcPr>
          <w:p w:rsidR="00FB77C4" w:rsidRPr="00FC703F" w:rsidP="00E210A1" w14:paraId="1B92C4A6" w14:textId="77777777">
            <w:pPr>
              <w:pStyle w:val="Tabletext"/>
              <w:rPr>
                <w:rFonts w:cs="Arial"/>
                <w:szCs w:val="16"/>
              </w:rPr>
            </w:pPr>
            <w:r w:rsidRPr="00FC703F">
              <w:rPr>
                <w:rFonts w:cs="Arial"/>
                <w:szCs w:val="16"/>
              </w:rPr>
              <w:t>BPS:04/06</w:t>
            </w:r>
          </w:p>
        </w:tc>
        <w:tc>
          <w:tcPr>
            <w:tcW w:w="2556" w:type="dxa"/>
          </w:tcPr>
          <w:p w:rsidR="00FB77C4" w:rsidRPr="00FC703F" w:rsidP="00E210A1" w14:paraId="688EE59A" w14:textId="77777777">
            <w:pPr>
              <w:pStyle w:val="Tabletext"/>
              <w:rPr>
                <w:rFonts w:cs="Arial"/>
                <w:szCs w:val="16"/>
              </w:rPr>
            </w:pPr>
            <w:r w:rsidRPr="00FC703F">
              <w:rPr>
                <w:rFonts w:cs="Arial"/>
                <w:szCs w:val="16"/>
              </w:rPr>
              <w:t>BPS:04/09</w:t>
            </w:r>
          </w:p>
        </w:tc>
        <w:tc>
          <w:tcPr>
            <w:tcW w:w="2557" w:type="dxa"/>
          </w:tcPr>
          <w:p w:rsidR="00FB77C4" w:rsidRPr="00FC703F" w:rsidP="00E210A1" w14:paraId="4D0B21DB" w14:textId="77777777">
            <w:pPr>
              <w:pStyle w:val="Tabletext"/>
              <w:rPr>
                <w:rFonts w:cs="Arial"/>
                <w:szCs w:val="16"/>
              </w:rPr>
            </w:pPr>
            <w:r w:rsidRPr="00FC703F">
              <w:rPr>
                <w:rFonts w:cs="Arial"/>
                <w:szCs w:val="16"/>
              </w:rPr>
              <w:t>—</w:t>
            </w:r>
          </w:p>
        </w:tc>
      </w:tr>
      <w:tr w14:paraId="1BAC2036" w14:textId="77777777" w:rsidTr="00874EA4">
        <w:tblPrEx>
          <w:tblW w:w="5000" w:type="pct"/>
          <w:tblLook w:val="01E0"/>
        </w:tblPrEx>
        <w:tc>
          <w:tcPr>
            <w:tcW w:w="2843" w:type="dxa"/>
          </w:tcPr>
          <w:p w:rsidR="00FB77C4" w:rsidRPr="00FC703F" w:rsidP="00E210A1" w14:paraId="17881336" w14:textId="77777777">
            <w:pPr>
              <w:pStyle w:val="Tablebody"/>
              <w:rPr>
                <w:rFonts w:cs="Arial"/>
                <w:sz w:val="16"/>
                <w:szCs w:val="16"/>
              </w:rPr>
            </w:pPr>
            <w:r w:rsidRPr="00FC703F">
              <w:rPr>
                <w:rFonts w:cs="Arial"/>
                <w:sz w:val="16"/>
                <w:szCs w:val="16"/>
              </w:rPr>
              <w:t>NPSAS:08</w:t>
            </w:r>
          </w:p>
        </w:tc>
        <w:tc>
          <w:tcPr>
            <w:tcW w:w="2556" w:type="dxa"/>
          </w:tcPr>
          <w:p w:rsidR="00FB77C4" w:rsidRPr="00FC703F" w:rsidP="00E210A1" w14:paraId="5A55B5D7" w14:textId="77777777">
            <w:pPr>
              <w:pStyle w:val="Tabletext"/>
              <w:rPr>
                <w:rFonts w:cs="Arial"/>
                <w:szCs w:val="16"/>
              </w:rPr>
            </w:pPr>
            <w:r w:rsidRPr="00FC703F">
              <w:rPr>
                <w:rFonts w:cs="Arial"/>
                <w:szCs w:val="16"/>
              </w:rPr>
              <w:t>B&amp;B:08/09</w:t>
            </w:r>
          </w:p>
        </w:tc>
        <w:tc>
          <w:tcPr>
            <w:tcW w:w="2556" w:type="dxa"/>
          </w:tcPr>
          <w:p w:rsidR="00FB77C4" w:rsidRPr="00FC703F" w:rsidP="00E210A1" w14:paraId="252DCDED" w14:textId="77777777">
            <w:pPr>
              <w:pStyle w:val="Tabletext"/>
              <w:rPr>
                <w:rFonts w:cs="Arial"/>
                <w:szCs w:val="16"/>
              </w:rPr>
            </w:pPr>
            <w:r w:rsidRPr="00FC703F">
              <w:rPr>
                <w:rFonts w:cs="Arial"/>
                <w:szCs w:val="16"/>
              </w:rPr>
              <w:t>B&amp;B:08/12</w:t>
            </w:r>
          </w:p>
        </w:tc>
        <w:tc>
          <w:tcPr>
            <w:tcW w:w="2557" w:type="dxa"/>
          </w:tcPr>
          <w:p w:rsidR="00FB77C4" w:rsidRPr="00FC703F" w:rsidP="00E210A1" w14:paraId="6941C840" w14:textId="127AD189">
            <w:pPr>
              <w:pStyle w:val="Tabletext"/>
              <w:rPr>
                <w:rFonts w:cs="Arial"/>
                <w:szCs w:val="16"/>
              </w:rPr>
            </w:pPr>
            <w:r w:rsidRPr="00FC703F">
              <w:rPr>
                <w:rFonts w:cs="Arial"/>
                <w:szCs w:val="16"/>
              </w:rPr>
              <w:t>B&amp;B:08/18</w:t>
            </w:r>
          </w:p>
        </w:tc>
      </w:tr>
      <w:tr w14:paraId="20B0E769" w14:textId="77777777" w:rsidTr="00874EA4">
        <w:tblPrEx>
          <w:tblW w:w="5000" w:type="pct"/>
          <w:tblLook w:val="01E0"/>
        </w:tblPrEx>
        <w:tc>
          <w:tcPr>
            <w:tcW w:w="2843" w:type="dxa"/>
          </w:tcPr>
          <w:p w:rsidR="00FB77C4" w:rsidRPr="00FC703F" w:rsidP="00E210A1" w14:paraId="355C6CBE" w14:textId="77777777">
            <w:pPr>
              <w:pStyle w:val="Tablebody"/>
              <w:rPr>
                <w:rFonts w:cs="Arial"/>
                <w:sz w:val="16"/>
                <w:szCs w:val="16"/>
              </w:rPr>
            </w:pPr>
            <w:r w:rsidRPr="00FC703F">
              <w:rPr>
                <w:rFonts w:cs="Arial"/>
                <w:sz w:val="16"/>
                <w:szCs w:val="16"/>
              </w:rPr>
              <w:t>NPSAS:12</w:t>
            </w:r>
          </w:p>
        </w:tc>
        <w:tc>
          <w:tcPr>
            <w:tcW w:w="2556" w:type="dxa"/>
          </w:tcPr>
          <w:p w:rsidR="00FB77C4" w:rsidRPr="00FC703F" w:rsidP="00E210A1" w14:paraId="35C4868C" w14:textId="77777777">
            <w:pPr>
              <w:pStyle w:val="Tabletext"/>
              <w:rPr>
                <w:rFonts w:cs="Arial"/>
                <w:szCs w:val="16"/>
              </w:rPr>
            </w:pPr>
            <w:r w:rsidRPr="00FC703F">
              <w:rPr>
                <w:rFonts w:cs="Arial"/>
                <w:szCs w:val="16"/>
              </w:rPr>
              <w:t>BPS:12/14</w:t>
            </w:r>
          </w:p>
        </w:tc>
        <w:tc>
          <w:tcPr>
            <w:tcW w:w="2556" w:type="dxa"/>
          </w:tcPr>
          <w:p w:rsidR="00FB77C4" w:rsidRPr="00FC703F" w:rsidP="00E210A1" w14:paraId="4F6A7450" w14:textId="77777777">
            <w:pPr>
              <w:pStyle w:val="Tabletext"/>
              <w:rPr>
                <w:rFonts w:cs="Arial"/>
                <w:szCs w:val="16"/>
              </w:rPr>
            </w:pPr>
            <w:r w:rsidRPr="00FC703F">
              <w:rPr>
                <w:rFonts w:cs="Arial"/>
                <w:szCs w:val="16"/>
              </w:rPr>
              <w:t>BPS:12/17</w:t>
            </w:r>
          </w:p>
        </w:tc>
        <w:tc>
          <w:tcPr>
            <w:tcW w:w="2557" w:type="dxa"/>
          </w:tcPr>
          <w:p w:rsidR="00FB77C4" w:rsidRPr="00FC703F" w:rsidP="00E210A1" w14:paraId="41FCF788" w14:textId="77777777">
            <w:pPr>
              <w:pStyle w:val="Tabletext"/>
              <w:rPr>
                <w:rFonts w:cs="Arial"/>
                <w:szCs w:val="16"/>
              </w:rPr>
            </w:pPr>
            <w:r w:rsidRPr="00FC703F">
              <w:rPr>
                <w:rFonts w:cs="Arial"/>
                <w:szCs w:val="16"/>
              </w:rPr>
              <w:t>—</w:t>
            </w:r>
          </w:p>
        </w:tc>
      </w:tr>
      <w:tr w14:paraId="74C071DA" w14:textId="77777777" w:rsidTr="00874EA4">
        <w:tblPrEx>
          <w:tblW w:w="5000" w:type="pct"/>
          <w:tblLook w:val="01E0"/>
        </w:tblPrEx>
        <w:tc>
          <w:tcPr>
            <w:tcW w:w="2843" w:type="dxa"/>
          </w:tcPr>
          <w:p w:rsidR="00FB77C4" w:rsidRPr="00FC703F" w:rsidP="00E210A1" w14:paraId="3DAA7A2A" w14:textId="77777777">
            <w:pPr>
              <w:pStyle w:val="Tablebody"/>
              <w:rPr>
                <w:rFonts w:cs="Arial"/>
                <w:sz w:val="16"/>
                <w:szCs w:val="16"/>
              </w:rPr>
            </w:pPr>
            <w:r w:rsidRPr="00FC703F">
              <w:rPr>
                <w:rFonts w:cs="Arial"/>
                <w:sz w:val="16"/>
                <w:szCs w:val="16"/>
              </w:rPr>
              <w:t>NPSAS:16</w:t>
            </w:r>
          </w:p>
        </w:tc>
        <w:tc>
          <w:tcPr>
            <w:tcW w:w="2556" w:type="dxa"/>
          </w:tcPr>
          <w:p w:rsidR="00FB77C4" w:rsidRPr="00FC703F" w:rsidP="00E210A1" w14:paraId="501D80FD" w14:textId="77777777">
            <w:pPr>
              <w:pStyle w:val="Tabletext"/>
              <w:rPr>
                <w:rFonts w:cs="Arial"/>
                <w:szCs w:val="16"/>
              </w:rPr>
            </w:pPr>
            <w:r w:rsidRPr="00FC703F">
              <w:rPr>
                <w:rFonts w:cs="Arial"/>
                <w:szCs w:val="16"/>
              </w:rPr>
              <w:t>B&amp;B:16/17</w:t>
            </w:r>
          </w:p>
        </w:tc>
        <w:tc>
          <w:tcPr>
            <w:tcW w:w="2556" w:type="dxa"/>
          </w:tcPr>
          <w:p w:rsidR="00FB77C4" w:rsidRPr="00FC703F" w:rsidP="009724D9" w14:paraId="16EA3AB0" w14:textId="494C1C25">
            <w:pPr>
              <w:pStyle w:val="Tabletext"/>
              <w:rPr>
                <w:rFonts w:cs="Arial"/>
                <w:szCs w:val="16"/>
              </w:rPr>
            </w:pPr>
            <w:r w:rsidRPr="00FC703F">
              <w:rPr>
                <w:rFonts w:cs="Arial"/>
                <w:szCs w:val="16"/>
              </w:rPr>
              <w:t xml:space="preserve">B&amp;B:16/20 </w:t>
            </w:r>
          </w:p>
        </w:tc>
        <w:tc>
          <w:tcPr>
            <w:tcW w:w="2557" w:type="dxa"/>
          </w:tcPr>
          <w:p w:rsidR="00FB77C4" w:rsidRPr="00FC703F" w:rsidP="00E210A1" w14:paraId="32DA1E12" w14:textId="7BB769A3">
            <w:pPr>
              <w:pStyle w:val="Tabletext"/>
              <w:rPr>
                <w:rFonts w:cs="Arial"/>
                <w:szCs w:val="16"/>
              </w:rPr>
            </w:pPr>
            <w:r>
              <w:rPr>
                <w:rFonts w:cs="Arial"/>
                <w:szCs w:val="16"/>
              </w:rPr>
              <w:t>ǂ</w:t>
            </w:r>
          </w:p>
        </w:tc>
      </w:tr>
      <w:tr w14:paraId="061BAC1C" w14:textId="77777777" w:rsidTr="00874EA4">
        <w:tblPrEx>
          <w:tblW w:w="5000" w:type="pct"/>
          <w:tblLook w:val="01E0"/>
        </w:tblPrEx>
        <w:tc>
          <w:tcPr>
            <w:tcW w:w="2843" w:type="dxa"/>
          </w:tcPr>
          <w:p w:rsidR="006B6322" w:rsidRPr="00FC703F" w:rsidP="00E210A1" w14:paraId="5DECC245" w14:textId="756263E8">
            <w:pPr>
              <w:pStyle w:val="Tablebody"/>
              <w:rPr>
                <w:rFonts w:cs="Arial"/>
                <w:sz w:val="16"/>
                <w:szCs w:val="16"/>
              </w:rPr>
            </w:pPr>
            <w:r w:rsidRPr="00FC703F">
              <w:rPr>
                <w:rFonts w:cs="Arial"/>
                <w:sz w:val="16"/>
                <w:szCs w:val="16"/>
              </w:rPr>
              <w:t>NPSAS:18-AC</w:t>
            </w:r>
          </w:p>
        </w:tc>
        <w:tc>
          <w:tcPr>
            <w:tcW w:w="2556" w:type="dxa"/>
          </w:tcPr>
          <w:p w:rsidR="006B6322" w:rsidRPr="00FC703F" w:rsidP="009724D9" w14:paraId="5EE5BA6A" w14:textId="3CF6B513">
            <w:pPr>
              <w:pStyle w:val="Tabletext"/>
              <w:rPr>
                <w:rFonts w:cs="Arial"/>
                <w:szCs w:val="16"/>
              </w:rPr>
            </w:pPr>
            <w:r w:rsidRPr="00FC703F">
              <w:rPr>
                <w:rFonts w:cs="Arial"/>
                <w:szCs w:val="16"/>
              </w:rPr>
              <w:t>—</w:t>
            </w:r>
          </w:p>
        </w:tc>
        <w:tc>
          <w:tcPr>
            <w:tcW w:w="2556" w:type="dxa"/>
          </w:tcPr>
          <w:p w:rsidR="006B6322" w:rsidRPr="00FC703F" w:rsidP="00E210A1" w14:paraId="2E2D5D2F" w14:textId="5F8D5EAF">
            <w:pPr>
              <w:pStyle w:val="Tabletext"/>
              <w:rPr>
                <w:rFonts w:cs="Arial"/>
                <w:szCs w:val="16"/>
              </w:rPr>
            </w:pPr>
            <w:r w:rsidRPr="00FC703F">
              <w:rPr>
                <w:rFonts w:cs="Arial"/>
                <w:szCs w:val="16"/>
              </w:rPr>
              <w:t>—</w:t>
            </w:r>
          </w:p>
        </w:tc>
        <w:tc>
          <w:tcPr>
            <w:tcW w:w="2557" w:type="dxa"/>
          </w:tcPr>
          <w:p w:rsidR="006B6322" w:rsidRPr="00FC703F" w:rsidP="00E210A1" w14:paraId="1D5CA466" w14:textId="4D765609">
            <w:pPr>
              <w:pStyle w:val="Tabletext"/>
              <w:rPr>
                <w:rFonts w:cs="Arial"/>
                <w:szCs w:val="16"/>
              </w:rPr>
            </w:pPr>
            <w:r w:rsidRPr="00FC703F">
              <w:rPr>
                <w:rFonts w:cs="Arial"/>
                <w:szCs w:val="16"/>
              </w:rPr>
              <w:t>—</w:t>
            </w:r>
          </w:p>
        </w:tc>
      </w:tr>
      <w:tr w14:paraId="1806A493" w14:textId="77777777" w:rsidTr="00874EA4">
        <w:tblPrEx>
          <w:tblW w:w="5000" w:type="pct"/>
          <w:tblLook w:val="01E0"/>
        </w:tblPrEx>
        <w:tc>
          <w:tcPr>
            <w:tcW w:w="2843" w:type="dxa"/>
          </w:tcPr>
          <w:p w:rsidR="00FB77C4" w:rsidRPr="00FC703F" w:rsidP="00E210A1" w14:paraId="39F33CD7" w14:textId="401326A3">
            <w:pPr>
              <w:pStyle w:val="Tablebody"/>
              <w:rPr>
                <w:rFonts w:cs="Arial"/>
                <w:sz w:val="16"/>
                <w:szCs w:val="16"/>
              </w:rPr>
            </w:pPr>
            <w:r w:rsidRPr="00FC703F">
              <w:rPr>
                <w:rFonts w:cs="Arial"/>
                <w:sz w:val="16"/>
                <w:szCs w:val="16"/>
              </w:rPr>
              <w:t>NPSAS:20</w:t>
            </w:r>
          </w:p>
        </w:tc>
        <w:tc>
          <w:tcPr>
            <w:tcW w:w="2556" w:type="dxa"/>
          </w:tcPr>
          <w:p w:rsidR="00FB77C4" w:rsidRPr="00FC703F" w:rsidP="009724D9" w14:paraId="4371DF25" w14:textId="142DDDA2">
            <w:pPr>
              <w:pStyle w:val="Tabletext"/>
              <w:rPr>
                <w:rFonts w:cs="Arial"/>
                <w:szCs w:val="16"/>
              </w:rPr>
            </w:pPr>
            <w:r w:rsidRPr="00FC703F">
              <w:rPr>
                <w:rFonts w:cs="Arial"/>
                <w:szCs w:val="16"/>
              </w:rPr>
              <w:t xml:space="preserve">BPS:20/22 </w:t>
            </w:r>
          </w:p>
        </w:tc>
        <w:tc>
          <w:tcPr>
            <w:tcW w:w="2556" w:type="dxa"/>
          </w:tcPr>
          <w:p w:rsidR="00FB77C4" w:rsidRPr="00FC703F" w:rsidP="00E210A1" w14:paraId="028A5C85" w14:textId="4C0485F5">
            <w:pPr>
              <w:pStyle w:val="Tabletext"/>
              <w:rPr>
                <w:rFonts w:cs="Arial"/>
                <w:szCs w:val="16"/>
              </w:rPr>
            </w:pPr>
            <w:r w:rsidRPr="00FC703F">
              <w:rPr>
                <w:rFonts w:cs="Arial"/>
                <w:szCs w:val="16"/>
              </w:rPr>
              <w:t>BPS:20/</w:t>
            </w:r>
            <w:r w:rsidRPr="00FC703F" w:rsidR="00996875">
              <w:rPr>
                <w:rFonts w:cs="Arial"/>
                <w:szCs w:val="16"/>
              </w:rPr>
              <w:t>25</w:t>
            </w:r>
            <w:r w:rsidRPr="00FC703F" w:rsidR="009724D9">
              <w:rPr>
                <w:rFonts w:cs="Arial"/>
                <w:szCs w:val="16"/>
              </w:rPr>
              <w:t xml:space="preserve"> </w:t>
            </w:r>
          </w:p>
        </w:tc>
        <w:tc>
          <w:tcPr>
            <w:tcW w:w="2557" w:type="dxa"/>
          </w:tcPr>
          <w:p w:rsidR="00FB77C4" w:rsidRPr="00FC703F" w:rsidP="00E210A1" w14:paraId="110C1823" w14:textId="14B04B25">
            <w:pPr>
              <w:pStyle w:val="Tabletext"/>
              <w:rPr>
                <w:rFonts w:cs="Arial"/>
                <w:szCs w:val="16"/>
              </w:rPr>
            </w:pPr>
            <w:r w:rsidRPr="00FC703F">
              <w:rPr>
                <w:rFonts w:cs="Arial"/>
                <w:szCs w:val="16"/>
              </w:rPr>
              <w:t>—</w:t>
            </w:r>
          </w:p>
        </w:tc>
      </w:tr>
      <w:tr w14:paraId="1CB81823" w14:textId="77777777" w:rsidTr="00874EA4">
        <w:tblPrEx>
          <w:tblW w:w="5000" w:type="pct"/>
          <w:tblLook w:val="01E0"/>
        </w:tblPrEx>
        <w:tc>
          <w:tcPr>
            <w:tcW w:w="2843" w:type="dxa"/>
          </w:tcPr>
          <w:p w:rsidR="004A26E2" w:rsidRPr="00FC703F" w:rsidP="00E210A1" w14:paraId="673A1D28" w14:textId="22DBDE4F">
            <w:pPr>
              <w:pStyle w:val="Tablebody"/>
              <w:rPr>
                <w:rFonts w:cs="Arial"/>
                <w:sz w:val="16"/>
                <w:szCs w:val="16"/>
              </w:rPr>
            </w:pPr>
            <w:r>
              <w:rPr>
                <w:rFonts w:cs="Arial"/>
                <w:sz w:val="16"/>
                <w:szCs w:val="16"/>
              </w:rPr>
              <w:t>NPSAS:24</w:t>
            </w:r>
          </w:p>
        </w:tc>
        <w:tc>
          <w:tcPr>
            <w:tcW w:w="2556" w:type="dxa"/>
          </w:tcPr>
          <w:p w:rsidR="004A26E2" w:rsidRPr="007060CD" w:rsidP="009724D9" w14:paraId="3B7D83FD" w14:textId="7C415858">
            <w:pPr>
              <w:pStyle w:val="Tabletext"/>
              <w:rPr>
                <w:rFonts w:cs="Arial"/>
                <w:szCs w:val="16"/>
              </w:rPr>
            </w:pPr>
            <w:r>
              <w:rPr>
                <w:rFonts w:cs="Arial"/>
                <w:szCs w:val="16"/>
              </w:rPr>
              <w:t>ǂ</w:t>
            </w:r>
          </w:p>
        </w:tc>
        <w:tc>
          <w:tcPr>
            <w:tcW w:w="2556" w:type="dxa"/>
          </w:tcPr>
          <w:p w:rsidR="004A26E2" w:rsidRPr="007060CD" w:rsidP="00E210A1" w14:paraId="593D4F6F" w14:textId="0F0BE967">
            <w:pPr>
              <w:pStyle w:val="Tabletext"/>
              <w:rPr>
                <w:rFonts w:cs="Arial"/>
                <w:szCs w:val="16"/>
              </w:rPr>
            </w:pPr>
            <w:r>
              <w:rPr>
                <w:rFonts w:cs="Arial"/>
                <w:szCs w:val="16"/>
              </w:rPr>
              <w:t>ǂ</w:t>
            </w:r>
          </w:p>
        </w:tc>
        <w:tc>
          <w:tcPr>
            <w:tcW w:w="2557" w:type="dxa"/>
          </w:tcPr>
          <w:p w:rsidR="004A26E2" w:rsidRPr="00FC703F" w:rsidP="00E210A1" w14:paraId="201D3CF4" w14:textId="12637E2A">
            <w:pPr>
              <w:pStyle w:val="Tabletext"/>
              <w:rPr>
                <w:rFonts w:cs="Arial"/>
                <w:szCs w:val="16"/>
              </w:rPr>
            </w:pPr>
            <w:r>
              <w:rPr>
                <w:rFonts w:cs="Arial"/>
                <w:szCs w:val="16"/>
              </w:rPr>
              <w:t>ǂ</w:t>
            </w:r>
          </w:p>
        </w:tc>
      </w:tr>
    </w:tbl>
    <w:p w:rsidR="00FB77C4" w:rsidP="00FB77C4" w14:paraId="15DCA5D1" w14:textId="6E8E5B86">
      <w:pPr>
        <w:pStyle w:val="Tablenotes"/>
      </w:pPr>
      <w:r>
        <w:t>— Not applicable.</w:t>
      </w:r>
    </w:p>
    <w:p w:rsidR="00A63E36" w:rsidP="00FB77C4" w14:paraId="665A05AF" w14:textId="0ACA7421">
      <w:pPr>
        <w:pStyle w:val="Tablenotes"/>
      </w:pPr>
      <w:r>
        <w:rPr>
          <w:rFonts w:cs="Arial"/>
          <w:szCs w:val="16"/>
        </w:rPr>
        <w:t>ǂ - No funding available to field the B&amp;B study.</w:t>
      </w:r>
    </w:p>
    <w:p w:rsidR="00FB77C4" w:rsidP="00880D7B" w14:paraId="4CD212E0" w14:textId="77777777">
      <w:pPr>
        <w:pStyle w:val="Tablenotes"/>
      </w:pPr>
      <w:r>
        <w:t>NOTE: BPS = Beginning Postsecondary Students; B&amp;B = Baccalaureate and Beyond.</w:t>
      </w:r>
    </w:p>
    <w:bookmarkEnd w:id="33"/>
    <w:p w:rsidR="00FB77C4" w:rsidRPr="004E6654" w:rsidP="00880D7B" w14:paraId="322AEDF2" w14:textId="77777777">
      <w:pPr>
        <w:pStyle w:val="BodyText"/>
      </w:pPr>
      <w:r w:rsidRPr="004E6654">
        <w:t>The seven major issues addressed in these Sample Surveys Division studies are:</w:t>
      </w:r>
    </w:p>
    <w:p w:rsidR="00FB77C4" w:rsidRPr="004E6654" w:rsidP="00BF598A" w14:paraId="33F73D33" w14:textId="77777777">
      <w:pPr>
        <w:pStyle w:val="ListBullet2"/>
        <w:tabs>
          <w:tab w:val="clear" w:pos="1080"/>
        </w:tabs>
        <w:spacing w:before="0"/>
        <w:ind w:left="720"/>
      </w:pPr>
      <w:r w:rsidRPr="004E6654">
        <w:t>Undergraduate access/choice of institution;</w:t>
      </w:r>
    </w:p>
    <w:p w:rsidR="00FB77C4" w:rsidRPr="004E6654" w:rsidP="00BF598A" w14:paraId="2EF390AA" w14:textId="77777777">
      <w:pPr>
        <w:pStyle w:val="ListBullet2"/>
        <w:tabs>
          <w:tab w:val="clear" w:pos="1080"/>
        </w:tabs>
        <w:spacing w:before="0"/>
        <w:ind w:left="720"/>
      </w:pPr>
      <w:r w:rsidRPr="004E6654">
        <w:t>Persistence;</w:t>
      </w:r>
    </w:p>
    <w:p w:rsidR="00FB77C4" w:rsidRPr="007060CD" w:rsidP="00BF598A" w14:paraId="51019A01" w14:textId="77777777">
      <w:pPr>
        <w:pStyle w:val="ListBullet2"/>
        <w:tabs>
          <w:tab w:val="clear" w:pos="1080"/>
        </w:tabs>
        <w:spacing w:before="0"/>
        <w:ind w:left="720"/>
      </w:pPr>
      <w:r w:rsidRPr="007060CD">
        <w:t>Progress/curriculum;</w:t>
      </w:r>
    </w:p>
    <w:p w:rsidR="00FB77C4" w:rsidRPr="007060CD" w:rsidP="00BF598A" w14:paraId="457E06CF" w14:textId="77777777">
      <w:pPr>
        <w:pStyle w:val="ListBullet2"/>
        <w:tabs>
          <w:tab w:val="clear" w:pos="1080"/>
        </w:tabs>
        <w:spacing w:before="0"/>
        <w:ind w:left="720"/>
      </w:pPr>
      <w:r w:rsidRPr="007060CD">
        <w:t>Attainment/outcome assessment;</w:t>
      </w:r>
    </w:p>
    <w:p w:rsidR="00FB77C4" w:rsidRPr="004E6654" w:rsidP="00BF598A" w14:paraId="0ED80300" w14:textId="77777777">
      <w:pPr>
        <w:pStyle w:val="ListBullet2"/>
        <w:tabs>
          <w:tab w:val="clear" w:pos="1080"/>
        </w:tabs>
        <w:spacing w:before="0"/>
        <w:ind w:left="720"/>
      </w:pPr>
      <w:r w:rsidRPr="004E6654">
        <w:t>Financial aid and student debt;</w:t>
      </w:r>
    </w:p>
    <w:p w:rsidR="00FB77C4" w:rsidRPr="007060CD" w:rsidP="00BF598A" w14:paraId="0FF7DBA3" w14:textId="77777777">
      <w:pPr>
        <w:pStyle w:val="ListBullet2"/>
        <w:tabs>
          <w:tab w:val="clear" w:pos="1080"/>
        </w:tabs>
        <w:spacing w:before="0"/>
        <w:ind w:left="720"/>
      </w:pPr>
      <w:r w:rsidRPr="007060CD">
        <w:t>Access to graduate programs; and</w:t>
      </w:r>
    </w:p>
    <w:p w:rsidR="00FB77C4" w:rsidRPr="004E6654" w:rsidP="00BF598A" w14:paraId="32B1BE61" w14:textId="77777777">
      <w:pPr>
        <w:pStyle w:val="ListBullet2"/>
        <w:tabs>
          <w:tab w:val="clear" w:pos="1080"/>
        </w:tabs>
        <w:spacing w:before="0"/>
        <w:ind w:left="720"/>
        <w:rPr>
          <w:rFonts w:ascii="Times New Roman" w:hAnsi="Times New Roman"/>
        </w:rPr>
      </w:pPr>
      <w:r w:rsidRPr="004E6654">
        <w:t>Benefits of postsecondary education to individuals and society</w:t>
      </w:r>
      <w:r w:rsidRPr="004E6654">
        <w:rPr>
          <w:rFonts w:ascii="Times New Roman" w:hAnsi="Times New Roman"/>
        </w:rPr>
        <w:t>.</w:t>
      </w:r>
    </w:p>
    <w:p w:rsidR="004F2D1D" w:rsidRPr="00477529" w:rsidP="007B3A35" w14:paraId="4CBF0991" w14:textId="7822AF87">
      <w:pPr>
        <w:pStyle w:val="Heading2"/>
      </w:pPr>
      <w:bookmarkStart w:id="35" w:name="_Toc383113363"/>
      <w:bookmarkStart w:id="36" w:name="_Toc5011098"/>
      <w:bookmarkStart w:id="37" w:name="_Toc174598607"/>
      <w:bookmarkStart w:id="38" w:name="_Toc383113366"/>
      <w:r w:rsidRPr="00477529">
        <w:t>Purposes and Uses of the Data</w:t>
      </w:r>
      <w:bookmarkEnd w:id="35"/>
      <w:bookmarkEnd w:id="36"/>
      <w:bookmarkEnd w:id="37"/>
    </w:p>
    <w:p w:rsidR="004F2D1D" w:rsidRPr="004E6654" w:rsidP="00880D7B" w14:paraId="57DEEDD2" w14:textId="6E47100E">
      <w:pPr>
        <w:pStyle w:val="BodyText"/>
      </w:pPr>
      <w:r w:rsidRPr="004E6654">
        <w:t xml:space="preserve">This section provides information on the purposes of </w:t>
      </w:r>
      <w:r w:rsidR="000C2266">
        <w:t>BPS</w:t>
      </w:r>
      <w:r w:rsidRPr="004E6654">
        <w:t xml:space="preserve"> and an overview of the primary research issues it addresses.</w:t>
      </w:r>
    </w:p>
    <w:p w:rsidR="000C2266" w:rsidRPr="00564636" w:rsidP="000C2266" w14:paraId="5F478248" w14:textId="77777777">
      <w:pPr>
        <w:pStyle w:val="Heading3"/>
      </w:pPr>
      <w:bookmarkStart w:id="39" w:name="_Toc139867008"/>
      <w:bookmarkStart w:id="40" w:name="_Toc174598608"/>
      <w:r w:rsidRPr="00564636">
        <w:t>BPS:20/25 Purposes</w:t>
      </w:r>
      <w:bookmarkEnd w:id="39"/>
      <w:bookmarkEnd w:id="40"/>
    </w:p>
    <w:p w:rsidR="000C2266" w:rsidRPr="004D25BE" w:rsidP="000C2266" w14:paraId="373FDEA6" w14:textId="77777777">
      <w:pPr>
        <w:pStyle w:val="NormalWeb"/>
        <w:rPr>
          <w:rFonts w:ascii="Garamond" w:hAnsi="Garamond"/>
          <w:color w:val="000000"/>
        </w:rPr>
      </w:pPr>
      <w:bookmarkStart w:id="41" w:name="_Toc5011101"/>
      <w:r w:rsidRPr="004D25BE">
        <w:rPr>
          <w:rFonts w:ascii="Garamond" w:hAnsi="Garamond"/>
          <w:color w:val="000000"/>
        </w:rPr>
        <w:t>With its longitudinal perspective, BPS provides key measures for understanding undergraduate persistence and attainment, transfer patterns, employment while enrolled, and student loan debt over time. It also tracks changes over time in students' goals, marital status, income, and debt. Because BPS traces a student's path throughout the postsecondary education system over a number of years, it provides a much more complete picture of postsecondary persistence and success than studies that cannot track students once they leave a particular institution.</w:t>
      </w:r>
    </w:p>
    <w:p w:rsidR="000C2266" w:rsidP="000C2266" w14:paraId="284D5FFF" w14:textId="72B87066">
      <w:pPr>
        <w:pStyle w:val="NormalWeb"/>
        <w:spacing w:after="0"/>
        <w:rPr>
          <w:rFonts w:ascii="Garamond" w:hAnsi="Garamond"/>
          <w:color w:val="000000" w:themeColor="text1"/>
        </w:rPr>
      </w:pPr>
      <w:r w:rsidRPr="245DED47">
        <w:rPr>
          <w:rFonts w:ascii="Garamond" w:hAnsi="Garamond"/>
          <w:color w:val="000000" w:themeColor="text1"/>
        </w:rPr>
        <w:t xml:space="preserve">The </w:t>
      </w:r>
      <w:r w:rsidRPr="245DED47">
        <w:rPr>
          <w:rFonts w:ascii="Garamond" w:hAnsi="Garamond" w:cs="Calibri"/>
          <w:color w:val="000000" w:themeColor="text1"/>
        </w:rPr>
        <w:t>major issues addressed in BPS</w:t>
      </w:r>
      <w:r w:rsidRPr="245DED47">
        <w:rPr>
          <w:rFonts w:ascii="Garamond" w:hAnsi="Garamond"/>
          <w:color w:val="000000" w:themeColor="text1"/>
        </w:rPr>
        <w:t xml:space="preserve"> are</w:t>
      </w:r>
      <w:r w:rsidRPr="245DED47">
        <w:rPr>
          <w:rFonts w:ascii="Garamond" w:hAnsi="Garamond" w:cs="Calibri"/>
          <w:color w:val="000000" w:themeColor="text1"/>
        </w:rPr>
        <w:t xml:space="preserve">: </w:t>
      </w:r>
      <w:r>
        <w:br/>
      </w:r>
      <w:r w:rsidRPr="245DED47">
        <w:rPr>
          <w:rFonts w:ascii="Garamond" w:hAnsi="Garamond"/>
          <w:color w:val="000000" w:themeColor="text1"/>
        </w:rPr>
        <w:t>• persistence in, and completion of, postsecondary education programs,</w:t>
      </w:r>
      <w:r>
        <w:br/>
      </w:r>
      <w:r w:rsidRPr="245DED47">
        <w:rPr>
          <w:rFonts w:ascii="Garamond" w:hAnsi="Garamond"/>
          <w:color w:val="000000" w:themeColor="text1"/>
        </w:rPr>
        <w:t>• transition to employment,</w:t>
      </w:r>
      <w:r>
        <w:br/>
      </w:r>
      <w:r w:rsidRPr="245DED47">
        <w:rPr>
          <w:rFonts w:ascii="Garamond" w:hAnsi="Garamond"/>
          <w:color w:val="000000" w:themeColor="text1"/>
        </w:rPr>
        <w:t>• demographic characteristics, and</w:t>
      </w:r>
      <w:r>
        <w:br/>
      </w:r>
      <w:r w:rsidRPr="245DED47">
        <w:rPr>
          <w:rFonts w:ascii="Garamond" w:hAnsi="Garamond"/>
          <w:color w:val="000000" w:themeColor="text1"/>
        </w:rPr>
        <w:t>• changes over time in goals, marital status, income, and debt.</w:t>
      </w:r>
      <w:r>
        <w:br/>
      </w:r>
      <w:r>
        <w:br/>
      </w:r>
      <w:r w:rsidRPr="245DED47">
        <w:rPr>
          <w:rFonts w:ascii="Garamond" w:hAnsi="Garamond" w:cs="Calibri"/>
          <w:color w:val="000000" w:themeColor="text1"/>
        </w:rPr>
        <w:t>BPS:20/25</w:t>
      </w:r>
      <w:r w:rsidRPr="245DED47">
        <w:rPr>
          <w:rFonts w:ascii="Garamond" w:hAnsi="Garamond"/>
          <w:color w:val="000000" w:themeColor="text1"/>
        </w:rPr>
        <w:t xml:space="preserve"> will continue following a cohort of students who first began postsecondary education during the 2019-20 academic year</w:t>
      </w:r>
      <w:r>
        <w:rPr>
          <w:rFonts w:ascii="Garamond" w:hAnsi="Garamond"/>
          <w:color w:val="000000" w:themeColor="text1"/>
        </w:rPr>
        <w:t xml:space="preserve"> (full-scale)</w:t>
      </w:r>
      <w:r w:rsidRPr="245DED47">
        <w:rPr>
          <w:rFonts w:ascii="Garamond" w:hAnsi="Garamond"/>
          <w:color w:val="000000" w:themeColor="text1"/>
        </w:rPr>
        <w:t xml:space="preserve">, when the coronavirus pandemic began. The impacts of this event on education </w:t>
      </w:r>
      <w:r>
        <w:rPr>
          <w:rFonts w:ascii="Garamond" w:hAnsi="Garamond"/>
          <w:color w:val="000000" w:themeColor="text1"/>
        </w:rPr>
        <w:t>have been</w:t>
      </w:r>
      <w:r w:rsidRPr="245DED47">
        <w:rPr>
          <w:rFonts w:ascii="Garamond" w:hAnsi="Garamond"/>
          <w:color w:val="000000" w:themeColor="text1"/>
        </w:rPr>
        <w:t xml:space="preserve"> substantial</w:t>
      </w:r>
      <w:r>
        <w:rPr>
          <w:rFonts w:ascii="Garamond" w:hAnsi="Garamond"/>
          <w:color w:val="000000" w:themeColor="text1"/>
        </w:rPr>
        <w:t xml:space="preserve"> and</w:t>
      </w:r>
      <w:r w:rsidRPr="245DED47">
        <w:rPr>
          <w:rFonts w:ascii="Garamond" w:hAnsi="Garamond"/>
          <w:color w:val="000000" w:themeColor="text1"/>
        </w:rPr>
        <w:t xml:space="preserve"> BPS:20/</w:t>
      </w:r>
      <w:r w:rsidRPr="245DED47">
        <w:rPr>
          <w:rFonts w:ascii="Garamond" w:hAnsi="Garamond" w:cs="Calibri"/>
          <w:color w:val="000000" w:themeColor="text1"/>
        </w:rPr>
        <w:t>25</w:t>
      </w:r>
      <w:r w:rsidRPr="245DED47">
        <w:rPr>
          <w:rFonts w:ascii="Garamond" w:hAnsi="Garamond"/>
          <w:color w:val="000000" w:themeColor="text1"/>
        </w:rPr>
        <w:t xml:space="preserve"> is uniquely positioned to </w:t>
      </w:r>
      <w:r>
        <w:rPr>
          <w:rFonts w:ascii="Garamond" w:hAnsi="Garamond"/>
          <w:color w:val="000000" w:themeColor="text1"/>
        </w:rPr>
        <w:t xml:space="preserve">provide longitudinal data on the experiences of students from year one of the pandemic through six years later, to enable researchers to </w:t>
      </w:r>
      <w:r w:rsidRPr="245DED47">
        <w:rPr>
          <w:rFonts w:ascii="Garamond" w:hAnsi="Garamond"/>
          <w:color w:val="000000" w:themeColor="text1"/>
        </w:rPr>
        <w:t xml:space="preserve">examine </w:t>
      </w:r>
      <w:r>
        <w:rPr>
          <w:rFonts w:ascii="Garamond" w:hAnsi="Garamond"/>
          <w:color w:val="000000" w:themeColor="text1"/>
        </w:rPr>
        <w:t xml:space="preserve">enrollment, </w:t>
      </w:r>
      <w:r w:rsidRPr="245DED47">
        <w:rPr>
          <w:rFonts w:ascii="Garamond" w:hAnsi="Garamond"/>
          <w:color w:val="000000" w:themeColor="text1"/>
        </w:rPr>
        <w:t xml:space="preserve">persistence, attainment, educational experiences, and employment outcomes for </w:t>
      </w:r>
      <w:r>
        <w:rPr>
          <w:rFonts w:ascii="Garamond" w:hAnsi="Garamond"/>
          <w:color w:val="000000" w:themeColor="text1"/>
        </w:rPr>
        <w:t xml:space="preserve">a cohort of </w:t>
      </w:r>
      <w:r w:rsidRPr="245DED47">
        <w:rPr>
          <w:rFonts w:ascii="Garamond" w:hAnsi="Garamond"/>
          <w:color w:val="000000" w:themeColor="text1"/>
        </w:rPr>
        <w:t xml:space="preserve">students whose </w:t>
      </w:r>
      <w:r>
        <w:rPr>
          <w:rFonts w:ascii="Garamond" w:hAnsi="Garamond"/>
          <w:color w:val="000000" w:themeColor="text1"/>
        </w:rPr>
        <w:t xml:space="preserve">postsecondary </w:t>
      </w:r>
      <w:r w:rsidRPr="245DED47">
        <w:rPr>
          <w:rFonts w:ascii="Garamond" w:hAnsi="Garamond"/>
          <w:color w:val="000000" w:themeColor="text1"/>
        </w:rPr>
        <w:t>education</w:t>
      </w:r>
      <w:r>
        <w:rPr>
          <w:rFonts w:ascii="Garamond" w:hAnsi="Garamond"/>
          <w:color w:val="000000" w:themeColor="text1"/>
        </w:rPr>
        <w:t xml:space="preserve"> began during an unprecedented and far-reaching event.</w:t>
      </w:r>
    </w:p>
    <w:p w:rsidR="000C2266" w:rsidP="000C2266" w14:paraId="3B687D5F" w14:textId="53AFBAE6">
      <w:pPr>
        <w:pStyle w:val="NormalWeb"/>
        <w:spacing w:before="0"/>
        <w:rPr>
          <w:rFonts w:ascii="Garamond" w:hAnsi="Garamond"/>
          <w:color w:val="000000" w:themeColor="text1"/>
        </w:rPr>
      </w:pPr>
      <w:r>
        <w:br/>
      </w:r>
      <w:r>
        <w:rPr>
          <w:rFonts w:ascii="Garamond" w:hAnsi="Garamond"/>
          <w:color w:val="000000" w:themeColor="text1"/>
        </w:rPr>
        <w:t>A</w:t>
      </w:r>
      <w:r w:rsidRPr="245DED47">
        <w:rPr>
          <w:rFonts w:ascii="Garamond" w:hAnsi="Garamond"/>
          <w:color w:val="000000" w:themeColor="text1"/>
        </w:rPr>
        <w:t>s demographics change in the U.S., policymakers and practitioners are increasingly concerned about the difference between who attains postsecondary credentials</w:t>
      </w:r>
      <w:r w:rsidR="00CE1376">
        <w:rPr>
          <w:rFonts w:ascii="Garamond" w:hAnsi="Garamond"/>
          <w:color w:val="000000" w:themeColor="text1"/>
        </w:rPr>
        <w:t xml:space="preserve"> and who does not</w:t>
      </w:r>
      <w:r w:rsidRPr="245DED47">
        <w:rPr>
          <w:rFonts w:ascii="Garamond" w:hAnsi="Garamond"/>
          <w:color w:val="000000" w:themeColor="text1"/>
        </w:rPr>
        <w:t>. BPS:20/2</w:t>
      </w:r>
      <w:r>
        <w:rPr>
          <w:rFonts w:ascii="Garamond" w:hAnsi="Garamond"/>
          <w:color w:val="000000" w:themeColor="text1"/>
        </w:rPr>
        <w:t>5</w:t>
      </w:r>
      <w:r w:rsidRPr="245DED47">
        <w:rPr>
          <w:rFonts w:ascii="Garamond" w:hAnsi="Garamond"/>
          <w:color w:val="000000" w:themeColor="text1"/>
        </w:rPr>
        <w:t xml:space="preserve"> will be able to provide the latest nationally representative numbers on how key populations are entering and faring in postsecondary education, particularly students from low socioeconomic and minority backgrounds. These data will allow researchers and policymakers to explore the factors related to populations experiencing greater success on persistence, attainment, and labor market outcomes.</w:t>
      </w:r>
      <w:r>
        <w:br/>
      </w:r>
      <w:r>
        <w:br/>
      </w:r>
      <w:r>
        <w:rPr>
          <w:rFonts w:ascii="Garamond" w:hAnsi="Garamond"/>
          <w:color w:val="000000" w:themeColor="text1"/>
        </w:rPr>
        <w:t>P</w:t>
      </w:r>
      <w:r w:rsidRPr="245DED47">
        <w:rPr>
          <w:rFonts w:ascii="Garamond" w:hAnsi="Garamond"/>
          <w:color w:val="000000" w:themeColor="text1"/>
        </w:rPr>
        <w:t xml:space="preserve">olicymakers and researchers are </w:t>
      </w:r>
      <w:r w:rsidR="00A54E16">
        <w:rPr>
          <w:rFonts w:ascii="Garamond" w:hAnsi="Garamond"/>
          <w:color w:val="000000" w:themeColor="text1"/>
        </w:rPr>
        <w:t>also</w:t>
      </w:r>
      <w:r w:rsidRPr="245DED47" w:rsidR="00A54E16">
        <w:rPr>
          <w:rFonts w:ascii="Garamond" w:hAnsi="Garamond"/>
          <w:color w:val="000000" w:themeColor="text1"/>
        </w:rPr>
        <w:t xml:space="preserve"> </w:t>
      </w:r>
      <w:r w:rsidRPr="245DED47">
        <w:rPr>
          <w:rFonts w:ascii="Garamond" w:hAnsi="Garamond"/>
          <w:color w:val="000000" w:themeColor="text1"/>
        </w:rPr>
        <w:t>focused on how the education and employment outcomes of students are shaped by the control and level of the institution they attend. For example, the U.S. Department of Education manages the College Scorecard, a web tool designed to publicize key metrics about student outcomes such as graduation rate and average salary after graduation across a variety of institution types so students and families can make more informed college choice decisions. By providing the sample size and key student- and institution-level measures for these analyses, BPS:20/2</w:t>
      </w:r>
      <w:r>
        <w:rPr>
          <w:rFonts w:ascii="Garamond" w:hAnsi="Garamond"/>
          <w:color w:val="000000" w:themeColor="text1"/>
        </w:rPr>
        <w:t>5</w:t>
      </w:r>
      <w:r w:rsidRPr="245DED47">
        <w:rPr>
          <w:rFonts w:ascii="Garamond" w:hAnsi="Garamond"/>
          <w:color w:val="000000" w:themeColor="text1"/>
        </w:rPr>
        <w:t xml:space="preserve"> enables researchers and policymakers to analyze students' attainment and employment by sector, while also controlling for other variables that may be related to these outcomes.</w:t>
      </w:r>
      <w:r>
        <w:br/>
      </w:r>
      <w:r>
        <w:br/>
      </w:r>
      <w:r>
        <w:rPr>
          <w:rFonts w:ascii="Garamond" w:hAnsi="Garamond"/>
          <w:color w:val="000000" w:themeColor="text1"/>
        </w:rPr>
        <w:t>T</w:t>
      </w:r>
      <w:r w:rsidRPr="245DED47">
        <w:rPr>
          <w:rFonts w:ascii="Garamond" w:hAnsi="Garamond"/>
          <w:color w:val="000000" w:themeColor="text1"/>
        </w:rPr>
        <w:t>he cost of college, the percentage of students borrowing, and the amounts borrowed have increased</w:t>
      </w:r>
      <w:r w:rsidR="00CE1376">
        <w:rPr>
          <w:rFonts w:ascii="Garamond" w:hAnsi="Garamond"/>
          <w:color w:val="000000" w:themeColor="text1"/>
        </w:rPr>
        <w:t xml:space="preserve"> since the last BPS cohort started postsecondary education in 2011-12</w:t>
      </w:r>
      <w:r w:rsidRPr="245DED47">
        <w:rPr>
          <w:rFonts w:ascii="Garamond" w:hAnsi="Garamond"/>
          <w:color w:val="000000" w:themeColor="text1"/>
        </w:rPr>
        <w:t>. As a result, the impact of college costs, financial aid, and student loans on students' ability to complete credentials is an ever more pressing issue. In recent years, Pell Grant eligibility has been expanded, and the amount of the grant increased. There have also been changes in state-based aid programs. BPS:20/2</w:t>
      </w:r>
      <w:r>
        <w:rPr>
          <w:rFonts w:ascii="Garamond" w:hAnsi="Garamond"/>
          <w:color w:val="000000" w:themeColor="text1"/>
        </w:rPr>
        <w:t>5</w:t>
      </w:r>
      <w:r w:rsidRPr="245DED47">
        <w:rPr>
          <w:rFonts w:ascii="Garamond" w:hAnsi="Garamond"/>
          <w:color w:val="000000" w:themeColor="text1"/>
        </w:rPr>
        <w:t xml:space="preserve"> can help inform these policy decisions by providing data on how grants, and other financial aid, impact students' road to a credential.</w:t>
      </w:r>
      <w:r>
        <w:br/>
      </w:r>
      <w:r>
        <w:br/>
      </w:r>
      <w:r w:rsidRPr="245DED47">
        <w:rPr>
          <w:rFonts w:ascii="Garamond" w:hAnsi="Garamond"/>
          <w:color w:val="000000" w:themeColor="text1"/>
        </w:rPr>
        <w:t xml:space="preserve">Finally, researchers and policymakers are interested in how attainment and employment are affected by several aspects of the postsecondary experience, such as remedial education, online education, and employment while in school. Students' lack of college readiness and need for remedial or developmental education have been identified as impediments in students' time to degree, as well as factors in students dropping out without a </w:t>
      </w:r>
      <w:r w:rsidRPr="245DED47">
        <w:rPr>
          <w:rFonts w:ascii="Garamond" w:hAnsi="Garamond"/>
          <w:color w:val="000000" w:themeColor="text1"/>
        </w:rPr>
        <w:t xml:space="preserve">credential. In fact, the Department of Education launched a new Center for the Analysis of Postsecondary Readiness to strengthen the research, evaluation, and support of college readiness efforts across the nation. BPS includes information on high school </w:t>
      </w:r>
      <w:r w:rsidRPr="245DED47" w:rsidR="00222C1D">
        <w:rPr>
          <w:rFonts w:ascii="Garamond" w:hAnsi="Garamond"/>
          <w:color w:val="000000" w:themeColor="text1"/>
        </w:rPr>
        <w:t>course taking</w:t>
      </w:r>
      <w:r w:rsidRPr="245DED47">
        <w:rPr>
          <w:rFonts w:ascii="Garamond" w:hAnsi="Garamond"/>
          <w:color w:val="000000" w:themeColor="text1"/>
        </w:rPr>
        <w:t xml:space="preserve">, grades, and test scores as well as developmental </w:t>
      </w:r>
      <w:r w:rsidRPr="245DED47" w:rsidR="00222C1D">
        <w:rPr>
          <w:rFonts w:ascii="Garamond" w:hAnsi="Garamond"/>
          <w:color w:val="000000" w:themeColor="text1"/>
        </w:rPr>
        <w:t>course taking</w:t>
      </w:r>
      <w:r w:rsidRPr="245DED47">
        <w:rPr>
          <w:rFonts w:ascii="Garamond" w:hAnsi="Garamond"/>
          <w:color w:val="000000" w:themeColor="text1"/>
        </w:rPr>
        <w:t xml:space="preserve"> in different subjects while in college, which can provide key data for the Center's work. The growth of online courses and degree programs has also attracted attention, with researchers and practitioners wanting to better understand its potential in speeding students' time to degree and the ways such courses and programs are perceived by employers. The degree to which working while enrolled helps or hurts postsecondary attainment, time to degree, and later employment outcomes is a key debate. Through </w:t>
      </w:r>
      <w:r w:rsidRPr="10544137">
        <w:rPr>
          <w:rFonts w:ascii="Garamond" w:hAnsi="Garamond"/>
          <w:color w:val="000000" w:themeColor="text1"/>
        </w:rPr>
        <w:t xml:space="preserve">the information collected on </w:t>
      </w:r>
      <w:r w:rsidRPr="245DED47">
        <w:rPr>
          <w:rFonts w:ascii="Garamond" w:hAnsi="Garamond"/>
          <w:color w:val="000000" w:themeColor="text1"/>
        </w:rPr>
        <w:t>employment history, BPS:20/25 will be able to add data to this discussion.</w:t>
      </w:r>
    </w:p>
    <w:p w:rsidR="000C2266" w:rsidRPr="00477529" w:rsidP="00080A30" w14:paraId="329E8725" w14:textId="339EACAC">
      <w:pPr>
        <w:pStyle w:val="Heading3"/>
      </w:pPr>
      <w:bookmarkStart w:id="42" w:name="_Toc139867009"/>
      <w:bookmarkStart w:id="43" w:name="_Toc174598609"/>
      <w:r>
        <w:t>BPS:20/25 Research and Policy Issues</w:t>
      </w:r>
      <w:bookmarkEnd w:id="42"/>
      <w:bookmarkEnd w:id="43"/>
    </w:p>
    <w:p w:rsidR="000C2266" w:rsidP="000C2266" w14:paraId="06B363EC" w14:textId="40365DD5">
      <w:pPr>
        <w:pStyle w:val="NormalWeb"/>
        <w:spacing w:before="0" w:after="0"/>
        <w:rPr>
          <w:rFonts w:ascii="Garamond" w:hAnsi="Garamond"/>
          <w:color w:val="000000"/>
          <w:u w:val="single"/>
        </w:rPr>
      </w:pPr>
      <w:r w:rsidRPr="10544137">
        <w:rPr>
          <w:rFonts w:ascii="Garamond" w:hAnsi="Garamond"/>
          <w:color w:val="000000" w:themeColor="text1"/>
        </w:rPr>
        <w:t>Following are some of the many research and policy issues to be addressed with BPS:20/25 data:</w:t>
      </w:r>
      <w:r>
        <w:br/>
      </w:r>
      <w:r>
        <w:br/>
      </w:r>
      <w:r w:rsidRPr="10544137">
        <w:rPr>
          <w:rFonts w:ascii="Garamond" w:hAnsi="Garamond"/>
          <w:color w:val="000000" w:themeColor="text1"/>
          <w:u w:val="single"/>
        </w:rPr>
        <w:t>Postsecondary Enrollment Characteristics and Experiences</w:t>
      </w:r>
      <w:r>
        <w:br/>
      </w:r>
      <w:r w:rsidRPr="10544137">
        <w:rPr>
          <w:rFonts w:ascii="Garamond" w:hAnsi="Garamond"/>
          <w:color w:val="000000" w:themeColor="text1"/>
        </w:rPr>
        <w:t>-How are FTB students distributed across institutions of varying control and levels, and different degree programs?</w:t>
      </w:r>
      <w:r>
        <w:br/>
      </w:r>
      <w:r w:rsidRPr="10544137">
        <w:rPr>
          <w:rFonts w:ascii="Garamond" w:hAnsi="Garamond"/>
          <w:color w:val="000000" w:themeColor="text1"/>
        </w:rPr>
        <w:t>-What fields of study do FTB students pursue, and in which fields do they obtain degrees?</w:t>
      </w:r>
      <w:r>
        <w:br/>
      </w:r>
      <w:r w:rsidRPr="10544137">
        <w:rPr>
          <w:rFonts w:ascii="Garamond" w:hAnsi="Garamond"/>
          <w:color w:val="000000" w:themeColor="text1"/>
        </w:rPr>
        <w:t>-How frequently do FTB students change their field of study, particularly from science, technology, engineering, and mathematics (STEM) to non-STEM fields and vice versa?</w:t>
      </w:r>
      <w:r>
        <w:br/>
      </w:r>
      <w:r w:rsidRPr="10544137">
        <w:rPr>
          <w:rFonts w:ascii="Garamond" w:hAnsi="Garamond"/>
          <w:color w:val="000000" w:themeColor="text1"/>
        </w:rPr>
        <w:t>-To what extent do FTB students participate in online courses and programs?</w:t>
      </w:r>
      <w:r>
        <w:br/>
      </w:r>
      <w:r w:rsidRPr="10544137">
        <w:rPr>
          <w:rFonts w:ascii="Garamond" w:hAnsi="Garamond"/>
          <w:color w:val="000000" w:themeColor="text1"/>
        </w:rPr>
        <w:t>-</w:t>
      </w:r>
      <w:r w:rsidRPr="0059624E" w:rsidR="0059624E">
        <w:rPr>
          <w:rFonts w:ascii="Garamond" w:hAnsi="Garamond"/>
          <w:color w:val="000000" w:themeColor="text1"/>
        </w:rPr>
        <w:t>What enrollment patterns were evident for FTB students who were affected by the coronavirus pandemic</w:t>
      </w:r>
      <w:r w:rsidRPr="10544137">
        <w:rPr>
          <w:rFonts w:ascii="Garamond" w:hAnsi="Garamond"/>
          <w:color w:val="000000" w:themeColor="text1"/>
        </w:rPr>
        <w:t>?</w:t>
      </w:r>
      <w:r>
        <w:br/>
      </w:r>
      <w:r w:rsidRPr="10544137">
        <w:rPr>
          <w:rFonts w:ascii="Garamond" w:hAnsi="Garamond"/>
          <w:color w:val="000000" w:themeColor="text1"/>
        </w:rPr>
        <w:t>-How do answers to the above questions differ by factors like demographic characteristics, control and level of institution, and field of study?</w:t>
      </w:r>
      <w:r>
        <w:br/>
      </w:r>
      <w:r>
        <w:br/>
      </w:r>
      <w:r w:rsidRPr="10544137">
        <w:rPr>
          <w:rFonts w:ascii="Garamond" w:hAnsi="Garamond"/>
          <w:color w:val="000000" w:themeColor="text1"/>
          <w:u w:val="single"/>
        </w:rPr>
        <w:t>Employment During Enrollment</w:t>
      </w:r>
      <w:r>
        <w:br/>
      </w:r>
      <w:r w:rsidRPr="10544137">
        <w:rPr>
          <w:rFonts w:ascii="Garamond" w:hAnsi="Garamond"/>
          <w:color w:val="000000" w:themeColor="text1"/>
        </w:rPr>
        <w:t>-What percentage of students work while enrolled, and how many hours do they work?</w:t>
      </w:r>
      <w:r>
        <w:br/>
      </w:r>
      <w:r w:rsidRPr="10544137">
        <w:rPr>
          <w:rFonts w:ascii="Garamond" w:hAnsi="Garamond"/>
          <w:color w:val="000000" w:themeColor="text1"/>
        </w:rPr>
        <w:t>-How do students' individual patterns in working while enrolled change by year of enrollment and U.S. economic conditions?</w:t>
      </w:r>
      <w:r>
        <w:br/>
      </w:r>
      <w:r w:rsidRPr="10544137">
        <w:rPr>
          <w:rFonts w:ascii="Garamond" w:hAnsi="Garamond"/>
          <w:color w:val="000000" w:themeColor="text1"/>
        </w:rPr>
        <w:t>-How do answers to the above questions differ by factors like demographic characteristics, control and level of institution, and field of study?</w:t>
      </w:r>
      <w:r>
        <w:br/>
      </w:r>
      <w:r>
        <w:br/>
      </w:r>
      <w:r w:rsidRPr="10544137">
        <w:rPr>
          <w:rFonts w:ascii="Garamond" w:hAnsi="Garamond"/>
          <w:color w:val="000000" w:themeColor="text1"/>
          <w:u w:val="single"/>
        </w:rPr>
        <w:t>Financial Aid and Borrowing</w:t>
      </w:r>
      <w:r>
        <w:br/>
      </w:r>
      <w:r w:rsidRPr="10544137">
        <w:rPr>
          <w:rFonts w:ascii="Garamond" w:hAnsi="Garamond"/>
          <w:color w:val="000000" w:themeColor="text1"/>
        </w:rPr>
        <w:t>-How much financial support do dependent FTB students receive from their parents or other relatives and friends for their postsecondary education?</w:t>
      </w:r>
      <w:r>
        <w:br/>
      </w:r>
      <w:r w:rsidRPr="10544137">
        <w:rPr>
          <w:rFonts w:ascii="Garamond" w:hAnsi="Garamond"/>
          <w:color w:val="000000" w:themeColor="text1"/>
        </w:rPr>
        <w:t>-What proportion of FTB students receive federal Pell Grants</w:t>
      </w:r>
      <w:r w:rsidR="00A54E16">
        <w:rPr>
          <w:rFonts w:ascii="Garamond" w:hAnsi="Garamond"/>
          <w:color w:val="000000" w:themeColor="text1"/>
        </w:rPr>
        <w:t xml:space="preserve">, </w:t>
      </w:r>
      <w:r w:rsidRPr="10544137">
        <w:rPr>
          <w:rFonts w:ascii="Garamond" w:hAnsi="Garamond"/>
          <w:color w:val="000000" w:themeColor="text1"/>
        </w:rPr>
        <w:t>veterans</w:t>
      </w:r>
      <w:r w:rsidR="00A54E16">
        <w:rPr>
          <w:rFonts w:ascii="Garamond" w:hAnsi="Garamond"/>
          <w:color w:val="000000" w:themeColor="text1"/>
        </w:rPr>
        <w:t xml:space="preserve"> benefits,</w:t>
      </w:r>
      <w:r w:rsidRPr="10544137">
        <w:rPr>
          <w:rFonts w:ascii="Garamond" w:hAnsi="Garamond"/>
          <w:color w:val="000000" w:themeColor="text1"/>
        </w:rPr>
        <w:t xml:space="preserve"> or other Department of Defense education benefits?</w:t>
      </w:r>
      <w:r>
        <w:br/>
      </w:r>
      <w:r w:rsidRPr="10544137">
        <w:rPr>
          <w:rFonts w:ascii="Garamond" w:hAnsi="Garamond"/>
          <w:color w:val="000000" w:themeColor="text1"/>
        </w:rPr>
        <w:t>-What proportion of FTB students take out private loans, and in what amount?</w:t>
      </w:r>
      <w:r>
        <w:br/>
      </w:r>
      <w:r w:rsidRPr="10544137">
        <w:rPr>
          <w:rFonts w:ascii="Garamond" w:hAnsi="Garamond"/>
          <w:color w:val="000000" w:themeColor="text1"/>
        </w:rPr>
        <w:t>-How does the percentage of FTB students taking out federal loans and the average amount borrowed vary by demographic and enrollment characteristics?</w:t>
      </w:r>
      <w:r>
        <w:br/>
      </w:r>
      <w:r w:rsidRPr="10544137">
        <w:rPr>
          <w:rFonts w:ascii="Garamond" w:hAnsi="Garamond"/>
          <w:color w:val="000000" w:themeColor="text1"/>
        </w:rPr>
        <w:t>-How does the amount of grants and loans FTB students receive from federal, institutional, and private sources differ during each year of enrollment?</w:t>
      </w:r>
      <w:r>
        <w:br/>
      </w:r>
      <w:r w:rsidRPr="10544137">
        <w:rPr>
          <w:rFonts w:ascii="Garamond" w:hAnsi="Garamond"/>
          <w:color w:val="000000" w:themeColor="text1"/>
        </w:rPr>
        <w:t>-What kinds of borrowers struggle in repayment and default on their student loans after 6 years?</w:t>
      </w:r>
      <w:r>
        <w:br/>
      </w:r>
      <w:r w:rsidRPr="10544137">
        <w:rPr>
          <w:rFonts w:ascii="Garamond" w:hAnsi="Garamond"/>
          <w:color w:val="000000" w:themeColor="text1"/>
        </w:rPr>
        <w:t>-How do answers to the above questions differ by factors like demographic characteristics, control and level of institution, and other enrollment characteristics?</w:t>
      </w:r>
      <w:r>
        <w:br/>
      </w:r>
      <w:r>
        <w:br/>
      </w:r>
      <w:r w:rsidRPr="10544137">
        <w:rPr>
          <w:rFonts w:ascii="Garamond" w:hAnsi="Garamond"/>
          <w:color w:val="000000" w:themeColor="text1"/>
          <w:u w:val="single"/>
        </w:rPr>
        <w:t>Education and Career Expectations</w:t>
      </w:r>
      <w:r>
        <w:br/>
      </w:r>
      <w:r w:rsidRPr="10544137">
        <w:rPr>
          <w:rFonts w:ascii="Garamond" w:hAnsi="Garamond"/>
          <w:color w:val="000000" w:themeColor="text1"/>
        </w:rPr>
        <w:t>-What is the relationship between degree or certificate attainment expectations and actual attainment outcomes 6 years after students begin college?</w:t>
      </w:r>
      <w:r w:rsidRPr="00D45498">
        <w:rPr>
          <w:rFonts w:ascii="Garamond" w:hAnsi="Garamond"/>
          <w:color w:val="000000" w:themeColor="text1"/>
        </w:rPr>
        <w:br/>
      </w:r>
      <w:r w:rsidRPr="10544137">
        <w:rPr>
          <w:rFonts w:ascii="Garamond" w:hAnsi="Garamond"/>
          <w:color w:val="000000" w:themeColor="text1"/>
        </w:rPr>
        <w:t>-How much social and emotional support do FTB students receive from their families and friends in their pursuit of their educational goals?</w:t>
      </w:r>
      <w:r w:rsidRPr="00D45498">
        <w:rPr>
          <w:rFonts w:ascii="Garamond" w:hAnsi="Garamond"/>
          <w:color w:val="000000" w:themeColor="text1"/>
        </w:rPr>
        <w:br/>
      </w:r>
      <w:r w:rsidRPr="10544137">
        <w:rPr>
          <w:rFonts w:ascii="Garamond" w:hAnsi="Garamond"/>
          <w:color w:val="000000" w:themeColor="text1"/>
        </w:rPr>
        <w:t>-Did the coronavirus pandemic lead students to change their programs of study?</w:t>
      </w:r>
      <w:r>
        <w:br/>
      </w:r>
      <w:r w:rsidRPr="10544137">
        <w:rPr>
          <w:rFonts w:ascii="Garamond" w:hAnsi="Garamond"/>
          <w:color w:val="000000" w:themeColor="text1"/>
        </w:rPr>
        <w:t>-To what careers do FTB students aspire, and what do they think they will earn in these positions?</w:t>
      </w:r>
      <w:r>
        <w:br/>
      </w:r>
      <w:r w:rsidRPr="10544137">
        <w:rPr>
          <w:rFonts w:ascii="Garamond" w:hAnsi="Garamond"/>
          <w:color w:val="000000" w:themeColor="text1"/>
        </w:rPr>
        <w:t>-How close are students' predicted earnings to actual average earnings in their expected careers?</w:t>
      </w:r>
      <w:r>
        <w:br/>
      </w:r>
      <w:r w:rsidRPr="10544137">
        <w:rPr>
          <w:rFonts w:ascii="Garamond" w:hAnsi="Garamond"/>
          <w:color w:val="000000" w:themeColor="text1"/>
        </w:rPr>
        <w:t xml:space="preserve">-How do answers to the above questions differ </w:t>
      </w:r>
      <w:r w:rsidRPr="10544137" w:rsidR="001E70EF">
        <w:rPr>
          <w:rFonts w:ascii="Garamond" w:hAnsi="Garamond"/>
          <w:color w:val="000000" w:themeColor="text1"/>
        </w:rPr>
        <w:t>by factors like demographic characteristics, control and level of institution, and other enrollment characteristics</w:t>
      </w:r>
      <w:r w:rsidRPr="10544137">
        <w:rPr>
          <w:rFonts w:ascii="Garamond" w:hAnsi="Garamond"/>
          <w:color w:val="000000" w:themeColor="text1"/>
        </w:rPr>
        <w:t>?</w:t>
      </w:r>
      <w:r>
        <w:br/>
      </w:r>
      <w:r>
        <w:br/>
      </w:r>
      <w:r w:rsidRPr="10544137">
        <w:rPr>
          <w:rFonts w:ascii="Garamond" w:hAnsi="Garamond"/>
          <w:color w:val="000000" w:themeColor="text1"/>
          <w:u w:val="single"/>
        </w:rPr>
        <w:t>Persistence</w:t>
      </w:r>
      <w:r>
        <w:br/>
      </w:r>
      <w:r w:rsidRPr="10544137">
        <w:rPr>
          <w:rFonts w:ascii="Garamond" w:hAnsi="Garamond"/>
          <w:color w:val="000000" w:themeColor="text1"/>
        </w:rPr>
        <w:t xml:space="preserve">-At what rate do students stop out of postsecondary education, how </w:t>
      </w:r>
      <w:r w:rsidR="00CE1376">
        <w:rPr>
          <w:rFonts w:ascii="Garamond" w:hAnsi="Garamond"/>
          <w:color w:val="000000" w:themeColor="text1"/>
        </w:rPr>
        <w:t>many times</w:t>
      </w:r>
      <w:r w:rsidRPr="10544137" w:rsidR="00CE1376">
        <w:rPr>
          <w:rFonts w:ascii="Garamond" w:hAnsi="Garamond"/>
          <w:color w:val="000000" w:themeColor="text1"/>
        </w:rPr>
        <w:t xml:space="preserve"> </w:t>
      </w:r>
      <w:r w:rsidRPr="10544137">
        <w:rPr>
          <w:rFonts w:ascii="Garamond" w:hAnsi="Garamond"/>
          <w:color w:val="000000" w:themeColor="text1"/>
        </w:rPr>
        <w:t xml:space="preserve">do they </w:t>
      </w:r>
      <w:r w:rsidR="00CE1376">
        <w:rPr>
          <w:rFonts w:ascii="Garamond" w:hAnsi="Garamond"/>
          <w:color w:val="000000" w:themeColor="text1"/>
        </w:rPr>
        <w:t>stop out</w:t>
      </w:r>
      <w:r w:rsidRPr="10544137">
        <w:rPr>
          <w:rFonts w:ascii="Garamond" w:hAnsi="Garamond"/>
          <w:color w:val="000000" w:themeColor="text1"/>
        </w:rPr>
        <w:t xml:space="preserve">, and when do they </w:t>
      </w:r>
      <w:r w:rsidR="00CE1376">
        <w:rPr>
          <w:rFonts w:ascii="Garamond" w:hAnsi="Garamond"/>
          <w:color w:val="000000" w:themeColor="text1"/>
        </w:rPr>
        <w:t>stop out</w:t>
      </w:r>
      <w:r w:rsidRPr="10544137">
        <w:rPr>
          <w:rFonts w:ascii="Garamond" w:hAnsi="Garamond"/>
          <w:color w:val="000000" w:themeColor="text1"/>
        </w:rPr>
        <w:t>?</w:t>
      </w:r>
      <w:r>
        <w:br/>
      </w:r>
      <w:r w:rsidRPr="10544137">
        <w:rPr>
          <w:rFonts w:ascii="Garamond" w:hAnsi="Garamond"/>
          <w:color w:val="000000" w:themeColor="text1"/>
        </w:rPr>
        <w:t>-At what rate do students transfer between institutions, when do they transfer, and what are the most common transfer patterns in terms of the types of institutions left and entered?</w:t>
      </w:r>
      <w:r>
        <w:br/>
      </w:r>
      <w:r w:rsidRPr="10544137">
        <w:rPr>
          <w:rFonts w:ascii="Garamond" w:hAnsi="Garamond"/>
          <w:color w:val="000000" w:themeColor="text1"/>
        </w:rPr>
        <w:t>-What proportion of certificate attainers enter another certificate or degree program? Are their subsequent certificates and degrees in related fields of study?</w:t>
      </w:r>
      <w:r>
        <w:br/>
      </w:r>
      <w:r w:rsidRPr="10544137">
        <w:rPr>
          <w:rFonts w:ascii="Garamond" w:hAnsi="Garamond"/>
          <w:color w:val="000000" w:themeColor="text1"/>
        </w:rPr>
        <w:t>-What proportion of FTB students are enrolled in their first institution 6 years after initially enrolling but have yet to earn a credential?</w:t>
      </w:r>
      <w:r>
        <w:br/>
      </w:r>
      <w:r w:rsidRPr="10544137">
        <w:rPr>
          <w:rFonts w:ascii="Garamond" w:hAnsi="Garamond"/>
          <w:color w:val="000000" w:themeColor="text1"/>
        </w:rPr>
        <w:t>-What proportion of FTB students are enrolled in any institution 6 years after first enrolling but have yet to earn a credential?</w:t>
      </w:r>
      <w:r>
        <w:br/>
      </w:r>
      <w:r w:rsidRPr="10544137">
        <w:rPr>
          <w:rFonts w:ascii="Garamond" w:hAnsi="Garamond"/>
          <w:color w:val="000000" w:themeColor="text1"/>
        </w:rPr>
        <w:t>-Among students who leave postsecondary education without a credential, in what year did they leave?</w:t>
      </w:r>
      <w:r>
        <w:br/>
      </w:r>
      <w:r w:rsidRPr="10544137">
        <w:rPr>
          <w:rFonts w:ascii="Garamond" w:hAnsi="Garamond"/>
          <w:color w:val="000000" w:themeColor="text1"/>
        </w:rPr>
        <w:t>-How do answers to the above questions differ by demographic characteristics, high school preparation, control and level of institution, attendance intensity, employment during enrollment, financial aid and borrowing, physical and mental health, sense of belonging at institution, discount rate, and education and career expectations?</w:t>
      </w:r>
      <w:r>
        <w:br/>
      </w:r>
      <w:r>
        <w:br/>
      </w:r>
      <w:r w:rsidRPr="10544137">
        <w:rPr>
          <w:rFonts w:ascii="Garamond" w:hAnsi="Garamond"/>
          <w:color w:val="000000" w:themeColor="text1"/>
          <w:u w:val="single"/>
        </w:rPr>
        <w:t>Attainment</w:t>
      </w:r>
      <w:r>
        <w:br/>
      </w:r>
      <w:r w:rsidRPr="10544137">
        <w:rPr>
          <w:rFonts w:ascii="Garamond" w:hAnsi="Garamond"/>
          <w:color w:val="000000" w:themeColor="text1"/>
        </w:rPr>
        <w:t>-What percentage of FTB students earn a certificate, associate's degree, or bachelor's degree?</w:t>
      </w:r>
      <w:r>
        <w:br/>
      </w:r>
      <w:r w:rsidRPr="10544137">
        <w:rPr>
          <w:rFonts w:ascii="Garamond" w:hAnsi="Garamond"/>
          <w:color w:val="000000" w:themeColor="text1"/>
        </w:rPr>
        <w:t>-How long does it take FTB students to earn each of these credentials?</w:t>
      </w:r>
      <w:r>
        <w:br/>
      </w:r>
      <w:r w:rsidRPr="10544137">
        <w:rPr>
          <w:rFonts w:ascii="Garamond" w:hAnsi="Garamond"/>
          <w:color w:val="000000" w:themeColor="text1"/>
        </w:rPr>
        <w:t>-How do answers to the above questions differ by institution level and control, attendance intensity, transfer patterns, stop-outs, changes in major and major choice? What roles do demographic characteristics, high school preparation, employment during enrollment, financial aid and borrowing, physical and mental health, sense of belonging at institution, discount rate, and education and career expectations play?</w:t>
      </w:r>
      <w:r>
        <w:br/>
      </w:r>
    </w:p>
    <w:p w:rsidR="000C2266" w:rsidRPr="00E93C24" w:rsidP="000C2266" w14:paraId="2B0D012B" w14:textId="080E3981">
      <w:pPr>
        <w:pStyle w:val="NormalWeb"/>
        <w:rPr>
          <w:rFonts w:ascii="Garamond" w:hAnsi="Garamond"/>
          <w:color w:val="000000"/>
        </w:rPr>
      </w:pPr>
      <w:r w:rsidRPr="00E93C24">
        <w:rPr>
          <w:rFonts w:ascii="Garamond" w:hAnsi="Garamond"/>
          <w:color w:val="000000"/>
          <w:u w:val="single"/>
        </w:rPr>
        <w:t>Employment Outcomes After Leaving Postsecondary Education</w:t>
      </w:r>
      <w:r w:rsidRPr="00E93C24">
        <w:rPr>
          <w:rFonts w:ascii="Garamond" w:hAnsi="Garamond"/>
          <w:color w:val="000000"/>
          <w:u w:val="single"/>
        </w:rPr>
        <w:br/>
      </w:r>
      <w:r w:rsidRPr="00E93C24">
        <w:rPr>
          <w:rFonts w:ascii="Garamond" w:hAnsi="Garamond"/>
          <w:color w:val="000000"/>
        </w:rPr>
        <w:t>-How much do FTB students earn after 6 years, and what benefits do they receive?</w:t>
      </w:r>
      <w:r w:rsidRPr="00E93C24">
        <w:rPr>
          <w:rFonts w:ascii="Garamond" w:hAnsi="Garamond"/>
          <w:color w:val="000000"/>
        </w:rPr>
        <w:br/>
        <w:t>-What percentage of FTB students are employed in their field of study? How do their employment outcomes compare to those who are not employed in their field of study?</w:t>
      </w:r>
      <w:r w:rsidRPr="00E93C24">
        <w:rPr>
          <w:rFonts w:ascii="Garamond" w:hAnsi="Garamond"/>
          <w:color w:val="000000"/>
        </w:rPr>
        <w:br/>
        <w:t>-Among FTB students who did not enter postsecondary education directly from high school to what extent does their employment before and after postsecondary education differ? To what extent does employment prior to postsecondary education influence employment outcomes after postsecondary education?</w:t>
      </w:r>
      <w:r w:rsidRPr="00E93C24">
        <w:rPr>
          <w:rFonts w:ascii="Garamond" w:hAnsi="Garamond"/>
          <w:color w:val="000000"/>
        </w:rPr>
        <w:br/>
        <w:t>-How do FTB students' employment outcomes after leaving postsecondary education compare to their employment during their postsecondary education?</w:t>
      </w:r>
      <w:r w:rsidRPr="00E93C24">
        <w:rPr>
          <w:rFonts w:ascii="Garamond" w:hAnsi="Garamond"/>
          <w:color w:val="000000"/>
        </w:rPr>
        <w:br/>
        <w:t>-What percentage of FTB students have experienced unemployment spells? How many spells have they had, and how many months has each spell lasted?</w:t>
      </w:r>
      <w:r w:rsidRPr="00E93C24">
        <w:rPr>
          <w:rFonts w:ascii="Garamond" w:hAnsi="Garamond"/>
          <w:color w:val="000000"/>
        </w:rPr>
        <w:br/>
        <w:t>-How do answers to the above questions differ by degree and certificate attainment; field of study; and level, control, and selectivity of institution attended? What role do demographic characteristics, employment prior to and during postsecondary enrollment, debt, and earlier education and career expectations play?</w:t>
      </w:r>
    </w:p>
    <w:p w:rsidR="000C2266" w:rsidRPr="007C3F15" w:rsidP="000C2266" w14:paraId="2CF29D72" w14:textId="77777777">
      <w:pPr>
        <w:pStyle w:val="BodyText"/>
      </w:pPr>
      <w:r>
        <w:t xml:space="preserve">Answers to these and other questions are vital if policymakers at the local, state, and national levels are to respond adequately to the changing environment of postsecondary education. Since inception, the NPSAS, BPS, and B&amp;B series have resulted in numerous NCES publications addressing these issues. These reports can be found at: </w:t>
      </w:r>
      <w:hyperlink r:id="rId12" w:history="1">
        <w:r>
          <w:rPr>
            <w:rStyle w:val="Hyperlink"/>
          </w:rPr>
          <w:t>https://nces.ed.gov/pubsearch/</w:t>
        </w:r>
      </w:hyperlink>
      <w:r>
        <w:t>.</w:t>
      </w:r>
    </w:p>
    <w:p w:rsidR="00265E39" w:rsidP="007B3A35" w14:paraId="63112E7B" w14:textId="417F9415">
      <w:pPr>
        <w:pStyle w:val="Heading2"/>
      </w:pPr>
      <w:bookmarkStart w:id="44" w:name="_Toc174598610"/>
      <w:r w:rsidRPr="00477529">
        <w:t>Use of Information Technology</w:t>
      </w:r>
      <w:bookmarkEnd w:id="38"/>
      <w:bookmarkEnd w:id="41"/>
      <w:bookmarkEnd w:id="44"/>
    </w:p>
    <w:p w:rsidR="00AE2535" w:rsidRPr="004D25BE" w:rsidP="00AE2535" w14:paraId="07AADCD4" w14:textId="77777777">
      <w:pPr>
        <w:pStyle w:val="NormalWeb"/>
        <w:rPr>
          <w:rFonts w:ascii="Garamond" w:hAnsi="Garamond"/>
          <w:color w:val="000000" w:themeColor="text1"/>
        </w:rPr>
      </w:pPr>
      <w:r w:rsidRPr="004D25BE">
        <w:rPr>
          <w:rFonts w:ascii="Garamond" w:hAnsi="Garamond"/>
          <w:color w:val="000000" w:themeColor="text1"/>
        </w:rPr>
        <w:t xml:space="preserve">The BPS:20/25 student survey will use web-based questionnaires across two electronic modes of data collection: a self-administered survey, which is mobile-friendly to allow completion of the survey on a tablet or smartphone, </w:t>
      </w:r>
      <w:r w:rsidRPr="004D25BE">
        <w:rPr>
          <w:rFonts w:ascii="Garamond" w:hAnsi="Garamond"/>
          <w:color w:val="000000" w:themeColor="text1"/>
        </w:rPr>
        <w:t>and computer</w:t>
      </w:r>
      <w:r w:rsidRPr="004D25BE">
        <w:rPr>
          <w:rFonts w:ascii="Garamond" w:hAnsi="Garamond"/>
        </w:rPr>
        <w:t>-</w:t>
      </w:r>
      <w:r w:rsidRPr="004D25BE">
        <w:rPr>
          <w:rFonts w:ascii="Garamond" w:hAnsi="Garamond"/>
          <w:color w:val="000000" w:themeColor="text1"/>
        </w:rPr>
        <w:t xml:space="preserve">assisted telephone </w:t>
      </w:r>
      <w:r w:rsidRPr="004D25BE">
        <w:rPr>
          <w:rFonts w:ascii="Garamond" w:hAnsi="Garamond"/>
        </w:rPr>
        <w:t>interviewing</w:t>
      </w:r>
      <w:r w:rsidRPr="004D25BE">
        <w:rPr>
          <w:rFonts w:ascii="Garamond" w:hAnsi="Garamond"/>
          <w:color w:val="000000" w:themeColor="text1"/>
        </w:rPr>
        <w:t xml:space="preserve"> (CATI). The survey will be available through the study website that resides on NCES servers.</w:t>
      </w:r>
    </w:p>
    <w:p w:rsidR="00AE2535" w:rsidRPr="004D25BE" w:rsidP="00AE2535" w14:paraId="40E661B8" w14:textId="6E948617">
      <w:pPr>
        <w:pStyle w:val="NormalWeb"/>
        <w:rPr>
          <w:rFonts w:ascii="Garamond" w:hAnsi="Garamond"/>
          <w:color w:val="000000" w:themeColor="text1"/>
        </w:rPr>
      </w:pPr>
      <w:r w:rsidRPr="5EA40E8D">
        <w:rPr>
          <w:rFonts w:ascii="Garamond" w:hAnsi="Garamond"/>
          <w:color w:val="000000" w:themeColor="text1"/>
        </w:rPr>
        <w:t>The website used for the BPS:20/25 data collection will reside on NCES' FIPS Moderate servers. Secure Socket Layer (SSL) protocol is used to encrypt the data transmitted over the Internet, the survey data is encrypted at rest and all parts of the websites that collect student data are password protected.</w:t>
      </w:r>
      <w:r w:rsidR="00222C1D">
        <w:rPr>
          <w:rFonts w:ascii="Garamond" w:hAnsi="Garamond"/>
          <w:color w:val="000000" w:themeColor="text1"/>
        </w:rPr>
        <w:t xml:space="preserve"> </w:t>
      </w:r>
      <w:r w:rsidRPr="5EA40E8D">
        <w:rPr>
          <w:rFonts w:ascii="Garamond" w:hAnsi="Garamond"/>
          <w:color w:val="000000" w:themeColor="text1"/>
        </w:rPr>
        <w:t xml:space="preserve">On a nightly basis, the data collection contractor will download student survey data to their FIPS Moderate network via a secure web service. Once in the FIPS Moderate network, data will be cleaned and undergo quality analysis. The data collection contractor maintains Authority </w:t>
      </w:r>
      <w:r w:rsidRPr="5EA40E8D">
        <w:rPr>
          <w:rFonts w:ascii="Garamond" w:hAnsi="Garamond"/>
          <w:color w:val="000000" w:themeColor="text1"/>
        </w:rPr>
        <w:t>To</w:t>
      </w:r>
      <w:r w:rsidRPr="5EA40E8D">
        <w:rPr>
          <w:rFonts w:ascii="Garamond" w:hAnsi="Garamond"/>
          <w:color w:val="000000" w:themeColor="text1"/>
        </w:rPr>
        <w:t xml:space="preserve"> Operate (ATOs) with OCIO for the systems associated with the processing of data collected at NCES. </w:t>
      </w:r>
    </w:p>
    <w:p w:rsidR="00AE2535" w:rsidP="00AE2535" w14:paraId="117FBA3D" w14:textId="523AE220">
      <w:pPr>
        <w:pStyle w:val="Heading2"/>
      </w:pPr>
      <w:bookmarkStart w:id="45" w:name="_Toc383113367"/>
      <w:bookmarkStart w:id="46" w:name="_Toc5011102"/>
      <w:bookmarkStart w:id="47" w:name="_Toc174598611"/>
      <w:r w:rsidRPr="00477529">
        <w:t>Efforts to Identify Duplication</w:t>
      </w:r>
      <w:bookmarkStart w:id="48" w:name="_Toc383113368"/>
      <w:bookmarkStart w:id="49" w:name="_Toc5011103"/>
      <w:bookmarkEnd w:id="45"/>
      <w:bookmarkEnd w:id="46"/>
      <w:bookmarkEnd w:id="47"/>
    </w:p>
    <w:p w:rsidR="00AE2535" w:rsidP="00AE2535" w14:paraId="21C64DF9" w14:textId="77777777">
      <w:pPr>
        <w:pStyle w:val="BodyText"/>
      </w:pPr>
      <w:r>
        <w:t xml:space="preserve">Efforts to identify duplication have included NCES consultations with other federal offices, such as the U.S. Department of Education's Office of Postsecondary Education; the Office of Planning, Evaluation, and Policy Development; and other agencies, such as the Government Accountability Office; the Congressional Budget Office (CBO); and the Office of Management and Budget (OMB). In addition, NCES collaborates with the National Center for Science and Engineering Statistics (NCSES) at the National Science Foundation (NSF) to ensure that each unit is kept up to date on each other's studies pertaining to postsecondary students and institutions. NCES and NSF meet on a regular basis to cover topical issues relevant to both offices, and each has staff serving on study TRPs. NCES routinely consults with nonfederal associations, such as the American Council on Education, the Career Education Colleges and Universities, the National Association of Student Financial Aid Administrators, the National Association of Independent Colleges and Universities, the Council of Graduate Schools, the Institute for Higher Education Policy, the State Higher Education Executive Officers Association, and the National Association of State Student Grant and Aid Programs to confirm that data collected through NPSAS and BPS are not available from any other sources. </w:t>
      </w:r>
    </w:p>
    <w:p w:rsidR="00AE2535" w:rsidRPr="00AE2535" w:rsidP="00AE2535" w14:paraId="616DDB1E" w14:textId="565E802A">
      <w:pPr>
        <w:pStyle w:val="BodyText"/>
      </w:pPr>
      <w:r>
        <w:t>NCES also consults with academic researchers, several of whom attend the NPSAS and BPS TRP meetings. Beyond identification of duplication, these consultations provide methodological insights from the results of similar and related studies conducted by NCES, other federal agencies, and nonfederal sources. The consultations also assure that data collected through BPS will meet the needs of the federal government and relevant organizations. No studies in the United States singularly duplicate the data produced by BPS.</w:t>
      </w:r>
    </w:p>
    <w:p w:rsidR="00AE2535" w:rsidP="00AE2535" w14:paraId="5CBAB896" w14:textId="48405F70">
      <w:pPr>
        <w:pStyle w:val="Heading2"/>
      </w:pPr>
      <w:bookmarkStart w:id="50" w:name="_Toc174598612"/>
      <w:r w:rsidRPr="00477529">
        <w:t>Method Used to Minimize Burden on Small Businesses</w:t>
      </w:r>
      <w:bookmarkStart w:id="51" w:name="_Toc383113369"/>
      <w:bookmarkStart w:id="52" w:name="_Toc5011104"/>
      <w:bookmarkEnd w:id="48"/>
      <w:bookmarkEnd w:id="49"/>
      <w:bookmarkEnd w:id="50"/>
    </w:p>
    <w:p w:rsidR="00AE2535" w:rsidRPr="00AE2535" w:rsidP="00AE2535" w14:paraId="7C3FA1FB" w14:textId="64F015DB">
      <w:pPr>
        <w:pStyle w:val="NormalWeb"/>
        <w:rPr>
          <w:rFonts w:ascii="Garamond" w:hAnsi="Garamond"/>
          <w:color w:val="000000"/>
        </w:rPr>
      </w:pPr>
      <w:r w:rsidRPr="00E93C24">
        <w:rPr>
          <w:rFonts w:ascii="Garamond" w:hAnsi="Garamond"/>
          <w:color w:val="000000"/>
        </w:rPr>
        <w:t>The target respondents for BPS:20/2</w:t>
      </w:r>
      <w:r>
        <w:rPr>
          <w:rFonts w:ascii="Garamond" w:hAnsi="Garamond"/>
          <w:color w:val="000000"/>
        </w:rPr>
        <w:t>5</w:t>
      </w:r>
      <w:r w:rsidRPr="00E93C24">
        <w:rPr>
          <w:rFonts w:ascii="Garamond" w:hAnsi="Garamond"/>
          <w:color w:val="000000"/>
        </w:rPr>
        <w:t xml:space="preserve"> interviews are individuals</w:t>
      </w:r>
      <w:r w:rsidRPr="00E93C24" w:rsidR="0036052D">
        <w:rPr>
          <w:rFonts w:ascii="Garamond" w:hAnsi="Garamond"/>
          <w:color w:val="000000"/>
        </w:rPr>
        <w:t>,</w:t>
      </w:r>
      <w:r w:rsidRPr="00E93C24">
        <w:rPr>
          <w:rFonts w:ascii="Garamond" w:hAnsi="Garamond"/>
          <w:color w:val="000000"/>
        </w:rPr>
        <w:t xml:space="preserve"> and the data collection activities will not involve burden to small businesses or entities.</w:t>
      </w:r>
    </w:p>
    <w:p w:rsidR="00AE2535" w:rsidP="00AE2535" w14:paraId="03FEB243" w14:textId="460EF895">
      <w:pPr>
        <w:pStyle w:val="Heading2"/>
      </w:pPr>
      <w:bookmarkStart w:id="53" w:name="_Toc174598613"/>
      <w:r w:rsidRPr="00477529">
        <w:t>Frequency of Data Collection</w:t>
      </w:r>
      <w:bookmarkStart w:id="54" w:name="_Toc383113370"/>
      <w:bookmarkStart w:id="55" w:name="_Toc5011105"/>
      <w:bookmarkEnd w:id="51"/>
      <w:bookmarkEnd w:id="52"/>
      <w:bookmarkEnd w:id="53"/>
    </w:p>
    <w:p w:rsidR="00AE2535" w:rsidRPr="00E93C24" w:rsidP="00AE2535" w14:paraId="4B110D98" w14:textId="7CEC138D">
      <w:pPr>
        <w:pStyle w:val="NormalWeb"/>
        <w:rPr>
          <w:rFonts w:ascii="Garamond" w:hAnsi="Garamond"/>
          <w:color w:val="000000"/>
        </w:rPr>
      </w:pPr>
      <w:r w:rsidRPr="00E93C24">
        <w:rPr>
          <w:rFonts w:ascii="Garamond" w:hAnsi="Garamond"/>
          <w:color w:val="000000"/>
        </w:rPr>
        <w:t xml:space="preserve">BPS studies have been conducted periodically since 1990. BPS:20/22 was the first follow-up data collection following NPSAS:20, which served as the base-year, and from which the BPS student sample was selected. BPS:20/25 will be the second follow-up. </w:t>
      </w:r>
      <w:r w:rsidRPr="00E93C24">
        <w:rPr>
          <w:rFonts w:ascii="Garamond" w:hAnsi="Garamond"/>
          <w:color w:val="000000"/>
        </w:rPr>
        <w:br/>
      </w:r>
      <w:r w:rsidRPr="00E93C24">
        <w:rPr>
          <w:rFonts w:ascii="Garamond" w:hAnsi="Garamond"/>
          <w:color w:val="000000"/>
        </w:rPr>
        <w:br/>
        <w:t xml:space="preserve">NPSAS and its longitudinal spin-off studies, BPS and B&amp;B, are conducted to reflect the large-scale and rapid changes in federal policy concerning postsecondary student aid. A recurring study is essential, first, to help predict future costs for financial aid because loan programs create continued obligations for the federal government as long as the loans are being repaid. Second, repeated surveys can capture the changing nature of the postsecondary environment. With the longitudinal design of the NPSAS survey and BPS follow-ups, representative national samples of </w:t>
      </w:r>
      <w:r w:rsidR="00A54E16">
        <w:rPr>
          <w:rFonts w:ascii="Garamond" w:hAnsi="Garamond"/>
          <w:color w:val="000000"/>
        </w:rPr>
        <w:t>FTB</w:t>
      </w:r>
      <w:r w:rsidRPr="00E93C24">
        <w:rPr>
          <w:rFonts w:ascii="Garamond" w:hAnsi="Garamond"/>
          <w:color w:val="000000"/>
        </w:rPr>
        <w:t xml:space="preserve"> students with similar base-year characteristics may be compared over time to determine the effects of changes in federal policy and programs. Third, repeated surveys can help researchers understand the effect of economic conditions on the employment outcomes for subbaccalaureate educational certificate holders.</w:t>
      </w:r>
    </w:p>
    <w:p w:rsidR="00265E39" w:rsidRPr="00477529" w:rsidP="007B3A35" w14:paraId="3DACE03D" w14:textId="01D92F78">
      <w:pPr>
        <w:pStyle w:val="Heading2"/>
      </w:pPr>
      <w:bookmarkStart w:id="56" w:name="_Toc174598614"/>
      <w:r w:rsidRPr="00477529">
        <w:t>Special Circumstances of Data Collection</w:t>
      </w:r>
      <w:bookmarkEnd w:id="54"/>
      <w:bookmarkEnd w:id="55"/>
      <w:bookmarkEnd w:id="56"/>
    </w:p>
    <w:p w:rsidR="00CE10C8" w:rsidP="0089327D" w14:paraId="7394D981" w14:textId="77777777">
      <w:pPr>
        <w:pStyle w:val="BodyText"/>
        <w:rPr>
          <w:rStyle w:val="normaltextrun"/>
          <w:color w:val="000000"/>
          <w:szCs w:val="22"/>
          <w:shd w:val="clear" w:color="auto" w:fill="FFFFFF"/>
        </w:rPr>
      </w:pPr>
      <w:bookmarkStart w:id="57" w:name="_Toc383113371"/>
      <w:bookmarkStart w:id="58" w:name="_Toc5011106"/>
      <w:bookmarkStart w:id="59" w:name="_Toc174598615"/>
      <w:r w:rsidRPr="003527D8">
        <w:rPr>
          <w:rStyle w:val="normaltextrun"/>
          <w:color w:val="000000"/>
          <w:szCs w:val="22"/>
          <w:shd w:val="clear" w:color="auto" w:fill="FFFFFF"/>
        </w:rPr>
        <w:t xml:space="preserve">In March 2024, the Office of Management and Budget (OMB) announced revisions to Statistical Policy Directive No. 15: Standards for Maintaining, Collecting, and Presenting Federal Data on Race and Ethnicity (SPD 15) and published the revised SPD15 standard in the Federal Register (89 FR 22182). </w:t>
      </w:r>
    </w:p>
    <w:p w:rsidR="002F3545" w:rsidP="0089327D" w14:paraId="16E759E7" w14:textId="0CFBAEFD">
      <w:pPr>
        <w:pStyle w:val="BodyText"/>
      </w:pPr>
      <w:r>
        <w:t xml:space="preserve">Historically, </w:t>
      </w:r>
      <w:r w:rsidR="001A34B1">
        <w:t xml:space="preserve">BPS </w:t>
      </w:r>
      <w:r>
        <w:t xml:space="preserve">has </w:t>
      </w:r>
      <w:r w:rsidR="001A34B1">
        <w:t>not collect</w:t>
      </w:r>
      <w:r>
        <w:t>ed</w:t>
      </w:r>
      <w:r w:rsidR="001A34B1">
        <w:t xml:space="preserve"> race and ethnicity data. </w:t>
      </w:r>
      <w:r w:rsidR="006817FB">
        <w:t xml:space="preserve">As seen in Table 1, BPS:20/25 is the second </w:t>
      </w:r>
      <w:r w:rsidR="003F0ABA">
        <w:t xml:space="preserve">(and currently planned as the final) </w:t>
      </w:r>
      <w:r w:rsidR="006817FB">
        <w:t>follow-up data collection with the NPSAS:20 study cohort. Because it</w:t>
      </w:r>
      <w:r>
        <w:t xml:space="preserve"> is</w:t>
      </w:r>
      <w:r w:rsidR="006817FB">
        <w:t xml:space="preserve"> a follow-up study, BPS </w:t>
      </w:r>
      <w:r>
        <w:t>has utilized</w:t>
      </w:r>
      <w:r w:rsidR="006817FB">
        <w:t xml:space="preserve"> the</w:t>
      </w:r>
      <w:r w:rsidR="003F0ABA">
        <w:t xml:space="preserve"> </w:t>
      </w:r>
      <w:r>
        <w:t xml:space="preserve">race and ethnicity </w:t>
      </w:r>
      <w:r w:rsidR="003F0ABA">
        <w:t xml:space="preserve">data provided in the </w:t>
      </w:r>
      <w:r>
        <w:t>base-</w:t>
      </w:r>
      <w:r w:rsidR="003F0ABA">
        <w:t xml:space="preserve">year NPSAS administration. </w:t>
      </w:r>
      <w:r w:rsidR="00741406">
        <w:t xml:space="preserve">However, given the revised SPD15 standard, collecting race and ethnicity using the modified categories would </w:t>
      </w:r>
      <w:r w:rsidRPr="00741406" w:rsidR="00741406">
        <w:t>provide insight to NCES about how postsecondary students respond to these questions, and obtain methodological data about the impact that this new version may have on future postsecondary student demographic estimates</w:t>
      </w:r>
      <w:r w:rsidR="00741406">
        <w:t xml:space="preserve">. To minimize respondent burden and programming requirements, the race and ethnicity question with minimum categories </w:t>
      </w:r>
      <w:r w:rsidR="000E4766">
        <w:t xml:space="preserve">and examples </w:t>
      </w:r>
      <w:r w:rsidR="00741406">
        <w:t>will be fielded</w:t>
      </w:r>
      <w:r w:rsidR="00FC3B45">
        <w:t xml:space="preserve"> (see Figure </w:t>
      </w:r>
      <w:r w:rsidR="000E4766">
        <w:t>2</w:t>
      </w:r>
      <w:r w:rsidR="00FC3B45">
        <w:t xml:space="preserve"> from </w:t>
      </w:r>
      <w:r w:rsidRPr="003527D8" w:rsidR="00FC3B45">
        <w:rPr>
          <w:rStyle w:val="normaltextrun"/>
          <w:color w:val="000000"/>
          <w:szCs w:val="22"/>
          <w:shd w:val="clear" w:color="auto" w:fill="FFFFFF"/>
        </w:rPr>
        <w:t>89 FR 22182</w:t>
      </w:r>
      <w:r w:rsidR="00FC3B45">
        <w:t>)</w:t>
      </w:r>
      <w:r w:rsidR="00741406">
        <w:t xml:space="preserve">. The resulting </w:t>
      </w:r>
      <w:r w:rsidR="000A76C5">
        <w:t xml:space="preserve">methodological </w:t>
      </w:r>
      <w:r w:rsidR="00741406">
        <w:t>data will allow for concordance analyses across NPSAS:20 and BPS:20/25 data</w:t>
      </w:r>
      <w:r w:rsidR="000A76C5">
        <w:t xml:space="preserve"> and the examination of </w:t>
      </w:r>
      <w:r w:rsidR="009B2139">
        <w:t>endorsement rates for new or modified</w:t>
      </w:r>
      <w:r w:rsidR="000A76C5">
        <w:t xml:space="preserve"> categories, </w:t>
      </w:r>
      <w:r w:rsidR="009B2139">
        <w:t xml:space="preserve">such as </w:t>
      </w:r>
      <w:r w:rsidR="000A76C5">
        <w:t>Middle Eastern or North African and Hispanic or Latino.</w:t>
      </w:r>
      <w:r w:rsidR="00741406">
        <w:t xml:space="preserve"> </w:t>
      </w:r>
      <w:r w:rsidR="000A76C5">
        <w:t xml:space="preserve">However, </w:t>
      </w:r>
      <w:r w:rsidR="000A76C5">
        <w:rPr>
          <w:rStyle w:val="normaltextrun"/>
          <w:color w:val="000000"/>
          <w:szCs w:val="22"/>
          <w:shd w:val="clear" w:color="auto" w:fill="FFFFFF"/>
        </w:rPr>
        <w:t>any data or findings published from BPS:20/25 will be stratified and analyzed based on the original race and ethnicity standards under which the base-year NPSAS:20 study collected data.</w:t>
      </w:r>
    </w:p>
    <w:p w:rsidR="0089327D" w:rsidRPr="003527D8" w:rsidP="0089327D" w14:paraId="6CDEDF30" w14:textId="61D02810">
      <w:pPr>
        <w:pStyle w:val="BodyText"/>
        <w:rPr>
          <w:rStyle w:val="normaltextrun"/>
          <w:color w:val="000000"/>
          <w:szCs w:val="22"/>
          <w:shd w:val="clear" w:color="auto" w:fill="FFFFFF"/>
        </w:rPr>
      </w:pPr>
      <w:r w:rsidRPr="003527D8">
        <w:rPr>
          <w:rStyle w:val="normaltextrun"/>
          <w:color w:val="000000"/>
          <w:szCs w:val="22"/>
          <w:shd w:val="clear" w:color="auto" w:fill="FFFFFF"/>
        </w:rPr>
        <w:t>The</w:t>
      </w:r>
      <w:r w:rsidR="002F3545">
        <w:rPr>
          <w:rStyle w:val="normaltextrun"/>
          <w:color w:val="000000"/>
          <w:szCs w:val="22"/>
          <w:shd w:val="clear" w:color="auto" w:fill="FFFFFF"/>
        </w:rPr>
        <w:t xml:space="preserve"> most recent</w:t>
      </w:r>
      <w:r w:rsidRPr="003527D8">
        <w:rPr>
          <w:rStyle w:val="normaltextrun"/>
          <w:color w:val="000000"/>
          <w:szCs w:val="22"/>
          <w:shd w:val="clear" w:color="auto" w:fill="FFFFFF"/>
        </w:rPr>
        <w:t xml:space="preserve"> NPSAS:2024 data collection</w:t>
      </w:r>
      <w:r w:rsidR="002F3545">
        <w:rPr>
          <w:rStyle w:val="normaltextrun"/>
          <w:color w:val="000000"/>
          <w:szCs w:val="22"/>
          <w:shd w:val="clear" w:color="auto" w:fill="FFFFFF"/>
        </w:rPr>
        <w:t xml:space="preserve"> package cleared by OMB (OMB#1850-0</w:t>
      </w:r>
      <w:r w:rsidR="004B3921">
        <w:rPr>
          <w:rStyle w:val="normaltextrun"/>
          <w:color w:val="000000"/>
          <w:szCs w:val="22"/>
          <w:shd w:val="clear" w:color="auto" w:fill="FFFFFF"/>
        </w:rPr>
        <w:t>666 v.38)</w:t>
      </w:r>
      <w:r w:rsidRPr="003527D8">
        <w:rPr>
          <w:rStyle w:val="normaltextrun"/>
          <w:color w:val="000000"/>
          <w:szCs w:val="22"/>
          <w:shd w:val="clear" w:color="auto" w:fill="FFFFFF"/>
        </w:rPr>
        <w:t xml:space="preserve"> described </w:t>
      </w:r>
      <w:r w:rsidR="004B3921">
        <w:rPr>
          <w:rStyle w:val="normaltextrun"/>
          <w:color w:val="000000"/>
          <w:szCs w:val="22"/>
          <w:shd w:val="clear" w:color="auto" w:fill="FFFFFF"/>
        </w:rPr>
        <w:t xml:space="preserve">at a high level </w:t>
      </w:r>
      <w:r w:rsidR="00F04CCB">
        <w:rPr>
          <w:rStyle w:val="normaltextrun"/>
          <w:color w:val="000000"/>
          <w:szCs w:val="22"/>
          <w:shd w:val="clear" w:color="auto" w:fill="FFFFFF"/>
        </w:rPr>
        <w:t xml:space="preserve">NCES’s </w:t>
      </w:r>
      <w:r w:rsidR="004B3921">
        <w:rPr>
          <w:rStyle w:val="normaltextrun"/>
          <w:color w:val="000000"/>
          <w:szCs w:val="22"/>
          <w:shd w:val="clear" w:color="auto" w:fill="FFFFFF"/>
        </w:rPr>
        <w:t xml:space="preserve">plans </w:t>
      </w:r>
      <w:r w:rsidR="00F04CCB">
        <w:rPr>
          <w:rStyle w:val="normaltextrun"/>
          <w:color w:val="000000"/>
          <w:szCs w:val="22"/>
          <w:shd w:val="clear" w:color="auto" w:fill="FFFFFF"/>
        </w:rPr>
        <w:t xml:space="preserve">for NPSAS </w:t>
      </w:r>
      <w:r w:rsidR="004B3921">
        <w:rPr>
          <w:rStyle w:val="normaltextrun"/>
          <w:color w:val="000000"/>
          <w:szCs w:val="22"/>
          <w:shd w:val="clear" w:color="auto" w:fill="FFFFFF"/>
        </w:rPr>
        <w:t>to be compliant with the new</w:t>
      </w:r>
      <w:r w:rsidR="00F04CCB">
        <w:rPr>
          <w:rStyle w:val="normaltextrun"/>
          <w:color w:val="000000"/>
          <w:szCs w:val="22"/>
          <w:shd w:val="clear" w:color="auto" w:fill="FFFFFF"/>
        </w:rPr>
        <w:t>ly published</w:t>
      </w:r>
      <w:r w:rsidR="004B3921">
        <w:rPr>
          <w:rStyle w:val="normaltextrun"/>
          <w:color w:val="000000"/>
          <w:szCs w:val="22"/>
          <w:shd w:val="clear" w:color="auto" w:fill="FFFFFF"/>
        </w:rPr>
        <w:t xml:space="preserve"> SPD15 standards </w:t>
      </w:r>
      <w:r w:rsidR="00CE25DA">
        <w:rPr>
          <w:rStyle w:val="normaltextrun"/>
          <w:color w:val="000000"/>
          <w:szCs w:val="22"/>
          <w:shd w:val="clear" w:color="auto" w:fill="FFFFFF"/>
        </w:rPr>
        <w:t>by the next student data collection for NPSAS</w:t>
      </w:r>
      <w:r w:rsidR="009C7098">
        <w:rPr>
          <w:rStyle w:val="normaltextrun"/>
          <w:color w:val="000000"/>
          <w:szCs w:val="22"/>
          <w:shd w:val="clear" w:color="auto" w:fill="FFFFFF"/>
        </w:rPr>
        <w:t xml:space="preserve">. </w:t>
      </w:r>
    </w:p>
    <w:p w:rsidR="00AB4944" w:rsidP="00AB4944" w14:paraId="3DD1A250" w14:textId="4E80820A">
      <w:pPr>
        <w:pStyle w:val="Heading2"/>
      </w:pPr>
      <w:r w:rsidRPr="00477529">
        <w:t>Consultants Outside the Agency</w:t>
      </w:r>
      <w:bookmarkStart w:id="60" w:name="_Toc383113372"/>
      <w:bookmarkStart w:id="61" w:name="_Toc5011107"/>
      <w:bookmarkEnd w:id="57"/>
      <w:bookmarkEnd w:id="58"/>
      <w:bookmarkEnd w:id="59"/>
    </w:p>
    <w:p w:rsidR="00AB4944" w:rsidRPr="00AB4944" w:rsidP="00AB4944" w14:paraId="1145FC50" w14:textId="3A079762">
      <w:pPr>
        <w:pStyle w:val="NormalWeb"/>
        <w:rPr>
          <w:rFonts w:ascii="Garamond" w:hAnsi="Garamond"/>
          <w:color w:val="000000"/>
        </w:rPr>
      </w:pPr>
      <w:r w:rsidRPr="245DED47">
        <w:rPr>
          <w:rFonts w:ascii="Garamond" w:hAnsi="Garamond"/>
          <w:color w:val="000000" w:themeColor="text1"/>
        </w:rPr>
        <w:t>Recognizing the significance of the BPS:20/25 data collection, several strategies have been incorporated into the project work plan to create opportunities for the critical review and acquisition of comments relating to project activities, interim and final products, and projected and actual outcomes. These strategies include</w:t>
      </w:r>
      <w:bookmarkStart w:id="62" w:name="_Hlk139452146"/>
      <w:r w:rsidRPr="245DED47">
        <w:rPr>
          <w:rFonts w:ascii="Garamond" w:hAnsi="Garamond"/>
          <w:color w:val="000000" w:themeColor="text1"/>
        </w:rPr>
        <w:t xml:space="preserve"> consultations with persons and organizations both internal and external to NCES, the U.S. Department of Education, and the federal government.</w:t>
      </w:r>
      <w:r>
        <w:br/>
      </w:r>
      <w:r>
        <w:br/>
      </w:r>
      <w:r w:rsidRPr="245DED47">
        <w:rPr>
          <w:rFonts w:ascii="Garamond" w:hAnsi="Garamond"/>
          <w:color w:val="000000" w:themeColor="text1"/>
        </w:rPr>
        <w:t xml:space="preserve">Previous BPS implementations have benefited from consultations with a TRP composed of staff from several offices in the Department of Education; representatives of NSF, OMB, and CBO; and nonfederal members who are considered experts in postsecondary education issues (a list of the TRP </w:t>
      </w:r>
      <w:r w:rsidR="008D6906">
        <w:rPr>
          <w:rFonts w:ascii="Garamond" w:hAnsi="Garamond"/>
          <w:color w:val="000000" w:themeColor="text1"/>
        </w:rPr>
        <w:t>attendees</w:t>
      </w:r>
      <w:r w:rsidRPr="245DED47">
        <w:rPr>
          <w:rFonts w:ascii="Garamond" w:hAnsi="Garamond"/>
          <w:color w:val="000000" w:themeColor="text1"/>
        </w:rPr>
        <w:t xml:space="preserve"> is provided in Appendix A). These consultations provide methodological insights from the results of similar and related studies conducted by NCES, other federal agencies, and nonfederal sources. The consultations also assure that data collected through BPS will meet the needs of the federal government and relevant organizations.</w:t>
      </w:r>
      <w:r>
        <w:br/>
      </w:r>
      <w:r>
        <w:br/>
      </w:r>
      <w:r w:rsidRPr="245DED47">
        <w:rPr>
          <w:rFonts w:ascii="Garamond" w:hAnsi="Garamond"/>
          <w:color w:val="000000" w:themeColor="text1"/>
        </w:rPr>
        <w:t>In May 2019, members of the NPSAS:20 TRP were consulted regarding specific questions included in the NPSAS:20 student survey that were targeted to the BPS cohort. In June 2020, the BPS TRP reviewed the BPS:20/22 field test plan and content of the student survey. In July 2021, a second BPS TRP meeting was held to review the field test results and collect recommendations for the full-scale collection. In June 2023, the BPS TRP reviewed the BPS:20/25 field test plan and content of the student survey.</w:t>
      </w:r>
      <w:bookmarkEnd w:id="62"/>
      <w:r>
        <w:rPr>
          <w:rFonts w:ascii="Garamond" w:hAnsi="Garamond"/>
          <w:color w:val="000000" w:themeColor="text1"/>
        </w:rPr>
        <w:t xml:space="preserve"> In July 2024, a final BPS TRP was held to review the field test results and collect recommendations for the full-scale collection.</w:t>
      </w:r>
    </w:p>
    <w:p w:rsidR="00265E39" w:rsidRPr="00176F63" w:rsidP="007B3A35" w14:paraId="34156136" w14:textId="4FF324A5">
      <w:pPr>
        <w:pStyle w:val="Heading2"/>
      </w:pPr>
      <w:bookmarkStart w:id="63" w:name="_Toc174598616"/>
      <w:r w:rsidRPr="00176F63">
        <w:t>Provision of Payments or Gifts to Respondents</w:t>
      </w:r>
      <w:bookmarkEnd w:id="60"/>
      <w:bookmarkEnd w:id="61"/>
      <w:bookmarkEnd w:id="63"/>
    </w:p>
    <w:p w:rsidR="004B6339" w:rsidP="00126637" w14:paraId="43711784" w14:textId="07B70060">
      <w:pPr>
        <w:pStyle w:val="BodyText"/>
        <w:widowControl w:val="0"/>
        <w:rPr>
          <w:szCs w:val="24"/>
        </w:rPr>
      </w:pPr>
      <w:bookmarkStart w:id="64" w:name="_Toc383113373"/>
      <w:r w:rsidRPr="00126637">
        <w:rPr>
          <w:szCs w:val="24"/>
        </w:rPr>
        <w:t xml:space="preserve">The use of incentives to motivate completion of the student survey can provide significant advantages to the government in terms of higher quality data with </w:t>
      </w:r>
      <w:r w:rsidRPr="4B503F44" w:rsidR="00AF1C26">
        <w:rPr>
          <w:color w:val="000000" w:themeColor="text1"/>
        </w:rPr>
        <w:t xml:space="preserve">increased response rates </w:t>
      </w:r>
      <w:r w:rsidR="000B19AF">
        <w:rPr>
          <w:color w:val="000000" w:themeColor="text1"/>
        </w:rPr>
        <w:t xml:space="preserve">and </w:t>
      </w:r>
      <w:r w:rsidRPr="00126637">
        <w:rPr>
          <w:szCs w:val="24"/>
        </w:rPr>
        <w:t>minimized nonresponse bias (Groves, Singer, and Corning, 2000).</w:t>
      </w:r>
      <w:r>
        <w:rPr>
          <w:rStyle w:val="FootnoteReference"/>
          <w:szCs w:val="24"/>
        </w:rPr>
        <w:footnoteReference w:id="3"/>
      </w:r>
      <w:r w:rsidRPr="00126637">
        <w:rPr>
          <w:szCs w:val="24"/>
        </w:rPr>
        <w:t xml:space="preserve"> In addition, the use of incentives may also result in decreased data collection costs due to improved efficiency. </w:t>
      </w:r>
    </w:p>
    <w:p w:rsidR="0007606E" w:rsidRPr="004D25BE" w:rsidP="0007606E" w14:paraId="52404D89" w14:textId="673305F7">
      <w:pPr>
        <w:pStyle w:val="NormalWeb"/>
        <w:rPr>
          <w:rFonts w:ascii="Garamond" w:hAnsi="Garamond"/>
          <w:color w:val="000000"/>
        </w:rPr>
      </w:pPr>
      <w:r w:rsidRPr="21E0FA53">
        <w:rPr>
          <w:rFonts w:ascii="Garamond" w:hAnsi="Garamond"/>
          <w:color w:val="000000" w:themeColor="text1"/>
        </w:rPr>
        <w:t xml:space="preserve">The </w:t>
      </w:r>
      <w:r w:rsidRPr="21E0FA53" w:rsidR="49668AD7">
        <w:rPr>
          <w:rFonts w:ascii="Garamond" w:hAnsi="Garamond"/>
          <w:color w:val="000000" w:themeColor="text1"/>
        </w:rPr>
        <w:t>monetary</w:t>
      </w:r>
      <w:r w:rsidRPr="21E0FA53">
        <w:rPr>
          <w:rFonts w:ascii="Garamond" w:hAnsi="Garamond"/>
          <w:color w:val="000000" w:themeColor="text1"/>
        </w:rPr>
        <w:t xml:space="preserve"> incentives for respondents are valued at $30-$</w:t>
      </w:r>
      <w:r w:rsidRPr="21E0FA53" w:rsidR="2F2AFB98">
        <w:rPr>
          <w:rFonts w:ascii="Garamond" w:hAnsi="Garamond"/>
          <w:color w:val="000000" w:themeColor="text1"/>
        </w:rPr>
        <w:t>65</w:t>
      </w:r>
      <w:r w:rsidRPr="21E0FA53">
        <w:rPr>
          <w:rFonts w:ascii="Garamond" w:hAnsi="Garamond" w:cs="Calibri"/>
          <w:color w:val="000000" w:themeColor="text1"/>
        </w:rPr>
        <w:t>. The</w:t>
      </w:r>
      <w:r w:rsidRPr="21E0FA53">
        <w:rPr>
          <w:rFonts w:ascii="Garamond" w:hAnsi="Garamond"/>
          <w:color w:val="000000" w:themeColor="text1"/>
        </w:rPr>
        <w:t xml:space="preserve"> BPS:20/</w:t>
      </w:r>
      <w:r w:rsidRPr="21E0FA53">
        <w:rPr>
          <w:rFonts w:ascii="Garamond" w:hAnsi="Garamond" w:cs="Calibri"/>
          <w:color w:val="000000" w:themeColor="text1"/>
        </w:rPr>
        <w:t>25</w:t>
      </w:r>
      <w:r w:rsidRPr="21E0FA53">
        <w:rPr>
          <w:rFonts w:ascii="Garamond" w:hAnsi="Garamond"/>
          <w:color w:val="000000" w:themeColor="text1"/>
        </w:rPr>
        <w:t xml:space="preserve"> full scale data collection will involve two distinct data collection groups and three main data collection phases. This general setup builds upon the designs implemented in other longitudinal studies where it has contributed to maximizing response rates and minimizing the potential for nonresponse bias (e.g., </w:t>
      </w:r>
      <w:r w:rsidRPr="21E0FA53" w:rsidR="4801C155">
        <w:rPr>
          <w:rFonts w:ascii="Garamond" w:hAnsi="Garamond"/>
          <w:color w:val="000000" w:themeColor="text1"/>
        </w:rPr>
        <w:t>BPS:20/</w:t>
      </w:r>
      <w:r w:rsidRPr="21E0FA53" w:rsidR="4801C155">
        <w:rPr>
          <w:rFonts w:ascii="Garamond" w:hAnsi="Garamond" w:cs="Calibri"/>
          <w:color w:val="000000" w:themeColor="text1"/>
        </w:rPr>
        <w:t>25</w:t>
      </w:r>
      <w:r w:rsidRPr="21E0FA53" w:rsidR="4801C155">
        <w:rPr>
          <w:rFonts w:ascii="Garamond" w:hAnsi="Garamond"/>
          <w:color w:val="000000" w:themeColor="text1"/>
        </w:rPr>
        <w:t xml:space="preserve"> field test, </w:t>
      </w:r>
      <w:r w:rsidRPr="21E0FA53">
        <w:rPr>
          <w:rFonts w:ascii="Garamond" w:hAnsi="Garamond" w:cs="Calibri"/>
          <w:color w:val="000000" w:themeColor="text1"/>
        </w:rPr>
        <w:t xml:space="preserve">BPS:20/22, </w:t>
      </w:r>
      <w:r w:rsidRPr="21E0FA53">
        <w:rPr>
          <w:rFonts w:ascii="Garamond" w:hAnsi="Garamond"/>
          <w:color w:val="000000" w:themeColor="text1"/>
        </w:rPr>
        <w:t xml:space="preserve">BPS:12/14, BPS:12/17, B&amp;B:16/17, B&amp;B:08/18). </w:t>
      </w:r>
      <w:r>
        <w:br/>
      </w:r>
      <w:r>
        <w:br/>
      </w:r>
      <w:r w:rsidRPr="21E0FA53" w:rsidR="6FB2906E">
        <w:rPr>
          <w:rFonts w:ascii="Garamond" w:hAnsi="Garamond"/>
          <w:color w:val="000000" w:themeColor="text1"/>
        </w:rPr>
        <w:t xml:space="preserve">The </w:t>
      </w:r>
      <w:r w:rsidRPr="21E0FA53">
        <w:rPr>
          <w:rFonts w:ascii="Garamond" w:hAnsi="Garamond"/>
          <w:color w:val="000000" w:themeColor="text1"/>
        </w:rPr>
        <w:t xml:space="preserve">BPS:20/25 </w:t>
      </w:r>
      <w:r w:rsidRPr="21E0FA53" w:rsidR="6FB2906E">
        <w:rPr>
          <w:rFonts w:ascii="Garamond" w:hAnsi="Garamond"/>
          <w:color w:val="000000" w:themeColor="text1"/>
        </w:rPr>
        <w:t>full-scale study</w:t>
      </w:r>
      <w:r w:rsidRPr="21E0FA53">
        <w:rPr>
          <w:rFonts w:ascii="Garamond" w:hAnsi="Garamond"/>
          <w:color w:val="000000" w:themeColor="text1"/>
        </w:rPr>
        <w:t xml:space="preserve"> plan</w:t>
      </w:r>
      <w:r w:rsidRPr="21E0FA53" w:rsidR="7809176F">
        <w:rPr>
          <w:rFonts w:ascii="Garamond" w:hAnsi="Garamond"/>
          <w:color w:val="000000" w:themeColor="text1"/>
        </w:rPr>
        <w:t>s</w:t>
      </w:r>
      <w:r w:rsidRPr="21E0FA53">
        <w:rPr>
          <w:rFonts w:ascii="Garamond" w:hAnsi="Garamond"/>
          <w:color w:val="000000" w:themeColor="text1"/>
        </w:rPr>
        <w:t xml:space="preserve"> </w:t>
      </w:r>
      <w:r w:rsidRPr="21E0FA53" w:rsidR="351D26AD">
        <w:rPr>
          <w:rFonts w:ascii="Garamond" w:hAnsi="Garamond"/>
          <w:color w:val="000000" w:themeColor="text1"/>
        </w:rPr>
        <w:t>include</w:t>
      </w:r>
      <w:r w:rsidRPr="21E0FA53">
        <w:rPr>
          <w:rFonts w:ascii="Garamond" w:hAnsi="Garamond"/>
          <w:color w:val="000000" w:themeColor="text1"/>
        </w:rPr>
        <w:t xml:space="preserve"> differential treatments based on prior round response status, an approach that was successfully implemented in the B&amp;B:16/17 field test, where NPSAS:16 field test nonrespondents received either an aggressive or a default protocol. The response rate among NPSAS:16 field test nonrespondents who received the aggressive protocol was about 12 percentage points higher than the group that received the default protocol (37 percent; default 25 percent response rate t(2,097) = 3.52, p &lt; .001). </w:t>
      </w:r>
      <w:r>
        <w:br/>
      </w:r>
      <w:r>
        <w:br/>
      </w:r>
      <w:r w:rsidRPr="21E0FA53">
        <w:rPr>
          <w:rFonts w:ascii="Garamond" w:hAnsi="Garamond"/>
          <w:color w:val="000000" w:themeColor="text1"/>
        </w:rPr>
        <w:t xml:space="preserve">For the BPS:20/25 </w:t>
      </w:r>
      <w:r w:rsidRPr="21E0FA53" w:rsidR="0B6DAA34">
        <w:rPr>
          <w:rFonts w:ascii="Garamond" w:hAnsi="Garamond"/>
          <w:color w:val="000000" w:themeColor="text1"/>
        </w:rPr>
        <w:t>full</w:t>
      </w:r>
      <w:r w:rsidRPr="21E0FA53" w:rsidR="6FB2906E">
        <w:rPr>
          <w:rFonts w:ascii="Garamond" w:hAnsi="Garamond"/>
          <w:color w:val="000000" w:themeColor="text1"/>
        </w:rPr>
        <w:t>-</w:t>
      </w:r>
      <w:r w:rsidRPr="21E0FA53" w:rsidR="0B6DAA34">
        <w:rPr>
          <w:rFonts w:ascii="Garamond" w:hAnsi="Garamond"/>
          <w:color w:val="000000" w:themeColor="text1"/>
        </w:rPr>
        <w:t>scale</w:t>
      </w:r>
      <w:r w:rsidRPr="21E0FA53">
        <w:rPr>
          <w:rFonts w:ascii="Garamond" w:hAnsi="Garamond"/>
          <w:color w:val="000000" w:themeColor="text1"/>
        </w:rPr>
        <w:t xml:space="preserve"> design, we will distinguish the following data collection groups and design protocols:</w:t>
      </w:r>
      <w:bookmarkStart w:id="65" w:name="_Hlk139452104"/>
    </w:p>
    <w:p w:rsidR="0007606E" w:rsidRPr="00247F2D" w:rsidP="0007606E" w14:paraId="07EB5870" w14:textId="19BC85EC">
      <w:pPr>
        <w:pStyle w:val="NormalWeb"/>
        <w:numPr>
          <w:ilvl w:val="0"/>
          <w:numId w:val="69"/>
        </w:numPr>
        <w:spacing w:before="0" w:after="0"/>
        <w:rPr>
          <w:rFonts w:ascii="Garamond" w:hAnsi="Garamond" w:cs="Calibri"/>
          <w:color w:val="000000"/>
        </w:rPr>
      </w:pPr>
      <w:r w:rsidRPr="21E0FA53">
        <w:rPr>
          <w:rFonts w:ascii="Garamond" w:hAnsi="Garamond" w:cs="Calibri"/>
          <w:color w:val="000000" w:themeColor="text1"/>
          <w:u w:val="single"/>
        </w:rPr>
        <w:t>Default Group</w:t>
      </w:r>
      <w:r w:rsidRPr="21E0FA53">
        <w:rPr>
          <w:rFonts w:ascii="Garamond" w:hAnsi="Garamond" w:cs="Calibri"/>
          <w:color w:val="000000" w:themeColor="text1"/>
        </w:rPr>
        <w:t xml:space="preserve">: Any sample member </w:t>
      </w:r>
      <w:r w:rsidR="007728FE">
        <w:rPr>
          <w:rFonts w:ascii="Garamond" w:hAnsi="Garamond" w:cs="Calibri"/>
          <w:color w:val="000000" w:themeColor="text1"/>
        </w:rPr>
        <w:t>who</w:t>
      </w:r>
      <w:r w:rsidRPr="21E0FA53">
        <w:rPr>
          <w:rFonts w:ascii="Garamond" w:hAnsi="Garamond" w:cs="Calibri"/>
          <w:color w:val="000000" w:themeColor="text1"/>
        </w:rPr>
        <w:t xml:space="preserve"> responde</w:t>
      </w:r>
      <w:r w:rsidRPr="21E0FA53" w:rsidR="351D26AD">
        <w:rPr>
          <w:rFonts w:ascii="Garamond" w:hAnsi="Garamond" w:cs="Calibri"/>
          <w:color w:val="000000" w:themeColor="text1"/>
        </w:rPr>
        <w:t>d</w:t>
      </w:r>
      <w:r w:rsidRPr="21E0FA53">
        <w:rPr>
          <w:rFonts w:ascii="Garamond" w:hAnsi="Garamond" w:cs="Calibri"/>
          <w:color w:val="000000" w:themeColor="text1"/>
        </w:rPr>
        <w:t xml:space="preserve"> to all NPSAS:20 and BPS:20/22 survey requests (n = </w:t>
      </w:r>
      <w:r w:rsidRPr="21E0FA53" w:rsidR="0966757B">
        <w:rPr>
          <w:rFonts w:ascii="Garamond" w:hAnsi="Garamond" w:cs="Calibri"/>
          <w:color w:val="000000" w:themeColor="text1"/>
        </w:rPr>
        <w:t>20,620</w:t>
      </w:r>
      <w:r w:rsidRPr="21E0FA53">
        <w:rPr>
          <w:rFonts w:ascii="Garamond" w:hAnsi="Garamond" w:cs="Calibri"/>
          <w:color w:val="000000" w:themeColor="text1"/>
        </w:rPr>
        <w:t>), including:</w:t>
      </w:r>
    </w:p>
    <w:p w:rsidR="0007606E" w:rsidRPr="00247F2D" w:rsidP="0007606E" w14:paraId="6AAC8818" w14:textId="12960D36">
      <w:pPr>
        <w:pStyle w:val="NormalWeb"/>
        <w:numPr>
          <w:ilvl w:val="1"/>
          <w:numId w:val="69"/>
        </w:numPr>
        <w:spacing w:before="0" w:after="0"/>
        <w:rPr>
          <w:rFonts w:ascii="Garamond" w:hAnsi="Garamond" w:cs="Calibri"/>
          <w:color w:val="000000"/>
        </w:rPr>
      </w:pPr>
      <w:r w:rsidRPr="001C2BC1">
        <w:rPr>
          <w:rFonts w:ascii="Garamond" w:hAnsi="Garamond" w:cs="Calibri"/>
          <w:color w:val="000000" w:themeColor="text1"/>
        </w:rPr>
        <w:t xml:space="preserve">NPSAS:20 </w:t>
      </w:r>
      <w:r w:rsidRPr="001C2BC1">
        <w:rPr>
          <w:rFonts w:ascii="Garamond" w:hAnsi="Garamond" w:cs="Calibri"/>
          <w:i/>
          <w:color w:val="000000" w:themeColor="text1"/>
        </w:rPr>
        <w:t>and</w:t>
      </w:r>
      <w:r w:rsidRPr="001C2BC1">
        <w:rPr>
          <w:rFonts w:ascii="Garamond" w:hAnsi="Garamond" w:cs="Calibri"/>
          <w:color w:val="000000" w:themeColor="text1"/>
        </w:rPr>
        <w:t xml:space="preserve"> BPS:20/22 </w:t>
      </w:r>
      <w:r>
        <w:rPr>
          <w:rFonts w:ascii="Garamond" w:hAnsi="Garamond" w:cs="Calibri"/>
          <w:color w:val="000000" w:themeColor="text1"/>
        </w:rPr>
        <w:t>survey</w:t>
      </w:r>
      <w:r w:rsidRPr="001C2BC1">
        <w:rPr>
          <w:rFonts w:ascii="Garamond" w:hAnsi="Garamond" w:cs="Calibri"/>
          <w:color w:val="000000" w:themeColor="text1"/>
        </w:rPr>
        <w:t xml:space="preserve"> respondents</w:t>
      </w:r>
      <w:r w:rsidRPr="00942E20">
        <w:rPr>
          <w:rFonts w:ascii="Garamond" w:hAnsi="Garamond" w:cs="Calibri"/>
          <w:color w:val="000000" w:themeColor="text1"/>
        </w:rPr>
        <w:t xml:space="preserve">, excluding </w:t>
      </w:r>
      <w:r w:rsidR="002D152E">
        <w:rPr>
          <w:rFonts w:ascii="Garamond" w:hAnsi="Garamond" w:cs="Calibri"/>
          <w:color w:val="000000" w:themeColor="text1"/>
        </w:rPr>
        <w:t xml:space="preserve">sample members who only partially completed the </w:t>
      </w:r>
      <w:r w:rsidRPr="00F93B35">
        <w:rPr>
          <w:rFonts w:ascii="Garamond" w:hAnsi="Garamond" w:cs="Calibri"/>
          <w:color w:val="000000" w:themeColor="text1"/>
        </w:rPr>
        <w:t xml:space="preserve">BPS:20/22 </w:t>
      </w:r>
      <w:r w:rsidR="002D152E">
        <w:rPr>
          <w:rFonts w:ascii="Garamond" w:hAnsi="Garamond" w:cs="Calibri"/>
          <w:color w:val="000000" w:themeColor="text1"/>
        </w:rPr>
        <w:t>survey</w:t>
      </w:r>
      <w:r w:rsidR="003D02F6">
        <w:rPr>
          <w:rFonts w:ascii="Garamond" w:hAnsi="Garamond" w:cs="Calibri"/>
          <w:color w:val="000000" w:themeColor="text1"/>
        </w:rPr>
        <w:t xml:space="preserve"> (final partials)</w:t>
      </w:r>
      <w:r w:rsidR="002D152E">
        <w:rPr>
          <w:rFonts w:ascii="Garamond" w:hAnsi="Garamond" w:cs="Calibri"/>
          <w:color w:val="000000" w:themeColor="text1"/>
        </w:rPr>
        <w:t xml:space="preserve"> </w:t>
      </w:r>
      <w:r w:rsidR="00222C1D">
        <w:rPr>
          <w:rFonts w:ascii="Garamond" w:hAnsi="Garamond" w:cs="Calibri"/>
          <w:color w:val="000000" w:themeColor="text1"/>
        </w:rPr>
        <w:t>.</w:t>
      </w:r>
    </w:p>
    <w:p w:rsidR="0007606E" w:rsidP="0007606E" w14:paraId="77EDDE87" w14:textId="21859C26">
      <w:pPr>
        <w:pStyle w:val="NormalWeb"/>
        <w:numPr>
          <w:ilvl w:val="1"/>
          <w:numId w:val="69"/>
        </w:numPr>
        <w:spacing w:before="0" w:after="0"/>
        <w:rPr>
          <w:rFonts w:ascii="Garamond" w:hAnsi="Garamond" w:cs="Calibri"/>
          <w:color w:val="000000"/>
        </w:rPr>
      </w:pPr>
      <w:r w:rsidRPr="001C2BC1">
        <w:rPr>
          <w:rFonts w:ascii="Garamond" w:hAnsi="Garamond" w:cs="Calibri"/>
          <w:color w:val="000000" w:themeColor="text1"/>
        </w:rPr>
        <w:t>NPSAS:20</w:t>
      </w:r>
      <w:r>
        <w:rPr>
          <w:rFonts w:ascii="Garamond" w:hAnsi="Garamond" w:cs="Calibri"/>
          <w:color w:val="000000" w:themeColor="text1"/>
        </w:rPr>
        <w:t xml:space="preserve"> </w:t>
      </w:r>
      <w:r w:rsidR="00A54E16">
        <w:rPr>
          <w:rFonts w:ascii="Garamond" w:hAnsi="Garamond" w:cs="Calibri"/>
          <w:color w:val="000000" w:themeColor="text1"/>
        </w:rPr>
        <w:t>administrative-</w:t>
      </w:r>
      <w:r>
        <w:rPr>
          <w:rFonts w:ascii="Garamond" w:hAnsi="Garamond" w:cs="Calibri"/>
          <w:color w:val="000000" w:themeColor="text1"/>
        </w:rPr>
        <w:t xml:space="preserve">only cases who were also </w:t>
      </w:r>
      <w:r w:rsidRPr="001C2BC1">
        <w:rPr>
          <w:rFonts w:ascii="Garamond" w:hAnsi="Garamond" w:cs="Calibri"/>
          <w:color w:val="000000" w:themeColor="text1"/>
        </w:rPr>
        <w:t xml:space="preserve">BPS:20/22 </w:t>
      </w:r>
      <w:r>
        <w:rPr>
          <w:rFonts w:ascii="Garamond" w:hAnsi="Garamond" w:cs="Calibri"/>
          <w:color w:val="000000" w:themeColor="text1"/>
        </w:rPr>
        <w:t>survey</w:t>
      </w:r>
      <w:r w:rsidRPr="001C2BC1">
        <w:rPr>
          <w:rFonts w:ascii="Garamond" w:hAnsi="Garamond" w:cs="Calibri"/>
          <w:color w:val="000000" w:themeColor="text1"/>
        </w:rPr>
        <w:t xml:space="preserve"> respondents</w:t>
      </w:r>
      <w:r w:rsidRPr="00942E20">
        <w:rPr>
          <w:rFonts w:ascii="Garamond" w:hAnsi="Garamond" w:cs="Calibri"/>
          <w:color w:val="000000" w:themeColor="text1"/>
        </w:rPr>
        <w:t xml:space="preserve">, excluding </w:t>
      </w:r>
      <w:bookmarkStart w:id="66" w:name="_Hlk175750413"/>
      <w:r w:rsidRPr="00F93B35">
        <w:rPr>
          <w:rFonts w:ascii="Garamond" w:hAnsi="Garamond" w:cs="Calibri"/>
          <w:color w:val="000000" w:themeColor="text1"/>
        </w:rPr>
        <w:t xml:space="preserve">BPS:20/22 </w:t>
      </w:r>
      <w:bookmarkEnd w:id="66"/>
      <w:r w:rsidRPr="00942E20">
        <w:rPr>
          <w:rFonts w:ascii="Garamond" w:hAnsi="Garamond" w:cs="Calibri"/>
          <w:color w:val="000000" w:themeColor="text1"/>
        </w:rPr>
        <w:t>final partials</w:t>
      </w:r>
      <w:r w:rsidR="00064B17">
        <w:rPr>
          <w:rFonts w:ascii="Garamond" w:hAnsi="Garamond" w:cs="Calibri"/>
          <w:color w:val="000000" w:themeColor="text1"/>
        </w:rPr>
        <w:t>.</w:t>
      </w:r>
    </w:p>
    <w:p w:rsidR="0007606E" w:rsidRPr="004D25BE" w:rsidP="0007606E" w14:paraId="4A35A66E" w14:textId="2179427C">
      <w:pPr>
        <w:pStyle w:val="BodyText"/>
        <w:keepNext/>
        <w:numPr>
          <w:ilvl w:val="0"/>
          <w:numId w:val="69"/>
        </w:numPr>
        <w:rPr>
          <w:rFonts w:cs="Calibri"/>
          <w:color w:val="000000"/>
        </w:rPr>
      </w:pPr>
      <w:r w:rsidRPr="21E0FA53">
        <w:rPr>
          <w:rFonts w:cs="Calibri"/>
          <w:color w:val="000000" w:themeColor="text1"/>
          <w:u w:val="single"/>
        </w:rPr>
        <w:t>Aggressive Group</w:t>
      </w:r>
      <w:r w:rsidRPr="21E0FA53">
        <w:rPr>
          <w:rFonts w:cs="Calibri"/>
          <w:color w:val="000000" w:themeColor="text1"/>
        </w:rPr>
        <w:t xml:space="preserve">: NPSAS:20 </w:t>
      </w:r>
      <w:r w:rsidR="00222C1D">
        <w:rPr>
          <w:rFonts w:cs="Calibri"/>
          <w:color w:val="000000" w:themeColor="text1"/>
        </w:rPr>
        <w:t>survey</w:t>
      </w:r>
      <w:r w:rsidRPr="21E0FA53">
        <w:rPr>
          <w:rFonts w:cs="Calibri"/>
          <w:color w:val="000000" w:themeColor="text1"/>
        </w:rPr>
        <w:t xml:space="preserve"> nonrespondents, BPS:20/22 </w:t>
      </w:r>
      <w:r w:rsidR="00222C1D">
        <w:rPr>
          <w:rFonts w:cs="Calibri"/>
          <w:color w:val="000000" w:themeColor="text1"/>
        </w:rPr>
        <w:t>survey</w:t>
      </w:r>
      <w:r w:rsidRPr="21E0FA53">
        <w:rPr>
          <w:rFonts w:cs="Calibri"/>
          <w:color w:val="000000" w:themeColor="text1"/>
        </w:rPr>
        <w:t xml:space="preserve"> nonrespondent</w:t>
      </w:r>
      <w:r w:rsidRPr="21E0FA53" w:rsidR="16D9C5DB">
        <w:rPr>
          <w:rFonts w:cs="Calibri"/>
          <w:color w:val="000000" w:themeColor="text1"/>
        </w:rPr>
        <w:t>s</w:t>
      </w:r>
      <w:r w:rsidRPr="21E0FA53">
        <w:rPr>
          <w:rFonts w:cs="Calibri"/>
          <w:color w:val="000000" w:themeColor="text1"/>
        </w:rPr>
        <w:t>, or BPS:20/22</w:t>
      </w:r>
      <w:r w:rsidRPr="21E0FA53" w:rsidR="5A7E138A">
        <w:rPr>
          <w:rFonts w:cs="Calibri"/>
          <w:color w:val="000000" w:themeColor="text1"/>
        </w:rPr>
        <w:t xml:space="preserve"> </w:t>
      </w:r>
      <w:r w:rsidRPr="21E0FA53">
        <w:rPr>
          <w:rFonts w:cs="Calibri"/>
          <w:color w:val="000000" w:themeColor="text1"/>
        </w:rPr>
        <w:t>final partials</w:t>
      </w:r>
      <w:r w:rsidRPr="21E0FA53" w:rsidR="736CA17F">
        <w:rPr>
          <w:rFonts w:cs="Calibri"/>
          <w:color w:val="000000" w:themeColor="text1"/>
        </w:rPr>
        <w:t xml:space="preserve"> (n</w:t>
      </w:r>
      <w:r w:rsidRPr="21E0FA53" w:rsidR="76ACA6C2">
        <w:rPr>
          <w:rFonts w:cs="Calibri"/>
          <w:color w:val="000000" w:themeColor="text1"/>
        </w:rPr>
        <w:t xml:space="preserve"> </w:t>
      </w:r>
      <w:r w:rsidRPr="21E0FA53" w:rsidR="736CA17F">
        <w:rPr>
          <w:rFonts w:cs="Calibri"/>
          <w:color w:val="000000" w:themeColor="text1"/>
        </w:rPr>
        <w:t>=</w:t>
      </w:r>
      <w:r w:rsidRPr="21E0FA53" w:rsidR="76ACA6C2">
        <w:rPr>
          <w:rFonts w:cs="Calibri"/>
          <w:color w:val="000000" w:themeColor="text1"/>
        </w:rPr>
        <w:t xml:space="preserve"> </w:t>
      </w:r>
      <w:r w:rsidRPr="21E0FA53" w:rsidR="42DD0C84">
        <w:rPr>
          <w:rFonts w:cs="Calibri"/>
          <w:color w:val="000000" w:themeColor="text1"/>
        </w:rPr>
        <w:t>8,03</w:t>
      </w:r>
      <w:r w:rsidRPr="21E0FA53" w:rsidR="736CA17F">
        <w:rPr>
          <w:rFonts w:cs="Calibri"/>
          <w:color w:val="000000" w:themeColor="text1"/>
        </w:rPr>
        <w:t>0)</w:t>
      </w:r>
      <w:r w:rsidRPr="21E0FA53">
        <w:rPr>
          <w:rFonts w:cs="Calibri"/>
          <w:color w:val="000000" w:themeColor="text1"/>
        </w:rPr>
        <w:t xml:space="preserve">. </w:t>
      </w:r>
    </w:p>
    <w:p w:rsidR="0007606E" w:rsidRPr="004D25BE" w:rsidP="0007606E" w14:paraId="0B6926C4" w14:textId="276132DE">
      <w:pPr>
        <w:pStyle w:val="BodyText"/>
        <w:keepNext/>
        <w:rPr>
          <w:rFonts w:cs="Calibri"/>
          <w:color w:val="000000"/>
        </w:rPr>
      </w:pPr>
      <w:r w:rsidRPr="4B503F44">
        <w:rPr>
          <w:rFonts w:cs="Calibri"/>
          <w:color w:val="000000" w:themeColor="text1"/>
        </w:rPr>
        <w:t xml:space="preserve">The baseline incentive for the prior </w:t>
      </w:r>
      <w:r w:rsidR="00A75408">
        <w:rPr>
          <w:rFonts w:cs="Calibri"/>
          <w:color w:val="000000" w:themeColor="text1"/>
        </w:rPr>
        <w:t>round</w:t>
      </w:r>
      <w:r w:rsidRPr="4B503F44" w:rsidR="00A75408">
        <w:rPr>
          <w:rFonts w:cs="Calibri"/>
          <w:color w:val="000000" w:themeColor="text1"/>
        </w:rPr>
        <w:t xml:space="preserve"> </w:t>
      </w:r>
      <w:r w:rsidRPr="4B503F44">
        <w:rPr>
          <w:rFonts w:cs="Calibri"/>
          <w:color w:val="000000" w:themeColor="text1"/>
        </w:rPr>
        <w:t>respondents in the default group will be $30. Including a $10 boost postpaid incentive a</w:t>
      </w:r>
      <w:r w:rsidRPr="4B503F44" w:rsidR="26F0B738">
        <w:rPr>
          <w:rFonts w:cs="Calibri"/>
          <w:color w:val="000000" w:themeColor="text1"/>
        </w:rPr>
        <w:t>round</w:t>
      </w:r>
      <w:r w:rsidRPr="4B503F44">
        <w:rPr>
          <w:rFonts w:cs="Calibri"/>
          <w:color w:val="000000" w:themeColor="text1"/>
        </w:rPr>
        <w:t xml:space="preserve"> week 11</w:t>
      </w:r>
      <w:r w:rsidRPr="4B503F44" w:rsidR="00B239AC">
        <w:rPr>
          <w:rFonts w:cs="Calibri"/>
          <w:color w:val="000000" w:themeColor="text1"/>
        </w:rPr>
        <w:t xml:space="preserve"> (see incentive boosts section below)</w:t>
      </w:r>
      <w:r w:rsidRPr="4B503F44">
        <w:rPr>
          <w:rFonts w:cs="Calibri"/>
          <w:color w:val="000000" w:themeColor="text1"/>
        </w:rPr>
        <w:t xml:space="preserve"> yields an incentive range of $30 to $4</w:t>
      </w:r>
      <w:r w:rsidRPr="4B503F44" w:rsidR="00B239AC">
        <w:rPr>
          <w:rFonts w:cs="Calibri"/>
          <w:color w:val="000000" w:themeColor="text1"/>
        </w:rPr>
        <w:t>0</w:t>
      </w:r>
      <w:r w:rsidRPr="4B503F44">
        <w:rPr>
          <w:rFonts w:cs="Calibri"/>
          <w:color w:val="000000" w:themeColor="text1"/>
        </w:rPr>
        <w:t xml:space="preserve"> for sample members in the default group.</w:t>
      </w:r>
    </w:p>
    <w:p w:rsidR="0007606E" w:rsidRPr="004D25BE" w:rsidP="0007606E" w14:paraId="1EAB2357" w14:textId="1DC414E1">
      <w:pPr>
        <w:pStyle w:val="NormalWeb"/>
        <w:rPr>
          <w:rFonts w:ascii="Garamond" w:hAnsi="Garamond" w:cs="Calibri"/>
          <w:color w:val="000000"/>
        </w:rPr>
      </w:pPr>
      <w:r w:rsidRPr="4B503F44">
        <w:rPr>
          <w:rFonts w:ascii="Garamond" w:hAnsi="Garamond" w:cs="Calibri"/>
          <w:color w:val="000000" w:themeColor="text1"/>
        </w:rPr>
        <w:t xml:space="preserve">The baseline incentive for sample members in the aggressive group will be $45. </w:t>
      </w:r>
      <w:r w:rsidRPr="009E0809" w:rsidR="009E0809">
        <w:rPr>
          <w:rFonts w:ascii="Garamond" w:hAnsi="Garamond" w:cs="Calibri"/>
          <w:color w:val="000000" w:themeColor="text1"/>
        </w:rPr>
        <w:t>Including a</w:t>
      </w:r>
      <w:r w:rsidRPr="009E0809" w:rsidR="009E0809">
        <w:rPr>
          <w:rFonts w:ascii="Garamond" w:hAnsi="Garamond" w:cs="Calibri"/>
          <w:color w:val="000000" w:themeColor="text1"/>
        </w:rPr>
        <w:t xml:space="preserve"> </w:t>
      </w:r>
      <w:r w:rsidRPr="4B503F44">
        <w:rPr>
          <w:rFonts w:ascii="Garamond" w:hAnsi="Garamond" w:cs="Calibri"/>
          <w:color w:val="000000" w:themeColor="text1"/>
        </w:rPr>
        <w:t>$20 boost postpaid incentive</w:t>
      </w:r>
      <w:r w:rsidR="009E0809">
        <w:rPr>
          <w:rFonts w:ascii="Garamond" w:hAnsi="Garamond" w:cs="Calibri"/>
          <w:color w:val="000000" w:themeColor="text1"/>
        </w:rPr>
        <w:t xml:space="preserve"> </w:t>
      </w:r>
      <w:r w:rsidRPr="007728FE" w:rsidR="009E0809">
        <w:rPr>
          <w:rFonts w:ascii="Garamond" w:hAnsi="Garamond" w:cs="Calibri"/>
          <w:color w:val="000000" w:themeColor="text1"/>
        </w:rPr>
        <w:t xml:space="preserve">around week </w:t>
      </w:r>
      <w:r w:rsidRPr="002B63A5" w:rsidR="002B63A5">
        <w:rPr>
          <w:rFonts w:ascii="Garamond" w:hAnsi="Garamond" w:cs="Calibri"/>
          <w:color w:val="000000" w:themeColor="text1"/>
        </w:rPr>
        <w:t>11</w:t>
      </w:r>
      <w:r w:rsidR="007728FE">
        <w:rPr>
          <w:rFonts w:ascii="Garamond" w:hAnsi="Garamond" w:cs="Calibri"/>
          <w:color w:val="000000" w:themeColor="text1"/>
        </w:rPr>
        <w:t xml:space="preserve"> </w:t>
      </w:r>
      <w:r w:rsidRPr="009E0809" w:rsidR="009E0809">
        <w:rPr>
          <w:rFonts w:ascii="Garamond" w:hAnsi="Garamond" w:cs="Calibri"/>
          <w:color w:val="000000" w:themeColor="text1"/>
        </w:rPr>
        <w:t>yields an incentive range</w:t>
      </w:r>
      <w:r w:rsidR="009E0809">
        <w:rPr>
          <w:rFonts w:ascii="Garamond" w:hAnsi="Garamond" w:cs="Calibri"/>
          <w:color w:val="000000" w:themeColor="text1"/>
        </w:rPr>
        <w:t xml:space="preserve"> of</w:t>
      </w:r>
      <w:r w:rsidRPr="4B503F44">
        <w:rPr>
          <w:rFonts w:ascii="Garamond" w:hAnsi="Garamond" w:cs="Calibri"/>
          <w:color w:val="000000" w:themeColor="text1"/>
        </w:rPr>
        <w:t xml:space="preserve"> $45 to $</w:t>
      </w:r>
      <w:r w:rsidRPr="4B503F44" w:rsidR="00B239AC">
        <w:rPr>
          <w:rFonts w:ascii="Garamond" w:hAnsi="Garamond" w:cs="Calibri"/>
          <w:color w:val="000000" w:themeColor="text1"/>
        </w:rPr>
        <w:t>65</w:t>
      </w:r>
      <w:r w:rsidRPr="4B503F44">
        <w:rPr>
          <w:rFonts w:ascii="Garamond" w:hAnsi="Garamond" w:cs="Calibri"/>
          <w:color w:val="000000" w:themeColor="text1"/>
        </w:rPr>
        <w:t xml:space="preserve"> in th</w:t>
      </w:r>
      <w:r w:rsidR="007728FE">
        <w:rPr>
          <w:rFonts w:ascii="Garamond" w:hAnsi="Garamond" w:cs="Calibri"/>
          <w:color w:val="000000" w:themeColor="text1"/>
        </w:rPr>
        <w:t>e</w:t>
      </w:r>
      <w:r w:rsidRPr="4B503F44">
        <w:rPr>
          <w:rFonts w:ascii="Garamond" w:hAnsi="Garamond" w:cs="Calibri"/>
          <w:color w:val="000000" w:themeColor="text1"/>
        </w:rPr>
        <w:t xml:space="preserve"> aggressive data collection protocol</w:t>
      </w:r>
      <w:r w:rsidRPr="4B503F44">
        <w:rPr>
          <w:rFonts w:ascii="Garamond" w:hAnsi="Garamond"/>
          <w:color w:val="000000" w:themeColor="text1"/>
        </w:rPr>
        <w:t>.</w:t>
      </w:r>
      <w:r>
        <w:br/>
      </w:r>
      <w:r>
        <w:br/>
      </w:r>
      <w:bookmarkEnd w:id="65"/>
      <w:r w:rsidRPr="0976A3AE">
        <w:rPr>
          <w:rFonts w:ascii="Garamond" w:hAnsi="Garamond" w:cs="Calibri"/>
          <w:color w:val="000000" w:themeColor="text1"/>
        </w:rPr>
        <w:t xml:space="preserve">An increased baseline incentive for the aggressive group versus the default group is motivated by an experiment conducted in BPS:12/14 showing that a $45 baseline incentive yielded the highest response rates. However, </w:t>
      </w:r>
      <w:r w:rsidR="00A54E16">
        <w:rPr>
          <w:rFonts w:ascii="Garamond" w:hAnsi="Garamond" w:cs="Calibri"/>
          <w:color w:val="000000" w:themeColor="text1"/>
        </w:rPr>
        <w:t>the experiment</w:t>
      </w:r>
      <w:r w:rsidRPr="0976A3AE" w:rsidR="00A54E16">
        <w:rPr>
          <w:rFonts w:ascii="Garamond" w:hAnsi="Garamond" w:cs="Calibri"/>
          <w:color w:val="000000" w:themeColor="text1"/>
        </w:rPr>
        <w:t xml:space="preserve"> </w:t>
      </w:r>
      <w:r w:rsidRPr="0976A3AE">
        <w:rPr>
          <w:rFonts w:ascii="Garamond" w:hAnsi="Garamond" w:cs="Calibri"/>
          <w:color w:val="000000" w:themeColor="text1"/>
        </w:rPr>
        <w:t xml:space="preserve">was underpowered to detect differences from $30 in the lower propensity response groups (Wilson et al. 2015). Nonetheless, the $30 baseline incentive offered to these sample members in prior studies was not sufficient to encourage response (i.e., n = 50 NPSAS:20 </w:t>
      </w:r>
      <w:r w:rsidRPr="0976A3AE" w:rsidR="76BD1836">
        <w:rPr>
          <w:rFonts w:ascii="Garamond" w:hAnsi="Garamond" w:cs="Calibri"/>
          <w:color w:val="000000" w:themeColor="text1"/>
        </w:rPr>
        <w:t xml:space="preserve">field test nonrespondents </w:t>
      </w:r>
      <w:r w:rsidRPr="0976A3AE">
        <w:rPr>
          <w:rFonts w:ascii="Garamond" w:hAnsi="Garamond" w:cs="Calibri"/>
          <w:color w:val="000000" w:themeColor="text1"/>
        </w:rPr>
        <w:t>and n = 623 BPS:20/22</w:t>
      </w:r>
      <w:r w:rsidRPr="0976A3AE" w:rsidR="4BE792DB">
        <w:rPr>
          <w:rFonts w:ascii="Garamond" w:hAnsi="Garamond" w:cs="Calibri"/>
          <w:color w:val="000000" w:themeColor="text1"/>
        </w:rPr>
        <w:t xml:space="preserve"> field test nonrespondents</w:t>
      </w:r>
      <w:r w:rsidRPr="0976A3AE">
        <w:rPr>
          <w:rFonts w:ascii="Garamond" w:hAnsi="Garamond" w:cs="Calibri"/>
          <w:color w:val="000000" w:themeColor="text1"/>
        </w:rPr>
        <w:t xml:space="preserve">). Therefore, we recommend implementing a higher baseline incentive given that the $30 baseline incentive was not enough to encourage these sample members to respond in prior years. Further, the $40 BPS:20/22 field test incentive yielded a completion rate of only 25 percent among sample members in the aggressive group, while a $45 baseline incentive for the aggressive group </w:t>
      </w:r>
      <w:r w:rsidRPr="0976A3AE" w:rsidR="3A6675A3">
        <w:rPr>
          <w:rFonts w:ascii="Garamond" w:hAnsi="Garamond" w:cs="Calibri"/>
          <w:color w:val="000000" w:themeColor="text1"/>
        </w:rPr>
        <w:t xml:space="preserve">yielded a completion rate of 38 percent </w:t>
      </w:r>
      <w:r w:rsidRPr="0976A3AE">
        <w:rPr>
          <w:rFonts w:ascii="Garamond" w:hAnsi="Garamond" w:cs="Calibri"/>
          <w:color w:val="000000" w:themeColor="text1"/>
        </w:rPr>
        <w:t>in the BPS:20/22 full</w:t>
      </w:r>
      <w:r w:rsidRPr="0976A3AE" w:rsidR="6EA87F2B">
        <w:rPr>
          <w:rFonts w:ascii="Garamond" w:hAnsi="Garamond" w:cs="Calibri"/>
          <w:color w:val="000000" w:themeColor="text1"/>
        </w:rPr>
        <w:t>-</w:t>
      </w:r>
      <w:r w:rsidRPr="0976A3AE">
        <w:rPr>
          <w:rFonts w:ascii="Garamond" w:hAnsi="Garamond" w:cs="Calibri"/>
          <w:color w:val="000000" w:themeColor="text1"/>
        </w:rPr>
        <w:t>scale</w:t>
      </w:r>
      <w:r w:rsidRPr="0976A3AE" w:rsidR="3A6675A3">
        <w:rPr>
          <w:rFonts w:ascii="Garamond" w:hAnsi="Garamond" w:cs="Calibri"/>
          <w:color w:val="000000" w:themeColor="text1"/>
        </w:rPr>
        <w:t xml:space="preserve"> and a 41 percent </w:t>
      </w:r>
      <w:r w:rsidRPr="0976A3AE" w:rsidR="18BFA712">
        <w:rPr>
          <w:rFonts w:ascii="Garamond" w:hAnsi="Garamond" w:cs="Calibri"/>
          <w:color w:val="000000" w:themeColor="text1"/>
        </w:rPr>
        <w:t>completion rate in the BPS:20</w:t>
      </w:r>
      <w:r w:rsidRPr="0976A3AE" w:rsidR="56766B4B">
        <w:rPr>
          <w:rFonts w:ascii="Garamond" w:hAnsi="Garamond" w:cs="Calibri"/>
          <w:color w:val="000000" w:themeColor="text1"/>
        </w:rPr>
        <w:t>/</w:t>
      </w:r>
      <w:r w:rsidRPr="0976A3AE" w:rsidR="18BFA712">
        <w:rPr>
          <w:rFonts w:ascii="Garamond" w:hAnsi="Garamond" w:cs="Calibri"/>
          <w:color w:val="000000" w:themeColor="text1"/>
        </w:rPr>
        <w:t>25 field test</w:t>
      </w:r>
      <w:r w:rsidRPr="0976A3AE">
        <w:rPr>
          <w:rFonts w:ascii="Garamond" w:hAnsi="Garamond" w:cs="Calibri"/>
          <w:color w:val="000000" w:themeColor="text1"/>
        </w:rPr>
        <w:t>.</w:t>
      </w:r>
      <w:r w:rsidRPr="0976A3AE" w:rsidR="48127168">
        <w:rPr>
          <w:rFonts w:ascii="Garamond" w:hAnsi="Garamond" w:cs="Calibri"/>
          <w:color w:val="000000" w:themeColor="text1"/>
        </w:rPr>
        <w:t xml:space="preserve"> </w:t>
      </w:r>
      <w:r w:rsidRPr="0976A3AE" w:rsidR="4ABD97B7">
        <w:rPr>
          <w:rFonts w:ascii="Garamond" w:hAnsi="Garamond" w:cs="Calibri"/>
          <w:color w:val="000000" w:themeColor="text1"/>
        </w:rPr>
        <w:t xml:space="preserve">Data collection results from the BPS:20/25 field test </w:t>
      </w:r>
      <w:r w:rsidRPr="0976A3AE" w:rsidR="48127168">
        <w:rPr>
          <w:rFonts w:ascii="Garamond" w:hAnsi="Garamond" w:cs="Calibri"/>
          <w:color w:val="000000" w:themeColor="text1"/>
        </w:rPr>
        <w:t xml:space="preserve">are discussed </w:t>
      </w:r>
      <w:r w:rsidRPr="005D69E6" w:rsidR="48127168">
        <w:rPr>
          <w:rFonts w:ascii="Garamond" w:hAnsi="Garamond" w:cs="Calibri"/>
          <w:color w:val="000000" w:themeColor="text1"/>
        </w:rPr>
        <w:t xml:space="preserve">further in Appendix </w:t>
      </w:r>
      <w:r w:rsidRPr="005D69E6" w:rsidR="00222C1D">
        <w:rPr>
          <w:rFonts w:ascii="Garamond" w:hAnsi="Garamond" w:cs="Calibri"/>
          <w:color w:val="000000" w:themeColor="text1"/>
        </w:rPr>
        <w:t>D</w:t>
      </w:r>
      <w:r w:rsidRPr="005D69E6" w:rsidR="48127168">
        <w:rPr>
          <w:rFonts w:ascii="Garamond" w:hAnsi="Garamond" w:cs="Calibri"/>
          <w:color w:val="000000" w:themeColor="text1"/>
        </w:rPr>
        <w:t>.</w:t>
      </w:r>
    </w:p>
    <w:p w:rsidR="0007606E" w:rsidRPr="004D25BE" w:rsidP="0007606E" w14:paraId="267776B5" w14:textId="2384E7F2">
      <w:pPr>
        <w:pStyle w:val="NormalWeb"/>
        <w:rPr>
          <w:rFonts w:ascii="Garamond" w:hAnsi="Garamond" w:cs="Calibri"/>
          <w:color w:val="000000"/>
        </w:rPr>
      </w:pPr>
      <w:r w:rsidRPr="7518DA5E">
        <w:rPr>
          <w:rFonts w:ascii="Garamond" w:hAnsi="Garamond" w:cs="Calibri"/>
          <w:color w:val="000000" w:themeColor="text1"/>
        </w:rPr>
        <w:t xml:space="preserve">Researchers have used incentive boosts as a nonresponse conversion strategy for sample members who have implicitly or explicitly refused to complete the survey (e.g., Groves and </w:t>
      </w:r>
      <w:r w:rsidRPr="7518DA5E">
        <w:rPr>
          <w:rFonts w:ascii="Garamond" w:hAnsi="Garamond" w:cs="Calibri"/>
          <w:color w:val="000000" w:themeColor="text1"/>
        </w:rPr>
        <w:t>Heeringa</w:t>
      </w:r>
      <w:r w:rsidRPr="7518DA5E">
        <w:rPr>
          <w:rFonts w:ascii="Garamond" w:hAnsi="Garamond" w:cs="Calibri"/>
          <w:color w:val="000000" w:themeColor="text1"/>
        </w:rPr>
        <w:t xml:space="preserve"> 2006; Singer and Ye 2013). These boosts are especially common in large federal surveys during their nonresponse follow-up phase (e.g., The Center for Disease Control and Prevention's National Survey of Family Growth) and have been implemented successfully in other postsecondary education surveys (e.g., BPS:12/17; NPSAS:20). In NPSAS:20, a $10 incentive boost increased the overall response rate by about 3.2 percentage points above the projected response rate. Therefore, a $10 incentive boost increase to the BPS:20/25 baseline incentive is planned during the </w:t>
      </w:r>
      <w:r w:rsidR="00291379">
        <w:rPr>
          <w:rFonts w:ascii="Garamond" w:hAnsi="Garamond" w:cs="Calibri"/>
          <w:color w:val="000000" w:themeColor="text1"/>
        </w:rPr>
        <w:t>n</w:t>
      </w:r>
      <w:r w:rsidRPr="7518DA5E">
        <w:rPr>
          <w:rFonts w:ascii="Garamond" w:hAnsi="Garamond" w:cs="Calibri"/>
          <w:color w:val="000000" w:themeColor="text1"/>
        </w:rPr>
        <w:t xml:space="preserve">onresponse </w:t>
      </w:r>
      <w:r w:rsidR="00291379">
        <w:rPr>
          <w:rFonts w:ascii="Garamond" w:hAnsi="Garamond" w:cs="Calibri"/>
          <w:color w:val="000000" w:themeColor="text1"/>
        </w:rPr>
        <w:t>f</w:t>
      </w:r>
      <w:r w:rsidRPr="7518DA5E" w:rsidR="00291379">
        <w:rPr>
          <w:rFonts w:ascii="Garamond" w:hAnsi="Garamond" w:cs="Calibri"/>
          <w:color w:val="000000" w:themeColor="text1"/>
        </w:rPr>
        <w:t>ollow</w:t>
      </w:r>
      <w:r w:rsidRPr="7518DA5E">
        <w:rPr>
          <w:rFonts w:ascii="Garamond" w:hAnsi="Garamond" w:cs="Calibri"/>
          <w:color w:val="000000" w:themeColor="text1"/>
        </w:rPr>
        <w:t>-</w:t>
      </w:r>
      <w:r w:rsidR="00291379">
        <w:rPr>
          <w:rFonts w:ascii="Garamond" w:hAnsi="Garamond" w:cs="Calibri"/>
          <w:color w:val="000000" w:themeColor="text1"/>
        </w:rPr>
        <w:t>u</w:t>
      </w:r>
      <w:r w:rsidRPr="7518DA5E">
        <w:rPr>
          <w:rFonts w:ascii="Garamond" w:hAnsi="Garamond" w:cs="Calibri"/>
          <w:color w:val="000000" w:themeColor="text1"/>
        </w:rPr>
        <w:t xml:space="preserve">p phase for all remaining nonrespondents in the default data collection group. Remaining nonrespondents in the aggressive data collection group will be offered a $20 incentive boost increase to the baseline incentive. This is because the $10 incentive boost in NPSAS:20 did not show any effect on this group. If </w:t>
      </w:r>
      <w:r w:rsidRPr="7518DA5E">
        <w:rPr>
          <w:rFonts w:ascii="Garamond" w:hAnsi="Garamond" w:cs="Calibri"/>
          <w:color w:val="000000" w:themeColor="text1"/>
        </w:rPr>
        <w:t>necessary, incentive boosts may be targeted only at certain groups of nonrespondents to achieve response goals (e.g., targeting nonrespondents from certain states to ensure representativeness, targeting aggressive group nonrespondents to reduce the potential for nonresponse bias).</w:t>
      </w:r>
      <w:r w:rsidR="005C6D77">
        <w:rPr>
          <w:rFonts w:ascii="Garamond" w:hAnsi="Garamond" w:cs="Calibri"/>
          <w:color w:val="000000" w:themeColor="text1"/>
        </w:rPr>
        <w:t xml:space="preserve"> </w:t>
      </w:r>
      <w:r w:rsidRPr="005C6D77" w:rsidR="005C6D77">
        <w:rPr>
          <w:rFonts w:ascii="Garamond" w:hAnsi="Garamond" w:cs="Calibri"/>
          <w:color w:val="000000" w:themeColor="text1"/>
        </w:rPr>
        <w:t xml:space="preserve">For additional details about the incentive plan, see </w:t>
      </w:r>
      <w:r w:rsidRPr="005D69E6" w:rsidR="005C6D77">
        <w:rPr>
          <w:rFonts w:ascii="Garamond" w:hAnsi="Garamond" w:cs="Calibri"/>
          <w:color w:val="000000" w:themeColor="text1"/>
        </w:rPr>
        <w:t>B.</w:t>
      </w:r>
      <w:r w:rsidRPr="005D69E6" w:rsidR="005D69E6">
        <w:rPr>
          <w:rFonts w:ascii="Garamond" w:hAnsi="Garamond" w:cs="Calibri"/>
          <w:color w:val="000000" w:themeColor="text1"/>
        </w:rPr>
        <w:t>4</w:t>
      </w:r>
      <w:r w:rsidRPr="005D69E6" w:rsidR="005C6D77">
        <w:rPr>
          <w:rFonts w:ascii="Garamond" w:hAnsi="Garamond" w:cs="Calibri"/>
          <w:color w:val="000000" w:themeColor="text1"/>
        </w:rPr>
        <w:t>.</w:t>
      </w:r>
    </w:p>
    <w:p w:rsidR="00883E4F" w:rsidP="00883E4F" w14:paraId="1BE2124D" w14:textId="74851417">
      <w:pPr>
        <w:pStyle w:val="BodyText"/>
        <w:spacing w:before="0"/>
      </w:pPr>
      <w:r w:rsidRPr="00126637">
        <w:t xml:space="preserve">Prior to the start of data collection, </w:t>
      </w:r>
      <w:r w:rsidR="00AB4944">
        <w:t>BPS:20/25</w:t>
      </w:r>
      <w:r w:rsidRPr="00126637">
        <w:t xml:space="preserve"> sample members will be matched to a federal database maintained by the U.S. Department of the Treasury’s Office of Foreign Assets</w:t>
      </w:r>
      <w:r>
        <w:t xml:space="preserve"> Controls (OFAC). OFAC administers and enforces economic and trade sanctions based on U.S. foreign policy and national security goals. As part of its enforcement efforts, OFAC publishes a list of individuals and companies called the “Specially Designated Nationals List” or SDN. Their assets are blocked and U.S. entities are prohibited from conducting trade or financial transactions with those on the list (</w:t>
      </w:r>
      <w:hyperlink r:id="rId13" w:tgtFrame="_blank" w:history="1">
        <w:r>
          <w:rPr>
            <w:rStyle w:val="Hyperlink"/>
            <w:color w:val="800080" w:themeColor="followedHyperlink"/>
          </w:rPr>
          <w:t>https://www.treasury.gov/resource-center/sanctions/Pages/default.aspx</w:t>
        </w:r>
      </w:hyperlink>
      <w:r>
        <w:t xml:space="preserve">). In order to determine if there are any </w:t>
      </w:r>
      <w:r w:rsidR="00AB4944">
        <w:t>BPS:20/25</w:t>
      </w:r>
      <w:r w:rsidRPr="00126637" w:rsidR="00AB4944">
        <w:t xml:space="preserve"> </w:t>
      </w:r>
      <w:r>
        <w:t xml:space="preserve">sample members to whom NCES cannot offer an incentive, the sample members will be matched to the SDN using the </w:t>
      </w:r>
      <w:r>
        <w:t>Jaro</w:t>
      </w:r>
      <w:r>
        <w:t xml:space="preserve">-Winkler and Soundex algorithms recommended by OFAC. To avoid over-matching, </w:t>
      </w:r>
      <w:r w:rsidR="00AB4944">
        <w:t>BPS:20/25</w:t>
      </w:r>
      <w:r w:rsidRPr="00126637" w:rsidR="00AB4944">
        <w:t xml:space="preserve"> </w:t>
      </w:r>
      <w:r>
        <w:t>staff will review the cases based on full name, date of birth, and address. The small number of individuals who cannot be confirmed as not matching the SDN list will receive a survey request without an incentive offer.</w:t>
      </w:r>
    </w:p>
    <w:p w:rsidR="00265E39" w:rsidRPr="00176F63" w:rsidP="007B3A35" w14:paraId="16A195D0" w14:textId="1B229876">
      <w:pPr>
        <w:pStyle w:val="Heading2"/>
      </w:pPr>
      <w:bookmarkStart w:id="67" w:name="_Toc5011108"/>
      <w:bookmarkStart w:id="68" w:name="_Toc174598617"/>
      <w:r w:rsidRPr="00176F63">
        <w:t>Assurance of Confidentiality</w:t>
      </w:r>
      <w:bookmarkEnd w:id="64"/>
      <w:bookmarkEnd w:id="67"/>
      <w:bookmarkEnd w:id="68"/>
    </w:p>
    <w:p w:rsidR="0040090A" w:rsidRPr="004E6654" w:rsidP="0040090A" w14:paraId="6FDCC243" w14:textId="3FA56676">
      <w:pPr>
        <w:pStyle w:val="BodyText"/>
      </w:pPr>
      <w:bookmarkStart w:id="69" w:name="_Toc383113374"/>
      <w:r w:rsidRPr="004E6654">
        <w:t xml:space="preserve">NCES assures participating individuals that all information collected under </w:t>
      </w:r>
      <w:r w:rsidR="004B6339">
        <w:t>BPS:20/25</w:t>
      </w:r>
      <w:r w:rsidRPr="004E6654">
        <w:t xml:space="preserve"> may be used only for statistical purposes and may not be disclosed, or used, in identifiable form for any other purpose except as required by law (20 U.S.C. §9573 and 6 U.S.C. §151).</w:t>
      </w:r>
    </w:p>
    <w:p w:rsidR="0040090A" w:rsidRPr="004E6654" w:rsidP="0040090A" w14:paraId="031574E3" w14:textId="5528DBBD">
      <w:pPr>
        <w:pStyle w:val="BodyText"/>
      </w:pPr>
      <w:r w:rsidRPr="004E6654">
        <w:t xml:space="preserve">The primary contractor for this study is RTI International. Confidentiality and data security protection procedures have been put in place for </w:t>
      </w:r>
      <w:r w:rsidR="00A54E16">
        <w:t>BPS:20/25</w:t>
      </w:r>
      <w:r w:rsidRPr="004E6654">
        <w:t xml:space="preserve"> to ensure that the contractor and its subcontractors comply with all privacy requirements, including:</w:t>
      </w:r>
    </w:p>
    <w:p w:rsidR="0040090A" w:rsidRPr="004E6654" w:rsidP="0040090A" w14:paraId="6931D558" w14:textId="77777777">
      <w:pPr>
        <w:pStyle w:val="ListParagraph"/>
        <w:numPr>
          <w:ilvl w:val="0"/>
          <w:numId w:val="54"/>
        </w:numPr>
        <w:tabs>
          <w:tab w:val="num" w:pos="720"/>
          <w:tab w:val="clear" w:pos="1440"/>
        </w:tabs>
        <w:spacing w:after="60"/>
        <w:ind w:left="720"/>
        <w:contextualSpacing w:val="0"/>
      </w:pPr>
      <w:r w:rsidRPr="004E6654">
        <w:t>The statement of work of this contract;</w:t>
      </w:r>
    </w:p>
    <w:p w:rsidR="0040090A" w:rsidRPr="004E6654" w:rsidP="0040090A" w14:paraId="37D2899B" w14:textId="77777777">
      <w:pPr>
        <w:pStyle w:val="bulletround"/>
        <w:keepLines/>
        <w:numPr>
          <w:ilvl w:val="0"/>
          <w:numId w:val="54"/>
        </w:numPr>
        <w:tabs>
          <w:tab w:val="num" w:pos="720"/>
          <w:tab w:val="clear" w:pos="1440"/>
        </w:tabs>
        <w:spacing w:after="60"/>
        <w:ind w:left="720"/>
        <w:rPr>
          <w:rFonts w:cs="Times New Roman"/>
        </w:rPr>
      </w:pPr>
      <w:r w:rsidRPr="004E6654">
        <w:rPr>
          <w:rFonts w:cs="Times New Roman"/>
          <w:i/>
        </w:rPr>
        <w:t>Family Educational Rights and Privacy Act (FERPA) of 1974</w:t>
      </w:r>
      <w:r w:rsidRPr="004E6654">
        <w:rPr>
          <w:rFonts w:cs="Times New Roman"/>
        </w:rPr>
        <w:t xml:space="preserve"> (20 U.S.C. §1232(g));</w:t>
      </w:r>
    </w:p>
    <w:p w:rsidR="0040090A" w:rsidRPr="004E6654" w:rsidP="0040090A" w14:paraId="22F5DAB9" w14:textId="77777777">
      <w:pPr>
        <w:pStyle w:val="ListParagraph"/>
        <w:numPr>
          <w:ilvl w:val="0"/>
          <w:numId w:val="54"/>
        </w:numPr>
        <w:tabs>
          <w:tab w:val="num" w:pos="720"/>
          <w:tab w:val="clear" w:pos="1440"/>
        </w:tabs>
        <w:spacing w:after="60"/>
        <w:ind w:left="720"/>
        <w:contextualSpacing w:val="0"/>
      </w:pPr>
      <w:r w:rsidRPr="004E6654">
        <w:rPr>
          <w:i/>
        </w:rPr>
        <w:t>Privacy Act of 1974</w:t>
      </w:r>
      <w:r w:rsidRPr="004E6654">
        <w:t xml:space="preserve"> (5 U.S.C. §552a);</w:t>
      </w:r>
    </w:p>
    <w:p w:rsidR="0040090A" w:rsidRPr="004E6654" w:rsidP="0040090A" w14:paraId="4CD4B5C3" w14:textId="77777777">
      <w:pPr>
        <w:pStyle w:val="ListParagraph"/>
        <w:numPr>
          <w:ilvl w:val="0"/>
          <w:numId w:val="54"/>
        </w:numPr>
        <w:tabs>
          <w:tab w:val="num" w:pos="720"/>
          <w:tab w:val="clear" w:pos="1440"/>
        </w:tabs>
        <w:spacing w:after="60"/>
        <w:ind w:left="720"/>
        <w:contextualSpacing w:val="0"/>
      </w:pPr>
      <w:r w:rsidRPr="004E6654">
        <w:rPr>
          <w:i/>
        </w:rPr>
        <w:t>Privacy Act Regulations</w:t>
      </w:r>
      <w:r w:rsidRPr="004E6654">
        <w:t xml:space="preserve"> (34 CFR Part 5b);</w:t>
      </w:r>
    </w:p>
    <w:p w:rsidR="0040090A" w:rsidRPr="004E6654" w:rsidP="0040090A" w14:paraId="174DC96B" w14:textId="77777777">
      <w:pPr>
        <w:pStyle w:val="ListParagraph"/>
        <w:numPr>
          <w:ilvl w:val="0"/>
          <w:numId w:val="54"/>
        </w:numPr>
        <w:tabs>
          <w:tab w:val="num" w:pos="720"/>
          <w:tab w:val="clear" w:pos="1440"/>
        </w:tabs>
        <w:spacing w:after="60"/>
        <w:ind w:left="720"/>
        <w:contextualSpacing w:val="0"/>
        <w:rPr>
          <w:szCs w:val="24"/>
        </w:rPr>
      </w:pPr>
      <w:r w:rsidRPr="004E6654">
        <w:rPr>
          <w:i/>
          <w:szCs w:val="24"/>
        </w:rPr>
        <w:t>Computer Security Act of 1987</w:t>
      </w:r>
      <w:r w:rsidRPr="004E6654">
        <w:rPr>
          <w:szCs w:val="24"/>
        </w:rPr>
        <w:t>;</w:t>
      </w:r>
    </w:p>
    <w:p w:rsidR="0040090A" w:rsidRPr="004E6654" w:rsidP="0040090A" w14:paraId="1E34BD9A" w14:textId="77777777">
      <w:pPr>
        <w:pStyle w:val="ListParagraph"/>
        <w:numPr>
          <w:ilvl w:val="0"/>
          <w:numId w:val="54"/>
        </w:numPr>
        <w:tabs>
          <w:tab w:val="num" w:pos="720"/>
          <w:tab w:val="clear" w:pos="1440"/>
        </w:tabs>
        <w:spacing w:after="60"/>
        <w:ind w:left="720"/>
        <w:contextualSpacing w:val="0"/>
      </w:pPr>
      <w:r w:rsidRPr="004E6654">
        <w:rPr>
          <w:i/>
        </w:rPr>
        <w:t>U.S.A. Patriot Act of 2001</w:t>
      </w:r>
      <w:r w:rsidRPr="004E6654">
        <w:t xml:space="preserve"> (P.L. 107-56);</w:t>
      </w:r>
    </w:p>
    <w:p w:rsidR="0040090A" w:rsidRPr="004E6654" w:rsidP="0040090A" w14:paraId="685A8B78" w14:textId="77777777">
      <w:pPr>
        <w:pStyle w:val="ListParagraph"/>
        <w:numPr>
          <w:ilvl w:val="0"/>
          <w:numId w:val="54"/>
        </w:numPr>
        <w:tabs>
          <w:tab w:val="num" w:pos="720"/>
          <w:tab w:val="clear" w:pos="1440"/>
        </w:tabs>
        <w:spacing w:after="60"/>
        <w:ind w:left="720"/>
        <w:contextualSpacing w:val="0"/>
      </w:pPr>
      <w:r w:rsidRPr="004E6654">
        <w:rPr>
          <w:i/>
        </w:rPr>
        <w:t>Education Sciences Reform Act of 2002</w:t>
      </w:r>
      <w:r w:rsidRPr="004E6654">
        <w:t xml:space="preserve"> (ESRA 2002, 20 U.S.C. §9573);</w:t>
      </w:r>
    </w:p>
    <w:p w:rsidR="0040090A" w:rsidRPr="004E6654" w:rsidP="0040090A" w14:paraId="6766E70E" w14:textId="77777777">
      <w:pPr>
        <w:pStyle w:val="bulletround"/>
        <w:keepLines/>
        <w:numPr>
          <w:ilvl w:val="0"/>
          <w:numId w:val="54"/>
        </w:numPr>
        <w:tabs>
          <w:tab w:val="num" w:pos="720"/>
          <w:tab w:val="clear" w:pos="1440"/>
        </w:tabs>
        <w:spacing w:after="60"/>
        <w:ind w:left="720"/>
        <w:rPr>
          <w:rFonts w:cs="Times New Roman"/>
        </w:rPr>
      </w:pPr>
      <w:r w:rsidRPr="004E6654">
        <w:rPr>
          <w:rFonts w:cs="Times New Roman"/>
          <w:i/>
        </w:rPr>
        <w:t>Cybersecurity Enhancement Act of 2015</w:t>
      </w:r>
      <w:r w:rsidRPr="004E6654">
        <w:rPr>
          <w:rFonts w:cs="Times New Roman"/>
        </w:rPr>
        <w:t xml:space="preserve"> (6 U.S.C. §151);</w:t>
      </w:r>
    </w:p>
    <w:p w:rsidR="00D34E00" w:rsidRPr="003E3F28" w:rsidP="0040090A" w14:paraId="50E2ACF3" w14:textId="7405A905">
      <w:pPr>
        <w:pStyle w:val="bulletround"/>
        <w:keepLines/>
        <w:numPr>
          <w:ilvl w:val="0"/>
          <w:numId w:val="54"/>
        </w:numPr>
        <w:tabs>
          <w:tab w:val="num" w:pos="720"/>
          <w:tab w:val="clear" w:pos="1440"/>
        </w:tabs>
        <w:spacing w:after="60"/>
        <w:ind w:left="720"/>
        <w:rPr>
          <w:rFonts w:cs="Times New Roman"/>
        </w:rPr>
      </w:pPr>
      <w:r w:rsidRPr="004E6654">
        <w:rPr>
          <w:rFonts w:cs="Times New Roman"/>
          <w:i/>
          <w:szCs w:val="24"/>
        </w:rPr>
        <w:t xml:space="preserve">Foundations of Evidence-Based Policymaking Act of 2018, </w:t>
      </w:r>
      <w:r w:rsidRPr="004E6654">
        <w:rPr>
          <w:rFonts w:cs="Times New Roman"/>
          <w:szCs w:val="24"/>
        </w:rPr>
        <w:t>Title III, Part B, Confidential Information Protection</w:t>
      </w:r>
    </w:p>
    <w:p w:rsidR="003E3F28" w:rsidRPr="008460E0" w:rsidP="008460E0" w14:paraId="46CBF8A4" w14:textId="054AF9E5">
      <w:pPr>
        <w:pStyle w:val="ListParagraph"/>
        <w:numPr>
          <w:ilvl w:val="0"/>
          <w:numId w:val="54"/>
        </w:numPr>
        <w:tabs>
          <w:tab w:val="num" w:pos="720"/>
          <w:tab w:val="clear" w:pos="1440"/>
        </w:tabs>
        <w:spacing w:after="60"/>
        <w:ind w:left="720"/>
        <w:contextualSpacing w:val="0"/>
      </w:pPr>
      <w:r>
        <w:t>T</w:t>
      </w:r>
      <w:r w:rsidRPr="008460E0">
        <w:t>he federal regulations pertaining to these laws</w:t>
      </w:r>
      <w:r w:rsidRPr="008460E0" w:rsidR="00D710DF">
        <w:t>;</w:t>
      </w:r>
    </w:p>
    <w:p w:rsidR="003E3F28" w:rsidRPr="008460E0" w:rsidP="008460E0" w14:paraId="1A0E81F9" w14:textId="3CBC5B5B">
      <w:pPr>
        <w:pStyle w:val="ListParagraph"/>
        <w:numPr>
          <w:ilvl w:val="0"/>
          <w:numId w:val="54"/>
        </w:numPr>
        <w:tabs>
          <w:tab w:val="num" w:pos="720"/>
          <w:tab w:val="clear" w:pos="1440"/>
        </w:tabs>
        <w:spacing w:after="60"/>
        <w:ind w:left="720"/>
        <w:contextualSpacing w:val="0"/>
      </w:pPr>
      <w:r>
        <w:t>A</w:t>
      </w:r>
      <w:r w:rsidRPr="008460E0">
        <w:t>ny revision or amendment to these laws and regulations</w:t>
      </w:r>
      <w:r w:rsidRPr="008460E0" w:rsidR="007B63CB">
        <w:t>;</w:t>
      </w:r>
    </w:p>
    <w:p w:rsidR="0040090A" w:rsidRPr="004E6654" w:rsidP="0040090A" w14:paraId="71BAFED1" w14:textId="77777777">
      <w:pPr>
        <w:pStyle w:val="ListParagraph"/>
        <w:numPr>
          <w:ilvl w:val="0"/>
          <w:numId w:val="54"/>
        </w:numPr>
        <w:tabs>
          <w:tab w:val="num" w:pos="720"/>
          <w:tab w:val="clear" w:pos="1440"/>
        </w:tabs>
        <w:spacing w:after="60"/>
        <w:ind w:left="720"/>
        <w:contextualSpacing w:val="0"/>
      </w:pPr>
      <w:r w:rsidRPr="004E6654">
        <w:t>The U.S. Department of Education General Handbook for Information Technology Security General Support Systems and Major Applications Inventory Procedures (March 2005);</w:t>
      </w:r>
    </w:p>
    <w:p w:rsidR="0040090A" w:rsidRPr="004E6654" w:rsidP="0040090A" w14:paraId="2DCE85FF" w14:textId="77777777">
      <w:pPr>
        <w:pStyle w:val="ListParagraph"/>
        <w:numPr>
          <w:ilvl w:val="0"/>
          <w:numId w:val="54"/>
        </w:numPr>
        <w:tabs>
          <w:tab w:val="num" w:pos="720"/>
          <w:tab w:val="clear" w:pos="1440"/>
        </w:tabs>
        <w:spacing w:after="60"/>
        <w:ind w:left="720"/>
        <w:contextualSpacing w:val="0"/>
      </w:pPr>
      <w:r w:rsidRPr="004E6654">
        <w:t>The U.S. Department of Education Incident Handling Procedures (February 2009);</w:t>
      </w:r>
    </w:p>
    <w:p w:rsidR="0040090A" w:rsidRPr="004E6654" w:rsidP="00F900C0" w14:paraId="66F75B08" w14:textId="77777777">
      <w:pPr>
        <w:pStyle w:val="ListParagraph"/>
        <w:widowControl w:val="0"/>
        <w:numPr>
          <w:ilvl w:val="0"/>
          <w:numId w:val="54"/>
        </w:numPr>
        <w:tabs>
          <w:tab w:val="num" w:pos="720"/>
          <w:tab w:val="clear" w:pos="1440"/>
        </w:tabs>
        <w:spacing w:after="60"/>
        <w:ind w:left="720"/>
        <w:contextualSpacing w:val="0"/>
      </w:pPr>
      <w:r w:rsidRPr="004E6654">
        <w:t>The U.S. Department of Education, ACS Directive OM: 5-101, Contractor Employee Personnel Security Screenings;</w:t>
      </w:r>
    </w:p>
    <w:p w:rsidR="0040090A" w:rsidRPr="004E6654" w:rsidP="00F900C0" w14:paraId="3A6C221D" w14:textId="77777777">
      <w:pPr>
        <w:pStyle w:val="ListParagraph"/>
        <w:widowControl w:val="0"/>
        <w:numPr>
          <w:ilvl w:val="0"/>
          <w:numId w:val="54"/>
        </w:numPr>
        <w:tabs>
          <w:tab w:val="num" w:pos="720"/>
          <w:tab w:val="clear" w:pos="1440"/>
        </w:tabs>
        <w:spacing w:after="60"/>
        <w:ind w:left="720"/>
        <w:contextualSpacing w:val="0"/>
        <w:rPr>
          <w:szCs w:val="24"/>
        </w:rPr>
      </w:pPr>
      <w:r w:rsidRPr="004E6654">
        <w:rPr>
          <w:szCs w:val="24"/>
        </w:rPr>
        <w:t>NCES Statistical Standards; and</w:t>
      </w:r>
    </w:p>
    <w:p w:rsidR="0040090A" w:rsidP="00F900C0" w14:paraId="61659510" w14:textId="77777777">
      <w:pPr>
        <w:pStyle w:val="ListParagraph"/>
        <w:widowControl w:val="0"/>
        <w:numPr>
          <w:ilvl w:val="0"/>
          <w:numId w:val="54"/>
        </w:numPr>
        <w:tabs>
          <w:tab w:val="num" w:pos="720"/>
          <w:tab w:val="clear" w:pos="1440"/>
        </w:tabs>
        <w:spacing w:after="60"/>
        <w:ind w:left="720"/>
        <w:contextualSpacing w:val="0"/>
        <w:rPr>
          <w:szCs w:val="24"/>
        </w:rPr>
      </w:pPr>
      <w:r w:rsidRPr="004E6654">
        <w:rPr>
          <w:szCs w:val="24"/>
        </w:rPr>
        <w:t>All new legislation that impacts the data collected through the contract for this study.</w:t>
      </w:r>
    </w:p>
    <w:p w:rsidR="004B6339" w:rsidP="004B6339" w14:paraId="37F54566" w14:textId="77777777">
      <w:pPr>
        <w:widowControl w:val="0"/>
        <w:spacing w:after="60"/>
        <w:rPr>
          <w:szCs w:val="24"/>
        </w:rPr>
      </w:pPr>
    </w:p>
    <w:p w:rsidR="004B6339" w:rsidRPr="004D25BE" w:rsidP="004B6339" w14:paraId="2AB68041" w14:textId="77777777">
      <w:pPr>
        <w:pStyle w:val="BodyText"/>
        <w:widowControl w:val="0"/>
        <w:rPr>
          <w:szCs w:val="24"/>
        </w:rPr>
      </w:pPr>
      <w:r w:rsidRPr="004D25BE">
        <w:rPr>
          <w:szCs w:val="24"/>
        </w:rPr>
        <w:t xml:space="preserve">Furthermore, the contractor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w:t>
      </w:r>
      <w:r w:rsidRPr="004D25BE">
        <w:rPr>
          <w:szCs w:val="24"/>
        </w:rPr>
        <w:t xml:space="preserve">publications will also adhere to the revised NCES Statistical Standards, as described at the website: </w:t>
      </w:r>
      <w:hyperlink r:id="rId14" w:history="1">
        <w:r w:rsidRPr="004D25BE">
          <w:rPr>
            <w:rStyle w:val="Hyperlink"/>
            <w:rFonts w:eastAsiaTheme="minorEastAsia"/>
            <w:szCs w:val="24"/>
          </w:rPr>
          <w:t>https://nces.ed.gov/statprog/2012/</w:t>
        </w:r>
      </w:hyperlink>
      <w:r w:rsidRPr="004D25BE">
        <w:rPr>
          <w:szCs w:val="24"/>
        </w:rPr>
        <w:t>.</w:t>
      </w:r>
    </w:p>
    <w:p w:rsidR="004B6339" w:rsidRPr="004D25BE" w:rsidP="004B6339" w14:paraId="36630B9D" w14:textId="516B08ED">
      <w:pPr>
        <w:pStyle w:val="BodyText"/>
        <w:widowControl w:val="0"/>
      </w:pPr>
      <w:r>
        <w:t xml:space="preserve">By law (20 U.S.C. §9573), a violation of the confidentiality restrictions is a felony, punishable by imprisonment of up to 5 years and/or a fine of up to $250,000. The BPS:20/25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BPS:20/25 follows detailed guidelines for securing sensitive project data, including, but not limited </w:t>
      </w:r>
      <w:r>
        <w:t>to:</w:t>
      </w:r>
      <w:r>
        <w:t xml:space="preserve"> physical/environment protections, building access controls, system access controls, system login restrictions, user identification and authorization procedures, encryption, and project file storage/archiving/destruction.</w:t>
      </w:r>
    </w:p>
    <w:p w:rsidR="004B6339" w:rsidRPr="004D25BE" w:rsidP="47D55F4E" w14:paraId="10C16340" w14:textId="62482995">
      <w:pPr>
        <w:pStyle w:val="BodyText"/>
      </w:pPr>
      <w:r>
        <w:t xml:space="preserve">Additionally, the contractor will take security measures to protect the web data collection application from unauthorized access. The web server will include an SSL certificate and will be configured to force encrypted data transmission over the Internet. To access restricted pages containing confidential information, website users will be required to log in by entering an assigned ID number and password. </w:t>
      </w:r>
    </w:p>
    <w:p w:rsidR="004B6339" w:rsidRPr="004D25BE" w:rsidP="004B6339" w14:paraId="6609403A" w14:textId="77777777">
      <w:pPr>
        <w:pStyle w:val="BodyText"/>
        <w:rPr>
          <w:szCs w:val="24"/>
        </w:rPr>
      </w:pPr>
      <w:r w:rsidRPr="004D25BE">
        <w:rPr>
          <w:szCs w:val="24"/>
        </w:rPr>
        <w:t xml:space="preserve">Security measures have been put in place to protect data during file matching procedures described in section </w:t>
      </w:r>
      <w:r w:rsidRPr="005D69E6">
        <w:rPr>
          <w:szCs w:val="24"/>
        </w:rPr>
        <w:t>A.3 of</w:t>
      </w:r>
      <w:r w:rsidRPr="004D25BE">
        <w:rPr>
          <w:szCs w:val="24"/>
        </w:rPr>
        <w:t xml:space="preserve"> this document.</w:t>
      </w:r>
      <w:r w:rsidRPr="004D25BE">
        <w:rPr>
          <w:color w:val="000000"/>
          <w:szCs w:val="24"/>
        </w:rPr>
        <w:t xml:space="preserve"> NCES has a secure data transfer system, which uses SSL technology, allowing the transfer of encrypted data over the Internet. The IES File Transfer System will be used for all administrative data sources that do not have their own secure file transfers systems</w:t>
      </w:r>
      <w:r w:rsidRPr="004D25BE">
        <w:rPr>
          <w:rFonts w:cs="Calibri"/>
          <w:color w:val="000000"/>
          <w:szCs w:val="24"/>
        </w:rPr>
        <w:t>.</w:t>
      </w:r>
      <w:r w:rsidRPr="004D25BE">
        <w:rPr>
          <w:color w:val="000000"/>
          <w:szCs w:val="24"/>
        </w:rPr>
        <w:t xml:space="preserve"> All data transfers will be encrypted.</w:t>
      </w:r>
    </w:p>
    <w:p w:rsidR="004B6339" w:rsidRPr="004D25BE" w:rsidP="004B6339" w14:paraId="0BF1D0D5" w14:textId="77777777">
      <w:pPr>
        <w:pStyle w:val="BodyText"/>
        <w:spacing w:before="0"/>
        <w:rPr>
          <w:color w:val="000000"/>
          <w:szCs w:val="24"/>
        </w:rPr>
      </w:pPr>
      <w:r w:rsidRPr="004D25BE">
        <w:rPr>
          <w:color w:val="000000"/>
          <w:szCs w:val="24"/>
        </w:rPr>
        <w:t xml:space="preserve">The Department has established a policy regarding the personnel security screening requirements for all contractor employees and their subcontractors. The contractor must comply with these personnel security screening requirements throughout the life of the contract, including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w:t>
      </w:r>
      <w:r w:rsidRPr="004D25BE">
        <w:rPr>
          <w:szCs w:val="24"/>
        </w:rPr>
        <w:t>Department’s</w:t>
      </w:r>
      <w:r w:rsidRPr="004D25BE">
        <w:rPr>
          <w:color w:val="000000"/>
          <w:szCs w:val="24"/>
        </w:rPr>
        <w:t xml:space="preserve"> interests. Each person working on the contract must complete the requirements for a “Contractor Security Screening.” Depending on the risk level assigned to each </w:t>
      </w:r>
      <w:r w:rsidRPr="004D25BE">
        <w:rPr>
          <w:szCs w:val="24"/>
        </w:rPr>
        <w:t>person’s</w:t>
      </w:r>
      <w:r w:rsidRPr="004D25BE">
        <w:rPr>
          <w:color w:val="000000"/>
          <w:szCs w:val="24"/>
        </w:rPr>
        <w:t xml:space="preserve"> position, a follow-up background investigation by the Department will occur.</w:t>
      </w:r>
    </w:p>
    <w:p w:rsidR="004B6339" w:rsidRPr="004D25BE" w:rsidP="004B6339" w14:paraId="56E53419" w14:textId="77777777">
      <w:pPr>
        <w:pStyle w:val="BodyText"/>
        <w:spacing w:before="0"/>
        <w:rPr>
          <w:b/>
          <w:bCs/>
          <w:color w:val="000000"/>
          <w:szCs w:val="24"/>
        </w:rPr>
      </w:pPr>
      <w:r w:rsidRPr="004D25BE">
        <w:rPr>
          <w:b/>
          <w:bCs/>
          <w:color w:val="000000"/>
          <w:szCs w:val="24"/>
        </w:rPr>
        <w:t>Administrative data</w:t>
      </w:r>
    </w:p>
    <w:p w:rsidR="004B6339" w:rsidRPr="004D25BE" w:rsidP="004B6339" w14:paraId="320C902E" w14:textId="0147661A">
      <w:pPr>
        <w:spacing w:after="120"/>
        <w:rPr>
          <w:szCs w:val="24"/>
        </w:rPr>
      </w:pPr>
      <w:r w:rsidRPr="004D25BE">
        <w:rPr>
          <w:color w:val="000000"/>
          <w:szCs w:val="24"/>
        </w:rPr>
        <w:t xml:space="preserve">BPS:20/25 and other NCES postsecondary studies include data linkages with many existing sources of valuable data, </w:t>
      </w:r>
      <w:r w:rsidRPr="005D69E6">
        <w:rPr>
          <w:szCs w:val="24"/>
        </w:rPr>
        <w:t xml:space="preserve">listed in appendix </w:t>
      </w:r>
      <w:r w:rsidRPr="005D69E6" w:rsidR="0028371F">
        <w:rPr>
          <w:szCs w:val="24"/>
        </w:rPr>
        <w:t>B</w:t>
      </w:r>
      <w:r w:rsidRPr="005D69E6">
        <w:rPr>
          <w:szCs w:val="24"/>
        </w:rPr>
        <w:t xml:space="preserve">, </w:t>
      </w:r>
      <w:r w:rsidRPr="005D69E6">
        <w:rPr>
          <w:color w:val="000000"/>
          <w:szCs w:val="24"/>
        </w:rPr>
        <w:t>including</w:t>
      </w:r>
      <w:r w:rsidRPr="004D25BE">
        <w:rPr>
          <w:color w:val="000000"/>
          <w:szCs w:val="24"/>
        </w:rPr>
        <w:t xml:space="preserve"> </w:t>
      </w:r>
      <w:r w:rsidR="001B0524">
        <w:rPr>
          <w:color w:val="000000"/>
          <w:szCs w:val="24"/>
        </w:rPr>
        <w:t xml:space="preserve">the </w:t>
      </w:r>
      <w:r w:rsidRPr="004D25BE">
        <w:rPr>
          <w:color w:val="000000"/>
          <w:szCs w:val="24"/>
        </w:rPr>
        <w:t xml:space="preserve">Department of </w:t>
      </w:r>
      <w:r w:rsidRPr="004D25BE">
        <w:rPr>
          <w:szCs w:val="24"/>
        </w:rPr>
        <w:t xml:space="preserve">Education’s </w:t>
      </w:r>
      <w:r w:rsidR="000058D7">
        <w:rPr>
          <w:color w:val="000000"/>
          <w:szCs w:val="24"/>
        </w:rPr>
        <w:t>FAFSA Processing System (F</w:t>
      </w:r>
      <w:r w:rsidR="00013CEC">
        <w:rPr>
          <w:color w:val="000000"/>
          <w:szCs w:val="24"/>
        </w:rPr>
        <w:t>PS</w:t>
      </w:r>
      <w:r w:rsidR="000058D7">
        <w:rPr>
          <w:color w:val="000000"/>
          <w:szCs w:val="24"/>
        </w:rPr>
        <w:t>)</w:t>
      </w:r>
      <w:r w:rsidRPr="004D25BE">
        <w:rPr>
          <w:color w:val="000000"/>
          <w:szCs w:val="24"/>
        </w:rPr>
        <w:t xml:space="preserve">, </w:t>
      </w:r>
      <w:r w:rsidRPr="001B0524" w:rsidR="001B0524">
        <w:rPr>
          <w:color w:val="000000"/>
          <w:szCs w:val="24"/>
        </w:rPr>
        <w:t xml:space="preserve">National Student Loan Data System </w:t>
      </w:r>
      <w:r w:rsidR="001B0524">
        <w:rPr>
          <w:color w:val="000000"/>
          <w:szCs w:val="24"/>
        </w:rPr>
        <w:t>(</w:t>
      </w:r>
      <w:r w:rsidRPr="004D25BE">
        <w:rPr>
          <w:color w:val="000000"/>
          <w:szCs w:val="24"/>
        </w:rPr>
        <w:t>NSLDS</w:t>
      </w:r>
      <w:r w:rsidR="001B0524">
        <w:rPr>
          <w:color w:val="000000"/>
          <w:szCs w:val="24"/>
        </w:rPr>
        <w:t>)</w:t>
      </w:r>
      <w:r w:rsidRPr="004D25BE">
        <w:rPr>
          <w:color w:val="000000"/>
          <w:szCs w:val="24"/>
        </w:rPr>
        <w:t xml:space="preserve">, and </w:t>
      </w:r>
      <w:r w:rsidRPr="001B0524" w:rsidR="001B0524">
        <w:rPr>
          <w:color w:val="000000"/>
          <w:szCs w:val="24"/>
        </w:rPr>
        <w:t xml:space="preserve">National Student Clearinghouse </w:t>
      </w:r>
      <w:r w:rsidR="001B0524">
        <w:rPr>
          <w:color w:val="000000"/>
          <w:szCs w:val="24"/>
        </w:rPr>
        <w:t>(</w:t>
      </w:r>
      <w:r w:rsidRPr="004D25BE">
        <w:rPr>
          <w:color w:val="000000"/>
          <w:szCs w:val="24"/>
        </w:rPr>
        <w:t>NSC</w:t>
      </w:r>
      <w:r w:rsidR="001B0524">
        <w:rPr>
          <w:color w:val="000000"/>
          <w:szCs w:val="24"/>
        </w:rPr>
        <w:t>)</w:t>
      </w:r>
      <w:r w:rsidRPr="004D25BE">
        <w:rPr>
          <w:color w:val="000000"/>
          <w:szCs w:val="24"/>
        </w:rPr>
        <w:t xml:space="preserve">. </w:t>
      </w:r>
      <w:r w:rsidRPr="004D25BE">
        <w:rPr>
          <w:szCs w:val="24"/>
        </w:rPr>
        <w:t>These NCES studies also obtain</w:t>
      </w:r>
      <w:r w:rsidRPr="004D25BE">
        <w:rPr>
          <w:color w:val="000000"/>
          <w:szCs w:val="24"/>
        </w:rPr>
        <w:t xml:space="preserve"> data from postsecondary institution student records, information on military service records from </w:t>
      </w:r>
      <w:r w:rsidRPr="001B0524" w:rsidR="001B0524">
        <w:rPr>
          <w:color w:val="000000"/>
          <w:szCs w:val="24"/>
        </w:rPr>
        <w:t xml:space="preserve">Veterans Benefits Administration </w:t>
      </w:r>
      <w:r w:rsidR="001B0524">
        <w:rPr>
          <w:color w:val="000000"/>
          <w:szCs w:val="24"/>
        </w:rPr>
        <w:t>(</w:t>
      </w:r>
      <w:r w:rsidRPr="004D25BE">
        <w:rPr>
          <w:color w:val="000000"/>
          <w:szCs w:val="24"/>
        </w:rPr>
        <w:t>VBA</w:t>
      </w:r>
      <w:r w:rsidR="001B0524">
        <w:rPr>
          <w:color w:val="000000"/>
          <w:szCs w:val="24"/>
        </w:rPr>
        <w:t>)</w:t>
      </w:r>
      <w:r w:rsidRPr="004D25BE">
        <w:rPr>
          <w:color w:val="000000"/>
          <w:szCs w:val="24"/>
        </w:rPr>
        <w:t xml:space="preserve">, and admissions test scores from ACT and The College Board. </w:t>
      </w:r>
      <w:r w:rsidR="000058D7">
        <w:rPr>
          <w:rStyle w:val="eop"/>
          <w:rFonts w:cs="Segoe UI"/>
          <w:color w:val="000000" w:themeColor="text1"/>
        </w:rPr>
        <w:t>Linkages to additional data providers, such as Experian and the National Directory of New Hires (NDNH), may be explored for BPS:20/25.</w:t>
      </w:r>
      <w:r w:rsidRPr="004D25BE" w:rsidR="000058D7">
        <w:rPr>
          <w:color w:val="000000"/>
          <w:szCs w:val="24"/>
        </w:rPr>
        <w:t xml:space="preserve"> </w:t>
      </w:r>
      <w:r w:rsidRPr="004D25BE">
        <w:rPr>
          <w:color w:val="000000"/>
          <w:szCs w:val="24"/>
        </w:rPr>
        <w:t xml:space="preserve">Many of these administrative data matches are not guaranteed and will require separate </w:t>
      </w:r>
      <w:r w:rsidRPr="004D25BE">
        <w:rPr>
          <w:szCs w:val="24"/>
        </w:rPr>
        <w:t>Memorandums</w:t>
      </w:r>
      <w:r w:rsidRPr="004D25BE">
        <w:rPr>
          <w:color w:val="000000"/>
          <w:szCs w:val="24"/>
        </w:rPr>
        <w:t xml:space="preserve"> of </w:t>
      </w:r>
      <w:r w:rsidRPr="004D25BE">
        <w:rPr>
          <w:szCs w:val="24"/>
        </w:rPr>
        <w:t>Understanding, Agreements</w:t>
      </w:r>
      <w:r w:rsidRPr="004D25BE">
        <w:rPr>
          <w:color w:val="000000"/>
          <w:szCs w:val="24"/>
        </w:rPr>
        <w:t xml:space="preserve">, or </w:t>
      </w:r>
      <w:r w:rsidRPr="004D25BE">
        <w:rPr>
          <w:szCs w:val="24"/>
        </w:rPr>
        <w:t>Contracts</w:t>
      </w:r>
      <w:r w:rsidRPr="004D25BE">
        <w:rPr>
          <w:color w:val="000000"/>
          <w:szCs w:val="24"/>
        </w:rPr>
        <w:t xml:space="preserve"> with the entities responsible for the individual data elements.</w:t>
      </w:r>
    </w:p>
    <w:p w:rsidR="004B6339" w:rsidRPr="004D25BE" w:rsidP="004B6339" w14:paraId="2703FA2C" w14:textId="77777777">
      <w:pPr>
        <w:widowControl w:val="0"/>
        <w:spacing w:after="120"/>
        <w:rPr>
          <w:szCs w:val="24"/>
        </w:rPr>
      </w:pPr>
      <w:r w:rsidRPr="004D25BE">
        <w:rPr>
          <w:color w:val="000000"/>
          <w:szCs w:val="24"/>
        </w:rPr>
        <w:t>Regarding file matching with administrative sources, the Family Educational Rights and Privacy Act (FERPA</w:t>
      </w:r>
      <w:r w:rsidRPr="004D25BE">
        <w:rPr>
          <w:szCs w:val="24"/>
        </w:rPr>
        <w:t>,</w:t>
      </w:r>
      <w:r w:rsidRPr="004D25BE">
        <w:rPr>
          <w:color w:val="000000"/>
          <w:szCs w:val="24"/>
        </w:rPr>
        <w:t xml:space="preserve"> 34 CFR Part 99) allows the disclosure of personally identifiable information from </w:t>
      </w:r>
      <w:r w:rsidRPr="004D25BE">
        <w:rPr>
          <w:szCs w:val="24"/>
        </w:rPr>
        <w:t>students’</w:t>
      </w:r>
      <w:r w:rsidRPr="004D25BE">
        <w:rPr>
          <w:color w:val="000000"/>
          <w:szCs w:val="24"/>
        </w:rPr>
        <w:t xml:space="preserve"> education records without prior consent for the purposes of</w:t>
      </w:r>
      <w:r>
        <w:rPr>
          <w:color w:val="000000"/>
          <w:szCs w:val="24"/>
        </w:rPr>
        <w:t xml:space="preserve"> BPS:20/25</w:t>
      </w:r>
      <w:r w:rsidRPr="004D25BE">
        <w:rPr>
          <w:color w:val="000000"/>
          <w:szCs w:val="24"/>
        </w:rPr>
        <w:t xml:space="preserve"> 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p>
    <w:p w:rsidR="004B6339" w:rsidRPr="004D25BE" w:rsidP="004B6339" w14:paraId="5EA12C12" w14:textId="77777777">
      <w:pPr>
        <w:widowControl w:val="0"/>
        <w:spacing w:after="120"/>
        <w:ind w:firstLine="360"/>
        <w:rPr>
          <w:szCs w:val="24"/>
        </w:rPr>
      </w:pPr>
      <w:r w:rsidRPr="004D25BE">
        <w:rPr>
          <w:color w:val="000000"/>
          <w:szCs w:val="24"/>
        </w:rPr>
        <w:t>“The disclosure is, subject to the requirements of §99.35, to authorized representatives of--</w:t>
      </w:r>
    </w:p>
    <w:p w:rsidR="004B6339" w:rsidRPr="004D25BE" w:rsidP="004B6339" w14:paraId="68249051" w14:textId="77777777">
      <w:pPr>
        <w:widowControl w:val="0"/>
        <w:ind w:left="360" w:firstLine="450"/>
        <w:contextualSpacing/>
        <w:rPr>
          <w:szCs w:val="24"/>
        </w:rPr>
      </w:pPr>
      <w:r w:rsidRPr="004D25BE">
        <w:rPr>
          <w:color w:val="000000"/>
          <w:szCs w:val="24"/>
        </w:rPr>
        <w:t>(</w:t>
      </w:r>
      <w:r w:rsidRPr="004D25BE">
        <w:rPr>
          <w:color w:val="000000"/>
          <w:szCs w:val="24"/>
        </w:rPr>
        <w:t>i</w:t>
      </w:r>
      <w:r w:rsidRPr="004D25BE">
        <w:rPr>
          <w:color w:val="000000"/>
          <w:szCs w:val="24"/>
        </w:rPr>
        <w:t>) The Comptroller General of the United States;</w:t>
      </w:r>
    </w:p>
    <w:p w:rsidR="004B6339" w:rsidRPr="004D25BE" w:rsidP="004B6339" w14:paraId="5DC17533" w14:textId="77777777">
      <w:pPr>
        <w:ind w:left="360" w:firstLine="450"/>
        <w:contextualSpacing/>
        <w:rPr>
          <w:szCs w:val="24"/>
        </w:rPr>
      </w:pPr>
      <w:r w:rsidRPr="004D25BE">
        <w:rPr>
          <w:color w:val="000000"/>
          <w:szCs w:val="24"/>
        </w:rPr>
        <w:t>(ii) The Attorney General of the United States;</w:t>
      </w:r>
    </w:p>
    <w:p w:rsidR="004B6339" w:rsidRPr="004D25BE" w:rsidP="004B6339" w14:paraId="61BA1671" w14:textId="77777777">
      <w:pPr>
        <w:ind w:left="360" w:firstLine="450"/>
        <w:contextualSpacing/>
        <w:rPr>
          <w:szCs w:val="24"/>
        </w:rPr>
      </w:pPr>
      <w:r w:rsidRPr="004D25BE">
        <w:rPr>
          <w:color w:val="000000"/>
          <w:szCs w:val="24"/>
        </w:rPr>
        <w:t>(iii) The Secretary; or</w:t>
      </w:r>
    </w:p>
    <w:p w:rsidR="004B6339" w:rsidRPr="004D25BE" w:rsidP="004B6339" w14:paraId="3AFBE2FD" w14:textId="77777777">
      <w:pPr>
        <w:ind w:left="360" w:firstLine="450"/>
        <w:contextualSpacing/>
        <w:rPr>
          <w:szCs w:val="24"/>
        </w:rPr>
      </w:pPr>
      <w:r w:rsidRPr="004D25BE">
        <w:rPr>
          <w:color w:val="000000"/>
          <w:szCs w:val="24"/>
        </w:rPr>
        <w:t>(iv) State and local educational authorities.”</w:t>
      </w:r>
    </w:p>
    <w:p w:rsidR="004B6339" w:rsidRPr="004D25BE" w:rsidP="004B6339" w14:paraId="6C3FDA00" w14:textId="77777777">
      <w:pPr>
        <w:pStyle w:val="BodyText"/>
        <w:rPr>
          <w:szCs w:val="24"/>
        </w:rPr>
      </w:pPr>
      <w:r w:rsidRPr="004D25BE">
        <w:rPr>
          <w:color w:val="000000"/>
          <w:szCs w:val="24"/>
        </w:rPr>
        <w:t xml:space="preserve">BPS:20/25 is collecting data under the </w:t>
      </w:r>
      <w:r w:rsidRPr="004D25BE">
        <w:rPr>
          <w:szCs w:val="24"/>
        </w:rPr>
        <w:t>Secretary’s</w:t>
      </w:r>
      <w:r w:rsidRPr="004D25BE">
        <w:rPr>
          <w:color w:val="000000"/>
          <w:szCs w:val="24"/>
        </w:rPr>
        <w:t xml:space="preserve">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rsidR="004B6339" w:rsidRPr="004D25BE" w:rsidP="004B6339" w14:paraId="689B26E3" w14:textId="77777777">
      <w:pPr>
        <w:tabs>
          <w:tab w:val="left" w:pos="540"/>
        </w:tabs>
        <w:spacing w:after="120"/>
        <w:ind w:left="360"/>
        <w:rPr>
          <w:szCs w:val="24"/>
        </w:rPr>
      </w:pPr>
      <w:r w:rsidRPr="004D25BE">
        <w:rPr>
          <w:color w:val="000000"/>
          <w:szCs w:val="24"/>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rsidR="004B6339" w:rsidRPr="004D25BE" w:rsidP="004B6339" w14:paraId="232FBA18" w14:textId="77777777">
      <w:pPr>
        <w:widowControl w:val="0"/>
        <w:tabs>
          <w:tab w:val="left" w:pos="540"/>
        </w:tabs>
        <w:spacing w:after="120"/>
        <w:ind w:left="360"/>
        <w:rPr>
          <w:szCs w:val="24"/>
        </w:rPr>
      </w:pPr>
      <w:r w:rsidRPr="004D25BE">
        <w:rPr>
          <w:color w:val="000000"/>
          <w:szCs w:val="24"/>
        </w:rPr>
        <w:t>(2) The State or local educational authority or agency headed by an official listed in §99.31(a)(3) is responsible for using reasonable methods to ensure to the greatest extent practicable that any entity or individual designated as its authorized representative—</w:t>
      </w:r>
    </w:p>
    <w:p w:rsidR="004B6339" w:rsidRPr="004D25BE" w:rsidP="004B6339" w14:paraId="7902E635" w14:textId="77777777">
      <w:pPr>
        <w:tabs>
          <w:tab w:val="left" w:pos="540"/>
        </w:tabs>
        <w:spacing w:after="120"/>
        <w:ind w:left="360"/>
        <w:rPr>
          <w:szCs w:val="24"/>
        </w:rPr>
      </w:pPr>
      <w:r w:rsidRPr="004D25BE">
        <w:rPr>
          <w:color w:val="000000"/>
          <w:szCs w:val="24"/>
        </w:rPr>
        <w:t>(</w:t>
      </w:r>
      <w:r w:rsidRPr="004D25BE">
        <w:rPr>
          <w:color w:val="000000"/>
          <w:szCs w:val="24"/>
        </w:rPr>
        <w:t>i</w:t>
      </w:r>
      <w:r w:rsidRPr="004D25BE">
        <w:rPr>
          <w:color w:val="000000"/>
          <w:szCs w:val="24"/>
        </w:rPr>
        <w:t>) Uses personally identifiable information only to carry out an audit or evaluation of Federal- or State-supported education programs, or for the enforcement of or compliance with Federal legal requirements related to these programs;</w:t>
      </w:r>
    </w:p>
    <w:p w:rsidR="004B6339" w:rsidRPr="004D25BE" w:rsidP="004B6339" w14:paraId="7F4687FF" w14:textId="77777777">
      <w:pPr>
        <w:tabs>
          <w:tab w:val="left" w:pos="540"/>
        </w:tabs>
        <w:spacing w:after="120"/>
        <w:ind w:left="360"/>
        <w:rPr>
          <w:szCs w:val="24"/>
        </w:rPr>
      </w:pPr>
      <w:r w:rsidRPr="004D25BE">
        <w:rPr>
          <w:color w:val="000000"/>
          <w:szCs w:val="24"/>
        </w:rPr>
        <w:t>(ii) Protects the personally identifiable information from further disclosures or other uses, except as authorized in paragraph (b)(1) of this section; and</w:t>
      </w:r>
    </w:p>
    <w:p w:rsidR="004B6339" w:rsidRPr="004D25BE" w:rsidP="004B6339" w14:paraId="4FDC2E82" w14:textId="77777777">
      <w:pPr>
        <w:tabs>
          <w:tab w:val="left" w:pos="540"/>
        </w:tabs>
        <w:spacing w:after="120"/>
        <w:ind w:left="360"/>
        <w:rPr>
          <w:szCs w:val="24"/>
        </w:rPr>
      </w:pPr>
      <w:r w:rsidRPr="004D25BE">
        <w:rPr>
          <w:color w:val="000000"/>
          <w:szCs w:val="24"/>
        </w:rPr>
        <w:t>(iii) Destroys the personally identifiable information in accordance with the requirements of paragraphs (b) and (c) of this section.</w:t>
      </w:r>
    </w:p>
    <w:p w:rsidR="004B6339" w:rsidRPr="004D25BE" w:rsidP="004B6339" w14:paraId="4CF10838" w14:textId="77777777">
      <w:pPr>
        <w:tabs>
          <w:tab w:val="left" w:pos="540"/>
        </w:tabs>
        <w:spacing w:after="120"/>
        <w:ind w:left="360"/>
        <w:rPr>
          <w:szCs w:val="24"/>
        </w:rPr>
      </w:pPr>
      <w:r w:rsidRPr="004D25BE">
        <w:rPr>
          <w:color w:val="000000"/>
          <w:szCs w:val="24"/>
        </w:rPr>
        <w:t>(b) Information that is collected under paragraph (a) of this section must—</w:t>
      </w:r>
    </w:p>
    <w:p w:rsidR="004B6339" w:rsidRPr="004D25BE" w:rsidP="004B6339" w14:paraId="55D521C3" w14:textId="77777777">
      <w:pPr>
        <w:tabs>
          <w:tab w:val="left" w:pos="540"/>
        </w:tabs>
        <w:spacing w:after="120"/>
        <w:ind w:left="360"/>
        <w:rPr>
          <w:szCs w:val="24"/>
        </w:rPr>
      </w:pPr>
      <w:r w:rsidRPr="004D25BE">
        <w:rPr>
          <w:color w:val="000000"/>
          <w:szCs w:val="24"/>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004B6339" w:rsidRPr="004D25BE" w:rsidP="004B6339" w14:paraId="6C7D1260" w14:textId="77777777">
      <w:pPr>
        <w:tabs>
          <w:tab w:val="left" w:pos="540"/>
        </w:tabs>
        <w:spacing w:after="120"/>
        <w:ind w:left="360"/>
        <w:rPr>
          <w:szCs w:val="24"/>
        </w:rPr>
      </w:pPr>
      <w:r w:rsidRPr="004D25BE">
        <w:rPr>
          <w:color w:val="000000"/>
          <w:szCs w:val="24"/>
        </w:rPr>
        <w:t>(2) Be destroyed when no longer needed for the purposes listed in paragraph (a) of this section.</w:t>
      </w:r>
    </w:p>
    <w:p w:rsidR="004B6339" w:rsidRPr="004D25BE" w:rsidP="004B6339" w14:paraId="1536D33B" w14:textId="77777777">
      <w:pPr>
        <w:tabs>
          <w:tab w:val="left" w:pos="540"/>
        </w:tabs>
        <w:spacing w:after="120"/>
        <w:ind w:left="360"/>
        <w:rPr>
          <w:szCs w:val="24"/>
        </w:rPr>
      </w:pPr>
      <w:r w:rsidRPr="004D25BE">
        <w:rPr>
          <w:color w:val="000000"/>
          <w:szCs w:val="24"/>
        </w:rPr>
        <w:t>(c) Paragraph (b) of this section does not apply if:</w:t>
      </w:r>
    </w:p>
    <w:p w:rsidR="004B6339" w:rsidRPr="004D25BE" w:rsidP="004B6339" w14:paraId="735236B4" w14:textId="77777777">
      <w:pPr>
        <w:tabs>
          <w:tab w:val="left" w:pos="540"/>
        </w:tabs>
        <w:spacing w:after="120"/>
        <w:ind w:left="360"/>
        <w:rPr>
          <w:szCs w:val="24"/>
        </w:rPr>
      </w:pPr>
      <w:r w:rsidRPr="004D25BE">
        <w:rPr>
          <w:color w:val="000000"/>
          <w:szCs w:val="24"/>
        </w:rPr>
        <w:t>(1) The parent or eligible student has given written consent for the disclosure under §99.30; or</w:t>
      </w:r>
    </w:p>
    <w:p w:rsidR="004B6339" w:rsidRPr="004D25BE" w:rsidP="004B6339" w14:paraId="3409810A" w14:textId="77777777">
      <w:pPr>
        <w:pStyle w:val="BodyText"/>
        <w:tabs>
          <w:tab w:val="left" w:pos="540"/>
        </w:tabs>
        <w:ind w:left="360"/>
        <w:rPr>
          <w:szCs w:val="24"/>
        </w:rPr>
      </w:pPr>
      <w:r w:rsidRPr="004D25BE">
        <w:rPr>
          <w:rFonts w:eastAsiaTheme="minorHAnsi"/>
          <w:color w:val="000000"/>
          <w:szCs w:val="24"/>
        </w:rPr>
        <w:t>(2) The collection of personally identifiable information is specifically authorized by Federal law.”</w:t>
      </w:r>
    </w:p>
    <w:p w:rsidR="004B6339" w:rsidRPr="004D25BE" w:rsidP="004B6339" w14:paraId="6BA83AF7" w14:textId="77777777">
      <w:pPr>
        <w:pStyle w:val="BodyText"/>
        <w:spacing w:before="0"/>
        <w:rPr>
          <w:szCs w:val="24"/>
        </w:rPr>
      </w:pPr>
      <w:r w:rsidRPr="004D25BE">
        <w:rPr>
          <w:color w:val="000000"/>
          <w:szCs w:val="24"/>
        </w:rPr>
        <w:t>Additionally, the study, including the administrative data linkage, qualifies for a 45 CFR Part 46 waiver of consent based on the following factors:</w:t>
      </w:r>
    </w:p>
    <w:p w:rsidR="004B6339" w:rsidRPr="004D25BE" w:rsidP="004B6339" w14:paraId="2FEB09DF" w14:textId="77777777">
      <w:pPr>
        <w:pStyle w:val="bulletround"/>
        <w:widowControl w:val="0"/>
        <w:numPr>
          <w:ilvl w:val="0"/>
          <w:numId w:val="30"/>
        </w:numPr>
        <w:tabs>
          <w:tab w:val="num" w:pos="450"/>
        </w:tabs>
        <w:spacing w:after="120"/>
        <w:ind w:left="450" w:hanging="270"/>
        <w:rPr>
          <w:rFonts w:cs="Times New Roman"/>
          <w:szCs w:val="24"/>
        </w:rPr>
      </w:pPr>
      <w:r w:rsidRPr="004D25BE">
        <w:rPr>
          <w:color w:val="000000"/>
          <w:szCs w:val="24"/>
        </w:rPr>
        <w:t>There is minimal risk to the participants. There is no physical risk and only minimal risk associated with linkage of data to sample members. The public-use and restricted-use data, prepared as part of the contract with the data collection contractor, will not include Social Security Numbers (SSNs) or other extremely sensitive Personally Identifiable Information (e.g., name, birthdate, etc.) even though these data elements are used for the linkage. Data will undergo disclosure avoidance analysis and disclosure treatment steps to further reduce the risk.</w:t>
      </w:r>
    </w:p>
    <w:p w:rsidR="004B6339" w:rsidRPr="004D25BE" w:rsidP="004B6339" w14:paraId="66E67877" w14:textId="77777777">
      <w:pPr>
        <w:pStyle w:val="bulletround"/>
        <w:widowControl w:val="0"/>
        <w:numPr>
          <w:ilvl w:val="0"/>
          <w:numId w:val="30"/>
        </w:numPr>
        <w:tabs>
          <w:tab w:val="num" w:pos="450"/>
        </w:tabs>
        <w:spacing w:after="120"/>
        <w:ind w:left="450" w:hanging="270"/>
        <w:rPr>
          <w:rFonts w:cs="Times New Roman"/>
          <w:szCs w:val="24"/>
        </w:rPr>
      </w:pPr>
      <w:r w:rsidRPr="004D25BE">
        <w:rPr>
          <w:color w:val="000000"/>
          <w:szCs w:val="24"/>
        </w:rPr>
        <w:t>The waiver will not affect the rights and welfare of sampled students. Public-use and restricted-use data are only used for research purposes and lack direct individually-identifying information. The data are further protected through disclosure avoidance procedures approved by the NCES Disclosure Review Board.</w:t>
      </w:r>
    </w:p>
    <w:p w:rsidR="004B6339" w:rsidRPr="004D25BE" w:rsidP="004B6339" w14:paraId="32A85FDF" w14:textId="77777777">
      <w:pPr>
        <w:pStyle w:val="NormalWeb"/>
        <w:numPr>
          <w:ilvl w:val="0"/>
          <w:numId w:val="30"/>
        </w:numPr>
        <w:tabs>
          <w:tab w:val="num" w:pos="450"/>
          <w:tab w:val="clear" w:pos="1440"/>
        </w:tabs>
        <w:ind w:left="450" w:hanging="270"/>
        <w:rPr>
          <w:rFonts w:ascii="Garamond" w:hAnsi="Garamond" w:cs="Arial"/>
          <w:color w:val="000000"/>
        </w:rPr>
      </w:pPr>
      <w:r w:rsidRPr="004D25BE">
        <w:rPr>
          <w:rFonts w:ascii="Garamond" w:hAnsi="Garamond" w:cs="Arial"/>
          <w:color w:val="000000"/>
        </w:rPr>
        <w:t>The study cannot be conducted practicably without the waiver. To obtain written consent from sampled students</w:t>
      </w:r>
      <w:r>
        <w:rPr>
          <w:rFonts w:ascii="Garamond" w:hAnsi="Garamond" w:cs="Arial"/>
          <w:color w:val="000000"/>
        </w:rPr>
        <w:t xml:space="preserve"> for each administrative source</w:t>
      </w:r>
      <w:r w:rsidRPr="004D25BE">
        <w:rPr>
          <w:rFonts w:ascii="Garamond" w:hAnsi="Garamond" w:cs="Arial"/>
          <w:color w:val="000000"/>
        </w:rPr>
        <w:t>, multiple forms would have to be sent to them with multiple follow-up telephone and in-person visits</w:t>
      </w:r>
      <w:r>
        <w:rPr>
          <w:rFonts w:ascii="Garamond" w:hAnsi="Garamond" w:cs="Arial"/>
          <w:color w:val="000000"/>
        </w:rPr>
        <w:t>, adding to the burden on sample members</w:t>
      </w:r>
      <w:r w:rsidRPr="004D25BE">
        <w:rPr>
          <w:rFonts w:ascii="Garamond" w:hAnsi="Garamond" w:cs="Arial"/>
          <w:color w:val="000000"/>
        </w:rPr>
        <w:t xml:space="preserve">. This process would add weeks </w:t>
      </w:r>
      <w:r w:rsidRPr="004D25BE">
        <w:rPr>
          <w:rFonts w:ascii="Garamond" w:hAnsi="Garamond" w:cs="Arial"/>
          <w:color w:val="000000"/>
        </w:rPr>
        <w:t>to the data collection process and is not feasible from a time standpoint. Additionally, the value of these data would be jeopardized from a nonresponse bias perspective.</w:t>
      </w:r>
    </w:p>
    <w:p w:rsidR="004B6339" w:rsidRPr="004D25BE" w:rsidP="004B6339" w14:paraId="0072C469" w14:textId="77777777">
      <w:pPr>
        <w:pStyle w:val="NormalWeb"/>
        <w:rPr>
          <w:rFonts w:ascii="Garamond" w:hAnsi="Garamond" w:cs="Arial"/>
          <w:color w:val="000000"/>
        </w:rPr>
      </w:pPr>
      <w:r w:rsidRPr="004D25BE">
        <w:rPr>
          <w:rFonts w:ascii="Garamond" w:hAnsi="Garamond"/>
          <w:color w:val="000000"/>
        </w:rPr>
        <w:t>Appendix B includes additional information regarding confidentiality for administrative record matching.</w:t>
      </w:r>
    </w:p>
    <w:p w:rsidR="004B6339" w:rsidRPr="004D25BE" w:rsidP="004B6339" w14:paraId="4DE58DD1" w14:textId="77777777">
      <w:pPr>
        <w:pStyle w:val="NormalWeb"/>
        <w:rPr>
          <w:rFonts w:ascii="Garamond" w:hAnsi="Garamond"/>
          <w:b/>
          <w:bCs/>
          <w:color w:val="000000"/>
        </w:rPr>
      </w:pPr>
      <w:r w:rsidRPr="004D25BE">
        <w:rPr>
          <w:rFonts w:ascii="Garamond" w:hAnsi="Garamond"/>
          <w:b/>
          <w:bCs/>
          <w:color w:val="000000"/>
        </w:rPr>
        <w:t>Student</w:t>
      </w:r>
    </w:p>
    <w:p w:rsidR="004B6339" w:rsidRPr="004D25BE" w:rsidP="004B6339" w14:paraId="7A7E6211" w14:textId="77777777">
      <w:pPr>
        <w:pStyle w:val="NormalWeb"/>
        <w:rPr>
          <w:rFonts w:ascii="Garamond" w:hAnsi="Garamond"/>
          <w:color w:val="000000"/>
        </w:rPr>
      </w:pPr>
      <w:r w:rsidRPr="004D25BE">
        <w:rPr>
          <w:rFonts w:ascii="Garamond" w:hAnsi="Garamond"/>
          <w:color w:val="000000"/>
        </w:rPr>
        <w:t xml:space="preserve">The </w:t>
      </w:r>
      <w:r w:rsidRPr="004D25BE">
        <w:rPr>
          <w:rFonts w:ascii="Garamond" w:hAnsi="Garamond"/>
        </w:rPr>
        <w:t xml:space="preserve">following </w:t>
      </w:r>
      <w:r w:rsidRPr="004D25BE">
        <w:rPr>
          <w:rFonts w:ascii="Garamond" w:hAnsi="Garamond"/>
          <w:color w:val="000000"/>
        </w:rPr>
        <w:t xml:space="preserve">language </w:t>
      </w:r>
      <w:r w:rsidRPr="004D25BE">
        <w:rPr>
          <w:rFonts w:ascii="Garamond" w:hAnsi="Garamond"/>
        </w:rPr>
        <w:t>will be included,</w:t>
      </w:r>
      <w:r w:rsidRPr="004D25BE">
        <w:rPr>
          <w:rFonts w:ascii="Garamond" w:hAnsi="Garamond"/>
          <w:color w:val="000000"/>
        </w:rPr>
        <w:t xml:space="preserve"> as </w:t>
      </w:r>
      <w:r w:rsidRPr="004D25BE">
        <w:rPr>
          <w:rFonts w:ascii="Garamond" w:hAnsi="Garamond"/>
        </w:rPr>
        <w:t>appropriate,</w:t>
      </w:r>
      <w:r w:rsidRPr="004D25BE">
        <w:rPr>
          <w:rFonts w:ascii="Garamond" w:hAnsi="Garamond"/>
          <w:color w:val="000000"/>
        </w:rPr>
        <w:t xml:space="preserve"> in </w:t>
      </w:r>
      <w:r w:rsidRPr="004D25BE">
        <w:rPr>
          <w:rFonts w:ascii="Garamond" w:hAnsi="Garamond"/>
        </w:rPr>
        <w:t>sample</w:t>
      </w:r>
      <w:r w:rsidRPr="004D25BE">
        <w:rPr>
          <w:rFonts w:ascii="Garamond" w:hAnsi="Garamond"/>
          <w:color w:val="000000"/>
        </w:rPr>
        <w:t xml:space="preserve"> contact materials</w:t>
      </w:r>
      <w:r w:rsidRPr="004D25BE">
        <w:rPr>
          <w:rFonts w:ascii="Garamond" w:hAnsi="Garamond"/>
        </w:rPr>
        <w:t xml:space="preserve"> and on </w:t>
      </w:r>
      <w:bookmarkStart w:id="70" w:name="_Hlk17368292"/>
      <w:r w:rsidRPr="004D25BE">
        <w:rPr>
          <w:rFonts w:ascii="Garamond" w:hAnsi="Garamond"/>
          <w:color w:val="000000"/>
        </w:rPr>
        <w:t>data collection instruments</w:t>
      </w:r>
      <w:bookmarkEnd w:id="70"/>
      <w:r w:rsidRPr="004D25BE">
        <w:rPr>
          <w:rFonts w:ascii="Garamond" w:hAnsi="Garamond"/>
        </w:rPr>
        <w:t>:</w:t>
      </w:r>
    </w:p>
    <w:p w:rsidR="004B6339" w:rsidRPr="004D25BE" w:rsidP="004B6339" w14:paraId="5D8514FE" w14:textId="77777777">
      <w:pPr>
        <w:pStyle w:val="NormalWeb"/>
        <w:ind w:left="720"/>
        <w:rPr>
          <w:rFonts w:ascii="Garamond" w:hAnsi="Garamond" w:cs="Calibri"/>
        </w:rPr>
      </w:pPr>
      <w:r w:rsidRPr="004D25BE">
        <w:rPr>
          <w:rFonts w:ascii="Garamond" w:hAnsi="Garamond"/>
          <w:color w:val="000000"/>
        </w:rPr>
        <w:t>NCES is authorized to conduct the 2020/25 Beginning Postsecondary Students Longitudinal Study (BPS:20/</w:t>
      </w:r>
      <w:r w:rsidRPr="004D25BE">
        <w:rPr>
          <w:rFonts w:ascii="Garamond" w:hAnsi="Garamond" w:cs="Calibri"/>
        </w:rPr>
        <w:t>25</w:t>
      </w:r>
      <w:r w:rsidRPr="004D25BE">
        <w:rPr>
          <w:rFonts w:ascii="Garamond" w:hAnsi="Garamond"/>
          <w:color w:val="000000"/>
        </w:rPr>
        <w:t xml:space="preserve">) by the Education Sciences Reform Act of 2002 (ESRA, 20 U.S.C. §9543) and to collect students' education records from educational agencies or institutions for the purpose of evaluating federally supported education programs under the Family Educational Rights and Privacy Act of 1974 (FERPA, 34 CFR §§ 99.31(a)(3)(iii) and 99.35). The data are being collected for NCES by RTI International, a U.S.-based nonprofit research organization. </w:t>
      </w:r>
    </w:p>
    <w:p w:rsidR="004B6339" w:rsidRPr="004D25BE" w:rsidP="004B6339" w14:paraId="558346FD" w14:textId="77777777">
      <w:pPr>
        <w:pStyle w:val="NormalWeb"/>
        <w:ind w:left="720"/>
        <w:rPr>
          <w:rFonts w:ascii="Garamond" w:hAnsi="Garamond"/>
          <w:color w:val="000000"/>
        </w:rPr>
      </w:pPr>
      <w:r w:rsidRPr="004D25BE">
        <w:rPr>
          <w:rFonts w:ascii="Garamond" w:hAnsi="Garamond"/>
          <w:color w:val="000000"/>
        </w:rPr>
        <w:t>All of the information you provide may be used only for statistical purposes and may not be disclosed, or used, in identifiable form, for any other purpose except as required by law (20 U.S.C. §9573 and 6 U.S.C. §151).</w:t>
      </w:r>
    </w:p>
    <w:p w:rsidR="004B6339" w:rsidRPr="004B6339" w:rsidP="47D55F4E" w14:paraId="5E2B112B" w14:textId="474DE8FE">
      <w:pPr>
        <w:shd w:val="clear" w:color="auto" w:fill="FFFFFF" w:themeFill="background1"/>
        <w:spacing w:after="100" w:afterAutospacing="1"/>
        <w:ind w:left="720"/>
        <w:rPr>
          <w:rFonts w:cs="Segoe UI"/>
        </w:rPr>
      </w:pPr>
      <w:r>
        <w:t xml:space="preserve">According to the Paperwork Reduction Act of 1995, no persons are required to respond to a collection of information unless it displays a valid OMB control number. The valid OMB control number for this voluntary information collection is 1850-0631. The time required to complete this information collection is estimated to average approximately 30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2020/25 Beginning Postsecondary Students Longitudinal Study (BPS:20/25) Full-scale, National Center for Education Statistics, Potomac Center Plaza, 550 12th St., SW, Room </w:t>
      </w:r>
      <w:r w:rsidR="001057F7">
        <w:t>4037</w:t>
      </w:r>
      <w:r>
        <w:t>, Washington, DC</w:t>
      </w:r>
      <w:r w:rsidR="00222C1D">
        <w:t xml:space="preserve"> </w:t>
      </w:r>
      <w:r>
        <w:t>20202. OMB Clearance No: 1850-0666 Expiration Date: xx/xx/xxxx</w:t>
      </w:r>
    </w:p>
    <w:p w:rsidR="006B60A4" w:rsidP="006B60A4" w14:paraId="3AECE954" w14:textId="63EFA790">
      <w:pPr>
        <w:pStyle w:val="Heading2"/>
      </w:pPr>
      <w:bookmarkStart w:id="71" w:name="_Toc5011109"/>
      <w:bookmarkStart w:id="72" w:name="_Hlk144369290"/>
      <w:bookmarkStart w:id="73" w:name="_Hlk2275028"/>
      <w:bookmarkStart w:id="74" w:name="_Toc174598618"/>
      <w:r w:rsidRPr="00477529">
        <w:t>Sensitive Questions</w:t>
      </w:r>
      <w:bookmarkStart w:id="75" w:name="_Toc383113375"/>
      <w:bookmarkStart w:id="76" w:name="_Toc5011110"/>
      <w:bookmarkStart w:id="77" w:name="_Hlk2259137"/>
      <w:bookmarkEnd w:id="69"/>
      <w:bookmarkEnd w:id="71"/>
      <w:bookmarkEnd w:id="72"/>
      <w:bookmarkEnd w:id="73"/>
      <w:bookmarkEnd w:id="74"/>
    </w:p>
    <w:p w:rsidR="006B60A4" w:rsidRPr="006B60A4" w:rsidP="006B60A4" w14:paraId="1493D9DB" w14:textId="26AC6668">
      <w:pPr>
        <w:pStyle w:val="NormalWeb"/>
        <w:spacing w:after="0"/>
      </w:pPr>
      <w:r w:rsidRPr="004D25BE">
        <w:rPr>
          <w:rFonts w:ascii="Garamond" w:hAnsi="Garamond"/>
          <w:color w:val="000000"/>
        </w:rPr>
        <w:t>The BPS survey collects information about earnings, assets, marital and family statuses, gender identity and sexual orientation, student basic needs, and mental health. Regulations governing the administration of these questions require: (a) clear documentation of the need for such information as it relates to the primary purpose of the study, and (b) provisions to clearly inform sample members of the voluntary nature of participation in the study, as well as information about how their responses will be protected and may be used only for statistical purposes and may not be disclosed, or used, in identifiable form for any other purpose except as required by law (20 U.S.C. §9573 and 6 U.S.C. §151).</w:t>
      </w:r>
      <w:r w:rsidRPr="004D25BE">
        <w:rPr>
          <w:rFonts w:ascii="Garamond" w:hAnsi="Garamond"/>
          <w:color w:val="000000"/>
        </w:rPr>
        <w:br/>
      </w:r>
      <w:r w:rsidRPr="004D25BE">
        <w:rPr>
          <w:rFonts w:ascii="Garamond" w:hAnsi="Garamond"/>
          <w:color w:val="000000"/>
        </w:rPr>
        <w:br/>
        <w:t xml:space="preserve">The collection of data related to income, earnings, assets, indebtedness, and employment outcomes is central to understanding key policy issues driving this study. Financial assets and obligations are important post-graduate outcomes of students and are indicators of the rate of return of educational experiences to the respondent. </w:t>
      </w:r>
      <w:r w:rsidRPr="004D25BE">
        <w:rPr>
          <w:rFonts w:ascii="Garamond" w:hAnsi="Garamond"/>
          <w:color w:val="000000"/>
        </w:rPr>
        <w:br/>
      </w:r>
      <w:r w:rsidRPr="004D25BE">
        <w:rPr>
          <w:rFonts w:ascii="Garamond" w:hAnsi="Garamond"/>
          <w:color w:val="000000"/>
        </w:rPr>
        <w:br/>
        <w:t xml:space="preserve">The collection of information about marital and family status likewise facilitates the exploration of key policy issues. Financial and family-related obligations also influence decisions about enrollment, employment, and loan repayment so it is important to collect information about marital status and dependents. Gender identity and sexual orientation can impact enrollment and employment experiences and outcomes, a topic of growing interest for social research and policy. </w:t>
      </w:r>
      <w:r w:rsidRPr="004D25BE">
        <w:rPr>
          <w:rFonts w:ascii="Garamond" w:hAnsi="Garamond"/>
          <w:color w:val="000000"/>
        </w:rPr>
        <w:br/>
      </w:r>
      <w:r w:rsidRPr="004D25BE">
        <w:rPr>
          <w:rFonts w:ascii="Garamond" w:hAnsi="Garamond"/>
          <w:color w:val="000000"/>
        </w:rPr>
        <w:br/>
        <w:t xml:space="preserve">Financial data related to earnings and assets, as well as marital and dependency statuses are key items used in calculating need for financial aid, parental contributions, and financial aid awards. Consequently, the data elements are critical to conduct policy-related analyses and to model and project the effects of federal program </w:t>
      </w:r>
      <w:r w:rsidRPr="004D25BE">
        <w:rPr>
          <w:rFonts w:ascii="Garamond" w:hAnsi="Garamond"/>
          <w:color w:val="000000"/>
        </w:rPr>
        <w:t>changes on students and program costs.</w:t>
      </w:r>
      <w:r w:rsidRPr="004D25BE">
        <w:rPr>
          <w:rFonts w:ascii="Garamond" w:hAnsi="Garamond"/>
          <w:color w:val="000000"/>
        </w:rPr>
        <w:br/>
      </w:r>
      <w:r w:rsidRPr="004D25BE">
        <w:rPr>
          <w:rFonts w:ascii="Garamond" w:hAnsi="Garamond"/>
          <w:color w:val="000000"/>
        </w:rPr>
        <w:br/>
        <w:t>Data elements capturing food and housing security are critical to measure how well the basic needs of postsecondary students are being met. The NPSAS:20 student survey, which served as the base-year data collection for BPS:20/</w:t>
      </w:r>
      <w:r w:rsidRPr="004D25BE">
        <w:rPr>
          <w:rFonts w:ascii="Garamond" w:hAnsi="Garamond" w:cs="Calibri"/>
          <w:color w:val="000000"/>
        </w:rPr>
        <w:t>25</w:t>
      </w:r>
      <w:r w:rsidRPr="004D25BE">
        <w:rPr>
          <w:rFonts w:ascii="Garamond" w:hAnsi="Garamond"/>
          <w:color w:val="000000"/>
        </w:rPr>
        <w:t xml:space="preserve">, was the first federal survey to collect food security data on a national postsecondary student population. Homelessness is one indicator of housing security, which is a multidimensional construct. To capture more nuanced information on student housing security, the BPS:20/22 survey collected indicators of housing security such as housing affordability, stability, and safety. These indicators will also be collected in BPS:20/25 and allow researchers to understand the impact that housing security can have on student persistence and attainment and other outcomes of interest. </w:t>
      </w:r>
    </w:p>
    <w:p w:rsidR="005F3E77" w:rsidP="006D5B4B" w14:paraId="1E8E41D5" w14:textId="5E6A9BEE">
      <w:pPr>
        <w:pStyle w:val="Heading2"/>
        <w:ind w:left="1094" w:hanging="547"/>
      </w:pPr>
      <w:bookmarkStart w:id="78" w:name="_Toc174598619"/>
      <w:r w:rsidRPr="00477529">
        <w:t>Estimates of Response Burden</w:t>
      </w:r>
      <w:bookmarkEnd w:id="75"/>
      <w:bookmarkEnd w:id="76"/>
      <w:bookmarkEnd w:id="78"/>
    </w:p>
    <w:p w:rsidR="006B60A4" w:rsidRPr="004D25BE" w:rsidP="006B60A4" w14:paraId="16286672" w14:textId="2FA946C8">
      <w:pPr>
        <w:pStyle w:val="BodyText"/>
        <w:rPr>
          <w:rFonts w:cstheme="minorHAnsi"/>
          <w:color w:val="FF0000"/>
          <w:szCs w:val="24"/>
        </w:rPr>
      </w:pPr>
      <w:r w:rsidRPr="004D25BE">
        <w:rPr>
          <w:rFonts w:cstheme="minorHAnsi"/>
          <w:color w:val="000000"/>
          <w:szCs w:val="24"/>
        </w:rPr>
        <w:t xml:space="preserve">Table 2 provides the projected estimates for response burden for the BPS:20/25 </w:t>
      </w:r>
      <w:r>
        <w:rPr>
          <w:rFonts w:cstheme="minorHAnsi"/>
          <w:color w:val="000000"/>
          <w:szCs w:val="24"/>
        </w:rPr>
        <w:t>full-scale</w:t>
      </w:r>
      <w:r w:rsidR="00A32481">
        <w:rPr>
          <w:rFonts w:cstheme="minorHAnsi"/>
          <w:color w:val="000000"/>
          <w:szCs w:val="24"/>
        </w:rPr>
        <w:t xml:space="preserve"> study</w:t>
      </w:r>
      <w:r w:rsidRPr="004D25BE">
        <w:rPr>
          <w:rFonts w:cstheme="minorHAnsi"/>
          <w:color w:val="000000"/>
          <w:szCs w:val="24"/>
        </w:rPr>
        <w:t>, which are based on NPSAS:20 and BPS:20/22</w:t>
      </w:r>
      <w:r w:rsidRPr="004D25BE">
        <w:rPr>
          <w:rFonts w:cstheme="minorHAnsi"/>
          <w:szCs w:val="24"/>
        </w:rPr>
        <w:t xml:space="preserve">. We expect the student survey to require approximately 30 minutes, on average, for completion. </w:t>
      </w:r>
      <w:r w:rsidRPr="004D25BE" w:rsidR="00A922F9">
        <w:rPr>
          <w:rFonts w:cstheme="minorHAnsi"/>
          <w:szCs w:val="24"/>
        </w:rPr>
        <w:t>Estimating an average hourly rate of $</w:t>
      </w:r>
      <w:r w:rsidRPr="004D25BE" w:rsidR="00686CE5">
        <w:rPr>
          <w:rFonts w:cstheme="minorHAnsi"/>
          <w:szCs w:val="24"/>
        </w:rPr>
        <w:t>3</w:t>
      </w:r>
      <w:r w:rsidR="00686CE5">
        <w:rPr>
          <w:rFonts w:cstheme="minorHAnsi"/>
          <w:szCs w:val="24"/>
        </w:rPr>
        <w:t>7</w:t>
      </w:r>
      <w:r>
        <w:rPr>
          <w:rStyle w:val="FootnoteReference"/>
          <w:rFonts w:eastAsiaTheme="majorEastAsia" w:cstheme="minorHAnsi"/>
          <w:szCs w:val="24"/>
        </w:rPr>
        <w:footnoteReference w:id="4"/>
      </w:r>
      <w:r w:rsidRPr="004D25BE" w:rsidR="00A922F9">
        <w:rPr>
          <w:rFonts w:cstheme="minorHAnsi"/>
          <w:szCs w:val="24"/>
        </w:rPr>
        <w:t xml:space="preserve"> for participating students, the </w:t>
      </w:r>
      <w:r w:rsidR="00222C1D">
        <w:rPr>
          <w:rFonts w:cstheme="minorHAnsi"/>
          <w:szCs w:val="24"/>
        </w:rPr>
        <w:t>9,0</w:t>
      </w:r>
      <w:r w:rsidR="005D69E6">
        <w:rPr>
          <w:rFonts w:cstheme="minorHAnsi"/>
          <w:szCs w:val="24"/>
        </w:rPr>
        <w:t>1</w:t>
      </w:r>
      <w:r w:rsidR="00222C1D">
        <w:rPr>
          <w:rFonts w:cstheme="minorHAnsi"/>
          <w:szCs w:val="24"/>
        </w:rPr>
        <w:t>0</w:t>
      </w:r>
      <w:r w:rsidRPr="004D25BE" w:rsidR="00A922F9">
        <w:rPr>
          <w:rFonts w:cstheme="minorHAnsi"/>
          <w:szCs w:val="24"/>
        </w:rPr>
        <w:t xml:space="preserve"> total burden hours are estimated to translate to $</w:t>
      </w:r>
      <w:r w:rsidR="00A922F9">
        <w:rPr>
          <w:rFonts w:cstheme="minorHAnsi"/>
          <w:szCs w:val="24"/>
        </w:rPr>
        <w:t>3</w:t>
      </w:r>
      <w:r w:rsidR="00222C1D">
        <w:rPr>
          <w:rFonts w:cstheme="minorHAnsi"/>
          <w:szCs w:val="24"/>
        </w:rPr>
        <w:t>33</w:t>
      </w:r>
      <w:r w:rsidR="00A922F9">
        <w:rPr>
          <w:rFonts w:cstheme="minorHAnsi"/>
          <w:szCs w:val="24"/>
        </w:rPr>
        <w:t>,</w:t>
      </w:r>
      <w:r w:rsidR="005D69E6">
        <w:rPr>
          <w:rFonts w:cstheme="minorHAnsi"/>
          <w:szCs w:val="24"/>
        </w:rPr>
        <w:t>37</w:t>
      </w:r>
      <w:r w:rsidR="00222C1D">
        <w:rPr>
          <w:rFonts w:cstheme="minorHAnsi"/>
          <w:szCs w:val="24"/>
        </w:rPr>
        <w:t>0</w:t>
      </w:r>
      <w:r w:rsidRPr="004D25BE" w:rsidR="00A922F9">
        <w:rPr>
          <w:rFonts w:cstheme="minorHAnsi"/>
          <w:szCs w:val="24"/>
        </w:rPr>
        <w:t xml:space="preserve"> total burden time cost to respondents.</w:t>
      </w:r>
    </w:p>
    <w:p w:rsidR="006B60A4" w:rsidRPr="00BD70A2" w:rsidP="00BD70A2" w14:paraId="26EED53E" w14:textId="32B10ACA">
      <w:pPr>
        <w:pStyle w:val="TableTitle"/>
      </w:pPr>
      <w:bookmarkStart w:id="79" w:name="_Toc174606375"/>
      <w:bookmarkStart w:id="80" w:name="_Toc140138103"/>
      <w:r>
        <w:t>Table 2. Average estimated burden to respondents for the BPS:20/25 full-scale data collection</w:t>
      </w:r>
      <w:bookmarkEnd w:id="79"/>
      <w:r>
        <w:t xml:space="preserve"> </w:t>
      </w:r>
      <w:bookmarkEnd w:id="80"/>
    </w:p>
    <w:tbl>
      <w:tblPr>
        <w:tblStyle w:val="TableGrid"/>
        <w:tblW w:w="4921" w:type="pct"/>
        <w:tblInd w:w="-5" w:type="dxa"/>
        <w:tblLayout w:type="fixed"/>
        <w:tblLook w:val="01E0"/>
      </w:tblPr>
      <w:tblGrid>
        <w:gridCol w:w="2615"/>
        <w:gridCol w:w="1061"/>
        <w:gridCol w:w="966"/>
        <w:gridCol w:w="1228"/>
        <w:gridCol w:w="1228"/>
        <w:gridCol w:w="1054"/>
        <w:gridCol w:w="1228"/>
        <w:gridCol w:w="966"/>
      </w:tblGrid>
      <w:tr w14:paraId="163D0F8C" w14:textId="77777777" w:rsidTr="0050582E">
        <w:tblPrEx>
          <w:tblW w:w="4921" w:type="pct"/>
          <w:tblInd w:w="-5" w:type="dxa"/>
          <w:tblLayout w:type="fixed"/>
          <w:tblLook w:val="01E0"/>
        </w:tblPrEx>
        <w:trPr>
          <w:cantSplit/>
          <w:tblHeader/>
        </w:trPr>
        <w:tc>
          <w:tcPr>
            <w:tcW w:w="2615" w:type="dxa"/>
            <w:hideMark/>
          </w:tcPr>
          <w:p w:rsidR="006B60A4" w:rsidRPr="00727587" w14:paraId="33777D59" w14:textId="77777777">
            <w:pPr>
              <w:pStyle w:val="Tabletext"/>
              <w:keepNext/>
              <w:rPr>
                <w:b/>
                <w:szCs w:val="16"/>
              </w:rPr>
            </w:pPr>
            <w:bookmarkStart w:id="81" w:name="_Hlk12363685"/>
            <w:r w:rsidRPr="00727587">
              <w:rPr>
                <w:b/>
                <w:szCs w:val="16"/>
              </w:rPr>
              <w:t>Data collection activity</w:t>
            </w:r>
          </w:p>
        </w:tc>
        <w:tc>
          <w:tcPr>
            <w:tcW w:w="1061" w:type="dxa"/>
            <w:hideMark/>
          </w:tcPr>
          <w:p w:rsidR="006B60A4" w:rsidRPr="00727587" w14:paraId="0A10804C" w14:textId="7EB45677">
            <w:pPr>
              <w:pStyle w:val="Tablenumbers"/>
              <w:rPr>
                <w:b/>
                <w:szCs w:val="16"/>
              </w:rPr>
            </w:pPr>
            <w:r w:rsidRPr="0050582E">
              <w:rPr>
                <w:b/>
                <w:szCs w:val="16"/>
              </w:rPr>
              <w:t>Sample</w:t>
            </w:r>
            <w:r w:rsidR="005D69E6">
              <w:rPr>
                <w:b/>
                <w:szCs w:val="16"/>
              </w:rPr>
              <w:t xml:space="preserve">    </w:t>
            </w:r>
            <w:r w:rsidR="00222C1D">
              <w:rPr>
                <w:b/>
                <w:szCs w:val="16"/>
              </w:rPr>
              <w:t xml:space="preserve"> </w:t>
            </w:r>
            <w:r w:rsidRPr="0050582E">
              <w:rPr>
                <w:b/>
                <w:szCs w:val="16"/>
              </w:rPr>
              <w:t>(Fielded Cases Only)</w:t>
            </w:r>
          </w:p>
        </w:tc>
        <w:tc>
          <w:tcPr>
            <w:tcW w:w="966" w:type="dxa"/>
            <w:hideMark/>
          </w:tcPr>
          <w:p w:rsidR="006B60A4" w:rsidRPr="00727587" w14:paraId="3616A998" w14:textId="77777777">
            <w:pPr>
              <w:pStyle w:val="Tablenumbers"/>
              <w:rPr>
                <w:b/>
                <w:szCs w:val="16"/>
              </w:rPr>
            </w:pPr>
            <w:r w:rsidRPr="00727587">
              <w:rPr>
                <w:b/>
                <w:szCs w:val="16"/>
              </w:rPr>
              <w:t>Expected eligible</w:t>
            </w:r>
          </w:p>
        </w:tc>
        <w:tc>
          <w:tcPr>
            <w:tcW w:w="1228" w:type="dxa"/>
          </w:tcPr>
          <w:p w:rsidR="006B60A4" w:rsidRPr="00727587" w14:paraId="1E74F8B9" w14:textId="77777777">
            <w:pPr>
              <w:pStyle w:val="Tablenumbers"/>
              <w:rPr>
                <w:b/>
                <w:szCs w:val="16"/>
              </w:rPr>
            </w:pPr>
            <w:r w:rsidRPr="00727587">
              <w:rPr>
                <w:b/>
                <w:szCs w:val="16"/>
              </w:rPr>
              <w:t>Expected response rate (percent)</w:t>
            </w:r>
          </w:p>
        </w:tc>
        <w:tc>
          <w:tcPr>
            <w:tcW w:w="1228" w:type="dxa"/>
            <w:hideMark/>
          </w:tcPr>
          <w:p w:rsidR="006B60A4" w:rsidRPr="00727587" w14:paraId="08769625" w14:textId="77777777">
            <w:pPr>
              <w:pStyle w:val="Tablenumbers"/>
              <w:rPr>
                <w:b/>
                <w:szCs w:val="16"/>
                <w:vertAlign w:val="superscript"/>
              </w:rPr>
            </w:pPr>
            <w:r w:rsidRPr="00727587">
              <w:rPr>
                <w:b/>
                <w:szCs w:val="16"/>
              </w:rPr>
              <w:t>Expected number of respondents</w:t>
            </w:r>
          </w:p>
        </w:tc>
        <w:tc>
          <w:tcPr>
            <w:tcW w:w="1054" w:type="dxa"/>
            <w:hideMark/>
          </w:tcPr>
          <w:p w:rsidR="006B60A4" w:rsidRPr="00727587" w14:paraId="486AC11D" w14:textId="77777777">
            <w:pPr>
              <w:pStyle w:val="Tablenumbers"/>
              <w:rPr>
                <w:b/>
                <w:szCs w:val="16"/>
              </w:rPr>
            </w:pPr>
            <w:r w:rsidRPr="00727587">
              <w:rPr>
                <w:b/>
                <w:szCs w:val="16"/>
              </w:rPr>
              <w:t>Expected number of responses</w:t>
            </w:r>
          </w:p>
        </w:tc>
        <w:tc>
          <w:tcPr>
            <w:tcW w:w="1228" w:type="dxa"/>
            <w:hideMark/>
          </w:tcPr>
          <w:p w:rsidR="006B60A4" w:rsidRPr="00727587" w14:paraId="427F4DCD" w14:textId="77777777">
            <w:pPr>
              <w:pStyle w:val="Tablenumbers"/>
              <w:rPr>
                <w:b/>
                <w:szCs w:val="16"/>
              </w:rPr>
            </w:pPr>
            <w:r w:rsidRPr="00727587">
              <w:rPr>
                <w:b/>
                <w:szCs w:val="16"/>
              </w:rPr>
              <w:t>Average time burden per response (mins)</w:t>
            </w:r>
          </w:p>
        </w:tc>
        <w:tc>
          <w:tcPr>
            <w:tcW w:w="966" w:type="dxa"/>
            <w:hideMark/>
          </w:tcPr>
          <w:p w:rsidR="006B60A4" w:rsidRPr="00727587" w14:paraId="28D88A44" w14:textId="77777777">
            <w:pPr>
              <w:pStyle w:val="Tablenumbers"/>
              <w:rPr>
                <w:b/>
                <w:szCs w:val="16"/>
              </w:rPr>
            </w:pPr>
            <w:r w:rsidRPr="00727587">
              <w:rPr>
                <w:b/>
                <w:szCs w:val="16"/>
              </w:rPr>
              <w:t>Total time burden (hours)</w:t>
            </w:r>
          </w:p>
        </w:tc>
      </w:tr>
      <w:tr w14:paraId="48EF5458" w14:textId="77777777" w:rsidTr="005D69E6">
        <w:tblPrEx>
          <w:tblW w:w="4921" w:type="pct"/>
          <w:tblInd w:w="-5" w:type="dxa"/>
          <w:tblLayout w:type="fixed"/>
          <w:tblLook w:val="01E0"/>
        </w:tblPrEx>
        <w:trPr>
          <w:cantSplit/>
        </w:trPr>
        <w:tc>
          <w:tcPr>
            <w:tcW w:w="2615" w:type="dxa"/>
          </w:tcPr>
          <w:p w:rsidR="006B60A4" w:rsidRPr="007A4B56" w14:paraId="3F8A3438" w14:textId="038A4603">
            <w:pPr>
              <w:pStyle w:val="2enspsubgroup1"/>
              <w:ind w:left="0" w:firstLine="0"/>
              <w:rPr>
                <w:b/>
                <w:bCs/>
                <w:szCs w:val="16"/>
              </w:rPr>
            </w:pPr>
            <w:r w:rsidRPr="007A4B56">
              <w:rPr>
                <w:b/>
                <w:bCs/>
                <w:szCs w:val="16"/>
              </w:rPr>
              <w:t>BPS:20/2</w:t>
            </w:r>
            <w:r>
              <w:rPr>
                <w:b/>
                <w:bCs/>
                <w:szCs w:val="16"/>
              </w:rPr>
              <w:t>5</w:t>
            </w:r>
            <w:r w:rsidRPr="007A4B56">
              <w:rPr>
                <w:b/>
                <w:bCs/>
                <w:szCs w:val="16"/>
              </w:rPr>
              <w:t xml:space="preserve"> </w:t>
            </w:r>
            <w:r>
              <w:rPr>
                <w:b/>
                <w:bCs/>
                <w:szCs w:val="16"/>
              </w:rPr>
              <w:t>Full-scale</w:t>
            </w:r>
          </w:p>
        </w:tc>
        <w:tc>
          <w:tcPr>
            <w:tcW w:w="1061" w:type="dxa"/>
            <w:shd w:val="clear" w:color="auto" w:fill="auto"/>
          </w:tcPr>
          <w:p w:rsidR="006B60A4" w:rsidRPr="005D69E6" w14:paraId="34021153" w14:textId="77777777">
            <w:pPr>
              <w:pStyle w:val="Tablenumbers"/>
              <w:rPr>
                <w:b/>
                <w:bCs/>
                <w:szCs w:val="16"/>
              </w:rPr>
            </w:pPr>
          </w:p>
        </w:tc>
        <w:tc>
          <w:tcPr>
            <w:tcW w:w="966" w:type="dxa"/>
            <w:shd w:val="clear" w:color="auto" w:fill="auto"/>
          </w:tcPr>
          <w:p w:rsidR="006B60A4" w:rsidRPr="005D69E6" w14:paraId="4E5F73D8" w14:textId="77777777">
            <w:pPr>
              <w:pStyle w:val="Tablenumbers"/>
              <w:rPr>
                <w:b/>
                <w:bCs/>
                <w:szCs w:val="16"/>
              </w:rPr>
            </w:pPr>
          </w:p>
        </w:tc>
        <w:tc>
          <w:tcPr>
            <w:tcW w:w="1228" w:type="dxa"/>
            <w:shd w:val="clear" w:color="auto" w:fill="auto"/>
          </w:tcPr>
          <w:p w:rsidR="006B60A4" w:rsidRPr="005D69E6" w14:paraId="3EEC0561" w14:textId="77777777">
            <w:pPr>
              <w:pStyle w:val="Tablenumbers"/>
              <w:rPr>
                <w:b/>
                <w:bCs/>
                <w:szCs w:val="16"/>
              </w:rPr>
            </w:pPr>
          </w:p>
        </w:tc>
        <w:tc>
          <w:tcPr>
            <w:tcW w:w="1228" w:type="dxa"/>
            <w:shd w:val="clear" w:color="auto" w:fill="auto"/>
          </w:tcPr>
          <w:p w:rsidR="006B60A4" w:rsidRPr="005D69E6" w14:paraId="7F9720E4" w14:textId="77777777">
            <w:pPr>
              <w:pStyle w:val="Tablenumbers"/>
              <w:rPr>
                <w:b/>
                <w:bCs/>
                <w:szCs w:val="16"/>
              </w:rPr>
            </w:pPr>
          </w:p>
        </w:tc>
        <w:tc>
          <w:tcPr>
            <w:tcW w:w="1054" w:type="dxa"/>
            <w:shd w:val="clear" w:color="auto" w:fill="auto"/>
          </w:tcPr>
          <w:p w:rsidR="006B60A4" w:rsidRPr="005D69E6" w14:paraId="63D5D60B" w14:textId="77777777">
            <w:pPr>
              <w:pStyle w:val="Tablenumbers"/>
              <w:rPr>
                <w:b/>
                <w:bCs/>
                <w:szCs w:val="16"/>
              </w:rPr>
            </w:pPr>
          </w:p>
        </w:tc>
        <w:tc>
          <w:tcPr>
            <w:tcW w:w="1228" w:type="dxa"/>
            <w:shd w:val="clear" w:color="auto" w:fill="auto"/>
          </w:tcPr>
          <w:p w:rsidR="006B60A4" w:rsidRPr="005D69E6" w14:paraId="1D8150B8" w14:textId="77777777">
            <w:pPr>
              <w:pStyle w:val="Tablenumbers"/>
              <w:rPr>
                <w:b/>
                <w:bCs/>
                <w:szCs w:val="16"/>
              </w:rPr>
            </w:pPr>
          </w:p>
        </w:tc>
        <w:tc>
          <w:tcPr>
            <w:tcW w:w="966" w:type="dxa"/>
            <w:shd w:val="clear" w:color="auto" w:fill="auto"/>
          </w:tcPr>
          <w:p w:rsidR="006B60A4" w:rsidRPr="005D69E6" w14:paraId="05026BD4" w14:textId="77777777">
            <w:pPr>
              <w:pStyle w:val="Tablenumbers"/>
              <w:rPr>
                <w:b/>
                <w:bCs/>
                <w:szCs w:val="16"/>
              </w:rPr>
            </w:pPr>
          </w:p>
        </w:tc>
      </w:tr>
      <w:bookmarkEnd w:id="81"/>
      <w:tr w14:paraId="0495D70D" w14:textId="77777777" w:rsidTr="005D69E6">
        <w:tblPrEx>
          <w:tblW w:w="4921" w:type="pct"/>
          <w:tblInd w:w="-5" w:type="dxa"/>
          <w:tblLayout w:type="fixed"/>
          <w:tblLook w:val="01E0"/>
        </w:tblPrEx>
        <w:trPr>
          <w:cantSplit/>
        </w:trPr>
        <w:tc>
          <w:tcPr>
            <w:tcW w:w="2615" w:type="dxa"/>
            <w:vAlign w:val="top"/>
          </w:tcPr>
          <w:p w:rsidR="006B60A4" w:rsidRPr="00727587" w:rsidP="006B60A4" w14:paraId="208393E1" w14:textId="587FC372">
            <w:pPr>
              <w:pStyle w:val="2enspsubgroup1"/>
              <w:ind w:left="0" w:firstLine="0"/>
              <w:rPr>
                <w:szCs w:val="16"/>
              </w:rPr>
            </w:pPr>
            <w:r w:rsidRPr="00144C0F">
              <w:rPr>
                <w:szCs w:val="16"/>
              </w:rPr>
              <w:t>Student survey</w:t>
            </w:r>
          </w:p>
        </w:tc>
        <w:tc>
          <w:tcPr>
            <w:tcW w:w="1061" w:type="dxa"/>
            <w:shd w:val="clear" w:color="auto" w:fill="auto"/>
          </w:tcPr>
          <w:p w:rsidR="006B60A4" w:rsidRPr="005D69E6" w:rsidP="006B60A4" w14:paraId="72CCE565" w14:textId="77777777">
            <w:pPr>
              <w:pStyle w:val="Tablenumbers"/>
              <w:rPr>
                <w:szCs w:val="16"/>
              </w:rPr>
            </w:pPr>
          </w:p>
        </w:tc>
        <w:tc>
          <w:tcPr>
            <w:tcW w:w="966" w:type="dxa"/>
            <w:shd w:val="clear" w:color="auto" w:fill="auto"/>
          </w:tcPr>
          <w:p w:rsidR="006B60A4" w:rsidRPr="005D69E6" w:rsidP="006B60A4" w14:paraId="3989388C" w14:textId="77777777">
            <w:pPr>
              <w:pStyle w:val="Tablenumbers"/>
              <w:rPr>
                <w:szCs w:val="16"/>
              </w:rPr>
            </w:pPr>
          </w:p>
        </w:tc>
        <w:tc>
          <w:tcPr>
            <w:tcW w:w="1228" w:type="dxa"/>
            <w:shd w:val="clear" w:color="auto" w:fill="auto"/>
          </w:tcPr>
          <w:p w:rsidR="006B60A4" w:rsidRPr="005D69E6" w:rsidP="006B60A4" w14:paraId="604B1937" w14:textId="77777777">
            <w:pPr>
              <w:pStyle w:val="Tablenumbers"/>
              <w:rPr>
                <w:szCs w:val="16"/>
              </w:rPr>
            </w:pPr>
          </w:p>
        </w:tc>
        <w:tc>
          <w:tcPr>
            <w:tcW w:w="1228" w:type="dxa"/>
            <w:shd w:val="clear" w:color="auto" w:fill="auto"/>
          </w:tcPr>
          <w:p w:rsidR="006B60A4" w:rsidRPr="005D69E6" w:rsidP="006B60A4" w14:paraId="3C134253" w14:textId="77777777">
            <w:pPr>
              <w:pStyle w:val="Tablenumbers"/>
              <w:rPr>
                <w:szCs w:val="16"/>
              </w:rPr>
            </w:pPr>
          </w:p>
        </w:tc>
        <w:tc>
          <w:tcPr>
            <w:tcW w:w="1054" w:type="dxa"/>
            <w:shd w:val="clear" w:color="auto" w:fill="auto"/>
          </w:tcPr>
          <w:p w:rsidR="006B60A4" w:rsidRPr="005D69E6" w:rsidP="006B60A4" w14:paraId="49E440D8" w14:textId="77777777">
            <w:pPr>
              <w:pStyle w:val="Tablenumbers"/>
              <w:rPr>
                <w:szCs w:val="16"/>
              </w:rPr>
            </w:pPr>
          </w:p>
        </w:tc>
        <w:tc>
          <w:tcPr>
            <w:tcW w:w="1228" w:type="dxa"/>
            <w:shd w:val="clear" w:color="auto" w:fill="auto"/>
          </w:tcPr>
          <w:p w:rsidR="006B60A4" w:rsidRPr="005D69E6" w:rsidP="006B60A4" w14:paraId="54987E60" w14:textId="77777777">
            <w:pPr>
              <w:pStyle w:val="Tablenumbers"/>
              <w:rPr>
                <w:szCs w:val="16"/>
              </w:rPr>
            </w:pPr>
          </w:p>
        </w:tc>
        <w:tc>
          <w:tcPr>
            <w:tcW w:w="966" w:type="dxa"/>
            <w:shd w:val="clear" w:color="auto" w:fill="auto"/>
          </w:tcPr>
          <w:p w:rsidR="006B60A4" w:rsidRPr="005D69E6" w:rsidP="006B60A4" w14:paraId="793515E4" w14:textId="77777777">
            <w:pPr>
              <w:pStyle w:val="Tablenumbers"/>
              <w:rPr>
                <w:szCs w:val="16"/>
              </w:rPr>
            </w:pPr>
          </w:p>
        </w:tc>
      </w:tr>
      <w:tr w14:paraId="133F9DB8" w14:textId="77777777" w:rsidTr="005D69E6">
        <w:tblPrEx>
          <w:tblW w:w="4921" w:type="pct"/>
          <w:tblInd w:w="-5" w:type="dxa"/>
          <w:tblLayout w:type="fixed"/>
          <w:tblLook w:val="01E0"/>
        </w:tblPrEx>
        <w:trPr>
          <w:cantSplit/>
        </w:trPr>
        <w:tc>
          <w:tcPr>
            <w:tcW w:w="2615" w:type="dxa"/>
            <w:vAlign w:val="top"/>
          </w:tcPr>
          <w:p w:rsidR="0050582E" w:rsidRPr="00727587" w:rsidP="0050582E" w14:paraId="0367ADB9" w14:textId="3879D983">
            <w:pPr>
              <w:pStyle w:val="2enspsubgroup1"/>
              <w:ind w:left="345" w:firstLine="0"/>
              <w:rPr>
                <w:szCs w:val="16"/>
              </w:rPr>
            </w:pPr>
            <w:r w:rsidRPr="00144C0F">
              <w:rPr>
                <w:szCs w:val="16"/>
              </w:rPr>
              <w:t>Full</w:t>
            </w:r>
          </w:p>
        </w:tc>
        <w:tc>
          <w:tcPr>
            <w:tcW w:w="1061" w:type="dxa"/>
            <w:shd w:val="clear" w:color="auto" w:fill="auto"/>
            <w:vAlign w:val="top"/>
          </w:tcPr>
          <w:p w:rsidR="0050582E" w:rsidRPr="005D69E6" w:rsidP="0050582E" w14:paraId="3B8034D3" w14:textId="16676E50">
            <w:pPr>
              <w:pStyle w:val="Tablenumbers"/>
              <w:rPr>
                <w:szCs w:val="16"/>
              </w:rPr>
            </w:pPr>
            <w:r w:rsidRPr="005D69E6">
              <w:t xml:space="preserve">28,650 </w:t>
            </w:r>
          </w:p>
        </w:tc>
        <w:tc>
          <w:tcPr>
            <w:tcW w:w="966" w:type="dxa"/>
            <w:shd w:val="clear" w:color="auto" w:fill="auto"/>
            <w:vAlign w:val="top"/>
          </w:tcPr>
          <w:p w:rsidR="0050582E" w:rsidRPr="005D69E6" w:rsidP="0050582E" w14:paraId="40775958" w14:textId="18FFACAF">
            <w:pPr>
              <w:pStyle w:val="Tablenumbers"/>
              <w:rPr>
                <w:szCs w:val="16"/>
              </w:rPr>
            </w:pPr>
            <w:r w:rsidRPr="005D69E6">
              <w:t xml:space="preserve">28,650 </w:t>
            </w:r>
          </w:p>
        </w:tc>
        <w:tc>
          <w:tcPr>
            <w:tcW w:w="1228" w:type="dxa"/>
            <w:shd w:val="clear" w:color="auto" w:fill="auto"/>
            <w:vAlign w:val="top"/>
          </w:tcPr>
          <w:p w:rsidR="0050582E" w:rsidRPr="005D69E6" w:rsidP="0050582E" w14:paraId="3DAB64E1" w14:textId="62CC6602">
            <w:pPr>
              <w:pStyle w:val="Tablenumbers"/>
              <w:rPr>
                <w:szCs w:val="16"/>
              </w:rPr>
            </w:pPr>
            <w:r w:rsidRPr="005D69E6">
              <w:t>56</w:t>
            </w:r>
          </w:p>
        </w:tc>
        <w:tc>
          <w:tcPr>
            <w:tcW w:w="1228" w:type="dxa"/>
            <w:shd w:val="clear" w:color="auto" w:fill="auto"/>
            <w:vAlign w:val="top"/>
          </w:tcPr>
          <w:p w:rsidR="0050582E" w:rsidRPr="005D69E6" w:rsidP="0050582E" w14:paraId="7349D265" w14:textId="48D30D6E">
            <w:pPr>
              <w:pStyle w:val="Tablenumbers"/>
              <w:rPr>
                <w:szCs w:val="16"/>
              </w:rPr>
            </w:pPr>
            <w:r w:rsidRPr="005D69E6">
              <w:t>16,0</w:t>
            </w:r>
            <w:r w:rsidRPr="005D69E6" w:rsidR="00AB3695">
              <w:t>2</w:t>
            </w:r>
            <w:r w:rsidRPr="005D69E6">
              <w:t>0</w:t>
            </w:r>
          </w:p>
        </w:tc>
        <w:tc>
          <w:tcPr>
            <w:tcW w:w="1054" w:type="dxa"/>
            <w:shd w:val="clear" w:color="auto" w:fill="auto"/>
            <w:vAlign w:val="top"/>
          </w:tcPr>
          <w:p w:rsidR="0050582E" w:rsidRPr="005D69E6" w:rsidP="0050582E" w14:paraId="7219518B" w14:textId="7E611B6E">
            <w:pPr>
              <w:pStyle w:val="Tablenumbers"/>
              <w:rPr>
                <w:szCs w:val="16"/>
              </w:rPr>
            </w:pPr>
            <w:r w:rsidRPr="005D69E6">
              <w:t>16,0</w:t>
            </w:r>
            <w:r w:rsidRPr="005D69E6" w:rsidR="00AB3695">
              <w:t>2</w:t>
            </w:r>
            <w:r w:rsidRPr="005D69E6">
              <w:t>0</w:t>
            </w:r>
          </w:p>
        </w:tc>
        <w:tc>
          <w:tcPr>
            <w:tcW w:w="1228" w:type="dxa"/>
            <w:shd w:val="clear" w:color="auto" w:fill="auto"/>
            <w:vAlign w:val="top"/>
          </w:tcPr>
          <w:p w:rsidR="0050582E" w:rsidRPr="005D69E6" w:rsidP="0050582E" w14:paraId="505A2E37" w14:textId="2CE9A8D5">
            <w:pPr>
              <w:pStyle w:val="Tablenumbers"/>
              <w:rPr>
                <w:szCs w:val="16"/>
              </w:rPr>
            </w:pPr>
            <w:r w:rsidRPr="005D69E6">
              <w:t xml:space="preserve">30 </w:t>
            </w:r>
          </w:p>
        </w:tc>
        <w:tc>
          <w:tcPr>
            <w:tcW w:w="966" w:type="dxa"/>
            <w:shd w:val="clear" w:color="auto" w:fill="auto"/>
            <w:vAlign w:val="top"/>
          </w:tcPr>
          <w:p w:rsidR="0050582E" w:rsidRPr="005D69E6" w:rsidP="0050582E" w14:paraId="2EABE366" w14:textId="636192F8">
            <w:pPr>
              <w:pStyle w:val="Tablenumbers"/>
              <w:rPr>
                <w:szCs w:val="16"/>
              </w:rPr>
            </w:pPr>
            <w:r w:rsidRPr="005D69E6">
              <w:t>8,0</w:t>
            </w:r>
            <w:r w:rsidRPr="005D69E6" w:rsidR="00AB3695">
              <w:t>1</w:t>
            </w:r>
            <w:r w:rsidRPr="005D69E6">
              <w:t xml:space="preserve">0 </w:t>
            </w:r>
          </w:p>
        </w:tc>
      </w:tr>
      <w:tr w14:paraId="01ED2DBE" w14:textId="77777777" w:rsidTr="005D69E6">
        <w:tblPrEx>
          <w:tblW w:w="4921" w:type="pct"/>
          <w:tblInd w:w="-5" w:type="dxa"/>
          <w:tblLayout w:type="fixed"/>
          <w:tblLook w:val="01E0"/>
        </w:tblPrEx>
        <w:trPr>
          <w:cantSplit/>
        </w:trPr>
        <w:tc>
          <w:tcPr>
            <w:tcW w:w="2615" w:type="dxa"/>
            <w:vAlign w:val="top"/>
          </w:tcPr>
          <w:p w:rsidR="0050582E" w:rsidRPr="00727587" w:rsidP="0050582E" w14:paraId="0A925145" w14:textId="359A3C0D">
            <w:pPr>
              <w:pStyle w:val="2enspsubgroup1"/>
              <w:ind w:left="345" w:firstLine="0"/>
              <w:rPr>
                <w:szCs w:val="16"/>
              </w:rPr>
            </w:pPr>
            <w:r w:rsidRPr="00144C0F">
              <w:rPr>
                <w:szCs w:val="16"/>
              </w:rPr>
              <w:t>Abbreviated</w:t>
            </w:r>
          </w:p>
        </w:tc>
        <w:tc>
          <w:tcPr>
            <w:tcW w:w="1061" w:type="dxa"/>
            <w:shd w:val="clear" w:color="auto" w:fill="auto"/>
            <w:vAlign w:val="top"/>
          </w:tcPr>
          <w:p w:rsidR="0050582E" w:rsidRPr="005D69E6" w:rsidP="0050582E" w14:paraId="2A448B1A" w14:textId="613DDD9A">
            <w:pPr>
              <w:pStyle w:val="Tablenumbers"/>
              <w:rPr>
                <w:szCs w:val="16"/>
              </w:rPr>
            </w:pPr>
            <w:r w:rsidRPr="005D69E6">
              <w:t>28,650</w:t>
            </w:r>
          </w:p>
        </w:tc>
        <w:tc>
          <w:tcPr>
            <w:tcW w:w="966" w:type="dxa"/>
            <w:shd w:val="clear" w:color="auto" w:fill="auto"/>
            <w:vAlign w:val="top"/>
          </w:tcPr>
          <w:p w:rsidR="0050582E" w:rsidRPr="005D69E6" w:rsidP="0050582E" w14:paraId="22991F6A" w14:textId="1EA4E64C">
            <w:pPr>
              <w:pStyle w:val="Tablenumbers"/>
              <w:rPr>
                <w:szCs w:val="16"/>
              </w:rPr>
            </w:pPr>
            <w:r w:rsidRPr="005D69E6">
              <w:t>28,650</w:t>
            </w:r>
          </w:p>
        </w:tc>
        <w:tc>
          <w:tcPr>
            <w:tcW w:w="1228" w:type="dxa"/>
            <w:shd w:val="clear" w:color="auto" w:fill="auto"/>
            <w:vAlign w:val="top"/>
          </w:tcPr>
          <w:p w:rsidR="0050582E" w:rsidRPr="005D69E6" w:rsidP="0050582E" w14:paraId="6756FD79" w14:textId="774C3357">
            <w:pPr>
              <w:pStyle w:val="Tablenumbers"/>
              <w:rPr>
                <w:szCs w:val="16"/>
              </w:rPr>
            </w:pPr>
            <w:r w:rsidRPr="005D69E6">
              <w:t>14</w:t>
            </w:r>
          </w:p>
        </w:tc>
        <w:tc>
          <w:tcPr>
            <w:tcW w:w="1228" w:type="dxa"/>
            <w:shd w:val="clear" w:color="auto" w:fill="auto"/>
            <w:vAlign w:val="top"/>
          </w:tcPr>
          <w:p w:rsidR="0050582E" w:rsidRPr="005D69E6" w:rsidP="0050582E" w14:paraId="0F46EE3E" w14:textId="4CBF81AB">
            <w:pPr>
              <w:pStyle w:val="Tablenumbers"/>
              <w:rPr>
                <w:szCs w:val="16"/>
              </w:rPr>
            </w:pPr>
            <w:r w:rsidRPr="005D69E6">
              <w:t>4,0</w:t>
            </w:r>
            <w:r w:rsidRPr="005D69E6" w:rsidR="00AB3695">
              <w:t>0</w:t>
            </w:r>
            <w:r w:rsidRPr="005D69E6">
              <w:t xml:space="preserve">0 </w:t>
            </w:r>
          </w:p>
        </w:tc>
        <w:tc>
          <w:tcPr>
            <w:tcW w:w="1054" w:type="dxa"/>
            <w:shd w:val="clear" w:color="auto" w:fill="auto"/>
            <w:vAlign w:val="top"/>
          </w:tcPr>
          <w:p w:rsidR="0050582E" w:rsidRPr="005D69E6" w:rsidP="0050582E" w14:paraId="2F2E677D" w14:textId="1372B941">
            <w:pPr>
              <w:pStyle w:val="Tablenumbers"/>
              <w:rPr>
                <w:szCs w:val="16"/>
              </w:rPr>
            </w:pPr>
            <w:r w:rsidRPr="005D69E6">
              <w:t>4,0</w:t>
            </w:r>
            <w:r w:rsidRPr="005D69E6" w:rsidR="00AB3695">
              <w:t>0</w:t>
            </w:r>
            <w:r w:rsidRPr="005D69E6">
              <w:t xml:space="preserve">0 </w:t>
            </w:r>
          </w:p>
        </w:tc>
        <w:tc>
          <w:tcPr>
            <w:tcW w:w="1228" w:type="dxa"/>
            <w:shd w:val="clear" w:color="auto" w:fill="auto"/>
            <w:vAlign w:val="top"/>
          </w:tcPr>
          <w:p w:rsidR="0050582E" w:rsidRPr="005D69E6" w:rsidP="0050582E" w14:paraId="2244EB45" w14:textId="2B4FD614">
            <w:pPr>
              <w:pStyle w:val="Tablenumbers"/>
              <w:rPr>
                <w:szCs w:val="16"/>
              </w:rPr>
            </w:pPr>
            <w:r w:rsidRPr="005D69E6">
              <w:t xml:space="preserve">15 </w:t>
            </w:r>
          </w:p>
        </w:tc>
        <w:tc>
          <w:tcPr>
            <w:tcW w:w="966" w:type="dxa"/>
            <w:shd w:val="clear" w:color="auto" w:fill="auto"/>
            <w:vAlign w:val="top"/>
          </w:tcPr>
          <w:p w:rsidR="0050582E" w:rsidRPr="005D69E6" w:rsidP="0050582E" w14:paraId="49028D22" w14:textId="4C29D6F3">
            <w:pPr>
              <w:pStyle w:val="Tablenumbers"/>
              <w:rPr>
                <w:szCs w:val="16"/>
              </w:rPr>
            </w:pPr>
            <w:r w:rsidRPr="005D69E6">
              <w:t>1,000</w:t>
            </w:r>
          </w:p>
        </w:tc>
      </w:tr>
      <w:tr w14:paraId="0E1937A3" w14:textId="77777777" w:rsidTr="005D69E6">
        <w:tblPrEx>
          <w:tblW w:w="4921" w:type="pct"/>
          <w:tblInd w:w="-5" w:type="dxa"/>
          <w:tblLayout w:type="fixed"/>
          <w:tblLook w:val="01E0"/>
        </w:tblPrEx>
        <w:trPr>
          <w:cantSplit/>
        </w:trPr>
        <w:tc>
          <w:tcPr>
            <w:tcW w:w="2615" w:type="dxa"/>
          </w:tcPr>
          <w:p w:rsidR="0050582E" w:rsidRPr="00727587" w:rsidP="0050582E" w14:paraId="73BBBC05" w14:textId="77777777">
            <w:pPr>
              <w:pStyle w:val="2enspsubgroup1"/>
              <w:rPr>
                <w:szCs w:val="16"/>
              </w:rPr>
            </w:pPr>
            <w:r w:rsidRPr="00727587">
              <w:rPr>
                <w:b/>
                <w:bCs/>
                <w:szCs w:val="16"/>
              </w:rPr>
              <w:t>Total</w:t>
            </w:r>
          </w:p>
        </w:tc>
        <w:tc>
          <w:tcPr>
            <w:tcW w:w="1061" w:type="dxa"/>
            <w:shd w:val="clear" w:color="auto" w:fill="auto"/>
            <w:vAlign w:val="top"/>
          </w:tcPr>
          <w:p w:rsidR="0050582E" w:rsidRPr="005D69E6" w:rsidP="0050582E" w14:paraId="04290FC5" w14:textId="481F1B42">
            <w:pPr>
              <w:pStyle w:val="Tablenumbers"/>
              <w:rPr>
                <w:szCs w:val="16"/>
              </w:rPr>
            </w:pPr>
          </w:p>
        </w:tc>
        <w:tc>
          <w:tcPr>
            <w:tcW w:w="966" w:type="dxa"/>
            <w:shd w:val="clear" w:color="auto" w:fill="auto"/>
            <w:vAlign w:val="top"/>
          </w:tcPr>
          <w:p w:rsidR="0050582E" w:rsidRPr="005D69E6" w:rsidP="0050582E" w14:paraId="364EA719" w14:textId="273F72AD">
            <w:pPr>
              <w:pStyle w:val="Tablenumbers"/>
              <w:jc w:val="center"/>
              <w:rPr>
                <w:szCs w:val="16"/>
              </w:rPr>
            </w:pPr>
          </w:p>
        </w:tc>
        <w:tc>
          <w:tcPr>
            <w:tcW w:w="1228" w:type="dxa"/>
            <w:shd w:val="clear" w:color="auto" w:fill="auto"/>
            <w:vAlign w:val="top"/>
          </w:tcPr>
          <w:p w:rsidR="0050582E" w:rsidRPr="005D69E6" w:rsidP="0050582E" w14:paraId="026D3C35" w14:textId="57179C09">
            <w:pPr>
              <w:pStyle w:val="Tablenumbers"/>
              <w:rPr>
                <w:b/>
                <w:bCs/>
                <w:szCs w:val="16"/>
              </w:rPr>
            </w:pPr>
            <w:r w:rsidRPr="005D69E6">
              <w:rPr>
                <w:b/>
                <w:bCs/>
                <w:szCs w:val="16"/>
              </w:rPr>
              <w:t>70</w:t>
            </w:r>
          </w:p>
        </w:tc>
        <w:tc>
          <w:tcPr>
            <w:tcW w:w="1228" w:type="dxa"/>
            <w:shd w:val="clear" w:color="auto" w:fill="auto"/>
            <w:vAlign w:val="top"/>
          </w:tcPr>
          <w:p w:rsidR="0050582E" w:rsidRPr="005D69E6" w:rsidP="0050582E" w14:paraId="33AB73BA" w14:textId="501D0A33">
            <w:pPr>
              <w:pStyle w:val="Tablenumbers"/>
              <w:rPr>
                <w:b/>
                <w:bCs/>
                <w:szCs w:val="16"/>
              </w:rPr>
            </w:pPr>
            <w:r w:rsidRPr="005D69E6">
              <w:rPr>
                <w:b/>
                <w:bCs/>
              </w:rPr>
              <w:t>20,0</w:t>
            </w:r>
            <w:r w:rsidRPr="005D69E6" w:rsidR="00AB3695">
              <w:rPr>
                <w:b/>
                <w:bCs/>
              </w:rPr>
              <w:t>2</w:t>
            </w:r>
            <w:r w:rsidRPr="005D69E6">
              <w:rPr>
                <w:b/>
                <w:bCs/>
              </w:rPr>
              <w:t xml:space="preserve">0 </w:t>
            </w:r>
          </w:p>
        </w:tc>
        <w:tc>
          <w:tcPr>
            <w:tcW w:w="1054" w:type="dxa"/>
            <w:shd w:val="clear" w:color="auto" w:fill="auto"/>
            <w:vAlign w:val="top"/>
          </w:tcPr>
          <w:p w:rsidR="0050582E" w:rsidRPr="005D69E6" w:rsidP="0050582E" w14:paraId="5383826F" w14:textId="1A9EC6C8">
            <w:pPr>
              <w:pStyle w:val="Tablenumbers"/>
              <w:rPr>
                <w:b/>
                <w:bCs/>
                <w:szCs w:val="16"/>
              </w:rPr>
            </w:pPr>
            <w:r w:rsidRPr="005D69E6">
              <w:rPr>
                <w:b/>
                <w:bCs/>
              </w:rPr>
              <w:t>20,020</w:t>
            </w:r>
          </w:p>
        </w:tc>
        <w:tc>
          <w:tcPr>
            <w:tcW w:w="1228" w:type="dxa"/>
            <w:shd w:val="clear" w:color="auto" w:fill="auto"/>
            <w:vAlign w:val="top"/>
          </w:tcPr>
          <w:p w:rsidR="0050582E" w:rsidRPr="005D69E6" w:rsidP="0050582E" w14:paraId="772FC153" w14:textId="15BECE4E">
            <w:pPr>
              <w:pStyle w:val="Tablenumbers"/>
              <w:rPr>
                <w:b/>
                <w:bCs/>
                <w:szCs w:val="16"/>
              </w:rPr>
            </w:pPr>
            <w:r w:rsidRPr="005D69E6">
              <w:rPr>
                <w:b/>
                <w:bCs/>
              </w:rPr>
              <w:t xml:space="preserve"> </w:t>
            </w:r>
          </w:p>
        </w:tc>
        <w:tc>
          <w:tcPr>
            <w:tcW w:w="966" w:type="dxa"/>
            <w:shd w:val="clear" w:color="auto" w:fill="auto"/>
            <w:vAlign w:val="top"/>
          </w:tcPr>
          <w:p w:rsidR="0050582E" w:rsidRPr="005D69E6" w:rsidP="0050582E" w14:paraId="7E1887A8" w14:textId="694FC32E">
            <w:pPr>
              <w:pStyle w:val="Tablenumbers"/>
              <w:rPr>
                <w:b/>
                <w:bCs/>
                <w:szCs w:val="16"/>
              </w:rPr>
            </w:pPr>
            <w:r w:rsidRPr="005D69E6">
              <w:rPr>
                <w:b/>
                <w:bCs/>
              </w:rPr>
              <w:t>9,0</w:t>
            </w:r>
            <w:r w:rsidRPr="005D69E6" w:rsidR="00AB3695">
              <w:rPr>
                <w:b/>
                <w:bCs/>
              </w:rPr>
              <w:t>1</w:t>
            </w:r>
            <w:r w:rsidRPr="005D69E6">
              <w:rPr>
                <w:b/>
                <w:bCs/>
              </w:rPr>
              <w:t>0</w:t>
            </w:r>
          </w:p>
        </w:tc>
      </w:tr>
    </w:tbl>
    <w:p w:rsidR="006B60A4" w:rsidP="006B60A4" w14:paraId="71586E77" w14:textId="6E1629DB">
      <w:pPr>
        <w:pStyle w:val="Tablenotes"/>
        <w:rPr>
          <w:szCs w:val="15"/>
        </w:rPr>
      </w:pPr>
      <w:r>
        <w:t>* Unduplicated count of respondents.</w:t>
      </w:r>
    </w:p>
    <w:p w:rsidR="006B60A4" w:rsidRPr="0058301A" w:rsidP="006B60A4" w14:paraId="5C56B0AC" w14:textId="493D4E11">
      <w:pPr>
        <w:pStyle w:val="Tablenotes"/>
        <w:rPr>
          <w:szCs w:val="15"/>
        </w:rPr>
      </w:pPr>
      <w:r w:rsidRPr="00F34DCF">
        <w:rPr>
          <w:szCs w:val="15"/>
        </w:rPr>
        <w:t xml:space="preserve">NOTE: </w:t>
      </w:r>
      <w:r w:rsidRPr="003A6AB3" w:rsidR="003A6AB3">
        <w:rPr>
          <w:szCs w:val="15"/>
        </w:rPr>
        <w:t>Sample sizes rounded to the nearest 10. Percentages are based on the unrounded count of expected eligible students within the row under consideration. Detail may not sum to totals because of rounding.</w:t>
      </w:r>
    </w:p>
    <w:p w:rsidR="000C1256" w:rsidRPr="005B7D07" w:rsidP="006B60A4" w14:paraId="14204998" w14:textId="0CF93C28">
      <w:pPr>
        <w:pStyle w:val="Heading2"/>
        <w:tabs>
          <w:tab w:val="left" w:pos="5220"/>
        </w:tabs>
        <w:ind w:left="1094" w:hanging="547"/>
      </w:pPr>
      <w:bookmarkStart w:id="82" w:name="_Toc251941754"/>
      <w:bookmarkStart w:id="83" w:name="_Toc251941845"/>
      <w:bookmarkStart w:id="84" w:name="_Toc251949052"/>
      <w:bookmarkStart w:id="85" w:name="_Toc255888264"/>
      <w:bookmarkStart w:id="86" w:name="_Toc380505268"/>
      <w:bookmarkStart w:id="87" w:name="_Toc383113376"/>
      <w:bookmarkStart w:id="88" w:name="_Toc5011111"/>
      <w:bookmarkStart w:id="89" w:name="_Toc174598620"/>
      <w:bookmarkEnd w:id="77"/>
      <w:bookmarkEnd w:id="82"/>
      <w:bookmarkEnd w:id="83"/>
      <w:bookmarkEnd w:id="84"/>
      <w:r w:rsidRPr="005B7D07">
        <w:t>Estimates of Cost</w:t>
      </w:r>
      <w:bookmarkEnd w:id="85"/>
      <w:bookmarkEnd w:id="86"/>
      <w:bookmarkEnd w:id="87"/>
      <w:bookmarkEnd w:id="88"/>
      <w:bookmarkEnd w:id="89"/>
    </w:p>
    <w:p w:rsidR="005F3E77" w:rsidRPr="004E6654" w:rsidP="007B3A35" w14:paraId="35B40517" w14:textId="77777777">
      <w:pPr>
        <w:pStyle w:val="BodyText"/>
      </w:pPr>
      <w:r w:rsidRPr="004E6654">
        <w:t xml:space="preserve">There are no </w:t>
      </w:r>
      <w:r w:rsidRPr="004E6654" w:rsidR="0003260E">
        <w:t>additional costs to the respondents</w:t>
      </w:r>
      <w:r w:rsidRPr="004E6654">
        <w:t>.</w:t>
      </w:r>
    </w:p>
    <w:p w:rsidR="000C1256" w:rsidP="007B3A35" w14:paraId="56341806" w14:textId="77777777">
      <w:pPr>
        <w:pStyle w:val="Heading2"/>
        <w:ind w:left="1094" w:hanging="547"/>
      </w:pPr>
      <w:bookmarkStart w:id="90" w:name="_Toc255888265"/>
      <w:bookmarkStart w:id="91" w:name="_Toc380505269"/>
      <w:bookmarkStart w:id="92" w:name="_Toc383113377"/>
      <w:bookmarkStart w:id="93" w:name="_Toc5011112"/>
      <w:bookmarkStart w:id="94" w:name="_Toc174598621"/>
      <w:r w:rsidRPr="00477529">
        <w:t>Costs to Federal Government</w:t>
      </w:r>
      <w:bookmarkEnd w:id="90"/>
      <w:bookmarkEnd w:id="91"/>
      <w:bookmarkEnd w:id="92"/>
      <w:bookmarkEnd w:id="93"/>
      <w:bookmarkEnd w:id="94"/>
    </w:p>
    <w:p w:rsidR="00A922F9" w:rsidRPr="00E76209" w:rsidP="00A922F9" w14:paraId="5834DB21" w14:textId="1C61DFF9">
      <w:pPr>
        <w:pStyle w:val="NormalWeb"/>
        <w:rPr>
          <w:rFonts w:ascii="Garamond" w:hAnsi="Garamond"/>
          <w:b/>
          <w:sz w:val="20"/>
        </w:rPr>
      </w:pPr>
      <w:r w:rsidRPr="00E93C24">
        <w:rPr>
          <w:rFonts w:ascii="Garamond" w:hAnsi="Garamond"/>
          <w:color w:val="000000"/>
        </w:rPr>
        <w:t xml:space="preserve">The total cost to the federal government for all </w:t>
      </w:r>
      <w:r>
        <w:rPr>
          <w:rFonts w:ascii="Garamond" w:hAnsi="Garamond"/>
          <w:color w:val="000000"/>
        </w:rPr>
        <w:t xml:space="preserve">full-scale </w:t>
      </w:r>
      <w:r w:rsidRPr="00E93C24">
        <w:rPr>
          <w:rFonts w:ascii="Garamond" w:hAnsi="Garamond"/>
          <w:color w:val="000000"/>
        </w:rPr>
        <w:t>activities included in this package is $</w:t>
      </w:r>
      <w:r w:rsidR="005B6CD7">
        <w:rPr>
          <w:rFonts w:ascii="Garamond" w:hAnsi="Garamond"/>
          <w:color w:val="000000"/>
        </w:rPr>
        <w:t>4,597</w:t>
      </w:r>
      <w:r w:rsidRPr="00E76209" w:rsidR="005B6CD7">
        <w:rPr>
          <w:rFonts w:ascii="Garamond" w:hAnsi="Garamond"/>
          <w:color w:val="000000"/>
        </w:rPr>
        <w:t>,000</w:t>
      </w:r>
      <w:r w:rsidRPr="00E93C24">
        <w:rPr>
          <w:rFonts w:ascii="Garamond" w:hAnsi="Garamond"/>
          <w:color w:val="000000"/>
        </w:rPr>
        <w:t>.</w:t>
      </w:r>
      <w:bookmarkStart w:id="95" w:name="_Toc2329715"/>
      <w:bookmarkStart w:id="96" w:name="_Toc12873148"/>
      <w:bookmarkStart w:id="97" w:name="_Toc89011968"/>
    </w:p>
    <w:p w:rsidR="00A922F9" w:rsidRPr="00BD70A2" w:rsidP="00BD70A2" w14:paraId="7EC75B6C" w14:textId="413FF046">
      <w:pPr>
        <w:pStyle w:val="TableTitle"/>
      </w:pPr>
      <w:bookmarkStart w:id="98" w:name="_Toc140138104"/>
      <w:bookmarkStart w:id="99" w:name="_Toc174606376"/>
      <w:r w:rsidRPr="00BD70A2">
        <w:t xml:space="preserve">Table 3. Costs to NCES for </w:t>
      </w:r>
      <w:bookmarkEnd w:id="95"/>
      <w:bookmarkEnd w:id="96"/>
      <w:bookmarkEnd w:id="98"/>
      <w:r w:rsidRPr="00BD70A2">
        <w:t>BPS:20/25</w:t>
      </w:r>
      <w:r w:rsidR="005B6CD7">
        <w:t xml:space="preserve"> Full-scale</w:t>
      </w:r>
      <w:r w:rsidRPr="00BD70A2">
        <w:t xml:space="preserve"> Study</w:t>
      </w:r>
      <w:bookmarkEnd w:id="99"/>
    </w:p>
    <w:tbl>
      <w:tblPr>
        <w:tblStyle w:val="TableGrid"/>
        <w:tblW w:w="4923" w:type="pct"/>
        <w:tblLook w:val="04A0"/>
      </w:tblPr>
      <w:tblGrid>
        <w:gridCol w:w="5253"/>
        <w:gridCol w:w="5097"/>
      </w:tblGrid>
      <w:tr w14:paraId="762BE31A" w14:textId="77777777" w:rsidTr="00080A30">
        <w:tblPrEx>
          <w:tblW w:w="4923" w:type="pct"/>
          <w:tblLook w:val="04A0"/>
        </w:tblPrEx>
        <w:tc>
          <w:tcPr>
            <w:tcW w:w="5253" w:type="dxa"/>
            <w:hideMark/>
          </w:tcPr>
          <w:p w:rsidR="00A922F9" w:rsidRPr="00E76209" w14:paraId="410B47A7" w14:textId="194E3FA5">
            <w:pPr>
              <w:pStyle w:val="Tableheading"/>
              <w:keepNext/>
              <w:spacing w:before="0" w:after="0"/>
              <w:jc w:val="left"/>
              <w:rPr>
                <w:b/>
                <w:szCs w:val="16"/>
              </w:rPr>
            </w:pPr>
            <w:r w:rsidRPr="00E76209">
              <w:rPr>
                <w:b/>
                <w:szCs w:val="16"/>
              </w:rPr>
              <w:t xml:space="preserve">BPS:20/25 </w:t>
            </w:r>
            <w:r w:rsidR="005B6CD7">
              <w:rPr>
                <w:b/>
                <w:szCs w:val="16"/>
              </w:rPr>
              <w:t xml:space="preserve">study </w:t>
            </w:r>
            <w:r w:rsidRPr="00E76209">
              <w:rPr>
                <w:b/>
                <w:szCs w:val="16"/>
              </w:rPr>
              <w:t>implementation</w:t>
            </w:r>
          </w:p>
        </w:tc>
        <w:tc>
          <w:tcPr>
            <w:tcW w:w="5097" w:type="dxa"/>
            <w:hideMark/>
          </w:tcPr>
          <w:p w:rsidR="00A922F9" w:rsidRPr="00E76209" w14:paraId="68C8B09A" w14:textId="77777777">
            <w:pPr>
              <w:pStyle w:val="Tablenumbers"/>
              <w:rPr>
                <w:b/>
                <w:szCs w:val="16"/>
              </w:rPr>
            </w:pPr>
            <w:r w:rsidRPr="00E76209">
              <w:rPr>
                <w:b/>
                <w:szCs w:val="16"/>
              </w:rPr>
              <w:t>Costs to NCES</w:t>
            </w:r>
          </w:p>
        </w:tc>
      </w:tr>
      <w:tr w14:paraId="0D25B6CC" w14:textId="77777777" w:rsidTr="00080A30">
        <w:tblPrEx>
          <w:tblW w:w="4923" w:type="pct"/>
          <w:tblLook w:val="04A0"/>
        </w:tblPrEx>
        <w:tc>
          <w:tcPr>
            <w:tcW w:w="5253" w:type="dxa"/>
            <w:hideMark/>
          </w:tcPr>
          <w:p w:rsidR="00A922F9" w:rsidRPr="00E76209" w14:paraId="0CB45083" w14:textId="77777777">
            <w:pPr>
              <w:pStyle w:val="5ensptotal"/>
              <w:ind w:left="611"/>
              <w:rPr>
                <w:b/>
                <w:szCs w:val="16"/>
              </w:rPr>
            </w:pPr>
            <w:r w:rsidRPr="00E76209">
              <w:rPr>
                <w:b/>
                <w:szCs w:val="16"/>
              </w:rPr>
              <w:t>Total</w:t>
            </w:r>
          </w:p>
        </w:tc>
        <w:tc>
          <w:tcPr>
            <w:tcW w:w="5097" w:type="dxa"/>
            <w:hideMark/>
          </w:tcPr>
          <w:p w:rsidR="00A922F9" w:rsidRPr="00E76209" w14:paraId="7C817300" w14:textId="71DA2221">
            <w:pPr>
              <w:pStyle w:val="Tablenumbers"/>
              <w:rPr>
                <w:b/>
                <w:color w:val="000000"/>
                <w:szCs w:val="16"/>
              </w:rPr>
            </w:pPr>
            <w:r w:rsidRPr="00E76209">
              <w:rPr>
                <w:b/>
                <w:color w:val="000000"/>
                <w:szCs w:val="16"/>
              </w:rPr>
              <w:t>$</w:t>
            </w:r>
            <w:r w:rsidR="005B6CD7">
              <w:rPr>
                <w:b/>
                <w:color w:val="000000"/>
                <w:szCs w:val="16"/>
              </w:rPr>
              <w:t>4,597</w:t>
            </w:r>
            <w:r w:rsidRPr="00E76209">
              <w:rPr>
                <w:b/>
                <w:color w:val="000000"/>
                <w:szCs w:val="16"/>
              </w:rPr>
              <w:t>,000</w:t>
            </w:r>
          </w:p>
        </w:tc>
      </w:tr>
      <w:tr w14:paraId="691E235C" w14:textId="77777777" w:rsidTr="00080A30">
        <w:tblPrEx>
          <w:tblW w:w="4923" w:type="pct"/>
          <w:tblLook w:val="04A0"/>
        </w:tblPrEx>
        <w:tc>
          <w:tcPr>
            <w:tcW w:w="5253" w:type="dxa"/>
            <w:hideMark/>
          </w:tcPr>
          <w:p w:rsidR="00A922F9" w:rsidRPr="00E76209" w14:paraId="7AE263E2" w14:textId="77777777">
            <w:pPr>
              <w:pStyle w:val="Tabletext"/>
              <w:spacing w:before="60"/>
              <w:rPr>
                <w:szCs w:val="16"/>
              </w:rPr>
            </w:pPr>
            <w:r w:rsidRPr="00E76209">
              <w:rPr>
                <w:szCs w:val="16"/>
              </w:rPr>
              <w:t>NCES Salaries and expenses</w:t>
            </w:r>
          </w:p>
        </w:tc>
        <w:tc>
          <w:tcPr>
            <w:tcW w:w="5097" w:type="dxa"/>
            <w:hideMark/>
          </w:tcPr>
          <w:p w:rsidR="00A922F9" w:rsidRPr="00E76209" w14:paraId="5A1EC2A5" w14:textId="77777777">
            <w:pPr>
              <w:pStyle w:val="Tablenumbers"/>
              <w:rPr>
                <w:szCs w:val="16"/>
              </w:rPr>
            </w:pPr>
            <w:r w:rsidRPr="00E76209">
              <w:rPr>
                <w:szCs w:val="16"/>
              </w:rPr>
              <w:t xml:space="preserve">$330,000 </w:t>
            </w:r>
          </w:p>
        </w:tc>
      </w:tr>
      <w:tr w14:paraId="5039FAE7" w14:textId="77777777" w:rsidTr="0089734E">
        <w:tblPrEx>
          <w:tblW w:w="4923" w:type="pct"/>
          <w:tblLook w:val="04A0"/>
        </w:tblPrEx>
        <w:tc>
          <w:tcPr>
            <w:tcW w:w="0" w:type="dxa"/>
            <w:hideMark/>
          </w:tcPr>
          <w:p w:rsidR="00A922F9" w:rsidRPr="00E76209" w14:paraId="443F5E15" w14:textId="77777777">
            <w:pPr>
              <w:pStyle w:val="Tabletext"/>
              <w:rPr>
                <w:b/>
                <w:bCs/>
                <w:szCs w:val="16"/>
              </w:rPr>
            </w:pPr>
            <w:r w:rsidRPr="00E76209">
              <w:rPr>
                <w:b/>
                <w:bCs/>
                <w:szCs w:val="16"/>
              </w:rPr>
              <w:t>Contract costs</w:t>
            </w:r>
          </w:p>
        </w:tc>
        <w:tc>
          <w:tcPr>
            <w:tcW w:w="0" w:type="dxa"/>
          </w:tcPr>
          <w:p w:rsidR="00A922F9" w:rsidRPr="007104D8" w14:paraId="4E09276A" w14:textId="664B97E9">
            <w:pPr>
              <w:pStyle w:val="Tablenumbers"/>
              <w:rPr>
                <w:b/>
                <w:bCs/>
                <w:szCs w:val="16"/>
              </w:rPr>
            </w:pPr>
          </w:p>
        </w:tc>
      </w:tr>
      <w:tr w14:paraId="248D4904" w14:textId="77777777" w:rsidTr="00080A30">
        <w:tblPrEx>
          <w:tblW w:w="4923" w:type="pct"/>
          <w:tblLook w:val="04A0"/>
        </w:tblPrEx>
        <w:tc>
          <w:tcPr>
            <w:tcW w:w="5253" w:type="dxa"/>
            <w:hideMark/>
          </w:tcPr>
          <w:p w:rsidR="00A922F9" w:rsidRPr="007104D8" w14:paraId="45F800BE" w14:textId="77777777">
            <w:pPr>
              <w:pStyle w:val="2enspsubgroup1"/>
              <w:rPr>
                <w:b/>
                <w:bCs/>
                <w:szCs w:val="16"/>
              </w:rPr>
            </w:pPr>
            <w:r w:rsidRPr="007104D8">
              <w:rPr>
                <w:b/>
                <w:bCs/>
                <w:szCs w:val="16"/>
              </w:rPr>
              <w:t>Full-scale total</w:t>
            </w:r>
          </w:p>
        </w:tc>
        <w:tc>
          <w:tcPr>
            <w:tcW w:w="5097" w:type="dxa"/>
          </w:tcPr>
          <w:p w:rsidR="00A922F9" w:rsidRPr="007104D8" w14:paraId="56415CAD" w14:textId="77777777">
            <w:pPr>
              <w:pStyle w:val="Tablenumbers"/>
              <w:rPr>
                <w:b/>
                <w:bCs/>
                <w:szCs w:val="16"/>
              </w:rPr>
            </w:pPr>
            <w:r w:rsidRPr="007104D8">
              <w:rPr>
                <w:b/>
                <w:bCs/>
                <w:szCs w:val="16"/>
              </w:rPr>
              <w:t>$4,267,000</w:t>
            </w:r>
          </w:p>
        </w:tc>
      </w:tr>
      <w:tr w14:paraId="3A6E1576" w14:textId="77777777" w:rsidTr="00080A30">
        <w:tblPrEx>
          <w:tblW w:w="4923" w:type="pct"/>
          <w:tblLook w:val="04A0"/>
        </w:tblPrEx>
        <w:tc>
          <w:tcPr>
            <w:tcW w:w="5253" w:type="dxa"/>
            <w:hideMark/>
          </w:tcPr>
          <w:p w:rsidR="00A922F9" w:rsidRPr="007104D8" w14:paraId="5B36F512" w14:textId="77777777">
            <w:pPr>
              <w:pStyle w:val="2enspsubgroup1"/>
              <w:rPr>
                <w:szCs w:val="16"/>
              </w:rPr>
            </w:pPr>
            <w:r w:rsidRPr="007104D8">
              <w:rPr>
                <w:szCs w:val="16"/>
              </w:rPr>
              <w:tab/>
              <w:t>Instrumentation and materials</w:t>
            </w:r>
          </w:p>
        </w:tc>
        <w:tc>
          <w:tcPr>
            <w:tcW w:w="5097" w:type="dxa"/>
            <w:hideMark/>
          </w:tcPr>
          <w:p w:rsidR="00A922F9" w:rsidRPr="007104D8" w14:paraId="66648C7A" w14:textId="77777777">
            <w:pPr>
              <w:pStyle w:val="Tablenumbers"/>
              <w:rPr>
                <w:szCs w:val="16"/>
              </w:rPr>
            </w:pPr>
            <w:r w:rsidRPr="007104D8">
              <w:rPr>
                <w:szCs w:val="16"/>
              </w:rPr>
              <w:t>$867,000</w:t>
            </w:r>
          </w:p>
        </w:tc>
      </w:tr>
      <w:tr w14:paraId="5263A976" w14:textId="77777777" w:rsidTr="00080A30">
        <w:tblPrEx>
          <w:tblW w:w="4923" w:type="pct"/>
          <w:tblLook w:val="04A0"/>
        </w:tblPrEx>
        <w:tc>
          <w:tcPr>
            <w:tcW w:w="5253" w:type="dxa"/>
            <w:hideMark/>
          </w:tcPr>
          <w:p w:rsidR="00A922F9" w:rsidRPr="007104D8" w14:paraId="2C3A3459" w14:textId="77777777">
            <w:pPr>
              <w:pStyle w:val="2enspsubgroup1"/>
              <w:rPr>
                <w:szCs w:val="16"/>
              </w:rPr>
            </w:pPr>
            <w:r w:rsidRPr="007104D8">
              <w:rPr>
                <w:szCs w:val="16"/>
              </w:rPr>
              <w:tab/>
              <w:t>Data collection</w:t>
            </w:r>
          </w:p>
        </w:tc>
        <w:tc>
          <w:tcPr>
            <w:tcW w:w="5097" w:type="dxa"/>
            <w:hideMark/>
          </w:tcPr>
          <w:p w:rsidR="00A922F9" w:rsidRPr="007104D8" w14:paraId="4FF70410" w14:textId="77777777">
            <w:pPr>
              <w:pStyle w:val="Tablenumbers"/>
              <w:rPr>
                <w:szCs w:val="16"/>
              </w:rPr>
            </w:pPr>
            <w:r w:rsidRPr="007104D8">
              <w:rPr>
                <w:szCs w:val="16"/>
              </w:rPr>
              <w:t>$2,509,000</w:t>
            </w:r>
          </w:p>
        </w:tc>
      </w:tr>
      <w:tr w14:paraId="7C949A48" w14:textId="77777777" w:rsidTr="00080A30">
        <w:tblPrEx>
          <w:tblW w:w="4923" w:type="pct"/>
          <w:tblLook w:val="04A0"/>
        </w:tblPrEx>
        <w:tc>
          <w:tcPr>
            <w:tcW w:w="5253" w:type="dxa"/>
            <w:hideMark/>
          </w:tcPr>
          <w:p w:rsidR="00A922F9" w:rsidRPr="007104D8" w14:paraId="5468F0ED" w14:textId="77777777">
            <w:pPr>
              <w:pStyle w:val="2enspsubgroup1"/>
              <w:rPr>
                <w:szCs w:val="16"/>
              </w:rPr>
            </w:pPr>
            <w:r w:rsidRPr="007104D8">
              <w:rPr>
                <w:szCs w:val="16"/>
              </w:rPr>
              <w:tab/>
              <w:t>Systems and data processing</w:t>
            </w:r>
          </w:p>
        </w:tc>
        <w:tc>
          <w:tcPr>
            <w:tcW w:w="5097" w:type="dxa"/>
            <w:hideMark/>
          </w:tcPr>
          <w:p w:rsidR="00A922F9" w:rsidRPr="007104D8" w14:paraId="58EFA4DD" w14:textId="77777777">
            <w:pPr>
              <w:pStyle w:val="Tablenumbers"/>
              <w:rPr>
                <w:szCs w:val="16"/>
              </w:rPr>
            </w:pPr>
            <w:r w:rsidRPr="007104D8">
              <w:rPr>
                <w:szCs w:val="16"/>
              </w:rPr>
              <w:t>$891,000</w:t>
            </w:r>
          </w:p>
        </w:tc>
      </w:tr>
    </w:tbl>
    <w:p w:rsidR="00545695" w:rsidRPr="00477529" w:rsidP="00FC703F" w14:paraId="484FE168" w14:textId="4C247DBB">
      <w:pPr>
        <w:pStyle w:val="Heading2"/>
        <w:spacing w:before="240"/>
      </w:pPr>
      <w:bookmarkStart w:id="100" w:name="_Toc5011113"/>
      <w:bookmarkStart w:id="101" w:name="_Toc174598622"/>
      <w:bookmarkEnd w:id="97"/>
      <w:r w:rsidRPr="00477529">
        <w:t>Reasons for Changes in Response Burden and Costs</w:t>
      </w:r>
      <w:bookmarkEnd w:id="100"/>
      <w:bookmarkEnd w:id="101"/>
    </w:p>
    <w:p w:rsidR="0049653E" w:rsidRPr="004E6654" w:rsidP="005578A3" w14:paraId="3B87267A" w14:textId="15D3421E">
      <w:pPr>
        <w:pStyle w:val="BodyText"/>
      </w:pPr>
      <w:r w:rsidRPr="004E6654">
        <w:t xml:space="preserve">The </w:t>
      </w:r>
      <w:r w:rsidR="006A7156">
        <w:t>in</w:t>
      </w:r>
      <w:r w:rsidR="0096460A">
        <w:t xml:space="preserve">crease </w:t>
      </w:r>
      <w:r w:rsidRPr="004E6654" w:rsidR="001C47AE">
        <w:t xml:space="preserve">in </w:t>
      </w:r>
      <w:r w:rsidRPr="004E6654">
        <w:t>total burden hours from the last approved</w:t>
      </w:r>
      <w:r w:rsidR="005716CC">
        <w:t xml:space="preserve"> clearance</w:t>
      </w:r>
      <w:r w:rsidRPr="004E6654">
        <w:t xml:space="preserve"> </w:t>
      </w:r>
      <w:r w:rsidRPr="004E6654" w:rsidR="001C47AE">
        <w:t xml:space="preserve">is due to the fact that the last submission </w:t>
      </w:r>
      <w:r w:rsidRPr="004E6654" w:rsidR="006D7883">
        <w:t>was</w:t>
      </w:r>
      <w:r w:rsidRPr="004E6654">
        <w:t xml:space="preserve"> for the </w:t>
      </w:r>
      <w:r w:rsidR="00A922F9">
        <w:t>BPS:20/25</w:t>
      </w:r>
      <w:r w:rsidRPr="004E6654">
        <w:t xml:space="preserve"> </w:t>
      </w:r>
      <w:r w:rsidR="0096460A">
        <w:t xml:space="preserve">field test </w:t>
      </w:r>
      <w:r w:rsidR="00EE0E07">
        <w:t>study</w:t>
      </w:r>
      <w:r w:rsidRPr="004E6654">
        <w:t>.</w:t>
      </w:r>
    </w:p>
    <w:p w:rsidR="00545695" w:rsidRPr="00477529" w:rsidP="007B3A35" w14:paraId="4ADBEC0A" w14:textId="77777777">
      <w:pPr>
        <w:pStyle w:val="Heading2"/>
      </w:pPr>
      <w:bookmarkStart w:id="102" w:name="_Toc5011114"/>
      <w:bookmarkStart w:id="103" w:name="_Toc174598623"/>
      <w:r w:rsidRPr="00477529">
        <w:t>Publication Plans and Time Schedule</w:t>
      </w:r>
      <w:bookmarkEnd w:id="102"/>
      <w:bookmarkEnd w:id="103"/>
    </w:p>
    <w:p w:rsidR="00A922F9" w:rsidRPr="00E93C24" w:rsidP="00A922F9" w14:paraId="13AFF75D" w14:textId="75CD79BE">
      <w:pPr>
        <w:pStyle w:val="NormalWeb"/>
        <w:rPr>
          <w:rFonts w:ascii="Garamond" w:hAnsi="Garamond"/>
          <w:color w:val="000000"/>
        </w:rPr>
      </w:pPr>
      <w:r w:rsidRPr="000C6A11">
        <w:rPr>
          <w:rFonts w:ascii="Garamond" w:hAnsi="Garamond"/>
          <w:color w:val="000000"/>
        </w:rPr>
        <w:t>The contract for BPS:20/</w:t>
      </w:r>
      <w:r w:rsidRPr="000C6A11">
        <w:rPr>
          <w:rFonts w:ascii="Garamond" w:hAnsi="Garamond" w:cs="Calibri"/>
          <w:color w:val="000000"/>
        </w:rPr>
        <w:t>25</w:t>
      </w:r>
      <w:r w:rsidRPr="000C6A11">
        <w:rPr>
          <w:rFonts w:ascii="Garamond" w:hAnsi="Garamond"/>
          <w:color w:val="000000"/>
        </w:rPr>
        <w:t xml:space="preserve"> requires</w:t>
      </w:r>
      <w:r w:rsidRPr="00E93C24">
        <w:rPr>
          <w:rFonts w:ascii="Garamond" w:hAnsi="Garamond"/>
          <w:color w:val="000000"/>
        </w:rPr>
        <w:t xml:space="preserve"> multiple reports, publications, and other public information releases. The operational schedule for the BPS:20/</w:t>
      </w:r>
      <w:r w:rsidRPr="0044688C">
        <w:rPr>
          <w:rFonts w:ascii="Garamond" w:hAnsi="Garamond"/>
          <w:color w:val="000000"/>
        </w:rPr>
        <w:t>25</w:t>
      </w:r>
      <w:r w:rsidRPr="00E93C24">
        <w:rPr>
          <w:rFonts w:ascii="Garamond" w:hAnsi="Garamond"/>
          <w:color w:val="000000"/>
        </w:rPr>
        <w:t xml:space="preserve"> full-scale study is seen in Table 4 below.</w:t>
      </w:r>
    </w:p>
    <w:p w:rsidR="00A922F9" w:rsidRPr="00BD70A2" w:rsidP="00D45498" w14:paraId="60B15438" w14:textId="677767A3">
      <w:pPr>
        <w:pStyle w:val="TableTitle"/>
      </w:pPr>
      <w:bookmarkStart w:id="104" w:name="_Toc12873149"/>
      <w:bookmarkStart w:id="105" w:name="_Toc140138105"/>
      <w:bookmarkStart w:id="106" w:name="_Toc174606377"/>
      <w:r w:rsidRPr="00BD70A2">
        <w:t>Table 4.</w:t>
      </w:r>
      <w:r w:rsidRPr="00BD70A2" w:rsidR="00080A30">
        <w:t xml:space="preserve"> </w:t>
      </w:r>
      <w:r w:rsidRPr="00BD70A2">
        <w:t xml:space="preserve">Operational Schedule for </w:t>
      </w:r>
      <w:bookmarkEnd w:id="104"/>
      <w:r w:rsidRPr="00BD70A2">
        <w:t>BPS:20/25 Full-scale</w:t>
      </w:r>
      <w:bookmarkEnd w:id="105"/>
      <w:r w:rsidRPr="00BD70A2" w:rsidR="00080A30">
        <w:t xml:space="preserve"> </w:t>
      </w:r>
      <w:r w:rsidRPr="00BD70A2">
        <w:t>Study</w:t>
      </w:r>
      <w:bookmarkEnd w:id="106"/>
    </w:p>
    <w:tbl>
      <w:tblPr>
        <w:tblStyle w:val="TableGrid"/>
        <w:tblW w:w="4974" w:type="pct"/>
        <w:tblInd w:w="-108" w:type="dxa"/>
        <w:tblLook w:val="01E0"/>
      </w:tblPr>
      <w:tblGrid>
        <w:gridCol w:w="6333"/>
        <w:gridCol w:w="2086"/>
        <w:gridCol w:w="2038"/>
      </w:tblGrid>
      <w:tr w14:paraId="27BE7CF4" w14:textId="77777777" w:rsidTr="0976A3AE">
        <w:tblPrEx>
          <w:tblW w:w="4974" w:type="pct"/>
          <w:tblInd w:w="-108" w:type="dxa"/>
          <w:tblLook w:val="01E0"/>
        </w:tblPrEx>
        <w:tc>
          <w:tcPr>
            <w:tcW w:w="6334" w:type="dxa"/>
          </w:tcPr>
          <w:p w:rsidR="00A922F9" w:rsidRPr="007104D8" w14:paraId="0DF8D358" w14:textId="77777777">
            <w:pPr>
              <w:pStyle w:val="Tabletext"/>
              <w:keepNext/>
              <w:rPr>
                <w:b/>
                <w:szCs w:val="16"/>
              </w:rPr>
            </w:pPr>
            <w:r w:rsidRPr="007104D8">
              <w:rPr>
                <w:b/>
                <w:szCs w:val="16"/>
              </w:rPr>
              <w:t>BPS:20/25 activity</w:t>
            </w:r>
          </w:p>
        </w:tc>
        <w:tc>
          <w:tcPr>
            <w:tcW w:w="2086" w:type="dxa"/>
          </w:tcPr>
          <w:p w:rsidR="00A922F9" w:rsidRPr="007104D8" w14:paraId="1DD09922" w14:textId="77777777">
            <w:pPr>
              <w:pStyle w:val="Tablenumbers"/>
              <w:rPr>
                <w:b/>
                <w:szCs w:val="16"/>
              </w:rPr>
            </w:pPr>
            <w:r w:rsidRPr="007104D8">
              <w:rPr>
                <w:b/>
                <w:szCs w:val="16"/>
              </w:rPr>
              <w:t>Start date</w:t>
            </w:r>
          </w:p>
        </w:tc>
        <w:tc>
          <w:tcPr>
            <w:tcW w:w="2038" w:type="dxa"/>
          </w:tcPr>
          <w:p w:rsidR="00A922F9" w:rsidRPr="007104D8" w14:paraId="668F6FBC" w14:textId="77777777">
            <w:pPr>
              <w:pStyle w:val="Tablenumbers"/>
              <w:rPr>
                <w:b/>
                <w:szCs w:val="16"/>
              </w:rPr>
            </w:pPr>
            <w:r w:rsidRPr="007104D8">
              <w:rPr>
                <w:b/>
                <w:szCs w:val="16"/>
              </w:rPr>
              <w:t>End date</w:t>
            </w:r>
          </w:p>
        </w:tc>
      </w:tr>
      <w:tr w14:paraId="06CA4BA8" w14:textId="77777777" w:rsidTr="0976A3AE">
        <w:tblPrEx>
          <w:tblW w:w="4974" w:type="pct"/>
          <w:tblInd w:w="-108" w:type="dxa"/>
          <w:tblLook w:val="01E0"/>
        </w:tblPrEx>
        <w:tc>
          <w:tcPr>
            <w:tcW w:w="6334" w:type="dxa"/>
          </w:tcPr>
          <w:p w:rsidR="00A922F9" w:rsidRPr="007104D8" w14:paraId="51CC6791" w14:textId="144126BB">
            <w:pPr>
              <w:pStyle w:val="Tabletext"/>
              <w:keepNext/>
              <w:rPr>
                <w:szCs w:val="16"/>
              </w:rPr>
            </w:pPr>
            <w:r w:rsidRPr="007104D8">
              <w:rPr>
                <w:szCs w:val="16"/>
              </w:rPr>
              <w:t>Full-scale</w:t>
            </w:r>
            <w:r>
              <w:rPr>
                <w:szCs w:val="16"/>
              </w:rPr>
              <w:t xml:space="preserve"> collection</w:t>
            </w:r>
          </w:p>
        </w:tc>
        <w:tc>
          <w:tcPr>
            <w:tcW w:w="2086" w:type="dxa"/>
          </w:tcPr>
          <w:p w:rsidR="00A922F9" w:rsidRPr="007104D8" w14:paraId="29AE1818" w14:textId="77777777">
            <w:pPr>
              <w:pStyle w:val="Tablenumbers"/>
              <w:rPr>
                <w:szCs w:val="16"/>
              </w:rPr>
            </w:pPr>
          </w:p>
        </w:tc>
        <w:tc>
          <w:tcPr>
            <w:tcW w:w="2038" w:type="dxa"/>
          </w:tcPr>
          <w:p w:rsidR="00A922F9" w:rsidRPr="007104D8" w14:paraId="16DF1235" w14:textId="77777777">
            <w:pPr>
              <w:pStyle w:val="Tablenumbers"/>
              <w:rPr>
                <w:szCs w:val="16"/>
              </w:rPr>
            </w:pPr>
          </w:p>
        </w:tc>
      </w:tr>
      <w:tr w14:paraId="3F966ECC" w14:textId="77777777" w:rsidTr="00222C1D">
        <w:tblPrEx>
          <w:tblW w:w="4974" w:type="pct"/>
          <w:tblInd w:w="-108" w:type="dxa"/>
          <w:tblLook w:val="01E0"/>
        </w:tblPrEx>
        <w:tc>
          <w:tcPr>
            <w:tcW w:w="0" w:type="dxa"/>
          </w:tcPr>
          <w:p w:rsidR="00A922F9" w:rsidRPr="007104D8" w14:paraId="19C51BB0" w14:textId="0A0965D1">
            <w:pPr>
              <w:pStyle w:val="Tabletext"/>
              <w:keepNext/>
              <w:rPr>
                <w:szCs w:val="16"/>
              </w:rPr>
            </w:pPr>
            <w:r>
              <w:rPr>
                <w:szCs w:val="16"/>
              </w:rPr>
              <w:t xml:space="preserve"> </w:t>
            </w:r>
            <w:r w:rsidRPr="007104D8">
              <w:rPr>
                <w:szCs w:val="16"/>
              </w:rPr>
              <w:t xml:space="preserve"> Select student sample</w:t>
            </w:r>
          </w:p>
        </w:tc>
        <w:tc>
          <w:tcPr>
            <w:tcW w:w="0" w:type="dxa"/>
            <w:shd w:val="clear" w:color="auto" w:fill="auto"/>
          </w:tcPr>
          <w:p w:rsidR="00A922F9" w:rsidRPr="007104D8" w14:paraId="39C3F67F" w14:textId="5C67EA8E">
            <w:pPr>
              <w:pStyle w:val="Tablenumbers"/>
              <w:rPr>
                <w:szCs w:val="16"/>
              </w:rPr>
            </w:pPr>
            <w:r>
              <w:rPr>
                <w:szCs w:val="16"/>
              </w:rPr>
              <w:t>October 2024</w:t>
            </w:r>
          </w:p>
        </w:tc>
        <w:tc>
          <w:tcPr>
            <w:tcW w:w="0" w:type="dxa"/>
            <w:shd w:val="clear" w:color="auto" w:fill="auto"/>
          </w:tcPr>
          <w:p w:rsidR="00A922F9" w:rsidRPr="007104D8" w14:paraId="2DD42B86" w14:textId="2D300BFA">
            <w:pPr>
              <w:pStyle w:val="Tablenumbers"/>
            </w:pPr>
            <w:r>
              <w:t>December 2024</w:t>
            </w:r>
          </w:p>
        </w:tc>
      </w:tr>
      <w:tr w14:paraId="49D8A2B2" w14:textId="77777777" w:rsidTr="00222C1D">
        <w:tblPrEx>
          <w:tblW w:w="4974" w:type="pct"/>
          <w:tblInd w:w="-108" w:type="dxa"/>
          <w:tblLook w:val="01E0"/>
        </w:tblPrEx>
        <w:tc>
          <w:tcPr>
            <w:tcW w:w="0" w:type="dxa"/>
          </w:tcPr>
          <w:p w:rsidR="00A922F9" w:rsidRPr="007104D8" w14:paraId="4D4F3D3C" w14:textId="2F255AF4">
            <w:pPr>
              <w:pStyle w:val="Tabletext"/>
              <w:keepNext/>
              <w:rPr>
                <w:szCs w:val="16"/>
              </w:rPr>
            </w:pPr>
            <w:r>
              <w:rPr>
                <w:szCs w:val="16"/>
              </w:rPr>
              <w:t xml:space="preserve"> </w:t>
            </w:r>
            <w:r w:rsidRPr="007104D8">
              <w:rPr>
                <w:szCs w:val="16"/>
              </w:rPr>
              <w:t xml:space="preserve"> Survey data collection</w:t>
            </w:r>
          </w:p>
        </w:tc>
        <w:tc>
          <w:tcPr>
            <w:tcW w:w="0" w:type="dxa"/>
            <w:shd w:val="clear" w:color="auto" w:fill="auto"/>
          </w:tcPr>
          <w:p w:rsidR="00A922F9" w:rsidRPr="007104D8" w14:paraId="73ECFEAF" w14:textId="351BEA2B">
            <w:pPr>
              <w:pStyle w:val="Tablenumbers"/>
            </w:pPr>
            <w:r>
              <w:t>February 2025</w:t>
            </w:r>
          </w:p>
        </w:tc>
        <w:tc>
          <w:tcPr>
            <w:tcW w:w="0" w:type="dxa"/>
            <w:shd w:val="clear" w:color="auto" w:fill="auto"/>
          </w:tcPr>
          <w:p w:rsidR="00A922F9" w:rsidRPr="007104D8" w14:paraId="65F3823F" w14:textId="0FE0B28F">
            <w:pPr>
              <w:pStyle w:val="Tablenumbers"/>
              <w:rPr>
                <w:szCs w:val="16"/>
              </w:rPr>
            </w:pPr>
            <w:r>
              <w:rPr>
                <w:szCs w:val="16"/>
              </w:rPr>
              <w:t>October 2025</w:t>
            </w:r>
          </w:p>
        </w:tc>
      </w:tr>
      <w:tr w14:paraId="47100426" w14:textId="77777777" w:rsidTr="00222C1D">
        <w:tblPrEx>
          <w:tblW w:w="4974" w:type="pct"/>
          <w:tblInd w:w="-108" w:type="dxa"/>
          <w:tblLook w:val="01E0"/>
        </w:tblPrEx>
        <w:tc>
          <w:tcPr>
            <w:tcW w:w="0" w:type="dxa"/>
          </w:tcPr>
          <w:p w:rsidR="00A922F9" w:rsidRPr="007104D8" w14:paraId="16E67184" w14:textId="0CFF4A1B">
            <w:pPr>
              <w:pStyle w:val="Tabletext"/>
              <w:keepNext/>
              <w:rPr>
                <w:szCs w:val="16"/>
              </w:rPr>
            </w:pPr>
            <w:r>
              <w:rPr>
                <w:szCs w:val="16"/>
              </w:rPr>
              <w:t xml:space="preserve"> </w:t>
            </w:r>
            <w:r w:rsidRPr="007104D8">
              <w:rPr>
                <w:szCs w:val="16"/>
              </w:rPr>
              <w:t xml:space="preserve"> Process data, construct data files</w:t>
            </w:r>
          </w:p>
        </w:tc>
        <w:tc>
          <w:tcPr>
            <w:tcW w:w="0" w:type="dxa"/>
            <w:shd w:val="clear" w:color="auto" w:fill="auto"/>
          </w:tcPr>
          <w:p w:rsidR="00A922F9" w:rsidRPr="007104D8" w14:paraId="219D892E" w14:textId="593E1C81">
            <w:pPr>
              <w:pStyle w:val="Tablenumbers"/>
            </w:pPr>
            <w:r>
              <w:t>February 2025</w:t>
            </w:r>
          </w:p>
        </w:tc>
        <w:tc>
          <w:tcPr>
            <w:tcW w:w="0" w:type="dxa"/>
            <w:shd w:val="clear" w:color="auto" w:fill="auto"/>
          </w:tcPr>
          <w:p w:rsidR="00A922F9" w:rsidRPr="007104D8" w14:paraId="33A47457" w14:textId="602D396D">
            <w:pPr>
              <w:pStyle w:val="Tablenumbers"/>
              <w:rPr>
                <w:szCs w:val="16"/>
              </w:rPr>
            </w:pPr>
            <w:r>
              <w:rPr>
                <w:szCs w:val="16"/>
              </w:rPr>
              <w:t>November 2025</w:t>
            </w:r>
          </w:p>
        </w:tc>
      </w:tr>
      <w:tr w14:paraId="4B043C88" w14:textId="77777777" w:rsidTr="00222C1D">
        <w:tblPrEx>
          <w:tblW w:w="4974" w:type="pct"/>
          <w:tblInd w:w="-108" w:type="dxa"/>
          <w:tblLook w:val="01E0"/>
        </w:tblPrEx>
        <w:tc>
          <w:tcPr>
            <w:tcW w:w="0" w:type="dxa"/>
          </w:tcPr>
          <w:p w:rsidR="00A922F9" w:rsidRPr="007104D8" w14:paraId="4C7BF7C7" w14:textId="4ED9D35E">
            <w:pPr>
              <w:pStyle w:val="Tabletext"/>
              <w:keepNext/>
              <w:rPr>
                <w:szCs w:val="16"/>
              </w:rPr>
            </w:pPr>
            <w:r>
              <w:rPr>
                <w:szCs w:val="16"/>
              </w:rPr>
              <w:t xml:space="preserve"> </w:t>
            </w:r>
            <w:r w:rsidRPr="007104D8">
              <w:rPr>
                <w:szCs w:val="16"/>
              </w:rPr>
              <w:t xml:space="preserve"> Prepare/update data collection reports</w:t>
            </w:r>
          </w:p>
        </w:tc>
        <w:tc>
          <w:tcPr>
            <w:tcW w:w="0" w:type="dxa"/>
            <w:shd w:val="clear" w:color="auto" w:fill="auto"/>
          </w:tcPr>
          <w:p w:rsidR="00A922F9" w:rsidRPr="007104D8" w14:paraId="4ADD5C31" w14:textId="0580D609">
            <w:pPr>
              <w:pStyle w:val="Tablenumbers"/>
            </w:pPr>
            <w:r>
              <w:t>February 2025</w:t>
            </w:r>
          </w:p>
        </w:tc>
        <w:tc>
          <w:tcPr>
            <w:tcW w:w="0" w:type="dxa"/>
            <w:shd w:val="clear" w:color="auto" w:fill="auto"/>
          </w:tcPr>
          <w:p w:rsidR="00A922F9" w:rsidRPr="007104D8" w14:paraId="2926A7E8" w14:textId="1B136921">
            <w:pPr>
              <w:pStyle w:val="Tablenumbers"/>
              <w:rPr>
                <w:szCs w:val="16"/>
              </w:rPr>
            </w:pPr>
            <w:r>
              <w:rPr>
                <w:szCs w:val="16"/>
              </w:rPr>
              <w:t>November 2025</w:t>
            </w:r>
          </w:p>
        </w:tc>
      </w:tr>
    </w:tbl>
    <w:p w:rsidR="00A922F9" w:rsidRPr="0058301A" w:rsidP="00A922F9" w14:paraId="0C98D4E2" w14:textId="77777777">
      <w:pPr>
        <w:pStyle w:val="Tablenotes"/>
        <w:rPr>
          <w:rFonts w:ascii="Garamond" w:hAnsi="Garamond"/>
        </w:rPr>
      </w:pPr>
      <w:r>
        <w:rPr>
          <w:rFonts w:ascii="Calibri" w:hAnsi="Calibri" w:cs="Calibri"/>
          <w:color w:val="000000"/>
        </w:rPr>
        <w:br/>
      </w:r>
    </w:p>
    <w:p w:rsidR="007E3BE6" w:rsidRPr="004E6654" w:rsidP="007E3BE6" w14:paraId="6677414F" w14:textId="052A8BA3">
      <w:pPr>
        <w:pStyle w:val="BodyText"/>
        <w:widowControl w:val="0"/>
        <w:spacing w:before="0" w:after="60"/>
      </w:pPr>
      <w:r>
        <w:t>T</w:t>
      </w:r>
      <w:r w:rsidRPr="004E6654">
        <w:t xml:space="preserve">he following </w:t>
      </w:r>
      <w:r w:rsidR="00A922F9">
        <w:t>BPS:20/25</w:t>
      </w:r>
      <w:r w:rsidRPr="004E6654">
        <w:t xml:space="preserve"> reports, publications, and other public information releases are planned</w:t>
      </w:r>
      <w:r>
        <w:t xml:space="preserve"> at the conclusion of the full-scale data collection</w:t>
      </w:r>
      <w:r w:rsidRPr="004E6654">
        <w:t>:</w:t>
      </w:r>
    </w:p>
    <w:p w:rsidR="007E3BE6" w:rsidRPr="004E6654" w:rsidP="007E3BE6" w14:paraId="081153C3" w14:textId="1CFEA766">
      <w:pPr>
        <w:pStyle w:val="bulletround"/>
        <w:widowControl w:val="0"/>
        <w:rPr>
          <w:rFonts w:cs="Times New Roman"/>
        </w:rPr>
      </w:pPr>
      <w:r w:rsidRPr="004E6654">
        <w:rPr>
          <w:rFonts w:cs="Times New Roman"/>
        </w:rPr>
        <w:t>descriptive summaries of significant findings for dissemination to a broad audience</w:t>
      </w:r>
      <w:r w:rsidR="0051545E">
        <w:rPr>
          <w:rFonts w:cs="Times New Roman"/>
        </w:rPr>
        <w:t>, including a First Look report</w:t>
      </w:r>
      <w:r w:rsidRPr="004E6654">
        <w:rPr>
          <w:rFonts w:cs="Times New Roman"/>
        </w:rPr>
        <w:t>;</w:t>
      </w:r>
    </w:p>
    <w:p w:rsidR="007E3BE6" w:rsidRPr="004E6654" w:rsidP="007E3BE6" w14:paraId="1BC70E13" w14:textId="12EC0DDA">
      <w:pPr>
        <w:pStyle w:val="bulletround"/>
        <w:widowControl w:val="0"/>
        <w:rPr>
          <w:rFonts w:cs="Times New Roman"/>
        </w:rPr>
      </w:pPr>
      <w:r w:rsidRPr="004E6654">
        <w:rPr>
          <w:rFonts w:cs="Times New Roman"/>
        </w:rPr>
        <w:t>detailed data file documentation describing all aspects of the full-scale study design and data collection procedures;</w:t>
      </w:r>
    </w:p>
    <w:p w:rsidR="007E3BE6" w:rsidRPr="004E6654" w:rsidP="007E3BE6" w14:paraId="3E73A527" w14:textId="730B1394">
      <w:pPr>
        <w:pStyle w:val="bulletround"/>
        <w:widowControl w:val="0"/>
        <w:rPr>
          <w:rFonts w:cs="Times New Roman"/>
        </w:rPr>
      </w:pPr>
      <w:r w:rsidRPr="004E6654">
        <w:rPr>
          <w:rFonts w:cs="Times New Roman"/>
        </w:rPr>
        <w:t xml:space="preserve">complete data files and documentation for research data users in the form of a restricted-use file; </w:t>
      </w:r>
    </w:p>
    <w:p w:rsidR="0051545E" w:rsidP="00874EA4" w14:paraId="172851D2" w14:textId="46544F63">
      <w:pPr>
        <w:pStyle w:val="bulletround"/>
        <w:widowControl w:val="0"/>
        <w:rPr>
          <w:rFonts w:cs="Times New Roman"/>
        </w:rPr>
      </w:pPr>
      <w:r w:rsidRPr="004E6654">
        <w:rPr>
          <w:rFonts w:cs="Times New Roman"/>
        </w:rPr>
        <w:t>the DataLab public-use data analysis system in which users create their own tables and charts using predefined categories from a subset of variables, including PowerStats</w:t>
      </w:r>
      <w:r>
        <w:rPr>
          <w:rFonts w:cs="Times New Roman"/>
        </w:rPr>
        <w:t xml:space="preserve">, </w:t>
      </w:r>
      <w:r w:rsidRPr="00E93C24" w:rsidR="00A922F9">
        <w:rPr>
          <w:color w:val="000000"/>
        </w:rPr>
        <w:t xml:space="preserve">which allows users to create their own tables and charts using all </w:t>
      </w:r>
      <w:r w:rsidR="00A922F9">
        <w:rPr>
          <w:color w:val="000000"/>
        </w:rPr>
        <w:t xml:space="preserve">publicly available </w:t>
      </w:r>
      <w:r w:rsidRPr="00E93C24" w:rsidR="00A922F9">
        <w:rPr>
          <w:color w:val="000000"/>
        </w:rPr>
        <w:t>variables</w:t>
      </w:r>
      <w:r w:rsidR="00A922F9">
        <w:rPr>
          <w:color w:val="000000"/>
        </w:rPr>
        <w:t>; and</w:t>
      </w:r>
    </w:p>
    <w:p w:rsidR="007E3BE6" w:rsidRPr="007E3BE6" w:rsidP="00874EA4" w14:paraId="362BE328" w14:textId="0D33F440">
      <w:pPr>
        <w:pStyle w:val="bulletround"/>
        <w:widowControl w:val="0"/>
        <w:rPr>
          <w:rFonts w:cs="Times New Roman"/>
        </w:rPr>
      </w:pPr>
      <w:r>
        <w:rPr>
          <w:rFonts w:cs="Times New Roman"/>
        </w:rPr>
        <w:t>s</w:t>
      </w:r>
      <w:r w:rsidR="0051545E">
        <w:rPr>
          <w:rFonts w:cs="Times New Roman"/>
        </w:rPr>
        <w:t>pecial tabulations of issues of interest to the higher education community, as determined by NCES</w:t>
      </w:r>
      <w:r w:rsidRPr="004E6654">
        <w:rPr>
          <w:rFonts w:cs="Times New Roman"/>
        </w:rPr>
        <w:t>.</w:t>
      </w:r>
    </w:p>
    <w:p w:rsidR="00545695" w:rsidRPr="00477529" w:rsidP="007B3A35" w14:paraId="34DF2429" w14:textId="2D83D916">
      <w:pPr>
        <w:pStyle w:val="Heading2"/>
      </w:pPr>
      <w:bookmarkStart w:id="107" w:name="_Toc174598624"/>
      <w:r w:rsidRPr="00477529">
        <w:t>Approval to Not Display Expiration Date for OMB Approval</w:t>
      </w:r>
      <w:bookmarkEnd w:id="107"/>
    </w:p>
    <w:p w:rsidR="00545695" w:rsidRPr="004E6654" w:rsidP="007B3A35" w14:paraId="6F7B0FBC" w14:textId="77777777">
      <w:pPr>
        <w:pStyle w:val="BodyText"/>
      </w:pPr>
      <w:r w:rsidRPr="004E6654">
        <w:t xml:space="preserve">The expiration date for OMB approval of the information </w:t>
      </w:r>
      <w:r w:rsidRPr="00A922F9">
        <w:t>collection will be displayed on</w:t>
      </w:r>
      <w:r w:rsidRPr="004E6654">
        <w:t xml:space="preserve"> data collection instruments and materials. No special exception is being requested.</w:t>
      </w:r>
    </w:p>
    <w:p w:rsidR="00545695" w:rsidRPr="00477529" w:rsidP="007B3A35" w14:paraId="5F178D24" w14:textId="77777777">
      <w:pPr>
        <w:pStyle w:val="Heading2"/>
      </w:pPr>
      <w:bookmarkStart w:id="108" w:name="_Toc5011116"/>
      <w:bookmarkStart w:id="109" w:name="_Toc174598625"/>
      <w:r w:rsidRPr="00477529">
        <w:t>Exceptions to Certification for Paperwork Reduction Act Submissions</w:t>
      </w:r>
      <w:bookmarkEnd w:id="108"/>
      <w:bookmarkEnd w:id="109"/>
    </w:p>
    <w:p w:rsidR="000C1256" w:rsidRPr="004E6654" w:rsidP="00F24274" w14:paraId="38336474" w14:textId="2A28FD1A">
      <w:pPr>
        <w:pStyle w:val="BodyText"/>
        <w:widowControl w:val="0"/>
      </w:pPr>
      <w:r w:rsidRPr="004E6654">
        <w:t>There are no exceptions to the certification statement identified in the Certification for Paperwork Reduction Act Submissions of OMB Form 83-I.</w:t>
      </w:r>
      <w:bookmarkStart w:id="110" w:name="_Toc251941761"/>
      <w:bookmarkStart w:id="111" w:name="_Toc251941852"/>
      <w:bookmarkStart w:id="112" w:name="_Toc251949059"/>
      <w:bookmarkStart w:id="113" w:name="_Toc146530915"/>
      <w:bookmarkEnd w:id="110"/>
      <w:bookmarkEnd w:id="111"/>
      <w:bookmarkEnd w:id="112"/>
      <w:bookmarkEnd w:id="113"/>
    </w:p>
    <w:sectPr w:rsidSect="002B1A43">
      <w:footerReference w:type="first" r:id="rId15"/>
      <w:pgSz w:w="12240" w:h="15840" w:code="1"/>
      <w:pgMar w:top="864" w:right="864" w:bottom="720" w:left="864" w:header="432" w:footer="288"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357D" w14:paraId="23794DBD" w14:textId="77777777">
    <w:pPr>
      <w:pStyle w:val="Footer"/>
    </w:pPr>
    <w:r>
      <w:fldChar w:fldCharType="begin"/>
    </w:r>
    <w:r>
      <w:instrText xml:space="preserve"> PAGE   \* MERGEFORMAT </w:instrText>
    </w:r>
    <w:r>
      <w:fldChar w:fldCharType="separate"/>
    </w:r>
    <w:r>
      <w:rPr>
        <w:noProof/>
      </w:rPr>
      <w:t>12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5234551"/>
      <w:docPartObj>
        <w:docPartGallery w:val="Page Numbers (Bottom of Page)"/>
        <w:docPartUnique/>
      </w:docPartObj>
    </w:sdtPr>
    <w:sdtEndPr>
      <w:rPr>
        <w:noProof/>
      </w:rPr>
    </w:sdtEndPr>
    <w:sdtContent>
      <w:p w:rsidR="000E357D" w:rsidP="00111A40" w14:paraId="6B63CE57" w14:textId="27F3970A">
        <w:pPr>
          <w:pStyle w:val="Footer"/>
        </w:pPr>
        <w:r w:rsidRPr="00BF598A">
          <w:rPr>
            <w:rFonts w:ascii="Arial" w:hAnsi="Arial" w:cs="Arial"/>
          </w:rPr>
          <w:fldChar w:fldCharType="begin"/>
        </w:r>
        <w:r w:rsidRPr="00BF598A">
          <w:rPr>
            <w:rFonts w:ascii="Arial" w:hAnsi="Arial" w:cs="Arial"/>
          </w:rPr>
          <w:instrText xml:space="preserve"> PAGE   \* MERGEFORMAT </w:instrText>
        </w:r>
        <w:r w:rsidRPr="00BF598A">
          <w:rPr>
            <w:rFonts w:ascii="Arial" w:hAnsi="Arial" w:cs="Arial"/>
          </w:rPr>
          <w:fldChar w:fldCharType="separate"/>
        </w:r>
        <w:r>
          <w:rPr>
            <w:rFonts w:ascii="Arial" w:hAnsi="Arial" w:cs="Arial"/>
            <w:noProof/>
          </w:rPr>
          <w:t>8</w:t>
        </w:r>
        <w:r w:rsidRPr="00BF598A">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357D" w14:paraId="0244A724" w14:textId="77777777">
    <w:pPr>
      <w:pStyle w:val="Footer"/>
    </w:pPr>
  </w:p>
  <w:p w:rsidR="000E357D" w14:paraId="1ECCC88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357D" w:rsidP="00605431" w14:paraId="1C1D230E" w14:textId="420C9CB8">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80D11" w14:paraId="68A5EE57" w14:textId="77777777">
      <w:r>
        <w:separator/>
      </w:r>
    </w:p>
  </w:footnote>
  <w:footnote w:type="continuationSeparator" w:id="1">
    <w:p w:rsidR="00C80D11" w14:paraId="0D739FB2" w14:textId="77777777">
      <w:r>
        <w:continuationSeparator/>
      </w:r>
    </w:p>
  </w:footnote>
  <w:footnote w:type="continuationNotice" w:id="2">
    <w:p w:rsidR="00C80D11" w14:paraId="5CC55984" w14:textId="77777777"/>
  </w:footnote>
  <w:footnote w:id="3">
    <w:p w:rsidR="00883E4F" w:rsidP="00883E4F" w14:paraId="4A7BA222" w14:textId="77777777">
      <w:r>
        <w:rPr>
          <w:rStyle w:val="FootnoteReference"/>
        </w:rPr>
        <w:footnoteRef/>
      </w:r>
      <w:r>
        <w:t xml:space="preserve"> </w:t>
      </w:r>
      <w:r>
        <w:rPr>
          <w:rFonts w:cs="Arial"/>
          <w:color w:val="222222"/>
          <w:sz w:val="20"/>
          <w:shd w:val="clear" w:color="auto" w:fill="FFFFFF"/>
        </w:rPr>
        <w:t>Groves, R. M., Singer, E., &amp; Corning, A. (2000). Leverage-saliency theory of survey participation: description and an illustration. </w:t>
      </w:r>
      <w:r>
        <w:rPr>
          <w:rFonts w:cs="Arial"/>
          <w:i/>
          <w:iCs/>
          <w:color w:val="222222"/>
          <w:sz w:val="20"/>
          <w:shd w:val="clear" w:color="auto" w:fill="FFFFFF"/>
        </w:rPr>
        <w:t>The Public Opinion Quarterly</w:t>
      </w:r>
      <w:r>
        <w:rPr>
          <w:rFonts w:cs="Arial"/>
          <w:color w:val="222222"/>
          <w:sz w:val="20"/>
          <w:shd w:val="clear" w:color="auto" w:fill="FFFFFF"/>
        </w:rPr>
        <w:t>, </w:t>
      </w:r>
      <w:r>
        <w:rPr>
          <w:rFonts w:cs="Arial"/>
          <w:i/>
          <w:iCs/>
          <w:color w:val="222222"/>
          <w:sz w:val="20"/>
          <w:shd w:val="clear" w:color="auto" w:fill="FFFFFF"/>
        </w:rPr>
        <w:t>64</w:t>
      </w:r>
      <w:r>
        <w:rPr>
          <w:rFonts w:cs="Arial"/>
          <w:color w:val="222222"/>
          <w:sz w:val="20"/>
          <w:shd w:val="clear" w:color="auto" w:fill="FFFFFF"/>
        </w:rPr>
        <w:t>(3), 299-308.</w:t>
      </w:r>
    </w:p>
    <w:p w:rsidR="00883E4F" w:rsidP="00883E4F" w14:paraId="0407C740" w14:textId="77777777">
      <w:pPr>
        <w:pStyle w:val="FootnoteText"/>
      </w:pPr>
    </w:p>
  </w:footnote>
  <w:footnote w:id="4">
    <w:p w:rsidR="00A922F9" w:rsidP="00A922F9" w14:paraId="5F4752B6" w14:textId="664DA699">
      <w:pPr>
        <w:pStyle w:val="FootnoteText"/>
      </w:pPr>
      <w:r w:rsidRPr="00222C1D">
        <w:rPr>
          <w:rStyle w:val="FootnoteReference"/>
        </w:rPr>
        <w:footnoteRef/>
      </w:r>
      <w:r w:rsidRPr="00222C1D">
        <w:t xml:space="preserve"> The hourly rate of $</w:t>
      </w:r>
      <w:r w:rsidRPr="00222C1D" w:rsidR="009C7FCD">
        <w:t xml:space="preserve">37 </w:t>
      </w:r>
      <w:r w:rsidRPr="00222C1D">
        <w:t>for students</w:t>
      </w:r>
      <w:r w:rsidRPr="00222C1D">
        <w:rPr>
          <w:rFonts w:cs="Arial"/>
          <w:color w:val="000000" w:themeColor="text1"/>
        </w:rPr>
        <w:t xml:space="preserve"> was obtained by averaging the median weekly earnings of full-time wage and salary workers among high school graduates with no college </w:t>
      </w:r>
      <w:r w:rsidRPr="00222C1D" w:rsidR="009C7FCD">
        <w:rPr>
          <w:rFonts w:cs="Arial"/>
          <w:color w:val="000000" w:themeColor="text1"/>
        </w:rPr>
        <w:t xml:space="preserve">($916) </w:t>
      </w:r>
      <w:r w:rsidRPr="00222C1D">
        <w:rPr>
          <w:rFonts w:cs="Arial"/>
          <w:color w:val="000000" w:themeColor="text1"/>
        </w:rPr>
        <w:t xml:space="preserve">and individuals </w:t>
      </w:r>
      <w:r w:rsidR="00CE62E8">
        <w:rPr>
          <w:rFonts w:cs="Arial"/>
          <w:color w:val="000000" w:themeColor="text1"/>
        </w:rPr>
        <w:t xml:space="preserve">with </w:t>
      </w:r>
      <w:r w:rsidRPr="00222C1D">
        <w:rPr>
          <w:rFonts w:cs="Arial"/>
          <w:color w:val="000000" w:themeColor="text1"/>
        </w:rPr>
        <w:t xml:space="preserve">a bachelor’s degree </w:t>
      </w:r>
      <w:r w:rsidRPr="00222C1D" w:rsidR="00C00038">
        <w:rPr>
          <w:rFonts w:cs="Arial"/>
          <w:color w:val="000000" w:themeColor="text1"/>
        </w:rPr>
        <w:t xml:space="preserve">($1684) and </w:t>
      </w:r>
      <w:r w:rsidRPr="00222C1D" w:rsidR="00AC68C6">
        <w:rPr>
          <w:rFonts w:cs="Arial"/>
          <w:color w:val="000000" w:themeColor="text1"/>
        </w:rPr>
        <w:t>dividing by 35 hours</w:t>
      </w:r>
      <w:r w:rsidRPr="00222C1D" w:rsidR="00686CE5">
        <w:rPr>
          <w:rFonts w:cs="Arial"/>
          <w:color w:val="000000" w:themeColor="text1"/>
        </w:rPr>
        <w:t xml:space="preserve"> per week </w:t>
      </w:r>
      <w:r w:rsidRPr="00222C1D">
        <w:rPr>
          <w:rFonts w:cs="Arial"/>
          <w:color w:val="000000" w:themeColor="text1"/>
        </w:rPr>
        <w:t>(</w:t>
      </w:r>
      <w:hyperlink r:id="rId1" w:history="1">
        <w:r w:rsidRPr="00222C1D">
          <w:rPr>
            <w:rStyle w:val="Hyperlink"/>
            <w:rFonts w:cs="Arial"/>
            <w:color w:val="000000" w:themeColor="text1"/>
          </w:rPr>
          <w:t>http://www.bls.gov/news.release/pdf/wkyeng.pdf</w:t>
        </w:r>
      </w:hyperlink>
      <w:r w:rsidRPr="00222C1D">
        <w:rPr>
          <w:rFonts w:cs="Arial"/>
          <w:color w:val="000000" w:themeColor="text1"/>
        </w:rPr>
        <w:t xml:space="preserve">); accessed on August </w:t>
      </w:r>
      <w:r w:rsidRPr="00222C1D" w:rsidR="00C00038">
        <w:rPr>
          <w:rFonts w:cs="Arial"/>
          <w:color w:val="000000" w:themeColor="text1"/>
        </w:rPr>
        <w:t>9</w:t>
      </w:r>
      <w:r w:rsidRPr="00222C1D">
        <w:rPr>
          <w:rFonts w:cs="Arial"/>
          <w:color w:val="000000" w:themeColor="text1"/>
        </w:rPr>
        <w:t xml:space="preserve">, </w:t>
      </w:r>
      <w:r w:rsidRPr="00222C1D" w:rsidR="00C00038">
        <w:rPr>
          <w:rFonts w:cs="Arial"/>
          <w:color w:val="000000" w:themeColor="text1"/>
        </w:rPr>
        <w:t>2024</w:t>
      </w:r>
      <w:r w:rsidRPr="00222C1D">
        <w:rPr>
          <w:rFonts w:cs="Arial"/>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1">
    <w:nsid w:val="09F53E84"/>
    <w:multiLevelType w:val="hybridMultilevel"/>
    <w:tmpl w:val="61A8D87E"/>
    <w:lvl w:ilvl="0">
      <w:start w:val="0"/>
      <w:numFmt w:val="bullet"/>
      <w:lvlText w:val="-"/>
      <w:lvlJc w:val="left"/>
      <w:pPr>
        <w:ind w:left="720" w:hanging="360"/>
      </w:pPr>
      <w:rPr>
        <w:rFonts w:ascii="Garamond" w:eastAsia="Times New Roman" w:hAnsi="Garamond" w:cs="Times New Roman" w:hint="default"/>
        <w:b/>
        <w: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51420B"/>
    <w:multiLevelType w:val="hybridMultilevel"/>
    <w:tmpl w:val="F888159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F8A47BE"/>
    <w:multiLevelType w:val="hybridMultilevel"/>
    <w:tmpl w:val="A7284656"/>
    <w:lvl w:ilvl="0">
      <w:start w:val="1"/>
      <w:numFmt w:val="upperLetter"/>
      <w:lvlText w:val="(%1)"/>
      <w:lvlJc w:val="left"/>
      <w:pPr>
        <w:tabs>
          <w:tab w:val="num" w:pos="1305"/>
        </w:tabs>
        <w:ind w:left="1305" w:hanging="390"/>
      </w:pPr>
      <w:rPr>
        <w:rFonts w:hint="default"/>
      </w:rPr>
    </w:lvl>
    <w:lvl w:ilvl="1" w:tentative="1">
      <w:start w:val="1"/>
      <w:numFmt w:val="lowerLetter"/>
      <w:lvlText w:val="%2."/>
      <w:lvlJc w:val="left"/>
      <w:pPr>
        <w:tabs>
          <w:tab w:val="num" w:pos="1995"/>
        </w:tabs>
        <w:ind w:left="1995" w:hanging="360"/>
      </w:pPr>
    </w:lvl>
    <w:lvl w:ilvl="2" w:tentative="1">
      <w:start w:val="1"/>
      <w:numFmt w:val="lowerRoman"/>
      <w:lvlText w:val="%3."/>
      <w:lvlJc w:val="right"/>
      <w:pPr>
        <w:tabs>
          <w:tab w:val="num" w:pos="2715"/>
        </w:tabs>
        <w:ind w:left="2715" w:hanging="180"/>
      </w:pPr>
    </w:lvl>
    <w:lvl w:ilvl="3" w:tentative="1">
      <w:start w:val="1"/>
      <w:numFmt w:val="decimal"/>
      <w:lvlText w:val="%4."/>
      <w:lvlJc w:val="left"/>
      <w:pPr>
        <w:tabs>
          <w:tab w:val="num" w:pos="3435"/>
        </w:tabs>
        <w:ind w:left="3435" w:hanging="360"/>
      </w:pPr>
    </w:lvl>
    <w:lvl w:ilvl="4" w:tentative="1">
      <w:start w:val="1"/>
      <w:numFmt w:val="lowerLetter"/>
      <w:lvlText w:val="%5."/>
      <w:lvlJc w:val="left"/>
      <w:pPr>
        <w:tabs>
          <w:tab w:val="num" w:pos="4155"/>
        </w:tabs>
        <w:ind w:left="4155" w:hanging="360"/>
      </w:pPr>
    </w:lvl>
    <w:lvl w:ilvl="5" w:tentative="1">
      <w:start w:val="1"/>
      <w:numFmt w:val="lowerRoman"/>
      <w:lvlText w:val="%6."/>
      <w:lvlJc w:val="right"/>
      <w:pPr>
        <w:tabs>
          <w:tab w:val="num" w:pos="4875"/>
        </w:tabs>
        <w:ind w:left="4875" w:hanging="180"/>
      </w:pPr>
    </w:lvl>
    <w:lvl w:ilvl="6" w:tentative="1">
      <w:start w:val="1"/>
      <w:numFmt w:val="decimal"/>
      <w:lvlText w:val="%7."/>
      <w:lvlJc w:val="left"/>
      <w:pPr>
        <w:tabs>
          <w:tab w:val="num" w:pos="5595"/>
        </w:tabs>
        <w:ind w:left="5595" w:hanging="360"/>
      </w:pPr>
    </w:lvl>
    <w:lvl w:ilvl="7" w:tentative="1">
      <w:start w:val="1"/>
      <w:numFmt w:val="lowerLetter"/>
      <w:lvlText w:val="%8."/>
      <w:lvlJc w:val="left"/>
      <w:pPr>
        <w:tabs>
          <w:tab w:val="num" w:pos="6315"/>
        </w:tabs>
        <w:ind w:left="6315" w:hanging="360"/>
      </w:pPr>
    </w:lvl>
    <w:lvl w:ilvl="8" w:tentative="1">
      <w:start w:val="1"/>
      <w:numFmt w:val="lowerRoman"/>
      <w:lvlText w:val="%9."/>
      <w:lvlJc w:val="right"/>
      <w:pPr>
        <w:tabs>
          <w:tab w:val="num" w:pos="7035"/>
        </w:tabs>
        <w:ind w:left="7035" w:hanging="180"/>
      </w:pPr>
    </w:lvl>
  </w:abstractNum>
  <w:abstractNum w:abstractNumId="4">
    <w:nsid w:val="11E83465"/>
    <w:multiLevelType w:val="hybridMultilevel"/>
    <w:tmpl w:val="8CE6E222"/>
    <w:lvl w:ilvl="0">
      <w:start w:val="1"/>
      <w:numFmt w:val="bullet"/>
      <w:lvlText w:val=""/>
      <w:lvlJc w:val="left"/>
      <w:pPr>
        <w:tabs>
          <w:tab w:val="num" w:pos="360"/>
        </w:tabs>
        <w:ind w:left="36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BA20B9"/>
    <w:multiLevelType w:val="hybridMultilevel"/>
    <w:tmpl w:val="278480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2D22F76"/>
    <w:multiLevelType w:val="hybridMultilevel"/>
    <w:tmpl w:val="FD462C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4215A7A"/>
    <w:multiLevelType w:val="hybridMultilevel"/>
    <w:tmpl w:val="462ED48A"/>
    <w:lvl w:ilvl="0">
      <w:start w:val="1"/>
      <w:numFmt w:val="decimal"/>
      <w:lvlText w:val="(%1)"/>
      <w:lvlJc w:val="left"/>
      <w:pPr>
        <w:tabs>
          <w:tab w:val="num" w:pos="1275"/>
        </w:tabs>
        <w:ind w:left="1275" w:hanging="360"/>
      </w:pPr>
      <w:rPr>
        <w:rFonts w:hint="default"/>
      </w:rPr>
    </w:lvl>
    <w:lvl w:ilvl="1">
      <w:start w:val="1"/>
      <w:numFmt w:val="lowerLetter"/>
      <w:lvlText w:val="%2."/>
      <w:lvlJc w:val="left"/>
      <w:pPr>
        <w:tabs>
          <w:tab w:val="num" w:pos="1995"/>
        </w:tabs>
        <w:ind w:left="1995" w:hanging="360"/>
      </w:pPr>
    </w:lvl>
    <w:lvl w:ilvl="2" w:tentative="1">
      <w:start w:val="1"/>
      <w:numFmt w:val="lowerRoman"/>
      <w:lvlText w:val="%3."/>
      <w:lvlJc w:val="right"/>
      <w:pPr>
        <w:tabs>
          <w:tab w:val="num" w:pos="2715"/>
        </w:tabs>
        <w:ind w:left="2715" w:hanging="180"/>
      </w:pPr>
    </w:lvl>
    <w:lvl w:ilvl="3" w:tentative="1">
      <w:start w:val="1"/>
      <w:numFmt w:val="decimal"/>
      <w:lvlText w:val="%4."/>
      <w:lvlJc w:val="left"/>
      <w:pPr>
        <w:tabs>
          <w:tab w:val="num" w:pos="3435"/>
        </w:tabs>
        <w:ind w:left="3435" w:hanging="360"/>
      </w:pPr>
    </w:lvl>
    <w:lvl w:ilvl="4" w:tentative="1">
      <w:start w:val="1"/>
      <w:numFmt w:val="lowerLetter"/>
      <w:lvlText w:val="%5."/>
      <w:lvlJc w:val="left"/>
      <w:pPr>
        <w:tabs>
          <w:tab w:val="num" w:pos="4155"/>
        </w:tabs>
        <w:ind w:left="4155" w:hanging="360"/>
      </w:pPr>
    </w:lvl>
    <w:lvl w:ilvl="5" w:tentative="1">
      <w:start w:val="1"/>
      <w:numFmt w:val="lowerRoman"/>
      <w:lvlText w:val="%6."/>
      <w:lvlJc w:val="right"/>
      <w:pPr>
        <w:tabs>
          <w:tab w:val="num" w:pos="4875"/>
        </w:tabs>
        <w:ind w:left="4875" w:hanging="180"/>
      </w:pPr>
    </w:lvl>
    <w:lvl w:ilvl="6" w:tentative="1">
      <w:start w:val="1"/>
      <w:numFmt w:val="decimal"/>
      <w:lvlText w:val="%7."/>
      <w:lvlJc w:val="left"/>
      <w:pPr>
        <w:tabs>
          <w:tab w:val="num" w:pos="5595"/>
        </w:tabs>
        <w:ind w:left="5595" w:hanging="360"/>
      </w:pPr>
    </w:lvl>
    <w:lvl w:ilvl="7" w:tentative="1">
      <w:start w:val="1"/>
      <w:numFmt w:val="lowerLetter"/>
      <w:lvlText w:val="%8."/>
      <w:lvlJc w:val="left"/>
      <w:pPr>
        <w:tabs>
          <w:tab w:val="num" w:pos="6315"/>
        </w:tabs>
        <w:ind w:left="6315" w:hanging="360"/>
      </w:pPr>
    </w:lvl>
    <w:lvl w:ilvl="8" w:tentative="1">
      <w:start w:val="1"/>
      <w:numFmt w:val="lowerRoman"/>
      <w:lvlText w:val="%9."/>
      <w:lvlJc w:val="right"/>
      <w:pPr>
        <w:tabs>
          <w:tab w:val="num" w:pos="7035"/>
        </w:tabs>
        <w:ind w:left="7035" w:hanging="180"/>
      </w:pPr>
    </w:lvl>
  </w:abstractNum>
  <w:abstractNum w:abstractNumId="8">
    <w:nsid w:val="147F0227"/>
    <w:multiLevelType w:val="hybridMultilevel"/>
    <w:tmpl w:val="55B456B4"/>
    <w:lvl w:ilvl="0">
      <w:start w:val="1"/>
      <w:numFmt w:val="bullet"/>
      <w:lvlText w:val=""/>
      <w:lvlJc w:val="left"/>
      <w:pPr>
        <w:tabs>
          <w:tab w:val="num" w:pos="2880"/>
        </w:tabs>
        <w:ind w:left="2880" w:hanging="360"/>
      </w:pPr>
      <w:rPr>
        <w:rFonts w:ascii="Symbol" w:hAnsi="Symbol" w:hint="default"/>
        <w:sz w:val="24"/>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9">
    <w:nsid w:val="16BD0C22"/>
    <w:multiLevelType w:val="hybridMultilevel"/>
    <w:tmpl w:val="30BC24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81E6043"/>
    <w:multiLevelType w:val="hybridMultilevel"/>
    <w:tmpl w:val="77FC6E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0A35A0"/>
    <w:multiLevelType w:val="hybridMultilevel"/>
    <w:tmpl w:val="C7DAA822"/>
    <w:lvl w:ilvl="0">
      <w:start w:val="1"/>
      <w:numFmt w:val="decimal"/>
      <w:lvlText w:val="%1."/>
      <w:lvlJc w:val="left"/>
      <w:pPr>
        <w:tabs>
          <w:tab w:val="num" w:pos="720"/>
        </w:tabs>
        <w:ind w:left="720" w:hanging="288"/>
      </w:pPr>
      <w:rPr>
        <w:rFonts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EA44266"/>
    <w:multiLevelType w:val="hybridMultilevel"/>
    <w:tmpl w:val="181C2F8C"/>
    <w:lvl w:ilvl="0">
      <w:start w:val="1"/>
      <w:numFmt w:val="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3">
    <w:nsid w:val="20156B3B"/>
    <w:multiLevelType w:val="hybridMultilevel"/>
    <w:tmpl w:val="21CE361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112668C"/>
    <w:multiLevelType w:val="hybridMultilevel"/>
    <w:tmpl w:val="0136F7B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28200D9"/>
    <w:multiLevelType w:val="hybridMultilevel"/>
    <w:tmpl w:val="224C3A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299028D"/>
    <w:multiLevelType w:val="hybridMultilevel"/>
    <w:tmpl w:val="F216E92C"/>
    <w:lvl w:ilvl="0">
      <w:start w:val="1"/>
      <w:numFmt w:val="bullet"/>
      <w:lvlText w:val=""/>
      <w:lvlJc w:val="left"/>
      <w:pPr>
        <w:tabs>
          <w:tab w:val="num" w:pos="600"/>
        </w:tabs>
        <w:ind w:left="600" w:hanging="360"/>
      </w:pPr>
      <w:rPr>
        <w:rFonts w:ascii="Symbol" w:hAnsi="Symbol" w:hint="default"/>
      </w:rPr>
    </w:lvl>
    <w:lvl w:ilvl="1" w:tentative="1">
      <w:start w:val="1"/>
      <w:numFmt w:val="bullet"/>
      <w:lvlText w:val="o"/>
      <w:lvlJc w:val="left"/>
      <w:pPr>
        <w:tabs>
          <w:tab w:val="num" w:pos="1320"/>
        </w:tabs>
        <w:ind w:left="1320" w:hanging="360"/>
      </w:pPr>
      <w:rPr>
        <w:rFonts w:ascii="Courier New" w:hAnsi="Courier New" w:cs="Courier New" w:hint="default"/>
      </w:rPr>
    </w:lvl>
    <w:lvl w:ilvl="2" w:tentative="1">
      <w:start w:val="1"/>
      <w:numFmt w:val="bullet"/>
      <w:lvlText w:val=""/>
      <w:lvlJc w:val="left"/>
      <w:pPr>
        <w:tabs>
          <w:tab w:val="num" w:pos="2040"/>
        </w:tabs>
        <w:ind w:left="2040" w:hanging="360"/>
      </w:pPr>
      <w:rPr>
        <w:rFonts w:ascii="Wingdings" w:hAnsi="Wingdings" w:hint="default"/>
      </w:rPr>
    </w:lvl>
    <w:lvl w:ilvl="3" w:tentative="1">
      <w:start w:val="1"/>
      <w:numFmt w:val="bullet"/>
      <w:lvlText w:val=""/>
      <w:lvlJc w:val="left"/>
      <w:pPr>
        <w:tabs>
          <w:tab w:val="num" w:pos="2760"/>
        </w:tabs>
        <w:ind w:left="2760" w:hanging="360"/>
      </w:pPr>
      <w:rPr>
        <w:rFonts w:ascii="Symbol" w:hAnsi="Symbol" w:hint="default"/>
      </w:rPr>
    </w:lvl>
    <w:lvl w:ilvl="4" w:tentative="1">
      <w:start w:val="1"/>
      <w:numFmt w:val="bullet"/>
      <w:lvlText w:val="o"/>
      <w:lvlJc w:val="left"/>
      <w:pPr>
        <w:tabs>
          <w:tab w:val="num" w:pos="3480"/>
        </w:tabs>
        <w:ind w:left="3480" w:hanging="360"/>
      </w:pPr>
      <w:rPr>
        <w:rFonts w:ascii="Courier New" w:hAnsi="Courier New" w:cs="Courier New" w:hint="default"/>
      </w:rPr>
    </w:lvl>
    <w:lvl w:ilvl="5" w:tentative="1">
      <w:start w:val="1"/>
      <w:numFmt w:val="bullet"/>
      <w:lvlText w:val=""/>
      <w:lvlJc w:val="left"/>
      <w:pPr>
        <w:tabs>
          <w:tab w:val="num" w:pos="4200"/>
        </w:tabs>
        <w:ind w:left="4200" w:hanging="360"/>
      </w:pPr>
      <w:rPr>
        <w:rFonts w:ascii="Wingdings" w:hAnsi="Wingdings" w:hint="default"/>
      </w:rPr>
    </w:lvl>
    <w:lvl w:ilvl="6" w:tentative="1">
      <w:start w:val="1"/>
      <w:numFmt w:val="bullet"/>
      <w:lvlText w:val=""/>
      <w:lvlJc w:val="left"/>
      <w:pPr>
        <w:tabs>
          <w:tab w:val="num" w:pos="4920"/>
        </w:tabs>
        <w:ind w:left="4920" w:hanging="360"/>
      </w:pPr>
      <w:rPr>
        <w:rFonts w:ascii="Symbol" w:hAnsi="Symbol" w:hint="default"/>
      </w:rPr>
    </w:lvl>
    <w:lvl w:ilvl="7" w:tentative="1">
      <w:start w:val="1"/>
      <w:numFmt w:val="bullet"/>
      <w:lvlText w:val="o"/>
      <w:lvlJc w:val="left"/>
      <w:pPr>
        <w:tabs>
          <w:tab w:val="num" w:pos="5640"/>
        </w:tabs>
        <w:ind w:left="5640" w:hanging="360"/>
      </w:pPr>
      <w:rPr>
        <w:rFonts w:ascii="Courier New" w:hAnsi="Courier New" w:cs="Courier New" w:hint="default"/>
      </w:rPr>
    </w:lvl>
    <w:lvl w:ilvl="8" w:tentative="1">
      <w:start w:val="1"/>
      <w:numFmt w:val="bullet"/>
      <w:lvlText w:val=""/>
      <w:lvlJc w:val="left"/>
      <w:pPr>
        <w:tabs>
          <w:tab w:val="num" w:pos="6360"/>
        </w:tabs>
        <w:ind w:left="6360" w:hanging="360"/>
      </w:pPr>
      <w:rPr>
        <w:rFonts w:ascii="Wingdings" w:hAnsi="Wingdings" w:hint="default"/>
      </w:rPr>
    </w:lvl>
  </w:abstractNum>
  <w:abstractNum w:abstractNumId="17">
    <w:nsid w:val="23A93A87"/>
    <w:multiLevelType w:val="hybridMultilevel"/>
    <w:tmpl w:val="9672170A"/>
    <w:lvl w:ilvl="0">
      <w:start w:val="3"/>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6147436"/>
    <w:multiLevelType w:val="hybridMultilevel"/>
    <w:tmpl w:val="28744D6C"/>
    <w:lvl w:ilvl="0">
      <w:start w:val="1"/>
      <w:numFmt w:val="decimal"/>
      <w:pStyle w:val="Style2"/>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263E4788"/>
    <w:multiLevelType w:val="hybridMultilevel"/>
    <w:tmpl w:val="BFF0FB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88660C5"/>
    <w:multiLevelType w:val="hybridMultilevel"/>
    <w:tmpl w:val="561E20A4"/>
    <w:lvl w:ilvl="0">
      <w:start w:val="1"/>
      <w:numFmt w:val="bullet"/>
      <w:pStyle w:val="bulletround"/>
      <w:lvlText w:val=""/>
      <w:lvlJc w:val="left"/>
      <w:pPr>
        <w:tabs>
          <w:tab w:val="num" w:pos="1080"/>
        </w:tabs>
        <w:ind w:left="1080" w:hanging="360"/>
      </w:pPr>
      <w:rPr>
        <w:rFonts w:ascii="Symbol" w:hAnsi="Symbol" w:hint="default"/>
        <w:sz w:val="24"/>
        <w:szCs w:val="24"/>
      </w:rPr>
    </w:lvl>
    <w:lvl w:ilvl="1">
      <w:start w:val="1"/>
      <w:numFmt w:val="bullet"/>
      <w:pStyle w:val="Bullet1"/>
      <w:lvlText w:val=""/>
      <w:lvlJc w:val="left"/>
      <w:pPr>
        <w:tabs>
          <w:tab w:val="num" w:pos="1440"/>
        </w:tabs>
        <w:ind w:left="1440" w:hanging="360"/>
      </w:pPr>
      <w:rPr>
        <w:rFonts w:ascii="Symbol" w:hAnsi="Symbol"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B70301F"/>
    <w:multiLevelType w:val="hybridMultilevel"/>
    <w:tmpl w:val="ECE6BD8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EA22ABC"/>
    <w:multiLevelType w:val="hybridMultilevel"/>
    <w:tmpl w:val="6232B37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30235A27"/>
    <w:multiLevelType w:val="hybridMultilevel"/>
    <w:tmpl w:val="D5F6E9AE"/>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2FF2EDE"/>
    <w:multiLevelType w:val="hybridMultilevel"/>
    <w:tmpl w:val="FBC2F2BC"/>
    <w:lvl w:ilvl="0">
      <w:start w:val="1"/>
      <w:numFmt w:val="lowerLetter"/>
      <w:lvlText w:val="(%1)"/>
      <w:lvlJc w:val="left"/>
      <w:pPr>
        <w:tabs>
          <w:tab w:val="num" w:pos="600"/>
        </w:tabs>
        <w:ind w:left="600" w:hanging="360"/>
      </w:pPr>
      <w:rPr>
        <w:rFonts w:hint="default"/>
      </w:rPr>
    </w:lvl>
    <w:lvl w:ilvl="1">
      <w:start w:val="1"/>
      <w:numFmt w:val="decimal"/>
      <w:lvlText w:val="(%2)"/>
      <w:lvlJc w:val="left"/>
      <w:pPr>
        <w:tabs>
          <w:tab w:val="num" w:pos="1320"/>
        </w:tabs>
        <w:ind w:left="1320" w:hanging="360"/>
      </w:pPr>
      <w:rPr>
        <w:rFonts w:hint="default"/>
      </w:rPr>
    </w:lvl>
    <w:lvl w:ilvl="2">
      <w:start w:val="1"/>
      <w:numFmt w:val="upperLetter"/>
      <w:lvlText w:val="(%3)"/>
      <w:lvlJc w:val="left"/>
      <w:pPr>
        <w:tabs>
          <w:tab w:val="num" w:pos="2250"/>
        </w:tabs>
        <w:ind w:left="2250" w:hanging="390"/>
      </w:pPr>
      <w:rPr>
        <w:rFonts w:hint="default"/>
      </w:r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25">
    <w:nsid w:val="35414364"/>
    <w:multiLevelType w:val="hybridMultilevel"/>
    <w:tmpl w:val="BFA6F0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7045325"/>
    <w:multiLevelType w:val="hybridMultilevel"/>
    <w:tmpl w:val="02F0FDC4"/>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37382FF3"/>
    <w:multiLevelType w:val="hybridMultilevel"/>
    <w:tmpl w:val="970C21D4"/>
    <w:lvl w:ilvl="0">
      <w:start w:val="1"/>
      <w:numFmt w:val="upperLetter"/>
      <w:lvlText w:val="(%1)"/>
      <w:lvlJc w:val="left"/>
      <w:pPr>
        <w:tabs>
          <w:tab w:val="num" w:pos="1305"/>
        </w:tabs>
        <w:ind w:left="1305" w:hanging="390"/>
      </w:pPr>
      <w:rPr>
        <w:rFonts w:hint="default"/>
      </w:rPr>
    </w:lvl>
    <w:lvl w:ilvl="1" w:tentative="1">
      <w:start w:val="1"/>
      <w:numFmt w:val="lowerLetter"/>
      <w:lvlText w:val="%2."/>
      <w:lvlJc w:val="left"/>
      <w:pPr>
        <w:tabs>
          <w:tab w:val="num" w:pos="1995"/>
        </w:tabs>
        <w:ind w:left="1995" w:hanging="360"/>
      </w:pPr>
    </w:lvl>
    <w:lvl w:ilvl="2" w:tentative="1">
      <w:start w:val="1"/>
      <w:numFmt w:val="lowerRoman"/>
      <w:lvlText w:val="%3."/>
      <w:lvlJc w:val="right"/>
      <w:pPr>
        <w:tabs>
          <w:tab w:val="num" w:pos="2715"/>
        </w:tabs>
        <w:ind w:left="2715" w:hanging="180"/>
      </w:pPr>
    </w:lvl>
    <w:lvl w:ilvl="3" w:tentative="1">
      <w:start w:val="1"/>
      <w:numFmt w:val="decimal"/>
      <w:lvlText w:val="%4."/>
      <w:lvlJc w:val="left"/>
      <w:pPr>
        <w:tabs>
          <w:tab w:val="num" w:pos="3435"/>
        </w:tabs>
        <w:ind w:left="3435" w:hanging="360"/>
      </w:pPr>
    </w:lvl>
    <w:lvl w:ilvl="4" w:tentative="1">
      <w:start w:val="1"/>
      <w:numFmt w:val="lowerLetter"/>
      <w:lvlText w:val="%5."/>
      <w:lvlJc w:val="left"/>
      <w:pPr>
        <w:tabs>
          <w:tab w:val="num" w:pos="4155"/>
        </w:tabs>
        <w:ind w:left="4155" w:hanging="360"/>
      </w:pPr>
    </w:lvl>
    <w:lvl w:ilvl="5" w:tentative="1">
      <w:start w:val="1"/>
      <w:numFmt w:val="lowerRoman"/>
      <w:lvlText w:val="%6."/>
      <w:lvlJc w:val="right"/>
      <w:pPr>
        <w:tabs>
          <w:tab w:val="num" w:pos="4875"/>
        </w:tabs>
        <w:ind w:left="4875" w:hanging="180"/>
      </w:pPr>
    </w:lvl>
    <w:lvl w:ilvl="6" w:tentative="1">
      <w:start w:val="1"/>
      <w:numFmt w:val="decimal"/>
      <w:lvlText w:val="%7."/>
      <w:lvlJc w:val="left"/>
      <w:pPr>
        <w:tabs>
          <w:tab w:val="num" w:pos="5595"/>
        </w:tabs>
        <w:ind w:left="5595" w:hanging="360"/>
      </w:pPr>
    </w:lvl>
    <w:lvl w:ilvl="7" w:tentative="1">
      <w:start w:val="1"/>
      <w:numFmt w:val="lowerLetter"/>
      <w:lvlText w:val="%8."/>
      <w:lvlJc w:val="left"/>
      <w:pPr>
        <w:tabs>
          <w:tab w:val="num" w:pos="6315"/>
        </w:tabs>
        <w:ind w:left="6315" w:hanging="360"/>
      </w:pPr>
    </w:lvl>
    <w:lvl w:ilvl="8" w:tentative="1">
      <w:start w:val="1"/>
      <w:numFmt w:val="lowerRoman"/>
      <w:lvlText w:val="%9."/>
      <w:lvlJc w:val="right"/>
      <w:pPr>
        <w:tabs>
          <w:tab w:val="num" w:pos="7035"/>
        </w:tabs>
        <w:ind w:left="7035" w:hanging="180"/>
      </w:pPr>
    </w:lvl>
  </w:abstractNum>
  <w:abstractNum w:abstractNumId="28">
    <w:nsid w:val="39F245EF"/>
    <w:multiLevelType w:val="hybridMultilevel"/>
    <w:tmpl w:val="13F615D6"/>
    <w:lvl w:ilvl="0">
      <w:start w:val="1"/>
      <w:numFmt w:val="decimal"/>
      <w:pStyle w:val="ListBullet2"/>
      <w:lvlText w:val="%1."/>
      <w:lvlJc w:val="left"/>
      <w:pPr>
        <w:tabs>
          <w:tab w:val="num" w:pos="1080"/>
        </w:tabs>
        <w:ind w:left="108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3F7C2F48"/>
    <w:multiLevelType w:val="multilevel"/>
    <w:tmpl w:val="187C9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40C75BB8"/>
    <w:multiLevelType w:val="hybridMultilevel"/>
    <w:tmpl w:val="ABF0B8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AAD0817"/>
    <w:multiLevelType w:val="hybridMultilevel"/>
    <w:tmpl w:val="2F764FF4"/>
    <w:lvl w:ilvl="0">
      <w:start w:val="1"/>
      <w:numFmt w:val="lowerLetter"/>
      <w:lvlText w:val="(%1)"/>
      <w:lvlJc w:val="left"/>
      <w:pPr>
        <w:tabs>
          <w:tab w:val="num" w:pos="600"/>
        </w:tabs>
        <w:ind w:left="600" w:hanging="360"/>
      </w:pPr>
      <w:rPr>
        <w:rFonts w:hint="default"/>
      </w:rPr>
    </w:lvl>
    <w:lvl w:ilvl="1">
      <w:start w:val="1"/>
      <w:numFmt w:val="decimal"/>
      <w:lvlText w:val="(%2)"/>
      <w:lvlJc w:val="left"/>
      <w:pPr>
        <w:tabs>
          <w:tab w:val="num" w:pos="1320"/>
        </w:tabs>
        <w:ind w:left="1320" w:hanging="360"/>
      </w:pPr>
      <w:rPr>
        <w:rFonts w:hint="default"/>
      </w:r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32">
    <w:nsid w:val="5291468A"/>
    <w:multiLevelType w:val="hybridMultilevel"/>
    <w:tmpl w:val="24EE2ED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nsid w:val="5439667C"/>
    <w:multiLevelType w:val="hybridMultilevel"/>
    <w:tmpl w:val="E4227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83E1D2B"/>
    <w:multiLevelType w:val="hybridMultilevel"/>
    <w:tmpl w:val="5A70FF6A"/>
    <w:lvl w:ilvl="0">
      <w:start w:val="1"/>
      <w:numFmt w:val="upperLetter"/>
      <w:lvlText w:val="(%1)"/>
      <w:lvlJc w:val="left"/>
      <w:pPr>
        <w:tabs>
          <w:tab w:val="num" w:pos="1575"/>
        </w:tabs>
        <w:ind w:left="1575" w:hanging="375"/>
      </w:pPr>
      <w:rPr>
        <w:rFonts w:hint="default"/>
      </w:rPr>
    </w:lvl>
    <w:lvl w:ilvl="1">
      <w:start w:val="1"/>
      <w:numFmt w:val="lowerRoman"/>
      <w:lvlText w:val="(%2)"/>
      <w:lvlJc w:val="left"/>
      <w:pPr>
        <w:tabs>
          <w:tab w:val="num" w:pos="2640"/>
        </w:tabs>
        <w:ind w:left="2640" w:hanging="720"/>
      </w:pPr>
      <w:rPr>
        <w:rFonts w:hint="default"/>
      </w:rPr>
    </w:lvl>
    <w:lvl w:ilvl="2">
      <w:start w:val="1"/>
      <w:numFmt w:val="lowerRoman"/>
      <w:lvlText w:val="%3."/>
      <w:lvlJc w:val="right"/>
      <w:pPr>
        <w:tabs>
          <w:tab w:val="num" w:pos="3000"/>
        </w:tabs>
        <w:ind w:left="3000" w:hanging="180"/>
      </w:pPr>
    </w:lvl>
    <w:lvl w:ilvl="3" w:tentative="1">
      <w:start w:val="1"/>
      <w:numFmt w:val="decimal"/>
      <w:lvlText w:val="%4."/>
      <w:lvlJc w:val="left"/>
      <w:pPr>
        <w:tabs>
          <w:tab w:val="num" w:pos="3720"/>
        </w:tabs>
        <w:ind w:left="3720" w:hanging="360"/>
      </w:pPr>
    </w:lvl>
    <w:lvl w:ilvl="4" w:tentative="1">
      <w:start w:val="1"/>
      <w:numFmt w:val="lowerLetter"/>
      <w:lvlText w:val="%5."/>
      <w:lvlJc w:val="left"/>
      <w:pPr>
        <w:tabs>
          <w:tab w:val="num" w:pos="4440"/>
        </w:tabs>
        <w:ind w:left="4440" w:hanging="360"/>
      </w:pPr>
    </w:lvl>
    <w:lvl w:ilvl="5" w:tentative="1">
      <w:start w:val="1"/>
      <w:numFmt w:val="lowerRoman"/>
      <w:lvlText w:val="%6."/>
      <w:lvlJc w:val="right"/>
      <w:pPr>
        <w:tabs>
          <w:tab w:val="num" w:pos="5160"/>
        </w:tabs>
        <w:ind w:left="5160" w:hanging="180"/>
      </w:pPr>
    </w:lvl>
    <w:lvl w:ilvl="6" w:tentative="1">
      <w:start w:val="1"/>
      <w:numFmt w:val="decimal"/>
      <w:lvlText w:val="%7."/>
      <w:lvlJc w:val="left"/>
      <w:pPr>
        <w:tabs>
          <w:tab w:val="num" w:pos="5880"/>
        </w:tabs>
        <w:ind w:left="5880" w:hanging="360"/>
      </w:pPr>
    </w:lvl>
    <w:lvl w:ilvl="7" w:tentative="1">
      <w:start w:val="1"/>
      <w:numFmt w:val="lowerLetter"/>
      <w:lvlText w:val="%8."/>
      <w:lvlJc w:val="left"/>
      <w:pPr>
        <w:tabs>
          <w:tab w:val="num" w:pos="6600"/>
        </w:tabs>
        <w:ind w:left="6600" w:hanging="360"/>
      </w:pPr>
    </w:lvl>
    <w:lvl w:ilvl="8" w:tentative="1">
      <w:start w:val="1"/>
      <w:numFmt w:val="lowerRoman"/>
      <w:lvlText w:val="%9."/>
      <w:lvlJc w:val="right"/>
      <w:pPr>
        <w:tabs>
          <w:tab w:val="num" w:pos="7320"/>
        </w:tabs>
        <w:ind w:left="7320" w:hanging="180"/>
      </w:pPr>
    </w:lvl>
  </w:abstractNum>
  <w:abstractNum w:abstractNumId="35">
    <w:nsid w:val="591300B8"/>
    <w:multiLevelType w:val="hybridMultilevel"/>
    <w:tmpl w:val="C778CB6E"/>
    <w:lvl w:ilvl="0">
      <w:start w:val="1"/>
      <w:numFmt w:val="decimal"/>
      <w:lvlText w:val="%1."/>
      <w:lvlJc w:val="left"/>
      <w:pPr>
        <w:tabs>
          <w:tab w:val="num" w:pos="378"/>
        </w:tabs>
        <w:ind w:left="378" w:hanging="360"/>
      </w:pPr>
      <w:rPr>
        <w:rFonts w:hint="default"/>
        <w:color w:val="auto"/>
      </w:rPr>
    </w:lvl>
    <w:lvl w:ilvl="1" w:tentative="1">
      <w:start w:val="1"/>
      <w:numFmt w:val="lowerLetter"/>
      <w:lvlText w:val="%2."/>
      <w:lvlJc w:val="left"/>
      <w:pPr>
        <w:tabs>
          <w:tab w:val="num" w:pos="1098"/>
        </w:tabs>
        <w:ind w:left="1098" w:hanging="360"/>
      </w:pPr>
    </w:lvl>
    <w:lvl w:ilvl="2" w:tentative="1">
      <w:start w:val="1"/>
      <w:numFmt w:val="lowerRoman"/>
      <w:lvlText w:val="%3."/>
      <w:lvlJc w:val="right"/>
      <w:pPr>
        <w:tabs>
          <w:tab w:val="num" w:pos="1818"/>
        </w:tabs>
        <w:ind w:left="1818" w:hanging="180"/>
      </w:pPr>
    </w:lvl>
    <w:lvl w:ilvl="3" w:tentative="1">
      <w:start w:val="1"/>
      <w:numFmt w:val="decimal"/>
      <w:lvlText w:val="%4."/>
      <w:lvlJc w:val="left"/>
      <w:pPr>
        <w:tabs>
          <w:tab w:val="num" w:pos="2538"/>
        </w:tabs>
        <w:ind w:left="2538" w:hanging="360"/>
      </w:pPr>
    </w:lvl>
    <w:lvl w:ilvl="4" w:tentative="1">
      <w:start w:val="1"/>
      <w:numFmt w:val="lowerLetter"/>
      <w:lvlText w:val="%5."/>
      <w:lvlJc w:val="left"/>
      <w:pPr>
        <w:tabs>
          <w:tab w:val="num" w:pos="3258"/>
        </w:tabs>
        <w:ind w:left="3258" w:hanging="360"/>
      </w:pPr>
    </w:lvl>
    <w:lvl w:ilvl="5" w:tentative="1">
      <w:start w:val="1"/>
      <w:numFmt w:val="lowerRoman"/>
      <w:lvlText w:val="%6."/>
      <w:lvlJc w:val="right"/>
      <w:pPr>
        <w:tabs>
          <w:tab w:val="num" w:pos="3978"/>
        </w:tabs>
        <w:ind w:left="3978" w:hanging="180"/>
      </w:pPr>
    </w:lvl>
    <w:lvl w:ilvl="6" w:tentative="1">
      <w:start w:val="1"/>
      <w:numFmt w:val="decimal"/>
      <w:lvlText w:val="%7."/>
      <w:lvlJc w:val="left"/>
      <w:pPr>
        <w:tabs>
          <w:tab w:val="num" w:pos="4698"/>
        </w:tabs>
        <w:ind w:left="4698" w:hanging="360"/>
      </w:pPr>
    </w:lvl>
    <w:lvl w:ilvl="7" w:tentative="1">
      <w:start w:val="1"/>
      <w:numFmt w:val="lowerLetter"/>
      <w:lvlText w:val="%8."/>
      <w:lvlJc w:val="left"/>
      <w:pPr>
        <w:tabs>
          <w:tab w:val="num" w:pos="5418"/>
        </w:tabs>
        <w:ind w:left="5418" w:hanging="360"/>
      </w:pPr>
    </w:lvl>
    <w:lvl w:ilvl="8" w:tentative="1">
      <w:start w:val="1"/>
      <w:numFmt w:val="lowerRoman"/>
      <w:lvlText w:val="%9."/>
      <w:lvlJc w:val="right"/>
      <w:pPr>
        <w:tabs>
          <w:tab w:val="num" w:pos="6138"/>
        </w:tabs>
        <w:ind w:left="6138" w:hanging="180"/>
      </w:pPr>
    </w:lvl>
  </w:abstractNum>
  <w:abstractNum w:abstractNumId="36">
    <w:nsid w:val="5B330D57"/>
    <w:multiLevelType w:val="multilevel"/>
    <w:tmpl w:val="7EE4638A"/>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37">
    <w:nsid w:val="68747CF4"/>
    <w:multiLevelType w:val="singleLevel"/>
    <w:tmpl w:val="F9E6B576"/>
    <w:lvl w:ilvl="0">
      <w:start w:val="8"/>
      <w:numFmt w:val="lowerLetter"/>
      <w:lvlText w:val="%1. "/>
      <w:legacy w:legacy="1" w:legacySpace="0" w:legacyIndent="360"/>
      <w:lvlJc w:val="left"/>
      <w:pPr>
        <w:ind w:left="630" w:hanging="360"/>
      </w:pPr>
      <w:rPr>
        <w:rFonts w:ascii="Times New Roman" w:hAnsi="Times New Roman" w:hint="default"/>
        <w:b w:val="0"/>
        <w:i w:val="0"/>
        <w:sz w:val="20"/>
        <w:u w:val="none"/>
      </w:rPr>
    </w:lvl>
  </w:abstractNum>
  <w:abstractNum w:abstractNumId="38">
    <w:nsid w:val="6C0B2F01"/>
    <w:multiLevelType w:val="hybridMultilevel"/>
    <w:tmpl w:val="DC8215DC"/>
    <w:lvl w:ilvl="0">
      <w:start w:val="1"/>
      <w:numFmt w:val="decimal"/>
      <w:lvlText w:val="%1."/>
      <w:lvlJc w:val="left"/>
      <w:pPr>
        <w:tabs>
          <w:tab w:val="num" w:pos="1440"/>
        </w:tabs>
        <w:ind w:left="1440" w:hanging="360"/>
      </w:pPr>
      <w:rPr>
        <w:rFont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9">
    <w:nsid w:val="76B72849"/>
    <w:multiLevelType w:val="hybridMultilevel"/>
    <w:tmpl w:val="52EA2B88"/>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40">
    <w:nsid w:val="77FE2C3A"/>
    <w:multiLevelType w:val="hybridMultilevel"/>
    <w:tmpl w:val="5DE6CD4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8484480"/>
    <w:multiLevelType w:val="hybridMultilevel"/>
    <w:tmpl w:val="3682A6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7BB82151"/>
    <w:multiLevelType w:val="hybridMultilevel"/>
    <w:tmpl w:val="E482CF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DFF0188"/>
    <w:multiLevelType w:val="hybridMultilevel"/>
    <w:tmpl w:val="B570186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7FD31AB5"/>
    <w:multiLevelType w:val="multilevel"/>
    <w:tmpl w:val="69A0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280757">
    <w:abstractNumId w:val="20"/>
  </w:num>
  <w:num w:numId="2" w16cid:durableId="1867983573">
    <w:abstractNumId w:val="28"/>
  </w:num>
  <w:num w:numId="3" w16cid:durableId="2021538328">
    <w:abstractNumId w:val="0"/>
  </w:num>
  <w:num w:numId="4" w16cid:durableId="57215297">
    <w:abstractNumId w:val="7"/>
  </w:num>
  <w:num w:numId="5" w16cid:durableId="706221727">
    <w:abstractNumId w:val="27"/>
  </w:num>
  <w:num w:numId="6" w16cid:durableId="1726948734">
    <w:abstractNumId w:val="3"/>
  </w:num>
  <w:num w:numId="7" w16cid:durableId="737478984">
    <w:abstractNumId w:val="24"/>
  </w:num>
  <w:num w:numId="8" w16cid:durableId="1816489227">
    <w:abstractNumId w:val="31"/>
  </w:num>
  <w:num w:numId="9" w16cid:durableId="935942616">
    <w:abstractNumId w:val="34"/>
  </w:num>
  <w:num w:numId="10" w16cid:durableId="1148866877">
    <w:abstractNumId w:val="14"/>
  </w:num>
  <w:num w:numId="11" w16cid:durableId="320892277">
    <w:abstractNumId w:val="36"/>
  </w:num>
  <w:num w:numId="12" w16cid:durableId="83648653">
    <w:abstractNumId w:val="4"/>
  </w:num>
  <w:num w:numId="13" w16cid:durableId="1552959992">
    <w:abstractNumId w:val="6"/>
  </w:num>
  <w:num w:numId="14" w16cid:durableId="1514614907">
    <w:abstractNumId w:val="13"/>
  </w:num>
  <w:num w:numId="15" w16cid:durableId="233930079">
    <w:abstractNumId w:val="26"/>
  </w:num>
  <w:num w:numId="16" w16cid:durableId="24211516">
    <w:abstractNumId w:val="43"/>
  </w:num>
  <w:num w:numId="17" w16cid:durableId="693503993">
    <w:abstractNumId w:val="41"/>
  </w:num>
  <w:num w:numId="18" w16cid:durableId="1508903312">
    <w:abstractNumId w:val="2"/>
  </w:num>
  <w:num w:numId="19" w16cid:durableId="905139855">
    <w:abstractNumId w:val="16"/>
  </w:num>
  <w:num w:numId="20" w16cid:durableId="831335118">
    <w:abstractNumId w:val="39"/>
  </w:num>
  <w:num w:numId="21" w16cid:durableId="1558668596">
    <w:abstractNumId w:val="37"/>
  </w:num>
  <w:num w:numId="22" w16cid:durableId="1799110077">
    <w:abstractNumId w:val="37"/>
    <w:lvlOverride w:ilvl="0">
      <w:lvl w:ilvl="0">
        <w:start w:val="1"/>
        <w:numFmt w:val="lowerLetter"/>
        <w:lvlText w:val="%1. "/>
        <w:legacy w:legacy="1" w:legacySpace="0" w:legacyIndent="360"/>
        <w:lvlJc w:val="left"/>
        <w:pPr>
          <w:ind w:left="646" w:hanging="360"/>
        </w:pPr>
        <w:rPr>
          <w:rFonts w:ascii="Times New Roman" w:hAnsi="Times New Roman" w:hint="default"/>
          <w:b w:val="0"/>
          <w:i w:val="0"/>
          <w:sz w:val="20"/>
          <w:u w:val="none"/>
        </w:rPr>
      </w:lvl>
    </w:lvlOverride>
  </w:num>
  <w:num w:numId="23" w16cid:durableId="1937130322">
    <w:abstractNumId w:val="35"/>
  </w:num>
  <w:num w:numId="24" w16cid:durableId="518786637">
    <w:abstractNumId w:val="11"/>
  </w:num>
  <w:num w:numId="25" w16cid:durableId="427703197">
    <w:abstractNumId w:val="18"/>
  </w:num>
  <w:num w:numId="26" w16cid:durableId="508523391">
    <w:abstractNumId w:val="29"/>
  </w:num>
  <w:num w:numId="27" w16cid:durableId="392504217">
    <w:abstractNumId w:val="28"/>
    <w:lvlOverride w:ilvl="0">
      <w:startOverride w:val="1"/>
    </w:lvlOverride>
  </w:num>
  <w:num w:numId="28" w16cid:durableId="2057388606">
    <w:abstractNumId w:val="28"/>
    <w:lvlOverride w:ilvl="0">
      <w:startOverride w:val="1"/>
    </w:lvlOverride>
  </w:num>
  <w:num w:numId="29" w16cid:durableId="1853372407">
    <w:abstractNumId w:val="28"/>
    <w:lvlOverride w:ilvl="0">
      <w:startOverride w:val="1"/>
    </w:lvlOverride>
  </w:num>
  <w:num w:numId="30" w16cid:durableId="1687554585">
    <w:abstractNumId w:val="22"/>
  </w:num>
  <w:num w:numId="31" w16cid:durableId="2113552162">
    <w:abstractNumId w:val="15"/>
  </w:num>
  <w:num w:numId="32" w16cid:durableId="937909204">
    <w:abstractNumId w:val="21"/>
  </w:num>
  <w:num w:numId="33" w16cid:durableId="365184826">
    <w:abstractNumId w:val="23"/>
  </w:num>
  <w:num w:numId="34" w16cid:durableId="77471320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0182094">
    <w:abstractNumId w:val="17"/>
  </w:num>
  <w:num w:numId="36" w16cid:durableId="2011248964">
    <w:abstractNumId w:val="18"/>
    <w:lvlOverride w:ilvl="0">
      <w:startOverride w:val="1"/>
    </w:lvlOverride>
  </w:num>
  <w:num w:numId="37" w16cid:durableId="1511330505">
    <w:abstractNumId w:val="20"/>
  </w:num>
  <w:num w:numId="38" w16cid:durableId="1718895534">
    <w:abstractNumId w:val="20"/>
  </w:num>
  <w:num w:numId="39" w16cid:durableId="309940243">
    <w:abstractNumId w:val="20"/>
  </w:num>
  <w:num w:numId="40" w16cid:durableId="1082290618">
    <w:abstractNumId w:val="20"/>
  </w:num>
  <w:num w:numId="41" w16cid:durableId="1900509493">
    <w:abstractNumId w:val="20"/>
  </w:num>
  <w:num w:numId="42" w16cid:durableId="901913306">
    <w:abstractNumId w:val="20"/>
  </w:num>
  <w:num w:numId="43" w16cid:durableId="1884367659">
    <w:abstractNumId w:val="20"/>
  </w:num>
  <w:num w:numId="44" w16cid:durableId="419108980">
    <w:abstractNumId w:val="10"/>
  </w:num>
  <w:num w:numId="45" w16cid:durableId="300580519">
    <w:abstractNumId w:val="20"/>
  </w:num>
  <w:num w:numId="46" w16cid:durableId="1351376341">
    <w:abstractNumId w:val="20"/>
  </w:num>
  <w:num w:numId="47" w16cid:durableId="206726530">
    <w:abstractNumId w:val="44"/>
  </w:num>
  <w:num w:numId="48" w16cid:durableId="1162162759">
    <w:abstractNumId w:val="32"/>
  </w:num>
  <w:num w:numId="49" w16cid:durableId="1103889136">
    <w:abstractNumId w:val="36"/>
  </w:num>
  <w:num w:numId="50" w16cid:durableId="6870268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421157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75412583">
    <w:abstractNumId w:val="19"/>
  </w:num>
  <w:num w:numId="53" w16cid:durableId="1010377753">
    <w:abstractNumId w:val="20"/>
  </w:num>
  <w:num w:numId="54" w16cid:durableId="2061056093">
    <w:abstractNumId w:val="38"/>
  </w:num>
  <w:num w:numId="55" w16cid:durableId="1307932875">
    <w:abstractNumId w:val="40"/>
  </w:num>
  <w:num w:numId="56" w16cid:durableId="1023898779">
    <w:abstractNumId w:val="1"/>
  </w:num>
  <w:num w:numId="57" w16cid:durableId="864363795">
    <w:abstractNumId w:val="9"/>
  </w:num>
  <w:num w:numId="58" w16cid:durableId="1165172653">
    <w:abstractNumId w:val="25"/>
  </w:num>
  <w:num w:numId="59" w16cid:durableId="1826360083">
    <w:abstractNumId w:val="42"/>
  </w:num>
  <w:num w:numId="60" w16cid:durableId="11230184">
    <w:abstractNumId w:val="20"/>
  </w:num>
  <w:num w:numId="61" w16cid:durableId="1964262852">
    <w:abstractNumId w:val="38"/>
    <w:lvlOverride w:ilvl="0">
      <w:startOverride w:val="1"/>
    </w:lvlOverride>
    <w:lvlOverride w:ilvl="1"/>
    <w:lvlOverride w:ilvl="2"/>
    <w:lvlOverride w:ilvl="3"/>
    <w:lvlOverride w:ilvl="4"/>
    <w:lvlOverride w:ilvl="5"/>
    <w:lvlOverride w:ilvl="6"/>
    <w:lvlOverride w:ilvl="7"/>
    <w:lvlOverride w:ilvl="8"/>
  </w:num>
  <w:num w:numId="62" w16cid:durableId="1775202237">
    <w:abstractNumId w:val="8"/>
  </w:num>
  <w:num w:numId="63" w16cid:durableId="1635062546">
    <w:abstractNumId w:val="30"/>
  </w:num>
  <w:num w:numId="64" w16cid:durableId="2020351661">
    <w:abstractNumId w:val="20"/>
  </w:num>
  <w:num w:numId="65" w16cid:durableId="1749040319">
    <w:abstractNumId w:val="20"/>
  </w:num>
  <w:num w:numId="66" w16cid:durableId="1810247968">
    <w:abstractNumId w:val="12"/>
  </w:num>
  <w:num w:numId="67" w16cid:durableId="1394281003">
    <w:abstractNumId w:val="5"/>
  </w:num>
  <w:num w:numId="68" w16cid:durableId="8370386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70565786">
    <w:abstractNumId w:val="3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stylePaneFormatFilter w:val="1801" w:allStyles="1" w:alternateStyleNames="0" w:clearFormatting="1" w:customStyles="0" w:directFormattingOnNumbering="0" w:directFormattingOnParagraphs="0" w:directFormattingOnRuns="0" w:directFormattingOnTables="1" w:headingStyles="0" w:latentStyles="0" w:numberingStyles="0" w:stylesInUse="0" w:tableStyles="0" w:top3HeadingStyles="0" w:visibleStyles="0"/>
  <w:defaultTabStop w:val="720"/>
  <w:drawingGridHorizontalSpacing w:val="187"/>
  <w:drawingGridVerticalSpacing w:val="187"/>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33B"/>
    <w:rsid w:val="000000F0"/>
    <w:rsid w:val="00000C97"/>
    <w:rsid w:val="000022F9"/>
    <w:rsid w:val="00002700"/>
    <w:rsid w:val="00004CD3"/>
    <w:rsid w:val="0000562B"/>
    <w:rsid w:val="000056D7"/>
    <w:rsid w:val="000056D9"/>
    <w:rsid w:val="000058D7"/>
    <w:rsid w:val="00005CA7"/>
    <w:rsid w:val="0000608C"/>
    <w:rsid w:val="000068C9"/>
    <w:rsid w:val="00006DD2"/>
    <w:rsid w:val="00006ECC"/>
    <w:rsid w:val="000071C1"/>
    <w:rsid w:val="00007FBA"/>
    <w:rsid w:val="00011B7F"/>
    <w:rsid w:val="0001207D"/>
    <w:rsid w:val="00012A36"/>
    <w:rsid w:val="000135CF"/>
    <w:rsid w:val="000137EF"/>
    <w:rsid w:val="00013C7D"/>
    <w:rsid w:val="00013CEC"/>
    <w:rsid w:val="00014705"/>
    <w:rsid w:val="00014D25"/>
    <w:rsid w:val="0001592F"/>
    <w:rsid w:val="00015CD5"/>
    <w:rsid w:val="00016217"/>
    <w:rsid w:val="00021446"/>
    <w:rsid w:val="00021B13"/>
    <w:rsid w:val="00022B55"/>
    <w:rsid w:val="000240F7"/>
    <w:rsid w:val="00030AA2"/>
    <w:rsid w:val="0003163F"/>
    <w:rsid w:val="00031B4D"/>
    <w:rsid w:val="0003259B"/>
    <w:rsid w:val="0003260E"/>
    <w:rsid w:val="0003266C"/>
    <w:rsid w:val="000326F2"/>
    <w:rsid w:val="000329A3"/>
    <w:rsid w:val="00033797"/>
    <w:rsid w:val="00033838"/>
    <w:rsid w:val="000345C1"/>
    <w:rsid w:val="00034B40"/>
    <w:rsid w:val="0003625B"/>
    <w:rsid w:val="00036511"/>
    <w:rsid w:val="00036799"/>
    <w:rsid w:val="00036866"/>
    <w:rsid w:val="00036EA8"/>
    <w:rsid w:val="00037B60"/>
    <w:rsid w:val="00040851"/>
    <w:rsid w:val="00041150"/>
    <w:rsid w:val="000411CC"/>
    <w:rsid w:val="00041240"/>
    <w:rsid w:val="000417F5"/>
    <w:rsid w:val="00041BFA"/>
    <w:rsid w:val="000442A7"/>
    <w:rsid w:val="00044904"/>
    <w:rsid w:val="00044E40"/>
    <w:rsid w:val="00046FF1"/>
    <w:rsid w:val="00050322"/>
    <w:rsid w:val="00050429"/>
    <w:rsid w:val="00051A47"/>
    <w:rsid w:val="00051DC1"/>
    <w:rsid w:val="000527A2"/>
    <w:rsid w:val="0005370E"/>
    <w:rsid w:val="00053CAE"/>
    <w:rsid w:val="00054E68"/>
    <w:rsid w:val="0005527D"/>
    <w:rsid w:val="0005697B"/>
    <w:rsid w:val="00057C13"/>
    <w:rsid w:val="00060503"/>
    <w:rsid w:val="00060D2F"/>
    <w:rsid w:val="000611CE"/>
    <w:rsid w:val="00061447"/>
    <w:rsid w:val="00061737"/>
    <w:rsid w:val="00061BF3"/>
    <w:rsid w:val="0006209D"/>
    <w:rsid w:val="00062DC3"/>
    <w:rsid w:val="00062EF6"/>
    <w:rsid w:val="0006390F"/>
    <w:rsid w:val="00063CC7"/>
    <w:rsid w:val="00064886"/>
    <w:rsid w:val="00064B17"/>
    <w:rsid w:val="00064CE3"/>
    <w:rsid w:val="000655F5"/>
    <w:rsid w:val="00066188"/>
    <w:rsid w:val="00066DB4"/>
    <w:rsid w:val="000670F5"/>
    <w:rsid w:val="000675AA"/>
    <w:rsid w:val="00070545"/>
    <w:rsid w:val="00071787"/>
    <w:rsid w:val="00072D1A"/>
    <w:rsid w:val="00072E26"/>
    <w:rsid w:val="000734C2"/>
    <w:rsid w:val="00073C6B"/>
    <w:rsid w:val="000747BE"/>
    <w:rsid w:val="0007606E"/>
    <w:rsid w:val="000762B9"/>
    <w:rsid w:val="00076A3F"/>
    <w:rsid w:val="000775AB"/>
    <w:rsid w:val="0007780A"/>
    <w:rsid w:val="00080A30"/>
    <w:rsid w:val="0008126E"/>
    <w:rsid w:val="00082A4A"/>
    <w:rsid w:val="00082ADA"/>
    <w:rsid w:val="000831C2"/>
    <w:rsid w:val="0008346E"/>
    <w:rsid w:val="000834AD"/>
    <w:rsid w:val="00084756"/>
    <w:rsid w:val="00085874"/>
    <w:rsid w:val="0008598C"/>
    <w:rsid w:val="0008638B"/>
    <w:rsid w:val="0008668A"/>
    <w:rsid w:val="0009020F"/>
    <w:rsid w:val="000907DE"/>
    <w:rsid w:val="00091671"/>
    <w:rsid w:val="00092AA2"/>
    <w:rsid w:val="00092F8D"/>
    <w:rsid w:val="00093926"/>
    <w:rsid w:val="00093971"/>
    <w:rsid w:val="00093F25"/>
    <w:rsid w:val="0009470C"/>
    <w:rsid w:val="00094ACC"/>
    <w:rsid w:val="00096485"/>
    <w:rsid w:val="000A0A86"/>
    <w:rsid w:val="000A3527"/>
    <w:rsid w:val="000A376E"/>
    <w:rsid w:val="000A5792"/>
    <w:rsid w:val="000A5CE0"/>
    <w:rsid w:val="000A6476"/>
    <w:rsid w:val="000A6EBF"/>
    <w:rsid w:val="000A7615"/>
    <w:rsid w:val="000A76C5"/>
    <w:rsid w:val="000B03CB"/>
    <w:rsid w:val="000B0AA1"/>
    <w:rsid w:val="000B19AF"/>
    <w:rsid w:val="000B327A"/>
    <w:rsid w:val="000B3496"/>
    <w:rsid w:val="000B4C50"/>
    <w:rsid w:val="000B5515"/>
    <w:rsid w:val="000B5864"/>
    <w:rsid w:val="000B5BBC"/>
    <w:rsid w:val="000B7888"/>
    <w:rsid w:val="000B78EC"/>
    <w:rsid w:val="000B7AC2"/>
    <w:rsid w:val="000C0281"/>
    <w:rsid w:val="000C0B2E"/>
    <w:rsid w:val="000C1256"/>
    <w:rsid w:val="000C16B4"/>
    <w:rsid w:val="000C2266"/>
    <w:rsid w:val="000C2614"/>
    <w:rsid w:val="000C3189"/>
    <w:rsid w:val="000C3D8D"/>
    <w:rsid w:val="000C454A"/>
    <w:rsid w:val="000C4DBB"/>
    <w:rsid w:val="000C57A6"/>
    <w:rsid w:val="000C63EA"/>
    <w:rsid w:val="000C6456"/>
    <w:rsid w:val="000C68F5"/>
    <w:rsid w:val="000C6A11"/>
    <w:rsid w:val="000D0BF0"/>
    <w:rsid w:val="000D0D78"/>
    <w:rsid w:val="000D4786"/>
    <w:rsid w:val="000D65E8"/>
    <w:rsid w:val="000D69D6"/>
    <w:rsid w:val="000E0EDA"/>
    <w:rsid w:val="000E10C1"/>
    <w:rsid w:val="000E11C1"/>
    <w:rsid w:val="000E1CAF"/>
    <w:rsid w:val="000E32AA"/>
    <w:rsid w:val="000E357D"/>
    <w:rsid w:val="000E38DB"/>
    <w:rsid w:val="000E4766"/>
    <w:rsid w:val="000E48FE"/>
    <w:rsid w:val="000E49AC"/>
    <w:rsid w:val="000E4A3D"/>
    <w:rsid w:val="000E71AA"/>
    <w:rsid w:val="000E7E49"/>
    <w:rsid w:val="000F0220"/>
    <w:rsid w:val="000F0A76"/>
    <w:rsid w:val="000F0C16"/>
    <w:rsid w:val="000F14A9"/>
    <w:rsid w:val="000F2CAB"/>
    <w:rsid w:val="000F2EFB"/>
    <w:rsid w:val="000F31E4"/>
    <w:rsid w:val="000F38FB"/>
    <w:rsid w:val="000F4C0C"/>
    <w:rsid w:val="000F4CA5"/>
    <w:rsid w:val="000F52B4"/>
    <w:rsid w:val="000F57A3"/>
    <w:rsid w:val="000F6982"/>
    <w:rsid w:val="00100543"/>
    <w:rsid w:val="001008DB"/>
    <w:rsid w:val="00100F59"/>
    <w:rsid w:val="0010253F"/>
    <w:rsid w:val="00103056"/>
    <w:rsid w:val="00103CD2"/>
    <w:rsid w:val="00104B07"/>
    <w:rsid w:val="001057F7"/>
    <w:rsid w:val="001074C0"/>
    <w:rsid w:val="001079B0"/>
    <w:rsid w:val="0011007B"/>
    <w:rsid w:val="00111A40"/>
    <w:rsid w:val="00111E00"/>
    <w:rsid w:val="00112ED2"/>
    <w:rsid w:val="00112F7E"/>
    <w:rsid w:val="001144A0"/>
    <w:rsid w:val="00114A2C"/>
    <w:rsid w:val="00115048"/>
    <w:rsid w:val="001153A0"/>
    <w:rsid w:val="00115438"/>
    <w:rsid w:val="001168C4"/>
    <w:rsid w:val="00117D29"/>
    <w:rsid w:val="00120C8B"/>
    <w:rsid w:val="0012126B"/>
    <w:rsid w:val="00121784"/>
    <w:rsid w:val="00121B25"/>
    <w:rsid w:val="00122207"/>
    <w:rsid w:val="00122FC2"/>
    <w:rsid w:val="00123396"/>
    <w:rsid w:val="00125F11"/>
    <w:rsid w:val="0012628F"/>
    <w:rsid w:val="001264E3"/>
    <w:rsid w:val="00126637"/>
    <w:rsid w:val="00126B64"/>
    <w:rsid w:val="001321D5"/>
    <w:rsid w:val="00132CB2"/>
    <w:rsid w:val="0013347C"/>
    <w:rsid w:val="00135672"/>
    <w:rsid w:val="00137344"/>
    <w:rsid w:val="00137C92"/>
    <w:rsid w:val="00140C29"/>
    <w:rsid w:val="00140DC5"/>
    <w:rsid w:val="00142670"/>
    <w:rsid w:val="00142A4B"/>
    <w:rsid w:val="00142D85"/>
    <w:rsid w:val="00142E11"/>
    <w:rsid w:val="001431A7"/>
    <w:rsid w:val="00143272"/>
    <w:rsid w:val="00143C1C"/>
    <w:rsid w:val="00143D3F"/>
    <w:rsid w:val="0014457C"/>
    <w:rsid w:val="00144C0F"/>
    <w:rsid w:val="00145ADF"/>
    <w:rsid w:val="00145B6E"/>
    <w:rsid w:val="00145B9D"/>
    <w:rsid w:val="0014606E"/>
    <w:rsid w:val="0014643A"/>
    <w:rsid w:val="0014645F"/>
    <w:rsid w:val="00147791"/>
    <w:rsid w:val="00150570"/>
    <w:rsid w:val="001505F2"/>
    <w:rsid w:val="00152AD3"/>
    <w:rsid w:val="00152FDD"/>
    <w:rsid w:val="00153442"/>
    <w:rsid w:val="001535E2"/>
    <w:rsid w:val="00153802"/>
    <w:rsid w:val="00155782"/>
    <w:rsid w:val="00155890"/>
    <w:rsid w:val="00156126"/>
    <w:rsid w:val="00156286"/>
    <w:rsid w:val="001578D9"/>
    <w:rsid w:val="00160274"/>
    <w:rsid w:val="00160371"/>
    <w:rsid w:val="00161407"/>
    <w:rsid w:val="00161A3A"/>
    <w:rsid w:val="001623AA"/>
    <w:rsid w:val="00164443"/>
    <w:rsid w:val="001648A8"/>
    <w:rsid w:val="0016537C"/>
    <w:rsid w:val="001654F2"/>
    <w:rsid w:val="001663D8"/>
    <w:rsid w:val="00166D14"/>
    <w:rsid w:val="00170585"/>
    <w:rsid w:val="00173289"/>
    <w:rsid w:val="0017351E"/>
    <w:rsid w:val="00173F3F"/>
    <w:rsid w:val="0017469C"/>
    <w:rsid w:val="0017533B"/>
    <w:rsid w:val="0017561E"/>
    <w:rsid w:val="001762C2"/>
    <w:rsid w:val="00176538"/>
    <w:rsid w:val="00176A35"/>
    <w:rsid w:val="00176A41"/>
    <w:rsid w:val="00176F63"/>
    <w:rsid w:val="00176FC3"/>
    <w:rsid w:val="001775C0"/>
    <w:rsid w:val="00177F97"/>
    <w:rsid w:val="00180636"/>
    <w:rsid w:val="00181EEA"/>
    <w:rsid w:val="0018441E"/>
    <w:rsid w:val="001849ED"/>
    <w:rsid w:val="00186679"/>
    <w:rsid w:val="00187DDB"/>
    <w:rsid w:val="001904CA"/>
    <w:rsid w:val="0019169F"/>
    <w:rsid w:val="0019187F"/>
    <w:rsid w:val="00191BD2"/>
    <w:rsid w:val="00192322"/>
    <w:rsid w:val="001924FF"/>
    <w:rsid w:val="00193DCC"/>
    <w:rsid w:val="00193DD9"/>
    <w:rsid w:val="00194FDE"/>
    <w:rsid w:val="00195334"/>
    <w:rsid w:val="00195AAD"/>
    <w:rsid w:val="001A054D"/>
    <w:rsid w:val="001A0972"/>
    <w:rsid w:val="001A1405"/>
    <w:rsid w:val="001A1DE9"/>
    <w:rsid w:val="001A21BF"/>
    <w:rsid w:val="001A34B1"/>
    <w:rsid w:val="001A45B6"/>
    <w:rsid w:val="001A5889"/>
    <w:rsid w:val="001A5D58"/>
    <w:rsid w:val="001A6144"/>
    <w:rsid w:val="001A6163"/>
    <w:rsid w:val="001A6277"/>
    <w:rsid w:val="001A6C33"/>
    <w:rsid w:val="001A6F28"/>
    <w:rsid w:val="001B00C2"/>
    <w:rsid w:val="001B0524"/>
    <w:rsid w:val="001B258D"/>
    <w:rsid w:val="001B4BAF"/>
    <w:rsid w:val="001B4E34"/>
    <w:rsid w:val="001B5343"/>
    <w:rsid w:val="001B5431"/>
    <w:rsid w:val="001B5BB5"/>
    <w:rsid w:val="001B61EC"/>
    <w:rsid w:val="001B6BD9"/>
    <w:rsid w:val="001B6BF3"/>
    <w:rsid w:val="001B792F"/>
    <w:rsid w:val="001C0016"/>
    <w:rsid w:val="001C008C"/>
    <w:rsid w:val="001C14FE"/>
    <w:rsid w:val="001C1E88"/>
    <w:rsid w:val="001C2BC1"/>
    <w:rsid w:val="001C3516"/>
    <w:rsid w:val="001C3BFB"/>
    <w:rsid w:val="001C41A7"/>
    <w:rsid w:val="001C47AE"/>
    <w:rsid w:val="001C4CDA"/>
    <w:rsid w:val="001C5C35"/>
    <w:rsid w:val="001C5F6F"/>
    <w:rsid w:val="001C6283"/>
    <w:rsid w:val="001C6C6B"/>
    <w:rsid w:val="001C6F85"/>
    <w:rsid w:val="001C7164"/>
    <w:rsid w:val="001C7770"/>
    <w:rsid w:val="001C7BE3"/>
    <w:rsid w:val="001D2EC9"/>
    <w:rsid w:val="001D3661"/>
    <w:rsid w:val="001D3DC6"/>
    <w:rsid w:val="001D4F81"/>
    <w:rsid w:val="001D5BFC"/>
    <w:rsid w:val="001D6536"/>
    <w:rsid w:val="001D6928"/>
    <w:rsid w:val="001D6CFC"/>
    <w:rsid w:val="001D6DE4"/>
    <w:rsid w:val="001D7A8B"/>
    <w:rsid w:val="001D7F88"/>
    <w:rsid w:val="001E1E2E"/>
    <w:rsid w:val="001E20C2"/>
    <w:rsid w:val="001E2639"/>
    <w:rsid w:val="001E274B"/>
    <w:rsid w:val="001E2DB4"/>
    <w:rsid w:val="001E35E4"/>
    <w:rsid w:val="001E3B89"/>
    <w:rsid w:val="001E49F1"/>
    <w:rsid w:val="001E4A80"/>
    <w:rsid w:val="001E5ABA"/>
    <w:rsid w:val="001E61D8"/>
    <w:rsid w:val="001E628F"/>
    <w:rsid w:val="001E675D"/>
    <w:rsid w:val="001E6A7D"/>
    <w:rsid w:val="001E70EF"/>
    <w:rsid w:val="001E7772"/>
    <w:rsid w:val="001E7A49"/>
    <w:rsid w:val="001F0902"/>
    <w:rsid w:val="001F16F1"/>
    <w:rsid w:val="001F196C"/>
    <w:rsid w:val="001F25F4"/>
    <w:rsid w:val="001F4877"/>
    <w:rsid w:val="001F4E16"/>
    <w:rsid w:val="001F5506"/>
    <w:rsid w:val="001F69DA"/>
    <w:rsid w:val="001F7AE8"/>
    <w:rsid w:val="00201219"/>
    <w:rsid w:val="002012F3"/>
    <w:rsid w:val="00201EEE"/>
    <w:rsid w:val="00202790"/>
    <w:rsid w:val="00202814"/>
    <w:rsid w:val="00202AC1"/>
    <w:rsid w:val="00202F0A"/>
    <w:rsid w:val="00203CE4"/>
    <w:rsid w:val="002042FB"/>
    <w:rsid w:val="00204CA5"/>
    <w:rsid w:val="00205F9F"/>
    <w:rsid w:val="00206CFC"/>
    <w:rsid w:val="00207311"/>
    <w:rsid w:val="00207C0B"/>
    <w:rsid w:val="0021087B"/>
    <w:rsid w:val="00212441"/>
    <w:rsid w:val="00212B3D"/>
    <w:rsid w:val="00212F94"/>
    <w:rsid w:val="002138CB"/>
    <w:rsid w:val="00214BB6"/>
    <w:rsid w:val="00214F7E"/>
    <w:rsid w:val="00216003"/>
    <w:rsid w:val="0021677D"/>
    <w:rsid w:val="00221DEF"/>
    <w:rsid w:val="00222C1D"/>
    <w:rsid w:val="00223DF7"/>
    <w:rsid w:val="002241E3"/>
    <w:rsid w:val="00225A9F"/>
    <w:rsid w:val="00227360"/>
    <w:rsid w:val="00227AD7"/>
    <w:rsid w:val="002314D3"/>
    <w:rsid w:val="002317F7"/>
    <w:rsid w:val="0023182B"/>
    <w:rsid w:val="00231BC1"/>
    <w:rsid w:val="00231F54"/>
    <w:rsid w:val="002320FF"/>
    <w:rsid w:val="00232D74"/>
    <w:rsid w:val="00233E03"/>
    <w:rsid w:val="002342D4"/>
    <w:rsid w:val="00234365"/>
    <w:rsid w:val="002346ED"/>
    <w:rsid w:val="002349D7"/>
    <w:rsid w:val="00235AFA"/>
    <w:rsid w:val="0023649F"/>
    <w:rsid w:val="00237432"/>
    <w:rsid w:val="00237B3A"/>
    <w:rsid w:val="00240A78"/>
    <w:rsid w:val="0024111A"/>
    <w:rsid w:val="00241C0D"/>
    <w:rsid w:val="00241C76"/>
    <w:rsid w:val="0024259C"/>
    <w:rsid w:val="00242FA4"/>
    <w:rsid w:val="00243B5E"/>
    <w:rsid w:val="00243BC1"/>
    <w:rsid w:val="00243C9F"/>
    <w:rsid w:val="00243FFC"/>
    <w:rsid w:val="0024423C"/>
    <w:rsid w:val="002442A7"/>
    <w:rsid w:val="00244446"/>
    <w:rsid w:val="0024459B"/>
    <w:rsid w:val="00244F2C"/>
    <w:rsid w:val="00245AE4"/>
    <w:rsid w:val="00246562"/>
    <w:rsid w:val="00246715"/>
    <w:rsid w:val="00246C04"/>
    <w:rsid w:val="00247F2D"/>
    <w:rsid w:val="002510A4"/>
    <w:rsid w:val="002511EB"/>
    <w:rsid w:val="00251D8E"/>
    <w:rsid w:val="00252A45"/>
    <w:rsid w:val="00252AA8"/>
    <w:rsid w:val="00252FC9"/>
    <w:rsid w:val="00253CB5"/>
    <w:rsid w:val="00254CED"/>
    <w:rsid w:val="00255253"/>
    <w:rsid w:val="00261126"/>
    <w:rsid w:val="00262A02"/>
    <w:rsid w:val="002635E4"/>
    <w:rsid w:val="00263D6A"/>
    <w:rsid w:val="00264DFF"/>
    <w:rsid w:val="00265837"/>
    <w:rsid w:val="00265D69"/>
    <w:rsid w:val="00265E39"/>
    <w:rsid w:val="002665C7"/>
    <w:rsid w:val="00266A67"/>
    <w:rsid w:val="00266B75"/>
    <w:rsid w:val="0026703F"/>
    <w:rsid w:val="00267DEE"/>
    <w:rsid w:val="0027047D"/>
    <w:rsid w:val="0027126B"/>
    <w:rsid w:val="002719BB"/>
    <w:rsid w:val="00271F23"/>
    <w:rsid w:val="00272C43"/>
    <w:rsid w:val="0027509F"/>
    <w:rsid w:val="002758DC"/>
    <w:rsid w:val="00275919"/>
    <w:rsid w:val="002764D4"/>
    <w:rsid w:val="00277039"/>
    <w:rsid w:val="00280124"/>
    <w:rsid w:val="00281224"/>
    <w:rsid w:val="00281F1D"/>
    <w:rsid w:val="00282EA6"/>
    <w:rsid w:val="002834E4"/>
    <w:rsid w:val="0028371F"/>
    <w:rsid w:val="00283B46"/>
    <w:rsid w:val="00283D26"/>
    <w:rsid w:val="0028476A"/>
    <w:rsid w:val="002848B7"/>
    <w:rsid w:val="00284CB8"/>
    <w:rsid w:val="0028644F"/>
    <w:rsid w:val="00286C3F"/>
    <w:rsid w:val="00286D79"/>
    <w:rsid w:val="00287129"/>
    <w:rsid w:val="0028734A"/>
    <w:rsid w:val="0029035C"/>
    <w:rsid w:val="00290396"/>
    <w:rsid w:val="00290FA2"/>
    <w:rsid w:val="00291379"/>
    <w:rsid w:val="002919C1"/>
    <w:rsid w:val="00291AD8"/>
    <w:rsid w:val="00292905"/>
    <w:rsid w:val="002936F5"/>
    <w:rsid w:val="00293AB4"/>
    <w:rsid w:val="00295D84"/>
    <w:rsid w:val="002960EF"/>
    <w:rsid w:val="002963C8"/>
    <w:rsid w:val="002963CF"/>
    <w:rsid w:val="00296B80"/>
    <w:rsid w:val="00296F54"/>
    <w:rsid w:val="002972B2"/>
    <w:rsid w:val="002A082A"/>
    <w:rsid w:val="002A0B4F"/>
    <w:rsid w:val="002A26FF"/>
    <w:rsid w:val="002A29DE"/>
    <w:rsid w:val="002A2B44"/>
    <w:rsid w:val="002A45FF"/>
    <w:rsid w:val="002A46EC"/>
    <w:rsid w:val="002A5058"/>
    <w:rsid w:val="002A5BFA"/>
    <w:rsid w:val="002A5E68"/>
    <w:rsid w:val="002A6C43"/>
    <w:rsid w:val="002B0055"/>
    <w:rsid w:val="002B0EAC"/>
    <w:rsid w:val="002B13E5"/>
    <w:rsid w:val="002B1A43"/>
    <w:rsid w:val="002B2216"/>
    <w:rsid w:val="002B2355"/>
    <w:rsid w:val="002B54AF"/>
    <w:rsid w:val="002B5836"/>
    <w:rsid w:val="002B63A5"/>
    <w:rsid w:val="002B7B8A"/>
    <w:rsid w:val="002C0158"/>
    <w:rsid w:val="002C0A0F"/>
    <w:rsid w:val="002C1815"/>
    <w:rsid w:val="002C4992"/>
    <w:rsid w:val="002C4CA0"/>
    <w:rsid w:val="002C5599"/>
    <w:rsid w:val="002C5813"/>
    <w:rsid w:val="002C5DC0"/>
    <w:rsid w:val="002C75E7"/>
    <w:rsid w:val="002C7FD8"/>
    <w:rsid w:val="002D09D2"/>
    <w:rsid w:val="002D0CB5"/>
    <w:rsid w:val="002D152E"/>
    <w:rsid w:val="002D2120"/>
    <w:rsid w:val="002D227B"/>
    <w:rsid w:val="002D2676"/>
    <w:rsid w:val="002D2E47"/>
    <w:rsid w:val="002D3439"/>
    <w:rsid w:val="002D3A1A"/>
    <w:rsid w:val="002D4C3B"/>
    <w:rsid w:val="002D4FB0"/>
    <w:rsid w:val="002D5D3B"/>
    <w:rsid w:val="002D7B01"/>
    <w:rsid w:val="002D7E3C"/>
    <w:rsid w:val="002E0200"/>
    <w:rsid w:val="002E0824"/>
    <w:rsid w:val="002E164E"/>
    <w:rsid w:val="002E1777"/>
    <w:rsid w:val="002E2D50"/>
    <w:rsid w:val="002E2FC3"/>
    <w:rsid w:val="002E37F1"/>
    <w:rsid w:val="002E4038"/>
    <w:rsid w:val="002E465E"/>
    <w:rsid w:val="002E4FF3"/>
    <w:rsid w:val="002E575F"/>
    <w:rsid w:val="002E5EEC"/>
    <w:rsid w:val="002E6461"/>
    <w:rsid w:val="002E64D2"/>
    <w:rsid w:val="002E65D3"/>
    <w:rsid w:val="002E73EB"/>
    <w:rsid w:val="002E74B4"/>
    <w:rsid w:val="002E7552"/>
    <w:rsid w:val="002F0D15"/>
    <w:rsid w:val="002F3545"/>
    <w:rsid w:val="002F3813"/>
    <w:rsid w:val="002F3DCD"/>
    <w:rsid w:val="002F46F4"/>
    <w:rsid w:val="002F4D80"/>
    <w:rsid w:val="002F512B"/>
    <w:rsid w:val="002F5341"/>
    <w:rsid w:val="002F592C"/>
    <w:rsid w:val="002F6A0B"/>
    <w:rsid w:val="002F6E82"/>
    <w:rsid w:val="0030013A"/>
    <w:rsid w:val="00302283"/>
    <w:rsid w:val="00302680"/>
    <w:rsid w:val="00303C33"/>
    <w:rsid w:val="0030432F"/>
    <w:rsid w:val="00305121"/>
    <w:rsid w:val="00305675"/>
    <w:rsid w:val="003068C4"/>
    <w:rsid w:val="003068EF"/>
    <w:rsid w:val="00307021"/>
    <w:rsid w:val="00311706"/>
    <w:rsid w:val="00311E0A"/>
    <w:rsid w:val="0031253A"/>
    <w:rsid w:val="003129AB"/>
    <w:rsid w:val="0031417F"/>
    <w:rsid w:val="003150F2"/>
    <w:rsid w:val="00315201"/>
    <w:rsid w:val="00315729"/>
    <w:rsid w:val="003161BC"/>
    <w:rsid w:val="00316D4B"/>
    <w:rsid w:val="00317B34"/>
    <w:rsid w:val="00317D07"/>
    <w:rsid w:val="003200EE"/>
    <w:rsid w:val="00320508"/>
    <w:rsid w:val="00320AA8"/>
    <w:rsid w:val="003211CA"/>
    <w:rsid w:val="003212F5"/>
    <w:rsid w:val="0032132A"/>
    <w:rsid w:val="00321EFA"/>
    <w:rsid w:val="0032258C"/>
    <w:rsid w:val="00322E63"/>
    <w:rsid w:val="00322EAD"/>
    <w:rsid w:val="00323582"/>
    <w:rsid w:val="003236CC"/>
    <w:rsid w:val="00323C73"/>
    <w:rsid w:val="003247F6"/>
    <w:rsid w:val="003257AD"/>
    <w:rsid w:val="00327717"/>
    <w:rsid w:val="003301DA"/>
    <w:rsid w:val="00330226"/>
    <w:rsid w:val="00330F24"/>
    <w:rsid w:val="0033168F"/>
    <w:rsid w:val="00331878"/>
    <w:rsid w:val="00332C07"/>
    <w:rsid w:val="0033354E"/>
    <w:rsid w:val="0033426E"/>
    <w:rsid w:val="00334BA3"/>
    <w:rsid w:val="003356F1"/>
    <w:rsid w:val="003368B2"/>
    <w:rsid w:val="00337CEA"/>
    <w:rsid w:val="00340D19"/>
    <w:rsid w:val="00342CBB"/>
    <w:rsid w:val="00343536"/>
    <w:rsid w:val="00344DF7"/>
    <w:rsid w:val="00345125"/>
    <w:rsid w:val="00345211"/>
    <w:rsid w:val="003466CE"/>
    <w:rsid w:val="00346809"/>
    <w:rsid w:val="003527D8"/>
    <w:rsid w:val="003529E1"/>
    <w:rsid w:val="0035340C"/>
    <w:rsid w:val="00353DA4"/>
    <w:rsid w:val="00354128"/>
    <w:rsid w:val="0035414C"/>
    <w:rsid w:val="00354471"/>
    <w:rsid w:val="00355F60"/>
    <w:rsid w:val="00356870"/>
    <w:rsid w:val="003575C3"/>
    <w:rsid w:val="0036052D"/>
    <w:rsid w:val="00360969"/>
    <w:rsid w:val="00363737"/>
    <w:rsid w:val="00363BC6"/>
    <w:rsid w:val="00364034"/>
    <w:rsid w:val="0036404C"/>
    <w:rsid w:val="00365502"/>
    <w:rsid w:val="00366450"/>
    <w:rsid w:val="003673A2"/>
    <w:rsid w:val="003675B0"/>
    <w:rsid w:val="00367C63"/>
    <w:rsid w:val="003707AE"/>
    <w:rsid w:val="00370C4B"/>
    <w:rsid w:val="00370E12"/>
    <w:rsid w:val="003712B0"/>
    <w:rsid w:val="0037237D"/>
    <w:rsid w:val="0037267C"/>
    <w:rsid w:val="0037275E"/>
    <w:rsid w:val="0037329C"/>
    <w:rsid w:val="00373598"/>
    <w:rsid w:val="003737AF"/>
    <w:rsid w:val="003741A3"/>
    <w:rsid w:val="00374590"/>
    <w:rsid w:val="00374CD8"/>
    <w:rsid w:val="003762C5"/>
    <w:rsid w:val="0037768A"/>
    <w:rsid w:val="00380A59"/>
    <w:rsid w:val="0038211A"/>
    <w:rsid w:val="00382697"/>
    <w:rsid w:val="00382BE1"/>
    <w:rsid w:val="0038337A"/>
    <w:rsid w:val="00383B17"/>
    <w:rsid w:val="00385F2F"/>
    <w:rsid w:val="00386221"/>
    <w:rsid w:val="00387262"/>
    <w:rsid w:val="00392CE9"/>
    <w:rsid w:val="0039385A"/>
    <w:rsid w:val="0039391F"/>
    <w:rsid w:val="00393B9A"/>
    <w:rsid w:val="00394C8C"/>
    <w:rsid w:val="0039579D"/>
    <w:rsid w:val="00395F0D"/>
    <w:rsid w:val="00396375"/>
    <w:rsid w:val="0039697C"/>
    <w:rsid w:val="00396F06"/>
    <w:rsid w:val="00396FF6"/>
    <w:rsid w:val="003A0F8E"/>
    <w:rsid w:val="003A2043"/>
    <w:rsid w:val="003A2546"/>
    <w:rsid w:val="003A422A"/>
    <w:rsid w:val="003A4C92"/>
    <w:rsid w:val="003A5F9C"/>
    <w:rsid w:val="003A6093"/>
    <w:rsid w:val="003A6AB3"/>
    <w:rsid w:val="003B0207"/>
    <w:rsid w:val="003B0C51"/>
    <w:rsid w:val="003B142B"/>
    <w:rsid w:val="003B1905"/>
    <w:rsid w:val="003B2104"/>
    <w:rsid w:val="003B261E"/>
    <w:rsid w:val="003B3560"/>
    <w:rsid w:val="003B4512"/>
    <w:rsid w:val="003B4C17"/>
    <w:rsid w:val="003B5F0F"/>
    <w:rsid w:val="003B6F22"/>
    <w:rsid w:val="003B794A"/>
    <w:rsid w:val="003C00EB"/>
    <w:rsid w:val="003C09A9"/>
    <w:rsid w:val="003C0FCB"/>
    <w:rsid w:val="003C2725"/>
    <w:rsid w:val="003C2D4C"/>
    <w:rsid w:val="003C2FCB"/>
    <w:rsid w:val="003C3328"/>
    <w:rsid w:val="003C42F0"/>
    <w:rsid w:val="003C499F"/>
    <w:rsid w:val="003C52D6"/>
    <w:rsid w:val="003C6D2B"/>
    <w:rsid w:val="003C76A8"/>
    <w:rsid w:val="003C7C54"/>
    <w:rsid w:val="003D02F6"/>
    <w:rsid w:val="003D0A0E"/>
    <w:rsid w:val="003D1722"/>
    <w:rsid w:val="003D1801"/>
    <w:rsid w:val="003D1B64"/>
    <w:rsid w:val="003D2D58"/>
    <w:rsid w:val="003D3026"/>
    <w:rsid w:val="003D304F"/>
    <w:rsid w:val="003D38BF"/>
    <w:rsid w:val="003D3B20"/>
    <w:rsid w:val="003D3EEA"/>
    <w:rsid w:val="003D451F"/>
    <w:rsid w:val="003D6048"/>
    <w:rsid w:val="003D605D"/>
    <w:rsid w:val="003D6BDB"/>
    <w:rsid w:val="003D6D30"/>
    <w:rsid w:val="003D6EFA"/>
    <w:rsid w:val="003D7955"/>
    <w:rsid w:val="003E0B57"/>
    <w:rsid w:val="003E1662"/>
    <w:rsid w:val="003E1BE3"/>
    <w:rsid w:val="003E337B"/>
    <w:rsid w:val="003E33A4"/>
    <w:rsid w:val="003E3F28"/>
    <w:rsid w:val="003E3F41"/>
    <w:rsid w:val="003E5108"/>
    <w:rsid w:val="003E52FC"/>
    <w:rsid w:val="003E58FD"/>
    <w:rsid w:val="003E6BBB"/>
    <w:rsid w:val="003E7880"/>
    <w:rsid w:val="003E7BCF"/>
    <w:rsid w:val="003F0100"/>
    <w:rsid w:val="003F0ABA"/>
    <w:rsid w:val="003F1F6C"/>
    <w:rsid w:val="003F2D1E"/>
    <w:rsid w:val="003F38DD"/>
    <w:rsid w:val="003F3DAA"/>
    <w:rsid w:val="003F54AB"/>
    <w:rsid w:val="003F5A3A"/>
    <w:rsid w:val="003F70AF"/>
    <w:rsid w:val="003F753B"/>
    <w:rsid w:val="003F77A6"/>
    <w:rsid w:val="004001D5"/>
    <w:rsid w:val="0040090A"/>
    <w:rsid w:val="004023C0"/>
    <w:rsid w:val="004027BC"/>
    <w:rsid w:val="00403065"/>
    <w:rsid w:val="00405AC6"/>
    <w:rsid w:val="00405D7F"/>
    <w:rsid w:val="004061D5"/>
    <w:rsid w:val="0040726A"/>
    <w:rsid w:val="00407451"/>
    <w:rsid w:val="004122CB"/>
    <w:rsid w:val="00412A9B"/>
    <w:rsid w:val="00412E0A"/>
    <w:rsid w:val="0041368E"/>
    <w:rsid w:val="00413E37"/>
    <w:rsid w:val="004158CC"/>
    <w:rsid w:val="00415D09"/>
    <w:rsid w:val="0041703F"/>
    <w:rsid w:val="00417D2C"/>
    <w:rsid w:val="00417EE0"/>
    <w:rsid w:val="00420432"/>
    <w:rsid w:val="004205D1"/>
    <w:rsid w:val="00421684"/>
    <w:rsid w:val="00421D77"/>
    <w:rsid w:val="004227C1"/>
    <w:rsid w:val="004229B2"/>
    <w:rsid w:val="004229D7"/>
    <w:rsid w:val="00422AFB"/>
    <w:rsid w:val="0042325B"/>
    <w:rsid w:val="00423329"/>
    <w:rsid w:val="004272F5"/>
    <w:rsid w:val="00427C9A"/>
    <w:rsid w:val="00432214"/>
    <w:rsid w:val="004331E0"/>
    <w:rsid w:val="0043377D"/>
    <w:rsid w:val="00434307"/>
    <w:rsid w:val="00434CCA"/>
    <w:rsid w:val="0043671D"/>
    <w:rsid w:val="004370DC"/>
    <w:rsid w:val="00437884"/>
    <w:rsid w:val="004405DF"/>
    <w:rsid w:val="00440B49"/>
    <w:rsid w:val="00440D84"/>
    <w:rsid w:val="00442247"/>
    <w:rsid w:val="004427D2"/>
    <w:rsid w:val="00442DA4"/>
    <w:rsid w:val="00443340"/>
    <w:rsid w:val="0044688C"/>
    <w:rsid w:val="004478B3"/>
    <w:rsid w:val="004504A1"/>
    <w:rsid w:val="00451B9B"/>
    <w:rsid w:val="00452AAD"/>
    <w:rsid w:val="00452E72"/>
    <w:rsid w:val="00454E2D"/>
    <w:rsid w:val="004556A9"/>
    <w:rsid w:val="00455E38"/>
    <w:rsid w:val="00456852"/>
    <w:rsid w:val="004569B7"/>
    <w:rsid w:val="004577D5"/>
    <w:rsid w:val="00460DC2"/>
    <w:rsid w:val="00461297"/>
    <w:rsid w:val="00461CA4"/>
    <w:rsid w:val="00461EB3"/>
    <w:rsid w:val="00462207"/>
    <w:rsid w:val="00462551"/>
    <w:rsid w:val="00463549"/>
    <w:rsid w:val="004640B2"/>
    <w:rsid w:val="004647CE"/>
    <w:rsid w:val="00464CDE"/>
    <w:rsid w:val="0046618E"/>
    <w:rsid w:val="00466D95"/>
    <w:rsid w:val="00466EAB"/>
    <w:rsid w:val="00467437"/>
    <w:rsid w:val="0046745E"/>
    <w:rsid w:val="00467630"/>
    <w:rsid w:val="00467769"/>
    <w:rsid w:val="00467FFC"/>
    <w:rsid w:val="0047100C"/>
    <w:rsid w:val="0047126A"/>
    <w:rsid w:val="00471437"/>
    <w:rsid w:val="00471BCB"/>
    <w:rsid w:val="004726F5"/>
    <w:rsid w:val="00475384"/>
    <w:rsid w:val="004755B7"/>
    <w:rsid w:val="00475771"/>
    <w:rsid w:val="00477529"/>
    <w:rsid w:val="00477A4D"/>
    <w:rsid w:val="00477CEE"/>
    <w:rsid w:val="00477E52"/>
    <w:rsid w:val="00480AF9"/>
    <w:rsid w:val="00483240"/>
    <w:rsid w:val="004836FB"/>
    <w:rsid w:val="00484818"/>
    <w:rsid w:val="0048490A"/>
    <w:rsid w:val="00484EE6"/>
    <w:rsid w:val="004860F7"/>
    <w:rsid w:val="00487ED1"/>
    <w:rsid w:val="00491361"/>
    <w:rsid w:val="00491817"/>
    <w:rsid w:val="00493467"/>
    <w:rsid w:val="0049355B"/>
    <w:rsid w:val="004935E3"/>
    <w:rsid w:val="004956A8"/>
    <w:rsid w:val="004956C6"/>
    <w:rsid w:val="00495820"/>
    <w:rsid w:val="004962CA"/>
    <w:rsid w:val="0049653E"/>
    <w:rsid w:val="004976D6"/>
    <w:rsid w:val="00497BAA"/>
    <w:rsid w:val="00497F86"/>
    <w:rsid w:val="004A00B2"/>
    <w:rsid w:val="004A0420"/>
    <w:rsid w:val="004A0799"/>
    <w:rsid w:val="004A0819"/>
    <w:rsid w:val="004A21B2"/>
    <w:rsid w:val="004A26E2"/>
    <w:rsid w:val="004A4C94"/>
    <w:rsid w:val="004A5199"/>
    <w:rsid w:val="004A6037"/>
    <w:rsid w:val="004A66AD"/>
    <w:rsid w:val="004A79EC"/>
    <w:rsid w:val="004B02EA"/>
    <w:rsid w:val="004B1367"/>
    <w:rsid w:val="004B217A"/>
    <w:rsid w:val="004B22F4"/>
    <w:rsid w:val="004B2788"/>
    <w:rsid w:val="004B3921"/>
    <w:rsid w:val="004B398D"/>
    <w:rsid w:val="004B40EF"/>
    <w:rsid w:val="004B48F9"/>
    <w:rsid w:val="004B5AE3"/>
    <w:rsid w:val="004B6339"/>
    <w:rsid w:val="004B6916"/>
    <w:rsid w:val="004B7367"/>
    <w:rsid w:val="004B77B2"/>
    <w:rsid w:val="004C1098"/>
    <w:rsid w:val="004C1954"/>
    <w:rsid w:val="004C3F75"/>
    <w:rsid w:val="004C442E"/>
    <w:rsid w:val="004C4B2D"/>
    <w:rsid w:val="004C4D11"/>
    <w:rsid w:val="004C5560"/>
    <w:rsid w:val="004C5586"/>
    <w:rsid w:val="004C5EC5"/>
    <w:rsid w:val="004C7173"/>
    <w:rsid w:val="004D0D4A"/>
    <w:rsid w:val="004D1B5D"/>
    <w:rsid w:val="004D1F30"/>
    <w:rsid w:val="004D25BE"/>
    <w:rsid w:val="004D2B0F"/>
    <w:rsid w:val="004D2C4C"/>
    <w:rsid w:val="004D424D"/>
    <w:rsid w:val="004D586F"/>
    <w:rsid w:val="004D6094"/>
    <w:rsid w:val="004D6131"/>
    <w:rsid w:val="004D687F"/>
    <w:rsid w:val="004D6AAB"/>
    <w:rsid w:val="004D7E48"/>
    <w:rsid w:val="004E0361"/>
    <w:rsid w:val="004E0758"/>
    <w:rsid w:val="004E14C4"/>
    <w:rsid w:val="004E303C"/>
    <w:rsid w:val="004E3501"/>
    <w:rsid w:val="004E3664"/>
    <w:rsid w:val="004E3841"/>
    <w:rsid w:val="004E4D80"/>
    <w:rsid w:val="004E57B6"/>
    <w:rsid w:val="004E5DC5"/>
    <w:rsid w:val="004E6158"/>
    <w:rsid w:val="004E64EB"/>
    <w:rsid w:val="004E6654"/>
    <w:rsid w:val="004E7EB6"/>
    <w:rsid w:val="004F10EB"/>
    <w:rsid w:val="004F1586"/>
    <w:rsid w:val="004F248C"/>
    <w:rsid w:val="004F2D1D"/>
    <w:rsid w:val="004F3826"/>
    <w:rsid w:val="004F39B8"/>
    <w:rsid w:val="004F4E2F"/>
    <w:rsid w:val="004F7DFB"/>
    <w:rsid w:val="005003D4"/>
    <w:rsid w:val="005004E1"/>
    <w:rsid w:val="0050072A"/>
    <w:rsid w:val="00500DE4"/>
    <w:rsid w:val="005014BA"/>
    <w:rsid w:val="005015C4"/>
    <w:rsid w:val="0050212D"/>
    <w:rsid w:val="00503040"/>
    <w:rsid w:val="00503E1F"/>
    <w:rsid w:val="00503ECB"/>
    <w:rsid w:val="00504017"/>
    <w:rsid w:val="00504C0C"/>
    <w:rsid w:val="00504C42"/>
    <w:rsid w:val="005053D5"/>
    <w:rsid w:val="005056EE"/>
    <w:rsid w:val="0050582E"/>
    <w:rsid w:val="00507AD8"/>
    <w:rsid w:val="00507F82"/>
    <w:rsid w:val="00511C3E"/>
    <w:rsid w:val="0051244B"/>
    <w:rsid w:val="00512CCF"/>
    <w:rsid w:val="0051308C"/>
    <w:rsid w:val="00513795"/>
    <w:rsid w:val="00513DD7"/>
    <w:rsid w:val="0051463A"/>
    <w:rsid w:val="00514C51"/>
    <w:rsid w:val="00514DE9"/>
    <w:rsid w:val="0051545E"/>
    <w:rsid w:val="00515C3E"/>
    <w:rsid w:val="00515D4D"/>
    <w:rsid w:val="00516461"/>
    <w:rsid w:val="00516BDE"/>
    <w:rsid w:val="00522846"/>
    <w:rsid w:val="00522FCE"/>
    <w:rsid w:val="00524BDB"/>
    <w:rsid w:val="00525253"/>
    <w:rsid w:val="00525AE9"/>
    <w:rsid w:val="00525F5D"/>
    <w:rsid w:val="00526CC0"/>
    <w:rsid w:val="00526F83"/>
    <w:rsid w:val="005270FE"/>
    <w:rsid w:val="00531BAB"/>
    <w:rsid w:val="00532F5B"/>
    <w:rsid w:val="0053314B"/>
    <w:rsid w:val="00533481"/>
    <w:rsid w:val="00535419"/>
    <w:rsid w:val="00536529"/>
    <w:rsid w:val="005400D8"/>
    <w:rsid w:val="00540C46"/>
    <w:rsid w:val="00541607"/>
    <w:rsid w:val="00541926"/>
    <w:rsid w:val="0054262B"/>
    <w:rsid w:val="00542A02"/>
    <w:rsid w:val="00542D3B"/>
    <w:rsid w:val="005430A2"/>
    <w:rsid w:val="005434B9"/>
    <w:rsid w:val="00543B2D"/>
    <w:rsid w:val="00544ED3"/>
    <w:rsid w:val="00545695"/>
    <w:rsid w:val="00547169"/>
    <w:rsid w:val="00547725"/>
    <w:rsid w:val="0055274E"/>
    <w:rsid w:val="005530A6"/>
    <w:rsid w:val="00553524"/>
    <w:rsid w:val="00556734"/>
    <w:rsid w:val="005578A3"/>
    <w:rsid w:val="00557B4C"/>
    <w:rsid w:val="00557E07"/>
    <w:rsid w:val="00560779"/>
    <w:rsid w:val="00560B25"/>
    <w:rsid w:val="00561429"/>
    <w:rsid w:val="00562913"/>
    <w:rsid w:val="005633BC"/>
    <w:rsid w:val="005634B6"/>
    <w:rsid w:val="0056370C"/>
    <w:rsid w:val="00564636"/>
    <w:rsid w:val="00570123"/>
    <w:rsid w:val="005703C5"/>
    <w:rsid w:val="005708A4"/>
    <w:rsid w:val="0057116C"/>
    <w:rsid w:val="005716CC"/>
    <w:rsid w:val="00571FD0"/>
    <w:rsid w:val="005721C3"/>
    <w:rsid w:val="00572837"/>
    <w:rsid w:val="00574070"/>
    <w:rsid w:val="00574085"/>
    <w:rsid w:val="005758A3"/>
    <w:rsid w:val="00575F10"/>
    <w:rsid w:val="00580990"/>
    <w:rsid w:val="00582715"/>
    <w:rsid w:val="0058301A"/>
    <w:rsid w:val="0058312D"/>
    <w:rsid w:val="00583800"/>
    <w:rsid w:val="00585B33"/>
    <w:rsid w:val="0058651B"/>
    <w:rsid w:val="005865A5"/>
    <w:rsid w:val="00587C7B"/>
    <w:rsid w:val="00587FB4"/>
    <w:rsid w:val="00590464"/>
    <w:rsid w:val="005905B3"/>
    <w:rsid w:val="00591CA8"/>
    <w:rsid w:val="0059222B"/>
    <w:rsid w:val="00592471"/>
    <w:rsid w:val="005928D5"/>
    <w:rsid w:val="00594768"/>
    <w:rsid w:val="0059624E"/>
    <w:rsid w:val="0059671F"/>
    <w:rsid w:val="0059676F"/>
    <w:rsid w:val="00597481"/>
    <w:rsid w:val="00597910"/>
    <w:rsid w:val="0059791E"/>
    <w:rsid w:val="005A202A"/>
    <w:rsid w:val="005A204F"/>
    <w:rsid w:val="005A2271"/>
    <w:rsid w:val="005A3A97"/>
    <w:rsid w:val="005A5123"/>
    <w:rsid w:val="005A51AB"/>
    <w:rsid w:val="005A5837"/>
    <w:rsid w:val="005A6619"/>
    <w:rsid w:val="005A706A"/>
    <w:rsid w:val="005A74DD"/>
    <w:rsid w:val="005B009B"/>
    <w:rsid w:val="005B0875"/>
    <w:rsid w:val="005B1B38"/>
    <w:rsid w:val="005B1EA5"/>
    <w:rsid w:val="005B238B"/>
    <w:rsid w:val="005B2BA5"/>
    <w:rsid w:val="005B361C"/>
    <w:rsid w:val="005B3EB9"/>
    <w:rsid w:val="005B454E"/>
    <w:rsid w:val="005B507B"/>
    <w:rsid w:val="005B61A7"/>
    <w:rsid w:val="005B61E6"/>
    <w:rsid w:val="005B6867"/>
    <w:rsid w:val="005B6CD7"/>
    <w:rsid w:val="005B7D07"/>
    <w:rsid w:val="005C1772"/>
    <w:rsid w:val="005C31AE"/>
    <w:rsid w:val="005C36C9"/>
    <w:rsid w:val="005C3809"/>
    <w:rsid w:val="005C43E9"/>
    <w:rsid w:val="005C47C6"/>
    <w:rsid w:val="005C4DAE"/>
    <w:rsid w:val="005C5765"/>
    <w:rsid w:val="005C5929"/>
    <w:rsid w:val="005C5AA1"/>
    <w:rsid w:val="005C6C98"/>
    <w:rsid w:val="005C6D77"/>
    <w:rsid w:val="005C6FFD"/>
    <w:rsid w:val="005C7067"/>
    <w:rsid w:val="005C79E2"/>
    <w:rsid w:val="005D01AC"/>
    <w:rsid w:val="005D0313"/>
    <w:rsid w:val="005D1D38"/>
    <w:rsid w:val="005D1E26"/>
    <w:rsid w:val="005D3BC0"/>
    <w:rsid w:val="005D657B"/>
    <w:rsid w:val="005D69E6"/>
    <w:rsid w:val="005E0B4E"/>
    <w:rsid w:val="005E1DE2"/>
    <w:rsid w:val="005E4972"/>
    <w:rsid w:val="005E5192"/>
    <w:rsid w:val="005E5312"/>
    <w:rsid w:val="005E64D7"/>
    <w:rsid w:val="005E6A4B"/>
    <w:rsid w:val="005E6F94"/>
    <w:rsid w:val="005E7A06"/>
    <w:rsid w:val="005F0696"/>
    <w:rsid w:val="005F10FE"/>
    <w:rsid w:val="005F2153"/>
    <w:rsid w:val="005F2907"/>
    <w:rsid w:val="005F2C4F"/>
    <w:rsid w:val="005F2CA6"/>
    <w:rsid w:val="005F323F"/>
    <w:rsid w:val="005F3575"/>
    <w:rsid w:val="005F3D65"/>
    <w:rsid w:val="005F3E77"/>
    <w:rsid w:val="005F45A9"/>
    <w:rsid w:val="005F4A97"/>
    <w:rsid w:val="005F529D"/>
    <w:rsid w:val="005F533A"/>
    <w:rsid w:val="005F5341"/>
    <w:rsid w:val="005F5A71"/>
    <w:rsid w:val="005F5ED6"/>
    <w:rsid w:val="005F61E6"/>
    <w:rsid w:val="005F6921"/>
    <w:rsid w:val="005F6BCA"/>
    <w:rsid w:val="005F7540"/>
    <w:rsid w:val="005F7B95"/>
    <w:rsid w:val="006018A7"/>
    <w:rsid w:val="00601BCB"/>
    <w:rsid w:val="00603B7B"/>
    <w:rsid w:val="00604364"/>
    <w:rsid w:val="00604EB4"/>
    <w:rsid w:val="006050E4"/>
    <w:rsid w:val="00605431"/>
    <w:rsid w:val="00605A40"/>
    <w:rsid w:val="006062CF"/>
    <w:rsid w:val="00606BA3"/>
    <w:rsid w:val="00606C4B"/>
    <w:rsid w:val="00606E34"/>
    <w:rsid w:val="00606FD8"/>
    <w:rsid w:val="006075CF"/>
    <w:rsid w:val="00611753"/>
    <w:rsid w:val="00611862"/>
    <w:rsid w:val="00611ACA"/>
    <w:rsid w:val="00611F40"/>
    <w:rsid w:val="00612478"/>
    <w:rsid w:val="00614D8A"/>
    <w:rsid w:val="00614F69"/>
    <w:rsid w:val="00615482"/>
    <w:rsid w:val="006165BE"/>
    <w:rsid w:val="00616C5E"/>
    <w:rsid w:val="00621712"/>
    <w:rsid w:val="0062328A"/>
    <w:rsid w:val="00623B8B"/>
    <w:rsid w:val="00624EA2"/>
    <w:rsid w:val="00625520"/>
    <w:rsid w:val="00625C45"/>
    <w:rsid w:val="00626A70"/>
    <w:rsid w:val="00626D12"/>
    <w:rsid w:val="00626D57"/>
    <w:rsid w:val="0062709C"/>
    <w:rsid w:val="00627E61"/>
    <w:rsid w:val="006300F2"/>
    <w:rsid w:val="00630577"/>
    <w:rsid w:val="0063081A"/>
    <w:rsid w:val="00632A88"/>
    <w:rsid w:val="00632B2D"/>
    <w:rsid w:val="0063387E"/>
    <w:rsid w:val="00633F4D"/>
    <w:rsid w:val="0063401E"/>
    <w:rsid w:val="00634412"/>
    <w:rsid w:val="00634930"/>
    <w:rsid w:val="00634CD8"/>
    <w:rsid w:val="00634D75"/>
    <w:rsid w:val="00636ADA"/>
    <w:rsid w:val="00636C40"/>
    <w:rsid w:val="00637143"/>
    <w:rsid w:val="0063724A"/>
    <w:rsid w:val="0064135D"/>
    <w:rsid w:val="006413C6"/>
    <w:rsid w:val="00644695"/>
    <w:rsid w:val="0064503E"/>
    <w:rsid w:val="006452BA"/>
    <w:rsid w:val="00645751"/>
    <w:rsid w:val="006465AF"/>
    <w:rsid w:val="00646762"/>
    <w:rsid w:val="00646E15"/>
    <w:rsid w:val="00650036"/>
    <w:rsid w:val="006500B8"/>
    <w:rsid w:val="006527AA"/>
    <w:rsid w:val="00653601"/>
    <w:rsid w:val="00653812"/>
    <w:rsid w:val="00653993"/>
    <w:rsid w:val="00654309"/>
    <w:rsid w:val="00654396"/>
    <w:rsid w:val="00655D61"/>
    <w:rsid w:val="0065698A"/>
    <w:rsid w:val="00660BA8"/>
    <w:rsid w:val="00660E93"/>
    <w:rsid w:val="006613EC"/>
    <w:rsid w:val="00661934"/>
    <w:rsid w:val="006637B0"/>
    <w:rsid w:val="00663BB6"/>
    <w:rsid w:val="00663EA6"/>
    <w:rsid w:val="00666B93"/>
    <w:rsid w:val="00667E34"/>
    <w:rsid w:val="00671FFE"/>
    <w:rsid w:val="00672DBF"/>
    <w:rsid w:val="00673A47"/>
    <w:rsid w:val="00674036"/>
    <w:rsid w:val="006751DE"/>
    <w:rsid w:val="00675429"/>
    <w:rsid w:val="00675E3D"/>
    <w:rsid w:val="0067606F"/>
    <w:rsid w:val="006761BC"/>
    <w:rsid w:val="006767B9"/>
    <w:rsid w:val="0067707C"/>
    <w:rsid w:val="00680375"/>
    <w:rsid w:val="006817FB"/>
    <w:rsid w:val="00682089"/>
    <w:rsid w:val="0068248D"/>
    <w:rsid w:val="00683C27"/>
    <w:rsid w:val="00683E51"/>
    <w:rsid w:val="006854C2"/>
    <w:rsid w:val="006857AE"/>
    <w:rsid w:val="0068657A"/>
    <w:rsid w:val="00686CE5"/>
    <w:rsid w:val="00687372"/>
    <w:rsid w:val="0069134F"/>
    <w:rsid w:val="0069301B"/>
    <w:rsid w:val="00693145"/>
    <w:rsid w:val="0069370D"/>
    <w:rsid w:val="0069392A"/>
    <w:rsid w:val="00693A8F"/>
    <w:rsid w:val="006941D0"/>
    <w:rsid w:val="00694B2F"/>
    <w:rsid w:val="00695D66"/>
    <w:rsid w:val="00697931"/>
    <w:rsid w:val="006A36C5"/>
    <w:rsid w:val="006A3D34"/>
    <w:rsid w:val="006A5999"/>
    <w:rsid w:val="006A5B53"/>
    <w:rsid w:val="006A60C4"/>
    <w:rsid w:val="006A6131"/>
    <w:rsid w:val="006A6386"/>
    <w:rsid w:val="006A7156"/>
    <w:rsid w:val="006B0940"/>
    <w:rsid w:val="006B0AD0"/>
    <w:rsid w:val="006B1B55"/>
    <w:rsid w:val="006B3040"/>
    <w:rsid w:val="006B383D"/>
    <w:rsid w:val="006B3B6C"/>
    <w:rsid w:val="006B3D24"/>
    <w:rsid w:val="006B44FF"/>
    <w:rsid w:val="006B5A55"/>
    <w:rsid w:val="006B60A4"/>
    <w:rsid w:val="006B6322"/>
    <w:rsid w:val="006B6586"/>
    <w:rsid w:val="006B6961"/>
    <w:rsid w:val="006B6C6A"/>
    <w:rsid w:val="006B6C74"/>
    <w:rsid w:val="006B6CF7"/>
    <w:rsid w:val="006B770B"/>
    <w:rsid w:val="006B7A54"/>
    <w:rsid w:val="006C1926"/>
    <w:rsid w:val="006C2C8E"/>
    <w:rsid w:val="006C2DFD"/>
    <w:rsid w:val="006C451B"/>
    <w:rsid w:val="006C4CC6"/>
    <w:rsid w:val="006C53DB"/>
    <w:rsid w:val="006C62C2"/>
    <w:rsid w:val="006D139C"/>
    <w:rsid w:val="006D1EA5"/>
    <w:rsid w:val="006D2274"/>
    <w:rsid w:val="006D31C7"/>
    <w:rsid w:val="006D478A"/>
    <w:rsid w:val="006D4EF9"/>
    <w:rsid w:val="006D506E"/>
    <w:rsid w:val="006D5241"/>
    <w:rsid w:val="006D52CC"/>
    <w:rsid w:val="006D5B4B"/>
    <w:rsid w:val="006D5BFE"/>
    <w:rsid w:val="006D7883"/>
    <w:rsid w:val="006E2B8C"/>
    <w:rsid w:val="006E4974"/>
    <w:rsid w:val="006E60EF"/>
    <w:rsid w:val="006E6765"/>
    <w:rsid w:val="006E687A"/>
    <w:rsid w:val="006E7259"/>
    <w:rsid w:val="006F1CB0"/>
    <w:rsid w:val="006F362C"/>
    <w:rsid w:val="006F49AE"/>
    <w:rsid w:val="006F51B5"/>
    <w:rsid w:val="006F5CA6"/>
    <w:rsid w:val="006F732E"/>
    <w:rsid w:val="006F7DA9"/>
    <w:rsid w:val="00703FB4"/>
    <w:rsid w:val="00705876"/>
    <w:rsid w:val="007059B2"/>
    <w:rsid w:val="00706023"/>
    <w:rsid w:val="007060CD"/>
    <w:rsid w:val="007065E5"/>
    <w:rsid w:val="007069B5"/>
    <w:rsid w:val="00706CB7"/>
    <w:rsid w:val="00707932"/>
    <w:rsid w:val="007104D8"/>
    <w:rsid w:val="0071076F"/>
    <w:rsid w:val="007111A3"/>
    <w:rsid w:val="007128E0"/>
    <w:rsid w:val="00716A73"/>
    <w:rsid w:val="0071773A"/>
    <w:rsid w:val="00720771"/>
    <w:rsid w:val="00721B5B"/>
    <w:rsid w:val="00722BFF"/>
    <w:rsid w:val="0072315A"/>
    <w:rsid w:val="007237D0"/>
    <w:rsid w:val="007237F5"/>
    <w:rsid w:val="00724957"/>
    <w:rsid w:val="00724B53"/>
    <w:rsid w:val="00725347"/>
    <w:rsid w:val="00725634"/>
    <w:rsid w:val="007257EA"/>
    <w:rsid w:val="00725FB4"/>
    <w:rsid w:val="00727587"/>
    <w:rsid w:val="00727B8D"/>
    <w:rsid w:val="00730C19"/>
    <w:rsid w:val="00731185"/>
    <w:rsid w:val="00731381"/>
    <w:rsid w:val="007313D6"/>
    <w:rsid w:val="00735426"/>
    <w:rsid w:val="007403BE"/>
    <w:rsid w:val="00740AF4"/>
    <w:rsid w:val="00740E33"/>
    <w:rsid w:val="00740FB4"/>
    <w:rsid w:val="00741186"/>
    <w:rsid w:val="00741406"/>
    <w:rsid w:val="00741F64"/>
    <w:rsid w:val="0074312D"/>
    <w:rsid w:val="007435D7"/>
    <w:rsid w:val="00744152"/>
    <w:rsid w:val="007445B1"/>
    <w:rsid w:val="007450DA"/>
    <w:rsid w:val="007463A6"/>
    <w:rsid w:val="007475BF"/>
    <w:rsid w:val="0074781F"/>
    <w:rsid w:val="00750522"/>
    <w:rsid w:val="007510C1"/>
    <w:rsid w:val="0075227C"/>
    <w:rsid w:val="007522B0"/>
    <w:rsid w:val="0075230C"/>
    <w:rsid w:val="0075381B"/>
    <w:rsid w:val="00755DBE"/>
    <w:rsid w:val="0075656A"/>
    <w:rsid w:val="007568B5"/>
    <w:rsid w:val="00760014"/>
    <w:rsid w:val="00760265"/>
    <w:rsid w:val="00763C21"/>
    <w:rsid w:val="00764282"/>
    <w:rsid w:val="007644D2"/>
    <w:rsid w:val="007648CE"/>
    <w:rsid w:val="00765B77"/>
    <w:rsid w:val="00765C6F"/>
    <w:rsid w:val="0076657A"/>
    <w:rsid w:val="00767B22"/>
    <w:rsid w:val="007712D4"/>
    <w:rsid w:val="0077135E"/>
    <w:rsid w:val="007728FE"/>
    <w:rsid w:val="00773C73"/>
    <w:rsid w:val="007742B3"/>
    <w:rsid w:val="00774767"/>
    <w:rsid w:val="00775290"/>
    <w:rsid w:val="00775294"/>
    <w:rsid w:val="00775F2A"/>
    <w:rsid w:val="00775F78"/>
    <w:rsid w:val="00776179"/>
    <w:rsid w:val="00777232"/>
    <w:rsid w:val="007776F5"/>
    <w:rsid w:val="007803E4"/>
    <w:rsid w:val="007810E6"/>
    <w:rsid w:val="0078143E"/>
    <w:rsid w:val="00787BF6"/>
    <w:rsid w:val="00790E95"/>
    <w:rsid w:val="00791536"/>
    <w:rsid w:val="00791545"/>
    <w:rsid w:val="007927E4"/>
    <w:rsid w:val="00793482"/>
    <w:rsid w:val="00793916"/>
    <w:rsid w:val="00793C98"/>
    <w:rsid w:val="0079416A"/>
    <w:rsid w:val="007943E4"/>
    <w:rsid w:val="007946D7"/>
    <w:rsid w:val="0079528E"/>
    <w:rsid w:val="0079599D"/>
    <w:rsid w:val="00796026"/>
    <w:rsid w:val="00796800"/>
    <w:rsid w:val="007A094F"/>
    <w:rsid w:val="007A0D57"/>
    <w:rsid w:val="007A171E"/>
    <w:rsid w:val="007A2EA3"/>
    <w:rsid w:val="007A360C"/>
    <w:rsid w:val="007A3DD2"/>
    <w:rsid w:val="007A4B56"/>
    <w:rsid w:val="007A5201"/>
    <w:rsid w:val="007A5997"/>
    <w:rsid w:val="007A59C5"/>
    <w:rsid w:val="007A5D60"/>
    <w:rsid w:val="007B026D"/>
    <w:rsid w:val="007B08BC"/>
    <w:rsid w:val="007B2081"/>
    <w:rsid w:val="007B25CA"/>
    <w:rsid w:val="007B27CD"/>
    <w:rsid w:val="007B2F92"/>
    <w:rsid w:val="007B3A35"/>
    <w:rsid w:val="007B431E"/>
    <w:rsid w:val="007B5DCC"/>
    <w:rsid w:val="007B63CB"/>
    <w:rsid w:val="007B661F"/>
    <w:rsid w:val="007B6A6B"/>
    <w:rsid w:val="007B7AC0"/>
    <w:rsid w:val="007B7E4D"/>
    <w:rsid w:val="007C0B8D"/>
    <w:rsid w:val="007C0DD7"/>
    <w:rsid w:val="007C35AE"/>
    <w:rsid w:val="007C3F15"/>
    <w:rsid w:val="007C4A27"/>
    <w:rsid w:val="007C6B02"/>
    <w:rsid w:val="007C6F2A"/>
    <w:rsid w:val="007C7B89"/>
    <w:rsid w:val="007D029B"/>
    <w:rsid w:val="007D0553"/>
    <w:rsid w:val="007D0A37"/>
    <w:rsid w:val="007D13E7"/>
    <w:rsid w:val="007D1856"/>
    <w:rsid w:val="007D3B3B"/>
    <w:rsid w:val="007D6028"/>
    <w:rsid w:val="007D7708"/>
    <w:rsid w:val="007D7861"/>
    <w:rsid w:val="007E09BA"/>
    <w:rsid w:val="007E2797"/>
    <w:rsid w:val="007E3BE6"/>
    <w:rsid w:val="007E3EE5"/>
    <w:rsid w:val="007E47A1"/>
    <w:rsid w:val="007E4EC0"/>
    <w:rsid w:val="007E5206"/>
    <w:rsid w:val="007E5F04"/>
    <w:rsid w:val="007E7897"/>
    <w:rsid w:val="007E7CC1"/>
    <w:rsid w:val="007E7DC0"/>
    <w:rsid w:val="007F00DA"/>
    <w:rsid w:val="007F0559"/>
    <w:rsid w:val="007F110B"/>
    <w:rsid w:val="007F135A"/>
    <w:rsid w:val="007F21CA"/>
    <w:rsid w:val="007F3DCD"/>
    <w:rsid w:val="007F40F4"/>
    <w:rsid w:val="007F4CA0"/>
    <w:rsid w:val="007F549A"/>
    <w:rsid w:val="007F5FC5"/>
    <w:rsid w:val="007F768A"/>
    <w:rsid w:val="007F78CE"/>
    <w:rsid w:val="007F7AE0"/>
    <w:rsid w:val="00800627"/>
    <w:rsid w:val="00802242"/>
    <w:rsid w:val="008028E4"/>
    <w:rsid w:val="00802FFF"/>
    <w:rsid w:val="008039F5"/>
    <w:rsid w:val="008049B0"/>
    <w:rsid w:val="00804B2B"/>
    <w:rsid w:val="0080529B"/>
    <w:rsid w:val="00805A33"/>
    <w:rsid w:val="0080644A"/>
    <w:rsid w:val="00807D15"/>
    <w:rsid w:val="00810383"/>
    <w:rsid w:val="008108F5"/>
    <w:rsid w:val="00810B89"/>
    <w:rsid w:val="00811232"/>
    <w:rsid w:val="0081146C"/>
    <w:rsid w:val="0081161A"/>
    <w:rsid w:val="0081167C"/>
    <w:rsid w:val="008119AE"/>
    <w:rsid w:val="00811E66"/>
    <w:rsid w:val="00812C9F"/>
    <w:rsid w:val="008136F9"/>
    <w:rsid w:val="00813E71"/>
    <w:rsid w:val="0081462B"/>
    <w:rsid w:val="00814A2B"/>
    <w:rsid w:val="008151EE"/>
    <w:rsid w:val="00815B90"/>
    <w:rsid w:val="00815E6F"/>
    <w:rsid w:val="008200E5"/>
    <w:rsid w:val="008211D2"/>
    <w:rsid w:val="0082122E"/>
    <w:rsid w:val="00821757"/>
    <w:rsid w:val="00821BBD"/>
    <w:rsid w:val="00822894"/>
    <w:rsid w:val="00822C4E"/>
    <w:rsid w:val="00822E17"/>
    <w:rsid w:val="00823B85"/>
    <w:rsid w:val="00824363"/>
    <w:rsid w:val="00825AA2"/>
    <w:rsid w:val="00825D3C"/>
    <w:rsid w:val="00827196"/>
    <w:rsid w:val="00827BD7"/>
    <w:rsid w:val="00833918"/>
    <w:rsid w:val="00833F29"/>
    <w:rsid w:val="00835CAB"/>
    <w:rsid w:val="00835E92"/>
    <w:rsid w:val="00837051"/>
    <w:rsid w:val="008376C1"/>
    <w:rsid w:val="00840BCC"/>
    <w:rsid w:val="008410F1"/>
    <w:rsid w:val="00842149"/>
    <w:rsid w:val="00842DE4"/>
    <w:rsid w:val="00843D23"/>
    <w:rsid w:val="00843F1D"/>
    <w:rsid w:val="008444F1"/>
    <w:rsid w:val="00844B43"/>
    <w:rsid w:val="0084517E"/>
    <w:rsid w:val="008459B3"/>
    <w:rsid w:val="008460E0"/>
    <w:rsid w:val="00847B88"/>
    <w:rsid w:val="0085035D"/>
    <w:rsid w:val="00850711"/>
    <w:rsid w:val="0085122A"/>
    <w:rsid w:val="00851274"/>
    <w:rsid w:val="00851674"/>
    <w:rsid w:val="00852AA2"/>
    <w:rsid w:val="00853D57"/>
    <w:rsid w:val="00854738"/>
    <w:rsid w:val="00855464"/>
    <w:rsid w:val="008557D8"/>
    <w:rsid w:val="00855B8D"/>
    <w:rsid w:val="00856FC2"/>
    <w:rsid w:val="008575A6"/>
    <w:rsid w:val="0085770A"/>
    <w:rsid w:val="00857F1C"/>
    <w:rsid w:val="00860701"/>
    <w:rsid w:val="00860A77"/>
    <w:rsid w:val="00861E55"/>
    <w:rsid w:val="00862E0D"/>
    <w:rsid w:val="008635CF"/>
    <w:rsid w:val="00865F43"/>
    <w:rsid w:val="00866B4F"/>
    <w:rsid w:val="00866DFF"/>
    <w:rsid w:val="008722A5"/>
    <w:rsid w:val="00872BA1"/>
    <w:rsid w:val="008738D5"/>
    <w:rsid w:val="0087411A"/>
    <w:rsid w:val="00874EA4"/>
    <w:rsid w:val="00875089"/>
    <w:rsid w:val="008757B7"/>
    <w:rsid w:val="00876FF0"/>
    <w:rsid w:val="00880A8E"/>
    <w:rsid w:val="00880BF7"/>
    <w:rsid w:val="00880D7B"/>
    <w:rsid w:val="00880F6D"/>
    <w:rsid w:val="00881612"/>
    <w:rsid w:val="0088222C"/>
    <w:rsid w:val="0088380F"/>
    <w:rsid w:val="00883E4F"/>
    <w:rsid w:val="008847C8"/>
    <w:rsid w:val="00886BBE"/>
    <w:rsid w:val="008900AE"/>
    <w:rsid w:val="00890F6A"/>
    <w:rsid w:val="0089116C"/>
    <w:rsid w:val="008919D1"/>
    <w:rsid w:val="00892301"/>
    <w:rsid w:val="0089327D"/>
    <w:rsid w:val="00894571"/>
    <w:rsid w:val="0089734E"/>
    <w:rsid w:val="0089797A"/>
    <w:rsid w:val="008A1B05"/>
    <w:rsid w:val="008A21CC"/>
    <w:rsid w:val="008A2FD9"/>
    <w:rsid w:val="008A4380"/>
    <w:rsid w:val="008A54D9"/>
    <w:rsid w:val="008A6D21"/>
    <w:rsid w:val="008A6F12"/>
    <w:rsid w:val="008A781F"/>
    <w:rsid w:val="008B10BC"/>
    <w:rsid w:val="008B2D94"/>
    <w:rsid w:val="008B593C"/>
    <w:rsid w:val="008B62C9"/>
    <w:rsid w:val="008B6496"/>
    <w:rsid w:val="008B6539"/>
    <w:rsid w:val="008C0238"/>
    <w:rsid w:val="008C08F5"/>
    <w:rsid w:val="008C1013"/>
    <w:rsid w:val="008C146F"/>
    <w:rsid w:val="008C26B8"/>
    <w:rsid w:val="008C511D"/>
    <w:rsid w:val="008C60CB"/>
    <w:rsid w:val="008C63A1"/>
    <w:rsid w:val="008C6A90"/>
    <w:rsid w:val="008C7D31"/>
    <w:rsid w:val="008D0590"/>
    <w:rsid w:val="008D12E6"/>
    <w:rsid w:val="008D2B6E"/>
    <w:rsid w:val="008D312F"/>
    <w:rsid w:val="008D42B6"/>
    <w:rsid w:val="008D6906"/>
    <w:rsid w:val="008D7B5B"/>
    <w:rsid w:val="008D7F38"/>
    <w:rsid w:val="008D7FD6"/>
    <w:rsid w:val="008E0590"/>
    <w:rsid w:val="008E0EF3"/>
    <w:rsid w:val="008E1D76"/>
    <w:rsid w:val="008E1F65"/>
    <w:rsid w:val="008E241B"/>
    <w:rsid w:val="008E397C"/>
    <w:rsid w:val="008E4D9E"/>
    <w:rsid w:val="008E53A4"/>
    <w:rsid w:val="008E6B5D"/>
    <w:rsid w:val="008E78A3"/>
    <w:rsid w:val="008F1FDA"/>
    <w:rsid w:val="008F2D51"/>
    <w:rsid w:val="008F30E0"/>
    <w:rsid w:val="008F348B"/>
    <w:rsid w:val="008F39E6"/>
    <w:rsid w:val="008F3ADE"/>
    <w:rsid w:val="008F65DE"/>
    <w:rsid w:val="008F6F1E"/>
    <w:rsid w:val="00900D7F"/>
    <w:rsid w:val="0090205B"/>
    <w:rsid w:val="00902740"/>
    <w:rsid w:val="00904C41"/>
    <w:rsid w:val="00904D8A"/>
    <w:rsid w:val="009064C5"/>
    <w:rsid w:val="00906516"/>
    <w:rsid w:val="009079A7"/>
    <w:rsid w:val="00907A57"/>
    <w:rsid w:val="00910011"/>
    <w:rsid w:val="0091236E"/>
    <w:rsid w:val="009139D0"/>
    <w:rsid w:val="0091408D"/>
    <w:rsid w:val="009141D4"/>
    <w:rsid w:val="0091608D"/>
    <w:rsid w:val="00916EF1"/>
    <w:rsid w:val="00917CA6"/>
    <w:rsid w:val="0092048C"/>
    <w:rsid w:val="009206AC"/>
    <w:rsid w:val="00921AE9"/>
    <w:rsid w:val="00921BC0"/>
    <w:rsid w:val="00921E58"/>
    <w:rsid w:val="00922C60"/>
    <w:rsid w:val="0092469C"/>
    <w:rsid w:val="00925301"/>
    <w:rsid w:val="00925E36"/>
    <w:rsid w:val="00926B0A"/>
    <w:rsid w:val="0092702C"/>
    <w:rsid w:val="0092789E"/>
    <w:rsid w:val="00927D49"/>
    <w:rsid w:val="0093095B"/>
    <w:rsid w:val="00930C2A"/>
    <w:rsid w:val="009311D6"/>
    <w:rsid w:val="009324AF"/>
    <w:rsid w:val="00932B60"/>
    <w:rsid w:val="00932F12"/>
    <w:rsid w:val="00932F8C"/>
    <w:rsid w:val="00933470"/>
    <w:rsid w:val="00933949"/>
    <w:rsid w:val="00935852"/>
    <w:rsid w:val="00935DC1"/>
    <w:rsid w:val="009365FC"/>
    <w:rsid w:val="00940BA6"/>
    <w:rsid w:val="00941D5A"/>
    <w:rsid w:val="00942519"/>
    <w:rsid w:val="00942E0D"/>
    <w:rsid w:val="00942E20"/>
    <w:rsid w:val="00943020"/>
    <w:rsid w:val="00944AE6"/>
    <w:rsid w:val="00946421"/>
    <w:rsid w:val="0094690E"/>
    <w:rsid w:val="0094727E"/>
    <w:rsid w:val="00950257"/>
    <w:rsid w:val="0095242A"/>
    <w:rsid w:val="00952C21"/>
    <w:rsid w:val="00952FE7"/>
    <w:rsid w:val="00953684"/>
    <w:rsid w:val="00954029"/>
    <w:rsid w:val="009547F7"/>
    <w:rsid w:val="00955681"/>
    <w:rsid w:val="00956126"/>
    <w:rsid w:val="00956828"/>
    <w:rsid w:val="00956C66"/>
    <w:rsid w:val="00957A1E"/>
    <w:rsid w:val="00957FAE"/>
    <w:rsid w:val="009612FF"/>
    <w:rsid w:val="00961E8A"/>
    <w:rsid w:val="0096266A"/>
    <w:rsid w:val="00963D0C"/>
    <w:rsid w:val="00964285"/>
    <w:rsid w:val="0096460A"/>
    <w:rsid w:val="00965527"/>
    <w:rsid w:val="009658F9"/>
    <w:rsid w:val="009664F0"/>
    <w:rsid w:val="0096694F"/>
    <w:rsid w:val="00966DCB"/>
    <w:rsid w:val="00966FC8"/>
    <w:rsid w:val="00966FFE"/>
    <w:rsid w:val="009671B7"/>
    <w:rsid w:val="00967723"/>
    <w:rsid w:val="00967B42"/>
    <w:rsid w:val="009709D0"/>
    <w:rsid w:val="00971529"/>
    <w:rsid w:val="00971978"/>
    <w:rsid w:val="00971C5A"/>
    <w:rsid w:val="009724D9"/>
    <w:rsid w:val="00972BC7"/>
    <w:rsid w:val="00976ED3"/>
    <w:rsid w:val="00977346"/>
    <w:rsid w:val="0098010E"/>
    <w:rsid w:val="00981331"/>
    <w:rsid w:val="00982396"/>
    <w:rsid w:val="009837ED"/>
    <w:rsid w:val="0098574A"/>
    <w:rsid w:val="00986AD8"/>
    <w:rsid w:val="0099288C"/>
    <w:rsid w:val="009932A5"/>
    <w:rsid w:val="00993B9D"/>
    <w:rsid w:val="00994AF3"/>
    <w:rsid w:val="00994EB4"/>
    <w:rsid w:val="0099625F"/>
    <w:rsid w:val="00996875"/>
    <w:rsid w:val="009969C6"/>
    <w:rsid w:val="00997298"/>
    <w:rsid w:val="0099777A"/>
    <w:rsid w:val="009A0CCF"/>
    <w:rsid w:val="009A0E83"/>
    <w:rsid w:val="009A1029"/>
    <w:rsid w:val="009A361E"/>
    <w:rsid w:val="009A4348"/>
    <w:rsid w:val="009A5AB1"/>
    <w:rsid w:val="009A7D36"/>
    <w:rsid w:val="009A7DEF"/>
    <w:rsid w:val="009B12A1"/>
    <w:rsid w:val="009B2139"/>
    <w:rsid w:val="009B4B64"/>
    <w:rsid w:val="009B5B4A"/>
    <w:rsid w:val="009B632D"/>
    <w:rsid w:val="009B6E23"/>
    <w:rsid w:val="009C1282"/>
    <w:rsid w:val="009C1306"/>
    <w:rsid w:val="009C151E"/>
    <w:rsid w:val="009C191F"/>
    <w:rsid w:val="009C2B6F"/>
    <w:rsid w:val="009C46BF"/>
    <w:rsid w:val="009C4965"/>
    <w:rsid w:val="009C6597"/>
    <w:rsid w:val="009C7098"/>
    <w:rsid w:val="009C7FCD"/>
    <w:rsid w:val="009D076D"/>
    <w:rsid w:val="009D18EF"/>
    <w:rsid w:val="009D3CB7"/>
    <w:rsid w:val="009D3D07"/>
    <w:rsid w:val="009D505F"/>
    <w:rsid w:val="009D52F7"/>
    <w:rsid w:val="009D583B"/>
    <w:rsid w:val="009D587C"/>
    <w:rsid w:val="009D5E72"/>
    <w:rsid w:val="009D707B"/>
    <w:rsid w:val="009D720A"/>
    <w:rsid w:val="009D767A"/>
    <w:rsid w:val="009D7E44"/>
    <w:rsid w:val="009E0809"/>
    <w:rsid w:val="009E1497"/>
    <w:rsid w:val="009E1D77"/>
    <w:rsid w:val="009E2939"/>
    <w:rsid w:val="009E6319"/>
    <w:rsid w:val="009E6949"/>
    <w:rsid w:val="009F0D22"/>
    <w:rsid w:val="009F4286"/>
    <w:rsid w:val="009F4D5B"/>
    <w:rsid w:val="009F4F66"/>
    <w:rsid w:val="009F6418"/>
    <w:rsid w:val="009F6545"/>
    <w:rsid w:val="009F775C"/>
    <w:rsid w:val="009F7F61"/>
    <w:rsid w:val="00A01826"/>
    <w:rsid w:val="00A0194E"/>
    <w:rsid w:val="00A01A7E"/>
    <w:rsid w:val="00A01ACE"/>
    <w:rsid w:val="00A02178"/>
    <w:rsid w:val="00A036BB"/>
    <w:rsid w:val="00A04DC6"/>
    <w:rsid w:val="00A055F4"/>
    <w:rsid w:val="00A05885"/>
    <w:rsid w:val="00A05984"/>
    <w:rsid w:val="00A0634E"/>
    <w:rsid w:val="00A066E3"/>
    <w:rsid w:val="00A076E4"/>
    <w:rsid w:val="00A10FD7"/>
    <w:rsid w:val="00A11116"/>
    <w:rsid w:val="00A126E0"/>
    <w:rsid w:val="00A128D5"/>
    <w:rsid w:val="00A12A14"/>
    <w:rsid w:val="00A131DE"/>
    <w:rsid w:val="00A13251"/>
    <w:rsid w:val="00A13419"/>
    <w:rsid w:val="00A13D10"/>
    <w:rsid w:val="00A14123"/>
    <w:rsid w:val="00A14AD6"/>
    <w:rsid w:val="00A15231"/>
    <w:rsid w:val="00A17214"/>
    <w:rsid w:val="00A17677"/>
    <w:rsid w:val="00A2003D"/>
    <w:rsid w:val="00A211A0"/>
    <w:rsid w:val="00A216A3"/>
    <w:rsid w:val="00A21B08"/>
    <w:rsid w:val="00A21E75"/>
    <w:rsid w:val="00A22B53"/>
    <w:rsid w:val="00A24099"/>
    <w:rsid w:val="00A2435E"/>
    <w:rsid w:val="00A244C6"/>
    <w:rsid w:val="00A246EA"/>
    <w:rsid w:val="00A248AB"/>
    <w:rsid w:val="00A24D56"/>
    <w:rsid w:val="00A25936"/>
    <w:rsid w:val="00A25DF8"/>
    <w:rsid w:val="00A26182"/>
    <w:rsid w:val="00A26731"/>
    <w:rsid w:val="00A268E6"/>
    <w:rsid w:val="00A26B86"/>
    <w:rsid w:val="00A27B2B"/>
    <w:rsid w:val="00A30217"/>
    <w:rsid w:val="00A30F28"/>
    <w:rsid w:val="00A32481"/>
    <w:rsid w:val="00A326D2"/>
    <w:rsid w:val="00A33C9B"/>
    <w:rsid w:val="00A33D55"/>
    <w:rsid w:val="00A34335"/>
    <w:rsid w:val="00A3459F"/>
    <w:rsid w:val="00A34AC5"/>
    <w:rsid w:val="00A34E27"/>
    <w:rsid w:val="00A351C7"/>
    <w:rsid w:val="00A35732"/>
    <w:rsid w:val="00A35838"/>
    <w:rsid w:val="00A35DD7"/>
    <w:rsid w:val="00A35F68"/>
    <w:rsid w:val="00A36CDB"/>
    <w:rsid w:val="00A37156"/>
    <w:rsid w:val="00A37386"/>
    <w:rsid w:val="00A3751B"/>
    <w:rsid w:val="00A409FE"/>
    <w:rsid w:val="00A4144C"/>
    <w:rsid w:val="00A41535"/>
    <w:rsid w:val="00A42D3A"/>
    <w:rsid w:val="00A42E84"/>
    <w:rsid w:val="00A446C5"/>
    <w:rsid w:val="00A446DA"/>
    <w:rsid w:val="00A44B87"/>
    <w:rsid w:val="00A44C18"/>
    <w:rsid w:val="00A44E32"/>
    <w:rsid w:val="00A45298"/>
    <w:rsid w:val="00A4663E"/>
    <w:rsid w:val="00A46932"/>
    <w:rsid w:val="00A46CB1"/>
    <w:rsid w:val="00A46DEE"/>
    <w:rsid w:val="00A51741"/>
    <w:rsid w:val="00A51D31"/>
    <w:rsid w:val="00A52545"/>
    <w:rsid w:val="00A544D7"/>
    <w:rsid w:val="00A54E16"/>
    <w:rsid w:val="00A54E1D"/>
    <w:rsid w:val="00A54EA0"/>
    <w:rsid w:val="00A556E4"/>
    <w:rsid w:val="00A56A71"/>
    <w:rsid w:val="00A60547"/>
    <w:rsid w:val="00A60D7D"/>
    <w:rsid w:val="00A6112E"/>
    <w:rsid w:val="00A6118C"/>
    <w:rsid w:val="00A619D7"/>
    <w:rsid w:val="00A6323D"/>
    <w:rsid w:val="00A63E36"/>
    <w:rsid w:val="00A63F97"/>
    <w:rsid w:val="00A641A0"/>
    <w:rsid w:val="00A64EB8"/>
    <w:rsid w:val="00A659B5"/>
    <w:rsid w:val="00A6777F"/>
    <w:rsid w:val="00A709F1"/>
    <w:rsid w:val="00A72A95"/>
    <w:rsid w:val="00A72C13"/>
    <w:rsid w:val="00A734C4"/>
    <w:rsid w:val="00A75264"/>
    <w:rsid w:val="00A75380"/>
    <w:rsid w:val="00A75408"/>
    <w:rsid w:val="00A75C76"/>
    <w:rsid w:val="00A768DC"/>
    <w:rsid w:val="00A768E8"/>
    <w:rsid w:val="00A77C94"/>
    <w:rsid w:val="00A8013E"/>
    <w:rsid w:val="00A80E53"/>
    <w:rsid w:val="00A82A6E"/>
    <w:rsid w:val="00A82EFE"/>
    <w:rsid w:val="00A83686"/>
    <w:rsid w:val="00A838D1"/>
    <w:rsid w:val="00A83E8B"/>
    <w:rsid w:val="00A8493B"/>
    <w:rsid w:val="00A852B3"/>
    <w:rsid w:val="00A8628D"/>
    <w:rsid w:val="00A86C55"/>
    <w:rsid w:val="00A8788B"/>
    <w:rsid w:val="00A87F7D"/>
    <w:rsid w:val="00A9000A"/>
    <w:rsid w:val="00A90704"/>
    <w:rsid w:val="00A92277"/>
    <w:rsid w:val="00A922F9"/>
    <w:rsid w:val="00A923D5"/>
    <w:rsid w:val="00A9384C"/>
    <w:rsid w:val="00A93BDA"/>
    <w:rsid w:val="00A94CF8"/>
    <w:rsid w:val="00A95482"/>
    <w:rsid w:val="00A96256"/>
    <w:rsid w:val="00A96347"/>
    <w:rsid w:val="00A97425"/>
    <w:rsid w:val="00A97D60"/>
    <w:rsid w:val="00AA0A3C"/>
    <w:rsid w:val="00AA11B7"/>
    <w:rsid w:val="00AA1A11"/>
    <w:rsid w:val="00AA1F74"/>
    <w:rsid w:val="00AA2310"/>
    <w:rsid w:val="00AA233A"/>
    <w:rsid w:val="00AA27B7"/>
    <w:rsid w:val="00AA312E"/>
    <w:rsid w:val="00AA39A8"/>
    <w:rsid w:val="00AA40C2"/>
    <w:rsid w:val="00AA6025"/>
    <w:rsid w:val="00AA6176"/>
    <w:rsid w:val="00AB0C00"/>
    <w:rsid w:val="00AB0F1D"/>
    <w:rsid w:val="00AB141B"/>
    <w:rsid w:val="00AB2205"/>
    <w:rsid w:val="00AB31B7"/>
    <w:rsid w:val="00AB3695"/>
    <w:rsid w:val="00AB3809"/>
    <w:rsid w:val="00AB3EDF"/>
    <w:rsid w:val="00AB4944"/>
    <w:rsid w:val="00AB5B52"/>
    <w:rsid w:val="00AB5D81"/>
    <w:rsid w:val="00AB5EA0"/>
    <w:rsid w:val="00AB6024"/>
    <w:rsid w:val="00AB675E"/>
    <w:rsid w:val="00AB6874"/>
    <w:rsid w:val="00AC155E"/>
    <w:rsid w:val="00AC15AA"/>
    <w:rsid w:val="00AC2141"/>
    <w:rsid w:val="00AC2536"/>
    <w:rsid w:val="00AC3C27"/>
    <w:rsid w:val="00AC68C6"/>
    <w:rsid w:val="00AC748E"/>
    <w:rsid w:val="00AC7EC0"/>
    <w:rsid w:val="00AD1460"/>
    <w:rsid w:val="00AD1605"/>
    <w:rsid w:val="00AD26C0"/>
    <w:rsid w:val="00AD26D3"/>
    <w:rsid w:val="00AD28BB"/>
    <w:rsid w:val="00AD2BCE"/>
    <w:rsid w:val="00AD41F7"/>
    <w:rsid w:val="00AD46E3"/>
    <w:rsid w:val="00AD58D4"/>
    <w:rsid w:val="00AD59AD"/>
    <w:rsid w:val="00AD5ACD"/>
    <w:rsid w:val="00AD717C"/>
    <w:rsid w:val="00AD757F"/>
    <w:rsid w:val="00AE0E52"/>
    <w:rsid w:val="00AE14EF"/>
    <w:rsid w:val="00AE2535"/>
    <w:rsid w:val="00AE2F18"/>
    <w:rsid w:val="00AE3A6F"/>
    <w:rsid w:val="00AE4B55"/>
    <w:rsid w:val="00AE5947"/>
    <w:rsid w:val="00AE61A0"/>
    <w:rsid w:val="00AE647A"/>
    <w:rsid w:val="00AE664F"/>
    <w:rsid w:val="00AE70D1"/>
    <w:rsid w:val="00AF03E9"/>
    <w:rsid w:val="00AF0ECE"/>
    <w:rsid w:val="00AF0FB9"/>
    <w:rsid w:val="00AF1ABB"/>
    <w:rsid w:val="00AF1C26"/>
    <w:rsid w:val="00AF2D87"/>
    <w:rsid w:val="00AF2F3C"/>
    <w:rsid w:val="00AF30C4"/>
    <w:rsid w:val="00AF45AD"/>
    <w:rsid w:val="00AF4700"/>
    <w:rsid w:val="00AF4E9D"/>
    <w:rsid w:val="00AF5497"/>
    <w:rsid w:val="00AF583F"/>
    <w:rsid w:val="00AF65C5"/>
    <w:rsid w:val="00AF67DA"/>
    <w:rsid w:val="00AF6BA7"/>
    <w:rsid w:val="00AF7494"/>
    <w:rsid w:val="00B0014C"/>
    <w:rsid w:val="00B00F7A"/>
    <w:rsid w:val="00B0117E"/>
    <w:rsid w:val="00B0370E"/>
    <w:rsid w:val="00B03979"/>
    <w:rsid w:val="00B03987"/>
    <w:rsid w:val="00B03DED"/>
    <w:rsid w:val="00B04B94"/>
    <w:rsid w:val="00B069D5"/>
    <w:rsid w:val="00B06AE6"/>
    <w:rsid w:val="00B07675"/>
    <w:rsid w:val="00B10274"/>
    <w:rsid w:val="00B11268"/>
    <w:rsid w:val="00B127C5"/>
    <w:rsid w:val="00B13A65"/>
    <w:rsid w:val="00B14175"/>
    <w:rsid w:val="00B14241"/>
    <w:rsid w:val="00B17530"/>
    <w:rsid w:val="00B17E58"/>
    <w:rsid w:val="00B2012F"/>
    <w:rsid w:val="00B20EA5"/>
    <w:rsid w:val="00B2140E"/>
    <w:rsid w:val="00B219A5"/>
    <w:rsid w:val="00B21E7F"/>
    <w:rsid w:val="00B22BBC"/>
    <w:rsid w:val="00B22D2E"/>
    <w:rsid w:val="00B239AC"/>
    <w:rsid w:val="00B23DCD"/>
    <w:rsid w:val="00B244F5"/>
    <w:rsid w:val="00B247D4"/>
    <w:rsid w:val="00B24A24"/>
    <w:rsid w:val="00B25B9A"/>
    <w:rsid w:val="00B26D4F"/>
    <w:rsid w:val="00B277E7"/>
    <w:rsid w:val="00B3043F"/>
    <w:rsid w:val="00B3223D"/>
    <w:rsid w:val="00B32847"/>
    <w:rsid w:val="00B33987"/>
    <w:rsid w:val="00B340E1"/>
    <w:rsid w:val="00B342E9"/>
    <w:rsid w:val="00B34621"/>
    <w:rsid w:val="00B35C49"/>
    <w:rsid w:val="00B36077"/>
    <w:rsid w:val="00B36319"/>
    <w:rsid w:val="00B36A0A"/>
    <w:rsid w:val="00B406EB"/>
    <w:rsid w:val="00B40D8A"/>
    <w:rsid w:val="00B41526"/>
    <w:rsid w:val="00B42531"/>
    <w:rsid w:val="00B42711"/>
    <w:rsid w:val="00B44043"/>
    <w:rsid w:val="00B446C0"/>
    <w:rsid w:val="00B45486"/>
    <w:rsid w:val="00B470C3"/>
    <w:rsid w:val="00B50F8D"/>
    <w:rsid w:val="00B51D81"/>
    <w:rsid w:val="00B52C3F"/>
    <w:rsid w:val="00B53FB3"/>
    <w:rsid w:val="00B54BBA"/>
    <w:rsid w:val="00B55C1E"/>
    <w:rsid w:val="00B563EC"/>
    <w:rsid w:val="00B56A98"/>
    <w:rsid w:val="00B56F1C"/>
    <w:rsid w:val="00B57CAF"/>
    <w:rsid w:val="00B606CD"/>
    <w:rsid w:val="00B62791"/>
    <w:rsid w:val="00B628EE"/>
    <w:rsid w:val="00B638CB"/>
    <w:rsid w:val="00B63F6B"/>
    <w:rsid w:val="00B66614"/>
    <w:rsid w:val="00B6755E"/>
    <w:rsid w:val="00B70383"/>
    <w:rsid w:val="00B70C1B"/>
    <w:rsid w:val="00B71854"/>
    <w:rsid w:val="00B71B7D"/>
    <w:rsid w:val="00B720A6"/>
    <w:rsid w:val="00B7259C"/>
    <w:rsid w:val="00B73A60"/>
    <w:rsid w:val="00B74D17"/>
    <w:rsid w:val="00B75F1D"/>
    <w:rsid w:val="00B777ED"/>
    <w:rsid w:val="00B77A23"/>
    <w:rsid w:val="00B77D9A"/>
    <w:rsid w:val="00B80396"/>
    <w:rsid w:val="00B812AA"/>
    <w:rsid w:val="00B81A20"/>
    <w:rsid w:val="00B84886"/>
    <w:rsid w:val="00B853D6"/>
    <w:rsid w:val="00B87990"/>
    <w:rsid w:val="00B87B37"/>
    <w:rsid w:val="00B9052F"/>
    <w:rsid w:val="00B90823"/>
    <w:rsid w:val="00B90EC4"/>
    <w:rsid w:val="00B92349"/>
    <w:rsid w:val="00B926E1"/>
    <w:rsid w:val="00B92A79"/>
    <w:rsid w:val="00B943D1"/>
    <w:rsid w:val="00B9461B"/>
    <w:rsid w:val="00B96307"/>
    <w:rsid w:val="00B97669"/>
    <w:rsid w:val="00BA064E"/>
    <w:rsid w:val="00BA0E39"/>
    <w:rsid w:val="00BA1A6A"/>
    <w:rsid w:val="00BA4531"/>
    <w:rsid w:val="00BA4756"/>
    <w:rsid w:val="00BA482E"/>
    <w:rsid w:val="00BA56ED"/>
    <w:rsid w:val="00BA6554"/>
    <w:rsid w:val="00BA661B"/>
    <w:rsid w:val="00BA7340"/>
    <w:rsid w:val="00BA7741"/>
    <w:rsid w:val="00BA794B"/>
    <w:rsid w:val="00BB117D"/>
    <w:rsid w:val="00BB14A0"/>
    <w:rsid w:val="00BB1720"/>
    <w:rsid w:val="00BB24E9"/>
    <w:rsid w:val="00BB2FC3"/>
    <w:rsid w:val="00BB3044"/>
    <w:rsid w:val="00BB4B41"/>
    <w:rsid w:val="00BB5975"/>
    <w:rsid w:val="00BB7763"/>
    <w:rsid w:val="00BC05A8"/>
    <w:rsid w:val="00BC1838"/>
    <w:rsid w:val="00BC1F88"/>
    <w:rsid w:val="00BC4452"/>
    <w:rsid w:val="00BC4B25"/>
    <w:rsid w:val="00BC52CE"/>
    <w:rsid w:val="00BC7BC2"/>
    <w:rsid w:val="00BD0087"/>
    <w:rsid w:val="00BD26EB"/>
    <w:rsid w:val="00BD3BFA"/>
    <w:rsid w:val="00BD52E8"/>
    <w:rsid w:val="00BD62D7"/>
    <w:rsid w:val="00BD6D96"/>
    <w:rsid w:val="00BD70A2"/>
    <w:rsid w:val="00BD724F"/>
    <w:rsid w:val="00BE00B4"/>
    <w:rsid w:val="00BE073A"/>
    <w:rsid w:val="00BE0D88"/>
    <w:rsid w:val="00BE1649"/>
    <w:rsid w:val="00BE1D49"/>
    <w:rsid w:val="00BE27BA"/>
    <w:rsid w:val="00BE28D7"/>
    <w:rsid w:val="00BE2E01"/>
    <w:rsid w:val="00BE38E5"/>
    <w:rsid w:val="00BE3E5B"/>
    <w:rsid w:val="00BE468B"/>
    <w:rsid w:val="00BE505D"/>
    <w:rsid w:val="00BE548B"/>
    <w:rsid w:val="00BE627B"/>
    <w:rsid w:val="00BE6EA0"/>
    <w:rsid w:val="00BE7EE6"/>
    <w:rsid w:val="00BF000B"/>
    <w:rsid w:val="00BF14EA"/>
    <w:rsid w:val="00BF3609"/>
    <w:rsid w:val="00BF3C04"/>
    <w:rsid w:val="00BF486C"/>
    <w:rsid w:val="00BF5716"/>
    <w:rsid w:val="00BF598A"/>
    <w:rsid w:val="00BF69EC"/>
    <w:rsid w:val="00BF7A14"/>
    <w:rsid w:val="00BF7DC8"/>
    <w:rsid w:val="00C00038"/>
    <w:rsid w:val="00C01068"/>
    <w:rsid w:val="00C01368"/>
    <w:rsid w:val="00C01ACC"/>
    <w:rsid w:val="00C020D6"/>
    <w:rsid w:val="00C03E5C"/>
    <w:rsid w:val="00C048D1"/>
    <w:rsid w:val="00C07472"/>
    <w:rsid w:val="00C07A9A"/>
    <w:rsid w:val="00C07B08"/>
    <w:rsid w:val="00C10B51"/>
    <w:rsid w:val="00C1126B"/>
    <w:rsid w:val="00C11555"/>
    <w:rsid w:val="00C118EE"/>
    <w:rsid w:val="00C11957"/>
    <w:rsid w:val="00C12069"/>
    <w:rsid w:val="00C1266D"/>
    <w:rsid w:val="00C1305E"/>
    <w:rsid w:val="00C13900"/>
    <w:rsid w:val="00C14D93"/>
    <w:rsid w:val="00C15CDB"/>
    <w:rsid w:val="00C17635"/>
    <w:rsid w:val="00C22847"/>
    <w:rsid w:val="00C229D9"/>
    <w:rsid w:val="00C2404C"/>
    <w:rsid w:val="00C242D3"/>
    <w:rsid w:val="00C25130"/>
    <w:rsid w:val="00C2640C"/>
    <w:rsid w:val="00C26828"/>
    <w:rsid w:val="00C2728C"/>
    <w:rsid w:val="00C277E1"/>
    <w:rsid w:val="00C2796A"/>
    <w:rsid w:val="00C27EAA"/>
    <w:rsid w:val="00C30728"/>
    <w:rsid w:val="00C31BA7"/>
    <w:rsid w:val="00C3234C"/>
    <w:rsid w:val="00C34F93"/>
    <w:rsid w:val="00C35115"/>
    <w:rsid w:val="00C3515B"/>
    <w:rsid w:val="00C36004"/>
    <w:rsid w:val="00C36505"/>
    <w:rsid w:val="00C37CC8"/>
    <w:rsid w:val="00C40168"/>
    <w:rsid w:val="00C40293"/>
    <w:rsid w:val="00C408BD"/>
    <w:rsid w:val="00C40A16"/>
    <w:rsid w:val="00C41030"/>
    <w:rsid w:val="00C41234"/>
    <w:rsid w:val="00C41997"/>
    <w:rsid w:val="00C44971"/>
    <w:rsid w:val="00C44BE9"/>
    <w:rsid w:val="00C44E9C"/>
    <w:rsid w:val="00C4571B"/>
    <w:rsid w:val="00C4663F"/>
    <w:rsid w:val="00C46732"/>
    <w:rsid w:val="00C5034A"/>
    <w:rsid w:val="00C51C48"/>
    <w:rsid w:val="00C51C6C"/>
    <w:rsid w:val="00C52412"/>
    <w:rsid w:val="00C53368"/>
    <w:rsid w:val="00C5380A"/>
    <w:rsid w:val="00C53D35"/>
    <w:rsid w:val="00C54ECA"/>
    <w:rsid w:val="00C5534F"/>
    <w:rsid w:val="00C55451"/>
    <w:rsid w:val="00C568D3"/>
    <w:rsid w:val="00C569BD"/>
    <w:rsid w:val="00C56EC8"/>
    <w:rsid w:val="00C60377"/>
    <w:rsid w:val="00C6186E"/>
    <w:rsid w:val="00C61AD1"/>
    <w:rsid w:val="00C624D1"/>
    <w:rsid w:val="00C6251A"/>
    <w:rsid w:val="00C63046"/>
    <w:rsid w:val="00C63ED9"/>
    <w:rsid w:val="00C64D26"/>
    <w:rsid w:val="00C65702"/>
    <w:rsid w:val="00C657E9"/>
    <w:rsid w:val="00C6649A"/>
    <w:rsid w:val="00C66BFE"/>
    <w:rsid w:val="00C706CF"/>
    <w:rsid w:val="00C71B75"/>
    <w:rsid w:val="00C71E99"/>
    <w:rsid w:val="00C7229C"/>
    <w:rsid w:val="00C7270E"/>
    <w:rsid w:val="00C72EDB"/>
    <w:rsid w:val="00C73924"/>
    <w:rsid w:val="00C7496D"/>
    <w:rsid w:val="00C74CA4"/>
    <w:rsid w:val="00C7551A"/>
    <w:rsid w:val="00C75D41"/>
    <w:rsid w:val="00C76CEA"/>
    <w:rsid w:val="00C77F53"/>
    <w:rsid w:val="00C8019A"/>
    <w:rsid w:val="00C80844"/>
    <w:rsid w:val="00C80D11"/>
    <w:rsid w:val="00C81A62"/>
    <w:rsid w:val="00C81BAC"/>
    <w:rsid w:val="00C820DD"/>
    <w:rsid w:val="00C82106"/>
    <w:rsid w:val="00C82844"/>
    <w:rsid w:val="00C8307A"/>
    <w:rsid w:val="00C837C7"/>
    <w:rsid w:val="00C838CB"/>
    <w:rsid w:val="00C84439"/>
    <w:rsid w:val="00C848DC"/>
    <w:rsid w:val="00C85140"/>
    <w:rsid w:val="00C858A2"/>
    <w:rsid w:val="00C87FDE"/>
    <w:rsid w:val="00C90215"/>
    <w:rsid w:val="00C903C2"/>
    <w:rsid w:val="00C91A3D"/>
    <w:rsid w:val="00C92594"/>
    <w:rsid w:val="00C93056"/>
    <w:rsid w:val="00C938E3"/>
    <w:rsid w:val="00C943E2"/>
    <w:rsid w:val="00C94953"/>
    <w:rsid w:val="00C965FE"/>
    <w:rsid w:val="00C96CB0"/>
    <w:rsid w:val="00C96D32"/>
    <w:rsid w:val="00C9FBEA"/>
    <w:rsid w:val="00CA00BF"/>
    <w:rsid w:val="00CA06D1"/>
    <w:rsid w:val="00CA0F5D"/>
    <w:rsid w:val="00CA1059"/>
    <w:rsid w:val="00CA1907"/>
    <w:rsid w:val="00CA1B0E"/>
    <w:rsid w:val="00CA3042"/>
    <w:rsid w:val="00CA4472"/>
    <w:rsid w:val="00CA4A73"/>
    <w:rsid w:val="00CA4E75"/>
    <w:rsid w:val="00CA69E4"/>
    <w:rsid w:val="00CA7A47"/>
    <w:rsid w:val="00CA7DAF"/>
    <w:rsid w:val="00CB0A22"/>
    <w:rsid w:val="00CB0CF5"/>
    <w:rsid w:val="00CB1838"/>
    <w:rsid w:val="00CB219E"/>
    <w:rsid w:val="00CB287C"/>
    <w:rsid w:val="00CB288A"/>
    <w:rsid w:val="00CB291E"/>
    <w:rsid w:val="00CB3613"/>
    <w:rsid w:val="00CB39FC"/>
    <w:rsid w:val="00CB3B39"/>
    <w:rsid w:val="00CB4C86"/>
    <w:rsid w:val="00CB67A2"/>
    <w:rsid w:val="00CB77D5"/>
    <w:rsid w:val="00CB79BB"/>
    <w:rsid w:val="00CB7E65"/>
    <w:rsid w:val="00CC135B"/>
    <w:rsid w:val="00CC1365"/>
    <w:rsid w:val="00CC2F5C"/>
    <w:rsid w:val="00CC30F8"/>
    <w:rsid w:val="00CC42C4"/>
    <w:rsid w:val="00CC4573"/>
    <w:rsid w:val="00CC4F63"/>
    <w:rsid w:val="00CC5807"/>
    <w:rsid w:val="00CC7B33"/>
    <w:rsid w:val="00CD01FD"/>
    <w:rsid w:val="00CD13F3"/>
    <w:rsid w:val="00CD167A"/>
    <w:rsid w:val="00CD1973"/>
    <w:rsid w:val="00CD2564"/>
    <w:rsid w:val="00CD3222"/>
    <w:rsid w:val="00CD334E"/>
    <w:rsid w:val="00CD3F26"/>
    <w:rsid w:val="00CD4DE5"/>
    <w:rsid w:val="00CD64B3"/>
    <w:rsid w:val="00CD6E9C"/>
    <w:rsid w:val="00CE10C8"/>
    <w:rsid w:val="00CE1193"/>
    <w:rsid w:val="00CE1376"/>
    <w:rsid w:val="00CE1E4D"/>
    <w:rsid w:val="00CE1E4F"/>
    <w:rsid w:val="00CE25DA"/>
    <w:rsid w:val="00CE31FC"/>
    <w:rsid w:val="00CE4392"/>
    <w:rsid w:val="00CE4479"/>
    <w:rsid w:val="00CE4E50"/>
    <w:rsid w:val="00CE5F2A"/>
    <w:rsid w:val="00CE618D"/>
    <w:rsid w:val="00CE62E8"/>
    <w:rsid w:val="00CE63B6"/>
    <w:rsid w:val="00CE7387"/>
    <w:rsid w:val="00CE7F2B"/>
    <w:rsid w:val="00CF1B22"/>
    <w:rsid w:val="00CF1B99"/>
    <w:rsid w:val="00CF20DD"/>
    <w:rsid w:val="00CF4321"/>
    <w:rsid w:val="00CF4CD9"/>
    <w:rsid w:val="00CF5BA2"/>
    <w:rsid w:val="00CF6407"/>
    <w:rsid w:val="00CF67E9"/>
    <w:rsid w:val="00CF747A"/>
    <w:rsid w:val="00CF7556"/>
    <w:rsid w:val="00CF7809"/>
    <w:rsid w:val="00CF7CA4"/>
    <w:rsid w:val="00CF7FC5"/>
    <w:rsid w:val="00D00B55"/>
    <w:rsid w:val="00D02182"/>
    <w:rsid w:val="00D035FA"/>
    <w:rsid w:val="00D0460D"/>
    <w:rsid w:val="00D04B23"/>
    <w:rsid w:val="00D04E75"/>
    <w:rsid w:val="00D04EDF"/>
    <w:rsid w:val="00D056E8"/>
    <w:rsid w:val="00D05CF6"/>
    <w:rsid w:val="00D05D2A"/>
    <w:rsid w:val="00D12BB6"/>
    <w:rsid w:val="00D1436F"/>
    <w:rsid w:val="00D158AB"/>
    <w:rsid w:val="00D15F40"/>
    <w:rsid w:val="00D161A9"/>
    <w:rsid w:val="00D1742E"/>
    <w:rsid w:val="00D217B6"/>
    <w:rsid w:val="00D21937"/>
    <w:rsid w:val="00D228C9"/>
    <w:rsid w:val="00D23566"/>
    <w:rsid w:val="00D24021"/>
    <w:rsid w:val="00D2534E"/>
    <w:rsid w:val="00D25561"/>
    <w:rsid w:val="00D27351"/>
    <w:rsid w:val="00D276BD"/>
    <w:rsid w:val="00D278CC"/>
    <w:rsid w:val="00D27BCD"/>
    <w:rsid w:val="00D27CA2"/>
    <w:rsid w:val="00D31B84"/>
    <w:rsid w:val="00D31F77"/>
    <w:rsid w:val="00D32038"/>
    <w:rsid w:val="00D32AFC"/>
    <w:rsid w:val="00D3310E"/>
    <w:rsid w:val="00D33470"/>
    <w:rsid w:val="00D34B46"/>
    <w:rsid w:val="00D34E00"/>
    <w:rsid w:val="00D36A38"/>
    <w:rsid w:val="00D37568"/>
    <w:rsid w:val="00D37A75"/>
    <w:rsid w:val="00D37DDC"/>
    <w:rsid w:val="00D37E2D"/>
    <w:rsid w:val="00D40006"/>
    <w:rsid w:val="00D41074"/>
    <w:rsid w:val="00D413B1"/>
    <w:rsid w:val="00D41ADC"/>
    <w:rsid w:val="00D44116"/>
    <w:rsid w:val="00D44311"/>
    <w:rsid w:val="00D44D87"/>
    <w:rsid w:val="00D45498"/>
    <w:rsid w:val="00D45828"/>
    <w:rsid w:val="00D45E4D"/>
    <w:rsid w:val="00D45F6A"/>
    <w:rsid w:val="00D46C71"/>
    <w:rsid w:val="00D47093"/>
    <w:rsid w:val="00D47291"/>
    <w:rsid w:val="00D518A6"/>
    <w:rsid w:val="00D51CFE"/>
    <w:rsid w:val="00D5248D"/>
    <w:rsid w:val="00D53B6F"/>
    <w:rsid w:val="00D541DB"/>
    <w:rsid w:val="00D55D71"/>
    <w:rsid w:val="00D560D6"/>
    <w:rsid w:val="00D56DDE"/>
    <w:rsid w:val="00D5714F"/>
    <w:rsid w:val="00D60518"/>
    <w:rsid w:val="00D60528"/>
    <w:rsid w:val="00D60BB0"/>
    <w:rsid w:val="00D60FA8"/>
    <w:rsid w:val="00D62154"/>
    <w:rsid w:val="00D62900"/>
    <w:rsid w:val="00D62E43"/>
    <w:rsid w:val="00D63023"/>
    <w:rsid w:val="00D6392D"/>
    <w:rsid w:val="00D64A48"/>
    <w:rsid w:val="00D64BA7"/>
    <w:rsid w:val="00D652C5"/>
    <w:rsid w:val="00D65D4F"/>
    <w:rsid w:val="00D66001"/>
    <w:rsid w:val="00D664C3"/>
    <w:rsid w:val="00D70288"/>
    <w:rsid w:val="00D70F11"/>
    <w:rsid w:val="00D710DF"/>
    <w:rsid w:val="00D71489"/>
    <w:rsid w:val="00D715A3"/>
    <w:rsid w:val="00D7237E"/>
    <w:rsid w:val="00D7259A"/>
    <w:rsid w:val="00D72C7E"/>
    <w:rsid w:val="00D73056"/>
    <w:rsid w:val="00D735D6"/>
    <w:rsid w:val="00D74A07"/>
    <w:rsid w:val="00D74D50"/>
    <w:rsid w:val="00D75424"/>
    <w:rsid w:val="00D7649B"/>
    <w:rsid w:val="00D7780E"/>
    <w:rsid w:val="00D80592"/>
    <w:rsid w:val="00D80B1B"/>
    <w:rsid w:val="00D83BD4"/>
    <w:rsid w:val="00D847B9"/>
    <w:rsid w:val="00D8566B"/>
    <w:rsid w:val="00D8658F"/>
    <w:rsid w:val="00D86615"/>
    <w:rsid w:val="00D877ED"/>
    <w:rsid w:val="00D8784A"/>
    <w:rsid w:val="00D915B7"/>
    <w:rsid w:val="00D922DA"/>
    <w:rsid w:val="00D93569"/>
    <w:rsid w:val="00D94006"/>
    <w:rsid w:val="00D95178"/>
    <w:rsid w:val="00D95253"/>
    <w:rsid w:val="00D955BA"/>
    <w:rsid w:val="00D95A44"/>
    <w:rsid w:val="00D966D1"/>
    <w:rsid w:val="00D96D9F"/>
    <w:rsid w:val="00D97F84"/>
    <w:rsid w:val="00DA0964"/>
    <w:rsid w:val="00DA0ACD"/>
    <w:rsid w:val="00DA1189"/>
    <w:rsid w:val="00DA1602"/>
    <w:rsid w:val="00DA17CE"/>
    <w:rsid w:val="00DA1E19"/>
    <w:rsid w:val="00DA33D1"/>
    <w:rsid w:val="00DA4E2B"/>
    <w:rsid w:val="00DA51FB"/>
    <w:rsid w:val="00DA5CEF"/>
    <w:rsid w:val="00DA78C1"/>
    <w:rsid w:val="00DA7E96"/>
    <w:rsid w:val="00DB07AF"/>
    <w:rsid w:val="00DB0D3F"/>
    <w:rsid w:val="00DB150C"/>
    <w:rsid w:val="00DB1A8F"/>
    <w:rsid w:val="00DB34D5"/>
    <w:rsid w:val="00DB3A25"/>
    <w:rsid w:val="00DB3EE4"/>
    <w:rsid w:val="00DB40F7"/>
    <w:rsid w:val="00DB47B2"/>
    <w:rsid w:val="00DB4A7C"/>
    <w:rsid w:val="00DB4E0B"/>
    <w:rsid w:val="00DB739F"/>
    <w:rsid w:val="00DB7B0A"/>
    <w:rsid w:val="00DB7F61"/>
    <w:rsid w:val="00DC2E3B"/>
    <w:rsid w:val="00DC2FC0"/>
    <w:rsid w:val="00DC3993"/>
    <w:rsid w:val="00DC3F41"/>
    <w:rsid w:val="00DC42F6"/>
    <w:rsid w:val="00DC4576"/>
    <w:rsid w:val="00DC5099"/>
    <w:rsid w:val="00DC556F"/>
    <w:rsid w:val="00DC5F58"/>
    <w:rsid w:val="00DD0812"/>
    <w:rsid w:val="00DD084C"/>
    <w:rsid w:val="00DD0D6E"/>
    <w:rsid w:val="00DD12C8"/>
    <w:rsid w:val="00DD1923"/>
    <w:rsid w:val="00DD4A29"/>
    <w:rsid w:val="00DD4FF6"/>
    <w:rsid w:val="00DD5332"/>
    <w:rsid w:val="00DD543A"/>
    <w:rsid w:val="00DD54A6"/>
    <w:rsid w:val="00DD5E59"/>
    <w:rsid w:val="00DE09EF"/>
    <w:rsid w:val="00DE0BC8"/>
    <w:rsid w:val="00DE2328"/>
    <w:rsid w:val="00DE5D28"/>
    <w:rsid w:val="00DE65DE"/>
    <w:rsid w:val="00DE67E3"/>
    <w:rsid w:val="00DE6CE7"/>
    <w:rsid w:val="00DE6D6D"/>
    <w:rsid w:val="00DE7BE6"/>
    <w:rsid w:val="00DF05BC"/>
    <w:rsid w:val="00DF0B90"/>
    <w:rsid w:val="00DF1BA4"/>
    <w:rsid w:val="00DF2B54"/>
    <w:rsid w:val="00DF2F76"/>
    <w:rsid w:val="00DF5674"/>
    <w:rsid w:val="00DF6E1C"/>
    <w:rsid w:val="00DF7AA8"/>
    <w:rsid w:val="00E00090"/>
    <w:rsid w:val="00E00B2B"/>
    <w:rsid w:val="00E01D5C"/>
    <w:rsid w:val="00E0273D"/>
    <w:rsid w:val="00E03203"/>
    <w:rsid w:val="00E0354D"/>
    <w:rsid w:val="00E038F4"/>
    <w:rsid w:val="00E04AFD"/>
    <w:rsid w:val="00E04DD2"/>
    <w:rsid w:val="00E071F8"/>
    <w:rsid w:val="00E0758D"/>
    <w:rsid w:val="00E1061B"/>
    <w:rsid w:val="00E108E9"/>
    <w:rsid w:val="00E10FEE"/>
    <w:rsid w:val="00E110ED"/>
    <w:rsid w:val="00E1280A"/>
    <w:rsid w:val="00E12E17"/>
    <w:rsid w:val="00E1375B"/>
    <w:rsid w:val="00E146D4"/>
    <w:rsid w:val="00E1566F"/>
    <w:rsid w:val="00E1611F"/>
    <w:rsid w:val="00E1660C"/>
    <w:rsid w:val="00E16A1D"/>
    <w:rsid w:val="00E16DF5"/>
    <w:rsid w:val="00E17AAA"/>
    <w:rsid w:val="00E17B27"/>
    <w:rsid w:val="00E20110"/>
    <w:rsid w:val="00E203F8"/>
    <w:rsid w:val="00E20803"/>
    <w:rsid w:val="00E20F1F"/>
    <w:rsid w:val="00E2103B"/>
    <w:rsid w:val="00E210A1"/>
    <w:rsid w:val="00E2146A"/>
    <w:rsid w:val="00E21D60"/>
    <w:rsid w:val="00E229B7"/>
    <w:rsid w:val="00E2439E"/>
    <w:rsid w:val="00E25688"/>
    <w:rsid w:val="00E25DC6"/>
    <w:rsid w:val="00E26C5C"/>
    <w:rsid w:val="00E27682"/>
    <w:rsid w:val="00E27E91"/>
    <w:rsid w:val="00E30AB8"/>
    <w:rsid w:val="00E31A9A"/>
    <w:rsid w:val="00E3459F"/>
    <w:rsid w:val="00E346B2"/>
    <w:rsid w:val="00E348AA"/>
    <w:rsid w:val="00E34B34"/>
    <w:rsid w:val="00E368FF"/>
    <w:rsid w:val="00E40B2D"/>
    <w:rsid w:val="00E40CD6"/>
    <w:rsid w:val="00E4110A"/>
    <w:rsid w:val="00E41A8D"/>
    <w:rsid w:val="00E42B0E"/>
    <w:rsid w:val="00E4311A"/>
    <w:rsid w:val="00E43E2C"/>
    <w:rsid w:val="00E4417C"/>
    <w:rsid w:val="00E44E70"/>
    <w:rsid w:val="00E456F7"/>
    <w:rsid w:val="00E4578A"/>
    <w:rsid w:val="00E514C1"/>
    <w:rsid w:val="00E51A73"/>
    <w:rsid w:val="00E51FB6"/>
    <w:rsid w:val="00E52790"/>
    <w:rsid w:val="00E52C90"/>
    <w:rsid w:val="00E538DE"/>
    <w:rsid w:val="00E539A6"/>
    <w:rsid w:val="00E547A5"/>
    <w:rsid w:val="00E550EF"/>
    <w:rsid w:val="00E568C4"/>
    <w:rsid w:val="00E57346"/>
    <w:rsid w:val="00E57CCC"/>
    <w:rsid w:val="00E57F7E"/>
    <w:rsid w:val="00E60070"/>
    <w:rsid w:val="00E605B7"/>
    <w:rsid w:val="00E61359"/>
    <w:rsid w:val="00E61884"/>
    <w:rsid w:val="00E61E1F"/>
    <w:rsid w:val="00E61F8F"/>
    <w:rsid w:val="00E62340"/>
    <w:rsid w:val="00E63216"/>
    <w:rsid w:val="00E63E4D"/>
    <w:rsid w:val="00E640D6"/>
    <w:rsid w:val="00E645CD"/>
    <w:rsid w:val="00E70138"/>
    <w:rsid w:val="00E73320"/>
    <w:rsid w:val="00E73BCE"/>
    <w:rsid w:val="00E747D0"/>
    <w:rsid w:val="00E74C79"/>
    <w:rsid w:val="00E74FCE"/>
    <w:rsid w:val="00E759BB"/>
    <w:rsid w:val="00E75A33"/>
    <w:rsid w:val="00E76209"/>
    <w:rsid w:val="00E76360"/>
    <w:rsid w:val="00E76A9D"/>
    <w:rsid w:val="00E7731C"/>
    <w:rsid w:val="00E775B1"/>
    <w:rsid w:val="00E824D3"/>
    <w:rsid w:val="00E836BF"/>
    <w:rsid w:val="00E84DB5"/>
    <w:rsid w:val="00E85634"/>
    <w:rsid w:val="00E866FA"/>
    <w:rsid w:val="00E86B3E"/>
    <w:rsid w:val="00E90DDB"/>
    <w:rsid w:val="00E92B15"/>
    <w:rsid w:val="00E92D09"/>
    <w:rsid w:val="00E92F83"/>
    <w:rsid w:val="00E93C24"/>
    <w:rsid w:val="00E9484D"/>
    <w:rsid w:val="00E94CCD"/>
    <w:rsid w:val="00E9554B"/>
    <w:rsid w:val="00E95744"/>
    <w:rsid w:val="00E95BF0"/>
    <w:rsid w:val="00E95BF8"/>
    <w:rsid w:val="00E9622C"/>
    <w:rsid w:val="00E97528"/>
    <w:rsid w:val="00E979EC"/>
    <w:rsid w:val="00E97D76"/>
    <w:rsid w:val="00E97E4F"/>
    <w:rsid w:val="00EA0DCF"/>
    <w:rsid w:val="00EA1136"/>
    <w:rsid w:val="00EA1B7E"/>
    <w:rsid w:val="00EA2B53"/>
    <w:rsid w:val="00EA3AF0"/>
    <w:rsid w:val="00EA41C0"/>
    <w:rsid w:val="00EA468E"/>
    <w:rsid w:val="00EA6103"/>
    <w:rsid w:val="00EA6738"/>
    <w:rsid w:val="00EA787F"/>
    <w:rsid w:val="00EB16A6"/>
    <w:rsid w:val="00EB198F"/>
    <w:rsid w:val="00EB1C98"/>
    <w:rsid w:val="00EB24F5"/>
    <w:rsid w:val="00EB2907"/>
    <w:rsid w:val="00EB3F02"/>
    <w:rsid w:val="00EB4087"/>
    <w:rsid w:val="00EB499B"/>
    <w:rsid w:val="00EB4A85"/>
    <w:rsid w:val="00EB591C"/>
    <w:rsid w:val="00EB60DD"/>
    <w:rsid w:val="00EB7575"/>
    <w:rsid w:val="00EB77F8"/>
    <w:rsid w:val="00EB7F55"/>
    <w:rsid w:val="00EC0378"/>
    <w:rsid w:val="00EC0C0F"/>
    <w:rsid w:val="00EC2409"/>
    <w:rsid w:val="00EC25B3"/>
    <w:rsid w:val="00EC2711"/>
    <w:rsid w:val="00EC2C21"/>
    <w:rsid w:val="00EC2C71"/>
    <w:rsid w:val="00EC3634"/>
    <w:rsid w:val="00EC3679"/>
    <w:rsid w:val="00EC4E8A"/>
    <w:rsid w:val="00EC4EBD"/>
    <w:rsid w:val="00EC61B9"/>
    <w:rsid w:val="00EC6DA7"/>
    <w:rsid w:val="00EC6F70"/>
    <w:rsid w:val="00EC7D69"/>
    <w:rsid w:val="00ED13D9"/>
    <w:rsid w:val="00ED2CCD"/>
    <w:rsid w:val="00ED3637"/>
    <w:rsid w:val="00ED4688"/>
    <w:rsid w:val="00ED4D1D"/>
    <w:rsid w:val="00ED512D"/>
    <w:rsid w:val="00ED58BE"/>
    <w:rsid w:val="00ED6406"/>
    <w:rsid w:val="00ED67DD"/>
    <w:rsid w:val="00ED6EA5"/>
    <w:rsid w:val="00EE0128"/>
    <w:rsid w:val="00EE0658"/>
    <w:rsid w:val="00EE0CB5"/>
    <w:rsid w:val="00EE0E07"/>
    <w:rsid w:val="00EE14A3"/>
    <w:rsid w:val="00EE15A6"/>
    <w:rsid w:val="00EE1651"/>
    <w:rsid w:val="00EE1D59"/>
    <w:rsid w:val="00EE2B3E"/>
    <w:rsid w:val="00EE3796"/>
    <w:rsid w:val="00EE45B4"/>
    <w:rsid w:val="00EE4B43"/>
    <w:rsid w:val="00EE4EE1"/>
    <w:rsid w:val="00EF0C22"/>
    <w:rsid w:val="00EF0ED4"/>
    <w:rsid w:val="00EF1E2D"/>
    <w:rsid w:val="00EF2F01"/>
    <w:rsid w:val="00EF3A67"/>
    <w:rsid w:val="00EF54D1"/>
    <w:rsid w:val="00EF7134"/>
    <w:rsid w:val="00EF744C"/>
    <w:rsid w:val="00F015BF"/>
    <w:rsid w:val="00F02131"/>
    <w:rsid w:val="00F027A4"/>
    <w:rsid w:val="00F0330F"/>
    <w:rsid w:val="00F03BBA"/>
    <w:rsid w:val="00F042E4"/>
    <w:rsid w:val="00F04CCB"/>
    <w:rsid w:val="00F04D2B"/>
    <w:rsid w:val="00F05862"/>
    <w:rsid w:val="00F07ED8"/>
    <w:rsid w:val="00F10967"/>
    <w:rsid w:val="00F12648"/>
    <w:rsid w:val="00F12C10"/>
    <w:rsid w:val="00F12DD5"/>
    <w:rsid w:val="00F13E58"/>
    <w:rsid w:val="00F144D4"/>
    <w:rsid w:val="00F156B9"/>
    <w:rsid w:val="00F15FA1"/>
    <w:rsid w:val="00F162BF"/>
    <w:rsid w:val="00F16AB8"/>
    <w:rsid w:val="00F16C42"/>
    <w:rsid w:val="00F174E4"/>
    <w:rsid w:val="00F21202"/>
    <w:rsid w:val="00F215C4"/>
    <w:rsid w:val="00F220B3"/>
    <w:rsid w:val="00F24274"/>
    <w:rsid w:val="00F24280"/>
    <w:rsid w:val="00F2530E"/>
    <w:rsid w:val="00F2777B"/>
    <w:rsid w:val="00F27A7F"/>
    <w:rsid w:val="00F27D25"/>
    <w:rsid w:val="00F3037A"/>
    <w:rsid w:val="00F31079"/>
    <w:rsid w:val="00F32481"/>
    <w:rsid w:val="00F32E66"/>
    <w:rsid w:val="00F32F8A"/>
    <w:rsid w:val="00F332D4"/>
    <w:rsid w:val="00F34DCF"/>
    <w:rsid w:val="00F353B7"/>
    <w:rsid w:val="00F355F9"/>
    <w:rsid w:val="00F3658B"/>
    <w:rsid w:val="00F37868"/>
    <w:rsid w:val="00F37B7E"/>
    <w:rsid w:val="00F37BFD"/>
    <w:rsid w:val="00F37E63"/>
    <w:rsid w:val="00F45F64"/>
    <w:rsid w:val="00F5093A"/>
    <w:rsid w:val="00F50AB7"/>
    <w:rsid w:val="00F50B61"/>
    <w:rsid w:val="00F517F8"/>
    <w:rsid w:val="00F51B96"/>
    <w:rsid w:val="00F51F86"/>
    <w:rsid w:val="00F52D3B"/>
    <w:rsid w:val="00F53FCF"/>
    <w:rsid w:val="00F55228"/>
    <w:rsid w:val="00F55DB1"/>
    <w:rsid w:val="00F56421"/>
    <w:rsid w:val="00F5653A"/>
    <w:rsid w:val="00F6017E"/>
    <w:rsid w:val="00F60991"/>
    <w:rsid w:val="00F61C2E"/>
    <w:rsid w:val="00F61D8F"/>
    <w:rsid w:val="00F62AEC"/>
    <w:rsid w:val="00F62DCF"/>
    <w:rsid w:val="00F63666"/>
    <w:rsid w:val="00F642C8"/>
    <w:rsid w:val="00F645ED"/>
    <w:rsid w:val="00F65EC6"/>
    <w:rsid w:val="00F6612E"/>
    <w:rsid w:val="00F66474"/>
    <w:rsid w:val="00F66EA0"/>
    <w:rsid w:val="00F67903"/>
    <w:rsid w:val="00F702A6"/>
    <w:rsid w:val="00F71179"/>
    <w:rsid w:val="00F7192B"/>
    <w:rsid w:val="00F722B3"/>
    <w:rsid w:val="00F7277B"/>
    <w:rsid w:val="00F7353F"/>
    <w:rsid w:val="00F74368"/>
    <w:rsid w:val="00F74585"/>
    <w:rsid w:val="00F7686B"/>
    <w:rsid w:val="00F7708C"/>
    <w:rsid w:val="00F77D3B"/>
    <w:rsid w:val="00F80B1B"/>
    <w:rsid w:val="00F81389"/>
    <w:rsid w:val="00F815C5"/>
    <w:rsid w:val="00F829B8"/>
    <w:rsid w:val="00F82C30"/>
    <w:rsid w:val="00F82D42"/>
    <w:rsid w:val="00F8309A"/>
    <w:rsid w:val="00F832A4"/>
    <w:rsid w:val="00F833ED"/>
    <w:rsid w:val="00F83884"/>
    <w:rsid w:val="00F845B4"/>
    <w:rsid w:val="00F849AB"/>
    <w:rsid w:val="00F85453"/>
    <w:rsid w:val="00F85EB2"/>
    <w:rsid w:val="00F86104"/>
    <w:rsid w:val="00F86712"/>
    <w:rsid w:val="00F86719"/>
    <w:rsid w:val="00F869C7"/>
    <w:rsid w:val="00F87624"/>
    <w:rsid w:val="00F87A3A"/>
    <w:rsid w:val="00F900C0"/>
    <w:rsid w:val="00F90622"/>
    <w:rsid w:val="00F93B35"/>
    <w:rsid w:val="00F95D86"/>
    <w:rsid w:val="00F95E2C"/>
    <w:rsid w:val="00FA222E"/>
    <w:rsid w:val="00FA3963"/>
    <w:rsid w:val="00FA3F62"/>
    <w:rsid w:val="00FA50D7"/>
    <w:rsid w:val="00FA647E"/>
    <w:rsid w:val="00FA77B6"/>
    <w:rsid w:val="00FB06E6"/>
    <w:rsid w:val="00FB1002"/>
    <w:rsid w:val="00FB304E"/>
    <w:rsid w:val="00FB3C2E"/>
    <w:rsid w:val="00FB3E8F"/>
    <w:rsid w:val="00FB5FE5"/>
    <w:rsid w:val="00FB62C8"/>
    <w:rsid w:val="00FB6807"/>
    <w:rsid w:val="00FB6841"/>
    <w:rsid w:val="00FB6F6F"/>
    <w:rsid w:val="00FB7602"/>
    <w:rsid w:val="00FB77C4"/>
    <w:rsid w:val="00FC08C8"/>
    <w:rsid w:val="00FC38A6"/>
    <w:rsid w:val="00FC3B45"/>
    <w:rsid w:val="00FC5639"/>
    <w:rsid w:val="00FC57BC"/>
    <w:rsid w:val="00FC5BB7"/>
    <w:rsid w:val="00FC63C0"/>
    <w:rsid w:val="00FC6445"/>
    <w:rsid w:val="00FC703F"/>
    <w:rsid w:val="00FC7EA0"/>
    <w:rsid w:val="00FD0173"/>
    <w:rsid w:val="00FD0958"/>
    <w:rsid w:val="00FD470C"/>
    <w:rsid w:val="00FD5803"/>
    <w:rsid w:val="00FD5BD8"/>
    <w:rsid w:val="00FD645D"/>
    <w:rsid w:val="00FD67DD"/>
    <w:rsid w:val="00FD7B8C"/>
    <w:rsid w:val="00FE057E"/>
    <w:rsid w:val="00FE0590"/>
    <w:rsid w:val="00FE1803"/>
    <w:rsid w:val="00FE201E"/>
    <w:rsid w:val="00FE34B3"/>
    <w:rsid w:val="00FE3F27"/>
    <w:rsid w:val="00FE3FCA"/>
    <w:rsid w:val="00FE4E84"/>
    <w:rsid w:val="00FE66CA"/>
    <w:rsid w:val="00FF0A5B"/>
    <w:rsid w:val="00FF2806"/>
    <w:rsid w:val="00FF31C4"/>
    <w:rsid w:val="00FF4E28"/>
    <w:rsid w:val="00FF5E3E"/>
    <w:rsid w:val="00FF7F8B"/>
    <w:rsid w:val="014F441D"/>
    <w:rsid w:val="02176B2E"/>
    <w:rsid w:val="022D21C2"/>
    <w:rsid w:val="0242B3C9"/>
    <w:rsid w:val="02666051"/>
    <w:rsid w:val="02DDFFAF"/>
    <w:rsid w:val="039964EB"/>
    <w:rsid w:val="05E0CF8A"/>
    <w:rsid w:val="06FEFF4E"/>
    <w:rsid w:val="0744FC44"/>
    <w:rsid w:val="074B6719"/>
    <w:rsid w:val="08F02BB7"/>
    <w:rsid w:val="08F3A8EC"/>
    <w:rsid w:val="0966757B"/>
    <w:rsid w:val="0976A3AE"/>
    <w:rsid w:val="097F2D6E"/>
    <w:rsid w:val="0AB99033"/>
    <w:rsid w:val="0AD68D20"/>
    <w:rsid w:val="0B1ACB24"/>
    <w:rsid w:val="0B31DCD7"/>
    <w:rsid w:val="0B52FFCF"/>
    <w:rsid w:val="0B5EE869"/>
    <w:rsid w:val="0B6DAA34"/>
    <w:rsid w:val="0CC25DDF"/>
    <w:rsid w:val="0CCB710E"/>
    <w:rsid w:val="0CF4C06E"/>
    <w:rsid w:val="0EF8D5D1"/>
    <w:rsid w:val="0F6255AC"/>
    <w:rsid w:val="0FA0B1F4"/>
    <w:rsid w:val="0FC77340"/>
    <w:rsid w:val="10544137"/>
    <w:rsid w:val="11709B67"/>
    <w:rsid w:val="1198A868"/>
    <w:rsid w:val="128408C2"/>
    <w:rsid w:val="1332D8C2"/>
    <w:rsid w:val="13C8955F"/>
    <w:rsid w:val="1576D2C4"/>
    <w:rsid w:val="169D80D4"/>
    <w:rsid w:val="16D9C5DB"/>
    <w:rsid w:val="1700B67B"/>
    <w:rsid w:val="18BFA712"/>
    <w:rsid w:val="18D53097"/>
    <w:rsid w:val="19366BFC"/>
    <w:rsid w:val="196B41B8"/>
    <w:rsid w:val="1975C310"/>
    <w:rsid w:val="197FE695"/>
    <w:rsid w:val="1A2D271C"/>
    <w:rsid w:val="1A7D6E63"/>
    <w:rsid w:val="1AF169A3"/>
    <w:rsid w:val="1C4CC0E4"/>
    <w:rsid w:val="1CB96F6E"/>
    <w:rsid w:val="1D187B0A"/>
    <w:rsid w:val="1F2D7F58"/>
    <w:rsid w:val="202802C6"/>
    <w:rsid w:val="21B6E5AF"/>
    <w:rsid w:val="21D59626"/>
    <w:rsid w:val="21E0FA53"/>
    <w:rsid w:val="245DED47"/>
    <w:rsid w:val="24D6BC85"/>
    <w:rsid w:val="2606E720"/>
    <w:rsid w:val="26F0B738"/>
    <w:rsid w:val="27427701"/>
    <w:rsid w:val="2755E77F"/>
    <w:rsid w:val="284C9B25"/>
    <w:rsid w:val="2A884000"/>
    <w:rsid w:val="2B16E657"/>
    <w:rsid w:val="2B1791A2"/>
    <w:rsid w:val="2B95A3C6"/>
    <w:rsid w:val="2C562F88"/>
    <w:rsid w:val="2E0E963D"/>
    <w:rsid w:val="2E591311"/>
    <w:rsid w:val="2F2AFB98"/>
    <w:rsid w:val="3067981F"/>
    <w:rsid w:val="314F3CE5"/>
    <w:rsid w:val="321E3287"/>
    <w:rsid w:val="32373CE5"/>
    <w:rsid w:val="3395791E"/>
    <w:rsid w:val="33A25D4D"/>
    <w:rsid w:val="33AF3D27"/>
    <w:rsid w:val="349DB25A"/>
    <w:rsid w:val="34F8496E"/>
    <w:rsid w:val="351D26AD"/>
    <w:rsid w:val="361C86EA"/>
    <w:rsid w:val="3634B328"/>
    <w:rsid w:val="366FE9B9"/>
    <w:rsid w:val="36E524F3"/>
    <w:rsid w:val="37DB0741"/>
    <w:rsid w:val="37F1E5E2"/>
    <w:rsid w:val="38804B38"/>
    <w:rsid w:val="39A7125D"/>
    <w:rsid w:val="3A2B1F65"/>
    <w:rsid w:val="3A6675A3"/>
    <w:rsid w:val="3A6B8360"/>
    <w:rsid w:val="3AF0ED52"/>
    <w:rsid w:val="3BACE7F0"/>
    <w:rsid w:val="3BEF017D"/>
    <w:rsid w:val="3C205FC2"/>
    <w:rsid w:val="3C7E8B7A"/>
    <w:rsid w:val="3CDE1164"/>
    <w:rsid w:val="3D3E87F3"/>
    <w:rsid w:val="3DFBE7C5"/>
    <w:rsid w:val="3F081A26"/>
    <w:rsid w:val="3F826E50"/>
    <w:rsid w:val="3FD2DCEA"/>
    <w:rsid w:val="40516DFD"/>
    <w:rsid w:val="40F5E707"/>
    <w:rsid w:val="4127EEA6"/>
    <w:rsid w:val="4198403D"/>
    <w:rsid w:val="41A64BCF"/>
    <w:rsid w:val="41ACA1B4"/>
    <w:rsid w:val="426FDB68"/>
    <w:rsid w:val="42A038A7"/>
    <w:rsid w:val="42DD0C84"/>
    <w:rsid w:val="4337E185"/>
    <w:rsid w:val="43646478"/>
    <w:rsid w:val="450742CB"/>
    <w:rsid w:val="4542DD1D"/>
    <w:rsid w:val="46493735"/>
    <w:rsid w:val="47D55F4E"/>
    <w:rsid w:val="47F783EB"/>
    <w:rsid w:val="47FC5D6E"/>
    <w:rsid w:val="4801C155"/>
    <w:rsid w:val="48127168"/>
    <w:rsid w:val="49668AD7"/>
    <w:rsid w:val="4ABD97B7"/>
    <w:rsid w:val="4B503F44"/>
    <w:rsid w:val="4BE792DB"/>
    <w:rsid w:val="4C2C0BE5"/>
    <w:rsid w:val="4CCF0C36"/>
    <w:rsid w:val="4CD17A6B"/>
    <w:rsid w:val="4DB95F5C"/>
    <w:rsid w:val="4DE93D98"/>
    <w:rsid w:val="50158975"/>
    <w:rsid w:val="51F7E6E4"/>
    <w:rsid w:val="521BFD93"/>
    <w:rsid w:val="52A574BC"/>
    <w:rsid w:val="5420C2B6"/>
    <w:rsid w:val="543B1201"/>
    <w:rsid w:val="555A184B"/>
    <w:rsid w:val="55AC4242"/>
    <w:rsid w:val="566580D8"/>
    <w:rsid w:val="56766B4B"/>
    <w:rsid w:val="585874A3"/>
    <w:rsid w:val="589ACFD9"/>
    <w:rsid w:val="589E7A4E"/>
    <w:rsid w:val="5A2D1035"/>
    <w:rsid w:val="5A7E138A"/>
    <w:rsid w:val="5AD191CE"/>
    <w:rsid w:val="5C9AC1FD"/>
    <w:rsid w:val="5D08BDB5"/>
    <w:rsid w:val="5D5B1C5E"/>
    <w:rsid w:val="5DEE895D"/>
    <w:rsid w:val="5EA40E8D"/>
    <w:rsid w:val="5F358DA2"/>
    <w:rsid w:val="5F3B1723"/>
    <w:rsid w:val="5F4F1BB7"/>
    <w:rsid w:val="605F2B09"/>
    <w:rsid w:val="607330F9"/>
    <w:rsid w:val="60E29FEB"/>
    <w:rsid w:val="62C172EA"/>
    <w:rsid w:val="66187730"/>
    <w:rsid w:val="6951567B"/>
    <w:rsid w:val="699EECA5"/>
    <w:rsid w:val="6A04BFD4"/>
    <w:rsid w:val="6A33D1F7"/>
    <w:rsid w:val="6C9C4783"/>
    <w:rsid w:val="6D41FD20"/>
    <w:rsid w:val="6DAC2861"/>
    <w:rsid w:val="6EA87F2B"/>
    <w:rsid w:val="6F26E623"/>
    <w:rsid w:val="6FB2906E"/>
    <w:rsid w:val="6FCB73F6"/>
    <w:rsid w:val="6FD7C3B8"/>
    <w:rsid w:val="6FE6EF42"/>
    <w:rsid w:val="6FEFA176"/>
    <w:rsid w:val="707FF98A"/>
    <w:rsid w:val="710B7563"/>
    <w:rsid w:val="71983503"/>
    <w:rsid w:val="736CA17F"/>
    <w:rsid w:val="7415E5D2"/>
    <w:rsid w:val="7518DA5E"/>
    <w:rsid w:val="761E9E50"/>
    <w:rsid w:val="7696F36B"/>
    <w:rsid w:val="76ACA6C2"/>
    <w:rsid w:val="76BD1836"/>
    <w:rsid w:val="7776412A"/>
    <w:rsid w:val="777F5DDF"/>
    <w:rsid w:val="7809176F"/>
    <w:rsid w:val="789B9CC2"/>
    <w:rsid w:val="7953FCF8"/>
    <w:rsid w:val="79A13204"/>
    <w:rsid w:val="7A59829F"/>
    <w:rsid w:val="7BB8FA69"/>
    <w:rsid w:val="7CDC58FB"/>
    <w:rsid w:val="7D8BDEB5"/>
    <w:rsid w:val="7E7BF83A"/>
    <w:rsid w:val="7E7FD4E7"/>
    <w:rsid w:val="7EA221F6"/>
    <w:rsid w:val="7F2A6C07"/>
    <w:rsid w:val="7F79513A"/>
    <w:rsid w:val="7FBA561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E4A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5BB7"/>
    <w:rPr>
      <w:rFonts w:ascii="Garamond" w:hAnsi="Garamond"/>
      <w:sz w:val="24"/>
    </w:rPr>
  </w:style>
  <w:style w:type="paragraph" w:styleId="Heading1">
    <w:name w:val="heading 1"/>
    <w:basedOn w:val="Normal"/>
    <w:next w:val="BodyText"/>
    <w:link w:val="Heading1Char"/>
    <w:qFormat/>
    <w:rsid w:val="00C1266D"/>
    <w:pPr>
      <w:keepNext/>
      <w:numPr>
        <w:numId w:val="11"/>
      </w:numPr>
      <w:spacing w:after="120"/>
      <w:outlineLvl w:val="0"/>
    </w:pPr>
    <w:rPr>
      <w:rFonts w:ascii="Arial" w:hAnsi="Arial" w:cs="Arial"/>
      <w:b/>
      <w:sz w:val="28"/>
    </w:rPr>
  </w:style>
  <w:style w:type="paragraph" w:styleId="Heading2">
    <w:name w:val="heading 2"/>
    <w:basedOn w:val="Normal"/>
    <w:next w:val="BodyText"/>
    <w:link w:val="Heading2Char"/>
    <w:qFormat/>
    <w:rsid w:val="00880D7B"/>
    <w:pPr>
      <w:keepNext/>
      <w:numPr>
        <w:ilvl w:val="1"/>
        <w:numId w:val="11"/>
      </w:numPr>
      <w:overflowPunct w:val="0"/>
      <w:autoSpaceDE w:val="0"/>
      <w:autoSpaceDN w:val="0"/>
      <w:adjustRightInd w:val="0"/>
      <w:spacing w:before="120" w:after="120"/>
      <w:ind w:left="1066"/>
      <w:textAlignment w:val="baseline"/>
      <w:outlineLvl w:val="1"/>
    </w:pPr>
    <w:rPr>
      <w:rFonts w:ascii="Arial" w:hAnsi="Arial" w:cs="Arial"/>
      <w:b/>
      <w:bCs/>
      <w:iCs/>
      <w:szCs w:val="28"/>
    </w:rPr>
  </w:style>
  <w:style w:type="paragraph" w:styleId="Heading3">
    <w:name w:val="heading 3"/>
    <w:basedOn w:val="Normal"/>
    <w:next w:val="Normal"/>
    <w:link w:val="Heading3Char"/>
    <w:qFormat/>
    <w:rsid w:val="00880D7B"/>
    <w:pPr>
      <w:keepNext/>
      <w:numPr>
        <w:ilvl w:val="2"/>
        <w:numId w:val="11"/>
      </w:numPr>
      <w:spacing w:before="120" w:after="120"/>
      <w:ind w:left="1498"/>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80D7B"/>
    <w:pPr>
      <w:spacing w:before="120" w:after="120"/>
    </w:pPr>
  </w:style>
  <w:style w:type="character" w:customStyle="1" w:styleId="BodyTextChar">
    <w:name w:val="Body Text Char"/>
    <w:basedOn w:val="DefaultParagraphFont"/>
    <w:link w:val="BodyText"/>
    <w:rsid w:val="00880D7B"/>
    <w:rPr>
      <w:rFonts w:ascii="Garamond" w:hAnsi="Garamond"/>
      <w:sz w:val="24"/>
    </w:rPr>
  </w:style>
  <w:style w:type="character" w:customStyle="1" w:styleId="Heading1Char">
    <w:name w:val="Heading 1 Char"/>
    <w:basedOn w:val="DefaultParagraphFont"/>
    <w:link w:val="Heading1"/>
    <w:rsid w:val="00C1266D"/>
    <w:rPr>
      <w:rFonts w:ascii="Arial" w:hAnsi="Arial" w:cs="Arial"/>
      <w:b/>
      <w:sz w:val="28"/>
      <w:lang w:val="en-US" w:eastAsia="en-US" w:bidi="ar-SA"/>
    </w:rPr>
  </w:style>
  <w:style w:type="character" w:customStyle="1" w:styleId="Heading2Char">
    <w:name w:val="Heading 2 Char"/>
    <w:basedOn w:val="DefaultParagraphFont"/>
    <w:link w:val="Heading2"/>
    <w:rsid w:val="00880D7B"/>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ootnote reference,fr"/>
    <w:basedOn w:val="DefaultParagraphFont"/>
    <w:uiPriority w:val="99"/>
    <w:rsid w:val="00D96D9F"/>
    <w:rPr>
      <w:rFonts w:ascii="Times New Roman" w:hAnsi="Times New Roman"/>
      <w:sz w:val="20"/>
      <w:szCs w:val="18"/>
      <w:vertAlign w:val="superscript"/>
    </w:rPr>
  </w:style>
  <w:style w:type="paragraph" w:styleId="FootnoteText">
    <w:name w:val="footnote text"/>
    <w:aliases w:val="fo,fo1,footnote text,ft,ft1"/>
    <w:basedOn w:val="Normal"/>
    <w:link w:val="FootnoteTextChar"/>
    <w:uiPriority w:val="99"/>
    <w:rsid w:val="00880D7B"/>
    <w:pPr>
      <w:keepLines/>
    </w:pPr>
    <w:rPr>
      <w:sz w:val="20"/>
    </w:rPr>
  </w:style>
  <w:style w:type="character" w:customStyle="1" w:styleId="FootnoteTextChar">
    <w:name w:val="Footnote Text Char"/>
    <w:aliases w:val="fo Char,fo1 Char,footnote text Char,ft Char,ft1 Char"/>
    <w:basedOn w:val="DefaultParagraphFont"/>
    <w:link w:val="FootnoteText"/>
    <w:uiPriority w:val="99"/>
    <w:rsid w:val="00880D7B"/>
    <w:rPr>
      <w:rFonts w:ascii="Garamond" w:hAnsi="Garamond"/>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BF598A"/>
    <w:pPr>
      <w:spacing w:before="20" w:after="20"/>
      <w:ind w:left="908" w:hanging="346"/>
    </w:pPr>
    <w:rPr>
      <w:rFonts w:ascii="Arial" w:hAnsi="Arial" w:cs="Arial"/>
      <w:kern w:val="2"/>
      <w:sz w:val="16"/>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BF598A"/>
    <w:pPr>
      <w:keepNext/>
      <w:spacing w:before="240" w:after="60"/>
      <w:ind w:left="900" w:hanging="900"/>
    </w:pPr>
    <w:rPr>
      <w:rFonts w:ascii="Arial" w:hAnsi="Arial"/>
      <w:b/>
      <w:sz w:val="20"/>
    </w:rPr>
  </w:style>
  <w:style w:type="character" w:customStyle="1" w:styleId="TableTitleChar">
    <w:name w:val="Table Title Char"/>
    <w:basedOn w:val="DefaultParagraphFont"/>
    <w:link w:val="TableTitle"/>
    <w:rsid w:val="00BF598A"/>
    <w:rPr>
      <w:rFonts w:ascii="Arial" w:hAnsi="Arial"/>
      <w:b/>
    </w:rPr>
  </w:style>
  <w:style w:type="paragraph" w:styleId="TOC1">
    <w:name w:val="toc 1"/>
    <w:basedOn w:val="Normal"/>
    <w:next w:val="Normal"/>
    <w:uiPriority w:val="39"/>
    <w:rsid w:val="00880D7B"/>
    <w:pPr>
      <w:tabs>
        <w:tab w:val="right" w:leader="dot" w:pos="9350"/>
      </w:tabs>
      <w:ind w:left="360" w:hanging="360"/>
    </w:pPr>
    <w:rPr>
      <w:rFonts w:cs="Arial"/>
      <w:b/>
      <w:bCs/>
      <w:noProof/>
      <w:sz w:val="22"/>
    </w:rPr>
  </w:style>
  <w:style w:type="paragraph" w:styleId="TOC2">
    <w:name w:val="toc 2"/>
    <w:basedOn w:val="Normal"/>
    <w:next w:val="Normal"/>
    <w:uiPriority w:val="39"/>
    <w:rsid w:val="00880D7B"/>
    <w:pPr>
      <w:tabs>
        <w:tab w:val="right" w:leader="dot" w:pos="9350"/>
      </w:tabs>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880D7B"/>
    <w:pPr>
      <w:tabs>
        <w:tab w:val="left" w:pos="1260"/>
        <w:tab w:val="right" w:leader="dot" w:pos="9360"/>
      </w:tabs>
      <w:ind w:left="907" w:right="720" w:hanging="547"/>
    </w:pPr>
    <w:rPr>
      <w:noProof/>
      <w:color w:val="000000" w:themeColor="text1"/>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rsid w:val="00880D7B"/>
    <w:pPr>
      <w:numPr>
        <w:numId w:val="1"/>
      </w:numPr>
    </w:pPr>
    <w:rPr>
      <w:rFonts w:cs="Arial"/>
    </w:rPr>
  </w:style>
  <w:style w:type="character" w:customStyle="1" w:styleId="bulletroundChar">
    <w:name w:val="bullet round Char"/>
    <w:basedOn w:val="DefaultParagraphFont"/>
    <w:link w:val="bulletround"/>
    <w:rsid w:val="00880D7B"/>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aliases w:val="RTI NCES Table"/>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346" w:right="0" w:hanging="346" w:leftChars="0" w:rightChars="0" w:firstLineChars="0"/>
        <w:jc w:val="left"/>
      </w:pPr>
    </w:tblStylePr>
    <w:tblStylePr w:type="nwCell">
      <w:pPr>
        <w:jc w:val="left"/>
      </w:pPr>
      <w:tblPr/>
      <w:tcPr>
        <w:vAlign w:val="bottom"/>
      </w:tcPr>
    </w:tblStylePr>
  </w:style>
  <w:style w:type="paragraph" w:customStyle="1" w:styleId="Tabletext">
    <w:name w:val="Table text"/>
    <w:basedOn w:val="Normal"/>
    <w:link w:val="TabletextChar"/>
    <w:rsid w:val="00BF598A"/>
    <w:pPr>
      <w:spacing w:before="20" w:after="20"/>
      <w:ind w:left="317" w:hanging="317"/>
    </w:pPr>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semiHidden/>
    <w:rsid w:val="00160371"/>
    <w:rPr>
      <w:sz w:val="16"/>
      <w:szCs w:val="16"/>
    </w:rPr>
  </w:style>
  <w:style w:type="paragraph" w:styleId="CommentText">
    <w:name w:val="annotation text"/>
    <w:basedOn w:val="Normal"/>
    <w:link w:val="CommentTextChar"/>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link w:val="2enspsubgroup1Char"/>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uiPriority w:val="99"/>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880D7B"/>
    <w:rPr>
      <w:rFonts w:ascii="Arial" w:hAnsi="Arial"/>
      <w:noProof/>
      <w:sz w:val="15"/>
      <w:szCs w:val="18"/>
    </w:rPr>
  </w:style>
  <w:style w:type="character" w:customStyle="1" w:styleId="TablenotesChar">
    <w:name w:val="Table notes Char"/>
    <w:basedOn w:val="DefaultParagraphFont"/>
    <w:link w:val="Tablenotes"/>
    <w:rsid w:val="00880D7B"/>
    <w:rPr>
      <w:rFonts w:ascii="Arial" w:hAnsi="Arial"/>
      <w:noProof/>
      <w:sz w:val="15"/>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uiPriority w:val="39"/>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uiPriority w:val="99"/>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BF598A"/>
    <w:rPr>
      <w:rFonts w:ascii="Arial" w:hAnsi="Arial"/>
      <w:sz w:val="16"/>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rsid w:val="005C3809"/>
    <w:pPr>
      <w:keepNext/>
      <w:spacing w:before="20" w:after="20"/>
    </w:pPr>
    <w:rPr>
      <w:rFonts w:ascii="Arial" w:hAnsi="Arial"/>
      <w:sz w:val="18"/>
    </w:rPr>
  </w:style>
  <w:style w:type="paragraph" w:customStyle="1" w:styleId="Tablenumbers">
    <w:name w:val="Table numbers"/>
    <w:rsid w:val="00BF598A"/>
    <w:pPr>
      <w:keepNext/>
      <w:spacing w:before="20" w:after="20"/>
      <w:jc w:val="right"/>
    </w:pPr>
    <w:rPr>
      <w:rFonts w:ascii="Arial" w:hAnsi="Arial" w:cs="Arial"/>
      <w:snapToGrid w:val="0"/>
      <w:sz w:val="16"/>
    </w:rPr>
  </w:style>
  <w:style w:type="paragraph" w:customStyle="1" w:styleId="Indent">
    <w:name w:val="Indent"/>
    <w:basedOn w:val="BodyText"/>
    <w:qFormat/>
    <w:rsid w:val="006B3D24"/>
    <w:pPr>
      <w:ind w:left="720" w:right="684"/>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hAnsi="Times New Roman" w:eastAsiaTheme="minorHAnsi"/>
      <w:szCs w:val="24"/>
    </w:rPr>
  </w:style>
  <w:style w:type="paragraph" w:styleId="NormalWeb">
    <w:name w:val="Normal (Web)"/>
    <w:basedOn w:val="Normal"/>
    <w:uiPriority w:val="99"/>
    <w:unhideWhenUsed/>
    <w:rsid w:val="00A10FD7"/>
    <w:pPr>
      <w:spacing w:before="150" w:after="150"/>
    </w:pPr>
    <w:rPr>
      <w:rFonts w:ascii="Times New Roman" w:hAnsi="Times New Roman"/>
      <w:szCs w:val="24"/>
    </w:rPr>
  </w:style>
  <w:style w:type="character" w:customStyle="1" w:styleId="2enspsubgroup1Char">
    <w:name w:val="2 en sp (subgroup 1) Char"/>
    <w:basedOn w:val="TabletextChar"/>
    <w:link w:val="2enspsubgroup1"/>
    <w:locked/>
    <w:rsid w:val="00DE67E3"/>
    <w:rPr>
      <w:rFonts w:ascii="Arial" w:hAnsi="Arial"/>
      <w:kern w:val="2"/>
      <w:sz w:val="18"/>
    </w:rPr>
  </w:style>
  <w:style w:type="character" w:styleId="FollowedHyperlink">
    <w:name w:val="FollowedHyperlink"/>
    <w:basedOn w:val="DefaultParagraphFont"/>
    <w:semiHidden/>
    <w:unhideWhenUsed/>
    <w:rsid w:val="00BA661B"/>
    <w:rPr>
      <w:color w:val="800080" w:themeColor="followedHyperlink"/>
      <w:u w:val="single"/>
    </w:rPr>
  </w:style>
  <w:style w:type="paragraph" w:styleId="TableofFigures">
    <w:name w:val="table of figures"/>
    <w:basedOn w:val="Normal"/>
    <w:next w:val="Normal"/>
    <w:uiPriority w:val="99"/>
    <w:unhideWhenUsed/>
    <w:rsid w:val="00317B34"/>
    <w:pPr>
      <w:tabs>
        <w:tab w:val="right" w:leader="dot" w:pos="9360"/>
      </w:tabs>
    </w:pPr>
  </w:style>
  <w:style w:type="paragraph" w:customStyle="1" w:styleId="ListBullet22">
    <w:name w:val="List Bullet 22"/>
    <w:basedOn w:val="ListBullet"/>
    <w:rsid w:val="00525AE9"/>
    <w:pPr>
      <w:tabs>
        <w:tab w:val="num" w:pos="720"/>
        <w:tab w:val="num" w:pos="1080"/>
      </w:tabs>
      <w:spacing w:before="120"/>
      <w:ind w:left="1080" w:hanging="360"/>
    </w:pPr>
    <w:rPr>
      <w:rFonts w:ascii="Times New Roman" w:hAnsi="Times New Roman"/>
    </w:rPr>
  </w:style>
  <w:style w:type="character" w:customStyle="1" w:styleId="UnresolvedMention1">
    <w:name w:val="Unresolved Mention1"/>
    <w:basedOn w:val="DefaultParagraphFont"/>
    <w:uiPriority w:val="99"/>
    <w:semiHidden/>
    <w:unhideWhenUsed/>
    <w:rsid w:val="00CB4C86"/>
    <w:rPr>
      <w:color w:val="605E5C"/>
      <w:shd w:val="clear" w:color="auto" w:fill="E1DFDD"/>
    </w:rPr>
  </w:style>
  <w:style w:type="character" w:styleId="UnresolvedMention">
    <w:name w:val="Unresolved Mention"/>
    <w:basedOn w:val="DefaultParagraphFont"/>
    <w:uiPriority w:val="99"/>
    <w:unhideWhenUsed/>
    <w:rsid w:val="00675E3D"/>
    <w:rPr>
      <w:color w:val="605E5C"/>
      <w:shd w:val="clear" w:color="auto" w:fill="E1DFDD"/>
    </w:rPr>
  </w:style>
  <w:style w:type="character" w:styleId="Mention">
    <w:name w:val="Mention"/>
    <w:basedOn w:val="DefaultParagraphFont"/>
    <w:uiPriority w:val="99"/>
    <w:unhideWhenUsed/>
    <w:rsid w:val="00675E3D"/>
    <w:rPr>
      <w:color w:val="2B579A"/>
      <w:shd w:val="clear" w:color="auto" w:fill="E1DFDD"/>
    </w:rPr>
  </w:style>
  <w:style w:type="paragraph" w:customStyle="1" w:styleId="xmsonormal">
    <w:name w:val="x_msonormal"/>
    <w:basedOn w:val="Normal"/>
    <w:rsid w:val="00F61C2E"/>
    <w:rPr>
      <w:rFonts w:ascii="Calibri" w:hAnsi="Calibri" w:eastAsiaTheme="minorHAnsi" w:cs="Calibri"/>
      <w:sz w:val="22"/>
      <w:szCs w:val="22"/>
    </w:rPr>
  </w:style>
  <w:style w:type="character" w:customStyle="1" w:styleId="Heading3Char">
    <w:name w:val="Heading 3 Char"/>
    <w:basedOn w:val="DefaultParagraphFont"/>
    <w:link w:val="Heading3"/>
    <w:rsid w:val="00467630"/>
    <w:rPr>
      <w:rFonts w:ascii="Arial" w:hAnsi="Arial" w:cs="Arial"/>
      <w:b/>
      <w:bCs/>
      <w:sz w:val="24"/>
      <w:szCs w:val="24"/>
    </w:rPr>
  </w:style>
  <w:style w:type="paragraph" w:customStyle="1" w:styleId="Source-8pt">
    <w:name w:val="Source - 8pt"/>
    <w:basedOn w:val="Normal"/>
    <w:qFormat/>
    <w:rsid w:val="006B60A4"/>
    <w:rPr>
      <w:rFonts w:ascii="Arial" w:hAnsi="Arial"/>
      <w:sz w:val="16"/>
      <w:szCs w:val="16"/>
    </w:rPr>
  </w:style>
  <w:style w:type="paragraph" w:customStyle="1" w:styleId="Style3">
    <w:name w:val="Style3"/>
    <w:basedOn w:val="TableTitle"/>
    <w:link w:val="Style3Char"/>
    <w:qFormat/>
    <w:rsid w:val="00080A30"/>
  </w:style>
  <w:style w:type="character" w:customStyle="1" w:styleId="Style3Char">
    <w:name w:val="Style3 Char"/>
    <w:basedOn w:val="TableTitleChar"/>
    <w:link w:val="Style3"/>
    <w:rsid w:val="00080A30"/>
    <w:rPr>
      <w:rFonts w:ascii="Arial" w:hAnsi="Arial"/>
      <w:b/>
    </w:rPr>
  </w:style>
  <w:style w:type="character" w:customStyle="1" w:styleId="eop">
    <w:name w:val="eop"/>
    <w:basedOn w:val="DefaultParagraphFont"/>
    <w:rsid w:val="000058D7"/>
  </w:style>
  <w:style w:type="character" w:customStyle="1" w:styleId="normaltextrun">
    <w:name w:val="normaltextrun"/>
    <w:basedOn w:val="DefaultParagraphFont"/>
    <w:rsid w:val="00893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yperlink" Target="https://nces.ed.gov/pubsearch/" TargetMode="External" /><Relationship Id="rId13" Type="http://schemas.openxmlformats.org/officeDocument/2006/relationships/hyperlink" Target="https://www.treasury.gov/resource-center/sanctions/Pages/default.aspx" TargetMode="External" /><Relationship Id="rId14" Type="http://schemas.openxmlformats.org/officeDocument/2006/relationships/hyperlink" Target="https://nces.ed.gov/statprog/2012/" TargetMode="Externa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news.release/pdf/wkyeng.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B0AD883131EE49AF27A09972337913" ma:contentTypeVersion="15" ma:contentTypeDescription="Create a new document." ma:contentTypeScope="" ma:versionID="da760e022f4f2dbfb923d13536fad8b8">
  <xsd:schema xmlns:xsd="http://www.w3.org/2001/XMLSchema" xmlns:xs="http://www.w3.org/2001/XMLSchema" xmlns:p="http://schemas.microsoft.com/office/2006/metadata/properties" xmlns:ns2="1413d4ec-8256-4a0e-82b8-9e2b30677e22" xmlns:ns3="bd2e9aa4-c346-48ab-81c1-848be64abc92" targetNamespace="http://schemas.microsoft.com/office/2006/metadata/properties" ma:root="true" ma:fieldsID="740a8c8747a4a5b6ede4f2bc31d38db5" ns2:_="" ns3:_="">
    <xsd:import namespace="1413d4ec-8256-4a0e-82b8-9e2b30677e22"/>
    <xsd:import namespace="bd2e9aa4-c346-48ab-81c1-848be64ab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3d4ec-8256-4a0e-82b8-9e2b30677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e9aa4-c346-48ab-81c1-848be64abc9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c77ec1c-7b8b-453c-a4ea-330681a0b651}" ma:internalName="TaxCatchAll" ma:showField="CatchAllData" ma:web="bd2e9aa4-c346-48ab-81c1-848be64ab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13d4ec-8256-4a0e-82b8-9e2b30677e22">
      <Terms xmlns="http://schemas.microsoft.com/office/infopath/2007/PartnerControls"/>
    </lcf76f155ced4ddcb4097134ff3c332f>
    <TaxCatchAll xmlns="bd2e9aa4-c346-48ab-81c1-848be64abc9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0D4580-03F7-4710-B78B-A3186BBEB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3d4ec-8256-4a0e-82b8-9e2b30677e22"/>
    <ds:schemaRef ds:uri="bd2e9aa4-c346-48ab-81c1-848be64ab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441C62-FA63-485A-8A54-F4924D84C441}">
  <ds:schemaRefs>
    <ds:schemaRef ds:uri="http://schemas.openxmlformats.org/officeDocument/2006/bibliography"/>
  </ds:schemaRefs>
</ds:datastoreItem>
</file>

<file path=customXml/itemProps3.xml><?xml version="1.0" encoding="utf-8"?>
<ds:datastoreItem xmlns:ds="http://schemas.openxmlformats.org/officeDocument/2006/customXml" ds:itemID="{ED86FA7D-F7DA-4378-99C5-603E5754AAB1}">
  <ds:schemaRefs>
    <ds:schemaRef ds:uri="http://schemas.microsoft.com/office/2006/metadata/properties"/>
    <ds:schemaRef ds:uri="http://schemas.microsoft.com/office/infopath/2007/PartnerControls"/>
    <ds:schemaRef ds:uri="1413d4ec-8256-4a0e-82b8-9e2b30677e22"/>
    <ds:schemaRef ds:uri="bd2e9aa4-c346-48ab-81c1-848be64abc92"/>
  </ds:schemaRefs>
</ds:datastoreItem>
</file>

<file path=customXml/itemProps4.xml><?xml version="1.0" encoding="utf-8"?>
<ds:datastoreItem xmlns:ds="http://schemas.openxmlformats.org/officeDocument/2006/customXml" ds:itemID="{B4B93BBA-B627-4A3B-8697-75A9765424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8109</Words>
  <Characters>46227</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2024-08-27T14:01:00Z</dcterms:created>
  <dcterms:modified xsi:type="dcterms:W3CDTF">2024-10-24T19:32:00Z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0x01010052B0AD883131EE49AF27A09972337913</vt:lpwstr>
  </property>
  <property fmtid="{D5CDD505-2E9C-101B-9397-08002B2CF9AE}" pid="3" name="MediaServiceImageTags">
    <vt:lpwstr/>
  </property>
  <property fmtid="{D5CDD505-2E9C-101B-9397-08002B2CF9AE}" pid="4" name="_NewReviewCycle">
    <vt:lpwstr/>
  </property>
</Properties>
</file>