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516E7C" w:rsidP="00516E7C" w14:paraId="09F86040" w14:textId="77777777">
      <w:pPr>
        <w:pStyle w:val="Cov-Title"/>
        <w:spacing w:before="1080"/>
        <w:rPr>
          <w:sz w:val="32"/>
          <w:szCs w:val="32"/>
        </w:rPr>
      </w:pPr>
      <w:bookmarkStart w:id="0" w:name="_Toc62613679"/>
      <w:bookmarkStart w:id="1" w:name="_Toc62614425"/>
      <w:bookmarkStart w:id="2" w:name="_Toc62630085"/>
      <w:bookmarkStart w:id="3" w:name="_Toc94419923"/>
      <w:bookmarkStart w:id="4" w:name="_Toc268593743"/>
      <w:r w:rsidRPr="00467437">
        <w:t>2020/2</w:t>
      </w:r>
      <w:r>
        <w:t>5</w:t>
      </w:r>
      <w:r w:rsidRPr="00467437">
        <w:t xml:space="preserve"> Beginning Postsecondary Students (BPS:20/2</w:t>
      </w:r>
      <w:r>
        <w:t>5</w:t>
      </w:r>
      <w:r w:rsidRPr="00467437">
        <w:t xml:space="preserve">) </w:t>
      </w:r>
      <w:r>
        <w:t>Full-Scale Study</w:t>
      </w:r>
    </w:p>
    <w:p w:rsidR="00516E7C" w:rsidP="00516E7C" w14:paraId="189135F8" w14:textId="2050F1A1">
      <w:pPr>
        <w:pStyle w:val="Cov-Subtitle"/>
        <w:spacing w:before="480"/>
        <w:rPr>
          <w:szCs w:val="32"/>
        </w:rPr>
      </w:pPr>
      <w:r w:rsidRPr="00B75F1D">
        <w:rPr>
          <w:szCs w:val="32"/>
        </w:rPr>
        <w:t xml:space="preserve">Supporting Statement Part </w:t>
      </w:r>
      <w:r>
        <w:rPr>
          <w:szCs w:val="32"/>
        </w:rPr>
        <w:t>B</w:t>
      </w:r>
    </w:p>
    <w:p w:rsidR="00516E7C" w:rsidP="00516E7C" w14:paraId="15D01FD9" w14:textId="6C881B28">
      <w:pPr>
        <w:pStyle w:val="Cov-Subtitle"/>
        <w:spacing w:before="480"/>
      </w:pPr>
      <w:r>
        <w:t>OM</w:t>
      </w:r>
      <w:r w:rsidR="594657D5">
        <w:t>B</w:t>
      </w:r>
      <w:r>
        <w:t xml:space="preserve"> # 1850-</w:t>
      </w:r>
      <w:r w:rsidRPr="00245F10">
        <w:t>0631 v.</w:t>
      </w:r>
      <w:r w:rsidRPr="00245F10" w:rsidR="00245F10">
        <w:t>21</w:t>
      </w:r>
    </w:p>
    <w:p w:rsidR="000A086D" w:rsidRPr="008859AF" w:rsidP="000A086D" w14:paraId="713BD27B" w14:textId="77777777">
      <w:pPr>
        <w:pStyle w:val="Cov-Address"/>
        <w:spacing w:before="3240"/>
        <w:rPr>
          <w:b/>
        </w:rPr>
      </w:pPr>
      <w:r w:rsidRPr="008859AF">
        <w:rPr>
          <w:b/>
        </w:rPr>
        <w:t>Submitted by</w:t>
      </w:r>
    </w:p>
    <w:p w:rsidR="000A086D" w:rsidRPr="008859AF" w:rsidP="000A086D" w14:paraId="1F06AB54" w14:textId="77777777">
      <w:pPr>
        <w:pStyle w:val="Cov-Address"/>
        <w:rPr>
          <w:b/>
        </w:rPr>
      </w:pPr>
      <w:r w:rsidRPr="008859AF">
        <w:rPr>
          <w:b/>
        </w:rPr>
        <w:t>National Center for Education Statistics</w:t>
      </w:r>
    </w:p>
    <w:p w:rsidR="000A086D" w:rsidRPr="008859AF" w:rsidP="000A086D" w14:paraId="5DE7658B" w14:textId="77777777">
      <w:pPr>
        <w:pStyle w:val="Cov-Address"/>
        <w:rPr>
          <w:b/>
          <w:bCs/>
        </w:rPr>
      </w:pPr>
      <w:r w:rsidRPr="008859AF">
        <w:rPr>
          <w:b/>
        </w:rPr>
        <w:t>U.S. Department of Education</w:t>
      </w:r>
    </w:p>
    <w:p w:rsidR="000A086D" w:rsidRPr="008859AF" w:rsidP="00200742" w14:paraId="112F6FE6" w14:textId="05FFD989">
      <w:pPr>
        <w:pStyle w:val="Cov-Address"/>
        <w:spacing w:before="2640"/>
        <w:rPr>
          <w:b/>
          <w:bCs/>
        </w:rPr>
      </w:pPr>
      <w:r>
        <w:rPr>
          <w:b/>
          <w:bCs/>
        </w:rPr>
        <w:t>October</w:t>
      </w:r>
      <w:r w:rsidRPr="00245F10" w:rsidR="00B81EDD">
        <w:rPr>
          <w:b/>
          <w:bCs/>
        </w:rPr>
        <w:t xml:space="preserve"> </w:t>
      </w:r>
      <w:r w:rsidRPr="00245F10" w:rsidR="00D441E9">
        <w:rPr>
          <w:b/>
          <w:bCs/>
        </w:rPr>
        <w:t>202</w:t>
      </w:r>
      <w:r w:rsidRPr="00245F10" w:rsidR="00516E7C">
        <w:rPr>
          <w:b/>
          <w:bCs/>
        </w:rPr>
        <w:t>4</w:t>
      </w:r>
    </w:p>
    <w:bookmarkEnd w:id="0"/>
    <w:bookmarkEnd w:id="1"/>
    <w:bookmarkEnd w:id="2"/>
    <w:bookmarkEnd w:id="3"/>
    <w:p w:rsidR="000A086D" w:rsidRPr="008859AF" w:rsidP="000A086D" w14:paraId="63E47B55" w14:textId="77777777"/>
    <w:p w:rsidR="007A433A" w:rsidRPr="008859AF" w:rsidP="000D6535" w14:paraId="5EC1174C" w14:textId="7E2398EC"/>
    <w:p w:rsidR="00A56C4F" w:rsidRPr="008859AF" w14:paraId="59A8AA6E" w14:textId="77777777">
      <w:pPr>
        <w:rPr>
          <w:rFonts w:ascii="Arial" w:hAnsi="Arial" w:cs="Arial"/>
          <w:b/>
          <w:sz w:val="32"/>
        </w:rPr>
      </w:pPr>
      <w:r w:rsidRPr="008859AF">
        <w:br w:type="page"/>
      </w:r>
    </w:p>
    <w:sdt>
      <w:sdtPr>
        <w:rPr>
          <w:rFonts w:ascii="Garamond" w:hAnsi="Garamond" w:cs="Times New Roman"/>
          <w:b w:val="0"/>
          <w:bCs/>
          <w:noProof/>
          <w:color w:val="2B579A"/>
          <w:sz w:val="24"/>
          <w:szCs w:val="24"/>
          <w:shd w:val="clear" w:color="auto" w:fill="E6E6E6"/>
        </w:rPr>
        <w:id w:val="-1662685887"/>
        <w:docPartObj>
          <w:docPartGallery w:val="Table of Contents"/>
          <w:docPartUnique/>
        </w:docPartObj>
      </w:sdtPr>
      <w:sdtEndPr>
        <w:rPr>
          <w:color w:val="auto"/>
          <w:sz w:val="22"/>
          <w:szCs w:val="22"/>
        </w:rPr>
      </w:sdtEndPr>
      <w:sdtContent>
        <w:p w:rsidR="00861FE0" w:rsidRPr="008859AF" w:rsidP="00140399" w14:paraId="0000CC5E" w14:textId="77777777">
          <w:pPr>
            <w:pStyle w:val="TOCHeading"/>
            <w:spacing w:after="120"/>
            <w:rPr>
              <w:rFonts w:ascii="Garamond" w:hAnsi="Garamond" w:cs="Times New Roman"/>
              <w:b w:val="0"/>
              <w:bCs/>
              <w:noProof/>
              <w:sz w:val="24"/>
            </w:rPr>
          </w:pPr>
        </w:p>
        <w:p w:rsidR="008D7E61" w:rsidRPr="008859AF" w:rsidP="00140399" w14:paraId="08D99BAB" w14:textId="39ACD644">
          <w:pPr>
            <w:pStyle w:val="TOCHeading"/>
            <w:spacing w:after="120"/>
          </w:pPr>
          <w:r w:rsidRPr="008859AF">
            <w:t>Contents</w:t>
          </w:r>
        </w:p>
        <w:p w:rsidR="000D1BC6" w14:paraId="23569CDB" w14:textId="03BDCDA0">
          <w:pPr>
            <w:pStyle w:val="TOC1"/>
            <w:rPr>
              <w:rFonts w:asciiTheme="minorHAnsi" w:eastAsiaTheme="minorEastAsia" w:hAnsiTheme="minorHAnsi" w:cstheme="minorBidi"/>
              <w:b w:val="0"/>
              <w:bCs w:val="0"/>
              <w:kern w:val="2"/>
              <w:sz w:val="22"/>
              <w:szCs w:val="22"/>
              <w14:ligatures w14:val="standardContextual"/>
            </w:rPr>
          </w:pPr>
          <w:r w:rsidRPr="008859AF">
            <w:rPr>
              <w:szCs w:val="24"/>
              <w:shd w:val="clear" w:color="auto" w:fill="E6E6E6"/>
            </w:rPr>
            <w:fldChar w:fldCharType="begin"/>
          </w:r>
          <w:r w:rsidRPr="008859AF">
            <w:rPr>
              <w:szCs w:val="24"/>
            </w:rPr>
            <w:instrText xml:space="preserve"> TOC \o "1-3" \h \z \u </w:instrText>
          </w:r>
          <w:r w:rsidRPr="008859AF">
            <w:rPr>
              <w:szCs w:val="24"/>
              <w:shd w:val="clear" w:color="auto" w:fill="E6E6E6"/>
            </w:rPr>
            <w:fldChar w:fldCharType="separate"/>
          </w:r>
          <w:hyperlink w:anchor="_Toc174598843" w:history="1">
            <w:r w:rsidRPr="005E65C2">
              <w:rPr>
                <w:rStyle w:val="Hyperlink"/>
              </w:rPr>
              <w:t>B.</w:t>
            </w:r>
            <w:r>
              <w:rPr>
                <w:rFonts w:asciiTheme="minorHAnsi" w:eastAsiaTheme="minorEastAsia" w:hAnsiTheme="minorHAnsi" w:cstheme="minorBidi"/>
                <w:b w:val="0"/>
                <w:bCs w:val="0"/>
                <w:kern w:val="2"/>
                <w:sz w:val="22"/>
                <w:szCs w:val="22"/>
                <w14:ligatures w14:val="standardContextual"/>
              </w:rPr>
              <w:tab/>
            </w:r>
            <w:r w:rsidRPr="005E65C2">
              <w:rPr>
                <w:rStyle w:val="Hyperlink"/>
              </w:rPr>
              <w:t>Collection of Information Employing Statistical Methods</w:t>
            </w:r>
            <w:r>
              <w:rPr>
                <w:webHidden/>
              </w:rPr>
              <w:tab/>
            </w:r>
            <w:r>
              <w:rPr>
                <w:webHidden/>
              </w:rPr>
              <w:fldChar w:fldCharType="begin"/>
            </w:r>
            <w:r>
              <w:rPr>
                <w:webHidden/>
              </w:rPr>
              <w:instrText xml:space="preserve"> PAGEREF _Toc174598843 \h </w:instrText>
            </w:r>
            <w:r>
              <w:rPr>
                <w:webHidden/>
              </w:rPr>
              <w:fldChar w:fldCharType="separate"/>
            </w:r>
            <w:r w:rsidR="00173277">
              <w:rPr>
                <w:webHidden/>
              </w:rPr>
              <w:t>3</w:t>
            </w:r>
            <w:r>
              <w:rPr>
                <w:webHidden/>
              </w:rPr>
              <w:fldChar w:fldCharType="end"/>
            </w:r>
          </w:hyperlink>
        </w:p>
        <w:p w:rsidR="000D1BC6" w14:paraId="4CCC35D4" w14:textId="3040EA87">
          <w:pPr>
            <w:pStyle w:val="TOC2"/>
            <w:rPr>
              <w:rFonts w:asciiTheme="minorHAnsi" w:eastAsiaTheme="minorEastAsia" w:hAnsiTheme="minorHAnsi" w:cstheme="minorBidi"/>
              <w:bCs w:val="0"/>
              <w:kern w:val="2"/>
              <w:szCs w:val="22"/>
              <w14:ligatures w14:val="standardContextual"/>
            </w:rPr>
          </w:pPr>
          <w:hyperlink w:anchor="_Toc174598844" w:history="1">
            <w:r w:rsidRPr="005E65C2">
              <w:rPr>
                <w:rStyle w:val="Hyperlink"/>
              </w:rPr>
              <w:t>1.</w:t>
            </w:r>
            <w:r>
              <w:rPr>
                <w:rFonts w:asciiTheme="minorHAnsi" w:eastAsiaTheme="minorEastAsia" w:hAnsiTheme="minorHAnsi" w:cstheme="minorBidi"/>
                <w:bCs w:val="0"/>
                <w:kern w:val="2"/>
                <w:szCs w:val="22"/>
                <w14:ligatures w14:val="standardContextual"/>
              </w:rPr>
              <w:tab/>
            </w:r>
            <w:r w:rsidRPr="005E65C2">
              <w:rPr>
                <w:rStyle w:val="Hyperlink"/>
              </w:rPr>
              <w:t>Respondent Universe</w:t>
            </w:r>
            <w:r>
              <w:rPr>
                <w:webHidden/>
              </w:rPr>
              <w:tab/>
            </w:r>
            <w:r>
              <w:rPr>
                <w:webHidden/>
              </w:rPr>
              <w:fldChar w:fldCharType="begin"/>
            </w:r>
            <w:r>
              <w:rPr>
                <w:webHidden/>
              </w:rPr>
              <w:instrText xml:space="preserve"> PAGEREF _Toc174598844 \h </w:instrText>
            </w:r>
            <w:r>
              <w:rPr>
                <w:webHidden/>
              </w:rPr>
              <w:fldChar w:fldCharType="separate"/>
            </w:r>
            <w:r w:rsidR="00173277">
              <w:rPr>
                <w:webHidden/>
              </w:rPr>
              <w:t>3</w:t>
            </w:r>
            <w:r>
              <w:rPr>
                <w:webHidden/>
              </w:rPr>
              <w:fldChar w:fldCharType="end"/>
            </w:r>
          </w:hyperlink>
        </w:p>
        <w:p w:rsidR="000D1BC6" w14:paraId="5139EFAA" w14:textId="34BB0608">
          <w:pPr>
            <w:pStyle w:val="TOC2"/>
            <w:rPr>
              <w:rFonts w:asciiTheme="minorHAnsi" w:eastAsiaTheme="minorEastAsia" w:hAnsiTheme="minorHAnsi" w:cstheme="minorBidi"/>
              <w:bCs w:val="0"/>
              <w:kern w:val="2"/>
              <w:szCs w:val="22"/>
              <w14:ligatures w14:val="standardContextual"/>
            </w:rPr>
          </w:pPr>
          <w:hyperlink w:anchor="_Toc174598845" w:history="1">
            <w:r w:rsidRPr="005E65C2">
              <w:rPr>
                <w:rStyle w:val="Hyperlink"/>
              </w:rPr>
              <w:t>2.</w:t>
            </w:r>
            <w:r>
              <w:rPr>
                <w:rFonts w:asciiTheme="minorHAnsi" w:eastAsiaTheme="minorEastAsia" w:hAnsiTheme="minorHAnsi" w:cstheme="minorBidi"/>
                <w:bCs w:val="0"/>
                <w:kern w:val="2"/>
                <w:szCs w:val="22"/>
                <w14:ligatures w14:val="standardContextual"/>
              </w:rPr>
              <w:tab/>
            </w:r>
            <w:r w:rsidRPr="005E65C2">
              <w:rPr>
                <w:rStyle w:val="Hyperlink"/>
              </w:rPr>
              <w:t>Statistical Methodology</w:t>
            </w:r>
            <w:r>
              <w:rPr>
                <w:webHidden/>
              </w:rPr>
              <w:tab/>
            </w:r>
            <w:r>
              <w:rPr>
                <w:webHidden/>
              </w:rPr>
              <w:fldChar w:fldCharType="begin"/>
            </w:r>
            <w:r>
              <w:rPr>
                <w:webHidden/>
              </w:rPr>
              <w:instrText xml:space="preserve"> PAGEREF _Toc174598845 \h </w:instrText>
            </w:r>
            <w:r>
              <w:rPr>
                <w:webHidden/>
              </w:rPr>
              <w:fldChar w:fldCharType="separate"/>
            </w:r>
            <w:r w:rsidR="00173277">
              <w:rPr>
                <w:webHidden/>
              </w:rPr>
              <w:t>3</w:t>
            </w:r>
            <w:r>
              <w:rPr>
                <w:webHidden/>
              </w:rPr>
              <w:fldChar w:fldCharType="end"/>
            </w:r>
          </w:hyperlink>
        </w:p>
        <w:p w:rsidR="000D1BC6" w14:paraId="36AC2AF2" w14:textId="4D9F0064">
          <w:pPr>
            <w:pStyle w:val="TOC3"/>
            <w:rPr>
              <w:rFonts w:asciiTheme="minorHAnsi" w:eastAsiaTheme="minorEastAsia" w:hAnsiTheme="minorHAnsi" w:cstheme="minorBidi"/>
              <w:kern w:val="2"/>
              <w:szCs w:val="22"/>
              <w14:ligatures w14:val="standardContextual"/>
            </w:rPr>
          </w:pPr>
          <w:hyperlink w:anchor="_Toc174598846" w:history="1">
            <w:r w:rsidRPr="005E65C2">
              <w:rPr>
                <w:rStyle w:val="Hyperlink"/>
              </w:rPr>
              <w:t>a.</w:t>
            </w:r>
            <w:r>
              <w:rPr>
                <w:rFonts w:asciiTheme="minorHAnsi" w:eastAsiaTheme="minorEastAsia" w:hAnsiTheme="minorHAnsi" w:cstheme="minorBidi"/>
                <w:kern w:val="2"/>
                <w:szCs w:val="22"/>
                <w14:ligatures w14:val="standardContextual"/>
              </w:rPr>
              <w:tab/>
            </w:r>
            <w:r w:rsidRPr="005E65C2">
              <w:rPr>
                <w:rStyle w:val="Hyperlink"/>
              </w:rPr>
              <w:t>BPS:20/25 Full-scale Sample</w:t>
            </w:r>
            <w:r>
              <w:rPr>
                <w:webHidden/>
              </w:rPr>
              <w:tab/>
            </w:r>
            <w:r>
              <w:rPr>
                <w:webHidden/>
              </w:rPr>
              <w:fldChar w:fldCharType="begin"/>
            </w:r>
            <w:r>
              <w:rPr>
                <w:webHidden/>
              </w:rPr>
              <w:instrText xml:space="preserve"> PAGEREF _Toc174598846 \h </w:instrText>
            </w:r>
            <w:r>
              <w:rPr>
                <w:webHidden/>
              </w:rPr>
              <w:fldChar w:fldCharType="separate"/>
            </w:r>
            <w:r w:rsidR="00173277">
              <w:rPr>
                <w:webHidden/>
              </w:rPr>
              <w:t>3</w:t>
            </w:r>
            <w:r>
              <w:rPr>
                <w:webHidden/>
              </w:rPr>
              <w:fldChar w:fldCharType="end"/>
            </w:r>
          </w:hyperlink>
        </w:p>
        <w:p w:rsidR="000D1BC6" w14:paraId="05F845C2" w14:textId="1DAE4367">
          <w:pPr>
            <w:pStyle w:val="TOC2"/>
            <w:rPr>
              <w:rFonts w:asciiTheme="minorHAnsi" w:eastAsiaTheme="minorEastAsia" w:hAnsiTheme="minorHAnsi" w:cstheme="minorBidi"/>
              <w:bCs w:val="0"/>
              <w:kern w:val="2"/>
              <w:szCs w:val="22"/>
              <w14:ligatures w14:val="standardContextual"/>
            </w:rPr>
          </w:pPr>
          <w:hyperlink w:anchor="_Toc174598847" w:history="1">
            <w:r w:rsidRPr="005E65C2">
              <w:rPr>
                <w:rStyle w:val="Hyperlink"/>
              </w:rPr>
              <w:t>3.</w:t>
            </w:r>
            <w:r>
              <w:rPr>
                <w:rFonts w:asciiTheme="minorHAnsi" w:eastAsiaTheme="minorEastAsia" w:hAnsiTheme="minorHAnsi" w:cstheme="minorBidi"/>
                <w:bCs w:val="0"/>
                <w:kern w:val="2"/>
                <w:szCs w:val="22"/>
                <w14:ligatures w14:val="standardContextual"/>
              </w:rPr>
              <w:tab/>
            </w:r>
            <w:r w:rsidRPr="005E65C2">
              <w:rPr>
                <w:rStyle w:val="Hyperlink"/>
              </w:rPr>
              <w:t>Methods for Maximizing Response Rates</w:t>
            </w:r>
            <w:r>
              <w:rPr>
                <w:webHidden/>
              </w:rPr>
              <w:tab/>
            </w:r>
            <w:r>
              <w:rPr>
                <w:webHidden/>
              </w:rPr>
              <w:fldChar w:fldCharType="begin"/>
            </w:r>
            <w:r>
              <w:rPr>
                <w:webHidden/>
              </w:rPr>
              <w:instrText xml:space="preserve"> PAGEREF _Toc174598847 \h </w:instrText>
            </w:r>
            <w:r>
              <w:rPr>
                <w:webHidden/>
              </w:rPr>
              <w:fldChar w:fldCharType="separate"/>
            </w:r>
            <w:r w:rsidR="00173277">
              <w:rPr>
                <w:webHidden/>
              </w:rPr>
              <w:t>4</w:t>
            </w:r>
            <w:r>
              <w:rPr>
                <w:webHidden/>
              </w:rPr>
              <w:fldChar w:fldCharType="end"/>
            </w:r>
          </w:hyperlink>
        </w:p>
        <w:p w:rsidR="000D1BC6" w14:paraId="2098CDAA" w14:textId="760802B1">
          <w:pPr>
            <w:pStyle w:val="TOC3"/>
            <w:rPr>
              <w:rFonts w:asciiTheme="minorHAnsi" w:eastAsiaTheme="minorEastAsia" w:hAnsiTheme="minorHAnsi" w:cstheme="minorBidi"/>
              <w:kern w:val="2"/>
              <w:szCs w:val="22"/>
              <w14:ligatures w14:val="standardContextual"/>
            </w:rPr>
          </w:pPr>
          <w:hyperlink w:anchor="_Toc174598848" w:history="1">
            <w:r w:rsidRPr="005E65C2">
              <w:rPr>
                <w:rStyle w:val="Hyperlink"/>
              </w:rPr>
              <w:t>a.</w:t>
            </w:r>
            <w:r>
              <w:rPr>
                <w:rFonts w:asciiTheme="minorHAnsi" w:eastAsiaTheme="minorEastAsia" w:hAnsiTheme="minorHAnsi" w:cstheme="minorBidi"/>
                <w:kern w:val="2"/>
                <w:szCs w:val="22"/>
                <w14:ligatures w14:val="standardContextual"/>
              </w:rPr>
              <w:tab/>
            </w:r>
            <w:r w:rsidRPr="005E65C2">
              <w:rPr>
                <w:rStyle w:val="Hyperlink"/>
              </w:rPr>
              <w:t>Tracing of Sample Members</w:t>
            </w:r>
            <w:r>
              <w:rPr>
                <w:webHidden/>
              </w:rPr>
              <w:tab/>
            </w:r>
            <w:r>
              <w:rPr>
                <w:webHidden/>
              </w:rPr>
              <w:fldChar w:fldCharType="begin"/>
            </w:r>
            <w:r>
              <w:rPr>
                <w:webHidden/>
              </w:rPr>
              <w:instrText xml:space="preserve"> PAGEREF _Toc174598848 \h </w:instrText>
            </w:r>
            <w:r>
              <w:rPr>
                <w:webHidden/>
              </w:rPr>
              <w:fldChar w:fldCharType="separate"/>
            </w:r>
            <w:r w:rsidR="00173277">
              <w:rPr>
                <w:webHidden/>
              </w:rPr>
              <w:t>4</w:t>
            </w:r>
            <w:r>
              <w:rPr>
                <w:webHidden/>
              </w:rPr>
              <w:fldChar w:fldCharType="end"/>
            </w:r>
          </w:hyperlink>
        </w:p>
        <w:p w:rsidR="000D1BC6" w14:paraId="2116B05A" w14:textId="586AD3E3">
          <w:pPr>
            <w:pStyle w:val="TOC3"/>
            <w:rPr>
              <w:rFonts w:asciiTheme="minorHAnsi" w:eastAsiaTheme="minorEastAsia" w:hAnsiTheme="minorHAnsi" w:cstheme="minorBidi"/>
              <w:kern w:val="2"/>
              <w:szCs w:val="22"/>
              <w14:ligatures w14:val="standardContextual"/>
            </w:rPr>
          </w:pPr>
          <w:hyperlink w:anchor="_Toc174598849" w:history="1">
            <w:r w:rsidRPr="005E65C2">
              <w:rPr>
                <w:rStyle w:val="Hyperlink"/>
              </w:rPr>
              <w:t>b.</w:t>
            </w:r>
            <w:r>
              <w:rPr>
                <w:rFonts w:asciiTheme="minorHAnsi" w:eastAsiaTheme="minorEastAsia" w:hAnsiTheme="minorHAnsi" w:cstheme="minorBidi"/>
                <w:kern w:val="2"/>
                <w:szCs w:val="22"/>
                <w14:ligatures w14:val="standardContextual"/>
              </w:rPr>
              <w:tab/>
            </w:r>
            <w:r w:rsidRPr="005E65C2">
              <w:rPr>
                <w:rStyle w:val="Hyperlink"/>
              </w:rPr>
              <w:t>Training for Data Collection Staff</w:t>
            </w:r>
            <w:r>
              <w:rPr>
                <w:webHidden/>
              </w:rPr>
              <w:tab/>
            </w:r>
            <w:r>
              <w:rPr>
                <w:webHidden/>
              </w:rPr>
              <w:fldChar w:fldCharType="begin"/>
            </w:r>
            <w:r>
              <w:rPr>
                <w:webHidden/>
              </w:rPr>
              <w:instrText xml:space="preserve"> PAGEREF _Toc174598849 \h </w:instrText>
            </w:r>
            <w:r>
              <w:rPr>
                <w:webHidden/>
              </w:rPr>
              <w:fldChar w:fldCharType="separate"/>
            </w:r>
            <w:r w:rsidR="00173277">
              <w:rPr>
                <w:webHidden/>
              </w:rPr>
              <w:t>5</w:t>
            </w:r>
            <w:r>
              <w:rPr>
                <w:webHidden/>
              </w:rPr>
              <w:fldChar w:fldCharType="end"/>
            </w:r>
          </w:hyperlink>
        </w:p>
        <w:p w:rsidR="000D1BC6" w14:paraId="7E782C02" w14:textId="253CD8D6">
          <w:pPr>
            <w:pStyle w:val="TOC3"/>
            <w:rPr>
              <w:rFonts w:asciiTheme="minorHAnsi" w:eastAsiaTheme="minorEastAsia" w:hAnsiTheme="minorHAnsi" w:cstheme="minorBidi"/>
              <w:kern w:val="2"/>
              <w:szCs w:val="22"/>
              <w14:ligatures w14:val="standardContextual"/>
            </w:rPr>
          </w:pPr>
          <w:hyperlink w:anchor="_Toc174598850" w:history="1">
            <w:r w:rsidRPr="005E65C2">
              <w:rPr>
                <w:rStyle w:val="Hyperlink"/>
              </w:rPr>
              <w:t>c.</w:t>
            </w:r>
            <w:r>
              <w:rPr>
                <w:rFonts w:asciiTheme="minorHAnsi" w:eastAsiaTheme="minorEastAsia" w:hAnsiTheme="minorHAnsi" w:cstheme="minorBidi"/>
                <w:kern w:val="2"/>
                <w:szCs w:val="22"/>
                <w14:ligatures w14:val="standardContextual"/>
              </w:rPr>
              <w:tab/>
            </w:r>
            <w:r w:rsidRPr="005E65C2">
              <w:rPr>
                <w:rStyle w:val="Hyperlink"/>
              </w:rPr>
              <w:t>Case Management System</w:t>
            </w:r>
            <w:r>
              <w:rPr>
                <w:webHidden/>
              </w:rPr>
              <w:tab/>
            </w:r>
            <w:r>
              <w:rPr>
                <w:webHidden/>
              </w:rPr>
              <w:fldChar w:fldCharType="begin"/>
            </w:r>
            <w:r>
              <w:rPr>
                <w:webHidden/>
              </w:rPr>
              <w:instrText xml:space="preserve"> PAGEREF _Toc174598850 \h </w:instrText>
            </w:r>
            <w:r>
              <w:rPr>
                <w:webHidden/>
              </w:rPr>
              <w:fldChar w:fldCharType="separate"/>
            </w:r>
            <w:r w:rsidR="00173277">
              <w:rPr>
                <w:webHidden/>
              </w:rPr>
              <w:t>6</w:t>
            </w:r>
            <w:r>
              <w:rPr>
                <w:webHidden/>
              </w:rPr>
              <w:fldChar w:fldCharType="end"/>
            </w:r>
          </w:hyperlink>
        </w:p>
        <w:p w:rsidR="000D1BC6" w14:paraId="633D3539" w14:textId="430ABAC8">
          <w:pPr>
            <w:pStyle w:val="TOC3"/>
            <w:rPr>
              <w:rFonts w:asciiTheme="minorHAnsi" w:eastAsiaTheme="minorEastAsia" w:hAnsiTheme="minorHAnsi" w:cstheme="minorBidi"/>
              <w:kern w:val="2"/>
              <w:szCs w:val="22"/>
              <w14:ligatures w14:val="standardContextual"/>
            </w:rPr>
          </w:pPr>
          <w:hyperlink w:anchor="_Toc174598851" w:history="1">
            <w:r w:rsidRPr="005E65C2">
              <w:rPr>
                <w:rStyle w:val="Hyperlink"/>
              </w:rPr>
              <w:t>d.</w:t>
            </w:r>
            <w:r>
              <w:rPr>
                <w:rFonts w:asciiTheme="minorHAnsi" w:eastAsiaTheme="minorEastAsia" w:hAnsiTheme="minorHAnsi" w:cstheme="minorBidi"/>
                <w:kern w:val="2"/>
                <w:szCs w:val="22"/>
                <w14:ligatures w14:val="standardContextual"/>
              </w:rPr>
              <w:tab/>
            </w:r>
            <w:r w:rsidRPr="005E65C2">
              <w:rPr>
                <w:rStyle w:val="Hyperlink"/>
              </w:rPr>
              <w:t>Survey Instrument Design</w:t>
            </w:r>
            <w:r>
              <w:rPr>
                <w:webHidden/>
              </w:rPr>
              <w:tab/>
            </w:r>
            <w:r>
              <w:rPr>
                <w:webHidden/>
              </w:rPr>
              <w:fldChar w:fldCharType="begin"/>
            </w:r>
            <w:r>
              <w:rPr>
                <w:webHidden/>
              </w:rPr>
              <w:instrText xml:space="preserve"> PAGEREF _Toc174598851 \h </w:instrText>
            </w:r>
            <w:r>
              <w:rPr>
                <w:webHidden/>
              </w:rPr>
              <w:fldChar w:fldCharType="separate"/>
            </w:r>
            <w:r w:rsidR="00173277">
              <w:rPr>
                <w:webHidden/>
              </w:rPr>
              <w:t>6</w:t>
            </w:r>
            <w:r>
              <w:rPr>
                <w:webHidden/>
              </w:rPr>
              <w:fldChar w:fldCharType="end"/>
            </w:r>
          </w:hyperlink>
        </w:p>
        <w:p w:rsidR="000D1BC6" w14:paraId="3E2FA625" w14:textId="7135474B">
          <w:pPr>
            <w:pStyle w:val="TOC3"/>
            <w:rPr>
              <w:rFonts w:asciiTheme="minorHAnsi" w:eastAsiaTheme="minorEastAsia" w:hAnsiTheme="minorHAnsi" w:cstheme="minorBidi"/>
              <w:kern w:val="2"/>
              <w:szCs w:val="22"/>
              <w14:ligatures w14:val="standardContextual"/>
            </w:rPr>
          </w:pPr>
          <w:hyperlink w:anchor="_Toc174598852" w:history="1">
            <w:r w:rsidRPr="005E65C2">
              <w:rPr>
                <w:rStyle w:val="Hyperlink"/>
              </w:rPr>
              <w:t>e.</w:t>
            </w:r>
            <w:r>
              <w:rPr>
                <w:rFonts w:asciiTheme="minorHAnsi" w:eastAsiaTheme="minorEastAsia" w:hAnsiTheme="minorHAnsi" w:cstheme="minorBidi"/>
                <w:kern w:val="2"/>
                <w:szCs w:val="22"/>
                <w14:ligatures w14:val="standardContextual"/>
              </w:rPr>
              <w:tab/>
            </w:r>
            <w:r w:rsidRPr="005E65C2">
              <w:rPr>
                <w:rStyle w:val="Hyperlink"/>
              </w:rPr>
              <w:t>Refusal Aversion and Conversion</w:t>
            </w:r>
            <w:r>
              <w:rPr>
                <w:webHidden/>
              </w:rPr>
              <w:tab/>
            </w:r>
            <w:r>
              <w:rPr>
                <w:webHidden/>
              </w:rPr>
              <w:fldChar w:fldCharType="begin"/>
            </w:r>
            <w:r>
              <w:rPr>
                <w:webHidden/>
              </w:rPr>
              <w:instrText xml:space="preserve"> PAGEREF _Toc174598852 \h </w:instrText>
            </w:r>
            <w:r>
              <w:rPr>
                <w:webHidden/>
              </w:rPr>
              <w:fldChar w:fldCharType="separate"/>
            </w:r>
            <w:r w:rsidR="00173277">
              <w:rPr>
                <w:webHidden/>
              </w:rPr>
              <w:t>7</w:t>
            </w:r>
            <w:r>
              <w:rPr>
                <w:webHidden/>
              </w:rPr>
              <w:fldChar w:fldCharType="end"/>
            </w:r>
          </w:hyperlink>
        </w:p>
        <w:p w:rsidR="000D1BC6" w14:paraId="4505BC7F" w14:textId="01CC1276">
          <w:pPr>
            <w:pStyle w:val="TOC2"/>
            <w:rPr>
              <w:rFonts w:asciiTheme="minorHAnsi" w:eastAsiaTheme="minorEastAsia" w:hAnsiTheme="minorHAnsi" w:cstheme="minorBidi"/>
              <w:bCs w:val="0"/>
              <w:kern w:val="2"/>
              <w:szCs w:val="22"/>
              <w14:ligatures w14:val="standardContextual"/>
            </w:rPr>
          </w:pPr>
          <w:hyperlink w:anchor="_Toc174598853" w:history="1">
            <w:r w:rsidRPr="005E65C2">
              <w:rPr>
                <w:rStyle w:val="Hyperlink"/>
              </w:rPr>
              <w:t>4.</w:t>
            </w:r>
            <w:r>
              <w:rPr>
                <w:rFonts w:asciiTheme="minorHAnsi" w:eastAsiaTheme="minorEastAsia" w:hAnsiTheme="minorHAnsi" w:cstheme="minorBidi"/>
                <w:bCs w:val="0"/>
                <w:kern w:val="2"/>
                <w:szCs w:val="22"/>
                <w14:ligatures w14:val="standardContextual"/>
              </w:rPr>
              <w:tab/>
            </w:r>
            <w:r w:rsidRPr="005E65C2">
              <w:rPr>
                <w:rStyle w:val="Hyperlink"/>
              </w:rPr>
              <w:t>BPS:20/25 Full-scale Data Collection Procedures</w:t>
            </w:r>
            <w:r>
              <w:rPr>
                <w:webHidden/>
              </w:rPr>
              <w:tab/>
            </w:r>
            <w:r>
              <w:rPr>
                <w:webHidden/>
              </w:rPr>
              <w:fldChar w:fldCharType="begin"/>
            </w:r>
            <w:r>
              <w:rPr>
                <w:webHidden/>
              </w:rPr>
              <w:instrText xml:space="preserve"> PAGEREF _Toc174598853 \h </w:instrText>
            </w:r>
            <w:r>
              <w:rPr>
                <w:webHidden/>
              </w:rPr>
              <w:fldChar w:fldCharType="separate"/>
            </w:r>
            <w:r w:rsidR="00173277">
              <w:rPr>
                <w:webHidden/>
              </w:rPr>
              <w:t>7</w:t>
            </w:r>
            <w:r>
              <w:rPr>
                <w:webHidden/>
              </w:rPr>
              <w:fldChar w:fldCharType="end"/>
            </w:r>
          </w:hyperlink>
        </w:p>
        <w:p w:rsidR="000D1BC6" w14:paraId="081D32ED" w14:textId="577E0920">
          <w:pPr>
            <w:pStyle w:val="TOC2"/>
            <w:rPr>
              <w:rFonts w:asciiTheme="minorHAnsi" w:eastAsiaTheme="minorEastAsia" w:hAnsiTheme="minorHAnsi" w:cstheme="minorBidi"/>
              <w:bCs w:val="0"/>
              <w:kern w:val="2"/>
              <w:szCs w:val="22"/>
              <w14:ligatures w14:val="standardContextual"/>
            </w:rPr>
          </w:pPr>
          <w:hyperlink w:anchor="_Toc174598854" w:history="1">
            <w:r w:rsidRPr="005E65C2">
              <w:rPr>
                <w:rStyle w:val="Hyperlink"/>
              </w:rPr>
              <w:t>5.</w:t>
            </w:r>
            <w:r>
              <w:rPr>
                <w:rFonts w:asciiTheme="minorHAnsi" w:eastAsiaTheme="minorEastAsia" w:hAnsiTheme="minorHAnsi" w:cstheme="minorBidi"/>
                <w:bCs w:val="0"/>
                <w:kern w:val="2"/>
                <w:szCs w:val="22"/>
                <w14:ligatures w14:val="standardContextual"/>
              </w:rPr>
              <w:tab/>
            </w:r>
            <w:r w:rsidRPr="005E65C2">
              <w:rPr>
                <w:rStyle w:val="Hyperlink"/>
              </w:rPr>
              <w:t>Tests of Procedures or Methods</w:t>
            </w:r>
            <w:r>
              <w:rPr>
                <w:webHidden/>
              </w:rPr>
              <w:tab/>
            </w:r>
            <w:r>
              <w:rPr>
                <w:webHidden/>
              </w:rPr>
              <w:fldChar w:fldCharType="begin"/>
            </w:r>
            <w:r>
              <w:rPr>
                <w:webHidden/>
              </w:rPr>
              <w:instrText xml:space="preserve"> PAGEREF _Toc174598854 \h </w:instrText>
            </w:r>
            <w:r>
              <w:rPr>
                <w:webHidden/>
              </w:rPr>
              <w:fldChar w:fldCharType="separate"/>
            </w:r>
            <w:r w:rsidR="00173277">
              <w:rPr>
                <w:webHidden/>
              </w:rPr>
              <w:t>10</w:t>
            </w:r>
            <w:r>
              <w:rPr>
                <w:webHidden/>
              </w:rPr>
              <w:fldChar w:fldCharType="end"/>
            </w:r>
          </w:hyperlink>
        </w:p>
        <w:p w:rsidR="000D1BC6" w14:paraId="633758F4" w14:textId="54132ED6">
          <w:pPr>
            <w:pStyle w:val="TOC2"/>
            <w:rPr>
              <w:rFonts w:asciiTheme="minorHAnsi" w:eastAsiaTheme="minorEastAsia" w:hAnsiTheme="minorHAnsi" w:cstheme="minorBidi"/>
              <w:bCs w:val="0"/>
              <w:kern w:val="2"/>
              <w:szCs w:val="22"/>
              <w14:ligatures w14:val="standardContextual"/>
            </w:rPr>
          </w:pPr>
          <w:hyperlink w:anchor="_Toc174598855" w:history="1">
            <w:r w:rsidRPr="005E65C2">
              <w:rPr>
                <w:rStyle w:val="Hyperlink"/>
              </w:rPr>
              <w:t>6.</w:t>
            </w:r>
            <w:r>
              <w:rPr>
                <w:rFonts w:asciiTheme="minorHAnsi" w:eastAsiaTheme="minorEastAsia" w:hAnsiTheme="minorHAnsi" w:cstheme="minorBidi"/>
                <w:bCs w:val="0"/>
                <w:kern w:val="2"/>
                <w:szCs w:val="22"/>
                <w14:ligatures w14:val="standardContextual"/>
              </w:rPr>
              <w:tab/>
            </w:r>
            <w:r w:rsidRPr="005E65C2">
              <w:rPr>
                <w:rStyle w:val="Hyperlink"/>
              </w:rPr>
              <w:t>Reviewing Statisticians and Individuals Responsible for Designing and Conducting the Study</w:t>
            </w:r>
            <w:r>
              <w:rPr>
                <w:webHidden/>
              </w:rPr>
              <w:tab/>
            </w:r>
            <w:r>
              <w:rPr>
                <w:webHidden/>
              </w:rPr>
              <w:fldChar w:fldCharType="begin"/>
            </w:r>
            <w:r>
              <w:rPr>
                <w:webHidden/>
              </w:rPr>
              <w:instrText xml:space="preserve"> PAGEREF _Toc174598855 \h </w:instrText>
            </w:r>
            <w:r>
              <w:rPr>
                <w:webHidden/>
              </w:rPr>
              <w:fldChar w:fldCharType="separate"/>
            </w:r>
            <w:r w:rsidR="00173277">
              <w:rPr>
                <w:webHidden/>
              </w:rPr>
              <w:t>11</w:t>
            </w:r>
            <w:r>
              <w:rPr>
                <w:webHidden/>
              </w:rPr>
              <w:fldChar w:fldCharType="end"/>
            </w:r>
          </w:hyperlink>
        </w:p>
        <w:p w:rsidR="008D7E61" w:rsidRPr="008859AF" w:rsidP="00140399" w14:paraId="1F35A380" w14:textId="5D5C84F2">
          <w:pPr>
            <w:pStyle w:val="TOC2"/>
          </w:pPr>
          <w:r w:rsidRPr="008859AF">
            <w:rPr>
              <w:b/>
              <w:bCs w:val="0"/>
              <w:sz w:val="24"/>
              <w:szCs w:val="24"/>
              <w:shd w:val="clear" w:color="auto" w:fill="E6E6E6"/>
            </w:rPr>
            <w:fldChar w:fldCharType="end"/>
          </w:r>
        </w:p>
      </w:sdtContent>
    </w:sdt>
    <w:p w:rsidR="00C84D84" w:rsidRPr="008859AF" w:rsidP="000D1BC6" w14:paraId="7A9A1A23" w14:textId="2ACF3940">
      <w:pPr>
        <w:pStyle w:val="BodyText"/>
        <w:rPr>
          <w:bCs/>
          <w:noProof/>
          <w:sz w:val="22"/>
        </w:rPr>
      </w:pPr>
      <w:r w:rsidRPr="008859AF">
        <w:rPr>
          <w:b/>
        </w:rPr>
        <w:t>Tables</w:t>
      </w:r>
      <w:r w:rsidRPr="008859AF" w:rsidR="00DA771F">
        <w:rPr>
          <w:b/>
        </w:rPr>
        <w:t xml:space="preserve"> </w:t>
      </w:r>
    </w:p>
    <w:bookmarkStart w:id="5" w:name="_Toc135923524"/>
    <w:p w:rsidR="0087039E" w:rsidRPr="00C10B65" w:rsidP="0087039E" w14:paraId="6A5EAA76" w14:textId="50469121">
      <w:pPr>
        <w:pStyle w:val="TableofFigures"/>
        <w:ind w:left="1152" w:hanging="792"/>
        <w:rPr>
          <w:rFonts w:asciiTheme="minorHAnsi" w:eastAsiaTheme="minorEastAsia" w:hAnsiTheme="minorHAnsi" w:cstheme="minorBidi"/>
          <w:noProof/>
          <w:kern w:val="2"/>
          <w:sz w:val="22"/>
          <w:szCs w:val="22"/>
          <w14:ligatures w14:val="standardContextual"/>
        </w:rPr>
      </w:pPr>
      <w:r w:rsidRPr="00C10B65">
        <w:rPr>
          <w:b/>
          <w:sz w:val="22"/>
          <w:szCs w:val="22"/>
        </w:rPr>
        <w:fldChar w:fldCharType="begin"/>
      </w:r>
      <w:r w:rsidRPr="00C10B65">
        <w:rPr>
          <w:b/>
          <w:sz w:val="22"/>
          <w:szCs w:val="22"/>
        </w:rPr>
        <w:instrText xml:space="preserve"> TOC \h \z \t "Table Title" \c </w:instrText>
      </w:r>
      <w:r w:rsidRPr="00C10B65">
        <w:rPr>
          <w:b/>
          <w:sz w:val="22"/>
          <w:szCs w:val="22"/>
        </w:rPr>
        <w:fldChar w:fldCharType="separate"/>
      </w:r>
      <w:r>
        <w:fldChar w:fldCharType="begin"/>
      </w:r>
      <w:r>
        <w:instrText xml:space="preserve"> HYPERLINK \l "_Toc174607272" </w:instrText>
      </w:r>
      <w:r>
        <w:fldChar w:fldCharType="separate"/>
      </w:r>
      <w:r w:rsidRPr="00C10B65">
        <w:rPr>
          <w:rStyle w:val="Hyperlink"/>
          <w:noProof/>
          <w:sz w:val="22"/>
          <w:szCs w:val="22"/>
        </w:rPr>
        <w:t xml:space="preserve">Table 1. BPS:20/22 full-scale study eligibility and unweighted response rates by base-year outcome status: </w:t>
      </w:r>
      <w:r w:rsidRPr="00C10B65">
        <w:rPr>
          <w:rStyle w:val="Hyperlink"/>
          <w:noProof/>
          <w:sz w:val="22"/>
          <w:szCs w:val="22"/>
        </w:rPr>
        <w:br/>
        <w:t>2020-22</w:t>
      </w:r>
      <w:r w:rsidRPr="00C10B65">
        <w:rPr>
          <w:noProof/>
          <w:webHidden/>
          <w:sz w:val="22"/>
          <w:szCs w:val="22"/>
        </w:rPr>
        <w:tab/>
      </w:r>
      <w:r w:rsidRPr="00C10B65">
        <w:rPr>
          <w:noProof/>
          <w:webHidden/>
          <w:sz w:val="22"/>
          <w:szCs w:val="22"/>
        </w:rPr>
        <w:fldChar w:fldCharType="begin"/>
      </w:r>
      <w:r w:rsidRPr="00C10B65">
        <w:rPr>
          <w:noProof/>
          <w:webHidden/>
          <w:sz w:val="22"/>
          <w:szCs w:val="22"/>
        </w:rPr>
        <w:instrText xml:space="preserve"> PAGEREF _Toc174607272 \h </w:instrText>
      </w:r>
      <w:r w:rsidRPr="00C10B65">
        <w:rPr>
          <w:noProof/>
          <w:webHidden/>
          <w:sz w:val="22"/>
          <w:szCs w:val="22"/>
        </w:rPr>
        <w:fldChar w:fldCharType="separate"/>
      </w:r>
      <w:r w:rsidRPr="00C10B65">
        <w:rPr>
          <w:noProof/>
          <w:webHidden/>
          <w:sz w:val="22"/>
          <w:szCs w:val="22"/>
        </w:rPr>
        <w:t>3</w:t>
      </w:r>
      <w:r w:rsidRPr="00C10B65">
        <w:rPr>
          <w:noProof/>
          <w:webHidden/>
          <w:sz w:val="22"/>
          <w:szCs w:val="22"/>
        </w:rPr>
        <w:fldChar w:fldCharType="end"/>
      </w:r>
      <w:r>
        <w:fldChar w:fldCharType="end"/>
      </w:r>
    </w:p>
    <w:p w:rsidR="0087039E" w:rsidRPr="00C10B65" w:rsidP="0087039E" w14:paraId="4CBE52B9" w14:textId="3352C5A9">
      <w:pPr>
        <w:pStyle w:val="TableofFigures"/>
        <w:ind w:left="360"/>
        <w:rPr>
          <w:rFonts w:asciiTheme="minorHAnsi" w:eastAsiaTheme="minorEastAsia" w:hAnsiTheme="minorHAnsi" w:cstheme="minorBidi"/>
          <w:noProof/>
          <w:kern w:val="2"/>
          <w:sz w:val="22"/>
          <w:szCs w:val="22"/>
          <w14:ligatures w14:val="standardContextual"/>
        </w:rPr>
      </w:pPr>
      <w:hyperlink w:anchor="_Toc174607273" w:history="1">
        <w:r w:rsidRPr="00C10B65">
          <w:rPr>
            <w:rStyle w:val="Hyperlink"/>
            <w:noProof/>
            <w:sz w:val="22"/>
            <w:szCs w:val="22"/>
          </w:rPr>
          <w:t>Table 2. BPS:20/25 sample member disposition, by NPSAS:20 and BPS:20/22 response status: 2020–22</w:t>
        </w:r>
        <w:r w:rsidRPr="00C10B65">
          <w:rPr>
            <w:noProof/>
            <w:webHidden/>
            <w:sz w:val="22"/>
            <w:szCs w:val="22"/>
          </w:rPr>
          <w:tab/>
        </w:r>
        <w:r w:rsidRPr="00C10B65">
          <w:rPr>
            <w:noProof/>
            <w:webHidden/>
            <w:sz w:val="22"/>
            <w:szCs w:val="22"/>
          </w:rPr>
          <w:fldChar w:fldCharType="begin"/>
        </w:r>
        <w:r w:rsidRPr="00C10B65">
          <w:rPr>
            <w:noProof/>
            <w:webHidden/>
            <w:sz w:val="22"/>
            <w:szCs w:val="22"/>
          </w:rPr>
          <w:instrText xml:space="preserve"> PAGEREF _Toc174607273 \h </w:instrText>
        </w:r>
        <w:r w:rsidRPr="00C10B65">
          <w:rPr>
            <w:noProof/>
            <w:webHidden/>
            <w:sz w:val="22"/>
            <w:szCs w:val="22"/>
          </w:rPr>
          <w:fldChar w:fldCharType="separate"/>
        </w:r>
        <w:r w:rsidRPr="00C10B65">
          <w:rPr>
            <w:noProof/>
            <w:webHidden/>
            <w:sz w:val="22"/>
            <w:szCs w:val="22"/>
          </w:rPr>
          <w:t>4</w:t>
        </w:r>
        <w:r w:rsidRPr="00C10B65">
          <w:rPr>
            <w:noProof/>
            <w:webHidden/>
            <w:sz w:val="22"/>
            <w:szCs w:val="22"/>
          </w:rPr>
          <w:fldChar w:fldCharType="end"/>
        </w:r>
      </w:hyperlink>
    </w:p>
    <w:p w:rsidR="0087039E" w:rsidRPr="00C10B65" w:rsidP="0087039E" w14:paraId="3C786597" w14:textId="3E3A7BAD">
      <w:pPr>
        <w:pStyle w:val="TableofFigures"/>
        <w:ind w:left="1152" w:hanging="792"/>
        <w:rPr>
          <w:rFonts w:asciiTheme="minorHAnsi" w:eastAsiaTheme="minorEastAsia" w:hAnsiTheme="minorHAnsi" w:cstheme="minorBidi"/>
          <w:noProof/>
          <w:kern w:val="2"/>
          <w:sz w:val="22"/>
          <w:szCs w:val="22"/>
          <w14:ligatures w14:val="standardContextual"/>
        </w:rPr>
      </w:pPr>
      <w:hyperlink w:anchor="_Toc174607274" w:history="1">
        <w:r w:rsidRPr="00C10B65">
          <w:rPr>
            <w:rStyle w:val="Hyperlink"/>
            <w:noProof/>
            <w:sz w:val="22"/>
            <w:szCs w:val="22"/>
          </w:rPr>
          <w:t xml:space="preserve">Table 3. Expected BPS:20/25 full-scale study response rates by base-year and BPS:20/22 outcome status: </w:t>
        </w:r>
        <w:r w:rsidRPr="00C10B65">
          <w:rPr>
            <w:rStyle w:val="Hyperlink"/>
            <w:noProof/>
            <w:sz w:val="22"/>
            <w:szCs w:val="22"/>
          </w:rPr>
          <w:br/>
          <w:t>2020–22</w:t>
        </w:r>
        <w:r w:rsidRPr="00C10B65">
          <w:rPr>
            <w:noProof/>
            <w:webHidden/>
            <w:sz w:val="22"/>
            <w:szCs w:val="22"/>
          </w:rPr>
          <w:tab/>
        </w:r>
        <w:r w:rsidRPr="00C10B65">
          <w:rPr>
            <w:noProof/>
            <w:webHidden/>
            <w:sz w:val="22"/>
            <w:szCs w:val="22"/>
          </w:rPr>
          <w:fldChar w:fldCharType="begin"/>
        </w:r>
        <w:r w:rsidRPr="00C10B65">
          <w:rPr>
            <w:noProof/>
            <w:webHidden/>
            <w:sz w:val="22"/>
            <w:szCs w:val="22"/>
          </w:rPr>
          <w:instrText xml:space="preserve"> PAGEREF _Toc174607274 \h </w:instrText>
        </w:r>
        <w:r w:rsidRPr="00C10B65">
          <w:rPr>
            <w:noProof/>
            <w:webHidden/>
            <w:sz w:val="22"/>
            <w:szCs w:val="22"/>
          </w:rPr>
          <w:fldChar w:fldCharType="separate"/>
        </w:r>
        <w:r w:rsidRPr="00C10B65">
          <w:rPr>
            <w:noProof/>
            <w:webHidden/>
            <w:sz w:val="22"/>
            <w:szCs w:val="22"/>
          </w:rPr>
          <w:t>4</w:t>
        </w:r>
        <w:r w:rsidRPr="00C10B65">
          <w:rPr>
            <w:noProof/>
            <w:webHidden/>
            <w:sz w:val="22"/>
            <w:szCs w:val="22"/>
          </w:rPr>
          <w:fldChar w:fldCharType="end"/>
        </w:r>
      </w:hyperlink>
    </w:p>
    <w:p w:rsidR="0087039E" w:rsidRPr="00C10B65" w:rsidP="0087039E" w14:paraId="71DE1849" w14:textId="596D92D8">
      <w:pPr>
        <w:pStyle w:val="TableofFigures"/>
        <w:ind w:left="360"/>
        <w:rPr>
          <w:rFonts w:asciiTheme="minorHAnsi" w:eastAsiaTheme="minorEastAsia" w:hAnsiTheme="minorHAnsi" w:cstheme="minorBidi"/>
          <w:noProof/>
          <w:kern w:val="2"/>
          <w:sz w:val="22"/>
          <w:szCs w:val="22"/>
          <w14:ligatures w14:val="standardContextual"/>
        </w:rPr>
      </w:pPr>
      <w:hyperlink w:anchor="_Toc174607275" w:history="1">
        <w:r w:rsidRPr="00C10B65">
          <w:rPr>
            <w:rStyle w:val="Hyperlink"/>
            <w:rFonts w:eastAsia="Arial"/>
            <w:noProof/>
            <w:sz w:val="22"/>
            <w:szCs w:val="22"/>
          </w:rPr>
          <w:t>Table 4. BPS:20/25 full-scale data collection protocols by data collection phase and group assignment</w:t>
        </w:r>
        <w:r w:rsidRPr="00C10B65">
          <w:rPr>
            <w:noProof/>
            <w:webHidden/>
            <w:sz w:val="22"/>
            <w:szCs w:val="22"/>
          </w:rPr>
          <w:tab/>
        </w:r>
        <w:r w:rsidRPr="00C10B65">
          <w:rPr>
            <w:noProof/>
            <w:webHidden/>
            <w:sz w:val="22"/>
            <w:szCs w:val="22"/>
          </w:rPr>
          <w:fldChar w:fldCharType="begin"/>
        </w:r>
        <w:r w:rsidRPr="00C10B65">
          <w:rPr>
            <w:noProof/>
            <w:webHidden/>
            <w:sz w:val="22"/>
            <w:szCs w:val="22"/>
          </w:rPr>
          <w:instrText xml:space="preserve"> PAGEREF _Toc174607275 \h </w:instrText>
        </w:r>
        <w:r w:rsidRPr="00C10B65">
          <w:rPr>
            <w:noProof/>
            <w:webHidden/>
            <w:sz w:val="22"/>
            <w:szCs w:val="22"/>
          </w:rPr>
          <w:fldChar w:fldCharType="separate"/>
        </w:r>
        <w:r w:rsidRPr="00C10B65">
          <w:rPr>
            <w:noProof/>
            <w:webHidden/>
            <w:sz w:val="22"/>
            <w:szCs w:val="22"/>
          </w:rPr>
          <w:t>8</w:t>
        </w:r>
        <w:r w:rsidRPr="00C10B65">
          <w:rPr>
            <w:noProof/>
            <w:webHidden/>
            <w:sz w:val="22"/>
            <w:szCs w:val="22"/>
          </w:rPr>
          <w:fldChar w:fldCharType="end"/>
        </w:r>
      </w:hyperlink>
    </w:p>
    <w:p w:rsidR="00D35D21" w:rsidRPr="008859AF" w:rsidP="00C620CB" w14:paraId="2151CF5A" w14:textId="70569ED4">
      <w:pPr>
        <w:pStyle w:val="Heading1"/>
      </w:pPr>
      <w:r w:rsidRPr="00C10B65">
        <w:rPr>
          <w:rFonts w:ascii="Garamond" w:hAnsi="Garamond" w:cs="Times New Roman"/>
          <w:b w:val="0"/>
          <w:kern w:val="16"/>
          <w:sz w:val="22"/>
          <w:szCs w:val="22"/>
        </w:rPr>
        <w:fldChar w:fldCharType="end"/>
      </w:r>
      <w:r w:rsidRPr="008859AF">
        <w:br w:type="page"/>
      </w:r>
    </w:p>
    <w:p w:rsidR="00516E7C" w:rsidP="00516E7C" w14:paraId="048EC6E1" w14:textId="74704F3F">
      <w:pPr>
        <w:pStyle w:val="Heading1"/>
      </w:pPr>
      <w:bookmarkStart w:id="6" w:name="_Toc174598843"/>
      <w:r w:rsidRPr="008859AF">
        <w:t>B.</w:t>
      </w:r>
      <w:r w:rsidRPr="008859AF">
        <w:tab/>
      </w:r>
      <w:r w:rsidRPr="008859AF" w:rsidR="002770D7">
        <w:t>Collection of Information Employing Statistical Methods</w:t>
      </w:r>
      <w:bookmarkStart w:id="7" w:name="_Toc255305795"/>
      <w:bookmarkStart w:id="8" w:name="_Toc255888271"/>
      <w:bookmarkStart w:id="9" w:name="_Toc380505275"/>
      <w:bookmarkStart w:id="10" w:name="_Toc381969055"/>
      <w:bookmarkStart w:id="11" w:name="_Toc135923525"/>
      <w:bookmarkEnd w:id="4"/>
      <w:bookmarkEnd w:id="5"/>
      <w:bookmarkEnd w:id="6"/>
    </w:p>
    <w:p w:rsidR="00516E7C" w:rsidRPr="00516E7C" w:rsidP="00516E7C" w14:paraId="0C5C30AD" w14:textId="27887CF8">
      <w:pPr>
        <w:pStyle w:val="BodyText"/>
      </w:pPr>
      <w:r w:rsidRPr="001C2BC1">
        <w:t xml:space="preserve">This submission requests clearance for the 2020/25 Beginning Postsecondary Students Longitudinal Study (BPS:20/25) </w:t>
      </w:r>
      <w:r>
        <w:t>full-scale</w:t>
      </w:r>
      <w:r w:rsidRPr="001C2BC1">
        <w:t xml:space="preserve"> data collection materials and procedures. BPS:20/25 is the second follow-up of</w:t>
      </w:r>
      <w:r w:rsidR="002C636E">
        <w:t xml:space="preserve"> a</w:t>
      </w:r>
      <w:r w:rsidRPr="001C2BC1">
        <w:t xml:space="preserve"> sample </w:t>
      </w:r>
      <w:r w:rsidR="002C636E">
        <w:t xml:space="preserve">of students who began their postsecondary education during the 2019-20 academic year, a sample </w:t>
      </w:r>
      <w:r w:rsidRPr="001C2BC1">
        <w:t xml:space="preserve">drawn from the 2019-20 National Postsecondary Student Aid Study (NPSAS:20). For details on the NPSAS:20 sampling design see NPSAS:20 Supporting Statement Part B (OMB# 1850-0666 v.25). Specific plans for the BPS:20/25 </w:t>
      </w:r>
      <w:r>
        <w:t>data collection</w:t>
      </w:r>
      <w:r w:rsidRPr="001C2BC1">
        <w:t xml:space="preserve"> are provided below</w:t>
      </w:r>
      <w:r>
        <w:t>.</w:t>
      </w:r>
    </w:p>
    <w:p w:rsidR="00045E1F" w:rsidRPr="008859AF" w:rsidP="00AD4733" w14:paraId="71FCFA0F" w14:textId="16F30836">
      <w:pPr>
        <w:pStyle w:val="Heading2"/>
        <w:numPr>
          <w:ilvl w:val="0"/>
          <w:numId w:val="12"/>
        </w:numPr>
      </w:pPr>
      <w:bookmarkStart w:id="12" w:name="_Toc174598844"/>
      <w:r w:rsidRPr="008859AF">
        <w:t>Respondent Universe</w:t>
      </w:r>
      <w:bookmarkEnd w:id="7"/>
      <w:bookmarkEnd w:id="8"/>
      <w:bookmarkEnd w:id="9"/>
      <w:bookmarkEnd w:id="10"/>
      <w:bookmarkEnd w:id="11"/>
      <w:bookmarkEnd w:id="12"/>
    </w:p>
    <w:p w:rsidR="00827AC9" w:rsidRPr="008859AF" w:rsidP="00516E7C" w14:paraId="3045302A" w14:textId="2813EAC1">
      <w:pPr>
        <w:pStyle w:val="BodyText"/>
      </w:pPr>
      <w:bookmarkStart w:id="13" w:name="_Toc255305798"/>
      <w:bookmarkStart w:id="14" w:name="_Toc255888274"/>
      <w:bookmarkStart w:id="15" w:name="_Toc380505278"/>
      <w:bookmarkStart w:id="16" w:name="_Toc381969058"/>
      <w:r w:rsidRPr="001C2BC1">
        <w:t>The respondent universe for BPS:20/25 consists of all students who began their postsecondary education for the first time during the 2019-20 academic year at any Title IV-eligible postsecondary institution in the United States.</w:t>
      </w:r>
      <w:r>
        <w:t xml:space="preserve"> </w:t>
      </w:r>
      <w:r w:rsidRPr="001C2BC1">
        <w:t xml:space="preserve">The BPS:20/25 </w:t>
      </w:r>
      <w:r>
        <w:t>full-scale</w:t>
      </w:r>
      <w:r w:rsidRPr="001C2BC1">
        <w:t xml:space="preserve"> sample will include students from the NPSAS:20 full-scale sample who were confirmed </w:t>
      </w:r>
      <w:r>
        <w:t>as</w:t>
      </w:r>
      <w:r w:rsidRPr="001C2BC1">
        <w:t xml:space="preserve"> 201</w:t>
      </w:r>
      <w:r>
        <w:t>9</w:t>
      </w:r>
      <w:r w:rsidRPr="001C2BC1">
        <w:t>-</w:t>
      </w:r>
      <w:r>
        <w:t>20</w:t>
      </w:r>
      <w:r w:rsidRPr="001C2BC1">
        <w:t xml:space="preserve"> academic year first-time beginner students based on survey, institution, or other administrative data</w:t>
      </w:r>
      <w:r>
        <w:t>.</w:t>
      </w:r>
    </w:p>
    <w:p w:rsidR="00045E1F" w:rsidRPr="008859AF" w:rsidP="00AD4733" w14:paraId="76049B2C" w14:textId="17ADDEEB">
      <w:pPr>
        <w:pStyle w:val="Heading2"/>
        <w:numPr>
          <w:ilvl w:val="0"/>
          <w:numId w:val="12"/>
        </w:numPr>
      </w:pPr>
      <w:bookmarkStart w:id="17" w:name="_Toc135923528"/>
      <w:bookmarkStart w:id="18" w:name="_Toc174598845"/>
      <w:r w:rsidRPr="008859AF">
        <w:t>Statistical Methodology</w:t>
      </w:r>
      <w:bookmarkEnd w:id="13"/>
      <w:bookmarkEnd w:id="14"/>
      <w:bookmarkEnd w:id="15"/>
      <w:bookmarkEnd w:id="16"/>
      <w:bookmarkEnd w:id="17"/>
      <w:bookmarkEnd w:id="18"/>
    </w:p>
    <w:p w:rsidR="00045E1F" w:rsidRPr="00516E7C" w:rsidP="00AD4733" w14:paraId="479266D5" w14:textId="270E6A7C">
      <w:pPr>
        <w:pStyle w:val="Heading3"/>
        <w:numPr>
          <w:ilvl w:val="0"/>
          <w:numId w:val="18"/>
        </w:numPr>
      </w:pPr>
      <w:bookmarkStart w:id="19" w:name="_Toc174598846"/>
      <w:r w:rsidRPr="00516E7C">
        <w:t>BPS:20/2</w:t>
      </w:r>
      <w:r w:rsidRPr="008F10DA">
        <w:t>5</w:t>
      </w:r>
      <w:r w:rsidRPr="00516E7C">
        <w:t xml:space="preserve"> </w:t>
      </w:r>
      <w:r w:rsidRPr="008F10DA">
        <w:t>Full-scale</w:t>
      </w:r>
      <w:r w:rsidRPr="00516E7C">
        <w:t xml:space="preserve"> Sample</w:t>
      </w:r>
      <w:bookmarkEnd w:id="19"/>
    </w:p>
    <w:p w:rsidR="00F02B29" w:rsidP="00F02B29" w14:paraId="29D7A8DD" w14:textId="22C70A04">
      <w:pPr>
        <w:pStyle w:val="NormalWeb"/>
        <w:rPr>
          <w:rFonts w:ascii="Calibri" w:hAnsi="Calibri" w:cs="Calibri"/>
          <w:color w:val="000000"/>
        </w:rPr>
      </w:pPr>
      <w:bookmarkStart w:id="20" w:name="_Toc268593749"/>
      <w:bookmarkStart w:id="21" w:name="_Toc281573446"/>
      <w:r w:rsidRPr="001C2BC1">
        <w:rPr>
          <w:rFonts w:ascii="Garamond" w:hAnsi="Garamond" w:cs="Calibri"/>
          <w:color w:val="000000"/>
        </w:rPr>
        <w:t xml:space="preserve">The BPS:20/25 full-scale sample will be constructed from the BPS:20/22 full-scale sample. The BPS:20/22 sample was composed of students who began their postsecondary education for the first time during the 2019-20 academic year at any Title IV-eligible postsecondary institution in the United States. Approximately 26,470 respondents to the NPSAS:20 full-scale student surveys self-identified as FTBs. In addition, to have full population coverage of the BPS sample, a subsample of approximately 10,860 students who </w:t>
      </w:r>
      <w:r w:rsidR="00C030AD">
        <w:rPr>
          <w:rFonts w:ascii="Garamond" w:hAnsi="Garamond" w:cs="Calibri"/>
          <w:color w:val="000000"/>
        </w:rPr>
        <w:t>were identified</w:t>
      </w:r>
      <w:r w:rsidRPr="001C2BC1">
        <w:rPr>
          <w:rFonts w:ascii="Garamond" w:hAnsi="Garamond" w:cs="Calibri"/>
          <w:color w:val="000000"/>
        </w:rPr>
        <w:t xml:space="preserve"> by the NPSAS sample institution or administrative data to be potential FTBs were selected. This subsample consisted of a combination of NPSAS:20 survey nonrespondents and administrative data-only sample members who were NPSAS:20 study respondents.</w:t>
      </w:r>
      <w:r>
        <w:rPr>
          <w:rFonts w:ascii="Calibri" w:hAnsi="Calibri" w:cs="Calibri"/>
          <w:color w:val="000000"/>
        </w:rPr>
        <w:t xml:space="preserve"> </w:t>
      </w:r>
    </w:p>
    <w:p w:rsidR="00F02B29" w:rsidRPr="001C2BC1" w:rsidP="00F02B29" w14:paraId="517600B9" w14:textId="52FC47A4">
      <w:pPr>
        <w:pStyle w:val="NormalWeb"/>
        <w:rPr>
          <w:rFonts w:ascii="Garamond" w:hAnsi="Garamond" w:cs="Calibri"/>
          <w:color w:val="000000"/>
        </w:rPr>
      </w:pPr>
      <w:r w:rsidRPr="5F43519B">
        <w:rPr>
          <w:rFonts w:ascii="Garamond" w:hAnsi="Garamond" w:cs="Calibri"/>
          <w:color w:val="000000" w:themeColor="text1"/>
        </w:rPr>
        <w:t xml:space="preserve">As </w:t>
      </w:r>
      <w:r w:rsidRPr="00E51328">
        <w:rPr>
          <w:rFonts w:ascii="Garamond" w:hAnsi="Garamond" w:cs="Calibri"/>
          <w:color w:val="000000" w:themeColor="text1"/>
        </w:rPr>
        <w:t xml:space="preserve">shown in Table </w:t>
      </w:r>
      <w:r w:rsidRPr="00E51328" w:rsidR="001B6466">
        <w:rPr>
          <w:rFonts w:ascii="Garamond" w:hAnsi="Garamond" w:cs="Calibri"/>
          <w:color w:val="000000" w:themeColor="text1"/>
        </w:rPr>
        <w:t>1</w:t>
      </w:r>
      <w:r w:rsidRPr="00E51328">
        <w:rPr>
          <w:rFonts w:ascii="Garamond" w:hAnsi="Garamond" w:cs="Calibri"/>
          <w:color w:val="000000" w:themeColor="text1"/>
        </w:rPr>
        <w:t xml:space="preserve"> below, the starting</w:t>
      </w:r>
      <w:r w:rsidRPr="5F43519B">
        <w:rPr>
          <w:rFonts w:ascii="Garamond" w:hAnsi="Garamond" w:cs="Calibri"/>
          <w:color w:val="000000" w:themeColor="text1"/>
        </w:rPr>
        <w:t xml:space="preserve"> </w:t>
      </w:r>
      <w:r w:rsidRPr="5F43519B" w:rsidR="00124E9D">
        <w:rPr>
          <w:rFonts w:ascii="Garamond" w:hAnsi="Garamond" w:cs="Calibri"/>
          <w:color w:val="000000" w:themeColor="text1"/>
        </w:rPr>
        <w:t xml:space="preserve">BPS:20/22 </w:t>
      </w:r>
      <w:r w:rsidRPr="5F43519B">
        <w:rPr>
          <w:rFonts w:ascii="Garamond" w:hAnsi="Garamond" w:cs="Calibri"/>
          <w:color w:val="000000" w:themeColor="text1"/>
        </w:rPr>
        <w:t>full-scale sample size was approximately 37,330, with an eligible sample of about 34,240. Eligibility was determined using screener responses and administrative data</w:t>
      </w:r>
      <w:r w:rsidRPr="5F43519B" w:rsidR="00E03D1A">
        <w:rPr>
          <w:rFonts w:ascii="Garamond" w:hAnsi="Garamond" w:cs="Calibri"/>
          <w:color w:val="000000" w:themeColor="text1"/>
        </w:rPr>
        <w:t>.</w:t>
      </w:r>
      <w:r w:rsidRPr="5F43519B">
        <w:rPr>
          <w:rFonts w:ascii="Garamond" w:hAnsi="Garamond" w:cs="Calibri"/>
          <w:color w:val="000000" w:themeColor="text1"/>
        </w:rPr>
        <w:t xml:space="preserve"> </w:t>
      </w:r>
      <w:r w:rsidRPr="5F43519B" w:rsidR="00E03D1A">
        <w:rPr>
          <w:rFonts w:ascii="Garamond" w:hAnsi="Garamond" w:cs="Calibri"/>
          <w:color w:val="000000" w:themeColor="text1"/>
        </w:rPr>
        <w:t>D</w:t>
      </w:r>
      <w:r w:rsidRPr="5F43519B">
        <w:rPr>
          <w:rFonts w:ascii="Garamond" w:hAnsi="Garamond" w:cs="Calibri"/>
          <w:color w:val="000000" w:themeColor="text1"/>
        </w:rPr>
        <w:t xml:space="preserve">eceased individuals are also removed from eligible individual counts. </w:t>
      </w:r>
      <w:r w:rsidRPr="5F43519B" w:rsidR="004D1E29">
        <w:rPr>
          <w:rFonts w:ascii="Garamond" w:hAnsi="Garamond" w:cs="Calibri"/>
          <w:color w:val="000000" w:themeColor="text1"/>
        </w:rPr>
        <w:t>A</w:t>
      </w:r>
      <w:r w:rsidRPr="5F43519B">
        <w:rPr>
          <w:rFonts w:ascii="Garamond" w:hAnsi="Garamond" w:cs="Calibri"/>
          <w:color w:val="000000" w:themeColor="text1"/>
        </w:rPr>
        <w:t xml:space="preserve">n unweighted response rate of 65 percent </w:t>
      </w:r>
      <w:r w:rsidRPr="5F43519B" w:rsidR="004D1E29">
        <w:rPr>
          <w:rFonts w:ascii="Garamond" w:hAnsi="Garamond" w:cs="Calibri"/>
          <w:color w:val="000000" w:themeColor="text1"/>
        </w:rPr>
        <w:t xml:space="preserve">was observed </w:t>
      </w:r>
      <w:r w:rsidRPr="5F43519B">
        <w:rPr>
          <w:rFonts w:ascii="Garamond" w:hAnsi="Garamond" w:cs="Calibri"/>
          <w:color w:val="000000" w:themeColor="text1"/>
        </w:rPr>
        <w:t xml:space="preserve">among the eligible sample members, which yielded </w:t>
      </w:r>
      <w:r w:rsidRPr="000D1BC6">
        <w:rPr>
          <w:rFonts w:ascii="Garamond" w:hAnsi="Garamond" w:cs="Calibri"/>
          <w:color w:val="000000" w:themeColor="text1"/>
        </w:rPr>
        <w:t>approximately 22,3</w:t>
      </w:r>
      <w:r w:rsidRPr="000D1BC6" w:rsidR="7618DFA1">
        <w:rPr>
          <w:rFonts w:ascii="Garamond" w:hAnsi="Garamond" w:cs="Calibri"/>
          <w:color w:val="000000" w:themeColor="text1"/>
        </w:rPr>
        <w:t>2</w:t>
      </w:r>
      <w:r w:rsidRPr="000D1BC6">
        <w:rPr>
          <w:rFonts w:ascii="Garamond" w:hAnsi="Garamond" w:cs="Calibri"/>
          <w:color w:val="000000" w:themeColor="text1"/>
        </w:rPr>
        <w:t>0</w:t>
      </w:r>
      <w:r w:rsidRPr="5F43519B">
        <w:rPr>
          <w:rFonts w:ascii="Garamond" w:hAnsi="Garamond" w:cs="Calibri"/>
          <w:color w:val="000000" w:themeColor="text1"/>
        </w:rPr>
        <w:t xml:space="preserve"> responding FTBs. </w:t>
      </w:r>
    </w:p>
    <w:p w:rsidR="00F02B29" w:rsidRPr="00C21CF0" w:rsidP="00F02B29" w14:paraId="37069C43" w14:textId="58B7F6D8">
      <w:pPr>
        <w:pStyle w:val="TableTitle"/>
        <w:tabs>
          <w:tab w:val="left" w:pos="720"/>
        </w:tabs>
        <w:ind w:left="720" w:hanging="720"/>
      </w:pPr>
      <w:bookmarkStart w:id="22" w:name="_Toc140075248"/>
      <w:bookmarkStart w:id="23" w:name="_Toc140136672"/>
      <w:bookmarkStart w:id="24" w:name="_Toc174607272"/>
      <w:r w:rsidRPr="00E51328">
        <w:t xml:space="preserve">Table </w:t>
      </w:r>
      <w:r w:rsidRPr="00E51328" w:rsidR="001B6466">
        <w:t>1</w:t>
      </w:r>
      <w:r w:rsidRPr="00E51328">
        <w:t>. BPS:</w:t>
      </w:r>
      <w:r w:rsidRPr="00C21CF0">
        <w:t xml:space="preserve">20/22 full-scale study eligibility and </w:t>
      </w:r>
      <w:r>
        <w:t xml:space="preserve">unweighted </w:t>
      </w:r>
      <w:r w:rsidRPr="00C21CF0">
        <w:t xml:space="preserve">response rates by base-year </w:t>
      </w:r>
      <w:r>
        <w:t>outcome</w:t>
      </w:r>
      <w:r w:rsidRPr="00C21CF0">
        <w:t xml:space="preserve"> status</w:t>
      </w:r>
      <w:r>
        <w:t>: 2020-22</w:t>
      </w:r>
      <w:bookmarkEnd w:id="22"/>
      <w:bookmarkEnd w:id="23"/>
      <w:bookmarkEnd w:id="24"/>
    </w:p>
    <w:tbl>
      <w:tblPr>
        <w:tblW w:w="10170" w:type="dxa"/>
        <w:tblLook w:val="04A0"/>
      </w:tblPr>
      <w:tblGrid>
        <w:gridCol w:w="3064"/>
        <w:gridCol w:w="1082"/>
        <w:gridCol w:w="1082"/>
        <w:gridCol w:w="911"/>
        <w:gridCol w:w="296"/>
        <w:gridCol w:w="1935"/>
        <w:gridCol w:w="1800"/>
      </w:tblGrid>
      <w:tr w14:paraId="7B25776A" w14:textId="77777777" w:rsidTr="00575CD4">
        <w:tblPrEx>
          <w:tblW w:w="10170" w:type="dxa"/>
          <w:tblLook w:val="04A0"/>
        </w:tblPrEx>
        <w:trPr>
          <w:trHeight w:val="312"/>
        </w:trPr>
        <w:tc>
          <w:tcPr>
            <w:tcW w:w="3064" w:type="dxa"/>
            <w:tcBorders>
              <w:top w:val="single" w:sz="12" w:space="0" w:color="auto"/>
              <w:left w:val="nil"/>
              <w:bottom w:val="nil"/>
              <w:right w:val="nil"/>
            </w:tcBorders>
            <w:shd w:val="clear" w:color="auto" w:fill="auto"/>
            <w:vAlign w:val="center"/>
            <w:hideMark/>
          </w:tcPr>
          <w:p w:rsidR="00F02B29" w:rsidRPr="00FD022B" w:rsidP="003906A7" w14:paraId="13A59521" w14:textId="77777777">
            <w:pPr>
              <w:rPr>
                <w:rFonts w:asciiTheme="majorHAnsi" w:hAnsiTheme="majorHAnsi" w:cstheme="majorHAnsi"/>
                <w:b/>
                <w:bCs/>
                <w:color w:val="000000"/>
                <w:sz w:val="18"/>
                <w:szCs w:val="18"/>
              </w:rPr>
            </w:pPr>
            <w:r w:rsidRPr="00FD022B">
              <w:rPr>
                <w:rFonts w:asciiTheme="majorHAnsi" w:hAnsiTheme="majorHAnsi" w:cstheme="majorHAnsi"/>
                <w:b/>
                <w:bCs/>
                <w:color w:val="000000"/>
                <w:sz w:val="18"/>
                <w:szCs w:val="18"/>
              </w:rPr>
              <w:t> </w:t>
            </w:r>
          </w:p>
        </w:tc>
        <w:tc>
          <w:tcPr>
            <w:tcW w:w="1082" w:type="dxa"/>
            <w:vMerge w:val="restart"/>
            <w:tcBorders>
              <w:top w:val="single" w:sz="12" w:space="0" w:color="auto"/>
              <w:left w:val="nil"/>
              <w:bottom w:val="single" w:sz="18" w:space="0" w:color="auto"/>
              <w:right w:val="nil"/>
            </w:tcBorders>
            <w:shd w:val="clear" w:color="auto" w:fill="auto"/>
            <w:vAlign w:val="center"/>
            <w:hideMark/>
          </w:tcPr>
          <w:p w:rsidR="00575CD4" w:rsidP="00575CD4" w14:paraId="61F16ECF" w14:textId="0634F3FD">
            <w:pPr>
              <w:rPr>
                <w:rFonts w:asciiTheme="majorHAnsi" w:hAnsiTheme="majorHAnsi" w:cstheme="majorHAnsi"/>
                <w:b/>
                <w:bCs/>
                <w:color w:val="000000"/>
                <w:sz w:val="18"/>
                <w:szCs w:val="18"/>
              </w:rPr>
            </w:pPr>
            <w:r w:rsidRPr="00FD022B">
              <w:rPr>
                <w:rFonts w:asciiTheme="majorHAnsi" w:hAnsiTheme="majorHAnsi" w:cstheme="majorHAnsi"/>
                <w:b/>
                <w:bCs/>
                <w:color w:val="000000"/>
                <w:sz w:val="18"/>
                <w:szCs w:val="18"/>
              </w:rPr>
              <w:t>Number</w:t>
            </w:r>
          </w:p>
          <w:p w:rsidR="00575CD4" w:rsidRPr="00575CD4" w:rsidP="00575CD4" w14:paraId="5256BDD9" w14:textId="77777777">
            <w:pPr>
              <w:rPr>
                <w:rFonts w:asciiTheme="majorHAnsi" w:hAnsiTheme="majorHAnsi" w:cstheme="majorHAnsi"/>
                <w:sz w:val="18"/>
                <w:szCs w:val="18"/>
              </w:rPr>
            </w:pPr>
          </w:p>
        </w:tc>
        <w:tc>
          <w:tcPr>
            <w:tcW w:w="1993" w:type="dxa"/>
            <w:gridSpan w:val="2"/>
            <w:tcBorders>
              <w:top w:val="single" w:sz="12" w:space="0" w:color="auto"/>
              <w:left w:val="nil"/>
              <w:bottom w:val="single" w:sz="8" w:space="0" w:color="auto"/>
              <w:right w:val="nil"/>
            </w:tcBorders>
            <w:shd w:val="clear" w:color="auto" w:fill="auto"/>
            <w:vAlign w:val="center"/>
            <w:hideMark/>
          </w:tcPr>
          <w:p w:rsidR="00F02B29" w:rsidRPr="00FD022B" w:rsidP="003906A7" w14:paraId="64BE03C6" w14:textId="77777777">
            <w:pPr>
              <w:jc w:val="right"/>
              <w:rPr>
                <w:rFonts w:asciiTheme="majorHAnsi" w:hAnsiTheme="majorHAnsi" w:cstheme="majorHAnsi"/>
                <w:b/>
                <w:bCs/>
                <w:color w:val="000000"/>
                <w:sz w:val="18"/>
                <w:szCs w:val="18"/>
              </w:rPr>
            </w:pPr>
            <w:r w:rsidRPr="00FD022B">
              <w:rPr>
                <w:rFonts w:asciiTheme="majorHAnsi" w:hAnsiTheme="majorHAnsi" w:cstheme="majorHAnsi"/>
                <w:b/>
                <w:bCs/>
                <w:color w:val="000000"/>
                <w:sz w:val="18"/>
                <w:szCs w:val="18"/>
              </w:rPr>
              <w:t>Eligible</w:t>
            </w:r>
            <w:r w:rsidRPr="00FD022B">
              <w:rPr>
                <w:rFonts w:asciiTheme="majorHAnsi" w:hAnsiTheme="majorHAnsi" w:cstheme="majorHAnsi"/>
                <w:b/>
                <w:bCs/>
                <w:color w:val="000000"/>
                <w:sz w:val="18"/>
                <w:szCs w:val="18"/>
                <w:vertAlign w:val="superscript"/>
              </w:rPr>
              <w:t>1</w:t>
            </w:r>
          </w:p>
        </w:tc>
        <w:tc>
          <w:tcPr>
            <w:tcW w:w="296" w:type="dxa"/>
            <w:vMerge w:val="restart"/>
            <w:tcBorders>
              <w:top w:val="single" w:sz="12" w:space="0" w:color="auto"/>
              <w:left w:val="nil"/>
              <w:bottom w:val="single" w:sz="8" w:space="0" w:color="000000" w:themeColor="text1"/>
              <w:right w:val="nil"/>
            </w:tcBorders>
            <w:shd w:val="clear" w:color="auto" w:fill="auto"/>
            <w:vAlign w:val="center"/>
            <w:hideMark/>
          </w:tcPr>
          <w:p w:rsidR="00F02B29" w:rsidRPr="00FD022B" w:rsidP="003906A7" w14:paraId="68A3A9E1" w14:textId="77777777">
            <w:pPr>
              <w:jc w:val="right"/>
              <w:rPr>
                <w:rFonts w:asciiTheme="majorHAnsi" w:hAnsiTheme="majorHAnsi" w:cstheme="majorHAnsi"/>
                <w:b/>
                <w:bCs/>
                <w:color w:val="000000"/>
                <w:sz w:val="18"/>
                <w:szCs w:val="18"/>
              </w:rPr>
            </w:pPr>
            <w:r w:rsidRPr="00FD022B">
              <w:rPr>
                <w:rFonts w:asciiTheme="majorHAnsi" w:hAnsiTheme="majorHAnsi" w:cstheme="majorHAnsi"/>
                <w:b/>
                <w:bCs/>
                <w:color w:val="000000"/>
                <w:sz w:val="18"/>
                <w:szCs w:val="18"/>
              </w:rPr>
              <w:t> </w:t>
            </w:r>
          </w:p>
        </w:tc>
        <w:tc>
          <w:tcPr>
            <w:tcW w:w="3735" w:type="dxa"/>
            <w:gridSpan w:val="2"/>
            <w:tcBorders>
              <w:top w:val="single" w:sz="12" w:space="0" w:color="auto"/>
              <w:left w:val="nil"/>
              <w:bottom w:val="single" w:sz="8" w:space="0" w:color="auto"/>
              <w:right w:val="nil"/>
            </w:tcBorders>
            <w:shd w:val="clear" w:color="auto" w:fill="auto"/>
            <w:vAlign w:val="center"/>
            <w:hideMark/>
          </w:tcPr>
          <w:p w:rsidR="00F02B29" w:rsidRPr="00FD022B" w:rsidP="003906A7" w14:paraId="69B90C9B" w14:textId="77777777">
            <w:pPr>
              <w:jc w:val="right"/>
              <w:rPr>
                <w:rFonts w:asciiTheme="majorHAnsi" w:hAnsiTheme="majorHAnsi" w:cstheme="majorHAnsi"/>
                <w:b/>
                <w:bCs/>
                <w:color w:val="000000"/>
                <w:sz w:val="18"/>
                <w:szCs w:val="18"/>
              </w:rPr>
            </w:pPr>
            <w:r w:rsidRPr="00FD022B">
              <w:rPr>
                <w:rFonts w:asciiTheme="majorHAnsi" w:hAnsiTheme="majorHAnsi" w:cstheme="majorHAnsi"/>
                <w:b/>
                <w:bCs/>
                <w:color w:val="000000"/>
                <w:sz w:val="18"/>
                <w:szCs w:val="18"/>
              </w:rPr>
              <w:t>Respondents</w:t>
            </w:r>
          </w:p>
        </w:tc>
      </w:tr>
      <w:tr w14:paraId="48007F12" w14:textId="77777777" w:rsidTr="00575CD4">
        <w:tblPrEx>
          <w:tblW w:w="10170" w:type="dxa"/>
          <w:tblLook w:val="04A0"/>
        </w:tblPrEx>
        <w:trPr>
          <w:trHeight w:val="330"/>
        </w:trPr>
        <w:tc>
          <w:tcPr>
            <w:tcW w:w="3064" w:type="dxa"/>
            <w:tcBorders>
              <w:top w:val="nil"/>
              <w:left w:val="nil"/>
              <w:bottom w:val="single" w:sz="6" w:space="0" w:color="auto"/>
              <w:right w:val="nil"/>
            </w:tcBorders>
            <w:shd w:val="clear" w:color="auto" w:fill="auto"/>
            <w:vAlign w:val="center"/>
            <w:hideMark/>
          </w:tcPr>
          <w:p w:rsidR="00F02B29" w:rsidRPr="00FD022B" w:rsidP="003906A7" w14:paraId="676306EE" w14:textId="77777777">
            <w:pPr>
              <w:rPr>
                <w:rFonts w:asciiTheme="majorHAnsi" w:hAnsiTheme="majorHAnsi" w:cstheme="majorHAnsi"/>
                <w:b/>
                <w:bCs/>
                <w:color w:val="000000"/>
                <w:sz w:val="18"/>
                <w:szCs w:val="18"/>
              </w:rPr>
            </w:pPr>
            <w:r w:rsidRPr="00FD022B">
              <w:rPr>
                <w:rFonts w:asciiTheme="majorHAnsi" w:hAnsiTheme="majorHAnsi" w:cstheme="majorHAnsi"/>
                <w:b/>
                <w:bCs/>
                <w:color w:val="000000"/>
                <w:sz w:val="18"/>
                <w:szCs w:val="18"/>
              </w:rPr>
              <w:t>NPSAS:20 full-scale outcome</w:t>
            </w:r>
          </w:p>
        </w:tc>
        <w:tc>
          <w:tcPr>
            <w:tcW w:w="1082" w:type="dxa"/>
            <w:vMerge/>
            <w:tcBorders>
              <w:top w:val="single" w:sz="8" w:space="0" w:color="000000" w:themeColor="text1"/>
              <w:bottom w:val="single" w:sz="6" w:space="0" w:color="auto"/>
            </w:tcBorders>
            <w:vAlign w:val="center"/>
            <w:hideMark/>
          </w:tcPr>
          <w:p w:rsidR="00F02B29" w:rsidRPr="00FD022B" w:rsidP="003906A7" w14:paraId="5D0DC82D" w14:textId="77777777">
            <w:pPr>
              <w:jc w:val="right"/>
              <w:rPr>
                <w:rFonts w:asciiTheme="majorHAnsi" w:hAnsiTheme="majorHAnsi" w:cstheme="majorHAnsi"/>
                <w:b/>
                <w:bCs/>
                <w:color w:val="000000"/>
                <w:sz w:val="18"/>
                <w:szCs w:val="18"/>
              </w:rPr>
            </w:pPr>
          </w:p>
        </w:tc>
        <w:tc>
          <w:tcPr>
            <w:tcW w:w="1082" w:type="dxa"/>
            <w:tcBorders>
              <w:top w:val="nil"/>
              <w:left w:val="nil"/>
              <w:bottom w:val="single" w:sz="6" w:space="0" w:color="auto"/>
              <w:right w:val="nil"/>
            </w:tcBorders>
            <w:shd w:val="clear" w:color="auto" w:fill="auto"/>
            <w:vAlign w:val="center"/>
            <w:hideMark/>
          </w:tcPr>
          <w:p w:rsidR="00F02B29" w:rsidRPr="00FD022B" w:rsidP="003906A7" w14:paraId="74C55FE1" w14:textId="77777777">
            <w:pPr>
              <w:jc w:val="right"/>
              <w:rPr>
                <w:rFonts w:asciiTheme="majorHAnsi" w:hAnsiTheme="majorHAnsi" w:cstheme="majorHAnsi"/>
                <w:b/>
                <w:bCs/>
                <w:color w:val="000000"/>
                <w:sz w:val="18"/>
                <w:szCs w:val="18"/>
              </w:rPr>
            </w:pPr>
            <w:r w:rsidRPr="00FD022B">
              <w:rPr>
                <w:rFonts w:asciiTheme="majorHAnsi" w:hAnsiTheme="majorHAnsi" w:cstheme="majorHAnsi"/>
                <w:b/>
                <w:bCs/>
                <w:color w:val="000000"/>
                <w:sz w:val="18"/>
                <w:szCs w:val="18"/>
              </w:rPr>
              <w:t>Number</w:t>
            </w:r>
          </w:p>
        </w:tc>
        <w:tc>
          <w:tcPr>
            <w:tcW w:w="911" w:type="dxa"/>
            <w:tcBorders>
              <w:top w:val="nil"/>
              <w:left w:val="nil"/>
              <w:bottom w:val="single" w:sz="6" w:space="0" w:color="auto"/>
              <w:right w:val="nil"/>
            </w:tcBorders>
            <w:shd w:val="clear" w:color="auto" w:fill="auto"/>
            <w:vAlign w:val="center"/>
            <w:hideMark/>
          </w:tcPr>
          <w:p w:rsidR="00F02B29" w:rsidRPr="00FD022B" w:rsidP="003906A7" w14:paraId="52FC2C67" w14:textId="77777777">
            <w:pPr>
              <w:jc w:val="right"/>
              <w:rPr>
                <w:rFonts w:asciiTheme="majorHAnsi" w:hAnsiTheme="majorHAnsi" w:cstheme="majorHAnsi"/>
                <w:b/>
                <w:bCs/>
                <w:color w:val="000000"/>
                <w:sz w:val="18"/>
                <w:szCs w:val="18"/>
              </w:rPr>
            </w:pPr>
            <w:r w:rsidRPr="00FD022B">
              <w:rPr>
                <w:rFonts w:asciiTheme="majorHAnsi" w:hAnsiTheme="majorHAnsi" w:cstheme="majorHAnsi"/>
                <w:b/>
                <w:bCs/>
                <w:color w:val="000000"/>
                <w:sz w:val="18"/>
                <w:szCs w:val="18"/>
              </w:rPr>
              <w:t>Rate</w:t>
            </w:r>
          </w:p>
        </w:tc>
        <w:tc>
          <w:tcPr>
            <w:tcW w:w="296" w:type="dxa"/>
            <w:vMerge/>
            <w:vAlign w:val="center"/>
            <w:hideMark/>
          </w:tcPr>
          <w:p w:rsidR="00F02B29" w:rsidRPr="00FD022B" w:rsidP="003906A7" w14:paraId="2F405A63" w14:textId="77777777">
            <w:pPr>
              <w:jc w:val="right"/>
              <w:rPr>
                <w:rFonts w:asciiTheme="majorHAnsi" w:hAnsiTheme="majorHAnsi" w:cstheme="majorHAnsi"/>
                <w:b/>
                <w:bCs/>
                <w:color w:val="000000"/>
                <w:sz w:val="18"/>
                <w:szCs w:val="18"/>
              </w:rPr>
            </w:pPr>
          </w:p>
        </w:tc>
        <w:tc>
          <w:tcPr>
            <w:tcW w:w="1935" w:type="dxa"/>
            <w:tcBorders>
              <w:top w:val="nil"/>
              <w:left w:val="nil"/>
              <w:bottom w:val="single" w:sz="8" w:space="0" w:color="auto"/>
              <w:right w:val="nil"/>
            </w:tcBorders>
            <w:shd w:val="clear" w:color="auto" w:fill="auto"/>
            <w:vAlign w:val="center"/>
            <w:hideMark/>
          </w:tcPr>
          <w:p w:rsidR="00F02B29" w:rsidRPr="00FD022B" w:rsidP="003906A7" w14:paraId="52D8622D" w14:textId="77777777">
            <w:pPr>
              <w:jc w:val="right"/>
              <w:rPr>
                <w:rFonts w:asciiTheme="majorHAnsi" w:hAnsiTheme="majorHAnsi" w:cstheme="majorHAnsi"/>
                <w:b/>
                <w:bCs/>
                <w:color w:val="000000"/>
                <w:sz w:val="18"/>
                <w:szCs w:val="18"/>
              </w:rPr>
            </w:pPr>
            <w:r w:rsidRPr="00FD022B">
              <w:rPr>
                <w:rFonts w:asciiTheme="majorHAnsi" w:hAnsiTheme="majorHAnsi" w:cstheme="majorHAnsi"/>
                <w:b/>
                <w:bCs/>
                <w:color w:val="000000"/>
                <w:sz w:val="18"/>
                <w:szCs w:val="18"/>
              </w:rPr>
              <w:t>Number</w:t>
            </w:r>
          </w:p>
        </w:tc>
        <w:tc>
          <w:tcPr>
            <w:tcW w:w="1800" w:type="dxa"/>
            <w:tcBorders>
              <w:top w:val="nil"/>
              <w:left w:val="nil"/>
              <w:bottom w:val="single" w:sz="8" w:space="0" w:color="auto"/>
              <w:right w:val="nil"/>
            </w:tcBorders>
            <w:shd w:val="clear" w:color="auto" w:fill="auto"/>
            <w:vAlign w:val="center"/>
            <w:hideMark/>
          </w:tcPr>
          <w:p w:rsidR="00F02B29" w:rsidRPr="00FD022B" w:rsidP="003906A7" w14:paraId="523B4CDC" w14:textId="77777777">
            <w:pPr>
              <w:jc w:val="right"/>
              <w:rPr>
                <w:rFonts w:asciiTheme="majorHAnsi" w:hAnsiTheme="majorHAnsi" w:cstheme="majorHAnsi"/>
                <w:b/>
                <w:bCs/>
                <w:color w:val="000000"/>
                <w:sz w:val="18"/>
                <w:szCs w:val="18"/>
              </w:rPr>
            </w:pPr>
            <w:r w:rsidRPr="00FD022B">
              <w:rPr>
                <w:rFonts w:asciiTheme="majorHAnsi" w:hAnsiTheme="majorHAnsi" w:cstheme="majorHAnsi"/>
                <w:b/>
                <w:bCs/>
                <w:color w:val="000000"/>
                <w:sz w:val="18"/>
                <w:szCs w:val="18"/>
              </w:rPr>
              <w:t>Rate</w:t>
            </w:r>
            <w:r w:rsidRPr="00FD022B">
              <w:rPr>
                <w:rFonts w:asciiTheme="majorHAnsi" w:hAnsiTheme="majorHAnsi" w:cstheme="majorHAnsi"/>
                <w:b/>
                <w:bCs/>
                <w:color w:val="000000"/>
                <w:sz w:val="18"/>
                <w:szCs w:val="18"/>
                <w:vertAlign w:val="superscript"/>
              </w:rPr>
              <w:t>2</w:t>
            </w:r>
          </w:p>
        </w:tc>
      </w:tr>
      <w:tr w14:paraId="42D11940" w14:textId="77777777" w:rsidTr="00575CD4">
        <w:tblPrEx>
          <w:tblW w:w="10170" w:type="dxa"/>
          <w:tblLook w:val="04A0"/>
        </w:tblPrEx>
        <w:trPr>
          <w:trHeight w:val="300"/>
        </w:trPr>
        <w:tc>
          <w:tcPr>
            <w:tcW w:w="3064" w:type="dxa"/>
            <w:tcBorders>
              <w:top w:val="single" w:sz="6" w:space="0" w:color="auto"/>
              <w:left w:val="nil"/>
              <w:bottom w:val="single" w:sz="4" w:space="0" w:color="auto"/>
              <w:right w:val="nil"/>
            </w:tcBorders>
            <w:shd w:val="clear" w:color="auto" w:fill="auto"/>
            <w:vAlign w:val="center"/>
            <w:hideMark/>
          </w:tcPr>
          <w:p w:rsidR="00F02B29" w:rsidRPr="00FD022B" w:rsidP="003906A7" w14:paraId="5617A5A3" w14:textId="77777777">
            <w:pPr>
              <w:rPr>
                <w:rFonts w:asciiTheme="majorHAnsi" w:hAnsiTheme="majorHAnsi" w:cstheme="majorHAnsi"/>
                <w:b/>
                <w:bCs/>
                <w:color w:val="000000"/>
                <w:sz w:val="18"/>
                <w:szCs w:val="18"/>
              </w:rPr>
            </w:pPr>
            <w:r w:rsidRPr="00FD022B">
              <w:rPr>
                <w:rFonts w:asciiTheme="majorHAnsi" w:hAnsiTheme="majorHAnsi" w:cstheme="majorHAnsi"/>
                <w:b/>
                <w:bCs/>
                <w:color w:val="000000"/>
                <w:sz w:val="18"/>
                <w:szCs w:val="18"/>
              </w:rPr>
              <w:t>Total</w:t>
            </w:r>
          </w:p>
        </w:tc>
        <w:tc>
          <w:tcPr>
            <w:tcW w:w="1082" w:type="dxa"/>
            <w:tcBorders>
              <w:top w:val="single" w:sz="6" w:space="0" w:color="auto"/>
              <w:left w:val="nil"/>
              <w:bottom w:val="single" w:sz="4" w:space="0" w:color="auto"/>
              <w:right w:val="nil"/>
            </w:tcBorders>
            <w:shd w:val="clear" w:color="auto" w:fill="auto"/>
            <w:vAlign w:val="center"/>
            <w:hideMark/>
          </w:tcPr>
          <w:p w:rsidR="00F02B29" w:rsidRPr="00FD022B" w:rsidP="003906A7" w14:paraId="643A3EB8" w14:textId="77777777">
            <w:pPr>
              <w:jc w:val="right"/>
              <w:rPr>
                <w:rFonts w:asciiTheme="majorHAnsi" w:hAnsiTheme="majorHAnsi" w:cstheme="majorHAnsi"/>
                <w:b/>
                <w:bCs/>
                <w:color w:val="000000"/>
                <w:sz w:val="18"/>
                <w:szCs w:val="18"/>
              </w:rPr>
            </w:pPr>
            <w:r w:rsidRPr="00FD022B">
              <w:rPr>
                <w:rFonts w:asciiTheme="majorHAnsi" w:hAnsiTheme="majorHAnsi" w:cstheme="majorHAnsi"/>
                <w:b/>
                <w:bCs/>
                <w:color w:val="000000"/>
                <w:sz w:val="18"/>
                <w:szCs w:val="18"/>
              </w:rPr>
              <w:t>37,330</w:t>
            </w:r>
          </w:p>
        </w:tc>
        <w:tc>
          <w:tcPr>
            <w:tcW w:w="1082" w:type="dxa"/>
            <w:tcBorders>
              <w:top w:val="single" w:sz="6" w:space="0" w:color="auto"/>
              <w:left w:val="nil"/>
              <w:bottom w:val="single" w:sz="4" w:space="0" w:color="auto"/>
              <w:right w:val="nil"/>
            </w:tcBorders>
            <w:shd w:val="clear" w:color="auto" w:fill="auto"/>
            <w:vAlign w:val="center"/>
            <w:hideMark/>
          </w:tcPr>
          <w:p w:rsidR="00F02B29" w:rsidRPr="00FD022B" w:rsidP="003906A7" w14:paraId="29851740" w14:textId="77777777">
            <w:pPr>
              <w:jc w:val="right"/>
              <w:rPr>
                <w:rFonts w:asciiTheme="majorHAnsi" w:hAnsiTheme="majorHAnsi" w:cstheme="majorHAnsi"/>
                <w:b/>
                <w:bCs/>
                <w:color w:val="000000"/>
                <w:sz w:val="18"/>
                <w:szCs w:val="18"/>
              </w:rPr>
            </w:pPr>
            <w:r w:rsidRPr="00FD022B">
              <w:rPr>
                <w:rFonts w:asciiTheme="majorHAnsi" w:hAnsiTheme="majorHAnsi" w:cstheme="majorHAnsi"/>
                <w:b/>
                <w:bCs/>
                <w:color w:val="000000"/>
                <w:sz w:val="18"/>
                <w:szCs w:val="18"/>
              </w:rPr>
              <w:t>34,240</w:t>
            </w:r>
          </w:p>
        </w:tc>
        <w:tc>
          <w:tcPr>
            <w:tcW w:w="911" w:type="dxa"/>
            <w:tcBorders>
              <w:top w:val="single" w:sz="6" w:space="0" w:color="auto"/>
              <w:left w:val="nil"/>
              <w:bottom w:val="single" w:sz="4" w:space="0" w:color="auto"/>
              <w:right w:val="nil"/>
            </w:tcBorders>
            <w:shd w:val="clear" w:color="auto" w:fill="auto"/>
            <w:vAlign w:val="center"/>
            <w:hideMark/>
          </w:tcPr>
          <w:p w:rsidR="00F02B29" w:rsidRPr="00FD022B" w:rsidP="003906A7" w14:paraId="71D9B622" w14:textId="77777777">
            <w:pPr>
              <w:jc w:val="right"/>
              <w:rPr>
                <w:rFonts w:asciiTheme="majorHAnsi" w:hAnsiTheme="majorHAnsi" w:cstheme="majorHAnsi"/>
                <w:b/>
                <w:bCs/>
                <w:color w:val="000000"/>
                <w:sz w:val="18"/>
                <w:szCs w:val="18"/>
              </w:rPr>
            </w:pPr>
            <w:r w:rsidRPr="00FD022B">
              <w:rPr>
                <w:rFonts w:asciiTheme="majorHAnsi" w:hAnsiTheme="majorHAnsi" w:cstheme="majorHAnsi"/>
                <w:b/>
                <w:bCs/>
                <w:color w:val="000000"/>
                <w:sz w:val="18"/>
                <w:szCs w:val="18"/>
              </w:rPr>
              <w:t>92%</w:t>
            </w:r>
          </w:p>
        </w:tc>
        <w:tc>
          <w:tcPr>
            <w:tcW w:w="296" w:type="dxa"/>
            <w:tcBorders>
              <w:top w:val="nil"/>
              <w:left w:val="nil"/>
              <w:bottom w:val="single" w:sz="4" w:space="0" w:color="auto"/>
              <w:right w:val="nil"/>
            </w:tcBorders>
            <w:shd w:val="clear" w:color="auto" w:fill="auto"/>
            <w:hideMark/>
          </w:tcPr>
          <w:p w:rsidR="00F02B29" w:rsidRPr="00FD022B" w:rsidP="003906A7" w14:paraId="482D25EB" w14:textId="77777777">
            <w:pPr>
              <w:jc w:val="right"/>
              <w:rPr>
                <w:rFonts w:asciiTheme="majorHAnsi" w:hAnsiTheme="majorHAnsi" w:cstheme="majorHAnsi"/>
                <w:b/>
                <w:bCs/>
                <w:color w:val="000000"/>
                <w:sz w:val="18"/>
                <w:szCs w:val="18"/>
              </w:rPr>
            </w:pPr>
          </w:p>
        </w:tc>
        <w:tc>
          <w:tcPr>
            <w:tcW w:w="1935" w:type="dxa"/>
            <w:tcBorders>
              <w:top w:val="nil"/>
              <w:left w:val="nil"/>
              <w:bottom w:val="single" w:sz="4" w:space="0" w:color="auto"/>
              <w:right w:val="nil"/>
            </w:tcBorders>
            <w:shd w:val="clear" w:color="auto" w:fill="auto"/>
            <w:vAlign w:val="center"/>
            <w:hideMark/>
          </w:tcPr>
          <w:p w:rsidR="00F02B29" w:rsidRPr="00FD022B" w:rsidP="003906A7" w14:paraId="0714940C" w14:textId="52ADB20E">
            <w:pPr>
              <w:jc w:val="right"/>
              <w:rPr>
                <w:rFonts w:asciiTheme="majorHAnsi" w:hAnsiTheme="majorHAnsi" w:cstheme="majorBidi"/>
                <w:b/>
                <w:color w:val="000000"/>
                <w:sz w:val="18"/>
                <w:szCs w:val="18"/>
              </w:rPr>
            </w:pPr>
            <w:r w:rsidRPr="000D1BC6">
              <w:rPr>
                <w:rFonts w:asciiTheme="majorHAnsi" w:hAnsiTheme="majorHAnsi" w:cstheme="majorBidi"/>
                <w:b/>
                <w:color w:val="000000" w:themeColor="text1"/>
                <w:sz w:val="18"/>
                <w:szCs w:val="18"/>
              </w:rPr>
              <w:t>22,</w:t>
            </w:r>
            <w:r w:rsidRPr="000D1BC6" w:rsidR="009D25B6">
              <w:rPr>
                <w:rFonts w:asciiTheme="majorHAnsi" w:hAnsiTheme="majorHAnsi" w:cstheme="majorBidi"/>
                <w:b/>
                <w:color w:val="000000" w:themeColor="text1"/>
                <w:sz w:val="18"/>
                <w:szCs w:val="18"/>
              </w:rPr>
              <w:t>3</w:t>
            </w:r>
            <w:r w:rsidRPr="000D1BC6" w:rsidR="008D1FFE">
              <w:rPr>
                <w:rFonts w:asciiTheme="majorHAnsi" w:hAnsiTheme="majorHAnsi" w:cstheme="majorBidi"/>
                <w:b/>
                <w:color w:val="000000" w:themeColor="text1"/>
                <w:sz w:val="18"/>
                <w:szCs w:val="18"/>
              </w:rPr>
              <w:t>2</w:t>
            </w:r>
            <w:r w:rsidRPr="000D1BC6" w:rsidR="009D25B6">
              <w:rPr>
                <w:rFonts w:asciiTheme="majorHAnsi" w:hAnsiTheme="majorHAnsi" w:cstheme="majorBidi"/>
                <w:b/>
                <w:color w:val="000000" w:themeColor="text1"/>
                <w:sz w:val="18"/>
                <w:szCs w:val="18"/>
              </w:rPr>
              <w:t>0</w:t>
            </w:r>
          </w:p>
        </w:tc>
        <w:tc>
          <w:tcPr>
            <w:tcW w:w="1800" w:type="dxa"/>
            <w:tcBorders>
              <w:top w:val="nil"/>
              <w:left w:val="nil"/>
              <w:bottom w:val="single" w:sz="4" w:space="0" w:color="auto"/>
              <w:right w:val="nil"/>
            </w:tcBorders>
            <w:shd w:val="clear" w:color="auto" w:fill="auto"/>
            <w:vAlign w:val="center"/>
            <w:hideMark/>
          </w:tcPr>
          <w:p w:rsidR="00F02B29" w:rsidRPr="00FD022B" w:rsidP="003906A7" w14:paraId="3B804483" w14:textId="77777777">
            <w:pPr>
              <w:jc w:val="right"/>
              <w:rPr>
                <w:rFonts w:asciiTheme="majorHAnsi" w:hAnsiTheme="majorHAnsi" w:cstheme="majorHAnsi"/>
                <w:b/>
                <w:bCs/>
                <w:color w:val="000000"/>
                <w:sz w:val="18"/>
                <w:szCs w:val="18"/>
              </w:rPr>
            </w:pPr>
            <w:r w:rsidRPr="00FD022B">
              <w:rPr>
                <w:rFonts w:asciiTheme="majorHAnsi" w:hAnsiTheme="majorHAnsi" w:cstheme="majorHAnsi"/>
                <w:b/>
                <w:bCs/>
                <w:color w:val="000000"/>
                <w:sz w:val="18"/>
                <w:szCs w:val="18"/>
              </w:rPr>
              <w:t>65%</w:t>
            </w:r>
          </w:p>
        </w:tc>
      </w:tr>
      <w:tr w14:paraId="36ACA29A" w14:textId="77777777" w:rsidTr="003906A7">
        <w:tblPrEx>
          <w:tblW w:w="10170" w:type="dxa"/>
          <w:tblLook w:val="04A0"/>
        </w:tblPrEx>
        <w:trPr>
          <w:trHeight w:val="300"/>
        </w:trPr>
        <w:tc>
          <w:tcPr>
            <w:tcW w:w="3064" w:type="dxa"/>
            <w:tcBorders>
              <w:top w:val="single" w:sz="4" w:space="0" w:color="auto"/>
              <w:left w:val="nil"/>
              <w:bottom w:val="nil"/>
              <w:right w:val="nil"/>
            </w:tcBorders>
            <w:shd w:val="clear" w:color="auto" w:fill="auto"/>
            <w:vAlign w:val="center"/>
            <w:hideMark/>
          </w:tcPr>
          <w:p w:rsidR="00F02B29" w:rsidRPr="00FD022B" w:rsidP="003906A7" w14:paraId="6AC286E9" w14:textId="77777777">
            <w:pPr>
              <w:rPr>
                <w:rFonts w:asciiTheme="majorHAnsi" w:hAnsiTheme="majorHAnsi" w:cstheme="majorHAnsi"/>
                <w:color w:val="000000"/>
                <w:sz w:val="18"/>
                <w:szCs w:val="18"/>
              </w:rPr>
            </w:pPr>
            <w:r w:rsidRPr="00FD022B">
              <w:rPr>
                <w:rFonts w:asciiTheme="majorHAnsi" w:hAnsiTheme="majorHAnsi" w:cstheme="majorHAnsi"/>
                <w:color w:val="000000"/>
                <w:sz w:val="18"/>
                <w:szCs w:val="18"/>
              </w:rPr>
              <w:t>NPSAS Survey respondents</w:t>
            </w:r>
          </w:p>
        </w:tc>
        <w:tc>
          <w:tcPr>
            <w:tcW w:w="1082" w:type="dxa"/>
            <w:tcBorders>
              <w:top w:val="single" w:sz="4" w:space="0" w:color="auto"/>
              <w:left w:val="nil"/>
              <w:bottom w:val="nil"/>
              <w:right w:val="nil"/>
            </w:tcBorders>
            <w:shd w:val="clear" w:color="auto" w:fill="auto"/>
            <w:vAlign w:val="center"/>
            <w:hideMark/>
          </w:tcPr>
          <w:p w:rsidR="00F02B29" w:rsidRPr="00FD022B" w:rsidP="003906A7" w14:paraId="43BE909B" w14:textId="77777777">
            <w:pPr>
              <w:jc w:val="right"/>
              <w:rPr>
                <w:rFonts w:asciiTheme="majorHAnsi" w:hAnsiTheme="majorHAnsi" w:cstheme="majorHAnsi"/>
                <w:color w:val="000000"/>
                <w:sz w:val="18"/>
                <w:szCs w:val="18"/>
              </w:rPr>
            </w:pPr>
            <w:r w:rsidRPr="00FD022B">
              <w:rPr>
                <w:rFonts w:asciiTheme="majorHAnsi" w:hAnsiTheme="majorHAnsi" w:cstheme="majorHAnsi"/>
                <w:color w:val="000000"/>
                <w:sz w:val="18"/>
                <w:szCs w:val="18"/>
              </w:rPr>
              <w:t>26,470</w:t>
            </w:r>
          </w:p>
        </w:tc>
        <w:tc>
          <w:tcPr>
            <w:tcW w:w="1082" w:type="dxa"/>
            <w:tcBorders>
              <w:top w:val="single" w:sz="4" w:space="0" w:color="auto"/>
              <w:left w:val="nil"/>
              <w:bottom w:val="nil"/>
              <w:right w:val="nil"/>
            </w:tcBorders>
            <w:shd w:val="clear" w:color="auto" w:fill="auto"/>
            <w:vAlign w:val="center"/>
            <w:hideMark/>
          </w:tcPr>
          <w:p w:rsidR="00F02B29" w:rsidRPr="00FD022B" w:rsidP="003906A7" w14:paraId="00BE5CBC" w14:textId="77777777">
            <w:pPr>
              <w:jc w:val="right"/>
              <w:rPr>
                <w:rFonts w:asciiTheme="majorHAnsi" w:hAnsiTheme="majorHAnsi" w:cstheme="majorHAnsi"/>
                <w:color w:val="000000"/>
                <w:sz w:val="18"/>
                <w:szCs w:val="18"/>
              </w:rPr>
            </w:pPr>
            <w:r w:rsidRPr="00FD022B">
              <w:rPr>
                <w:rFonts w:asciiTheme="majorHAnsi" w:hAnsiTheme="majorHAnsi" w:cstheme="majorHAnsi"/>
                <w:color w:val="000000"/>
                <w:sz w:val="18"/>
                <w:szCs w:val="18"/>
              </w:rPr>
              <w:t>25,230</w:t>
            </w:r>
          </w:p>
        </w:tc>
        <w:tc>
          <w:tcPr>
            <w:tcW w:w="911" w:type="dxa"/>
            <w:tcBorders>
              <w:top w:val="single" w:sz="4" w:space="0" w:color="auto"/>
              <w:left w:val="nil"/>
              <w:bottom w:val="nil"/>
              <w:right w:val="nil"/>
            </w:tcBorders>
            <w:shd w:val="clear" w:color="auto" w:fill="auto"/>
            <w:vAlign w:val="center"/>
            <w:hideMark/>
          </w:tcPr>
          <w:p w:rsidR="00F02B29" w:rsidRPr="00FD022B" w:rsidP="003906A7" w14:paraId="21F84448" w14:textId="77777777">
            <w:pPr>
              <w:jc w:val="right"/>
              <w:rPr>
                <w:rFonts w:asciiTheme="majorHAnsi" w:hAnsiTheme="majorHAnsi" w:cstheme="majorHAnsi"/>
                <w:color w:val="000000"/>
                <w:sz w:val="18"/>
                <w:szCs w:val="18"/>
              </w:rPr>
            </w:pPr>
            <w:r w:rsidRPr="00FD022B">
              <w:rPr>
                <w:rFonts w:asciiTheme="majorHAnsi" w:hAnsiTheme="majorHAnsi" w:cstheme="majorHAnsi"/>
                <w:color w:val="000000"/>
                <w:sz w:val="18"/>
                <w:szCs w:val="18"/>
              </w:rPr>
              <w:t>95%</w:t>
            </w:r>
          </w:p>
        </w:tc>
        <w:tc>
          <w:tcPr>
            <w:tcW w:w="296" w:type="dxa"/>
            <w:tcBorders>
              <w:top w:val="single" w:sz="4" w:space="0" w:color="auto"/>
              <w:left w:val="nil"/>
              <w:bottom w:val="nil"/>
              <w:right w:val="nil"/>
            </w:tcBorders>
            <w:shd w:val="clear" w:color="auto" w:fill="auto"/>
            <w:hideMark/>
          </w:tcPr>
          <w:p w:rsidR="00F02B29" w:rsidRPr="00FD022B" w:rsidP="003906A7" w14:paraId="4C604989" w14:textId="77777777">
            <w:pPr>
              <w:jc w:val="right"/>
              <w:rPr>
                <w:rFonts w:asciiTheme="majorHAnsi" w:hAnsiTheme="majorHAnsi" w:cstheme="majorHAnsi"/>
                <w:color w:val="000000"/>
                <w:sz w:val="18"/>
                <w:szCs w:val="18"/>
              </w:rPr>
            </w:pPr>
          </w:p>
        </w:tc>
        <w:tc>
          <w:tcPr>
            <w:tcW w:w="1935" w:type="dxa"/>
            <w:tcBorders>
              <w:top w:val="single" w:sz="4" w:space="0" w:color="auto"/>
              <w:left w:val="nil"/>
              <w:bottom w:val="nil"/>
              <w:right w:val="nil"/>
            </w:tcBorders>
            <w:shd w:val="clear" w:color="auto" w:fill="auto"/>
            <w:vAlign w:val="center"/>
            <w:hideMark/>
          </w:tcPr>
          <w:p w:rsidR="00F02B29" w:rsidRPr="00FD022B" w:rsidP="003906A7" w14:paraId="24F1E7C6" w14:textId="77777777">
            <w:pPr>
              <w:jc w:val="right"/>
              <w:rPr>
                <w:rFonts w:asciiTheme="majorHAnsi" w:hAnsiTheme="majorHAnsi" w:cstheme="majorHAnsi"/>
                <w:color w:val="000000"/>
                <w:sz w:val="18"/>
                <w:szCs w:val="18"/>
              </w:rPr>
            </w:pPr>
            <w:r w:rsidRPr="00FD022B">
              <w:rPr>
                <w:rFonts w:asciiTheme="majorHAnsi" w:hAnsiTheme="majorHAnsi" w:cstheme="majorHAnsi"/>
                <w:color w:val="000000"/>
                <w:sz w:val="18"/>
                <w:szCs w:val="18"/>
              </w:rPr>
              <w:t>18,9</w:t>
            </w:r>
            <w:r>
              <w:rPr>
                <w:rFonts w:asciiTheme="majorHAnsi" w:hAnsiTheme="majorHAnsi" w:cstheme="majorHAnsi"/>
                <w:color w:val="000000"/>
                <w:sz w:val="18"/>
                <w:szCs w:val="18"/>
              </w:rPr>
              <w:t>0</w:t>
            </w:r>
            <w:r w:rsidRPr="00FD022B">
              <w:rPr>
                <w:rFonts w:asciiTheme="majorHAnsi" w:hAnsiTheme="majorHAnsi" w:cstheme="majorHAnsi"/>
                <w:color w:val="000000"/>
                <w:sz w:val="18"/>
                <w:szCs w:val="18"/>
              </w:rPr>
              <w:t>0</w:t>
            </w:r>
          </w:p>
        </w:tc>
        <w:tc>
          <w:tcPr>
            <w:tcW w:w="1800" w:type="dxa"/>
            <w:tcBorders>
              <w:top w:val="single" w:sz="4" w:space="0" w:color="auto"/>
              <w:left w:val="nil"/>
              <w:bottom w:val="nil"/>
              <w:right w:val="nil"/>
            </w:tcBorders>
            <w:shd w:val="clear" w:color="auto" w:fill="auto"/>
            <w:vAlign w:val="center"/>
            <w:hideMark/>
          </w:tcPr>
          <w:p w:rsidR="00F02B29" w:rsidRPr="00FD022B" w:rsidP="003906A7" w14:paraId="6F554E60" w14:textId="77777777">
            <w:pPr>
              <w:jc w:val="right"/>
              <w:rPr>
                <w:rFonts w:asciiTheme="majorHAnsi" w:hAnsiTheme="majorHAnsi" w:cstheme="majorHAnsi"/>
                <w:color w:val="000000"/>
                <w:sz w:val="18"/>
                <w:szCs w:val="18"/>
              </w:rPr>
            </w:pPr>
            <w:r w:rsidRPr="00FD022B">
              <w:rPr>
                <w:rFonts w:asciiTheme="majorHAnsi" w:hAnsiTheme="majorHAnsi" w:cstheme="majorHAnsi"/>
                <w:color w:val="000000"/>
                <w:sz w:val="18"/>
                <w:szCs w:val="18"/>
              </w:rPr>
              <w:t>75%</w:t>
            </w:r>
          </w:p>
        </w:tc>
      </w:tr>
      <w:tr w14:paraId="0EFA6BA8" w14:textId="77777777" w:rsidTr="003906A7">
        <w:tblPrEx>
          <w:tblW w:w="10170" w:type="dxa"/>
          <w:tblLook w:val="04A0"/>
        </w:tblPrEx>
        <w:trPr>
          <w:trHeight w:val="300"/>
        </w:trPr>
        <w:tc>
          <w:tcPr>
            <w:tcW w:w="3064" w:type="dxa"/>
            <w:tcBorders>
              <w:top w:val="nil"/>
              <w:left w:val="nil"/>
              <w:bottom w:val="nil"/>
              <w:right w:val="nil"/>
            </w:tcBorders>
            <w:shd w:val="clear" w:color="auto" w:fill="auto"/>
            <w:vAlign w:val="center"/>
            <w:hideMark/>
          </w:tcPr>
          <w:p w:rsidR="00F02B29" w:rsidRPr="00FD022B" w:rsidP="003906A7" w14:paraId="17E6ACD0" w14:textId="77777777">
            <w:pPr>
              <w:rPr>
                <w:rFonts w:asciiTheme="majorHAnsi" w:hAnsiTheme="majorHAnsi" w:cstheme="majorHAnsi"/>
                <w:color w:val="000000"/>
                <w:sz w:val="18"/>
                <w:szCs w:val="18"/>
              </w:rPr>
            </w:pPr>
            <w:r w:rsidRPr="00FD022B">
              <w:rPr>
                <w:rFonts w:asciiTheme="majorHAnsi" w:hAnsiTheme="majorHAnsi" w:cstheme="majorHAnsi"/>
                <w:color w:val="000000"/>
                <w:sz w:val="18"/>
                <w:szCs w:val="18"/>
              </w:rPr>
              <w:t>NPSAS Survey nonrespondents</w:t>
            </w:r>
          </w:p>
        </w:tc>
        <w:tc>
          <w:tcPr>
            <w:tcW w:w="1082" w:type="dxa"/>
            <w:tcBorders>
              <w:top w:val="nil"/>
              <w:left w:val="nil"/>
              <w:bottom w:val="nil"/>
              <w:right w:val="nil"/>
            </w:tcBorders>
            <w:shd w:val="clear" w:color="auto" w:fill="auto"/>
            <w:vAlign w:val="center"/>
            <w:hideMark/>
          </w:tcPr>
          <w:p w:rsidR="00F02B29" w:rsidRPr="00FD022B" w:rsidP="003906A7" w14:paraId="07806A41" w14:textId="77777777">
            <w:pPr>
              <w:jc w:val="right"/>
              <w:rPr>
                <w:rFonts w:asciiTheme="majorHAnsi" w:hAnsiTheme="majorHAnsi" w:cstheme="majorHAnsi"/>
                <w:color w:val="000000"/>
                <w:sz w:val="18"/>
                <w:szCs w:val="18"/>
              </w:rPr>
            </w:pPr>
            <w:r w:rsidRPr="00FD022B">
              <w:rPr>
                <w:rFonts w:asciiTheme="majorHAnsi" w:hAnsiTheme="majorHAnsi" w:cstheme="majorHAnsi"/>
                <w:color w:val="000000"/>
                <w:sz w:val="18"/>
                <w:szCs w:val="18"/>
              </w:rPr>
              <w:t>5,510</w:t>
            </w:r>
          </w:p>
        </w:tc>
        <w:tc>
          <w:tcPr>
            <w:tcW w:w="1082" w:type="dxa"/>
            <w:tcBorders>
              <w:top w:val="nil"/>
              <w:left w:val="nil"/>
              <w:bottom w:val="nil"/>
              <w:right w:val="nil"/>
            </w:tcBorders>
            <w:shd w:val="clear" w:color="auto" w:fill="auto"/>
            <w:vAlign w:val="center"/>
            <w:hideMark/>
          </w:tcPr>
          <w:p w:rsidR="00F02B29" w:rsidRPr="00FD022B" w:rsidP="003906A7" w14:paraId="6478E60D" w14:textId="77777777">
            <w:pPr>
              <w:jc w:val="right"/>
              <w:rPr>
                <w:rFonts w:asciiTheme="majorHAnsi" w:hAnsiTheme="majorHAnsi" w:cstheme="majorHAnsi"/>
                <w:color w:val="000000"/>
                <w:sz w:val="18"/>
                <w:szCs w:val="18"/>
              </w:rPr>
            </w:pPr>
            <w:r w:rsidRPr="00FD022B">
              <w:rPr>
                <w:rFonts w:asciiTheme="majorHAnsi" w:hAnsiTheme="majorHAnsi" w:cstheme="majorHAnsi"/>
                <w:color w:val="000000"/>
                <w:sz w:val="18"/>
                <w:szCs w:val="18"/>
              </w:rPr>
              <w:t>4,470</w:t>
            </w:r>
          </w:p>
        </w:tc>
        <w:tc>
          <w:tcPr>
            <w:tcW w:w="911" w:type="dxa"/>
            <w:tcBorders>
              <w:top w:val="nil"/>
              <w:left w:val="nil"/>
              <w:bottom w:val="nil"/>
              <w:right w:val="nil"/>
            </w:tcBorders>
            <w:shd w:val="clear" w:color="auto" w:fill="auto"/>
            <w:vAlign w:val="center"/>
            <w:hideMark/>
          </w:tcPr>
          <w:p w:rsidR="00F02B29" w:rsidRPr="00FD022B" w:rsidP="003906A7" w14:paraId="0D1E6189" w14:textId="77777777">
            <w:pPr>
              <w:jc w:val="right"/>
              <w:rPr>
                <w:rFonts w:asciiTheme="majorHAnsi" w:hAnsiTheme="majorHAnsi" w:cstheme="majorHAnsi"/>
                <w:color w:val="000000"/>
                <w:sz w:val="18"/>
                <w:szCs w:val="18"/>
              </w:rPr>
            </w:pPr>
            <w:r w:rsidRPr="00FD022B">
              <w:rPr>
                <w:rFonts w:asciiTheme="majorHAnsi" w:hAnsiTheme="majorHAnsi" w:cstheme="majorHAnsi"/>
                <w:color w:val="000000"/>
                <w:sz w:val="18"/>
                <w:szCs w:val="18"/>
              </w:rPr>
              <w:t>81%</w:t>
            </w:r>
          </w:p>
        </w:tc>
        <w:tc>
          <w:tcPr>
            <w:tcW w:w="296" w:type="dxa"/>
            <w:tcBorders>
              <w:top w:val="nil"/>
              <w:left w:val="nil"/>
              <w:bottom w:val="nil"/>
              <w:right w:val="nil"/>
            </w:tcBorders>
            <w:shd w:val="clear" w:color="auto" w:fill="auto"/>
            <w:hideMark/>
          </w:tcPr>
          <w:p w:rsidR="00F02B29" w:rsidRPr="00FD022B" w:rsidP="003906A7" w14:paraId="61906BF5" w14:textId="77777777">
            <w:pPr>
              <w:jc w:val="right"/>
              <w:rPr>
                <w:rFonts w:asciiTheme="majorHAnsi" w:hAnsiTheme="majorHAnsi" w:cstheme="majorHAnsi"/>
                <w:color w:val="000000"/>
                <w:sz w:val="18"/>
                <w:szCs w:val="18"/>
              </w:rPr>
            </w:pPr>
          </w:p>
        </w:tc>
        <w:tc>
          <w:tcPr>
            <w:tcW w:w="1935" w:type="dxa"/>
            <w:tcBorders>
              <w:top w:val="nil"/>
              <w:left w:val="nil"/>
              <w:bottom w:val="nil"/>
              <w:right w:val="nil"/>
            </w:tcBorders>
            <w:shd w:val="clear" w:color="auto" w:fill="auto"/>
            <w:vAlign w:val="center"/>
            <w:hideMark/>
          </w:tcPr>
          <w:p w:rsidR="00F02B29" w:rsidRPr="00FD022B" w:rsidP="003906A7" w14:paraId="7C8A6FC4" w14:textId="77777777">
            <w:pPr>
              <w:jc w:val="right"/>
              <w:rPr>
                <w:rFonts w:asciiTheme="majorHAnsi" w:hAnsiTheme="majorHAnsi" w:cstheme="majorHAnsi"/>
                <w:color w:val="000000"/>
                <w:sz w:val="18"/>
                <w:szCs w:val="18"/>
              </w:rPr>
            </w:pPr>
            <w:r w:rsidRPr="00FD022B">
              <w:rPr>
                <w:rFonts w:asciiTheme="majorHAnsi" w:hAnsiTheme="majorHAnsi" w:cstheme="majorHAnsi"/>
                <w:color w:val="000000"/>
                <w:sz w:val="18"/>
                <w:szCs w:val="18"/>
              </w:rPr>
              <w:t>9</w:t>
            </w:r>
            <w:r>
              <w:rPr>
                <w:rFonts w:asciiTheme="majorHAnsi" w:hAnsiTheme="majorHAnsi" w:cstheme="majorHAnsi"/>
                <w:color w:val="000000"/>
                <w:sz w:val="18"/>
                <w:szCs w:val="18"/>
              </w:rPr>
              <w:t>8</w:t>
            </w:r>
            <w:r w:rsidRPr="00FD022B">
              <w:rPr>
                <w:rFonts w:asciiTheme="majorHAnsi" w:hAnsiTheme="majorHAnsi" w:cstheme="majorHAnsi"/>
                <w:color w:val="000000"/>
                <w:sz w:val="18"/>
                <w:szCs w:val="18"/>
              </w:rPr>
              <w:t>0</w:t>
            </w:r>
          </w:p>
        </w:tc>
        <w:tc>
          <w:tcPr>
            <w:tcW w:w="1800" w:type="dxa"/>
            <w:tcBorders>
              <w:top w:val="nil"/>
              <w:left w:val="nil"/>
              <w:bottom w:val="nil"/>
              <w:right w:val="nil"/>
            </w:tcBorders>
            <w:shd w:val="clear" w:color="auto" w:fill="auto"/>
            <w:vAlign w:val="center"/>
            <w:hideMark/>
          </w:tcPr>
          <w:p w:rsidR="00F02B29" w:rsidRPr="00FD022B" w:rsidP="003906A7" w14:paraId="65EEA345" w14:textId="77777777">
            <w:pPr>
              <w:jc w:val="right"/>
              <w:rPr>
                <w:rFonts w:asciiTheme="majorHAnsi" w:hAnsiTheme="majorHAnsi" w:cstheme="majorHAnsi"/>
                <w:color w:val="000000"/>
                <w:sz w:val="18"/>
                <w:szCs w:val="18"/>
              </w:rPr>
            </w:pPr>
            <w:r w:rsidRPr="00FD022B">
              <w:rPr>
                <w:rFonts w:asciiTheme="majorHAnsi" w:hAnsiTheme="majorHAnsi" w:cstheme="majorHAnsi"/>
                <w:color w:val="000000"/>
                <w:sz w:val="18"/>
                <w:szCs w:val="18"/>
              </w:rPr>
              <w:t>22%</w:t>
            </w:r>
          </w:p>
        </w:tc>
      </w:tr>
      <w:tr w14:paraId="1E4B0F81" w14:textId="77777777" w:rsidTr="003906A7">
        <w:tblPrEx>
          <w:tblW w:w="10170" w:type="dxa"/>
          <w:tblLook w:val="04A0"/>
        </w:tblPrEx>
        <w:trPr>
          <w:trHeight w:val="315"/>
        </w:trPr>
        <w:tc>
          <w:tcPr>
            <w:tcW w:w="3064" w:type="dxa"/>
            <w:tcBorders>
              <w:top w:val="nil"/>
              <w:left w:val="nil"/>
              <w:bottom w:val="single" w:sz="12" w:space="0" w:color="auto"/>
              <w:right w:val="nil"/>
            </w:tcBorders>
            <w:shd w:val="clear" w:color="auto" w:fill="auto"/>
            <w:vAlign w:val="center"/>
            <w:hideMark/>
          </w:tcPr>
          <w:p w:rsidR="00F02B29" w:rsidRPr="00FD022B" w:rsidP="003906A7" w14:paraId="3800BA7D" w14:textId="77777777">
            <w:pPr>
              <w:rPr>
                <w:rFonts w:asciiTheme="majorHAnsi" w:hAnsiTheme="majorHAnsi" w:cstheme="majorHAnsi"/>
                <w:color w:val="000000"/>
                <w:sz w:val="18"/>
                <w:szCs w:val="18"/>
              </w:rPr>
            </w:pPr>
            <w:r w:rsidRPr="00FD022B">
              <w:rPr>
                <w:rFonts w:asciiTheme="majorHAnsi" w:hAnsiTheme="majorHAnsi" w:cstheme="majorHAnsi"/>
                <w:color w:val="000000"/>
                <w:sz w:val="18"/>
                <w:szCs w:val="18"/>
              </w:rPr>
              <w:t>NPSAS Administrative-only students</w:t>
            </w:r>
          </w:p>
        </w:tc>
        <w:tc>
          <w:tcPr>
            <w:tcW w:w="1082" w:type="dxa"/>
            <w:tcBorders>
              <w:top w:val="nil"/>
              <w:left w:val="nil"/>
              <w:bottom w:val="single" w:sz="12" w:space="0" w:color="auto"/>
              <w:right w:val="nil"/>
            </w:tcBorders>
            <w:shd w:val="clear" w:color="auto" w:fill="auto"/>
            <w:vAlign w:val="center"/>
            <w:hideMark/>
          </w:tcPr>
          <w:p w:rsidR="00F02B29" w:rsidRPr="00FD022B" w:rsidP="003906A7" w14:paraId="0EFF1891" w14:textId="77777777">
            <w:pPr>
              <w:jc w:val="right"/>
              <w:rPr>
                <w:rFonts w:asciiTheme="majorHAnsi" w:hAnsiTheme="majorHAnsi" w:cstheme="majorHAnsi"/>
                <w:color w:val="000000"/>
                <w:sz w:val="18"/>
                <w:szCs w:val="18"/>
              </w:rPr>
            </w:pPr>
            <w:r w:rsidRPr="00FD022B">
              <w:rPr>
                <w:rFonts w:asciiTheme="majorHAnsi" w:hAnsiTheme="majorHAnsi" w:cstheme="majorHAnsi"/>
                <w:color w:val="000000"/>
                <w:sz w:val="18"/>
                <w:szCs w:val="18"/>
              </w:rPr>
              <w:t>5,350</w:t>
            </w:r>
          </w:p>
        </w:tc>
        <w:tc>
          <w:tcPr>
            <w:tcW w:w="1082" w:type="dxa"/>
            <w:tcBorders>
              <w:top w:val="nil"/>
              <w:left w:val="nil"/>
              <w:bottom w:val="single" w:sz="12" w:space="0" w:color="auto"/>
              <w:right w:val="nil"/>
            </w:tcBorders>
            <w:shd w:val="clear" w:color="auto" w:fill="auto"/>
            <w:vAlign w:val="center"/>
            <w:hideMark/>
          </w:tcPr>
          <w:p w:rsidR="00F02B29" w:rsidRPr="00FD022B" w:rsidP="003906A7" w14:paraId="6B5E2D44" w14:textId="77777777">
            <w:pPr>
              <w:jc w:val="right"/>
              <w:rPr>
                <w:rFonts w:asciiTheme="majorHAnsi" w:hAnsiTheme="majorHAnsi" w:cstheme="majorHAnsi"/>
                <w:color w:val="000000"/>
                <w:sz w:val="18"/>
                <w:szCs w:val="18"/>
              </w:rPr>
            </w:pPr>
            <w:r w:rsidRPr="00FD022B">
              <w:rPr>
                <w:rFonts w:asciiTheme="majorHAnsi" w:hAnsiTheme="majorHAnsi" w:cstheme="majorHAnsi"/>
                <w:color w:val="000000"/>
                <w:sz w:val="18"/>
                <w:szCs w:val="18"/>
              </w:rPr>
              <w:t>4,540</w:t>
            </w:r>
          </w:p>
        </w:tc>
        <w:tc>
          <w:tcPr>
            <w:tcW w:w="911" w:type="dxa"/>
            <w:tcBorders>
              <w:top w:val="nil"/>
              <w:left w:val="nil"/>
              <w:bottom w:val="single" w:sz="12" w:space="0" w:color="auto"/>
              <w:right w:val="nil"/>
            </w:tcBorders>
            <w:shd w:val="clear" w:color="auto" w:fill="auto"/>
            <w:vAlign w:val="center"/>
            <w:hideMark/>
          </w:tcPr>
          <w:p w:rsidR="00F02B29" w:rsidRPr="00FD022B" w:rsidP="003906A7" w14:paraId="16FB8B8F" w14:textId="77777777">
            <w:pPr>
              <w:jc w:val="right"/>
              <w:rPr>
                <w:rFonts w:asciiTheme="majorHAnsi" w:hAnsiTheme="majorHAnsi" w:cstheme="majorHAnsi"/>
                <w:color w:val="000000"/>
                <w:sz w:val="18"/>
                <w:szCs w:val="18"/>
              </w:rPr>
            </w:pPr>
            <w:r w:rsidRPr="00FD022B">
              <w:rPr>
                <w:rFonts w:asciiTheme="majorHAnsi" w:hAnsiTheme="majorHAnsi" w:cstheme="majorHAnsi"/>
                <w:color w:val="000000"/>
                <w:sz w:val="18"/>
                <w:szCs w:val="18"/>
              </w:rPr>
              <w:t>85%</w:t>
            </w:r>
          </w:p>
        </w:tc>
        <w:tc>
          <w:tcPr>
            <w:tcW w:w="296" w:type="dxa"/>
            <w:tcBorders>
              <w:top w:val="nil"/>
              <w:left w:val="nil"/>
              <w:bottom w:val="single" w:sz="12" w:space="0" w:color="auto"/>
              <w:right w:val="nil"/>
            </w:tcBorders>
            <w:shd w:val="clear" w:color="auto" w:fill="auto"/>
            <w:hideMark/>
          </w:tcPr>
          <w:p w:rsidR="00F02B29" w:rsidRPr="00FD022B" w:rsidP="003906A7" w14:paraId="4B25982F" w14:textId="77777777">
            <w:pPr>
              <w:jc w:val="right"/>
              <w:rPr>
                <w:rFonts w:asciiTheme="majorHAnsi" w:hAnsiTheme="majorHAnsi" w:cstheme="majorHAnsi"/>
                <w:color w:val="000000"/>
                <w:sz w:val="18"/>
                <w:szCs w:val="18"/>
              </w:rPr>
            </w:pPr>
            <w:r w:rsidRPr="00FD022B">
              <w:rPr>
                <w:rFonts w:asciiTheme="majorHAnsi" w:hAnsiTheme="majorHAnsi" w:cstheme="majorHAnsi"/>
                <w:color w:val="000000"/>
                <w:sz w:val="18"/>
                <w:szCs w:val="18"/>
              </w:rPr>
              <w:t> </w:t>
            </w:r>
          </w:p>
        </w:tc>
        <w:tc>
          <w:tcPr>
            <w:tcW w:w="1935" w:type="dxa"/>
            <w:tcBorders>
              <w:top w:val="nil"/>
              <w:left w:val="nil"/>
              <w:bottom w:val="single" w:sz="12" w:space="0" w:color="auto"/>
              <w:right w:val="nil"/>
            </w:tcBorders>
            <w:shd w:val="clear" w:color="auto" w:fill="auto"/>
            <w:vAlign w:val="center"/>
            <w:hideMark/>
          </w:tcPr>
          <w:p w:rsidR="00F02B29" w:rsidRPr="00FD022B" w:rsidP="003906A7" w14:paraId="7C4C157E" w14:textId="77777777">
            <w:pPr>
              <w:jc w:val="right"/>
              <w:rPr>
                <w:rFonts w:asciiTheme="majorHAnsi" w:hAnsiTheme="majorHAnsi" w:cstheme="majorHAnsi"/>
                <w:color w:val="000000"/>
                <w:sz w:val="18"/>
                <w:szCs w:val="18"/>
              </w:rPr>
            </w:pPr>
            <w:r w:rsidRPr="00FD022B">
              <w:rPr>
                <w:rFonts w:asciiTheme="majorHAnsi" w:hAnsiTheme="majorHAnsi" w:cstheme="majorHAnsi"/>
                <w:color w:val="000000"/>
                <w:sz w:val="18"/>
                <w:szCs w:val="18"/>
              </w:rPr>
              <w:t>2,450</w:t>
            </w:r>
          </w:p>
        </w:tc>
        <w:tc>
          <w:tcPr>
            <w:tcW w:w="1800" w:type="dxa"/>
            <w:tcBorders>
              <w:top w:val="nil"/>
              <w:left w:val="nil"/>
              <w:bottom w:val="single" w:sz="12" w:space="0" w:color="auto"/>
              <w:right w:val="nil"/>
            </w:tcBorders>
            <w:shd w:val="clear" w:color="auto" w:fill="auto"/>
            <w:vAlign w:val="center"/>
            <w:hideMark/>
          </w:tcPr>
          <w:p w:rsidR="00F02B29" w:rsidRPr="00FD022B" w:rsidP="003906A7" w14:paraId="0DE17B7C" w14:textId="77777777">
            <w:pPr>
              <w:jc w:val="right"/>
              <w:rPr>
                <w:rFonts w:asciiTheme="majorHAnsi" w:hAnsiTheme="majorHAnsi" w:cstheme="majorHAnsi"/>
                <w:color w:val="000000"/>
                <w:sz w:val="18"/>
                <w:szCs w:val="18"/>
              </w:rPr>
            </w:pPr>
            <w:r w:rsidRPr="00FD022B">
              <w:rPr>
                <w:rFonts w:asciiTheme="majorHAnsi" w:hAnsiTheme="majorHAnsi" w:cstheme="majorHAnsi"/>
                <w:color w:val="000000"/>
                <w:sz w:val="18"/>
                <w:szCs w:val="18"/>
              </w:rPr>
              <w:t>54%</w:t>
            </w:r>
          </w:p>
        </w:tc>
      </w:tr>
    </w:tbl>
    <w:p w:rsidR="00F02B29" w:rsidRPr="00EB5E5E" w:rsidP="00F02B29" w14:paraId="409E77F8" w14:textId="77777777">
      <w:pPr>
        <w:ind w:right="342"/>
        <w:rPr>
          <w:rFonts w:ascii="Arial" w:hAnsi="Arial" w:cs="Arial"/>
          <w:color w:val="000000"/>
          <w:sz w:val="15"/>
          <w:szCs w:val="15"/>
        </w:rPr>
      </w:pPr>
      <w:r w:rsidRPr="00EB5E5E">
        <w:rPr>
          <w:rFonts w:ascii="Arial" w:hAnsi="Arial" w:cs="Arial"/>
          <w:color w:val="000000"/>
          <w:sz w:val="15"/>
          <w:szCs w:val="15"/>
        </w:rPr>
        <w:t xml:space="preserve">1 Sample member eligibility was determined during the student survey or from institutional records in the absence of a student survey. </w:t>
      </w:r>
      <w:r>
        <w:rPr>
          <w:rFonts w:ascii="Arial" w:hAnsi="Arial" w:cs="Arial"/>
          <w:color w:val="000000"/>
          <w:sz w:val="15"/>
          <w:szCs w:val="15"/>
        </w:rPr>
        <w:t>I</w:t>
      </w:r>
      <w:r w:rsidRPr="00EB5E5E">
        <w:rPr>
          <w:rFonts w:ascii="Arial" w:hAnsi="Arial" w:cs="Arial"/>
          <w:color w:val="000000"/>
          <w:sz w:val="15"/>
          <w:szCs w:val="15"/>
        </w:rPr>
        <w:t>ndividuals found to be deceased during data collection</w:t>
      </w:r>
      <w:r>
        <w:rPr>
          <w:rFonts w:ascii="Arial" w:hAnsi="Arial" w:cs="Arial"/>
          <w:color w:val="000000"/>
          <w:sz w:val="15"/>
          <w:szCs w:val="15"/>
        </w:rPr>
        <w:t xml:space="preserve"> have also been removed from the total eligible sample members</w:t>
      </w:r>
      <w:r w:rsidRPr="00EB5E5E">
        <w:rPr>
          <w:rFonts w:ascii="Arial" w:hAnsi="Arial" w:cs="Arial"/>
          <w:color w:val="000000"/>
          <w:sz w:val="15"/>
          <w:szCs w:val="15"/>
        </w:rPr>
        <w:t>.</w:t>
      </w:r>
      <w:r w:rsidRPr="00EB5E5E">
        <w:rPr>
          <w:rFonts w:ascii="Arial" w:hAnsi="Arial" w:cs="Arial"/>
          <w:color w:val="000000"/>
          <w:sz w:val="15"/>
          <w:szCs w:val="15"/>
        </w:rPr>
        <w:br/>
        <w:t>2 Unweighted response rate.</w:t>
      </w:r>
      <w:r w:rsidRPr="00EB5E5E">
        <w:rPr>
          <w:rFonts w:ascii="Arial" w:hAnsi="Arial" w:cs="Arial"/>
          <w:color w:val="000000"/>
          <w:sz w:val="15"/>
          <w:szCs w:val="15"/>
        </w:rPr>
        <w:br/>
        <w:t>NOTE: Sample sizes rounded to the nearest 10. Percentages are based on the unrounded count of eligible students within the row under consideration. Detail may not sum to totals because of rounding.</w:t>
      </w:r>
      <w:r w:rsidRPr="00EB5E5E">
        <w:rPr>
          <w:rFonts w:ascii="Arial" w:hAnsi="Arial" w:cs="Arial"/>
          <w:color w:val="000000"/>
          <w:sz w:val="15"/>
          <w:szCs w:val="15"/>
        </w:rPr>
        <w:br/>
        <w:t>SOURCE: U.S. Department of Education, National Center for Education Statistics, 2020/22 Beginning Postsecondary Students Longitudinal Study (BPS:20/22).</w:t>
      </w:r>
    </w:p>
    <w:p w:rsidR="00F02B29" w:rsidRPr="001C2BC1" w:rsidP="00F02B29" w14:paraId="69DB021A" w14:textId="393FE8E9">
      <w:pPr>
        <w:pStyle w:val="NormalWeb"/>
        <w:rPr>
          <w:rFonts w:ascii="Garamond" w:hAnsi="Garamond" w:eastAsiaTheme="minorEastAsia" w:cs="Calibri"/>
          <w:color w:val="000000"/>
        </w:rPr>
      </w:pPr>
      <w:r w:rsidRPr="001C2BC1">
        <w:rPr>
          <w:rFonts w:ascii="Garamond" w:hAnsi="Garamond" w:eastAsiaTheme="minorEastAsia" w:cs="Calibri"/>
          <w:color w:val="000000"/>
        </w:rPr>
        <w:t>BPS:20/25 will be the second follow-up data collection, conducted three years after BPS:20/</w:t>
      </w:r>
      <w:r w:rsidRPr="00E51328">
        <w:rPr>
          <w:rFonts w:ascii="Garamond" w:hAnsi="Garamond" w:eastAsiaTheme="minorEastAsia" w:cs="Calibri"/>
          <w:color w:val="000000"/>
        </w:rPr>
        <w:t xml:space="preserve">22. Table </w:t>
      </w:r>
      <w:r w:rsidRPr="00E51328" w:rsidR="001B6466">
        <w:rPr>
          <w:rFonts w:ascii="Garamond" w:hAnsi="Garamond" w:eastAsiaTheme="minorEastAsia" w:cs="Calibri"/>
          <w:color w:val="000000"/>
        </w:rPr>
        <w:t>2</w:t>
      </w:r>
      <w:r w:rsidRPr="00E51328">
        <w:rPr>
          <w:rFonts w:ascii="Garamond" w:hAnsi="Garamond" w:eastAsiaTheme="minorEastAsia" w:cs="Calibri"/>
          <w:color w:val="000000"/>
        </w:rPr>
        <w:t xml:space="preserve"> shows</w:t>
      </w:r>
      <w:r w:rsidRPr="001C2BC1">
        <w:rPr>
          <w:rFonts w:ascii="Garamond" w:hAnsi="Garamond" w:eastAsiaTheme="minorEastAsia" w:cs="Calibri"/>
          <w:color w:val="000000"/>
        </w:rPr>
        <w:t xml:space="preserve"> the distribution of the 34,240 sample members determined to be eligible for BPS:20/25 data collection, survey response status, and identifies groups that will be fielded (included in data collection activities with an objective of obtaining a complete survey) in BPS:20/25. These 34,240 sample members are the same individuals identified as eligible students in </w:t>
      </w:r>
      <w:r w:rsidRPr="00A02485">
        <w:rPr>
          <w:rFonts w:ascii="Garamond" w:hAnsi="Garamond" w:eastAsiaTheme="minorEastAsia" w:cs="Calibri"/>
          <w:color w:val="000000"/>
        </w:rPr>
        <w:t xml:space="preserve">Table </w:t>
      </w:r>
      <w:r w:rsidR="00B81EDD">
        <w:rPr>
          <w:rFonts w:ascii="Garamond" w:hAnsi="Garamond" w:eastAsiaTheme="minorEastAsia" w:cs="Calibri"/>
          <w:color w:val="000000"/>
        </w:rPr>
        <w:t>1</w:t>
      </w:r>
      <w:r w:rsidRPr="00A02485">
        <w:rPr>
          <w:rFonts w:ascii="Garamond" w:hAnsi="Garamond" w:eastAsiaTheme="minorEastAsia" w:cs="Calibri"/>
          <w:color w:val="000000"/>
        </w:rPr>
        <w:t>.</w:t>
      </w:r>
    </w:p>
    <w:p w:rsidR="00F02B29" w:rsidP="00F02B29" w14:paraId="11EC832E" w14:textId="35E98F18">
      <w:pPr>
        <w:pStyle w:val="TableTitle"/>
      </w:pPr>
      <w:bookmarkStart w:id="25" w:name="_Toc140075249"/>
      <w:bookmarkStart w:id="26" w:name="_Toc140136673"/>
      <w:bookmarkStart w:id="27" w:name="_Toc174607273"/>
      <w:r w:rsidRPr="00E51328">
        <w:t xml:space="preserve">Table </w:t>
      </w:r>
      <w:r w:rsidRPr="00E51328" w:rsidR="001B6466">
        <w:t>2</w:t>
      </w:r>
      <w:r w:rsidRPr="00E51328">
        <w:t>. BPS:20/25</w:t>
      </w:r>
      <w:r w:rsidRPr="00FB5083">
        <w:t xml:space="preserve"> sample member disposition, by NPSAS:</w:t>
      </w:r>
      <w:r>
        <w:t>20</w:t>
      </w:r>
      <w:r w:rsidRPr="00FB5083">
        <w:t xml:space="preserve"> and BPS:</w:t>
      </w:r>
      <w:r>
        <w:t>20</w:t>
      </w:r>
      <w:r w:rsidRPr="00FB5083">
        <w:t>/</w:t>
      </w:r>
      <w:r>
        <w:t>22</w:t>
      </w:r>
      <w:r w:rsidRPr="00FB5083">
        <w:t xml:space="preserve"> response status: 20</w:t>
      </w:r>
      <w:r>
        <w:t>20</w:t>
      </w:r>
      <w:r w:rsidRPr="00FB5083">
        <w:t>–</w:t>
      </w:r>
      <w:r>
        <w:t>22</w:t>
      </w:r>
      <w:bookmarkEnd w:id="25"/>
      <w:bookmarkEnd w:id="26"/>
      <w:bookmarkEnd w:id="27"/>
    </w:p>
    <w:tbl>
      <w:tblPr>
        <w:tblW w:w="10170" w:type="dxa"/>
        <w:tblLook w:val="04A0"/>
      </w:tblPr>
      <w:tblGrid>
        <w:gridCol w:w="960"/>
        <w:gridCol w:w="3360"/>
        <w:gridCol w:w="1950"/>
        <w:gridCol w:w="1950"/>
        <w:gridCol w:w="1950"/>
      </w:tblGrid>
      <w:tr w14:paraId="341644EA" w14:textId="77777777" w:rsidTr="00575CD4">
        <w:tblPrEx>
          <w:tblW w:w="10170" w:type="dxa"/>
          <w:tblLook w:val="04A0"/>
        </w:tblPrEx>
        <w:trPr>
          <w:trHeight w:val="582"/>
        </w:trPr>
        <w:tc>
          <w:tcPr>
            <w:tcW w:w="960" w:type="dxa"/>
            <w:tcBorders>
              <w:top w:val="single" w:sz="12" w:space="0" w:color="auto"/>
              <w:left w:val="nil"/>
              <w:bottom w:val="single" w:sz="8" w:space="0" w:color="auto"/>
              <w:right w:val="nil"/>
            </w:tcBorders>
            <w:shd w:val="clear" w:color="auto" w:fill="auto"/>
            <w:vAlign w:val="center"/>
            <w:hideMark/>
          </w:tcPr>
          <w:p w:rsidR="00F02B29" w:rsidRPr="006A0327" w:rsidP="008D6EF5" w14:paraId="3971261F" w14:textId="77777777">
            <w:pPr>
              <w:rPr>
                <w:rFonts w:ascii="Arial" w:hAnsi="Arial" w:cs="Arial"/>
                <w:b/>
                <w:bCs/>
                <w:color w:val="000000"/>
                <w:sz w:val="18"/>
                <w:szCs w:val="18"/>
              </w:rPr>
            </w:pPr>
            <w:r w:rsidRPr="006A0327">
              <w:rPr>
                <w:rFonts w:ascii="Arial" w:hAnsi="Arial" w:cs="Arial"/>
                <w:b/>
                <w:bCs/>
                <w:color w:val="000000"/>
                <w:sz w:val="18"/>
                <w:szCs w:val="18"/>
              </w:rPr>
              <w:t>Group</w:t>
            </w:r>
          </w:p>
        </w:tc>
        <w:tc>
          <w:tcPr>
            <w:tcW w:w="3360" w:type="dxa"/>
            <w:tcBorders>
              <w:top w:val="single" w:sz="12" w:space="0" w:color="auto"/>
              <w:left w:val="nil"/>
              <w:bottom w:val="single" w:sz="8" w:space="0" w:color="auto"/>
              <w:right w:val="nil"/>
            </w:tcBorders>
            <w:shd w:val="clear" w:color="auto" w:fill="auto"/>
            <w:vAlign w:val="center"/>
            <w:hideMark/>
          </w:tcPr>
          <w:p w:rsidR="00F02B29" w:rsidRPr="006A0327" w:rsidP="008D6EF5" w14:paraId="44D045C2" w14:textId="77777777">
            <w:pPr>
              <w:rPr>
                <w:rFonts w:ascii="Arial" w:hAnsi="Arial" w:cs="Arial"/>
                <w:b/>
                <w:bCs/>
                <w:color w:val="000000"/>
                <w:sz w:val="18"/>
                <w:szCs w:val="18"/>
              </w:rPr>
            </w:pPr>
            <w:r w:rsidRPr="006A0327">
              <w:rPr>
                <w:rFonts w:ascii="Arial" w:hAnsi="Arial" w:cs="Arial"/>
                <w:b/>
                <w:bCs/>
                <w:color w:val="000000"/>
                <w:sz w:val="18"/>
                <w:szCs w:val="18"/>
              </w:rPr>
              <w:t>NPSAS:20 data collection outcomes</w:t>
            </w:r>
          </w:p>
        </w:tc>
        <w:tc>
          <w:tcPr>
            <w:tcW w:w="1950" w:type="dxa"/>
            <w:tcBorders>
              <w:top w:val="single" w:sz="12" w:space="0" w:color="auto"/>
              <w:left w:val="nil"/>
              <w:bottom w:val="single" w:sz="8" w:space="0" w:color="auto"/>
              <w:right w:val="nil"/>
            </w:tcBorders>
            <w:shd w:val="clear" w:color="auto" w:fill="auto"/>
            <w:vAlign w:val="center"/>
            <w:hideMark/>
          </w:tcPr>
          <w:p w:rsidR="00F02B29" w:rsidRPr="006A0327" w:rsidP="008D6EF5" w14:paraId="0510FCCC" w14:textId="77777777">
            <w:pPr>
              <w:jc w:val="center"/>
              <w:rPr>
                <w:rFonts w:ascii="Arial" w:hAnsi="Arial" w:cs="Arial"/>
                <w:b/>
                <w:bCs/>
                <w:color w:val="000000"/>
                <w:sz w:val="18"/>
                <w:szCs w:val="18"/>
              </w:rPr>
            </w:pPr>
            <w:r w:rsidRPr="006A0327">
              <w:rPr>
                <w:rFonts w:ascii="Arial" w:hAnsi="Arial" w:cs="Arial"/>
                <w:b/>
                <w:bCs/>
                <w:color w:val="000000"/>
                <w:sz w:val="18"/>
                <w:szCs w:val="18"/>
              </w:rPr>
              <w:t>BPS:20/22 Respondent</w:t>
            </w:r>
          </w:p>
        </w:tc>
        <w:tc>
          <w:tcPr>
            <w:tcW w:w="1950" w:type="dxa"/>
            <w:tcBorders>
              <w:top w:val="single" w:sz="12" w:space="0" w:color="auto"/>
              <w:left w:val="nil"/>
              <w:bottom w:val="single" w:sz="8" w:space="0" w:color="auto"/>
              <w:right w:val="nil"/>
            </w:tcBorders>
            <w:shd w:val="clear" w:color="auto" w:fill="auto"/>
            <w:vAlign w:val="center"/>
            <w:hideMark/>
          </w:tcPr>
          <w:p w:rsidR="00F02B29" w:rsidRPr="006A0327" w:rsidP="008D6EF5" w14:paraId="77BEBF00" w14:textId="77777777">
            <w:pPr>
              <w:jc w:val="center"/>
              <w:rPr>
                <w:rFonts w:ascii="Arial" w:hAnsi="Arial" w:cs="Arial"/>
                <w:b/>
                <w:bCs/>
                <w:color w:val="000000"/>
                <w:sz w:val="18"/>
                <w:szCs w:val="18"/>
              </w:rPr>
            </w:pPr>
            <w:r w:rsidRPr="006A0327">
              <w:rPr>
                <w:rFonts w:ascii="Arial" w:hAnsi="Arial" w:cs="Arial"/>
                <w:b/>
                <w:bCs/>
                <w:color w:val="000000"/>
                <w:sz w:val="18"/>
                <w:szCs w:val="18"/>
              </w:rPr>
              <w:t>Count</w:t>
            </w:r>
          </w:p>
        </w:tc>
        <w:tc>
          <w:tcPr>
            <w:tcW w:w="1950" w:type="dxa"/>
            <w:tcBorders>
              <w:top w:val="single" w:sz="12" w:space="0" w:color="auto"/>
              <w:left w:val="nil"/>
              <w:bottom w:val="single" w:sz="8" w:space="0" w:color="auto"/>
              <w:right w:val="nil"/>
            </w:tcBorders>
            <w:shd w:val="clear" w:color="auto" w:fill="auto"/>
            <w:vAlign w:val="center"/>
            <w:hideMark/>
          </w:tcPr>
          <w:p w:rsidR="00F02B29" w:rsidRPr="006A0327" w:rsidP="008D6EF5" w14:paraId="6BB2593C" w14:textId="77777777">
            <w:pPr>
              <w:jc w:val="center"/>
              <w:rPr>
                <w:rFonts w:ascii="Arial" w:hAnsi="Arial" w:cs="Arial"/>
                <w:b/>
                <w:bCs/>
                <w:color w:val="000000"/>
                <w:sz w:val="18"/>
                <w:szCs w:val="18"/>
              </w:rPr>
            </w:pPr>
            <w:r w:rsidRPr="006A0327">
              <w:rPr>
                <w:rFonts w:ascii="Arial" w:hAnsi="Arial" w:cs="Arial"/>
                <w:b/>
                <w:bCs/>
                <w:color w:val="000000"/>
                <w:sz w:val="18"/>
                <w:szCs w:val="18"/>
              </w:rPr>
              <w:t>Field in BPS:20/25 Full-scale</w:t>
            </w:r>
          </w:p>
        </w:tc>
      </w:tr>
      <w:tr w14:paraId="699A491D" w14:textId="77777777" w:rsidTr="00575CD4">
        <w:tblPrEx>
          <w:tblW w:w="10170" w:type="dxa"/>
          <w:tblLook w:val="04A0"/>
        </w:tblPrEx>
        <w:trPr>
          <w:trHeight w:val="317"/>
        </w:trPr>
        <w:tc>
          <w:tcPr>
            <w:tcW w:w="960" w:type="dxa"/>
            <w:tcBorders>
              <w:top w:val="single" w:sz="8" w:space="0" w:color="auto"/>
              <w:left w:val="nil"/>
              <w:bottom w:val="single" w:sz="4" w:space="0" w:color="auto"/>
              <w:right w:val="nil"/>
            </w:tcBorders>
            <w:shd w:val="clear" w:color="auto" w:fill="auto"/>
            <w:vAlign w:val="center"/>
          </w:tcPr>
          <w:p w:rsidR="00F02B29" w:rsidRPr="00FD022B" w:rsidP="008D6EF5" w14:paraId="555E910F" w14:textId="77777777">
            <w:pPr>
              <w:rPr>
                <w:rFonts w:ascii="Arial" w:hAnsi="Arial" w:cs="Arial"/>
                <w:b/>
                <w:bCs/>
                <w:color w:val="000000"/>
                <w:sz w:val="18"/>
                <w:szCs w:val="18"/>
              </w:rPr>
            </w:pPr>
            <w:r w:rsidRPr="00FD022B">
              <w:rPr>
                <w:rFonts w:ascii="Arial" w:hAnsi="Arial" w:cs="Arial"/>
                <w:b/>
                <w:bCs/>
                <w:color w:val="000000"/>
                <w:sz w:val="18"/>
                <w:szCs w:val="18"/>
              </w:rPr>
              <w:t>Total</w:t>
            </w:r>
          </w:p>
        </w:tc>
        <w:tc>
          <w:tcPr>
            <w:tcW w:w="3360" w:type="dxa"/>
            <w:tcBorders>
              <w:top w:val="single" w:sz="8" w:space="0" w:color="auto"/>
              <w:left w:val="nil"/>
              <w:bottom w:val="single" w:sz="4" w:space="0" w:color="auto"/>
              <w:right w:val="nil"/>
            </w:tcBorders>
            <w:shd w:val="clear" w:color="auto" w:fill="auto"/>
            <w:vAlign w:val="center"/>
          </w:tcPr>
          <w:p w:rsidR="00F02B29" w:rsidRPr="00FD022B" w:rsidP="008D6EF5" w14:paraId="27EFD44D" w14:textId="77777777">
            <w:pPr>
              <w:rPr>
                <w:rFonts w:ascii="Arial" w:hAnsi="Arial" w:cs="Arial"/>
                <w:color w:val="000000"/>
                <w:sz w:val="18"/>
                <w:szCs w:val="18"/>
              </w:rPr>
            </w:pPr>
            <w:r w:rsidRPr="00FD022B">
              <w:rPr>
                <w:rFonts w:ascii="Arial" w:hAnsi="Arial" w:cs="Arial"/>
                <w:color w:val="000000"/>
                <w:sz w:val="18"/>
                <w:szCs w:val="18"/>
              </w:rPr>
              <w:t> </w:t>
            </w:r>
          </w:p>
        </w:tc>
        <w:tc>
          <w:tcPr>
            <w:tcW w:w="1950" w:type="dxa"/>
            <w:tcBorders>
              <w:top w:val="single" w:sz="8" w:space="0" w:color="auto"/>
              <w:left w:val="nil"/>
              <w:bottom w:val="single" w:sz="4" w:space="0" w:color="auto"/>
              <w:right w:val="nil"/>
            </w:tcBorders>
            <w:shd w:val="clear" w:color="auto" w:fill="auto"/>
            <w:vAlign w:val="center"/>
          </w:tcPr>
          <w:p w:rsidR="00F02B29" w:rsidRPr="00FD022B" w:rsidP="008D6EF5" w14:paraId="36B05E5F" w14:textId="6E633613">
            <w:pPr>
              <w:jc w:val="center"/>
              <w:rPr>
                <w:rFonts w:ascii="Arial" w:hAnsi="Arial" w:cs="Arial"/>
                <w:color w:val="000000"/>
                <w:sz w:val="18"/>
                <w:szCs w:val="18"/>
              </w:rPr>
            </w:pPr>
          </w:p>
        </w:tc>
        <w:tc>
          <w:tcPr>
            <w:tcW w:w="1950" w:type="dxa"/>
            <w:tcBorders>
              <w:top w:val="single" w:sz="8" w:space="0" w:color="auto"/>
              <w:left w:val="nil"/>
              <w:bottom w:val="single" w:sz="4" w:space="0" w:color="auto"/>
              <w:right w:val="nil"/>
            </w:tcBorders>
            <w:shd w:val="clear" w:color="auto" w:fill="auto"/>
            <w:noWrap/>
            <w:vAlign w:val="center"/>
          </w:tcPr>
          <w:p w:rsidR="00F02B29" w:rsidRPr="00FD022B" w:rsidP="008D6EF5" w14:paraId="27213888" w14:textId="77777777">
            <w:pPr>
              <w:jc w:val="center"/>
              <w:rPr>
                <w:rFonts w:ascii="Arial" w:hAnsi="Arial" w:cs="Arial"/>
                <w:color w:val="000000"/>
                <w:sz w:val="18"/>
                <w:szCs w:val="18"/>
              </w:rPr>
            </w:pPr>
            <w:r w:rsidRPr="00FD022B">
              <w:rPr>
                <w:rFonts w:ascii="Arial" w:hAnsi="Arial" w:cs="Arial"/>
                <w:color w:val="000000"/>
                <w:sz w:val="18"/>
                <w:szCs w:val="18"/>
              </w:rPr>
              <w:t>34,240</w:t>
            </w:r>
          </w:p>
        </w:tc>
        <w:tc>
          <w:tcPr>
            <w:tcW w:w="1950" w:type="dxa"/>
            <w:tcBorders>
              <w:top w:val="single" w:sz="8" w:space="0" w:color="auto"/>
              <w:left w:val="nil"/>
              <w:bottom w:val="single" w:sz="4" w:space="0" w:color="auto"/>
              <w:right w:val="nil"/>
            </w:tcBorders>
            <w:shd w:val="clear" w:color="auto" w:fill="auto"/>
            <w:vAlign w:val="center"/>
          </w:tcPr>
          <w:p w:rsidR="00F02B29" w:rsidRPr="00FD022B" w:rsidP="008D6EF5" w14:paraId="408280F7" w14:textId="6F1E61F9">
            <w:pPr>
              <w:jc w:val="center"/>
              <w:rPr>
                <w:rFonts w:ascii="Arial" w:hAnsi="Arial" w:cs="Arial"/>
                <w:color w:val="000000"/>
                <w:sz w:val="18"/>
                <w:szCs w:val="18"/>
              </w:rPr>
            </w:pPr>
          </w:p>
        </w:tc>
      </w:tr>
      <w:tr w14:paraId="1BABA115" w14:textId="77777777" w:rsidTr="00575CD4">
        <w:tblPrEx>
          <w:tblW w:w="10170" w:type="dxa"/>
          <w:tblLook w:val="04A0"/>
        </w:tblPrEx>
        <w:trPr>
          <w:trHeight w:val="317"/>
        </w:trPr>
        <w:tc>
          <w:tcPr>
            <w:tcW w:w="960" w:type="dxa"/>
            <w:tcBorders>
              <w:top w:val="single" w:sz="4" w:space="0" w:color="auto"/>
              <w:left w:val="nil"/>
              <w:bottom w:val="nil"/>
              <w:right w:val="nil"/>
            </w:tcBorders>
            <w:shd w:val="clear" w:color="auto" w:fill="auto"/>
            <w:vAlign w:val="center"/>
            <w:hideMark/>
          </w:tcPr>
          <w:p w:rsidR="00F02B29" w:rsidRPr="00FD022B" w:rsidP="008D6EF5" w14:paraId="5EF3BF04" w14:textId="77777777">
            <w:pPr>
              <w:rPr>
                <w:rFonts w:ascii="Arial" w:hAnsi="Arial" w:cs="Arial"/>
                <w:b/>
                <w:bCs/>
                <w:color w:val="000000"/>
                <w:sz w:val="18"/>
                <w:szCs w:val="18"/>
              </w:rPr>
            </w:pPr>
            <w:r w:rsidRPr="00FD022B">
              <w:rPr>
                <w:rFonts w:ascii="Arial" w:hAnsi="Arial" w:cs="Arial"/>
                <w:b/>
                <w:bCs/>
                <w:color w:val="000000"/>
                <w:sz w:val="18"/>
                <w:szCs w:val="18"/>
              </w:rPr>
              <w:t>1</w:t>
            </w:r>
          </w:p>
        </w:tc>
        <w:tc>
          <w:tcPr>
            <w:tcW w:w="3360" w:type="dxa"/>
            <w:tcBorders>
              <w:top w:val="single" w:sz="4" w:space="0" w:color="auto"/>
              <w:left w:val="nil"/>
              <w:bottom w:val="nil"/>
              <w:right w:val="nil"/>
            </w:tcBorders>
            <w:shd w:val="clear" w:color="auto" w:fill="auto"/>
            <w:vAlign w:val="center"/>
            <w:hideMark/>
          </w:tcPr>
          <w:p w:rsidR="00F02B29" w:rsidRPr="00FD022B" w:rsidP="008D6EF5" w14:paraId="47F3E25B" w14:textId="77777777">
            <w:pPr>
              <w:rPr>
                <w:rFonts w:ascii="Arial" w:hAnsi="Arial" w:cs="Arial"/>
                <w:color w:val="000000"/>
                <w:sz w:val="18"/>
                <w:szCs w:val="18"/>
              </w:rPr>
            </w:pPr>
            <w:r w:rsidRPr="00FD022B">
              <w:rPr>
                <w:rFonts w:ascii="Arial" w:hAnsi="Arial" w:cs="Arial"/>
                <w:color w:val="000000"/>
                <w:sz w:val="18"/>
                <w:szCs w:val="18"/>
              </w:rPr>
              <w:t>NPSAS Survey respondents</w:t>
            </w:r>
          </w:p>
        </w:tc>
        <w:tc>
          <w:tcPr>
            <w:tcW w:w="1950" w:type="dxa"/>
            <w:tcBorders>
              <w:top w:val="single" w:sz="4" w:space="0" w:color="auto"/>
              <w:left w:val="nil"/>
              <w:bottom w:val="nil"/>
              <w:right w:val="nil"/>
            </w:tcBorders>
            <w:shd w:val="clear" w:color="auto" w:fill="auto"/>
            <w:vAlign w:val="center"/>
            <w:hideMark/>
          </w:tcPr>
          <w:p w:rsidR="00F02B29" w:rsidRPr="00FD022B" w:rsidP="008D6EF5" w14:paraId="723F9818" w14:textId="77777777">
            <w:pPr>
              <w:jc w:val="center"/>
              <w:rPr>
                <w:rFonts w:ascii="Arial" w:hAnsi="Arial" w:cs="Arial"/>
                <w:color w:val="000000"/>
                <w:sz w:val="18"/>
                <w:szCs w:val="18"/>
              </w:rPr>
            </w:pPr>
            <w:r w:rsidRPr="00FD022B">
              <w:rPr>
                <w:rFonts w:ascii="Arial" w:hAnsi="Arial" w:cs="Arial"/>
                <w:color w:val="000000"/>
                <w:sz w:val="18"/>
                <w:szCs w:val="18"/>
              </w:rPr>
              <w:t>Yes</w:t>
            </w:r>
          </w:p>
        </w:tc>
        <w:tc>
          <w:tcPr>
            <w:tcW w:w="1950" w:type="dxa"/>
            <w:tcBorders>
              <w:top w:val="single" w:sz="4" w:space="0" w:color="auto"/>
              <w:left w:val="nil"/>
              <w:bottom w:val="nil"/>
              <w:right w:val="nil"/>
            </w:tcBorders>
            <w:shd w:val="clear" w:color="auto" w:fill="auto"/>
            <w:noWrap/>
            <w:vAlign w:val="center"/>
            <w:hideMark/>
          </w:tcPr>
          <w:p w:rsidR="00F02B29" w:rsidRPr="00FD022B" w:rsidP="008D6EF5" w14:paraId="0CBAC529" w14:textId="77777777">
            <w:pPr>
              <w:jc w:val="center"/>
              <w:rPr>
                <w:rFonts w:ascii="Arial" w:hAnsi="Arial" w:cs="Arial"/>
                <w:color w:val="000000"/>
                <w:sz w:val="18"/>
                <w:szCs w:val="18"/>
              </w:rPr>
            </w:pPr>
            <w:r w:rsidRPr="00FD022B">
              <w:rPr>
                <w:rFonts w:ascii="Arial" w:hAnsi="Arial" w:cs="Arial"/>
                <w:color w:val="000000"/>
                <w:sz w:val="18"/>
                <w:szCs w:val="18"/>
              </w:rPr>
              <w:t>18,9</w:t>
            </w:r>
            <w:r>
              <w:rPr>
                <w:rFonts w:ascii="Arial" w:hAnsi="Arial" w:cs="Arial"/>
                <w:color w:val="000000"/>
                <w:sz w:val="18"/>
                <w:szCs w:val="18"/>
              </w:rPr>
              <w:t>0</w:t>
            </w:r>
            <w:r w:rsidRPr="00FD022B">
              <w:rPr>
                <w:rFonts w:ascii="Arial" w:hAnsi="Arial" w:cs="Arial"/>
                <w:color w:val="000000"/>
                <w:sz w:val="18"/>
                <w:szCs w:val="18"/>
              </w:rPr>
              <w:t>0</w:t>
            </w:r>
          </w:p>
        </w:tc>
        <w:tc>
          <w:tcPr>
            <w:tcW w:w="1950" w:type="dxa"/>
            <w:tcBorders>
              <w:top w:val="single" w:sz="4" w:space="0" w:color="auto"/>
              <w:left w:val="nil"/>
              <w:bottom w:val="nil"/>
              <w:right w:val="nil"/>
            </w:tcBorders>
            <w:shd w:val="clear" w:color="auto" w:fill="auto"/>
            <w:vAlign w:val="center"/>
            <w:hideMark/>
          </w:tcPr>
          <w:p w:rsidR="00F02B29" w:rsidRPr="00FD022B" w:rsidP="008D6EF5" w14:paraId="742A73DB" w14:textId="77777777">
            <w:pPr>
              <w:jc w:val="center"/>
              <w:rPr>
                <w:rFonts w:ascii="Arial" w:hAnsi="Arial" w:cs="Arial"/>
                <w:color w:val="000000"/>
                <w:sz w:val="18"/>
                <w:szCs w:val="18"/>
              </w:rPr>
            </w:pPr>
            <w:r w:rsidRPr="00FD022B">
              <w:rPr>
                <w:rFonts w:ascii="Arial" w:hAnsi="Arial" w:cs="Arial"/>
                <w:color w:val="000000"/>
                <w:sz w:val="18"/>
                <w:szCs w:val="18"/>
              </w:rPr>
              <w:t>Yes</w:t>
            </w:r>
          </w:p>
        </w:tc>
      </w:tr>
      <w:tr w14:paraId="7BCE3A3E" w14:textId="77777777" w:rsidTr="00575CD4">
        <w:tblPrEx>
          <w:tblW w:w="10170" w:type="dxa"/>
          <w:tblLook w:val="04A0"/>
        </w:tblPrEx>
        <w:trPr>
          <w:trHeight w:val="317"/>
        </w:trPr>
        <w:tc>
          <w:tcPr>
            <w:tcW w:w="960" w:type="dxa"/>
            <w:tcBorders>
              <w:top w:val="nil"/>
              <w:left w:val="nil"/>
              <w:bottom w:val="nil"/>
              <w:right w:val="nil"/>
            </w:tcBorders>
            <w:shd w:val="clear" w:color="auto" w:fill="auto"/>
            <w:vAlign w:val="center"/>
            <w:hideMark/>
          </w:tcPr>
          <w:p w:rsidR="00F02B29" w:rsidRPr="00FD022B" w:rsidP="008D6EF5" w14:paraId="224F544F" w14:textId="77777777">
            <w:pPr>
              <w:rPr>
                <w:rFonts w:ascii="Arial" w:hAnsi="Arial" w:cs="Arial"/>
                <w:b/>
                <w:bCs/>
                <w:color w:val="000000"/>
                <w:sz w:val="18"/>
                <w:szCs w:val="18"/>
              </w:rPr>
            </w:pPr>
            <w:r w:rsidRPr="00FD022B">
              <w:rPr>
                <w:rFonts w:ascii="Arial" w:hAnsi="Arial" w:cs="Arial"/>
                <w:b/>
                <w:bCs/>
                <w:color w:val="000000"/>
                <w:sz w:val="18"/>
                <w:szCs w:val="18"/>
              </w:rPr>
              <w:t>2</w:t>
            </w:r>
          </w:p>
        </w:tc>
        <w:tc>
          <w:tcPr>
            <w:tcW w:w="3360" w:type="dxa"/>
            <w:tcBorders>
              <w:top w:val="nil"/>
              <w:left w:val="nil"/>
              <w:bottom w:val="nil"/>
              <w:right w:val="nil"/>
            </w:tcBorders>
            <w:shd w:val="clear" w:color="auto" w:fill="auto"/>
            <w:vAlign w:val="center"/>
            <w:hideMark/>
          </w:tcPr>
          <w:p w:rsidR="00F02B29" w:rsidRPr="00FD022B" w:rsidP="008D6EF5" w14:paraId="58621E95" w14:textId="77777777">
            <w:pPr>
              <w:rPr>
                <w:rFonts w:ascii="Arial" w:hAnsi="Arial" w:cs="Arial"/>
                <w:color w:val="000000"/>
                <w:sz w:val="18"/>
                <w:szCs w:val="18"/>
              </w:rPr>
            </w:pPr>
            <w:r w:rsidRPr="00FD022B">
              <w:rPr>
                <w:rFonts w:ascii="Arial" w:hAnsi="Arial" w:cs="Arial"/>
                <w:color w:val="000000"/>
                <w:sz w:val="18"/>
                <w:szCs w:val="18"/>
              </w:rPr>
              <w:t>NPSAS Survey nonrespondents</w:t>
            </w:r>
          </w:p>
        </w:tc>
        <w:tc>
          <w:tcPr>
            <w:tcW w:w="1950" w:type="dxa"/>
            <w:tcBorders>
              <w:top w:val="nil"/>
              <w:left w:val="nil"/>
              <w:bottom w:val="nil"/>
              <w:right w:val="nil"/>
            </w:tcBorders>
            <w:shd w:val="clear" w:color="auto" w:fill="auto"/>
            <w:vAlign w:val="center"/>
            <w:hideMark/>
          </w:tcPr>
          <w:p w:rsidR="00F02B29" w:rsidRPr="00FD022B" w:rsidP="008D6EF5" w14:paraId="473C29B2" w14:textId="77777777">
            <w:pPr>
              <w:jc w:val="center"/>
              <w:rPr>
                <w:rFonts w:ascii="Arial" w:hAnsi="Arial" w:cs="Arial"/>
                <w:color w:val="000000"/>
                <w:sz w:val="18"/>
                <w:szCs w:val="18"/>
              </w:rPr>
            </w:pPr>
            <w:r w:rsidRPr="00FD022B">
              <w:rPr>
                <w:rFonts w:ascii="Arial" w:hAnsi="Arial" w:cs="Arial"/>
                <w:color w:val="000000"/>
                <w:sz w:val="18"/>
                <w:szCs w:val="18"/>
              </w:rPr>
              <w:t>Yes</w:t>
            </w:r>
          </w:p>
        </w:tc>
        <w:tc>
          <w:tcPr>
            <w:tcW w:w="1950" w:type="dxa"/>
            <w:tcBorders>
              <w:top w:val="nil"/>
              <w:left w:val="nil"/>
              <w:bottom w:val="nil"/>
              <w:right w:val="nil"/>
            </w:tcBorders>
            <w:shd w:val="clear" w:color="auto" w:fill="auto"/>
            <w:noWrap/>
            <w:vAlign w:val="center"/>
            <w:hideMark/>
          </w:tcPr>
          <w:p w:rsidR="00F02B29" w:rsidRPr="00FD022B" w:rsidP="008D6EF5" w14:paraId="6A187D42" w14:textId="77777777">
            <w:pPr>
              <w:jc w:val="center"/>
              <w:rPr>
                <w:rFonts w:ascii="Arial" w:hAnsi="Arial" w:cs="Arial"/>
                <w:color w:val="000000"/>
                <w:sz w:val="18"/>
                <w:szCs w:val="18"/>
              </w:rPr>
            </w:pPr>
            <w:r w:rsidRPr="00FD022B">
              <w:rPr>
                <w:rFonts w:ascii="Arial" w:hAnsi="Arial" w:cs="Arial"/>
                <w:color w:val="000000"/>
                <w:sz w:val="18"/>
                <w:szCs w:val="18"/>
              </w:rPr>
              <w:t>9</w:t>
            </w:r>
            <w:r>
              <w:rPr>
                <w:rFonts w:ascii="Arial" w:hAnsi="Arial" w:cs="Arial"/>
                <w:color w:val="000000"/>
                <w:sz w:val="18"/>
                <w:szCs w:val="18"/>
              </w:rPr>
              <w:t>8</w:t>
            </w:r>
            <w:r w:rsidRPr="00FD022B">
              <w:rPr>
                <w:rFonts w:ascii="Arial" w:hAnsi="Arial" w:cs="Arial"/>
                <w:color w:val="000000"/>
                <w:sz w:val="18"/>
                <w:szCs w:val="18"/>
              </w:rPr>
              <w:t>0</w:t>
            </w:r>
          </w:p>
        </w:tc>
        <w:tc>
          <w:tcPr>
            <w:tcW w:w="1950" w:type="dxa"/>
            <w:tcBorders>
              <w:top w:val="nil"/>
              <w:left w:val="nil"/>
              <w:bottom w:val="nil"/>
              <w:right w:val="nil"/>
            </w:tcBorders>
            <w:shd w:val="clear" w:color="auto" w:fill="auto"/>
            <w:vAlign w:val="center"/>
            <w:hideMark/>
          </w:tcPr>
          <w:p w:rsidR="00F02B29" w:rsidRPr="00FD022B" w:rsidP="008D6EF5" w14:paraId="488A46E2" w14:textId="77777777">
            <w:pPr>
              <w:jc w:val="center"/>
              <w:rPr>
                <w:rFonts w:ascii="Arial" w:hAnsi="Arial" w:cs="Arial"/>
                <w:color w:val="000000"/>
                <w:sz w:val="18"/>
                <w:szCs w:val="18"/>
              </w:rPr>
            </w:pPr>
            <w:r w:rsidRPr="00FD022B">
              <w:rPr>
                <w:rFonts w:ascii="Arial" w:hAnsi="Arial" w:cs="Arial"/>
                <w:color w:val="000000"/>
                <w:sz w:val="18"/>
                <w:szCs w:val="18"/>
              </w:rPr>
              <w:t>Yes</w:t>
            </w:r>
          </w:p>
        </w:tc>
      </w:tr>
      <w:tr w14:paraId="5595CE02" w14:textId="77777777" w:rsidTr="00575CD4">
        <w:tblPrEx>
          <w:tblW w:w="10170" w:type="dxa"/>
          <w:tblLook w:val="04A0"/>
        </w:tblPrEx>
        <w:trPr>
          <w:trHeight w:val="317"/>
        </w:trPr>
        <w:tc>
          <w:tcPr>
            <w:tcW w:w="960" w:type="dxa"/>
            <w:tcBorders>
              <w:top w:val="nil"/>
              <w:left w:val="nil"/>
              <w:bottom w:val="nil"/>
              <w:right w:val="nil"/>
            </w:tcBorders>
            <w:shd w:val="clear" w:color="auto" w:fill="auto"/>
            <w:vAlign w:val="center"/>
            <w:hideMark/>
          </w:tcPr>
          <w:p w:rsidR="00F02B29" w:rsidRPr="00FD022B" w:rsidP="008D6EF5" w14:paraId="319D5D2D" w14:textId="77777777">
            <w:pPr>
              <w:rPr>
                <w:rFonts w:ascii="Arial" w:hAnsi="Arial" w:cs="Arial"/>
                <w:b/>
                <w:bCs/>
                <w:color w:val="000000"/>
                <w:sz w:val="18"/>
                <w:szCs w:val="18"/>
              </w:rPr>
            </w:pPr>
            <w:r w:rsidRPr="00FD022B">
              <w:rPr>
                <w:rFonts w:ascii="Arial" w:hAnsi="Arial" w:cs="Arial"/>
                <w:b/>
                <w:bCs/>
                <w:color w:val="000000"/>
                <w:sz w:val="18"/>
                <w:szCs w:val="18"/>
              </w:rPr>
              <w:t>3</w:t>
            </w:r>
          </w:p>
        </w:tc>
        <w:tc>
          <w:tcPr>
            <w:tcW w:w="3360" w:type="dxa"/>
            <w:tcBorders>
              <w:top w:val="nil"/>
              <w:left w:val="nil"/>
              <w:bottom w:val="nil"/>
              <w:right w:val="nil"/>
            </w:tcBorders>
            <w:shd w:val="clear" w:color="auto" w:fill="auto"/>
            <w:vAlign w:val="center"/>
            <w:hideMark/>
          </w:tcPr>
          <w:p w:rsidR="00F02B29" w:rsidRPr="00FD022B" w:rsidP="008D6EF5" w14:paraId="7D0C5C8A" w14:textId="77777777">
            <w:pPr>
              <w:rPr>
                <w:rFonts w:ascii="Arial" w:hAnsi="Arial" w:cs="Arial"/>
                <w:color w:val="000000"/>
                <w:sz w:val="18"/>
                <w:szCs w:val="18"/>
              </w:rPr>
            </w:pPr>
            <w:r w:rsidRPr="00FD022B">
              <w:rPr>
                <w:rFonts w:ascii="Arial" w:hAnsi="Arial" w:cs="Arial"/>
                <w:color w:val="000000"/>
                <w:sz w:val="18"/>
                <w:szCs w:val="18"/>
              </w:rPr>
              <w:t>NPSAS Administrative-only students</w:t>
            </w:r>
          </w:p>
        </w:tc>
        <w:tc>
          <w:tcPr>
            <w:tcW w:w="1950" w:type="dxa"/>
            <w:tcBorders>
              <w:top w:val="nil"/>
              <w:left w:val="nil"/>
              <w:bottom w:val="nil"/>
              <w:right w:val="nil"/>
            </w:tcBorders>
            <w:shd w:val="clear" w:color="auto" w:fill="auto"/>
            <w:vAlign w:val="center"/>
            <w:hideMark/>
          </w:tcPr>
          <w:p w:rsidR="00F02B29" w:rsidRPr="00FD022B" w:rsidP="008D6EF5" w14:paraId="5E470820" w14:textId="77777777">
            <w:pPr>
              <w:jc w:val="center"/>
              <w:rPr>
                <w:rFonts w:ascii="Arial" w:hAnsi="Arial" w:cs="Arial"/>
                <w:color w:val="000000"/>
                <w:sz w:val="18"/>
                <w:szCs w:val="18"/>
              </w:rPr>
            </w:pPr>
            <w:r w:rsidRPr="00FD022B">
              <w:rPr>
                <w:rFonts w:ascii="Arial" w:hAnsi="Arial" w:cs="Arial"/>
                <w:color w:val="000000"/>
                <w:sz w:val="18"/>
                <w:szCs w:val="18"/>
              </w:rPr>
              <w:t>Yes</w:t>
            </w:r>
          </w:p>
        </w:tc>
        <w:tc>
          <w:tcPr>
            <w:tcW w:w="1950" w:type="dxa"/>
            <w:tcBorders>
              <w:top w:val="nil"/>
              <w:left w:val="nil"/>
              <w:bottom w:val="nil"/>
              <w:right w:val="nil"/>
            </w:tcBorders>
            <w:shd w:val="clear" w:color="auto" w:fill="auto"/>
            <w:noWrap/>
            <w:vAlign w:val="center"/>
            <w:hideMark/>
          </w:tcPr>
          <w:p w:rsidR="00F02B29" w:rsidRPr="00FD022B" w:rsidP="008D6EF5" w14:paraId="660FA657" w14:textId="77777777">
            <w:pPr>
              <w:jc w:val="center"/>
              <w:rPr>
                <w:rFonts w:ascii="Arial" w:hAnsi="Arial" w:cs="Arial"/>
                <w:color w:val="000000"/>
                <w:sz w:val="18"/>
                <w:szCs w:val="18"/>
              </w:rPr>
            </w:pPr>
            <w:r w:rsidRPr="00FD022B">
              <w:rPr>
                <w:rFonts w:ascii="Arial" w:hAnsi="Arial" w:cs="Arial"/>
                <w:color w:val="000000"/>
                <w:sz w:val="18"/>
                <w:szCs w:val="18"/>
              </w:rPr>
              <w:t>2,450</w:t>
            </w:r>
          </w:p>
        </w:tc>
        <w:tc>
          <w:tcPr>
            <w:tcW w:w="1950" w:type="dxa"/>
            <w:tcBorders>
              <w:top w:val="nil"/>
              <w:left w:val="nil"/>
              <w:bottom w:val="nil"/>
              <w:right w:val="nil"/>
            </w:tcBorders>
            <w:shd w:val="clear" w:color="auto" w:fill="auto"/>
            <w:vAlign w:val="center"/>
            <w:hideMark/>
          </w:tcPr>
          <w:p w:rsidR="00F02B29" w:rsidRPr="00FD022B" w:rsidP="008D6EF5" w14:paraId="016D34F8" w14:textId="77777777">
            <w:pPr>
              <w:jc w:val="center"/>
              <w:rPr>
                <w:rFonts w:ascii="Arial" w:hAnsi="Arial" w:cs="Arial"/>
                <w:color w:val="000000"/>
                <w:sz w:val="18"/>
                <w:szCs w:val="18"/>
              </w:rPr>
            </w:pPr>
            <w:r w:rsidRPr="00FD022B">
              <w:rPr>
                <w:rFonts w:ascii="Arial" w:hAnsi="Arial" w:cs="Arial"/>
                <w:color w:val="000000"/>
                <w:sz w:val="18"/>
                <w:szCs w:val="18"/>
              </w:rPr>
              <w:t>Yes</w:t>
            </w:r>
          </w:p>
        </w:tc>
      </w:tr>
      <w:tr w14:paraId="6328E099" w14:textId="77777777" w:rsidTr="00575CD4">
        <w:tblPrEx>
          <w:tblW w:w="10170" w:type="dxa"/>
          <w:tblLook w:val="04A0"/>
        </w:tblPrEx>
        <w:trPr>
          <w:trHeight w:val="317"/>
        </w:trPr>
        <w:tc>
          <w:tcPr>
            <w:tcW w:w="960" w:type="dxa"/>
            <w:tcBorders>
              <w:top w:val="nil"/>
              <w:left w:val="nil"/>
              <w:bottom w:val="nil"/>
              <w:right w:val="nil"/>
            </w:tcBorders>
            <w:shd w:val="clear" w:color="auto" w:fill="auto"/>
            <w:vAlign w:val="center"/>
            <w:hideMark/>
          </w:tcPr>
          <w:p w:rsidR="00F02B29" w:rsidRPr="00FD022B" w:rsidP="008D6EF5" w14:paraId="6F0CFA3E" w14:textId="77777777">
            <w:pPr>
              <w:rPr>
                <w:rFonts w:ascii="Arial" w:hAnsi="Arial" w:cs="Arial"/>
                <w:b/>
                <w:bCs/>
                <w:color w:val="000000"/>
                <w:sz w:val="18"/>
                <w:szCs w:val="18"/>
              </w:rPr>
            </w:pPr>
            <w:r w:rsidRPr="00FD022B">
              <w:rPr>
                <w:rFonts w:ascii="Arial" w:hAnsi="Arial" w:cs="Arial"/>
                <w:b/>
                <w:bCs/>
                <w:color w:val="000000"/>
                <w:sz w:val="18"/>
                <w:szCs w:val="18"/>
              </w:rPr>
              <w:t>4</w:t>
            </w:r>
          </w:p>
        </w:tc>
        <w:tc>
          <w:tcPr>
            <w:tcW w:w="3360" w:type="dxa"/>
            <w:tcBorders>
              <w:top w:val="nil"/>
              <w:left w:val="nil"/>
              <w:bottom w:val="nil"/>
              <w:right w:val="nil"/>
            </w:tcBorders>
            <w:shd w:val="clear" w:color="auto" w:fill="auto"/>
            <w:vAlign w:val="center"/>
            <w:hideMark/>
          </w:tcPr>
          <w:p w:rsidR="00F02B29" w:rsidRPr="00FD022B" w:rsidP="008D6EF5" w14:paraId="5FE907D2" w14:textId="77777777">
            <w:pPr>
              <w:rPr>
                <w:rFonts w:ascii="Arial" w:hAnsi="Arial" w:cs="Arial"/>
                <w:color w:val="000000"/>
                <w:sz w:val="18"/>
                <w:szCs w:val="18"/>
              </w:rPr>
            </w:pPr>
            <w:r w:rsidRPr="00FD022B">
              <w:rPr>
                <w:rFonts w:ascii="Arial" w:hAnsi="Arial" w:cs="Arial"/>
                <w:color w:val="000000"/>
                <w:sz w:val="18"/>
                <w:szCs w:val="18"/>
              </w:rPr>
              <w:t>NPSAS Survey respondents</w:t>
            </w:r>
          </w:p>
        </w:tc>
        <w:tc>
          <w:tcPr>
            <w:tcW w:w="1950" w:type="dxa"/>
            <w:tcBorders>
              <w:top w:val="nil"/>
              <w:left w:val="nil"/>
              <w:bottom w:val="nil"/>
              <w:right w:val="nil"/>
            </w:tcBorders>
            <w:shd w:val="clear" w:color="auto" w:fill="auto"/>
            <w:vAlign w:val="center"/>
            <w:hideMark/>
          </w:tcPr>
          <w:p w:rsidR="00F02B29" w:rsidRPr="00FD022B" w:rsidP="008D6EF5" w14:paraId="09DDE154" w14:textId="77777777">
            <w:pPr>
              <w:jc w:val="center"/>
              <w:rPr>
                <w:rFonts w:ascii="Arial" w:hAnsi="Arial" w:cs="Arial"/>
                <w:color w:val="000000"/>
                <w:sz w:val="18"/>
                <w:szCs w:val="18"/>
              </w:rPr>
            </w:pPr>
            <w:r w:rsidRPr="00FD022B">
              <w:rPr>
                <w:rFonts w:ascii="Arial" w:hAnsi="Arial" w:cs="Arial"/>
                <w:color w:val="000000"/>
                <w:sz w:val="18"/>
                <w:szCs w:val="18"/>
              </w:rPr>
              <w:t>No</w:t>
            </w:r>
          </w:p>
        </w:tc>
        <w:tc>
          <w:tcPr>
            <w:tcW w:w="1950" w:type="dxa"/>
            <w:tcBorders>
              <w:top w:val="nil"/>
              <w:left w:val="nil"/>
              <w:bottom w:val="nil"/>
              <w:right w:val="nil"/>
            </w:tcBorders>
            <w:shd w:val="clear" w:color="auto" w:fill="auto"/>
            <w:noWrap/>
            <w:vAlign w:val="center"/>
            <w:hideMark/>
          </w:tcPr>
          <w:p w:rsidR="00F02B29" w:rsidRPr="00FD022B" w:rsidP="008D6EF5" w14:paraId="201A056C" w14:textId="77777777">
            <w:pPr>
              <w:jc w:val="center"/>
              <w:rPr>
                <w:rFonts w:ascii="Arial" w:hAnsi="Arial" w:cs="Arial"/>
                <w:color w:val="000000"/>
                <w:sz w:val="18"/>
                <w:szCs w:val="18"/>
              </w:rPr>
            </w:pPr>
            <w:r w:rsidRPr="00FD022B">
              <w:rPr>
                <w:rFonts w:ascii="Arial" w:hAnsi="Arial" w:cs="Arial"/>
                <w:color w:val="000000"/>
                <w:sz w:val="18"/>
                <w:szCs w:val="18"/>
              </w:rPr>
              <w:t>6,3</w:t>
            </w:r>
            <w:r>
              <w:rPr>
                <w:rFonts w:ascii="Arial" w:hAnsi="Arial" w:cs="Arial"/>
                <w:color w:val="000000"/>
                <w:sz w:val="18"/>
                <w:szCs w:val="18"/>
              </w:rPr>
              <w:t>3</w:t>
            </w:r>
            <w:r w:rsidRPr="00FD022B">
              <w:rPr>
                <w:rFonts w:ascii="Arial" w:hAnsi="Arial" w:cs="Arial"/>
                <w:color w:val="000000"/>
                <w:sz w:val="18"/>
                <w:szCs w:val="18"/>
              </w:rPr>
              <w:t>0</w:t>
            </w:r>
          </w:p>
        </w:tc>
        <w:tc>
          <w:tcPr>
            <w:tcW w:w="1950" w:type="dxa"/>
            <w:tcBorders>
              <w:top w:val="nil"/>
              <w:left w:val="nil"/>
              <w:bottom w:val="nil"/>
              <w:right w:val="nil"/>
            </w:tcBorders>
            <w:shd w:val="clear" w:color="auto" w:fill="auto"/>
            <w:vAlign w:val="center"/>
            <w:hideMark/>
          </w:tcPr>
          <w:p w:rsidR="00F02B29" w:rsidRPr="00FD022B" w:rsidP="008D6EF5" w14:paraId="214EB2AA" w14:textId="77777777">
            <w:pPr>
              <w:jc w:val="center"/>
              <w:rPr>
                <w:rFonts w:ascii="Arial" w:hAnsi="Arial" w:cs="Arial"/>
                <w:color w:val="000000"/>
                <w:sz w:val="18"/>
                <w:szCs w:val="18"/>
              </w:rPr>
            </w:pPr>
            <w:r w:rsidRPr="00FD022B">
              <w:rPr>
                <w:rFonts w:ascii="Arial" w:hAnsi="Arial" w:cs="Arial"/>
                <w:color w:val="000000"/>
                <w:sz w:val="18"/>
                <w:szCs w:val="18"/>
              </w:rPr>
              <w:t>Yes</w:t>
            </w:r>
          </w:p>
        </w:tc>
      </w:tr>
      <w:tr w14:paraId="334515C5" w14:textId="77777777" w:rsidTr="00575CD4">
        <w:tblPrEx>
          <w:tblW w:w="10170" w:type="dxa"/>
          <w:tblLook w:val="04A0"/>
        </w:tblPrEx>
        <w:trPr>
          <w:trHeight w:val="317"/>
        </w:trPr>
        <w:tc>
          <w:tcPr>
            <w:tcW w:w="960" w:type="dxa"/>
            <w:tcBorders>
              <w:top w:val="nil"/>
              <w:left w:val="nil"/>
              <w:bottom w:val="nil"/>
              <w:right w:val="nil"/>
            </w:tcBorders>
            <w:shd w:val="clear" w:color="auto" w:fill="auto"/>
            <w:vAlign w:val="center"/>
            <w:hideMark/>
          </w:tcPr>
          <w:p w:rsidR="00F02B29" w:rsidRPr="00FD022B" w:rsidP="008D6EF5" w14:paraId="323D3A4E" w14:textId="77777777">
            <w:pPr>
              <w:rPr>
                <w:rFonts w:ascii="Arial" w:hAnsi="Arial" w:cs="Arial"/>
                <w:b/>
                <w:bCs/>
                <w:color w:val="000000"/>
                <w:sz w:val="18"/>
                <w:szCs w:val="18"/>
              </w:rPr>
            </w:pPr>
            <w:r w:rsidRPr="00FD022B">
              <w:rPr>
                <w:rFonts w:ascii="Arial" w:hAnsi="Arial" w:cs="Arial"/>
                <w:b/>
                <w:bCs/>
                <w:color w:val="000000"/>
                <w:sz w:val="18"/>
                <w:szCs w:val="18"/>
              </w:rPr>
              <w:t>5</w:t>
            </w:r>
            <w:r w:rsidRPr="00FD022B">
              <w:rPr>
                <w:rFonts w:ascii="Arial" w:hAnsi="Arial" w:cs="Arial"/>
                <w:b/>
                <w:bCs/>
                <w:color w:val="000000"/>
                <w:sz w:val="18"/>
                <w:szCs w:val="18"/>
                <w:vertAlign w:val="superscript"/>
              </w:rPr>
              <w:t>1</w:t>
            </w:r>
          </w:p>
        </w:tc>
        <w:tc>
          <w:tcPr>
            <w:tcW w:w="3360" w:type="dxa"/>
            <w:tcBorders>
              <w:top w:val="nil"/>
              <w:left w:val="nil"/>
              <w:bottom w:val="nil"/>
              <w:right w:val="nil"/>
            </w:tcBorders>
            <w:shd w:val="clear" w:color="auto" w:fill="auto"/>
            <w:vAlign w:val="center"/>
            <w:hideMark/>
          </w:tcPr>
          <w:p w:rsidR="00F02B29" w:rsidRPr="00FD022B" w:rsidP="008D6EF5" w14:paraId="71F28B50" w14:textId="77777777">
            <w:pPr>
              <w:rPr>
                <w:rFonts w:ascii="Arial" w:hAnsi="Arial" w:cs="Arial"/>
                <w:color w:val="000000"/>
                <w:sz w:val="18"/>
                <w:szCs w:val="18"/>
              </w:rPr>
            </w:pPr>
            <w:r w:rsidRPr="00FD022B">
              <w:rPr>
                <w:rFonts w:ascii="Arial" w:hAnsi="Arial" w:cs="Arial"/>
                <w:color w:val="000000"/>
                <w:sz w:val="18"/>
                <w:szCs w:val="18"/>
              </w:rPr>
              <w:t>NPSAS Survey nonrespondents</w:t>
            </w:r>
          </w:p>
        </w:tc>
        <w:tc>
          <w:tcPr>
            <w:tcW w:w="1950" w:type="dxa"/>
            <w:tcBorders>
              <w:top w:val="nil"/>
              <w:left w:val="nil"/>
              <w:bottom w:val="nil"/>
              <w:right w:val="nil"/>
            </w:tcBorders>
            <w:shd w:val="clear" w:color="auto" w:fill="auto"/>
            <w:vAlign w:val="center"/>
            <w:hideMark/>
          </w:tcPr>
          <w:p w:rsidR="00F02B29" w:rsidRPr="00FD022B" w:rsidP="008D6EF5" w14:paraId="00D7791F" w14:textId="77777777">
            <w:pPr>
              <w:jc w:val="center"/>
              <w:rPr>
                <w:rFonts w:ascii="Arial" w:hAnsi="Arial" w:cs="Arial"/>
                <w:color w:val="000000"/>
                <w:sz w:val="18"/>
                <w:szCs w:val="18"/>
              </w:rPr>
            </w:pPr>
            <w:r w:rsidRPr="00FD022B">
              <w:rPr>
                <w:rFonts w:ascii="Arial" w:hAnsi="Arial" w:cs="Arial"/>
                <w:color w:val="000000"/>
                <w:sz w:val="18"/>
                <w:szCs w:val="18"/>
              </w:rPr>
              <w:t>No</w:t>
            </w:r>
          </w:p>
        </w:tc>
        <w:tc>
          <w:tcPr>
            <w:tcW w:w="1950" w:type="dxa"/>
            <w:tcBorders>
              <w:top w:val="nil"/>
              <w:left w:val="nil"/>
              <w:bottom w:val="nil"/>
              <w:right w:val="nil"/>
            </w:tcBorders>
            <w:shd w:val="clear" w:color="auto" w:fill="auto"/>
            <w:noWrap/>
            <w:vAlign w:val="center"/>
            <w:hideMark/>
          </w:tcPr>
          <w:p w:rsidR="00F02B29" w:rsidRPr="00FD022B" w:rsidP="008D6EF5" w14:paraId="654E53E1" w14:textId="77777777">
            <w:pPr>
              <w:jc w:val="center"/>
              <w:rPr>
                <w:rFonts w:ascii="Arial" w:hAnsi="Arial" w:cs="Arial"/>
                <w:color w:val="000000"/>
                <w:sz w:val="18"/>
                <w:szCs w:val="18"/>
              </w:rPr>
            </w:pPr>
            <w:r w:rsidRPr="00FD022B">
              <w:rPr>
                <w:rFonts w:ascii="Arial" w:hAnsi="Arial" w:cs="Arial"/>
                <w:color w:val="000000"/>
                <w:sz w:val="18"/>
                <w:szCs w:val="18"/>
              </w:rPr>
              <w:t>3,490</w:t>
            </w:r>
          </w:p>
        </w:tc>
        <w:tc>
          <w:tcPr>
            <w:tcW w:w="1950" w:type="dxa"/>
            <w:tcBorders>
              <w:top w:val="nil"/>
              <w:left w:val="nil"/>
              <w:bottom w:val="nil"/>
              <w:right w:val="nil"/>
            </w:tcBorders>
            <w:shd w:val="clear" w:color="auto" w:fill="auto"/>
            <w:vAlign w:val="center"/>
            <w:hideMark/>
          </w:tcPr>
          <w:p w:rsidR="00F02B29" w:rsidRPr="00FD022B" w:rsidP="008D6EF5" w14:paraId="08F4D2BB" w14:textId="77777777">
            <w:pPr>
              <w:jc w:val="center"/>
              <w:rPr>
                <w:rFonts w:ascii="Arial" w:hAnsi="Arial" w:cs="Arial"/>
                <w:color w:val="000000"/>
                <w:sz w:val="18"/>
                <w:szCs w:val="18"/>
              </w:rPr>
            </w:pPr>
            <w:r w:rsidRPr="00FD022B">
              <w:rPr>
                <w:rFonts w:ascii="Arial" w:hAnsi="Arial" w:cs="Arial"/>
                <w:color w:val="000000"/>
                <w:sz w:val="18"/>
                <w:szCs w:val="18"/>
              </w:rPr>
              <w:t>No</w:t>
            </w:r>
          </w:p>
        </w:tc>
      </w:tr>
      <w:tr w14:paraId="035733C0" w14:textId="77777777" w:rsidTr="00575CD4">
        <w:tblPrEx>
          <w:tblW w:w="10170" w:type="dxa"/>
          <w:tblLook w:val="04A0"/>
        </w:tblPrEx>
        <w:trPr>
          <w:trHeight w:val="317"/>
        </w:trPr>
        <w:tc>
          <w:tcPr>
            <w:tcW w:w="960" w:type="dxa"/>
            <w:tcBorders>
              <w:top w:val="nil"/>
              <w:left w:val="nil"/>
              <w:bottom w:val="single" w:sz="4" w:space="0" w:color="auto"/>
              <w:right w:val="nil"/>
            </w:tcBorders>
            <w:shd w:val="clear" w:color="auto" w:fill="auto"/>
            <w:vAlign w:val="center"/>
            <w:hideMark/>
          </w:tcPr>
          <w:p w:rsidR="00F02B29" w:rsidRPr="00FD022B" w:rsidP="008D6EF5" w14:paraId="7C60E521" w14:textId="77777777">
            <w:pPr>
              <w:rPr>
                <w:rFonts w:ascii="Arial" w:hAnsi="Arial" w:cs="Arial"/>
                <w:b/>
                <w:bCs/>
                <w:color w:val="000000"/>
                <w:sz w:val="18"/>
                <w:szCs w:val="18"/>
              </w:rPr>
            </w:pPr>
            <w:r w:rsidRPr="00FD022B">
              <w:rPr>
                <w:rFonts w:ascii="Arial" w:hAnsi="Arial" w:cs="Arial"/>
                <w:b/>
                <w:bCs/>
                <w:color w:val="000000"/>
                <w:sz w:val="18"/>
                <w:szCs w:val="18"/>
              </w:rPr>
              <w:t>6</w:t>
            </w:r>
            <w:r w:rsidRPr="00FD022B">
              <w:rPr>
                <w:rFonts w:ascii="Arial" w:hAnsi="Arial" w:cs="Arial"/>
                <w:b/>
                <w:bCs/>
                <w:color w:val="000000"/>
                <w:sz w:val="18"/>
                <w:szCs w:val="18"/>
                <w:vertAlign w:val="superscript"/>
              </w:rPr>
              <w:t>1</w:t>
            </w:r>
          </w:p>
        </w:tc>
        <w:tc>
          <w:tcPr>
            <w:tcW w:w="3360" w:type="dxa"/>
            <w:tcBorders>
              <w:top w:val="nil"/>
              <w:left w:val="nil"/>
              <w:bottom w:val="single" w:sz="4" w:space="0" w:color="auto"/>
              <w:right w:val="nil"/>
            </w:tcBorders>
            <w:shd w:val="clear" w:color="auto" w:fill="auto"/>
            <w:vAlign w:val="center"/>
            <w:hideMark/>
          </w:tcPr>
          <w:p w:rsidR="00F02B29" w:rsidRPr="00FD022B" w:rsidP="008D6EF5" w14:paraId="2C431687" w14:textId="77777777">
            <w:pPr>
              <w:rPr>
                <w:rFonts w:ascii="Arial" w:hAnsi="Arial" w:cs="Arial"/>
                <w:color w:val="000000"/>
                <w:sz w:val="18"/>
                <w:szCs w:val="18"/>
              </w:rPr>
            </w:pPr>
            <w:r w:rsidRPr="00FD022B">
              <w:rPr>
                <w:rFonts w:ascii="Arial" w:hAnsi="Arial" w:cs="Arial"/>
                <w:color w:val="000000"/>
                <w:sz w:val="18"/>
                <w:szCs w:val="18"/>
              </w:rPr>
              <w:t>NPSAS Administrative-only students</w:t>
            </w:r>
          </w:p>
        </w:tc>
        <w:tc>
          <w:tcPr>
            <w:tcW w:w="1950" w:type="dxa"/>
            <w:tcBorders>
              <w:top w:val="nil"/>
              <w:left w:val="nil"/>
              <w:bottom w:val="single" w:sz="4" w:space="0" w:color="auto"/>
              <w:right w:val="nil"/>
            </w:tcBorders>
            <w:shd w:val="clear" w:color="auto" w:fill="auto"/>
            <w:vAlign w:val="center"/>
            <w:hideMark/>
          </w:tcPr>
          <w:p w:rsidR="00F02B29" w:rsidRPr="00FD022B" w:rsidP="008D6EF5" w14:paraId="24C4167B" w14:textId="77777777">
            <w:pPr>
              <w:jc w:val="center"/>
              <w:rPr>
                <w:rFonts w:ascii="Arial" w:hAnsi="Arial" w:cs="Arial"/>
                <w:color w:val="000000"/>
                <w:sz w:val="18"/>
                <w:szCs w:val="18"/>
              </w:rPr>
            </w:pPr>
            <w:r w:rsidRPr="00FD022B">
              <w:rPr>
                <w:rFonts w:ascii="Arial" w:hAnsi="Arial" w:cs="Arial"/>
                <w:color w:val="000000"/>
                <w:sz w:val="18"/>
                <w:szCs w:val="18"/>
              </w:rPr>
              <w:t>No</w:t>
            </w:r>
          </w:p>
        </w:tc>
        <w:tc>
          <w:tcPr>
            <w:tcW w:w="1950" w:type="dxa"/>
            <w:tcBorders>
              <w:top w:val="nil"/>
              <w:left w:val="nil"/>
              <w:bottom w:val="single" w:sz="4" w:space="0" w:color="auto"/>
              <w:right w:val="nil"/>
            </w:tcBorders>
            <w:shd w:val="clear" w:color="auto" w:fill="auto"/>
            <w:noWrap/>
            <w:vAlign w:val="center"/>
            <w:hideMark/>
          </w:tcPr>
          <w:p w:rsidR="00F02B29" w:rsidRPr="00FD022B" w:rsidP="008D6EF5" w14:paraId="119F3392" w14:textId="77777777">
            <w:pPr>
              <w:jc w:val="center"/>
              <w:rPr>
                <w:rFonts w:ascii="Arial" w:hAnsi="Arial" w:cs="Arial"/>
                <w:color w:val="000000"/>
                <w:sz w:val="18"/>
                <w:szCs w:val="18"/>
              </w:rPr>
            </w:pPr>
            <w:r w:rsidRPr="00FD022B">
              <w:rPr>
                <w:rFonts w:ascii="Arial" w:hAnsi="Arial" w:cs="Arial"/>
                <w:color w:val="000000"/>
                <w:sz w:val="18"/>
                <w:szCs w:val="18"/>
              </w:rPr>
              <w:t>2,</w:t>
            </w:r>
            <w:r>
              <w:rPr>
                <w:rFonts w:ascii="Arial" w:hAnsi="Arial" w:cs="Arial"/>
                <w:color w:val="000000"/>
                <w:sz w:val="18"/>
                <w:szCs w:val="18"/>
              </w:rPr>
              <w:t>10</w:t>
            </w:r>
            <w:r w:rsidRPr="00FD022B">
              <w:rPr>
                <w:rFonts w:ascii="Arial" w:hAnsi="Arial" w:cs="Arial"/>
                <w:color w:val="000000"/>
                <w:sz w:val="18"/>
                <w:szCs w:val="18"/>
              </w:rPr>
              <w:t>0</w:t>
            </w:r>
          </w:p>
        </w:tc>
        <w:tc>
          <w:tcPr>
            <w:tcW w:w="1950" w:type="dxa"/>
            <w:tcBorders>
              <w:top w:val="nil"/>
              <w:left w:val="nil"/>
              <w:bottom w:val="single" w:sz="4" w:space="0" w:color="auto"/>
              <w:right w:val="nil"/>
            </w:tcBorders>
            <w:shd w:val="clear" w:color="auto" w:fill="auto"/>
            <w:vAlign w:val="center"/>
            <w:hideMark/>
          </w:tcPr>
          <w:p w:rsidR="00F02B29" w:rsidRPr="00FD022B" w:rsidP="008D6EF5" w14:paraId="238A1513" w14:textId="77777777">
            <w:pPr>
              <w:jc w:val="center"/>
              <w:rPr>
                <w:rFonts w:ascii="Arial" w:hAnsi="Arial" w:cs="Arial"/>
                <w:color w:val="000000"/>
                <w:sz w:val="18"/>
                <w:szCs w:val="18"/>
              </w:rPr>
            </w:pPr>
            <w:r w:rsidRPr="00FD022B">
              <w:rPr>
                <w:rFonts w:ascii="Arial" w:hAnsi="Arial" w:cs="Arial"/>
                <w:color w:val="000000"/>
                <w:sz w:val="18"/>
                <w:szCs w:val="18"/>
              </w:rPr>
              <w:t>No</w:t>
            </w:r>
          </w:p>
        </w:tc>
      </w:tr>
    </w:tbl>
    <w:p w:rsidR="00F02B29" w:rsidRPr="00EB5E5E" w:rsidP="00F02B29" w14:paraId="436908EB" w14:textId="1C1E31A6">
      <w:pPr>
        <w:ind w:right="342"/>
        <w:rPr>
          <w:rFonts w:asciiTheme="majorHAnsi" w:hAnsiTheme="majorHAnsi" w:cstheme="majorHAnsi"/>
          <w:color w:val="000000"/>
          <w:sz w:val="15"/>
          <w:szCs w:val="15"/>
        </w:rPr>
      </w:pPr>
      <w:r w:rsidRPr="00EB5E5E">
        <w:rPr>
          <w:rFonts w:asciiTheme="majorHAnsi" w:hAnsiTheme="majorHAnsi" w:cstheme="majorHAnsi"/>
          <w:color w:val="000000"/>
          <w:sz w:val="15"/>
          <w:szCs w:val="15"/>
        </w:rPr>
        <w:t xml:space="preserve">1 Groups 5 and 6 </w:t>
      </w:r>
      <w:r w:rsidR="003F1CBE">
        <w:rPr>
          <w:rFonts w:asciiTheme="majorHAnsi" w:hAnsiTheme="majorHAnsi" w:cstheme="majorHAnsi"/>
          <w:color w:val="000000"/>
          <w:sz w:val="15"/>
          <w:szCs w:val="15"/>
        </w:rPr>
        <w:t>will not be fielded</w:t>
      </w:r>
      <w:r w:rsidRPr="00EB5E5E">
        <w:rPr>
          <w:rFonts w:asciiTheme="majorHAnsi" w:hAnsiTheme="majorHAnsi" w:cstheme="majorHAnsi"/>
          <w:color w:val="000000"/>
          <w:sz w:val="15"/>
          <w:szCs w:val="15"/>
        </w:rPr>
        <w:t xml:space="preserve"> as they did not respond to either the NPSAS:20 survey or the BPS:20/22 survey.</w:t>
      </w:r>
      <w:r w:rsidRPr="00EB5E5E">
        <w:rPr>
          <w:rFonts w:asciiTheme="majorHAnsi" w:hAnsiTheme="majorHAnsi" w:cstheme="majorHAnsi"/>
          <w:color w:val="000000"/>
          <w:sz w:val="15"/>
          <w:szCs w:val="15"/>
        </w:rPr>
        <w:br/>
        <w:t xml:space="preserve">NOTE: Sample sizes rounded to the nearest 10. </w:t>
      </w:r>
      <w:r w:rsidRPr="00FD4122">
        <w:rPr>
          <w:rFonts w:ascii="Arial" w:hAnsi="Arial" w:cs="Arial"/>
          <w:bCs/>
          <w:color w:val="000000"/>
          <w:sz w:val="15"/>
          <w:szCs w:val="15"/>
        </w:rPr>
        <w:t>Detail may not sum to totals because of rounding.</w:t>
      </w:r>
      <w:r w:rsidRPr="00EB5E5E">
        <w:rPr>
          <w:rFonts w:asciiTheme="majorHAnsi" w:hAnsiTheme="majorHAnsi" w:cstheme="majorHAnsi"/>
          <w:color w:val="000000"/>
          <w:sz w:val="15"/>
          <w:szCs w:val="15"/>
        </w:rPr>
        <w:br/>
        <w:t>SOURCE: U.S. Department of Education, National Center for Education Statistics, 2020/22 Beginning Postsecondary Students Longitudinal Study (BPS:20/22).</w:t>
      </w:r>
    </w:p>
    <w:p w:rsidR="00F02B29" w:rsidRPr="001C2BC1" w:rsidP="00F02B29" w14:paraId="2F87F3BE" w14:textId="0482B022">
      <w:pPr>
        <w:pStyle w:val="NormalWeb"/>
        <w:rPr>
          <w:rFonts w:ascii="Garamond" w:hAnsi="Garamond" w:eastAsiaTheme="minorEastAsia" w:cs="Calibri"/>
          <w:color w:val="000000"/>
        </w:rPr>
      </w:pPr>
      <w:bookmarkStart w:id="28" w:name="_Hlk511145932"/>
      <w:r w:rsidRPr="001C2BC1">
        <w:rPr>
          <w:rFonts w:ascii="Garamond" w:hAnsi="Garamond" w:eastAsiaTheme="minorEastAsia" w:cs="Calibri"/>
          <w:color w:val="000000"/>
        </w:rPr>
        <w:t xml:space="preserve">While BPS:20/25 sample members who did not respond to either the NPSAS:20 student survey nor the BPS:20/22 survey are eligible for BPS:20/25, these sample members (groups </w:t>
      </w:r>
      <w:r>
        <w:rPr>
          <w:rFonts w:ascii="Garamond" w:hAnsi="Garamond" w:eastAsiaTheme="minorEastAsia" w:cs="Calibri"/>
          <w:color w:val="000000"/>
        </w:rPr>
        <w:t>5</w:t>
      </w:r>
      <w:r w:rsidRPr="001C2BC1">
        <w:rPr>
          <w:rFonts w:ascii="Garamond" w:hAnsi="Garamond" w:eastAsiaTheme="minorEastAsia" w:cs="Calibri"/>
          <w:color w:val="000000"/>
        </w:rPr>
        <w:t xml:space="preserve"> and 6 in Table </w:t>
      </w:r>
      <w:r w:rsidR="002C636E">
        <w:rPr>
          <w:rFonts w:ascii="Garamond" w:hAnsi="Garamond" w:eastAsiaTheme="minorEastAsia" w:cs="Calibri"/>
          <w:color w:val="000000"/>
        </w:rPr>
        <w:t>2</w:t>
      </w:r>
      <w:r w:rsidRPr="001C2BC1">
        <w:rPr>
          <w:rFonts w:ascii="Garamond" w:hAnsi="Garamond" w:eastAsiaTheme="minorEastAsia" w:cs="Calibri"/>
          <w:color w:val="000000"/>
        </w:rPr>
        <w:t>) will not be fielded as they have responded at very low rates in previous administrations. This results in approximately 5,5</w:t>
      </w:r>
      <w:r>
        <w:rPr>
          <w:rFonts w:ascii="Garamond" w:hAnsi="Garamond" w:eastAsiaTheme="minorEastAsia" w:cs="Calibri"/>
          <w:color w:val="000000"/>
        </w:rPr>
        <w:t>9</w:t>
      </w:r>
      <w:r w:rsidRPr="001C2BC1">
        <w:rPr>
          <w:rFonts w:ascii="Garamond" w:hAnsi="Garamond" w:eastAsiaTheme="minorEastAsia" w:cs="Calibri"/>
          <w:color w:val="000000"/>
        </w:rPr>
        <w:t xml:space="preserve">0 BPS:20/25 sample members not being fielded. </w:t>
      </w:r>
      <w:bookmarkEnd w:id="28"/>
      <w:r w:rsidRPr="001C2BC1">
        <w:rPr>
          <w:rFonts w:ascii="Garamond" w:hAnsi="Garamond" w:eastAsiaTheme="minorEastAsia" w:cs="Calibri"/>
          <w:color w:val="000000"/>
        </w:rPr>
        <w:t xml:space="preserve">Instead, they will be treated as study nonrespondents for purposes of response rate calculation and accounted for with weight adjustments. </w:t>
      </w:r>
    </w:p>
    <w:p w:rsidR="00F02B29" w:rsidRPr="00CB5872" w:rsidP="00F02B29" w14:paraId="0D9E87BC" w14:textId="52C866D3">
      <w:pPr>
        <w:pStyle w:val="NormalWeb"/>
        <w:rPr>
          <w:rFonts w:ascii="Garamond" w:hAnsi="Garamond" w:eastAsiaTheme="minorEastAsia" w:cs="Calibri"/>
          <w:color w:val="000000"/>
        </w:rPr>
      </w:pPr>
      <w:r w:rsidRPr="00E51328">
        <w:rPr>
          <w:rFonts w:ascii="Garamond" w:hAnsi="Garamond" w:eastAsiaTheme="minorEastAsia" w:cs="Calibri"/>
          <w:color w:val="000000"/>
        </w:rPr>
        <w:t xml:space="preserve">Table </w:t>
      </w:r>
      <w:r w:rsidRPr="00E51328" w:rsidR="001B6466">
        <w:rPr>
          <w:rFonts w:ascii="Garamond" w:hAnsi="Garamond" w:eastAsiaTheme="minorEastAsia" w:cs="Calibri"/>
          <w:color w:val="000000"/>
        </w:rPr>
        <w:t>3</w:t>
      </w:r>
      <w:r w:rsidRPr="00E51328">
        <w:rPr>
          <w:rFonts w:ascii="Garamond" w:hAnsi="Garamond" w:eastAsiaTheme="minorEastAsia" w:cs="Calibri"/>
          <w:color w:val="000000"/>
        </w:rPr>
        <w:t xml:space="preserve"> presents</w:t>
      </w:r>
      <w:r w:rsidRPr="001C2BC1">
        <w:rPr>
          <w:rFonts w:ascii="Garamond" w:hAnsi="Garamond" w:eastAsiaTheme="minorEastAsia" w:cs="Calibri"/>
          <w:color w:val="000000"/>
        </w:rPr>
        <w:t xml:space="preserve"> the BPS:20/25 sampled and expected responding individuals, by NPSAS:20 outcome and BPS:20/22 response status. Based on administrative data, all BPS:20/25 sample members are considered eligible. The response rate estimates are based on the BPS:20/22 data collection and the BPS:12 longitudinal cohort that followed the NPSAS:12 data collection (Bryan et al. 2016).</w:t>
      </w:r>
    </w:p>
    <w:p w:rsidR="00F02B29" w:rsidRPr="00261774" w:rsidP="00F02B29" w14:paraId="15C9E442" w14:textId="27CD790C">
      <w:pPr>
        <w:pStyle w:val="TableTitle"/>
        <w:ind w:left="810" w:hanging="810"/>
      </w:pPr>
      <w:bookmarkStart w:id="29" w:name="_Ref516573178"/>
      <w:bookmarkStart w:id="30" w:name="_Toc10118333"/>
      <w:bookmarkStart w:id="31" w:name="_Toc140075250"/>
      <w:bookmarkStart w:id="32" w:name="_Toc140136674"/>
      <w:bookmarkStart w:id="33" w:name="_Toc174607274"/>
      <w:r w:rsidRPr="00E51328">
        <w:t xml:space="preserve">Table </w:t>
      </w:r>
      <w:r w:rsidRPr="00E51328" w:rsidR="001B6466">
        <w:t>3</w:t>
      </w:r>
      <w:r w:rsidRPr="00E51328">
        <w:t xml:space="preserve">. </w:t>
      </w:r>
      <w:bookmarkEnd w:id="29"/>
      <w:bookmarkEnd w:id="30"/>
      <w:r w:rsidRPr="00E51328">
        <w:t>Expected</w:t>
      </w:r>
      <w:r>
        <w:t xml:space="preserve"> </w:t>
      </w:r>
      <w:r w:rsidRPr="00C21CF0">
        <w:t>BPS:20/2</w:t>
      </w:r>
      <w:r>
        <w:t>5</w:t>
      </w:r>
      <w:r w:rsidRPr="00C21CF0">
        <w:t xml:space="preserve"> full-scale study response rates by base-year</w:t>
      </w:r>
      <w:r>
        <w:t xml:space="preserve"> and BPS:20/22</w:t>
      </w:r>
      <w:r w:rsidRPr="00C21CF0">
        <w:t xml:space="preserve"> </w:t>
      </w:r>
      <w:r>
        <w:t>outcome</w:t>
      </w:r>
      <w:r w:rsidRPr="00C21CF0">
        <w:t xml:space="preserve"> status</w:t>
      </w:r>
      <w:r>
        <w:t>: 2020</w:t>
      </w:r>
      <w:r w:rsidRPr="00FB5083" w:rsidR="00CC780C">
        <w:t>–</w:t>
      </w:r>
      <w:r>
        <w:t>22</w:t>
      </w:r>
      <w:bookmarkEnd w:id="31"/>
      <w:bookmarkEnd w:id="32"/>
      <w:bookmarkEnd w:id="33"/>
    </w:p>
    <w:tbl>
      <w:tblPr>
        <w:tblW w:w="10530" w:type="dxa"/>
        <w:tblLook w:val="04A0"/>
      </w:tblPr>
      <w:tblGrid>
        <w:gridCol w:w="3690"/>
        <w:gridCol w:w="1260"/>
        <w:gridCol w:w="1440"/>
        <w:gridCol w:w="1890"/>
        <w:gridCol w:w="2250"/>
      </w:tblGrid>
      <w:tr w14:paraId="4EB5288C" w14:textId="77777777" w:rsidTr="003906A7">
        <w:tblPrEx>
          <w:tblW w:w="10530" w:type="dxa"/>
          <w:tblLook w:val="04A0"/>
        </w:tblPrEx>
        <w:trPr>
          <w:trHeight w:val="430"/>
        </w:trPr>
        <w:tc>
          <w:tcPr>
            <w:tcW w:w="3690" w:type="dxa"/>
            <w:tcBorders>
              <w:top w:val="single" w:sz="8" w:space="0" w:color="auto"/>
              <w:left w:val="nil"/>
              <w:bottom w:val="single" w:sz="8" w:space="0" w:color="auto"/>
              <w:right w:val="nil"/>
            </w:tcBorders>
            <w:shd w:val="clear" w:color="auto" w:fill="auto"/>
            <w:vAlign w:val="bottom"/>
            <w:hideMark/>
          </w:tcPr>
          <w:p w:rsidR="00F02B29" w:rsidRPr="00DC55AE" w:rsidP="003906A7" w14:paraId="7D466AD9" w14:textId="77777777">
            <w:pPr>
              <w:rPr>
                <w:rFonts w:ascii="Arial" w:hAnsi="Arial" w:cs="Arial"/>
                <w:b/>
                <w:bCs/>
                <w:color w:val="000000"/>
                <w:sz w:val="18"/>
                <w:szCs w:val="18"/>
              </w:rPr>
            </w:pPr>
            <w:r w:rsidRPr="00DC55AE">
              <w:rPr>
                <w:rFonts w:ascii="Arial" w:hAnsi="Arial" w:cs="Arial"/>
                <w:b/>
                <w:bCs/>
                <w:color w:val="000000"/>
                <w:sz w:val="18"/>
                <w:szCs w:val="18"/>
              </w:rPr>
              <w:t>NPSAS:20 data collection outcomes</w:t>
            </w:r>
          </w:p>
        </w:tc>
        <w:tc>
          <w:tcPr>
            <w:tcW w:w="1260" w:type="dxa"/>
            <w:tcBorders>
              <w:top w:val="single" w:sz="8" w:space="0" w:color="auto"/>
              <w:left w:val="nil"/>
              <w:bottom w:val="single" w:sz="8" w:space="0" w:color="auto"/>
              <w:right w:val="nil"/>
            </w:tcBorders>
            <w:shd w:val="clear" w:color="auto" w:fill="auto"/>
            <w:vAlign w:val="bottom"/>
            <w:hideMark/>
          </w:tcPr>
          <w:p w:rsidR="00F02B29" w:rsidRPr="00DC55AE" w:rsidP="003906A7" w14:paraId="117E13DA" w14:textId="77777777">
            <w:pPr>
              <w:rPr>
                <w:rFonts w:ascii="Arial" w:hAnsi="Arial" w:cs="Arial"/>
                <w:b/>
                <w:bCs/>
                <w:color w:val="000000"/>
                <w:sz w:val="18"/>
                <w:szCs w:val="18"/>
              </w:rPr>
            </w:pPr>
            <w:r w:rsidRPr="00DC55AE">
              <w:rPr>
                <w:rFonts w:ascii="Arial" w:hAnsi="Arial" w:cs="Arial"/>
                <w:b/>
                <w:bCs/>
                <w:color w:val="000000"/>
                <w:sz w:val="18"/>
                <w:szCs w:val="18"/>
              </w:rPr>
              <w:t>BPS:20/22 Respondent</w:t>
            </w:r>
          </w:p>
        </w:tc>
        <w:tc>
          <w:tcPr>
            <w:tcW w:w="1440" w:type="dxa"/>
            <w:tcBorders>
              <w:top w:val="single" w:sz="8" w:space="0" w:color="auto"/>
              <w:left w:val="nil"/>
              <w:bottom w:val="single" w:sz="8" w:space="0" w:color="auto"/>
              <w:right w:val="nil"/>
            </w:tcBorders>
            <w:shd w:val="clear" w:color="auto" w:fill="auto"/>
            <w:vAlign w:val="bottom"/>
            <w:hideMark/>
          </w:tcPr>
          <w:p w:rsidR="00F02B29" w:rsidRPr="00DC55AE" w:rsidP="003906A7" w14:paraId="2CCC3FFA" w14:textId="77777777">
            <w:pPr>
              <w:rPr>
                <w:rFonts w:ascii="Arial" w:hAnsi="Arial" w:cs="Arial"/>
                <w:b/>
                <w:bCs/>
                <w:color w:val="000000"/>
                <w:sz w:val="18"/>
                <w:szCs w:val="18"/>
              </w:rPr>
            </w:pPr>
            <w:r w:rsidRPr="00DC55AE">
              <w:rPr>
                <w:rFonts w:ascii="Arial" w:hAnsi="Arial" w:cs="Arial"/>
                <w:b/>
                <w:bCs/>
                <w:color w:val="000000"/>
                <w:sz w:val="18"/>
                <w:szCs w:val="18"/>
              </w:rPr>
              <w:t>Sample Size</w:t>
            </w:r>
          </w:p>
        </w:tc>
        <w:tc>
          <w:tcPr>
            <w:tcW w:w="1890" w:type="dxa"/>
            <w:tcBorders>
              <w:top w:val="single" w:sz="8" w:space="0" w:color="auto"/>
              <w:left w:val="nil"/>
              <w:bottom w:val="single" w:sz="8" w:space="0" w:color="auto"/>
              <w:right w:val="nil"/>
            </w:tcBorders>
            <w:shd w:val="clear" w:color="auto" w:fill="auto"/>
            <w:vAlign w:val="bottom"/>
            <w:hideMark/>
          </w:tcPr>
          <w:p w:rsidR="00F02B29" w:rsidRPr="00DC55AE" w:rsidP="003906A7" w14:paraId="32BF32FC" w14:textId="77777777">
            <w:pPr>
              <w:rPr>
                <w:rFonts w:ascii="Arial" w:hAnsi="Arial" w:cs="Arial"/>
                <w:b/>
                <w:bCs/>
                <w:color w:val="000000"/>
                <w:sz w:val="18"/>
                <w:szCs w:val="18"/>
              </w:rPr>
            </w:pPr>
            <w:r w:rsidRPr="00DC55AE">
              <w:rPr>
                <w:rFonts w:ascii="Arial" w:hAnsi="Arial" w:cs="Arial"/>
                <w:b/>
                <w:bCs/>
                <w:color w:val="000000"/>
                <w:sz w:val="18"/>
                <w:szCs w:val="18"/>
              </w:rPr>
              <w:t>Expected Response Rate</w:t>
            </w:r>
          </w:p>
        </w:tc>
        <w:tc>
          <w:tcPr>
            <w:tcW w:w="2250" w:type="dxa"/>
            <w:tcBorders>
              <w:top w:val="single" w:sz="8" w:space="0" w:color="auto"/>
              <w:left w:val="nil"/>
              <w:bottom w:val="single" w:sz="8" w:space="0" w:color="auto"/>
              <w:right w:val="nil"/>
            </w:tcBorders>
            <w:shd w:val="clear" w:color="auto" w:fill="auto"/>
            <w:vAlign w:val="bottom"/>
            <w:hideMark/>
          </w:tcPr>
          <w:p w:rsidR="00F02B29" w:rsidRPr="00DC55AE" w:rsidP="003906A7" w14:paraId="6C13CD3A" w14:textId="77777777">
            <w:pPr>
              <w:rPr>
                <w:rFonts w:ascii="Arial" w:hAnsi="Arial" w:cs="Arial"/>
                <w:b/>
                <w:bCs/>
                <w:color w:val="000000"/>
                <w:sz w:val="18"/>
                <w:szCs w:val="18"/>
              </w:rPr>
            </w:pPr>
            <w:r w:rsidRPr="00DC55AE">
              <w:rPr>
                <w:rFonts w:ascii="Arial" w:hAnsi="Arial" w:cs="Arial"/>
                <w:b/>
                <w:bCs/>
                <w:color w:val="000000"/>
                <w:sz w:val="18"/>
                <w:szCs w:val="18"/>
              </w:rPr>
              <w:t>Expected Completes</w:t>
            </w:r>
          </w:p>
        </w:tc>
      </w:tr>
      <w:tr w14:paraId="3D5DC588" w14:textId="77777777" w:rsidTr="003906A7">
        <w:tblPrEx>
          <w:tblW w:w="10530" w:type="dxa"/>
          <w:tblLook w:val="04A0"/>
        </w:tblPrEx>
        <w:trPr>
          <w:trHeight w:val="277"/>
        </w:trPr>
        <w:tc>
          <w:tcPr>
            <w:tcW w:w="3690" w:type="dxa"/>
            <w:tcBorders>
              <w:top w:val="single" w:sz="8" w:space="0" w:color="auto"/>
              <w:left w:val="nil"/>
              <w:bottom w:val="single" w:sz="4" w:space="0" w:color="auto"/>
              <w:right w:val="nil"/>
            </w:tcBorders>
            <w:shd w:val="clear" w:color="auto" w:fill="auto"/>
            <w:vAlign w:val="center"/>
          </w:tcPr>
          <w:p w:rsidR="00F02B29" w:rsidRPr="00DC55AE" w:rsidP="003906A7" w14:paraId="16E17414" w14:textId="77777777">
            <w:pPr>
              <w:rPr>
                <w:rFonts w:ascii="Arial" w:hAnsi="Arial" w:cs="Arial"/>
                <w:b/>
                <w:bCs/>
                <w:color w:val="000000"/>
                <w:sz w:val="18"/>
                <w:szCs w:val="18"/>
              </w:rPr>
            </w:pPr>
            <w:r w:rsidRPr="00DC55AE">
              <w:rPr>
                <w:rFonts w:ascii="Arial" w:hAnsi="Arial" w:cs="Arial"/>
                <w:b/>
                <w:bCs/>
                <w:color w:val="000000"/>
                <w:sz w:val="18"/>
                <w:szCs w:val="18"/>
              </w:rPr>
              <w:t>Total</w:t>
            </w:r>
          </w:p>
        </w:tc>
        <w:tc>
          <w:tcPr>
            <w:tcW w:w="1260" w:type="dxa"/>
            <w:tcBorders>
              <w:top w:val="single" w:sz="8" w:space="0" w:color="auto"/>
              <w:left w:val="nil"/>
              <w:bottom w:val="single" w:sz="4" w:space="0" w:color="auto"/>
              <w:right w:val="nil"/>
            </w:tcBorders>
            <w:shd w:val="clear" w:color="auto" w:fill="auto"/>
            <w:vAlign w:val="center"/>
          </w:tcPr>
          <w:p w:rsidR="00F02B29" w:rsidRPr="00DC55AE" w:rsidP="003906A7" w14:paraId="622EE859" w14:textId="77777777">
            <w:pPr>
              <w:rPr>
                <w:rFonts w:ascii="Arial" w:hAnsi="Arial" w:cs="Arial"/>
                <w:b/>
                <w:bCs/>
                <w:color w:val="000000"/>
                <w:sz w:val="18"/>
                <w:szCs w:val="18"/>
              </w:rPr>
            </w:pPr>
            <w:r w:rsidRPr="00DC55AE">
              <w:rPr>
                <w:rFonts w:ascii="Arial" w:hAnsi="Arial" w:cs="Arial"/>
                <w:b/>
                <w:bCs/>
                <w:color w:val="000000"/>
                <w:sz w:val="18"/>
                <w:szCs w:val="18"/>
              </w:rPr>
              <w:t> </w:t>
            </w:r>
          </w:p>
        </w:tc>
        <w:tc>
          <w:tcPr>
            <w:tcW w:w="1440" w:type="dxa"/>
            <w:tcBorders>
              <w:top w:val="single" w:sz="8" w:space="0" w:color="auto"/>
              <w:left w:val="nil"/>
              <w:bottom w:val="single" w:sz="4" w:space="0" w:color="auto"/>
              <w:right w:val="nil"/>
            </w:tcBorders>
            <w:shd w:val="clear" w:color="auto" w:fill="auto"/>
            <w:noWrap/>
            <w:vAlign w:val="center"/>
          </w:tcPr>
          <w:p w:rsidR="00F02B29" w:rsidRPr="00DC55AE" w:rsidP="003906A7" w14:paraId="3C948A4E" w14:textId="77777777">
            <w:pPr>
              <w:jc w:val="right"/>
              <w:rPr>
                <w:rFonts w:ascii="Calibri" w:hAnsi="Calibri" w:cs="Calibri"/>
                <w:color w:val="000000"/>
              </w:rPr>
            </w:pPr>
            <w:r w:rsidRPr="00DC55AE">
              <w:rPr>
                <w:rFonts w:ascii="Arial" w:hAnsi="Arial" w:cs="Arial"/>
                <w:b/>
                <w:bCs/>
                <w:color w:val="000000"/>
                <w:sz w:val="18"/>
                <w:szCs w:val="18"/>
              </w:rPr>
              <w:t>34,240</w:t>
            </w:r>
          </w:p>
        </w:tc>
        <w:tc>
          <w:tcPr>
            <w:tcW w:w="1890" w:type="dxa"/>
            <w:tcBorders>
              <w:top w:val="single" w:sz="8" w:space="0" w:color="auto"/>
              <w:left w:val="nil"/>
              <w:bottom w:val="single" w:sz="4" w:space="0" w:color="auto"/>
              <w:right w:val="nil"/>
            </w:tcBorders>
            <w:shd w:val="clear" w:color="auto" w:fill="auto"/>
            <w:noWrap/>
            <w:vAlign w:val="center"/>
          </w:tcPr>
          <w:p w:rsidR="00F02B29" w:rsidRPr="00DC55AE" w:rsidP="003906A7" w14:paraId="298AA25C" w14:textId="77777777">
            <w:pPr>
              <w:jc w:val="right"/>
              <w:rPr>
                <w:rFonts w:ascii="Arial" w:hAnsi="Arial" w:cs="Arial"/>
                <w:color w:val="000000"/>
                <w:sz w:val="18"/>
                <w:szCs w:val="18"/>
              </w:rPr>
            </w:pPr>
            <w:r w:rsidRPr="00DC55AE">
              <w:rPr>
                <w:rFonts w:ascii="Arial" w:hAnsi="Arial" w:cs="Arial"/>
                <w:b/>
                <w:bCs/>
                <w:color w:val="000000"/>
                <w:sz w:val="18"/>
                <w:szCs w:val="18"/>
              </w:rPr>
              <w:t>0.59</w:t>
            </w:r>
          </w:p>
        </w:tc>
        <w:tc>
          <w:tcPr>
            <w:tcW w:w="2250" w:type="dxa"/>
            <w:tcBorders>
              <w:top w:val="single" w:sz="8" w:space="0" w:color="auto"/>
              <w:left w:val="nil"/>
              <w:bottom w:val="single" w:sz="4" w:space="0" w:color="auto"/>
              <w:right w:val="nil"/>
            </w:tcBorders>
            <w:shd w:val="clear" w:color="auto" w:fill="auto"/>
            <w:noWrap/>
            <w:vAlign w:val="center"/>
          </w:tcPr>
          <w:p w:rsidR="00F02B29" w:rsidRPr="00DC55AE" w:rsidP="003906A7" w14:paraId="46837CF6" w14:textId="77777777">
            <w:pPr>
              <w:jc w:val="right"/>
              <w:rPr>
                <w:rFonts w:ascii="Arial" w:hAnsi="Arial" w:cs="Arial"/>
                <w:color w:val="000000"/>
                <w:sz w:val="18"/>
                <w:szCs w:val="18"/>
              </w:rPr>
            </w:pPr>
            <w:r w:rsidRPr="00DC55AE">
              <w:rPr>
                <w:rFonts w:ascii="Arial" w:hAnsi="Arial" w:cs="Arial"/>
                <w:b/>
                <w:bCs/>
                <w:color w:val="000000"/>
                <w:sz w:val="18"/>
                <w:szCs w:val="18"/>
              </w:rPr>
              <w:t>20,0</w:t>
            </w:r>
            <w:r>
              <w:rPr>
                <w:rFonts w:ascii="Arial" w:hAnsi="Arial" w:cs="Arial"/>
                <w:b/>
                <w:bCs/>
                <w:color w:val="000000"/>
                <w:sz w:val="18"/>
                <w:szCs w:val="18"/>
              </w:rPr>
              <w:t>2</w:t>
            </w:r>
            <w:r w:rsidRPr="00DC55AE">
              <w:rPr>
                <w:rFonts w:ascii="Arial" w:hAnsi="Arial" w:cs="Arial"/>
                <w:b/>
                <w:bCs/>
                <w:color w:val="000000"/>
                <w:sz w:val="18"/>
                <w:szCs w:val="18"/>
              </w:rPr>
              <w:t>0</w:t>
            </w:r>
          </w:p>
        </w:tc>
      </w:tr>
      <w:tr w14:paraId="66A26D35" w14:textId="77777777" w:rsidTr="00EF2512">
        <w:tblPrEx>
          <w:tblW w:w="10530" w:type="dxa"/>
          <w:tblLook w:val="04A0"/>
        </w:tblPrEx>
        <w:trPr>
          <w:trHeight w:val="288"/>
        </w:trPr>
        <w:tc>
          <w:tcPr>
            <w:tcW w:w="3690" w:type="dxa"/>
            <w:tcBorders>
              <w:top w:val="single" w:sz="4" w:space="0" w:color="auto"/>
              <w:left w:val="nil"/>
              <w:bottom w:val="nil"/>
              <w:right w:val="nil"/>
            </w:tcBorders>
            <w:shd w:val="clear" w:color="auto" w:fill="auto"/>
            <w:vAlign w:val="center"/>
            <w:hideMark/>
          </w:tcPr>
          <w:p w:rsidR="00F02B29" w:rsidRPr="00FD4122" w:rsidP="003906A7" w14:paraId="516FB5EA" w14:textId="77777777">
            <w:pPr>
              <w:rPr>
                <w:rFonts w:asciiTheme="majorHAnsi" w:hAnsiTheme="majorHAnsi" w:cstheme="majorHAnsi"/>
                <w:color w:val="000000"/>
                <w:sz w:val="16"/>
                <w:szCs w:val="16"/>
              </w:rPr>
            </w:pPr>
            <w:r w:rsidRPr="00FD4122">
              <w:rPr>
                <w:rFonts w:asciiTheme="majorHAnsi" w:hAnsiTheme="majorHAnsi" w:cstheme="majorHAnsi"/>
                <w:color w:val="000000"/>
                <w:sz w:val="16"/>
                <w:szCs w:val="16"/>
              </w:rPr>
              <w:t>NPSAS Survey respondents</w:t>
            </w:r>
          </w:p>
        </w:tc>
        <w:tc>
          <w:tcPr>
            <w:tcW w:w="1260" w:type="dxa"/>
            <w:tcBorders>
              <w:top w:val="single" w:sz="4" w:space="0" w:color="auto"/>
              <w:left w:val="nil"/>
              <w:bottom w:val="nil"/>
              <w:right w:val="nil"/>
            </w:tcBorders>
            <w:shd w:val="clear" w:color="auto" w:fill="auto"/>
            <w:vAlign w:val="bottom"/>
            <w:hideMark/>
          </w:tcPr>
          <w:p w:rsidR="00F02B29" w:rsidRPr="00FD4122" w:rsidP="003906A7" w14:paraId="45A2C519" w14:textId="77777777">
            <w:pPr>
              <w:rPr>
                <w:rFonts w:asciiTheme="majorHAnsi" w:hAnsiTheme="majorHAnsi" w:cstheme="majorHAnsi"/>
                <w:color w:val="000000"/>
                <w:sz w:val="16"/>
                <w:szCs w:val="16"/>
              </w:rPr>
            </w:pPr>
            <w:r w:rsidRPr="00FD4122">
              <w:rPr>
                <w:rFonts w:asciiTheme="majorHAnsi" w:hAnsiTheme="majorHAnsi" w:cstheme="majorHAnsi"/>
                <w:color w:val="000000"/>
                <w:sz w:val="16"/>
                <w:szCs w:val="16"/>
              </w:rPr>
              <w:t>Yes</w:t>
            </w:r>
          </w:p>
        </w:tc>
        <w:tc>
          <w:tcPr>
            <w:tcW w:w="1440" w:type="dxa"/>
            <w:tcBorders>
              <w:top w:val="single" w:sz="4" w:space="0" w:color="auto"/>
              <w:left w:val="nil"/>
              <w:bottom w:val="nil"/>
              <w:right w:val="nil"/>
            </w:tcBorders>
            <w:shd w:val="clear" w:color="auto" w:fill="auto"/>
            <w:noWrap/>
            <w:vAlign w:val="bottom"/>
            <w:hideMark/>
          </w:tcPr>
          <w:p w:rsidR="00F02B29" w:rsidRPr="00FD4122" w:rsidP="003906A7" w14:paraId="107029ED" w14:textId="77777777">
            <w:pPr>
              <w:jc w:val="right"/>
              <w:rPr>
                <w:rFonts w:asciiTheme="majorHAnsi" w:hAnsiTheme="majorHAnsi" w:cstheme="majorHAnsi"/>
                <w:color w:val="000000"/>
                <w:sz w:val="16"/>
                <w:szCs w:val="16"/>
              </w:rPr>
            </w:pPr>
            <w:r w:rsidRPr="00FD4122">
              <w:rPr>
                <w:rFonts w:asciiTheme="majorHAnsi" w:hAnsiTheme="majorHAnsi" w:cstheme="majorHAnsi"/>
                <w:color w:val="000000"/>
                <w:sz w:val="16"/>
                <w:szCs w:val="16"/>
              </w:rPr>
              <w:t>18,9</w:t>
            </w:r>
            <w:r>
              <w:rPr>
                <w:rFonts w:asciiTheme="majorHAnsi" w:hAnsiTheme="majorHAnsi" w:cstheme="majorHAnsi"/>
                <w:color w:val="000000"/>
                <w:sz w:val="16"/>
                <w:szCs w:val="16"/>
              </w:rPr>
              <w:t>0</w:t>
            </w:r>
            <w:r w:rsidRPr="00FD4122">
              <w:rPr>
                <w:rFonts w:asciiTheme="majorHAnsi" w:hAnsiTheme="majorHAnsi" w:cstheme="majorHAnsi"/>
                <w:color w:val="000000"/>
                <w:sz w:val="16"/>
                <w:szCs w:val="16"/>
              </w:rPr>
              <w:t>0</w:t>
            </w:r>
          </w:p>
        </w:tc>
        <w:tc>
          <w:tcPr>
            <w:tcW w:w="1890" w:type="dxa"/>
            <w:tcBorders>
              <w:top w:val="single" w:sz="4" w:space="0" w:color="auto"/>
              <w:left w:val="nil"/>
              <w:bottom w:val="nil"/>
              <w:right w:val="nil"/>
            </w:tcBorders>
            <w:shd w:val="clear" w:color="auto" w:fill="auto"/>
            <w:noWrap/>
            <w:vAlign w:val="bottom"/>
            <w:hideMark/>
          </w:tcPr>
          <w:p w:rsidR="00F02B29" w:rsidRPr="00FD4122" w:rsidP="003906A7" w14:paraId="3A051468" w14:textId="77777777">
            <w:pPr>
              <w:jc w:val="right"/>
              <w:rPr>
                <w:rFonts w:asciiTheme="majorHAnsi" w:hAnsiTheme="majorHAnsi" w:cstheme="majorHAnsi"/>
                <w:color w:val="000000"/>
                <w:sz w:val="16"/>
                <w:szCs w:val="16"/>
              </w:rPr>
            </w:pPr>
            <w:r w:rsidRPr="00FD4122">
              <w:rPr>
                <w:rFonts w:asciiTheme="majorHAnsi" w:hAnsiTheme="majorHAnsi" w:cstheme="majorHAnsi"/>
                <w:color w:val="000000"/>
                <w:sz w:val="16"/>
                <w:szCs w:val="16"/>
              </w:rPr>
              <w:t>0.81</w:t>
            </w:r>
          </w:p>
        </w:tc>
        <w:tc>
          <w:tcPr>
            <w:tcW w:w="2250" w:type="dxa"/>
            <w:tcBorders>
              <w:top w:val="single" w:sz="4" w:space="0" w:color="auto"/>
              <w:left w:val="nil"/>
              <w:bottom w:val="nil"/>
              <w:right w:val="nil"/>
            </w:tcBorders>
            <w:shd w:val="clear" w:color="auto" w:fill="auto"/>
            <w:noWrap/>
            <w:vAlign w:val="bottom"/>
            <w:hideMark/>
          </w:tcPr>
          <w:p w:rsidR="00F02B29" w:rsidRPr="00FD4122" w:rsidP="003906A7" w14:paraId="6FECB32B" w14:textId="77777777">
            <w:pPr>
              <w:jc w:val="right"/>
              <w:rPr>
                <w:rFonts w:asciiTheme="majorHAnsi" w:hAnsiTheme="majorHAnsi" w:cstheme="majorHAnsi"/>
                <w:color w:val="000000"/>
                <w:sz w:val="16"/>
                <w:szCs w:val="16"/>
              </w:rPr>
            </w:pPr>
            <w:r w:rsidRPr="00FD4122">
              <w:rPr>
                <w:rFonts w:asciiTheme="majorHAnsi" w:hAnsiTheme="majorHAnsi" w:cstheme="majorHAnsi"/>
                <w:color w:val="000000"/>
                <w:sz w:val="16"/>
                <w:szCs w:val="16"/>
              </w:rPr>
              <w:t>15,3</w:t>
            </w:r>
            <w:r>
              <w:rPr>
                <w:rFonts w:asciiTheme="majorHAnsi" w:hAnsiTheme="majorHAnsi" w:cstheme="majorHAnsi"/>
                <w:color w:val="000000"/>
                <w:sz w:val="16"/>
                <w:szCs w:val="16"/>
              </w:rPr>
              <w:t>1</w:t>
            </w:r>
            <w:r w:rsidRPr="00FD4122">
              <w:rPr>
                <w:rFonts w:asciiTheme="majorHAnsi" w:hAnsiTheme="majorHAnsi" w:cstheme="majorHAnsi"/>
                <w:color w:val="000000"/>
                <w:sz w:val="16"/>
                <w:szCs w:val="16"/>
              </w:rPr>
              <w:t>0</w:t>
            </w:r>
          </w:p>
        </w:tc>
      </w:tr>
      <w:tr w14:paraId="4CBA57EB" w14:textId="77777777" w:rsidTr="00EF2512">
        <w:tblPrEx>
          <w:tblW w:w="10530" w:type="dxa"/>
          <w:tblLook w:val="04A0"/>
        </w:tblPrEx>
        <w:trPr>
          <w:trHeight w:val="288"/>
        </w:trPr>
        <w:tc>
          <w:tcPr>
            <w:tcW w:w="3690" w:type="dxa"/>
            <w:tcBorders>
              <w:top w:val="nil"/>
              <w:left w:val="nil"/>
              <w:bottom w:val="nil"/>
              <w:right w:val="nil"/>
            </w:tcBorders>
            <w:shd w:val="clear" w:color="auto" w:fill="auto"/>
            <w:vAlign w:val="center"/>
            <w:hideMark/>
          </w:tcPr>
          <w:p w:rsidR="00F02B29" w:rsidRPr="00FD4122" w:rsidP="003906A7" w14:paraId="00447C60" w14:textId="77777777">
            <w:pPr>
              <w:rPr>
                <w:rFonts w:asciiTheme="majorHAnsi" w:hAnsiTheme="majorHAnsi" w:cstheme="majorHAnsi"/>
                <w:color w:val="000000"/>
                <w:sz w:val="16"/>
                <w:szCs w:val="16"/>
              </w:rPr>
            </w:pPr>
            <w:r w:rsidRPr="00FD4122">
              <w:rPr>
                <w:rFonts w:asciiTheme="majorHAnsi" w:hAnsiTheme="majorHAnsi" w:cstheme="majorHAnsi"/>
                <w:color w:val="000000"/>
                <w:sz w:val="16"/>
                <w:szCs w:val="16"/>
              </w:rPr>
              <w:t>NPSAS Survey nonrespondents</w:t>
            </w:r>
          </w:p>
        </w:tc>
        <w:tc>
          <w:tcPr>
            <w:tcW w:w="1260" w:type="dxa"/>
            <w:tcBorders>
              <w:top w:val="nil"/>
              <w:left w:val="nil"/>
              <w:bottom w:val="nil"/>
              <w:right w:val="nil"/>
            </w:tcBorders>
            <w:shd w:val="clear" w:color="auto" w:fill="auto"/>
            <w:vAlign w:val="bottom"/>
            <w:hideMark/>
          </w:tcPr>
          <w:p w:rsidR="00F02B29" w:rsidRPr="00FD4122" w:rsidP="003906A7" w14:paraId="5E64147D" w14:textId="77777777">
            <w:pPr>
              <w:rPr>
                <w:rFonts w:asciiTheme="majorHAnsi" w:hAnsiTheme="majorHAnsi" w:cstheme="majorHAnsi"/>
                <w:color w:val="000000"/>
                <w:sz w:val="16"/>
                <w:szCs w:val="16"/>
              </w:rPr>
            </w:pPr>
            <w:r w:rsidRPr="00FD4122">
              <w:rPr>
                <w:rFonts w:asciiTheme="majorHAnsi" w:hAnsiTheme="majorHAnsi" w:cstheme="majorHAnsi"/>
                <w:color w:val="000000"/>
                <w:sz w:val="16"/>
                <w:szCs w:val="16"/>
              </w:rPr>
              <w:t>Yes</w:t>
            </w:r>
          </w:p>
        </w:tc>
        <w:tc>
          <w:tcPr>
            <w:tcW w:w="1440" w:type="dxa"/>
            <w:tcBorders>
              <w:top w:val="nil"/>
              <w:left w:val="nil"/>
              <w:bottom w:val="nil"/>
              <w:right w:val="nil"/>
            </w:tcBorders>
            <w:shd w:val="clear" w:color="auto" w:fill="auto"/>
            <w:noWrap/>
            <w:vAlign w:val="bottom"/>
            <w:hideMark/>
          </w:tcPr>
          <w:p w:rsidR="00F02B29" w:rsidRPr="00FD4122" w:rsidP="003906A7" w14:paraId="4072E04B" w14:textId="77777777">
            <w:pPr>
              <w:jc w:val="right"/>
              <w:rPr>
                <w:rFonts w:asciiTheme="majorHAnsi" w:hAnsiTheme="majorHAnsi" w:cstheme="majorHAnsi"/>
                <w:color w:val="000000"/>
                <w:sz w:val="16"/>
                <w:szCs w:val="16"/>
              </w:rPr>
            </w:pPr>
            <w:r w:rsidRPr="00FD4122">
              <w:rPr>
                <w:rFonts w:asciiTheme="majorHAnsi" w:hAnsiTheme="majorHAnsi" w:cstheme="majorHAnsi"/>
                <w:color w:val="000000"/>
                <w:sz w:val="16"/>
                <w:szCs w:val="16"/>
              </w:rPr>
              <w:t>9</w:t>
            </w:r>
            <w:r>
              <w:rPr>
                <w:rFonts w:asciiTheme="majorHAnsi" w:hAnsiTheme="majorHAnsi" w:cstheme="majorHAnsi"/>
                <w:color w:val="000000"/>
                <w:sz w:val="16"/>
                <w:szCs w:val="16"/>
              </w:rPr>
              <w:t>8</w:t>
            </w:r>
            <w:r w:rsidRPr="00FD4122">
              <w:rPr>
                <w:rFonts w:asciiTheme="majorHAnsi" w:hAnsiTheme="majorHAnsi" w:cstheme="majorHAnsi"/>
                <w:color w:val="000000"/>
                <w:sz w:val="16"/>
                <w:szCs w:val="16"/>
              </w:rPr>
              <w:t>0</w:t>
            </w:r>
          </w:p>
        </w:tc>
        <w:tc>
          <w:tcPr>
            <w:tcW w:w="1890" w:type="dxa"/>
            <w:tcBorders>
              <w:top w:val="nil"/>
              <w:left w:val="nil"/>
              <w:bottom w:val="nil"/>
              <w:right w:val="nil"/>
            </w:tcBorders>
            <w:shd w:val="clear" w:color="auto" w:fill="auto"/>
            <w:noWrap/>
            <w:vAlign w:val="bottom"/>
            <w:hideMark/>
          </w:tcPr>
          <w:p w:rsidR="00F02B29" w:rsidRPr="00FD4122" w:rsidP="003906A7" w14:paraId="12138028" w14:textId="77777777">
            <w:pPr>
              <w:jc w:val="right"/>
              <w:rPr>
                <w:rFonts w:asciiTheme="majorHAnsi" w:hAnsiTheme="majorHAnsi" w:cstheme="majorHAnsi"/>
                <w:color w:val="000000"/>
                <w:sz w:val="16"/>
                <w:szCs w:val="16"/>
              </w:rPr>
            </w:pPr>
            <w:r w:rsidRPr="00FD4122">
              <w:rPr>
                <w:rFonts w:asciiTheme="majorHAnsi" w:hAnsiTheme="majorHAnsi" w:cstheme="majorHAnsi"/>
                <w:color w:val="000000"/>
                <w:sz w:val="16"/>
                <w:szCs w:val="16"/>
              </w:rPr>
              <w:t>0.55</w:t>
            </w:r>
          </w:p>
        </w:tc>
        <w:tc>
          <w:tcPr>
            <w:tcW w:w="2250" w:type="dxa"/>
            <w:tcBorders>
              <w:top w:val="nil"/>
              <w:left w:val="nil"/>
              <w:bottom w:val="nil"/>
              <w:right w:val="nil"/>
            </w:tcBorders>
            <w:shd w:val="clear" w:color="auto" w:fill="auto"/>
            <w:noWrap/>
            <w:vAlign w:val="bottom"/>
            <w:hideMark/>
          </w:tcPr>
          <w:p w:rsidR="00F02B29" w:rsidRPr="00FD4122" w:rsidP="003906A7" w14:paraId="11282905" w14:textId="77777777">
            <w:pPr>
              <w:jc w:val="right"/>
              <w:rPr>
                <w:rFonts w:asciiTheme="majorHAnsi" w:hAnsiTheme="majorHAnsi" w:cstheme="majorHAnsi"/>
                <w:color w:val="000000"/>
                <w:sz w:val="16"/>
                <w:szCs w:val="16"/>
              </w:rPr>
            </w:pPr>
            <w:r w:rsidRPr="00FD4122">
              <w:rPr>
                <w:rFonts w:asciiTheme="majorHAnsi" w:hAnsiTheme="majorHAnsi" w:cstheme="majorHAnsi"/>
                <w:color w:val="000000"/>
                <w:sz w:val="16"/>
                <w:szCs w:val="16"/>
              </w:rPr>
              <w:t>5</w:t>
            </w:r>
            <w:r>
              <w:rPr>
                <w:rFonts w:asciiTheme="majorHAnsi" w:hAnsiTheme="majorHAnsi" w:cstheme="majorHAnsi"/>
                <w:color w:val="000000"/>
                <w:sz w:val="16"/>
                <w:szCs w:val="16"/>
              </w:rPr>
              <w:t>4</w:t>
            </w:r>
            <w:r w:rsidRPr="00FD4122">
              <w:rPr>
                <w:rFonts w:asciiTheme="majorHAnsi" w:hAnsiTheme="majorHAnsi" w:cstheme="majorHAnsi"/>
                <w:color w:val="000000"/>
                <w:sz w:val="16"/>
                <w:szCs w:val="16"/>
              </w:rPr>
              <w:t>0</w:t>
            </w:r>
          </w:p>
        </w:tc>
      </w:tr>
      <w:tr w14:paraId="4D51D6CC" w14:textId="77777777" w:rsidTr="00EF2512">
        <w:tblPrEx>
          <w:tblW w:w="10530" w:type="dxa"/>
          <w:tblLook w:val="04A0"/>
        </w:tblPrEx>
        <w:trPr>
          <w:trHeight w:val="288"/>
        </w:trPr>
        <w:tc>
          <w:tcPr>
            <w:tcW w:w="3690" w:type="dxa"/>
            <w:tcBorders>
              <w:top w:val="nil"/>
              <w:left w:val="nil"/>
              <w:bottom w:val="nil"/>
              <w:right w:val="nil"/>
            </w:tcBorders>
            <w:shd w:val="clear" w:color="auto" w:fill="auto"/>
            <w:vAlign w:val="center"/>
            <w:hideMark/>
          </w:tcPr>
          <w:p w:rsidR="00F02B29" w:rsidRPr="00FD4122" w:rsidP="003906A7" w14:paraId="23CBA791" w14:textId="77777777">
            <w:pPr>
              <w:rPr>
                <w:rFonts w:asciiTheme="majorHAnsi" w:hAnsiTheme="majorHAnsi" w:cstheme="majorHAnsi"/>
                <w:color w:val="000000"/>
                <w:sz w:val="16"/>
                <w:szCs w:val="16"/>
              </w:rPr>
            </w:pPr>
            <w:r w:rsidRPr="00FD4122">
              <w:rPr>
                <w:rFonts w:asciiTheme="majorHAnsi" w:hAnsiTheme="majorHAnsi" w:cstheme="majorHAnsi"/>
                <w:color w:val="000000"/>
                <w:sz w:val="16"/>
                <w:szCs w:val="16"/>
              </w:rPr>
              <w:t>NPSAS Administrative-only students</w:t>
            </w:r>
          </w:p>
        </w:tc>
        <w:tc>
          <w:tcPr>
            <w:tcW w:w="1260" w:type="dxa"/>
            <w:tcBorders>
              <w:top w:val="nil"/>
              <w:left w:val="nil"/>
              <w:bottom w:val="nil"/>
              <w:right w:val="nil"/>
            </w:tcBorders>
            <w:shd w:val="clear" w:color="auto" w:fill="auto"/>
            <w:vAlign w:val="bottom"/>
            <w:hideMark/>
          </w:tcPr>
          <w:p w:rsidR="00F02B29" w:rsidRPr="00FD4122" w:rsidP="003906A7" w14:paraId="56E82D4E" w14:textId="77777777">
            <w:pPr>
              <w:rPr>
                <w:rFonts w:asciiTheme="majorHAnsi" w:hAnsiTheme="majorHAnsi" w:cstheme="majorHAnsi"/>
                <w:color w:val="000000"/>
                <w:sz w:val="16"/>
                <w:szCs w:val="16"/>
              </w:rPr>
            </w:pPr>
            <w:r w:rsidRPr="00FD4122">
              <w:rPr>
                <w:rFonts w:asciiTheme="majorHAnsi" w:hAnsiTheme="majorHAnsi" w:cstheme="majorHAnsi"/>
                <w:color w:val="000000"/>
                <w:sz w:val="16"/>
                <w:szCs w:val="16"/>
              </w:rPr>
              <w:t>Yes</w:t>
            </w:r>
          </w:p>
        </w:tc>
        <w:tc>
          <w:tcPr>
            <w:tcW w:w="1440" w:type="dxa"/>
            <w:tcBorders>
              <w:top w:val="nil"/>
              <w:left w:val="nil"/>
              <w:bottom w:val="nil"/>
              <w:right w:val="nil"/>
            </w:tcBorders>
            <w:shd w:val="clear" w:color="auto" w:fill="auto"/>
            <w:noWrap/>
            <w:vAlign w:val="bottom"/>
            <w:hideMark/>
          </w:tcPr>
          <w:p w:rsidR="00F02B29" w:rsidRPr="00FD4122" w:rsidP="003906A7" w14:paraId="241EFC0E" w14:textId="77777777">
            <w:pPr>
              <w:jc w:val="right"/>
              <w:rPr>
                <w:rFonts w:asciiTheme="majorHAnsi" w:hAnsiTheme="majorHAnsi" w:cstheme="majorHAnsi"/>
                <w:color w:val="000000"/>
                <w:sz w:val="16"/>
                <w:szCs w:val="16"/>
              </w:rPr>
            </w:pPr>
            <w:r w:rsidRPr="00FD4122">
              <w:rPr>
                <w:rFonts w:asciiTheme="majorHAnsi" w:hAnsiTheme="majorHAnsi" w:cstheme="majorHAnsi"/>
                <w:color w:val="000000"/>
                <w:sz w:val="16"/>
                <w:szCs w:val="16"/>
              </w:rPr>
              <w:t>2,450</w:t>
            </w:r>
          </w:p>
        </w:tc>
        <w:tc>
          <w:tcPr>
            <w:tcW w:w="1890" w:type="dxa"/>
            <w:tcBorders>
              <w:top w:val="nil"/>
              <w:left w:val="nil"/>
              <w:bottom w:val="nil"/>
              <w:right w:val="nil"/>
            </w:tcBorders>
            <w:shd w:val="clear" w:color="auto" w:fill="auto"/>
            <w:noWrap/>
            <w:vAlign w:val="bottom"/>
            <w:hideMark/>
          </w:tcPr>
          <w:p w:rsidR="00F02B29" w:rsidRPr="00FD4122" w:rsidP="003906A7" w14:paraId="53B85C15" w14:textId="77777777">
            <w:pPr>
              <w:jc w:val="right"/>
              <w:rPr>
                <w:rFonts w:asciiTheme="majorHAnsi" w:hAnsiTheme="majorHAnsi" w:cstheme="majorHAnsi"/>
                <w:color w:val="000000"/>
                <w:sz w:val="16"/>
                <w:szCs w:val="16"/>
              </w:rPr>
            </w:pPr>
            <w:r w:rsidRPr="00FD4122">
              <w:rPr>
                <w:rFonts w:asciiTheme="majorHAnsi" w:hAnsiTheme="majorHAnsi" w:cstheme="majorHAnsi"/>
                <w:color w:val="000000"/>
                <w:sz w:val="16"/>
                <w:szCs w:val="16"/>
              </w:rPr>
              <w:t>0.75</w:t>
            </w:r>
          </w:p>
        </w:tc>
        <w:tc>
          <w:tcPr>
            <w:tcW w:w="2250" w:type="dxa"/>
            <w:tcBorders>
              <w:top w:val="nil"/>
              <w:left w:val="nil"/>
              <w:bottom w:val="nil"/>
              <w:right w:val="nil"/>
            </w:tcBorders>
            <w:shd w:val="clear" w:color="auto" w:fill="auto"/>
            <w:noWrap/>
            <w:vAlign w:val="bottom"/>
            <w:hideMark/>
          </w:tcPr>
          <w:p w:rsidR="00F02B29" w:rsidRPr="00FD4122" w:rsidP="003906A7" w14:paraId="62B177E7" w14:textId="77777777">
            <w:pPr>
              <w:jc w:val="right"/>
              <w:rPr>
                <w:rFonts w:asciiTheme="majorHAnsi" w:hAnsiTheme="majorHAnsi" w:cstheme="majorHAnsi"/>
                <w:color w:val="000000"/>
                <w:sz w:val="16"/>
                <w:szCs w:val="16"/>
              </w:rPr>
            </w:pPr>
            <w:r w:rsidRPr="00FD4122">
              <w:rPr>
                <w:rFonts w:asciiTheme="majorHAnsi" w:hAnsiTheme="majorHAnsi" w:cstheme="majorHAnsi"/>
                <w:color w:val="000000"/>
                <w:sz w:val="16"/>
                <w:szCs w:val="16"/>
              </w:rPr>
              <w:t>1,8</w:t>
            </w:r>
            <w:r>
              <w:rPr>
                <w:rFonts w:asciiTheme="majorHAnsi" w:hAnsiTheme="majorHAnsi" w:cstheme="majorHAnsi"/>
                <w:color w:val="000000"/>
                <w:sz w:val="16"/>
                <w:szCs w:val="16"/>
              </w:rPr>
              <w:t>3</w:t>
            </w:r>
            <w:r w:rsidRPr="00FD4122">
              <w:rPr>
                <w:rFonts w:asciiTheme="majorHAnsi" w:hAnsiTheme="majorHAnsi" w:cstheme="majorHAnsi"/>
                <w:color w:val="000000"/>
                <w:sz w:val="16"/>
                <w:szCs w:val="16"/>
              </w:rPr>
              <w:t>0</w:t>
            </w:r>
          </w:p>
        </w:tc>
      </w:tr>
      <w:tr w14:paraId="52D2278F" w14:textId="77777777" w:rsidTr="00EF2512">
        <w:tblPrEx>
          <w:tblW w:w="10530" w:type="dxa"/>
          <w:tblLook w:val="04A0"/>
        </w:tblPrEx>
        <w:trPr>
          <w:trHeight w:val="288"/>
        </w:trPr>
        <w:tc>
          <w:tcPr>
            <w:tcW w:w="3690" w:type="dxa"/>
            <w:tcBorders>
              <w:top w:val="nil"/>
              <w:left w:val="nil"/>
              <w:bottom w:val="nil"/>
              <w:right w:val="nil"/>
            </w:tcBorders>
            <w:shd w:val="clear" w:color="auto" w:fill="auto"/>
            <w:vAlign w:val="center"/>
            <w:hideMark/>
          </w:tcPr>
          <w:p w:rsidR="00F02B29" w:rsidRPr="00FD4122" w:rsidP="003906A7" w14:paraId="57AA2FF1" w14:textId="77777777">
            <w:pPr>
              <w:rPr>
                <w:rFonts w:asciiTheme="majorHAnsi" w:hAnsiTheme="majorHAnsi" w:cstheme="majorHAnsi"/>
                <w:color w:val="000000"/>
                <w:sz w:val="16"/>
                <w:szCs w:val="16"/>
              </w:rPr>
            </w:pPr>
            <w:r w:rsidRPr="00FD4122">
              <w:rPr>
                <w:rFonts w:asciiTheme="majorHAnsi" w:hAnsiTheme="majorHAnsi" w:cstheme="majorHAnsi"/>
                <w:color w:val="000000"/>
                <w:sz w:val="16"/>
                <w:szCs w:val="16"/>
              </w:rPr>
              <w:t>NPSAS Survey respondents</w:t>
            </w:r>
          </w:p>
        </w:tc>
        <w:tc>
          <w:tcPr>
            <w:tcW w:w="1260" w:type="dxa"/>
            <w:tcBorders>
              <w:top w:val="nil"/>
              <w:left w:val="nil"/>
              <w:bottom w:val="nil"/>
              <w:right w:val="nil"/>
            </w:tcBorders>
            <w:shd w:val="clear" w:color="auto" w:fill="auto"/>
            <w:vAlign w:val="bottom"/>
            <w:hideMark/>
          </w:tcPr>
          <w:p w:rsidR="00F02B29" w:rsidRPr="00FD4122" w:rsidP="003906A7" w14:paraId="36FE169B" w14:textId="77777777">
            <w:pPr>
              <w:rPr>
                <w:rFonts w:asciiTheme="majorHAnsi" w:hAnsiTheme="majorHAnsi" w:cstheme="majorHAnsi"/>
                <w:color w:val="000000"/>
                <w:sz w:val="16"/>
                <w:szCs w:val="16"/>
              </w:rPr>
            </w:pPr>
            <w:r w:rsidRPr="00FD4122">
              <w:rPr>
                <w:rFonts w:asciiTheme="majorHAnsi" w:hAnsiTheme="majorHAnsi" w:cstheme="majorHAnsi"/>
                <w:color w:val="000000"/>
                <w:sz w:val="16"/>
                <w:szCs w:val="16"/>
              </w:rPr>
              <w:t>No</w:t>
            </w:r>
          </w:p>
        </w:tc>
        <w:tc>
          <w:tcPr>
            <w:tcW w:w="1440" w:type="dxa"/>
            <w:tcBorders>
              <w:top w:val="nil"/>
              <w:left w:val="nil"/>
              <w:bottom w:val="nil"/>
              <w:right w:val="nil"/>
            </w:tcBorders>
            <w:shd w:val="clear" w:color="auto" w:fill="auto"/>
            <w:noWrap/>
            <w:vAlign w:val="bottom"/>
            <w:hideMark/>
          </w:tcPr>
          <w:p w:rsidR="00F02B29" w:rsidRPr="00FD4122" w:rsidP="003906A7" w14:paraId="4CB5FAEB" w14:textId="77777777">
            <w:pPr>
              <w:jc w:val="right"/>
              <w:rPr>
                <w:rFonts w:asciiTheme="majorHAnsi" w:hAnsiTheme="majorHAnsi" w:cstheme="majorHAnsi"/>
                <w:color w:val="000000"/>
                <w:sz w:val="16"/>
                <w:szCs w:val="16"/>
              </w:rPr>
            </w:pPr>
            <w:r w:rsidRPr="00FD4122">
              <w:rPr>
                <w:rFonts w:asciiTheme="majorHAnsi" w:hAnsiTheme="majorHAnsi" w:cstheme="majorHAnsi"/>
                <w:color w:val="000000"/>
                <w:sz w:val="16"/>
                <w:szCs w:val="16"/>
              </w:rPr>
              <w:t>6,3</w:t>
            </w:r>
            <w:r>
              <w:rPr>
                <w:rFonts w:asciiTheme="majorHAnsi" w:hAnsiTheme="majorHAnsi" w:cstheme="majorHAnsi"/>
                <w:color w:val="000000"/>
                <w:sz w:val="16"/>
                <w:szCs w:val="16"/>
              </w:rPr>
              <w:t>3</w:t>
            </w:r>
            <w:r w:rsidRPr="00FD4122">
              <w:rPr>
                <w:rFonts w:asciiTheme="majorHAnsi" w:hAnsiTheme="majorHAnsi" w:cstheme="majorHAnsi"/>
                <w:color w:val="000000"/>
                <w:sz w:val="16"/>
                <w:szCs w:val="16"/>
              </w:rPr>
              <w:t>0</w:t>
            </w:r>
          </w:p>
        </w:tc>
        <w:tc>
          <w:tcPr>
            <w:tcW w:w="1890" w:type="dxa"/>
            <w:tcBorders>
              <w:top w:val="nil"/>
              <w:left w:val="nil"/>
              <w:bottom w:val="nil"/>
              <w:right w:val="nil"/>
            </w:tcBorders>
            <w:shd w:val="clear" w:color="auto" w:fill="auto"/>
            <w:noWrap/>
            <w:vAlign w:val="bottom"/>
            <w:hideMark/>
          </w:tcPr>
          <w:p w:rsidR="00F02B29" w:rsidRPr="00FD4122" w:rsidP="003906A7" w14:paraId="7C67F590" w14:textId="77777777">
            <w:pPr>
              <w:jc w:val="right"/>
              <w:rPr>
                <w:rFonts w:asciiTheme="majorHAnsi" w:hAnsiTheme="majorHAnsi" w:cstheme="majorHAnsi"/>
                <w:color w:val="000000"/>
                <w:sz w:val="16"/>
                <w:szCs w:val="16"/>
              </w:rPr>
            </w:pPr>
            <w:r w:rsidRPr="00FD4122">
              <w:rPr>
                <w:rFonts w:asciiTheme="majorHAnsi" w:hAnsiTheme="majorHAnsi" w:cstheme="majorHAnsi"/>
                <w:color w:val="000000"/>
                <w:sz w:val="16"/>
                <w:szCs w:val="16"/>
              </w:rPr>
              <w:t>0.37</w:t>
            </w:r>
          </w:p>
        </w:tc>
        <w:tc>
          <w:tcPr>
            <w:tcW w:w="2250" w:type="dxa"/>
            <w:tcBorders>
              <w:top w:val="nil"/>
              <w:left w:val="nil"/>
              <w:bottom w:val="nil"/>
              <w:right w:val="nil"/>
            </w:tcBorders>
            <w:shd w:val="clear" w:color="auto" w:fill="auto"/>
            <w:noWrap/>
            <w:vAlign w:val="bottom"/>
            <w:hideMark/>
          </w:tcPr>
          <w:p w:rsidR="00F02B29" w:rsidRPr="00FD4122" w:rsidP="003906A7" w14:paraId="3B44A09B" w14:textId="77777777">
            <w:pPr>
              <w:jc w:val="right"/>
              <w:rPr>
                <w:rFonts w:asciiTheme="majorHAnsi" w:hAnsiTheme="majorHAnsi" w:cstheme="majorHAnsi"/>
                <w:color w:val="000000"/>
                <w:sz w:val="16"/>
                <w:szCs w:val="16"/>
              </w:rPr>
            </w:pPr>
            <w:r w:rsidRPr="00FD4122">
              <w:rPr>
                <w:rFonts w:asciiTheme="majorHAnsi" w:hAnsiTheme="majorHAnsi" w:cstheme="majorHAnsi"/>
                <w:color w:val="000000"/>
                <w:sz w:val="16"/>
                <w:szCs w:val="16"/>
              </w:rPr>
              <w:t>2,3</w:t>
            </w:r>
            <w:r>
              <w:rPr>
                <w:rFonts w:asciiTheme="majorHAnsi" w:hAnsiTheme="majorHAnsi" w:cstheme="majorHAnsi"/>
                <w:color w:val="000000"/>
                <w:sz w:val="16"/>
                <w:szCs w:val="16"/>
              </w:rPr>
              <w:t>4</w:t>
            </w:r>
            <w:r w:rsidRPr="00FD4122">
              <w:rPr>
                <w:rFonts w:asciiTheme="majorHAnsi" w:hAnsiTheme="majorHAnsi" w:cstheme="majorHAnsi"/>
                <w:color w:val="000000"/>
                <w:sz w:val="16"/>
                <w:szCs w:val="16"/>
              </w:rPr>
              <w:t>0</w:t>
            </w:r>
          </w:p>
        </w:tc>
      </w:tr>
      <w:tr w14:paraId="26D8E602" w14:textId="77777777" w:rsidTr="00EF2512">
        <w:tblPrEx>
          <w:tblW w:w="10530" w:type="dxa"/>
          <w:tblLook w:val="04A0"/>
        </w:tblPrEx>
        <w:trPr>
          <w:trHeight w:val="288"/>
        </w:trPr>
        <w:tc>
          <w:tcPr>
            <w:tcW w:w="3690" w:type="dxa"/>
            <w:tcBorders>
              <w:top w:val="nil"/>
              <w:left w:val="nil"/>
              <w:bottom w:val="nil"/>
              <w:right w:val="nil"/>
            </w:tcBorders>
            <w:shd w:val="clear" w:color="auto" w:fill="auto"/>
            <w:vAlign w:val="center"/>
            <w:hideMark/>
          </w:tcPr>
          <w:p w:rsidR="00F02B29" w:rsidRPr="00FD4122" w:rsidP="003906A7" w14:paraId="63447D34" w14:textId="77777777">
            <w:pPr>
              <w:rPr>
                <w:rFonts w:asciiTheme="majorHAnsi" w:hAnsiTheme="majorHAnsi" w:cstheme="majorHAnsi"/>
                <w:color w:val="000000"/>
                <w:sz w:val="16"/>
                <w:szCs w:val="16"/>
              </w:rPr>
            </w:pPr>
            <w:r w:rsidRPr="00FD4122">
              <w:rPr>
                <w:rFonts w:asciiTheme="majorHAnsi" w:hAnsiTheme="majorHAnsi" w:cstheme="majorHAnsi"/>
                <w:color w:val="000000"/>
                <w:sz w:val="16"/>
                <w:szCs w:val="16"/>
              </w:rPr>
              <w:t>NPSAS Survey nonrespondents</w:t>
            </w:r>
            <w:r w:rsidRPr="00FD4122">
              <w:rPr>
                <w:rFonts w:asciiTheme="majorHAnsi" w:hAnsiTheme="majorHAnsi" w:cstheme="majorHAnsi"/>
                <w:color w:val="000000"/>
                <w:sz w:val="16"/>
                <w:szCs w:val="16"/>
                <w:vertAlign w:val="superscript"/>
              </w:rPr>
              <w:t>1</w:t>
            </w:r>
          </w:p>
        </w:tc>
        <w:tc>
          <w:tcPr>
            <w:tcW w:w="1260" w:type="dxa"/>
            <w:tcBorders>
              <w:top w:val="nil"/>
              <w:left w:val="nil"/>
              <w:bottom w:val="nil"/>
              <w:right w:val="nil"/>
            </w:tcBorders>
            <w:shd w:val="clear" w:color="auto" w:fill="auto"/>
            <w:vAlign w:val="bottom"/>
            <w:hideMark/>
          </w:tcPr>
          <w:p w:rsidR="00F02B29" w:rsidRPr="00FD4122" w:rsidP="003906A7" w14:paraId="55840F14" w14:textId="77777777">
            <w:pPr>
              <w:rPr>
                <w:rFonts w:asciiTheme="majorHAnsi" w:hAnsiTheme="majorHAnsi" w:cstheme="majorHAnsi"/>
                <w:color w:val="000000"/>
                <w:sz w:val="16"/>
                <w:szCs w:val="16"/>
              </w:rPr>
            </w:pPr>
            <w:r w:rsidRPr="00FD4122">
              <w:rPr>
                <w:rFonts w:asciiTheme="majorHAnsi" w:hAnsiTheme="majorHAnsi" w:cstheme="majorHAnsi"/>
                <w:color w:val="000000"/>
                <w:sz w:val="16"/>
                <w:szCs w:val="16"/>
              </w:rPr>
              <w:t>No</w:t>
            </w:r>
          </w:p>
        </w:tc>
        <w:tc>
          <w:tcPr>
            <w:tcW w:w="1440" w:type="dxa"/>
            <w:tcBorders>
              <w:top w:val="nil"/>
              <w:left w:val="nil"/>
              <w:bottom w:val="nil"/>
              <w:right w:val="nil"/>
            </w:tcBorders>
            <w:shd w:val="clear" w:color="auto" w:fill="auto"/>
            <w:noWrap/>
            <w:vAlign w:val="bottom"/>
            <w:hideMark/>
          </w:tcPr>
          <w:p w:rsidR="00F02B29" w:rsidRPr="00FD4122" w:rsidP="003906A7" w14:paraId="46434E47" w14:textId="77777777">
            <w:pPr>
              <w:jc w:val="right"/>
              <w:rPr>
                <w:rFonts w:asciiTheme="majorHAnsi" w:hAnsiTheme="majorHAnsi" w:cstheme="majorHAnsi"/>
                <w:color w:val="000000"/>
                <w:sz w:val="16"/>
                <w:szCs w:val="16"/>
              </w:rPr>
            </w:pPr>
            <w:r w:rsidRPr="00FD4122">
              <w:rPr>
                <w:rFonts w:asciiTheme="majorHAnsi" w:hAnsiTheme="majorHAnsi" w:cstheme="majorHAnsi"/>
                <w:color w:val="000000"/>
                <w:sz w:val="16"/>
                <w:szCs w:val="16"/>
              </w:rPr>
              <w:t>3,490</w:t>
            </w:r>
          </w:p>
        </w:tc>
        <w:tc>
          <w:tcPr>
            <w:tcW w:w="1890" w:type="dxa"/>
            <w:tcBorders>
              <w:top w:val="nil"/>
              <w:left w:val="nil"/>
              <w:bottom w:val="nil"/>
              <w:right w:val="nil"/>
            </w:tcBorders>
            <w:shd w:val="clear" w:color="auto" w:fill="auto"/>
            <w:noWrap/>
            <w:vAlign w:val="bottom"/>
            <w:hideMark/>
          </w:tcPr>
          <w:p w:rsidR="00F02B29" w:rsidRPr="00FD4122" w:rsidP="003906A7" w14:paraId="1F1ED5BB" w14:textId="77777777">
            <w:pPr>
              <w:jc w:val="right"/>
              <w:rPr>
                <w:rFonts w:asciiTheme="majorHAnsi" w:hAnsiTheme="majorHAnsi" w:cstheme="majorHAnsi"/>
                <w:color w:val="000000"/>
                <w:sz w:val="16"/>
                <w:szCs w:val="16"/>
              </w:rPr>
            </w:pPr>
            <w:r w:rsidRPr="00FD4122">
              <w:rPr>
                <w:rFonts w:asciiTheme="majorHAnsi" w:hAnsiTheme="majorHAnsi" w:cstheme="majorHAnsi"/>
                <w:color w:val="000000"/>
                <w:sz w:val="16"/>
                <w:szCs w:val="16"/>
              </w:rPr>
              <w:t>0.00</w:t>
            </w:r>
          </w:p>
        </w:tc>
        <w:tc>
          <w:tcPr>
            <w:tcW w:w="2250" w:type="dxa"/>
            <w:tcBorders>
              <w:top w:val="nil"/>
              <w:left w:val="nil"/>
              <w:bottom w:val="nil"/>
              <w:right w:val="nil"/>
            </w:tcBorders>
            <w:shd w:val="clear" w:color="auto" w:fill="auto"/>
            <w:noWrap/>
            <w:vAlign w:val="bottom"/>
            <w:hideMark/>
          </w:tcPr>
          <w:p w:rsidR="00F02B29" w:rsidRPr="00FD4122" w:rsidP="003906A7" w14:paraId="7CFA3BE6" w14:textId="77777777">
            <w:pPr>
              <w:jc w:val="right"/>
              <w:rPr>
                <w:rFonts w:asciiTheme="majorHAnsi" w:hAnsiTheme="majorHAnsi" w:cstheme="majorHAnsi"/>
                <w:color w:val="000000"/>
                <w:sz w:val="16"/>
                <w:szCs w:val="16"/>
              </w:rPr>
            </w:pPr>
            <w:r w:rsidRPr="00FD4122">
              <w:rPr>
                <w:rFonts w:asciiTheme="majorHAnsi" w:hAnsiTheme="majorHAnsi" w:cstheme="majorHAnsi"/>
                <w:color w:val="000000"/>
                <w:sz w:val="16"/>
                <w:szCs w:val="16"/>
              </w:rPr>
              <w:t>0</w:t>
            </w:r>
          </w:p>
        </w:tc>
      </w:tr>
      <w:tr w14:paraId="26DFF28E" w14:textId="77777777" w:rsidTr="00EF2512">
        <w:tblPrEx>
          <w:tblW w:w="10530" w:type="dxa"/>
          <w:tblLook w:val="04A0"/>
        </w:tblPrEx>
        <w:trPr>
          <w:trHeight w:val="288"/>
        </w:trPr>
        <w:tc>
          <w:tcPr>
            <w:tcW w:w="3690" w:type="dxa"/>
            <w:tcBorders>
              <w:top w:val="nil"/>
              <w:left w:val="nil"/>
              <w:bottom w:val="single" w:sz="4" w:space="0" w:color="auto"/>
              <w:right w:val="nil"/>
            </w:tcBorders>
            <w:shd w:val="clear" w:color="auto" w:fill="auto"/>
            <w:vAlign w:val="center"/>
            <w:hideMark/>
          </w:tcPr>
          <w:p w:rsidR="00F02B29" w:rsidRPr="00FD4122" w:rsidP="003906A7" w14:paraId="69FCB384" w14:textId="77777777">
            <w:pPr>
              <w:rPr>
                <w:rFonts w:asciiTheme="majorHAnsi" w:hAnsiTheme="majorHAnsi" w:cstheme="majorHAnsi"/>
                <w:color w:val="000000"/>
                <w:sz w:val="16"/>
                <w:szCs w:val="16"/>
              </w:rPr>
            </w:pPr>
            <w:r w:rsidRPr="00FD4122">
              <w:rPr>
                <w:rFonts w:asciiTheme="majorHAnsi" w:hAnsiTheme="majorHAnsi" w:cstheme="majorHAnsi"/>
                <w:color w:val="000000"/>
                <w:sz w:val="16"/>
                <w:szCs w:val="16"/>
              </w:rPr>
              <w:t>NPSAS Administrative-only students</w:t>
            </w:r>
            <w:r w:rsidRPr="00FD4122">
              <w:rPr>
                <w:rFonts w:asciiTheme="majorHAnsi" w:hAnsiTheme="majorHAnsi" w:cstheme="majorHAnsi"/>
                <w:color w:val="000000"/>
                <w:sz w:val="16"/>
                <w:szCs w:val="16"/>
                <w:vertAlign w:val="superscript"/>
              </w:rPr>
              <w:t>1</w:t>
            </w:r>
          </w:p>
        </w:tc>
        <w:tc>
          <w:tcPr>
            <w:tcW w:w="1260" w:type="dxa"/>
            <w:tcBorders>
              <w:top w:val="nil"/>
              <w:left w:val="nil"/>
              <w:bottom w:val="single" w:sz="4" w:space="0" w:color="auto"/>
              <w:right w:val="nil"/>
            </w:tcBorders>
            <w:shd w:val="clear" w:color="auto" w:fill="auto"/>
            <w:vAlign w:val="bottom"/>
            <w:hideMark/>
          </w:tcPr>
          <w:p w:rsidR="00F02B29" w:rsidRPr="00FD4122" w:rsidP="003906A7" w14:paraId="1E7FB229" w14:textId="77777777">
            <w:pPr>
              <w:rPr>
                <w:rFonts w:asciiTheme="majorHAnsi" w:hAnsiTheme="majorHAnsi" w:cstheme="majorHAnsi"/>
                <w:color w:val="000000"/>
                <w:sz w:val="16"/>
                <w:szCs w:val="16"/>
              </w:rPr>
            </w:pPr>
            <w:r w:rsidRPr="00FD4122">
              <w:rPr>
                <w:rFonts w:asciiTheme="majorHAnsi" w:hAnsiTheme="majorHAnsi" w:cstheme="majorHAnsi"/>
                <w:color w:val="000000"/>
                <w:sz w:val="16"/>
                <w:szCs w:val="16"/>
              </w:rPr>
              <w:t>No</w:t>
            </w:r>
          </w:p>
        </w:tc>
        <w:tc>
          <w:tcPr>
            <w:tcW w:w="1440" w:type="dxa"/>
            <w:tcBorders>
              <w:top w:val="nil"/>
              <w:left w:val="nil"/>
              <w:bottom w:val="single" w:sz="4" w:space="0" w:color="auto"/>
              <w:right w:val="nil"/>
            </w:tcBorders>
            <w:shd w:val="clear" w:color="auto" w:fill="auto"/>
            <w:noWrap/>
            <w:vAlign w:val="bottom"/>
            <w:hideMark/>
          </w:tcPr>
          <w:p w:rsidR="00F02B29" w:rsidRPr="00FD4122" w:rsidP="003906A7" w14:paraId="23E29541" w14:textId="77777777">
            <w:pPr>
              <w:jc w:val="right"/>
              <w:rPr>
                <w:rFonts w:asciiTheme="majorHAnsi" w:hAnsiTheme="majorHAnsi" w:cstheme="majorHAnsi"/>
                <w:color w:val="000000"/>
                <w:sz w:val="16"/>
                <w:szCs w:val="16"/>
              </w:rPr>
            </w:pPr>
            <w:r w:rsidRPr="00FD4122">
              <w:rPr>
                <w:rFonts w:asciiTheme="majorHAnsi" w:hAnsiTheme="majorHAnsi" w:cstheme="majorHAnsi"/>
                <w:color w:val="000000"/>
                <w:sz w:val="16"/>
                <w:szCs w:val="16"/>
              </w:rPr>
              <w:t>2,</w:t>
            </w:r>
            <w:r>
              <w:rPr>
                <w:rFonts w:asciiTheme="majorHAnsi" w:hAnsiTheme="majorHAnsi" w:cstheme="majorHAnsi"/>
                <w:color w:val="000000"/>
                <w:sz w:val="16"/>
                <w:szCs w:val="16"/>
              </w:rPr>
              <w:t>10</w:t>
            </w:r>
            <w:r w:rsidRPr="00FD4122">
              <w:rPr>
                <w:rFonts w:asciiTheme="majorHAnsi" w:hAnsiTheme="majorHAnsi" w:cstheme="majorHAnsi"/>
                <w:color w:val="000000"/>
                <w:sz w:val="16"/>
                <w:szCs w:val="16"/>
              </w:rPr>
              <w:t>0</w:t>
            </w:r>
          </w:p>
        </w:tc>
        <w:tc>
          <w:tcPr>
            <w:tcW w:w="1890" w:type="dxa"/>
            <w:tcBorders>
              <w:top w:val="nil"/>
              <w:left w:val="nil"/>
              <w:bottom w:val="single" w:sz="4" w:space="0" w:color="auto"/>
              <w:right w:val="nil"/>
            </w:tcBorders>
            <w:shd w:val="clear" w:color="auto" w:fill="auto"/>
            <w:noWrap/>
            <w:vAlign w:val="bottom"/>
            <w:hideMark/>
          </w:tcPr>
          <w:p w:rsidR="00F02B29" w:rsidRPr="00FD4122" w:rsidP="003906A7" w14:paraId="4684A798" w14:textId="77777777">
            <w:pPr>
              <w:jc w:val="right"/>
              <w:rPr>
                <w:rFonts w:asciiTheme="majorHAnsi" w:hAnsiTheme="majorHAnsi" w:cstheme="majorHAnsi"/>
                <w:color w:val="000000"/>
                <w:sz w:val="16"/>
                <w:szCs w:val="16"/>
              </w:rPr>
            </w:pPr>
            <w:r w:rsidRPr="00FD4122">
              <w:rPr>
                <w:rFonts w:asciiTheme="majorHAnsi" w:hAnsiTheme="majorHAnsi" w:cstheme="majorHAnsi"/>
                <w:color w:val="000000"/>
                <w:sz w:val="16"/>
                <w:szCs w:val="16"/>
              </w:rPr>
              <w:t>0.00</w:t>
            </w:r>
          </w:p>
        </w:tc>
        <w:tc>
          <w:tcPr>
            <w:tcW w:w="2250" w:type="dxa"/>
            <w:tcBorders>
              <w:top w:val="nil"/>
              <w:left w:val="nil"/>
              <w:bottom w:val="single" w:sz="4" w:space="0" w:color="auto"/>
              <w:right w:val="nil"/>
            </w:tcBorders>
            <w:shd w:val="clear" w:color="auto" w:fill="auto"/>
            <w:noWrap/>
            <w:vAlign w:val="bottom"/>
            <w:hideMark/>
          </w:tcPr>
          <w:p w:rsidR="00F02B29" w:rsidRPr="00FD4122" w:rsidP="003906A7" w14:paraId="6A1E48E9" w14:textId="77777777">
            <w:pPr>
              <w:jc w:val="right"/>
              <w:rPr>
                <w:rFonts w:asciiTheme="majorHAnsi" w:hAnsiTheme="majorHAnsi" w:cstheme="majorHAnsi"/>
                <w:color w:val="000000"/>
                <w:sz w:val="16"/>
                <w:szCs w:val="16"/>
              </w:rPr>
            </w:pPr>
            <w:r w:rsidRPr="00FD4122">
              <w:rPr>
                <w:rFonts w:asciiTheme="majorHAnsi" w:hAnsiTheme="majorHAnsi" w:cstheme="majorHAnsi"/>
                <w:color w:val="000000"/>
                <w:sz w:val="16"/>
                <w:szCs w:val="16"/>
              </w:rPr>
              <w:t>0</w:t>
            </w:r>
          </w:p>
        </w:tc>
      </w:tr>
    </w:tbl>
    <w:p w:rsidR="00F02B29" w:rsidRPr="00FD4122" w:rsidP="00F02B29" w14:paraId="7868F83D" w14:textId="6FB1FBB1">
      <w:pPr>
        <w:rPr>
          <w:rFonts w:ascii="Arial" w:hAnsi="Arial" w:cs="Arial"/>
          <w:color w:val="000000"/>
          <w:sz w:val="15"/>
          <w:szCs w:val="15"/>
        </w:rPr>
      </w:pPr>
      <w:r w:rsidRPr="00FD4122">
        <w:rPr>
          <w:rFonts w:ascii="Arial" w:hAnsi="Arial" w:cs="Arial"/>
          <w:bCs/>
          <w:color w:val="000000"/>
          <w:sz w:val="15"/>
          <w:szCs w:val="15"/>
        </w:rPr>
        <w:t>1 Expected response rate for these groups is zero as they will not be fielded for data collection.</w:t>
      </w:r>
      <w:r w:rsidRPr="00FD4122">
        <w:rPr>
          <w:rFonts w:ascii="Arial" w:hAnsi="Arial" w:cs="Arial"/>
          <w:bCs/>
          <w:color w:val="000000"/>
          <w:sz w:val="15"/>
          <w:szCs w:val="15"/>
        </w:rPr>
        <w:br/>
        <w:t>NOTE: Sample sizes rounded to the nearest 10. Detail may not sum to totals because of rounding.</w:t>
      </w:r>
      <w:r w:rsidRPr="00FD4122">
        <w:rPr>
          <w:rFonts w:ascii="Arial" w:hAnsi="Arial" w:cs="Arial"/>
          <w:bCs/>
          <w:color w:val="000000"/>
          <w:sz w:val="15"/>
          <w:szCs w:val="15"/>
        </w:rPr>
        <w:br/>
        <w:t>SOURCE: U.S. Department of Education, National Center for Education Statistics, 2020/22 Beginning Postsecondary Students Longitudinal Study (BPS:20/22).</w:t>
      </w:r>
    </w:p>
    <w:p w:rsidR="005F5184" w:rsidRPr="008859AF" w:rsidP="00AD4733" w14:paraId="0BAA9CE1" w14:textId="5AF18303">
      <w:pPr>
        <w:pStyle w:val="Heading2"/>
        <w:numPr>
          <w:ilvl w:val="0"/>
          <w:numId w:val="12"/>
        </w:numPr>
      </w:pPr>
      <w:bookmarkStart w:id="34" w:name="_Toc135923531"/>
      <w:bookmarkStart w:id="35" w:name="_Toc174598847"/>
      <w:r>
        <w:t>Methods for Maximizing Response Rates</w:t>
      </w:r>
      <w:bookmarkEnd w:id="34"/>
      <w:bookmarkEnd w:id="35"/>
    </w:p>
    <w:p w:rsidR="00D26C8D" w:rsidRPr="008859AF" w:rsidP="00D26C8D" w14:paraId="0D9F6958" w14:textId="3043FACE">
      <w:pPr>
        <w:pStyle w:val="BodyText"/>
      </w:pPr>
      <w:r w:rsidRPr="008859AF">
        <w:t>Achieving high response rates in</w:t>
      </w:r>
      <w:r w:rsidR="00F02B29">
        <w:t xml:space="preserve"> the</w:t>
      </w:r>
      <w:r w:rsidRPr="008859AF">
        <w:t xml:space="preserve"> </w:t>
      </w:r>
      <w:r w:rsidRPr="001C2BC1" w:rsidR="00F02B29">
        <w:rPr>
          <w:rFonts w:cs="Calibri"/>
          <w:color w:val="000000"/>
        </w:rPr>
        <w:t xml:space="preserve">BPS:20/25 </w:t>
      </w:r>
      <w:r w:rsidR="00F02B29">
        <w:rPr>
          <w:rFonts w:cs="Calibri"/>
          <w:color w:val="000000"/>
        </w:rPr>
        <w:t xml:space="preserve">full-scale study </w:t>
      </w:r>
      <w:r w:rsidRPr="001C2BC1" w:rsidR="00F02B29">
        <w:rPr>
          <w:rFonts w:cs="Calibri"/>
          <w:color w:val="000000"/>
        </w:rPr>
        <w:t>will depend on successfully identifying and locating sample members and being able to contact them and gain their cooperation</w:t>
      </w:r>
      <w:r w:rsidRPr="008859AF">
        <w:t xml:space="preserve">. </w:t>
      </w:r>
      <w:r w:rsidRPr="001C2BC1" w:rsidR="00F02B29">
        <w:rPr>
          <w:rFonts w:cs="Calibri"/>
          <w:color w:val="000000"/>
        </w:rPr>
        <w:t>As was used successfully in prior NCES longitudinal studies, shortly before data collection begins, we will send an initial contact mailing/e-mail to remind sample members of their inclusion in the study.</w:t>
      </w:r>
    </w:p>
    <w:p w:rsidR="00F02B29" w:rsidRPr="00A04774" w:rsidP="00AD4733" w14:paraId="0DB0BEB6" w14:textId="77777777">
      <w:pPr>
        <w:pStyle w:val="Heading3"/>
        <w:numPr>
          <w:ilvl w:val="0"/>
          <w:numId w:val="19"/>
        </w:numPr>
      </w:pPr>
      <w:bookmarkStart w:id="36" w:name="_Toc135923532"/>
      <w:bookmarkStart w:id="37" w:name="_Toc140136659"/>
      <w:bookmarkStart w:id="38" w:name="_Toc174598848"/>
      <w:r>
        <w:t>Tracing of Sample Members</w:t>
      </w:r>
      <w:bookmarkEnd w:id="36"/>
      <w:bookmarkEnd w:id="37"/>
      <w:bookmarkEnd w:id="38"/>
    </w:p>
    <w:p w:rsidR="00F02B29" w:rsidRPr="00003953" w:rsidP="00F02B29" w14:paraId="5091030A" w14:textId="1F47C46F">
      <w:pPr>
        <w:pStyle w:val="BodyText"/>
        <w:spacing w:before="0" w:after="0"/>
      </w:pPr>
      <w:r w:rsidRPr="001C2BC1">
        <w:rPr>
          <w:rFonts w:cs="Calibri"/>
          <w:color w:val="000000"/>
        </w:rPr>
        <w:t>To yield the maximum number of located cases with the least expense, an integrated tracing approach with the following elements</w:t>
      </w:r>
      <w:r>
        <w:rPr>
          <w:rFonts w:cs="Calibri"/>
          <w:color w:val="000000"/>
        </w:rPr>
        <w:t xml:space="preserve"> will be implemented</w:t>
      </w:r>
      <w:r w:rsidRPr="001C2BC1">
        <w:rPr>
          <w:rFonts w:cs="Calibri"/>
          <w:color w:val="000000"/>
        </w:rPr>
        <w:t xml:space="preserve">. Advance tracing activities, which will occur prior to the start of data collection, include initial batch database searches, such as to the National Change of Address (NCOA) databases, for cases with sufficient contact information to be matched. To handle cases for which contact information is </w:t>
      </w:r>
      <w:r w:rsidRPr="001C2BC1">
        <w:rPr>
          <w:rFonts w:cs="Calibri"/>
          <w:color w:val="000000"/>
        </w:rPr>
        <w:t xml:space="preserve">invalid or unavailable, additional advance tracing through proprietary interactive databases will expand on leads found. </w:t>
      </w:r>
    </w:p>
    <w:p w:rsidR="00F02B29" w:rsidRPr="001C2BC1" w:rsidP="13F74D18" w14:paraId="662E75F1" w14:textId="2E57E826">
      <w:pPr>
        <w:pStyle w:val="NormalWeb"/>
        <w:numPr>
          <w:ilvl w:val="0"/>
          <w:numId w:val="15"/>
        </w:numPr>
        <w:spacing w:before="0" w:beforeAutospacing="0"/>
        <w:rPr>
          <w:rFonts w:ascii="Garamond" w:hAnsi="Garamond" w:cs="Calibri"/>
          <w:color w:val="000000"/>
        </w:rPr>
      </w:pPr>
      <w:r w:rsidRPr="13F74D18">
        <w:rPr>
          <w:rFonts w:ascii="Garamond" w:hAnsi="Garamond" w:cs="Calibri"/>
          <w:color w:val="000000" w:themeColor="text1"/>
        </w:rPr>
        <w:t xml:space="preserve">Hard copy mailings, e-mails, and text messages will be used to maintain ongoing contact with sample members, prior to and throughout data collection. The </w:t>
      </w:r>
      <w:r w:rsidRPr="000D1BC6">
        <w:rPr>
          <w:rFonts w:ascii="Garamond" w:hAnsi="Garamond" w:cs="Calibri"/>
          <w:color w:val="000000" w:themeColor="text1"/>
        </w:rPr>
        <w:t>contacting materials, which will be developed with a design appealing to sample members in 2025, are provided in Appendix C. The data collection mailing to sample members will include a letter announcing the start of data collection</w:t>
      </w:r>
      <w:r w:rsidRPr="13F74D18">
        <w:rPr>
          <w:rFonts w:ascii="Garamond" w:hAnsi="Garamond" w:cs="Calibri"/>
          <w:color w:val="000000" w:themeColor="text1"/>
        </w:rPr>
        <w:t>, requesting that the sample member complete the web survey, and including a toll-free number, the study</w:t>
      </w:r>
      <w:r w:rsidRPr="13F74D18">
        <w:rPr>
          <w:rFonts w:ascii="Calibri" w:hAnsi="Calibri" w:cs="Calibri"/>
          <w:color w:val="000000" w:themeColor="text1"/>
        </w:rPr>
        <w:t xml:space="preserve"> </w:t>
      </w:r>
      <w:r w:rsidRPr="13F74D18">
        <w:rPr>
          <w:rFonts w:ascii="Garamond" w:hAnsi="Garamond" w:cs="Calibri"/>
          <w:color w:val="000000" w:themeColor="text1"/>
        </w:rPr>
        <w:t>website</w:t>
      </w:r>
      <w:r w:rsidRPr="13F74D18">
        <w:rPr>
          <w:rFonts w:ascii="Calibri" w:hAnsi="Calibri" w:cs="Calibri"/>
          <w:color w:val="000000" w:themeColor="text1"/>
        </w:rPr>
        <w:t xml:space="preserve"> </w:t>
      </w:r>
      <w:r w:rsidRPr="13F74D18">
        <w:rPr>
          <w:rFonts w:ascii="Garamond" w:hAnsi="Garamond" w:cs="Calibri"/>
          <w:color w:val="000000" w:themeColor="text1"/>
        </w:rPr>
        <w:t xml:space="preserve">address, a Study ID and password, and a study brochure. We will send a similar e-mail </w:t>
      </w:r>
      <w:r w:rsidRPr="13F74D18" w:rsidR="1D615582">
        <w:rPr>
          <w:rFonts w:ascii="Garamond" w:hAnsi="Garamond" w:cs="Calibri"/>
          <w:color w:val="000000" w:themeColor="text1"/>
        </w:rPr>
        <w:t xml:space="preserve">and text </w:t>
      </w:r>
      <w:r w:rsidRPr="13F74D18">
        <w:rPr>
          <w:rFonts w:ascii="Garamond" w:hAnsi="Garamond" w:cs="Calibri"/>
          <w:color w:val="000000" w:themeColor="text1"/>
        </w:rPr>
        <w:t xml:space="preserve">message mirroring the information provided in the mailing. </w:t>
      </w:r>
    </w:p>
    <w:p w:rsidR="00F02B29" w:rsidRPr="001C2BC1" w:rsidP="00AD4733" w14:paraId="1F6F7A31" w14:textId="77777777">
      <w:pPr>
        <w:pStyle w:val="NormalWeb"/>
        <w:numPr>
          <w:ilvl w:val="0"/>
          <w:numId w:val="15"/>
        </w:numPr>
        <w:rPr>
          <w:rFonts w:ascii="Garamond" w:hAnsi="Garamond" w:cs="Calibri"/>
          <w:color w:val="000000"/>
        </w:rPr>
      </w:pPr>
      <w:r w:rsidRPr="001C2BC1">
        <w:rPr>
          <w:rFonts w:ascii="Garamond" w:hAnsi="Garamond" w:cs="Calibri"/>
          <w:color w:val="000000" w:themeColor="text1"/>
        </w:rPr>
        <w:t>Sample members will have a variety of means to provide updated contact information and contact preferences. Students can use an Update Contact Information page on the secure BPS:20/25 website to provide their contact information, including cell phone number, as well as provide contacting preferences with respect to phone calls, mailings, e</w:t>
      </w:r>
      <w:r>
        <w:rPr>
          <w:rFonts w:ascii="Garamond" w:hAnsi="Garamond" w:cs="Calibri"/>
          <w:color w:val="000000" w:themeColor="text1"/>
        </w:rPr>
        <w:t>-</w:t>
      </w:r>
      <w:r w:rsidRPr="001C2BC1">
        <w:rPr>
          <w:rFonts w:ascii="Garamond" w:hAnsi="Garamond" w:cs="Calibri"/>
          <w:color w:val="000000" w:themeColor="text1"/>
        </w:rPr>
        <w:t xml:space="preserve">mails, and text messages. Help Desk calls and e-mails providing information about a sample member’s text message preferences will be monitored and the sample member’s data record updated as soon as the information becomes known. </w:t>
      </w:r>
    </w:p>
    <w:p w:rsidR="00F02B29" w:rsidRPr="001C2BC1" w:rsidP="00AD4733" w14:paraId="6D71D4C3" w14:textId="77777777">
      <w:pPr>
        <w:pStyle w:val="NormalWeb"/>
        <w:numPr>
          <w:ilvl w:val="0"/>
          <w:numId w:val="15"/>
        </w:numPr>
        <w:rPr>
          <w:rFonts w:ascii="Garamond" w:hAnsi="Garamond" w:cs="Calibri"/>
          <w:color w:val="000000"/>
        </w:rPr>
      </w:pPr>
      <w:r w:rsidRPr="001C2BC1">
        <w:rPr>
          <w:rFonts w:ascii="Garamond" w:hAnsi="Garamond" w:cs="Calibri"/>
          <w:color w:val="000000"/>
        </w:rPr>
        <w:t xml:space="preserve">The telephone locating and surveying stage includes calling all available telephone numbers and following up on leads provided by parents and other contacts. </w:t>
      </w:r>
    </w:p>
    <w:p w:rsidR="00F02B29" w:rsidRPr="001C2BC1" w:rsidP="00AD4733" w14:paraId="42FC3A6B" w14:textId="77777777">
      <w:pPr>
        <w:pStyle w:val="NormalWeb"/>
        <w:numPr>
          <w:ilvl w:val="0"/>
          <w:numId w:val="15"/>
        </w:numPr>
        <w:rPr>
          <w:rFonts w:ascii="Garamond" w:hAnsi="Garamond" w:cs="Calibri"/>
          <w:color w:val="000000"/>
        </w:rPr>
      </w:pPr>
      <w:r w:rsidRPr="001C2BC1">
        <w:rPr>
          <w:rFonts w:ascii="Garamond" w:hAnsi="Garamond" w:cs="Calibri"/>
          <w:color w:val="000000"/>
        </w:rPr>
        <w:t xml:space="preserve">The pre-intensive batch tracing stage consists of the LexisNexis SSN and Premium Phone batch searches that will be conducted between the telephone locating and surveying stage and the intensive tracing stage. </w:t>
      </w:r>
    </w:p>
    <w:p w:rsidR="00F02B29" w:rsidRPr="00003953" w:rsidP="00AD4733" w14:paraId="615A0531" w14:textId="77777777">
      <w:pPr>
        <w:pStyle w:val="NormalWeb"/>
        <w:numPr>
          <w:ilvl w:val="0"/>
          <w:numId w:val="15"/>
        </w:numPr>
        <w:spacing w:before="0" w:after="0"/>
      </w:pPr>
      <w:r w:rsidRPr="00003953">
        <w:rPr>
          <w:rFonts w:ascii="Garamond" w:hAnsi="Garamond" w:cs="Calibri"/>
          <w:color w:val="000000"/>
        </w:rPr>
        <w:t xml:space="preserve">Once all known telephone numbers are exhausted, a case will move into the intensive tracing stage during which tracers will conduct interactive database searches using all known contact information for a sample member. With interactive tracing, a tracer assesses each case on an individual basis to determine which resources are most appropriate and the order in which each should be used. Sources that may be used, as appropriate, include credit database searches, such as Experian, various public websites, and other integrated database services. </w:t>
      </w:r>
    </w:p>
    <w:p w:rsidR="00F02B29" w:rsidP="00AD4733" w14:paraId="55861F56" w14:textId="77777777">
      <w:pPr>
        <w:pStyle w:val="NormalWeb"/>
        <w:numPr>
          <w:ilvl w:val="0"/>
          <w:numId w:val="15"/>
        </w:numPr>
        <w:spacing w:before="0" w:after="0"/>
      </w:pPr>
      <w:r w:rsidRPr="00003953">
        <w:rPr>
          <w:rFonts w:ascii="Garamond" w:hAnsi="Garamond" w:cs="Calibri"/>
          <w:color w:val="000000" w:themeColor="text1"/>
        </w:rPr>
        <w:t>Other locating activities will take place as needed, including a LexisNexis e-mail search conducted for nonrespondents toward the end of data collection</w:t>
      </w:r>
      <w:r w:rsidRPr="00003953">
        <w:rPr>
          <w:rFonts w:cs="Calibri"/>
          <w:color w:val="000000" w:themeColor="text1"/>
        </w:rPr>
        <w:t xml:space="preserve">. </w:t>
      </w:r>
    </w:p>
    <w:p w:rsidR="00F02B29" w:rsidP="00AD4733" w14:paraId="156D0DB9" w14:textId="6B58789B">
      <w:pPr>
        <w:pStyle w:val="Heading3"/>
        <w:numPr>
          <w:ilvl w:val="0"/>
          <w:numId w:val="19"/>
        </w:numPr>
      </w:pPr>
      <w:bookmarkStart w:id="39" w:name="_Toc135923533"/>
      <w:bookmarkStart w:id="40" w:name="_Toc140136660"/>
      <w:bookmarkStart w:id="41" w:name="_Toc174598849"/>
      <w:r>
        <w:t>Training for Data Collection Staff</w:t>
      </w:r>
      <w:bookmarkEnd w:id="39"/>
      <w:bookmarkEnd w:id="40"/>
      <w:bookmarkEnd w:id="41"/>
    </w:p>
    <w:p w:rsidR="00F02B29" w:rsidRPr="001C2BC1" w:rsidP="00F02B29" w14:paraId="13B41FC4" w14:textId="77777777">
      <w:pPr>
        <w:pStyle w:val="NormalWeb"/>
        <w:rPr>
          <w:rFonts w:ascii="Garamond" w:hAnsi="Garamond" w:cs="Calibri"/>
          <w:color w:val="000000"/>
        </w:rPr>
      </w:pPr>
      <w:r w:rsidRPr="001C2BC1">
        <w:rPr>
          <w:rFonts w:ascii="Garamond" w:hAnsi="Garamond" w:cs="Calibri"/>
          <w:color w:val="000000"/>
        </w:rPr>
        <w:t xml:space="preserve">Telephone data collection will include supervisors and interviewers. Training programs for these staff members are critical to maximizing response rates and collecting accurate and reliable data. </w:t>
      </w:r>
    </w:p>
    <w:p w:rsidR="00F02B29" w:rsidRPr="001C2BC1" w:rsidP="00F02B29" w14:paraId="00336678" w14:textId="77777777">
      <w:pPr>
        <w:pStyle w:val="NormalWeb"/>
        <w:rPr>
          <w:rFonts w:ascii="Garamond" w:hAnsi="Garamond" w:cs="Calibri"/>
          <w:color w:val="000000"/>
        </w:rPr>
      </w:pPr>
      <w:r w:rsidRPr="001C2BC1">
        <w:rPr>
          <w:rFonts w:ascii="Garamond" w:hAnsi="Garamond" w:cs="Calibri"/>
          <w:color w:val="000000"/>
        </w:rPr>
        <w:t>Team supervisors, who are responsible for all supervisory tasks, will attend their own project-specific training, in addition to the interviewer training. They will receive an overview of the study, background and objectives, and the data collection instrument through a question-by-question review. Supervisors will also receive training in the following areas: providing direct supervision during data collection; handling refusals; monitoring interviews and maintaining records of monitoring results; problem resolution; case review; specific project procedures and protocols; reviewing reports generated from the ongoing Computer Assisted Telephone Interviewing (CATI); and monitoring data collection progress.</w:t>
      </w:r>
    </w:p>
    <w:p w:rsidR="00F02B29" w:rsidP="00F02B29" w14:paraId="4EEEA8EA" w14:textId="44317FF4">
      <w:pPr>
        <w:pStyle w:val="BodyText"/>
      </w:pPr>
      <w:r w:rsidRPr="001C2BC1">
        <w:rPr>
          <w:rFonts w:cs="Calibri"/>
          <w:color w:val="000000"/>
        </w:rPr>
        <w:t xml:space="preserve">Training for interviewers is designed to help staff become familiar with and practice using the CATI case management system and the survey instrument, as well as to learn project procedures and requirements. Particular attention will be paid to quality control initiatives, including refusal avoidance and methods to ensure that quality data are collected. Interviewers will receive project-specific training on telephone interviewing and answering questions from web participants regarding the study or related to specific items within the survey. </w:t>
      </w:r>
      <w:r w:rsidRPr="0094215B" w:rsidR="0094215B">
        <w:rPr>
          <w:rFonts w:cs="Calibri"/>
          <w:color w:val="000000"/>
        </w:rPr>
        <w:t xml:space="preserve">Bilingual interviewers will receive a supplemental training that will focus on Spanish contacting and interviewing procedures. </w:t>
      </w:r>
      <w:r w:rsidRPr="001C2BC1">
        <w:rPr>
          <w:rFonts w:cs="Calibri"/>
          <w:color w:val="000000"/>
        </w:rPr>
        <w:t>At the conclusion of training, all data collection staff must meet certification requirements by successfully completing a certification interview. This evaluation consists of a full-length interview with project staff observing and evaluating interviewers, as well as an oral evaluation of interviewers’ knowledge of the study’s Frequently Asked Questions</w:t>
      </w:r>
      <w:r>
        <w:t>.</w:t>
      </w:r>
    </w:p>
    <w:p w:rsidR="00F02B29" w:rsidP="00AD4733" w14:paraId="34D2F001" w14:textId="42DAFFE8">
      <w:pPr>
        <w:pStyle w:val="Heading3"/>
        <w:numPr>
          <w:ilvl w:val="0"/>
          <w:numId w:val="19"/>
        </w:numPr>
      </w:pPr>
      <w:bookmarkStart w:id="42" w:name="_Toc135923534"/>
      <w:bookmarkStart w:id="43" w:name="_Toc140136661"/>
      <w:bookmarkStart w:id="44" w:name="_Toc174598850"/>
      <w:r>
        <w:t>Case Management System</w:t>
      </w:r>
      <w:bookmarkEnd w:id="42"/>
      <w:bookmarkEnd w:id="43"/>
      <w:bookmarkEnd w:id="44"/>
    </w:p>
    <w:p w:rsidR="00F02B29" w:rsidRPr="001C2BC1" w:rsidP="00F02B29" w14:paraId="1B4E13CF" w14:textId="77777777">
      <w:pPr>
        <w:pStyle w:val="NormalWeb"/>
        <w:rPr>
          <w:rFonts w:ascii="Garamond" w:hAnsi="Garamond" w:cs="Calibri"/>
          <w:color w:val="000000"/>
        </w:rPr>
      </w:pPr>
      <w:r w:rsidRPr="001C2BC1">
        <w:rPr>
          <w:rFonts w:ascii="Garamond" w:hAnsi="Garamond" w:cs="Calibri"/>
          <w:color w:val="000000"/>
        </w:rPr>
        <w:t>Surveys will be conducted using a single web-based survey instrument for both web (including mobile devices) and CATI data collection. Control of data collection activities will be accomplished through a CATI case management system, which is equipped with the numerous capabilities, including: on-line access to locating information and histories of locating efforts for each case; a questionnaire administration module with full “front-end cleaning” capabilities (i.e., editing as information is obtained from respondents); sample management module for tracking case progress and status; and automated scheduling module which delivers cases to interviewers. The automated scheduling module incorporates the following features:</w:t>
      </w:r>
    </w:p>
    <w:p w:rsidR="00F02B29" w:rsidRPr="001C2BC1" w:rsidP="00AD4733" w14:paraId="1D5A9D94" w14:textId="77777777">
      <w:pPr>
        <w:pStyle w:val="NormalWeb"/>
        <w:numPr>
          <w:ilvl w:val="0"/>
          <w:numId w:val="16"/>
        </w:numPr>
        <w:rPr>
          <w:rFonts w:ascii="Garamond" w:hAnsi="Garamond" w:cs="Calibri"/>
          <w:color w:val="000000"/>
        </w:rPr>
      </w:pPr>
      <w:r w:rsidRPr="001C2BC1">
        <w:rPr>
          <w:rFonts w:ascii="Garamond" w:hAnsi="Garamond" w:cs="Calibri"/>
          <w:iCs/>
          <w:color w:val="000000"/>
        </w:rPr>
        <w:t xml:space="preserve">Automatic delivery of appointment and call-back cases at specified times. </w:t>
      </w:r>
      <w:r w:rsidRPr="001C2BC1">
        <w:rPr>
          <w:rFonts w:ascii="Garamond" w:hAnsi="Garamond" w:cs="Calibri"/>
          <w:color w:val="000000"/>
        </w:rPr>
        <w:t>This reduces the need for tracking appointments and helps ensure the interviewer is punctual. The scheduler automatically calculates the delivery time of the case in reference to the appropriate time zone.</w:t>
      </w:r>
    </w:p>
    <w:p w:rsidR="00F02B29" w:rsidRPr="001C2BC1" w:rsidP="00AD4733" w14:paraId="385C0524" w14:textId="77777777">
      <w:pPr>
        <w:pStyle w:val="NormalWeb"/>
        <w:numPr>
          <w:ilvl w:val="0"/>
          <w:numId w:val="16"/>
        </w:numPr>
        <w:rPr>
          <w:rFonts w:ascii="Garamond" w:hAnsi="Garamond" w:cs="Calibri"/>
          <w:color w:val="000000"/>
        </w:rPr>
      </w:pPr>
      <w:r w:rsidRPr="001C2BC1">
        <w:rPr>
          <w:rFonts w:ascii="Garamond" w:hAnsi="Garamond" w:cs="Calibri"/>
          <w:iCs/>
          <w:color w:val="000000"/>
        </w:rPr>
        <w:t>Sorting of non-appointment cases according to parameters and priorities set by project staff.</w:t>
      </w:r>
      <w:r w:rsidRPr="001C2BC1">
        <w:rPr>
          <w:rFonts w:ascii="Garamond" w:hAnsi="Garamond" w:cs="Calibri"/>
          <w:color w:val="000000"/>
        </w:rPr>
        <w:t xml:space="preserve"> For instance, priorities may be set to give first preference to cases within certain sub-samples or geographic areas; cases may be sorted to establish priorities between cases of differing status. Furthermore, the historic pattern of calling outcomes may be used to set priorities (e.g., cases with more than a certain number of unsuccessful attempts during a given time of day may be passed over until the next time period). These parameters ensure that cases are delivered to interviewers in a consistent manner according to specified project priorities.</w:t>
      </w:r>
    </w:p>
    <w:p w:rsidR="00F02B29" w:rsidRPr="001C2BC1" w:rsidP="00AD4733" w14:paraId="3D3E0FC5" w14:textId="77777777">
      <w:pPr>
        <w:pStyle w:val="NormalWeb"/>
        <w:numPr>
          <w:ilvl w:val="0"/>
          <w:numId w:val="16"/>
        </w:numPr>
        <w:rPr>
          <w:rFonts w:ascii="Garamond" w:hAnsi="Garamond" w:cs="Calibri"/>
          <w:color w:val="000000"/>
        </w:rPr>
      </w:pPr>
      <w:r w:rsidRPr="001C2BC1">
        <w:rPr>
          <w:rFonts w:ascii="Garamond" w:hAnsi="Garamond" w:cs="Calibri"/>
          <w:iCs/>
          <w:color w:val="000000"/>
        </w:rPr>
        <w:t>Restriction on allowable interviewers.</w:t>
      </w:r>
      <w:r w:rsidRPr="001C2BC1">
        <w:rPr>
          <w:rFonts w:ascii="Garamond" w:hAnsi="Garamond" w:cs="Calibri"/>
          <w:color w:val="000000"/>
        </w:rPr>
        <w:t xml:space="preserve"> Groups of cases (or individual cases) may be designated for delivery to specific interviewers or groups of interviewers. This feature is most commonly used in filtering refusal cases, locating problems, or foreign language cases to specific interviewers with specialized skills.</w:t>
      </w:r>
    </w:p>
    <w:p w:rsidR="00F02B29" w:rsidRPr="001C2BC1" w:rsidP="00AD4733" w14:paraId="10EFBC4E" w14:textId="77777777">
      <w:pPr>
        <w:pStyle w:val="NormalWeb"/>
        <w:numPr>
          <w:ilvl w:val="0"/>
          <w:numId w:val="16"/>
        </w:numPr>
        <w:rPr>
          <w:rFonts w:ascii="Garamond" w:hAnsi="Garamond" w:cs="Calibri"/>
          <w:color w:val="000000"/>
        </w:rPr>
      </w:pPr>
      <w:r w:rsidRPr="001C2BC1">
        <w:rPr>
          <w:rFonts w:ascii="Garamond" w:hAnsi="Garamond" w:cs="Calibri"/>
          <w:iCs/>
          <w:color w:val="000000"/>
        </w:rPr>
        <w:t xml:space="preserve">Complete records of calls and tracking of all previous outcomes. </w:t>
      </w:r>
      <w:r w:rsidRPr="001C2BC1">
        <w:rPr>
          <w:rFonts w:ascii="Garamond" w:hAnsi="Garamond" w:cs="Calibri"/>
          <w:color w:val="000000"/>
        </w:rPr>
        <w:t>The scheduler tracks all outcomes for each case, labeling each with type, date, and time. These are easily accessed by the interviewer upon entering the individual case, along with interviewer notes.</w:t>
      </w:r>
    </w:p>
    <w:p w:rsidR="00F02B29" w:rsidRPr="001C2BC1" w:rsidP="00AD4733" w14:paraId="5817B79A" w14:textId="77777777">
      <w:pPr>
        <w:pStyle w:val="NormalWeb"/>
        <w:numPr>
          <w:ilvl w:val="0"/>
          <w:numId w:val="16"/>
        </w:numPr>
        <w:rPr>
          <w:rFonts w:ascii="Garamond" w:hAnsi="Garamond" w:cs="Calibri"/>
          <w:color w:val="000000"/>
        </w:rPr>
      </w:pPr>
      <w:r w:rsidRPr="001C2BC1">
        <w:rPr>
          <w:rFonts w:ascii="Garamond" w:hAnsi="Garamond" w:cs="Calibri"/>
          <w:iCs/>
          <w:color w:val="000000"/>
        </w:rPr>
        <w:t>Flagging of problem cases for supervisor action or supervisor review.</w:t>
      </w:r>
      <w:r w:rsidRPr="001C2BC1">
        <w:rPr>
          <w:rFonts w:ascii="Garamond" w:hAnsi="Garamond" w:cs="Calibri"/>
          <w:color w:val="000000"/>
        </w:rPr>
        <w:t xml:space="preserve"> For example, refusal cases may be routed to supervisors for decisions about whether and when a refusal letter should be mailed, or whether another interviewer should be assigned.</w:t>
      </w:r>
    </w:p>
    <w:p w:rsidR="00F02B29" w:rsidRPr="001C2BC1" w:rsidP="00AD4733" w14:paraId="20EB82C9" w14:textId="77777777">
      <w:pPr>
        <w:pStyle w:val="NormalWeb"/>
        <w:numPr>
          <w:ilvl w:val="0"/>
          <w:numId w:val="16"/>
        </w:numPr>
        <w:rPr>
          <w:rFonts w:ascii="Garamond" w:hAnsi="Garamond" w:cs="Calibri"/>
          <w:color w:val="000000"/>
        </w:rPr>
      </w:pPr>
      <w:r w:rsidRPr="001C2BC1">
        <w:rPr>
          <w:rFonts w:ascii="Garamond" w:hAnsi="Garamond" w:cs="Calibri"/>
          <w:iCs/>
          <w:color w:val="000000"/>
        </w:rPr>
        <w:t>Complete reporting capabilities.</w:t>
      </w:r>
      <w:r w:rsidRPr="001C2BC1">
        <w:rPr>
          <w:rFonts w:ascii="Garamond" w:hAnsi="Garamond" w:cs="Calibri"/>
          <w:color w:val="000000"/>
        </w:rPr>
        <w:t xml:space="preserve"> These include default reports on the aggregate status of cases and custom report generation capabilities.</w:t>
      </w:r>
    </w:p>
    <w:p w:rsidR="00F02B29" w:rsidRPr="008109C1" w:rsidP="00F02B29" w14:paraId="06052BD2" w14:textId="77777777">
      <w:pPr>
        <w:pStyle w:val="BodyText"/>
        <w:rPr>
          <w:rFonts w:cs="Calibri"/>
          <w:color w:val="000000" w:themeColor="text1"/>
        </w:rPr>
      </w:pPr>
      <w:r w:rsidRPr="001C2BC1">
        <w:rPr>
          <w:rFonts w:cs="Calibri"/>
          <w:color w:val="000000" w:themeColor="text1"/>
        </w:rPr>
        <w:t>The integration of these capabilities reduces the number of discrete stages required in data collection and data preparation activities and increases capabilities for immediate error reconciliation, which results in better data quality and reduced cost. Overall, the scheduler provides an efficient case assignment and delivery function by reducing supervisory and clerical time, improving execution on the part of interviewers and supervisors by automatically monitoring appointments and call-backs, and reducing variation in implementing survey priorities and objectives</w:t>
      </w:r>
      <w:r>
        <w:t>.</w:t>
      </w:r>
    </w:p>
    <w:p w:rsidR="00F02B29" w:rsidP="00AD4733" w14:paraId="0F6EBFC1" w14:textId="77777777">
      <w:pPr>
        <w:pStyle w:val="Heading3"/>
        <w:numPr>
          <w:ilvl w:val="0"/>
          <w:numId w:val="19"/>
        </w:numPr>
      </w:pPr>
      <w:bookmarkStart w:id="45" w:name="_Toc140136662"/>
      <w:bookmarkStart w:id="46" w:name="_Toc174598851"/>
      <w:r>
        <w:t>Survey Instrument Design</w:t>
      </w:r>
      <w:bookmarkEnd w:id="45"/>
      <w:bookmarkEnd w:id="46"/>
    </w:p>
    <w:p w:rsidR="00F02B29" w:rsidRPr="001C2BC1" w:rsidP="00C914B4" w14:paraId="26BF05E3" w14:textId="77777777">
      <w:pPr>
        <w:pStyle w:val="NormalWeb"/>
        <w:spacing w:after="0" w:afterAutospacing="0"/>
        <w:rPr>
          <w:rFonts w:ascii="Garamond" w:hAnsi="Garamond" w:cs="Calibri"/>
          <w:color w:val="000000"/>
        </w:rPr>
      </w:pPr>
      <w:r w:rsidRPr="001C2BC1">
        <w:rPr>
          <w:rFonts w:ascii="Garamond" w:hAnsi="Garamond" w:cs="Calibri"/>
          <w:color w:val="000000" w:themeColor="text1"/>
        </w:rPr>
        <w:t xml:space="preserve">The survey will employ a web-based instrument and deployment system, which has been in use since NPSAS:08. The system provides multimode functionality that can be used for self-administration, including on mobile devices, CATI, or data entry. The survey instrument can be </w:t>
      </w:r>
      <w:r w:rsidRPr="000D1BC6">
        <w:rPr>
          <w:rFonts w:ascii="Garamond" w:hAnsi="Garamond" w:cs="Calibri"/>
          <w:color w:val="000000" w:themeColor="text1"/>
        </w:rPr>
        <w:t>found in Appendix E.</w:t>
      </w:r>
      <w:r w:rsidRPr="001C2BC1">
        <w:rPr>
          <w:rFonts w:ascii="Garamond" w:hAnsi="Garamond"/>
        </w:rPr>
        <w:br/>
      </w:r>
      <w:r w:rsidRPr="001C2BC1">
        <w:rPr>
          <w:rFonts w:ascii="Garamond" w:hAnsi="Garamond"/>
        </w:rPr>
        <w:br/>
      </w:r>
      <w:r w:rsidRPr="001C2BC1">
        <w:rPr>
          <w:rFonts w:ascii="Garamond" w:hAnsi="Garamond" w:cs="Calibri"/>
          <w:color w:val="000000" w:themeColor="text1"/>
        </w:rPr>
        <w:t xml:space="preserve">In addition to the functional capabilities of the case management system and web survey instruments described above, our efforts to achieve the desired response rate will include using established procedures proven effective in other large-scale studies. These include: </w:t>
      </w:r>
    </w:p>
    <w:p w:rsidR="00F02B29" w:rsidRPr="001C2BC1" w:rsidP="00AD4733" w14:paraId="0951A6D7" w14:textId="77777777">
      <w:pPr>
        <w:pStyle w:val="NormalWeb"/>
        <w:numPr>
          <w:ilvl w:val="0"/>
          <w:numId w:val="17"/>
        </w:numPr>
        <w:rPr>
          <w:rFonts w:ascii="Garamond" w:hAnsi="Garamond" w:cs="Calibri"/>
          <w:color w:val="000000"/>
        </w:rPr>
      </w:pPr>
      <w:r w:rsidRPr="001C2BC1">
        <w:rPr>
          <w:rFonts w:ascii="Garamond" w:hAnsi="Garamond" w:cs="Calibri"/>
          <w:color w:val="000000"/>
        </w:rPr>
        <w:t>P</w:t>
      </w:r>
      <w:r w:rsidRPr="001C2BC1">
        <w:rPr>
          <w:rFonts w:ascii="Garamond" w:hAnsi="Garamond"/>
        </w:rPr>
        <w:t xml:space="preserve">roviding multiple response modes, including mobile-friendly self-administered and interviewer-administered options. </w:t>
      </w:r>
    </w:p>
    <w:p w:rsidR="00F02B29" w:rsidRPr="001C2BC1" w:rsidP="00AD4733" w14:paraId="1C7A43A0" w14:textId="77777777">
      <w:pPr>
        <w:pStyle w:val="NormalWeb"/>
        <w:numPr>
          <w:ilvl w:val="0"/>
          <w:numId w:val="17"/>
        </w:numPr>
        <w:rPr>
          <w:rFonts w:ascii="Garamond" w:hAnsi="Garamond" w:cs="Calibri"/>
          <w:color w:val="000000"/>
        </w:rPr>
      </w:pPr>
      <w:r w:rsidRPr="001C2BC1">
        <w:rPr>
          <w:rFonts w:ascii="Garamond" w:hAnsi="Garamond"/>
        </w:rPr>
        <w:t xml:space="preserve">Offering incentives to encourage response. </w:t>
      </w:r>
    </w:p>
    <w:p w:rsidR="00F02B29" w:rsidRPr="001C2BC1" w:rsidP="00AD4733" w14:paraId="19810979" w14:textId="77777777">
      <w:pPr>
        <w:pStyle w:val="NormalWeb"/>
        <w:numPr>
          <w:ilvl w:val="0"/>
          <w:numId w:val="17"/>
        </w:numPr>
        <w:rPr>
          <w:rFonts w:ascii="Garamond" w:hAnsi="Garamond" w:cs="Calibri"/>
          <w:color w:val="000000"/>
        </w:rPr>
      </w:pPr>
      <w:r w:rsidRPr="001C2BC1">
        <w:rPr>
          <w:rFonts w:ascii="Garamond" w:hAnsi="Garamond"/>
        </w:rPr>
        <w:t xml:space="preserve">Assigning experienced CATI interviewers </w:t>
      </w:r>
      <w:r w:rsidRPr="001C2BC1">
        <w:rPr>
          <w:rFonts w:ascii="Garamond" w:hAnsi="Garamond" w:eastAsiaTheme="minorHAnsi"/>
        </w:rPr>
        <w:t>who have proven their ability to contact and obtain cooperation from a high proportion of sample members</w:t>
      </w:r>
      <w:r w:rsidRPr="001C2BC1">
        <w:rPr>
          <w:rFonts w:ascii="Garamond" w:hAnsi="Garamond"/>
        </w:rPr>
        <w:t xml:space="preserve">. </w:t>
      </w:r>
    </w:p>
    <w:p w:rsidR="00F02B29" w:rsidRPr="001C2BC1" w:rsidP="00AD4733" w14:paraId="06553137" w14:textId="77777777">
      <w:pPr>
        <w:pStyle w:val="NormalWeb"/>
        <w:numPr>
          <w:ilvl w:val="0"/>
          <w:numId w:val="17"/>
        </w:numPr>
        <w:rPr>
          <w:rFonts w:ascii="Garamond" w:hAnsi="Garamond" w:cs="Calibri"/>
          <w:color w:val="000000"/>
        </w:rPr>
      </w:pPr>
      <w:r w:rsidRPr="001C2BC1">
        <w:rPr>
          <w:rFonts w:ascii="Garamond" w:hAnsi="Garamond" w:eastAsiaTheme="minorHAnsi"/>
        </w:rPr>
        <w:t>Training the interviewers thoroughly on study objectives, study population characteristics, and approaches that will</w:t>
      </w:r>
      <w:r w:rsidRPr="001C2BC1">
        <w:rPr>
          <w:rFonts w:ascii="Garamond" w:hAnsi="Garamond"/>
        </w:rPr>
        <w:t xml:space="preserve"> </w:t>
      </w:r>
      <w:r w:rsidRPr="001C2BC1">
        <w:rPr>
          <w:rFonts w:ascii="Garamond" w:hAnsi="Garamond" w:eastAsiaTheme="minorHAnsi"/>
        </w:rPr>
        <w:t>help gain cooperation from sample members</w:t>
      </w:r>
      <w:r w:rsidRPr="001C2BC1">
        <w:rPr>
          <w:rFonts w:ascii="Garamond" w:hAnsi="Garamond"/>
        </w:rPr>
        <w:t xml:space="preserve">. </w:t>
      </w:r>
    </w:p>
    <w:p w:rsidR="00F02B29" w:rsidRPr="00C512B2" w:rsidP="00AD4733" w14:paraId="0D4DBEAF" w14:textId="77777777">
      <w:pPr>
        <w:pStyle w:val="NormalWeb"/>
        <w:numPr>
          <w:ilvl w:val="0"/>
          <w:numId w:val="17"/>
        </w:numPr>
        <w:rPr>
          <w:rFonts w:asciiTheme="minorHAnsi" w:hAnsiTheme="minorHAnsi" w:cs="Calibri"/>
          <w:color w:val="000000"/>
        </w:rPr>
      </w:pPr>
      <w:r w:rsidRPr="001C2BC1">
        <w:rPr>
          <w:rFonts w:ascii="Garamond" w:hAnsi="Garamond" w:eastAsiaTheme="minorHAnsi"/>
        </w:rPr>
        <w:t xml:space="preserve">Maintaining a high level of monitoring and direct supervision so that interviewers who are experiencing low </w:t>
      </w:r>
      <w:r w:rsidRPr="00C512B2">
        <w:rPr>
          <w:rFonts w:asciiTheme="minorHAnsi" w:eastAsiaTheme="minorHAnsi" w:hAnsiTheme="minorHAnsi"/>
        </w:rPr>
        <w:t>cooperation</w:t>
      </w:r>
      <w:r w:rsidRPr="00C512B2">
        <w:rPr>
          <w:rFonts w:asciiTheme="minorHAnsi" w:hAnsiTheme="minorHAnsi"/>
        </w:rPr>
        <w:t xml:space="preserve"> </w:t>
      </w:r>
      <w:r w:rsidRPr="00C512B2">
        <w:rPr>
          <w:rFonts w:asciiTheme="minorHAnsi" w:eastAsiaTheme="minorHAnsi" w:hAnsiTheme="minorHAnsi"/>
        </w:rPr>
        <w:t>rates are identified quickly and corrective action is taken</w:t>
      </w:r>
      <w:r w:rsidRPr="00C512B2">
        <w:rPr>
          <w:rFonts w:asciiTheme="minorHAnsi" w:hAnsiTheme="minorHAnsi"/>
        </w:rPr>
        <w:t xml:space="preserve">. </w:t>
      </w:r>
    </w:p>
    <w:p w:rsidR="00F02B29" w:rsidRPr="00C512B2" w:rsidP="00AD4733" w14:paraId="7A98FFC9" w14:textId="77777777">
      <w:pPr>
        <w:pStyle w:val="NormalWeb"/>
        <w:numPr>
          <w:ilvl w:val="0"/>
          <w:numId w:val="17"/>
        </w:numPr>
        <w:rPr>
          <w:rFonts w:asciiTheme="minorHAnsi" w:hAnsiTheme="minorHAnsi" w:cs="Calibri"/>
          <w:color w:val="000000"/>
        </w:rPr>
      </w:pPr>
      <w:r w:rsidRPr="00C512B2">
        <w:rPr>
          <w:rFonts w:asciiTheme="minorHAnsi" w:eastAsiaTheme="minorHAnsi" w:hAnsiTheme="minorHAnsi"/>
        </w:rPr>
        <w:t>Making every reasonable effort to obtain a completed interview at the initial contact, but allowing respondent flexibility in scheduling appointments to be interviewed</w:t>
      </w:r>
      <w:r w:rsidRPr="00C512B2">
        <w:rPr>
          <w:rFonts w:asciiTheme="minorHAnsi" w:hAnsiTheme="minorHAnsi"/>
        </w:rPr>
        <w:t xml:space="preserve">. </w:t>
      </w:r>
    </w:p>
    <w:p w:rsidR="00F02B29" w:rsidRPr="00C512B2" w:rsidP="00AD4733" w14:paraId="5A99B568" w14:textId="77777777">
      <w:pPr>
        <w:pStyle w:val="NormalWeb"/>
        <w:numPr>
          <w:ilvl w:val="0"/>
          <w:numId w:val="17"/>
        </w:numPr>
        <w:spacing w:after="0" w:afterAutospacing="0"/>
        <w:rPr>
          <w:rFonts w:asciiTheme="minorHAnsi" w:hAnsiTheme="minorHAnsi" w:cs="Calibri"/>
          <w:color w:val="000000"/>
        </w:rPr>
      </w:pPr>
      <w:r w:rsidRPr="00C512B2">
        <w:rPr>
          <w:rFonts w:asciiTheme="minorHAnsi" w:hAnsiTheme="minorHAnsi"/>
        </w:rPr>
        <w:t>T</w:t>
      </w:r>
      <w:r w:rsidRPr="00C512B2">
        <w:rPr>
          <w:rFonts w:asciiTheme="minorHAnsi" w:eastAsiaTheme="minorHAnsi" w:hAnsiTheme="minorHAnsi"/>
        </w:rPr>
        <w:t>horoughly reviewing all refusal cases and making special conversion efforts whenever feasible</w:t>
      </w:r>
      <w:r>
        <w:rPr>
          <w:rFonts w:asciiTheme="minorHAnsi" w:eastAsiaTheme="minorHAnsi" w:hAnsiTheme="minorHAnsi"/>
        </w:rPr>
        <w:t>.</w:t>
      </w:r>
    </w:p>
    <w:p w:rsidR="00F02B29" w:rsidP="00AD4733" w14:paraId="55D14C7E" w14:textId="77777777">
      <w:pPr>
        <w:pStyle w:val="NormalWeb"/>
        <w:numPr>
          <w:ilvl w:val="0"/>
          <w:numId w:val="17"/>
        </w:numPr>
        <w:spacing w:after="0" w:afterAutospacing="0"/>
        <w:rPr>
          <w:rFonts w:asciiTheme="minorHAnsi" w:hAnsiTheme="minorHAnsi"/>
        </w:rPr>
      </w:pPr>
      <w:r w:rsidRPr="00B85287">
        <w:rPr>
          <w:rFonts w:asciiTheme="minorHAnsi" w:hAnsiTheme="minorHAnsi"/>
        </w:rPr>
        <w:t xml:space="preserve">Implementing and assuring participants of confidentiality procedures, including: </w:t>
      </w:r>
    </w:p>
    <w:p w:rsidR="00F02B29" w:rsidRPr="00B85287" w:rsidP="00AD4733" w14:paraId="59706553" w14:textId="77777777">
      <w:pPr>
        <w:pStyle w:val="NormalWeb"/>
        <w:numPr>
          <w:ilvl w:val="1"/>
          <w:numId w:val="17"/>
        </w:numPr>
        <w:spacing w:after="0" w:afterAutospacing="0"/>
        <w:rPr>
          <w:rFonts w:asciiTheme="minorHAnsi" w:hAnsiTheme="minorHAnsi"/>
        </w:rPr>
      </w:pPr>
      <w:r w:rsidRPr="00B85287">
        <w:rPr>
          <w:rFonts w:asciiTheme="minorHAnsi" w:hAnsiTheme="minorHAnsi"/>
        </w:rPr>
        <w:t xml:space="preserve">Requiring respondents to answer security questions before obtaining and resuming access to the survey; </w:t>
      </w:r>
    </w:p>
    <w:p w:rsidR="00F02B29" w:rsidRPr="00DC7183" w:rsidP="00AD4733" w14:paraId="47EBFC0A" w14:textId="77777777">
      <w:pPr>
        <w:pStyle w:val="NormalWeb"/>
        <w:numPr>
          <w:ilvl w:val="1"/>
          <w:numId w:val="17"/>
        </w:numPr>
        <w:spacing w:after="0" w:afterAutospacing="0"/>
        <w:rPr>
          <w:rFonts w:asciiTheme="minorHAnsi" w:hAnsiTheme="minorHAnsi"/>
        </w:rPr>
      </w:pPr>
      <w:r w:rsidRPr="00C512B2">
        <w:rPr>
          <w:rFonts w:asciiTheme="minorHAnsi" w:hAnsiTheme="minorHAnsi"/>
        </w:rPr>
        <w:t>Restricting the ability</w:t>
      </w:r>
      <w:r w:rsidRPr="00DC7183">
        <w:rPr>
          <w:rFonts w:asciiTheme="minorHAnsi" w:hAnsiTheme="minorHAnsi"/>
        </w:rPr>
        <w:t xml:space="preserve"> for the respondent to view survey responses from prior log in sessions (i.e., no ability to use navigation buttons to go to “Previous” survey questions from another log in session); and</w:t>
      </w:r>
    </w:p>
    <w:p w:rsidR="00C914B4" w:rsidP="00AD4733" w14:paraId="7A71D7C9" w14:textId="5B77CCB9">
      <w:pPr>
        <w:pStyle w:val="NormalWeb"/>
        <w:numPr>
          <w:ilvl w:val="1"/>
          <w:numId w:val="17"/>
        </w:numPr>
        <w:spacing w:after="0" w:afterAutospacing="0"/>
        <w:rPr>
          <w:rFonts w:asciiTheme="minorHAnsi" w:hAnsiTheme="minorHAnsi"/>
        </w:rPr>
      </w:pPr>
      <w:r w:rsidRPr="00DC7183">
        <w:rPr>
          <w:rFonts w:asciiTheme="minorHAnsi" w:hAnsiTheme="minorHAnsi"/>
        </w:rPr>
        <w:t>The survey automatically logging out of a session after 10 minutes of inactivity.</w:t>
      </w:r>
    </w:p>
    <w:p w:rsidR="00C914B4" w:rsidRPr="00C914B4" w:rsidP="00AD4733" w14:paraId="790945D5" w14:textId="123D7CCE">
      <w:pPr>
        <w:pStyle w:val="ListBullet"/>
        <w:widowControl/>
        <w:numPr>
          <w:ilvl w:val="0"/>
          <w:numId w:val="17"/>
        </w:numPr>
        <w:rPr>
          <w:rFonts w:asciiTheme="minorHAnsi" w:hAnsiTheme="minorHAnsi"/>
        </w:rPr>
      </w:pPr>
      <w:r w:rsidRPr="000D1BC6">
        <w:rPr>
          <w:rFonts w:asciiTheme="minorHAnsi" w:hAnsiTheme="minorHAnsi"/>
        </w:rPr>
        <w:t xml:space="preserve">For the </w:t>
      </w:r>
      <w:r w:rsidRPr="000D1BC6" w:rsidR="0094215B">
        <w:rPr>
          <w:rFonts w:asciiTheme="minorHAnsi" w:hAnsiTheme="minorHAnsi"/>
        </w:rPr>
        <w:t>BPS:20/25</w:t>
      </w:r>
      <w:r w:rsidRPr="000D1BC6">
        <w:rPr>
          <w:rFonts w:asciiTheme="minorHAnsi" w:hAnsiTheme="minorHAnsi"/>
        </w:rPr>
        <w:t xml:space="preserve"> full-scale collection, </w:t>
      </w:r>
      <w:r w:rsidRPr="000D1BC6" w:rsidR="0094215B">
        <w:rPr>
          <w:rFonts w:asciiTheme="minorHAnsi" w:hAnsiTheme="minorHAnsi"/>
        </w:rPr>
        <w:t>the</w:t>
      </w:r>
      <w:r w:rsidRPr="000D1BC6">
        <w:rPr>
          <w:rFonts w:asciiTheme="minorHAnsi" w:hAnsiTheme="minorHAnsi"/>
        </w:rPr>
        <w:t xml:space="preserve"> Spanish language</w:t>
      </w:r>
      <w:r w:rsidRPr="000D1BC6" w:rsidR="0094215B">
        <w:rPr>
          <w:rFonts w:asciiTheme="minorHAnsi" w:hAnsiTheme="minorHAnsi"/>
        </w:rPr>
        <w:t xml:space="preserve"> survey will be offered to </w:t>
      </w:r>
      <w:r w:rsidRPr="000D1BC6" w:rsidR="004E2B89">
        <w:rPr>
          <w:rFonts w:asciiTheme="minorHAnsi" w:hAnsiTheme="minorHAnsi"/>
        </w:rPr>
        <w:t>approximately 400 sample</w:t>
      </w:r>
      <w:r w:rsidRPr="000D1BC6" w:rsidR="007759A4">
        <w:rPr>
          <w:rFonts w:asciiTheme="minorHAnsi" w:hAnsiTheme="minorHAnsi"/>
        </w:rPr>
        <w:t xml:space="preserve"> members</w:t>
      </w:r>
      <w:r w:rsidR="002C636E">
        <w:rPr>
          <w:rFonts w:asciiTheme="minorHAnsi" w:hAnsiTheme="minorHAnsi"/>
        </w:rPr>
        <w:t xml:space="preserve"> based on their use of Spanish surveys in one or both of the prior surveys (NPSAS:20 or BPS:20/22)</w:t>
      </w:r>
      <w:r w:rsidRPr="000D1BC6">
        <w:rPr>
          <w:rFonts w:asciiTheme="minorHAnsi" w:hAnsiTheme="minorHAnsi"/>
        </w:rPr>
        <w:t>.</w:t>
      </w:r>
      <w:r w:rsidRPr="000D1BC6" w:rsidR="0094215B">
        <w:rPr>
          <w:rFonts w:asciiTheme="minorHAnsi" w:hAnsiTheme="minorHAnsi"/>
        </w:rPr>
        <w:t xml:space="preserve"> If a Spanish</w:t>
      </w:r>
      <w:r w:rsidR="0094215B">
        <w:rPr>
          <w:rFonts w:asciiTheme="minorHAnsi" w:hAnsiTheme="minorHAnsi"/>
        </w:rPr>
        <w:t xml:space="preserve"> survey administration is selected</w:t>
      </w:r>
      <w:r w:rsidR="002C636E">
        <w:rPr>
          <w:rFonts w:asciiTheme="minorHAnsi" w:hAnsiTheme="minorHAnsi"/>
        </w:rPr>
        <w:t xml:space="preserve"> the respondent will receive</w:t>
      </w:r>
      <w:r w:rsidR="0094215B">
        <w:rPr>
          <w:rFonts w:asciiTheme="minorHAnsi" w:hAnsiTheme="minorHAnsi"/>
        </w:rPr>
        <w:t xml:space="preserve"> the abbreviated web survey, rendering in Spanish.</w:t>
      </w:r>
    </w:p>
    <w:p w:rsidR="00F02B29" w:rsidP="00AD4733" w14:paraId="0F65F567" w14:textId="019C5A78">
      <w:pPr>
        <w:pStyle w:val="Heading3"/>
        <w:numPr>
          <w:ilvl w:val="0"/>
          <w:numId w:val="19"/>
        </w:numPr>
      </w:pPr>
      <w:bookmarkStart w:id="47" w:name="_Toc140136663"/>
      <w:bookmarkStart w:id="48" w:name="_Toc174598852"/>
      <w:r>
        <w:t>Refusal Aversion and Conversion</w:t>
      </w:r>
      <w:bookmarkEnd w:id="47"/>
      <w:bookmarkEnd w:id="48"/>
    </w:p>
    <w:p w:rsidR="00F02B29" w:rsidRPr="001C2BC1" w:rsidP="00F02B29" w14:paraId="5584313B" w14:textId="25D8BB92">
      <w:pPr>
        <w:rPr>
          <w:rFonts w:cs="Calibri"/>
          <w:color w:val="000000"/>
          <w:szCs w:val="24"/>
        </w:rPr>
      </w:pPr>
      <w:r w:rsidRPr="001C2BC1">
        <w:rPr>
          <w:rFonts w:cs="Calibri"/>
          <w:color w:val="000000"/>
          <w:szCs w:val="24"/>
        </w:rPr>
        <w:t xml:space="preserve">Recognizing and avoiding refusals is important to maximize the response rate. We will emphasize </w:t>
      </w:r>
      <w:r w:rsidRPr="001C2BC1" w:rsidR="007759A4">
        <w:rPr>
          <w:rFonts w:cs="Calibri"/>
          <w:color w:val="000000"/>
          <w:szCs w:val="24"/>
        </w:rPr>
        <w:t>this,</w:t>
      </w:r>
      <w:r w:rsidRPr="001C2BC1">
        <w:rPr>
          <w:rFonts w:cs="Calibri"/>
          <w:color w:val="000000"/>
          <w:szCs w:val="24"/>
        </w:rPr>
        <w:t xml:space="preserve"> and other topics related to obtaining cooperation during interviewer training. Supervisors will monitor interviewers intensely during the early days of outbound calling and provide retraining as necessary. In addition, the supervisors will review daily interviewer production reports produced by the CATI system to identify and retrain any data collectors who are producing unacceptable numbers of refusals or other problems.</w:t>
      </w:r>
    </w:p>
    <w:p w:rsidR="00F02B29" w:rsidRPr="001C2BC1" w:rsidP="00F02B29" w14:paraId="4B6182D8" w14:textId="77777777">
      <w:pPr>
        <w:rPr>
          <w:rFonts w:cs="Calibri"/>
          <w:color w:val="000000"/>
          <w:szCs w:val="24"/>
        </w:rPr>
      </w:pPr>
    </w:p>
    <w:p w:rsidR="00F02B29" w:rsidRPr="00EF5502" w:rsidP="13F74D18" w14:paraId="76E56D36" w14:textId="3BF9B332">
      <w:pPr>
        <w:rPr>
          <w:rFonts w:cs="Calibri"/>
          <w:color w:val="000000"/>
        </w:rPr>
      </w:pPr>
      <w:r w:rsidRPr="13F74D18">
        <w:rPr>
          <w:rFonts w:cs="Calibri"/>
          <w:color w:val="000000" w:themeColor="text1"/>
        </w:rPr>
        <w:t xml:space="preserve">Refusal conversion efforts will be delayed for at least 1 week to give the respondent time after the initial refusal. Attempts at refusal conversion will not be made with individuals who become verbally aggressive or who threaten to take legal or other action. Refusal conversion efforts will not be conducted to a degree that would constitute harassment. We will respect a sample member’s right to decide not to participate and will not </w:t>
      </w:r>
      <w:r w:rsidRPr="13F74D18" w:rsidR="469BD660">
        <w:rPr>
          <w:rFonts w:cs="Calibri"/>
          <w:color w:val="000000" w:themeColor="text1"/>
        </w:rPr>
        <w:t>impinge on</w:t>
      </w:r>
      <w:r w:rsidRPr="13F74D18">
        <w:rPr>
          <w:rFonts w:cs="Calibri"/>
          <w:color w:val="000000" w:themeColor="text1"/>
        </w:rPr>
        <w:t xml:space="preserve"> this right by carrying conversion efforts beyond the bounds of propriety.</w:t>
      </w:r>
    </w:p>
    <w:p w:rsidR="00631F82" w:rsidRPr="00A07B05" w:rsidP="000D1BC6" w14:paraId="6AD51C7A" w14:textId="0B0855AA">
      <w:pPr>
        <w:pStyle w:val="Heading2"/>
        <w:numPr>
          <w:ilvl w:val="0"/>
          <w:numId w:val="12"/>
        </w:numPr>
      </w:pPr>
      <w:bookmarkStart w:id="49" w:name="_Toc174598853"/>
      <w:r>
        <w:t>BPS:20/25 Full-scale Data Collection Procedures</w:t>
      </w:r>
      <w:bookmarkEnd w:id="49"/>
      <w:r>
        <w:t xml:space="preserve"> </w:t>
      </w:r>
    </w:p>
    <w:p w:rsidR="15F9EA39" w:rsidP="5E1D0311" w14:paraId="0A996A62" w14:textId="0D551060">
      <w:pPr>
        <w:spacing w:after="120"/>
      </w:pPr>
      <w:r w:rsidRPr="5E1D0311">
        <w:rPr>
          <w:rFonts w:eastAsia="Garamond" w:cs="Garamond"/>
          <w:color w:val="000000" w:themeColor="text1"/>
          <w:szCs w:val="24"/>
        </w:rPr>
        <w:t xml:space="preserve">BPS:20/25 </w:t>
      </w:r>
      <w:r w:rsidR="004974A9">
        <w:rPr>
          <w:rFonts w:eastAsia="Garamond" w:cs="Garamond"/>
          <w:color w:val="000000" w:themeColor="text1"/>
          <w:szCs w:val="24"/>
        </w:rPr>
        <w:t>full</w:t>
      </w:r>
      <w:r w:rsidRPr="5E1D0311">
        <w:rPr>
          <w:rFonts w:eastAsia="Garamond" w:cs="Garamond"/>
          <w:color w:val="000000" w:themeColor="text1"/>
          <w:szCs w:val="24"/>
        </w:rPr>
        <w:t xml:space="preserve"> </w:t>
      </w:r>
      <w:r w:rsidR="004974A9">
        <w:rPr>
          <w:rFonts w:eastAsia="Garamond" w:cs="Garamond"/>
          <w:color w:val="000000" w:themeColor="text1"/>
          <w:szCs w:val="24"/>
        </w:rPr>
        <w:t>scale</w:t>
      </w:r>
      <w:r w:rsidRPr="5E1D0311">
        <w:rPr>
          <w:rFonts w:eastAsia="Garamond" w:cs="Garamond"/>
          <w:color w:val="000000" w:themeColor="text1"/>
          <w:szCs w:val="24"/>
        </w:rPr>
        <w:t xml:space="preserve"> data collection will use two distinct data collection groups and three main data collection phases. This approach builds upon the designs implemented in other longitudinal studies where it has contributed to maximizing response rates and minimizing the potential for nonresponse bias (e.g., BPS:12/14, BPS:12/17, BPS: 20/22, </w:t>
      </w:r>
      <w:r w:rsidR="002C636E">
        <w:rPr>
          <w:rFonts w:eastAsia="Garamond" w:cs="Garamond"/>
          <w:color w:val="000000" w:themeColor="text1"/>
          <w:szCs w:val="24"/>
        </w:rPr>
        <w:t xml:space="preserve">2016-17 </w:t>
      </w:r>
      <w:r w:rsidRPr="5E1D0311">
        <w:rPr>
          <w:rFonts w:eastAsia="Garamond" w:cs="Garamond"/>
          <w:color w:val="000000" w:themeColor="text1"/>
          <w:szCs w:val="24"/>
        </w:rPr>
        <w:t>B</w:t>
      </w:r>
      <w:r w:rsidR="002C636E">
        <w:rPr>
          <w:rFonts w:eastAsia="Garamond" w:cs="Garamond"/>
          <w:color w:val="000000" w:themeColor="text1"/>
          <w:szCs w:val="24"/>
        </w:rPr>
        <w:t xml:space="preserve">accalaureate and Beyond </w:t>
      </w:r>
      <w:r w:rsidR="005D7EEB">
        <w:rPr>
          <w:rFonts w:eastAsia="Garamond" w:cs="Garamond"/>
          <w:color w:val="000000" w:themeColor="text1"/>
          <w:szCs w:val="24"/>
        </w:rPr>
        <w:t xml:space="preserve">Longitudinal Study </w:t>
      </w:r>
      <w:r w:rsidR="002C636E">
        <w:rPr>
          <w:rFonts w:eastAsia="Garamond" w:cs="Garamond"/>
          <w:color w:val="000000" w:themeColor="text1"/>
          <w:szCs w:val="24"/>
        </w:rPr>
        <w:t>(B</w:t>
      </w:r>
      <w:r w:rsidRPr="5E1D0311">
        <w:rPr>
          <w:rFonts w:eastAsia="Garamond" w:cs="Garamond"/>
          <w:color w:val="000000" w:themeColor="text1"/>
          <w:szCs w:val="24"/>
        </w:rPr>
        <w:t>&amp;B:16/17</w:t>
      </w:r>
      <w:r w:rsidR="002C636E">
        <w:rPr>
          <w:rFonts w:eastAsia="Garamond" w:cs="Garamond"/>
          <w:color w:val="000000" w:themeColor="text1"/>
          <w:szCs w:val="24"/>
        </w:rPr>
        <w:t>)</w:t>
      </w:r>
      <w:r w:rsidRPr="5E1D0311">
        <w:rPr>
          <w:rFonts w:eastAsia="Garamond" w:cs="Garamond"/>
          <w:color w:val="000000" w:themeColor="text1"/>
          <w:szCs w:val="24"/>
        </w:rPr>
        <w:t>, and B&amp;B:08/18</w:t>
      </w:r>
      <w:r w:rsidR="005D7EEB">
        <w:rPr>
          <w:rFonts w:eastAsia="Garamond" w:cs="Garamond"/>
          <w:color w:val="000000" w:themeColor="text1"/>
          <w:szCs w:val="24"/>
        </w:rPr>
        <w:t>)</w:t>
      </w:r>
      <w:r w:rsidRPr="5E1D0311">
        <w:rPr>
          <w:rFonts w:eastAsia="Garamond" w:cs="Garamond"/>
          <w:color w:val="000000" w:themeColor="text1"/>
          <w:szCs w:val="24"/>
        </w:rPr>
        <w:t xml:space="preserve">. In BPS:20/25, we plan to implement differential treatments based on prior round response status, an approach that was successfully implemented in the </w:t>
      </w:r>
      <w:r w:rsidR="00994576">
        <w:rPr>
          <w:rFonts w:eastAsia="Garamond" w:cs="Garamond"/>
          <w:color w:val="000000" w:themeColor="text1"/>
          <w:szCs w:val="24"/>
        </w:rPr>
        <w:t>BPS:20/25</w:t>
      </w:r>
      <w:r w:rsidRPr="5E1D0311">
        <w:rPr>
          <w:rFonts w:eastAsia="Garamond" w:cs="Garamond"/>
          <w:color w:val="000000" w:themeColor="text1"/>
          <w:szCs w:val="24"/>
        </w:rPr>
        <w:t xml:space="preserve"> field test. </w:t>
      </w:r>
      <w:r>
        <w:br/>
      </w:r>
      <w:r>
        <w:br/>
      </w:r>
      <w:r w:rsidRPr="5E1D0311">
        <w:rPr>
          <w:rFonts w:eastAsia="Garamond" w:cs="Garamond"/>
          <w:color w:val="000000" w:themeColor="text1"/>
          <w:szCs w:val="24"/>
        </w:rPr>
        <w:t xml:space="preserve">For the BPS:20/25 </w:t>
      </w:r>
      <w:r w:rsidR="004974A9">
        <w:rPr>
          <w:rFonts w:eastAsia="Garamond" w:cs="Garamond"/>
          <w:color w:val="000000" w:themeColor="text1"/>
          <w:szCs w:val="24"/>
        </w:rPr>
        <w:t>full</w:t>
      </w:r>
      <w:r w:rsidR="00300160">
        <w:rPr>
          <w:rFonts w:eastAsia="Garamond" w:cs="Garamond"/>
          <w:color w:val="000000" w:themeColor="text1"/>
          <w:szCs w:val="24"/>
        </w:rPr>
        <w:t>-</w:t>
      </w:r>
      <w:r w:rsidR="004974A9">
        <w:rPr>
          <w:rFonts w:eastAsia="Garamond" w:cs="Garamond"/>
          <w:color w:val="000000" w:themeColor="text1"/>
          <w:szCs w:val="24"/>
        </w:rPr>
        <w:t>scale</w:t>
      </w:r>
      <w:r w:rsidRPr="5E1D0311">
        <w:rPr>
          <w:rFonts w:eastAsia="Garamond" w:cs="Garamond"/>
          <w:color w:val="000000" w:themeColor="text1"/>
          <w:szCs w:val="24"/>
        </w:rPr>
        <w:t xml:space="preserve"> design, we will use the following two data collection groups:</w:t>
      </w:r>
    </w:p>
    <w:p w:rsidR="15F9EA39" w:rsidP="5E1D0311" w14:paraId="560838DD" w14:textId="649CC3F9">
      <w:pPr>
        <w:pStyle w:val="ListParagraph"/>
        <w:spacing w:after="0"/>
        <w:ind w:left="720"/>
        <w:rPr>
          <w:rFonts w:eastAsia="Garamond" w:cs="Garamond"/>
          <w:color w:val="000000" w:themeColor="text1"/>
        </w:rPr>
      </w:pPr>
      <w:r w:rsidRPr="4BA6271E">
        <w:rPr>
          <w:rFonts w:eastAsia="Garamond" w:cs="Garamond"/>
          <w:color w:val="000000" w:themeColor="text1"/>
          <w:u w:val="single"/>
        </w:rPr>
        <w:t>Default Group</w:t>
      </w:r>
      <w:r w:rsidRPr="4BA6271E">
        <w:rPr>
          <w:rFonts w:eastAsia="Garamond" w:cs="Garamond"/>
          <w:color w:val="000000" w:themeColor="text1"/>
        </w:rPr>
        <w:t>: Any sample member that responded to all NPSAS:20 and BPS:20/22 survey requests (</w:t>
      </w:r>
      <w:r w:rsidRPr="4BA6271E" w:rsidR="00C65D65">
        <w:rPr>
          <w:rFonts w:eastAsia="Garamond" w:cs="Garamond"/>
          <w:color w:val="000000" w:themeColor="text1"/>
        </w:rPr>
        <w:t xml:space="preserve">total </w:t>
      </w:r>
      <w:r w:rsidRPr="4BA6271E">
        <w:rPr>
          <w:rFonts w:eastAsia="Garamond" w:cs="Garamond"/>
          <w:color w:val="000000" w:themeColor="text1"/>
        </w:rPr>
        <w:t xml:space="preserve">n = </w:t>
      </w:r>
      <w:r w:rsidRPr="4BA6271E" w:rsidR="3933C645">
        <w:rPr>
          <w:rFonts w:eastAsia="Garamond" w:cs="Garamond"/>
          <w:color w:val="000000" w:themeColor="text1"/>
        </w:rPr>
        <w:t>20,620</w:t>
      </w:r>
      <w:r w:rsidRPr="4BA6271E">
        <w:rPr>
          <w:rFonts w:eastAsia="Garamond" w:cs="Garamond"/>
          <w:color w:val="000000" w:themeColor="text1"/>
        </w:rPr>
        <w:t>), including:</w:t>
      </w:r>
    </w:p>
    <w:p w:rsidR="15F9EA39" w:rsidP="5E1D0311" w14:paraId="38CC5DFB" w14:textId="3AD428C3">
      <w:pPr>
        <w:pStyle w:val="ListParagraph"/>
        <w:spacing w:after="0"/>
        <w:rPr>
          <w:rFonts w:eastAsia="Garamond" w:cs="Garamond"/>
          <w:color w:val="000000" w:themeColor="text1"/>
        </w:rPr>
      </w:pPr>
      <w:r w:rsidRPr="5E1D0311">
        <w:rPr>
          <w:rFonts w:eastAsia="Garamond" w:cs="Garamond"/>
          <w:color w:val="000000" w:themeColor="text1"/>
        </w:rPr>
        <w:t xml:space="preserve">NPSAS:20 </w:t>
      </w:r>
      <w:r w:rsidRPr="5E1D0311">
        <w:rPr>
          <w:rFonts w:eastAsia="Garamond" w:cs="Garamond"/>
          <w:i/>
          <w:iCs/>
          <w:color w:val="000000" w:themeColor="text1"/>
        </w:rPr>
        <w:t>and</w:t>
      </w:r>
      <w:r w:rsidRPr="5E1D0311">
        <w:rPr>
          <w:rFonts w:eastAsia="Garamond" w:cs="Garamond"/>
          <w:color w:val="000000" w:themeColor="text1"/>
        </w:rPr>
        <w:t xml:space="preserve"> BPS:20/22 survey respondents, excluding BPS:20/22 final partials </w:t>
      </w:r>
    </w:p>
    <w:p w:rsidR="15F9EA39" w:rsidP="5E1D0311" w14:paraId="09D24BE8" w14:textId="1AC768EE">
      <w:pPr>
        <w:pStyle w:val="ListParagraph"/>
        <w:spacing w:after="0"/>
        <w:rPr>
          <w:rFonts w:eastAsia="Garamond" w:cs="Garamond"/>
          <w:color w:val="000000" w:themeColor="text1"/>
        </w:rPr>
      </w:pPr>
      <w:r w:rsidRPr="5E1D0311">
        <w:rPr>
          <w:rFonts w:eastAsia="Garamond" w:cs="Garamond"/>
          <w:color w:val="000000" w:themeColor="text1"/>
        </w:rPr>
        <w:t xml:space="preserve">NPSAS:20 administrative only cases who were also BPS:20/22 survey respondents, excluding BPS:20/22 final partials </w:t>
      </w:r>
    </w:p>
    <w:p w:rsidR="15F9EA39" w:rsidP="5E1D0311" w14:paraId="3568DC68" w14:textId="52832AEA">
      <w:pPr>
        <w:pStyle w:val="ListParagraph"/>
        <w:spacing w:after="0"/>
        <w:ind w:left="720"/>
        <w:rPr>
          <w:rFonts w:eastAsia="Garamond" w:cs="Garamond"/>
          <w:color w:val="000000" w:themeColor="text1"/>
        </w:rPr>
      </w:pPr>
      <w:r w:rsidRPr="4BA6271E">
        <w:rPr>
          <w:rFonts w:eastAsia="Garamond" w:cs="Garamond"/>
          <w:color w:val="000000" w:themeColor="text1"/>
          <w:u w:val="single"/>
        </w:rPr>
        <w:t>Aggressive Group</w:t>
      </w:r>
      <w:r w:rsidRPr="4BA6271E">
        <w:rPr>
          <w:rFonts w:eastAsia="Garamond" w:cs="Garamond"/>
          <w:color w:val="000000" w:themeColor="text1"/>
        </w:rPr>
        <w:t>: NPSAS:20 survey nonrespondents, BPS:20/22 survey nonrespondents, or BPS:20/22 survey final partials (</w:t>
      </w:r>
      <w:r w:rsidRPr="4BA6271E" w:rsidR="00C65D65">
        <w:rPr>
          <w:rFonts w:eastAsia="Garamond" w:cs="Garamond"/>
          <w:color w:val="000000" w:themeColor="text1"/>
        </w:rPr>
        <w:t xml:space="preserve">total </w:t>
      </w:r>
      <w:r w:rsidRPr="4BA6271E">
        <w:rPr>
          <w:rFonts w:eastAsia="Garamond" w:cs="Garamond"/>
          <w:color w:val="000000" w:themeColor="text1"/>
        </w:rPr>
        <w:t xml:space="preserve">n = </w:t>
      </w:r>
      <w:r w:rsidRPr="4BA6271E" w:rsidR="05DF0BBA">
        <w:rPr>
          <w:rFonts w:eastAsia="Garamond" w:cs="Garamond"/>
          <w:color w:val="000000" w:themeColor="text1"/>
        </w:rPr>
        <w:t>8,030</w:t>
      </w:r>
      <w:r w:rsidRPr="4BA6271E">
        <w:rPr>
          <w:rFonts w:eastAsia="Garamond" w:cs="Garamond"/>
          <w:color w:val="000000" w:themeColor="text1"/>
        </w:rPr>
        <w:t xml:space="preserve">). The goal of this treatment is to convert reluctant sample members </w:t>
      </w:r>
      <w:r w:rsidRPr="4BA6271E">
        <w:rPr>
          <w:rFonts w:eastAsia="Garamond" w:cs="Garamond"/>
          <w:color w:val="000000" w:themeColor="text1"/>
        </w:rPr>
        <w:t>(i.e., those who have not responded to a previous survey request) to participate in the study as early in data collection as possible.</w:t>
      </w:r>
    </w:p>
    <w:p w:rsidR="15F9EA39" w:rsidP="5E1D0311" w14:paraId="45699E75" w14:textId="4028238C">
      <w:pPr>
        <w:spacing w:before="120" w:after="120"/>
      </w:pPr>
      <w:r w:rsidRPr="5E1D0311">
        <w:rPr>
          <w:rFonts w:eastAsia="Garamond" w:cs="Garamond"/>
          <w:color w:val="000000" w:themeColor="text1"/>
          <w:szCs w:val="24"/>
        </w:rPr>
        <w:t xml:space="preserve">Table </w:t>
      </w:r>
      <w:r w:rsidR="001B6466">
        <w:rPr>
          <w:rFonts w:eastAsia="Garamond" w:cs="Garamond"/>
          <w:color w:val="000000" w:themeColor="text1"/>
          <w:szCs w:val="24"/>
        </w:rPr>
        <w:t>4</w:t>
      </w:r>
      <w:r w:rsidRPr="5E1D0311">
        <w:rPr>
          <w:rFonts w:eastAsia="Garamond" w:cs="Garamond"/>
          <w:b/>
          <w:bCs/>
          <w:color w:val="000000" w:themeColor="text1"/>
          <w:szCs w:val="24"/>
        </w:rPr>
        <w:t xml:space="preserve"> </w:t>
      </w:r>
      <w:r w:rsidRPr="5E1D0311">
        <w:rPr>
          <w:rFonts w:eastAsia="Garamond" w:cs="Garamond"/>
          <w:color w:val="000000" w:themeColor="text1"/>
          <w:szCs w:val="24"/>
        </w:rPr>
        <w:t xml:space="preserve">below presents the type and timing of interventions to be applied in the </w:t>
      </w:r>
      <w:r w:rsidR="00A870B5">
        <w:rPr>
          <w:rFonts w:eastAsia="Garamond" w:cs="Garamond"/>
          <w:color w:val="000000" w:themeColor="text1"/>
          <w:szCs w:val="24"/>
        </w:rPr>
        <w:t>full-scale</w:t>
      </w:r>
      <w:r w:rsidRPr="5E1D0311">
        <w:rPr>
          <w:rFonts w:eastAsia="Garamond" w:cs="Garamond"/>
          <w:color w:val="000000" w:themeColor="text1"/>
          <w:szCs w:val="24"/>
        </w:rPr>
        <w:t xml:space="preserve"> data collection by groups and protocol and is described in more detail in the next section.</w:t>
      </w:r>
    </w:p>
    <w:p w:rsidR="15F9EA39" w:rsidP="001B6466" w14:paraId="4733C673" w14:textId="2044A6E1">
      <w:pPr>
        <w:pStyle w:val="TableTitle"/>
      </w:pPr>
      <w:bookmarkStart w:id="50" w:name="_Toc174607275"/>
      <w:r w:rsidRPr="5E1D0311">
        <w:rPr>
          <w:rFonts w:eastAsia="Arial"/>
        </w:rPr>
        <w:t xml:space="preserve">Table </w:t>
      </w:r>
      <w:r w:rsidR="001B6466">
        <w:rPr>
          <w:rFonts w:eastAsia="Arial"/>
        </w:rPr>
        <w:t>4</w:t>
      </w:r>
      <w:r w:rsidRPr="5E1D0311">
        <w:rPr>
          <w:rFonts w:eastAsia="Arial"/>
        </w:rPr>
        <w:t xml:space="preserve">. BPS:20/25 </w:t>
      </w:r>
      <w:r w:rsidR="00A870B5">
        <w:rPr>
          <w:rFonts w:eastAsia="Arial"/>
        </w:rPr>
        <w:t>full-scale</w:t>
      </w:r>
      <w:r w:rsidRPr="5E1D0311">
        <w:rPr>
          <w:rFonts w:eastAsia="Arial"/>
        </w:rPr>
        <w:t xml:space="preserve"> data collection protocols by data collection phase and group assignment</w:t>
      </w:r>
      <w:bookmarkEnd w:id="50"/>
    </w:p>
    <w:tbl>
      <w:tblPr>
        <w:tblStyle w:val="GridTableLight"/>
        <w:tblW w:w="0" w:type="auto"/>
        <w:tblLayout w:type="fixed"/>
        <w:tblLook w:val="04A0"/>
      </w:tblPr>
      <w:tblGrid>
        <w:gridCol w:w="1970"/>
        <w:gridCol w:w="3773"/>
        <w:gridCol w:w="3621"/>
      </w:tblGrid>
      <w:tr w14:paraId="452D2372" w14:textId="77777777" w:rsidTr="008E0179">
        <w:tblPrEx>
          <w:tblW w:w="0" w:type="auto"/>
          <w:tblLayout w:type="fixed"/>
          <w:tblLook w:val="04A0"/>
        </w:tblPrEx>
        <w:trPr>
          <w:trHeight w:val="432"/>
        </w:trPr>
        <w:tc>
          <w:tcPr>
            <w:tcW w:w="9364" w:type="dxa"/>
            <w:gridSpan w:val="3"/>
            <w:tcBorders>
              <w:top w:val="single" w:sz="8" w:space="0" w:color="auto"/>
              <w:left w:val="single" w:sz="8" w:space="0" w:color="auto"/>
              <w:bottom w:val="single" w:sz="8" w:space="0" w:color="auto"/>
              <w:right w:val="single" w:sz="8" w:space="0" w:color="auto"/>
            </w:tcBorders>
            <w:tcMar>
              <w:left w:w="108" w:type="dxa"/>
              <w:right w:w="108" w:type="dxa"/>
            </w:tcMar>
            <w:vAlign w:val="center"/>
          </w:tcPr>
          <w:p w:rsidR="008E0179" w:rsidRPr="000D1BC6" w:rsidP="008E0179" w14:paraId="15B9B242" w14:textId="6E612E2D">
            <w:pPr>
              <w:jc w:val="center"/>
              <w:rPr>
                <w:rFonts w:asciiTheme="majorHAnsi" w:hAnsiTheme="majorHAnsi" w:cstheme="majorHAnsi"/>
                <w:szCs w:val="24"/>
              </w:rPr>
            </w:pPr>
            <w:r w:rsidRPr="000D1BC6">
              <w:rPr>
                <w:rFonts w:asciiTheme="majorHAnsi" w:hAnsiTheme="majorHAnsi" w:cstheme="majorHAnsi"/>
                <w:b/>
                <w:bCs/>
                <w:szCs w:val="24"/>
              </w:rPr>
              <w:t>Data Collection Group Assignments</w:t>
            </w:r>
          </w:p>
        </w:tc>
      </w:tr>
      <w:tr w14:paraId="4935229A" w14:textId="77777777" w:rsidTr="00EF2512">
        <w:tblPrEx>
          <w:tblW w:w="0" w:type="auto"/>
          <w:tblLayout w:type="fixed"/>
          <w:tblLook w:val="04A0"/>
        </w:tblPrEx>
        <w:trPr>
          <w:trHeight w:val="75"/>
        </w:trPr>
        <w:tc>
          <w:tcPr>
            <w:tcW w:w="1970" w:type="dxa"/>
            <w:tcBorders>
              <w:top w:val="single" w:sz="8" w:space="0" w:color="auto"/>
              <w:left w:val="single" w:sz="8" w:space="0" w:color="auto"/>
              <w:bottom w:val="single" w:sz="8" w:space="0" w:color="auto"/>
              <w:right w:val="single" w:sz="8" w:space="0" w:color="auto"/>
            </w:tcBorders>
            <w:tcMar>
              <w:left w:w="108" w:type="dxa"/>
              <w:right w:w="108" w:type="dxa"/>
            </w:tcMar>
          </w:tcPr>
          <w:p w:rsidR="5E1D0311" w:rsidRPr="000D1BC6" w:rsidP="5E1D0311" w14:paraId="41F6FADD" w14:textId="2DD45C6A">
            <w:pPr>
              <w:rPr>
                <w:rFonts w:asciiTheme="majorHAnsi" w:hAnsiTheme="majorHAnsi" w:cstheme="majorHAnsi"/>
              </w:rPr>
            </w:pPr>
            <w:r w:rsidRPr="000D1BC6">
              <w:rPr>
                <w:rFonts w:asciiTheme="majorHAnsi" w:hAnsiTheme="majorHAnsi" w:cstheme="majorHAnsi"/>
                <w:b/>
                <w:bCs/>
                <w:szCs w:val="24"/>
              </w:rPr>
              <w:t xml:space="preserve"> </w:t>
            </w:r>
          </w:p>
        </w:tc>
        <w:tc>
          <w:tcPr>
            <w:tcW w:w="3773" w:type="dxa"/>
            <w:tcBorders>
              <w:top w:val="single" w:sz="8" w:space="0" w:color="auto"/>
              <w:left w:val="single" w:sz="8" w:space="0" w:color="auto"/>
              <w:bottom w:val="single" w:sz="8" w:space="0" w:color="auto"/>
              <w:right w:val="single" w:sz="8" w:space="0" w:color="auto"/>
            </w:tcBorders>
            <w:tcMar>
              <w:left w:w="108" w:type="dxa"/>
              <w:right w:w="108" w:type="dxa"/>
            </w:tcMar>
          </w:tcPr>
          <w:p w:rsidR="5E1D0311" w:rsidRPr="000D1BC6" w:rsidP="5E1D0311" w14:paraId="1BCBEA00" w14:textId="23C194DD">
            <w:pPr>
              <w:jc w:val="center"/>
              <w:rPr>
                <w:rFonts w:asciiTheme="majorHAnsi" w:hAnsiTheme="majorHAnsi" w:cstheme="majorHAnsi"/>
                <w:sz w:val="22"/>
                <w:szCs w:val="22"/>
              </w:rPr>
            </w:pPr>
            <w:r w:rsidRPr="000D1BC6">
              <w:rPr>
                <w:rFonts w:asciiTheme="majorHAnsi" w:hAnsiTheme="majorHAnsi" w:cstheme="majorHAnsi"/>
                <w:b/>
                <w:bCs/>
                <w:sz w:val="22"/>
                <w:szCs w:val="22"/>
              </w:rPr>
              <w:t>Default Group</w:t>
            </w:r>
          </w:p>
        </w:tc>
        <w:tc>
          <w:tcPr>
            <w:tcW w:w="3621" w:type="dxa"/>
            <w:tcBorders>
              <w:top w:val="nil"/>
              <w:left w:val="single" w:sz="8" w:space="0" w:color="auto"/>
              <w:bottom w:val="single" w:sz="8" w:space="0" w:color="auto"/>
              <w:right w:val="single" w:sz="8" w:space="0" w:color="auto"/>
            </w:tcBorders>
            <w:tcMar>
              <w:left w:w="108" w:type="dxa"/>
              <w:right w:w="108" w:type="dxa"/>
            </w:tcMar>
          </w:tcPr>
          <w:p w:rsidR="5E1D0311" w:rsidRPr="000D1BC6" w:rsidP="5E1D0311" w14:paraId="1EBCF074" w14:textId="4D8979AB">
            <w:pPr>
              <w:jc w:val="center"/>
              <w:rPr>
                <w:rFonts w:asciiTheme="majorHAnsi" w:hAnsiTheme="majorHAnsi" w:cstheme="majorHAnsi"/>
                <w:sz w:val="22"/>
                <w:szCs w:val="22"/>
              </w:rPr>
            </w:pPr>
            <w:r w:rsidRPr="000D1BC6">
              <w:rPr>
                <w:rFonts w:asciiTheme="majorHAnsi" w:hAnsiTheme="majorHAnsi" w:cstheme="majorHAnsi"/>
                <w:b/>
                <w:bCs/>
                <w:sz w:val="22"/>
                <w:szCs w:val="22"/>
              </w:rPr>
              <w:t>Aggressive Group</w:t>
            </w:r>
          </w:p>
        </w:tc>
      </w:tr>
      <w:tr w14:paraId="1388233F" w14:textId="77777777" w:rsidTr="00EF2512">
        <w:tblPrEx>
          <w:tblW w:w="0" w:type="auto"/>
          <w:tblLayout w:type="fixed"/>
          <w:tblLook w:val="04A0"/>
        </w:tblPrEx>
        <w:trPr>
          <w:trHeight w:val="840"/>
        </w:trPr>
        <w:tc>
          <w:tcPr>
            <w:tcW w:w="1970" w:type="dxa"/>
            <w:tcBorders>
              <w:top w:val="single" w:sz="8" w:space="0" w:color="auto"/>
              <w:left w:val="single" w:sz="8" w:space="0" w:color="auto"/>
              <w:bottom w:val="single" w:sz="8" w:space="0" w:color="auto"/>
              <w:right w:val="single" w:sz="8" w:space="0" w:color="auto"/>
            </w:tcBorders>
            <w:tcMar>
              <w:left w:w="108" w:type="dxa"/>
              <w:right w:w="108" w:type="dxa"/>
            </w:tcMar>
          </w:tcPr>
          <w:p w:rsidR="5E1D0311" w:rsidRPr="000D1BC6" w:rsidP="5E1D0311" w14:paraId="43AE6631" w14:textId="5234F7E4">
            <w:pPr>
              <w:rPr>
                <w:rFonts w:asciiTheme="majorHAnsi" w:hAnsiTheme="majorHAnsi" w:cstheme="majorHAnsi"/>
                <w:sz w:val="18"/>
                <w:szCs w:val="18"/>
              </w:rPr>
            </w:pPr>
            <w:r w:rsidRPr="000D1BC6">
              <w:rPr>
                <w:rFonts w:eastAsia="Arial" w:asciiTheme="majorHAnsi" w:hAnsiTheme="majorHAnsi" w:cstheme="majorHAnsi"/>
                <w:b/>
                <w:bCs/>
                <w:sz w:val="18"/>
                <w:szCs w:val="18"/>
              </w:rPr>
              <w:t xml:space="preserve"> Sample</w:t>
            </w:r>
          </w:p>
        </w:tc>
        <w:tc>
          <w:tcPr>
            <w:tcW w:w="3773" w:type="dxa"/>
            <w:tcBorders>
              <w:top w:val="single" w:sz="8" w:space="0" w:color="auto"/>
              <w:left w:val="single" w:sz="8" w:space="0" w:color="auto"/>
              <w:bottom w:val="single" w:sz="8" w:space="0" w:color="auto"/>
              <w:right w:val="single" w:sz="8" w:space="0" w:color="auto"/>
            </w:tcBorders>
            <w:tcMar>
              <w:left w:w="108" w:type="dxa"/>
              <w:right w:w="108" w:type="dxa"/>
            </w:tcMar>
          </w:tcPr>
          <w:p w:rsidR="5E1D0311" w:rsidRPr="000D1BC6" w:rsidP="00EF2512" w14:paraId="25301E67" w14:textId="46509FA1">
            <w:pPr>
              <w:pStyle w:val="ListParagraph"/>
              <w:numPr>
                <w:ilvl w:val="0"/>
                <w:numId w:val="21"/>
              </w:numPr>
              <w:spacing w:after="0"/>
              <w:ind w:left="420" w:hanging="270"/>
              <w:rPr>
                <w:rFonts w:eastAsia="Arial" w:asciiTheme="majorHAnsi" w:hAnsiTheme="majorHAnsi" w:cstheme="majorHAnsi"/>
                <w:sz w:val="18"/>
                <w:szCs w:val="18"/>
              </w:rPr>
            </w:pPr>
            <w:r w:rsidRPr="000D1BC6">
              <w:rPr>
                <w:rFonts w:eastAsia="Arial" w:asciiTheme="majorHAnsi" w:hAnsiTheme="majorHAnsi" w:cstheme="majorHAnsi"/>
                <w:sz w:val="18"/>
                <w:szCs w:val="18"/>
              </w:rPr>
              <w:t xml:space="preserve">NPSAS:20 and BPS:20/22 survey respondents, excluding </w:t>
            </w:r>
            <w:r w:rsidRPr="000D1BC6" w:rsidR="00EF2512">
              <w:rPr>
                <w:rFonts w:eastAsia="Arial" w:asciiTheme="majorHAnsi" w:hAnsiTheme="majorHAnsi" w:cstheme="majorHAnsi"/>
                <w:sz w:val="18"/>
                <w:szCs w:val="18"/>
              </w:rPr>
              <w:t xml:space="preserve">BPS:20/22 </w:t>
            </w:r>
            <w:r w:rsidRPr="000D1BC6">
              <w:rPr>
                <w:rFonts w:eastAsia="Arial" w:asciiTheme="majorHAnsi" w:hAnsiTheme="majorHAnsi" w:cstheme="majorHAnsi"/>
                <w:sz w:val="18"/>
                <w:szCs w:val="18"/>
              </w:rPr>
              <w:t>final partials</w:t>
            </w:r>
          </w:p>
          <w:p w:rsidR="5E1D0311" w:rsidRPr="000D1BC6" w:rsidP="00EF2512" w14:paraId="5176168C" w14:textId="52AFB607">
            <w:pPr>
              <w:pStyle w:val="ListParagraph"/>
              <w:numPr>
                <w:ilvl w:val="0"/>
                <w:numId w:val="21"/>
              </w:numPr>
              <w:spacing w:after="0"/>
              <w:ind w:left="420" w:hanging="270"/>
              <w:rPr>
                <w:rFonts w:eastAsia="Arial" w:asciiTheme="majorHAnsi" w:hAnsiTheme="majorHAnsi" w:cstheme="majorHAnsi"/>
                <w:sz w:val="18"/>
                <w:szCs w:val="18"/>
              </w:rPr>
            </w:pPr>
            <w:r w:rsidRPr="000D1BC6">
              <w:rPr>
                <w:rFonts w:eastAsia="Arial" w:asciiTheme="majorHAnsi" w:hAnsiTheme="majorHAnsi" w:cstheme="majorHAnsi"/>
                <w:sz w:val="18"/>
                <w:szCs w:val="18"/>
              </w:rPr>
              <w:t xml:space="preserve">NPSAS:20 administrative only cases and BPS:20/22 survey respondents, excluding </w:t>
            </w:r>
            <w:r w:rsidRPr="000D1BC6" w:rsidR="00EF2512">
              <w:rPr>
                <w:rFonts w:eastAsia="Arial" w:asciiTheme="majorHAnsi" w:hAnsiTheme="majorHAnsi" w:cstheme="majorHAnsi"/>
                <w:sz w:val="18"/>
                <w:szCs w:val="18"/>
              </w:rPr>
              <w:t xml:space="preserve">BPS:20/22 </w:t>
            </w:r>
            <w:r w:rsidRPr="000D1BC6">
              <w:rPr>
                <w:rFonts w:eastAsia="Arial" w:asciiTheme="majorHAnsi" w:hAnsiTheme="majorHAnsi" w:cstheme="majorHAnsi"/>
                <w:sz w:val="18"/>
                <w:szCs w:val="18"/>
              </w:rPr>
              <w:t>final partials</w:t>
            </w:r>
          </w:p>
          <w:p w:rsidR="5E1D0311" w:rsidRPr="000D1BC6" w:rsidP="00EF2512" w14:paraId="290A2D96" w14:textId="2FC7C29C">
            <w:pPr>
              <w:pStyle w:val="ListParagraph"/>
              <w:spacing w:after="0"/>
              <w:ind w:left="420" w:hanging="270"/>
              <w:rPr>
                <w:rFonts w:eastAsia="Arial" w:asciiTheme="majorHAnsi" w:hAnsiTheme="majorHAnsi" w:cstheme="majorHAnsi"/>
                <w:b/>
                <w:bCs/>
                <w:sz w:val="18"/>
                <w:szCs w:val="18"/>
              </w:rPr>
            </w:pPr>
            <w:r w:rsidRPr="000D1BC6">
              <w:rPr>
                <w:rFonts w:eastAsia="Arial" w:asciiTheme="majorHAnsi" w:hAnsiTheme="majorHAnsi" w:cstheme="majorHAnsi"/>
                <w:b/>
                <w:bCs/>
                <w:sz w:val="18"/>
                <w:szCs w:val="18"/>
              </w:rPr>
              <w:t xml:space="preserve">Total n = </w:t>
            </w:r>
            <w:r w:rsidRPr="000D1BC6" w:rsidR="19A49D84">
              <w:rPr>
                <w:rFonts w:eastAsia="Arial" w:asciiTheme="majorHAnsi" w:hAnsiTheme="majorHAnsi" w:cstheme="majorHAnsi"/>
                <w:b/>
                <w:bCs/>
                <w:sz w:val="18"/>
                <w:szCs w:val="18"/>
              </w:rPr>
              <w:t>20,620</w:t>
            </w:r>
            <w:r w:rsidRPr="000D1BC6">
              <w:rPr>
                <w:rFonts w:eastAsia="Arial" w:asciiTheme="majorHAnsi" w:hAnsiTheme="majorHAnsi" w:cstheme="majorHAnsi"/>
                <w:b/>
                <w:bCs/>
                <w:sz w:val="18"/>
                <w:szCs w:val="18"/>
              </w:rPr>
              <w:t xml:space="preserve"> </w:t>
            </w:r>
          </w:p>
        </w:tc>
        <w:tc>
          <w:tcPr>
            <w:tcW w:w="3621" w:type="dxa"/>
            <w:tcBorders>
              <w:top w:val="single" w:sz="8" w:space="0" w:color="auto"/>
              <w:left w:val="single" w:sz="8" w:space="0" w:color="auto"/>
              <w:bottom w:val="single" w:sz="8" w:space="0" w:color="auto"/>
              <w:right w:val="single" w:sz="8" w:space="0" w:color="auto"/>
            </w:tcBorders>
            <w:tcMar>
              <w:left w:w="108" w:type="dxa"/>
              <w:right w:w="108" w:type="dxa"/>
            </w:tcMar>
          </w:tcPr>
          <w:p w:rsidR="5E1D0311" w:rsidRPr="000D1BC6" w:rsidP="00EF2512" w14:paraId="2284908F" w14:textId="3EC833C1">
            <w:pPr>
              <w:pStyle w:val="ListParagraph"/>
              <w:spacing w:after="0"/>
              <w:ind w:left="420" w:hanging="270"/>
              <w:rPr>
                <w:rFonts w:eastAsia="Arial" w:asciiTheme="majorHAnsi" w:hAnsiTheme="majorHAnsi" w:cstheme="majorHAnsi"/>
                <w:sz w:val="18"/>
                <w:szCs w:val="18"/>
              </w:rPr>
            </w:pPr>
            <w:r w:rsidRPr="000D1BC6">
              <w:rPr>
                <w:rFonts w:eastAsia="Arial" w:asciiTheme="majorHAnsi" w:hAnsiTheme="majorHAnsi" w:cstheme="majorHAnsi"/>
                <w:sz w:val="18"/>
                <w:szCs w:val="18"/>
              </w:rPr>
              <w:t>NPSAS:20 survey nonrespondents</w:t>
            </w:r>
          </w:p>
          <w:p w:rsidR="5E1D0311" w:rsidRPr="000D1BC6" w:rsidP="00EF2512" w14:paraId="338F6852" w14:textId="217646A9">
            <w:pPr>
              <w:pStyle w:val="ListParagraph"/>
              <w:spacing w:after="0"/>
              <w:ind w:left="420" w:hanging="270"/>
              <w:rPr>
                <w:rFonts w:eastAsia="Arial" w:asciiTheme="majorHAnsi" w:hAnsiTheme="majorHAnsi" w:cstheme="majorHAnsi"/>
                <w:sz w:val="18"/>
                <w:szCs w:val="18"/>
              </w:rPr>
            </w:pPr>
            <w:r w:rsidRPr="000D1BC6">
              <w:rPr>
                <w:rFonts w:eastAsia="Arial" w:asciiTheme="majorHAnsi" w:hAnsiTheme="majorHAnsi" w:cstheme="majorHAnsi"/>
                <w:sz w:val="18"/>
                <w:szCs w:val="18"/>
              </w:rPr>
              <w:t>BPS:20/22 survey nonrespondents</w:t>
            </w:r>
          </w:p>
          <w:p w:rsidR="5E1D0311" w:rsidRPr="000D1BC6" w:rsidP="00EF2512" w14:paraId="7D657850" w14:textId="71785DA2">
            <w:pPr>
              <w:pStyle w:val="ListParagraph"/>
              <w:spacing w:after="0"/>
              <w:ind w:left="420" w:hanging="270"/>
              <w:rPr>
                <w:rFonts w:eastAsia="Arial" w:asciiTheme="majorHAnsi" w:hAnsiTheme="majorHAnsi" w:cstheme="majorHAnsi"/>
                <w:sz w:val="18"/>
                <w:szCs w:val="18"/>
              </w:rPr>
            </w:pPr>
            <w:r w:rsidRPr="000D1BC6">
              <w:rPr>
                <w:rFonts w:eastAsia="Arial" w:asciiTheme="majorHAnsi" w:hAnsiTheme="majorHAnsi" w:cstheme="majorHAnsi"/>
                <w:sz w:val="18"/>
                <w:szCs w:val="18"/>
              </w:rPr>
              <w:t>BPS:20/22 survey final partials</w:t>
            </w:r>
          </w:p>
          <w:p w:rsidR="5E1D0311" w:rsidRPr="000D1BC6" w:rsidP="00EF2512" w14:paraId="517E214C" w14:textId="51F60771">
            <w:pPr>
              <w:pStyle w:val="ListParagraph"/>
              <w:spacing w:after="0"/>
              <w:ind w:left="420" w:hanging="270"/>
              <w:rPr>
                <w:rFonts w:eastAsia="Arial" w:asciiTheme="majorHAnsi" w:hAnsiTheme="majorHAnsi" w:cstheme="majorHAnsi"/>
                <w:b/>
                <w:bCs/>
                <w:sz w:val="18"/>
                <w:szCs w:val="18"/>
              </w:rPr>
            </w:pPr>
            <w:r w:rsidRPr="000D1BC6">
              <w:rPr>
                <w:rFonts w:eastAsia="Arial" w:asciiTheme="majorHAnsi" w:hAnsiTheme="majorHAnsi" w:cstheme="majorHAnsi"/>
                <w:b/>
                <w:bCs/>
                <w:sz w:val="18"/>
                <w:szCs w:val="18"/>
              </w:rPr>
              <w:t xml:space="preserve">Total n = </w:t>
            </w:r>
            <w:r w:rsidRPr="000D1BC6" w:rsidR="6666F1DD">
              <w:rPr>
                <w:rFonts w:eastAsia="Arial" w:asciiTheme="majorHAnsi" w:hAnsiTheme="majorHAnsi" w:cstheme="majorHAnsi"/>
                <w:b/>
                <w:bCs/>
                <w:sz w:val="18"/>
                <w:szCs w:val="18"/>
              </w:rPr>
              <w:t>8,030</w:t>
            </w:r>
          </w:p>
        </w:tc>
      </w:tr>
      <w:tr w14:paraId="3A5092C2" w14:textId="77777777" w:rsidTr="008E0179">
        <w:tblPrEx>
          <w:tblW w:w="0" w:type="auto"/>
          <w:tblLayout w:type="fixed"/>
          <w:tblLook w:val="04A0"/>
        </w:tblPrEx>
        <w:trPr>
          <w:trHeight w:val="432"/>
        </w:trPr>
        <w:tc>
          <w:tcPr>
            <w:tcW w:w="9364" w:type="dxa"/>
            <w:gridSpan w:val="3"/>
            <w:tcBorders>
              <w:top w:val="single" w:sz="8" w:space="0" w:color="auto"/>
              <w:left w:val="single" w:sz="8" w:space="0" w:color="auto"/>
              <w:bottom w:val="single" w:sz="8" w:space="0" w:color="auto"/>
              <w:right w:val="single" w:sz="8" w:space="0" w:color="auto"/>
            </w:tcBorders>
            <w:tcMar>
              <w:left w:w="108" w:type="dxa"/>
              <w:right w:w="108" w:type="dxa"/>
            </w:tcMar>
            <w:vAlign w:val="center"/>
          </w:tcPr>
          <w:p w:rsidR="00EF2512" w:rsidRPr="000D1BC6" w:rsidP="008E0179" w14:paraId="511ED1EC" w14:textId="70F55B5B">
            <w:pPr>
              <w:jc w:val="center"/>
              <w:rPr>
                <w:rFonts w:asciiTheme="majorHAnsi" w:hAnsiTheme="majorHAnsi" w:cstheme="majorHAnsi"/>
                <w:b/>
                <w:bCs/>
                <w:szCs w:val="24"/>
              </w:rPr>
            </w:pPr>
            <w:r w:rsidRPr="000D1BC6">
              <w:rPr>
                <w:rFonts w:asciiTheme="majorHAnsi" w:hAnsiTheme="majorHAnsi" w:cstheme="majorHAnsi"/>
                <w:b/>
                <w:bCs/>
                <w:szCs w:val="24"/>
              </w:rPr>
              <w:t>Data Collection Protocols (and approximate schedule)</w:t>
            </w:r>
          </w:p>
        </w:tc>
      </w:tr>
      <w:tr w14:paraId="76646ABF" w14:textId="77777777" w:rsidTr="00EF2512">
        <w:tblPrEx>
          <w:tblW w:w="0" w:type="auto"/>
          <w:tblLayout w:type="fixed"/>
          <w:tblLook w:val="04A0"/>
        </w:tblPrEx>
        <w:trPr>
          <w:trHeight w:val="165"/>
        </w:trPr>
        <w:tc>
          <w:tcPr>
            <w:tcW w:w="1970" w:type="dxa"/>
            <w:tcBorders>
              <w:top w:val="single" w:sz="8" w:space="0" w:color="auto"/>
              <w:left w:val="single" w:sz="8" w:space="0" w:color="auto"/>
              <w:bottom w:val="single" w:sz="8" w:space="0" w:color="auto"/>
              <w:right w:val="single" w:sz="8" w:space="0" w:color="auto"/>
            </w:tcBorders>
            <w:tcMar>
              <w:left w:w="108" w:type="dxa"/>
              <w:right w:w="108" w:type="dxa"/>
            </w:tcMar>
          </w:tcPr>
          <w:p w:rsidR="5E1D0311" w:rsidRPr="000D1BC6" w:rsidP="5E1D0311" w14:paraId="6E3BCFDD" w14:textId="755488B4">
            <w:pPr>
              <w:ind w:left="157"/>
              <w:rPr>
                <w:rFonts w:asciiTheme="majorHAnsi" w:hAnsiTheme="majorHAnsi" w:cstheme="majorHAnsi"/>
                <w:sz w:val="18"/>
                <w:szCs w:val="18"/>
              </w:rPr>
            </w:pPr>
            <w:r w:rsidRPr="000D1BC6">
              <w:rPr>
                <w:rFonts w:eastAsia="Arial" w:asciiTheme="majorHAnsi" w:hAnsiTheme="majorHAnsi" w:cstheme="majorHAnsi"/>
                <w:b/>
                <w:bCs/>
                <w:sz w:val="18"/>
                <w:szCs w:val="18"/>
              </w:rPr>
              <w:t>Prior to data collection</w:t>
            </w:r>
          </w:p>
        </w:tc>
        <w:tc>
          <w:tcPr>
            <w:tcW w:w="3773" w:type="dxa"/>
            <w:tcBorders>
              <w:top w:val="single" w:sz="8" w:space="0" w:color="auto"/>
              <w:left w:val="single" w:sz="8" w:space="0" w:color="auto"/>
              <w:bottom w:val="single" w:sz="8" w:space="0" w:color="auto"/>
              <w:right w:val="single" w:sz="8" w:space="0" w:color="auto"/>
            </w:tcBorders>
            <w:tcMar>
              <w:left w:w="108" w:type="dxa"/>
              <w:right w:w="108" w:type="dxa"/>
            </w:tcMar>
          </w:tcPr>
          <w:p w:rsidR="5E1D0311" w:rsidRPr="000D1BC6" w:rsidP="00EF2512" w14:paraId="6A6B488E" w14:textId="4221EE92">
            <w:pPr>
              <w:pStyle w:val="ListParagraph"/>
              <w:numPr>
                <w:ilvl w:val="0"/>
                <w:numId w:val="21"/>
              </w:numPr>
              <w:spacing w:after="0"/>
              <w:ind w:left="420" w:hanging="270"/>
              <w:rPr>
                <w:rFonts w:eastAsia="Arial" w:asciiTheme="majorHAnsi" w:hAnsiTheme="majorHAnsi" w:cstheme="majorHAnsi"/>
                <w:sz w:val="18"/>
                <w:szCs w:val="18"/>
              </w:rPr>
            </w:pPr>
            <w:r w:rsidRPr="000D1BC6">
              <w:rPr>
                <w:rFonts w:eastAsia="Arial" w:asciiTheme="majorHAnsi" w:hAnsiTheme="majorHAnsi" w:cstheme="majorHAnsi"/>
                <w:sz w:val="18"/>
                <w:szCs w:val="18"/>
              </w:rPr>
              <w:t>Greeting card</w:t>
            </w:r>
            <w:r w:rsidRPr="000D1BC6" w:rsidR="5CCA8FB7">
              <w:rPr>
                <w:rFonts w:eastAsia="Arial" w:asciiTheme="majorHAnsi" w:hAnsiTheme="majorHAnsi" w:cstheme="majorHAnsi"/>
                <w:sz w:val="18"/>
                <w:szCs w:val="18"/>
              </w:rPr>
              <w:t xml:space="preserve"> /panel maintenance</w:t>
            </w:r>
          </w:p>
        </w:tc>
        <w:tc>
          <w:tcPr>
            <w:tcW w:w="3621" w:type="dxa"/>
            <w:tcBorders>
              <w:top w:val="single" w:sz="8" w:space="0" w:color="auto"/>
              <w:left w:val="single" w:sz="8" w:space="0" w:color="auto"/>
              <w:bottom w:val="single" w:sz="8" w:space="0" w:color="auto"/>
              <w:right w:val="single" w:sz="8" w:space="0" w:color="auto"/>
            </w:tcBorders>
            <w:tcMar>
              <w:left w:w="108" w:type="dxa"/>
              <w:right w:w="108" w:type="dxa"/>
            </w:tcMar>
          </w:tcPr>
          <w:p w:rsidR="5E1D0311" w:rsidRPr="000D1BC6" w:rsidP="00EF2512" w14:paraId="2BDAEAE3" w14:textId="5938E26A">
            <w:pPr>
              <w:pStyle w:val="ListParagraph"/>
              <w:spacing w:after="0"/>
              <w:ind w:left="420" w:hanging="270"/>
              <w:rPr>
                <w:rFonts w:eastAsia="Arial" w:asciiTheme="majorHAnsi" w:hAnsiTheme="majorHAnsi" w:cstheme="majorHAnsi"/>
                <w:sz w:val="18"/>
                <w:szCs w:val="18"/>
              </w:rPr>
            </w:pPr>
            <w:r w:rsidRPr="000D1BC6">
              <w:rPr>
                <w:rFonts w:eastAsia="Arial" w:asciiTheme="majorHAnsi" w:hAnsiTheme="majorHAnsi" w:cstheme="majorHAnsi"/>
                <w:sz w:val="18"/>
                <w:szCs w:val="18"/>
              </w:rPr>
              <w:t>Greeting card</w:t>
            </w:r>
            <w:r w:rsidRPr="000D1BC6" w:rsidR="637ECB1F">
              <w:rPr>
                <w:rFonts w:eastAsia="Arial" w:asciiTheme="majorHAnsi" w:hAnsiTheme="majorHAnsi" w:cstheme="majorHAnsi"/>
                <w:sz w:val="18"/>
                <w:szCs w:val="18"/>
              </w:rPr>
              <w:t xml:space="preserve"> /panel maintenance</w:t>
            </w:r>
          </w:p>
        </w:tc>
      </w:tr>
      <w:tr w14:paraId="3F2BBCE6" w14:textId="77777777" w:rsidTr="00EF2512">
        <w:tblPrEx>
          <w:tblW w:w="0" w:type="auto"/>
          <w:tblLayout w:type="fixed"/>
          <w:tblLook w:val="04A0"/>
        </w:tblPrEx>
        <w:trPr>
          <w:trHeight w:val="600"/>
        </w:trPr>
        <w:tc>
          <w:tcPr>
            <w:tcW w:w="1970" w:type="dxa"/>
            <w:tcBorders>
              <w:top w:val="single" w:sz="8" w:space="0" w:color="auto"/>
              <w:left w:val="single" w:sz="8" w:space="0" w:color="auto"/>
              <w:bottom w:val="single" w:sz="8" w:space="0" w:color="auto"/>
              <w:right w:val="single" w:sz="8" w:space="0" w:color="auto"/>
            </w:tcBorders>
            <w:tcMar>
              <w:left w:w="108" w:type="dxa"/>
              <w:right w:w="108" w:type="dxa"/>
            </w:tcMar>
          </w:tcPr>
          <w:p w:rsidR="5E1D0311" w:rsidRPr="000D1BC6" w:rsidP="5E1D0311" w14:paraId="22A4098E" w14:textId="445B72C0">
            <w:pPr>
              <w:ind w:left="157"/>
              <w:rPr>
                <w:rFonts w:asciiTheme="majorHAnsi" w:hAnsiTheme="majorHAnsi" w:cstheme="majorHAnsi"/>
                <w:sz w:val="18"/>
                <w:szCs w:val="18"/>
              </w:rPr>
            </w:pPr>
            <w:r w:rsidRPr="000D1BC6">
              <w:rPr>
                <w:rFonts w:eastAsia="Arial" w:asciiTheme="majorHAnsi" w:hAnsiTheme="majorHAnsi" w:cstheme="majorHAnsi"/>
                <w:b/>
                <w:bCs/>
                <w:sz w:val="18"/>
                <w:szCs w:val="18"/>
              </w:rPr>
              <w:t>Early completion phase (Weeks 1-4)</w:t>
            </w:r>
          </w:p>
        </w:tc>
        <w:tc>
          <w:tcPr>
            <w:tcW w:w="3773" w:type="dxa"/>
            <w:tcBorders>
              <w:top w:val="single" w:sz="8" w:space="0" w:color="auto"/>
              <w:left w:val="single" w:sz="8" w:space="0" w:color="auto"/>
              <w:bottom w:val="single" w:sz="8" w:space="0" w:color="auto"/>
              <w:right w:val="single" w:sz="8" w:space="0" w:color="auto"/>
            </w:tcBorders>
            <w:tcMar>
              <w:left w:w="108" w:type="dxa"/>
              <w:right w:w="108" w:type="dxa"/>
            </w:tcMar>
          </w:tcPr>
          <w:p w:rsidR="5E1D0311" w:rsidRPr="000D1BC6" w:rsidP="00EF2512" w14:paraId="46BB9CB1" w14:textId="230BAFDA">
            <w:pPr>
              <w:pStyle w:val="ListParagraph"/>
              <w:numPr>
                <w:ilvl w:val="0"/>
                <w:numId w:val="21"/>
              </w:numPr>
              <w:spacing w:after="0"/>
              <w:ind w:left="420" w:hanging="270"/>
              <w:rPr>
                <w:rFonts w:eastAsia="Arial" w:asciiTheme="majorHAnsi" w:hAnsiTheme="majorHAnsi" w:cstheme="majorHAnsi"/>
                <w:sz w:val="18"/>
                <w:szCs w:val="18"/>
              </w:rPr>
            </w:pPr>
            <w:r w:rsidRPr="000D1BC6">
              <w:rPr>
                <w:rFonts w:eastAsia="Arial" w:asciiTheme="majorHAnsi" w:hAnsiTheme="majorHAnsi" w:cstheme="majorHAnsi"/>
                <w:sz w:val="18"/>
                <w:szCs w:val="18"/>
              </w:rPr>
              <w:t>DC announcement mail, text, and e-mail</w:t>
            </w:r>
          </w:p>
        </w:tc>
        <w:tc>
          <w:tcPr>
            <w:tcW w:w="3621" w:type="dxa"/>
            <w:tcBorders>
              <w:top w:val="single" w:sz="8" w:space="0" w:color="auto"/>
              <w:left w:val="single" w:sz="8" w:space="0" w:color="auto"/>
              <w:bottom w:val="single" w:sz="8" w:space="0" w:color="auto"/>
              <w:right w:val="single" w:sz="8" w:space="0" w:color="auto"/>
            </w:tcBorders>
            <w:tcMar>
              <w:left w:w="108" w:type="dxa"/>
              <w:right w:w="108" w:type="dxa"/>
            </w:tcMar>
          </w:tcPr>
          <w:p w:rsidR="5E1D0311" w:rsidRPr="000D1BC6" w:rsidP="00EF2512" w14:paraId="4FE81E58" w14:textId="75CF96A2">
            <w:pPr>
              <w:pStyle w:val="ListParagraph"/>
              <w:spacing w:after="0"/>
              <w:ind w:left="420" w:hanging="270"/>
              <w:rPr>
                <w:rFonts w:eastAsia="Arial" w:asciiTheme="majorHAnsi" w:hAnsiTheme="majorHAnsi" w:cstheme="majorHAnsi"/>
                <w:sz w:val="18"/>
                <w:szCs w:val="18"/>
              </w:rPr>
            </w:pPr>
            <w:r w:rsidRPr="000D1BC6">
              <w:rPr>
                <w:rFonts w:eastAsia="Arial" w:asciiTheme="majorHAnsi" w:hAnsiTheme="majorHAnsi" w:cstheme="majorHAnsi"/>
                <w:sz w:val="18"/>
                <w:szCs w:val="18"/>
              </w:rPr>
              <w:t xml:space="preserve">DC announcement mail, text, and e-mail </w:t>
            </w:r>
          </w:p>
          <w:p w:rsidR="5E1D0311" w:rsidRPr="000D1BC6" w:rsidP="00EF2512" w14:paraId="1B88B470" w14:textId="4724BCA3">
            <w:pPr>
              <w:pStyle w:val="ListParagraph"/>
              <w:spacing w:after="0"/>
              <w:ind w:left="420" w:hanging="270"/>
              <w:rPr>
                <w:rFonts w:eastAsia="Arial" w:asciiTheme="majorHAnsi" w:hAnsiTheme="majorHAnsi" w:cstheme="majorHAnsi"/>
                <w:sz w:val="18"/>
                <w:szCs w:val="18"/>
              </w:rPr>
            </w:pPr>
            <w:r w:rsidRPr="000D1BC6">
              <w:rPr>
                <w:rFonts w:eastAsia="Arial" w:asciiTheme="majorHAnsi" w:hAnsiTheme="majorHAnsi" w:cstheme="majorHAnsi"/>
                <w:sz w:val="18"/>
                <w:szCs w:val="18"/>
              </w:rPr>
              <w:t>CATI begins 2 weeks after mail outs – continued throughout</w:t>
            </w:r>
          </w:p>
        </w:tc>
      </w:tr>
      <w:tr w14:paraId="4F18D40D" w14:textId="77777777" w:rsidTr="00EF2512">
        <w:tblPrEx>
          <w:tblW w:w="0" w:type="auto"/>
          <w:tblLayout w:type="fixed"/>
          <w:tblLook w:val="04A0"/>
        </w:tblPrEx>
        <w:trPr>
          <w:trHeight w:val="555"/>
        </w:trPr>
        <w:tc>
          <w:tcPr>
            <w:tcW w:w="1970" w:type="dxa"/>
            <w:tcBorders>
              <w:top w:val="single" w:sz="8" w:space="0" w:color="auto"/>
              <w:left w:val="single" w:sz="8" w:space="0" w:color="auto"/>
              <w:bottom w:val="single" w:sz="8" w:space="0" w:color="auto"/>
              <w:right w:val="single" w:sz="8" w:space="0" w:color="auto"/>
            </w:tcBorders>
            <w:tcMar>
              <w:left w:w="108" w:type="dxa"/>
              <w:right w:w="108" w:type="dxa"/>
            </w:tcMar>
          </w:tcPr>
          <w:p w:rsidR="5E1D0311" w:rsidRPr="000D1BC6" w:rsidP="5E1D0311" w14:paraId="05BD8CA4" w14:textId="64EA0248">
            <w:pPr>
              <w:ind w:left="157"/>
              <w:rPr>
                <w:rFonts w:asciiTheme="majorHAnsi" w:hAnsiTheme="majorHAnsi" w:cstheme="majorHAnsi"/>
                <w:sz w:val="18"/>
                <w:szCs w:val="18"/>
              </w:rPr>
            </w:pPr>
            <w:r w:rsidRPr="000D1BC6">
              <w:rPr>
                <w:rFonts w:eastAsia="Arial" w:asciiTheme="majorHAnsi" w:hAnsiTheme="majorHAnsi" w:cstheme="majorHAnsi"/>
                <w:b/>
                <w:bCs/>
                <w:sz w:val="18"/>
                <w:szCs w:val="18"/>
              </w:rPr>
              <w:t>Production Phase (Weeks 5-10)</w:t>
            </w:r>
          </w:p>
        </w:tc>
        <w:tc>
          <w:tcPr>
            <w:tcW w:w="3773" w:type="dxa"/>
            <w:tcBorders>
              <w:top w:val="single" w:sz="8" w:space="0" w:color="auto"/>
              <w:left w:val="single" w:sz="8" w:space="0" w:color="auto"/>
              <w:bottom w:val="single" w:sz="8" w:space="0" w:color="auto"/>
              <w:right w:val="single" w:sz="8" w:space="0" w:color="auto"/>
            </w:tcBorders>
            <w:tcMar>
              <w:left w:w="108" w:type="dxa"/>
              <w:right w:w="108" w:type="dxa"/>
            </w:tcMar>
          </w:tcPr>
          <w:p w:rsidR="5E1D0311" w:rsidRPr="000D1BC6" w:rsidP="00EF2512" w14:paraId="706FEF06" w14:textId="5036D2E2">
            <w:pPr>
              <w:pStyle w:val="ListParagraph"/>
              <w:numPr>
                <w:ilvl w:val="0"/>
                <w:numId w:val="21"/>
              </w:numPr>
              <w:spacing w:after="0"/>
              <w:ind w:left="420" w:hanging="270"/>
              <w:rPr>
                <w:rFonts w:eastAsia="Arial" w:asciiTheme="majorHAnsi" w:hAnsiTheme="majorHAnsi" w:cstheme="majorHAnsi"/>
                <w:sz w:val="18"/>
                <w:szCs w:val="18"/>
              </w:rPr>
            </w:pPr>
            <w:r w:rsidRPr="000D1BC6">
              <w:rPr>
                <w:rFonts w:eastAsia="Arial" w:asciiTheme="majorHAnsi" w:hAnsiTheme="majorHAnsi" w:cstheme="majorHAnsi"/>
                <w:sz w:val="18"/>
                <w:szCs w:val="18"/>
              </w:rPr>
              <w:t xml:space="preserve">Light CATI outbound begins for sample members in </w:t>
            </w:r>
            <w:r w:rsidRPr="000D1BC6" w:rsidR="00794594">
              <w:rPr>
                <w:rFonts w:eastAsia="Arial" w:asciiTheme="majorHAnsi" w:hAnsiTheme="majorHAnsi" w:cstheme="majorHAnsi"/>
                <w:sz w:val="18"/>
                <w:szCs w:val="18"/>
              </w:rPr>
              <w:t>key subgroups</w:t>
            </w:r>
          </w:p>
          <w:p w:rsidR="5E1D0311" w:rsidRPr="000D1BC6" w:rsidP="00EF2512" w14:paraId="481FB029" w14:textId="20A2C924">
            <w:pPr>
              <w:pStyle w:val="ListParagraph"/>
              <w:numPr>
                <w:ilvl w:val="0"/>
                <w:numId w:val="21"/>
              </w:numPr>
              <w:spacing w:after="0"/>
              <w:ind w:left="420" w:hanging="270"/>
              <w:rPr>
                <w:rFonts w:eastAsia="Arial" w:asciiTheme="majorHAnsi" w:hAnsiTheme="majorHAnsi" w:cstheme="majorHAnsi"/>
                <w:sz w:val="18"/>
                <w:szCs w:val="18"/>
              </w:rPr>
            </w:pPr>
            <w:r w:rsidRPr="000D1BC6">
              <w:rPr>
                <w:rFonts w:eastAsia="Arial" w:asciiTheme="majorHAnsi" w:hAnsiTheme="majorHAnsi" w:cstheme="majorHAnsi"/>
                <w:sz w:val="18"/>
                <w:szCs w:val="18"/>
              </w:rPr>
              <w:t>Postcard, e-mail, text message reminders – continued throughout</w:t>
            </w:r>
          </w:p>
        </w:tc>
        <w:tc>
          <w:tcPr>
            <w:tcW w:w="3621" w:type="dxa"/>
            <w:tcBorders>
              <w:top w:val="single" w:sz="8" w:space="0" w:color="auto"/>
              <w:left w:val="single" w:sz="8" w:space="0" w:color="auto"/>
              <w:bottom w:val="single" w:sz="8" w:space="0" w:color="auto"/>
              <w:right w:val="single" w:sz="8" w:space="0" w:color="auto"/>
            </w:tcBorders>
            <w:tcMar>
              <w:left w:w="108" w:type="dxa"/>
              <w:right w:w="108" w:type="dxa"/>
            </w:tcMar>
          </w:tcPr>
          <w:p w:rsidR="5E1D0311" w:rsidRPr="000D1BC6" w:rsidP="00EF2512" w14:paraId="7760D614" w14:textId="13419D83">
            <w:pPr>
              <w:pStyle w:val="ListParagraph"/>
              <w:spacing w:after="0"/>
              <w:ind w:left="420" w:hanging="270"/>
              <w:rPr>
                <w:rFonts w:eastAsia="Arial" w:asciiTheme="majorHAnsi" w:hAnsiTheme="majorHAnsi" w:cstheme="majorHAnsi"/>
                <w:sz w:val="18"/>
                <w:szCs w:val="18"/>
              </w:rPr>
            </w:pPr>
            <w:r w:rsidRPr="000D1BC6">
              <w:rPr>
                <w:rFonts w:eastAsia="Arial" w:asciiTheme="majorHAnsi" w:hAnsiTheme="majorHAnsi" w:cstheme="majorHAnsi"/>
                <w:sz w:val="18"/>
                <w:szCs w:val="18"/>
              </w:rPr>
              <w:t>Postcard, e-mail, text message reminders – continued throughout</w:t>
            </w:r>
          </w:p>
        </w:tc>
      </w:tr>
      <w:tr w14:paraId="6E07363C" w14:textId="77777777" w:rsidTr="00EF2512">
        <w:tblPrEx>
          <w:tblW w:w="0" w:type="auto"/>
          <w:tblLayout w:type="fixed"/>
          <w:tblLook w:val="04A0"/>
        </w:tblPrEx>
        <w:trPr>
          <w:trHeight w:val="105"/>
        </w:trPr>
        <w:tc>
          <w:tcPr>
            <w:tcW w:w="1970" w:type="dxa"/>
            <w:tcBorders>
              <w:top w:val="single" w:sz="8" w:space="0" w:color="auto"/>
              <w:left w:val="single" w:sz="8" w:space="0" w:color="auto"/>
              <w:bottom w:val="single" w:sz="8" w:space="0" w:color="auto"/>
              <w:right w:val="single" w:sz="8" w:space="0" w:color="auto"/>
            </w:tcBorders>
            <w:tcMar>
              <w:left w:w="108" w:type="dxa"/>
              <w:right w:w="108" w:type="dxa"/>
            </w:tcMar>
          </w:tcPr>
          <w:p w:rsidR="5E1D0311" w:rsidRPr="000D1BC6" w:rsidP="73D567AE" w14:paraId="24FD7B11" w14:textId="2CBD804E">
            <w:pPr>
              <w:ind w:left="157"/>
              <w:rPr>
                <w:rFonts w:eastAsia="Arial" w:asciiTheme="majorHAnsi" w:hAnsiTheme="majorHAnsi" w:cstheme="majorHAnsi"/>
                <w:b/>
                <w:bCs/>
                <w:sz w:val="18"/>
                <w:szCs w:val="18"/>
              </w:rPr>
            </w:pPr>
            <w:r w:rsidRPr="000D1BC6">
              <w:rPr>
                <w:rFonts w:eastAsia="Arial" w:asciiTheme="majorHAnsi" w:hAnsiTheme="majorHAnsi" w:cstheme="majorHAnsi"/>
                <w:b/>
                <w:bCs/>
                <w:sz w:val="18"/>
                <w:szCs w:val="18"/>
              </w:rPr>
              <w:t>Nonresponse Follow-Up (Week</w:t>
            </w:r>
            <w:r w:rsidRPr="000D1BC6" w:rsidR="0DEEB541">
              <w:rPr>
                <w:rFonts w:eastAsia="Arial" w:asciiTheme="majorHAnsi" w:hAnsiTheme="majorHAnsi" w:cstheme="majorHAnsi"/>
                <w:b/>
                <w:bCs/>
                <w:sz w:val="18"/>
                <w:szCs w:val="18"/>
              </w:rPr>
              <w:t>s</w:t>
            </w:r>
            <w:r w:rsidRPr="000D1BC6">
              <w:rPr>
                <w:rFonts w:eastAsia="Arial" w:asciiTheme="majorHAnsi" w:hAnsiTheme="majorHAnsi" w:cstheme="majorHAnsi"/>
                <w:b/>
                <w:bCs/>
                <w:sz w:val="18"/>
                <w:szCs w:val="18"/>
              </w:rPr>
              <w:t xml:space="preserve"> 11</w:t>
            </w:r>
            <w:r w:rsidRPr="000D1BC6" w:rsidR="7AE283D1">
              <w:rPr>
                <w:rFonts w:eastAsia="Arial" w:asciiTheme="majorHAnsi" w:hAnsiTheme="majorHAnsi" w:cstheme="majorHAnsi"/>
                <w:b/>
                <w:bCs/>
                <w:sz w:val="18"/>
                <w:szCs w:val="18"/>
              </w:rPr>
              <w:t>+</w:t>
            </w:r>
            <w:r w:rsidRPr="000D1BC6">
              <w:rPr>
                <w:rFonts w:eastAsia="Arial" w:asciiTheme="majorHAnsi" w:hAnsiTheme="majorHAnsi" w:cstheme="majorHAnsi"/>
                <w:b/>
                <w:bCs/>
                <w:sz w:val="18"/>
                <w:szCs w:val="18"/>
              </w:rPr>
              <w:t>)</w:t>
            </w:r>
          </w:p>
        </w:tc>
        <w:tc>
          <w:tcPr>
            <w:tcW w:w="3773" w:type="dxa"/>
            <w:tcBorders>
              <w:top w:val="single" w:sz="8" w:space="0" w:color="auto"/>
              <w:left w:val="single" w:sz="8" w:space="0" w:color="auto"/>
              <w:bottom w:val="single" w:sz="8" w:space="0" w:color="auto"/>
              <w:right w:val="single" w:sz="8" w:space="0" w:color="auto"/>
            </w:tcBorders>
            <w:tcMar>
              <w:left w:w="108" w:type="dxa"/>
              <w:right w:w="108" w:type="dxa"/>
            </w:tcMar>
          </w:tcPr>
          <w:p w:rsidR="5E1D0311" w:rsidRPr="000D1BC6" w:rsidP="00EF2512" w14:paraId="4277ABB2" w14:textId="6FCE2466">
            <w:pPr>
              <w:pStyle w:val="ListParagraph"/>
              <w:numPr>
                <w:ilvl w:val="0"/>
                <w:numId w:val="21"/>
              </w:numPr>
              <w:spacing w:after="0"/>
              <w:ind w:left="420" w:hanging="270"/>
              <w:rPr>
                <w:rFonts w:eastAsia="Arial" w:asciiTheme="majorHAnsi" w:hAnsiTheme="majorHAnsi" w:cstheme="majorHAnsi"/>
                <w:sz w:val="18"/>
                <w:szCs w:val="18"/>
              </w:rPr>
            </w:pPr>
            <w:r w:rsidRPr="000D1BC6">
              <w:rPr>
                <w:rFonts w:eastAsia="Arial" w:asciiTheme="majorHAnsi" w:hAnsiTheme="majorHAnsi" w:cstheme="majorHAnsi"/>
                <w:sz w:val="18"/>
                <w:szCs w:val="18"/>
              </w:rPr>
              <w:t>$10 boost post-paid</w:t>
            </w:r>
            <w:r w:rsidRPr="000D1BC6" w:rsidR="33D905AD">
              <w:rPr>
                <w:rFonts w:eastAsia="Arial" w:asciiTheme="majorHAnsi" w:hAnsiTheme="majorHAnsi" w:cstheme="majorHAnsi"/>
                <w:sz w:val="18"/>
                <w:szCs w:val="18"/>
              </w:rPr>
              <w:t xml:space="preserve"> (at week 11)</w:t>
            </w:r>
          </w:p>
          <w:p w:rsidR="00642747" w:rsidRPr="000D1BC6" w:rsidP="00EF2512" w14:paraId="2F459B95" w14:textId="7231FC3E">
            <w:pPr>
              <w:pStyle w:val="ListParagraph"/>
              <w:numPr>
                <w:ilvl w:val="0"/>
                <w:numId w:val="21"/>
              </w:numPr>
              <w:spacing w:after="0"/>
              <w:ind w:left="420" w:hanging="270"/>
              <w:rPr>
                <w:rFonts w:eastAsia="Arial" w:asciiTheme="majorHAnsi" w:hAnsiTheme="majorHAnsi" w:cstheme="majorHAnsi"/>
                <w:sz w:val="18"/>
                <w:szCs w:val="18"/>
              </w:rPr>
            </w:pPr>
            <w:r w:rsidRPr="000D1BC6">
              <w:rPr>
                <w:rFonts w:eastAsia="Arial" w:asciiTheme="majorHAnsi" w:hAnsiTheme="majorHAnsi" w:cstheme="majorHAnsi"/>
                <w:sz w:val="18"/>
                <w:szCs w:val="18"/>
              </w:rPr>
              <w:t>Abbreviated survey</w:t>
            </w:r>
            <w:r w:rsidRPr="000D1BC6" w:rsidR="2569BE42">
              <w:rPr>
                <w:rFonts w:eastAsia="Arial" w:asciiTheme="majorHAnsi" w:hAnsiTheme="majorHAnsi" w:cstheme="majorHAnsi"/>
                <w:sz w:val="18"/>
                <w:szCs w:val="18"/>
              </w:rPr>
              <w:t xml:space="preserve"> (at week 20)</w:t>
            </w:r>
          </w:p>
        </w:tc>
        <w:tc>
          <w:tcPr>
            <w:tcW w:w="3621" w:type="dxa"/>
            <w:tcBorders>
              <w:top w:val="single" w:sz="8" w:space="0" w:color="auto"/>
              <w:left w:val="single" w:sz="8" w:space="0" w:color="auto"/>
              <w:bottom w:val="single" w:sz="8" w:space="0" w:color="auto"/>
              <w:right w:val="single" w:sz="8" w:space="0" w:color="auto"/>
            </w:tcBorders>
            <w:tcMar>
              <w:left w:w="108" w:type="dxa"/>
              <w:right w:w="108" w:type="dxa"/>
            </w:tcMar>
          </w:tcPr>
          <w:p w:rsidR="5E1D0311" w:rsidRPr="000D1BC6" w:rsidP="00EF2512" w14:paraId="5F88417C" w14:textId="58408BF5">
            <w:pPr>
              <w:pStyle w:val="ListParagraph"/>
              <w:spacing w:after="0"/>
              <w:ind w:left="420" w:hanging="270"/>
              <w:rPr>
                <w:rFonts w:eastAsia="Arial" w:asciiTheme="majorHAnsi" w:hAnsiTheme="majorHAnsi" w:cstheme="majorHAnsi"/>
                <w:sz w:val="18"/>
                <w:szCs w:val="18"/>
              </w:rPr>
            </w:pPr>
            <w:r w:rsidRPr="000D1BC6">
              <w:rPr>
                <w:rFonts w:eastAsia="Arial" w:asciiTheme="majorHAnsi" w:hAnsiTheme="majorHAnsi" w:cstheme="majorHAnsi"/>
                <w:sz w:val="18"/>
                <w:szCs w:val="18"/>
              </w:rPr>
              <w:t>$20 boost post-paid</w:t>
            </w:r>
            <w:r w:rsidRPr="000D1BC6" w:rsidR="02497B5D">
              <w:rPr>
                <w:rFonts w:eastAsia="Arial" w:asciiTheme="majorHAnsi" w:hAnsiTheme="majorHAnsi" w:cstheme="majorHAnsi"/>
                <w:sz w:val="18"/>
                <w:szCs w:val="18"/>
              </w:rPr>
              <w:t xml:space="preserve"> (at week 11)</w:t>
            </w:r>
          </w:p>
          <w:p w:rsidR="00642747" w:rsidRPr="000D1BC6" w:rsidP="00EF2512" w14:paraId="36B15713" w14:textId="7172C233">
            <w:pPr>
              <w:pStyle w:val="ListParagraph"/>
              <w:spacing w:after="0"/>
              <w:ind w:left="420" w:hanging="270"/>
              <w:rPr>
                <w:rFonts w:eastAsia="Arial" w:asciiTheme="majorHAnsi" w:hAnsiTheme="majorHAnsi" w:cstheme="majorHAnsi"/>
                <w:sz w:val="18"/>
                <w:szCs w:val="18"/>
              </w:rPr>
            </w:pPr>
            <w:r w:rsidRPr="000D1BC6">
              <w:rPr>
                <w:rFonts w:eastAsia="Arial" w:asciiTheme="majorHAnsi" w:hAnsiTheme="majorHAnsi" w:cstheme="majorHAnsi"/>
                <w:sz w:val="18"/>
                <w:szCs w:val="18"/>
              </w:rPr>
              <w:t>Abbreviated survey</w:t>
            </w:r>
            <w:r w:rsidR="000D1BC6">
              <w:rPr>
                <w:rFonts w:eastAsia="Arial" w:asciiTheme="majorHAnsi" w:hAnsiTheme="majorHAnsi" w:cstheme="majorHAnsi"/>
                <w:sz w:val="18"/>
                <w:szCs w:val="18"/>
              </w:rPr>
              <w:t xml:space="preserve">  </w:t>
            </w:r>
            <w:r w:rsidRPr="000D1BC6" w:rsidR="4CFE18BD">
              <w:rPr>
                <w:rFonts w:eastAsia="Arial" w:asciiTheme="majorHAnsi" w:hAnsiTheme="majorHAnsi" w:cstheme="majorHAnsi"/>
                <w:sz w:val="18"/>
                <w:szCs w:val="18"/>
              </w:rPr>
              <w:t>(at week 16)</w:t>
            </w:r>
          </w:p>
        </w:tc>
      </w:tr>
      <w:tr w14:paraId="17E3DD6E" w14:textId="77777777" w:rsidTr="00EF2512">
        <w:tblPrEx>
          <w:tblW w:w="0" w:type="auto"/>
          <w:tblLayout w:type="fixed"/>
          <w:tblLook w:val="04A0"/>
        </w:tblPrEx>
        <w:trPr>
          <w:trHeight w:val="60"/>
        </w:trPr>
        <w:tc>
          <w:tcPr>
            <w:tcW w:w="1970" w:type="dxa"/>
            <w:tcBorders>
              <w:top w:val="single" w:sz="8" w:space="0" w:color="auto"/>
              <w:left w:val="single" w:sz="8" w:space="0" w:color="auto"/>
              <w:bottom w:val="single" w:sz="8" w:space="0" w:color="auto"/>
              <w:right w:val="single" w:sz="8" w:space="0" w:color="auto"/>
            </w:tcBorders>
            <w:tcMar>
              <w:left w:w="108" w:type="dxa"/>
              <w:right w:w="108" w:type="dxa"/>
            </w:tcMar>
          </w:tcPr>
          <w:p w:rsidR="5E1D0311" w:rsidRPr="000D1BC6" w:rsidP="5E1D0311" w14:paraId="4EC33DD3" w14:textId="159AD440">
            <w:pPr>
              <w:ind w:left="157"/>
              <w:rPr>
                <w:rFonts w:asciiTheme="majorHAnsi" w:hAnsiTheme="majorHAnsi" w:cstheme="majorHAnsi"/>
                <w:sz w:val="18"/>
                <w:szCs w:val="18"/>
              </w:rPr>
            </w:pPr>
            <w:r w:rsidRPr="000D1BC6">
              <w:rPr>
                <w:rFonts w:eastAsia="Arial" w:asciiTheme="majorHAnsi" w:hAnsiTheme="majorHAnsi" w:cstheme="majorHAnsi"/>
                <w:b/>
                <w:bCs/>
                <w:sz w:val="18"/>
                <w:szCs w:val="18"/>
              </w:rPr>
              <w:t>Total incentives</w:t>
            </w:r>
          </w:p>
        </w:tc>
        <w:tc>
          <w:tcPr>
            <w:tcW w:w="3773" w:type="dxa"/>
            <w:tcBorders>
              <w:top w:val="single" w:sz="8" w:space="0" w:color="auto"/>
              <w:left w:val="single" w:sz="8" w:space="0" w:color="auto"/>
              <w:bottom w:val="single" w:sz="8" w:space="0" w:color="auto"/>
              <w:right w:val="single" w:sz="8" w:space="0" w:color="auto"/>
            </w:tcBorders>
            <w:tcMar>
              <w:left w:w="108" w:type="dxa"/>
              <w:right w:w="108" w:type="dxa"/>
            </w:tcMar>
          </w:tcPr>
          <w:p w:rsidR="5E1D0311" w:rsidRPr="000D1BC6" w:rsidP="00EF2512" w14:paraId="0B8968EB" w14:textId="2F550FD7">
            <w:pPr>
              <w:pStyle w:val="ListParagraph"/>
              <w:numPr>
                <w:ilvl w:val="0"/>
                <w:numId w:val="21"/>
              </w:numPr>
              <w:spacing w:after="0"/>
              <w:ind w:left="420" w:hanging="270"/>
              <w:rPr>
                <w:rFonts w:eastAsia="Arial" w:asciiTheme="majorHAnsi" w:hAnsiTheme="majorHAnsi" w:cstheme="majorHAnsi"/>
                <w:sz w:val="18"/>
                <w:szCs w:val="18"/>
              </w:rPr>
            </w:pPr>
            <w:r w:rsidRPr="000D1BC6">
              <w:rPr>
                <w:rFonts w:eastAsia="Arial" w:asciiTheme="majorHAnsi" w:hAnsiTheme="majorHAnsi" w:cstheme="majorHAnsi"/>
                <w:sz w:val="18"/>
                <w:szCs w:val="18"/>
              </w:rPr>
              <w:t>$30 baseline</w:t>
            </w:r>
          </w:p>
          <w:p w:rsidR="5E1D0311" w:rsidRPr="000D1BC6" w:rsidP="00EF2512" w14:paraId="56983DBB" w14:textId="7BA82886">
            <w:pPr>
              <w:pStyle w:val="ListParagraph"/>
              <w:numPr>
                <w:ilvl w:val="0"/>
                <w:numId w:val="21"/>
              </w:numPr>
              <w:spacing w:after="0"/>
              <w:ind w:left="420" w:hanging="270"/>
              <w:rPr>
                <w:rFonts w:eastAsia="Arial" w:asciiTheme="majorHAnsi" w:hAnsiTheme="majorHAnsi" w:cstheme="majorHAnsi"/>
                <w:sz w:val="18"/>
                <w:szCs w:val="18"/>
              </w:rPr>
            </w:pPr>
            <w:r w:rsidRPr="000D1BC6">
              <w:rPr>
                <w:rFonts w:eastAsia="Arial" w:asciiTheme="majorHAnsi" w:hAnsiTheme="majorHAnsi" w:cstheme="majorHAnsi"/>
                <w:sz w:val="18"/>
                <w:szCs w:val="18"/>
              </w:rPr>
              <w:t>$10 boost</w:t>
            </w:r>
          </w:p>
          <w:p w:rsidR="5E1D0311" w:rsidRPr="000D1BC6" w:rsidP="00EF2512" w14:paraId="4736EDC4" w14:textId="0D7FA6FE">
            <w:pPr>
              <w:pStyle w:val="ListParagraph"/>
              <w:numPr>
                <w:ilvl w:val="0"/>
                <w:numId w:val="21"/>
              </w:numPr>
              <w:spacing w:after="0"/>
              <w:ind w:left="420" w:hanging="270"/>
              <w:rPr>
                <w:rFonts w:eastAsia="Arial" w:asciiTheme="majorHAnsi" w:hAnsiTheme="majorHAnsi" w:cstheme="majorHAnsi"/>
                <w:b/>
                <w:bCs/>
                <w:sz w:val="18"/>
                <w:szCs w:val="18"/>
              </w:rPr>
            </w:pPr>
            <w:r w:rsidRPr="000D1BC6">
              <w:rPr>
                <w:rFonts w:eastAsia="Arial" w:asciiTheme="majorHAnsi" w:hAnsiTheme="majorHAnsi" w:cstheme="majorHAnsi"/>
                <w:b/>
                <w:bCs/>
                <w:sz w:val="18"/>
                <w:szCs w:val="18"/>
              </w:rPr>
              <w:t>Maximum = $4</w:t>
            </w:r>
            <w:r w:rsidRPr="000D1BC6" w:rsidR="007668F1">
              <w:rPr>
                <w:rFonts w:eastAsia="Arial" w:asciiTheme="majorHAnsi" w:hAnsiTheme="majorHAnsi" w:cstheme="majorHAnsi"/>
                <w:b/>
                <w:bCs/>
                <w:sz w:val="18"/>
                <w:szCs w:val="18"/>
              </w:rPr>
              <w:t>0</w:t>
            </w:r>
          </w:p>
        </w:tc>
        <w:tc>
          <w:tcPr>
            <w:tcW w:w="3621" w:type="dxa"/>
            <w:tcBorders>
              <w:top w:val="single" w:sz="8" w:space="0" w:color="auto"/>
              <w:left w:val="single" w:sz="8" w:space="0" w:color="auto"/>
              <w:bottom w:val="single" w:sz="8" w:space="0" w:color="auto"/>
              <w:right w:val="single" w:sz="8" w:space="0" w:color="auto"/>
            </w:tcBorders>
            <w:tcMar>
              <w:left w:w="108" w:type="dxa"/>
              <w:right w:w="108" w:type="dxa"/>
            </w:tcMar>
          </w:tcPr>
          <w:p w:rsidR="5E1D0311" w:rsidRPr="000D1BC6" w:rsidP="00EF2512" w14:paraId="4D76EB86" w14:textId="0554AD7C">
            <w:pPr>
              <w:pStyle w:val="ListParagraph"/>
              <w:spacing w:after="0"/>
              <w:ind w:left="420" w:hanging="270"/>
              <w:rPr>
                <w:rFonts w:eastAsia="Arial" w:asciiTheme="majorHAnsi" w:hAnsiTheme="majorHAnsi" w:cstheme="majorHAnsi"/>
                <w:sz w:val="18"/>
                <w:szCs w:val="18"/>
              </w:rPr>
            </w:pPr>
            <w:r w:rsidRPr="000D1BC6">
              <w:rPr>
                <w:rFonts w:eastAsia="Arial" w:asciiTheme="majorHAnsi" w:hAnsiTheme="majorHAnsi" w:cstheme="majorHAnsi"/>
                <w:sz w:val="18"/>
                <w:szCs w:val="18"/>
              </w:rPr>
              <w:t xml:space="preserve">$45 baseline </w:t>
            </w:r>
          </w:p>
          <w:p w:rsidR="5E1D0311" w:rsidRPr="000D1BC6" w:rsidP="00EF2512" w14:paraId="653DE6DE" w14:textId="04FCEECC">
            <w:pPr>
              <w:pStyle w:val="ListParagraph"/>
              <w:spacing w:after="0"/>
              <w:ind w:left="420" w:hanging="270"/>
              <w:rPr>
                <w:rFonts w:eastAsia="Arial" w:asciiTheme="majorHAnsi" w:hAnsiTheme="majorHAnsi" w:cstheme="majorHAnsi"/>
                <w:sz w:val="18"/>
                <w:szCs w:val="18"/>
              </w:rPr>
            </w:pPr>
            <w:r w:rsidRPr="000D1BC6">
              <w:rPr>
                <w:rFonts w:eastAsia="Arial" w:asciiTheme="majorHAnsi" w:hAnsiTheme="majorHAnsi" w:cstheme="majorHAnsi"/>
                <w:sz w:val="18"/>
                <w:szCs w:val="18"/>
              </w:rPr>
              <w:t>$20 boost</w:t>
            </w:r>
          </w:p>
          <w:p w:rsidR="5E1D0311" w:rsidRPr="000D1BC6" w:rsidP="00EF2512" w14:paraId="5816932A" w14:textId="21C05EDC">
            <w:pPr>
              <w:pStyle w:val="ListParagraph"/>
              <w:spacing w:after="0"/>
              <w:ind w:left="420" w:hanging="270"/>
              <w:rPr>
                <w:rFonts w:eastAsia="Arial" w:asciiTheme="majorHAnsi" w:hAnsiTheme="majorHAnsi" w:cstheme="majorHAnsi"/>
                <w:b/>
                <w:bCs/>
                <w:sz w:val="18"/>
                <w:szCs w:val="18"/>
              </w:rPr>
            </w:pPr>
            <w:r w:rsidRPr="000D1BC6">
              <w:rPr>
                <w:rFonts w:eastAsia="Arial" w:asciiTheme="majorHAnsi" w:hAnsiTheme="majorHAnsi" w:cstheme="majorHAnsi"/>
                <w:b/>
                <w:bCs/>
                <w:sz w:val="18"/>
                <w:szCs w:val="18"/>
              </w:rPr>
              <w:t>Maximum = $</w:t>
            </w:r>
            <w:r w:rsidRPr="000D1BC6" w:rsidR="007668F1">
              <w:rPr>
                <w:rFonts w:eastAsia="Arial" w:asciiTheme="majorHAnsi" w:hAnsiTheme="majorHAnsi" w:cstheme="majorHAnsi"/>
                <w:b/>
                <w:bCs/>
                <w:sz w:val="18"/>
                <w:szCs w:val="18"/>
              </w:rPr>
              <w:t>65</w:t>
            </w:r>
          </w:p>
        </w:tc>
      </w:tr>
    </w:tbl>
    <w:p w:rsidR="15F9EA39" w:rsidP="5E1D0311" w14:paraId="3DB4BAD6" w14:textId="5EFEE1C2">
      <w:pPr>
        <w:spacing w:before="240" w:after="240"/>
      </w:pPr>
      <w:r>
        <w:rPr>
          <w:rFonts w:eastAsia="Garamond" w:cs="Garamond"/>
          <w:color w:val="000000" w:themeColor="text1"/>
          <w:szCs w:val="24"/>
        </w:rPr>
        <w:t>For</w:t>
      </w:r>
      <w:r w:rsidRPr="5E1D0311">
        <w:rPr>
          <w:rFonts w:eastAsia="Garamond" w:cs="Garamond"/>
          <w:color w:val="000000" w:themeColor="text1"/>
          <w:szCs w:val="24"/>
        </w:rPr>
        <w:t xml:space="preserve"> incentives, the baseline incentive for the prior year respondents in the default group will be $30</w:t>
      </w:r>
      <w:r w:rsidR="00090EFA">
        <w:rPr>
          <w:rFonts w:eastAsia="Garamond" w:cs="Garamond"/>
          <w:color w:val="000000" w:themeColor="text1"/>
          <w:szCs w:val="24"/>
        </w:rPr>
        <w:t>, plus</w:t>
      </w:r>
      <w:r w:rsidRPr="5E1D0311">
        <w:rPr>
          <w:rFonts w:eastAsia="Garamond" w:cs="Garamond"/>
          <w:color w:val="000000" w:themeColor="text1"/>
          <w:szCs w:val="24"/>
        </w:rPr>
        <w:t xml:space="preserve"> a $10 boost postpaid incentive (see incentive boosts section below)</w:t>
      </w:r>
      <w:r w:rsidR="00090EFA">
        <w:rPr>
          <w:rFonts w:eastAsia="Garamond" w:cs="Garamond"/>
          <w:color w:val="000000" w:themeColor="text1"/>
          <w:szCs w:val="24"/>
        </w:rPr>
        <w:t>.</w:t>
      </w:r>
      <w:r w:rsidRPr="5E1D0311">
        <w:rPr>
          <w:rFonts w:eastAsia="Garamond" w:cs="Garamond"/>
          <w:color w:val="000000" w:themeColor="text1"/>
          <w:szCs w:val="24"/>
        </w:rPr>
        <w:t xml:space="preserve"> </w:t>
      </w:r>
      <w:r w:rsidR="00090EFA">
        <w:rPr>
          <w:rFonts w:eastAsia="Garamond" w:cs="Garamond"/>
          <w:color w:val="000000" w:themeColor="text1"/>
          <w:szCs w:val="24"/>
        </w:rPr>
        <w:t xml:space="preserve">This </w:t>
      </w:r>
      <w:r w:rsidRPr="5E1D0311">
        <w:rPr>
          <w:rFonts w:eastAsia="Garamond" w:cs="Garamond"/>
          <w:color w:val="000000" w:themeColor="text1"/>
          <w:szCs w:val="24"/>
        </w:rPr>
        <w:t>yields a maximum total incentive of $4</w:t>
      </w:r>
      <w:r w:rsidR="00090EFA">
        <w:rPr>
          <w:rFonts w:eastAsia="Garamond" w:cs="Garamond"/>
          <w:color w:val="000000" w:themeColor="text1"/>
          <w:szCs w:val="24"/>
        </w:rPr>
        <w:t>0</w:t>
      </w:r>
      <w:r w:rsidRPr="5E1D0311">
        <w:rPr>
          <w:rFonts w:eastAsia="Garamond" w:cs="Garamond"/>
          <w:color w:val="000000" w:themeColor="text1"/>
          <w:szCs w:val="24"/>
        </w:rPr>
        <w:t xml:space="preserve"> for sample members in the default group. </w:t>
      </w:r>
    </w:p>
    <w:p w:rsidR="15F9EA39" w:rsidP="5E1D0311" w14:paraId="1B233FA8" w14:textId="702C4AC3">
      <w:pPr>
        <w:spacing w:before="240" w:after="240"/>
      </w:pPr>
      <w:r w:rsidRPr="5E1D0311">
        <w:rPr>
          <w:rFonts w:eastAsia="Garamond" w:cs="Garamond"/>
          <w:color w:val="000000" w:themeColor="text1"/>
          <w:szCs w:val="24"/>
        </w:rPr>
        <w:t>The baseline incentive for sample members in the aggressive group will be $45. An experiment conducted in BPS:12/14 showed that a $45 baseline incentive yielded the highest response rates; however, this was</w:t>
      </w:r>
      <w:r w:rsidRPr="5E1D0311">
        <w:rPr>
          <w:rFonts w:ascii="Calibri" w:eastAsia="Calibri" w:hAnsi="Calibri" w:cs="Calibri"/>
          <w:color w:val="000000" w:themeColor="text1"/>
          <w:szCs w:val="24"/>
        </w:rPr>
        <w:t xml:space="preserve"> </w:t>
      </w:r>
      <w:r w:rsidRPr="5E1D0311">
        <w:rPr>
          <w:rFonts w:eastAsia="Garamond" w:cs="Garamond"/>
          <w:color w:val="000000" w:themeColor="text1"/>
          <w:szCs w:val="24"/>
        </w:rPr>
        <w:t xml:space="preserve">underpowered to detect differences from $30 in the lower propensity response groups (Wilson et al. 2015). Nonetheless, the $30 baseline incentive offered to these sample members in prior studies was not sufficient to encourage response </w:t>
      </w:r>
      <w:r w:rsidRPr="0976A3AE" w:rsidR="004F6813">
        <w:rPr>
          <w:rFonts w:cs="Calibri"/>
          <w:color w:val="000000" w:themeColor="text1"/>
        </w:rPr>
        <w:t>(i.e., n = 50 NPSAS:20 field test nonrespondents and n = 623 BPS:20/22 field test nonrespondents)</w:t>
      </w:r>
      <w:r w:rsidRPr="5E1D0311">
        <w:rPr>
          <w:rFonts w:eastAsia="Garamond" w:cs="Garamond"/>
          <w:color w:val="000000" w:themeColor="text1"/>
          <w:szCs w:val="24"/>
        </w:rPr>
        <w:t>. Therefore, we recommend implementing a higher baseline incentive given that the $30 baseline incentive was not enough to encourage these sample members to respond in prior years. Further, the $40 BPS:20/22 field test incentive yielded a completion rate of only 23 percent among sample members in the aggressive group, while a $45 baseline incentive for the aggressive group in the BPS:20/22 full-scale yielded a completion rate of 38 percent</w:t>
      </w:r>
      <w:r w:rsidR="004F6813">
        <w:rPr>
          <w:rFonts w:eastAsia="Garamond" w:cs="Garamond"/>
          <w:color w:val="000000" w:themeColor="text1"/>
          <w:szCs w:val="24"/>
        </w:rPr>
        <w:t xml:space="preserve"> </w:t>
      </w:r>
      <w:r w:rsidRPr="0976A3AE" w:rsidR="004F6813">
        <w:rPr>
          <w:rFonts w:cs="Calibri"/>
          <w:color w:val="000000" w:themeColor="text1"/>
        </w:rPr>
        <w:t>and a 41 percent completion rate in the BPS:20/25 field test</w:t>
      </w:r>
      <w:r w:rsidRPr="5E1D0311">
        <w:rPr>
          <w:rFonts w:eastAsia="Garamond" w:cs="Garamond"/>
          <w:color w:val="000000" w:themeColor="text1"/>
          <w:szCs w:val="24"/>
        </w:rPr>
        <w:t>. The baseline incentive will be paid in addition to a possible $20 boost postpaid incentive (see incentive boosts section below). The maximum possible total incentive is $</w:t>
      </w:r>
      <w:r w:rsidR="00090EFA">
        <w:rPr>
          <w:rFonts w:eastAsia="Garamond" w:cs="Garamond"/>
          <w:color w:val="000000" w:themeColor="text1"/>
          <w:szCs w:val="24"/>
        </w:rPr>
        <w:t>65</w:t>
      </w:r>
      <w:r w:rsidRPr="5E1D0311">
        <w:rPr>
          <w:rFonts w:eastAsia="Garamond" w:cs="Garamond"/>
          <w:color w:val="000000" w:themeColor="text1"/>
          <w:szCs w:val="24"/>
        </w:rPr>
        <w:t xml:space="preserve"> in this aggressive data collection protocol.</w:t>
      </w:r>
      <w:r w:rsidRPr="5E1D0311">
        <w:rPr>
          <w:rFonts w:ascii="Calibri" w:eastAsia="Calibri" w:hAnsi="Calibri" w:cs="Calibri"/>
          <w:color w:val="000000" w:themeColor="text1"/>
          <w:szCs w:val="24"/>
        </w:rPr>
        <w:t xml:space="preserve"> </w:t>
      </w:r>
      <w:r>
        <w:br/>
      </w:r>
      <w:r>
        <w:br/>
      </w:r>
      <w:r w:rsidRPr="5E1D0311">
        <w:rPr>
          <w:rFonts w:eastAsia="Garamond" w:cs="Garamond"/>
          <w:color w:val="000000" w:themeColor="text1"/>
          <w:szCs w:val="24"/>
        </w:rPr>
        <w:t xml:space="preserve">Beyond the baseline incentives, both survey data collection protocols employ similar interventions, although the timing of these interventions differs across groups: interventions occur sooner in the aggressive protocol. </w:t>
      </w:r>
    </w:p>
    <w:p w:rsidR="15F9EA39" w:rsidP="13F74D18" w14:paraId="0FE884EB" w14:textId="7327BECF">
      <w:pPr>
        <w:spacing w:before="240" w:after="240"/>
        <w:rPr>
          <w:rFonts w:eastAsia="Garamond" w:cs="Garamond"/>
          <w:color w:val="000000" w:themeColor="text1"/>
        </w:rPr>
      </w:pPr>
      <w:r w:rsidRPr="4BA6271E">
        <w:rPr>
          <w:rFonts w:eastAsia="Garamond" w:cs="Garamond"/>
          <w:b/>
          <w:bCs/>
          <w:color w:val="000000" w:themeColor="text1"/>
        </w:rPr>
        <w:t>Data Collection Protocol Design Elements</w:t>
      </w:r>
      <w:r>
        <w:br/>
      </w:r>
      <w:r w:rsidRPr="4BA6271E">
        <w:rPr>
          <w:rFonts w:ascii="Times New Roman" w:hAnsi="Times New Roman"/>
          <w:b/>
          <w:bCs/>
        </w:rPr>
        <w:t xml:space="preserve"> </w:t>
      </w:r>
      <w:r>
        <w:br/>
      </w:r>
      <w:r w:rsidRPr="4BA6271E">
        <w:rPr>
          <w:rFonts w:eastAsia="Garamond" w:cs="Garamond"/>
          <w:color w:val="000000" w:themeColor="text1"/>
          <w:u w:val="single"/>
        </w:rPr>
        <w:t>Greeting card</w:t>
      </w:r>
      <w:r w:rsidRPr="4BA6271E">
        <w:rPr>
          <w:rFonts w:eastAsia="Garamond" w:cs="Garamond"/>
          <w:color w:val="000000" w:themeColor="text1"/>
        </w:rPr>
        <w:t>. The first mailing that individuals in the default and aggressive data collection protocols will receive is a greeting card expressing gratitude for being part of the study and announcing the upcoming data collection. Greeting cards have been shown to significantly increase response rates in longitudinal studies (Griggs et al. 2019) and we will use this method as a precursor to the invitation letter for both groups. The greeting card will be mailed a few weeks in advance of data collection, upon OMB approval.</w:t>
      </w:r>
      <w:r>
        <w:br/>
      </w:r>
      <w:r w:rsidRPr="4BA6271E">
        <w:rPr>
          <w:rFonts w:eastAsia="Garamond" w:cs="Garamond"/>
        </w:rPr>
        <w:t xml:space="preserve"> </w:t>
      </w:r>
      <w:r>
        <w:br/>
      </w:r>
      <w:r w:rsidRPr="4BA6271E">
        <w:rPr>
          <w:rFonts w:eastAsia="Garamond" w:cs="Garamond"/>
          <w:color w:val="000000" w:themeColor="text1"/>
          <w:u w:val="single"/>
        </w:rPr>
        <w:t>Reminders</w:t>
      </w:r>
      <w:r w:rsidRPr="4BA6271E">
        <w:rPr>
          <w:rFonts w:eastAsia="Garamond" w:cs="Garamond"/>
          <w:color w:val="000000" w:themeColor="text1"/>
        </w:rPr>
        <w:t>. Text messaging has been shown to significantly increase response rates in different survey modes (e.g., Callegaro et al. 2011; Schober et al. 2015). Results from the BPS:20/2</w:t>
      </w:r>
      <w:r w:rsidRPr="4BA6271E" w:rsidR="455DD9DB">
        <w:rPr>
          <w:rFonts w:eastAsia="Garamond" w:cs="Garamond"/>
          <w:color w:val="000000" w:themeColor="text1"/>
        </w:rPr>
        <w:t>2</w:t>
      </w:r>
      <w:r w:rsidRPr="4BA6271E">
        <w:rPr>
          <w:rFonts w:eastAsia="Garamond" w:cs="Garamond"/>
          <w:color w:val="000000" w:themeColor="text1"/>
        </w:rPr>
        <w:t xml:space="preserve"> field test showed that the response rate for sample members who received only text message reminders was not statistically significantly different from the response rate of sample members who received only telephone reminders. Therefore, both data collection groups will receive text message reminders. Hard copy mailings, e-mails, and text messages will be used to maintain ongoing contact with sample members in both data collection groups, prior to and throughout data collection.</w:t>
      </w:r>
    </w:p>
    <w:p w:rsidR="15F9EA39" w:rsidP="5E1D0311" w14:paraId="4E7933DD" w14:textId="1CFEEAA0">
      <w:pPr>
        <w:spacing w:before="240" w:after="240"/>
        <w:rPr>
          <w:rFonts w:eastAsia="Garamond" w:cs="Garamond"/>
          <w:color w:val="000000" w:themeColor="text1"/>
        </w:rPr>
      </w:pPr>
      <w:r w:rsidRPr="13F74D18">
        <w:rPr>
          <w:rFonts w:eastAsia="Garamond" w:cs="Garamond"/>
          <w:color w:val="000000" w:themeColor="text1"/>
          <w:u w:val="single"/>
        </w:rPr>
        <w:t>CATI calling</w:t>
      </w:r>
      <w:r w:rsidRPr="13F74D18">
        <w:rPr>
          <w:rFonts w:eastAsia="Garamond" w:cs="Garamond"/>
          <w:color w:val="000000" w:themeColor="text1"/>
        </w:rPr>
        <w:t xml:space="preserve">. Sample members in the default group will receive light outbound CATI calling at 8 weeks (during the Production phase) if they are in </w:t>
      </w:r>
      <w:r w:rsidRPr="13F74D18" w:rsidR="00090EFA">
        <w:rPr>
          <w:rFonts w:eastAsia="Garamond" w:cs="Garamond"/>
          <w:color w:val="000000" w:themeColor="text1"/>
        </w:rPr>
        <w:t xml:space="preserve">a </w:t>
      </w:r>
      <w:r w:rsidRPr="13F74D18" w:rsidR="003A798A">
        <w:rPr>
          <w:rFonts w:eastAsia="Garamond" w:cs="Garamond"/>
          <w:color w:val="000000" w:themeColor="text1"/>
        </w:rPr>
        <w:t>demographic group with a low response rate (i.e., the potential to affect nonresponse bias)</w:t>
      </w:r>
      <w:r w:rsidRPr="13F74D18" w:rsidR="00A80282">
        <w:rPr>
          <w:rFonts w:eastAsia="Garamond" w:cs="Garamond"/>
          <w:color w:val="000000" w:themeColor="text1"/>
        </w:rPr>
        <w:t xml:space="preserve"> at the time CATI calling begins</w:t>
      </w:r>
      <w:r w:rsidRPr="13F74D18">
        <w:rPr>
          <w:rFonts w:eastAsia="Garamond" w:cs="Garamond"/>
          <w:color w:val="000000" w:themeColor="text1"/>
        </w:rPr>
        <w:t>.</w:t>
      </w:r>
      <w:r w:rsidRPr="13F74D18" w:rsidR="003A798A">
        <w:rPr>
          <w:rFonts w:eastAsia="Garamond" w:cs="Garamond"/>
          <w:color w:val="000000" w:themeColor="text1"/>
        </w:rPr>
        <w:t xml:space="preserve"> </w:t>
      </w:r>
      <w:r w:rsidRPr="13F74D18">
        <w:rPr>
          <w:rFonts w:eastAsia="Garamond" w:cs="Garamond"/>
          <w:color w:val="000000" w:themeColor="text1"/>
        </w:rPr>
        <w:t xml:space="preserve">Light CATI involves a minimal number of phone calls, used mainly to prompt web response (as opposed to regular CATI efforts that involve more frequent phone efforts, with the goal </w:t>
      </w:r>
      <w:r w:rsidR="002C636E">
        <w:rPr>
          <w:rFonts w:eastAsia="Garamond" w:cs="Garamond"/>
          <w:color w:val="000000" w:themeColor="text1"/>
        </w:rPr>
        <w:t>of locating</w:t>
      </w:r>
      <w:r w:rsidRPr="13F74D18">
        <w:rPr>
          <w:rFonts w:eastAsia="Garamond" w:cs="Garamond"/>
          <w:color w:val="000000" w:themeColor="text1"/>
        </w:rPr>
        <w:t xml:space="preserve"> sample members and encourag</w:t>
      </w:r>
      <w:r w:rsidR="002C636E">
        <w:rPr>
          <w:rFonts w:eastAsia="Garamond" w:cs="Garamond"/>
          <w:color w:val="000000" w:themeColor="text1"/>
        </w:rPr>
        <w:t>ing</w:t>
      </w:r>
      <w:r w:rsidRPr="13F74D18">
        <w:rPr>
          <w:rFonts w:eastAsia="Garamond" w:cs="Garamond"/>
          <w:color w:val="000000" w:themeColor="text1"/>
        </w:rPr>
        <w:t xml:space="preserve"> their participation). All cases in the aggressive group will receive earlier (</w:t>
      </w:r>
      <w:r w:rsidRPr="13F74D18" w:rsidR="534DB0A2">
        <w:rPr>
          <w:rFonts w:eastAsia="Garamond" w:cs="Garamond"/>
          <w:color w:val="000000" w:themeColor="text1"/>
        </w:rPr>
        <w:t xml:space="preserve">beginning </w:t>
      </w:r>
      <w:r w:rsidRPr="13F74D18">
        <w:rPr>
          <w:rFonts w:eastAsia="Garamond" w:cs="Garamond"/>
          <w:color w:val="000000" w:themeColor="text1"/>
        </w:rPr>
        <w:t>during the Early Completion phase) and more intense telephone prompting than eligible cases in the default group.</w:t>
      </w:r>
      <w:r>
        <w:br/>
      </w:r>
      <w:r>
        <w:br/>
      </w:r>
      <w:r w:rsidRPr="13F74D18">
        <w:rPr>
          <w:rFonts w:eastAsia="Garamond" w:cs="Garamond"/>
          <w:color w:val="000000" w:themeColor="text1"/>
          <w:u w:val="single"/>
        </w:rPr>
        <w:t>Incentive boosts.</w:t>
      </w:r>
      <w:r w:rsidRPr="003D6127">
        <w:rPr>
          <w:rFonts w:eastAsia="Garamond" w:cs="Garamond"/>
          <w:color w:val="000000" w:themeColor="text1"/>
        </w:rPr>
        <w:t xml:space="preserve"> </w:t>
      </w:r>
      <w:r w:rsidRPr="13F74D18">
        <w:rPr>
          <w:rFonts w:eastAsia="Garamond" w:cs="Garamond"/>
          <w:color w:val="000000" w:themeColor="text1"/>
        </w:rPr>
        <w:t>Researchers have used incentive boosts as a nonresponse conversion strategy for sample members who have implicitly or explicitly refused to complete the survey (e.g., Groves and Heeringa 2006; Singer and Ye 2013). These boosts are especially common in large federal surveys during their nonresponse follow-up phase (e.g., The Center for Disease Control and Prevention's National Survey of Family Growth) and have been implemented successfully in other postsecondary education surveys (e.g., HSLS:09 second follow-up; BPS:12/17; NPSAS:20). In NPSAS:20, a $10 incentive boost increased the overall response rate by about 3.2 percentage points above the projected response rate. Therefore, a $10 incentive boost increase to the BPS:20/25 baseline incentive is planned during the Nonresponse Follow-Up phase for all remaining nonrespondents in the default data collection protocol. Remaining nonrespondents in the aggressive data collection protocol will be offered a $20 incentive boost increase to the baseline incentive. This is because the $10 incentive boost in NPSAS:20 did not show any effect on this group. If necessary, incentive boosts may be targeted only at certain groups of nonrespondents to achieve response goals (e.g., targeting nonrespondents from certain states to ensure representativeness, targeting aggressive group nonrespondents to reduce the potential for nonresponse bias).</w:t>
      </w:r>
    </w:p>
    <w:p w:rsidR="001B5609" w:rsidRPr="001B5609" w:rsidP="001B5609" w14:paraId="2F0F457A" w14:textId="4F3624D1">
      <w:pPr>
        <w:spacing w:before="240" w:after="240"/>
        <w:rPr>
          <w:rFonts w:eastAsia="Garamond" w:cs="Garamond"/>
          <w:color w:val="000000" w:themeColor="text1"/>
        </w:rPr>
      </w:pPr>
      <w:r w:rsidRPr="001B5609">
        <w:rPr>
          <w:rFonts w:eastAsia="Garamond" w:cs="Garamond"/>
          <w:color w:val="000000" w:themeColor="text1"/>
          <w:u w:val="single"/>
        </w:rPr>
        <w:t>Abbreviated survey.</w:t>
      </w:r>
      <w:r w:rsidRPr="001B5609">
        <w:rPr>
          <w:rFonts w:eastAsia="Garamond" w:cs="Garamond"/>
          <w:color w:val="000000" w:themeColor="text1"/>
        </w:rPr>
        <w:t xml:space="preserve"> Obtaining responses from all sample members is an important assumption of the inferential paradigm. The leverage-saliency theory (Groves et al. 2000) and the social exchange theory (Dillman et al. 2014) suggest that the participation decision of an individual is driven by different survey design factors or perceived cost of participating. As such, reducing the perceived burden of participating by reducing the survey length may motivate sample members to participate.</w:t>
      </w:r>
    </w:p>
    <w:p w:rsidR="001B5609" w:rsidP="001B5609" w14:paraId="5B9977F4" w14:textId="7EF8AB8B">
      <w:pPr>
        <w:spacing w:before="240" w:after="240"/>
        <w:rPr>
          <w:rFonts w:eastAsia="Garamond" w:cs="Garamond"/>
          <w:color w:val="000000" w:themeColor="text1"/>
        </w:rPr>
      </w:pPr>
      <w:r w:rsidRPr="001B5609">
        <w:rPr>
          <w:rFonts w:eastAsia="Garamond" w:cs="Garamond"/>
          <w:color w:val="000000" w:themeColor="text1"/>
        </w:rPr>
        <w:t xml:space="preserve">During the B&amp;B:16/17 field test, prior round nonrespondents were randomly assigned to one of two groups: 1) prior round nonrespondents who were offered the abbreviated survey during the production phase (i.e., before the nonresponse conversion phase), and 2) prior round nonrespondents who were offered the abbreviated survey during the nonresponse conversion phase (i.e., after the production phase). At the end of the production phase, prior round nonrespondents who received the abbreviated survey had a higher overall response rate (22.7 percent) than those who were not offered the abbreviated during that phase (12.1 percent; t(2,097) = 3.67, p &lt; 0.001). Further, at the end of data collection, prior round nonrespondents who were offered the abbreviated survey during the earlier production phase had a significantly higher response rate (37 percent) than prior round </w:t>
      </w:r>
      <w:r w:rsidRPr="001B5609">
        <w:rPr>
          <w:rFonts w:eastAsia="Garamond" w:cs="Garamond"/>
          <w:color w:val="000000" w:themeColor="text1"/>
        </w:rPr>
        <w:t>nonrespondents who were not offered the abbreviated survey until the nonresponse conversion phase (25 percent) (t(2,097) = 3.52, p =</w:t>
      </w:r>
      <w:r w:rsidR="00173277">
        <w:rPr>
          <w:rFonts w:eastAsia="Garamond" w:cs="Garamond"/>
          <w:color w:val="000000" w:themeColor="text1"/>
        </w:rPr>
        <w:t xml:space="preserve"> </w:t>
      </w:r>
      <w:r w:rsidRPr="001B5609">
        <w:rPr>
          <w:rFonts w:eastAsia="Garamond" w:cs="Garamond"/>
          <w:color w:val="000000" w:themeColor="text1"/>
        </w:rPr>
        <w:t>.001). These results indicate that offering an abbreviated survey to prior round nonrespondents during the production phase (i.e., earlier in data collection) significantly increases response rates. The B&amp;B:08/12 and B&amp;B:08/18 full-scale studies also demonstrated the benefit of an abbreviated survey. Offering the abbreviated survey to prior round nonrespondents increased overall response rates of that group by 18.2 (B&amp;B:08/12) and 8.8 (B&amp;B:08/18) percentage points (Cominole et al. 2015). In NPSAS:20, 14.4 percent of those offered the abbreviated survey completed it. Therefore, an abbreviated survey option will be offered to all sample members in the BPS:20/2</w:t>
      </w:r>
      <w:r w:rsidR="004A3B03">
        <w:rPr>
          <w:rFonts w:eastAsia="Garamond" w:cs="Garamond"/>
          <w:color w:val="000000" w:themeColor="text1"/>
        </w:rPr>
        <w:t>5</w:t>
      </w:r>
      <w:r w:rsidRPr="001B5609">
        <w:rPr>
          <w:rFonts w:eastAsia="Garamond" w:cs="Garamond"/>
          <w:color w:val="000000" w:themeColor="text1"/>
        </w:rPr>
        <w:t xml:space="preserve"> full-scale study</w:t>
      </w:r>
      <w:r w:rsidR="00E8640A">
        <w:rPr>
          <w:rFonts w:eastAsia="Garamond" w:cs="Garamond"/>
          <w:color w:val="000000" w:themeColor="text1"/>
        </w:rPr>
        <w:t xml:space="preserve"> during the Nonresponse Follow-Up Phase</w:t>
      </w:r>
      <w:r w:rsidRPr="001B5609">
        <w:rPr>
          <w:rFonts w:eastAsia="Garamond" w:cs="Garamond"/>
          <w:color w:val="000000" w:themeColor="text1"/>
        </w:rPr>
        <w:t xml:space="preserve">. For the aggressive protocol, the abbreviated survey will be offered </w:t>
      </w:r>
      <w:r w:rsidR="00CF1977">
        <w:rPr>
          <w:rFonts w:eastAsia="Garamond" w:cs="Garamond"/>
          <w:color w:val="000000" w:themeColor="text1"/>
        </w:rPr>
        <w:t>at Week 16</w:t>
      </w:r>
      <w:r w:rsidRPr="001B5609">
        <w:rPr>
          <w:rFonts w:eastAsia="Garamond" w:cs="Garamond"/>
          <w:color w:val="000000" w:themeColor="text1"/>
        </w:rPr>
        <w:t>. For the default protocol, the abbreviated survey will be offered as the last step in nonresponse conversion</w:t>
      </w:r>
      <w:r w:rsidR="004E0A49">
        <w:rPr>
          <w:rFonts w:eastAsia="Garamond" w:cs="Garamond"/>
          <w:color w:val="000000" w:themeColor="text1"/>
        </w:rPr>
        <w:t xml:space="preserve"> at Week 20</w:t>
      </w:r>
      <w:r w:rsidRPr="001B5609">
        <w:rPr>
          <w:rFonts w:eastAsia="Garamond" w:cs="Garamond"/>
          <w:color w:val="000000" w:themeColor="text1"/>
        </w:rPr>
        <w:t>.</w:t>
      </w:r>
    </w:p>
    <w:p w:rsidR="006126A4" w:rsidRPr="00781E11" w:rsidP="00781E11" w14:paraId="3638A3D6" w14:textId="390A7AED">
      <w:pPr>
        <w:spacing w:before="240" w:after="240"/>
      </w:pPr>
      <w:r w:rsidRPr="13F74D18">
        <w:rPr>
          <w:rFonts w:eastAsia="Garamond" w:cs="Garamond"/>
          <w:color w:val="000000" w:themeColor="text1"/>
          <w:u w:val="single"/>
        </w:rPr>
        <w:t>Other interventions</w:t>
      </w:r>
      <w:r w:rsidRPr="13F74D18">
        <w:rPr>
          <w:rFonts w:eastAsia="Garamond" w:cs="Garamond"/>
          <w:color w:val="000000" w:themeColor="text1"/>
        </w:rPr>
        <w:t>. While all BPS studies are conducted by NCES, the data collection contractor, RTI International, has typically used</w:t>
      </w:r>
      <w:r w:rsidRPr="13F74D18" w:rsidR="48545324">
        <w:rPr>
          <w:rFonts w:eastAsia="Garamond" w:cs="Garamond"/>
          <w:color w:val="000000" w:themeColor="text1"/>
        </w:rPr>
        <w:t xml:space="preserve"> a</w:t>
      </w:r>
      <w:r w:rsidRPr="13F74D18">
        <w:rPr>
          <w:rFonts w:eastAsia="Garamond" w:cs="Garamond"/>
          <w:color w:val="000000" w:themeColor="text1"/>
        </w:rPr>
        <w:t xml:space="preserve"> study-specific e-mail </w:t>
      </w:r>
      <w:hyperlink r:id="rId8">
        <w:r w:rsidRPr="13F74D18" w:rsidR="0CD7918B">
          <w:rPr>
            <w:rStyle w:val="Hyperlink"/>
            <w:rFonts w:eastAsia="Garamond" w:cs="Garamond"/>
          </w:rPr>
          <w:t>@ed.gov</w:t>
        </w:r>
      </w:hyperlink>
      <w:r w:rsidRPr="13F74D18" w:rsidR="0CD7918B">
        <w:rPr>
          <w:rFonts w:eastAsia="Garamond" w:cs="Garamond"/>
          <w:color w:val="000000" w:themeColor="text1"/>
        </w:rPr>
        <w:t xml:space="preserve"> (or similar e</w:t>
      </w:r>
      <w:r w:rsidR="00B33260">
        <w:rPr>
          <w:rFonts w:eastAsia="Garamond" w:cs="Garamond"/>
          <w:color w:val="000000" w:themeColor="text1"/>
        </w:rPr>
        <w:t>-</w:t>
      </w:r>
      <w:r w:rsidRPr="13F74D18" w:rsidR="0CD7918B">
        <w:rPr>
          <w:rFonts w:eastAsia="Garamond" w:cs="Garamond"/>
          <w:color w:val="000000" w:themeColor="text1"/>
        </w:rPr>
        <w:t xml:space="preserve">mail from </w:t>
      </w:r>
      <w:r w:rsidRPr="13F74D18">
        <w:rPr>
          <w:rFonts w:eastAsia="Garamond" w:cs="Garamond"/>
          <w:color w:val="000000" w:themeColor="text1"/>
        </w:rPr>
        <w:t>“</w:t>
      </w:r>
      <w:hyperlink r:id="rId9">
        <w:r w:rsidRPr="13F74D18">
          <w:rPr>
            <w:rStyle w:val="Hyperlink"/>
            <w:rFonts w:eastAsia="Garamond" w:cs="Garamond"/>
          </w:rPr>
          <w:t>@rti.org</w:t>
        </w:r>
      </w:hyperlink>
      <w:r w:rsidRPr="13F74D18">
        <w:rPr>
          <w:rFonts w:eastAsia="Garamond" w:cs="Garamond"/>
          <w:color w:val="000000" w:themeColor="text1"/>
        </w:rPr>
        <w:t>”</w:t>
      </w:r>
      <w:r w:rsidRPr="13F74D18" w:rsidR="7CA2F385">
        <w:rPr>
          <w:rFonts w:eastAsia="Garamond" w:cs="Garamond"/>
          <w:color w:val="000000" w:themeColor="text1"/>
        </w:rPr>
        <w:t>)</w:t>
      </w:r>
      <w:r w:rsidRPr="13F74D18">
        <w:rPr>
          <w:rFonts w:eastAsia="Garamond" w:cs="Garamond"/>
          <w:color w:val="000000" w:themeColor="text1"/>
        </w:rPr>
        <w:t xml:space="preserve"> to contact and support sample members. Changing the e-mail sender to the NCES project officer or the RTI project director may increase the perceived importance of the survey and help personalize the contact materials, thereby potentially increasing relevance. Switching the sender during data collection also increases the chance that the survey invitation is delivered to the sample member rather than to a spam filter.</w:t>
      </w:r>
    </w:p>
    <w:p w:rsidR="0072259E" w:rsidRPr="00AB50DC" w:rsidP="00AD4733" w14:paraId="71BFC2E3" w14:textId="3F69E920">
      <w:pPr>
        <w:pStyle w:val="Heading2"/>
        <w:numPr>
          <w:ilvl w:val="0"/>
          <w:numId w:val="12"/>
        </w:numPr>
      </w:pPr>
      <w:bookmarkStart w:id="51" w:name="_Toc135923535"/>
      <w:bookmarkStart w:id="52" w:name="_Toc174598854"/>
      <w:r w:rsidRPr="00AB50DC">
        <w:t>Tests of Procedures or Methods</w:t>
      </w:r>
      <w:bookmarkEnd w:id="51"/>
      <w:bookmarkEnd w:id="52"/>
    </w:p>
    <w:p w:rsidR="0094215B" w:rsidP="0094215B" w14:paraId="560F8EDF" w14:textId="6F75B643">
      <w:pPr>
        <w:pStyle w:val="BodyText"/>
        <w:keepNext/>
        <w:rPr>
          <w:rFonts w:asciiTheme="minorHAnsi" w:hAnsiTheme="minorHAnsi" w:cs="Calibri"/>
          <w:color w:val="000000"/>
          <w:szCs w:val="24"/>
        </w:rPr>
      </w:pPr>
      <w:r w:rsidRPr="002F1BDA">
        <w:rPr>
          <w:rFonts w:asciiTheme="minorHAnsi" w:hAnsiTheme="minorHAnsi" w:cs="Calibri"/>
          <w:color w:val="000000"/>
          <w:szCs w:val="24"/>
        </w:rPr>
        <w:t>The BPS:20/25 field test include</w:t>
      </w:r>
      <w:r w:rsidR="00620217">
        <w:rPr>
          <w:rFonts w:asciiTheme="minorHAnsi" w:hAnsiTheme="minorHAnsi" w:cs="Calibri"/>
          <w:color w:val="000000"/>
          <w:szCs w:val="24"/>
        </w:rPr>
        <w:t>d</w:t>
      </w:r>
      <w:r w:rsidRPr="002F1BDA">
        <w:rPr>
          <w:rFonts w:asciiTheme="minorHAnsi" w:hAnsiTheme="minorHAnsi" w:cs="Calibri"/>
          <w:color w:val="000000"/>
          <w:szCs w:val="24"/>
        </w:rPr>
        <w:t xml:space="preserve"> two data collection experiments focused on survey participation</w:t>
      </w:r>
      <w:r w:rsidR="00666617">
        <w:rPr>
          <w:rFonts w:asciiTheme="minorHAnsi" w:hAnsiTheme="minorHAnsi" w:cs="Calibri"/>
          <w:color w:val="000000"/>
          <w:szCs w:val="24"/>
        </w:rPr>
        <w:t xml:space="preserve">. </w:t>
      </w:r>
      <w:r w:rsidRPr="00666617" w:rsidR="00666617">
        <w:rPr>
          <w:rFonts w:asciiTheme="minorHAnsi" w:hAnsiTheme="minorHAnsi" w:cs="Calibri"/>
          <w:color w:val="000000"/>
          <w:szCs w:val="24"/>
        </w:rPr>
        <w:t xml:space="preserve">The results of these </w:t>
      </w:r>
      <w:r w:rsidRPr="000D1BC6" w:rsidR="00666617">
        <w:rPr>
          <w:rFonts w:asciiTheme="minorHAnsi" w:hAnsiTheme="minorHAnsi" w:cs="Calibri"/>
          <w:color w:val="000000"/>
          <w:szCs w:val="24"/>
        </w:rPr>
        <w:t>field test experiments are summarized below. For detailed results of the BPS:20/25 field test experiments, see Appendix D.</w:t>
      </w:r>
    </w:p>
    <w:p w:rsidR="00ED1901" w:rsidRPr="002F1BDA" w:rsidP="0094215B" w14:paraId="05C7AE6B" w14:textId="75E00C50">
      <w:pPr>
        <w:pStyle w:val="BodyText"/>
        <w:keepNext/>
        <w:rPr>
          <w:rFonts w:asciiTheme="minorHAnsi" w:hAnsiTheme="minorHAnsi" w:cs="Calibri"/>
          <w:color w:val="000000"/>
          <w:szCs w:val="24"/>
        </w:rPr>
      </w:pPr>
      <w:r w:rsidRPr="00ED1901">
        <w:rPr>
          <w:rFonts w:asciiTheme="minorHAnsi" w:hAnsiTheme="minorHAnsi" w:cs="Calibri"/>
          <w:color w:val="000000"/>
          <w:szCs w:val="24"/>
        </w:rPr>
        <w:t>The data collection experiments explored the effectiveness of</w:t>
      </w:r>
      <w:r w:rsidR="00A01693">
        <w:rPr>
          <w:rFonts w:asciiTheme="minorHAnsi" w:hAnsiTheme="minorHAnsi" w:cs="Calibri"/>
          <w:color w:val="000000"/>
          <w:szCs w:val="24"/>
        </w:rPr>
        <w:t>:</w:t>
      </w:r>
    </w:p>
    <w:p w:rsidR="0094215B" w:rsidRPr="002F1BDA" w:rsidP="0094215B" w14:paraId="2DE8EB09" w14:textId="2F454915">
      <w:pPr>
        <w:pStyle w:val="BodyText"/>
        <w:keepNext/>
        <w:ind w:left="720"/>
        <w:rPr>
          <w:rFonts w:asciiTheme="minorHAnsi" w:hAnsiTheme="minorHAnsi" w:cs="Calibri"/>
          <w:color w:val="000000"/>
          <w:szCs w:val="24"/>
        </w:rPr>
      </w:pPr>
      <w:r w:rsidRPr="002F1BDA">
        <w:rPr>
          <w:rFonts w:asciiTheme="minorHAnsi" w:hAnsiTheme="minorHAnsi" w:cs="Calibri"/>
          <w:color w:val="000000"/>
          <w:szCs w:val="24"/>
        </w:rPr>
        <w:t>1) an “address confirmation” incentive where respondents receive</w:t>
      </w:r>
      <w:r w:rsidR="00620217">
        <w:rPr>
          <w:rFonts w:asciiTheme="minorHAnsi" w:hAnsiTheme="minorHAnsi" w:cs="Calibri"/>
          <w:color w:val="000000"/>
          <w:szCs w:val="24"/>
        </w:rPr>
        <w:t>d</w:t>
      </w:r>
      <w:r w:rsidRPr="002F1BDA">
        <w:rPr>
          <w:rFonts w:asciiTheme="minorHAnsi" w:hAnsiTheme="minorHAnsi" w:cs="Calibri"/>
          <w:color w:val="000000"/>
          <w:szCs w:val="24"/>
        </w:rPr>
        <w:t xml:space="preserve"> an additional $5 if they </w:t>
      </w:r>
      <w:r w:rsidR="00620217">
        <w:rPr>
          <w:rFonts w:asciiTheme="minorHAnsi" w:hAnsiTheme="minorHAnsi" w:cs="Calibri"/>
          <w:color w:val="000000"/>
          <w:szCs w:val="24"/>
        </w:rPr>
        <w:t>provided</w:t>
      </w:r>
      <w:r w:rsidRPr="002F1BDA">
        <w:rPr>
          <w:rFonts w:asciiTheme="minorHAnsi" w:hAnsiTheme="minorHAnsi" w:cs="Calibri"/>
          <w:color w:val="000000"/>
          <w:szCs w:val="24"/>
        </w:rPr>
        <w:t xml:space="preserve"> their phone number, mailing </w:t>
      </w:r>
      <w:r w:rsidR="00620217">
        <w:rPr>
          <w:rFonts w:asciiTheme="minorHAnsi" w:hAnsiTheme="minorHAnsi" w:cs="Calibri"/>
          <w:color w:val="000000"/>
          <w:szCs w:val="24"/>
        </w:rPr>
        <w:t>or</w:t>
      </w:r>
      <w:r w:rsidRPr="002F1BDA">
        <w:rPr>
          <w:rFonts w:asciiTheme="minorHAnsi" w:hAnsiTheme="minorHAnsi" w:cs="Calibri"/>
          <w:color w:val="000000"/>
          <w:szCs w:val="24"/>
        </w:rPr>
        <w:t xml:space="preserve"> </w:t>
      </w:r>
      <w:r>
        <w:rPr>
          <w:rFonts w:asciiTheme="minorHAnsi" w:hAnsiTheme="minorHAnsi" w:cs="Calibri"/>
          <w:color w:val="000000"/>
          <w:szCs w:val="24"/>
        </w:rPr>
        <w:t>e-mail</w:t>
      </w:r>
      <w:r w:rsidRPr="002F1BDA">
        <w:rPr>
          <w:rFonts w:asciiTheme="minorHAnsi" w:hAnsiTheme="minorHAnsi" w:cs="Calibri"/>
          <w:color w:val="000000"/>
          <w:szCs w:val="24"/>
        </w:rPr>
        <w:t xml:space="preserve"> address before the start of the survey, and </w:t>
      </w:r>
    </w:p>
    <w:p w:rsidR="0094215B" w:rsidRPr="002F1BDA" w:rsidP="0094215B" w14:paraId="5B8D92EE" w14:textId="51BA23CF">
      <w:pPr>
        <w:pStyle w:val="BodyText"/>
        <w:keepNext/>
        <w:ind w:left="720"/>
        <w:rPr>
          <w:rFonts w:asciiTheme="minorHAnsi" w:hAnsiTheme="minorHAnsi" w:cs="Calibri"/>
          <w:color w:val="000000"/>
          <w:szCs w:val="24"/>
        </w:rPr>
      </w:pPr>
      <w:r w:rsidRPr="002F1BDA">
        <w:rPr>
          <w:rFonts w:asciiTheme="minorHAnsi" w:hAnsiTheme="minorHAnsi" w:cs="Calibri"/>
          <w:color w:val="000000"/>
          <w:szCs w:val="24"/>
        </w:rPr>
        <w:t xml:space="preserve">2) eliminating telephone reminders for sample members </w:t>
      </w:r>
      <w:r>
        <w:rPr>
          <w:rFonts w:asciiTheme="minorHAnsi" w:hAnsiTheme="minorHAnsi" w:cs="Calibri"/>
          <w:color w:val="000000"/>
          <w:szCs w:val="24"/>
        </w:rPr>
        <w:t>who</w:t>
      </w:r>
      <w:r w:rsidRPr="002F1BDA">
        <w:rPr>
          <w:rFonts w:asciiTheme="minorHAnsi" w:hAnsiTheme="minorHAnsi" w:cs="Calibri"/>
          <w:color w:val="000000"/>
          <w:szCs w:val="24"/>
        </w:rPr>
        <w:t xml:space="preserve"> responded to NPSAS:20 </w:t>
      </w:r>
      <w:r w:rsidRPr="002F1BDA">
        <w:rPr>
          <w:rFonts w:asciiTheme="minorHAnsi" w:hAnsiTheme="minorHAnsi" w:cs="Calibri"/>
          <w:i/>
          <w:color w:val="000000"/>
          <w:szCs w:val="24"/>
        </w:rPr>
        <w:t>and</w:t>
      </w:r>
      <w:r w:rsidRPr="002F1BDA">
        <w:rPr>
          <w:rFonts w:asciiTheme="minorHAnsi" w:hAnsiTheme="minorHAnsi" w:cs="Calibri"/>
          <w:color w:val="000000"/>
          <w:szCs w:val="24"/>
        </w:rPr>
        <w:t xml:space="preserve"> BPS:20/22. </w:t>
      </w:r>
    </w:p>
    <w:p w:rsidR="00AA73C5" w:rsidP="00213D75" w14:paraId="220B400C" w14:textId="0096757E">
      <w:pPr>
        <w:pStyle w:val="BodyText"/>
        <w:widowControl w:val="0"/>
        <w:rPr>
          <w:rFonts w:asciiTheme="minorHAnsi" w:hAnsiTheme="minorHAnsi" w:cs="Calibri"/>
          <w:color w:val="000000" w:themeColor="text1"/>
          <w:szCs w:val="24"/>
        </w:rPr>
      </w:pPr>
      <w:r w:rsidRPr="000A76EC">
        <w:rPr>
          <w:rFonts w:asciiTheme="minorHAnsi" w:hAnsiTheme="minorHAnsi" w:cs="Calibri"/>
          <w:color w:val="000000" w:themeColor="text1"/>
          <w:szCs w:val="24"/>
        </w:rPr>
        <w:t xml:space="preserve">Results from these data collection experiments provide insight in preparation for the full-scale study regarding the effectiveness of these interventions across three data quality indicators: survey response (operationalized using response rates), sample representativeness (assessed across </w:t>
      </w:r>
      <w:r w:rsidR="007B0550">
        <w:rPr>
          <w:rFonts w:asciiTheme="minorHAnsi" w:hAnsiTheme="minorHAnsi" w:cs="Calibri"/>
          <w:color w:val="000000" w:themeColor="text1"/>
          <w:szCs w:val="24"/>
        </w:rPr>
        <w:t>gender</w:t>
      </w:r>
      <w:r w:rsidRPr="000A76EC">
        <w:rPr>
          <w:rFonts w:asciiTheme="minorHAnsi" w:hAnsiTheme="minorHAnsi" w:cs="Calibri"/>
          <w:color w:val="000000" w:themeColor="text1"/>
          <w:szCs w:val="24"/>
        </w:rPr>
        <w:t>, ethnicity, race, and institutional control), and data collection efficiency (operationalized as the number of the days between the start of the experiment and survey completion).</w:t>
      </w:r>
    </w:p>
    <w:p w:rsidR="00AA73C5" w:rsidP="00213D75" w14:paraId="356F9111" w14:textId="621AB2DB">
      <w:pPr>
        <w:pStyle w:val="BodyText"/>
        <w:widowControl w:val="0"/>
        <w:rPr>
          <w:rFonts w:asciiTheme="minorHAnsi" w:hAnsiTheme="minorHAnsi" w:cs="Calibri"/>
          <w:color w:val="000000" w:themeColor="text1"/>
          <w:szCs w:val="24"/>
        </w:rPr>
      </w:pPr>
      <w:r w:rsidRPr="00AA73C5">
        <w:rPr>
          <w:rFonts w:asciiTheme="minorHAnsi" w:hAnsiTheme="minorHAnsi" w:cs="Calibri"/>
          <w:color w:val="000000" w:themeColor="text1"/>
          <w:szCs w:val="24"/>
        </w:rPr>
        <w:t>The “</w:t>
      </w:r>
      <w:r>
        <w:rPr>
          <w:rFonts w:asciiTheme="minorHAnsi" w:hAnsiTheme="minorHAnsi" w:cs="Calibri"/>
          <w:color w:val="000000" w:themeColor="text1"/>
          <w:szCs w:val="24"/>
        </w:rPr>
        <w:t>address confirmation</w:t>
      </w:r>
      <w:r w:rsidRPr="00AA73C5">
        <w:rPr>
          <w:rFonts w:asciiTheme="minorHAnsi" w:hAnsiTheme="minorHAnsi" w:cs="Calibri"/>
          <w:color w:val="000000" w:themeColor="text1"/>
          <w:szCs w:val="24"/>
        </w:rPr>
        <w:t>” experiment investigated the effectiveness of giving respondents an additional $5 incentive</w:t>
      </w:r>
      <w:r w:rsidR="002D491B">
        <w:rPr>
          <w:rFonts w:asciiTheme="minorHAnsi" w:hAnsiTheme="minorHAnsi" w:cs="Calibri"/>
          <w:color w:val="000000" w:themeColor="text1"/>
          <w:szCs w:val="24"/>
        </w:rPr>
        <w:t xml:space="preserve"> (experimental group)</w:t>
      </w:r>
      <w:r w:rsidRPr="00AA73C5">
        <w:rPr>
          <w:rFonts w:asciiTheme="minorHAnsi" w:hAnsiTheme="minorHAnsi" w:cs="Calibri"/>
          <w:color w:val="000000" w:themeColor="text1"/>
          <w:szCs w:val="24"/>
        </w:rPr>
        <w:t xml:space="preserve"> if</w:t>
      </w:r>
      <w:r w:rsidR="007D08CC">
        <w:rPr>
          <w:rFonts w:asciiTheme="minorHAnsi" w:hAnsiTheme="minorHAnsi" w:cs="Calibri"/>
          <w:color w:val="000000" w:themeColor="text1"/>
          <w:szCs w:val="24"/>
        </w:rPr>
        <w:t xml:space="preserve">, at the beginning of the survey, they provided </w:t>
      </w:r>
      <w:r w:rsidR="006D5910">
        <w:rPr>
          <w:rFonts w:asciiTheme="minorHAnsi" w:hAnsiTheme="minorHAnsi" w:cs="Calibri"/>
          <w:color w:val="000000" w:themeColor="text1"/>
          <w:szCs w:val="24"/>
        </w:rPr>
        <w:t>their contact information (i.e., phone number</w:t>
      </w:r>
      <w:r w:rsidR="00B30581">
        <w:rPr>
          <w:rFonts w:asciiTheme="minorHAnsi" w:hAnsiTheme="minorHAnsi" w:cs="Calibri"/>
          <w:color w:val="000000" w:themeColor="text1"/>
          <w:szCs w:val="24"/>
        </w:rPr>
        <w:t xml:space="preserve"> and mailing or e</w:t>
      </w:r>
      <w:r w:rsidR="00B33260">
        <w:rPr>
          <w:rFonts w:asciiTheme="minorHAnsi" w:hAnsiTheme="minorHAnsi" w:cs="Calibri"/>
          <w:color w:val="000000" w:themeColor="text1"/>
          <w:szCs w:val="24"/>
        </w:rPr>
        <w:t>-</w:t>
      </w:r>
      <w:r w:rsidR="00B30581">
        <w:rPr>
          <w:rFonts w:asciiTheme="minorHAnsi" w:hAnsiTheme="minorHAnsi" w:cs="Calibri"/>
          <w:color w:val="000000" w:themeColor="text1"/>
          <w:szCs w:val="24"/>
        </w:rPr>
        <w:t>mail address).</w:t>
      </w:r>
      <w:r w:rsidR="00135861">
        <w:rPr>
          <w:rFonts w:asciiTheme="minorHAnsi" w:hAnsiTheme="minorHAnsi" w:cs="Calibri"/>
          <w:color w:val="000000" w:themeColor="text1"/>
          <w:szCs w:val="24"/>
        </w:rPr>
        <w:t xml:space="preserve"> This</w:t>
      </w:r>
      <w:r w:rsidR="003A31ED">
        <w:rPr>
          <w:rFonts w:asciiTheme="minorHAnsi" w:hAnsiTheme="minorHAnsi" w:cs="Calibri"/>
          <w:color w:val="000000" w:themeColor="text1"/>
          <w:szCs w:val="24"/>
        </w:rPr>
        <w:t xml:space="preserve"> up-front</w:t>
      </w:r>
      <w:r w:rsidR="00135861">
        <w:rPr>
          <w:rFonts w:asciiTheme="minorHAnsi" w:hAnsiTheme="minorHAnsi" w:cs="Calibri"/>
          <w:color w:val="000000" w:themeColor="text1"/>
          <w:szCs w:val="24"/>
        </w:rPr>
        <w:t xml:space="preserve"> incentive was designed to </w:t>
      </w:r>
      <w:r w:rsidR="00342BCA">
        <w:rPr>
          <w:rFonts w:asciiTheme="minorHAnsi" w:hAnsiTheme="minorHAnsi" w:cs="Calibri"/>
          <w:color w:val="000000" w:themeColor="text1"/>
          <w:szCs w:val="24"/>
        </w:rPr>
        <w:t>demonstrate the authenticity of the survey request</w:t>
      </w:r>
      <w:r w:rsidR="00F1719D">
        <w:rPr>
          <w:rFonts w:asciiTheme="minorHAnsi" w:hAnsiTheme="minorHAnsi" w:cs="Calibri"/>
          <w:color w:val="000000" w:themeColor="text1"/>
          <w:szCs w:val="24"/>
        </w:rPr>
        <w:t>,</w:t>
      </w:r>
      <w:r w:rsidR="003A31ED">
        <w:rPr>
          <w:rFonts w:asciiTheme="minorHAnsi" w:hAnsiTheme="minorHAnsi" w:cs="Calibri"/>
          <w:color w:val="000000" w:themeColor="text1"/>
          <w:szCs w:val="24"/>
        </w:rPr>
        <w:t xml:space="preserve"> theoretically motivating </w:t>
      </w:r>
      <w:r w:rsidR="00926556">
        <w:rPr>
          <w:rFonts w:asciiTheme="minorHAnsi" w:hAnsiTheme="minorHAnsi" w:cs="Calibri"/>
          <w:color w:val="000000" w:themeColor="text1"/>
          <w:szCs w:val="24"/>
        </w:rPr>
        <w:t xml:space="preserve">hesitant </w:t>
      </w:r>
      <w:r w:rsidR="003A31ED">
        <w:rPr>
          <w:rFonts w:asciiTheme="minorHAnsi" w:hAnsiTheme="minorHAnsi" w:cs="Calibri"/>
          <w:color w:val="000000" w:themeColor="text1"/>
          <w:szCs w:val="24"/>
        </w:rPr>
        <w:t>sample members to respond.</w:t>
      </w:r>
      <w:r w:rsidR="00B30581">
        <w:rPr>
          <w:rFonts w:asciiTheme="minorHAnsi" w:hAnsiTheme="minorHAnsi" w:cs="Calibri"/>
          <w:color w:val="000000" w:themeColor="text1"/>
          <w:szCs w:val="24"/>
        </w:rPr>
        <w:t xml:space="preserve"> </w:t>
      </w:r>
      <w:r w:rsidR="002D491B">
        <w:rPr>
          <w:rFonts w:asciiTheme="minorHAnsi" w:hAnsiTheme="minorHAnsi" w:cs="Calibri"/>
          <w:color w:val="000000" w:themeColor="text1"/>
          <w:szCs w:val="24"/>
        </w:rPr>
        <w:t xml:space="preserve">The control group </w:t>
      </w:r>
      <w:r w:rsidR="00F75614">
        <w:rPr>
          <w:rFonts w:asciiTheme="minorHAnsi" w:hAnsiTheme="minorHAnsi" w:cs="Calibri"/>
          <w:color w:val="000000" w:themeColor="text1"/>
          <w:szCs w:val="24"/>
        </w:rPr>
        <w:t xml:space="preserve">was </w:t>
      </w:r>
      <w:r w:rsidR="003C05AA">
        <w:rPr>
          <w:rFonts w:asciiTheme="minorHAnsi" w:hAnsiTheme="minorHAnsi" w:cs="Calibri"/>
          <w:color w:val="000000" w:themeColor="text1"/>
          <w:szCs w:val="24"/>
        </w:rPr>
        <w:t>also</w:t>
      </w:r>
      <w:r w:rsidR="00F75614">
        <w:rPr>
          <w:rFonts w:asciiTheme="minorHAnsi" w:hAnsiTheme="minorHAnsi" w:cs="Calibri"/>
          <w:color w:val="000000" w:themeColor="text1"/>
          <w:szCs w:val="24"/>
        </w:rPr>
        <w:t xml:space="preserve"> asked to provide the same contact </w:t>
      </w:r>
      <w:r w:rsidR="003A31ED">
        <w:rPr>
          <w:rFonts w:asciiTheme="minorHAnsi" w:hAnsiTheme="minorHAnsi" w:cs="Calibri"/>
          <w:color w:val="000000" w:themeColor="text1"/>
          <w:szCs w:val="24"/>
        </w:rPr>
        <w:t>information but</w:t>
      </w:r>
      <w:r w:rsidR="00F75614">
        <w:rPr>
          <w:rFonts w:asciiTheme="minorHAnsi" w:hAnsiTheme="minorHAnsi" w:cs="Calibri"/>
          <w:color w:val="000000" w:themeColor="text1"/>
          <w:szCs w:val="24"/>
        </w:rPr>
        <w:t xml:space="preserve"> was not offered an </w:t>
      </w:r>
      <w:r w:rsidR="0005200C">
        <w:rPr>
          <w:rFonts w:asciiTheme="minorHAnsi" w:hAnsiTheme="minorHAnsi" w:cs="Calibri"/>
          <w:color w:val="000000" w:themeColor="text1"/>
          <w:szCs w:val="24"/>
        </w:rPr>
        <w:t>additional incentive.</w:t>
      </w:r>
      <w:r w:rsidR="003C05AA">
        <w:rPr>
          <w:rFonts w:asciiTheme="minorHAnsi" w:hAnsiTheme="minorHAnsi" w:cs="Calibri"/>
          <w:color w:val="000000" w:themeColor="text1"/>
          <w:szCs w:val="24"/>
        </w:rPr>
        <w:t xml:space="preserve"> </w:t>
      </w:r>
      <w:r w:rsidR="003A6E2C">
        <w:rPr>
          <w:rFonts w:asciiTheme="minorHAnsi" w:hAnsiTheme="minorHAnsi" w:cs="Calibri"/>
          <w:color w:val="000000" w:themeColor="text1"/>
          <w:szCs w:val="24"/>
        </w:rPr>
        <w:t>At the end of data collection, the r</w:t>
      </w:r>
      <w:r w:rsidRPr="00AA73C5">
        <w:rPr>
          <w:rFonts w:asciiTheme="minorHAnsi" w:hAnsiTheme="minorHAnsi" w:cs="Calibri"/>
          <w:color w:val="000000" w:themeColor="text1"/>
          <w:szCs w:val="24"/>
        </w:rPr>
        <w:t>esponse rate</w:t>
      </w:r>
      <w:r w:rsidR="003A6E2C">
        <w:rPr>
          <w:rFonts w:asciiTheme="minorHAnsi" w:hAnsiTheme="minorHAnsi" w:cs="Calibri"/>
          <w:color w:val="000000" w:themeColor="text1"/>
          <w:szCs w:val="24"/>
        </w:rPr>
        <w:t xml:space="preserve"> of the control group (</w:t>
      </w:r>
      <w:r w:rsidR="00C27604">
        <w:rPr>
          <w:rFonts w:asciiTheme="minorHAnsi" w:hAnsiTheme="minorHAnsi" w:cs="Calibri"/>
          <w:color w:val="000000" w:themeColor="text1"/>
          <w:szCs w:val="24"/>
        </w:rPr>
        <w:t>67.2 percent</w:t>
      </w:r>
      <w:r w:rsidR="003A6E2C">
        <w:rPr>
          <w:rFonts w:asciiTheme="minorHAnsi" w:hAnsiTheme="minorHAnsi" w:cs="Calibri"/>
          <w:color w:val="000000" w:themeColor="text1"/>
          <w:szCs w:val="24"/>
        </w:rPr>
        <w:t>)</w:t>
      </w:r>
      <w:r w:rsidRPr="00AA73C5">
        <w:rPr>
          <w:rFonts w:asciiTheme="minorHAnsi" w:hAnsiTheme="minorHAnsi" w:cs="Calibri"/>
          <w:color w:val="000000" w:themeColor="text1"/>
          <w:szCs w:val="24"/>
        </w:rPr>
        <w:t xml:space="preserve"> </w:t>
      </w:r>
      <w:r w:rsidR="00C27604">
        <w:rPr>
          <w:rFonts w:asciiTheme="minorHAnsi" w:hAnsiTheme="minorHAnsi" w:cs="Calibri"/>
          <w:color w:val="000000" w:themeColor="text1"/>
          <w:szCs w:val="24"/>
        </w:rPr>
        <w:t xml:space="preserve">was </w:t>
      </w:r>
      <w:r w:rsidR="00CB29CC">
        <w:rPr>
          <w:rFonts w:asciiTheme="minorHAnsi" w:hAnsiTheme="minorHAnsi" w:cs="Calibri"/>
          <w:color w:val="000000" w:themeColor="text1"/>
          <w:szCs w:val="24"/>
        </w:rPr>
        <w:t xml:space="preserve">about 5 percentage points </w:t>
      </w:r>
      <w:r w:rsidR="00C27604">
        <w:rPr>
          <w:rFonts w:asciiTheme="minorHAnsi" w:hAnsiTheme="minorHAnsi" w:cs="Calibri"/>
          <w:color w:val="000000" w:themeColor="text1"/>
          <w:szCs w:val="24"/>
        </w:rPr>
        <w:t>higher than the experimental $5 group</w:t>
      </w:r>
      <w:r w:rsidR="00CB29CC">
        <w:rPr>
          <w:rFonts w:asciiTheme="minorHAnsi" w:hAnsiTheme="minorHAnsi" w:cs="Calibri"/>
          <w:color w:val="000000" w:themeColor="text1"/>
          <w:szCs w:val="24"/>
        </w:rPr>
        <w:t xml:space="preserve"> (</w:t>
      </w:r>
      <w:r w:rsidRPr="00AA73C5" w:rsidR="00CB29CC">
        <w:rPr>
          <w:rFonts w:asciiTheme="minorHAnsi" w:hAnsiTheme="minorHAnsi" w:cs="Calibri"/>
          <w:color w:val="000000" w:themeColor="text1"/>
          <w:szCs w:val="24"/>
        </w:rPr>
        <w:t>6</w:t>
      </w:r>
      <w:r w:rsidR="00CB29CC">
        <w:rPr>
          <w:rFonts w:asciiTheme="minorHAnsi" w:hAnsiTheme="minorHAnsi" w:cs="Calibri"/>
          <w:color w:val="000000" w:themeColor="text1"/>
          <w:szCs w:val="24"/>
        </w:rPr>
        <w:t>1</w:t>
      </w:r>
      <w:r w:rsidRPr="00AA73C5" w:rsidR="00CB29CC">
        <w:rPr>
          <w:rFonts w:asciiTheme="minorHAnsi" w:hAnsiTheme="minorHAnsi" w:cs="Calibri"/>
          <w:color w:val="000000" w:themeColor="text1"/>
          <w:szCs w:val="24"/>
        </w:rPr>
        <w:t>.</w:t>
      </w:r>
      <w:r w:rsidR="00CB29CC">
        <w:rPr>
          <w:rFonts w:asciiTheme="minorHAnsi" w:hAnsiTheme="minorHAnsi" w:cs="Calibri"/>
          <w:color w:val="000000" w:themeColor="text1"/>
          <w:szCs w:val="24"/>
        </w:rPr>
        <w:t>9</w:t>
      </w:r>
      <w:r w:rsidRPr="00AA73C5" w:rsidR="00CB29CC">
        <w:rPr>
          <w:rFonts w:asciiTheme="minorHAnsi" w:hAnsiTheme="minorHAnsi" w:cs="Calibri"/>
          <w:color w:val="000000" w:themeColor="text1"/>
          <w:szCs w:val="24"/>
        </w:rPr>
        <w:t xml:space="preserve"> percent</w:t>
      </w:r>
      <w:r w:rsidR="00CB29CC">
        <w:rPr>
          <w:rFonts w:asciiTheme="minorHAnsi" w:hAnsiTheme="minorHAnsi" w:cs="Calibri"/>
          <w:color w:val="000000" w:themeColor="text1"/>
          <w:szCs w:val="24"/>
        </w:rPr>
        <w:t>), a statistically significant difference</w:t>
      </w:r>
      <w:r w:rsidR="00C27604">
        <w:rPr>
          <w:rFonts w:asciiTheme="minorHAnsi" w:hAnsiTheme="minorHAnsi" w:cs="Calibri"/>
          <w:color w:val="000000" w:themeColor="text1"/>
          <w:szCs w:val="24"/>
        </w:rPr>
        <w:t xml:space="preserve"> </w:t>
      </w:r>
      <w:r w:rsidRPr="00AA73C5">
        <w:rPr>
          <w:rFonts w:asciiTheme="minorHAnsi" w:hAnsiTheme="minorHAnsi" w:cs="Calibri"/>
          <w:color w:val="000000" w:themeColor="text1"/>
          <w:szCs w:val="24"/>
        </w:rPr>
        <w:t>(</w:t>
      </w:r>
      <w:r w:rsidRPr="00EF2512">
        <w:rPr>
          <w:rFonts w:asciiTheme="minorHAnsi" w:hAnsiTheme="minorHAnsi" w:cs="Calibri"/>
          <w:i/>
          <w:iCs/>
          <w:color w:val="000000" w:themeColor="text1"/>
          <w:szCs w:val="24"/>
        </w:rPr>
        <w:t>X</w:t>
      </w:r>
      <w:r w:rsidRPr="00EF2512">
        <w:rPr>
          <w:rFonts w:asciiTheme="minorHAnsi" w:hAnsiTheme="minorHAnsi" w:cs="Calibri"/>
          <w:color w:val="000000" w:themeColor="text1"/>
          <w:szCs w:val="24"/>
          <w:vertAlign w:val="superscript"/>
        </w:rPr>
        <w:t>2</w:t>
      </w:r>
      <w:r w:rsidRPr="00AA73C5">
        <w:rPr>
          <w:rFonts w:asciiTheme="minorHAnsi" w:hAnsiTheme="minorHAnsi" w:cs="Calibri"/>
          <w:color w:val="000000" w:themeColor="text1"/>
          <w:szCs w:val="24"/>
        </w:rPr>
        <w:t xml:space="preserve"> = </w:t>
      </w:r>
      <w:r w:rsidR="009345CC">
        <w:rPr>
          <w:rFonts w:asciiTheme="minorHAnsi" w:hAnsiTheme="minorHAnsi" w:cs="Calibri"/>
          <w:color w:val="000000" w:themeColor="text1"/>
          <w:szCs w:val="24"/>
        </w:rPr>
        <w:t>8</w:t>
      </w:r>
      <w:r w:rsidRPr="00AA73C5">
        <w:rPr>
          <w:rFonts w:asciiTheme="minorHAnsi" w:hAnsiTheme="minorHAnsi" w:cs="Calibri"/>
          <w:color w:val="000000" w:themeColor="text1"/>
          <w:szCs w:val="24"/>
        </w:rPr>
        <w:t>.</w:t>
      </w:r>
      <w:r w:rsidR="009345CC">
        <w:rPr>
          <w:rFonts w:asciiTheme="minorHAnsi" w:hAnsiTheme="minorHAnsi" w:cs="Calibri"/>
          <w:color w:val="000000" w:themeColor="text1"/>
          <w:szCs w:val="24"/>
        </w:rPr>
        <w:t>36</w:t>
      </w:r>
      <w:r w:rsidRPr="00AA73C5">
        <w:rPr>
          <w:rFonts w:asciiTheme="minorHAnsi" w:hAnsiTheme="minorHAnsi" w:cs="Calibri"/>
          <w:color w:val="000000" w:themeColor="text1"/>
          <w:szCs w:val="24"/>
        </w:rPr>
        <w:t xml:space="preserve">, p </w:t>
      </w:r>
      <w:r w:rsidR="002E5559">
        <w:rPr>
          <w:rFonts w:asciiTheme="minorHAnsi" w:hAnsiTheme="minorHAnsi" w:cs="Calibri"/>
          <w:color w:val="000000" w:themeColor="text1"/>
          <w:szCs w:val="24"/>
        </w:rPr>
        <w:t>&lt;</w:t>
      </w:r>
      <w:r w:rsidRPr="00AA73C5">
        <w:rPr>
          <w:rFonts w:asciiTheme="minorHAnsi" w:hAnsiTheme="minorHAnsi" w:cs="Calibri"/>
          <w:color w:val="000000" w:themeColor="text1"/>
          <w:szCs w:val="24"/>
        </w:rPr>
        <w:t xml:space="preserve"> .</w:t>
      </w:r>
      <w:r w:rsidR="002E5559">
        <w:rPr>
          <w:rFonts w:asciiTheme="minorHAnsi" w:hAnsiTheme="minorHAnsi" w:cs="Calibri"/>
          <w:color w:val="000000" w:themeColor="text1"/>
          <w:szCs w:val="24"/>
        </w:rPr>
        <w:t>01</w:t>
      </w:r>
      <w:r w:rsidRPr="00AA73C5">
        <w:rPr>
          <w:rFonts w:asciiTheme="minorHAnsi" w:hAnsiTheme="minorHAnsi" w:cs="Calibri"/>
          <w:color w:val="000000" w:themeColor="text1"/>
          <w:szCs w:val="24"/>
        </w:rPr>
        <w:t xml:space="preserve">). Both the </w:t>
      </w:r>
      <w:r w:rsidR="002A383F">
        <w:rPr>
          <w:rFonts w:asciiTheme="minorHAnsi" w:hAnsiTheme="minorHAnsi" w:cs="Calibri"/>
          <w:color w:val="000000" w:themeColor="text1"/>
          <w:szCs w:val="24"/>
        </w:rPr>
        <w:t>experimental</w:t>
      </w:r>
      <w:r w:rsidRPr="00AA73C5">
        <w:rPr>
          <w:rFonts w:asciiTheme="minorHAnsi" w:hAnsiTheme="minorHAnsi" w:cs="Calibri"/>
          <w:color w:val="000000" w:themeColor="text1"/>
          <w:szCs w:val="24"/>
        </w:rPr>
        <w:t xml:space="preserve"> and control groups had similar representativeness across </w:t>
      </w:r>
      <w:r w:rsidR="00AC4C0D">
        <w:rPr>
          <w:rFonts w:asciiTheme="minorHAnsi" w:hAnsiTheme="minorHAnsi" w:cs="Calibri"/>
          <w:color w:val="000000" w:themeColor="text1"/>
          <w:szCs w:val="24"/>
        </w:rPr>
        <w:t>gender</w:t>
      </w:r>
      <w:r w:rsidRPr="00AA73C5">
        <w:rPr>
          <w:rFonts w:asciiTheme="minorHAnsi" w:hAnsiTheme="minorHAnsi" w:cs="Calibri"/>
          <w:color w:val="000000" w:themeColor="text1"/>
          <w:szCs w:val="24"/>
        </w:rPr>
        <w:t xml:space="preserve">, ethnicity, race, and institutional control. At the end of data collection, </w:t>
      </w:r>
      <w:r w:rsidR="00BC14D6">
        <w:rPr>
          <w:rFonts w:asciiTheme="minorHAnsi" w:hAnsiTheme="minorHAnsi" w:cs="Calibri"/>
          <w:color w:val="000000" w:themeColor="text1"/>
          <w:szCs w:val="24"/>
        </w:rPr>
        <w:t xml:space="preserve">respondents in the </w:t>
      </w:r>
      <w:r w:rsidR="00346FFC">
        <w:rPr>
          <w:rFonts w:asciiTheme="minorHAnsi" w:hAnsiTheme="minorHAnsi" w:cs="Calibri"/>
          <w:color w:val="000000" w:themeColor="text1"/>
          <w:szCs w:val="24"/>
        </w:rPr>
        <w:t>experimental $5</w:t>
      </w:r>
      <w:r w:rsidRPr="00AA73C5">
        <w:rPr>
          <w:rFonts w:asciiTheme="minorHAnsi" w:hAnsiTheme="minorHAnsi" w:cs="Calibri"/>
          <w:color w:val="000000" w:themeColor="text1"/>
          <w:szCs w:val="24"/>
        </w:rPr>
        <w:t xml:space="preserve"> group took </w:t>
      </w:r>
      <w:r w:rsidR="00E346E8">
        <w:rPr>
          <w:rFonts w:asciiTheme="minorHAnsi" w:hAnsiTheme="minorHAnsi" w:cs="Calibri"/>
          <w:color w:val="000000" w:themeColor="text1"/>
          <w:szCs w:val="24"/>
        </w:rPr>
        <w:t xml:space="preserve">one more day </w:t>
      </w:r>
      <w:r w:rsidRPr="00AA73C5">
        <w:rPr>
          <w:rFonts w:asciiTheme="minorHAnsi" w:hAnsiTheme="minorHAnsi" w:cs="Calibri"/>
          <w:color w:val="000000" w:themeColor="text1"/>
          <w:szCs w:val="24"/>
        </w:rPr>
        <w:t>(</w:t>
      </w:r>
      <w:r w:rsidR="00F86881">
        <w:rPr>
          <w:rFonts w:asciiTheme="minorHAnsi" w:hAnsiTheme="minorHAnsi" w:cs="Calibri"/>
          <w:color w:val="000000" w:themeColor="text1"/>
          <w:szCs w:val="24"/>
        </w:rPr>
        <w:t>36</w:t>
      </w:r>
      <w:r w:rsidRPr="00AA73C5">
        <w:rPr>
          <w:rFonts w:asciiTheme="minorHAnsi" w:hAnsiTheme="minorHAnsi" w:cs="Calibri"/>
          <w:color w:val="000000" w:themeColor="text1"/>
          <w:szCs w:val="24"/>
        </w:rPr>
        <w:t>.</w:t>
      </w:r>
      <w:r w:rsidR="00F86881">
        <w:rPr>
          <w:rFonts w:asciiTheme="minorHAnsi" w:hAnsiTheme="minorHAnsi" w:cs="Calibri"/>
          <w:color w:val="000000" w:themeColor="text1"/>
          <w:szCs w:val="24"/>
        </w:rPr>
        <w:t>7</w:t>
      </w:r>
      <w:r w:rsidRPr="00AA73C5">
        <w:rPr>
          <w:rFonts w:asciiTheme="minorHAnsi" w:hAnsiTheme="minorHAnsi" w:cs="Calibri"/>
          <w:color w:val="000000" w:themeColor="text1"/>
          <w:szCs w:val="24"/>
        </w:rPr>
        <w:t xml:space="preserve"> days) than respondents in the control group (</w:t>
      </w:r>
      <w:r w:rsidR="00C138C1">
        <w:rPr>
          <w:rFonts w:asciiTheme="minorHAnsi" w:hAnsiTheme="minorHAnsi" w:cs="Calibri"/>
          <w:color w:val="000000" w:themeColor="text1"/>
          <w:szCs w:val="24"/>
        </w:rPr>
        <w:t>35</w:t>
      </w:r>
      <w:r w:rsidRPr="00AA73C5">
        <w:rPr>
          <w:rFonts w:asciiTheme="minorHAnsi" w:hAnsiTheme="minorHAnsi" w:cs="Calibri"/>
          <w:color w:val="000000" w:themeColor="text1"/>
          <w:szCs w:val="24"/>
        </w:rPr>
        <w:t>.9 days) to complete the survey</w:t>
      </w:r>
      <w:r w:rsidR="004E66BB">
        <w:rPr>
          <w:rFonts w:asciiTheme="minorHAnsi" w:hAnsiTheme="minorHAnsi" w:cs="Calibri"/>
          <w:color w:val="000000" w:themeColor="text1"/>
          <w:szCs w:val="24"/>
        </w:rPr>
        <w:t>, though the difference was not significant</w:t>
      </w:r>
      <w:r w:rsidRPr="00AA73C5">
        <w:rPr>
          <w:rFonts w:asciiTheme="minorHAnsi" w:hAnsiTheme="minorHAnsi" w:cs="Calibri"/>
          <w:color w:val="000000" w:themeColor="text1"/>
          <w:szCs w:val="24"/>
        </w:rPr>
        <w:t xml:space="preserve"> (t(</w:t>
      </w:r>
      <w:r w:rsidR="00626082">
        <w:rPr>
          <w:rFonts w:asciiTheme="minorHAnsi" w:hAnsiTheme="minorHAnsi" w:cs="Calibri"/>
          <w:color w:val="000000" w:themeColor="text1"/>
          <w:szCs w:val="24"/>
        </w:rPr>
        <w:t>1</w:t>
      </w:r>
      <w:r w:rsidRPr="00AA73C5">
        <w:rPr>
          <w:rFonts w:asciiTheme="minorHAnsi" w:hAnsiTheme="minorHAnsi" w:cs="Calibri"/>
          <w:color w:val="000000" w:themeColor="text1"/>
          <w:szCs w:val="24"/>
        </w:rPr>
        <w:t>,</w:t>
      </w:r>
      <w:r w:rsidR="00C824FF">
        <w:rPr>
          <w:rFonts w:asciiTheme="minorHAnsi" w:hAnsiTheme="minorHAnsi" w:cs="Calibri"/>
          <w:color w:val="000000" w:themeColor="text1"/>
          <w:szCs w:val="24"/>
        </w:rPr>
        <w:t>1677</w:t>
      </w:r>
      <w:r w:rsidRPr="00AA73C5">
        <w:rPr>
          <w:rFonts w:asciiTheme="minorHAnsi" w:hAnsiTheme="minorHAnsi" w:cs="Calibri"/>
          <w:color w:val="000000" w:themeColor="text1"/>
          <w:szCs w:val="24"/>
        </w:rPr>
        <w:t xml:space="preserve">) = </w:t>
      </w:r>
      <w:r w:rsidR="003F4BBD">
        <w:rPr>
          <w:rFonts w:asciiTheme="minorHAnsi" w:hAnsiTheme="minorHAnsi" w:cs="Calibri"/>
          <w:color w:val="000000" w:themeColor="text1"/>
          <w:szCs w:val="24"/>
        </w:rPr>
        <w:t>0</w:t>
      </w:r>
      <w:r w:rsidRPr="00AA73C5">
        <w:rPr>
          <w:rFonts w:asciiTheme="minorHAnsi" w:hAnsiTheme="minorHAnsi" w:cs="Calibri"/>
          <w:color w:val="000000" w:themeColor="text1"/>
          <w:szCs w:val="24"/>
        </w:rPr>
        <w:t>.</w:t>
      </w:r>
      <w:r w:rsidR="003F4BBD">
        <w:rPr>
          <w:rFonts w:asciiTheme="minorHAnsi" w:hAnsiTheme="minorHAnsi" w:cs="Calibri"/>
          <w:color w:val="000000" w:themeColor="text1"/>
          <w:szCs w:val="24"/>
        </w:rPr>
        <w:t>47</w:t>
      </w:r>
      <w:r w:rsidRPr="00AA73C5">
        <w:rPr>
          <w:rFonts w:asciiTheme="minorHAnsi" w:hAnsiTheme="minorHAnsi" w:cs="Calibri"/>
          <w:color w:val="000000" w:themeColor="text1"/>
          <w:szCs w:val="24"/>
        </w:rPr>
        <w:t xml:space="preserve">, p </w:t>
      </w:r>
      <w:r w:rsidR="00EF396F">
        <w:rPr>
          <w:rFonts w:asciiTheme="minorHAnsi" w:hAnsiTheme="minorHAnsi" w:cs="Calibri"/>
          <w:color w:val="000000" w:themeColor="text1"/>
          <w:szCs w:val="24"/>
        </w:rPr>
        <w:t>=</w:t>
      </w:r>
      <w:r w:rsidRPr="00AA73C5">
        <w:rPr>
          <w:rFonts w:asciiTheme="minorHAnsi" w:hAnsiTheme="minorHAnsi" w:cs="Calibri"/>
          <w:color w:val="000000" w:themeColor="text1"/>
          <w:szCs w:val="24"/>
        </w:rPr>
        <w:t xml:space="preserve"> 0.</w:t>
      </w:r>
      <w:r w:rsidR="00EF396F">
        <w:rPr>
          <w:rFonts w:asciiTheme="minorHAnsi" w:hAnsiTheme="minorHAnsi" w:cs="Calibri"/>
          <w:color w:val="000000" w:themeColor="text1"/>
          <w:szCs w:val="24"/>
        </w:rPr>
        <w:t>64</w:t>
      </w:r>
      <w:r w:rsidRPr="00AA73C5">
        <w:rPr>
          <w:rFonts w:asciiTheme="minorHAnsi" w:hAnsiTheme="minorHAnsi" w:cs="Calibri"/>
          <w:color w:val="000000" w:themeColor="text1"/>
          <w:szCs w:val="24"/>
        </w:rPr>
        <w:t xml:space="preserve">). </w:t>
      </w:r>
      <w:r w:rsidR="00135861">
        <w:rPr>
          <w:rFonts w:asciiTheme="minorHAnsi" w:hAnsiTheme="minorHAnsi" w:cs="Calibri"/>
          <w:color w:val="000000" w:themeColor="text1"/>
          <w:szCs w:val="24"/>
        </w:rPr>
        <w:t xml:space="preserve">Together, these results indicate that </w:t>
      </w:r>
      <w:r w:rsidR="003A31ED">
        <w:rPr>
          <w:rFonts w:asciiTheme="minorHAnsi" w:hAnsiTheme="minorHAnsi" w:cs="Calibri"/>
          <w:color w:val="000000" w:themeColor="text1"/>
          <w:szCs w:val="24"/>
        </w:rPr>
        <w:t xml:space="preserve">the $5 address confirmation incentive </w:t>
      </w:r>
      <w:r w:rsidR="00163987">
        <w:rPr>
          <w:rFonts w:asciiTheme="minorHAnsi" w:hAnsiTheme="minorHAnsi" w:cs="Calibri"/>
          <w:color w:val="000000" w:themeColor="text1"/>
          <w:szCs w:val="24"/>
        </w:rPr>
        <w:t xml:space="preserve">discouraged response rather than </w:t>
      </w:r>
      <w:r w:rsidR="002A03B3">
        <w:rPr>
          <w:rFonts w:asciiTheme="minorHAnsi" w:hAnsiTheme="minorHAnsi" w:cs="Calibri"/>
          <w:color w:val="000000" w:themeColor="text1"/>
          <w:szCs w:val="24"/>
        </w:rPr>
        <w:t xml:space="preserve">increasing response as theorized. </w:t>
      </w:r>
      <w:r w:rsidRPr="00AA73C5">
        <w:rPr>
          <w:rFonts w:asciiTheme="minorHAnsi" w:hAnsiTheme="minorHAnsi" w:cs="Calibri"/>
          <w:color w:val="000000" w:themeColor="text1"/>
          <w:szCs w:val="24"/>
        </w:rPr>
        <w:t xml:space="preserve">Therefore, the use of an </w:t>
      </w:r>
      <w:r w:rsidR="002A03B3">
        <w:rPr>
          <w:rFonts w:asciiTheme="minorHAnsi" w:hAnsiTheme="minorHAnsi" w:cs="Calibri"/>
          <w:color w:val="000000" w:themeColor="text1"/>
          <w:szCs w:val="24"/>
        </w:rPr>
        <w:t>address confirmation</w:t>
      </w:r>
      <w:r w:rsidRPr="00AA73C5">
        <w:rPr>
          <w:rFonts w:asciiTheme="minorHAnsi" w:hAnsiTheme="minorHAnsi" w:cs="Calibri"/>
          <w:color w:val="000000" w:themeColor="text1"/>
          <w:szCs w:val="24"/>
        </w:rPr>
        <w:t xml:space="preserve"> incentive in the BPS:20/2</w:t>
      </w:r>
      <w:r w:rsidR="002A03B3">
        <w:rPr>
          <w:rFonts w:asciiTheme="minorHAnsi" w:hAnsiTheme="minorHAnsi" w:cs="Calibri"/>
          <w:color w:val="000000" w:themeColor="text1"/>
          <w:szCs w:val="24"/>
        </w:rPr>
        <w:t>5</w:t>
      </w:r>
      <w:r w:rsidRPr="00AA73C5">
        <w:rPr>
          <w:rFonts w:asciiTheme="minorHAnsi" w:hAnsiTheme="minorHAnsi" w:cs="Calibri"/>
          <w:color w:val="000000" w:themeColor="text1"/>
          <w:szCs w:val="24"/>
        </w:rPr>
        <w:t xml:space="preserve"> full</w:t>
      </w:r>
      <w:r w:rsidR="00843B28">
        <w:rPr>
          <w:rFonts w:asciiTheme="minorHAnsi" w:hAnsiTheme="minorHAnsi" w:cs="Calibri"/>
          <w:color w:val="000000" w:themeColor="text1"/>
          <w:szCs w:val="24"/>
        </w:rPr>
        <w:t>-</w:t>
      </w:r>
      <w:r w:rsidRPr="00AA73C5">
        <w:rPr>
          <w:rFonts w:asciiTheme="minorHAnsi" w:hAnsiTheme="minorHAnsi" w:cs="Calibri"/>
          <w:color w:val="000000" w:themeColor="text1"/>
          <w:szCs w:val="24"/>
        </w:rPr>
        <w:t xml:space="preserve">scale data collection </w:t>
      </w:r>
      <w:r w:rsidR="00843B28">
        <w:rPr>
          <w:rFonts w:asciiTheme="minorHAnsi" w:hAnsiTheme="minorHAnsi" w:cs="Calibri"/>
          <w:color w:val="000000" w:themeColor="text1"/>
          <w:szCs w:val="24"/>
        </w:rPr>
        <w:t>will not be implemented</w:t>
      </w:r>
      <w:r w:rsidRPr="00AA73C5">
        <w:rPr>
          <w:rFonts w:asciiTheme="minorHAnsi" w:hAnsiTheme="minorHAnsi" w:cs="Calibri"/>
          <w:color w:val="000000" w:themeColor="text1"/>
          <w:szCs w:val="24"/>
        </w:rPr>
        <w:t>.</w:t>
      </w:r>
    </w:p>
    <w:p w:rsidR="00AA73C5" w:rsidP="00213D75" w14:paraId="0F6ED64C" w14:textId="24CAAA84">
      <w:pPr>
        <w:pStyle w:val="BodyText"/>
        <w:widowControl w:val="0"/>
        <w:rPr>
          <w:rFonts w:asciiTheme="minorHAnsi" w:hAnsiTheme="minorHAnsi" w:cs="Calibri"/>
          <w:color w:val="000000" w:themeColor="text1"/>
          <w:szCs w:val="24"/>
        </w:rPr>
      </w:pPr>
      <w:r>
        <w:rPr>
          <w:rFonts w:asciiTheme="minorHAnsi" w:hAnsiTheme="minorHAnsi" w:cs="Calibri"/>
          <w:color w:val="000000" w:themeColor="text1"/>
          <w:szCs w:val="24"/>
        </w:rPr>
        <w:t xml:space="preserve">The second data collection experiment examined the </w:t>
      </w:r>
      <w:r w:rsidR="00BB1546">
        <w:rPr>
          <w:rFonts w:asciiTheme="minorHAnsi" w:hAnsiTheme="minorHAnsi" w:cs="Calibri"/>
          <w:color w:val="000000" w:themeColor="text1"/>
          <w:szCs w:val="24"/>
        </w:rPr>
        <w:t xml:space="preserve">implications of eliminating </w:t>
      </w:r>
      <w:r w:rsidR="00E4581D">
        <w:rPr>
          <w:rFonts w:asciiTheme="minorHAnsi" w:hAnsiTheme="minorHAnsi" w:cs="Calibri"/>
          <w:color w:val="000000" w:themeColor="text1"/>
          <w:szCs w:val="24"/>
        </w:rPr>
        <w:t xml:space="preserve">costly </w:t>
      </w:r>
      <w:r w:rsidR="008C4B77">
        <w:rPr>
          <w:rFonts w:asciiTheme="minorHAnsi" w:hAnsiTheme="minorHAnsi" w:cs="Calibri"/>
          <w:color w:val="000000" w:themeColor="text1"/>
          <w:szCs w:val="24"/>
        </w:rPr>
        <w:t xml:space="preserve">telephone reminders to </w:t>
      </w:r>
      <w:r w:rsidR="007D58B7">
        <w:rPr>
          <w:rFonts w:asciiTheme="minorHAnsi" w:hAnsiTheme="minorHAnsi" w:cs="Calibri"/>
          <w:color w:val="000000" w:themeColor="text1"/>
          <w:szCs w:val="24"/>
        </w:rPr>
        <w:t xml:space="preserve">sample members </w:t>
      </w:r>
      <w:r w:rsidR="00111E91">
        <w:rPr>
          <w:rFonts w:asciiTheme="minorHAnsi" w:hAnsiTheme="minorHAnsi" w:cs="Calibri"/>
          <w:color w:val="000000" w:themeColor="text1"/>
          <w:szCs w:val="24"/>
        </w:rPr>
        <w:t xml:space="preserve">who </w:t>
      </w:r>
      <w:r w:rsidR="00893A59">
        <w:rPr>
          <w:rFonts w:asciiTheme="minorHAnsi" w:hAnsiTheme="minorHAnsi" w:cs="Calibri"/>
          <w:color w:val="000000" w:themeColor="text1"/>
          <w:szCs w:val="24"/>
        </w:rPr>
        <w:t>were</w:t>
      </w:r>
      <w:r w:rsidR="00111E91">
        <w:rPr>
          <w:rFonts w:asciiTheme="minorHAnsi" w:hAnsiTheme="minorHAnsi" w:cs="Calibri"/>
          <w:color w:val="000000" w:themeColor="text1"/>
          <w:szCs w:val="24"/>
        </w:rPr>
        <w:t xml:space="preserve"> </w:t>
      </w:r>
      <w:r w:rsidR="003C263F">
        <w:rPr>
          <w:rFonts w:asciiTheme="minorHAnsi" w:hAnsiTheme="minorHAnsi" w:cs="Calibri"/>
          <w:color w:val="000000" w:themeColor="text1"/>
          <w:szCs w:val="24"/>
        </w:rPr>
        <w:t xml:space="preserve">deemed </w:t>
      </w:r>
      <w:r w:rsidR="009463A4">
        <w:rPr>
          <w:rFonts w:asciiTheme="minorHAnsi" w:hAnsiTheme="minorHAnsi" w:cs="Calibri"/>
          <w:color w:val="000000" w:themeColor="text1"/>
          <w:szCs w:val="24"/>
        </w:rPr>
        <w:t xml:space="preserve">likely to </w:t>
      </w:r>
      <w:r w:rsidR="003C263F">
        <w:rPr>
          <w:rFonts w:asciiTheme="minorHAnsi" w:hAnsiTheme="minorHAnsi" w:cs="Calibri"/>
          <w:color w:val="000000" w:themeColor="text1"/>
          <w:szCs w:val="24"/>
        </w:rPr>
        <w:t>respond</w:t>
      </w:r>
      <w:r w:rsidR="00893A59">
        <w:rPr>
          <w:rFonts w:asciiTheme="minorHAnsi" w:hAnsiTheme="minorHAnsi" w:cs="Calibri"/>
          <w:color w:val="000000" w:themeColor="text1"/>
          <w:szCs w:val="24"/>
        </w:rPr>
        <w:t xml:space="preserve"> to the BPS:20/25 field test</w:t>
      </w:r>
      <w:r w:rsidR="009463A4">
        <w:rPr>
          <w:rFonts w:asciiTheme="minorHAnsi" w:hAnsiTheme="minorHAnsi" w:cs="Calibri"/>
          <w:color w:val="000000" w:themeColor="text1"/>
          <w:szCs w:val="24"/>
        </w:rPr>
        <w:t xml:space="preserve"> based on</w:t>
      </w:r>
      <w:r w:rsidR="00893A59">
        <w:rPr>
          <w:rFonts w:asciiTheme="minorHAnsi" w:hAnsiTheme="minorHAnsi" w:cs="Calibri"/>
          <w:color w:val="000000" w:themeColor="text1"/>
          <w:szCs w:val="24"/>
        </w:rPr>
        <w:t xml:space="preserve"> their</w:t>
      </w:r>
      <w:r w:rsidR="009463A4">
        <w:rPr>
          <w:rFonts w:asciiTheme="minorHAnsi" w:hAnsiTheme="minorHAnsi" w:cs="Calibri"/>
          <w:color w:val="000000" w:themeColor="text1"/>
          <w:szCs w:val="24"/>
        </w:rPr>
        <w:t xml:space="preserve"> past </w:t>
      </w:r>
      <w:r w:rsidR="00893A59">
        <w:rPr>
          <w:rFonts w:asciiTheme="minorHAnsi" w:hAnsiTheme="minorHAnsi" w:cs="Calibri"/>
          <w:color w:val="000000" w:themeColor="text1"/>
          <w:szCs w:val="24"/>
        </w:rPr>
        <w:t xml:space="preserve">response </w:t>
      </w:r>
      <w:r w:rsidR="009463A4">
        <w:rPr>
          <w:rFonts w:asciiTheme="minorHAnsi" w:hAnsiTheme="minorHAnsi" w:cs="Calibri"/>
          <w:color w:val="000000" w:themeColor="text1"/>
          <w:szCs w:val="24"/>
        </w:rPr>
        <w:t xml:space="preserve">behavior (i.e., sample members </w:t>
      </w:r>
      <w:r w:rsidR="007D58B7">
        <w:rPr>
          <w:rFonts w:asciiTheme="minorHAnsi" w:hAnsiTheme="minorHAnsi" w:cs="Calibri"/>
          <w:color w:val="000000"/>
          <w:szCs w:val="24"/>
        </w:rPr>
        <w:t>who</w:t>
      </w:r>
      <w:r w:rsidRPr="002F1BDA" w:rsidR="007D58B7">
        <w:rPr>
          <w:rFonts w:asciiTheme="minorHAnsi" w:hAnsiTheme="minorHAnsi" w:cs="Calibri"/>
          <w:color w:val="000000"/>
          <w:szCs w:val="24"/>
        </w:rPr>
        <w:t xml:space="preserve"> responded to NPSAS:20 </w:t>
      </w:r>
      <w:r w:rsidRPr="002F1BDA" w:rsidR="007D58B7">
        <w:rPr>
          <w:rFonts w:asciiTheme="minorHAnsi" w:hAnsiTheme="minorHAnsi" w:cs="Calibri"/>
          <w:i/>
          <w:color w:val="000000"/>
          <w:szCs w:val="24"/>
        </w:rPr>
        <w:t>and</w:t>
      </w:r>
      <w:r w:rsidRPr="002F1BDA" w:rsidR="007D58B7">
        <w:rPr>
          <w:rFonts w:asciiTheme="minorHAnsi" w:hAnsiTheme="minorHAnsi" w:cs="Calibri"/>
          <w:color w:val="000000"/>
          <w:szCs w:val="24"/>
        </w:rPr>
        <w:t xml:space="preserve"> BPS:20/22</w:t>
      </w:r>
      <w:r w:rsidR="00624FAC">
        <w:rPr>
          <w:rFonts w:asciiTheme="minorHAnsi" w:hAnsiTheme="minorHAnsi" w:cs="Calibri"/>
          <w:color w:val="000000"/>
          <w:szCs w:val="24"/>
        </w:rPr>
        <w:t>, known as the default data collection group</w:t>
      </w:r>
      <w:r w:rsidR="007D58B7">
        <w:rPr>
          <w:rFonts w:asciiTheme="minorHAnsi" w:hAnsiTheme="minorHAnsi" w:cs="Calibri"/>
          <w:color w:val="000000" w:themeColor="text1"/>
          <w:szCs w:val="24"/>
        </w:rPr>
        <w:t>).</w:t>
      </w:r>
      <w:r w:rsidR="0064061B">
        <w:rPr>
          <w:rFonts w:asciiTheme="minorHAnsi" w:hAnsiTheme="minorHAnsi" w:cs="Calibri"/>
          <w:color w:val="000000" w:themeColor="text1"/>
          <w:szCs w:val="24"/>
        </w:rPr>
        <w:t xml:space="preserve"> </w:t>
      </w:r>
      <w:r w:rsidR="00D574A4">
        <w:rPr>
          <w:rFonts w:asciiTheme="minorHAnsi" w:hAnsiTheme="minorHAnsi" w:cs="Calibri"/>
          <w:color w:val="000000" w:themeColor="text1"/>
          <w:szCs w:val="24"/>
        </w:rPr>
        <w:t xml:space="preserve">Eight weeks into data collection, </w:t>
      </w:r>
      <w:r w:rsidR="00624FAC">
        <w:rPr>
          <w:rFonts w:asciiTheme="minorHAnsi" w:hAnsiTheme="minorHAnsi" w:cs="Calibri"/>
          <w:color w:val="000000" w:themeColor="text1"/>
          <w:szCs w:val="24"/>
        </w:rPr>
        <w:t xml:space="preserve">nonresponding sample members in the </w:t>
      </w:r>
      <w:r w:rsidR="005A30CD">
        <w:rPr>
          <w:rFonts w:asciiTheme="minorHAnsi" w:hAnsiTheme="minorHAnsi" w:cs="Calibri"/>
          <w:color w:val="000000" w:themeColor="text1"/>
          <w:szCs w:val="24"/>
        </w:rPr>
        <w:t>default data collection group were randomly</w:t>
      </w:r>
      <w:r w:rsidR="007B60E2">
        <w:rPr>
          <w:rFonts w:asciiTheme="minorHAnsi" w:hAnsiTheme="minorHAnsi" w:cs="Calibri"/>
          <w:color w:val="000000" w:themeColor="text1"/>
          <w:szCs w:val="24"/>
        </w:rPr>
        <w:t xml:space="preserve"> assigned to either 1) receive </w:t>
      </w:r>
      <w:r w:rsidR="00F6328D">
        <w:rPr>
          <w:rFonts w:asciiTheme="minorHAnsi" w:hAnsiTheme="minorHAnsi" w:cs="Calibri"/>
          <w:color w:val="000000" w:themeColor="text1"/>
          <w:szCs w:val="24"/>
        </w:rPr>
        <w:t>telephone prompting</w:t>
      </w:r>
      <w:r w:rsidR="00A22E75">
        <w:rPr>
          <w:rFonts w:asciiTheme="minorHAnsi" w:hAnsiTheme="minorHAnsi" w:cs="Calibri"/>
          <w:color w:val="000000" w:themeColor="text1"/>
          <w:szCs w:val="24"/>
        </w:rPr>
        <w:t xml:space="preserve"> </w:t>
      </w:r>
      <w:r w:rsidR="00B0430E">
        <w:rPr>
          <w:rFonts w:asciiTheme="minorHAnsi" w:hAnsiTheme="minorHAnsi" w:cs="Calibri"/>
          <w:color w:val="000000" w:themeColor="text1"/>
          <w:szCs w:val="24"/>
        </w:rPr>
        <w:t>as</w:t>
      </w:r>
      <w:r w:rsidR="00394BEB">
        <w:rPr>
          <w:rFonts w:asciiTheme="minorHAnsi" w:hAnsiTheme="minorHAnsi" w:cs="Calibri"/>
          <w:color w:val="000000" w:themeColor="text1"/>
          <w:szCs w:val="24"/>
        </w:rPr>
        <w:t xml:space="preserve"> in past </w:t>
      </w:r>
      <w:r w:rsidR="007A0AF1">
        <w:rPr>
          <w:rFonts w:asciiTheme="minorHAnsi" w:hAnsiTheme="minorHAnsi" w:cs="Calibri"/>
          <w:color w:val="000000" w:themeColor="text1"/>
          <w:szCs w:val="24"/>
        </w:rPr>
        <w:t xml:space="preserve">BPS </w:t>
      </w:r>
      <w:r w:rsidR="00394BEB">
        <w:rPr>
          <w:rFonts w:asciiTheme="minorHAnsi" w:hAnsiTheme="minorHAnsi" w:cs="Calibri"/>
          <w:color w:val="000000" w:themeColor="text1"/>
          <w:szCs w:val="24"/>
        </w:rPr>
        <w:t xml:space="preserve">administrations </w:t>
      </w:r>
      <w:r w:rsidR="009800E2">
        <w:rPr>
          <w:rFonts w:asciiTheme="minorHAnsi" w:hAnsiTheme="minorHAnsi" w:cs="Calibri"/>
          <w:color w:val="000000" w:themeColor="text1"/>
          <w:szCs w:val="24"/>
        </w:rPr>
        <w:t>(the control group)</w:t>
      </w:r>
      <w:r w:rsidR="007A0AF1">
        <w:rPr>
          <w:rFonts w:asciiTheme="minorHAnsi" w:hAnsiTheme="minorHAnsi" w:cs="Calibri"/>
          <w:color w:val="000000" w:themeColor="text1"/>
          <w:szCs w:val="24"/>
        </w:rPr>
        <w:t xml:space="preserve">, or 2) </w:t>
      </w:r>
      <w:r w:rsidR="00612EBD">
        <w:rPr>
          <w:rFonts w:asciiTheme="minorHAnsi" w:hAnsiTheme="minorHAnsi" w:cs="Calibri"/>
          <w:color w:val="000000" w:themeColor="text1"/>
          <w:szCs w:val="24"/>
        </w:rPr>
        <w:t xml:space="preserve">not receive any telephone prompting (the experimental group). </w:t>
      </w:r>
      <w:r w:rsidR="00B76544">
        <w:rPr>
          <w:rFonts w:asciiTheme="minorHAnsi" w:hAnsiTheme="minorHAnsi" w:cs="Calibri"/>
          <w:color w:val="000000" w:themeColor="text1"/>
          <w:szCs w:val="24"/>
        </w:rPr>
        <w:t xml:space="preserve">At the end of data </w:t>
      </w:r>
      <w:r w:rsidR="00B76544">
        <w:rPr>
          <w:rFonts w:asciiTheme="minorHAnsi" w:hAnsiTheme="minorHAnsi" w:cs="Calibri"/>
          <w:color w:val="000000" w:themeColor="text1"/>
          <w:szCs w:val="24"/>
        </w:rPr>
        <w:t>collection, the r</w:t>
      </w:r>
      <w:r w:rsidRPr="00AA73C5" w:rsidR="00B76544">
        <w:rPr>
          <w:rFonts w:asciiTheme="minorHAnsi" w:hAnsiTheme="minorHAnsi" w:cs="Calibri"/>
          <w:color w:val="000000" w:themeColor="text1"/>
          <w:szCs w:val="24"/>
        </w:rPr>
        <w:t>esponse rate</w:t>
      </w:r>
      <w:r w:rsidR="00B76544">
        <w:rPr>
          <w:rFonts w:asciiTheme="minorHAnsi" w:hAnsiTheme="minorHAnsi" w:cs="Calibri"/>
          <w:color w:val="000000" w:themeColor="text1"/>
          <w:szCs w:val="24"/>
        </w:rPr>
        <w:t xml:space="preserve"> of the control group</w:t>
      </w:r>
      <w:r w:rsidR="002D3A98">
        <w:rPr>
          <w:rFonts w:asciiTheme="minorHAnsi" w:hAnsiTheme="minorHAnsi" w:cs="Calibri"/>
          <w:color w:val="000000" w:themeColor="text1"/>
          <w:szCs w:val="24"/>
        </w:rPr>
        <w:t xml:space="preserve"> that </w:t>
      </w:r>
      <w:r w:rsidR="00320C26">
        <w:rPr>
          <w:rFonts w:asciiTheme="minorHAnsi" w:hAnsiTheme="minorHAnsi" w:cs="Calibri"/>
          <w:color w:val="000000" w:themeColor="text1"/>
          <w:szCs w:val="24"/>
        </w:rPr>
        <w:t>received telephone reminders</w:t>
      </w:r>
      <w:r w:rsidR="00B76544">
        <w:rPr>
          <w:rFonts w:asciiTheme="minorHAnsi" w:hAnsiTheme="minorHAnsi" w:cs="Calibri"/>
          <w:color w:val="000000" w:themeColor="text1"/>
          <w:szCs w:val="24"/>
        </w:rPr>
        <w:t xml:space="preserve"> (</w:t>
      </w:r>
      <w:r w:rsidR="0047255F">
        <w:rPr>
          <w:rFonts w:asciiTheme="minorHAnsi" w:hAnsiTheme="minorHAnsi" w:cs="Calibri"/>
          <w:color w:val="000000" w:themeColor="text1"/>
          <w:szCs w:val="24"/>
        </w:rPr>
        <w:t>48</w:t>
      </w:r>
      <w:r w:rsidR="00B76544">
        <w:rPr>
          <w:rFonts w:asciiTheme="minorHAnsi" w:hAnsiTheme="minorHAnsi" w:cs="Calibri"/>
          <w:color w:val="000000" w:themeColor="text1"/>
          <w:szCs w:val="24"/>
        </w:rPr>
        <w:t>.</w:t>
      </w:r>
      <w:r w:rsidR="0047255F">
        <w:rPr>
          <w:rFonts w:asciiTheme="minorHAnsi" w:hAnsiTheme="minorHAnsi" w:cs="Calibri"/>
          <w:color w:val="000000" w:themeColor="text1"/>
          <w:szCs w:val="24"/>
        </w:rPr>
        <w:t>7</w:t>
      </w:r>
      <w:r w:rsidR="00B76544">
        <w:rPr>
          <w:rFonts w:asciiTheme="minorHAnsi" w:hAnsiTheme="minorHAnsi" w:cs="Calibri"/>
          <w:color w:val="000000" w:themeColor="text1"/>
          <w:szCs w:val="24"/>
        </w:rPr>
        <w:t xml:space="preserve"> percent)</w:t>
      </w:r>
      <w:r w:rsidRPr="00AA73C5" w:rsidR="00B76544">
        <w:rPr>
          <w:rFonts w:asciiTheme="minorHAnsi" w:hAnsiTheme="minorHAnsi" w:cs="Calibri"/>
          <w:color w:val="000000" w:themeColor="text1"/>
          <w:szCs w:val="24"/>
        </w:rPr>
        <w:t xml:space="preserve"> </w:t>
      </w:r>
      <w:r w:rsidR="00B76544">
        <w:rPr>
          <w:rFonts w:asciiTheme="minorHAnsi" w:hAnsiTheme="minorHAnsi" w:cs="Calibri"/>
          <w:color w:val="000000" w:themeColor="text1"/>
          <w:szCs w:val="24"/>
        </w:rPr>
        <w:t xml:space="preserve">was about </w:t>
      </w:r>
      <w:r w:rsidR="00B51DDF">
        <w:rPr>
          <w:rFonts w:asciiTheme="minorHAnsi" w:hAnsiTheme="minorHAnsi" w:cs="Calibri"/>
          <w:color w:val="000000" w:themeColor="text1"/>
          <w:szCs w:val="24"/>
        </w:rPr>
        <w:t>1</w:t>
      </w:r>
      <w:r w:rsidR="00B76544">
        <w:rPr>
          <w:rFonts w:asciiTheme="minorHAnsi" w:hAnsiTheme="minorHAnsi" w:cs="Calibri"/>
          <w:color w:val="000000" w:themeColor="text1"/>
          <w:szCs w:val="24"/>
        </w:rPr>
        <w:t xml:space="preserve">5 percentage points higher than the experimental </w:t>
      </w:r>
      <w:r w:rsidR="00B51DDF">
        <w:rPr>
          <w:rFonts w:asciiTheme="minorHAnsi" w:hAnsiTheme="minorHAnsi" w:cs="Calibri"/>
          <w:color w:val="000000" w:themeColor="text1"/>
          <w:szCs w:val="24"/>
        </w:rPr>
        <w:t>“</w:t>
      </w:r>
      <w:r w:rsidR="002A07C5">
        <w:rPr>
          <w:rFonts w:asciiTheme="minorHAnsi" w:hAnsiTheme="minorHAnsi" w:cs="Calibri"/>
          <w:color w:val="000000" w:themeColor="text1"/>
          <w:szCs w:val="24"/>
        </w:rPr>
        <w:t>no telephone reminder</w:t>
      </w:r>
      <w:r w:rsidR="00B51DDF">
        <w:rPr>
          <w:rFonts w:asciiTheme="minorHAnsi" w:hAnsiTheme="minorHAnsi" w:cs="Calibri"/>
          <w:color w:val="000000" w:themeColor="text1"/>
          <w:szCs w:val="24"/>
        </w:rPr>
        <w:t>”</w:t>
      </w:r>
      <w:r w:rsidR="00B76544">
        <w:rPr>
          <w:rFonts w:asciiTheme="minorHAnsi" w:hAnsiTheme="minorHAnsi" w:cs="Calibri"/>
          <w:color w:val="000000" w:themeColor="text1"/>
          <w:szCs w:val="24"/>
        </w:rPr>
        <w:t xml:space="preserve"> group (</w:t>
      </w:r>
      <w:r w:rsidR="00A220C8">
        <w:rPr>
          <w:rFonts w:asciiTheme="minorHAnsi" w:hAnsiTheme="minorHAnsi" w:cs="Calibri"/>
          <w:color w:val="000000" w:themeColor="text1"/>
          <w:szCs w:val="24"/>
        </w:rPr>
        <w:t>33</w:t>
      </w:r>
      <w:r w:rsidRPr="00AA73C5" w:rsidR="00B76544">
        <w:rPr>
          <w:rFonts w:asciiTheme="minorHAnsi" w:hAnsiTheme="minorHAnsi" w:cs="Calibri"/>
          <w:color w:val="000000" w:themeColor="text1"/>
          <w:szCs w:val="24"/>
        </w:rPr>
        <w:t>.</w:t>
      </w:r>
      <w:r w:rsidR="00A220C8">
        <w:rPr>
          <w:rFonts w:asciiTheme="minorHAnsi" w:hAnsiTheme="minorHAnsi" w:cs="Calibri"/>
          <w:color w:val="000000" w:themeColor="text1"/>
          <w:szCs w:val="24"/>
        </w:rPr>
        <w:t>8</w:t>
      </w:r>
      <w:r w:rsidRPr="00AA73C5" w:rsidR="00B76544">
        <w:rPr>
          <w:rFonts w:asciiTheme="minorHAnsi" w:hAnsiTheme="minorHAnsi" w:cs="Calibri"/>
          <w:color w:val="000000" w:themeColor="text1"/>
          <w:szCs w:val="24"/>
        </w:rPr>
        <w:t xml:space="preserve"> percent</w:t>
      </w:r>
      <w:r w:rsidR="00B76544">
        <w:rPr>
          <w:rFonts w:asciiTheme="minorHAnsi" w:hAnsiTheme="minorHAnsi" w:cs="Calibri"/>
          <w:color w:val="000000" w:themeColor="text1"/>
          <w:szCs w:val="24"/>
        </w:rPr>
        <w:t xml:space="preserve">), a statistically significant difference </w:t>
      </w:r>
      <w:r w:rsidRPr="00AA73C5" w:rsidR="00B76544">
        <w:rPr>
          <w:rFonts w:asciiTheme="minorHAnsi" w:hAnsiTheme="minorHAnsi" w:cs="Calibri"/>
          <w:color w:val="000000" w:themeColor="text1"/>
          <w:szCs w:val="24"/>
        </w:rPr>
        <w:t>(</w:t>
      </w:r>
      <w:r w:rsidRPr="00EF2512" w:rsidR="00B76544">
        <w:rPr>
          <w:rFonts w:asciiTheme="minorHAnsi" w:hAnsiTheme="minorHAnsi" w:cs="Calibri"/>
          <w:i/>
          <w:iCs/>
          <w:color w:val="000000" w:themeColor="text1"/>
          <w:szCs w:val="24"/>
        </w:rPr>
        <w:t>X</w:t>
      </w:r>
      <w:r w:rsidRPr="00EF2512" w:rsidR="00B76544">
        <w:rPr>
          <w:rFonts w:asciiTheme="minorHAnsi" w:hAnsiTheme="minorHAnsi" w:cs="Calibri"/>
          <w:color w:val="000000" w:themeColor="text1"/>
          <w:szCs w:val="24"/>
          <w:vertAlign w:val="superscript"/>
        </w:rPr>
        <w:t>2</w:t>
      </w:r>
      <w:r w:rsidRPr="00AA73C5" w:rsidR="00B76544">
        <w:rPr>
          <w:rFonts w:asciiTheme="minorHAnsi" w:hAnsiTheme="minorHAnsi" w:cs="Calibri"/>
          <w:color w:val="000000" w:themeColor="text1"/>
          <w:szCs w:val="24"/>
        </w:rPr>
        <w:t xml:space="preserve"> = </w:t>
      </w:r>
      <w:r w:rsidR="00AA238E">
        <w:rPr>
          <w:rFonts w:asciiTheme="minorHAnsi" w:hAnsiTheme="minorHAnsi" w:cs="Calibri"/>
          <w:color w:val="000000" w:themeColor="text1"/>
          <w:szCs w:val="24"/>
        </w:rPr>
        <w:t>21</w:t>
      </w:r>
      <w:r w:rsidRPr="00AA73C5" w:rsidR="00B76544">
        <w:rPr>
          <w:rFonts w:asciiTheme="minorHAnsi" w:hAnsiTheme="minorHAnsi" w:cs="Calibri"/>
          <w:color w:val="000000" w:themeColor="text1"/>
          <w:szCs w:val="24"/>
        </w:rPr>
        <w:t>.</w:t>
      </w:r>
      <w:r w:rsidR="00AA238E">
        <w:rPr>
          <w:rFonts w:asciiTheme="minorHAnsi" w:hAnsiTheme="minorHAnsi" w:cs="Calibri"/>
          <w:color w:val="000000" w:themeColor="text1"/>
          <w:szCs w:val="24"/>
        </w:rPr>
        <w:t>2</w:t>
      </w:r>
      <w:r w:rsidRPr="00AA73C5" w:rsidR="00B76544">
        <w:rPr>
          <w:rFonts w:asciiTheme="minorHAnsi" w:hAnsiTheme="minorHAnsi" w:cs="Calibri"/>
          <w:color w:val="000000" w:themeColor="text1"/>
          <w:szCs w:val="24"/>
        </w:rPr>
        <w:t xml:space="preserve">, p </w:t>
      </w:r>
      <w:r w:rsidR="00B76544">
        <w:rPr>
          <w:rFonts w:asciiTheme="minorHAnsi" w:hAnsiTheme="minorHAnsi" w:cs="Calibri"/>
          <w:color w:val="000000" w:themeColor="text1"/>
          <w:szCs w:val="24"/>
        </w:rPr>
        <w:t>&lt;</w:t>
      </w:r>
      <w:r w:rsidRPr="00AA73C5" w:rsidR="00B76544">
        <w:rPr>
          <w:rFonts w:asciiTheme="minorHAnsi" w:hAnsiTheme="minorHAnsi" w:cs="Calibri"/>
          <w:color w:val="000000" w:themeColor="text1"/>
          <w:szCs w:val="24"/>
        </w:rPr>
        <w:t xml:space="preserve"> .</w:t>
      </w:r>
      <w:r w:rsidR="00B76544">
        <w:rPr>
          <w:rFonts w:asciiTheme="minorHAnsi" w:hAnsiTheme="minorHAnsi" w:cs="Calibri"/>
          <w:color w:val="000000" w:themeColor="text1"/>
          <w:szCs w:val="24"/>
        </w:rPr>
        <w:t>0</w:t>
      </w:r>
      <w:r w:rsidR="002F5A20">
        <w:rPr>
          <w:rFonts w:asciiTheme="minorHAnsi" w:hAnsiTheme="minorHAnsi" w:cs="Calibri"/>
          <w:color w:val="000000" w:themeColor="text1"/>
          <w:szCs w:val="24"/>
        </w:rPr>
        <w:t>0</w:t>
      </w:r>
      <w:r w:rsidR="00B76544">
        <w:rPr>
          <w:rFonts w:asciiTheme="minorHAnsi" w:hAnsiTheme="minorHAnsi" w:cs="Calibri"/>
          <w:color w:val="000000" w:themeColor="text1"/>
          <w:szCs w:val="24"/>
        </w:rPr>
        <w:t>1</w:t>
      </w:r>
      <w:r w:rsidRPr="00AA73C5" w:rsidR="00B76544">
        <w:rPr>
          <w:rFonts w:asciiTheme="minorHAnsi" w:hAnsiTheme="minorHAnsi" w:cs="Calibri"/>
          <w:color w:val="000000" w:themeColor="text1"/>
          <w:szCs w:val="24"/>
        </w:rPr>
        <w:t xml:space="preserve">). Both the </w:t>
      </w:r>
      <w:r w:rsidR="00B76544">
        <w:rPr>
          <w:rFonts w:asciiTheme="minorHAnsi" w:hAnsiTheme="minorHAnsi" w:cs="Calibri"/>
          <w:color w:val="000000" w:themeColor="text1"/>
          <w:szCs w:val="24"/>
        </w:rPr>
        <w:t>experimental</w:t>
      </w:r>
      <w:r w:rsidRPr="00AA73C5" w:rsidR="00B76544">
        <w:rPr>
          <w:rFonts w:asciiTheme="minorHAnsi" w:hAnsiTheme="minorHAnsi" w:cs="Calibri"/>
          <w:color w:val="000000" w:themeColor="text1"/>
          <w:szCs w:val="24"/>
        </w:rPr>
        <w:t xml:space="preserve"> and control groups had similar representativeness across </w:t>
      </w:r>
      <w:r w:rsidR="00B76544">
        <w:rPr>
          <w:rFonts w:asciiTheme="minorHAnsi" w:hAnsiTheme="minorHAnsi" w:cs="Calibri"/>
          <w:color w:val="000000" w:themeColor="text1"/>
          <w:szCs w:val="24"/>
        </w:rPr>
        <w:t>gender</w:t>
      </w:r>
      <w:r w:rsidRPr="00AA73C5" w:rsidR="00B76544">
        <w:rPr>
          <w:rFonts w:asciiTheme="minorHAnsi" w:hAnsiTheme="minorHAnsi" w:cs="Calibri"/>
          <w:color w:val="000000" w:themeColor="text1"/>
          <w:szCs w:val="24"/>
        </w:rPr>
        <w:t xml:space="preserve">, ethnicity, race, and institutional control. At the end of data collection, </w:t>
      </w:r>
      <w:r w:rsidR="00B76544">
        <w:rPr>
          <w:rFonts w:asciiTheme="minorHAnsi" w:hAnsiTheme="minorHAnsi" w:cs="Calibri"/>
          <w:color w:val="000000" w:themeColor="text1"/>
          <w:szCs w:val="24"/>
        </w:rPr>
        <w:t xml:space="preserve">respondents in the experimental </w:t>
      </w:r>
      <w:r w:rsidR="00BC1EA4">
        <w:rPr>
          <w:rFonts w:asciiTheme="minorHAnsi" w:hAnsiTheme="minorHAnsi" w:cs="Calibri"/>
          <w:color w:val="000000" w:themeColor="text1"/>
          <w:szCs w:val="24"/>
        </w:rPr>
        <w:t xml:space="preserve">“no </w:t>
      </w:r>
      <w:r w:rsidR="002A07C5">
        <w:rPr>
          <w:rFonts w:asciiTheme="minorHAnsi" w:hAnsiTheme="minorHAnsi" w:cs="Calibri"/>
          <w:color w:val="000000" w:themeColor="text1"/>
          <w:szCs w:val="24"/>
        </w:rPr>
        <w:t>telephone reminder</w:t>
      </w:r>
      <w:r w:rsidR="00BC1EA4">
        <w:rPr>
          <w:rFonts w:asciiTheme="minorHAnsi" w:hAnsiTheme="minorHAnsi" w:cs="Calibri"/>
          <w:color w:val="000000" w:themeColor="text1"/>
          <w:szCs w:val="24"/>
        </w:rPr>
        <w:t>”</w:t>
      </w:r>
      <w:r w:rsidRPr="00AA73C5" w:rsidR="00B76544">
        <w:rPr>
          <w:rFonts w:asciiTheme="minorHAnsi" w:hAnsiTheme="minorHAnsi" w:cs="Calibri"/>
          <w:color w:val="000000" w:themeColor="text1"/>
          <w:szCs w:val="24"/>
        </w:rPr>
        <w:t xml:space="preserve"> group </w:t>
      </w:r>
      <w:r w:rsidR="00FE359D">
        <w:rPr>
          <w:rFonts w:asciiTheme="minorHAnsi" w:hAnsiTheme="minorHAnsi" w:cs="Calibri"/>
          <w:color w:val="000000" w:themeColor="text1"/>
          <w:szCs w:val="24"/>
        </w:rPr>
        <w:t>took six more</w:t>
      </w:r>
      <w:r w:rsidR="00AA23AC">
        <w:rPr>
          <w:rFonts w:asciiTheme="minorHAnsi" w:hAnsiTheme="minorHAnsi" w:cs="Calibri"/>
          <w:color w:val="000000" w:themeColor="text1"/>
          <w:szCs w:val="24"/>
        </w:rPr>
        <w:t xml:space="preserve"> </w:t>
      </w:r>
      <w:r w:rsidR="00B76544">
        <w:rPr>
          <w:rFonts w:asciiTheme="minorHAnsi" w:hAnsiTheme="minorHAnsi" w:cs="Calibri"/>
          <w:color w:val="000000" w:themeColor="text1"/>
          <w:szCs w:val="24"/>
        </w:rPr>
        <w:t>day</w:t>
      </w:r>
      <w:r w:rsidR="00AA23AC">
        <w:rPr>
          <w:rFonts w:asciiTheme="minorHAnsi" w:hAnsiTheme="minorHAnsi" w:cs="Calibri"/>
          <w:color w:val="000000" w:themeColor="text1"/>
          <w:szCs w:val="24"/>
        </w:rPr>
        <w:t>s</w:t>
      </w:r>
      <w:r w:rsidR="00B76544">
        <w:rPr>
          <w:rFonts w:asciiTheme="minorHAnsi" w:hAnsiTheme="minorHAnsi" w:cs="Calibri"/>
          <w:color w:val="000000" w:themeColor="text1"/>
          <w:szCs w:val="24"/>
        </w:rPr>
        <w:t xml:space="preserve"> </w:t>
      </w:r>
      <w:r w:rsidRPr="00AA73C5" w:rsidR="00B76544">
        <w:rPr>
          <w:rFonts w:asciiTheme="minorHAnsi" w:hAnsiTheme="minorHAnsi" w:cs="Calibri"/>
          <w:color w:val="000000" w:themeColor="text1"/>
          <w:szCs w:val="24"/>
        </w:rPr>
        <w:t>(</w:t>
      </w:r>
      <w:r w:rsidR="00ED1E1C">
        <w:rPr>
          <w:rFonts w:asciiTheme="minorHAnsi" w:hAnsiTheme="minorHAnsi" w:cs="Calibri"/>
          <w:color w:val="000000" w:themeColor="text1"/>
          <w:szCs w:val="24"/>
        </w:rPr>
        <w:t>89</w:t>
      </w:r>
      <w:r w:rsidRPr="00AA73C5" w:rsidR="00B76544">
        <w:rPr>
          <w:rFonts w:asciiTheme="minorHAnsi" w:hAnsiTheme="minorHAnsi" w:cs="Calibri"/>
          <w:color w:val="000000" w:themeColor="text1"/>
          <w:szCs w:val="24"/>
        </w:rPr>
        <w:t>.</w:t>
      </w:r>
      <w:r w:rsidR="00B76544">
        <w:rPr>
          <w:rFonts w:asciiTheme="minorHAnsi" w:hAnsiTheme="minorHAnsi" w:cs="Calibri"/>
          <w:color w:val="000000" w:themeColor="text1"/>
          <w:szCs w:val="24"/>
        </w:rPr>
        <w:t>7</w:t>
      </w:r>
      <w:r w:rsidRPr="00AA73C5" w:rsidR="00B76544">
        <w:rPr>
          <w:rFonts w:asciiTheme="minorHAnsi" w:hAnsiTheme="minorHAnsi" w:cs="Calibri"/>
          <w:color w:val="000000" w:themeColor="text1"/>
          <w:szCs w:val="24"/>
        </w:rPr>
        <w:t xml:space="preserve"> days) than respondents in the control group </w:t>
      </w:r>
      <w:r w:rsidR="00D73AB8">
        <w:rPr>
          <w:rFonts w:asciiTheme="minorHAnsi" w:hAnsiTheme="minorHAnsi" w:cs="Calibri"/>
          <w:color w:val="000000" w:themeColor="text1"/>
          <w:szCs w:val="24"/>
        </w:rPr>
        <w:t>that received</w:t>
      </w:r>
      <w:r w:rsidR="002A07C5">
        <w:rPr>
          <w:rFonts w:asciiTheme="minorHAnsi" w:hAnsiTheme="minorHAnsi" w:cs="Calibri"/>
          <w:color w:val="000000" w:themeColor="text1"/>
          <w:szCs w:val="24"/>
        </w:rPr>
        <w:t xml:space="preserve"> telephone reminders</w:t>
      </w:r>
      <w:r w:rsidR="00D73AB8">
        <w:rPr>
          <w:rFonts w:asciiTheme="minorHAnsi" w:hAnsiTheme="minorHAnsi" w:cs="Calibri"/>
          <w:color w:val="000000" w:themeColor="text1"/>
          <w:szCs w:val="24"/>
        </w:rPr>
        <w:t xml:space="preserve"> </w:t>
      </w:r>
      <w:r w:rsidRPr="00AA73C5" w:rsidR="00B76544">
        <w:rPr>
          <w:rFonts w:asciiTheme="minorHAnsi" w:hAnsiTheme="minorHAnsi" w:cs="Calibri"/>
          <w:color w:val="000000" w:themeColor="text1"/>
          <w:szCs w:val="24"/>
        </w:rPr>
        <w:t>(</w:t>
      </w:r>
      <w:r w:rsidR="00D73AB8">
        <w:rPr>
          <w:rFonts w:asciiTheme="minorHAnsi" w:hAnsiTheme="minorHAnsi" w:cs="Calibri"/>
          <w:color w:val="000000" w:themeColor="text1"/>
          <w:szCs w:val="24"/>
        </w:rPr>
        <w:t>83</w:t>
      </w:r>
      <w:r w:rsidRPr="00AA73C5" w:rsidR="00B76544">
        <w:rPr>
          <w:rFonts w:asciiTheme="minorHAnsi" w:hAnsiTheme="minorHAnsi" w:cs="Calibri"/>
          <w:color w:val="000000" w:themeColor="text1"/>
          <w:szCs w:val="24"/>
        </w:rPr>
        <w:t>.</w:t>
      </w:r>
      <w:r w:rsidR="00D73AB8">
        <w:rPr>
          <w:rFonts w:asciiTheme="minorHAnsi" w:hAnsiTheme="minorHAnsi" w:cs="Calibri"/>
          <w:color w:val="000000" w:themeColor="text1"/>
          <w:szCs w:val="24"/>
        </w:rPr>
        <w:t>6</w:t>
      </w:r>
      <w:r w:rsidRPr="00AA73C5" w:rsidR="00B76544">
        <w:rPr>
          <w:rFonts w:asciiTheme="minorHAnsi" w:hAnsiTheme="minorHAnsi" w:cs="Calibri"/>
          <w:color w:val="000000" w:themeColor="text1"/>
          <w:szCs w:val="24"/>
        </w:rPr>
        <w:t xml:space="preserve"> days) to complete the survey</w:t>
      </w:r>
      <w:r w:rsidR="00B76544">
        <w:rPr>
          <w:rFonts w:asciiTheme="minorHAnsi" w:hAnsiTheme="minorHAnsi" w:cs="Calibri"/>
          <w:color w:val="000000" w:themeColor="text1"/>
          <w:szCs w:val="24"/>
        </w:rPr>
        <w:t xml:space="preserve">, </w:t>
      </w:r>
      <w:r w:rsidR="0098005A">
        <w:rPr>
          <w:rFonts w:asciiTheme="minorHAnsi" w:hAnsiTheme="minorHAnsi" w:cs="Calibri"/>
          <w:color w:val="000000" w:themeColor="text1"/>
          <w:szCs w:val="24"/>
        </w:rPr>
        <w:t xml:space="preserve">a statistically significant difference </w:t>
      </w:r>
      <w:r w:rsidRPr="00AA73C5" w:rsidR="00B76544">
        <w:rPr>
          <w:rFonts w:asciiTheme="minorHAnsi" w:hAnsiTheme="minorHAnsi" w:cs="Calibri"/>
          <w:color w:val="000000" w:themeColor="text1"/>
          <w:szCs w:val="24"/>
        </w:rPr>
        <w:t>(t(</w:t>
      </w:r>
      <w:r w:rsidR="00B76544">
        <w:rPr>
          <w:rFonts w:asciiTheme="minorHAnsi" w:hAnsiTheme="minorHAnsi" w:cs="Calibri"/>
          <w:color w:val="000000" w:themeColor="text1"/>
          <w:szCs w:val="24"/>
        </w:rPr>
        <w:t>1</w:t>
      </w:r>
      <w:r w:rsidRPr="00AA73C5" w:rsidR="00B76544">
        <w:rPr>
          <w:rFonts w:asciiTheme="minorHAnsi" w:hAnsiTheme="minorHAnsi" w:cs="Calibri"/>
          <w:color w:val="000000" w:themeColor="text1"/>
          <w:szCs w:val="24"/>
        </w:rPr>
        <w:t>,</w:t>
      </w:r>
      <w:r w:rsidR="00B45CD3">
        <w:rPr>
          <w:rFonts w:asciiTheme="minorHAnsi" w:hAnsiTheme="minorHAnsi" w:cs="Calibri"/>
          <w:color w:val="000000" w:themeColor="text1"/>
          <w:szCs w:val="24"/>
        </w:rPr>
        <w:t>363</w:t>
      </w:r>
      <w:r w:rsidRPr="00AA73C5" w:rsidR="00B76544">
        <w:rPr>
          <w:rFonts w:asciiTheme="minorHAnsi" w:hAnsiTheme="minorHAnsi" w:cs="Calibri"/>
          <w:color w:val="000000" w:themeColor="text1"/>
          <w:szCs w:val="24"/>
        </w:rPr>
        <w:t xml:space="preserve">) = </w:t>
      </w:r>
      <w:r w:rsidR="00E868A2">
        <w:rPr>
          <w:rFonts w:asciiTheme="minorHAnsi" w:hAnsiTheme="minorHAnsi" w:cs="Calibri"/>
          <w:color w:val="000000" w:themeColor="text1"/>
          <w:szCs w:val="24"/>
        </w:rPr>
        <w:t>-3</w:t>
      </w:r>
      <w:r w:rsidRPr="00AA73C5" w:rsidR="00B76544">
        <w:rPr>
          <w:rFonts w:asciiTheme="minorHAnsi" w:hAnsiTheme="minorHAnsi" w:cs="Calibri"/>
          <w:color w:val="000000" w:themeColor="text1"/>
          <w:szCs w:val="24"/>
        </w:rPr>
        <w:t>.</w:t>
      </w:r>
      <w:r w:rsidR="00E868A2">
        <w:rPr>
          <w:rFonts w:asciiTheme="minorHAnsi" w:hAnsiTheme="minorHAnsi" w:cs="Calibri"/>
          <w:color w:val="000000" w:themeColor="text1"/>
          <w:szCs w:val="24"/>
        </w:rPr>
        <w:t>83</w:t>
      </w:r>
      <w:r w:rsidRPr="00AA73C5" w:rsidR="00B76544">
        <w:rPr>
          <w:rFonts w:asciiTheme="minorHAnsi" w:hAnsiTheme="minorHAnsi" w:cs="Calibri"/>
          <w:color w:val="000000" w:themeColor="text1"/>
          <w:szCs w:val="24"/>
        </w:rPr>
        <w:t xml:space="preserve">, p </w:t>
      </w:r>
      <w:r w:rsidR="00E868A2">
        <w:rPr>
          <w:rFonts w:asciiTheme="minorHAnsi" w:hAnsiTheme="minorHAnsi" w:cs="Calibri"/>
          <w:color w:val="000000" w:themeColor="text1"/>
          <w:szCs w:val="24"/>
        </w:rPr>
        <w:t>&lt;</w:t>
      </w:r>
      <w:r w:rsidRPr="00AA73C5" w:rsidR="00B76544">
        <w:rPr>
          <w:rFonts w:asciiTheme="minorHAnsi" w:hAnsiTheme="minorHAnsi" w:cs="Calibri"/>
          <w:color w:val="000000" w:themeColor="text1"/>
          <w:szCs w:val="24"/>
        </w:rPr>
        <w:t xml:space="preserve"> 0.</w:t>
      </w:r>
      <w:r w:rsidR="00E868A2">
        <w:rPr>
          <w:rFonts w:asciiTheme="minorHAnsi" w:hAnsiTheme="minorHAnsi" w:cs="Calibri"/>
          <w:color w:val="000000" w:themeColor="text1"/>
          <w:szCs w:val="24"/>
        </w:rPr>
        <w:t>001</w:t>
      </w:r>
      <w:r w:rsidRPr="00AA73C5" w:rsidR="00B76544">
        <w:rPr>
          <w:rFonts w:asciiTheme="minorHAnsi" w:hAnsiTheme="minorHAnsi" w:cs="Calibri"/>
          <w:color w:val="000000" w:themeColor="text1"/>
          <w:szCs w:val="24"/>
        </w:rPr>
        <w:t xml:space="preserve">). </w:t>
      </w:r>
      <w:r w:rsidR="00B76544">
        <w:rPr>
          <w:rFonts w:asciiTheme="minorHAnsi" w:hAnsiTheme="minorHAnsi" w:cs="Calibri"/>
          <w:color w:val="000000" w:themeColor="text1"/>
          <w:szCs w:val="24"/>
        </w:rPr>
        <w:t xml:space="preserve">Together, these results indicate that </w:t>
      </w:r>
      <w:r w:rsidR="00094000">
        <w:rPr>
          <w:rFonts w:asciiTheme="minorHAnsi" w:hAnsiTheme="minorHAnsi" w:cs="Calibri"/>
          <w:color w:val="000000" w:themeColor="text1"/>
          <w:szCs w:val="24"/>
        </w:rPr>
        <w:t xml:space="preserve">telephone reminders, despite their cost, are still useful for encouraging response </w:t>
      </w:r>
      <w:r w:rsidR="0014622D">
        <w:rPr>
          <w:rFonts w:asciiTheme="minorHAnsi" w:hAnsiTheme="minorHAnsi" w:cs="Calibri"/>
          <w:color w:val="000000" w:themeColor="text1"/>
          <w:szCs w:val="24"/>
        </w:rPr>
        <w:t>from sample members who have responded to NPSAS and BPS survey requests in the past</w:t>
      </w:r>
      <w:r w:rsidR="00B76544">
        <w:rPr>
          <w:rFonts w:asciiTheme="minorHAnsi" w:hAnsiTheme="minorHAnsi" w:cs="Calibri"/>
          <w:color w:val="000000" w:themeColor="text1"/>
          <w:szCs w:val="24"/>
        </w:rPr>
        <w:t xml:space="preserve">. </w:t>
      </w:r>
      <w:r w:rsidRPr="00AA73C5" w:rsidR="00B76544">
        <w:rPr>
          <w:rFonts w:asciiTheme="minorHAnsi" w:hAnsiTheme="minorHAnsi" w:cs="Calibri"/>
          <w:color w:val="000000" w:themeColor="text1"/>
          <w:szCs w:val="24"/>
        </w:rPr>
        <w:t>T</w:t>
      </w:r>
      <w:r w:rsidR="0014622D">
        <w:rPr>
          <w:rFonts w:asciiTheme="minorHAnsi" w:hAnsiTheme="minorHAnsi" w:cs="Calibri"/>
          <w:color w:val="000000" w:themeColor="text1"/>
          <w:szCs w:val="24"/>
        </w:rPr>
        <w:t xml:space="preserve">o balance the utility and </w:t>
      </w:r>
      <w:r w:rsidR="00E57682">
        <w:rPr>
          <w:rFonts w:asciiTheme="minorHAnsi" w:hAnsiTheme="minorHAnsi" w:cs="Calibri"/>
          <w:color w:val="000000" w:themeColor="text1"/>
          <w:szCs w:val="24"/>
        </w:rPr>
        <w:t xml:space="preserve">cost of </w:t>
      </w:r>
      <w:r w:rsidR="00E74FE7">
        <w:rPr>
          <w:rFonts w:asciiTheme="minorHAnsi" w:hAnsiTheme="minorHAnsi" w:cs="Calibri"/>
          <w:color w:val="000000" w:themeColor="text1"/>
          <w:szCs w:val="24"/>
        </w:rPr>
        <w:t xml:space="preserve">telephone reminders, </w:t>
      </w:r>
      <w:r w:rsidR="00A660E0">
        <w:rPr>
          <w:rFonts w:asciiTheme="minorHAnsi" w:hAnsiTheme="minorHAnsi" w:cs="Calibri"/>
          <w:color w:val="000000" w:themeColor="text1"/>
          <w:szCs w:val="24"/>
        </w:rPr>
        <w:t xml:space="preserve">in the </w:t>
      </w:r>
      <w:r w:rsidRPr="00AA73C5" w:rsidR="00A660E0">
        <w:rPr>
          <w:rFonts w:asciiTheme="minorHAnsi" w:hAnsiTheme="minorHAnsi" w:cs="Calibri"/>
          <w:color w:val="000000" w:themeColor="text1"/>
          <w:szCs w:val="24"/>
        </w:rPr>
        <w:t>BPS:20/2</w:t>
      </w:r>
      <w:r w:rsidR="00A660E0">
        <w:rPr>
          <w:rFonts w:asciiTheme="minorHAnsi" w:hAnsiTheme="minorHAnsi" w:cs="Calibri"/>
          <w:color w:val="000000" w:themeColor="text1"/>
          <w:szCs w:val="24"/>
        </w:rPr>
        <w:t>5</w:t>
      </w:r>
      <w:r w:rsidRPr="00AA73C5" w:rsidR="00A660E0">
        <w:rPr>
          <w:rFonts w:asciiTheme="minorHAnsi" w:hAnsiTheme="minorHAnsi" w:cs="Calibri"/>
          <w:color w:val="000000" w:themeColor="text1"/>
          <w:szCs w:val="24"/>
        </w:rPr>
        <w:t xml:space="preserve"> full</w:t>
      </w:r>
      <w:r w:rsidR="006F3DE7">
        <w:rPr>
          <w:rFonts w:asciiTheme="minorHAnsi" w:hAnsiTheme="minorHAnsi" w:cs="Calibri"/>
          <w:color w:val="000000" w:themeColor="text1"/>
          <w:szCs w:val="24"/>
        </w:rPr>
        <w:t>-</w:t>
      </w:r>
      <w:r w:rsidRPr="00AA73C5" w:rsidR="00A660E0">
        <w:rPr>
          <w:rFonts w:asciiTheme="minorHAnsi" w:hAnsiTheme="minorHAnsi" w:cs="Calibri"/>
          <w:color w:val="000000" w:themeColor="text1"/>
          <w:szCs w:val="24"/>
        </w:rPr>
        <w:t xml:space="preserve">scale </w:t>
      </w:r>
      <w:r w:rsidR="006F3DE7">
        <w:rPr>
          <w:rFonts w:asciiTheme="minorHAnsi" w:hAnsiTheme="minorHAnsi" w:cs="Calibri"/>
          <w:color w:val="000000" w:themeColor="text1"/>
          <w:szCs w:val="24"/>
        </w:rPr>
        <w:t>study</w:t>
      </w:r>
      <w:r w:rsidRPr="00AA73C5" w:rsidR="006F3DE7">
        <w:rPr>
          <w:rFonts w:asciiTheme="minorHAnsi" w:hAnsiTheme="minorHAnsi" w:cs="Calibri"/>
          <w:color w:val="000000" w:themeColor="text1"/>
          <w:szCs w:val="24"/>
        </w:rPr>
        <w:t xml:space="preserve"> </w:t>
      </w:r>
      <w:r w:rsidR="00E74FE7">
        <w:rPr>
          <w:rFonts w:asciiTheme="minorHAnsi" w:hAnsiTheme="minorHAnsi" w:cs="Calibri"/>
          <w:color w:val="000000" w:themeColor="text1"/>
          <w:szCs w:val="24"/>
        </w:rPr>
        <w:t xml:space="preserve">we recommend using telephone reminders </w:t>
      </w:r>
      <w:r w:rsidR="00A660E0">
        <w:rPr>
          <w:rFonts w:asciiTheme="minorHAnsi" w:hAnsiTheme="minorHAnsi" w:cs="Calibri"/>
          <w:color w:val="000000" w:themeColor="text1"/>
          <w:szCs w:val="24"/>
        </w:rPr>
        <w:t xml:space="preserve">only </w:t>
      </w:r>
      <w:r w:rsidR="00E74FE7">
        <w:rPr>
          <w:rFonts w:asciiTheme="minorHAnsi" w:hAnsiTheme="minorHAnsi" w:cs="Calibri"/>
          <w:color w:val="000000" w:themeColor="text1"/>
          <w:szCs w:val="24"/>
        </w:rPr>
        <w:t>for</w:t>
      </w:r>
      <w:r w:rsidR="00A660E0">
        <w:rPr>
          <w:rFonts w:asciiTheme="minorHAnsi" w:hAnsiTheme="minorHAnsi" w:cs="Calibri"/>
          <w:color w:val="000000" w:themeColor="text1"/>
          <w:szCs w:val="24"/>
        </w:rPr>
        <w:t xml:space="preserve"> certain sample members in the </w:t>
      </w:r>
      <w:r w:rsidR="005F40A7">
        <w:rPr>
          <w:rFonts w:asciiTheme="minorHAnsi" w:hAnsiTheme="minorHAnsi" w:cs="Calibri"/>
          <w:color w:val="000000" w:themeColor="text1"/>
          <w:szCs w:val="24"/>
        </w:rPr>
        <w:t>default data collection group</w:t>
      </w:r>
      <w:r w:rsidR="00A660E0">
        <w:rPr>
          <w:rFonts w:asciiTheme="minorHAnsi" w:hAnsiTheme="minorHAnsi" w:cs="Calibri"/>
          <w:color w:val="000000" w:themeColor="text1"/>
          <w:szCs w:val="24"/>
        </w:rPr>
        <w:t>; specifically,</w:t>
      </w:r>
      <w:r w:rsidR="005F40A7">
        <w:rPr>
          <w:rFonts w:asciiTheme="minorHAnsi" w:hAnsiTheme="minorHAnsi" w:cs="Calibri"/>
          <w:color w:val="000000" w:themeColor="text1"/>
          <w:szCs w:val="24"/>
        </w:rPr>
        <w:t xml:space="preserve"> </w:t>
      </w:r>
      <w:r w:rsidR="00E74FE7">
        <w:rPr>
          <w:rFonts w:asciiTheme="minorHAnsi" w:hAnsiTheme="minorHAnsi" w:cs="Calibri"/>
          <w:color w:val="000000" w:themeColor="text1"/>
          <w:szCs w:val="24"/>
        </w:rPr>
        <w:t xml:space="preserve">sample members in the </w:t>
      </w:r>
      <w:r w:rsidR="00883B23">
        <w:rPr>
          <w:rFonts w:asciiTheme="minorHAnsi" w:hAnsiTheme="minorHAnsi" w:cs="Calibri"/>
          <w:color w:val="000000" w:themeColor="text1"/>
          <w:szCs w:val="24"/>
        </w:rPr>
        <w:t xml:space="preserve">default data collection group </w:t>
      </w:r>
      <w:r w:rsidR="002D2D9A">
        <w:rPr>
          <w:rFonts w:asciiTheme="minorHAnsi" w:hAnsiTheme="minorHAnsi" w:cs="Calibri"/>
          <w:color w:val="000000" w:themeColor="text1"/>
          <w:szCs w:val="24"/>
        </w:rPr>
        <w:t xml:space="preserve">that belong to </w:t>
      </w:r>
      <w:r w:rsidR="0062524B">
        <w:rPr>
          <w:rFonts w:asciiTheme="minorHAnsi" w:hAnsiTheme="minorHAnsi" w:cs="Calibri"/>
          <w:color w:val="000000" w:themeColor="text1"/>
          <w:szCs w:val="24"/>
        </w:rPr>
        <w:t xml:space="preserve">demographic groups with </w:t>
      </w:r>
      <w:r w:rsidR="008932A3">
        <w:rPr>
          <w:rFonts w:asciiTheme="minorHAnsi" w:hAnsiTheme="minorHAnsi" w:cs="Calibri"/>
          <w:color w:val="000000" w:themeColor="text1"/>
          <w:szCs w:val="24"/>
        </w:rPr>
        <w:t>low</w:t>
      </w:r>
      <w:r w:rsidR="004F6813">
        <w:rPr>
          <w:rFonts w:asciiTheme="minorHAnsi" w:hAnsiTheme="minorHAnsi" w:cs="Calibri"/>
          <w:color w:val="000000" w:themeColor="text1"/>
          <w:szCs w:val="24"/>
        </w:rPr>
        <w:t>er</w:t>
      </w:r>
      <w:r w:rsidR="008932A3">
        <w:rPr>
          <w:rFonts w:asciiTheme="minorHAnsi" w:hAnsiTheme="minorHAnsi" w:cs="Calibri"/>
          <w:color w:val="000000" w:themeColor="text1"/>
          <w:szCs w:val="24"/>
        </w:rPr>
        <w:t xml:space="preserve"> response rates</w:t>
      </w:r>
      <w:r w:rsidR="00903482">
        <w:rPr>
          <w:rFonts w:asciiTheme="minorHAnsi" w:hAnsiTheme="minorHAnsi" w:cs="Calibri"/>
          <w:color w:val="000000" w:themeColor="text1"/>
          <w:szCs w:val="24"/>
        </w:rPr>
        <w:t>. Encouraging response from these groups with telephone reminders would</w:t>
      </w:r>
      <w:r w:rsidR="008932A3">
        <w:rPr>
          <w:rFonts w:asciiTheme="minorHAnsi" w:hAnsiTheme="minorHAnsi" w:cs="Calibri"/>
          <w:color w:val="000000" w:themeColor="text1"/>
          <w:szCs w:val="24"/>
        </w:rPr>
        <w:t xml:space="preserve"> reduce the</w:t>
      </w:r>
      <w:r w:rsidR="00B81B22">
        <w:rPr>
          <w:rFonts w:asciiTheme="minorHAnsi" w:hAnsiTheme="minorHAnsi" w:cs="Calibri"/>
          <w:color w:val="000000" w:themeColor="text1"/>
          <w:szCs w:val="24"/>
        </w:rPr>
        <w:t>ir</w:t>
      </w:r>
      <w:r w:rsidR="008932A3">
        <w:rPr>
          <w:rFonts w:asciiTheme="minorHAnsi" w:hAnsiTheme="minorHAnsi" w:cs="Calibri"/>
          <w:color w:val="000000" w:themeColor="text1"/>
          <w:szCs w:val="24"/>
        </w:rPr>
        <w:t xml:space="preserve"> potential for nonresponse bias.</w:t>
      </w:r>
    </w:p>
    <w:p w:rsidR="00185D28" w:rsidRPr="008859AF" w:rsidP="008D6EF5" w14:paraId="4032B1F9" w14:textId="4C6956E8">
      <w:pPr>
        <w:pStyle w:val="Heading2"/>
        <w:numPr>
          <w:ilvl w:val="0"/>
          <w:numId w:val="12"/>
        </w:numPr>
      </w:pPr>
      <w:bookmarkStart w:id="53" w:name="_Toc268593752"/>
      <w:bookmarkStart w:id="54" w:name="_Toc135923536"/>
      <w:bookmarkStart w:id="55" w:name="_Toc174598855"/>
      <w:bookmarkEnd w:id="20"/>
      <w:bookmarkEnd w:id="21"/>
      <w:r w:rsidRPr="008859AF">
        <w:t>Reviewing Statisticians and Individuals Responsible for Designing and Conducting the Study</w:t>
      </w:r>
      <w:bookmarkEnd w:id="53"/>
      <w:bookmarkEnd w:id="54"/>
      <w:bookmarkEnd w:id="55"/>
    </w:p>
    <w:p w:rsidR="00FF32B1" w:rsidP="00FF32B1" w14:paraId="2F92FACD" w14:textId="3F0ABA7E">
      <w:pPr>
        <w:pStyle w:val="NormalWeb"/>
        <w:rPr>
          <w:rFonts w:ascii="Garamond" w:hAnsi="Garamond" w:cs="Calibri"/>
          <w:color w:val="000000"/>
        </w:rPr>
      </w:pPr>
      <w:r w:rsidRPr="001C2BC1">
        <w:rPr>
          <w:rFonts w:ascii="Garamond" w:hAnsi="Garamond" w:cs="Calibri"/>
          <w:color w:val="000000"/>
        </w:rPr>
        <w:t>BPS:20/25 is being conducted by NCES. The following statisticians at NCES are responsible for the statistical aspects of the study: Dr. David Richards, Dr. Tracy Hunt-White, Dr. Sean Simone, Dr. Elise Christopher, and Dr. Gail Mulligan. NCES's prime contractor for BPS:20/25 is RTI International (</w:t>
      </w:r>
      <w:r w:rsidRPr="00AF6B55">
        <w:rPr>
          <w:rFonts w:ascii="Garamond" w:hAnsi="Garamond"/>
          <w:color w:val="000000"/>
        </w:rPr>
        <w:t>Contract# 919900-18-C-0039</w:t>
      </w:r>
      <w:r w:rsidRPr="001C2BC1">
        <w:rPr>
          <w:rFonts w:ascii="Garamond" w:hAnsi="Garamond" w:cs="Calibri"/>
          <w:color w:val="000000"/>
        </w:rPr>
        <w:t>), and subcontractors include Activate Research; EurekaFacts; HR Directions; Leonard Resource Group; Research Support Services; and Strategic Communications, Inc. The following staff members at RTI are working on the statistical aspects of the study design: Dr. Joshua Pretlow, Dr. Jennifer Wine, Mr. Darryl Cooney, Mr. Michael Bryan, Dr. T. Austin Lacy, Dr. Emilia Peytcheva, Mr. Peter Siegel</w:t>
      </w:r>
      <w:r>
        <w:rPr>
          <w:rFonts w:ascii="Garamond" w:hAnsi="Garamond" w:cs="Calibri"/>
          <w:color w:val="000000"/>
        </w:rPr>
        <w:t>, and Dr. Jerry Timbrook</w:t>
      </w:r>
      <w:r w:rsidRPr="001C2BC1">
        <w:rPr>
          <w:rFonts w:ascii="Garamond" w:hAnsi="Garamond" w:cs="Calibri"/>
          <w:color w:val="000000"/>
        </w:rPr>
        <w:t>. Principal professional RTI staff not listed above, who are assigned to the study include: Ms. Ashley Wilson, Ms. Kristin Dudley, Mr. Jeff Franklin, Ms. Chris Rasmussen, and Ms. Donna Anderson.</w:t>
      </w:r>
    </w:p>
    <w:p w:rsidR="00642641" w:rsidP="008D7E61" w14:paraId="0EA7E330" w14:textId="77777777">
      <w:pPr>
        <w:pStyle w:val="BodyText"/>
      </w:pPr>
    </w:p>
    <w:sectPr w:rsidSect="00D43A80">
      <w:footerReference w:type="even" r:id="rId10"/>
      <w:footerReference w:type="default" r:id="rId11"/>
      <w:type w:val="continuous"/>
      <w:pgSz w:w="12240" w:h="15840" w:code="1"/>
      <w:pgMar w:top="720" w:right="864" w:bottom="720" w:left="864" w:header="432" w:footer="288" w:gutter="0"/>
      <w:cols w:sep="1"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6FF" w:usb1="420024FF" w:usb2="02000000" w:usb3="00000000" w:csb0="0000019F" w:csb1="00000000"/>
  </w:font>
  <w:font w:name="Arial Unicode MS">
    <w:panose1 w:val="020B0604020202020204"/>
    <w:charset w:val="00"/>
    <w:family w:val="roman"/>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Arial Narrow">
    <w:panose1 w:val="020B0606020202030204"/>
    <w:charset w:val="00"/>
    <w:family w:val="swiss"/>
    <w:pitch w:val="variable"/>
    <w:sig w:usb0="00000287" w:usb1="00000800" w:usb2="00000000" w:usb3="00000000" w:csb0="0000009F" w:csb1="00000000"/>
  </w:font>
  <w:font w:name="ITC Avant Garde Std Bk">
    <w:altName w:val="Century Gothic"/>
    <w:charset w:val="00"/>
    <w:family w:val="auto"/>
    <w:pitch w:val="default"/>
  </w:font>
  <w:font w:name="SimSun">
    <w:altName w:val="宋体"/>
    <w:panose1 w:val="02010600030101010101"/>
    <w:charset w:val="86"/>
    <w:family w:val="auto"/>
    <w:pitch w:val="variable"/>
    <w:sig w:usb0="00000203" w:usb1="288F0000" w:usb2="00000016" w:usb3="00000000" w:csb0="00040001" w:csb1="00000000"/>
  </w:font>
  <w:font w:name="Myriad Pro">
    <w:altName w:val="Times New Roman"/>
    <w:panose1 w:val="00000000000000000000"/>
    <w:charset w:val="00"/>
    <w:family w:val="swiss"/>
    <w:notTrueType/>
    <w:pitch w:val="variable"/>
    <w:sig w:usb0="A00002AF" w:usb1="5000204B" w:usb2="00000000" w:usb3="00000000" w:csb0="0000019F" w:csb1="00000000"/>
  </w:font>
  <w:font w:name="Calibri">
    <w:panose1 w:val="020F0502020204030204"/>
    <w:charset w:val="00"/>
    <w:family w:val="swiss"/>
    <w:pitch w:val="variable"/>
    <w:sig w:usb0="E4002EFF" w:usb1="C000247B" w:usb2="00000009" w:usb3="00000000" w:csb0="000001FF" w:csb1="00000000"/>
  </w:font>
  <w:font w:name="Adobe Garamond Pro">
    <w:altName w:val="Georgia"/>
    <w:panose1 w:val="00000000000000000000"/>
    <w:charset w:val="00"/>
    <w:family w:val="roman"/>
    <w:notTrueType/>
    <w:pitch w:val="variable"/>
    <w:sig w:usb0="800000AF" w:usb1="5000205B" w:usb2="00000000" w:usb3="00000000" w:csb0="0000009B"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174A17" w:rsidP="008D3581" w14:paraId="0F02DD56" w14:textId="7777777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13</w:t>
    </w:r>
    <w:r>
      <w:rPr>
        <w:rStyle w:val="PageNumber"/>
      </w:rPr>
      <w:fldChar w:fldCharType="end"/>
    </w:r>
  </w:p>
  <w:p w:rsidR="00174A17" w14:paraId="7BF1D453"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1290315619"/>
      <w:docPartObj>
        <w:docPartGallery w:val="Page Numbers (Bottom of Page)"/>
        <w:docPartUnique/>
      </w:docPartObj>
    </w:sdtPr>
    <w:sdtEndPr>
      <w:rPr>
        <w:noProof/>
        <w:sz w:val="18"/>
        <w:szCs w:val="18"/>
      </w:rPr>
    </w:sdtEndPr>
    <w:sdtContent>
      <w:p w:rsidR="00174A17" w:rsidRPr="006536E3" w:rsidP="00803802" w14:paraId="41612D1D" w14:textId="6A3A158D">
        <w:pPr>
          <w:pStyle w:val="Footer"/>
          <w:jc w:val="center"/>
          <w:rPr>
            <w:sz w:val="18"/>
            <w:szCs w:val="18"/>
          </w:rPr>
        </w:pPr>
        <w:r w:rsidRPr="006536E3">
          <w:rPr>
            <w:color w:val="2B579A"/>
            <w:sz w:val="18"/>
            <w:szCs w:val="18"/>
            <w:shd w:val="clear" w:color="auto" w:fill="E6E6E6"/>
          </w:rPr>
          <w:fldChar w:fldCharType="begin"/>
        </w:r>
        <w:r w:rsidRPr="006536E3">
          <w:rPr>
            <w:sz w:val="18"/>
            <w:szCs w:val="18"/>
          </w:rPr>
          <w:instrText xml:space="preserve"> PAGE   \* MERGEFORMAT </w:instrText>
        </w:r>
        <w:r w:rsidRPr="006536E3">
          <w:rPr>
            <w:color w:val="2B579A"/>
            <w:sz w:val="18"/>
            <w:szCs w:val="18"/>
            <w:shd w:val="clear" w:color="auto" w:fill="E6E6E6"/>
          </w:rPr>
          <w:fldChar w:fldCharType="separate"/>
        </w:r>
        <w:r w:rsidRPr="006536E3">
          <w:rPr>
            <w:noProof/>
            <w:sz w:val="18"/>
            <w:szCs w:val="18"/>
          </w:rPr>
          <w:t>16</w:t>
        </w:r>
        <w:r w:rsidRPr="006536E3">
          <w:rPr>
            <w:noProof/>
            <w:color w:val="2B579A"/>
            <w:sz w:val="18"/>
            <w:szCs w:val="18"/>
            <w:shd w:val="clear" w:color="auto" w:fill="E6E6E6"/>
          </w:rPr>
          <w:fldChar w:fldCharType="end"/>
        </w:r>
      </w:p>
    </w:sdtContent>
  </w:sdt>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FFFFFF7F"/>
    <w:multiLevelType w:val="singleLevel"/>
    <w:tmpl w:val="39A274E6"/>
    <w:lvl w:ilvl="0">
      <w:start w:val="1"/>
      <w:numFmt w:val="decimal"/>
      <w:pStyle w:val="ListNumber2"/>
      <w:lvlText w:val="%1."/>
      <w:lvlJc w:val="left"/>
      <w:pPr>
        <w:tabs>
          <w:tab w:val="num" w:pos="720"/>
        </w:tabs>
        <w:ind w:left="720" w:hanging="360"/>
      </w:pPr>
    </w:lvl>
  </w:abstractNum>
  <w:abstractNum w:abstractNumId="1">
    <w:nsid w:val="FFFFFF88"/>
    <w:multiLevelType w:val="multilevel"/>
    <w:tmpl w:val="94A2A068"/>
    <w:lvl w:ilvl="0">
      <w:start w:val="1"/>
      <w:numFmt w:val="decimal"/>
      <w:pStyle w:val="ListNumber"/>
      <w:lvlText w:val="%1."/>
      <w:lvlJc w:val="left"/>
      <w:pPr>
        <w:tabs>
          <w:tab w:val="num" w:pos="1440"/>
        </w:tabs>
        <w:ind w:left="1440" w:hanging="360"/>
      </w:pPr>
      <w:rPr>
        <w:rFonts w:hint="default"/>
      </w:rPr>
    </w:lvl>
    <w:lvl w:ilvl="1">
      <w:start w:val="1"/>
      <w:numFmt w:val="bullet"/>
      <w:lvlText w:val=""/>
      <w:lvlJc w:val="left"/>
      <w:pPr>
        <w:tabs>
          <w:tab w:val="num" w:pos="1800"/>
        </w:tabs>
        <w:ind w:left="1800" w:hanging="360"/>
      </w:pPr>
      <w:rPr>
        <w:rFonts w:ascii="Symbol" w:hAnsi="Symbol"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520"/>
        </w:tabs>
        <w:ind w:left="2520" w:hanging="360"/>
      </w:pPr>
      <w:rPr>
        <w:rFonts w:ascii="Symbol" w:hAnsi="Symbol" w:hint="default"/>
      </w:rPr>
    </w:lvl>
    <w:lvl w:ilvl="4">
      <w:start w:val="1"/>
      <w:numFmt w:val="bullet"/>
      <w:lvlText w:val=""/>
      <w:lvlJc w:val="left"/>
      <w:pPr>
        <w:tabs>
          <w:tab w:val="num" w:pos="2880"/>
        </w:tabs>
        <w:ind w:left="2880" w:hanging="360"/>
      </w:pPr>
      <w:rPr>
        <w:rFonts w:ascii="Symbol" w:hAnsi="Symbol" w:hint="default"/>
      </w:rPr>
    </w:lvl>
    <w:lvl w:ilvl="5">
      <w:start w:val="1"/>
      <w:numFmt w:val="bullet"/>
      <w:lvlText w:val=""/>
      <w:lvlJc w:val="left"/>
      <w:pPr>
        <w:tabs>
          <w:tab w:val="num" w:pos="3240"/>
        </w:tabs>
        <w:ind w:left="3240" w:hanging="360"/>
      </w:pPr>
      <w:rPr>
        <w:rFonts w:ascii="Wingdings" w:hAnsi="Wingdings" w:hint="default"/>
      </w:rPr>
    </w:lvl>
    <w:lvl w:ilvl="6">
      <w:start w:val="1"/>
      <w:numFmt w:val="bullet"/>
      <w:lvlText w:val=""/>
      <w:lvlJc w:val="left"/>
      <w:pPr>
        <w:tabs>
          <w:tab w:val="num" w:pos="3600"/>
        </w:tabs>
        <w:ind w:left="3600" w:hanging="360"/>
      </w:pPr>
      <w:rPr>
        <w:rFonts w:ascii="Wingdings" w:hAnsi="Wingdings" w:hint="default"/>
      </w:rPr>
    </w:lvl>
    <w:lvl w:ilvl="7">
      <w:start w:val="1"/>
      <w:numFmt w:val="bullet"/>
      <w:lvlText w:val=""/>
      <w:lvlJc w:val="left"/>
      <w:pPr>
        <w:tabs>
          <w:tab w:val="num" w:pos="3960"/>
        </w:tabs>
        <w:ind w:left="3960" w:hanging="360"/>
      </w:pPr>
      <w:rPr>
        <w:rFonts w:ascii="Symbol" w:hAnsi="Symbol" w:hint="default"/>
      </w:rPr>
    </w:lvl>
    <w:lvl w:ilvl="8">
      <w:start w:val="1"/>
      <w:numFmt w:val="bullet"/>
      <w:lvlText w:val=""/>
      <w:lvlJc w:val="left"/>
      <w:pPr>
        <w:tabs>
          <w:tab w:val="num" w:pos="4320"/>
        </w:tabs>
        <w:ind w:left="4320" w:hanging="360"/>
      </w:pPr>
      <w:rPr>
        <w:rFonts w:ascii="Symbol" w:hAnsi="Symbol" w:hint="default"/>
      </w:rPr>
    </w:lvl>
  </w:abstractNum>
  <w:abstractNum w:abstractNumId="2">
    <w:nsid w:val="114D7A80"/>
    <w:multiLevelType w:val="hybridMultilevel"/>
    <w:tmpl w:val="DA22E2DE"/>
    <w:lvl w:ilvl="0">
      <w:start w:val="1"/>
      <w:numFmt w:val="bullet"/>
      <w:pStyle w:val="List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
    <w:nsid w:val="174201E2"/>
    <w:multiLevelType w:val="hybridMultilevel"/>
    <w:tmpl w:val="D724125A"/>
    <w:lvl w:ilvl="0">
      <w:start w:val="1"/>
      <w:numFmt w:val="lowerLetter"/>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4">
    <w:nsid w:val="1A9A2979"/>
    <w:multiLevelType w:val="hybridMultilevel"/>
    <w:tmpl w:val="D724125A"/>
    <w:lvl w:ilvl="0">
      <w:start w:val="1"/>
      <w:numFmt w:val="lowerLetter"/>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5">
    <w:nsid w:val="1E711DA0"/>
    <w:multiLevelType w:val="multilevel"/>
    <w:tmpl w:val="36CCBA4E"/>
    <w:lvl w:ilvl="0">
      <w:start w:val="1"/>
      <w:numFmt w:val="decimal"/>
      <w:lvlText w:val="%1)"/>
      <w:lvlJc w:val="left"/>
      <w:pPr>
        <w:ind w:left="360" w:hanging="360"/>
      </w:pPr>
      <w:rPr>
        <w:rFonts w:hint="default"/>
      </w:rPr>
    </w:lvl>
    <w:lvl w:ilvl="1">
      <w:start w:val="5"/>
      <w:numFmt w:val="decimal"/>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
    <w:nsid w:val="26147436"/>
    <w:multiLevelType w:val="hybridMultilevel"/>
    <w:tmpl w:val="61FC8754"/>
    <w:lvl w:ilvl="0">
      <w:start w:val="1"/>
      <w:numFmt w:val="decimal"/>
      <w:pStyle w:val="Style2"/>
      <w:lvlText w:val="%1."/>
      <w:lvlJc w:val="left"/>
      <w:pPr>
        <w:tabs>
          <w:tab w:val="num" w:pos="720"/>
        </w:tabs>
        <w:ind w:left="720" w:hanging="360"/>
      </w:pPr>
      <w:rPr>
        <w:rFonts w:cs="Times New Roman"/>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7">
    <w:nsid w:val="288660C5"/>
    <w:multiLevelType w:val="multilevel"/>
    <w:tmpl w:val="86C83CCE"/>
    <w:lvl w:ilvl="0">
      <w:start w:val="1"/>
      <w:numFmt w:val="bullet"/>
      <w:lvlText w:val=""/>
      <w:lvlJc w:val="left"/>
      <w:pPr>
        <w:tabs>
          <w:tab w:val="num" w:pos="0"/>
        </w:tabs>
        <w:ind w:left="0" w:firstLine="360"/>
      </w:pPr>
      <w:rPr>
        <w:rFonts w:ascii="Symbol" w:hAnsi="Symbol" w:hint="default"/>
        <w:sz w:val="24"/>
      </w:rPr>
    </w:lvl>
    <w:lvl w:ilvl="1">
      <w:start w:val="1"/>
      <w:numFmt w:val="bullet"/>
      <w:lvlText w:val=""/>
      <w:lvlJc w:val="left"/>
      <w:pPr>
        <w:tabs>
          <w:tab w:val="num" w:pos="720"/>
        </w:tabs>
        <w:ind w:left="720" w:hanging="360"/>
      </w:pPr>
      <w:rPr>
        <w:rFonts w:ascii="Symbol" w:hAnsi="Symbol" w:hint="default"/>
      </w:rPr>
    </w:lvl>
    <w:lvl w:ilvl="2">
      <w:start w:val="1"/>
      <w:numFmt w:val="bullet"/>
      <w:pStyle w:val="bullet3rdlevel"/>
      <w:lvlText w:val=""/>
      <w:lvlJc w:val="left"/>
      <w:pPr>
        <w:tabs>
          <w:tab w:val="num" w:pos="1080"/>
        </w:tabs>
        <w:ind w:left="1080" w:hanging="360"/>
      </w:pPr>
      <w:rPr>
        <w:rFonts w:ascii="Wingdings" w:hAnsi="Wingdings" w:hint="default"/>
      </w:rPr>
    </w:lvl>
    <w:lvl w:ilvl="3">
      <w:start w:val="1"/>
      <w:numFmt w:val="bullet"/>
      <w:lvlText w:val=""/>
      <w:lvlJc w:val="left"/>
      <w:pPr>
        <w:tabs>
          <w:tab w:val="num" w:pos="1440"/>
        </w:tabs>
        <w:ind w:left="1440" w:hanging="360"/>
      </w:pPr>
      <w:rPr>
        <w:rFonts w:ascii="Symbol" w:hAnsi="Symbol"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8">
    <w:nsid w:val="2A326B69"/>
    <w:multiLevelType w:val="hybridMultilevel"/>
    <w:tmpl w:val="0DE43FC8"/>
    <w:lvl w:ilvl="0">
      <w:start w:val="1"/>
      <w:numFmt w:val="bullet"/>
      <w:pStyle w:val="ListParagraph"/>
      <w:lvlText w:val=""/>
      <w:lvlJc w:val="left"/>
      <w:pPr>
        <w:ind w:left="1080" w:hanging="360"/>
      </w:pPr>
      <w:rPr>
        <w:rFonts w:ascii="Symbol" w:hAnsi="Symbol" w:hint="default"/>
      </w:rPr>
    </w:lvl>
    <w:lvl w:ilvl="1">
      <w:start w:val="1"/>
      <w:numFmt w:val="lowerLetter"/>
      <w:lvlText w:val="%2."/>
      <w:lvlJc w:val="left"/>
      <w:pPr>
        <w:ind w:left="1440" w:hanging="360"/>
      </w:pPr>
      <w:rPr>
        <w:rFonts w:hint="default"/>
      </w:r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9">
    <w:nsid w:val="2B4B219E"/>
    <w:multiLevelType w:val="hybridMultilevel"/>
    <w:tmpl w:val="233C30C6"/>
    <w:lvl w:ilvl="0">
      <w:start w:val="1"/>
      <w:numFmt w:val="bullet"/>
      <w:pStyle w:val="bulletslast"/>
      <w:lvlText w:val="■"/>
      <w:lvlJc w:val="left"/>
      <w:pPr>
        <w:tabs>
          <w:tab w:val="num" w:pos="360"/>
        </w:tabs>
        <w:ind w:left="360" w:hanging="360"/>
      </w:pPr>
      <w:rPr>
        <w:rFonts w:ascii="Times New Roman" w:hAnsi="Times New Roman" w:cs="Times New Roman" w:hint="default"/>
      </w:rPr>
    </w:lvl>
    <w:lvl w:ilvl="1" w:tentative="1">
      <w:start w:val="1"/>
      <w:numFmt w:val="bullet"/>
      <w:lvlText w:val="o"/>
      <w:lvlJc w:val="left"/>
      <w:pPr>
        <w:tabs>
          <w:tab w:val="num" w:pos="1080"/>
        </w:tabs>
        <w:ind w:left="1080" w:hanging="360"/>
      </w:pPr>
      <w:rPr>
        <w:rFonts w:ascii="Courier New" w:hAnsi="Courier New" w:cs="Courier New" w:hint="default"/>
      </w:rPr>
    </w:lvl>
    <w:lvl w:ilvl="2" w:tentative="1">
      <w:start w:val="1"/>
      <w:numFmt w:val="bullet"/>
      <w:lvlText w:val=""/>
      <w:lvlJc w:val="left"/>
      <w:pPr>
        <w:tabs>
          <w:tab w:val="num" w:pos="1800"/>
        </w:tabs>
        <w:ind w:left="1800" w:hanging="360"/>
      </w:pPr>
      <w:rPr>
        <w:rFonts w:ascii="Wingdings" w:hAnsi="Wingdings" w:hint="default"/>
      </w:rPr>
    </w:lvl>
    <w:lvl w:ilvl="3" w:tentative="1">
      <w:start w:val="1"/>
      <w:numFmt w:val="bullet"/>
      <w:lvlText w:val=""/>
      <w:lvlJc w:val="left"/>
      <w:pPr>
        <w:tabs>
          <w:tab w:val="num" w:pos="2520"/>
        </w:tabs>
        <w:ind w:left="2520" w:hanging="360"/>
      </w:pPr>
      <w:rPr>
        <w:rFonts w:ascii="Symbol" w:hAnsi="Symbol" w:hint="default"/>
      </w:rPr>
    </w:lvl>
    <w:lvl w:ilvl="4" w:tentative="1">
      <w:start w:val="1"/>
      <w:numFmt w:val="bullet"/>
      <w:lvlText w:val="o"/>
      <w:lvlJc w:val="left"/>
      <w:pPr>
        <w:tabs>
          <w:tab w:val="num" w:pos="3240"/>
        </w:tabs>
        <w:ind w:left="3240" w:hanging="360"/>
      </w:pPr>
      <w:rPr>
        <w:rFonts w:ascii="Courier New" w:hAnsi="Courier New" w:cs="Courier New" w:hint="default"/>
      </w:rPr>
    </w:lvl>
    <w:lvl w:ilvl="5" w:tentative="1">
      <w:start w:val="1"/>
      <w:numFmt w:val="bullet"/>
      <w:lvlText w:val=""/>
      <w:lvlJc w:val="left"/>
      <w:pPr>
        <w:tabs>
          <w:tab w:val="num" w:pos="3960"/>
        </w:tabs>
        <w:ind w:left="3960" w:hanging="360"/>
      </w:pPr>
      <w:rPr>
        <w:rFonts w:ascii="Wingdings" w:hAnsi="Wingdings" w:hint="default"/>
      </w:rPr>
    </w:lvl>
    <w:lvl w:ilvl="6" w:tentative="1">
      <w:start w:val="1"/>
      <w:numFmt w:val="bullet"/>
      <w:lvlText w:val=""/>
      <w:lvlJc w:val="left"/>
      <w:pPr>
        <w:tabs>
          <w:tab w:val="num" w:pos="4680"/>
        </w:tabs>
        <w:ind w:left="4680" w:hanging="360"/>
      </w:pPr>
      <w:rPr>
        <w:rFonts w:ascii="Symbol" w:hAnsi="Symbol" w:hint="default"/>
      </w:rPr>
    </w:lvl>
    <w:lvl w:ilvl="7" w:tentative="1">
      <w:start w:val="1"/>
      <w:numFmt w:val="bullet"/>
      <w:lvlText w:val="o"/>
      <w:lvlJc w:val="left"/>
      <w:pPr>
        <w:tabs>
          <w:tab w:val="num" w:pos="5400"/>
        </w:tabs>
        <w:ind w:left="5400" w:hanging="360"/>
      </w:pPr>
      <w:rPr>
        <w:rFonts w:ascii="Courier New" w:hAnsi="Courier New" w:cs="Courier New" w:hint="default"/>
      </w:rPr>
    </w:lvl>
    <w:lvl w:ilvl="8" w:tentative="1">
      <w:start w:val="1"/>
      <w:numFmt w:val="bullet"/>
      <w:lvlText w:val=""/>
      <w:lvlJc w:val="left"/>
      <w:pPr>
        <w:tabs>
          <w:tab w:val="num" w:pos="6120"/>
        </w:tabs>
        <w:ind w:left="6120" w:hanging="360"/>
      </w:pPr>
      <w:rPr>
        <w:rFonts w:ascii="Wingdings" w:hAnsi="Wingdings" w:hint="default"/>
      </w:rPr>
    </w:lvl>
  </w:abstractNum>
  <w:abstractNum w:abstractNumId="10">
    <w:nsid w:val="2D6F2EFB"/>
    <w:multiLevelType w:val="hybridMultilevel"/>
    <w:tmpl w:val="32182A1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1">
    <w:nsid w:val="2EA22ABC"/>
    <w:multiLevelType w:val="hybridMultilevel"/>
    <w:tmpl w:val="605E73AA"/>
    <w:lvl w:ilvl="0">
      <w:start w:val="1"/>
      <w:numFmt w:val="bullet"/>
      <w:pStyle w:val="bulletround"/>
      <w:lvlText w:val=""/>
      <w:lvlJc w:val="left"/>
      <w:pPr>
        <w:tabs>
          <w:tab w:val="num" w:pos="1440"/>
        </w:tabs>
        <w:ind w:left="1080" w:hanging="360"/>
      </w:pPr>
      <w:rPr>
        <w:rFonts w:ascii="Symbol" w:hAnsi="Symbol" w:hint="default"/>
      </w:rPr>
    </w:lvl>
    <w:lvl w:ilvl="1">
      <w:start w:val="1"/>
      <w:numFmt w:val="bullet"/>
      <w:lvlText w:val="o"/>
      <w:lvlJc w:val="left"/>
      <w:pPr>
        <w:tabs>
          <w:tab w:val="num" w:pos="2160"/>
        </w:tabs>
        <w:ind w:left="2160" w:hanging="360"/>
      </w:pPr>
      <w:rPr>
        <w:rFonts w:ascii="Courier New" w:hAnsi="Courier New" w:cs="Courier New" w:hint="default"/>
      </w:rPr>
    </w:lvl>
    <w:lvl w:ilvl="2" w:tentative="1">
      <w:start w:val="1"/>
      <w:numFmt w:val="bullet"/>
      <w:lvlText w:val=""/>
      <w:lvlJc w:val="left"/>
      <w:pPr>
        <w:tabs>
          <w:tab w:val="num" w:pos="2880"/>
        </w:tabs>
        <w:ind w:left="2880" w:hanging="360"/>
      </w:pPr>
      <w:rPr>
        <w:rFonts w:ascii="Wingdings" w:hAnsi="Wingdings" w:hint="default"/>
      </w:rPr>
    </w:lvl>
    <w:lvl w:ilvl="3" w:tentative="1">
      <w:start w:val="1"/>
      <w:numFmt w:val="bullet"/>
      <w:lvlText w:val=""/>
      <w:lvlJc w:val="left"/>
      <w:pPr>
        <w:tabs>
          <w:tab w:val="num" w:pos="3600"/>
        </w:tabs>
        <w:ind w:left="3600" w:hanging="360"/>
      </w:pPr>
      <w:rPr>
        <w:rFonts w:ascii="Symbol" w:hAnsi="Symbol" w:hint="default"/>
      </w:rPr>
    </w:lvl>
    <w:lvl w:ilvl="4" w:tentative="1">
      <w:start w:val="1"/>
      <w:numFmt w:val="bullet"/>
      <w:lvlText w:val="o"/>
      <w:lvlJc w:val="left"/>
      <w:pPr>
        <w:tabs>
          <w:tab w:val="num" w:pos="4320"/>
        </w:tabs>
        <w:ind w:left="4320" w:hanging="360"/>
      </w:pPr>
      <w:rPr>
        <w:rFonts w:ascii="Courier New" w:hAnsi="Courier New" w:cs="Courier New" w:hint="default"/>
      </w:rPr>
    </w:lvl>
    <w:lvl w:ilvl="5" w:tentative="1">
      <w:start w:val="1"/>
      <w:numFmt w:val="bullet"/>
      <w:lvlText w:val=""/>
      <w:lvlJc w:val="left"/>
      <w:pPr>
        <w:tabs>
          <w:tab w:val="num" w:pos="5040"/>
        </w:tabs>
        <w:ind w:left="5040" w:hanging="360"/>
      </w:pPr>
      <w:rPr>
        <w:rFonts w:ascii="Wingdings" w:hAnsi="Wingdings" w:hint="default"/>
      </w:rPr>
    </w:lvl>
    <w:lvl w:ilvl="6" w:tentative="1">
      <w:start w:val="1"/>
      <w:numFmt w:val="bullet"/>
      <w:lvlText w:val=""/>
      <w:lvlJc w:val="left"/>
      <w:pPr>
        <w:tabs>
          <w:tab w:val="num" w:pos="5760"/>
        </w:tabs>
        <w:ind w:left="5760" w:hanging="360"/>
      </w:pPr>
      <w:rPr>
        <w:rFonts w:ascii="Symbol" w:hAnsi="Symbol" w:hint="default"/>
      </w:rPr>
    </w:lvl>
    <w:lvl w:ilvl="7" w:tentative="1">
      <w:start w:val="1"/>
      <w:numFmt w:val="bullet"/>
      <w:lvlText w:val="o"/>
      <w:lvlJc w:val="left"/>
      <w:pPr>
        <w:tabs>
          <w:tab w:val="num" w:pos="6480"/>
        </w:tabs>
        <w:ind w:left="6480" w:hanging="360"/>
      </w:pPr>
      <w:rPr>
        <w:rFonts w:ascii="Courier New" w:hAnsi="Courier New" w:cs="Courier New" w:hint="default"/>
      </w:rPr>
    </w:lvl>
    <w:lvl w:ilvl="8" w:tentative="1">
      <w:start w:val="1"/>
      <w:numFmt w:val="bullet"/>
      <w:lvlText w:val=""/>
      <w:lvlJc w:val="left"/>
      <w:pPr>
        <w:tabs>
          <w:tab w:val="num" w:pos="7200"/>
        </w:tabs>
        <w:ind w:left="7200" w:hanging="360"/>
      </w:pPr>
      <w:rPr>
        <w:rFonts w:ascii="Wingdings" w:hAnsi="Wingdings" w:hint="default"/>
      </w:rPr>
    </w:lvl>
  </w:abstractNum>
  <w:abstractNum w:abstractNumId="12">
    <w:nsid w:val="3453024E"/>
    <w:multiLevelType w:val="hybridMultilevel"/>
    <w:tmpl w:val="943A16AC"/>
    <w:lvl w:ilvl="0">
      <w:start w:val="1"/>
      <w:numFmt w:val="bullet"/>
      <w:pStyle w:val="bullets-2ndlevel"/>
      <w:lvlText w:val=""/>
      <w:lvlJc w:val="left"/>
      <w:pPr>
        <w:tabs>
          <w:tab w:val="num" w:pos="720"/>
        </w:tabs>
        <w:ind w:left="720" w:hanging="360"/>
      </w:pPr>
      <w:rPr>
        <w:rFonts w:ascii="Wingdings" w:hAnsi="Wingdings" w:hint="default"/>
      </w:rPr>
    </w:lvl>
    <w:lvl w:ilvl="1">
      <w:start w:val="3"/>
      <w:numFmt w:val="decimal"/>
      <w:lvlText w:val="%2."/>
      <w:lvlJc w:val="left"/>
      <w:pPr>
        <w:tabs>
          <w:tab w:val="num" w:pos="1440"/>
        </w:tabs>
        <w:ind w:left="1440" w:hanging="360"/>
      </w:pPr>
      <w:rPr>
        <w:rFonts w:ascii="Times New Roman" w:eastAsia="Times New Roman" w:hAnsi="Times New Roman" w:cs="Times New Roman"/>
      </w:r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3">
    <w:nsid w:val="3EDE1B8B"/>
    <w:multiLevelType w:val="hybridMultilevel"/>
    <w:tmpl w:val="360AA39E"/>
    <w:lvl w:ilvl="0">
      <w:start w:val="1"/>
      <w:numFmt w:val="lowerLetter"/>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14">
    <w:nsid w:val="413A0F43"/>
    <w:multiLevelType w:val="hybridMultilevel"/>
    <w:tmpl w:val="B8CCF978"/>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nsid w:val="41CC0037"/>
    <w:multiLevelType w:val="hybridMultilevel"/>
    <w:tmpl w:val="E23A4A86"/>
    <w:lvl w:ilvl="0">
      <w:start w:val="1"/>
      <w:numFmt w:val="bullet"/>
      <w:lvlText w:val=""/>
      <w:lvlJc w:val="left"/>
      <w:pPr>
        <w:tabs>
          <w:tab w:val="num" w:pos="360"/>
        </w:tabs>
        <w:ind w:left="360" w:hanging="360"/>
      </w:pPr>
      <w:rPr>
        <w:rFonts w:ascii="Symbol" w:hAnsi="Symbol" w:hint="default"/>
        <w:sz w:val="24"/>
      </w:rPr>
    </w:lvl>
    <w:lvl w:ilvl="1">
      <w:start w:val="1"/>
      <w:numFmt w:val="bullet"/>
      <w:pStyle w:val="bullet2ndlevel"/>
      <w:lvlText w:val=""/>
      <w:lvlJc w:val="left"/>
      <w:pPr>
        <w:tabs>
          <w:tab w:val="num" w:pos="720"/>
        </w:tabs>
        <w:ind w:left="720" w:hanging="360"/>
      </w:pPr>
      <w:rPr>
        <w:rFonts w:ascii="Symbol" w:hAnsi="Symbol" w:hint="default"/>
        <w:sz w:val="24"/>
      </w:rPr>
    </w:lvl>
    <w:lvl w:ilvl="2">
      <w:start w:val="1"/>
      <w:numFmt w:val="bullet"/>
      <w:lvlText w:val=""/>
      <w:lvlJc w:val="left"/>
      <w:pPr>
        <w:tabs>
          <w:tab w:val="num" w:pos="1440"/>
        </w:tabs>
        <w:ind w:left="1440" w:hanging="360"/>
      </w:pPr>
      <w:rPr>
        <w:rFonts w:ascii="Wingdings" w:hAnsi="Wingdings" w:hint="default"/>
      </w:rPr>
    </w:lvl>
    <w:lvl w:ilvl="3">
      <w:start w:val="1"/>
      <w:numFmt w:val="bullet"/>
      <w:lvlText w:val=""/>
      <w:lvlJc w:val="left"/>
      <w:pPr>
        <w:tabs>
          <w:tab w:val="num" w:pos="2160"/>
        </w:tabs>
        <w:ind w:left="2160" w:hanging="360"/>
      </w:pPr>
      <w:rPr>
        <w:rFonts w:ascii="Symbol" w:hAnsi="Symbol" w:hint="default"/>
      </w:rPr>
    </w:lvl>
    <w:lvl w:ilvl="4">
      <w:start w:val="1"/>
      <w:numFmt w:val="bullet"/>
      <w:lvlText w:val="o"/>
      <w:lvlJc w:val="left"/>
      <w:pPr>
        <w:tabs>
          <w:tab w:val="num" w:pos="2880"/>
        </w:tabs>
        <w:ind w:left="2880" w:hanging="360"/>
      </w:pPr>
      <w:rPr>
        <w:rFonts w:ascii="Courier New" w:hAnsi="Courier New" w:hint="default"/>
      </w:rPr>
    </w:lvl>
    <w:lvl w:ilvl="5">
      <w:start w:val="1"/>
      <w:numFmt w:val="bullet"/>
      <w:lvlText w:val=""/>
      <w:lvlJc w:val="left"/>
      <w:pPr>
        <w:tabs>
          <w:tab w:val="num" w:pos="3600"/>
        </w:tabs>
        <w:ind w:left="3600" w:hanging="360"/>
      </w:pPr>
      <w:rPr>
        <w:rFonts w:ascii="Wingdings" w:hAnsi="Wingdings" w:hint="default"/>
      </w:rPr>
    </w:lvl>
    <w:lvl w:ilvl="6">
      <w:start w:val="1"/>
      <w:numFmt w:val="bullet"/>
      <w:lvlText w:val=""/>
      <w:lvlJc w:val="left"/>
      <w:pPr>
        <w:tabs>
          <w:tab w:val="num" w:pos="4320"/>
        </w:tabs>
        <w:ind w:left="4320" w:hanging="360"/>
      </w:pPr>
      <w:rPr>
        <w:rFonts w:ascii="Symbol" w:hAnsi="Symbol" w:hint="default"/>
      </w:rPr>
    </w:lvl>
    <w:lvl w:ilvl="7">
      <w:start w:val="1"/>
      <w:numFmt w:val="bullet"/>
      <w:lvlText w:val="o"/>
      <w:lvlJc w:val="left"/>
      <w:pPr>
        <w:tabs>
          <w:tab w:val="num" w:pos="5040"/>
        </w:tabs>
        <w:ind w:left="5040" w:hanging="360"/>
      </w:pPr>
      <w:rPr>
        <w:rFonts w:ascii="Courier New" w:hAnsi="Courier New" w:hint="default"/>
      </w:rPr>
    </w:lvl>
    <w:lvl w:ilvl="8">
      <w:start w:val="1"/>
      <w:numFmt w:val="bullet"/>
      <w:lvlText w:val=""/>
      <w:lvlJc w:val="left"/>
      <w:pPr>
        <w:tabs>
          <w:tab w:val="num" w:pos="5760"/>
        </w:tabs>
        <w:ind w:left="5760" w:hanging="360"/>
      </w:pPr>
      <w:rPr>
        <w:rFonts w:ascii="Wingdings" w:hAnsi="Wingdings" w:hint="default"/>
      </w:rPr>
    </w:lvl>
  </w:abstractNum>
  <w:abstractNum w:abstractNumId="16">
    <w:nsid w:val="4746003F"/>
    <w:multiLevelType w:val="hybridMultilevel"/>
    <w:tmpl w:val="4A586156"/>
    <w:lvl w:ilvl="0">
      <w:start w:val="1"/>
      <w:numFmt w:val="bullet"/>
      <w:lvlText w:val=""/>
      <w:lvlJc w:val="left"/>
      <w:pPr>
        <w:ind w:left="1080" w:hanging="360"/>
      </w:pPr>
      <w:rPr>
        <w:rFonts w:ascii="Symbol" w:hAnsi="Symbol" w:hint="default"/>
      </w:rPr>
    </w:lvl>
    <w:lvl w:ilvl="1">
      <w:start w:val="1"/>
      <w:numFmt w:val="lowerLetter"/>
      <w:lvlText w:val="%2."/>
      <w:lvlJc w:val="left"/>
      <w:pPr>
        <w:ind w:left="1440" w:hanging="360"/>
      </w:pPr>
      <w:rPr>
        <w:rFonts w:hint="default"/>
      </w:r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17">
    <w:nsid w:val="4E653F17"/>
    <w:multiLevelType w:val="hybridMultilevel"/>
    <w:tmpl w:val="F19CA802"/>
    <w:lvl w:ilvl="0">
      <w:start w:val="1"/>
      <w:numFmt w:val="bullet"/>
      <w:pStyle w:val="bullets"/>
      <w:lvlText w:val="■"/>
      <w:lvlJc w:val="left"/>
      <w:pPr>
        <w:tabs>
          <w:tab w:val="num" w:pos="720"/>
        </w:tabs>
        <w:ind w:left="720" w:hanging="360"/>
      </w:pPr>
      <w:rPr>
        <w:rFonts w:ascii="Times New Roman" w:hAnsi="Times New Roman" w:cs="Times New Roman" w:hint="default"/>
        <w:lang w:val="en-US"/>
      </w:rPr>
    </w:lvl>
    <w:lvl w:ilvl="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8">
    <w:nsid w:val="56B533BB"/>
    <w:multiLevelType w:val="multilevel"/>
    <w:tmpl w:val="51B4D88A"/>
    <w:styleLink w:val="CurrentList1"/>
    <w:lvl w:ilvl="0">
      <w:start w:val="1"/>
      <w:numFmt w:val="lowerLetter"/>
      <w:lvlText w:val="%1."/>
      <w:lvlJc w:val="left"/>
      <w:pPr>
        <w:ind w:left="1080" w:hanging="360"/>
      </w:pPr>
      <w:rPr>
        <w:rFont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9">
    <w:nsid w:val="5CFC068A"/>
    <w:multiLevelType w:val="hybridMultilevel"/>
    <w:tmpl w:val="3190BA2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0">
    <w:nsid w:val="66576418"/>
    <w:multiLevelType w:val="hybridMultilevel"/>
    <w:tmpl w:val="83EC54E0"/>
    <w:lvl w:ilvl="0">
      <w:start w:val="1"/>
      <w:numFmt w:val="bullet"/>
      <w:lvlText w:val=""/>
      <w:lvlJc w:val="left"/>
      <w:pPr>
        <w:ind w:left="810" w:hanging="360"/>
      </w:pPr>
      <w:rPr>
        <w:rFonts w:ascii="Symbol" w:hAnsi="Symbol" w:hint="default"/>
      </w:rPr>
    </w:lvl>
    <w:lvl w:ilvl="1" w:tentative="1">
      <w:start w:val="1"/>
      <w:numFmt w:val="bullet"/>
      <w:lvlText w:val="o"/>
      <w:lvlJc w:val="left"/>
      <w:pPr>
        <w:ind w:left="1530" w:hanging="360"/>
      </w:pPr>
      <w:rPr>
        <w:rFonts w:ascii="Courier New" w:hAnsi="Courier New" w:cs="Courier New" w:hint="default"/>
      </w:rPr>
    </w:lvl>
    <w:lvl w:ilvl="2" w:tentative="1">
      <w:start w:val="1"/>
      <w:numFmt w:val="bullet"/>
      <w:lvlText w:val=""/>
      <w:lvlJc w:val="left"/>
      <w:pPr>
        <w:ind w:left="2250" w:hanging="360"/>
      </w:pPr>
      <w:rPr>
        <w:rFonts w:ascii="Wingdings" w:hAnsi="Wingdings" w:hint="default"/>
      </w:rPr>
    </w:lvl>
    <w:lvl w:ilvl="3" w:tentative="1">
      <w:start w:val="1"/>
      <w:numFmt w:val="bullet"/>
      <w:lvlText w:val=""/>
      <w:lvlJc w:val="left"/>
      <w:pPr>
        <w:ind w:left="2970" w:hanging="360"/>
      </w:pPr>
      <w:rPr>
        <w:rFonts w:ascii="Symbol" w:hAnsi="Symbol" w:hint="default"/>
      </w:rPr>
    </w:lvl>
    <w:lvl w:ilvl="4" w:tentative="1">
      <w:start w:val="1"/>
      <w:numFmt w:val="bullet"/>
      <w:lvlText w:val="o"/>
      <w:lvlJc w:val="left"/>
      <w:pPr>
        <w:ind w:left="3690" w:hanging="360"/>
      </w:pPr>
      <w:rPr>
        <w:rFonts w:ascii="Courier New" w:hAnsi="Courier New" w:cs="Courier New" w:hint="default"/>
      </w:rPr>
    </w:lvl>
    <w:lvl w:ilvl="5" w:tentative="1">
      <w:start w:val="1"/>
      <w:numFmt w:val="bullet"/>
      <w:lvlText w:val=""/>
      <w:lvlJc w:val="left"/>
      <w:pPr>
        <w:ind w:left="4410" w:hanging="360"/>
      </w:pPr>
      <w:rPr>
        <w:rFonts w:ascii="Wingdings" w:hAnsi="Wingdings" w:hint="default"/>
      </w:rPr>
    </w:lvl>
    <w:lvl w:ilvl="6" w:tentative="1">
      <w:start w:val="1"/>
      <w:numFmt w:val="bullet"/>
      <w:lvlText w:val=""/>
      <w:lvlJc w:val="left"/>
      <w:pPr>
        <w:ind w:left="5130" w:hanging="360"/>
      </w:pPr>
      <w:rPr>
        <w:rFonts w:ascii="Symbol" w:hAnsi="Symbol" w:hint="default"/>
      </w:rPr>
    </w:lvl>
    <w:lvl w:ilvl="7" w:tentative="1">
      <w:start w:val="1"/>
      <w:numFmt w:val="bullet"/>
      <w:lvlText w:val="o"/>
      <w:lvlJc w:val="left"/>
      <w:pPr>
        <w:ind w:left="5850" w:hanging="360"/>
      </w:pPr>
      <w:rPr>
        <w:rFonts w:ascii="Courier New" w:hAnsi="Courier New" w:cs="Courier New" w:hint="default"/>
      </w:rPr>
    </w:lvl>
    <w:lvl w:ilvl="8" w:tentative="1">
      <w:start w:val="1"/>
      <w:numFmt w:val="bullet"/>
      <w:lvlText w:val=""/>
      <w:lvlJc w:val="left"/>
      <w:pPr>
        <w:ind w:left="6570" w:hanging="360"/>
      </w:pPr>
      <w:rPr>
        <w:rFonts w:ascii="Wingdings" w:hAnsi="Wingdings" w:hint="default"/>
      </w:rPr>
    </w:lvl>
  </w:abstractNum>
  <w:abstractNum w:abstractNumId="21">
    <w:nsid w:val="673652CB"/>
    <w:multiLevelType w:val="hybridMultilevel"/>
    <w:tmpl w:val="0658AEDA"/>
    <w:lvl w:ilvl="0">
      <w:start w:val="1"/>
      <w:numFmt w:val="bullet"/>
      <w:lvlText w:val=""/>
      <w:lvlJc w:val="left"/>
      <w:pPr>
        <w:ind w:left="1080" w:hanging="360"/>
      </w:pPr>
      <w:rPr>
        <w:rFonts w:ascii="Symbol" w:hAnsi="Symbol" w:hint="default"/>
      </w:rPr>
    </w:lvl>
    <w:lvl w:ilvl="1">
      <w:start w:val="1"/>
      <w:numFmt w:val="lowerLetter"/>
      <w:lvlText w:val="%2."/>
      <w:lvlJc w:val="left"/>
      <w:pPr>
        <w:ind w:left="1440" w:hanging="360"/>
      </w:pPr>
      <w:rPr>
        <w:rFonts w:hint="default"/>
      </w:r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num w:numId="1" w16cid:durableId="1180587895">
    <w:abstractNumId w:val="7"/>
  </w:num>
  <w:num w:numId="2" w16cid:durableId="712997705">
    <w:abstractNumId w:val="6"/>
  </w:num>
  <w:num w:numId="3" w16cid:durableId="847406646">
    <w:abstractNumId w:val="15"/>
  </w:num>
  <w:num w:numId="4" w16cid:durableId="545024958">
    <w:abstractNumId w:val="11"/>
  </w:num>
  <w:num w:numId="5" w16cid:durableId="738940944">
    <w:abstractNumId w:val="8"/>
  </w:num>
  <w:num w:numId="6" w16cid:durableId="1435516202">
    <w:abstractNumId w:val="1"/>
  </w:num>
  <w:num w:numId="7" w16cid:durableId="695740166">
    <w:abstractNumId w:val="0"/>
  </w:num>
  <w:num w:numId="8" w16cid:durableId="570120877">
    <w:abstractNumId w:val="2"/>
  </w:num>
  <w:num w:numId="9" w16cid:durableId="250702830">
    <w:abstractNumId w:val="17"/>
  </w:num>
  <w:num w:numId="10" w16cid:durableId="530994816">
    <w:abstractNumId w:val="9"/>
  </w:num>
  <w:num w:numId="11" w16cid:durableId="37900237">
    <w:abstractNumId w:val="12"/>
  </w:num>
  <w:num w:numId="12" w16cid:durableId="1051224291">
    <w:abstractNumId w:val="14"/>
  </w:num>
  <w:num w:numId="13" w16cid:durableId="1342464791">
    <w:abstractNumId w:val="18"/>
  </w:num>
  <w:num w:numId="14" w16cid:durableId="441648932">
    <w:abstractNumId w:val="5"/>
  </w:num>
  <w:num w:numId="15" w16cid:durableId="342126076">
    <w:abstractNumId w:val="20"/>
  </w:num>
  <w:num w:numId="16" w16cid:durableId="697318800">
    <w:abstractNumId w:val="10"/>
  </w:num>
  <w:num w:numId="17" w16cid:durableId="173808440">
    <w:abstractNumId w:val="19"/>
  </w:num>
  <w:num w:numId="18" w16cid:durableId="1493568761">
    <w:abstractNumId w:val="13"/>
  </w:num>
  <w:num w:numId="19" w16cid:durableId="897324442">
    <w:abstractNumId w:val="4"/>
  </w:num>
  <w:num w:numId="20" w16cid:durableId="1793209350">
    <w:abstractNumId w:val="3"/>
  </w:num>
  <w:num w:numId="21" w16cid:durableId="81921147">
    <w:abstractNumId w:val="21"/>
  </w:num>
  <w:num w:numId="22" w16cid:durableId="681735943">
    <w:abstractNumId w:val="16"/>
  </w:num>
  <w:num w:numId="23" w16cid:durableId="1226647836">
    <w:abstractNumId w:val="8"/>
  </w:num>
  <w:num w:numId="24" w16cid:durableId="1766225119">
    <w:abstractNumId w:val="8"/>
  </w:num>
  <w:num w:numId="25" w16cid:durableId="2114015263">
    <w:abstractNumId w:val="8"/>
  </w:num>
  <w:num w:numId="26" w16cid:durableId="2097747845">
    <w:abstractNumId w:val="8"/>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embedSystemFonts/>
  <w:stylePaneFormatFilter w:val="3801" w:allStyles="1" w:alternateStyleNames="0" w:clearFormatting="1" w:customStyles="0" w:directFormattingOnNumbering="0" w:directFormattingOnParagraphs="0" w:directFormattingOnRuns="0" w:directFormattingOnTables="1" w:headingStyles="0" w:latentStyles="0" w:numberingStyles="0" w:stylesInUse="0" w:tableStyles="0" w:top3HeadingStyles="1" w:visibleStyles="0"/>
  <w:stylePaneSortMethod w:val="name"/>
  <w:defaultTabStop w:val="360"/>
  <w:doNotHyphenateCaps/>
  <w:drawingGridHorizontalSpacing w:val="120"/>
  <w:drawingGridVerticalSpacing w:val="187"/>
  <w:displayHorizontalDrawingGridEvery w:val="2"/>
  <w:noPunctuationKerning/>
  <w:characterSpacingControl w:val="doNotCompress"/>
  <w:doNotEmbedSmartTags/>
  <w:doNotValidateAgainstSchema/>
  <w:doNotDemarcateInvalidXml/>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0A33"/>
    <w:rsid w:val="00000234"/>
    <w:rsid w:val="00000386"/>
    <w:rsid w:val="00000630"/>
    <w:rsid w:val="000017D7"/>
    <w:rsid w:val="00002236"/>
    <w:rsid w:val="0000228F"/>
    <w:rsid w:val="00002700"/>
    <w:rsid w:val="00002FA7"/>
    <w:rsid w:val="0000307B"/>
    <w:rsid w:val="00003953"/>
    <w:rsid w:val="00003AB6"/>
    <w:rsid w:val="00003E3D"/>
    <w:rsid w:val="00004C74"/>
    <w:rsid w:val="00004D46"/>
    <w:rsid w:val="0000562B"/>
    <w:rsid w:val="000056D7"/>
    <w:rsid w:val="00006190"/>
    <w:rsid w:val="00006839"/>
    <w:rsid w:val="000068C9"/>
    <w:rsid w:val="00006992"/>
    <w:rsid w:val="00006A86"/>
    <w:rsid w:val="00006DD2"/>
    <w:rsid w:val="00006ECC"/>
    <w:rsid w:val="000071C1"/>
    <w:rsid w:val="0000745D"/>
    <w:rsid w:val="00007541"/>
    <w:rsid w:val="00007AC4"/>
    <w:rsid w:val="00007ADD"/>
    <w:rsid w:val="00010D43"/>
    <w:rsid w:val="000110B7"/>
    <w:rsid w:val="0001147D"/>
    <w:rsid w:val="00011F6D"/>
    <w:rsid w:val="0001207D"/>
    <w:rsid w:val="00012201"/>
    <w:rsid w:val="00012301"/>
    <w:rsid w:val="000123C3"/>
    <w:rsid w:val="00012483"/>
    <w:rsid w:val="00012B23"/>
    <w:rsid w:val="000130C3"/>
    <w:rsid w:val="00013400"/>
    <w:rsid w:val="00013480"/>
    <w:rsid w:val="000134A3"/>
    <w:rsid w:val="000135CF"/>
    <w:rsid w:val="00013BB3"/>
    <w:rsid w:val="00013C7D"/>
    <w:rsid w:val="000142EE"/>
    <w:rsid w:val="00014705"/>
    <w:rsid w:val="00014D25"/>
    <w:rsid w:val="00014EAB"/>
    <w:rsid w:val="00014EE0"/>
    <w:rsid w:val="000156F8"/>
    <w:rsid w:val="00015B29"/>
    <w:rsid w:val="00015CD5"/>
    <w:rsid w:val="00016217"/>
    <w:rsid w:val="000166A8"/>
    <w:rsid w:val="00016A6E"/>
    <w:rsid w:val="00016DC5"/>
    <w:rsid w:val="00017480"/>
    <w:rsid w:val="0001749A"/>
    <w:rsid w:val="00017C1E"/>
    <w:rsid w:val="000200D9"/>
    <w:rsid w:val="00020E1D"/>
    <w:rsid w:val="00021107"/>
    <w:rsid w:val="00021560"/>
    <w:rsid w:val="00021623"/>
    <w:rsid w:val="00022672"/>
    <w:rsid w:val="00022F74"/>
    <w:rsid w:val="00023398"/>
    <w:rsid w:val="00023D50"/>
    <w:rsid w:val="00023EA0"/>
    <w:rsid w:val="00024A14"/>
    <w:rsid w:val="00024C64"/>
    <w:rsid w:val="00024CF8"/>
    <w:rsid w:val="00024EFF"/>
    <w:rsid w:val="00025729"/>
    <w:rsid w:val="00025CF8"/>
    <w:rsid w:val="000264DC"/>
    <w:rsid w:val="00026500"/>
    <w:rsid w:val="00026AB5"/>
    <w:rsid w:val="00027A18"/>
    <w:rsid w:val="000307E7"/>
    <w:rsid w:val="00030AA0"/>
    <w:rsid w:val="00031915"/>
    <w:rsid w:val="00031C5F"/>
    <w:rsid w:val="0003238E"/>
    <w:rsid w:val="00033AF2"/>
    <w:rsid w:val="00033B77"/>
    <w:rsid w:val="00033DF5"/>
    <w:rsid w:val="00034B40"/>
    <w:rsid w:val="00034CD1"/>
    <w:rsid w:val="00034D7D"/>
    <w:rsid w:val="00035743"/>
    <w:rsid w:val="00035C74"/>
    <w:rsid w:val="00036052"/>
    <w:rsid w:val="00036511"/>
    <w:rsid w:val="000368B0"/>
    <w:rsid w:val="00037631"/>
    <w:rsid w:val="00037845"/>
    <w:rsid w:val="00037B0E"/>
    <w:rsid w:val="00037C3A"/>
    <w:rsid w:val="0004025E"/>
    <w:rsid w:val="00040851"/>
    <w:rsid w:val="00040CAD"/>
    <w:rsid w:val="00041238"/>
    <w:rsid w:val="00041240"/>
    <w:rsid w:val="0004183B"/>
    <w:rsid w:val="00041B3D"/>
    <w:rsid w:val="00041D5A"/>
    <w:rsid w:val="00042A85"/>
    <w:rsid w:val="000439A5"/>
    <w:rsid w:val="00043DC0"/>
    <w:rsid w:val="0004428C"/>
    <w:rsid w:val="00044652"/>
    <w:rsid w:val="00044689"/>
    <w:rsid w:val="00044904"/>
    <w:rsid w:val="00044C62"/>
    <w:rsid w:val="00045A2D"/>
    <w:rsid w:val="00045D04"/>
    <w:rsid w:val="00045E1F"/>
    <w:rsid w:val="000461E8"/>
    <w:rsid w:val="000462E2"/>
    <w:rsid w:val="00046419"/>
    <w:rsid w:val="000468DB"/>
    <w:rsid w:val="00046E26"/>
    <w:rsid w:val="000518B1"/>
    <w:rsid w:val="00051FCD"/>
    <w:rsid w:val="0005200C"/>
    <w:rsid w:val="0005255C"/>
    <w:rsid w:val="000526B1"/>
    <w:rsid w:val="00052F28"/>
    <w:rsid w:val="00054262"/>
    <w:rsid w:val="000545B0"/>
    <w:rsid w:val="000545DF"/>
    <w:rsid w:val="00054E68"/>
    <w:rsid w:val="00054E97"/>
    <w:rsid w:val="00054F41"/>
    <w:rsid w:val="0005514E"/>
    <w:rsid w:val="000554B6"/>
    <w:rsid w:val="00055EDB"/>
    <w:rsid w:val="0005687D"/>
    <w:rsid w:val="0005696D"/>
    <w:rsid w:val="0005749D"/>
    <w:rsid w:val="00057596"/>
    <w:rsid w:val="00057E39"/>
    <w:rsid w:val="00057F84"/>
    <w:rsid w:val="00060019"/>
    <w:rsid w:val="000604CC"/>
    <w:rsid w:val="00060932"/>
    <w:rsid w:val="00060CE2"/>
    <w:rsid w:val="00060D38"/>
    <w:rsid w:val="000611BF"/>
    <w:rsid w:val="00061737"/>
    <w:rsid w:val="00061828"/>
    <w:rsid w:val="00061BB0"/>
    <w:rsid w:val="00062105"/>
    <w:rsid w:val="00062BB0"/>
    <w:rsid w:val="00062ED9"/>
    <w:rsid w:val="00062EF6"/>
    <w:rsid w:val="000634B7"/>
    <w:rsid w:val="00063BE4"/>
    <w:rsid w:val="00064F1D"/>
    <w:rsid w:val="00064F6B"/>
    <w:rsid w:val="00064F7D"/>
    <w:rsid w:val="0006553C"/>
    <w:rsid w:val="00065B50"/>
    <w:rsid w:val="00066A3E"/>
    <w:rsid w:val="00066DB4"/>
    <w:rsid w:val="000675AA"/>
    <w:rsid w:val="00067C4E"/>
    <w:rsid w:val="00070555"/>
    <w:rsid w:val="0007064F"/>
    <w:rsid w:val="00070D9D"/>
    <w:rsid w:val="00071674"/>
    <w:rsid w:val="0007178A"/>
    <w:rsid w:val="00071DD8"/>
    <w:rsid w:val="00071F74"/>
    <w:rsid w:val="00072248"/>
    <w:rsid w:val="0007244B"/>
    <w:rsid w:val="0007274B"/>
    <w:rsid w:val="00072D1A"/>
    <w:rsid w:val="00072E47"/>
    <w:rsid w:val="00073232"/>
    <w:rsid w:val="00073248"/>
    <w:rsid w:val="00073C6B"/>
    <w:rsid w:val="00074FEE"/>
    <w:rsid w:val="00075A85"/>
    <w:rsid w:val="00075FE9"/>
    <w:rsid w:val="000769D8"/>
    <w:rsid w:val="00077412"/>
    <w:rsid w:val="000775AB"/>
    <w:rsid w:val="0008092F"/>
    <w:rsid w:val="00081707"/>
    <w:rsid w:val="000830C6"/>
    <w:rsid w:val="0008334E"/>
    <w:rsid w:val="00083935"/>
    <w:rsid w:val="00083A8A"/>
    <w:rsid w:val="0008434D"/>
    <w:rsid w:val="000844EE"/>
    <w:rsid w:val="00084F0A"/>
    <w:rsid w:val="00085354"/>
    <w:rsid w:val="00086659"/>
    <w:rsid w:val="0008668A"/>
    <w:rsid w:val="00086AD0"/>
    <w:rsid w:val="0008770F"/>
    <w:rsid w:val="000877D4"/>
    <w:rsid w:val="0009020F"/>
    <w:rsid w:val="000907DE"/>
    <w:rsid w:val="00090BB8"/>
    <w:rsid w:val="00090CF2"/>
    <w:rsid w:val="00090EFA"/>
    <w:rsid w:val="00090FCA"/>
    <w:rsid w:val="00091671"/>
    <w:rsid w:val="00091D90"/>
    <w:rsid w:val="00092AA2"/>
    <w:rsid w:val="00093489"/>
    <w:rsid w:val="00093F25"/>
    <w:rsid w:val="00094000"/>
    <w:rsid w:val="0009412E"/>
    <w:rsid w:val="00094CF4"/>
    <w:rsid w:val="00096138"/>
    <w:rsid w:val="00096E71"/>
    <w:rsid w:val="00097961"/>
    <w:rsid w:val="000A086D"/>
    <w:rsid w:val="000A11D3"/>
    <w:rsid w:val="000A509C"/>
    <w:rsid w:val="000A5159"/>
    <w:rsid w:val="000A5792"/>
    <w:rsid w:val="000A5CE0"/>
    <w:rsid w:val="000A730B"/>
    <w:rsid w:val="000A76EC"/>
    <w:rsid w:val="000A7776"/>
    <w:rsid w:val="000A7C84"/>
    <w:rsid w:val="000A7DA0"/>
    <w:rsid w:val="000B03CB"/>
    <w:rsid w:val="000B05CA"/>
    <w:rsid w:val="000B0E7E"/>
    <w:rsid w:val="000B25B8"/>
    <w:rsid w:val="000B364C"/>
    <w:rsid w:val="000B3B90"/>
    <w:rsid w:val="000B3F61"/>
    <w:rsid w:val="000B3F6D"/>
    <w:rsid w:val="000B4283"/>
    <w:rsid w:val="000B443B"/>
    <w:rsid w:val="000B4691"/>
    <w:rsid w:val="000B4E13"/>
    <w:rsid w:val="000B5868"/>
    <w:rsid w:val="000B5B47"/>
    <w:rsid w:val="000B6AA7"/>
    <w:rsid w:val="000B6FFA"/>
    <w:rsid w:val="000B71FB"/>
    <w:rsid w:val="000B7888"/>
    <w:rsid w:val="000B7AC2"/>
    <w:rsid w:val="000C0281"/>
    <w:rsid w:val="000C0355"/>
    <w:rsid w:val="000C1041"/>
    <w:rsid w:val="000C1187"/>
    <w:rsid w:val="000C128C"/>
    <w:rsid w:val="000C133D"/>
    <w:rsid w:val="000C3189"/>
    <w:rsid w:val="000C3472"/>
    <w:rsid w:val="000C456C"/>
    <w:rsid w:val="000C45E6"/>
    <w:rsid w:val="000C54B5"/>
    <w:rsid w:val="000C5C16"/>
    <w:rsid w:val="000C63EA"/>
    <w:rsid w:val="000C650A"/>
    <w:rsid w:val="000C6A71"/>
    <w:rsid w:val="000C75E2"/>
    <w:rsid w:val="000C7F75"/>
    <w:rsid w:val="000D0D78"/>
    <w:rsid w:val="000D1AE6"/>
    <w:rsid w:val="000D1BC6"/>
    <w:rsid w:val="000D2303"/>
    <w:rsid w:val="000D230A"/>
    <w:rsid w:val="000D25AD"/>
    <w:rsid w:val="000D3C0C"/>
    <w:rsid w:val="000D4376"/>
    <w:rsid w:val="000D4786"/>
    <w:rsid w:val="000D49B4"/>
    <w:rsid w:val="000D4B8E"/>
    <w:rsid w:val="000D556C"/>
    <w:rsid w:val="000D56FE"/>
    <w:rsid w:val="000D57A5"/>
    <w:rsid w:val="000D6535"/>
    <w:rsid w:val="000D69D6"/>
    <w:rsid w:val="000D714B"/>
    <w:rsid w:val="000D7BC4"/>
    <w:rsid w:val="000D7D39"/>
    <w:rsid w:val="000E0220"/>
    <w:rsid w:val="000E06C8"/>
    <w:rsid w:val="000E227E"/>
    <w:rsid w:val="000E32AA"/>
    <w:rsid w:val="000E35B3"/>
    <w:rsid w:val="000E3CB2"/>
    <w:rsid w:val="000E3F17"/>
    <w:rsid w:val="000E4EB2"/>
    <w:rsid w:val="000E5818"/>
    <w:rsid w:val="000E5DE0"/>
    <w:rsid w:val="000E6B74"/>
    <w:rsid w:val="000E70B9"/>
    <w:rsid w:val="000E779A"/>
    <w:rsid w:val="000E794B"/>
    <w:rsid w:val="000E7C3E"/>
    <w:rsid w:val="000F02ED"/>
    <w:rsid w:val="000F0A39"/>
    <w:rsid w:val="000F1B15"/>
    <w:rsid w:val="000F2948"/>
    <w:rsid w:val="000F2BD0"/>
    <w:rsid w:val="000F2CAB"/>
    <w:rsid w:val="000F38FB"/>
    <w:rsid w:val="000F574F"/>
    <w:rsid w:val="000F578D"/>
    <w:rsid w:val="000F6337"/>
    <w:rsid w:val="000F64A4"/>
    <w:rsid w:val="000F68CB"/>
    <w:rsid w:val="000F6BB8"/>
    <w:rsid w:val="000F725A"/>
    <w:rsid w:val="000F738E"/>
    <w:rsid w:val="000F7BF3"/>
    <w:rsid w:val="00100F59"/>
    <w:rsid w:val="00101040"/>
    <w:rsid w:val="001026C1"/>
    <w:rsid w:val="00102B98"/>
    <w:rsid w:val="00103C4A"/>
    <w:rsid w:val="001044FB"/>
    <w:rsid w:val="00104567"/>
    <w:rsid w:val="00104B38"/>
    <w:rsid w:val="001056C6"/>
    <w:rsid w:val="001056CA"/>
    <w:rsid w:val="001056CB"/>
    <w:rsid w:val="00105FCB"/>
    <w:rsid w:val="001067CB"/>
    <w:rsid w:val="00106E2A"/>
    <w:rsid w:val="001071B0"/>
    <w:rsid w:val="00107836"/>
    <w:rsid w:val="001079B0"/>
    <w:rsid w:val="00107A83"/>
    <w:rsid w:val="0010D34D"/>
    <w:rsid w:val="00110465"/>
    <w:rsid w:val="0011094F"/>
    <w:rsid w:val="00110A18"/>
    <w:rsid w:val="001117CC"/>
    <w:rsid w:val="00111E00"/>
    <w:rsid w:val="00111E4E"/>
    <w:rsid w:val="00111E91"/>
    <w:rsid w:val="001123CA"/>
    <w:rsid w:val="00113104"/>
    <w:rsid w:val="001140DA"/>
    <w:rsid w:val="00114457"/>
    <w:rsid w:val="001144A0"/>
    <w:rsid w:val="001144D4"/>
    <w:rsid w:val="001147B2"/>
    <w:rsid w:val="001149C9"/>
    <w:rsid w:val="00115048"/>
    <w:rsid w:val="00115438"/>
    <w:rsid w:val="00115805"/>
    <w:rsid w:val="00115FCE"/>
    <w:rsid w:val="00116395"/>
    <w:rsid w:val="00116D15"/>
    <w:rsid w:val="0011706B"/>
    <w:rsid w:val="00117191"/>
    <w:rsid w:val="001173D4"/>
    <w:rsid w:val="00117652"/>
    <w:rsid w:val="0011778A"/>
    <w:rsid w:val="00117B27"/>
    <w:rsid w:val="00117D29"/>
    <w:rsid w:val="00120034"/>
    <w:rsid w:val="00120AF7"/>
    <w:rsid w:val="00121744"/>
    <w:rsid w:val="00121786"/>
    <w:rsid w:val="00122432"/>
    <w:rsid w:val="00122D4F"/>
    <w:rsid w:val="00122EC9"/>
    <w:rsid w:val="00122FC2"/>
    <w:rsid w:val="00123689"/>
    <w:rsid w:val="001237E1"/>
    <w:rsid w:val="001239D8"/>
    <w:rsid w:val="001244B3"/>
    <w:rsid w:val="00124938"/>
    <w:rsid w:val="00124B13"/>
    <w:rsid w:val="00124E9D"/>
    <w:rsid w:val="001254B1"/>
    <w:rsid w:val="00125893"/>
    <w:rsid w:val="00125C3E"/>
    <w:rsid w:val="0012602E"/>
    <w:rsid w:val="00126924"/>
    <w:rsid w:val="00126A98"/>
    <w:rsid w:val="00126B64"/>
    <w:rsid w:val="00127BDB"/>
    <w:rsid w:val="00130DB5"/>
    <w:rsid w:val="001311F5"/>
    <w:rsid w:val="0013180D"/>
    <w:rsid w:val="00131B31"/>
    <w:rsid w:val="00131BE8"/>
    <w:rsid w:val="001320F9"/>
    <w:rsid w:val="0013244D"/>
    <w:rsid w:val="00132CB2"/>
    <w:rsid w:val="001330AD"/>
    <w:rsid w:val="001337D8"/>
    <w:rsid w:val="00133FDC"/>
    <w:rsid w:val="001340C7"/>
    <w:rsid w:val="00134EE9"/>
    <w:rsid w:val="00135384"/>
    <w:rsid w:val="00135820"/>
    <w:rsid w:val="00135861"/>
    <w:rsid w:val="00135EBF"/>
    <w:rsid w:val="00136579"/>
    <w:rsid w:val="00137251"/>
    <w:rsid w:val="00137344"/>
    <w:rsid w:val="00137C0A"/>
    <w:rsid w:val="001402EA"/>
    <w:rsid w:val="00140399"/>
    <w:rsid w:val="001403D5"/>
    <w:rsid w:val="00140597"/>
    <w:rsid w:val="00140601"/>
    <w:rsid w:val="00140DDB"/>
    <w:rsid w:val="001418C5"/>
    <w:rsid w:val="00141A6B"/>
    <w:rsid w:val="001422C8"/>
    <w:rsid w:val="00142488"/>
    <w:rsid w:val="00142A4B"/>
    <w:rsid w:val="00142B8C"/>
    <w:rsid w:val="00142E11"/>
    <w:rsid w:val="00143041"/>
    <w:rsid w:val="001431A7"/>
    <w:rsid w:val="001433F6"/>
    <w:rsid w:val="00143ACC"/>
    <w:rsid w:val="00143C1C"/>
    <w:rsid w:val="00144A25"/>
    <w:rsid w:val="00144F49"/>
    <w:rsid w:val="00145190"/>
    <w:rsid w:val="001458ED"/>
    <w:rsid w:val="0014597F"/>
    <w:rsid w:val="0014606E"/>
    <w:rsid w:val="0014622D"/>
    <w:rsid w:val="0014645F"/>
    <w:rsid w:val="00146498"/>
    <w:rsid w:val="00146944"/>
    <w:rsid w:val="00146964"/>
    <w:rsid w:val="00147448"/>
    <w:rsid w:val="00147908"/>
    <w:rsid w:val="0015037C"/>
    <w:rsid w:val="00150741"/>
    <w:rsid w:val="0015192D"/>
    <w:rsid w:val="001521C0"/>
    <w:rsid w:val="00152327"/>
    <w:rsid w:val="00152482"/>
    <w:rsid w:val="001524E2"/>
    <w:rsid w:val="00152766"/>
    <w:rsid w:val="00152AB9"/>
    <w:rsid w:val="00152AD3"/>
    <w:rsid w:val="00152BB3"/>
    <w:rsid w:val="00152FDD"/>
    <w:rsid w:val="001530C3"/>
    <w:rsid w:val="001530EC"/>
    <w:rsid w:val="00153442"/>
    <w:rsid w:val="00153595"/>
    <w:rsid w:val="00153802"/>
    <w:rsid w:val="001539B7"/>
    <w:rsid w:val="00153FEF"/>
    <w:rsid w:val="001545A5"/>
    <w:rsid w:val="00155314"/>
    <w:rsid w:val="00155782"/>
    <w:rsid w:val="001557B6"/>
    <w:rsid w:val="00155890"/>
    <w:rsid w:val="00155D19"/>
    <w:rsid w:val="00156286"/>
    <w:rsid w:val="001575CD"/>
    <w:rsid w:val="00157807"/>
    <w:rsid w:val="00160371"/>
    <w:rsid w:val="0016046F"/>
    <w:rsid w:val="001606E7"/>
    <w:rsid w:val="00160740"/>
    <w:rsid w:val="00161407"/>
    <w:rsid w:val="00161CCC"/>
    <w:rsid w:val="00162DE5"/>
    <w:rsid w:val="001632BD"/>
    <w:rsid w:val="00163987"/>
    <w:rsid w:val="00163FF2"/>
    <w:rsid w:val="001641A4"/>
    <w:rsid w:val="001653BF"/>
    <w:rsid w:val="0016557F"/>
    <w:rsid w:val="001657E2"/>
    <w:rsid w:val="00165BCC"/>
    <w:rsid w:val="00166933"/>
    <w:rsid w:val="00166D14"/>
    <w:rsid w:val="00167A3D"/>
    <w:rsid w:val="00167B91"/>
    <w:rsid w:val="00167DF7"/>
    <w:rsid w:val="00170641"/>
    <w:rsid w:val="00170652"/>
    <w:rsid w:val="001708C0"/>
    <w:rsid w:val="00170C78"/>
    <w:rsid w:val="00171277"/>
    <w:rsid w:val="00171DD2"/>
    <w:rsid w:val="001728C0"/>
    <w:rsid w:val="00172CCA"/>
    <w:rsid w:val="00173277"/>
    <w:rsid w:val="00173B47"/>
    <w:rsid w:val="00173E3F"/>
    <w:rsid w:val="001743C6"/>
    <w:rsid w:val="001747B9"/>
    <w:rsid w:val="00174873"/>
    <w:rsid w:val="00174A17"/>
    <w:rsid w:val="0017561E"/>
    <w:rsid w:val="00176538"/>
    <w:rsid w:val="00176938"/>
    <w:rsid w:val="00176A41"/>
    <w:rsid w:val="00176F4B"/>
    <w:rsid w:val="001771C3"/>
    <w:rsid w:val="001775C0"/>
    <w:rsid w:val="00177F97"/>
    <w:rsid w:val="00177FD8"/>
    <w:rsid w:val="00180123"/>
    <w:rsid w:val="001804B1"/>
    <w:rsid w:val="001804FD"/>
    <w:rsid w:val="00181271"/>
    <w:rsid w:val="00181884"/>
    <w:rsid w:val="00181DEC"/>
    <w:rsid w:val="0018216E"/>
    <w:rsid w:val="0018259F"/>
    <w:rsid w:val="00182F79"/>
    <w:rsid w:val="0018309C"/>
    <w:rsid w:val="001835E8"/>
    <w:rsid w:val="001843FF"/>
    <w:rsid w:val="001854F1"/>
    <w:rsid w:val="00185923"/>
    <w:rsid w:val="00185D28"/>
    <w:rsid w:val="001861A4"/>
    <w:rsid w:val="001865CC"/>
    <w:rsid w:val="00186C7F"/>
    <w:rsid w:val="00186D4C"/>
    <w:rsid w:val="00187ACD"/>
    <w:rsid w:val="001904CA"/>
    <w:rsid w:val="001907BC"/>
    <w:rsid w:val="00191509"/>
    <w:rsid w:val="00191E9C"/>
    <w:rsid w:val="001923AC"/>
    <w:rsid w:val="001924FF"/>
    <w:rsid w:val="0019274B"/>
    <w:rsid w:val="00192901"/>
    <w:rsid w:val="001937F7"/>
    <w:rsid w:val="00193D1C"/>
    <w:rsid w:val="00193D37"/>
    <w:rsid w:val="00193DCC"/>
    <w:rsid w:val="00193DD9"/>
    <w:rsid w:val="00193F8B"/>
    <w:rsid w:val="00194F9E"/>
    <w:rsid w:val="00195334"/>
    <w:rsid w:val="00195846"/>
    <w:rsid w:val="00196AAB"/>
    <w:rsid w:val="00196FD7"/>
    <w:rsid w:val="00196FDD"/>
    <w:rsid w:val="001976CB"/>
    <w:rsid w:val="00197A33"/>
    <w:rsid w:val="00197E75"/>
    <w:rsid w:val="001A054D"/>
    <w:rsid w:val="001A0A4E"/>
    <w:rsid w:val="001A0C6F"/>
    <w:rsid w:val="001A126A"/>
    <w:rsid w:val="001A1405"/>
    <w:rsid w:val="001A192A"/>
    <w:rsid w:val="001A1ED0"/>
    <w:rsid w:val="001A3382"/>
    <w:rsid w:val="001A4EB0"/>
    <w:rsid w:val="001A4FE3"/>
    <w:rsid w:val="001A548C"/>
    <w:rsid w:val="001A5C20"/>
    <w:rsid w:val="001A6144"/>
    <w:rsid w:val="001A6277"/>
    <w:rsid w:val="001A671D"/>
    <w:rsid w:val="001A6C33"/>
    <w:rsid w:val="001A6F28"/>
    <w:rsid w:val="001A7D2E"/>
    <w:rsid w:val="001B0061"/>
    <w:rsid w:val="001B096F"/>
    <w:rsid w:val="001B0AFE"/>
    <w:rsid w:val="001B108D"/>
    <w:rsid w:val="001B1642"/>
    <w:rsid w:val="001B1806"/>
    <w:rsid w:val="001B1A91"/>
    <w:rsid w:val="001B1F50"/>
    <w:rsid w:val="001B251D"/>
    <w:rsid w:val="001B27F1"/>
    <w:rsid w:val="001B39DE"/>
    <w:rsid w:val="001B3AF9"/>
    <w:rsid w:val="001B433D"/>
    <w:rsid w:val="001B4F8B"/>
    <w:rsid w:val="001B5343"/>
    <w:rsid w:val="001B5431"/>
    <w:rsid w:val="001B5609"/>
    <w:rsid w:val="001B6466"/>
    <w:rsid w:val="001B67C4"/>
    <w:rsid w:val="001B792F"/>
    <w:rsid w:val="001C0069"/>
    <w:rsid w:val="001C0FB8"/>
    <w:rsid w:val="001C11DD"/>
    <w:rsid w:val="001C14FE"/>
    <w:rsid w:val="001C1602"/>
    <w:rsid w:val="001C19AE"/>
    <w:rsid w:val="001C19FA"/>
    <w:rsid w:val="001C21F6"/>
    <w:rsid w:val="001C2224"/>
    <w:rsid w:val="001C2607"/>
    <w:rsid w:val="001C2BC1"/>
    <w:rsid w:val="001C32A7"/>
    <w:rsid w:val="001C34DD"/>
    <w:rsid w:val="001C3516"/>
    <w:rsid w:val="001C3BFB"/>
    <w:rsid w:val="001C4184"/>
    <w:rsid w:val="001C483E"/>
    <w:rsid w:val="001C4CDA"/>
    <w:rsid w:val="001C4DEE"/>
    <w:rsid w:val="001C568A"/>
    <w:rsid w:val="001C5A56"/>
    <w:rsid w:val="001C5C35"/>
    <w:rsid w:val="001C60BE"/>
    <w:rsid w:val="001C6283"/>
    <w:rsid w:val="001C635C"/>
    <w:rsid w:val="001C6AAC"/>
    <w:rsid w:val="001C6D72"/>
    <w:rsid w:val="001C72CD"/>
    <w:rsid w:val="001C735C"/>
    <w:rsid w:val="001C7770"/>
    <w:rsid w:val="001C7A22"/>
    <w:rsid w:val="001C7BE3"/>
    <w:rsid w:val="001D010E"/>
    <w:rsid w:val="001D0E45"/>
    <w:rsid w:val="001D196A"/>
    <w:rsid w:val="001D1B17"/>
    <w:rsid w:val="001D2005"/>
    <w:rsid w:val="001D2204"/>
    <w:rsid w:val="001D2AA4"/>
    <w:rsid w:val="001D3088"/>
    <w:rsid w:val="001D30FC"/>
    <w:rsid w:val="001D34C3"/>
    <w:rsid w:val="001D35EC"/>
    <w:rsid w:val="001D3DC6"/>
    <w:rsid w:val="001D4604"/>
    <w:rsid w:val="001D4E6F"/>
    <w:rsid w:val="001D5262"/>
    <w:rsid w:val="001D542A"/>
    <w:rsid w:val="001D680B"/>
    <w:rsid w:val="001D6CFC"/>
    <w:rsid w:val="001D7BF6"/>
    <w:rsid w:val="001D7F88"/>
    <w:rsid w:val="001E0439"/>
    <w:rsid w:val="001E0AA3"/>
    <w:rsid w:val="001E0E9C"/>
    <w:rsid w:val="001E1669"/>
    <w:rsid w:val="001E20E3"/>
    <w:rsid w:val="001E2639"/>
    <w:rsid w:val="001E2909"/>
    <w:rsid w:val="001E290B"/>
    <w:rsid w:val="001E30F1"/>
    <w:rsid w:val="001E31AC"/>
    <w:rsid w:val="001E3631"/>
    <w:rsid w:val="001E3658"/>
    <w:rsid w:val="001E3E8C"/>
    <w:rsid w:val="001E4325"/>
    <w:rsid w:val="001E5D86"/>
    <w:rsid w:val="001E687F"/>
    <w:rsid w:val="001E78C7"/>
    <w:rsid w:val="001E7A49"/>
    <w:rsid w:val="001E7DA2"/>
    <w:rsid w:val="001E7EE6"/>
    <w:rsid w:val="001E7F74"/>
    <w:rsid w:val="001F00DA"/>
    <w:rsid w:val="001F018E"/>
    <w:rsid w:val="001F0499"/>
    <w:rsid w:val="001F11ED"/>
    <w:rsid w:val="001F1817"/>
    <w:rsid w:val="001F196C"/>
    <w:rsid w:val="001F20F8"/>
    <w:rsid w:val="001F2121"/>
    <w:rsid w:val="001F3188"/>
    <w:rsid w:val="001F37DD"/>
    <w:rsid w:val="001F3C27"/>
    <w:rsid w:val="001F4218"/>
    <w:rsid w:val="001F4387"/>
    <w:rsid w:val="001F4877"/>
    <w:rsid w:val="001F4E16"/>
    <w:rsid w:val="001F5506"/>
    <w:rsid w:val="001F5547"/>
    <w:rsid w:val="001F5925"/>
    <w:rsid w:val="001F59D0"/>
    <w:rsid w:val="001F5D38"/>
    <w:rsid w:val="001F74A0"/>
    <w:rsid w:val="0020029C"/>
    <w:rsid w:val="00200742"/>
    <w:rsid w:val="002012F3"/>
    <w:rsid w:val="002015C0"/>
    <w:rsid w:val="00201EEE"/>
    <w:rsid w:val="00202AC1"/>
    <w:rsid w:val="00202FC3"/>
    <w:rsid w:val="002036CF"/>
    <w:rsid w:val="00203FDF"/>
    <w:rsid w:val="002044C0"/>
    <w:rsid w:val="00204A71"/>
    <w:rsid w:val="00204B2D"/>
    <w:rsid w:val="00204EC3"/>
    <w:rsid w:val="00204FD6"/>
    <w:rsid w:val="0020541E"/>
    <w:rsid w:val="002069F2"/>
    <w:rsid w:val="00207821"/>
    <w:rsid w:val="002106A6"/>
    <w:rsid w:val="00210843"/>
    <w:rsid w:val="00211048"/>
    <w:rsid w:val="0021121B"/>
    <w:rsid w:val="00211EB0"/>
    <w:rsid w:val="00212E18"/>
    <w:rsid w:val="00213C38"/>
    <w:rsid w:val="00213D75"/>
    <w:rsid w:val="00214985"/>
    <w:rsid w:val="00214A7F"/>
    <w:rsid w:val="00214BB6"/>
    <w:rsid w:val="002153F5"/>
    <w:rsid w:val="002155D7"/>
    <w:rsid w:val="0021582F"/>
    <w:rsid w:val="00215DA0"/>
    <w:rsid w:val="00215F16"/>
    <w:rsid w:val="00216D4B"/>
    <w:rsid w:val="00216F82"/>
    <w:rsid w:val="002176F2"/>
    <w:rsid w:val="0021789D"/>
    <w:rsid w:val="00217A53"/>
    <w:rsid w:val="00217E0D"/>
    <w:rsid w:val="00217E3C"/>
    <w:rsid w:val="00220BFB"/>
    <w:rsid w:val="00220D2A"/>
    <w:rsid w:val="0022144B"/>
    <w:rsid w:val="00221455"/>
    <w:rsid w:val="00221C87"/>
    <w:rsid w:val="00221DEF"/>
    <w:rsid w:val="00222853"/>
    <w:rsid w:val="002233A7"/>
    <w:rsid w:val="00223484"/>
    <w:rsid w:val="00223F36"/>
    <w:rsid w:val="002241E3"/>
    <w:rsid w:val="002245DB"/>
    <w:rsid w:val="00224A40"/>
    <w:rsid w:val="00224C11"/>
    <w:rsid w:val="00226A4E"/>
    <w:rsid w:val="00227100"/>
    <w:rsid w:val="002277CD"/>
    <w:rsid w:val="002279F5"/>
    <w:rsid w:val="002302A0"/>
    <w:rsid w:val="00230393"/>
    <w:rsid w:val="00230681"/>
    <w:rsid w:val="002309C4"/>
    <w:rsid w:val="00231A4A"/>
    <w:rsid w:val="002320FF"/>
    <w:rsid w:val="00232326"/>
    <w:rsid w:val="00232944"/>
    <w:rsid w:val="00232D74"/>
    <w:rsid w:val="002346ED"/>
    <w:rsid w:val="00234FBE"/>
    <w:rsid w:val="0023549E"/>
    <w:rsid w:val="002355AA"/>
    <w:rsid w:val="00235AFA"/>
    <w:rsid w:val="00235D60"/>
    <w:rsid w:val="00235E9E"/>
    <w:rsid w:val="00236014"/>
    <w:rsid w:val="0023649F"/>
    <w:rsid w:val="0023667D"/>
    <w:rsid w:val="00241842"/>
    <w:rsid w:val="00241D5E"/>
    <w:rsid w:val="00242ED7"/>
    <w:rsid w:val="00242FA4"/>
    <w:rsid w:val="0024318E"/>
    <w:rsid w:val="00243719"/>
    <w:rsid w:val="00243E9E"/>
    <w:rsid w:val="00243FE7"/>
    <w:rsid w:val="002442A7"/>
    <w:rsid w:val="002447B5"/>
    <w:rsid w:val="002449DA"/>
    <w:rsid w:val="0024511F"/>
    <w:rsid w:val="00245507"/>
    <w:rsid w:val="002456CD"/>
    <w:rsid w:val="002458CA"/>
    <w:rsid w:val="00245F10"/>
    <w:rsid w:val="00246715"/>
    <w:rsid w:val="00246905"/>
    <w:rsid w:val="002474C4"/>
    <w:rsid w:val="00247991"/>
    <w:rsid w:val="00247F4C"/>
    <w:rsid w:val="0025015A"/>
    <w:rsid w:val="00250436"/>
    <w:rsid w:val="00251D8E"/>
    <w:rsid w:val="00252791"/>
    <w:rsid w:val="00252A45"/>
    <w:rsid w:val="00253D60"/>
    <w:rsid w:val="00254BA2"/>
    <w:rsid w:val="00254CED"/>
    <w:rsid w:val="00255253"/>
    <w:rsid w:val="00255CBA"/>
    <w:rsid w:val="002560D4"/>
    <w:rsid w:val="002560F3"/>
    <w:rsid w:val="00256245"/>
    <w:rsid w:val="0025744B"/>
    <w:rsid w:val="00260B00"/>
    <w:rsid w:val="0026144D"/>
    <w:rsid w:val="00261774"/>
    <w:rsid w:val="002617CC"/>
    <w:rsid w:val="00261A0E"/>
    <w:rsid w:val="00261A3C"/>
    <w:rsid w:val="00262A02"/>
    <w:rsid w:val="00262A30"/>
    <w:rsid w:val="00263A0C"/>
    <w:rsid w:val="00263B64"/>
    <w:rsid w:val="00263D6A"/>
    <w:rsid w:val="00264DFF"/>
    <w:rsid w:val="00265539"/>
    <w:rsid w:val="002656C7"/>
    <w:rsid w:val="002659A1"/>
    <w:rsid w:val="00265C5F"/>
    <w:rsid w:val="00265D69"/>
    <w:rsid w:val="00266A4B"/>
    <w:rsid w:val="00266B75"/>
    <w:rsid w:val="00266DEE"/>
    <w:rsid w:val="0026703F"/>
    <w:rsid w:val="0026724A"/>
    <w:rsid w:val="0026788D"/>
    <w:rsid w:val="00267A05"/>
    <w:rsid w:val="00267DEE"/>
    <w:rsid w:val="00267F90"/>
    <w:rsid w:val="0027047D"/>
    <w:rsid w:val="00271F23"/>
    <w:rsid w:val="00272C43"/>
    <w:rsid w:val="00272E77"/>
    <w:rsid w:val="0027343C"/>
    <w:rsid w:val="00273B93"/>
    <w:rsid w:val="00273C1C"/>
    <w:rsid w:val="00275006"/>
    <w:rsid w:val="0027560C"/>
    <w:rsid w:val="002758DC"/>
    <w:rsid w:val="00275919"/>
    <w:rsid w:val="00275B68"/>
    <w:rsid w:val="00275D72"/>
    <w:rsid w:val="002764D4"/>
    <w:rsid w:val="00276AD2"/>
    <w:rsid w:val="00277039"/>
    <w:rsid w:val="0027709A"/>
    <w:rsid w:val="002770D7"/>
    <w:rsid w:val="002771BB"/>
    <w:rsid w:val="00280124"/>
    <w:rsid w:val="0028098C"/>
    <w:rsid w:val="002822FD"/>
    <w:rsid w:val="00282BF8"/>
    <w:rsid w:val="002834E4"/>
    <w:rsid w:val="0028476A"/>
    <w:rsid w:val="00285517"/>
    <w:rsid w:val="002855DF"/>
    <w:rsid w:val="0028588D"/>
    <w:rsid w:val="00285A1E"/>
    <w:rsid w:val="00286C3F"/>
    <w:rsid w:val="00286EE5"/>
    <w:rsid w:val="0029035C"/>
    <w:rsid w:val="00290396"/>
    <w:rsid w:val="00290768"/>
    <w:rsid w:val="00290FA2"/>
    <w:rsid w:val="00291022"/>
    <w:rsid w:val="002912B5"/>
    <w:rsid w:val="00291509"/>
    <w:rsid w:val="002916B9"/>
    <w:rsid w:val="0029236F"/>
    <w:rsid w:val="002935A2"/>
    <w:rsid w:val="002936F5"/>
    <w:rsid w:val="00293AF4"/>
    <w:rsid w:val="00294332"/>
    <w:rsid w:val="00294A61"/>
    <w:rsid w:val="00294D8A"/>
    <w:rsid w:val="002954E2"/>
    <w:rsid w:val="00295A5F"/>
    <w:rsid w:val="002966E1"/>
    <w:rsid w:val="00296B80"/>
    <w:rsid w:val="00296DD1"/>
    <w:rsid w:val="00296F54"/>
    <w:rsid w:val="00297E2F"/>
    <w:rsid w:val="002A0082"/>
    <w:rsid w:val="002A03B3"/>
    <w:rsid w:val="002A07C5"/>
    <w:rsid w:val="002A0F6D"/>
    <w:rsid w:val="002A2298"/>
    <w:rsid w:val="002A29C7"/>
    <w:rsid w:val="002A29DE"/>
    <w:rsid w:val="002A2ABC"/>
    <w:rsid w:val="002A2B44"/>
    <w:rsid w:val="002A3268"/>
    <w:rsid w:val="002A34AF"/>
    <w:rsid w:val="002A383F"/>
    <w:rsid w:val="002A4BDF"/>
    <w:rsid w:val="002A678E"/>
    <w:rsid w:val="002A6C43"/>
    <w:rsid w:val="002A72F8"/>
    <w:rsid w:val="002A7371"/>
    <w:rsid w:val="002B0491"/>
    <w:rsid w:val="002B1037"/>
    <w:rsid w:val="002B177B"/>
    <w:rsid w:val="002B1BA1"/>
    <w:rsid w:val="002B285B"/>
    <w:rsid w:val="002B2F7E"/>
    <w:rsid w:val="002B34DC"/>
    <w:rsid w:val="002B3613"/>
    <w:rsid w:val="002B4186"/>
    <w:rsid w:val="002B57C8"/>
    <w:rsid w:val="002B6216"/>
    <w:rsid w:val="002B64D5"/>
    <w:rsid w:val="002B6D41"/>
    <w:rsid w:val="002C0158"/>
    <w:rsid w:val="002C03DC"/>
    <w:rsid w:val="002C0A0F"/>
    <w:rsid w:val="002C227E"/>
    <w:rsid w:val="002C2499"/>
    <w:rsid w:val="002C279A"/>
    <w:rsid w:val="002C2ABA"/>
    <w:rsid w:val="002C2EBD"/>
    <w:rsid w:val="002C351A"/>
    <w:rsid w:val="002C4CA0"/>
    <w:rsid w:val="002C636E"/>
    <w:rsid w:val="002C6569"/>
    <w:rsid w:val="002C6603"/>
    <w:rsid w:val="002C6DC2"/>
    <w:rsid w:val="002C6E2B"/>
    <w:rsid w:val="002C701C"/>
    <w:rsid w:val="002C7398"/>
    <w:rsid w:val="002C786D"/>
    <w:rsid w:val="002D0870"/>
    <w:rsid w:val="002D0AF0"/>
    <w:rsid w:val="002D0FCB"/>
    <w:rsid w:val="002D1374"/>
    <w:rsid w:val="002D1DA1"/>
    <w:rsid w:val="002D1E68"/>
    <w:rsid w:val="002D2120"/>
    <w:rsid w:val="002D24EF"/>
    <w:rsid w:val="002D2D9A"/>
    <w:rsid w:val="002D2EDA"/>
    <w:rsid w:val="002D3078"/>
    <w:rsid w:val="002D30E0"/>
    <w:rsid w:val="002D3439"/>
    <w:rsid w:val="002D3A98"/>
    <w:rsid w:val="002D481D"/>
    <w:rsid w:val="002D491B"/>
    <w:rsid w:val="002D4C3B"/>
    <w:rsid w:val="002D4F60"/>
    <w:rsid w:val="002D5061"/>
    <w:rsid w:val="002D5553"/>
    <w:rsid w:val="002D5D3B"/>
    <w:rsid w:val="002D6339"/>
    <w:rsid w:val="002D696B"/>
    <w:rsid w:val="002D6AAB"/>
    <w:rsid w:val="002D6F61"/>
    <w:rsid w:val="002D73B3"/>
    <w:rsid w:val="002D7E3C"/>
    <w:rsid w:val="002E0200"/>
    <w:rsid w:val="002E0E8F"/>
    <w:rsid w:val="002E164E"/>
    <w:rsid w:val="002E1ABA"/>
    <w:rsid w:val="002E1BC3"/>
    <w:rsid w:val="002E2BBF"/>
    <w:rsid w:val="002E2D50"/>
    <w:rsid w:val="002E2EB3"/>
    <w:rsid w:val="002E3132"/>
    <w:rsid w:val="002E33FB"/>
    <w:rsid w:val="002E3C74"/>
    <w:rsid w:val="002E44CA"/>
    <w:rsid w:val="002E4559"/>
    <w:rsid w:val="002E51A7"/>
    <w:rsid w:val="002E54DD"/>
    <w:rsid w:val="002E5559"/>
    <w:rsid w:val="002E61AA"/>
    <w:rsid w:val="002E6327"/>
    <w:rsid w:val="002E6461"/>
    <w:rsid w:val="002E65D3"/>
    <w:rsid w:val="002E6B0A"/>
    <w:rsid w:val="002E6C81"/>
    <w:rsid w:val="002E7552"/>
    <w:rsid w:val="002F008F"/>
    <w:rsid w:val="002F0963"/>
    <w:rsid w:val="002F0D15"/>
    <w:rsid w:val="002F1BDA"/>
    <w:rsid w:val="002F1DC9"/>
    <w:rsid w:val="002F26D0"/>
    <w:rsid w:val="002F3813"/>
    <w:rsid w:val="002F3A4B"/>
    <w:rsid w:val="002F3DCD"/>
    <w:rsid w:val="002F41C9"/>
    <w:rsid w:val="002F432B"/>
    <w:rsid w:val="002F46F4"/>
    <w:rsid w:val="002F4A39"/>
    <w:rsid w:val="002F4B64"/>
    <w:rsid w:val="002F56A0"/>
    <w:rsid w:val="002F5760"/>
    <w:rsid w:val="002F580B"/>
    <w:rsid w:val="002F58BF"/>
    <w:rsid w:val="002F5A20"/>
    <w:rsid w:val="002F6A0B"/>
    <w:rsid w:val="002F6E82"/>
    <w:rsid w:val="002F7049"/>
    <w:rsid w:val="002F70E1"/>
    <w:rsid w:val="00300034"/>
    <w:rsid w:val="003000FB"/>
    <w:rsid w:val="00300114"/>
    <w:rsid w:val="00300160"/>
    <w:rsid w:val="00300C77"/>
    <w:rsid w:val="00300E80"/>
    <w:rsid w:val="0030164F"/>
    <w:rsid w:val="003017C7"/>
    <w:rsid w:val="00301AF5"/>
    <w:rsid w:val="00302283"/>
    <w:rsid w:val="00303543"/>
    <w:rsid w:val="0030382F"/>
    <w:rsid w:val="00303C33"/>
    <w:rsid w:val="0030432F"/>
    <w:rsid w:val="003043DF"/>
    <w:rsid w:val="00304D8D"/>
    <w:rsid w:val="00305675"/>
    <w:rsid w:val="003063B6"/>
    <w:rsid w:val="00306BAD"/>
    <w:rsid w:val="00307021"/>
    <w:rsid w:val="003072A5"/>
    <w:rsid w:val="0030760F"/>
    <w:rsid w:val="00307785"/>
    <w:rsid w:val="003077AF"/>
    <w:rsid w:val="00307F9D"/>
    <w:rsid w:val="0031059A"/>
    <w:rsid w:val="00310B2A"/>
    <w:rsid w:val="003112E3"/>
    <w:rsid w:val="00311B92"/>
    <w:rsid w:val="0031203F"/>
    <w:rsid w:val="0031253A"/>
    <w:rsid w:val="0031256C"/>
    <w:rsid w:val="00312794"/>
    <w:rsid w:val="003129AB"/>
    <w:rsid w:val="00313956"/>
    <w:rsid w:val="00313FDD"/>
    <w:rsid w:val="00314A84"/>
    <w:rsid w:val="00314C6C"/>
    <w:rsid w:val="00314DCB"/>
    <w:rsid w:val="003150F2"/>
    <w:rsid w:val="00315164"/>
    <w:rsid w:val="00315729"/>
    <w:rsid w:val="00315C1E"/>
    <w:rsid w:val="0031602F"/>
    <w:rsid w:val="00316BBE"/>
    <w:rsid w:val="003174F9"/>
    <w:rsid w:val="00317920"/>
    <w:rsid w:val="00320857"/>
    <w:rsid w:val="00320C26"/>
    <w:rsid w:val="00321169"/>
    <w:rsid w:val="003212F5"/>
    <w:rsid w:val="003214A7"/>
    <w:rsid w:val="003224F8"/>
    <w:rsid w:val="0032258C"/>
    <w:rsid w:val="003226CB"/>
    <w:rsid w:val="00322FF8"/>
    <w:rsid w:val="003234AE"/>
    <w:rsid w:val="003247F6"/>
    <w:rsid w:val="0032537F"/>
    <w:rsid w:val="0032552F"/>
    <w:rsid w:val="0032607E"/>
    <w:rsid w:val="00327285"/>
    <w:rsid w:val="0032758A"/>
    <w:rsid w:val="00327765"/>
    <w:rsid w:val="003279EA"/>
    <w:rsid w:val="00327A0C"/>
    <w:rsid w:val="00327D55"/>
    <w:rsid w:val="003301DA"/>
    <w:rsid w:val="0033087B"/>
    <w:rsid w:val="00331A7D"/>
    <w:rsid w:val="00331ADC"/>
    <w:rsid w:val="00331BC0"/>
    <w:rsid w:val="0033209B"/>
    <w:rsid w:val="0033269A"/>
    <w:rsid w:val="00332BBB"/>
    <w:rsid w:val="00332C07"/>
    <w:rsid w:val="0033408E"/>
    <w:rsid w:val="00334786"/>
    <w:rsid w:val="00334BA3"/>
    <w:rsid w:val="00336346"/>
    <w:rsid w:val="00337634"/>
    <w:rsid w:val="00337824"/>
    <w:rsid w:val="00337AC1"/>
    <w:rsid w:val="00337CC0"/>
    <w:rsid w:val="003409D5"/>
    <w:rsid w:val="00341075"/>
    <w:rsid w:val="00342308"/>
    <w:rsid w:val="00342BCA"/>
    <w:rsid w:val="00342CBB"/>
    <w:rsid w:val="00343065"/>
    <w:rsid w:val="00343E8D"/>
    <w:rsid w:val="0034560F"/>
    <w:rsid w:val="00345762"/>
    <w:rsid w:val="00346080"/>
    <w:rsid w:val="00346186"/>
    <w:rsid w:val="003464AE"/>
    <w:rsid w:val="00346705"/>
    <w:rsid w:val="00346809"/>
    <w:rsid w:val="00346BA2"/>
    <w:rsid w:val="00346FFC"/>
    <w:rsid w:val="003478A4"/>
    <w:rsid w:val="00350244"/>
    <w:rsid w:val="003515F6"/>
    <w:rsid w:val="00353916"/>
    <w:rsid w:val="00353DA4"/>
    <w:rsid w:val="00354128"/>
    <w:rsid w:val="00356870"/>
    <w:rsid w:val="00356ECF"/>
    <w:rsid w:val="003578D6"/>
    <w:rsid w:val="00357BD5"/>
    <w:rsid w:val="00357D1C"/>
    <w:rsid w:val="00360445"/>
    <w:rsid w:val="00360D03"/>
    <w:rsid w:val="00361B98"/>
    <w:rsid w:val="00361EB3"/>
    <w:rsid w:val="00361FFB"/>
    <w:rsid w:val="00362401"/>
    <w:rsid w:val="00362ECA"/>
    <w:rsid w:val="00362FEC"/>
    <w:rsid w:val="00363188"/>
    <w:rsid w:val="0036352C"/>
    <w:rsid w:val="003638AF"/>
    <w:rsid w:val="00363EDB"/>
    <w:rsid w:val="00363F9E"/>
    <w:rsid w:val="00364598"/>
    <w:rsid w:val="003651C8"/>
    <w:rsid w:val="00365502"/>
    <w:rsid w:val="003661F1"/>
    <w:rsid w:val="0036649D"/>
    <w:rsid w:val="003668F3"/>
    <w:rsid w:val="003673A2"/>
    <w:rsid w:val="00370178"/>
    <w:rsid w:val="0037043E"/>
    <w:rsid w:val="00370E12"/>
    <w:rsid w:val="003712B0"/>
    <w:rsid w:val="003718F9"/>
    <w:rsid w:val="00372B92"/>
    <w:rsid w:val="00373020"/>
    <w:rsid w:val="003730D5"/>
    <w:rsid w:val="003731B0"/>
    <w:rsid w:val="003735C8"/>
    <w:rsid w:val="00373D70"/>
    <w:rsid w:val="00373FE7"/>
    <w:rsid w:val="003740FB"/>
    <w:rsid w:val="003748E6"/>
    <w:rsid w:val="0037514F"/>
    <w:rsid w:val="0037562A"/>
    <w:rsid w:val="00375850"/>
    <w:rsid w:val="00375B64"/>
    <w:rsid w:val="00376272"/>
    <w:rsid w:val="0037698C"/>
    <w:rsid w:val="0037768A"/>
    <w:rsid w:val="0038040F"/>
    <w:rsid w:val="00381E63"/>
    <w:rsid w:val="0038211A"/>
    <w:rsid w:val="003825FC"/>
    <w:rsid w:val="00382850"/>
    <w:rsid w:val="003829A9"/>
    <w:rsid w:val="00382BC3"/>
    <w:rsid w:val="00383B17"/>
    <w:rsid w:val="00383E47"/>
    <w:rsid w:val="00383E67"/>
    <w:rsid w:val="00384755"/>
    <w:rsid w:val="00384F6A"/>
    <w:rsid w:val="003851CC"/>
    <w:rsid w:val="00385C88"/>
    <w:rsid w:val="00385F2F"/>
    <w:rsid w:val="00386221"/>
    <w:rsid w:val="00386A2C"/>
    <w:rsid w:val="00386B13"/>
    <w:rsid w:val="00386F70"/>
    <w:rsid w:val="00387262"/>
    <w:rsid w:val="00387281"/>
    <w:rsid w:val="0038732A"/>
    <w:rsid w:val="00387444"/>
    <w:rsid w:val="003874BB"/>
    <w:rsid w:val="003874DF"/>
    <w:rsid w:val="0039035E"/>
    <w:rsid w:val="00390668"/>
    <w:rsid w:val="003906A7"/>
    <w:rsid w:val="00390BF3"/>
    <w:rsid w:val="003911C3"/>
    <w:rsid w:val="003913C5"/>
    <w:rsid w:val="00391C33"/>
    <w:rsid w:val="00393042"/>
    <w:rsid w:val="0039317D"/>
    <w:rsid w:val="0039385A"/>
    <w:rsid w:val="00394BB0"/>
    <w:rsid w:val="00394BEB"/>
    <w:rsid w:val="00394C8C"/>
    <w:rsid w:val="0039527D"/>
    <w:rsid w:val="0039579D"/>
    <w:rsid w:val="0039655D"/>
    <w:rsid w:val="0039675C"/>
    <w:rsid w:val="003967B8"/>
    <w:rsid w:val="00396F06"/>
    <w:rsid w:val="00397085"/>
    <w:rsid w:val="00397707"/>
    <w:rsid w:val="00397BF1"/>
    <w:rsid w:val="003A006F"/>
    <w:rsid w:val="003A0C1A"/>
    <w:rsid w:val="003A1A03"/>
    <w:rsid w:val="003A216F"/>
    <w:rsid w:val="003A2242"/>
    <w:rsid w:val="003A22C6"/>
    <w:rsid w:val="003A2FE2"/>
    <w:rsid w:val="003A31ED"/>
    <w:rsid w:val="003A369F"/>
    <w:rsid w:val="003A3A89"/>
    <w:rsid w:val="003A43F7"/>
    <w:rsid w:val="003A45B4"/>
    <w:rsid w:val="003A6A82"/>
    <w:rsid w:val="003A6E2C"/>
    <w:rsid w:val="003A75FA"/>
    <w:rsid w:val="003A798A"/>
    <w:rsid w:val="003B008F"/>
    <w:rsid w:val="003B0C51"/>
    <w:rsid w:val="003B0D67"/>
    <w:rsid w:val="003B12D9"/>
    <w:rsid w:val="003B1559"/>
    <w:rsid w:val="003B2440"/>
    <w:rsid w:val="003B32CA"/>
    <w:rsid w:val="003B371D"/>
    <w:rsid w:val="003B417C"/>
    <w:rsid w:val="003B418E"/>
    <w:rsid w:val="003B4B55"/>
    <w:rsid w:val="003B5238"/>
    <w:rsid w:val="003B5304"/>
    <w:rsid w:val="003B536B"/>
    <w:rsid w:val="003B6B60"/>
    <w:rsid w:val="003B6F9D"/>
    <w:rsid w:val="003B7127"/>
    <w:rsid w:val="003B794A"/>
    <w:rsid w:val="003B7A12"/>
    <w:rsid w:val="003C0312"/>
    <w:rsid w:val="003C05AA"/>
    <w:rsid w:val="003C0A31"/>
    <w:rsid w:val="003C0ACC"/>
    <w:rsid w:val="003C0FCB"/>
    <w:rsid w:val="003C1158"/>
    <w:rsid w:val="003C263F"/>
    <w:rsid w:val="003C3249"/>
    <w:rsid w:val="003C35A9"/>
    <w:rsid w:val="003C397A"/>
    <w:rsid w:val="003C3B5B"/>
    <w:rsid w:val="003C3E33"/>
    <w:rsid w:val="003C40DE"/>
    <w:rsid w:val="003C42F0"/>
    <w:rsid w:val="003C468E"/>
    <w:rsid w:val="003C46D5"/>
    <w:rsid w:val="003C499F"/>
    <w:rsid w:val="003C5252"/>
    <w:rsid w:val="003C6227"/>
    <w:rsid w:val="003C6733"/>
    <w:rsid w:val="003C6D2B"/>
    <w:rsid w:val="003C6FB9"/>
    <w:rsid w:val="003C74F9"/>
    <w:rsid w:val="003C75FE"/>
    <w:rsid w:val="003C788A"/>
    <w:rsid w:val="003C7C54"/>
    <w:rsid w:val="003D0197"/>
    <w:rsid w:val="003D0A0E"/>
    <w:rsid w:val="003D1503"/>
    <w:rsid w:val="003D1722"/>
    <w:rsid w:val="003D1AC5"/>
    <w:rsid w:val="003D1CBC"/>
    <w:rsid w:val="003D22D4"/>
    <w:rsid w:val="003D2BAE"/>
    <w:rsid w:val="003D2CF5"/>
    <w:rsid w:val="003D3026"/>
    <w:rsid w:val="003D3496"/>
    <w:rsid w:val="003D3B20"/>
    <w:rsid w:val="003D3EEA"/>
    <w:rsid w:val="003D59C1"/>
    <w:rsid w:val="003D6127"/>
    <w:rsid w:val="003D63E1"/>
    <w:rsid w:val="003D6A40"/>
    <w:rsid w:val="003D6BDB"/>
    <w:rsid w:val="003D6EFA"/>
    <w:rsid w:val="003D7955"/>
    <w:rsid w:val="003E0233"/>
    <w:rsid w:val="003E1178"/>
    <w:rsid w:val="003E199C"/>
    <w:rsid w:val="003E2E9E"/>
    <w:rsid w:val="003E2EBB"/>
    <w:rsid w:val="003E394C"/>
    <w:rsid w:val="003E3C90"/>
    <w:rsid w:val="003E4188"/>
    <w:rsid w:val="003E4895"/>
    <w:rsid w:val="003E4EF3"/>
    <w:rsid w:val="003E5129"/>
    <w:rsid w:val="003E52AC"/>
    <w:rsid w:val="003E52FC"/>
    <w:rsid w:val="003E5548"/>
    <w:rsid w:val="003E6831"/>
    <w:rsid w:val="003E79BA"/>
    <w:rsid w:val="003E7AC9"/>
    <w:rsid w:val="003F0478"/>
    <w:rsid w:val="003F0E49"/>
    <w:rsid w:val="003F11E9"/>
    <w:rsid w:val="003F1CBE"/>
    <w:rsid w:val="003F1F6C"/>
    <w:rsid w:val="003F3046"/>
    <w:rsid w:val="003F3DAA"/>
    <w:rsid w:val="003F45D2"/>
    <w:rsid w:val="003F4BBD"/>
    <w:rsid w:val="003F4F87"/>
    <w:rsid w:val="003F5106"/>
    <w:rsid w:val="003F5291"/>
    <w:rsid w:val="003F5318"/>
    <w:rsid w:val="003F541D"/>
    <w:rsid w:val="003F54AB"/>
    <w:rsid w:val="003F5643"/>
    <w:rsid w:val="003F57C0"/>
    <w:rsid w:val="003F5810"/>
    <w:rsid w:val="003F5F08"/>
    <w:rsid w:val="003F6787"/>
    <w:rsid w:val="003F753B"/>
    <w:rsid w:val="003F78AD"/>
    <w:rsid w:val="003F7AAC"/>
    <w:rsid w:val="003F7CA9"/>
    <w:rsid w:val="003F7F23"/>
    <w:rsid w:val="004000C2"/>
    <w:rsid w:val="0040175D"/>
    <w:rsid w:val="00401A45"/>
    <w:rsid w:val="004027BC"/>
    <w:rsid w:val="00402B03"/>
    <w:rsid w:val="00402E10"/>
    <w:rsid w:val="004033A1"/>
    <w:rsid w:val="00403786"/>
    <w:rsid w:val="0040384C"/>
    <w:rsid w:val="00403910"/>
    <w:rsid w:val="004047D5"/>
    <w:rsid w:val="00404BF1"/>
    <w:rsid w:val="00405360"/>
    <w:rsid w:val="0040589B"/>
    <w:rsid w:val="00405AC6"/>
    <w:rsid w:val="004066C0"/>
    <w:rsid w:val="00406758"/>
    <w:rsid w:val="00407556"/>
    <w:rsid w:val="00407793"/>
    <w:rsid w:val="00407905"/>
    <w:rsid w:val="004079A5"/>
    <w:rsid w:val="00410CD6"/>
    <w:rsid w:val="00411C47"/>
    <w:rsid w:val="0041228E"/>
    <w:rsid w:val="00413E37"/>
    <w:rsid w:val="004140EF"/>
    <w:rsid w:val="004141D1"/>
    <w:rsid w:val="00414564"/>
    <w:rsid w:val="00414FF5"/>
    <w:rsid w:val="0041532A"/>
    <w:rsid w:val="00415938"/>
    <w:rsid w:val="00415A1E"/>
    <w:rsid w:val="00415D09"/>
    <w:rsid w:val="00416732"/>
    <w:rsid w:val="00416859"/>
    <w:rsid w:val="004169AC"/>
    <w:rsid w:val="0041703F"/>
    <w:rsid w:val="00417136"/>
    <w:rsid w:val="00417457"/>
    <w:rsid w:val="004177E0"/>
    <w:rsid w:val="004177F1"/>
    <w:rsid w:val="00417D32"/>
    <w:rsid w:val="00420432"/>
    <w:rsid w:val="004205D1"/>
    <w:rsid w:val="00420FB4"/>
    <w:rsid w:val="00421C42"/>
    <w:rsid w:val="00421D77"/>
    <w:rsid w:val="0042224C"/>
    <w:rsid w:val="00422914"/>
    <w:rsid w:val="004229D7"/>
    <w:rsid w:val="00422F5E"/>
    <w:rsid w:val="0042325B"/>
    <w:rsid w:val="00423329"/>
    <w:rsid w:val="00423D5F"/>
    <w:rsid w:val="00423DDC"/>
    <w:rsid w:val="00423F6D"/>
    <w:rsid w:val="004240CF"/>
    <w:rsid w:val="0042432B"/>
    <w:rsid w:val="0042512C"/>
    <w:rsid w:val="00425613"/>
    <w:rsid w:val="004257E4"/>
    <w:rsid w:val="004260BF"/>
    <w:rsid w:val="00426AAC"/>
    <w:rsid w:val="00426B16"/>
    <w:rsid w:val="004272A7"/>
    <w:rsid w:val="004272F5"/>
    <w:rsid w:val="004275C7"/>
    <w:rsid w:val="00430745"/>
    <w:rsid w:val="00430FA1"/>
    <w:rsid w:val="004316EE"/>
    <w:rsid w:val="00431EA1"/>
    <w:rsid w:val="00431FF9"/>
    <w:rsid w:val="00432214"/>
    <w:rsid w:val="004322C0"/>
    <w:rsid w:val="00432806"/>
    <w:rsid w:val="00432B4F"/>
    <w:rsid w:val="00432E1F"/>
    <w:rsid w:val="00433772"/>
    <w:rsid w:val="0043377D"/>
    <w:rsid w:val="004337D2"/>
    <w:rsid w:val="00434CCA"/>
    <w:rsid w:val="004352C1"/>
    <w:rsid w:val="004354AF"/>
    <w:rsid w:val="00435DE9"/>
    <w:rsid w:val="0043671D"/>
    <w:rsid w:val="004405DF"/>
    <w:rsid w:val="00440799"/>
    <w:rsid w:val="00442247"/>
    <w:rsid w:val="00442734"/>
    <w:rsid w:val="0044323C"/>
    <w:rsid w:val="00443340"/>
    <w:rsid w:val="00443DCA"/>
    <w:rsid w:val="0044428F"/>
    <w:rsid w:val="00444D65"/>
    <w:rsid w:val="00444DB3"/>
    <w:rsid w:val="00444F10"/>
    <w:rsid w:val="00444F82"/>
    <w:rsid w:val="0044521D"/>
    <w:rsid w:val="00445535"/>
    <w:rsid w:val="00445CF0"/>
    <w:rsid w:val="004474C4"/>
    <w:rsid w:val="004478B3"/>
    <w:rsid w:val="00450BBC"/>
    <w:rsid w:val="00451426"/>
    <w:rsid w:val="00451B9B"/>
    <w:rsid w:val="004534DD"/>
    <w:rsid w:val="00453725"/>
    <w:rsid w:val="00453E6B"/>
    <w:rsid w:val="00453EDA"/>
    <w:rsid w:val="004543F7"/>
    <w:rsid w:val="00454C1D"/>
    <w:rsid w:val="00454EF2"/>
    <w:rsid w:val="004556A9"/>
    <w:rsid w:val="00455877"/>
    <w:rsid w:val="00455B39"/>
    <w:rsid w:val="00457651"/>
    <w:rsid w:val="00460210"/>
    <w:rsid w:val="00460DFB"/>
    <w:rsid w:val="00461133"/>
    <w:rsid w:val="00461DF5"/>
    <w:rsid w:val="00461EB3"/>
    <w:rsid w:val="00462295"/>
    <w:rsid w:val="00462551"/>
    <w:rsid w:val="00462839"/>
    <w:rsid w:val="00462AAB"/>
    <w:rsid w:val="00464CDE"/>
    <w:rsid w:val="00465698"/>
    <w:rsid w:val="004658DB"/>
    <w:rsid w:val="00466A53"/>
    <w:rsid w:val="00466CEB"/>
    <w:rsid w:val="00466E20"/>
    <w:rsid w:val="00467437"/>
    <w:rsid w:val="0046745E"/>
    <w:rsid w:val="004674BE"/>
    <w:rsid w:val="00467769"/>
    <w:rsid w:val="004679AA"/>
    <w:rsid w:val="00467E5A"/>
    <w:rsid w:val="00467E74"/>
    <w:rsid w:val="00467FFC"/>
    <w:rsid w:val="004707AF"/>
    <w:rsid w:val="0047089B"/>
    <w:rsid w:val="00471437"/>
    <w:rsid w:val="00471563"/>
    <w:rsid w:val="00471607"/>
    <w:rsid w:val="00471A1C"/>
    <w:rsid w:val="0047222B"/>
    <w:rsid w:val="0047255F"/>
    <w:rsid w:val="0047387F"/>
    <w:rsid w:val="004746C2"/>
    <w:rsid w:val="00474977"/>
    <w:rsid w:val="004752F4"/>
    <w:rsid w:val="004755B7"/>
    <w:rsid w:val="00475771"/>
    <w:rsid w:val="00475B0B"/>
    <w:rsid w:val="00476861"/>
    <w:rsid w:val="00477A4D"/>
    <w:rsid w:val="00477E52"/>
    <w:rsid w:val="0048056F"/>
    <w:rsid w:val="00480AF9"/>
    <w:rsid w:val="00480E49"/>
    <w:rsid w:val="00480F8F"/>
    <w:rsid w:val="004812CD"/>
    <w:rsid w:val="00481E97"/>
    <w:rsid w:val="00484818"/>
    <w:rsid w:val="00484EE6"/>
    <w:rsid w:val="004860F7"/>
    <w:rsid w:val="00487288"/>
    <w:rsid w:val="00490841"/>
    <w:rsid w:val="004908DC"/>
    <w:rsid w:val="004914A0"/>
    <w:rsid w:val="004915B6"/>
    <w:rsid w:val="00491817"/>
    <w:rsid w:val="00491A3F"/>
    <w:rsid w:val="0049297B"/>
    <w:rsid w:val="004936C4"/>
    <w:rsid w:val="0049462B"/>
    <w:rsid w:val="00494885"/>
    <w:rsid w:val="00494F73"/>
    <w:rsid w:val="004956A8"/>
    <w:rsid w:val="00495820"/>
    <w:rsid w:val="00495920"/>
    <w:rsid w:val="00495DDE"/>
    <w:rsid w:val="00497124"/>
    <w:rsid w:val="0049740D"/>
    <w:rsid w:val="004974A9"/>
    <w:rsid w:val="00497CF3"/>
    <w:rsid w:val="00497F3E"/>
    <w:rsid w:val="004A007E"/>
    <w:rsid w:val="004A00B2"/>
    <w:rsid w:val="004A02B4"/>
    <w:rsid w:val="004A0330"/>
    <w:rsid w:val="004A0420"/>
    <w:rsid w:val="004A0799"/>
    <w:rsid w:val="004A0819"/>
    <w:rsid w:val="004A16B6"/>
    <w:rsid w:val="004A17B2"/>
    <w:rsid w:val="004A290F"/>
    <w:rsid w:val="004A2D1A"/>
    <w:rsid w:val="004A32CD"/>
    <w:rsid w:val="004A3B03"/>
    <w:rsid w:val="004A3CC6"/>
    <w:rsid w:val="004A3D37"/>
    <w:rsid w:val="004A45C1"/>
    <w:rsid w:val="004A5199"/>
    <w:rsid w:val="004A57DA"/>
    <w:rsid w:val="004A7A79"/>
    <w:rsid w:val="004A7DD9"/>
    <w:rsid w:val="004B0934"/>
    <w:rsid w:val="004B0E1C"/>
    <w:rsid w:val="004B0F98"/>
    <w:rsid w:val="004B1253"/>
    <w:rsid w:val="004B1367"/>
    <w:rsid w:val="004B14F5"/>
    <w:rsid w:val="004B1621"/>
    <w:rsid w:val="004B1999"/>
    <w:rsid w:val="004B1AEF"/>
    <w:rsid w:val="004B1C86"/>
    <w:rsid w:val="004B217A"/>
    <w:rsid w:val="004B21B7"/>
    <w:rsid w:val="004B2788"/>
    <w:rsid w:val="004B40B0"/>
    <w:rsid w:val="004B5AE3"/>
    <w:rsid w:val="004B65F8"/>
    <w:rsid w:val="004B6916"/>
    <w:rsid w:val="004B6AD9"/>
    <w:rsid w:val="004B6F82"/>
    <w:rsid w:val="004B7367"/>
    <w:rsid w:val="004B77B2"/>
    <w:rsid w:val="004B7B3A"/>
    <w:rsid w:val="004C0EB2"/>
    <w:rsid w:val="004C1098"/>
    <w:rsid w:val="004C1250"/>
    <w:rsid w:val="004C1422"/>
    <w:rsid w:val="004C14C6"/>
    <w:rsid w:val="004C203A"/>
    <w:rsid w:val="004C3FC4"/>
    <w:rsid w:val="004C496B"/>
    <w:rsid w:val="004C4996"/>
    <w:rsid w:val="004C4DD1"/>
    <w:rsid w:val="004C5255"/>
    <w:rsid w:val="004C5D47"/>
    <w:rsid w:val="004C60E0"/>
    <w:rsid w:val="004C6D56"/>
    <w:rsid w:val="004C7173"/>
    <w:rsid w:val="004C7A10"/>
    <w:rsid w:val="004D00F4"/>
    <w:rsid w:val="004D0BC2"/>
    <w:rsid w:val="004D142B"/>
    <w:rsid w:val="004D1761"/>
    <w:rsid w:val="004D1B5D"/>
    <w:rsid w:val="004D1DC7"/>
    <w:rsid w:val="004D1E29"/>
    <w:rsid w:val="004D22BC"/>
    <w:rsid w:val="004D2BB8"/>
    <w:rsid w:val="004D2C4C"/>
    <w:rsid w:val="004D2EC8"/>
    <w:rsid w:val="004D3056"/>
    <w:rsid w:val="004D32CF"/>
    <w:rsid w:val="004D40E1"/>
    <w:rsid w:val="004D424D"/>
    <w:rsid w:val="004D4848"/>
    <w:rsid w:val="004D5857"/>
    <w:rsid w:val="004D586F"/>
    <w:rsid w:val="004D58CA"/>
    <w:rsid w:val="004D6131"/>
    <w:rsid w:val="004D6773"/>
    <w:rsid w:val="004D687F"/>
    <w:rsid w:val="004D6DDD"/>
    <w:rsid w:val="004E073B"/>
    <w:rsid w:val="004E0A49"/>
    <w:rsid w:val="004E0C69"/>
    <w:rsid w:val="004E14C4"/>
    <w:rsid w:val="004E1AFF"/>
    <w:rsid w:val="004E2160"/>
    <w:rsid w:val="004E297A"/>
    <w:rsid w:val="004E2B89"/>
    <w:rsid w:val="004E303C"/>
    <w:rsid w:val="004E32BC"/>
    <w:rsid w:val="004E355C"/>
    <w:rsid w:val="004E37FE"/>
    <w:rsid w:val="004E383E"/>
    <w:rsid w:val="004E485A"/>
    <w:rsid w:val="004E4968"/>
    <w:rsid w:val="004E4CEE"/>
    <w:rsid w:val="004E4D19"/>
    <w:rsid w:val="004E4D80"/>
    <w:rsid w:val="004E4D92"/>
    <w:rsid w:val="004E5F80"/>
    <w:rsid w:val="004E665A"/>
    <w:rsid w:val="004E66BB"/>
    <w:rsid w:val="004E6714"/>
    <w:rsid w:val="004E780F"/>
    <w:rsid w:val="004E7E0E"/>
    <w:rsid w:val="004F0911"/>
    <w:rsid w:val="004F0C5E"/>
    <w:rsid w:val="004F11E8"/>
    <w:rsid w:val="004F16C6"/>
    <w:rsid w:val="004F3826"/>
    <w:rsid w:val="004F3BE5"/>
    <w:rsid w:val="004F3EE6"/>
    <w:rsid w:val="004F4E2F"/>
    <w:rsid w:val="004F4FF8"/>
    <w:rsid w:val="004F6344"/>
    <w:rsid w:val="004F6813"/>
    <w:rsid w:val="004F687C"/>
    <w:rsid w:val="004F70AF"/>
    <w:rsid w:val="004F767F"/>
    <w:rsid w:val="004F7729"/>
    <w:rsid w:val="00500095"/>
    <w:rsid w:val="005002B0"/>
    <w:rsid w:val="005003EA"/>
    <w:rsid w:val="00500BCD"/>
    <w:rsid w:val="00500DE4"/>
    <w:rsid w:val="005013EF"/>
    <w:rsid w:val="005014BA"/>
    <w:rsid w:val="00503141"/>
    <w:rsid w:val="00503E1F"/>
    <w:rsid w:val="00503F69"/>
    <w:rsid w:val="00503F9A"/>
    <w:rsid w:val="00504318"/>
    <w:rsid w:val="005047FF"/>
    <w:rsid w:val="00504C42"/>
    <w:rsid w:val="00506422"/>
    <w:rsid w:val="00506BD2"/>
    <w:rsid w:val="00506C81"/>
    <w:rsid w:val="0050703C"/>
    <w:rsid w:val="00507A07"/>
    <w:rsid w:val="00507AD8"/>
    <w:rsid w:val="00510540"/>
    <w:rsid w:val="0051061C"/>
    <w:rsid w:val="00510681"/>
    <w:rsid w:val="005111E1"/>
    <w:rsid w:val="00511A5F"/>
    <w:rsid w:val="00511CAF"/>
    <w:rsid w:val="00511CEC"/>
    <w:rsid w:val="00511D11"/>
    <w:rsid w:val="00511F6B"/>
    <w:rsid w:val="0051244B"/>
    <w:rsid w:val="00512DBE"/>
    <w:rsid w:val="0051310B"/>
    <w:rsid w:val="00513123"/>
    <w:rsid w:val="005139F7"/>
    <w:rsid w:val="00513A8D"/>
    <w:rsid w:val="00513C83"/>
    <w:rsid w:val="00514566"/>
    <w:rsid w:val="005166DB"/>
    <w:rsid w:val="00516BDE"/>
    <w:rsid w:val="00516E7C"/>
    <w:rsid w:val="00517F8B"/>
    <w:rsid w:val="005203D7"/>
    <w:rsid w:val="0052062D"/>
    <w:rsid w:val="00521D32"/>
    <w:rsid w:val="005227C9"/>
    <w:rsid w:val="00522889"/>
    <w:rsid w:val="00522EA7"/>
    <w:rsid w:val="00522F19"/>
    <w:rsid w:val="00523251"/>
    <w:rsid w:val="005232F6"/>
    <w:rsid w:val="005234EA"/>
    <w:rsid w:val="0052402F"/>
    <w:rsid w:val="0052474A"/>
    <w:rsid w:val="00524751"/>
    <w:rsid w:val="0052497C"/>
    <w:rsid w:val="00524A74"/>
    <w:rsid w:val="00524B91"/>
    <w:rsid w:val="00524DCE"/>
    <w:rsid w:val="005251AF"/>
    <w:rsid w:val="00526BC2"/>
    <w:rsid w:val="00526FB8"/>
    <w:rsid w:val="005270FE"/>
    <w:rsid w:val="00530199"/>
    <w:rsid w:val="0053033C"/>
    <w:rsid w:val="00530BC2"/>
    <w:rsid w:val="00531991"/>
    <w:rsid w:val="00532054"/>
    <w:rsid w:val="00532F5B"/>
    <w:rsid w:val="00533494"/>
    <w:rsid w:val="00533F8C"/>
    <w:rsid w:val="005346B9"/>
    <w:rsid w:val="00535419"/>
    <w:rsid w:val="00535426"/>
    <w:rsid w:val="00535A1B"/>
    <w:rsid w:val="0053628C"/>
    <w:rsid w:val="00537283"/>
    <w:rsid w:val="005372C3"/>
    <w:rsid w:val="005400B9"/>
    <w:rsid w:val="005400D8"/>
    <w:rsid w:val="005401ED"/>
    <w:rsid w:val="0054101F"/>
    <w:rsid w:val="0054118B"/>
    <w:rsid w:val="00541926"/>
    <w:rsid w:val="005419D1"/>
    <w:rsid w:val="005420B9"/>
    <w:rsid w:val="005421B4"/>
    <w:rsid w:val="00542336"/>
    <w:rsid w:val="005430A2"/>
    <w:rsid w:val="005434B9"/>
    <w:rsid w:val="005447FA"/>
    <w:rsid w:val="00544ECD"/>
    <w:rsid w:val="00544F23"/>
    <w:rsid w:val="00545109"/>
    <w:rsid w:val="00545917"/>
    <w:rsid w:val="005459A1"/>
    <w:rsid w:val="00546C1C"/>
    <w:rsid w:val="00547169"/>
    <w:rsid w:val="005473D5"/>
    <w:rsid w:val="00547958"/>
    <w:rsid w:val="00550741"/>
    <w:rsid w:val="00550AE9"/>
    <w:rsid w:val="00551B24"/>
    <w:rsid w:val="005524BB"/>
    <w:rsid w:val="0055274E"/>
    <w:rsid w:val="005530A6"/>
    <w:rsid w:val="00553842"/>
    <w:rsid w:val="005549A5"/>
    <w:rsid w:val="00554ABE"/>
    <w:rsid w:val="00554CA7"/>
    <w:rsid w:val="00554CCB"/>
    <w:rsid w:val="00555222"/>
    <w:rsid w:val="005556A9"/>
    <w:rsid w:val="00557D9F"/>
    <w:rsid w:val="00557EAA"/>
    <w:rsid w:val="005600E1"/>
    <w:rsid w:val="00560779"/>
    <w:rsid w:val="00561429"/>
    <w:rsid w:val="00561869"/>
    <w:rsid w:val="00561CF9"/>
    <w:rsid w:val="00561FFE"/>
    <w:rsid w:val="00562B76"/>
    <w:rsid w:val="00563618"/>
    <w:rsid w:val="0056370D"/>
    <w:rsid w:val="00563D2A"/>
    <w:rsid w:val="0056433E"/>
    <w:rsid w:val="00564C70"/>
    <w:rsid w:val="00564E31"/>
    <w:rsid w:val="0056542E"/>
    <w:rsid w:val="00565929"/>
    <w:rsid w:val="00565A4D"/>
    <w:rsid w:val="00565FFB"/>
    <w:rsid w:val="005662D1"/>
    <w:rsid w:val="005705AD"/>
    <w:rsid w:val="005708A4"/>
    <w:rsid w:val="0057090F"/>
    <w:rsid w:val="0057105F"/>
    <w:rsid w:val="00571AAF"/>
    <w:rsid w:val="00571C66"/>
    <w:rsid w:val="00571CCD"/>
    <w:rsid w:val="005721C3"/>
    <w:rsid w:val="005730C3"/>
    <w:rsid w:val="005747B6"/>
    <w:rsid w:val="0057509B"/>
    <w:rsid w:val="00575306"/>
    <w:rsid w:val="0057598F"/>
    <w:rsid w:val="00575CD4"/>
    <w:rsid w:val="00575F0D"/>
    <w:rsid w:val="00575FBC"/>
    <w:rsid w:val="00576C7F"/>
    <w:rsid w:val="00577356"/>
    <w:rsid w:val="0057779B"/>
    <w:rsid w:val="00577C69"/>
    <w:rsid w:val="00580EC9"/>
    <w:rsid w:val="00581B84"/>
    <w:rsid w:val="005832F6"/>
    <w:rsid w:val="00583334"/>
    <w:rsid w:val="00583929"/>
    <w:rsid w:val="005858CD"/>
    <w:rsid w:val="005859FA"/>
    <w:rsid w:val="00585B33"/>
    <w:rsid w:val="005862A6"/>
    <w:rsid w:val="00587782"/>
    <w:rsid w:val="005878B9"/>
    <w:rsid w:val="00587C73"/>
    <w:rsid w:val="00587FB4"/>
    <w:rsid w:val="00590260"/>
    <w:rsid w:val="00590B0E"/>
    <w:rsid w:val="00590EBC"/>
    <w:rsid w:val="00590FF9"/>
    <w:rsid w:val="00591634"/>
    <w:rsid w:val="00592471"/>
    <w:rsid w:val="00593371"/>
    <w:rsid w:val="005937D0"/>
    <w:rsid w:val="00593CCC"/>
    <w:rsid w:val="00593F31"/>
    <w:rsid w:val="00594042"/>
    <w:rsid w:val="00594768"/>
    <w:rsid w:val="00594B5C"/>
    <w:rsid w:val="00595228"/>
    <w:rsid w:val="00595763"/>
    <w:rsid w:val="00595B3B"/>
    <w:rsid w:val="00595E9F"/>
    <w:rsid w:val="0059671F"/>
    <w:rsid w:val="0059676F"/>
    <w:rsid w:val="00597124"/>
    <w:rsid w:val="00597910"/>
    <w:rsid w:val="00597911"/>
    <w:rsid w:val="0059791E"/>
    <w:rsid w:val="00597F6E"/>
    <w:rsid w:val="005A03A7"/>
    <w:rsid w:val="005A0C81"/>
    <w:rsid w:val="005A2127"/>
    <w:rsid w:val="005A30CD"/>
    <w:rsid w:val="005A34E3"/>
    <w:rsid w:val="005A3A05"/>
    <w:rsid w:val="005A4C23"/>
    <w:rsid w:val="005A4FCF"/>
    <w:rsid w:val="005A51AB"/>
    <w:rsid w:val="005A5251"/>
    <w:rsid w:val="005A606E"/>
    <w:rsid w:val="005A65CA"/>
    <w:rsid w:val="005A6619"/>
    <w:rsid w:val="005A6788"/>
    <w:rsid w:val="005A6AB6"/>
    <w:rsid w:val="005A6FD9"/>
    <w:rsid w:val="005A706A"/>
    <w:rsid w:val="005A7122"/>
    <w:rsid w:val="005B0237"/>
    <w:rsid w:val="005B0773"/>
    <w:rsid w:val="005B0A33"/>
    <w:rsid w:val="005B1286"/>
    <w:rsid w:val="005B13F1"/>
    <w:rsid w:val="005B1B38"/>
    <w:rsid w:val="005B1CB9"/>
    <w:rsid w:val="005B1E8A"/>
    <w:rsid w:val="005B1EA5"/>
    <w:rsid w:val="005B238B"/>
    <w:rsid w:val="005B27AA"/>
    <w:rsid w:val="005B29AE"/>
    <w:rsid w:val="005B3863"/>
    <w:rsid w:val="005B45BC"/>
    <w:rsid w:val="005B4E6C"/>
    <w:rsid w:val="005B51EC"/>
    <w:rsid w:val="005B61E6"/>
    <w:rsid w:val="005B691D"/>
    <w:rsid w:val="005B7129"/>
    <w:rsid w:val="005B76EE"/>
    <w:rsid w:val="005C0736"/>
    <w:rsid w:val="005C1772"/>
    <w:rsid w:val="005C2270"/>
    <w:rsid w:val="005C2C01"/>
    <w:rsid w:val="005C3FAD"/>
    <w:rsid w:val="005C407D"/>
    <w:rsid w:val="005C4DAE"/>
    <w:rsid w:val="005C50B0"/>
    <w:rsid w:val="005C533A"/>
    <w:rsid w:val="005C5388"/>
    <w:rsid w:val="005C5765"/>
    <w:rsid w:val="005C5C56"/>
    <w:rsid w:val="005C6C98"/>
    <w:rsid w:val="005C6FFD"/>
    <w:rsid w:val="005C72BA"/>
    <w:rsid w:val="005C79E2"/>
    <w:rsid w:val="005C7C01"/>
    <w:rsid w:val="005D0071"/>
    <w:rsid w:val="005D0313"/>
    <w:rsid w:val="005D0C99"/>
    <w:rsid w:val="005D2406"/>
    <w:rsid w:val="005D2D17"/>
    <w:rsid w:val="005D3929"/>
    <w:rsid w:val="005D3E7E"/>
    <w:rsid w:val="005D3F81"/>
    <w:rsid w:val="005D5C06"/>
    <w:rsid w:val="005D657B"/>
    <w:rsid w:val="005D67F6"/>
    <w:rsid w:val="005D7606"/>
    <w:rsid w:val="005D7616"/>
    <w:rsid w:val="005D7EEB"/>
    <w:rsid w:val="005E0508"/>
    <w:rsid w:val="005E050E"/>
    <w:rsid w:val="005E08A2"/>
    <w:rsid w:val="005E0B1B"/>
    <w:rsid w:val="005E0B4E"/>
    <w:rsid w:val="005E0BA8"/>
    <w:rsid w:val="005E0DE2"/>
    <w:rsid w:val="005E1091"/>
    <w:rsid w:val="005E1136"/>
    <w:rsid w:val="005E1717"/>
    <w:rsid w:val="005E1A10"/>
    <w:rsid w:val="005E1DE2"/>
    <w:rsid w:val="005E353C"/>
    <w:rsid w:val="005E3CA3"/>
    <w:rsid w:val="005E3FDA"/>
    <w:rsid w:val="005E52B1"/>
    <w:rsid w:val="005E52F6"/>
    <w:rsid w:val="005E5738"/>
    <w:rsid w:val="005E5767"/>
    <w:rsid w:val="005E5C36"/>
    <w:rsid w:val="005E65C2"/>
    <w:rsid w:val="005E792A"/>
    <w:rsid w:val="005E7A06"/>
    <w:rsid w:val="005F01B7"/>
    <w:rsid w:val="005F0C28"/>
    <w:rsid w:val="005F0DB2"/>
    <w:rsid w:val="005F1B98"/>
    <w:rsid w:val="005F20FF"/>
    <w:rsid w:val="005F2479"/>
    <w:rsid w:val="005F285C"/>
    <w:rsid w:val="005F2C4D"/>
    <w:rsid w:val="005F2E99"/>
    <w:rsid w:val="005F2FDD"/>
    <w:rsid w:val="005F3575"/>
    <w:rsid w:val="005F3E08"/>
    <w:rsid w:val="005F40A7"/>
    <w:rsid w:val="005F4129"/>
    <w:rsid w:val="005F452E"/>
    <w:rsid w:val="005F45A9"/>
    <w:rsid w:val="005F496F"/>
    <w:rsid w:val="005F50DA"/>
    <w:rsid w:val="005F5184"/>
    <w:rsid w:val="005F5341"/>
    <w:rsid w:val="005F54A9"/>
    <w:rsid w:val="005F65BA"/>
    <w:rsid w:val="005F6921"/>
    <w:rsid w:val="005F6BCA"/>
    <w:rsid w:val="005F73F5"/>
    <w:rsid w:val="005F7540"/>
    <w:rsid w:val="005F76B4"/>
    <w:rsid w:val="00600198"/>
    <w:rsid w:val="00602124"/>
    <w:rsid w:val="006031B3"/>
    <w:rsid w:val="00603B7C"/>
    <w:rsid w:val="00604BBD"/>
    <w:rsid w:val="0060638C"/>
    <w:rsid w:val="00606ACD"/>
    <w:rsid w:val="00606E34"/>
    <w:rsid w:val="006075CF"/>
    <w:rsid w:val="0060764E"/>
    <w:rsid w:val="00607B0B"/>
    <w:rsid w:val="00611266"/>
    <w:rsid w:val="006117BA"/>
    <w:rsid w:val="00611930"/>
    <w:rsid w:val="00611ACA"/>
    <w:rsid w:val="006126A4"/>
    <w:rsid w:val="00612E4A"/>
    <w:rsid w:val="00612EBD"/>
    <w:rsid w:val="00612F03"/>
    <w:rsid w:val="00613103"/>
    <w:rsid w:val="00613CCC"/>
    <w:rsid w:val="00614465"/>
    <w:rsid w:val="0061528B"/>
    <w:rsid w:val="006174C2"/>
    <w:rsid w:val="00620217"/>
    <w:rsid w:val="00620237"/>
    <w:rsid w:val="0062100A"/>
    <w:rsid w:val="0062231B"/>
    <w:rsid w:val="006232F6"/>
    <w:rsid w:val="00623C84"/>
    <w:rsid w:val="0062405E"/>
    <w:rsid w:val="006242E9"/>
    <w:rsid w:val="00624A51"/>
    <w:rsid w:val="00624FAC"/>
    <w:rsid w:val="00624FDD"/>
    <w:rsid w:val="00625133"/>
    <w:rsid w:val="0062516F"/>
    <w:rsid w:val="0062524B"/>
    <w:rsid w:val="00626082"/>
    <w:rsid w:val="00626331"/>
    <w:rsid w:val="00626D4C"/>
    <w:rsid w:val="00626D57"/>
    <w:rsid w:val="0062738F"/>
    <w:rsid w:val="0063081A"/>
    <w:rsid w:val="00630CC6"/>
    <w:rsid w:val="0063156D"/>
    <w:rsid w:val="00631677"/>
    <w:rsid w:val="00631845"/>
    <w:rsid w:val="00631AC4"/>
    <w:rsid w:val="00631F82"/>
    <w:rsid w:val="00632337"/>
    <w:rsid w:val="0063386F"/>
    <w:rsid w:val="0063394D"/>
    <w:rsid w:val="0063401E"/>
    <w:rsid w:val="0063489F"/>
    <w:rsid w:val="00634930"/>
    <w:rsid w:val="00635F20"/>
    <w:rsid w:val="00636ADA"/>
    <w:rsid w:val="00637143"/>
    <w:rsid w:val="00640133"/>
    <w:rsid w:val="006402D6"/>
    <w:rsid w:val="00640422"/>
    <w:rsid w:val="0064061B"/>
    <w:rsid w:val="006406A1"/>
    <w:rsid w:val="00641170"/>
    <w:rsid w:val="0064137C"/>
    <w:rsid w:val="006413C6"/>
    <w:rsid w:val="00641645"/>
    <w:rsid w:val="00641A6B"/>
    <w:rsid w:val="00641B0A"/>
    <w:rsid w:val="00642031"/>
    <w:rsid w:val="00642641"/>
    <w:rsid w:val="00642747"/>
    <w:rsid w:val="00642E48"/>
    <w:rsid w:val="0064398B"/>
    <w:rsid w:val="00643CAF"/>
    <w:rsid w:val="006440B8"/>
    <w:rsid w:val="006442B6"/>
    <w:rsid w:val="0064493B"/>
    <w:rsid w:val="0064503E"/>
    <w:rsid w:val="00645751"/>
    <w:rsid w:val="0064593D"/>
    <w:rsid w:val="006465AF"/>
    <w:rsid w:val="00646E15"/>
    <w:rsid w:val="00646FD7"/>
    <w:rsid w:val="00647BBA"/>
    <w:rsid w:val="00647E51"/>
    <w:rsid w:val="00647E8D"/>
    <w:rsid w:val="006504CF"/>
    <w:rsid w:val="006508D2"/>
    <w:rsid w:val="006516C3"/>
    <w:rsid w:val="0065180A"/>
    <w:rsid w:val="00651A44"/>
    <w:rsid w:val="00651C3B"/>
    <w:rsid w:val="006534EF"/>
    <w:rsid w:val="006536E3"/>
    <w:rsid w:val="006536FC"/>
    <w:rsid w:val="00653819"/>
    <w:rsid w:val="006544A8"/>
    <w:rsid w:val="006551B9"/>
    <w:rsid w:val="006551F7"/>
    <w:rsid w:val="00655815"/>
    <w:rsid w:val="00656568"/>
    <w:rsid w:val="00656724"/>
    <w:rsid w:val="00656997"/>
    <w:rsid w:val="00656F97"/>
    <w:rsid w:val="0065738E"/>
    <w:rsid w:val="00657563"/>
    <w:rsid w:val="00657932"/>
    <w:rsid w:val="006579F6"/>
    <w:rsid w:val="00657B5A"/>
    <w:rsid w:val="0066023B"/>
    <w:rsid w:val="00660240"/>
    <w:rsid w:val="00661934"/>
    <w:rsid w:val="006625C5"/>
    <w:rsid w:val="00662C7F"/>
    <w:rsid w:val="006633AA"/>
    <w:rsid w:val="00664278"/>
    <w:rsid w:val="00664AA3"/>
    <w:rsid w:val="00665923"/>
    <w:rsid w:val="00666000"/>
    <w:rsid w:val="00666617"/>
    <w:rsid w:val="00671720"/>
    <w:rsid w:val="00671953"/>
    <w:rsid w:val="00671B36"/>
    <w:rsid w:val="00671B7B"/>
    <w:rsid w:val="00671D9B"/>
    <w:rsid w:val="006724F5"/>
    <w:rsid w:val="00672DBF"/>
    <w:rsid w:val="00675429"/>
    <w:rsid w:val="0067558D"/>
    <w:rsid w:val="0067606F"/>
    <w:rsid w:val="006761BC"/>
    <w:rsid w:val="00676899"/>
    <w:rsid w:val="00676916"/>
    <w:rsid w:val="0068007C"/>
    <w:rsid w:val="00680E51"/>
    <w:rsid w:val="006813E2"/>
    <w:rsid w:val="00681920"/>
    <w:rsid w:val="00682089"/>
    <w:rsid w:val="00682A29"/>
    <w:rsid w:val="00684359"/>
    <w:rsid w:val="006854C2"/>
    <w:rsid w:val="006855CF"/>
    <w:rsid w:val="0068655A"/>
    <w:rsid w:val="00686809"/>
    <w:rsid w:val="00687019"/>
    <w:rsid w:val="00687372"/>
    <w:rsid w:val="00687650"/>
    <w:rsid w:val="00687CE6"/>
    <w:rsid w:val="00690D4F"/>
    <w:rsid w:val="00690F5B"/>
    <w:rsid w:val="006911DC"/>
    <w:rsid w:val="006913E0"/>
    <w:rsid w:val="0069149A"/>
    <w:rsid w:val="00692F21"/>
    <w:rsid w:val="0069301B"/>
    <w:rsid w:val="0069323F"/>
    <w:rsid w:val="006941D0"/>
    <w:rsid w:val="00694556"/>
    <w:rsid w:val="00694B2F"/>
    <w:rsid w:val="00694DB5"/>
    <w:rsid w:val="0069553C"/>
    <w:rsid w:val="00695617"/>
    <w:rsid w:val="00696E29"/>
    <w:rsid w:val="00697931"/>
    <w:rsid w:val="006A0018"/>
    <w:rsid w:val="006A0327"/>
    <w:rsid w:val="006A0710"/>
    <w:rsid w:val="006A092D"/>
    <w:rsid w:val="006A098A"/>
    <w:rsid w:val="006A1236"/>
    <w:rsid w:val="006A1315"/>
    <w:rsid w:val="006A1342"/>
    <w:rsid w:val="006A1777"/>
    <w:rsid w:val="006A1875"/>
    <w:rsid w:val="006A18B7"/>
    <w:rsid w:val="006A278C"/>
    <w:rsid w:val="006A3701"/>
    <w:rsid w:val="006A3754"/>
    <w:rsid w:val="006A3D34"/>
    <w:rsid w:val="006A485A"/>
    <w:rsid w:val="006A4A88"/>
    <w:rsid w:val="006A4B5F"/>
    <w:rsid w:val="006A596B"/>
    <w:rsid w:val="006A5999"/>
    <w:rsid w:val="006A5B53"/>
    <w:rsid w:val="006A6147"/>
    <w:rsid w:val="006A6328"/>
    <w:rsid w:val="006A6811"/>
    <w:rsid w:val="006A68EE"/>
    <w:rsid w:val="006A6EA1"/>
    <w:rsid w:val="006A6ECB"/>
    <w:rsid w:val="006A75F9"/>
    <w:rsid w:val="006A7CB1"/>
    <w:rsid w:val="006A7CDA"/>
    <w:rsid w:val="006A7E94"/>
    <w:rsid w:val="006B0188"/>
    <w:rsid w:val="006B0591"/>
    <w:rsid w:val="006B06E1"/>
    <w:rsid w:val="006B0940"/>
    <w:rsid w:val="006B0A6A"/>
    <w:rsid w:val="006B0A92"/>
    <w:rsid w:val="006B15FB"/>
    <w:rsid w:val="006B18AE"/>
    <w:rsid w:val="006B1B55"/>
    <w:rsid w:val="006B2602"/>
    <w:rsid w:val="006B2A71"/>
    <w:rsid w:val="006B2FE8"/>
    <w:rsid w:val="006B3F93"/>
    <w:rsid w:val="006B44AB"/>
    <w:rsid w:val="006B45C4"/>
    <w:rsid w:val="006B4910"/>
    <w:rsid w:val="006B49BA"/>
    <w:rsid w:val="006B4A1C"/>
    <w:rsid w:val="006B4E8B"/>
    <w:rsid w:val="006B50B6"/>
    <w:rsid w:val="006B6586"/>
    <w:rsid w:val="006B6699"/>
    <w:rsid w:val="006B6C74"/>
    <w:rsid w:val="006C18C5"/>
    <w:rsid w:val="006C2647"/>
    <w:rsid w:val="006C2F92"/>
    <w:rsid w:val="006C3274"/>
    <w:rsid w:val="006C3367"/>
    <w:rsid w:val="006C4952"/>
    <w:rsid w:val="006C4A0A"/>
    <w:rsid w:val="006C4AC5"/>
    <w:rsid w:val="006C574F"/>
    <w:rsid w:val="006C599C"/>
    <w:rsid w:val="006C5F70"/>
    <w:rsid w:val="006C687B"/>
    <w:rsid w:val="006D0819"/>
    <w:rsid w:val="006D0908"/>
    <w:rsid w:val="006D14DC"/>
    <w:rsid w:val="006D175A"/>
    <w:rsid w:val="006D1C64"/>
    <w:rsid w:val="006D1E6A"/>
    <w:rsid w:val="006D1EA5"/>
    <w:rsid w:val="006D31C7"/>
    <w:rsid w:val="006D380A"/>
    <w:rsid w:val="006D421B"/>
    <w:rsid w:val="006D4607"/>
    <w:rsid w:val="006D478A"/>
    <w:rsid w:val="006D4B81"/>
    <w:rsid w:val="006D52CC"/>
    <w:rsid w:val="006D5910"/>
    <w:rsid w:val="006D659E"/>
    <w:rsid w:val="006D6600"/>
    <w:rsid w:val="006D6A87"/>
    <w:rsid w:val="006E022F"/>
    <w:rsid w:val="006E08C0"/>
    <w:rsid w:val="006E1700"/>
    <w:rsid w:val="006E317C"/>
    <w:rsid w:val="006E36C1"/>
    <w:rsid w:val="006E51F3"/>
    <w:rsid w:val="006E59C4"/>
    <w:rsid w:val="006E6748"/>
    <w:rsid w:val="006E674F"/>
    <w:rsid w:val="006E6765"/>
    <w:rsid w:val="006E7A3D"/>
    <w:rsid w:val="006F01E4"/>
    <w:rsid w:val="006F0FE7"/>
    <w:rsid w:val="006F16D0"/>
    <w:rsid w:val="006F1B68"/>
    <w:rsid w:val="006F1E80"/>
    <w:rsid w:val="006F2066"/>
    <w:rsid w:val="006F27D1"/>
    <w:rsid w:val="006F285E"/>
    <w:rsid w:val="006F29B5"/>
    <w:rsid w:val="006F2E65"/>
    <w:rsid w:val="006F362C"/>
    <w:rsid w:val="006F3DE7"/>
    <w:rsid w:val="006F4CBA"/>
    <w:rsid w:val="006F5D8E"/>
    <w:rsid w:val="006F5F1C"/>
    <w:rsid w:val="006F6220"/>
    <w:rsid w:val="006F6790"/>
    <w:rsid w:val="006F6CB2"/>
    <w:rsid w:val="006F6EC6"/>
    <w:rsid w:val="006F732E"/>
    <w:rsid w:val="006F7A68"/>
    <w:rsid w:val="00701197"/>
    <w:rsid w:val="00701D4F"/>
    <w:rsid w:val="007035F5"/>
    <w:rsid w:val="00703F7A"/>
    <w:rsid w:val="0070408B"/>
    <w:rsid w:val="00704C2E"/>
    <w:rsid w:val="007065C0"/>
    <w:rsid w:val="007065E5"/>
    <w:rsid w:val="007069B5"/>
    <w:rsid w:val="00706CB7"/>
    <w:rsid w:val="00707932"/>
    <w:rsid w:val="0071011F"/>
    <w:rsid w:val="00710363"/>
    <w:rsid w:val="007109DE"/>
    <w:rsid w:val="007111B6"/>
    <w:rsid w:val="0071176B"/>
    <w:rsid w:val="0071348B"/>
    <w:rsid w:val="00714429"/>
    <w:rsid w:val="007146D9"/>
    <w:rsid w:val="00714C5E"/>
    <w:rsid w:val="007153E8"/>
    <w:rsid w:val="00715AA0"/>
    <w:rsid w:val="00715C2E"/>
    <w:rsid w:val="007167F2"/>
    <w:rsid w:val="007171AF"/>
    <w:rsid w:val="007176F9"/>
    <w:rsid w:val="0071773A"/>
    <w:rsid w:val="00717970"/>
    <w:rsid w:val="00720771"/>
    <w:rsid w:val="00721352"/>
    <w:rsid w:val="007216C7"/>
    <w:rsid w:val="00721970"/>
    <w:rsid w:val="00721B6C"/>
    <w:rsid w:val="00721CC5"/>
    <w:rsid w:val="0072259E"/>
    <w:rsid w:val="0072317D"/>
    <w:rsid w:val="00723540"/>
    <w:rsid w:val="007235B8"/>
    <w:rsid w:val="007237D0"/>
    <w:rsid w:val="00724630"/>
    <w:rsid w:val="00724B53"/>
    <w:rsid w:val="00724E33"/>
    <w:rsid w:val="007253E0"/>
    <w:rsid w:val="00725E65"/>
    <w:rsid w:val="00725EA1"/>
    <w:rsid w:val="00725EB8"/>
    <w:rsid w:val="00725FB4"/>
    <w:rsid w:val="00726896"/>
    <w:rsid w:val="007270D4"/>
    <w:rsid w:val="00727A0B"/>
    <w:rsid w:val="00727B8D"/>
    <w:rsid w:val="00727B9C"/>
    <w:rsid w:val="00730A06"/>
    <w:rsid w:val="00730EBF"/>
    <w:rsid w:val="0073134B"/>
    <w:rsid w:val="00731381"/>
    <w:rsid w:val="007314D1"/>
    <w:rsid w:val="00732BB0"/>
    <w:rsid w:val="00732EDE"/>
    <w:rsid w:val="007345D9"/>
    <w:rsid w:val="0073551E"/>
    <w:rsid w:val="0073566D"/>
    <w:rsid w:val="00735BD4"/>
    <w:rsid w:val="00737268"/>
    <w:rsid w:val="00737B86"/>
    <w:rsid w:val="00740ACD"/>
    <w:rsid w:val="00740E33"/>
    <w:rsid w:val="00740E8D"/>
    <w:rsid w:val="0074104C"/>
    <w:rsid w:val="00741186"/>
    <w:rsid w:val="0074139F"/>
    <w:rsid w:val="00741A8F"/>
    <w:rsid w:val="00741F64"/>
    <w:rsid w:val="00742362"/>
    <w:rsid w:val="0074239B"/>
    <w:rsid w:val="00742659"/>
    <w:rsid w:val="0074375C"/>
    <w:rsid w:val="0074384E"/>
    <w:rsid w:val="00743BA2"/>
    <w:rsid w:val="00743F6D"/>
    <w:rsid w:val="00744152"/>
    <w:rsid w:val="00744624"/>
    <w:rsid w:val="00745553"/>
    <w:rsid w:val="00745ACA"/>
    <w:rsid w:val="0074607C"/>
    <w:rsid w:val="007461E3"/>
    <w:rsid w:val="007471F0"/>
    <w:rsid w:val="00747690"/>
    <w:rsid w:val="0074781F"/>
    <w:rsid w:val="00747C21"/>
    <w:rsid w:val="00747C97"/>
    <w:rsid w:val="00750328"/>
    <w:rsid w:val="00750701"/>
    <w:rsid w:val="0075088B"/>
    <w:rsid w:val="007508BD"/>
    <w:rsid w:val="00750976"/>
    <w:rsid w:val="00750B01"/>
    <w:rsid w:val="00750C6F"/>
    <w:rsid w:val="00751B3A"/>
    <w:rsid w:val="00751B90"/>
    <w:rsid w:val="00753093"/>
    <w:rsid w:val="0075340E"/>
    <w:rsid w:val="00754699"/>
    <w:rsid w:val="00754B3D"/>
    <w:rsid w:val="00755553"/>
    <w:rsid w:val="007558A9"/>
    <w:rsid w:val="00755A94"/>
    <w:rsid w:val="00755BAC"/>
    <w:rsid w:val="00755DBE"/>
    <w:rsid w:val="00756053"/>
    <w:rsid w:val="007560EF"/>
    <w:rsid w:val="0075656A"/>
    <w:rsid w:val="0075797C"/>
    <w:rsid w:val="00757F38"/>
    <w:rsid w:val="0076080E"/>
    <w:rsid w:val="00760928"/>
    <w:rsid w:val="00760959"/>
    <w:rsid w:val="00761661"/>
    <w:rsid w:val="007618D9"/>
    <w:rsid w:val="00763979"/>
    <w:rsid w:val="00763EFC"/>
    <w:rsid w:val="0076423F"/>
    <w:rsid w:val="00764282"/>
    <w:rsid w:val="0076476B"/>
    <w:rsid w:val="00765B77"/>
    <w:rsid w:val="007668F1"/>
    <w:rsid w:val="00766E98"/>
    <w:rsid w:val="00767661"/>
    <w:rsid w:val="007676E7"/>
    <w:rsid w:val="007679D0"/>
    <w:rsid w:val="007701BB"/>
    <w:rsid w:val="007712D4"/>
    <w:rsid w:val="0077135E"/>
    <w:rsid w:val="00772447"/>
    <w:rsid w:val="00772AB8"/>
    <w:rsid w:val="00773321"/>
    <w:rsid w:val="00773778"/>
    <w:rsid w:val="0077432C"/>
    <w:rsid w:val="007748AF"/>
    <w:rsid w:val="00774966"/>
    <w:rsid w:val="007759A4"/>
    <w:rsid w:val="00775F78"/>
    <w:rsid w:val="00776CEF"/>
    <w:rsid w:val="00777450"/>
    <w:rsid w:val="00777668"/>
    <w:rsid w:val="00780342"/>
    <w:rsid w:val="00781000"/>
    <w:rsid w:val="007810E6"/>
    <w:rsid w:val="00781E11"/>
    <w:rsid w:val="00781F16"/>
    <w:rsid w:val="00781FD3"/>
    <w:rsid w:val="007822FE"/>
    <w:rsid w:val="00783085"/>
    <w:rsid w:val="007836D1"/>
    <w:rsid w:val="0078399B"/>
    <w:rsid w:val="00784B15"/>
    <w:rsid w:val="00785628"/>
    <w:rsid w:val="00785AF7"/>
    <w:rsid w:val="00785EC9"/>
    <w:rsid w:val="00786264"/>
    <w:rsid w:val="00786306"/>
    <w:rsid w:val="007874B8"/>
    <w:rsid w:val="00787578"/>
    <w:rsid w:val="00787581"/>
    <w:rsid w:val="00787BF6"/>
    <w:rsid w:val="00790786"/>
    <w:rsid w:val="0079086C"/>
    <w:rsid w:val="00791536"/>
    <w:rsid w:val="00791545"/>
    <w:rsid w:val="007917F1"/>
    <w:rsid w:val="00791B35"/>
    <w:rsid w:val="0079362E"/>
    <w:rsid w:val="007937B8"/>
    <w:rsid w:val="00793DD1"/>
    <w:rsid w:val="0079419F"/>
    <w:rsid w:val="007942DE"/>
    <w:rsid w:val="00794594"/>
    <w:rsid w:val="007946EF"/>
    <w:rsid w:val="007950E7"/>
    <w:rsid w:val="00795225"/>
    <w:rsid w:val="007959F6"/>
    <w:rsid w:val="00796800"/>
    <w:rsid w:val="00796A6D"/>
    <w:rsid w:val="00796DFF"/>
    <w:rsid w:val="00797ABF"/>
    <w:rsid w:val="007A008E"/>
    <w:rsid w:val="007A04D3"/>
    <w:rsid w:val="007A0AF1"/>
    <w:rsid w:val="007A25FE"/>
    <w:rsid w:val="007A2DD1"/>
    <w:rsid w:val="007A30DA"/>
    <w:rsid w:val="007A3DD2"/>
    <w:rsid w:val="007A400A"/>
    <w:rsid w:val="007A433A"/>
    <w:rsid w:val="007A59C5"/>
    <w:rsid w:val="007A5D60"/>
    <w:rsid w:val="007A5DA3"/>
    <w:rsid w:val="007A5FA0"/>
    <w:rsid w:val="007A619F"/>
    <w:rsid w:val="007A6768"/>
    <w:rsid w:val="007A6A05"/>
    <w:rsid w:val="007A6B5D"/>
    <w:rsid w:val="007A75F9"/>
    <w:rsid w:val="007A7E8D"/>
    <w:rsid w:val="007B0550"/>
    <w:rsid w:val="007B1238"/>
    <w:rsid w:val="007B1939"/>
    <w:rsid w:val="007B25CA"/>
    <w:rsid w:val="007B2FEC"/>
    <w:rsid w:val="007B4B9B"/>
    <w:rsid w:val="007B5154"/>
    <w:rsid w:val="007B5DCC"/>
    <w:rsid w:val="007B60E2"/>
    <w:rsid w:val="007B64F7"/>
    <w:rsid w:val="007B6B76"/>
    <w:rsid w:val="007C004C"/>
    <w:rsid w:val="007C05BA"/>
    <w:rsid w:val="007C0AD9"/>
    <w:rsid w:val="007C0B8D"/>
    <w:rsid w:val="007C0C66"/>
    <w:rsid w:val="007C127E"/>
    <w:rsid w:val="007C2BD5"/>
    <w:rsid w:val="007C403B"/>
    <w:rsid w:val="007C55BA"/>
    <w:rsid w:val="007C624F"/>
    <w:rsid w:val="007C6A3A"/>
    <w:rsid w:val="007C6E0C"/>
    <w:rsid w:val="007C6EEA"/>
    <w:rsid w:val="007C776F"/>
    <w:rsid w:val="007C7D4B"/>
    <w:rsid w:val="007D0553"/>
    <w:rsid w:val="007D08CC"/>
    <w:rsid w:val="007D12C1"/>
    <w:rsid w:val="007D13E7"/>
    <w:rsid w:val="007D1856"/>
    <w:rsid w:val="007D2EC1"/>
    <w:rsid w:val="007D30B3"/>
    <w:rsid w:val="007D376D"/>
    <w:rsid w:val="007D3BED"/>
    <w:rsid w:val="007D3C83"/>
    <w:rsid w:val="007D3E8E"/>
    <w:rsid w:val="007D4DDB"/>
    <w:rsid w:val="007D4EB3"/>
    <w:rsid w:val="007D58B7"/>
    <w:rsid w:val="007D590E"/>
    <w:rsid w:val="007D68F5"/>
    <w:rsid w:val="007D74ED"/>
    <w:rsid w:val="007D76AF"/>
    <w:rsid w:val="007D7861"/>
    <w:rsid w:val="007D787A"/>
    <w:rsid w:val="007D7996"/>
    <w:rsid w:val="007E03CF"/>
    <w:rsid w:val="007E1570"/>
    <w:rsid w:val="007E163C"/>
    <w:rsid w:val="007E23A9"/>
    <w:rsid w:val="007E28DC"/>
    <w:rsid w:val="007E2C59"/>
    <w:rsid w:val="007E2D5B"/>
    <w:rsid w:val="007E312F"/>
    <w:rsid w:val="007E3287"/>
    <w:rsid w:val="007E3793"/>
    <w:rsid w:val="007E3EE5"/>
    <w:rsid w:val="007E4021"/>
    <w:rsid w:val="007E4510"/>
    <w:rsid w:val="007E4EBE"/>
    <w:rsid w:val="007E5314"/>
    <w:rsid w:val="007E5F04"/>
    <w:rsid w:val="007E6064"/>
    <w:rsid w:val="007E6BFC"/>
    <w:rsid w:val="007E6E55"/>
    <w:rsid w:val="007E742A"/>
    <w:rsid w:val="007E7CC1"/>
    <w:rsid w:val="007E7DC0"/>
    <w:rsid w:val="007E7F3C"/>
    <w:rsid w:val="007F0559"/>
    <w:rsid w:val="007F06D0"/>
    <w:rsid w:val="007F084C"/>
    <w:rsid w:val="007F110B"/>
    <w:rsid w:val="007F3E14"/>
    <w:rsid w:val="007F3E66"/>
    <w:rsid w:val="007F4CA0"/>
    <w:rsid w:val="007F5B04"/>
    <w:rsid w:val="007F6FA0"/>
    <w:rsid w:val="007F74D3"/>
    <w:rsid w:val="007F768A"/>
    <w:rsid w:val="007F7AE0"/>
    <w:rsid w:val="0080059A"/>
    <w:rsid w:val="00800EE3"/>
    <w:rsid w:val="00801EC6"/>
    <w:rsid w:val="00801FB7"/>
    <w:rsid w:val="0080245A"/>
    <w:rsid w:val="008027CB"/>
    <w:rsid w:val="008028A2"/>
    <w:rsid w:val="008028E4"/>
    <w:rsid w:val="00802E69"/>
    <w:rsid w:val="00802FFF"/>
    <w:rsid w:val="00803802"/>
    <w:rsid w:val="00803B7D"/>
    <w:rsid w:val="00803BE5"/>
    <w:rsid w:val="00804B2B"/>
    <w:rsid w:val="00804F61"/>
    <w:rsid w:val="00805A33"/>
    <w:rsid w:val="00806930"/>
    <w:rsid w:val="008078FE"/>
    <w:rsid w:val="00807965"/>
    <w:rsid w:val="008108F5"/>
    <w:rsid w:val="008109C1"/>
    <w:rsid w:val="0081161A"/>
    <w:rsid w:val="00811FD6"/>
    <w:rsid w:val="00812A71"/>
    <w:rsid w:val="008136F9"/>
    <w:rsid w:val="00813B52"/>
    <w:rsid w:val="00813EBE"/>
    <w:rsid w:val="008141D0"/>
    <w:rsid w:val="00814715"/>
    <w:rsid w:val="00815663"/>
    <w:rsid w:val="00815B90"/>
    <w:rsid w:val="0081630A"/>
    <w:rsid w:val="008164FB"/>
    <w:rsid w:val="00816E2A"/>
    <w:rsid w:val="0081743F"/>
    <w:rsid w:val="00820A3C"/>
    <w:rsid w:val="00821092"/>
    <w:rsid w:val="008213D0"/>
    <w:rsid w:val="00821757"/>
    <w:rsid w:val="0082195E"/>
    <w:rsid w:val="00822048"/>
    <w:rsid w:val="008226DD"/>
    <w:rsid w:val="00822C4E"/>
    <w:rsid w:val="00822E3B"/>
    <w:rsid w:val="00822F40"/>
    <w:rsid w:val="00822F42"/>
    <w:rsid w:val="008234F9"/>
    <w:rsid w:val="00823811"/>
    <w:rsid w:val="00823B85"/>
    <w:rsid w:val="00824363"/>
    <w:rsid w:val="00824518"/>
    <w:rsid w:val="00824ABE"/>
    <w:rsid w:val="0082606C"/>
    <w:rsid w:val="00826A74"/>
    <w:rsid w:val="00826B2F"/>
    <w:rsid w:val="00827196"/>
    <w:rsid w:val="008274F1"/>
    <w:rsid w:val="00827544"/>
    <w:rsid w:val="00827AC9"/>
    <w:rsid w:val="00827D7C"/>
    <w:rsid w:val="00831443"/>
    <w:rsid w:val="00831797"/>
    <w:rsid w:val="00831E55"/>
    <w:rsid w:val="00832156"/>
    <w:rsid w:val="00832490"/>
    <w:rsid w:val="00833208"/>
    <w:rsid w:val="00833918"/>
    <w:rsid w:val="00834821"/>
    <w:rsid w:val="008353FD"/>
    <w:rsid w:val="00835E46"/>
    <w:rsid w:val="00835F5E"/>
    <w:rsid w:val="00835FB4"/>
    <w:rsid w:val="008360FA"/>
    <w:rsid w:val="0083626E"/>
    <w:rsid w:val="00837051"/>
    <w:rsid w:val="00837329"/>
    <w:rsid w:val="008376C1"/>
    <w:rsid w:val="00837B6D"/>
    <w:rsid w:val="00837FD0"/>
    <w:rsid w:val="00840750"/>
    <w:rsid w:val="008409B5"/>
    <w:rsid w:val="00840A4C"/>
    <w:rsid w:val="00841432"/>
    <w:rsid w:val="00841569"/>
    <w:rsid w:val="008415FA"/>
    <w:rsid w:val="008418C9"/>
    <w:rsid w:val="00842AD3"/>
    <w:rsid w:val="00842DE4"/>
    <w:rsid w:val="008438B2"/>
    <w:rsid w:val="008438F0"/>
    <w:rsid w:val="00843A8A"/>
    <w:rsid w:val="00843B28"/>
    <w:rsid w:val="0084518D"/>
    <w:rsid w:val="008456F7"/>
    <w:rsid w:val="00846295"/>
    <w:rsid w:val="00846910"/>
    <w:rsid w:val="008477F8"/>
    <w:rsid w:val="00847AD0"/>
    <w:rsid w:val="008502C8"/>
    <w:rsid w:val="0085035D"/>
    <w:rsid w:val="00850D60"/>
    <w:rsid w:val="0085122A"/>
    <w:rsid w:val="00851B62"/>
    <w:rsid w:val="00851E3B"/>
    <w:rsid w:val="00852292"/>
    <w:rsid w:val="00853372"/>
    <w:rsid w:val="00854228"/>
    <w:rsid w:val="00854D24"/>
    <w:rsid w:val="00855464"/>
    <w:rsid w:val="008557D8"/>
    <w:rsid w:val="00855B8D"/>
    <w:rsid w:val="00856563"/>
    <w:rsid w:val="00856D8F"/>
    <w:rsid w:val="00856FC2"/>
    <w:rsid w:val="0085770A"/>
    <w:rsid w:val="00857755"/>
    <w:rsid w:val="00857760"/>
    <w:rsid w:val="00857B7E"/>
    <w:rsid w:val="00857D8D"/>
    <w:rsid w:val="00860A77"/>
    <w:rsid w:val="00860CB1"/>
    <w:rsid w:val="00860F44"/>
    <w:rsid w:val="0086110C"/>
    <w:rsid w:val="00861E55"/>
    <w:rsid w:val="00861E95"/>
    <w:rsid w:val="00861EFA"/>
    <w:rsid w:val="00861FE0"/>
    <w:rsid w:val="0086256E"/>
    <w:rsid w:val="00862F41"/>
    <w:rsid w:val="0086352F"/>
    <w:rsid w:val="00863A28"/>
    <w:rsid w:val="00863C4C"/>
    <w:rsid w:val="00863E70"/>
    <w:rsid w:val="008640CC"/>
    <w:rsid w:val="00864362"/>
    <w:rsid w:val="00864462"/>
    <w:rsid w:val="008649F6"/>
    <w:rsid w:val="00864ACF"/>
    <w:rsid w:val="00864D12"/>
    <w:rsid w:val="008653E5"/>
    <w:rsid w:val="00865C5F"/>
    <w:rsid w:val="0086657E"/>
    <w:rsid w:val="008669C6"/>
    <w:rsid w:val="00866A02"/>
    <w:rsid w:val="00866D85"/>
    <w:rsid w:val="0086742B"/>
    <w:rsid w:val="00867BC8"/>
    <w:rsid w:val="0087039E"/>
    <w:rsid w:val="008705A8"/>
    <w:rsid w:val="0087216C"/>
    <w:rsid w:val="008722A5"/>
    <w:rsid w:val="00872BA1"/>
    <w:rsid w:val="00873C3B"/>
    <w:rsid w:val="00874095"/>
    <w:rsid w:val="008740E2"/>
    <w:rsid w:val="0087411A"/>
    <w:rsid w:val="00874D86"/>
    <w:rsid w:val="008753FB"/>
    <w:rsid w:val="00875543"/>
    <w:rsid w:val="008757B7"/>
    <w:rsid w:val="008759ED"/>
    <w:rsid w:val="00876353"/>
    <w:rsid w:val="00876571"/>
    <w:rsid w:val="00876FF5"/>
    <w:rsid w:val="00877601"/>
    <w:rsid w:val="00877761"/>
    <w:rsid w:val="00877798"/>
    <w:rsid w:val="00877B2B"/>
    <w:rsid w:val="00877B68"/>
    <w:rsid w:val="00877DCA"/>
    <w:rsid w:val="0088056F"/>
    <w:rsid w:val="00880A01"/>
    <w:rsid w:val="008810D8"/>
    <w:rsid w:val="0088155F"/>
    <w:rsid w:val="00882E04"/>
    <w:rsid w:val="00883B23"/>
    <w:rsid w:val="008840ED"/>
    <w:rsid w:val="00884427"/>
    <w:rsid w:val="00884612"/>
    <w:rsid w:val="008846D3"/>
    <w:rsid w:val="00884A62"/>
    <w:rsid w:val="00885797"/>
    <w:rsid w:val="008859AF"/>
    <w:rsid w:val="00885C4F"/>
    <w:rsid w:val="00886ABE"/>
    <w:rsid w:val="00886AEE"/>
    <w:rsid w:val="008878E3"/>
    <w:rsid w:val="00887A8B"/>
    <w:rsid w:val="00887DBF"/>
    <w:rsid w:val="008911AA"/>
    <w:rsid w:val="00891C9E"/>
    <w:rsid w:val="00892259"/>
    <w:rsid w:val="00892554"/>
    <w:rsid w:val="008932A3"/>
    <w:rsid w:val="00893A59"/>
    <w:rsid w:val="00894867"/>
    <w:rsid w:val="008959A0"/>
    <w:rsid w:val="00895D06"/>
    <w:rsid w:val="00896595"/>
    <w:rsid w:val="008966D3"/>
    <w:rsid w:val="00897332"/>
    <w:rsid w:val="008974AF"/>
    <w:rsid w:val="00897E5E"/>
    <w:rsid w:val="008A02A2"/>
    <w:rsid w:val="008A2E26"/>
    <w:rsid w:val="008A2FD9"/>
    <w:rsid w:val="008A3111"/>
    <w:rsid w:val="008A3339"/>
    <w:rsid w:val="008A388E"/>
    <w:rsid w:val="008A3E46"/>
    <w:rsid w:val="008A3F9D"/>
    <w:rsid w:val="008A4380"/>
    <w:rsid w:val="008A45C0"/>
    <w:rsid w:val="008A53F8"/>
    <w:rsid w:val="008A54D9"/>
    <w:rsid w:val="008A601C"/>
    <w:rsid w:val="008A671D"/>
    <w:rsid w:val="008A74AF"/>
    <w:rsid w:val="008A7FD4"/>
    <w:rsid w:val="008B1D35"/>
    <w:rsid w:val="008B370A"/>
    <w:rsid w:val="008B3BA6"/>
    <w:rsid w:val="008B3D80"/>
    <w:rsid w:val="008B3FF5"/>
    <w:rsid w:val="008B41D2"/>
    <w:rsid w:val="008B5729"/>
    <w:rsid w:val="008B5D07"/>
    <w:rsid w:val="008B6018"/>
    <w:rsid w:val="008B62C9"/>
    <w:rsid w:val="008B6513"/>
    <w:rsid w:val="008B696D"/>
    <w:rsid w:val="008B6F85"/>
    <w:rsid w:val="008C0238"/>
    <w:rsid w:val="008C035B"/>
    <w:rsid w:val="008C146F"/>
    <w:rsid w:val="008C16E3"/>
    <w:rsid w:val="008C20E4"/>
    <w:rsid w:val="008C2530"/>
    <w:rsid w:val="008C26B8"/>
    <w:rsid w:val="008C2FBB"/>
    <w:rsid w:val="008C309F"/>
    <w:rsid w:val="008C3265"/>
    <w:rsid w:val="008C3647"/>
    <w:rsid w:val="008C3977"/>
    <w:rsid w:val="008C39A9"/>
    <w:rsid w:val="008C3A5E"/>
    <w:rsid w:val="008C3ABE"/>
    <w:rsid w:val="008C3DD2"/>
    <w:rsid w:val="008C40D2"/>
    <w:rsid w:val="008C4301"/>
    <w:rsid w:val="008C4B77"/>
    <w:rsid w:val="008C511D"/>
    <w:rsid w:val="008C5951"/>
    <w:rsid w:val="008C640F"/>
    <w:rsid w:val="008C67F2"/>
    <w:rsid w:val="008C69AE"/>
    <w:rsid w:val="008C723C"/>
    <w:rsid w:val="008C7A2B"/>
    <w:rsid w:val="008C7C9F"/>
    <w:rsid w:val="008C7F50"/>
    <w:rsid w:val="008D0243"/>
    <w:rsid w:val="008D1FFE"/>
    <w:rsid w:val="008D24C9"/>
    <w:rsid w:val="008D312F"/>
    <w:rsid w:val="008D3581"/>
    <w:rsid w:val="008D42B6"/>
    <w:rsid w:val="008D4518"/>
    <w:rsid w:val="008D4CDD"/>
    <w:rsid w:val="008D5544"/>
    <w:rsid w:val="008D62A0"/>
    <w:rsid w:val="008D6EF5"/>
    <w:rsid w:val="008D729C"/>
    <w:rsid w:val="008D79F2"/>
    <w:rsid w:val="008D7E61"/>
    <w:rsid w:val="008D7FD6"/>
    <w:rsid w:val="008E0179"/>
    <w:rsid w:val="008E0EF3"/>
    <w:rsid w:val="008E1B6E"/>
    <w:rsid w:val="008E1D76"/>
    <w:rsid w:val="008E1F65"/>
    <w:rsid w:val="008E2A77"/>
    <w:rsid w:val="008E3323"/>
    <w:rsid w:val="008E397C"/>
    <w:rsid w:val="008E41EF"/>
    <w:rsid w:val="008E4476"/>
    <w:rsid w:val="008E4826"/>
    <w:rsid w:val="008E5442"/>
    <w:rsid w:val="008E57C7"/>
    <w:rsid w:val="008E5D0F"/>
    <w:rsid w:val="008E6059"/>
    <w:rsid w:val="008E61E0"/>
    <w:rsid w:val="008E6B5D"/>
    <w:rsid w:val="008E7600"/>
    <w:rsid w:val="008F10DA"/>
    <w:rsid w:val="008F2704"/>
    <w:rsid w:val="008F2B32"/>
    <w:rsid w:val="008F2DA9"/>
    <w:rsid w:val="008F3887"/>
    <w:rsid w:val="008F39E6"/>
    <w:rsid w:val="008F3ADE"/>
    <w:rsid w:val="008F4A67"/>
    <w:rsid w:val="008F4E87"/>
    <w:rsid w:val="008F5747"/>
    <w:rsid w:val="008F5C33"/>
    <w:rsid w:val="008F6E99"/>
    <w:rsid w:val="008F749B"/>
    <w:rsid w:val="008F7E60"/>
    <w:rsid w:val="009010B2"/>
    <w:rsid w:val="00901232"/>
    <w:rsid w:val="0090205B"/>
    <w:rsid w:val="00903248"/>
    <w:rsid w:val="00903482"/>
    <w:rsid w:val="00903E66"/>
    <w:rsid w:val="00903EB1"/>
    <w:rsid w:val="0090402B"/>
    <w:rsid w:val="009044F7"/>
    <w:rsid w:val="00904587"/>
    <w:rsid w:val="00904C41"/>
    <w:rsid w:val="00904D8A"/>
    <w:rsid w:val="00905499"/>
    <w:rsid w:val="00905892"/>
    <w:rsid w:val="00905DD7"/>
    <w:rsid w:val="009064C5"/>
    <w:rsid w:val="0090718F"/>
    <w:rsid w:val="00907336"/>
    <w:rsid w:val="00907D9D"/>
    <w:rsid w:val="00907F7F"/>
    <w:rsid w:val="009109DA"/>
    <w:rsid w:val="009111B4"/>
    <w:rsid w:val="00911692"/>
    <w:rsid w:val="009116F5"/>
    <w:rsid w:val="00911A99"/>
    <w:rsid w:val="00911E70"/>
    <w:rsid w:val="0091235D"/>
    <w:rsid w:val="00912BD4"/>
    <w:rsid w:val="00913BFB"/>
    <w:rsid w:val="00914527"/>
    <w:rsid w:val="00914C15"/>
    <w:rsid w:val="0091553A"/>
    <w:rsid w:val="0091584C"/>
    <w:rsid w:val="00915F79"/>
    <w:rsid w:val="00916363"/>
    <w:rsid w:val="009164DD"/>
    <w:rsid w:val="00916E16"/>
    <w:rsid w:val="00916F8A"/>
    <w:rsid w:val="00917365"/>
    <w:rsid w:val="00917CA6"/>
    <w:rsid w:val="0092048C"/>
    <w:rsid w:val="00920D4F"/>
    <w:rsid w:val="00920E7F"/>
    <w:rsid w:val="009214F4"/>
    <w:rsid w:val="009218DE"/>
    <w:rsid w:val="00921DB3"/>
    <w:rsid w:val="0092238A"/>
    <w:rsid w:val="00922391"/>
    <w:rsid w:val="00922EC7"/>
    <w:rsid w:val="00923330"/>
    <w:rsid w:val="0092462E"/>
    <w:rsid w:val="00924AE5"/>
    <w:rsid w:val="00925066"/>
    <w:rsid w:val="00925301"/>
    <w:rsid w:val="0092540D"/>
    <w:rsid w:val="00926556"/>
    <w:rsid w:val="0092671D"/>
    <w:rsid w:val="00926A3E"/>
    <w:rsid w:val="00926B0A"/>
    <w:rsid w:val="00926E04"/>
    <w:rsid w:val="0092702C"/>
    <w:rsid w:val="00927671"/>
    <w:rsid w:val="00927E5A"/>
    <w:rsid w:val="00927F58"/>
    <w:rsid w:val="009313E3"/>
    <w:rsid w:val="00931796"/>
    <w:rsid w:val="009324AF"/>
    <w:rsid w:val="00932636"/>
    <w:rsid w:val="00932907"/>
    <w:rsid w:val="00932B60"/>
    <w:rsid w:val="00932D4E"/>
    <w:rsid w:val="00932F12"/>
    <w:rsid w:val="00932F8C"/>
    <w:rsid w:val="00933133"/>
    <w:rsid w:val="00933470"/>
    <w:rsid w:val="00933949"/>
    <w:rsid w:val="00933EF7"/>
    <w:rsid w:val="009345CC"/>
    <w:rsid w:val="009346A4"/>
    <w:rsid w:val="00934AB8"/>
    <w:rsid w:val="00935499"/>
    <w:rsid w:val="00935852"/>
    <w:rsid w:val="00935DC1"/>
    <w:rsid w:val="009364F8"/>
    <w:rsid w:val="00936B50"/>
    <w:rsid w:val="0093774A"/>
    <w:rsid w:val="00940180"/>
    <w:rsid w:val="009404B4"/>
    <w:rsid w:val="00940DEC"/>
    <w:rsid w:val="00941462"/>
    <w:rsid w:val="00941B0A"/>
    <w:rsid w:val="0094215B"/>
    <w:rsid w:val="00942519"/>
    <w:rsid w:val="00943934"/>
    <w:rsid w:val="00943A33"/>
    <w:rsid w:val="00943AC0"/>
    <w:rsid w:val="009441B6"/>
    <w:rsid w:val="0094517F"/>
    <w:rsid w:val="00945192"/>
    <w:rsid w:val="009459A1"/>
    <w:rsid w:val="00945EE4"/>
    <w:rsid w:val="0094601A"/>
    <w:rsid w:val="009463A4"/>
    <w:rsid w:val="00946515"/>
    <w:rsid w:val="009466B6"/>
    <w:rsid w:val="0094690E"/>
    <w:rsid w:val="0094727E"/>
    <w:rsid w:val="00947CA0"/>
    <w:rsid w:val="00947D97"/>
    <w:rsid w:val="009501F1"/>
    <w:rsid w:val="00950257"/>
    <w:rsid w:val="00950ADF"/>
    <w:rsid w:val="0095141E"/>
    <w:rsid w:val="00952333"/>
    <w:rsid w:val="0095236F"/>
    <w:rsid w:val="0095290E"/>
    <w:rsid w:val="00952C21"/>
    <w:rsid w:val="00952D8B"/>
    <w:rsid w:val="009534B8"/>
    <w:rsid w:val="009538A5"/>
    <w:rsid w:val="00953E19"/>
    <w:rsid w:val="0095519E"/>
    <w:rsid w:val="009554F7"/>
    <w:rsid w:val="00955681"/>
    <w:rsid w:val="00955E8F"/>
    <w:rsid w:val="00956126"/>
    <w:rsid w:val="00956411"/>
    <w:rsid w:val="00956908"/>
    <w:rsid w:val="00956C66"/>
    <w:rsid w:val="00957446"/>
    <w:rsid w:val="00957B99"/>
    <w:rsid w:val="00960F60"/>
    <w:rsid w:val="0096107B"/>
    <w:rsid w:val="00962B5E"/>
    <w:rsid w:val="00963A40"/>
    <w:rsid w:val="00963AF0"/>
    <w:rsid w:val="009640AE"/>
    <w:rsid w:val="00964927"/>
    <w:rsid w:val="0096495F"/>
    <w:rsid w:val="00965543"/>
    <w:rsid w:val="009658F9"/>
    <w:rsid w:val="009659EA"/>
    <w:rsid w:val="009664E3"/>
    <w:rsid w:val="009664F0"/>
    <w:rsid w:val="00966FC8"/>
    <w:rsid w:val="00966FFE"/>
    <w:rsid w:val="009671B7"/>
    <w:rsid w:val="00967978"/>
    <w:rsid w:val="00970C63"/>
    <w:rsid w:val="00971692"/>
    <w:rsid w:val="00971978"/>
    <w:rsid w:val="00971C23"/>
    <w:rsid w:val="00972D69"/>
    <w:rsid w:val="00972FBC"/>
    <w:rsid w:val="00973C1F"/>
    <w:rsid w:val="00973C61"/>
    <w:rsid w:val="00974882"/>
    <w:rsid w:val="009755EA"/>
    <w:rsid w:val="00976073"/>
    <w:rsid w:val="00977042"/>
    <w:rsid w:val="00977346"/>
    <w:rsid w:val="00977562"/>
    <w:rsid w:val="0098005A"/>
    <w:rsid w:val="009800E2"/>
    <w:rsid w:val="009802A9"/>
    <w:rsid w:val="00980988"/>
    <w:rsid w:val="00981089"/>
    <w:rsid w:val="00981092"/>
    <w:rsid w:val="00981331"/>
    <w:rsid w:val="0098238E"/>
    <w:rsid w:val="00982653"/>
    <w:rsid w:val="00982D9A"/>
    <w:rsid w:val="00982F28"/>
    <w:rsid w:val="009837ED"/>
    <w:rsid w:val="00983DDE"/>
    <w:rsid w:val="00985F0B"/>
    <w:rsid w:val="00986B76"/>
    <w:rsid w:val="009872A0"/>
    <w:rsid w:val="0098733B"/>
    <w:rsid w:val="0099084B"/>
    <w:rsid w:val="00990B33"/>
    <w:rsid w:val="00991AD0"/>
    <w:rsid w:val="009923B5"/>
    <w:rsid w:val="0099288C"/>
    <w:rsid w:val="00992B95"/>
    <w:rsid w:val="00992F65"/>
    <w:rsid w:val="009932A5"/>
    <w:rsid w:val="00993544"/>
    <w:rsid w:val="00994576"/>
    <w:rsid w:val="009946D0"/>
    <w:rsid w:val="00994AF3"/>
    <w:rsid w:val="00994E35"/>
    <w:rsid w:val="00994EA9"/>
    <w:rsid w:val="00995897"/>
    <w:rsid w:val="00995C5E"/>
    <w:rsid w:val="00996331"/>
    <w:rsid w:val="00996D47"/>
    <w:rsid w:val="0099777A"/>
    <w:rsid w:val="00997852"/>
    <w:rsid w:val="00997E3D"/>
    <w:rsid w:val="009A0466"/>
    <w:rsid w:val="009A0AAB"/>
    <w:rsid w:val="009A0B55"/>
    <w:rsid w:val="009A0CCF"/>
    <w:rsid w:val="009A0DBC"/>
    <w:rsid w:val="009A14D5"/>
    <w:rsid w:val="009A24FF"/>
    <w:rsid w:val="009A25F6"/>
    <w:rsid w:val="009A28E8"/>
    <w:rsid w:val="009A361E"/>
    <w:rsid w:val="009A3D01"/>
    <w:rsid w:val="009A420F"/>
    <w:rsid w:val="009A42FF"/>
    <w:rsid w:val="009A4348"/>
    <w:rsid w:val="009A58C6"/>
    <w:rsid w:val="009A58E8"/>
    <w:rsid w:val="009A60AA"/>
    <w:rsid w:val="009A7D36"/>
    <w:rsid w:val="009B0DC0"/>
    <w:rsid w:val="009B1C84"/>
    <w:rsid w:val="009B2536"/>
    <w:rsid w:val="009B2DAC"/>
    <w:rsid w:val="009B40DB"/>
    <w:rsid w:val="009B428B"/>
    <w:rsid w:val="009B4578"/>
    <w:rsid w:val="009B4678"/>
    <w:rsid w:val="009B4B64"/>
    <w:rsid w:val="009B4EFC"/>
    <w:rsid w:val="009B6139"/>
    <w:rsid w:val="009B632D"/>
    <w:rsid w:val="009B6642"/>
    <w:rsid w:val="009B665F"/>
    <w:rsid w:val="009B70AC"/>
    <w:rsid w:val="009B7474"/>
    <w:rsid w:val="009B7D46"/>
    <w:rsid w:val="009C0149"/>
    <w:rsid w:val="009C06D4"/>
    <w:rsid w:val="009C0C00"/>
    <w:rsid w:val="009C108A"/>
    <w:rsid w:val="009C1157"/>
    <w:rsid w:val="009C1282"/>
    <w:rsid w:val="009C1306"/>
    <w:rsid w:val="009C151E"/>
    <w:rsid w:val="009C16B0"/>
    <w:rsid w:val="009C206B"/>
    <w:rsid w:val="009C2CD0"/>
    <w:rsid w:val="009C324F"/>
    <w:rsid w:val="009C3CB2"/>
    <w:rsid w:val="009C46BF"/>
    <w:rsid w:val="009C476E"/>
    <w:rsid w:val="009C4AB5"/>
    <w:rsid w:val="009C4CB6"/>
    <w:rsid w:val="009C5386"/>
    <w:rsid w:val="009C6147"/>
    <w:rsid w:val="009C7D55"/>
    <w:rsid w:val="009D076D"/>
    <w:rsid w:val="009D084E"/>
    <w:rsid w:val="009D08AB"/>
    <w:rsid w:val="009D0AF9"/>
    <w:rsid w:val="009D10D3"/>
    <w:rsid w:val="009D138F"/>
    <w:rsid w:val="009D17F9"/>
    <w:rsid w:val="009D18EF"/>
    <w:rsid w:val="009D25B6"/>
    <w:rsid w:val="009D2CD7"/>
    <w:rsid w:val="009D3D07"/>
    <w:rsid w:val="009D47F7"/>
    <w:rsid w:val="009D4913"/>
    <w:rsid w:val="009D505F"/>
    <w:rsid w:val="009D581E"/>
    <w:rsid w:val="009D5E72"/>
    <w:rsid w:val="009D63AE"/>
    <w:rsid w:val="009D707B"/>
    <w:rsid w:val="009D71D8"/>
    <w:rsid w:val="009D720A"/>
    <w:rsid w:val="009D738F"/>
    <w:rsid w:val="009D73DC"/>
    <w:rsid w:val="009D75E9"/>
    <w:rsid w:val="009D767A"/>
    <w:rsid w:val="009D7C88"/>
    <w:rsid w:val="009DF7BF"/>
    <w:rsid w:val="009E0579"/>
    <w:rsid w:val="009E15C9"/>
    <w:rsid w:val="009E1B5C"/>
    <w:rsid w:val="009E20C3"/>
    <w:rsid w:val="009E2466"/>
    <w:rsid w:val="009E31F7"/>
    <w:rsid w:val="009E3EBF"/>
    <w:rsid w:val="009E43B9"/>
    <w:rsid w:val="009E49E9"/>
    <w:rsid w:val="009E5497"/>
    <w:rsid w:val="009E5D7F"/>
    <w:rsid w:val="009E67DF"/>
    <w:rsid w:val="009E6949"/>
    <w:rsid w:val="009E72C9"/>
    <w:rsid w:val="009E7324"/>
    <w:rsid w:val="009F07B3"/>
    <w:rsid w:val="009F0B3B"/>
    <w:rsid w:val="009F0E45"/>
    <w:rsid w:val="009F14BA"/>
    <w:rsid w:val="009F22AD"/>
    <w:rsid w:val="009F2899"/>
    <w:rsid w:val="009F2CF0"/>
    <w:rsid w:val="009F4286"/>
    <w:rsid w:val="009F435E"/>
    <w:rsid w:val="009F496C"/>
    <w:rsid w:val="009F4AB0"/>
    <w:rsid w:val="009F5FF8"/>
    <w:rsid w:val="009F6418"/>
    <w:rsid w:val="009F6466"/>
    <w:rsid w:val="009F678A"/>
    <w:rsid w:val="009F775C"/>
    <w:rsid w:val="009F7831"/>
    <w:rsid w:val="009F7890"/>
    <w:rsid w:val="009F7F61"/>
    <w:rsid w:val="00A00F08"/>
    <w:rsid w:val="00A01693"/>
    <w:rsid w:val="00A01A7E"/>
    <w:rsid w:val="00A02178"/>
    <w:rsid w:val="00A02485"/>
    <w:rsid w:val="00A0297F"/>
    <w:rsid w:val="00A036BB"/>
    <w:rsid w:val="00A0465E"/>
    <w:rsid w:val="00A04774"/>
    <w:rsid w:val="00A04DC6"/>
    <w:rsid w:val="00A05475"/>
    <w:rsid w:val="00A05885"/>
    <w:rsid w:val="00A05A65"/>
    <w:rsid w:val="00A05E66"/>
    <w:rsid w:val="00A06199"/>
    <w:rsid w:val="00A062EA"/>
    <w:rsid w:val="00A06BCC"/>
    <w:rsid w:val="00A06E2A"/>
    <w:rsid w:val="00A0741B"/>
    <w:rsid w:val="00A076E4"/>
    <w:rsid w:val="00A07B05"/>
    <w:rsid w:val="00A07D92"/>
    <w:rsid w:val="00A10F5B"/>
    <w:rsid w:val="00A11116"/>
    <w:rsid w:val="00A1159F"/>
    <w:rsid w:val="00A11DFE"/>
    <w:rsid w:val="00A12085"/>
    <w:rsid w:val="00A128D5"/>
    <w:rsid w:val="00A129AD"/>
    <w:rsid w:val="00A12C8A"/>
    <w:rsid w:val="00A133BC"/>
    <w:rsid w:val="00A13419"/>
    <w:rsid w:val="00A13A53"/>
    <w:rsid w:val="00A1468B"/>
    <w:rsid w:val="00A14AD6"/>
    <w:rsid w:val="00A14E1A"/>
    <w:rsid w:val="00A1503A"/>
    <w:rsid w:val="00A15A7D"/>
    <w:rsid w:val="00A164D3"/>
    <w:rsid w:val="00A17214"/>
    <w:rsid w:val="00A17887"/>
    <w:rsid w:val="00A20208"/>
    <w:rsid w:val="00A211A0"/>
    <w:rsid w:val="00A21994"/>
    <w:rsid w:val="00A21C9D"/>
    <w:rsid w:val="00A220C8"/>
    <w:rsid w:val="00A22B53"/>
    <w:rsid w:val="00A22D64"/>
    <w:rsid w:val="00A22E75"/>
    <w:rsid w:val="00A23780"/>
    <w:rsid w:val="00A23A9A"/>
    <w:rsid w:val="00A23FEE"/>
    <w:rsid w:val="00A24099"/>
    <w:rsid w:val="00A24258"/>
    <w:rsid w:val="00A24429"/>
    <w:rsid w:val="00A244C6"/>
    <w:rsid w:val="00A24F0C"/>
    <w:rsid w:val="00A25DF8"/>
    <w:rsid w:val="00A25E5D"/>
    <w:rsid w:val="00A26024"/>
    <w:rsid w:val="00A26375"/>
    <w:rsid w:val="00A268E6"/>
    <w:rsid w:val="00A269A6"/>
    <w:rsid w:val="00A26E75"/>
    <w:rsid w:val="00A2704B"/>
    <w:rsid w:val="00A27553"/>
    <w:rsid w:val="00A27B2B"/>
    <w:rsid w:val="00A30217"/>
    <w:rsid w:val="00A304DB"/>
    <w:rsid w:val="00A30BFD"/>
    <w:rsid w:val="00A30C8D"/>
    <w:rsid w:val="00A30E95"/>
    <w:rsid w:val="00A30F28"/>
    <w:rsid w:val="00A31972"/>
    <w:rsid w:val="00A3200F"/>
    <w:rsid w:val="00A32109"/>
    <w:rsid w:val="00A322AA"/>
    <w:rsid w:val="00A322BC"/>
    <w:rsid w:val="00A33831"/>
    <w:rsid w:val="00A33D55"/>
    <w:rsid w:val="00A33FAA"/>
    <w:rsid w:val="00A34335"/>
    <w:rsid w:val="00A344D6"/>
    <w:rsid w:val="00A34561"/>
    <w:rsid w:val="00A3459F"/>
    <w:rsid w:val="00A34AC5"/>
    <w:rsid w:val="00A34E27"/>
    <w:rsid w:val="00A351C7"/>
    <w:rsid w:val="00A3584C"/>
    <w:rsid w:val="00A36CDB"/>
    <w:rsid w:val="00A374CC"/>
    <w:rsid w:val="00A3751B"/>
    <w:rsid w:val="00A37A40"/>
    <w:rsid w:val="00A403BD"/>
    <w:rsid w:val="00A40753"/>
    <w:rsid w:val="00A4144C"/>
    <w:rsid w:val="00A41535"/>
    <w:rsid w:val="00A43445"/>
    <w:rsid w:val="00A437BA"/>
    <w:rsid w:val="00A4399D"/>
    <w:rsid w:val="00A44C18"/>
    <w:rsid w:val="00A44E32"/>
    <w:rsid w:val="00A45298"/>
    <w:rsid w:val="00A452BC"/>
    <w:rsid w:val="00A45A25"/>
    <w:rsid w:val="00A461CA"/>
    <w:rsid w:val="00A46692"/>
    <w:rsid w:val="00A47DC2"/>
    <w:rsid w:val="00A5073D"/>
    <w:rsid w:val="00A508D6"/>
    <w:rsid w:val="00A50F84"/>
    <w:rsid w:val="00A515E6"/>
    <w:rsid w:val="00A525C4"/>
    <w:rsid w:val="00A52835"/>
    <w:rsid w:val="00A5283E"/>
    <w:rsid w:val="00A52DCF"/>
    <w:rsid w:val="00A52DF6"/>
    <w:rsid w:val="00A54DBE"/>
    <w:rsid w:val="00A54EA0"/>
    <w:rsid w:val="00A561E1"/>
    <w:rsid w:val="00A56A71"/>
    <w:rsid w:val="00A56C4F"/>
    <w:rsid w:val="00A574C6"/>
    <w:rsid w:val="00A575F1"/>
    <w:rsid w:val="00A60547"/>
    <w:rsid w:val="00A61017"/>
    <w:rsid w:val="00A6112E"/>
    <w:rsid w:val="00A6118C"/>
    <w:rsid w:val="00A6215E"/>
    <w:rsid w:val="00A6270C"/>
    <w:rsid w:val="00A6303C"/>
    <w:rsid w:val="00A6358E"/>
    <w:rsid w:val="00A63BC0"/>
    <w:rsid w:val="00A63D54"/>
    <w:rsid w:val="00A641A0"/>
    <w:rsid w:val="00A641B9"/>
    <w:rsid w:val="00A64A5D"/>
    <w:rsid w:val="00A653E8"/>
    <w:rsid w:val="00A65886"/>
    <w:rsid w:val="00A658B5"/>
    <w:rsid w:val="00A659B5"/>
    <w:rsid w:val="00A660E0"/>
    <w:rsid w:val="00A66486"/>
    <w:rsid w:val="00A675D7"/>
    <w:rsid w:val="00A67A2C"/>
    <w:rsid w:val="00A67B2E"/>
    <w:rsid w:val="00A700B6"/>
    <w:rsid w:val="00A707FD"/>
    <w:rsid w:val="00A70C47"/>
    <w:rsid w:val="00A70F20"/>
    <w:rsid w:val="00A717EE"/>
    <w:rsid w:val="00A725B6"/>
    <w:rsid w:val="00A72A95"/>
    <w:rsid w:val="00A7307E"/>
    <w:rsid w:val="00A730D2"/>
    <w:rsid w:val="00A732A7"/>
    <w:rsid w:val="00A75380"/>
    <w:rsid w:val="00A75C48"/>
    <w:rsid w:val="00A75C76"/>
    <w:rsid w:val="00A7642C"/>
    <w:rsid w:val="00A76E35"/>
    <w:rsid w:val="00A776E8"/>
    <w:rsid w:val="00A779D4"/>
    <w:rsid w:val="00A8013E"/>
    <w:rsid w:val="00A80282"/>
    <w:rsid w:val="00A81A72"/>
    <w:rsid w:val="00A8200D"/>
    <w:rsid w:val="00A82AB0"/>
    <w:rsid w:val="00A82EFE"/>
    <w:rsid w:val="00A83094"/>
    <w:rsid w:val="00A8355D"/>
    <w:rsid w:val="00A853E8"/>
    <w:rsid w:val="00A8543F"/>
    <w:rsid w:val="00A854A9"/>
    <w:rsid w:val="00A86285"/>
    <w:rsid w:val="00A868C0"/>
    <w:rsid w:val="00A86C55"/>
    <w:rsid w:val="00A86D36"/>
    <w:rsid w:val="00A870B5"/>
    <w:rsid w:val="00A870FC"/>
    <w:rsid w:val="00A87AD4"/>
    <w:rsid w:val="00A90704"/>
    <w:rsid w:val="00A90B15"/>
    <w:rsid w:val="00A90C46"/>
    <w:rsid w:val="00A91643"/>
    <w:rsid w:val="00A9173C"/>
    <w:rsid w:val="00A91A2A"/>
    <w:rsid w:val="00A91A62"/>
    <w:rsid w:val="00A9207D"/>
    <w:rsid w:val="00A9214C"/>
    <w:rsid w:val="00A92277"/>
    <w:rsid w:val="00A92929"/>
    <w:rsid w:val="00A92F1E"/>
    <w:rsid w:val="00A93193"/>
    <w:rsid w:val="00A9361D"/>
    <w:rsid w:val="00A93D54"/>
    <w:rsid w:val="00A943F4"/>
    <w:rsid w:val="00A950CA"/>
    <w:rsid w:val="00A9583E"/>
    <w:rsid w:val="00A95BAB"/>
    <w:rsid w:val="00A962B5"/>
    <w:rsid w:val="00A96885"/>
    <w:rsid w:val="00A96B13"/>
    <w:rsid w:val="00A96F04"/>
    <w:rsid w:val="00A97576"/>
    <w:rsid w:val="00A978CB"/>
    <w:rsid w:val="00A97A57"/>
    <w:rsid w:val="00AA0A3C"/>
    <w:rsid w:val="00AA11B7"/>
    <w:rsid w:val="00AA1E15"/>
    <w:rsid w:val="00AA21D0"/>
    <w:rsid w:val="00AA2310"/>
    <w:rsid w:val="00AA233A"/>
    <w:rsid w:val="00AA238E"/>
    <w:rsid w:val="00AA23AC"/>
    <w:rsid w:val="00AA361C"/>
    <w:rsid w:val="00AA40C2"/>
    <w:rsid w:val="00AA47B4"/>
    <w:rsid w:val="00AA4871"/>
    <w:rsid w:val="00AA5E46"/>
    <w:rsid w:val="00AA5F26"/>
    <w:rsid w:val="00AA68ED"/>
    <w:rsid w:val="00AA6A77"/>
    <w:rsid w:val="00AA6CEC"/>
    <w:rsid w:val="00AA73C5"/>
    <w:rsid w:val="00AA7C17"/>
    <w:rsid w:val="00AB0688"/>
    <w:rsid w:val="00AB0F1D"/>
    <w:rsid w:val="00AB106C"/>
    <w:rsid w:val="00AB141B"/>
    <w:rsid w:val="00AB1556"/>
    <w:rsid w:val="00AB1BEF"/>
    <w:rsid w:val="00AB1CEC"/>
    <w:rsid w:val="00AB1DD5"/>
    <w:rsid w:val="00AB2443"/>
    <w:rsid w:val="00AB29C0"/>
    <w:rsid w:val="00AB2CB1"/>
    <w:rsid w:val="00AB3643"/>
    <w:rsid w:val="00AB45B7"/>
    <w:rsid w:val="00AB4B06"/>
    <w:rsid w:val="00AB4D2B"/>
    <w:rsid w:val="00AB50DC"/>
    <w:rsid w:val="00AB5D81"/>
    <w:rsid w:val="00AB5EA0"/>
    <w:rsid w:val="00AB6FBD"/>
    <w:rsid w:val="00AB7867"/>
    <w:rsid w:val="00AB7C29"/>
    <w:rsid w:val="00AB7ED1"/>
    <w:rsid w:val="00AC0B1E"/>
    <w:rsid w:val="00AC0BDB"/>
    <w:rsid w:val="00AC155E"/>
    <w:rsid w:val="00AC18CE"/>
    <w:rsid w:val="00AC22E6"/>
    <w:rsid w:val="00AC2536"/>
    <w:rsid w:val="00AC2773"/>
    <w:rsid w:val="00AC4214"/>
    <w:rsid w:val="00AC4C0D"/>
    <w:rsid w:val="00AC4D27"/>
    <w:rsid w:val="00AC59A0"/>
    <w:rsid w:val="00AC5C54"/>
    <w:rsid w:val="00AC5CD3"/>
    <w:rsid w:val="00AC6007"/>
    <w:rsid w:val="00AC653C"/>
    <w:rsid w:val="00AC67BD"/>
    <w:rsid w:val="00AC67E7"/>
    <w:rsid w:val="00AC6BF4"/>
    <w:rsid w:val="00AC7551"/>
    <w:rsid w:val="00AC7671"/>
    <w:rsid w:val="00AC7EC0"/>
    <w:rsid w:val="00AC7F54"/>
    <w:rsid w:val="00AD02A8"/>
    <w:rsid w:val="00AD0ABF"/>
    <w:rsid w:val="00AD1460"/>
    <w:rsid w:val="00AD1F90"/>
    <w:rsid w:val="00AD24F9"/>
    <w:rsid w:val="00AD26C0"/>
    <w:rsid w:val="00AD28BB"/>
    <w:rsid w:val="00AD2CF4"/>
    <w:rsid w:val="00AD3AC0"/>
    <w:rsid w:val="00AD4733"/>
    <w:rsid w:val="00AD49A8"/>
    <w:rsid w:val="00AD49C8"/>
    <w:rsid w:val="00AD49E4"/>
    <w:rsid w:val="00AD58D4"/>
    <w:rsid w:val="00AD5E24"/>
    <w:rsid w:val="00AD65A0"/>
    <w:rsid w:val="00AD6927"/>
    <w:rsid w:val="00AD6E69"/>
    <w:rsid w:val="00AD717C"/>
    <w:rsid w:val="00AD757F"/>
    <w:rsid w:val="00AE14EF"/>
    <w:rsid w:val="00AE1585"/>
    <w:rsid w:val="00AE28DE"/>
    <w:rsid w:val="00AE2F18"/>
    <w:rsid w:val="00AE36BB"/>
    <w:rsid w:val="00AE3C98"/>
    <w:rsid w:val="00AE4A14"/>
    <w:rsid w:val="00AE4C10"/>
    <w:rsid w:val="00AE4E65"/>
    <w:rsid w:val="00AE53FD"/>
    <w:rsid w:val="00AE5947"/>
    <w:rsid w:val="00AE60AB"/>
    <w:rsid w:val="00AE6ECD"/>
    <w:rsid w:val="00AE70A3"/>
    <w:rsid w:val="00AE7204"/>
    <w:rsid w:val="00AE7414"/>
    <w:rsid w:val="00AF028E"/>
    <w:rsid w:val="00AF0A90"/>
    <w:rsid w:val="00AF0DAA"/>
    <w:rsid w:val="00AF14BB"/>
    <w:rsid w:val="00AF1ABB"/>
    <w:rsid w:val="00AF2F3C"/>
    <w:rsid w:val="00AF30C4"/>
    <w:rsid w:val="00AF3707"/>
    <w:rsid w:val="00AF3D3C"/>
    <w:rsid w:val="00AF4700"/>
    <w:rsid w:val="00AF4D6F"/>
    <w:rsid w:val="00AF4E9D"/>
    <w:rsid w:val="00AF535E"/>
    <w:rsid w:val="00AF5497"/>
    <w:rsid w:val="00AF5A82"/>
    <w:rsid w:val="00AF6276"/>
    <w:rsid w:val="00AF67E8"/>
    <w:rsid w:val="00AF6AEA"/>
    <w:rsid w:val="00AF6B55"/>
    <w:rsid w:val="00AF6D61"/>
    <w:rsid w:val="00B00304"/>
    <w:rsid w:val="00B00394"/>
    <w:rsid w:val="00B00591"/>
    <w:rsid w:val="00B00F7A"/>
    <w:rsid w:val="00B01816"/>
    <w:rsid w:val="00B02D3B"/>
    <w:rsid w:val="00B0370E"/>
    <w:rsid w:val="00B03987"/>
    <w:rsid w:val="00B03D81"/>
    <w:rsid w:val="00B03DED"/>
    <w:rsid w:val="00B0430E"/>
    <w:rsid w:val="00B04ABA"/>
    <w:rsid w:val="00B0540A"/>
    <w:rsid w:val="00B055A8"/>
    <w:rsid w:val="00B0621B"/>
    <w:rsid w:val="00B069D5"/>
    <w:rsid w:val="00B073C8"/>
    <w:rsid w:val="00B11E31"/>
    <w:rsid w:val="00B120B8"/>
    <w:rsid w:val="00B128B0"/>
    <w:rsid w:val="00B12967"/>
    <w:rsid w:val="00B13A65"/>
    <w:rsid w:val="00B13D95"/>
    <w:rsid w:val="00B14241"/>
    <w:rsid w:val="00B145A4"/>
    <w:rsid w:val="00B14725"/>
    <w:rsid w:val="00B14D48"/>
    <w:rsid w:val="00B15F4B"/>
    <w:rsid w:val="00B16798"/>
    <w:rsid w:val="00B169C5"/>
    <w:rsid w:val="00B16B51"/>
    <w:rsid w:val="00B1750E"/>
    <w:rsid w:val="00B17B11"/>
    <w:rsid w:val="00B17F15"/>
    <w:rsid w:val="00B2012F"/>
    <w:rsid w:val="00B203F3"/>
    <w:rsid w:val="00B20706"/>
    <w:rsid w:val="00B20BE7"/>
    <w:rsid w:val="00B21018"/>
    <w:rsid w:val="00B219A5"/>
    <w:rsid w:val="00B22CEF"/>
    <w:rsid w:val="00B23485"/>
    <w:rsid w:val="00B23940"/>
    <w:rsid w:val="00B23DCD"/>
    <w:rsid w:val="00B24AC9"/>
    <w:rsid w:val="00B24C88"/>
    <w:rsid w:val="00B2572C"/>
    <w:rsid w:val="00B25B9A"/>
    <w:rsid w:val="00B25CA3"/>
    <w:rsid w:val="00B263CD"/>
    <w:rsid w:val="00B26891"/>
    <w:rsid w:val="00B26C3A"/>
    <w:rsid w:val="00B26C68"/>
    <w:rsid w:val="00B26D72"/>
    <w:rsid w:val="00B2780E"/>
    <w:rsid w:val="00B2798D"/>
    <w:rsid w:val="00B279BE"/>
    <w:rsid w:val="00B27C4C"/>
    <w:rsid w:val="00B27FD2"/>
    <w:rsid w:val="00B30343"/>
    <w:rsid w:val="00B303B2"/>
    <w:rsid w:val="00B30581"/>
    <w:rsid w:val="00B30B53"/>
    <w:rsid w:val="00B30F88"/>
    <w:rsid w:val="00B30FAD"/>
    <w:rsid w:val="00B3110D"/>
    <w:rsid w:val="00B31195"/>
    <w:rsid w:val="00B311DB"/>
    <w:rsid w:val="00B318B4"/>
    <w:rsid w:val="00B32B83"/>
    <w:rsid w:val="00B32DE8"/>
    <w:rsid w:val="00B33260"/>
    <w:rsid w:val="00B336A4"/>
    <w:rsid w:val="00B33847"/>
    <w:rsid w:val="00B34298"/>
    <w:rsid w:val="00B343D1"/>
    <w:rsid w:val="00B34621"/>
    <w:rsid w:val="00B34C7E"/>
    <w:rsid w:val="00B34D18"/>
    <w:rsid w:val="00B35182"/>
    <w:rsid w:val="00B36077"/>
    <w:rsid w:val="00B36A0A"/>
    <w:rsid w:val="00B36A25"/>
    <w:rsid w:val="00B36B10"/>
    <w:rsid w:val="00B36C97"/>
    <w:rsid w:val="00B37574"/>
    <w:rsid w:val="00B409A1"/>
    <w:rsid w:val="00B4263D"/>
    <w:rsid w:val="00B42711"/>
    <w:rsid w:val="00B428E2"/>
    <w:rsid w:val="00B42A44"/>
    <w:rsid w:val="00B43BA8"/>
    <w:rsid w:val="00B445A9"/>
    <w:rsid w:val="00B447A4"/>
    <w:rsid w:val="00B447B5"/>
    <w:rsid w:val="00B449DD"/>
    <w:rsid w:val="00B45486"/>
    <w:rsid w:val="00B45565"/>
    <w:rsid w:val="00B45649"/>
    <w:rsid w:val="00B457D6"/>
    <w:rsid w:val="00B45CD3"/>
    <w:rsid w:val="00B45F03"/>
    <w:rsid w:val="00B478FE"/>
    <w:rsid w:val="00B47EC1"/>
    <w:rsid w:val="00B47ECF"/>
    <w:rsid w:val="00B50AB5"/>
    <w:rsid w:val="00B50E4D"/>
    <w:rsid w:val="00B51196"/>
    <w:rsid w:val="00B51A02"/>
    <w:rsid w:val="00B51DDF"/>
    <w:rsid w:val="00B5204C"/>
    <w:rsid w:val="00B52F7F"/>
    <w:rsid w:val="00B53366"/>
    <w:rsid w:val="00B533EF"/>
    <w:rsid w:val="00B536B2"/>
    <w:rsid w:val="00B541CE"/>
    <w:rsid w:val="00B5537F"/>
    <w:rsid w:val="00B55C1E"/>
    <w:rsid w:val="00B56759"/>
    <w:rsid w:val="00B56A98"/>
    <w:rsid w:val="00B57002"/>
    <w:rsid w:val="00B579E6"/>
    <w:rsid w:val="00B57CD0"/>
    <w:rsid w:val="00B606CD"/>
    <w:rsid w:val="00B60D3C"/>
    <w:rsid w:val="00B61509"/>
    <w:rsid w:val="00B6176E"/>
    <w:rsid w:val="00B628D3"/>
    <w:rsid w:val="00B628EE"/>
    <w:rsid w:val="00B63DE9"/>
    <w:rsid w:val="00B6422E"/>
    <w:rsid w:val="00B6487F"/>
    <w:rsid w:val="00B649DA"/>
    <w:rsid w:val="00B64E10"/>
    <w:rsid w:val="00B671A8"/>
    <w:rsid w:val="00B6755E"/>
    <w:rsid w:val="00B700F3"/>
    <w:rsid w:val="00B716B3"/>
    <w:rsid w:val="00B71854"/>
    <w:rsid w:val="00B719C0"/>
    <w:rsid w:val="00B71B7D"/>
    <w:rsid w:val="00B71E24"/>
    <w:rsid w:val="00B7259C"/>
    <w:rsid w:val="00B73107"/>
    <w:rsid w:val="00B7392A"/>
    <w:rsid w:val="00B73A60"/>
    <w:rsid w:val="00B73B61"/>
    <w:rsid w:val="00B74E15"/>
    <w:rsid w:val="00B75F1D"/>
    <w:rsid w:val="00B76544"/>
    <w:rsid w:val="00B76C28"/>
    <w:rsid w:val="00B7723A"/>
    <w:rsid w:val="00B777DF"/>
    <w:rsid w:val="00B77CBA"/>
    <w:rsid w:val="00B77D9A"/>
    <w:rsid w:val="00B80060"/>
    <w:rsid w:val="00B80D03"/>
    <w:rsid w:val="00B81A20"/>
    <w:rsid w:val="00B81B22"/>
    <w:rsid w:val="00B81EDD"/>
    <w:rsid w:val="00B82F85"/>
    <w:rsid w:val="00B83118"/>
    <w:rsid w:val="00B8356B"/>
    <w:rsid w:val="00B84A28"/>
    <w:rsid w:val="00B85287"/>
    <w:rsid w:val="00B85693"/>
    <w:rsid w:val="00B8582C"/>
    <w:rsid w:val="00B863DC"/>
    <w:rsid w:val="00B8663E"/>
    <w:rsid w:val="00B86E93"/>
    <w:rsid w:val="00B87B37"/>
    <w:rsid w:val="00B87BEA"/>
    <w:rsid w:val="00B90243"/>
    <w:rsid w:val="00B906C1"/>
    <w:rsid w:val="00B920BE"/>
    <w:rsid w:val="00B926E1"/>
    <w:rsid w:val="00B92A79"/>
    <w:rsid w:val="00B92B09"/>
    <w:rsid w:val="00B93062"/>
    <w:rsid w:val="00B945CC"/>
    <w:rsid w:val="00B94DAA"/>
    <w:rsid w:val="00B94DBA"/>
    <w:rsid w:val="00B961CF"/>
    <w:rsid w:val="00B965C0"/>
    <w:rsid w:val="00B9669B"/>
    <w:rsid w:val="00B966E7"/>
    <w:rsid w:val="00B96798"/>
    <w:rsid w:val="00B97087"/>
    <w:rsid w:val="00B970B3"/>
    <w:rsid w:val="00B97229"/>
    <w:rsid w:val="00B97669"/>
    <w:rsid w:val="00BA057D"/>
    <w:rsid w:val="00BA1597"/>
    <w:rsid w:val="00BA19EF"/>
    <w:rsid w:val="00BA1A6A"/>
    <w:rsid w:val="00BA217F"/>
    <w:rsid w:val="00BA237D"/>
    <w:rsid w:val="00BA2C96"/>
    <w:rsid w:val="00BA3AE7"/>
    <w:rsid w:val="00BA3B8F"/>
    <w:rsid w:val="00BA44FA"/>
    <w:rsid w:val="00BA4531"/>
    <w:rsid w:val="00BA482E"/>
    <w:rsid w:val="00BA560B"/>
    <w:rsid w:val="00BA590F"/>
    <w:rsid w:val="00BA6049"/>
    <w:rsid w:val="00BB011C"/>
    <w:rsid w:val="00BB0B12"/>
    <w:rsid w:val="00BB1546"/>
    <w:rsid w:val="00BB1720"/>
    <w:rsid w:val="00BB3C64"/>
    <w:rsid w:val="00BB47BB"/>
    <w:rsid w:val="00BB4E8A"/>
    <w:rsid w:val="00BB5125"/>
    <w:rsid w:val="00BB5323"/>
    <w:rsid w:val="00BB55BD"/>
    <w:rsid w:val="00BB5710"/>
    <w:rsid w:val="00BB5966"/>
    <w:rsid w:val="00BB5975"/>
    <w:rsid w:val="00BB747E"/>
    <w:rsid w:val="00BB7736"/>
    <w:rsid w:val="00BB7C7B"/>
    <w:rsid w:val="00BB7CE5"/>
    <w:rsid w:val="00BC0299"/>
    <w:rsid w:val="00BC05A8"/>
    <w:rsid w:val="00BC072C"/>
    <w:rsid w:val="00BC12FE"/>
    <w:rsid w:val="00BC14D6"/>
    <w:rsid w:val="00BC1EA4"/>
    <w:rsid w:val="00BC422C"/>
    <w:rsid w:val="00BC43FC"/>
    <w:rsid w:val="00BC48F2"/>
    <w:rsid w:val="00BC52CE"/>
    <w:rsid w:val="00BC5DCB"/>
    <w:rsid w:val="00BC6E55"/>
    <w:rsid w:val="00BC70BA"/>
    <w:rsid w:val="00BC7A5B"/>
    <w:rsid w:val="00BC7AC4"/>
    <w:rsid w:val="00BC7E9B"/>
    <w:rsid w:val="00BD059F"/>
    <w:rsid w:val="00BD0944"/>
    <w:rsid w:val="00BD2635"/>
    <w:rsid w:val="00BD38FC"/>
    <w:rsid w:val="00BD440B"/>
    <w:rsid w:val="00BD4F2F"/>
    <w:rsid w:val="00BD52E8"/>
    <w:rsid w:val="00BD5383"/>
    <w:rsid w:val="00BD54C2"/>
    <w:rsid w:val="00BD5CF4"/>
    <w:rsid w:val="00BD62D7"/>
    <w:rsid w:val="00BE0623"/>
    <w:rsid w:val="00BE07A8"/>
    <w:rsid w:val="00BE0840"/>
    <w:rsid w:val="00BE0861"/>
    <w:rsid w:val="00BE0CF2"/>
    <w:rsid w:val="00BE0D88"/>
    <w:rsid w:val="00BE1C98"/>
    <w:rsid w:val="00BE2321"/>
    <w:rsid w:val="00BE2390"/>
    <w:rsid w:val="00BE256E"/>
    <w:rsid w:val="00BE27BA"/>
    <w:rsid w:val="00BE27D8"/>
    <w:rsid w:val="00BE28D7"/>
    <w:rsid w:val="00BE32BE"/>
    <w:rsid w:val="00BE38E5"/>
    <w:rsid w:val="00BE3E23"/>
    <w:rsid w:val="00BE3E5B"/>
    <w:rsid w:val="00BE5129"/>
    <w:rsid w:val="00BE6EA0"/>
    <w:rsid w:val="00BE726F"/>
    <w:rsid w:val="00BE735F"/>
    <w:rsid w:val="00BE7A03"/>
    <w:rsid w:val="00BE7CED"/>
    <w:rsid w:val="00BE7EE6"/>
    <w:rsid w:val="00BF01FF"/>
    <w:rsid w:val="00BF035B"/>
    <w:rsid w:val="00BF0A16"/>
    <w:rsid w:val="00BF3609"/>
    <w:rsid w:val="00BF4654"/>
    <w:rsid w:val="00BF486C"/>
    <w:rsid w:val="00BF59A8"/>
    <w:rsid w:val="00BF5B67"/>
    <w:rsid w:val="00BF640F"/>
    <w:rsid w:val="00BF69EC"/>
    <w:rsid w:val="00BF73AB"/>
    <w:rsid w:val="00BF7DC8"/>
    <w:rsid w:val="00C00051"/>
    <w:rsid w:val="00C0037C"/>
    <w:rsid w:val="00C00B9A"/>
    <w:rsid w:val="00C00FE5"/>
    <w:rsid w:val="00C01068"/>
    <w:rsid w:val="00C01ACC"/>
    <w:rsid w:val="00C0291D"/>
    <w:rsid w:val="00C02A46"/>
    <w:rsid w:val="00C030AD"/>
    <w:rsid w:val="00C03AF8"/>
    <w:rsid w:val="00C03C96"/>
    <w:rsid w:val="00C05E7B"/>
    <w:rsid w:val="00C06932"/>
    <w:rsid w:val="00C069B0"/>
    <w:rsid w:val="00C06A34"/>
    <w:rsid w:val="00C1045A"/>
    <w:rsid w:val="00C10776"/>
    <w:rsid w:val="00C10AAC"/>
    <w:rsid w:val="00C10B51"/>
    <w:rsid w:val="00C10B65"/>
    <w:rsid w:val="00C1126B"/>
    <w:rsid w:val="00C11555"/>
    <w:rsid w:val="00C1155B"/>
    <w:rsid w:val="00C118EE"/>
    <w:rsid w:val="00C11D3A"/>
    <w:rsid w:val="00C12069"/>
    <w:rsid w:val="00C12134"/>
    <w:rsid w:val="00C1266D"/>
    <w:rsid w:val="00C12897"/>
    <w:rsid w:val="00C12AAA"/>
    <w:rsid w:val="00C13446"/>
    <w:rsid w:val="00C138C1"/>
    <w:rsid w:val="00C13C17"/>
    <w:rsid w:val="00C14D93"/>
    <w:rsid w:val="00C158CA"/>
    <w:rsid w:val="00C15CDB"/>
    <w:rsid w:val="00C163F7"/>
    <w:rsid w:val="00C17538"/>
    <w:rsid w:val="00C179C9"/>
    <w:rsid w:val="00C179FB"/>
    <w:rsid w:val="00C17C38"/>
    <w:rsid w:val="00C203BC"/>
    <w:rsid w:val="00C20A2F"/>
    <w:rsid w:val="00C21CF0"/>
    <w:rsid w:val="00C231AF"/>
    <w:rsid w:val="00C238F9"/>
    <w:rsid w:val="00C24331"/>
    <w:rsid w:val="00C25175"/>
    <w:rsid w:val="00C263F6"/>
    <w:rsid w:val="00C2640C"/>
    <w:rsid w:val="00C2678D"/>
    <w:rsid w:val="00C26EB9"/>
    <w:rsid w:val="00C2728C"/>
    <w:rsid w:val="00C27604"/>
    <w:rsid w:val="00C27BF7"/>
    <w:rsid w:val="00C27C57"/>
    <w:rsid w:val="00C30728"/>
    <w:rsid w:val="00C30B1B"/>
    <w:rsid w:val="00C31B15"/>
    <w:rsid w:val="00C31C9C"/>
    <w:rsid w:val="00C32FFE"/>
    <w:rsid w:val="00C33D5F"/>
    <w:rsid w:val="00C33DE9"/>
    <w:rsid w:val="00C343F9"/>
    <w:rsid w:val="00C35978"/>
    <w:rsid w:val="00C35C5C"/>
    <w:rsid w:val="00C3631B"/>
    <w:rsid w:val="00C373A9"/>
    <w:rsid w:val="00C3765B"/>
    <w:rsid w:val="00C37914"/>
    <w:rsid w:val="00C37CC8"/>
    <w:rsid w:val="00C37ECE"/>
    <w:rsid w:val="00C40293"/>
    <w:rsid w:val="00C41198"/>
    <w:rsid w:val="00C420DD"/>
    <w:rsid w:val="00C44692"/>
    <w:rsid w:val="00C44971"/>
    <w:rsid w:val="00C44A0E"/>
    <w:rsid w:val="00C44BE9"/>
    <w:rsid w:val="00C45450"/>
    <w:rsid w:val="00C4561A"/>
    <w:rsid w:val="00C45B4F"/>
    <w:rsid w:val="00C46957"/>
    <w:rsid w:val="00C46E18"/>
    <w:rsid w:val="00C47737"/>
    <w:rsid w:val="00C5034A"/>
    <w:rsid w:val="00C512B2"/>
    <w:rsid w:val="00C5139D"/>
    <w:rsid w:val="00C51476"/>
    <w:rsid w:val="00C51C48"/>
    <w:rsid w:val="00C5213C"/>
    <w:rsid w:val="00C52412"/>
    <w:rsid w:val="00C52777"/>
    <w:rsid w:val="00C52855"/>
    <w:rsid w:val="00C52CEB"/>
    <w:rsid w:val="00C53189"/>
    <w:rsid w:val="00C53432"/>
    <w:rsid w:val="00C53D35"/>
    <w:rsid w:val="00C53FC5"/>
    <w:rsid w:val="00C54296"/>
    <w:rsid w:val="00C54ECA"/>
    <w:rsid w:val="00C5534F"/>
    <w:rsid w:val="00C55451"/>
    <w:rsid w:val="00C5587D"/>
    <w:rsid w:val="00C55DC2"/>
    <w:rsid w:val="00C568D3"/>
    <w:rsid w:val="00C569BD"/>
    <w:rsid w:val="00C5785D"/>
    <w:rsid w:val="00C60BE4"/>
    <w:rsid w:val="00C60C91"/>
    <w:rsid w:val="00C611E2"/>
    <w:rsid w:val="00C618C5"/>
    <w:rsid w:val="00C61B87"/>
    <w:rsid w:val="00C620CB"/>
    <w:rsid w:val="00C6251A"/>
    <w:rsid w:val="00C62D18"/>
    <w:rsid w:val="00C63B0C"/>
    <w:rsid w:val="00C63BDB"/>
    <w:rsid w:val="00C64566"/>
    <w:rsid w:val="00C64F3C"/>
    <w:rsid w:val="00C6581B"/>
    <w:rsid w:val="00C65AFF"/>
    <w:rsid w:val="00C65D65"/>
    <w:rsid w:val="00C65F56"/>
    <w:rsid w:val="00C67015"/>
    <w:rsid w:val="00C67A9E"/>
    <w:rsid w:val="00C67C90"/>
    <w:rsid w:val="00C67D2B"/>
    <w:rsid w:val="00C7043A"/>
    <w:rsid w:val="00C70949"/>
    <w:rsid w:val="00C70F67"/>
    <w:rsid w:val="00C71B75"/>
    <w:rsid w:val="00C71E99"/>
    <w:rsid w:val="00C7229C"/>
    <w:rsid w:val="00C72502"/>
    <w:rsid w:val="00C72EDB"/>
    <w:rsid w:val="00C73BD4"/>
    <w:rsid w:val="00C73CF0"/>
    <w:rsid w:val="00C73F2C"/>
    <w:rsid w:val="00C7404D"/>
    <w:rsid w:val="00C74CF1"/>
    <w:rsid w:val="00C7551A"/>
    <w:rsid w:val="00C76053"/>
    <w:rsid w:val="00C76496"/>
    <w:rsid w:val="00C765FA"/>
    <w:rsid w:val="00C767EF"/>
    <w:rsid w:val="00C76CEA"/>
    <w:rsid w:val="00C77195"/>
    <w:rsid w:val="00C77721"/>
    <w:rsid w:val="00C77AD5"/>
    <w:rsid w:val="00C77B8B"/>
    <w:rsid w:val="00C77C96"/>
    <w:rsid w:val="00C77CB6"/>
    <w:rsid w:val="00C77F53"/>
    <w:rsid w:val="00C800FC"/>
    <w:rsid w:val="00C80833"/>
    <w:rsid w:val="00C8122B"/>
    <w:rsid w:val="00C8141B"/>
    <w:rsid w:val="00C81BAC"/>
    <w:rsid w:val="00C81CE3"/>
    <w:rsid w:val="00C82106"/>
    <w:rsid w:val="00C823B0"/>
    <w:rsid w:val="00C824FF"/>
    <w:rsid w:val="00C826C6"/>
    <w:rsid w:val="00C82844"/>
    <w:rsid w:val="00C82AC6"/>
    <w:rsid w:val="00C83588"/>
    <w:rsid w:val="00C838CB"/>
    <w:rsid w:val="00C83B86"/>
    <w:rsid w:val="00C83C5A"/>
    <w:rsid w:val="00C845F7"/>
    <w:rsid w:val="00C848DC"/>
    <w:rsid w:val="00C84BB2"/>
    <w:rsid w:val="00C84C69"/>
    <w:rsid w:val="00C84D62"/>
    <w:rsid w:val="00C84D84"/>
    <w:rsid w:val="00C85512"/>
    <w:rsid w:val="00C86C05"/>
    <w:rsid w:val="00C8702D"/>
    <w:rsid w:val="00C871C6"/>
    <w:rsid w:val="00C87E60"/>
    <w:rsid w:val="00C87FDE"/>
    <w:rsid w:val="00C908D9"/>
    <w:rsid w:val="00C909B1"/>
    <w:rsid w:val="00C90D8C"/>
    <w:rsid w:val="00C90E3D"/>
    <w:rsid w:val="00C91285"/>
    <w:rsid w:val="00C914B4"/>
    <w:rsid w:val="00C91548"/>
    <w:rsid w:val="00C91778"/>
    <w:rsid w:val="00C91EE1"/>
    <w:rsid w:val="00C92594"/>
    <w:rsid w:val="00C92B95"/>
    <w:rsid w:val="00C92CB3"/>
    <w:rsid w:val="00C93056"/>
    <w:rsid w:val="00C931DE"/>
    <w:rsid w:val="00C94041"/>
    <w:rsid w:val="00C941AE"/>
    <w:rsid w:val="00C9482C"/>
    <w:rsid w:val="00C9486F"/>
    <w:rsid w:val="00C961DA"/>
    <w:rsid w:val="00C96307"/>
    <w:rsid w:val="00C965FE"/>
    <w:rsid w:val="00C96A72"/>
    <w:rsid w:val="00C96CB0"/>
    <w:rsid w:val="00C96E41"/>
    <w:rsid w:val="00CA03A6"/>
    <w:rsid w:val="00CA0B14"/>
    <w:rsid w:val="00CA0DA7"/>
    <w:rsid w:val="00CA0F5D"/>
    <w:rsid w:val="00CA104B"/>
    <w:rsid w:val="00CA1059"/>
    <w:rsid w:val="00CA1B0E"/>
    <w:rsid w:val="00CA1D84"/>
    <w:rsid w:val="00CA2BBA"/>
    <w:rsid w:val="00CA2C9F"/>
    <w:rsid w:val="00CA2D93"/>
    <w:rsid w:val="00CA3868"/>
    <w:rsid w:val="00CA41AF"/>
    <w:rsid w:val="00CA4734"/>
    <w:rsid w:val="00CA478E"/>
    <w:rsid w:val="00CA50B3"/>
    <w:rsid w:val="00CA699A"/>
    <w:rsid w:val="00CA7A47"/>
    <w:rsid w:val="00CB0CF5"/>
    <w:rsid w:val="00CB1004"/>
    <w:rsid w:val="00CB14E9"/>
    <w:rsid w:val="00CB1905"/>
    <w:rsid w:val="00CB1FB2"/>
    <w:rsid w:val="00CB208E"/>
    <w:rsid w:val="00CB287C"/>
    <w:rsid w:val="00CB29CC"/>
    <w:rsid w:val="00CB339C"/>
    <w:rsid w:val="00CB39FC"/>
    <w:rsid w:val="00CB45D3"/>
    <w:rsid w:val="00CB5872"/>
    <w:rsid w:val="00CB65F9"/>
    <w:rsid w:val="00CB690F"/>
    <w:rsid w:val="00CB6B68"/>
    <w:rsid w:val="00CB7731"/>
    <w:rsid w:val="00CB7789"/>
    <w:rsid w:val="00CC03B0"/>
    <w:rsid w:val="00CC0422"/>
    <w:rsid w:val="00CC05E4"/>
    <w:rsid w:val="00CC0D0C"/>
    <w:rsid w:val="00CC1109"/>
    <w:rsid w:val="00CC1DE3"/>
    <w:rsid w:val="00CC2047"/>
    <w:rsid w:val="00CC2F5C"/>
    <w:rsid w:val="00CC30F8"/>
    <w:rsid w:val="00CC4124"/>
    <w:rsid w:val="00CC4573"/>
    <w:rsid w:val="00CC4BDE"/>
    <w:rsid w:val="00CC4F63"/>
    <w:rsid w:val="00CC59C0"/>
    <w:rsid w:val="00CC748F"/>
    <w:rsid w:val="00CC760C"/>
    <w:rsid w:val="00CC780C"/>
    <w:rsid w:val="00CC79DA"/>
    <w:rsid w:val="00CD167A"/>
    <w:rsid w:val="00CD1973"/>
    <w:rsid w:val="00CD1A9F"/>
    <w:rsid w:val="00CD2258"/>
    <w:rsid w:val="00CD2D4D"/>
    <w:rsid w:val="00CD3222"/>
    <w:rsid w:val="00CD334E"/>
    <w:rsid w:val="00CD358E"/>
    <w:rsid w:val="00CD3EE2"/>
    <w:rsid w:val="00CD4082"/>
    <w:rsid w:val="00CD4236"/>
    <w:rsid w:val="00CD4DE5"/>
    <w:rsid w:val="00CD4E2A"/>
    <w:rsid w:val="00CD4E6E"/>
    <w:rsid w:val="00CD5A98"/>
    <w:rsid w:val="00CD5F5A"/>
    <w:rsid w:val="00CD7161"/>
    <w:rsid w:val="00CD76A3"/>
    <w:rsid w:val="00CD76FC"/>
    <w:rsid w:val="00CD7A9E"/>
    <w:rsid w:val="00CD7CB1"/>
    <w:rsid w:val="00CD7DB6"/>
    <w:rsid w:val="00CE01D4"/>
    <w:rsid w:val="00CE056D"/>
    <w:rsid w:val="00CE0EAE"/>
    <w:rsid w:val="00CE154C"/>
    <w:rsid w:val="00CE1672"/>
    <w:rsid w:val="00CE1809"/>
    <w:rsid w:val="00CE18AF"/>
    <w:rsid w:val="00CE1A13"/>
    <w:rsid w:val="00CE1B61"/>
    <w:rsid w:val="00CE1E4D"/>
    <w:rsid w:val="00CE2998"/>
    <w:rsid w:val="00CE42C1"/>
    <w:rsid w:val="00CE4828"/>
    <w:rsid w:val="00CE4E50"/>
    <w:rsid w:val="00CE56F7"/>
    <w:rsid w:val="00CE5A28"/>
    <w:rsid w:val="00CE669E"/>
    <w:rsid w:val="00CE6882"/>
    <w:rsid w:val="00CE6FB2"/>
    <w:rsid w:val="00CE6FBC"/>
    <w:rsid w:val="00CE7387"/>
    <w:rsid w:val="00CE774F"/>
    <w:rsid w:val="00CE792C"/>
    <w:rsid w:val="00CF1977"/>
    <w:rsid w:val="00CF1B99"/>
    <w:rsid w:val="00CF1DD9"/>
    <w:rsid w:val="00CF20DD"/>
    <w:rsid w:val="00CF257A"/>
    <w:rsid w:val="00CF2A44"/>
    <w:rsid w:val="00CF2E71"/>
    <w:rsid w:val="00CF3607"/>
    <w:rsid w:val="00CF3BC4"/>
    <w:rsid w:val="00CF4321"/>
    <w:rsid w:val="00CF452A"/>
    <w:rsid w:val="00CF4579"/>
    <w:rsid w:val="00CF45DA"/>
    <w:rsid w:val="00CF57E2"/>
    <w:rsid w:val="00CF5BA2"/>
    <w:rsid w:val="00CF5C3D"/>
    <w:rsid w:val="00CF64C4"/>
    <w:rsid w:val="00CF701C"/>
    <w:rsid w:val="00CF7425"/>
    <w:rsid w:val="00CF793C"/>
    <w:rsid w:val="00CF7FC5"/>
    <w:rsid w:val="00D00383"/>
    <w:rsid w:val="00D0073D"/>
    <w:rsid w:val="00D00885"/>
    <w:rsid w:val="00D02031"/>
    <w:rsid w:val="00D02182"/>
    <w:rsid w:val="00D0228D"/>
    <w:rsid w:val="00D02335"/>
    <w:rsid w:val="00D02572"/>
    <w:rsid w:val="00D02650"/>
    <w:rsid w:val="00D02B00"/>
    <w:rsid w:val="00D03B10"/>
    <w:rsid w:val="00D0423E"/>
    <w:rsid w:val="00D04833"/>
    <w:rsid w:val="00D04D1D"/>
    <w:rsid w:val="00D04EDF"/>
    <w:rsid w:val="00D04FC2"/>
    <w:rsid w:val="00D054E8"/>
    <w:rsid w:val="00D056E8"/>
    <w:rsid w:val="00D05CF6"/>
    <w:rsid w:val="00D05D2A"/>
    <w:rsid w:val="00D06CC8"/>
    <w:rsid w:val="00D06F13"/>
    <w:rsid w:val="00D07DFE"/>
    <w:rsid w:val="00D100CE"/>
    <w:rsid w:val="00D101E5"/>
    <w:rsid w:val="00D10A43"/>
    <w:rsid w:val="00D10B45"/>
    <w:rsid w:val="00D10D6C"/>
    <w:rsid w:val="00D10DCE"/>
    <w:rsid w:val="00D10FF6"/>
    <w:rsid w:val="00D11D84"/>
    <w:rsid w:val="00D12962"/>
    <w:rsid w:val="00D12CF9"/>
    <w:rsid w:val="00D1394E"/>
    <w:rsid w:val="00D14173"/>
    <w:rsid w:val="00D141F0"/>
    <w:rsid w:val="00D1436F"/>
    <w:rsid w:val="00D14457"/>
    <w:rsid w:val="00D1532C"/>
    <w:rsid w:val="00D15A75"/>
    <w:rsid w:val="00D164DC"/>
    <w:rsid w:val="00D17264"/>
    <w:rsid w:val="00D1742E"/>
    <w:rsid w:val="00D1752A"/>
    <w:rsid w:val="00D20398"/>
    <w:rsid w:val="00D203DC"/>
    <w:rsid w:val="00D2081D"/>
    <w:rsid w:val="00D217B6"/>
    <w:rsid w:val="00D22C56"/>
    <w:rsid w:val="00D230C1"/>
    <w:rsid w:val="00D23566"/>
    <w:rsid w:val="00D23AB5"/>
    <w:rsid w:val="00D23F72"/>
    <w:rsid w:val="00D2534E"/>
    <w:rsid w:val="00D25561"/>
    <w:rsid w:val="00D25928"/>
    <w:rsid w:val="00D26785"/>
    <w:rsid w:val="00D26936"/>
    <w:rsid w:val="00D26C8D"/>
    <w:rsid w:val="00D2724A"/>
    <w:rsid w:val="00D27CA2"/>
    <w:rsid w:val="00D30021"/>
    <w:rsid w:val="00D31B84"/>
    <w:rsid w:val="00D31F77"/>
    <w:rsid w:val="00D323FB"/>
    <w:rsid w:val="00D327E0"/>
    <w:rsid w:val="00D32A44"/>
    <w:rsid w:val="00D32B1B"/>
    <w:rsid w:val="00D32C57"/>
    <w:rsid w:val="00D33834"/>
    <w:rsid w:val="00D344B7"/>
    <w:rsid w:val="00D34B46"/>
    <w:rsid w:val="00D34E16"/>
    <w:rsid w:val="00D3584D"/>
    <w:rsid w:val="00D35D21"/>
    <w:rsid w:val="00D36409"/>
    <w:rsid w:val="00D36A38"/>
    <w:rsid w:val="00D37568"/>
    <w:rsid w:val="00D37DDC"/>
    <w:rsid w:val="00D41074"/>
    <w:rsid w:val="00D4235B"/>
    <w:rsid w:val="00D424A7"/>
    <w:rsid w:val="00D43A80"/>
    <w:rsid w:val="00D43EC7"/>
    <w:rsid w:val="00D44116"/>
    <w:rsid w:val="00D441E9"/>
    <w:rsid w:val="00D44311"/>
    <w:rsid w:val="00D447DC"/>
    <w:rsid w:val="00D44C31"/>
    <w:rsid w:val="00D44D87"/>
    <w:rsid w:val="00D45E4D"/>
    <w:rsid w:val="00D45EBF"/>
    <w:rsid w:val="00D46261"/>
    <w:rsid w:val="00D46490"/>
    <w:rsid w:val="00D46C71"/>
    <w:rsid w:val="00D46C7E"/>
    <w:rsid w:val="00D47136"/>
    <w:rsid w:val="00D4730A"/>
    <w:rsid w:val="00D47554"/>
    <w:rsid w:val="00D47BCA"/>
    <w:rsid w:val="00D47DB9"/>
    <w:rsid w:val="00D47E67"/>
    <w:rsid w:val="00D50008"/>
    <w:rsid w:val="00D5078B"/>
    <w:rsid w:val="00D50B14"/>
    <w:rsid w:val="00D518A6"/>
    <w:rsid w:val="00D51C93"/>
    <w:rsid w:val="00D51E48"/>
    <w:rsid w:val="00D52320"/>
    <w:rsid w:val="00D524D2"/>
    <w:rsid w:val="00D52C02"/>
    <w:rsid w:val="00D52D13"/>
    <w:rsid w:val="00D533D7"/>
    <w:rsid w:val="00D53B6F"/>
    <w:rsid w:val="00D548D0"/>
    <w:rsid w:val="00D556A0"/>
    <w:rsid w:val="00D5583A"/>
    <w:rsid w:val="00D55A8A"/>
    <w:rsid w:val="00D564F6"/>
    <w:rsid w:val="00D572E4"/>
    <w:rsid w:val="00D5745B"/>
    <w:rsid w:val="00D574A4"/>
    <w:rsid w:val="00D57775"/>
    <w:rsid w:val="00D57E69"/>
    <w:rsid w:val="00D60470"/>
    <w:rsid w:val="00D60518"/>
    <w:rsid w:val="00D60B86"/>
    <w:rsid w:val="00D60CA8"/>
    <w:rsid w:val="00D624AC"/>
    <w:rsid w:val="00D62900"/>
    <w:rsid w:val="00D62E43"/>
    <w:rsid w:val="00D63140"/>
    <w:rsid w:val="00D6392D"/>
    <w:rsid w:val="00D640C0"/>
    <w:rsid w:val="00D643AD"/>
    <w:rsid w:val="00D652C5"/>
    <w:rsid w:val="00D65D4F"/>
    <w:rsid w:val="00D65F4F"/>
    <w:rsid w:val="00D66B22"/>
    <w:rsid w:val="00D66D42"/>
    <w:rsid w:val="00D66FF1"/>
    <w:rsid w:val="00D67D75"/>
    <w:rsid w:val="00D708C4"/>
    <w:rsid w:val="00D70F02"/>
    <w:rsid w:val="00D71E33"/>
    <w:rsid w:val="00D7237E"/>
    <w:rsid w:val="00D7259A"/>
    <w:rsid w:val="00D727B0"/>
    <w:rsid w:val="00D72E7F"/>
    <w:rsid w:val="00D73AB8"/>
    <w:rsid w:val="00D73EDC"/>
    <w:rsid w:val="00D74599"/>
    <w:rsid w:val="00D74A07"/>
    <w:rsid w:val="00D74C81"/>
    <w:rsid w:val="00D7649B"/>
    <w:rsid w:val="00D769DC"/>
    <w:rsid w:val="00D76B55"/>
    <w:rsid w:val="00D80592"/>
    <w:rsid w:val="00D80E38"/>
    <w:rsid w:val="00D81317"/>
    <w:rsid w:val="00D81A92"/>
    <w:rsid w:val="00D820A4"/>
    <w:rsid w:val="00D82141"/>
    <w:rsid w:val="00D834D9"/>
    <w:rsid w:val="00D83938"/>
    <w:rsid w:val="00D847B9"/>
    <w:rsid w:val="00D84891"/>
    <w:rsid w:val="00D84CB5"/>
    <w:rsid w:val="00D84D86"/>
    <w:rsid w:val="00D85668"/>
    <w:rsid w:val="00D85E33"/>
    <w:rsid w:val="00D85EC2"/>
    <w:rsid w:val="00D86383"/>
    <w:rsid w:val="00D86571"/>
    <w:rsid w:val="00D8690C"/>
    <w:rsid w:val="00D87393"/>
    <w:rsid w:val="00D87D2F"/>
    <w:rsid w:val="00D87F53"/>
    <w:rsid w:val="00D90321"/>
    <w:rsid w:val="00D90572"/>
    <w:rsid w:val="00D913BC"/>
    <w:rsid w:val="00D9192C"/>
    <w:rsid w:val="00D91DE7"/>
    <w:rsid w:val="00D94034"/>
    <w:rsid w:val="00D94651"/>
    <w:rsid w:val="00D94B16"/>
    <w:rsid w:val="00D950F4"/>
    <w:rsid w:val="00D95178"/>
    <w:rsid w:val="00D95253"/>
    <w:rsid w:val="00D96A54"/>
    <w:rsid w:val="00D96B27"/>
    <w:rsid w:val="00D96D9F"/>
    <w:rsid w:val="00D9735F"/>
    <w:rsid w:val="00D97578"/>
    <w:rsid w:val="00D9774D"/>
    <w:rsid w:val="00D97EB7"/>
    <w:rsid w:val="00D97EF6"/>
    <w:rsid w:val="00D97F2F"/>
    <w:rsid w:val="00DA0299"/>
    <w:rsid w:val="00DA0964"/>
    <w:rsid w:val="00DA0B49"/>
    <w:rsid w:val="00DA0FF2"/>
    <w:rsid w:val="00DA1602"/>
    <w:rsid w:val="00DA17CB"/>
    <w:rsid w:val="00DA1E19"/>
    <w:rsid w:val="00DA2A49"/>
    <w:rsid w:val="00DA3007"/>
    <w:rsid w:val="00DA3116"/>
    <w:rsid w:val="00DA3632"/>
    <w:rsid w:val="00DA36BF"/>
    <w:rsid w:val="00DA43A7"/>
    <w:rsid w:val="00DA4CC8"/>
    <w:rsid w:val="00DA4E29"/>
    <w:rsid w:val="00DA4E3D"/>
    <w:rsid w:val="00DA4E9A"/>
    <w:rsid w:val="00DA53E2"/>
    <w:rsid w:val="00DA560F"/>
    <w:rsid w:val="00DA5C4E"/>
    <w:rsid w:val="00DA5CEF"/>
    <w:rsid w:val="00DA600F"/>
    <w:rsid w:val="00DA6117"/>
    <w:rsid w:val="00DA6D0F"/>
    <w:rsid w:val="00DA753C"/>
    <w:rsid w:val="00DA771F"/>
    <w:rsid w:val="00DA78C1"/>
    <w:rsid w:val="00DA7E96"/>
    <w:rsid w:val="00DB0A0C"/>
    <w:rsid w:val="00DB1499"/>
    <w:rsid w:val="00DB1A8F"/>
    <w:rsid w:val="00DB2300"/>
    <w:rsid w:val="00DB34D5"/>
    <w:rsid w:val="00DB3659"/>
    <w:rsid w:val="00DB436A"/>
    <w:rsid w:val="00DB5615"/>
    <w:rsid w:val="00DB5903"/>
    <w:rsid w:val="00DB706F"/>
    <w:rsid w:val="00DB7F61"/>
    <w:rsid w:val="00DC05E9"/>
    <w:rsid w:val="00DC0935"/>
    <w:rsid w:val="00DC11D6"/>
    <w:rsid w:val="00DC2966"/>
    <w:rsid w:val="00DC2E3B"/>
    <w:rsid w:val="00DC4814"/>
    <w:rsid w:val="00DC4C8E"/>
    <w:rsid w:val="00DC5099"/>
    <w:rsid w:val="00DC5195"/>
    <w:rsid w:val="00DC55AE"/>
    <w:rsid w:val="00DC6070"/>
    <w:rsid w:val="00DC66A8"/>
    <w:rsid w:val="00DC6DFD"/>
    <w:rsid w:val="00DC7183"/>
    <w:rsid w:val="00DC7B4F"/>
    <w:rsid w:val="00DC7FF4"/>
    <w:rsid w:val="00DD0360"/>
    <w:rsid w:val="00DD03E0"/>
    <w:rsid w:val="00DD0B49"/>
    <w:rsid w:val="00DD2E03"/>
    <w:rsid w:val="00DD348F"/>
    <w:rsid w:val="00DD449F"/>
    <w:rsid w:val="00DD4A69"/>
    <w:rsid w:val="00DD5332"/>
    <w:rsid w:val="00DD543A"/>
    <w:rsid w:val="00DD5526"/>
    <w:rsid w:val="00DD55CE"/>
    <w:rsid w:val="00DD5E59"/>
    <w:rsid w:val="00DD6DAF"/>
    <w:rsid w:val="00DD7149"/>
    <w:rsid w:val="00DD7814"/>
    <w:rsid w:val="00DD78E4"/>
    <w:rsid w:val="00DD796D"/>
    <w:rsid w:val="00DE0BC8"/>
    <w:rsid w:val="00DE14FC"/>
    <w:rsid w:val="00DE17AD"/>
    <w:rsid w:val="00DE4C11"/>
    <w:rsid w:val="00DE50DF"/>
    <w:rsid w:val="00DE5171"/>
    <w:rsid w:val="00DE5317"/>
    <w:rsid w:val="00DE5A03"/>
    <w:rsid w:val="00DE65DE"/>
    <w:rsid w:val="00DE68D8"/>
    <w:rsid w:val="00DE7005"/>
    <w:rsid w:val="00DF03AA"/>
    <w:rsid w:val="00DF05BC"/>
    <w:rsid w:val="00DF185E"/>
    <w:rsid w:val="00DF19D7"/>
    <w:rsid w:val="00DF2045"/>
    <w:rsid w:val="00DF2B54"/>
    <w:rsid w:val="00DF2E5A"/>
    <w:rsid w:val="00DF2F3D"/>
    <w:rsid w:val="00DF46C3"/>
    <w:rsid w:val="00DF4E93"/>
    <w:rsid w:val="00DF5540"/>
    <w:rsid w:val="00DF58AA"/>
    <w:rsid w:val="00DF62DB"/>
    <w:rsid w:val="00DF6A8D"/>
    <w:rsid w:val="00DF6DEF"/>
    <w:rsid w:val="00DF6E1C"/>
    <w:rsid w:val="00DF7564"/>
    <w:rsid w:val="00DF767A"/>
    <w:rsid w:val="00DF76E2"/>
    <w:rsid w:val="00DF791B"/>
    <w:rsid w:val="00DF79E5"/>
    <w:rsid w:val="00DF7E86"/>
    <w:rsid w:val="00E00312"/>
    <w:rsid w:val="00E00B2B"/>
    <w:rsid w:val="00E00E4D"/>
    <w:rsid w:val="00E00F20"/>
    <w:rsid w:val="00E0118D"/>
    <w:rsid w:val="00E02BE1"/>
    <w:rsid w:val="00E03096"/>
    <w:rsid w:val="00E03202"/>
    <w:rsid w:val="00E033C6"/>
    <w:rsid w:val="00E03D1A"/>
    <w:rsid w:val="00E0443B"/>
    <w:rsid w:val="00E05B53"/>
    <w:rsid w:val="00E05D45"/>
    <w:rsid w:val="00E1061B"/>
    <w:rsid w:val="00E10FEE"/>
    <w:rsid w:val="00E11B4D"/>
    <w:rsid w:val="00E1280A"/>
    <w:rsid w:val="00E14394"/>
    <w:rsid w:val="00E15840"/>
    <w:rsid w:val="00E159A7"/>
    <w:rsid w:val="00E15AAB"/>
    <w:rsid w:val="00E15C38"/>
    <w:rsid w:val="00E162D6"/>
    <w:rsid w:val="00E163E7"/>
    <w:rsid w:val="00E166F4"/>
    <w:rsid w:val="00E16798"/>
    <w:rsid w:val="00E17216"/>
    <w:rsid w:val="00E2002F"/>
    <w:rsid w:val="00E20803"/>
    <w:rsid w:val="00E20F1F"/>
    <w:rsid w:val="00E212A2"/>
    <w:rsid w:val="00E21E57"/>
    <w:rsid w:val="00E226D7"/>
    <w:rsid w:val="00E240DA"/>
    <w:rsid w:val="00E2439E"/>
    <w:rsid w:val="00E251C8"/>
    <w:rsid w:val="00E25291"/>
    <w:rsid w:val="00E25B9A"/>
    <w:rsid w:val="00E25F41"/>
    <w:rsid w:val="00E26403"/>
    <w:rsid w:val="00E26657"/>
    <w:rsid w:val="00E26891"/>
    <w:rsid w:val="00E27682"/>
    <w:rsid w:val="00E27933"/>
    <w:rsid w:val="00E2797A"/>
    <w:rsid w:val="00E27E90"/>
    <w:rsid w:val="00E27E91"/>
    <w:rsid w:val="00E30AB8"/>
    <w:rsid w:val="00E30BDC"/>
    <w:rsid w:val="00E31271"/>
    <w:rsid w:val="00E314A2"/>
    <w:rsid w:val="00E3293D"/>
    <w:rsid w:val="00E32C5A"/>
    <w:rsid w:val="00E346E8"/>
    <w:rsid w:val="00E35223"/>
    <w:rsid w:val="00E356CA"/>
    <w:rsid w:val="00E35FEB"/>
    <w:rsid w:val="00E3608E"/>
    <w:rsid w:val="00E361B2"/>
    <w:rsid w:val="00E3708A"/>
    <w:rsid w:val="00E37395"/>
    <w:rsid w:val="00E373CD"/>
    <w:rsid w:val="00E40B2D"/>
    <w:rsid w:val="00E40CD6"/>
    <w:rsid w:val="00E4110A"/>
    <w:rsid w:val="00E414F0"/>
    <w:rsid w:val="00E41571"/>
    <w:rsid w:val="00E41592"/>
    <w:rsid w:val="00E41DD8"/>
    <w:rsid w:val="00E43C89"/>
    <w:rsid w:val="00E43E2C"/>
    <w:rsid w:val="00E4417C"/>
    <w:rsid w:val="00E4514E"/>
    <w:rsid w:val="00E45771"/>
    <w:rsid w:val="00E4581D"/>
    <w:rsid w:val="00E45E95"/>
    <w:rsid w:val="00E4611B"/>
    <w:rsid w:val="00E4623C"/>
    <w:rsid w:val="00E468A1"/>
    <w:rsid w:val="00E46B2B"/>
    <w:rsid w:val="00E46D0E"/>
    <w:rsid w:val="00E507DB"/>
    <w:rsid w:val="00E51164"/>
    <w:rsid w:val="00E51328"/>
    <w:rsid w:val="00E51FB6"/>
    <w:rsid w:val="00E525E9"/>
    <w:rsid w:val="00E52775"/>
    <w:rsid w:val="00E52790"/>
    <w:rsid w:val="00E5316B"/>
    <w:rsid w:val="00E538DE"/>
    <w:rsid w:val="00E54063"/>
    <w:rsid w:val="00E547A5"/>
    <w:rsid w:val="00E5577F"/>
    <w:rsid w:val="00E56868"/>
    <w:rsid w:val="00E5712B"/>
    <w:rsid w:val="00E57274"/>
    <w:rsid w:val="00E57682"/>
    <w:rsid w:val="00E57BCB"/>
    <w:rsid w:val="00E6053D"/>
    <w:rsid w:val="00E605B7"/>
    <w:rsid w:val="00E60BD7"/>
    <w:rsid w:val="00E61359"/>
    <w:rsid w:val="00E61E1F"/>
    <w:rsid w:val="00E62340"/>
    <w:rsid w:val="00E62FBA"/>
    <w:rsid w:val="00E631DE"/>
    <w:rsid w:val="00E63486"/>
    <w:rsid w:val="00E640D6"/>
    <w:rsid w:val="00E64587"/>
    <w:rsid w:val="00E645CD"/>
    <w:rsid w:val="00E64AED"/>
    <w:rsid w:val="00E6573E"/>
    <w:rsid w:val="00E65976"/>
    <w:rsid w:val="00E66068"/>
    <w:rsid w:val="00E6610F"/>
    <w:rsid w:val="00E663C8"/>
    <w:rsid w:val="00E66929"/>
    <w:rsid w:val="00E67CC8"/>
    <w:rsid w:val="00E70103"/>
    <w:rsid w:val="00E70138"/>
    <w:rsid w:val="00E7128C"/>
    <w:rsid w:val="00E71DBE"/>
    <w:rsid w:val="00E71F91"/>
    <w:rsid w:val="00E72467"/>
    <w:rsid w:val="00E730D4"/>
    <w:rsid w:val="00E73320"/>
    <w:rsid w:val="00E73502"/>
    <w:rsid w:val="00E747D0"/>
    <w:rsid w:val="00E74C79"/>
    <w:rsid w:val="00E74FE7"/>
    <w:rsid w:val="00E759BB"/>
    <w:rsid w:val="00E75BB9"/>
    <w:rsid w:val="00E75C0C"/>
    <w:rsid w:val="00E75D12"/>
    <w:rsid w:val="00E7612B"/>
    <w:rsid w:val="00E7731C"/>
    <w:rsid w:val="00E7742A"/>
    <w:rsid w:val="00E810C4"/>
    <w:rsid w:val="00E817AA"/>
    <w:rsid w:val="00E82E5C"/>
    <w:rsid w:val="00E830EF"/>
    <w:rsid w:val="00E84797"/>
    <w:rsid w:val="00E8495B"/>
    <w:rsid w:val="00E84DB5"/>
    <w:rsid w:val="00E85634"/>
    <w:rsid w:val="00E85F67"/>
    <w:rsid w:val="00E8640A"/>
    <w:rsid w:val="00E866FA"/>
    <w:rsid w:val="00E868A2"/>
    <w:rsid w:val="00E87289"/>
    <w:rsid w:val="00E8767E"/>
    <w:rsid w:val="00E908A7"/>
    <w:rsid w:val="00E90AB8"/>
    <w:rsid w:val="00E90BD3"/>
    <w:rsid w:val="00E90E1D"/>
    <w:rsid w:val="00E91111"/>
    <w:rsid w:val="00E911C0"/>
    <w:rsid w:val="00E91841"/>
    <w:rsid w:val="00E926BA"/>
    <w:rsid w:val="00E92B15"/>
    <w:rsid w:val="00E93DD8"/>
    <w:rsid w:val="00E9456A"/>
    <w:rsid w:val="00E948DE"/>
    <w:rsid w:val="00E94C15"/>
    <w:rsid w:val="00E9554B"/>
    <w:rsid w:val="00E95BF8"/>
    <w:rsid w:val="00E95CDE"/>
    <w:rsid w:val="00E96280"/>
    <w:rsid w:val="00E96434"/>
    <w:rsid w:val="00E96C31"/>
    <w:rsid w:val="00E97528"/>
    <w:rsid w:val="00E979EC"/>
    <w:rsid w:val="00E97D76"/>
    <w:rsid w:val="00E97DBC"/>
    <w:rsid w:val="00E97E4F"/>
    <w:rsid w:val="00EA0D21"/>
    <w:rsid w:val="00EA0D38"/>
    <w:rsid w:val="00EA142A"/>
    <w:rsid w:val="00EA14C6"/>
    <w:rsid w:val="00EA1D42"/>
    <w:rsid w:val="00EA2278"/>
    <w:rsid w:val="00EA2B53"/>
    <w:rsid w:val="00EA3040"/>
    <w:rsid w:val="00EA318F"/>
    <w:rsid w:val="00EA3387"/>
    <w:rsid w:val="00EA360F"/>
    <w:rsid w:val="00EA3AF0"/>
    <w:rsid w:val="00EA3B03"/>
    <w:rsid w:val="00EA598D"/>
    <w:rsid w:val="00EA59A9"/>
    <w:rsid w:val="00EA5B3F"/>
    <w:rsid w:val="00EA5D6E"/>
    <w:rsid w:val="00EA629D"/>
    <w:rsid w:val="00EA6DCA"/>
    <w:rsid w:val="00EA6ED5"/>
    <w:rsid w:val="00EA71E2"/>
    <w:rsid w:val="00EA787F"/>
    <w:rsid w:val="00EA7B6E"/>
    <w:rsid w:val="00EB0198"/>
    <w:rsid w:val="00EB0483"/>
    <w:rsid w:val="00EB16A6"/>
    <w:rsid w:val="00EB16BE"/>
    <w:rsid w:val="00EB198F"/>
    <w:rsid w:val="00EB1C83"/>
    <w:rsid w:val="00EB24E1"/>
    <w:rsid w:val="00EB24F5"/>
    <w:rsid w:val="00EB29F6"/>
    <w:rsid w:val="00EB34D8"/>
    <w:rsid w:val="00EB3792"/>
    <w:rsid w:val="00EB3DB0"/>
    <w:rsid w:val="00EB440A"/>
    <w:rsid w:val="00EB4491"/>
    <w:rsid w:val="00EB56BB"/>
    <w:rsid w:val="00EB591C"/>
    <w:rsid w:val="00EB5ACE"/>
    <w:rsid w:val="00EB5B86"/>
    <w:rsid w:val="00EB5E5E"/>
    <w:rsid w:val="00EB60DD"/>
    <w:rsid w:val="00EB77F8"/>
    <w:rsid w:val="00EB7B74"/>
    <w:rsid w:val="00EB7BD5"/>
    <w:rsid w:val="00EC0151"/>
    <w:rsid w:val="00EC14D0"/>
    <w:rsid w:val="00EC1B99"/>
    <w:rsid w:val="00EC1D4D"/>
    <w:rsid w:val="00EC1F8F"/>
    <w:rsid w:val="00EC29CF"/>
    <w:rsid w:val="00EC2D22"/>
    <w:rsid w:val="00EC303B"/>
    <w:rsid w:val="00EC3634"/>
    <w:rsid w:val="00EC4225"/>
    <w:rsid w:val="00EC4770"/>
    <w:rsid w:val="00EC487F"/>
    <w:rsid w:val="00EC5112"/>
    <w:rsid w:val="00EC51A8"/>
    <w:rsid w:val="00EC5F7B"/>
    <w:rsid w:val="00EC5FFC"/>
    <w:rsid w:val="00EC61B9"/>
    <w:rsid w:val="00EC61F6"/>
    <w:rsid w:val="00EC645B"/>
    <w:rsid w:val="00EC6DA7"/>
    <w:rsid w:val="00EC6FC1"/>
    <w:rsid w:val="00EC7157"/>
    <w:rsid w:val="00EC74BF"/>
    <w:rsid w:val="00ED0159"/>
    <w:rsid w:val="00ED06FF"/>
    <w:rsid w:val="00ED129D"/>
    <w:rsid w:val="00ED1901"/>
    <w:rsid w:val="00ED19E8"/>
    <w:rsid w:val="00ED1E1C"/>
    <w:rsid w:val="00ED360D"/>
    <w:rsid w:val="00ED378F"/>
    <w:rsid w:val="00ED37B6"/>
    <w:rsid w:val="00ED3C35"/>
    <w:rsid w:val="00ED4273"/>
    <w:rsid w:val="00ED4BE0"/>
    <w:rsid w:val="00ED4D1B"/>
    <w:rsid w:val="00ED4D63"/>
    <w:rsid w:val="00ED512D"/>
    <w:rsid w:val="00ED545C"/>
    <w:rsid w:val="00ED5540"/>
    <w:rsid w:val="00ED58BE"/>
    <w:rsid w:val="00ED5D3C"/>
    <w:rsid w:val="00ED5FBF"/>
    <w:rsid w:val="00ED61D5"/>
    <w:rsid w:val="00ED7F48"/>
    <w:rsid w:val="00EE0167"/>
    <w:rsid w:val="00EE0658"/>
    <w:rsid w:val="00EE0E2F"/>
    <w:rsid w:val="00EE0FE4"/>
    <w:rsid w:val="00EE11B0"/>
    <w:rsid w:val="00EE15A6"/>
    <w:rsid w:val="00EE382B"/>
    <w:rsid w:val="00EE3D48"/>
    <w:rsid w:val="00EE4B43"/>
    <w:rsid w:val="00EE4B6F"/>
    <w:rsid w:val="00EE4EE1"/>
    <w:rsid w:val="00EE514C"/>
    <w:rsid w:val="00EE5720"/>
    <w:rsid w:val="00EE5A0A"/>
    <w:rsid w:val="00EE5E33"/>
    <w:rsid w:val="00EE63F0"/>
    <w:rsid w:val="00EE7716"/>
    <w:rsid w:val="00EE793D"/>
    <w:rsid w:val="00EF03D7"/>
    <w:rsid w:val="00EF0682"/>
    <w:rsid w:val="00EF0C22"/>
    <w:rsid w:val="00EF0ED4"/>
    <w:rsid w:val="00EF1FA4"/>
    <w:rsid w:val="00EF2512"/>
    <w:rsid w:val="00EF29E4"/>
    <w:rsid w:val="00EF2BD5"/>
    <w:rsid w:val="00EF34E0"/>
    <w:rsid w:val="00EF396F"/>
    <w:rsid w:val="00EF3A67"/>
    <w:rsid w:val="00EF3E1A"/>
    <w:rsid w:val="00EF41A0"/>
    <w:rsid w:val="00EF5227"/>
    <w:rsid w:val="00EF54D1"/>
    <w:rsid w:val="00EF5502"/>
    <w:rsid w:val="00EF5714"/>
    <w:rsid w:val="00EF57EB"/>
    <w:rsid w:val="00EF6ACC"/>
    <w:rsid w:val="00EF6BD8"/>
    <w:rsid w:val="00EF744C"/>
    <w:rsid w:val="00F0021A"/>
    <w:rsid w:val="00F009A7"/>
    <w:rsid w:val="00F00D8E"/>
    <w:rsid w:val="00F00DE8"/>
    <w:rsid w:val="00F011E6"/>
    <w:rsid w:val="00F029AE"/>
    <w:rsid w:val="00F02B29"/>
    <w:rsid w:val="00F02BB7"/>
    <w:rsid w:val="00F02D06"/>
    <w:rsid w:val="00F03A93"/>
    <w:rsid w:val="00F03BBA"/>
    <w:rsid w:val="00F04332"/>
    <w:rsid w:val="00F04774"/>
    <w:rsid w:val="00F04D2B"/>
    <w:rsid w:val="00F04EED"/>
    <w:rsid w:val="00F051D8"/>
    <w:rsid w:val="00F05862"/>
    <w:rsid w:val="00F06164"/>
    <w:rsid w:val="00F07124"/>
    <w:rsid w:val="00F10147"/>
    <w:rsid w:val="00F113BA"/>
    <w:rsid w:val="00F11BBD"/>
    <w:rsid w:val="00F11C79"/>
    <w:rsid w:val="00F12271"/>
    <w:rsid w:val="00F1234A"/>
    <w:rsid w:val="00F12547"/>
    <w:rsid w:val="00F12AB8"/>
    <w:rsid w:val="00F12DD5"/>
    <w:rsid w:val="00F135CF"/>
    <w:rsid w:val="00F13EDD"/>
    <w:rsid w:val="00F14472"/>
    <w:rsid w:val="00F145AA"/>
    <w:rsid w:val="00F148C8"/>
    <w:rsid w:val="00F156B9"/>
    <w:rsid w:val="00F15ED9"/>
    <w:rsid w:val="00F15FA1"/>
    <w:rsid w:val="00F16AB8"/>
    <w:rsid w:val="00F16E5D"/>
    <w:rsid w:val="00F1719D"/>
    <w:rsid w:val="00F1787A"/>
    <w:rsid w:val="00F178C4"/>
    <w:rsid w:val="00F20337"/>
    <w:rsid w:val="00F2033D"/>
    <w:rsid w:val="00F2118C"/>
    <w:rsid w:val="00F215C4"/>
    <w:rsid w:val="00F21E87"/>
    <w:rsid w:val="00F2258A"/>
    <w:rsid w:val="00F2271B"/>
    <w:rsid w:val="00F23302"/>
    <w:rsid w:val="00F23D40"/>
    <w:rsid w:val="00F23F32"/>
    <w:rsid w:val="00F2495A"/>
    <w:rsid w:val="00F24CDB"/>
    <w:rsid w:val="00F26B90"/>
    <w:rsid w:val="00F26F9A"/>
    <w:rsid w:val="00F2777B"/>
    <w:rsid w:val="00F27A0E"/>
    <w:rsid w:val="00F27A7F"/>
    <w:rsid w:val="00F27CD5"/>
    <w:rsid w:val="00F27D25"/>
    <w:rsid w:val="00F30DD1"/>
    <w:rsid w:val="00F31E90"/>
    <w:rsid w:val="00F32250"/>
    <w:rsid w:val="00F32F8A"/>
    <w:rsid w:val="00F332D4"/>
    <w:rsid w:val="00F3351F"/>
    <w:rsid w:val="00F33FF8"/>
    <w:rsid w:val="00F34A81"/>
    <w:rsid w:val="00F34FD9"/>
    <w:rsid w:val="00F35062"/>
    <w:rsid w:val="00F35AB3"/>
    <w:rsid w:val="00F35C68"/>
    <w:rsid w:val="00F35E56"/>
    <w:rsid w:val="00F360A2"/>
    <w:rsid w:val="00F3651A"/>
    <w:rsid w:val="00F36BA8"/>
    <w:rsid w:val="00F3747B"/>
    <w:rsid w:val="00F37AC1"/>
    <w:rsid w:val="00F37B3E"/>
    <w:rsid w:val="00F37B7E"/>
    <w:rsid w:val="00F37BFD"/>
    <w:rsid w:val="00F40133"/>
    <w:rsid w:val="00F40B9E"/>
    <w:rsid w:val="00F4103B"/>
    <w:rsid w:val="00F41430"/>
    <w:rsid w:val="00F41CD6"/>
    <w:rsid w:val="00F41E04"/>
    <w:rsid w:val="00F432AA"/>
    <w:rsid w:val="00F43B60"/>
    <w:rsid w:val="00F44163"/>
    <w:rsid w:val="00F441D0"/>
    <w:rsid w:val="00F4468D"/>
    <w:rsid w:val="00F44864"/>
    <w:rsid w:val="00F45341"/>
    <w:rsid w:val="00F4582F"/>
    <w:rsid w:val="00F45F64"/>
    <w:rsid w:val="00F464FB"/>
    <w:rsid w:val="00F4696C"/>
    <w:rsid w:val="00F46977"/>
    <w:rsid w:val="00F46DA6"/>
    <w:rsid w:val="00F47B8C"/>
    <w:rsid w:val="00F47D39"/>
    <w:rsid w:val="00F5093A"/>
    <w:rsid w:val="00F511F8"/>
    <w:rsid w:val="00F512A9"/>
    <w:rsid w:val="00F517F8"/>
    <w:rsid w:val="00F51C97"/>
    <w:rsid w:val="00F5208D"/>
    <w:rsid w:val="00F523DD"/>
    <w:rsid w:val="00F52513"/>
    <w:rsid w:val="00F52940"/>
    <w:rsid w:val="00F52D3B"/>
    <w:rsid w:val="00F52E19"/>
    <w:rsid w:val="00F53CFF"/>
    <w:rsid w:val="00F53E0B"/>
    <w:rsid w:val="00F53FCF"/>
    <w:rsid w:val="00F55228"/>
    <w:rsid w:val="00F5551E"/>
    <w:rsid w:val="00F55A0D"/>
    <w:rsid w:val="00F56161"/>
    <w:rsid w:val="00F565E5"/>
    <w:rsid w:val="00F60825"/>
    <w:rsid w:val="00F611CD"/>
    <w:rsid w:val="00F61DF5"/>
    <w:rsid w:val="00F624D2"/>
    <w:rsid w:val="00F62B26"/>
    <w:rsid w:val="00F62DCF"/>
    <w:rsid w:val="00F630B6"/>
    <w:rsid w:val="00F6328D"/>
    <w:rsid w:val="00F639E6"/>
    <w:rsid w:val="00F63CFE"/>
    <w:rsid w:val="00F63E26"/>
    <w:rsid w:val="00F642C8"/>
    <w:rsid w:val="00F645ED"/>
    <w:rsid w:val="00F64A56"/>
    <w:rsid w:val="00F64A90"/>
    <w:rsid w:val="00F64D76"/>
    <w:rsid w:val="00F64D90"/>
    <w:rsid w:val="00F650AE"/>
    <w:rsid w:val="00F659EB"/>
    <w:rsid w:val="00F66B35"/>
    <w:rsid w:val="00F66B81"/>
    <w:rsid w:val="00F66CB3"/>
    <w:rsid w:val="00F6760C"/>
    <w:rsid w:val="00F70A77"/>
    <w:rsid w:val="00F70C27"/>
    <w:rsid w:val="00F71ECC"/>
    <w:rsid w:val="00F722B3"/>
    <w:rsid w:val="00F7277B"/>
    <w:rsid w:val="00F72EC3"/>
    <w:rsid w:val="00F73235"/>
    <w:rsid w:val="00F7353F"/>
    <w:rsid w:val="00F73854"/>
    <w:rsid w:val="00F73B3E"/>
    <w:rsid w:val="00F744BB"/>
    <w:rsid w:val="00F75614"/>
    <w:rsid w:val="00F76351"/>
    <w:rsid w:val="00F7641F"/>
    <w:rsid w:val="00F76471"/>
    <w:rsid w:val="00F7686B"/>
    <w:rsid w:val="00F7708C"/>
    <w:rsid w:val="00F776C1"/>
    <w:rsid w:val="00F77E41"/>
    <w:rsid w:val="00F81389"/>
    <w:rsid w:val="00F81A8F"/>
    <w:rsid w:val="00F81FE5"/>
    <w:rsid w:val="00F821EE"/>
    <w:rsid w:val="00F82C30"/>
    <w:rsid w:val="00F82D95"/>
    <w:rsid w:val="00F8309A"/>
    <w:rsid w:val="00F831C0"/>
    <w:rsid w:val="00F832A4"/>
    <w:rsid w:val="00F8374B"/>
    <w:rsid w:val="00F83884"/>
    <w:rsid w:val="00F83BB2"/>
    <w:rsid w:val="00F845B4"/>
    <w:rsid w:val="00F846B5"/>
    <w:rsid w:val="00F84915"/>
    <w:rsid w:val="00F855A8"/>
    <w:rsid w:val="00F861EA"/>
    <w:rsid w:val="00F86220"/>
    <w:rsid w:val="00F86444"/>
    <w:rsid w:val="00F864E7"/>
    <w:rsid w:val="00F86712"/>
    <w:rsid w:val="00F86881"/>
    <w:rsid w:val="00F8700C"/>
    <w:rsid w:val="00F87471"/>
    <w:rsid w:val="00F87624"/>
    <w:rsid w:val="00F87D2C"/>
    <w:rsid w:val="00F90355"/>
    <w:rsid w:val="00F9112B"/>
    <w:rsid w:val="00F91245"/>
    <w:rsid w:val="00F91370"/>
    <w:rsid w:val="00F9281C"/>
    <w:rsid w:val="00F92842"/>
    <w:rsid w:val="00F936E8"/>
    <w:rsid w:val="00F93A4D"/>
    <w:rsid w:val="00F93CD4"/>
    <w:rsid w:val="00F95D86"/>
    <w:rsid w:val="00F96606"/>
    <w:rsid w:val="00F97596"/>
    <w:rsid w:val="00F97724"/>
    <w:rsid w:val="00F977A0"/>
    <w:rsid w:val="00F97919"/>
    <w:rsid w:val="00F97C0B"/>
    <w:rsid w:val="00F97D96"/>
    <w:rsid w:val="00FA0843"/>
    <w:rsid w:val="00FA0A6B"/>
    <w:rsid w:val="00FA0BA0"/>
    <w:rsid w:val="00FA10F6"/>
    <w:rsid w:val="00FA186C"/>
    <w:rsid w:val="00FA1C78"/>
    <w:rsid w:val="00FA2007"/>
    <w:rsid w:val="00FA3F04"/>
    <w:rsid w:val="00FA3F62"/>
    <w:rsid w:val="00FA4345"/>
    <w:rsid w:val="00FA4A3C"/>
    <w:rsid w:val="00FA5851"/>
    <w:rsid w:val="00FA5DCE"/>
    <w:rsid w:val="00FA647E"/>
    <w:rsid w:val="00FA6B11"/>
    <w:rsid w:val="00FA6E9B"/>
    <w:rsid w:val="00FA75B5"/>
    <w:rsid w:val="00FA78D3"/>
    <w:rsid w:val="00FB06E6"/>
    <w:rsid w:val="00FB10C0"/>
    <w:rsid w:val="00FB14C3"/>
    <w:rsid w:val="00FB19D5"/>
    <w:rsid w:val="00FB270B"/>
    <w:rsid w:val="00FB2BAE"/>
    <w:rsid w:val="00FB2FEE"/>
    <w:rsid w:val="00FB30FA"/>
    <w:rsid w:val="00FB31E9"/>
    <w:rsid w:val="00FB3354"/>
    <w:rsid w:val="00FB3603"/>
    <w:rsid w:val="00FB3756"/>
    <w:rsid w:val="00FB3E8F"/>
    <w:rsid w:val="00FB5083"/>
    <w:rsid w:val="00FB531C"/>
    <w:rsid w:val="00FB5C78"/>
    <w:rsid w:val="00FB5FE5"/>
    <w:rsid w:val="00FB60FB"/>
    <w:rsid w:val="00FB62C8"/>
    <w:rsid w:val="00FB675C"/>
    <w:rsid w:val="00FB6807"/>
    <w:rsid w:val="00FB6EBA"/>
    <w:rsid w:val="00FB6F6F"/>
    <w:rsid w:val="00FB711C"/>
    <w:rsid w:val="00FB72F5"/>
    <w:rsid w:val="00FB7602"/>
    <w:rsid w:val="00FC047F"/>
    <w:rsid w:val="00FC1C52"/>
    <w:rsid w:val="00FC28BF"/>
    <w:rsid w:val="00FC3190"/>
    <w:rsid w:val="00FC34C5"/>
    <w:rsid w:val="00FC4374"/>
    <w:rsid w:val="00FC45FD"/>
    <w:rsid w:val="00FC4D3A"/>
    <w:rsid w:val="00FC51AC"/>
    <w:rsid w:val="00FC54B5"/>
    <w:rsid w:val="00FC54F8"/>
    <w:rsid w:val="00FC5690"/>
    <w:rsid w:val="00FC57BC"/>
    <w:rsid w:val="00FC581C"/>
    <w:rsid w:val="00FC6335"/>
    <w:rsid w:val="00FC6445"/>
    <w:rsid w:val="00FC6BEC"/>
    <w:rsid w:val="00FC7148"/>
    <w:rsid w:val="00FC77CA"/>
    <w:rsid w:val="00FC7B54"/>
    <w:rsid w:val="00FD0173"/>
    <w:rsid w:val="00FD022B"/>
    <w:rsid w:val="00FD1559"/>
    <w:rsid w:val="00FD1B79"/>
    <w:rsid w:val="00FD1BBA"/>
    <w:rsid w:val="00FD1E9E"/>
    <w:rsid w:val="00FD2155"/>
    <w:rsid w:val="00FD21B4"/>
    <w:rsid w:val="00FD21F5"/>
    <w:rsid w:val="00FD2AE1"/>
    <w:rsid w:val="00FD2DF3"/>
    <w:rsid w:val="00FD334F"/>
    <w:rsid w:val="00FD3403"/>
    <w:rsid w:val="00FD34A0"/>
    <w:rsid w:val="00FD36B8"/>
    <w:rsid w:val="00FD370F"/>
    <w:rsid w:val="00FD4122"/>
    <w:rsid w:val="00FD563C"/>
    <w:rsid w:val="00FD6C74"/>
    <w:rsid w:val="00FD6D7A"/>
    <w:rsid w:val="00FD6FAE"/>
    <w:rsid w:val="00FD798B"/>
    <w:rsid w:val="00FD7B02"/>
    <w:rsid w:val="00FD7B8C"/>
    <w:rsid w:val="00FE0450"/>
    <w:rsid w:val="00FE045F"/>
    <w:rsid w:val="00FE0590"/>
    <w:rsid w:val="00FE0853"/>
    <w:rsid w:val="00FE08D3"/>
    <w:rsid w:val="00FE0A83"/>
    <w:rsid w:val="00FE0F14"/>
    <w:rsid w:val="00FE1043"/>
    <w:rsid w:val="00FE178A"/>
    <w:rsid w:val="00FE1803"/>
    <w:rsid w:val="00FE1B47"/>
    <w:rsid w:val="00FE34B3"/>
    <w:rsid w:val="00FE359D"/>
    <w:rsid w:val="00FE3818"/>
    <w:rsid w:val="00FE3FCA"/>
    <w:rsid w:val="00FE4112"/>
    <w:rsid w:val="00FE4601"/>
    <w:rsid w:val="00FE48EC"/>
    <w:rsid w:val="00FE4E84"/>
    <w:rsid w:val="00FE58B7"/>
    <w:rsid w:val="00FF0A5B"/>
    <w:rsid w:val="00FF15D7"/>
    <w:rsid w:val="00FF32B1"/>
    <w:rsid w:val="00FF3887"/>
    <w:rsid w:val="00FF38C2"/>
    <w:rsid w:val="00FF38D4"/>
    <w:rsid w:val="00FF3E86"/>
    <w:rsid w:val="00FF432D"/>
    <w:rsid w:val="00FF4E28"/>
    <w:rsid w:val="00FF4EF7"/>
    <w:rsid w:val="00FF5A93"/>
    <w:rsid w:val="00FF5B03"/>
    <w:rsid w:val="00FF5D8B"/>
    <w:rsid w:val="00FF5E3E"/>
    <w:rsid w:val="00FF5F18"/>
    <w:rsid w:val="00FF65BF"/>
    <w:rsid w:val="00FF6719"/>
    <w:rsid w:val="00FF6CA6"/>
    <w:rsid w:val="00FF6D30"/>
    <w:rsid w:val="00FF75C9"/>
    <w:rsid w:val="00FF7BCB"/>
    <w:rsid w:val="00FF7EB9"/>
    <w:rsid w:val="01A2E68D"/>
    <w:rsid w:val="01B77664"/>
    <w:rsid w:val="01C32997"/>
    <w:rsid w:val="01EE2C38"/>
    <w:rsid w:val="0245CA21"/>
    <w:rsid w:val="02497B5D"/>
    <w:rsid w:val="03304584"/>
    <w:rsid w:val="03B25D18"/>
    <w:rsid w:val="051FA6F8"/>
    <w:rsid w:val="0543356B"/>
    <w:rsid w:val="05D6C529"/>
    <w:rsid w:val="05DF0BBA"/>
    <w:rsid w:val="06D24275"/>
    <w:rsid w:val="07514915"/>
    <w:rsid w:val="07BA3F0F"/>
    <w:rsid w:val="0878965B"/>
    <w:rsid w:val="0976A3AE"/>
    <w:rsid w:val="0A0881D2"/>
    <w:rsid w:val="0AF7FFBA"/>
    <w:rsid w:val="0BA02353"/>
    <w:rsid w:val="0BABA5CA"/>
    <w:rsid w:val="0CD7918B"/>
    <w:rsid w:val="0CE3BF18"/>
    <w:rsid w:val="0D254C2E"/>
    <w:rsid w:val="0D605978"/>
    <w:rsid w:val="0DED6C14"/>
    <w:rsid w:val="0DEEB541"/>
    <w:rsid w:val="0EE0AB2D"/>
    <w:rsid w:val="0FEC1891"/>
    <w:rsid w:val="100427C4"/>
    <w:rsid w:val="105FFC5E"/>
    <w:rsid w:val="106E91B0"/>
    <w:rsid w:val="10F41345"/>
    <w:rsid w:val="114D2CB5"/>
    <w:rsid w:val="11F1FEBB"/>
    <w:rsid w:val="1280F407"/>
    <w:rsid w:val="12DFE7D3"/>
    <w:rsid w:val="12FB445B"/>
    <w:rsid w:val="13207374"/>
    <w:rsid w:val="134DA56D"/>
    <w:rsid w:val="1387BEAF"/>
    <w:rsid w:val="13EF2570"/>
    <w:rsid w:val="13F48CDD"/>
    <w:rsid w:val="13F74D18"/>
    <w:rsid w:val="144172F8"/>
    <w:rsid w:val="147BB834"/>
    <w:rsid w:val="14A5249F"/>
    <w:rsid w:val="14F16DEC"/>
    <w:rsid w:val="15395FB3"/>
    <w:rsid w:val="158ACD98"/>
    <w:rsid w:val="158AF5D1"/>
    <w:rsid w:val="15ABD66B"/>
    <w:rsid w:val="15F9EA39"/>
    <w:rsid w:val="1610FCD0"/>
    <w:rsid w:val="161678EC"/>
    <w:rsid w:val="1661448A"/>
    <w:rsid w:val="170C4EFF"/>
    <w:rsid w:val="174E658D"/>
    <w:rsid w:val="17F25100"/>
    <w:rsid w:val="18710075"/>
    <w:rsid w:val="18A1860B"/>
    <w:rsid w:val="1909BA37"/>
    <w:rsid w:val="193DA13D"/>
    <w:rsid w:val="19A49D84"/>
    <w:rsid w:val="19DF8125"/>
    <w:rsid w:val="1A845DDF"/>
    <w:rsid w:val="1AD3B469"/>
    <w:rsid w:val="1B5C1C64"/>
    <w:rsid w:val="1B76D248"/>
    <w:rsid w:val="1BABD8C2"/>
    <w:rsid w:val="1BE1986F"/>
    <w:rsid w:val="1BEC7CC0"/>
    <w:rsid w:val="1BFF860B"/>
    <w:rsid w:val="1C7895AD"/>
    <w:rsid w:val="1C7E6609"/>
    <w:rsid w:val="1D174A0B"/>
    <w:rsid w:val="1D615582"/>
    <w:rsid w:val="1D660F9A"/>
    <w:rsid w:val="1D7D9377"/>
    <w:rsid w:val="1DEED401"/>
    <w:rsid w:val="1E22B910"/>
    <w:rsid w:val="1E95B343"/>
    <w:rsid w:val="1FC09F06"/>
    <w:rsid w:val="1FDE794D"/>
    <w:rsid w:val="1FEAED8B"/>
    <w:rsid w:val="20789A0F"/>
    <w:rsid w:val="2088CBC0"/>
    <w:rsid w:val="208BCFC5"/>
    <w:rsid w:val="215C6F67"/>
    <w:rsid w:val="218E46CB"/>
    <w:rsid w:val="21D20337"/>
    <w:rsid w:val="21F3579A"/>
    <w:rsid w:val="22D09B5A"/>
    <w:rsid w:val="23049630"/>
    <w:rsid w:val="23ACEC65"/>
    <w:rsid w:val="23B5E921"/>
    <w:rsid w:val="23FFAE01"/>
    <w:rsid w:val="24465EA5"/>
    <w:rsid w:val="24859FD0"/>
    <w:rsid w:val="24F663A5"/>
    <w:rsid w:val="2553473B"/>
    <w:rsid w:val="2569BE42"/>
    <w:rsid w:val="25AF0B5C"/>
    <w:rsid w:val="25E9ADCE"/>
    <w:rsid w:val="2629EC3D"/>
    <w:rsid w:val="262FE08A"/>
    <w:rsid w:val="26FD66E8"/>
    <w:rsid w:val="277238B0"/>
    <w:rsid w:val="27857E2F"/>
    <w:rsid w:val="27DF16D1"/>
    <w:rsid w:val="28DAA9A9"/>
    <w:rsid w:val="2925F7E6"/>
    <w:rsid w:val="297AE732"/>
    <w:rsid w:val="2A14B301"/>
    <w:rsid w:val="2A2FE0CF"/>
    <w:rsid w:val="2A41CAC5"/>
    <w:rsid w:val="2A42950E"/>
    <w:rsid w:val="2AE340DA"/>
    <w:rsid w:val="2B327773"/>
    <w:rsid w:val="2BFEF80F"/>
    <w:rsid w:val="2C27205A"/>
    <w:rsid w:val="2C97EB1D"/>
    <w:rsid w:val="2D436859"/>
    <w:rsid w:val="2E3186F2"/>
    <w:rsid w:val="2E9B0B75"/>
    <w:rsid w:val="2F1FF14B"/>
    <w:rsid w:val="2F3698D1"/>
    <w:rsid w:val="2FBF028D"/>
    <w:rsid w:val="2FC2968A"/>
    <w:rsid w:val="3005E896"/>
    <w:rsid w:val="3036DBD6"/>
    <w:rsid w:val="30C1AB39"/>
    <w:rsid w:val="32487F6D"/>
    <w:rsid w:val="32919AA6"/>
    <w:rsid w:val="32B4BD5C"/>
    <w:rsid w:val="3386AD79"/>
    <w:rsid w:val="33D905AD"/>
    <w:rsid w:val="34159FF5"/>
    <w:rsid w:val="344F8DC3"/>
    <w:rsid w:val="34998853"/>
    <w:rsid w:val="34F0B55D"/>
    <w:rsid w:val="3561A1C5"/>
    <w:rsid w:val="35B17056"/>
    <w:rsid w:val="369010DB"/>
    <w:rsid w:val="36D65418"/>
    <w:rsid w:val="3741AAB6"/>
    <w:rsid w:val="37D9CDF6"/>
    <w:rsid w:val="37F1A5AA"/>
    <w:rsid w:val="38363897"/>
    <w:rsid w:val="391F4AD8"/>
    <w:rsid w:val="3933C645"/>
    <w:rsid w:val="3985929C"/>
    <w:rsid w:val="399FC9A7"/>
    <w:rsid w:val="39A1C1E5"/>
    <w:rsid w:val="3A90061B"/>
    <w:rsid w:val="3A9C2B28"/>
    <w:rsid w:val="3ABD8B9F"/>
    <w:rsid w:val="3B7E2B20"/>
    <w:rsid w:val="3BE3A776"/>
    <w:rsid w:val="3BF4100D"/>
    <w:rsid w:val="3C3C5E30"/>
    <w:rsid w:val="3CA73354"/>
    <w:rsid w:val="3D51D1CA"/>
    <w:rsid w:val="3D89EC21"/>
    <w:rsid w:val="3E658E69"/>
    <w:rsid w:val="3E6A29E7"/>
    <w:rsid w:val="3E9E42AF"/>
    <w:rsid w:val="3EAB60DE"/>
    <w:rsid w:val="3EEBE023"/>
    <w:rsid w:val="3EF7D66B"/>
    <w:rsid w:val="3F37C31E"/>
    <w:rsid w:val="3F8DA675"/>
    <w:rsid w:val="3FDDF5B2"/>
    <w:rsid w:val="3FF1D5AC"/>
    <w:rsid w:val="4085F7CA"/>
    <w:rsid w:val="40D76ECB"/>
    <w:rsid w:val="412C7D34"/>
    <w:rsid w:val="41508FCF"/>
    <w:rsid w:val="415F5EA5"/>
    <w:rsid w:val="41F9D902"/>
    <w:rsid w:val="4252EBF9"/>
    <w:rsid w:val="429C6A7E"/>
    <w:rsid w:val="4304886E"/>
    <w:rsid w:val="437A8FD3"/>
    <w:rsid w:val="440751D3"/>
    <w:rsid w:val="44092C53"/>
    <w:rsid w:val="44A7EF11"/>
    <w:rsid w:val="455DD9DB"/>
    <w:rsid w:val="45F0AEF9"/>
    <w:rsid w:val="46096ED8"/>
    <w:rsid w:val="462A4899"/>
    <w:rsid w:val="4652D0B6"/>
    <w:rsid w:val="465ADAE2"/>
    <w:rsid w:val="466E88C9"/>
    <w:rsid w:val="469BD660"/>
    <w:rsid w:val="46D34F85"/>
    <w:rsid w:val="470A990E"/>
    <w:rsid w:val="474F71BB"/>
    <w:rsid w:val="47931CBD"/>
    <w:rsid w:val="48545324"/>
    <w:rsid w:val="48C83956"/>
    <w:rsid w:val="491E66BC"/>
    <w:rsid w:val="496BE1AE"/>
    <w:rsid w:val="49C061BB"/>
    <w:rsid w:val="49CF15CE"/>
    <w:rsid w:val="4A2418A4"/>
    <w:rsid w:val="4AA0815F"/>
    <w:rsid w:val="4ACABD7F"/>
    <w:rsid w:val="4AE98D3D"/>
    <w:rsid w:val="4BA6271E"/>
    <w:rsid w:val="4C346B11"/>
    <w:rsid w:val="4C3D933F"/>
    <w:rsid w:val="4C3F080B"/>
    <w:rsid w:val="4C42E5A3"/>
    <w:rsid w:val="4CA4AC1E"/>
    <w:rsid w:val="4CFE18BD"/>
    <w:rsid w:val="4D3158D3"/>
    <w:rsid w:val="4D42D431"/>
    <w:rsid w:val="4D43EBB0"/>
    <w:rsid w:val="4DA7FD71"/>
    <w:rsid w:val="4DCFA9D8"/>
    <w:rsid w:val="4E29FDC9"/>
    <w:rsid w:val="4E5BB887"/>
    <w:rsid w:val="4EA286F1"/>
    <w:rsid w:val="4EDE616A"/>
    <w:rsid w:val="4F36CB78"/>
    <w:rsid w:val="4FD6B243"/>
    <w:rsid w:val="4FE7207B"/>
    <w:rsid w:val="4FFF1A44"/>
    <w:rsid w:val="5018156C"/>
    <w:rsid w:val="50FFC98B"/>
    <w:rsid w:val="5183B3AF"/>
    <w:rsid w:val="5229D94D"/>
    <w:rsid w:val="52407B8B"/>
    <w:rsid w:val="52B86449"/>
    <w:rsid w:val="52D50320"/>
    <w:rsid w:val="534DB0A2"/>
    <w:rsid w:val="5354EE05"/>
    <w:rsid w:val="536A80FE"/>
    <w:rsid w:val="540D460B"/>
    <w:rsid w:val="554CF1AD"/>
    <w:rsid w:val="55803016"/>
    <w:rsid w:val="55865510"/>
    <w:rsid w:val="559FDB46"/>
    <w:rsid w:val="5602B6D3"/>
    <w:rsid w:val="563991C6"/>
    <w:rsid w:val="565CA603"/>
    <w:rsid w:val="56ACC696"/>
    <w:rsid w:val="56D51A02"/>
    <w:rsid w:val="56F54D05"/>
    <w:rsid w:val="57648ECE"/>
    <w:rsid w:val="57FB11D1"/>
    <w:rsid w:val="58C71371"/>
    <w:rsid w:val="58E03BCE"/>
    <w:rsid w:val="58F887D4"/>
    <w:rsid w:val="594657D5"/>
    <w:rsid w:val="59F2FC78"/>
    <w:rsid w:val="5A0B087B"/>
    <w:rsid w:val="5AB41573"/>
    <w:rsid w:val="5B569A12"/>
    <w:rsid w:val="5BB134CD"/>
    <w:rsid w:val="5BC8EA0E"/>
    <w:rsid w:val="5CCA8FB7"/>
    <w:rsid w:val="5D2A9D3A"/>
    <w:rsid w:val="5D9A8494"/>
    <w:rsid w:val="5DCE88AD"/>
    <w:rsid w:val="5E1D0311"/>
    <w:rsid w:val="5E2EAACF"/>
    <w:rsid w:val="5E556311"/>
    <w:rsid w:val="5E9B6C4A"/>
    <w:rsid w:val="5F43519B"/>
    <w:rsid w:val="5F743CAD"/>
    <w:rsid w:val="5F929133"/>
    <w:rsid w:val="5FC558F4"/>
    <w:rsid w:val="5FE7F469"/>
    <w:rsid w:val="5FE84827"/>
    <w:rsid w:val="603F7C75"/>
    <w:rsid w:val="6133C9A0"/>
    <w:rsid w:val="6139CF5C"/>
    <w:rsid w:val="61587095"/>
    <w:rsid w:val="62542353"/>
    <w:rsid w:val="627EC41A"/>
    <w:rsid w:val="62D03426"/>
    <w:rsid w:val="637ECB1F"/>
    <w:rsid w:val="63819040"/>
    <w:rsid w:val="63F6BCC1"/>
    <w:rsid w:val="64660256"/>
    <w:rsid w:val="6471701E"/>
    <w:rsid w:val="64F25861"/>
    <w:rsid w:val="65655834"/>
    <w:rsid w:val="65FA77A5"/>
    <w:rsid w:val="6666F1DD"/>
    <w:rsid w:val="66B1A572"/>
    <w:rsid w:val="67A5523A"/>
    <w:rsid w:val="67DB7FF2"/>
    <w:rsid w:val="6879B9A6"/>
    <w:rsid w:val="68A35500"/>
    <w:rsid w:val="68C84DB1"/>
    <w:rsid w:val="698AB7A9"/>
    <w:rsid w:val="69AD8861"/>
    <w:rsid w:val="69BD81E3"/>
    <w:rsid w:val="6A1DD827"/>
    <w:rsid w:val="6A2B6A0F"/>
    <w:rsid w:val="6A2DEA8A"/>
    <w:rsid w:val="6AD543DA"/>
    <w:rsid w:val="6B3D0A86"/>
    <w:rsid w:val="6B894575"/>
    <w:rsid w:val="6C6BC1FE"/>
    <w:rsid w:val="6CD77A21"/>
    <w:rsid w:val="6D08292B"/>
    <w:rsid w:val="6D246AD4"/>
    <w:rsid w:val="6E0CE49C"/>
    <w:rsid w:val="6E208D8F"/>
    <w:rsid w:val="6E73EC92"/>
    <w:rsid w:val="6E91E08E"/>
    <w:rsid w:val="6F00A78F"/>
    <w:rsid w:val="6FA362C0"/>
    <w:rsid w:val="70B72EA2"/>
    <w:rsid w:val="713E18FF"/>
    <w:rsid w:val="7211A271"/>
    <w:rsid w:val="722B92AA"/>
    <w:rsid w:val="7274D6E8"/>
    <w:rsid w:val="727AE5C0"/>
    <w:rsid w:val="72886F70"/>
    <w:rsid w:val="73924F6C"/>
    <w:rsid w:val="73D1F83B"/>
    <w:rsid w:val="73D353C4"/>
    <w:rsid w:val="73D567AE"/>
    <w:rsid w:val="743DB5DF"/>
    <w:rsid w:val="744C8C80"/>
    <w:rsid w:val="7593920C"/>
    <w:rsid w:val="75BD6A51"/>
    <w:rsid w:val="75DCCE14"/>
    <w:rsid w:val="7611E412"/>
    <w:rsid w:val="7618DFA1"/>
    <w:rsid w:val="76B962FA"/>
    <w:rsid w:val="76E7775C"/>
    <w:rsid w:val="76EBA22E"/>
    <w:rsid w:val="779D163B"/>
    <w:rsid w:val="77D00D7B"/>
    <w:rsid w:val="782CE1F9"/>
    <w:rsid w:val="7833AFC9"/>
    <w:rsid w:val="785B6742"/>
    <w:rsid w:val="788EE820"/>
    <w:rsid w:val="7901C4E3"/>
    <w:rsid w:val="793650C4"/>
    <w:rsid w:val="79F103BC"/>
    <w:rsid w:val="7AAA622C"/>
    <w:rsid w:val="7AE283D1"/>
    <w:rsid w:val="7BBCBAC1"/>
    <w:rsid w:val="7C379D3B"/>
    <w:rsid w:val="7C8719E3"/>
    <w:rsid w:val="7CA2F385"/>
    <w:rsid w:val="7CD5179E"/>
    <w:rsid w:val="7D25EC8F"/>
    <w:rsid w:val="7D514BE2"/>
    <w:rsid w:val="7DE202EE"/>
    <w:rsid w:val="7E6EBDEB"/>
    <w:rsid w:val="7E831EDE"/>
    <w:rsid w:val="7EB9BCDB"/>
    <w:rsid w:val="7ECA9A3F"/>
    <w:rsid w:val="7F137BD6"/>
    <w:rsid w:val="7F448A32"/>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doNotEmbedSmartTags/>
  <w14:docId w14:val="16BE64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uiPriority="9" w:qFormat="1"/>
    <w:lsdException w:name="heading 7" w:locked="1" w:semiHidden="1" w:unhideWhenUsed="1" w:qFormat="1"/>
    <w:lsdException w:name="heading 8" w:locked="1" w:semiHidden="1" w:unhideWhenUsed="1" w:qFormat="1"/>
    <w:lsdException w:name="heading 9" w:locked="1" w:semiHidden="1" w:unhideWhenUsed="1" w:qFormat="1"/>
    <w:lsdException w:name="index 1" w:locked="1" w:semiHidden="1" w:uiPriority="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iPriority="39" w:unhideWhenUsed="1" w:qFormat="1"/>
    <w:lsdException w:name="toc 2" w:locked="1" w:semiHidden="1" w:uiPriority="39" w:unhideWhenUsed="1" w:qFormat="1"/>
    <w:lsdException w:name="toc 3" w:locked="1" w:semiHidden="1" w:uiPriority="39" w:unhideWhenUsed="1" w:qFormat="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locked="1" w:semiHidden="1" w:unhideWhenUsed="1"/>
    <w:lsdException w:name="footnote text" w:locked="1" w:semiHidden="1" w:uiPriority="99" w:unhideWhenUsed="1" w:qFormat="1"/>
    <w:lsdException w:name="annotation text" w:locked="1" w:semiHidden="1" w:unhideWhenUsed="1"/>
    <w:lsdException w:name="header" w:locked="1" w:semiHidden="1" w:uiPriority="99" w:unhideWhenUsed="1"/>
    <w:lsdException w:name="footer" w:locked="1" w:semiHidden="1" w:uiPriority="99" w:unhideWhenUsed="1"/>
    <w:lsdException w:name="index heading" w:locked="1" w:semiHidden="1" w:uiPriority="1" w:unhideWhenUsed="1"/>
    <w:lsdException w:name="caption" w:locked="1" w:semiHidden="1" w:uiPriority="35" w:unhideWhenUsed="1" w:qFormat="1"/>
    <w:lsdException w:name="table of figures" w:locked="1" w:semiHidden="1" w:uiPriority="99" w:unhideWhenUsed="1"/>
    <w:lsdException w:name="envelope address" w:locked="1" w:semiHidden="1" w:unhideWhenUsed="1"/>
    <w:lsdException w:name="envelope return" w:locked="1" w:semiHidden="1" w:unhideWhenUsed="1"/>
    <w:lsdException w:name="footnote reference" w:locked="1" w:semiHidden="1" w:uiPriority="99"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qFormat="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qFormat="1"/>
    <w:lsdException w:name="List Number" w:locked="1" w:qFormat="1"/>
    <w:lsdException w:name="List 2" w:locked="1" w:semiHidden="1" w:unhideWhenUsed="1"/>
    <w:lsdException w:name="List 3" w:locked="1" w:semiHidden="1" w:unhideWhenUsed="1"/>
    <w:lsdException w:name="List 4" w:locked="1"/>
    <w:lsdException w:name="List 5" w:locked="1"/>
    <w:lsdException w:name="List Bullet 2" w:locked="1" w:semiHidden="1" w:unhideWhenUsed="1" w:qFormat="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qFormat="1"/>
    <w:lsdException w:name="List Number 3" w:locked="1" w:semiHidden="1" w:unhideWhenUsed="1"/>
    <w:lsdException w:name="List Number 4" w:locked="1" w:semiHidden="1" w:unhideWhenUsed="1"/>
    <w:lsdException w:name="List Number 5" w:locked="1" w:semiHidden="1" w:unhideWhenUsed="1"/>
    <w:lsdException w:name="Title" w:locked="1" w:qFormat="1"/>
    <w:lsdException w:name="Closing" w:locked="1" w:semiHidden="1" w:unhideWhenUsed="1"/>
    <w:lsdException w:name="Signature" w:locked="1" w:semiHidden="1" w:unhideWhenUsed="1"/>
    <w:lsdException w:name="Default Paragraph Font" w:locked="1" w:semiHidden="1" w:uiPriority="1" w:unhideWhenUsed="1"/>
    <w:lsdException w:name="Body Text" w:locked="1" w:semiHidden="1" w:uiPriority="99" w:unhideWhenUsed="1" w:qFormat="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qFormat="1"/>
    <w:lsdException w:name="Salutation" w:locked="1"/>
    <w:lsdException w:name="Date" w:locked="1"/>
    <w:lsdException w:name="Body Text First Indent" w:lock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qFormat="1"/>
    <w:lsdException w:name="Hyperlink" w:locked="1" w:semiHidden="1" w:uiPriority="99" w:unhideWhenUsed="1"/>
    <w:lsdException w:name="FollowedHyperlink" w:locked="1" w:semiHidden="1" w:uiPriority="1" w:unhideWhenUsed="1"/>
    <w:lsdException w:name="Strong" w:locked="1" w:qFormat="1"/>
    <w:lsdException w:name="Emphasis" w:locked="1" w:uiPriority="20" w:qFormat="1"/>
    <w:lsdException w:name="Document Map" w:locked="1" w:semiHidden="1" w:uiPriority="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iPriority="99" w:unhideWhenUsed="1"/>
    <w:lsdException w:name="HTML Acronym" w:locked="1" w:semiHidden="1" w:unhideWhenUsed="1"/>
    <w:lsdException w:name="HTML Address" w:locked="1" w:semiHidden="1" w:uiPriority="99"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iPriority="99" w:unhideWhenUsed="1"/>
    <w:lsdException w:name="No List" w:locked="1" w:semiHidden="1" w:uiPriority="99"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iPriority="99" w:unhideWhenUsed="1"/>
    <w:lsdException w:name="Table Grid" w:locked="1" w:uiPriority="39"/>
    <w:lsdException w:name="Table Theme" w:locked="1"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qFormat="1"/>
    <w:lsdException w:name="Intense Quote" w:uiPriority="30" w:qFormat="1"/>
    <w:lsdException w:name="Medium List 2 Accent 1" w:uiPriority="66"/>
    <w:lsdException w:name="Medium Grid 1 Accent 1" w:uiPriority="67"/>
    <w:lsdException w:name="Medium Grid 2 Accent 1" w:uiPriority="68"/>
    <w:lsdException w:name="Medium Grid 3 Accent 1"/>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E631DE"/>
    <w:rPr>
      <w:rFonts w:ascii="Garamond" w:hAnsi="Garamond"/>
      <w:kern w:val="16"/>
      <w:sz w:val="24"/>
    </w:rPr>
  </w:style>
  <w:style w:type="paragraph" w:styleId="Heading1">
    <w:name w:val="heading 1"/>
    <w:basedOn w:val="Normal"/>
    <w:next w:val="BodyText"/>
    <w:link w:val="Heading1Char"/>
    <w:qFormat/>
    <w:rsid w:val="0057105F"/>
    <w:pPr>
      <w:keepNext/>
      <w:tabs>
        <w:tab w:val="left" w:pos="540"/>
      </w:tabs>
      <w:spacing w:after="120"/>
      <w:outlineLvl w:val="0"/>
    </w:pPr>
    <w:rPr>
      <w:rFonts w:ascii="Arial" w:hAnsi="Arial" w:cs="Arial"/>
      <w:b/>
      <w:kern w:val="0"/>
      <w:sz w:val="28"/>
    </w:rPr>
  </w:style>
  <w:style w:type="paragraph" w:styleId="Heading2">
    <w:name w:val="heading 2"/>
    <w:basedOn w:val="Normal"/>
    <w:next w:val="BodyText"/>
    <w:link w:val="Heading2Char"/>
    <w:qFormat/>
    <w:rsid w:val="008D7E61"/>
    <w:pPr>
      <w:keepNext/>
      <w:overflowPunct w:val="0"/>
      <w:autoSpaceDE w:val="0"/>
      <w:autoSpaceDN w:val="0"/>
      <w:adjustRightInd w:val="0"/>
      <w:spacing w:before="120" w:after="120" w:line="320" w:lineRule="atLeast"/>
      <w:textAlignment w:val="baseline"/>
      <w:outlineLvl w:val="1"/>
    </w:pPr>
    <w:rPr>
      <w:rFonts w:ascii="Arial" w:hAnsi="Arial" w:cs="Arial"/>
      <w:b/>
      <w:bCs/>
      <w:iCs/>
      <w:kern w:val="0"/>
      <w:szCs w:val="28"/>
    </w:rPr>
  </w:style>
  <w:style w:type="paragraph" w:styleId="Heading3">
    <w:name w:val="heading 3"/>
    <w:basedOn w:val="Heading2"/>
    <w:next w:val="Normal"/>
    <w:link w:val="Heading3Char"/>
    <w:qFormat/>
    <w:rsid w:val="008D7E61"/>
    <w:pPr>
      <w:numPr>
        <w:ilvl w:val="2"/>
      </w:numPr>
      <w:tabs>
        <w:tab w:val="left" w:pos="1627"/>
      </w:tabs>
      <w:outlineLvl w:val="2"/>
    </w:pPr>
  </w:style>
  <w:style w:type="paragraph" w:styleId="Heading4">
    <w:name w:val="heading 4"/>
    <w:basedOn w:val="BodyText"/>
    <w:next w:val="Normal"/>
    <w:link w:val="Heading4Char"/>
    <w:qFormat/>
    <w:rsid w:val="009111B4"/>
    <w:pPr>
      <w:keepNext/>
      <w:keepLines/>
      <w:ind w:firstLine="720"/>
      <w:outlineLvl w:val="3"/>
    </w:pPr>
    <w:rPr>
      <w:b/>
    </w:rPr>
  </w:style>
  <w:style w:type="paragraph" w:styleId="Heading5">
    <w:name w:val="heading 5"/>
    <w:basedOn w:val="Normal"/>
    <w:next w:val="Normal"/>
    <w:link w:val="Heading5Char"/>
    <w:qFormat/>
    <w:rsid w:val="00B700F3"/>
    <w:pPr>
      <w:keepNext/>
      <w:spacing w:before="240"/>
      <w:ind w:left="360" w:firstLine="360"/>
      <w:outlineLvl w:val="4"/>
    </w:pPr>
    <w:rPr>
      <w:i/>
    </w:rPr>
  </w:style>
  <w:style w:type="paragraph" w:styleId="Heading6">
    <w:name w:val="heading 6"/>
    <w:basedOn w:val="Normal"/>
    <w:next w:val="Normal"/>
    <w:link w:val="Heading6Char"/>
    <w:uiPriority w:val="9"/>
    <w:qFormat/>
    <w:rsid w:val="001A126A"/>
    <w:pPr>
      <w:keepNext/>
      <w:tabs>
        <w:tab w:val="num" w:pos="1152"/>
      </w:tabs>
      <w:ind w:left="1152" w:hanging="1152"/>
      <w:outlineLvl w:val="5"/>
    </w:pPr>
    <w:rPr>
      <w:rFonts w:ascii="Arial" w:hAnsi="Arial"/>
      <w:b/>
      <w:kern w:val="0"/>
      <w:sz w:val="28"/>
    </w:rPr>
  </w:style>
  <w:style w:type="paragraph" w:styleId="Heading7">
    <w:name w:val="heading 7"/>
    <w:basedOn w:val="Normal"/>
    <w:next w:val="Normal"/>
    <w:link w:val="Heading7Char"/>
    <w:qFormat/>
    <w:rsid w:val="001A126A"/>
    <w:pPr>
      <w:keepNext/>
      <w:tabs>
        <w:tab w:val="num" w:pos="1296"/>
      </w:tabs>
      <w:ind w:left="1296" w:hanging="1296"/>
      <w:jc w:val="center"/>
      <w:outlineLvl w:val="6"/>
    </w:pPr>
    <w:rPr>
      <w:rFonts w:ascii="Arial" w:hAnsi="Arial"/>
      <w:b/>
      <w:kern w:val="0"/>
    </w:rPr>
  </w:style>
  <w:style w:type="paragraph" w:styleId="Heading8">
    <w:name w:val="heading 8"/>
    <w:basedOn w:val="Normal"/>
    <w:next w:val="Normal"/>
    <w:link w:val="Heading8Char"/>
    <w:qFormat/>
    <w:rsid w:val="001A126A"/>
    <w:pPr>
      <w:keepNext/>
      <w:tabs>
        <w:tab w:val="num" w:pos="1440"/>
      </w:tabs>
      <w:spacing w:before="100"/>
      <w:ind w:left="1440" w:hanging="1440"/>
      <w:outlineLvl w:val="7"/>
    </w:pPr>
    <w:rPr>
      <w:rFonts w:ascii="Arial" w:hAnsi="Arial"/>
      <w:b/>
      <w:kern w:val="0"/>
    </w:rPr>
  </w:style>
  <w:style w:type="paragraph" w:styleId="Heading9">
    <w:name w:val="heading 9"/>
    <w:basedOn w:val="Normal"/>
    <w:next w:val="Normal"/>
    <w:link w:val="Heading9Char"/>
    <w:qFormat/>
    <w:rsid w:val="001A126A"/>
    <w:pPr>
      <w:keepNext/>
      <w:tabs>
        <w:tab w:val="num" w:pos="1584"/>
      </w:tabs>
      <w:ind w:left="1584" w:hanging="1584"/>
      <w:jc w:val="right"/>
      <w:outlineLvl w:val="8"/>
    </w:pPr>
    <w:rPr>
      <w:rFonts w:ascii="Arial" w:hAnsi="Arial"/>
      <w:b/>
      <w:kern w:val="0"/>
      <w:sz w:val="4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locked/>
    <w:rsid w:val="0057105F"/>
    <w:rPr>
      <w:rFonts w:ascii="Arial" w:hAnsi="Arial" w:cs="Arial"/>
      <w:b/>
      <w:sz w:val="28"/>
    </w:rPr>
  </w:style>
  <w:style w:type="character" w:customStyle="1" w:styleId="Heading2Char">
    <w:name w:val="Heading 2 Char"/>
    <w:basedOn w:val="DefaultParagraphFont"/>
    <w:link w:val="Heading2"/>
    <w:locked/>
    <w:rsid w:val="008D7E61"/>
    <w:rPr>
      <w:rFonts w:ascii="Arial" w:hAnsi="Arial" w:cs="Arial"/>
      <w:b/>
      <w:bCs/>
      <w:iCs/>
      <w:sz w:val="24"/>
      <w:szCs w:val="28"/>
    </w:rPr>
  </w:style>
  <w:style w:type="character" w:customStyle="1" w:styleId="Heading3Char">
    <w:name w:val="Heading 3 Char"/>
    <w:basedOn w:val="DefaultParagraphFont"/>
    <w:link w:val="Heading3"/>
    <w:locked/>
    <w:rsid w:val="008D7E61"/>
    <w:rPr>
      <w:rFonts w:ascii="Arial" w:hAnsi="Arial" w:cs="Arial"/>
      <w:b/>
      <w:bCs/>
      <w:iCs/>
      <w:sz w:val="24"/>
      <w:szCs w:val="28"/>
    </w:rPr>
  </w:style>
  <w:style w:type="character" w:customStyle="1" w:styleId="Heading4Char">
    <w:name w:val="Heading 4 Char"/>
    <w:basedOn w:val="DefaultParagraphFont"/>
    <w:link w:val="Heading4"/>
    <w:locked/>
    <w:rsid w:val="009111B4"/>
    <w:rPr>
      <w:rFonts w:ascii="Garamond" w:hAnsi="Garamond"/>
      <w:b/>
      <w:sz w:val="24"/>
    </w:rPr>
  </w:style>
  <w:style w:type="character" w:customStyle="1" w:styleId="Heading5Char">
    <w:name w:val="Heading 5 Char"/>
    <w:basedOn w:val="DefaultParagraphFont"/>
    <w:link w:val="Heading5"/>
    <w:locked/>
    <w:rsid w:val="00B700F3"/>
    <w:rPr>
      <w:rFonts w:ascii="Garamond" w:hAnsi="Garamond"/>
      <w:i/>
      <w:kern w:val="16"/>
      <w:sz w:val="24"/>
    </w:rPr>
  </w:style>
  <w:style w:type="character" w:customStyle="1" w:styleId="Heading6Char">
    <w:name w:val="Heading 6 Char"/>
    <w:basedOn w:val="DefaultParagraphFont"/>
    <w:link w:val="Heading6"/>
    <w:uiPriority w:val="9"/>
    <w:locked/>
    <w:rsid w:val="001A126A"/>
    <w:rPr>
      <w:rFonts w:ascii="Arial" w:hAnsi="Arial"/>
      <w:b/>
      <w:sz w:val="28"/>
    </w:rPr>
  </w:style>
  <w:style w:type="character" w:customStyle="1" w:styleId="Heading7Char">
    <w:name w:val="Heading 7 Char"/>
    <w:basedOn w:val="DefaultParagraphFont"/>
    <w:link w:val="Heading7"/>
    <w:locked/>
    <w:rsid w:val="001A126A"/>
    <w:rPr>
      <w:rFonts w:ascii="Arial" w:hAnsi="Arial"/>
      <w:b/>
      <w:sz w:val="24"/>
    </w:rPr>
  </w:style>
  <w:style w:type="character" w:customStyle="1" w:styleId="Heading8Char">
    <w:name w:val="Heading 8 Char"/>
    <w:basedOn w:val="DefaultParagraphFont"/>
    <w:link w:val="Heading8"/>
    <w:locked/>
    <w:rsid w:val="001A126A"/>
    <w:rPr>
      <w:rFonts w:ascii="Arial" w:hAnsi="Arial"/>
      <w:b/>
      <w:sz w:val="24"/>
    </w:rPr>
  </w:style>
  <w:style w:type="character" w:customStyle="1" w:styleId="Heading9Char">
    <w:name w:val="Heading 9 Char"/>
    <w:basedOn w:val="DefaultParagraphFont"/>
    <w:link w:val="Heading9"/>
    <w:locked/>
    <w:rsid w:val="001A126A"/>
    <w:rPr>
      <w:rFonts w:ascii="Arial" w:hAnsi="Arial"/>
      <w:b/>
      <w:sz w:val="40"/>
    </w:rPr>
  </w:style>
  <w:style w:type="paragraph" w:styleId="BodyText">
    <w:name w:val="Body Text"/>
    <w:basedOn w:val="Normal"/>
    <w:link w:val="BodyTextChar"/>
    <w:uiPriority w:val="99"/>
    <w:qFormat/>
    <w:rsid w:val="002B6216"/>
    <w:pPr>
      <w:spacing w:before="120" w:after="120"/>
    </w:pPr>
    <w:rPr>
      <w:kern w:val="0"/>
    </w:rPr>
  </w:style>
  <w:style w:type="character" w:customStyle="1" w:styleId="BodyTextChar">
    <w:name w:val="Body Text Char"/>
    <w:basedOn w:val="DefaultParagraphFont"/>
    <w:link w:val="BodyText"/>
    <w:uiPriority w:val="99"/>
    <w:locked/>
    <w:rsid w:val="002B6216"/>
    <w:rPr>
      <w:rFonts w:ascii="Garamond" w:hAnsi="Garamond"/>
      <w:sz w:val="24"/>
    </w:rPr>
  </w:style>
  <w:style w:type="paragraph" w:styleId="BalloonText">
    <w:name w:val="Balloon Text"/>
    <w:basedOn w:val="Normal"/>
    <w:link w:val="BalloonTextChar"/>
    <w:uiPriority w:val="99"/>
    <w:semiHidden/>
    <w:rsid w:val="00D62900"/>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E43C89"/>
    <w:rPr>
      <w:rFonts w:cs="Times New Roman"/>
      <w:sz w:val="2"/>
    </w:rPr>
  </w:style>
  <w:style w:type="character" w:styleId="FootnoteReference">
    <w:name w:val="footnote reference"/>
    <w:aliases w:val="footnote reference,fr"/>
    <w:basedOn w:val="DefaultParagraphFont"/>
    <w:uiPriority w:val="99"/>
    <w:rsid w:val="00D46261"/>
    <w:rPr>
      <w:szCs w:val="24"/>
      <w:vertAlign w:val="superscript"/>
    </w:rPr>
  </w:style>
  <w:style w:type="paragraph" w:styleId="FootnoteText">
    <w:name w:val="footnote text"/>
    <w:aliases w:val="fo,fo1,footnote text,footnote text Char,ft,ft1"/>
    <w:basedOn w:val="Normal"/>
    <w:link w:val="FootnoteTextChar0"/>
    <w:uiPriority w:val="99"/>
    <w:qFormat/>
    <w:rsid w:val="00926E04"/>
    <w:pPr>
      <w:keepLines/>
    </w:pPr>
    <w:rPr>
      <w:sz w:val="18"/>
    </w:rPr>
  </w:style>
  <w:style w:type="character" w:customStyle="1" w:styleId="FootnoteTextChar0">
    <w:name w:val="Footnote Text Char"/>
    <w:aliases w:val="fo Char,fo1 Char,footnote text Char Char,footnote text Char1,ft Char,ft1 Char"/>
    <w:basedOn w:val="DefaultParagraphFont"/>
    <w:link w:val="FootnoteText"/>
    <w:uiPriority w:val="99"/>
    <w:locked/>
    <w:rsid w:val="00926E04"/>
    <w:rPr>
      <w:rFonts w:cs="Times New Roman"/>
      <w:sz w:val="18"/>
      <w:lang w:val="en-US" w:eastAsia="en-US" w:bidi="ar-SA"/>
    </w:rPr>
  </w:style>
  <w:style w:type="paragraph" w:customStyle="1" w:styleId="5ensptotal">
    <w:name w:val="5 en sp (total)"/>
    <w:basedOn w:val="Normal"/>
    <w:rsid w:val="009111B4"/>
    <w:pPr>
      <w:keepNext/>
      <w:spacing w:before="40" w:after="40"/>
      <w:ind w:left="908" w:hanging="346"/>
    </w:pPr>
    <w:rPr>
      <w:rFonts w:ascii="Arial" w:hAnsi="Arial" w:cs="Arial"/>
      <w:kern w:val="2"/>
      <w:sz w:val="16"/>
    </w:rPr>
  </w:style>
  <w:style w:type="paragraph" w:customStyle="1" w:styleId="tabletitle-continued">
    <w:name w:val="table title - continued"/>
    <w:basedOn w:val="TableTitle"/>
    <w:rsid w:val="00CE4828"/>
  </w:style>
  <w:style w:type="paragraph" w:customStyle="1" w:styleId="TableTitle">
    <w:name w:val="Table Title"/>
    <w:basedOn w:val="Normal"/>
    <w:link w:val="TableTitleChar"/>
    <w:qFormat/>
    <w:rsid w:val="00000630"/>
    <w:pPr>
      <w:keepNext/>
      <w:spacing w:before="120" w:after="60"/>
      <w:ind w:left="994" w:hanging="994"/>
    </w:pPr>
    <w:rPr>
      <w:rFonts w:ascii="Arial" w:hAnsi="Arial"/>
      <w:b/>
      <w:sz w:val="20"/>
    </w:rPr>
  </w:style>
  <w:style w:type="character" w:customStyle="1" w:styleId="TableTitleChar">
    <w:name w:val="Table Title Char"/>
    <w:basedOn w:val="DefaultParagraphFont"/>
    <w:link w:val="TableTitle"/>
    <w:locked/>
    <w:rsid w:val="00000630"/>
    <w:rPr>
      <w:rFonts w:ascii="Arial" w:hAnsi="Arial"/>
      <w:b/>
      <w:kern w:val="16"/>
    </w:rPr>
  </w:style>
  <w:style w:type="paragraph" w:styleId="TOC1">
    <w:name w:val="toc 1"/>
    <w:basedOn w:val="Normal"/>
    <w:next w:val="Normal"/>
    <w:uiPriority w:val="39"/>
    <w:qFormat/>
    <w:rsid w:val="00140399"/>
    <w:pPr>
      <w:tabs>
        <w:tab w:val="right" w:leader="dot" w:pos="10224"/>
      </w:tabs>
      <w:ind w:left="360" w:right="778" w:hanging="360"/>
    </w:pPr>
    <w:rPr>
      <w:b/>
      <w:bCs/>
      <w:noProof/>
    </w:rPr>
  </w:style>
  <w:style w:type="paragraph" w:styleId="TOC2">
    <w:name w:val="toc 2"/>
    <w:basedOn w:val="Normal"/>
    <w:next w:val="Normal"/>
    <w:uiPriority w:val="39"/>
    <w:qFormat/>
    <w:rsid w:val="00140399"/>
    <w:pPr>
      <w:tabs>
        <w:tab w:val="left" w:pos="1080"/>
        <w:tab w:val="right" w:leader="dot" w:pos="10224"/>
      </w:tabs>
      <w:ind w:left="720" w:right="778" w:hanging="360"/>
    </w:pPr>
    <w:rPr>
      <w:bCs/>
      <w:noProof/>
      <w:sz w:val="22"/>
    </w:rPr>
  </w:style>
  <w:style w:type="paragraph" w:styleId="TOC3">
    <w:name w:val="toc 3"/>
    <w:basedOn w:val="Normal"/>
    <w:next w:val="Normal"/>
    <w:uiPriority w:val="39"/>
    <w:qFormat/>
    <w:rsid w:val="00140399"/>
    <w:pPr>
      <w:tabs>
        <w:tab w:val="left" w:pos="1440"/>
        <w:tab w:val="right" w:leader="dot" w:pos="10224"/>
      </w:tabs>
      <w:ind w:left="1080" w:hanging="360"/>
    </w:pPr>
    <w:rPr>
      <w:noProof/>
      <w:sz w:val="22"/>
    </w:rPr>
  </w:style>
  <w:style w:type="paragraph" w:styleId="TOC4">
    <w:name w:val="toc 4"/>
    <w:basedOn w:val="Normal"/>
    <w:next w:val="Normal"/>
    <w:autoRedefine/>
    <w:uiPriority w:val="39"/>
    <w:rsid w:val="0063081A"/>
    <w:pPr>
      <w:ind w:left="480"/>
    </w:pPr>
    <w:rPr>
      <w:sz w:val="20"/>
    </w:rPr>
  </w:style>
  <w:style w:type="paragraph" w:styleId="TOC5">
    <w:name w:val="toc 5"/>
    <w:basedOn w:val="Normal"/>
    <w:next w:val="Normal"/>
    <w:uiPriority w:val="39"/>
    <w:rsid w:val="00140399"/>
    <w:pPr>
      <w:tabs>
        <w:tab w:val="left" w:pos="1179"/>
        <w:tab w:val="right" w:leader="dot" w:pos="10224"/>
      </w:tabs>
      <w:ind w:left="1181" w:right="778" w:hanging="821"/>
    </w:pPr>
    <w:rPr>
      <w:bCs/>
      <w:noProof/>
      <w:sz w:val="22"/>
    </w:rPr>
  </w:style>
  <w:style w:type="paragraph" w:styleId="ListBullet2">
    <w:name w:val="List Bullet 2"/>
    <w:basedOn w:val="Normal"/>
    <w:qFormat/>
    <w:rsid w:val="007F4CA0"/>
    <w:pPr>
      <w:tabs>
        <w:tab w:val="num" w:pos="1080"/>
      </w:tabs>
      <w:spacing w:before="120"/>
      <w:ind w:left="1080" w:hanging="360"/>
    </w:pPr>
  </w:style>
  <w:style w:type="paragraph" w:customStyle="1" w:styleId="bulletround">
    <w:name w:val="bullet round"/>
    <w:basedOn w:val="Normal"/>
    <w:link w:val="bulletroundChar"/>
    <w:rsid w:val="00000630"/>
    <w:pPr>
      <w:keepLines/>
      <w:numPr>
        <w:numId w:val="4"/>
      </w:numPr>
      <w:tabs>
        <w:tab w:val="num" w:pos="1080"/>
        <w:tab w:val="clear" w:pos="1440"/>
      </w:tabs>
    </w:pPr>
    <w:rPr>
      <w:rFonts w:cs="Arial"/>
      <w:kern w:val="0"/>
    </w:rPr>
  </w:style>
  <w:style w:type="character" w:customStyle="1" w:styleId="bulletroundChar">
    <w:name w:val="bullet round Char"/>
    <w:basedOn w:val="DefaultParagraphFont"/>
    <w:link w:val="bulletround"/>
    <w:locked/>
    <w:rsid w:val="00000630"/>
    <w:rPr>
      <w:rFonts w:ascii="Garamond" w:hAnsi="Garamond" w:cs="Arial"/>
      <w:sz w:val="24"/>
    </w:rPr>
  </w:style>
  <w:style w:type="paragraph" w:customStyle="1" w:styleId="Number1">
    <w:name w:val="Number1"/>
    <w:semiHidden/>
    <w:rsid w:val="0063081A"/>
    <w:pPr>
      <w:tabs>
        <w:tab w:val="num" w:pos="720"/>
        <w:tab w:val="num" w:pos="1080"/>
      </w:tabs>
      <w:spacing w:before="240"/>
      <w:ind w:left="1080" w:hanging="360"/>
    </w:pPr>
    <w:rPr>
      <w:sz w:val="24"/>
    </w:rPr>
  </w:style>
  <w:style w:type="paragraph" w:customStyle="1" w:styleId="Figuretitle">
    <w:name w:val="Figure title"/>
    <w:basedOn w:val="Normal"/>
    <w:rsid w:val="008D7E61"/>
    <w:pPr>
      <w:keepNext/>
      <w:spacing w:before="240" w:after="120"/>
      <w:ind w:left="990" w:hanging="990"/>
    </w:pPr>
    <w:rPr>
      <w:rFonts w:ascii="Arial" w:hAnsi="Arial"/>
      <w:b/>
      <w:sz w:val="20"/>
    </w:rPr>
  </w:style>
  <w:style w:type="paragraph" w:customStyle="1" w:styleId="Cov-Subtitle">
    <w:name w:val="Cov-Subtitle"/>
    <w:basedOn w:val="Normal"/>
    <w:uiPriority w:val="99"/>
    <w:rsid w:val="006F6CB2"/>
    <w:pPr>
      <w:spacing w:before="120" w:after="120" w:line="320" w:lineRule="atLeast"/>
      <w:jc w:val="right"/>
    </w:pPr>
    <w:rPr>
      <w:rFonts w:ascii="Arial Black" w:hAnsi="Arial Black"/>
      <w:kern w:val="0"/>
      <w:sz w:val="28"/>
    </w:rPr>
  </w:style>
  <w:style w:type="paragraph" w:styleId="Footer">
    <w:name w:val="footer"/>
    <w:basedOn w:val="Normal"/>
    <w:link w:val="FooterChar"/>
    <w:uiPriority w:val="99"/>
    <w:rsid w:val="00BC6E55"/>
    <w:rPr>
      <w:rFonts w:ascii="Arial" w:hAnsi="Arial"/>
      <w:sz w:val="20"/>
    </w:rPr>
  </w:style>
  <w:style w:type="character" w:customStyle="1" w:styleId="FooterChar">
    <w:name w:val="Footer Char"/>
    <w:basedOn w:val="DefaultParagraphFont"/>
    <w:link w:val="Footer"/>
    <w:uiPriority w:val="99"/>
    <w:locked/>
    <w:rsid w:val="00BC6E55"/>
    <w:rPr>
      <w:rFonts w:ascii="Arial" w:hAnsi="Arial" w:cs="Times New Roman"/>
    </w:rPr>
  </w:style>
  <w:style w:type="paragraph" w:styleId="Header">
    <w:name w:val="header"/>
    <w:basedOn w:val="Normal"/>
    <w:link w:val="HeaderChar"/>
    <w:uiPriority w:val="99"/>
    <w:rsid w:val="0032258C"/>
    <w:pPr>
      <w:widowControl w:val="0"/>
      <w:tabs>
        <w:tab w:val="center" w:pos="4320"/>
        <w:tab w:val="right" w:pos="8640"/>
      </w:tabs>
    </w:pPr>
    <w:rPr>
      <w:sz w:val="20"/>
    </w:rPr>
  </w:style>
  <w:style w:type="character" w:customStyle="1" w:styleId="HeaderChar">
    <w:name w:val="Header Char"/>
    <w:basedOn w:val="DefaultParagraphFont"/>
    <w:link w:val="Header"/>
    <w:uiPriority w:val="99"/>
    <w:locked/>
    <w:rsid w:val="00E43C89"/>
    <w:rPr>
      <w:rFonts w:cs="Times New Roman"/>
      <w:sz w:val="20"/>
      <w:szCs w:val="20"/>
    </w:rPr>
  </w:style>
  <w:style w:type="paragraph" w:customStyle="1" w:styleId="figurewobox">
    <w:name w:val="figure w/o box"/>
    <w:basedOn w:val="Normal"/>
    <w:rsid w:val="00353DA4"/>
    <w:pPr>
      <w:jc w:val="center"/>
    </w:pPr>
    <w:rPr>
      <w:rFonts w:ascii="Arial" w:hAnsi="Arial"/>
      <w:sz w:val="20"/>
    </w:rPr>
  </w:style>
  <w:style w:type="paragraph" w:styleId="ListBullet">
    <w:name w:val="List Bullet"/>
    <w:basedOn w:val="Normal"/>
    <w:autoRedefine/>
    <w:qFormat/>
    <w:rsid w:val="008B41D2"/>
    <w:pPr>
      <w:widowControl w:val="0"/>
      <w:numPr>
        <w:numId w:val="8"/>
      </w:numPr>
    </w:pPr>
    <w:rPr>
      <w:szCs w:val="24"/>
    </w:rPr>
  </w:style>
  <w:style w:type="table" w:styleId="TableGrid">
    <w:name w:val="Table Grid"/>
    <w:aliases w:val="NCES_Table,RTI NCES Table"/>
    <w:basedOn w:val="TableNormal"/>
    <w:uiPriority w:val="39"/>
    <w:rsid w:val="00526BC2"/>
    <w:pPr>
      <w:spacing w:before="60" w:after="60"/>
      <w:jc w:val="right"/>
    </w:pPr>
    <w:rPr>
      <w:rFonts w:ascii="Arial" w:hAnsi="Arial"/>
    </w:rPr>
    <w:tblPr>
      <w:tblBorders>
        <w:top w:val="single" w:sz="12" w:space="0" w:color="auto"/>
        <w:bottom w:val="single" w:sz="12" w:space="0" w:color="auto"/>
      </w:tblBorders>
    </w:tblPr>
    <w:tblStylePr w:type="firstRow">
      <w:pPr>
        <w:jc w:val="right"/>
      </w:pPr>
      <w:rPr>
        <w:rFonts w:cs="Times New Roman"/>
      </w:rPr>
      <w:tblPr/>
      <w:tcPr>
        <w:tcBorders>
          <w:bottom w:val="single" w:sz="6" w:space="0" w:color="auto"/>
        </w:tcBorders>
      </w:tcPr>
    </w:tblStylePr>
    <w:tblStylePr w:type="firstCol">
      <w:pPr>
        <w:ind w:left="346" w:right="0" w:hanging="346" w:leftChars="0" w:rightChars="0" w:firstLineChars="0"/>
        <w:jc w:val="left"/>
      </w:pPr>
      <w:rPr>
        <w:rFonts w:cs="Times New Roman"/>
      </w:rPr>
    </w:tblStylePr>
    <w:tblStylePr w:type="nwCell">
      <w:pPr>
        <w:jc w:val="left"/>
      </w:pPr>
      <w:rPr>
        <w:rFonts w:cs="Times New Roman"/>
      </w:rPr>
    </w:tblStylePr>
  </w:style>
  <w:style w:type="paragraph" w:customStyle="1" w:styleId="Tabletext">
    <w:name w:val="Table text"/>
    <w:basedOn w:val="Normal"/>
    <w:link w:val="TabletextChar"/>
    <w:rsid w:val="005C72BA"/>
    <w:pPr>
      <w:keepNext/>
      <w:spacing w:before="20" w:after="20"/>
      <w:ind w:left="144" w:hanging="144"/>
    </w:pPr>
    <w:rPr>
      <w:rFonts w:ascii="Arial" w:hAnsi="Arial"/>
      <w:sz w:val="16"/>
    </w:rPr>
  </w:style>
  <w:style w:type="character" w:customStyle="1" w:styleId="TabletextChar">
    <w:name w:val="Table text Char"/>
    <w:basedOn w:val="DefaultParagraphFont"/>
    <w:link w:val="Tabletext"/>
    <w:locked/>
    <w:rsid w:val="005C72BA"/>
    <w:rPr>
      <w:rFonts w:ascii="Arial" w:hAnsi="Arial"/>
      <w:sz w:val="16"/>
    </w:rPr>
  </w:style>
  <w:style w:type="paragraph" w:customStyle="1" w:styleId="ESHeading2">
    <w:name w:val="ES Heading 2"/>
    <w:basedOn w:val="Heading2"/>
    <w:rsid w:val="00926B0A"/>
  </w:style>
  <w:style w:type="character" w:styleId="CommentReference">
    <w:name w:val="annotation reference"/>
    <w:basedOn w:val="DefaultParagraphFont"/>
    <w:rsid w:val="00160371"/>
    <w:rPr>
      <w:rFonts w:cs="Times New Roman"/>
      <w:sz w:val="16"/>
      <w:szCs w:val="16"/>
    </w:rPr>
  </w:style>
  <w:style w:type="paragraph" w:styleId="CommentText">
    <w:name w:val="annotation text"/>
    <w:basedOn w:val="Normal"/>
    <w:link w:val="CommentTextChar"/>
    <w:rsid w:val="00160371"/>
    <w:rPr>
      <w:sz w:val="20"/>
    </w:rPr>
  </w:style>
  <w:style w:type="character" w:customStyle="1" w:styleId="CommentTextChar">
    <w:name w:val="Comment Text Char"/>
    <w:basedOn w:val="DefaultParagraphFont"/>
    <w:link w:val="CommentText"/>
    <w:locked/>
    <w:rsid w:val="002245DB"/>
    <w:rPr>
      <w:rFonts w:cs="Times New Roman"/>
    </w:rPr>
  </w:style>
  <w:style w:type="paragraph" w:styleId="CommentSubject">
    <w:name w:val="annotation subject"/>
    <w:basedOn w:val="CommentText"/>
    <w:next w:val="CommentText"/>
    <w:link w:val="CommentSubjectChar"/>
    <w:uiPriority w:val="99"/>
    <w:semiHidden/>
    <w:rsid w:val="00160371"/>
    <w:rPr>
      <w:b/>
      <w:bCs/>
    </w:rPr>
  </w:style>
  <w:style w:type="character" w:customStyle="1" w:styleId="CommentSubjectChar">
    <w:name w:val="Comment Subject Char"/>
    <w:basedOn w:val="CommentTextChar"/>
    <w:link w:val="CommentSubject"/>
    <w:uiPriority w:val="99"/>
    <w:semiHidden/>
    <w:locked/>
    <w:rsid w:val="00E43C89"/>
    <w:rPr>
      <w:rFonts w:cs="Times New Roman"/>
      <w:b/>
      <w:bCs/>
      <w:sz w:val="20"/>
      <w:szCs w:val="20"/>
    </w:rPr>
  </w:style>
  <w:style w:type="paragraph" w:customStyle="1" w:styleId="2enspsubgroup1">
    <w:name w:val="2 en sp (subgroup 1)"/>
    <w:basedOn w:val="Tabletext"/>
    <w:rsid w:val="00EF1FA4"/>
    <w:pPr>
      <w:ind w:left="576" w:hanging="346"/>
    </w:pPr>
    <w:rPr>
      <w:kern w:val="2"/>
    </w:rPr>
  </w:style>
  <w:style w:type="paragraph" w:customStyle="1" w:styleId="4enspsubgroup2">
    <w:name w:val="4 en sp (subgroup 2)"/>
    <w:basedOn w:val="2enspsubgroup1"/>
    <w:rsid w:val="001A6277"/>
    <w:pPr>
      <w:ind w:left="794" w:hanging="351"/>
    </w:pPr>
  </w:style>
  <w:style w:type="paragraph" w:customStyle="1" w:styleId="ESHeading3">
    <w:name w:val="ES Heading 3"/>
    <w:basedOn w:val="Heading3"/>
    <w:rsid w:val="00CF5BA2"/>
  </w:style>
  <w:style w:type="paragraph" w:customStyle="1" w:styleId="ESHeading4">
    <w:name w:val="ES Heading 4"/>
    <w:basedOn w:val="Heading4"/>
    <w:rsid w:val="00CF5BA2"/>
  </w:style>
  <w:style w:type="paragraph" w:customStyle="1" w:styleId="6enspitem">
    <w:name w:val="6 en sp (item)"/>
    <w:basedOn w:val="4enspsubgroup2"/>
    <w:rsid w:val="009C1282"/>
    <w:pPr>
      <w:ind w:left="1019"/>
    </w:pPr>
  </w:style>
  <w:style w:type="character" w:styleId="Hyperlink">
    <w:name w:val="Hyperlink"/>
    <w:basedOn w:val="DefaultParagraphFont"/>
    <w:uiPriority w:val="99"/>
    <w:rsid w:val="00E84DB5"/>
    <w:rPr>
      <w:rFonts w:cs="Times New Roman"/>
      <w:color w:val="auto"/>
      <w:u w:val="single"/>
    </w:rPr>
  </w:style>
  <w:style w:type="paragraph" w:customStyle="1" w:styleId="Title2">
    <w:name w:val="Title2"/>
    <w:basedOn w:val="Title"/>
    <w:rsid w:val="004E073B"/>
    <w:pPr>
      <w:keepNext/>
      <w:jc w:val="center"/>
    </w:pPr>
    <w:rPr>
      <w:sz w:val="24"/>
    </w:rPr>
  </w:style>
  <w:style w:type="paragraph" w:styleId="Title">
    <w:name w:val="Title"/>
    <w:basedOn w:val="TOCHeading"/>
    <w:link w:val="TitleChar"/>
    <w:qFormat/>
    <w:rsid w:val="005B1E8A"/>
    <w:pPr>
      <w:outlineLvl w:val="0"/>
    </w:pPr>
  </w:style>
  <w:style w:type="character" w:customStyle="1" w:styleId="TitleChar">
    <w:name w:val="Title Char"/>
    <w:basedOn w:val="DefaultParagraphFont"/>
    <w:link w:val="Title"/>
    <w:locked/>
    <w:rsid w:val="00E43C89"/>
    <w:rPr>
      <w:rFonts w:ascii="Cambria" w:hAnsi="Cambria" w:cs="Times New Roman"/>
      <w:b/>
      <w:bCs/>
      <w:kern w:val="28"/>
      <w:sz w:val="32"/>
      <w:szCs w:val="32"/>
    </w:rPr>
  </w:style>
  <w:style w:type="paragraph" w:styleId="TOCHeading">
    <w:name w:val="TOC Heading"/>
    <w:basedOn w:val="TOC1"/>
    <w:uiPriority w:val="39"/>
    <w:qFormat/>
    <w:rsid w:val="0095141E"/>
    <w:rPr>
      <w:rFonts w:ascii="Arial" w:hAnsi="Arial" w:cs="Arial"/>
      <w:bCs w:val="0"/>
      <w:noProof w:val="0"/>
      <w:sz w:val="32"/>
    </w:rPr>
  </w:style>
  <w:style w:type="paragraph" w:customStyle="1" w:styleId="3ensptotalnosubgroup">
    <w:name w:val="3 en sp (total no subgroup)"/>
    <w:basedOn w:val="4enspsubgroup2"/>
    <w:rsid w:val="0043671D"/>
    <w:pPr>
      <w:ind w:left="675" w:hanging="342"/>
    </w:pPr>
    <w:rPr>
      <w:rFonts w:eastAsia="Arial Unicode MS"/>
    </w:rPr>
  </w:style>
  <w:style w:type="paragraph" w:customStyle="1" w:styleId="Tableheading">
    <w:name w:val="Table heading"/>
    <w:basedOn w:val="Tabletext"/>
    <w:link w:val="TableheadingChar"/>
    <w:rsid w:val="00EF1FA4"/>
    <w:pPr>
      <w:ind w:left="0" w:firstLine="0"/>
      <w:jc w:val="right"/>
    </w:pPr>
  </w:style>
  <w:style w:type="character" w:customStyle="1" w:styleId="TableheadingChar">
    <w:name w:val="Table heading Char"/>
    <w:basedOn w:val="TabletextChar"/>
    <w:link w:val="Tableheading"/>
    <w:locked/>
    <w:rsid w:val="00EF1FA4"/>
    <w:rPr>
      <w:rFonts w:ascii="Arial" w:hAnsi="Arial" w:cs="Times New Roman"/>
      <w:sz w:val="16"/>
      <w:lang w:val="en-US" w:eastAsia="en-US" w:bidi="ar-SA"/>
    </w:rPr>
  </w:style>
  <w:style w:type="paragraph" w:customStyle="1" w:styleId="Tablenotes">
    <w:name w:val="Table notes"/>
    <w:link w:val="TablenotesChar"/>
    <w:rsid w:val="009111B4"/>
    <w:rPr>
      <w:rFonts w:ascii="Arial" w:hAnsi="Arial"/>
      <w:noProof/>
      <w:sz w:val="15"/>
      <w:szCs w:val="18"/>
    </w:rPr>
  </w:style>
  <w:style w:type="character" w:customStyle="1" w:styleId="TablenotesChar">
    <w:name w:val="Table notes Char"/>
    <w:basedOn w:val="DefaultParagraphFont"/>
    <w:link w:val="Tablenotes"/>
    <w:locked/>
    <w:rsid w:val="009111B4"/>
    <w:rPr>
      <w:rFonts w:ascii="Arial" w:hAnsi="Arial"/>
      <w:noProof/>
      <w:sz w:val="15"/>
      <w:szCs w:val="18"/>
    </w:rPr>
  </w:style>
  <w:style w:type="paragraph" w:styleId="DocumentMap">
    <w:name w:val="Document Map"/>
    <w:basedOn w:val="Normal"/>
    <w:link w:val="DocumentMapChar"/>
    <w:uiPriority w:val="1"/>
    <w:rsid w:val="0087411A"/>
    <w:pPr>
      <w:shd w:val="clear" w:color="auto" w:fill="000080"/>
    </w:pPr>
    <w:rPr>
      <w:rFonts w:ascii="Tahoma" w:hAnsi="Tahoma" w:cs="Tahoma"/>
      <w:sz w:val="20"/>
    </w:rPr>
  </w:style>
  <w:style w:type="character" w:customStyle="1" w:styleId="DocumentMapChar">
    <w:name w:val="Document Map Char"/>
    <w:basedOn w:val="DefaultParagraphFont"/>
    <w:link w:val="DocumentMap"/>
    <w:uiPriority w:val="1"/>
    <w:locked/>
    <w:rsid w:val="00E43C89"/>
    <w:rPr>
      <w:rFonts w:cs="Times New Roman"/>
      <w:sz w:val="2"/>
    </w:rPr>
  </w:style>
  <w:style w:type="paragraph" w:customStyle="1" w:styleId="Biblio">
    <w:name w:val="Biblio"/>
    <w:basedOn w:val="Normal"/>
    <w:link w:val="BiblioChar"/>
    <w:rsid w:val="005B1E8A"/>
    <w:pPr>
      <w:keepLines/>
      <w:spacing w:after="240"/>
      <w:ind w:left="360" w:hanging="360"/>
    </w:pPr>
    <w:rPr>
      <w:kern w:val="2"/>
    </w:rPr>
  </w:style>
  <w:style w:type="paragraph" w:customStyle="1" w:styleId="Cov-Address">
    <w:name w:val="Cov-Address"/>
    <w:basedOn w:val="Normal"/>
    <w:rsid w:val="00E84DB5"/>
    <w:pPr>
      <w:jc w:val="right"/>
    </w:pPr>
    <w:rPr>
      <w:rFonts w:ascii="Arial" w:hAnsi="Arial"/>
    </w:rPr>
  </w:style>
  <w:style w:type="paragraph" w:customStyle="1" w:styleId="AppH2">
    <w:name w:val="App H2"/>
    <w:basedOn w:val="Heading2"/>
    <w:rsid w:val="00604BBD"/>
  </w:style>
  <w:style w:type="paragraph" w:customStyle="1" w:styleId="Cov-Author">
    <w:name w:val="Cov-Author"/>
    <w:basedOn w:val="Normal"/>
    <w:rsid w:val="00E84DB5"/>
    <w:pPr>
      <w:jc w:val="right"/>
    </w:pPr>
    <w:rPr>
      <w:rFonts w:ascii="Arial Black" w:hAnsi="Arial Black"/>
    </w:rPr>
  </w:style>
  <w:style w:type="paragraph" w:customStyle="1" w:styleId="Cov-Date">
    <w:name w:val="Cov-Date"/>
    <w:basedOn w:val="Normal"/>
    <w:rsid w:val="00E84DB5"/>
    <w:pPr>
      <w:jc w:val="right"/>
    </w:pPr>
    <w:rPr>
      <w:rFonts w:ascii="Arial" w:hAnsi="Arial"/>
      <w:b/>
      <w:sz w:val="28"/>
    </w:rPr>
  </w:style>
  <w:style w:type="paragraph" w:customStyle="1" w:styleId="Cov-Disclaimer">
    <w:name w:val="Cov-Disclaimer"/>
    <w:basedOn w:val="Normal"/>
    <w:rsid w:val="00E84DB5"/>
    <w:pPr>
      <w:jc w:val="right"/>
    </w:pPr>
    <w:rPr>
      <w:rFonts w:ascii="Arial" w:hAnsi="Arial" w:cs="Arial"/>
      <w:sz w:val="18"/>
      <w:szCs w:val="18"/>
    </w:rPr>
  </w:style>
  <w:style w:type="paragraph" w:customStyle="1" w:styleId="bullet3rdlevel">
    <w:name w:val="bullet 3rd level"/>
    <w:basedOn w:val="bullet2ndlevel"/>
    <w:qFormat/>
    <w:rsid w:val="006A4B5F"/>
    <w:pPr>
      <w:numPr>
        <w:ilvl w:val="2"/>
        <w:numId w:val="1"/>
      </w:numPr>
    </w:pPr>
    <w:rPr>
      <w:szCs w:val="24"/>
    </w:rPr>
  </w:style>
  <w:style w:type="paragraph" w:customStyle="1" w:styleId="Cov-Title">
    <w:name w:val="Cov-Title"/>
    <w:basedOn w:val="Normal"/>
    <w:rsid w:val="00B42A44"/>
    <w:pPr>
      <w:jc w:val="right"/>
    </w:pPr>
    <w:rPr>
      <w:rFonts w:ascii="Arial Black" w:hAnsi="Arial Black"/>
      <w:smallCaps/>
      <w:sz w:val="40"/>
    </w:rPr>
  </w:style>
  <w:style w:type="paragraph" w:styleId="Quote">
    <w:name w:val="Quote"/>
    <w:basedOn w:val="BodyText"/>
    <w:link w:val="QuoteChar"/>
    <w:qFormat/>
    <w:rsid w:val="00A72A95"/>
    <w:pPr>
      <w:ind w:left="720" w:right="720"/>
    </w:pPr>
    <w:rPr>
      <w:iCs/>
      <w:sz w:val="22"/>
    </w:rPr>
  </w:style>
  <w:style w:type="character" w:customStyle="1" w:styleId="QuoteChar">
    <w:name w:val="Quote Char"/>
    <w:basedOn w:val="DefaultParagraphFont"/>
    <w:link w:val="Quote"/>
    <w:locked/>
    <w:rsid w:val="00E43C89"/>
    <w:rPr>
      <w:rFonts w:cs="Times New Roman"/>
      <w:i/>
      <w:iCs/>
      <w:color w:val="000000"/>
      <w:sz w:val="20"/>
      <w:szCs w:val="20"/>
    </w:rPr>
  </w:style>
  <w:style w:type="paragraph" w:customStyle="1" w:styleId="Style2">
    <w:name w:val="Style2"/>
    <w:uiPriority w:val="99"/>
    <w:rsid w:val="00417457"/>
    <w:pPr>
      <w:numPr>
        <w:numId w:val="2"/>
      </w:numPr>
      <w:tabs>
        <w:tab w:val="clear" w:pos="720"/>
      </w:tabs>
      <w:spacing w:after="120"/>
      <w:ind w:left="1440"/>
    </w:pPr>
    <w:rPr>
      <w:sz w:val="24"/>
    </w:rPr>
  </w:style>
  <w:style w:type="paragraph" w:styleId="BodyText2">
    <w:name w:val="Body Text 2"/>
    <w:basedOn w:val="Normal"/>
    <w:link w:val="BodyText2Char"/>
    <w:rsid w:val="00ED129D"/>
    <w:pPr>
      <w:spacing w:before="120" w:after="120"/>
      <w:ind w:firstLine="720"/>
    </w:pPr>
    <w:rPr>
      <w:sz w:val="22"/>
    </w:rPr>
  </w:style>
  <w:style w:type="character" w:customStyle="1" w:styleId="BodyText2Char">
    <w:name w:val="Body Text 2 Char"/>
    <w:basedOn w:val="DefaultParagraphFont"/>
    <w:link w:val="BodyText2"/>
    <w:semiHidden/>
    <w:locked/>
    <w:rsid w:val="00E43C89"/>
    <w:rPr>
      <w:rFonts w:cs="Times New Roman"/>
      <w:sz w:val="20"/>
      <w:szCs w:val="20"/>
    </w:rPr>
  </w:style>
  <w:style w:type="paragraph" w:customStyle="1" w:styleId="Exhibit">
    <w:name w:val="Exhibit"/>
    <w:basedOn w:val="Normal"/>
    <w:rsid w:val="00F5093A"/>
    <w:pPr>
      <w:keepNext/>
      <w:widowControl w:val="0"/>
      <w:tabs>
        <w:tab w:val="left" w:pos="-1440"/>
        <w:tab w:val="left" w:pos="-720"/>
        <w:tab w:val="left" w:pos="0"/>
        <w:tab w:val="left" w:pos="432"/>
      </w:tabs>
      <w:spacing w:after="120"/>
      <w:ind w:left="1152" w:hanging="1152"/>
    </w:pPr>
    <w:rPr>
      <w:b/>
    </w:rPr>
  </w:style>
  <w:style w:type="paragraph" w:styleId="TOC6">
    <w:name w:val="toc 6"/>
    <w:basedOn w:val="Normal"/>
    <w:next w:val="Normal"/>
    <w:autoRedefine/>
    <w:uiPriority w:val="39"/>
    <w:rsid w:val="00316BBE"/>
    <w:pPr>
      <w:ind w:left="960"/>
    </w:pPr>
    <w:rPr>
      <w:sz w:val="20"/>
    </w:rPr>
  </w:style>
  <w:style w:type="paragraph" w:styleId="TOC7">
    <w:name w:val="toc 7"/>
    <w:basedOn w:val="Normal"/>
    <w:next w:val="Normal"/>
    <w:autoRedefine/>
    <w:uiPriority w:val="39"/>
    <w:rsid w:val="00316BBE"/>
    <w:pPr>
      <w:ind w:left="1200"/>
    </w:pPr>
    <w:rPr>
      <w:sz w:val="20"/>
    </w:rPr>
  </w:style>
  <w:style w:type="paragraph" w:styleId="TOC8">
    <w:name w:val="toc 8"/>
    <w:basedOn w:val="Normal"/>
    <w:next w:val="Normal"/>
    <w:autoRedefine/>
    <w:uiPriority w:val="39"/>
    <w:rsid w:val="00316BBE"/>
    <w:pPr>
      <w:ind w:left="1440"/>
    </w:pPr>
    <w:rPr>
      <w:sz w:val="20"/>
    </w:rPr>
  </w:style>
  <w:style w:type="paragraph" w:styleId="TOC9">
    <w:name w:val="toc 9"/>
    <w:basedOn w:val="Normal"/>
    <w:next w:val="Normal"/>
    <w:autoRedefine/>
    <w:uiPriority w:val="39"/>
    <w:rsid w:val="00316BBE"/>
    <w:pPr>
      <w:ind w:left="1680"/>
    </w:pPr>
    <w:rPr>
      <w:sz w:val="20"/>
    </w:rPr>
  </w:style>
  <w:style w:type="paragraph" w:styleId="Index1">
    <w:name w:val="index 1"/>
    <w:basedOn w:val="Normal"/>
    <w:next w:val="Normal"/>
    <w:autoRedefine/>
    <w:uiPriority w:val="1"/>
    <w:rsid w:val="00316BBE"/>
    <w:pPr>
      <w:ind w:left="240" w:hanging="240"/>
    </w:pPr>
    <w:rPr>
      <w:sz w:val="18"/>
    </w:rPr>
  </w:style>
  <w:style w:type="paragraph" w:styleId="Index2">
    <w:name w:val="index 2"/>
    <w:basedOn w:val="Normal"/>
    <w:next w:val="Normal"/>
    <w:autoRedefine/>
    <w:semiHidden/>
    <w:rsid w:val="00316BBE"/>
    <w:pPr>
      <w:ind w:left="480" w:hanging="240"/>
    </w:pPr>
    <w:rPr>
      <w:sz w:val="18"/>
    </w:rPr>
  </w:style>
  <w:style w:type="paragraph" w:styleId="Index3">
    <w:name w:val="index 3"/>
    <w:basedOn w:val="Normal"/>
    <w:next w:val="Normal"/>
    <w:autoRedefine/>
    <w:semiHidden/>
    <w:rsid w:val="00316BBE"/>
    <w:pPr>
      <w:ind w:left="720" w:hanging="240"/>
    </w:pPr>
    <w:rPr>
      <w:sz w:val="18"/>
    </w:rPr>
  </w:style>
  <w:style w:type="paragraph" w:styleId="Index4">
    <w:name w:val="index 4"/>
    <w:basedOn w:val="Normal"/>
    <w:next w:val="Normal"/>
    <w:autoRedefine/>
    <w:semiHidden/>
    <w:rsid w:val="00316BBE"/>
    <w:pPr>
      <w:ind w:left="960" w:hanging="240"/>
    </w:pPr>
    <w:rPr>
      <w:sz w:val="18"/>
    </w:rPr>
  </w:style>
  <w:style w:type="paragraph" w:styleId="Index5">
    <w:name w:val="index 5"/>
    <w:basedOn w:val="Normal"/>
    <w:next w:val="Normal"/>
    <w:autoRedefine/>
    <w:semiHidden/>
    <w:rsid w:val="00316BBE"/>
    <w:pPr>
      <w:ind w:left="1200" w:hanging="240"/>
    </w:pPr>
    <w:rPr>
      <w:sz w:val="18"/>
    </w:rPr>
  </w:style>
  <w:style w:type="paragraph" w:styleId="Index6">
    <w:name w:val="index 6"/>
    <w:basedOn w:val="Normal"/>
    <w:next w:val="Normal"/>
    <w:autoRedefine/>
    <w:semiHidden/>
    <w:rsid w:val="00316BBE"/>
    <w:pPr>
      <w:ind w:left="1440" w:hanging="240"/>
    </w:pPr>
    <w:rPr>
      <w:sz w:val="18"/>
    </w:rPr>
  </w:style>
  <w:style w:type="paragraph" w:styleId="Index7">
    <w:name w:val="index 7"/>
    <w:basedOn w:val="Normal"/>
    <w:next w:val="Normal"/>
    <w:autoRedefine/>
    <w:semiHidden/>
    <w:rsid w:val="00316BBE"/>
    <w:pPr>
      <w:ind w:left="1680" w:hanging="240"/>
    </w:pPr>
    <w:rPr>
      <w:sz w:val="18"/>
    </w:rPr>
  </w:style>
  <w:style w:type="paragraph" w:styleId="Index8">
    <w:name w:val="index 8"/>
    <w:basedOn w:val="Normal"/>
    <w:next w:val="Normal"/>
    <w:autoRedefine/>
    <w:semiHidden/>
    <w:rsid w:val="00316BBE"/>
    <w:pPr>
      <w:ind w:left="1920" w:hanging="240"/>
    </w:pPr>
    <w:rPr>
      <w:sz w:val="18"/>
    </w:rPr>
  </w:style>
  <w:style w:type="paragraph" w:styleId="Index9">
    <w:name w:val="index 9"/>
    <w:basedOn w:val="Normal"/>
    <w:next w:val="Normal"/>
    <w:autoRedefine/>
    <w:semiHidden/>
    <w:rsid w:val="00316BBE"/>
    <w:pPr>
      <w:ind w:left="2160" w:hanging="240"/>
    </w:pPr>
    <w:rPr>
      <w:sz w:val="18"/>
    </w:rPr>
  </w:style>
  <w:style w:type="paragraph" w:styleId="IndexHeading">
    <w:name w:val="index heading"/>
    <w:basedOn w:val="Normal"/>
    <w:next w:val="Index1"/>
    <w:uiPriority w:val="1"/>
    <w:rsid w:val="00316BBE"/>
    <w:pPr>
      <w:pBdr>
        <w:top w:val="single" w:sz="12" w:space="0" w:color="auto"/>
      </w:pBdr>
      <w:spacing w:before="360" w:after="240"/>
    </w:pPr>
    <w:rPr>
      <w:b/>
      <w:i/>
      <w:sz w:val="26"/>
    </w:rPr>
  </w:style>
  <w:style w:type="character" w:customStyle="1" w:styleId="Hd04run-in">
    <w:name w:val="Hd04 run-in"/>
    <w:rsid w:val="00316BBE"/>
    <w:rPr>
      <w:rFonts w:ascii="Arial" w:hAnsi="Arial"/>
      <w:b/>
      <w:i/>
    </w:rPr>
  </w:style>
  <w:style w:type="paragraph" w:styleId="BlockText">
    <w:name w:val="Block Text"/>
    <w:basedOn w:val="Normal"/>
    <w:qFormat/>
    <w:rsid w:val="00316BBE"/>
    <w:pPr>
      <w:spacing w:before="120"/>
      <w:ind w:left="720" w:right="720"/>
    </w:pPr>
  </w:style>
  <w:style w:type="paragraph" w:styleId="List">
    <w:name w:val="List"/>
    <w:basedOn w:val="Normal"/>
    <w:rsid w:val="00316BBE"/>
    <w:pPr>
      <w:ind w:left="360" w:hanging="360"/>
    </w:pPr>
  </w:style>
  <w:style w:type="paragraph" w:styleId="List2">
    <w:name w:val="List 2"/>
    <w:basedOn w:val="Normal"/>
    <w:rsid w:val="00316BBE"/>
    <w:pPr>
      <w:ind w:left="720" w:hanging="360"/>
    </w:pPr>
  </w:style>
  <w:style w:type="paragraph" w:customStyle="1" w:styleId="exhibitsource">
    <w:name w:val="exhibit source"/>
    <w:basedOn w:val="Normal"/>
    <w:rsid w:val="00316BBE"/>
    <w:pPr>
      <w:keepLines/>
      <w:spacing w:before="60"/>
      <w:ind w:left="187" w:hanging="187"/>
    </w:pPr>
    <w:rPr>
      <w:sz w:val="20"/>
    </w:rPr>
  </w:style>
  <w:style w:type="paragraph" w:customStyle="1" w:styleId="ExhibitTitle">
    <w:name w:val="Exhibit Title"/>
    <w:rsid w:val="00316BBE"/>
    <w:pPr>
      <w:keepNext/>
      <w:keepLines/>
      <w:spacing w:after="60"/>
      <w:ind w:left="1440" w:hanging="1440"/>
    </w:pPr>
    <w:rPr>
      <w:rFonts w:ascii="Arial" w:hAnsi="Arial"/>
      <w:b/>
      <w:sz w:val="22"/>
    </w:rPr>
  </w:style>
  <w:style w:type="paragraph" w:customStyle="1" w:styleId="TableHeaders">
    <w:name w:val="Table Headers"/>
    <w:basedOn w:val="Normal"/>
    <w:rsid w:val="00316BBE"/>
    <w:pPr>
      <w:keepNext/>
      <w:spacing w:before="80" w:after="80" w:line="240" w:lineRule="exact"/>
      <w:jc w:val="center"/>
    </w:pPr>
    <w:rPr>
      <w:rFonts w:ascii="Arial" w:hAnsi="Arial"/>
      <w:b/>
      <w:sz w:val="20"/>
    </w:rPr>
  </w:style>
  <w:style w:type="paragraph" w:customStyle="1" w:styleId="Blockedquote">
    <w:name w:val="Blocked quote"/>
    <w:basedOn w:val="BodyText"/>
    <w:link w:val="BlockedquoteChar"/>
    <w:rsid w:val="00316BBE"/>
    <w:pPr>
      <w:ind w:left="720" w:right="720"/>
    </w:pPr>
    <w:rPr>
      <w:i/>
      <w:iCs/>
    </w:rPr>
  </w:style>
  <w:style w:type="character" w:customStyle="1" w:styleId="BlockedquoteChar">
    <w:name w:val="Blocked quote Char"/>
    <w:basedOn w:val="BodyTextChar"/>
    <w:link w:val="Blockedquote"/>
    <w:locked/>
    <w:rsid w:val="00316BBE"/>
    <w:rPr>
      <w:rFonts w:ascii="Garamond" w:hAnsi="Garamond" w:cs="Times New Roman"/>
      <w:i/>
      <w:iCs/>
      <w:kern w:val="16"/>
      <w:sz w:val="24"/>
      <w:lang w:val="en-US" w:eastAsia="en-US" w:bidi="ar-SA"/>
    </w:rPr>
  </w:style>
  <w:style w:type="paragraph" w:customStyle="1" w:styleId="AppH3">
    <w:name w:val="App H3"/>
    <w:basedOn w:val="Heading3"/>
    <w:rsid w:val="00604BBD"/>
    <w:pPr>
      <w:numPr>
        <w:ilvl w:val="0"/>
      </w:numPr>
    </w:pPr>
  </w:style>
  <w:style w:type="paragraph" w:customStyle="1" w:styleId="Apptabletitle">
    <w:name w:val="App table title"/>
    <w:basedOn w:val="TableTitle"/>
    <w:rsid w:val="00604BBD"/>
  </w:style>
  <w:style w:type="paragraph" w:customStyle="1" w:styleId="equation">
    <w:name w:val="equation"/>
    <w:basedOn w:val="BlockText"/>
    <w:rsid w:val="00C263F6"/>
    <w:pPr>
      <w:spacing w:before="200"/>
      <w:ind w:left="1440" w:right="0"/>
    </w:pPr>
  </w:style>
  <w:style w:type="character" w:styleId="FollowedHyperlink">
    <w:name w:val="FollowedHyperlink"/>
    <w:basedOn w:val="DefaultParagraphFont"/>
    <w:uiPriority w:val="1"/>
    <w:rsid w:val="00A3200F"/>
    <w:rPr>
      <w:rFonts w:cs="Times New Roman"/>
      <w:color w:val="800080"/>
      <w:u w:val="single"/>
    </w:rPr>
  </w:style>
  <w:style w:type="paragraph" w:customStyle="1" w:styleId="TableColumnHeads">
    <w:name w:val="Table Column Heads"/>
    <w:basedOn w:val="Tabletext"/>
    <w:qFormat/>
    <w:rsid w:val="009640AE"/>
    <w:pPr>
      <w:ind w:left="0" w:firstLine="0"/>
    </w:pPr>
    <w:rPr>
      <w:b/>
    </w:rPr>
  </w:style>
  <w:style w:type="character" w:customStyle="1" w:styleId="BiblioChar">
    <w:name w:val="Biblio Char"/>
    <w:basedOn w:val="DefaultParagraphFont"/>
    <w:link w:val="Biblio"/>
    <w:locked/>
    <w:rsid w:val="00613103"/>
    <w:rPr>
      <w:rFonts w:cs="Times New Roman"/>
      <w:kern w:val="2"/>
      <w:sz w:val="24"/>
      <w:lang w:val="en-US" w:eastAsia="en-US" w:bidi="ar-SA"/>
    </w:rPr>
  </w:style>
  <w:style w:type="paragraph" w:customStyle="1" w:styleId="Normaltext">
    <w:name w:val="Normal text"/>
    <w:basedOn w:val="Normal"/>
    <w:link w:val="NormaltextChar"/>
    <w:rsid w:val="007D376D"/>
    <w:pPr>
      <w:spacing w:before="240"/>
      <w:ind w:firstLine="720"/>
    </w:pPr>
  </w:style>
  <w:style w:type="character" w:customStyle="1" w:styleId="NormaltextChar">
    <w:name w:val="Normal text Char"/>
    <w:basedOn w:val="DefaultParagraphFont"/>
    <w:link w:val="Normaltext"/>
    <w:locked/>
    <w:rsid w:val="007D376D"/>
    <w:rPr>
      <w:rFonts w:cs="Times New Roman"/>
      <w:sz w:val="24"/>
      <w:lang w:val="en-US" w:eastAsia="en-US" w:bidi="ar-SA"/>
    </w:rPr>
  </w:style>
  <w:style w:type="paragraph" w:styleId="Revision">
    <w:name w:val="Revision"/>
    <w:hidden/>
    <w:uiPriority w:val="99"/>
    <w:semiHidden/>
    <w:rsid w:val="000526B1"/>
    <w:rPr>
      <w:sz w:val="24"/>
    </w:rPr>
  </w:style>
  <w:style w:type="paragraph" w:styleId="ListParagraph">
    <w:name w:val="List Paragraph"/>
    <w:basedOn w:val="Normal"/>
    <w:uiPriority w:val="34"/>
    <w:qFormat/>
    <w:rsid w:val="007836D1"/>
    <w:pPr>
      <w:numPr>
        <w:numId w:val="5"/>
      </w:numPr>
      <w:spacing w:after="60" w:line="280" w:lineRule="atLeast"/>
    </w:pPr>
    <w:rPr>
      <w:szCs w:val="24"/>
    </w:rPr>
  </w:style>
  <w:style w:type="paragraph" w:customStyle="1" w:styleId="Bulletblocked">
    <w:name w:val="Bullet blocked"/>
    <w:basedOn w:val="BodyText"/>
    <w:rsid w:val="00F60825"/>
    <w:pPr>
      <w:spacing w:line="280" w:lineRule="atLeast"/>
      <w:ind w:left="1080"/>
    </w:pPr>
  </w:style>
  <w:style w:type="paragraph" w:customStyle="1" w:styleId="bullet2ndlevel">
    <w:name w:val="bullet 2nd level"/>
    <w:basedOn w:val="BodyText"/>
    <w:rsid w:val="00F36BA8"/>
    <w:pPr>
      <w:numPr>
        <w:ilvl w:val="1"/>
        <w:numId w:val="3"/>
      </w:numPr>
      <w:spacing w:after="0" w:line="280" w:lineRule="atLeast"/>
    </w:pPr>
  </w:style>
  <w:style w:type="table" w:styleId="TableWeb3">
    <w:name w:val="Table Web 3"/>
    <w:basedOn w:val="TableNormal"/>
    <w:locked/>
    <w:rsid w:val="003E79BA"/>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Indent">
    <w:name w:val="Indent"/>
    <w:basedOn w:val="BodyText"/>
    <w:qFormat/>
    <w:rsid w:val="00045E1F"/>
    <w:pPr>
      <w:ind w:left="720" w:right="684"/>
    </w:pPr>
  </w:style>
  <w:style w:type="paragraph" w:customStyle="1" w:styleId="exhibitsource2">
    <w:name w:val="exhibit source2"/>
    <w:basedOn w:val="exhibitsource"/>
    <w:qFormat/>
    <w:rsid w:val="00045E1F"/>
    <w:pPr>
      <w:spacing w:before="0" w:after="240"/>
    </w:pPr>
    <w:rPr>
      <w:rFonts w:ascii="Arial" w:hAnsi="Arial"/>
      <w:noProof/>
      <w:sz w:val="18"/>
      <w:szCs w:val="18"/>
    </w:rPr>
  </w:style>
  <w:style w:type="paragraph" w:customStyle="1" w:styleId="TabletextTotalindented">
    <w:name w:val="Table text Total indented"/>
    <w:basedOn w:val="Tabletext"/>
    <w:qFormat/>
    <w:rsid w:val="00307F9D"/>
    <w:pPr>
      <w:spacing w:before="120"/>
      <w:ind w:left="351"/>
    </w:pPr>
    <w:rPr>
      <w:b/>
      <w:sz w:val="14"/>
      <w:szCs w:val="14"/>
    </w:rPr>
  </w:style>
  <w:style w:type="paragraph" w:styleId="ListNumber">
    <w:name w:val="List Number"/>
    <w:basedOn w:val="Normal"/>
    <w:qFormat/>
    <w:locked/>
    <w:rsid w:val="00000630"/>
    <w:pPr>
      <w:numPr>
        <w:numId w:val="6"/>
      </w:numPr>
    </w:pPr>
  </w:style>
  <w:style w:type="character" w:styleId="PageNumber">
    <w:name w:val="page number"/>
    <w:aliases w:val="pn"/>
    <w:basedOn w:val="DefaultParagraphFont"/>
    <w:locked/>
    <w:rsid w:val="00500095"/>
  </w:style>
  <w:style w:type="character" w:styleId="IntenseReference">
    <w:name w:val="Intense Reference"/>
    <w:aliases w:val="Body Text DFD"/>
    <w:uiPriority w:val="32"/>
    <w:qFormat/>
    <w:rsid w:val="008213D0"/>
    <w:rPr>
      <w:rFonts w:ascii="Garamond" w:hAnsi="Garamond"/>
    </w:rPr>
  </w:style>
  <w:style w:type="table" w:customStyle="1" w:styleId="GridTable1Light-Accent51">
    <w:name w:val="Grid Table 1 Light - Accent 51"/>
    <w:basedOn w:val="TableNormal"/>
    <w:uiPriority w:val="46"/>
    <w:rsid w:val="00F360A2"/>
    <w:tblPr>
      <w:tblStyleRowBandSize w:val="1"/>
      <w:tblStyleColBandSize w:val="1"/>
      <w:tblBorders>
        <w:top w:val="single" w:sz="4" w:space="0" w:color="B6DDE8" w:themeColor="accent5" w:themeTint="66"/>
        <w:left w:val="single" w:sz="4" w:space="0" w:color="B6DDE8" w:themeColor="accent5" w:themeTint="66"/>
        <w:bottom w:val="single" w:sz="4" w:space="0" w:color="B6DDE8" w:themeColor="accent5" w:themeTint="66"/>
        <w:right w:val="single" w:sz="4" w:space="0" w:color="B6DDE8" w:themeColor="accent5" w:themeTint="66"/>
        <w:insideH w:val="single" w:sz="4" w:space="0" w:color="B6DDE8" w:themeColor="accent5" w:themeTint="66"/>
        <w:insideV w:val="single" w:sz="4" w:space="0" w:color="B6DDE8" w:themeColor="accent5" w:themeTint="66"/>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2" w:space="0" w:color="92CDDC" w:themeColor="accent5" w:themeTint="99"/>
        </w:tcBorders>
      </w:tcPr>
    </w:tblStylePr>
    <w:tblStylePr w:type="firstCol">
      <w:rPr>
        <w:b/>
        <w:bCs/>
      </w:rPr>
    </w:tblStylePr>
    <w:tblStylePr w:type="lastCol">
      <w:rPr>
        <w:b/>
        <w:bCs/>
      </w:rPr>
    </w:tblStylePr>
  </w:style>
  <w:style w:type="paragraph" w:customStyle="1" w:styleId="BodyTextnoindent">
    <w:name w:val="Body Text no indent"/>
    <w:basedOn w:val="BodyText"/>
    <w:qFormat/>
    <w:rsid w:val="008E4476"/>
    <w:rPr>
      <w:rFonts w:ascii="Times New Roman" w:hAnsi="Times New Roman"/>
      <w:szCs w:val="24"/>
    </w:rPr>
  </w:style>
  <w:style w:type="paragraph" w:styleId="ListNumber2">
    <w:name w:val="List Number 2"/>
    <w:basedOn w:val="Normal"/>
    <w:unhideWhenUsed/>
    <w:qFormat/>
    <w:locked/>
    <w:rsid w:val="008E4476"/>
    <w:pPr>
      <w:numPr>
        <w:numId w:val="7"/>
      </w:numPr>
      <w:contextualSpacing/>
    </w:pPr>
  </w:style>
  <w:style w:type="paragraph" w:customStyle="1" w:styleId="TableTitle-continued0">
    <w:name w:val="Table Title - continued"/>
    <w:basedOn w:val="TableTitle"/>
    <w:rsid w:val="008E4476"/>
    <w:pPr>
      <w:spacing w:before="480" w:after="120" w:line="240" w:lineRule="atLeast"/>
      <w:ind w:left="1224" w:hanging="1224"/>
    </w:pPr>
    <w:rPr>
      <w:rFonts w:eastAsia="MS Mincho"/>
      <w:kern w:val="2"/>
    </w:rPr>
  </w:style>
  <w:style w:type="paragraph" w:customStyle="1" w:styleId="Source75">
    <w:name w:val="Source 7.5"/>
    <w:basedOn w:val="Normal"/>
    <w:rsid w:val="008E4476"/>
    <w:pPr>
      <w:keepLines/>
      <w:spacing w:before="40" w:after="480" w:line="180" w:lineRule="atLeast"/>
    </w:pPr>
    <w:rPr>
      <w:rFonts w:ascii="Arial" w:eastAsia="Batang" w:hAnsi="Arial"/>
      <w:kern w:val="0"/>
      <w:sz w:val="15"/>
      <w:szCs w:val="15"/>
    </w:rPr>
  </w:style>
  <w:style w:type="paragraph" w:customStyle="1" w:styleId="BodyTextkeepw-next">
    <w:name w:val="Body Text keep w-next"/>
    <w:basedOn w:val="BodyText"/>
    <w:rsid w:val="008E4476"/>
    <w:pPr>
      <w:keepNext/>
      <w:spacing w:before="240" w:after="240"/>
      <w:ind w:left="720" w:right="720"/>
    </w:pPr>
    <w:rPr>
      <w:rFonts w:eastAsia="Batang"/>
      <w:szCs w:val="24"/>
    </w:rPr>
  </w:style>
  <w:style w:type="paragraph" w:customStyle="1" w:styleId="Bullet1">
    <w:name w:val="Bullet1"/>
    <w:basedOn w:val="bulletround"/>
    <w:rsid w:val="00C620CB"/>
    <w:pPr>
      <w:keepLines w:val="0"/>
      <w:numPr>
        <w:numId w:val="0"/>
      </w:numPr>
      <w:tabs>
        <w:tab w:val="num" w:pos="1440"/>
      </w:tabs>
      <w:spacing w:before="120"/>
      <w:ind w:left="1440" w:hanging="360"/>
    </w:pPr>
  </w:style>
  <w:style w:type="character" w:customStyle="1" w:styleId="UnresolvedMention1">
    <w:name w:val="Unresolved Mention1"/>
    <w:basedOn w:val="DefaultParagraphFont"/>
    <w:uiPriority w:val="99"/>
    <w:semiHidden/>
    <w:unhideWhenUsed/>
    <w:rsid w:val="005B691D"/>
    <w:rPr>
      <w:color w:val="605E5C"/>
      <w:shd w:val="clear" w:color="auto" w:fill="E1DFDD"/>
    </w:rPr>
  </w:style>
  <w:style w:type="paragraph" w:customStyle="1" w:styleId="IESTitle">
    <w:name w:val="IES Title"/>
    <w:uiPriority w:val="54"/>
    <w:rsid w:val="00121786"/>
    <w:pPr>
      <w:spacing w:line="600" w:lineRule="exact"/>
      <w:outlineLvl w:val="0"/>
    </w:pPr>
    <w:rPr>
      <w:rFonts w:ascii="Arial" w:eastAsia="Batang" w:hAnsi="Arial" w:cs="Arial"/>
      <w:sz w:val="60"/>
      <w:szCs w:val="60"/>
    </w:rPr>
  </w:style>
  <w:style w:type="paragraph" w:customStyle="1" w:styleId="IESSubtitle">
    <w:name w:val="IES Subtitle"/>
    <w:uiPriority w:val="54"/>
    <w:rsid w:val="00121786"/>
    <w:pPr>
      <w:spacing w:line="480" w:lineRule="atLeast"/>
    </w:pPr>
    <w:rPr>
      <w:rFonts w:ascii="Arial" w:eastAsia="Batang" w:hAnsi="Arial" w:cs="Arial"/>
      <w:sz w:val="32"/>
      <w:szCs w:val="32"/>
    </w:rPr>
  </w:style>
  <w:style w:type="paragraph" w:customStyle="1" w:styleId="IESReportType">
    <w:name w:val="IES Report Type"/>
    <w:uiPriority w:val="54"/>
    <w:rsid w:val="00121786"/>
    <w:pPr>
      <w:spacing w:before="480" w:line="480" w:lineRule="atLeast"/>
    </w:pPr>
    <w:rPr>
      <w:rFonts w:ascii="Arial" w:eastAsia="Batang" w:hAnsi="Arial" w:cs="Arial"/>
      <w:sz w:val="32"/>
      <w:szCs w:val="32"/>
    </w:rPr>
  </w:style>
  <w:style w:type="paragraph" w:customStyle="1" w:styleId="IESDate">
    <w:name w:val="IES Date"/>
    <w:uiPriority w:val="54"/>
    <w:rsid w:val="00121786"/>
    <w:pPr>
      <w:spacing w:before="660" w:after="1240" w:line="360" w:lineRule="atLeast"/>
    </w:pPr>
    <w:rPr>
      <w:rFonts w:ascii="Arial" w:eastAsia="Batang" w:hAnsi="Arial" w:cs="Arial"/>
      <w:b/>
      <w:caps/>
      <w:sz w:val="32"/>
      <w:szCs w:val="32"/>
    </w:rPr>
  </w:style>
  <w:style w:type="paragraph" w:customStyle="1" w:styleId="IESAuthor">
    <w:name w:val="IES Author"/>
    <w:basedOn w:val="Default"/>
    <w:uiPriority w:val="54"/>
    <w:rsid w:val="00121786"/>
    <w:rPr>
      <w:rFonts w:ascii="Arial" w:eastAsia="Times New Roman" w:hAnsi="Arial" w:cs="Arial"/>
      <w:b/>
      <w:bCs/>
      <w:color w:val="000000"/>
      <w:lang w:eastAsia="en-US"/>
    </w:rPr>
  </w:style>
  <w:style w:type="paragraph" w:customStyle="1" w:styleId="IESAuthorAffiliation">
    <w:name w:val="IES Author Affiliation"/>
    <w:uiPriority w:val="54"/>
    <w:rsid w:val="00121786"/>
    <w:pPr>
      <w:spacing w:line="320" w:lineRule="atLeast"/>
    </w:pPr>
    <w:rPr>
      <w:rFonts w:ascii="Arial" w:eastAsia="Batang" w:hAnsi="Arial" w:cs="Arial"/>
      <w:sz w:val="24"/>
      <w:szCs w:val="24"/>
    </w:rPr>
  </w:style>
  <w:style w:type="paragraph" w:customStyle="1" w:styleId="IESBoilerplateText">
    <w:name w:val="IES Boilerplate Text"/>
    <w:rsid w:val="00121786"/>
    <w:pPr>
      <w:spacing w:before="120" w:line="240" w:lineRule="atLeast"/>
    </w:pPr>
    <w:rPr>
      <w:rFonts w:ascii="Garamond" w:eastAsia="Batang" w:hAnsi="Garamond"/>
      <w:szCs w:val="24"/>
    </w:rPr>
  </w:style>
  <w:style w:type="paragraph" w:customStyle="1" w:styleId="IESProductNumber">
    <w:name w:val="IES Product Number"/>
    <w:uiPriority w:val="54"/>
    <w:rsid w:val="00121786"/>
    <w:pPr>
      <w:spacing w:line="200" w:lineRule="exact"/>
      <w:ind w:left="-720"/>
    </w:pPr>
    <w:rPr>
      <w:rFonts w:ascii="Arial" w:eastAsia="Batang" w:hAnsi="Arial" w:cs="Arial"/>
      <w:b/>
      <w:caps/>
      <w:sz w:val="16"/>
      <w:szCs w:val="24"/>
    </w:rPr>
  </w:style>
  <w:style w:type="paragraph" w:customStyle="1" w:styleId="IESDepartment">
    <w:name w:val="IES Department"/>
    <w:uiPriority w:val="54"/>
    <w:rsid w:val="00121786"/>
    <w:pPr>
      <w:spacing w:line="320" w:lineRule="exact"/>
      <w:ind w:left="-720"/>
    </w:pPr>
    <w:rPr>
      <w:rFonts w:ascii="Arial" w:eastAsia="Batang" w:hAnsi="Arial" w:cs="Arial"/>
      <w:b/>
      <w:caps/>
      <w:sz w:val="24"/>
      <w:szCs w:val="24"/>
    </w:rPr>
  </w:style>
  <w:style w:type="character" w:customStyle="1" w:styleId="BalloonTextChar1">
    <w:name w:val="Balloon Text Char1"/>
    <w:uiPriority w:val="99"/>
    <w:semiHidden/>
    <w:rsid w:val="00121786"/>
    <w:rPr>
      <w:rFonts w:ascii="Tahoma" w:hAnsi="Tahoma" w:cs="Tahoma"/>
      <w:sz w:val="16"/>
      <w:szCs w:val="16"/>
    </w:rPr>
  </w:style>
  <w:style w:type="paragraph" w:customStyle="1" w:styleId="Legend">
    <w:name w:val="Legend"/>
    <w:next w:val="TOCPre"/>
    <w:uiPriority w:val="39"/>
    <w:rsid w:val="00121786"/>
    <w:pPr>
      <w:tabs>
        <w:tab w:val="right" w:pos="8640"/>
      </w:tabs>
      <w:spacing w:after="160" w:line="280" w:lineRule="atLeast"/>
      <w:ind w:left="720" w:right="720"/>
    </w:pPr>
    <w:rPr>
      <w:rFonts w:ascii="Arial Narrow" w:eastAsia="Batang" w:hAnsi="Arial Narrow"/>
      <w:caps/>
      <w:sz w:val="16"/>
      <w:szCs w:val="16"/>
    </w:rPr>
  </w:style>
  <w:style w:type="paragraph" w:customStyle="1" w:styleId="TOCPre">
    <w:name w:val="TOC Pre"/>
    <w:basedOn w:val="TOC1"/>
    <w:uiPriority w:val="39"/>
    <w:rsid w:val="00121786"/>
    <w:pPr>
      <w:keepNext/>
      <w:tabs>
        <w:tab w:val="right" w:leader="dot" w:pos="8640"/>
        <w:tab w:val="clear" w:pos="10224"/>
      </w:tabs>
      <w:ind w:left="1080" w:right="1260"/>
    </w:pPr>
    <w:rPr>
      <w:rFonts w:eastAsia="Batang"/>
      <w:b w:val="0"/>
      <w:bCs w:val="0"/>
      <w:kern w:val="0"/>
      <w:szCs w:val="24"/>
    </w:rPr>
  </w:style>
  <w:style w:type="paragraph" w:customStyle="1" w:styleId="References">
    <w:name w:val="References"/>
    <w:basedOn w:val="BodyText"/>
    <w:qFormat/>
    <w:rsid w:val="00121786"/>
    <w:pPr>
      <w:keepLines/>
      <w:spacing w:before="240" w:after="240"/>
      <w:ind w:left="1080" w:right="720" w:hanging="360"/>
    </w:pPr>
    <w:rPr>
      <w:rFonts w:eastAsia="Batang"/>
      <w:szCs w:val="24"/>
    </w:rPr>
  </w:style>
  <w:style w:type="paragraph" w:customStyle="1" w:styleId="TOCTables">
    <w:name w:val="TOC Tables"/>
    <w:basedOn w:val="TOC1"/>
    <w:uiPriority w:val="39"/>
    <w:rsid w:val="00121786"/>
    <w:pPr>
      <w:keepLines/>
      <w:tabs>
        <w:tab w:val="right" w:leader="dot" w:pos="8640"/>
        <w:tab w:val="clear" w:pos="10224"/>
      </w:tabs>
      <w:spacing w:after="240"/>
      <w:ind w:left="1080" w:right="1260"/>
    </w:pPr>
    <w:rPr>
      <w:rFonts w:eastAsia="Batang"/>
      <w:b w:val="0"/>
      <w:bCs w:val="0"/>
      <w:kern w:val="0"/>
      <w:szCs w:val="24"/>
    </w:rPr>
  </w:style>
  <w:style w:type="paragraph" w:customStyle="1" w:styleId="Glossary">
    <w:name w:val="Glossary"/>
    <w:basedOn w:val="Index1"/>
    <w:uiPriority w:val="1"/>
    <w:rsid w:val="00121786"/>
    <w:pPr>
      <w:tabs>
        <w:tab w:val="left" w:pos="1440"/>
      </w:tabs>
      <w:spacing w:before="240" w:after="240" w:line="240" w:lineRule="atLeast"/>
      <w:ind w:left="720" w:right="720" w:firstLine="0"/>
      <w:contextualSpacing/>
    </w:pPr>
    <w:rPr>
      <w:rFonts w:eastAsia="Batang"/>
      <w:kern w:val="0"/>
      <w:sz w:val="20"/>
    </w:rPr>
  </w:style>
  <w:style w:type="paragraph" w:customStyle="1" w:styleId="GlossaryIndent">
    <w:name w:val="Glossary Indent"/>
    <w:basedOn w:val="Glossary"/>
    <w:uiPriority w:val="1"/>
    <w:rsid w:val="00121786"/>
    <w:pPr>
      <w:tabs>
        <w:tab w:val="clear" w:pos="1440"/>
      </w:tabs>
      <w:ind w:left="4320" w:hanging="2880"/>
    </w:pPr>
  </w:style>
  <w:style w:type="paragraph" w:customStyle="1" w:styleId="GlossaryHeading">
    <w:name w:val="Glossary Heading"/>
    <w:basedOn w:val="IndexHeading"/>
    <w:next w:val="Glossary"/>
    <w:uiPriority w:val="1"/>
    <w:rsid w:val="00121786"/>
    <w:pPr>
      <w:keepNext/>
      <w:pBdr>
        <w:top w:val="none" w:sz="0" w:space="0" w:color="auto"/>
      </w:pBdr>
      <w:tabs>
        <w:tab w:val="right" w:pos="8640"/>
      </w:tabs>
      <w:spacing w:before="280" w:after="0" w:line="240" w:lineRule="atLeast"/>
      <w:ind w:left="720" w:right="720"/>
    </w:pPr>
    <w:rPr>
      <w:rFonts w:eastAsia="Batang"/>
      <w:bCs/>
      <w:i w:val="0"/>
      <w:kern w:val="0"/>
      <w:sz w:val="20"/>
    </w:rPr>
  </w:style>
  <w:style w:type="paragraph" w:customStyle="1" w:styleId="NCESBoilerplateText">
    <w:name w:val="NCES Boilerplate Text"/>
    <w:rsid w:val="00121786"/>
    <w:pPr>
      <w:tabs>
        <w:tab w:val="left" w:pos="720"/>
        <w:tab w:val="center" w:pos="4680"/>
      </w:tabs>
      <w:autoSpaceDE w:val="0"/>
      <w:autoSpaceDN w:val="0"/>
      <w:adjustRightInd w:val="0"/>
      <w:spacing w:before="180"/>
    </w:pPr>
    <w:rPr>
      <w:rFonts w:ascii="ITC Avant Garde Std Bk" w:eastAsia="Batang" w:hAnsi="ITC Avant Garde Std Bk"/>
      <w:color w:val="000000"/>
      <w:sz w:val="24"/>
      <w:szCs w:val="24"/>
    </w:rPr>
  </w:style>
  <w:style w:type="paragraph" w:customStyle="1" w:styleId="Default">
    <w:name w:val="Default"/>
    <w:rsid w:val="00121786"/>
    <w:pPr>
      <w:autoSpaceDE w:val="0"/>
      <w:autoSpaceDN w:val="0"/>
      <w:adjustRightInd w:val="0"/>
    </w:pPr>
    <w:rPr>
      <w:rFonts w:ascii="Garamond" w:eastAsia="SimSun" w:hAnsi="Garamond"/>
      <w:sz w:val="24"/>
      <w:szCs w:val="24"/>
      <w:lang w:eastAsia="zh-CN"/>
    </w:rPr>
  </w:style>
  <w:style w:type="paragraph" w:styleId="EndnoteText">
    <w:name w:val="endnote text"/>
    <w:basedOn w:val="BodyText"/>
    <w:link w:val="EndnoteTextChar"/>
    <w:qFormat/>
    <w:locked/>
    <w:rsid w:val="00121786"/>
    <w:pPr>
      <w:spacing w:before="240" w:after="0" w:line="240" w:lineRule="atLeast"/>
    </w:pPr>
    <w:rPr>
      <w:rFonts w:ascii="Myriad Pro" w:eastAsia="Batang" w:hAnsi="Myriad Pro"/>
      <w:sz w:val="16"/>
      <w:szCs w:val="22"/>
    </w:rPr>
  </w:style>
  <w:style w:type="character" w:customStyle="1" w:styleId="EndnoteTextChar">
    <w:name w:val="Endnote Text Char"/>
    <w:basedOn w:val="DefaultParagraphFont"/>
    <w:link w:val="EndnoteText"/>
    <w:rsid w:val="00121786"/>
    <w:rPr>
      <w:rFonts w:ascii="Myriad Pro" w:eastAsia="Batang" w:hAnsi="Myriad Pro"/>
      <w:sz w:val="16"/>
      <w:szCs w:val="22"/>
    </w:rPr>
  </w:style>
  <w:style w:type="character" w:styleId="EndnoteReference">
    <w:name w:val="endnote reference"/>
    <w:locked/>
    <w:rsid w:val="00121786"/>
    <w:rPr>
      <w:vertAlign w:val="superscript"/>
    </w:rPr>
  </w:style>
  <w:style w:type="paragraph" w:customStyle="1" w:styleId="CoverTitle">
    <w:name w:val="Cover Title"/>
    <w:basedOn w:val="Normal"/>
    <w:qFormat/>
    <w:rsid w:val="00121786"/>
    <w:pPr>
      <w:autoSpaceDE w:val="0"/>
      <w:autoSpaceDN w:val="0"/>
      <w:adjustRightInd w:val="0"/>
    </w:pPr>
    <w:rPr>
      <w:rFonts w:ascii="Arial" w:eastAsia="Calibri" w:hAnsi="Arial" w:cs="Arial"/>
      <w:bCs/>
      <w:kern w:val="0"/>
      <w:sz w:val="60"/>
      <w:szCs w:val="60"/>
    </w:rPr>
  </w:style>
  <w:style w:type="character" w:customStyle="1" w:styleId="pagecontentsubtitle">
    <w:name w:val="pagecontentsubtitle"/>
    <w:basedOn w:val="DefaultParagraphFont"/>
    <w:rsid w:val="00121786"/>
  </w:style>
  <w:style w:type="paragraph" w:customStyle="1" w:styleId="Variables">
    <w:name w:val="Variables"/>
    <w:basedOn w:val="Normal"/>
    <w:qFormat/>
    <w:rsid w:val="00121786"/>
    <w:pPr>
      <w:widowControl w:val="0"/>
      <w:tabs>
        <w:tab w:val="left" w:pos="4320"/>
      </w:tabs>
      <w:spacing w:line="200" w:lineRule="exact"/>
    </w:pPr>
    <w:rPr>
      <w:rFonts w:ascii="Calibri" w:eastAsia="Calibri" w:hAnsi="Calibri" w:cs="Arial"/>
      <w:kern w:val="0"/>
      <w:sz w:val="16"/>
    </w:rPr>
  </w:style>
  <w:style w:type="paragraph" w:styleId="NormalWeb">
    <w:name w:val="Normal (Web)"/>
    <w:basedOn w:val="Normal"/>
    <w:uiPriority w:val="99"/>
    <w:unhideWhenUsed/>
    <w:locked/>
    <w:rsid w:val="00121786"/>
    <w:pPr>
      <w:spacing w:before="100" w:beforeAutospacing="1" w:after="100" w:afterAutospacing="1"/>
    </w:pPr>
    <w:rPr>
      <w:rFonts w:ascii="Times New Roman" w:eastAsia="Batang" w:hAnsi="Times New Roman"/>
      <w:kern w:val="0"/>
      <w:szCs w:val="24"/>
      <w:lang w:eastAsia="zh-CN"/>
    </w:rPr>
  </w:style>
  <w:style w:type="paragraph" w:customStyle="1" w:styleId="BlockQuote">
    <w:name w:val="Block Quote"/>
    <w:basedOn w:val="Normal"/>
    <w:qFormat/>
    <w:rsid w:val="00121786"/>
    <w:pPr>
      <w:autoSpaceDE w:val="0"/>
      <w:autoSpaceDN w:val="0"/>
      <w:adjustRightInd w:val="0"/>
      <w:ind w:left="1440" w:right="1440"/>
    </w:pPr>
    <w:rPr>
      <w:rFonts w:eastAsia="Calibri"/>
      <w:bCs/>
      <w:kern w:val="0"/>
      <w:szCs w:val="24"/>
    </w:rPr>
  </w:style>
  <w:style w:type="paragraph" w:styleId="Date">
    <w:name w:val="Date"/>
    <w:basedOn w:val="Normal"/>
    <w:next w:val="Normal"/>
    <w:link w:val="DateChar"/>
    <w:locked/>
    <w:rsid w:val="00121786"/>
    <w:pPr>
      <w:spacing w:line="320" w:lineRule="atLeast"/>
    </w:pPr>
    <w:rPr>
      <w:rFonts w:eastAsia="Batang"/>
      <w:kern w:val="0"/>
      <w:szCs w:val="24"/>
    </w:rPr>
  </w:style>
  <w:style w:type="character" w:customStyle="1" w:styleId="DateChar">
    <w:name w:val="Date Char"/>
    <w:basedOn w:val="DefaultParagraphFont"/>
    <w:link w:val="Date"/>
    <w:rsid w:val="00121786"/>
    <w:rPr>
      <w:rFonts w:ascii="Garamond" w:eastAsia="Batang" w:hAnsi="Garamond"/>
      <w:sz w:val="24"/>
      <w:szCs w:val="24"/>
    </w:rPr>
  </w:style>
  <w:style w:type="character" w:styleId="LineNumber">
    <w:name w:val="line number"/>
    <w:basedOn w:val="DefaultParagraphFont"/>
    <w:locked/>
    <w:rsid w:val="00121786"/>
  </w:style>
  <w:style w:type="character" w:styleId="Emphasis">
    <w:name w:val="Emphasis"/>
    <w:uiPriority w:val="20"/>
    <w:qFormat/>
    <w:locked/>
    <w:rsid w:val="00121786"/>
    <w:rPr>
      <w:i/>
      <w:iCs/>
    </w:rPr>
  </w:style>
  <w:style w:type="paragraph" w:customStyle="1" w:styleId="Footnotefortable">
    <w:name w:val="Footnote for table"/>
    <w:basedOn w:val="Normal"/>
    <w:rsid w:val="00121786"/>
    <w:pPr>
      <w:tabs>
        <w:tab w:val="left" w:pos="3780"/>
      </w:tabs>
      <w:autoSpaceDE w:val="0"/>
      <w:autoSpaceDN w:val="0"/>
      <w:adjustRightInd w:val="0"/>
      <w:snapToGrid w:val="0"/>
      <w:spacing w:after="360"/>
    </w:pPr>
    <w:rPr>
      <w:rFonts w:eastAsia="Calibri"/>
      <w:kern w:val="0"/>
      <w:sz w:val="20"/>
    </w:rPr>
  </w:style>
  <w:style w:type="paragraph" w:customStyle="1" w:styleId="Tabletextcolumnheads">
    <w:name w:val="Table text column heads"/>
    <w:basedOn w:val="Tabletext"/>
    <w:rsid w:val="00121786"/>
    <w:pPr>
      <w:spacing w:line="320" w:lineRule="atLeast"/>
      <w:ind w:left="0" w:firstLine="0"/>
    </w:pPr>
    <w:rPr>
      <w:rFonts w:eastAsia="Batang"/>
      <w:b/>
      <w:kern w:val="0"/>
      <w:sz w:val="24"/>
      <w:szCs w:val="24"/>
    </w:rPr>
  </w:style>
  <w:style w:type="paragraph" w:customStyle="1" w:styleId="Tabletextindented">
    <w:name w:val="Table text indented"/>
    <w:basedOn w:val="Tabletext"/>
    <w:rsid w:val="00121786"/>
    <w:pPr>
      <w:spacing w:line="200" w:lineRule="atLeast"/>
      <w:ind w:left="228" w:firstLine="0"/>
    </w:pPr>
    <w:rPr>
      <w:rFonts w:eastAsia="Batang"/>
      <w:kern w:val="0"/>
    </w:rPr>
  </w:style>
  <w:style w:type="paragraph" w:customStyle="1" w:styleId="TabletextAppxD">
    <w:name w:val="Table text AppxD"/>
    <w:basedOn w:val="Tabletext"/>
    <w:rsid w:val="00121786"/>
    <w:pPr>
      <w:spacing w:line="200" w:lineRule="atLeast"/>
      <w:ind w:left="270" w:hanging="270"/>
    </w:pPr>
    <w:rPr>
      <w:rFonts w:eastAsia="Batang"/>
      <w:kern w:val="0"/>
    </w:rPr>
  </w:style>
  <w:style w:type="paragraph" w:customStyle="1" w:styleId="ContentsHeading">
    <w:name w:val="Contents Heading"/>
    <w:basedOn w:val="Heading1"/>
    <w:rsid w:val="00121786"/>
    <w:pPr>
      <w:tabs>
        <w:tab w:val="clear" w:pos="540"/>
      </w:tabs>
      <w:spacing w:before="480" w:after="240" w:line="640" w:lineRule="atLeast"/>
    </w:pPr>
    <w:rPr>
      <w:rFonts w:ascii="Arial Narrow" w:eastAsia="Batang" w:hAnsi="Arial Narrow"/>
      <w:color w:val="1F497D" w:themeColor="text2"/>
      <w:sz w:val="48"/>
      <w:szCs w:val="48"/>
    </w:rPr>
  </w:style>
  <w:style w:type="paragraph" w:customStyle="1" w:styleId="FMHeading">
    <w:name w:val="FM Heading"/>
    <w:basedOn w:val="Heading1"/>
    <w:next w:val="BodyText"/>
    <w:rsid w:val="00121786"/>
    <w:pPr>
      <w:tabs>
        <w:tab w:val="clear" w:pos="540"/>
      </w:tabs>
      <w:spacing w:before="640" w:after="640" w:line="640" w:lineRule="atLeast"/>
    </w:pPr>
    <w:rPr>
      <w:rFonts w:ascii="Arial Narrow" w:eastAsia="Batang" w:hAnsi="Arial Narrow"/>
      <w:color w:val="1F497D" w:themeColor="text2"/>
      <w:sz w:val="48"/>
      <w:szCs w:val="48"/>
    </w:rPr>
  </w:style>
  <w:style w:type="paragraph" w:styleId="HTMLAddress">
    <w:name w:val="HTML Address"/>
    <w:basedOn w:val="Normal"/>
    <w:link w:val="HTMLAddressChar"/>
    <w:uiPriority w:val="99"/>
    <w:unhideWhenUsed/>
    <w:locked/>
    <w:rsid w:val="00121786"/>
    <w:rPr>
      <w:rFonts w:ascii="Times New Roman" w:eastAsia="Batang" w:hAnsi="Times New Roman"/>
      <w:kern w:val="0"/>
      <w:szCs w:val="24"/>
    </w:rPr>
  </w:style>
  <w:style w:type="character" w:customStyle="1" w:styleId="HTMLAddressChar">
    <w:name w:val="HTML Address Char"/>
    <w:basedOn w:val="DefaultParagraphFont"/>
    <w:link w:val="HTMLAddress"/>
    <w:uiPriority w:val="99"/>
    <w:rsid w:val="00121786"/>
    <w:rPr>
      <w:rFonts w:eastAsia="Batang"/>
      <w:sz w:val="24"/>
      <w:szCs w:val="24"/>
    </w:rPr>
  </w:style>
  <w:style w:type="paragraph" w:customStyle="1" w:styleId="Source">
    <w:name w:val="Source"/>
    <w:basedOn w:val="Normal"/>
    <w:next w:val="BodyText"/>
    <w:link w:val="SourceChar"/>
    <w:rsid w:val="00121786"/>
    <w:pPr>
      <w:keepLines/>
      <w:spacing w:before="40" w:line="180" w:lineRule="atLeast"/>
      <w:contextualSpacing/>
    </w:pPr>
    <w:rPr>
      <w:rFonts w:ascii="Arial" w:eastAsia="Batang" w:hAnsi="Arial"/>
      <w:kern w:val="0"/>
      <w:sz w:val="16"/>
      <w:szCs w:val="18"/>
    </w:rPr>
  </w:style>
  <w:style w:type="paragraph" w:customStyle="1" w:styleId="Tableheadingcenter">
    <w:name w:val="Table heading center"/>
    <w:basedOn w:val="Tabletext"/>
    <w:qFormat/>
    <w:rsid w:val="00121786"/>
    <w:pPr>
      <w:spacing w:line="200" w:lineRule="atLeast"/>
      <w:ind w:left="0" w:firstLine="0"/>
      <w:jc w:val="center"/>
    </w:pPr>
    <w:rPr>
      <w:rFonts w:eastAsia="Batang"/>
      <w:kern w:val="0"/>
    </w:rPr>
  </w:style>
  <w:style w:type="paragraph" w:customStyle="1" w:styleId="Tablenumbers">
    <w:name w:val="Table numbers"/>
    <w:rsid w:val="009111B4"/>
    <w:pPr>
      <w:keepNext/>
      <w:spacing w:before="20" w:after="20" w:line="200" w:lineRule="atLeast"/>
      <w:jc w:val="right"/>
    </w:pPr>
    <w:rPr>
      <w:rFonts w:ascii="Arial" w:eastAsia="Batang" w:hAnsi="Arial" w:cs="Arial"/>
      <w:snapToGrid w:val="0"/>
      <w:sz w:val="16"/>
    </w:rPr>
  </w:style>
  <w:style w:type="paragraph" w:styleId="Caption">
    <w:name w:val="caption"/>
    <w:basedOn w:val="Equation0"/>
    <w:next w:val="Normal"/>
    <w:uiPriority w:val="35"/>
    <w:unhideWhenUsed/>
    <w:qFormat/>
    <w:locked/>
    <w:rsid w:val="00121786"/>
  </w:style>
  <w:style w:type="table" w:styleId="MediumGrid3Accent1">
    <w:name w:val="Medium Grid 3 Accent 1"/>
    <w:aliases w:val="NCES DFD"/>
    <w:basedOn w:val="TableNormal"/>
    <w:rsid w:val="00121786"/>
    <w:rPr>
      <w:rFonts w:ascii="Arial" w:eastAsia="Batang" w:hAnsi="Arial"/>
      <w:sz w:val="18"/>
    </w:rPr>
    <w:tblPr>
      <w:tblStyleRowBandSize w:val="1"/>
      <w:tblStyleColBandSize w:val="1"/>
      <w:tblInd w:w="864" w:type="dxa"/>
      <w:tblBorders>
        <w:bottom w:val="single" w:sz="24" w:space="0" w:color="07275E"/>
      </w:tblBorders>
    </w:tblPr>
    <w:tcPr>
      <w:shd w:val="clear" w:color="auto" w:fill="EEF2F8"/>
      <w:vAlign w:val="bottom"/>
    </w:tcPr>
    <w:tblStylePr w:type="firstRow">
      <w:rPr>
        <w:b w:val="0"/>
        <w:bCs/>
        <w:i w:val="0"/>
        <w:iCs w:val="0"/>
        <w:color w:val="FFFFFF"/>
      </w:rPr>
      <w:tblPr/>
      <w:tcPr>
        <w:shd w:val="clear" w:color="auto" w:fill="0A357E"/>
      </w:tcPr>
    </w:tblStylePr>
    <w:tblStylePr w:type="lastRow">
      <w:rPr>
        <w:b w:val="0"/>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0A357E"/>
      </w:tcPr>
    </w:tblStylePr>
    <w:tblStylePr w:type="firstCol">
      <w:pPr>
        <w:jc w:val="left"/>
      </w:pPr>
      <w:rPr>
        <w:b w:val="0"/>
        <w:bCs/>
        <w:i w:val="0"/>
        <w:iCs w:val="0"/>
        <w:color w:val="FFFFFF"/>
        <w:sz w:val="20"/>
      </w:rPr>
      <w:tblPr/>
      <w:tcPr>
        <w:tcBorders>
          <w:top w:val="nil"/>
          <w:left w:val="nil"/>
          <w:bottom w:val="nil"/>
          <w:right w:val="nil"/>
          <w:insideH w:val="nil"/>
          <w:insideV w:val="nil"/>
          <w:tl2br w:val="nil"/>
          <w:tr2bl w:val="nil"/>
        </w:tcBorders>
        <w:shd w:val="clear" w:color="auto" w:fill="0A357E"/>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0A357E"/>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528CF1"/>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528CF1"/>
      </w:tcPr>
    </w:tblStylePr>
  </w:style>
  <w:style w:type="character" w:customStyle="1" w:styleId="SourceChar">
    <w:name w:val="Source Char"/>
    <w:link w:val="Source"/>
    <w:locked/>
    <w:rsid w:val="00121786"/>
    <w:rPr>
      <w:rFonts w:ascii="Arial" w:eastAsia="Batang" w:hAnsi="Arial"/>
      <w:sz w:val="16"/>
      <w:szCs w:val="18"/>
    </w:rPr>
  </w:style>
  <w:style w:type="paragraph" w:customStyle="1" w:styleId="Tableheadingleft">
    <w:name w:val="Table heading left"/>
    <w:basedOn w:val="Tabletext"/>
    <w:qFormat/>
    <w:rsid w:val="00121786"/>
    <w:pPr>
      <w:spacing w:line="200" w:lineRule="atLeast"/>
      <w:ind w:left="0" w:firstLine="0"/>
    </w:pPr>
    <w:rPr>
      <w:rFonts w:eastAsia="Batang"/>
      <w:kern w:val="0"/>
    </w:rPr>
  </w:style>
  <w:style w:type="paragraph" w:customStyle="1" w:styleId="0blankrow">
    <w:name w:val="0_blank row"/>
    <w:basedOn w:val="Normal"/>
    <w:qFormat/>
    <w:rsid w:val="00121786"/>
    <w:pPr>
      <w:keepNext/>
      <w:spacing w:line="160" w:lineRule="exact"/>
      <w:ind w:left="317" w:hanging="317"/>
    </w:pPr>
    <w:rPr>
      <w:rFonts w:ascii="Arial" w:eastAsia="Batang" w:hAnsi="Arial"/>
      <w:kern w:val="0"/>
      <w:sz w:val="18"/>
    </w:rPr>
  </w:style>
  <w:style w:type="paragraph" w:customStyle="1" w:styleId="Source1">
    <w:name w:val="Source1"/>
    <w:basedOn w:val="Normal"/>
    <w:next w:val="BodyText"/>
    <w:link w:val="Source1Char"/>
    <w:rsid w:val="00121786"/>
    <w:pPr>
      <w:spacing w:before="20" w:line="240" w:lineRule="atLeast"/>
    </w:pPr>
    <w:rPr>
      <w:rFonts w:ascii="Arial" w:eastAsia="Batang" w:hAnsi="Arial"/>
      <w:kern w:val="0"/>
      <w:sz w:val="16"/>
      <w:szCs w:val="18"/>
    </w:rPr>
  </w:style>
  <w:style w:type="character" w:customStyle="1" w:styleId="Source1Char">
    <w:name w:val="Source1 Char"/>
    <w:link w:val="Source1"/>
    <w:rsid w:val="00121786"/>
    <w:rPr>
      <w:rFonts w:ascii="Arial" w:eastAsia="Batang" w:hAnsi="Arial"/>
      <w:sz w:val="16"/>
      <w:szCs w:val="18"/>
    </w:rPr>
  </w:style>
  <w:style w:type="paragraph" w:styleId="NoSpacing">
    <w:name w:val="No Spacing"/>
    <w:uiPriority w:val="1"/>
    <w:qFormat/>
    <w:rsid w:val="00121786"/>
    <w:rPr>
      <w:rFonts w:ascii="Garamond" w:eastAsia="Garamond" w:hAnsi="Garamond"/>
      <w:sz w:val="22"/>
      <w:szCs w:val="22"/>
    </w:rPr>
  </w:style>
  <w:style w:type="paragraph" w:customStyle="1" w:styleId="Equation0">
    <w:name w:val="Equation"/>
    <w:basedOn w:val="Normal"/>
    <w:uiPriority w:val="99"/>
    <w:qFormat/>
    <w:rsid w:val="00121786"/>
    <w:pPr>
      <w:keepNext/>
      <w:tabs>
        <w:tab w:val="center" w:pos="4680"/>
        <w:tab w:val="right" w:pos="9360"/>
      </w:tabs>
      <w:spacing w:before="120" w:after="120" w:line="281" w:lineRule="auto"/>
    </w:pPr>
    <w:rPr>
      <w:rFonts w:eastAsia="Batang" w:asciiTheme="minorHAnsi" w:hAnsiTheme="minorHAnsi"/>
      <w:kern w:val="0"/>
    </w:rPr>
  </w:style>
  <w:style w:type="table" w:customStyle="1" w:styleId="NCESDFD1">
    <w:name w:val="NCES DFD1"/>
    <w:basedOn w:val="TableNormal"/>
    <w:next w:val="MediumGrid3Accent1"/>
    <w:rsid w:val="00121786"/>
    <w:rPr>
      <w:rFonts w:ascii="Arial" w:eastAsia="Batang" w:hAnsi="Arial"/>
      <w:sz w:val="18"/>
    </w:rPr>
    <w:tblPr>
      <w:tblStyleRowBandSize w:val="1"/>
      <w:tblStyleColBandSize w:val="1"/>
      <w:tblInd w:w="864" w:type="dxa"/>
      <w:tblBorders>
        <w:bottom w:val="single" w:sz="24" w:space="0" w:color="07275E"/>
      </w:tblBorders>
    </w:tblPr>
    <w:tcPr>
      <w:shd w:val="clear" w:color="auto" w:fill="EEF2F8"/>
      <w:vAlign w:val="bottom"/>
    </w:tcPr>
    <w:tblStylePr w:type="firstRow">
      <w:rPr>
        <w:b w:val="0"/>
        <w:bCs/>
        <w:i w:val="0"/>
        <w:iCs w:val="0"/>
        <w:color w:val="FFFFFF"/>
      </w:rPr>
      <w:tblPr/>
      <w:tcPr>
        <w:shd w:val="clear" w:color="auto" w:fill="0A357E"/>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0A357E"/>
      </w:tcPr>
    </w:tblStylePr>
    <w:tblStylePr w:type="firstCol">
      <w:pPr>
        <w:jc w:val="left"/>
      </w:pPr>
      <w:rPr>
        <w:b/>
        <w:bCs/>
        <w:i w:val="0"/>
        <w:iCs w:val="0"/>
        <w:color w:val="FFFFFF"/>
        <w:sz w:val="20"/>
      </w:rPr>
      <w:tblPr/>
      <w:tcPr>
        <w:tcBorders>
          <w:top w:val="nil"/>
          <w:left w:val="nil"/>
          <w:bottom w:val="nil"/>
          <w:right w:val="nil"/>
          <w:insideH w:val="nil"/>
          <w:insideV w:val="nil"/>
          <w:tl2br w:val="nil"/>
          <w:tr2bl w:val="nil"/>
        </w:tcBorders>
        <w:shd w:val="clear" w:color="auto" w:fill="0A357E"/>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0A357E"/>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528CF1"/>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528CF1"/>
      </w:tcPr>
    </w:tblStylePr>
  </w:style>
  <w:style w:type="paragraph" w:customStyle="1" w:styleId="Source2">
    <w:name w:val="Source2"/>
    <w:basedOn w:val="Source"/>
    <w:qFormat/>
    <w:rsid w:val="00121786"/>
    <w:pPr>
      <w:keepLines w:val="0"/>
      <w:spacing w:after="360" w:line="240" w:lineRule="auto"/>
    </w:pPr>
  </w:style>
  <w:style w:type="paragraph" w:customStyle="1" w:styleId="Bodynoindent">
    <w:name w:val="Body no indent"/>
    <w:basedOn w:val="Normal"/>
    <w:rsid w:val="00121786"/>
    <w:pPr>
      <w:spacing w:before="120" w:after="120" w:line="253" w:lineRule="atLeast"/>
    </w:pPr>
    <w:rPr>
      <w:rFonts w:ascii="Times New Roman" w:eastAsia="Batang" w:hAnsi="Times New Roman"/>
      <w:kern w:val="0"/>
    </w:rPr>
  </w:style>
  <w:style w:type="paragraph" w:customStyle="1" w:styleId="tableheadingleft0">
    <w:name w:val="table heading_left"/>
    <w:basedOn w:val="Tableheading"/>
    <w:qFormat/>
    <w:rsid w:val="00121786"/>
    <w:pPr>
      <w:spacing w:line="240" w:lineRule="atLeast"/>
      <w:jc w:val="left"/>
    </w:pPr>
    <w:rPr>
      <w:rFonts w:eastAsia="Batang"/>
      <w:kern w:val="0"/>
    </w:rPr>
  </w:style>
  <w:style w:type="paragraph" w:styleId="BodyTextIndent2">
    <w:name w:val="Body Text Indent 2"/>
    <w:basedOn w:val="Normal"/>
    <w:link w:val="BodyTextIndent2Char"/>
    <w:locked/>
    <w:rsid w:val="00121786"/>
    <w:pPr>
      <w:spacing w:after="120" w:line="480" w:lineRule="auto"/>
      <w:ind w:left="360"/>
    </w:pPr>
    <w:rPr>
      <w:rFonts w:ascii="Times New Roman" w:eastAsia="Batang" w:hAnsi="Times New Roman"/>
      <w:kern w:val="0"/>
    </w:rPr>
  </w:style>
  <w:style w:type="character" w:customStyle="1" w:styleId="BodyTextIndent2Char">
    <w:name w:val="Body Text Indent 2 Char"/>
    <w:basedOn w:val="DefaultParagraphFont"/>
    <w:link w:val="BodyTextIndent2"/>
    <w:rsid w:val="00121786"/>
    <w:rPr>
      <w:rFonts w:eastAsia="Batang"/>
      <w:sz w:val="24"/>
    </w:rPr>
  </w:style>
  <w:style w:type="paragraph" w:customStyle="1" w:styleId="FigureCaption">
    <w:name w:val="Figure Caption"/>
    <w:basedOn w:val="Caption"/>
    <w:qFormat/>
    <w:rsid w:val="00121786"/>
    <w:pPr>
      <w:keepLines/>
      <w:tabs>
        <w:tab w:val="left" w:pos="1080"/>
      </w:tabs>
      <w:spacing w:before="240"/>
      <w:ind w:left="1080" w:hanging="1080"/>
    </w:pPr>
    <w:rPr>
      <w:rFonts w:ascii="Arial" w:hAnsi="Arial"/>
      <w:kern w:val="2"/>
      <w:sz w:val="20"/>
      <w:lang w:eastAsia="ko-KR"/>
    </w:rPr>
  </w:style>
  <w:style w:type="paragraph" w:customStyle="1" w:styleId="Headerevenpage">
    <w:name w:val="Header even page"/>
    <w:rsid w:val="00121786"/>
    <w:pPr>
      <w:ind w:left="230" w:right="230"/>
    </w:pPr>
    <w:rPr>
      <w:rFonts w:ascii="Arial Narrow" w:eastAsia="Calibri" w:hAnsi="Arial Narrow"/>
      <w:caps/>
      <w:sz w:val="16"/>
      <w:szCs w:val="24"/>
    </w:rPr>
  </w:style>
  <w:style w:type="table" w:customStyle="1" w:styleId="Headerevenpageastable">
    <w:name w:val="Header even page as table"/>
    <w:basedOn w:val="TableNormal"/>
    <w:uiPriority w:val="99"/>
    <w:rsid w:val="00121786"/>
    <w:pPr>
      <w:tabs>
        <w:tab w:val="left" w:pos="230"/>
      </w:tabs>
      <w:spacing w:line="200" w:lineRule="exact"/>
    </w:pPr>
    <w:rPr>
      <w:rFonts w:ascii="Arial Narrow" w:eastAsia="Calibri" w:hAnsi="Arial Narrow"/>
      <w:caps/>
      <w:sz w:val="16"/>
    </w:rPr>
    <w:tblPr/>
    <w:trPr>
      <w:cantSplit/>
    </w:trPr>
    <w:tcPr>
      <w:tcMar>
        <w:left w:w="0" w:type="dxa"/>
        <w:right w:w="0" w:type="dxa"/>
      </w:tcMar>
      <w:vAlign w:val="bottom"/>
    </w:tcPr>
    <w:tblStylePr w:type="firstCol">
      <w:pPr>
        <w:jc w:val="center"/>
      </w:pPr>
      <w:rPr>
        <w:rFonts w:ascii="Adobe Garamond Pro" w:hAnsi="Adobe Garamond Pro"/>
        <w:sz w:val="16"/>
      </w:rPr>
      <w:tblPr/>
      <w:tcPr>
        <w:tcBorders>
          <w:left w:val="single" w:sz="4" w:space="0" w:color="auto"/>
          <w:right w:val="single" w:sz="4" w:space="0" w:color="auto"/>
        </w:tcBorders>
      </w:tcPr>
    </w:tblStylePr>
  </w:style>
  <w:style w:type="paragraph" w:customStyle="1" w:styleId="Footeroddpage">
    <w:name w:val="Footer odd page"/>
    <w:basedOn w:val="Footer"/>
    <w:rsid w:val="00121786"/>
    <w:pPr>
      <w:spacing w:line="200" w:lineRule="exact"/>
      <w:jc w:val="right"/>
    </w:pPr>
    <w:rPr>
      <w:rFonts w:ascii="Arial Narrow" w:eastAsia="Batang" w:hAnsi="Arial Narrow"/>
      <w:caps/>
      <w:kern w:val="0"/>
      <w:sz w:val="16"/>
      <w:szCs w:val="24"/>
    </w:rPr>
  </w:style>
  <w:style w:type="paragraph" w:customStyle="1" w:styleId="Footerevenpage">
    <w:name w:val="Footer even page"/>
    <w:basedOn w:val="Footeroddpage"/>
    <w:rsid w:val="00121786"/>
    <w:pPr>
      <w:jc w:val="left"/>
    </w:pPr>
  </w:style>
  <w:style w:type="table" w:customStyle="1" w:styleId="GridTable4-Accent11">
    <w:name w:val="Grid Table 4 - Accent 11"/>
    <w:basedOn w:val="TableNormal"/>
    <w:uiPriority w:val="49"/>
    <w:rsid w:val="00121786"/>
    <w:rPr>
      <w:rFonts w:ascii="Adobe Garamond Pro" w:eastAsia="Batang" w:hAnsi="Adobe Garamond Pro"/>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val="0"/>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paragraph" w:customStyle="1" w:styleId="HeaderOddPage">
    <w:name w:val="Header Odd Page"/>
    <w:basedOn w:val="Headerevenpage"/>
    <w:rsid w:val="00121786"/>
    <w:pPr>
      <w:jc w:val="right"/>
    </w:pPr>
  </w:style>
  <w:style w:type="paragraph" w:customStyle="1" w:styleId="Headeroddpage0">
    <w:name w:val="Header odd page"/>
    <w:basedOn w:val="Normal"/>
    <w:rsid w:val="00121786"/>
    <w:pPr>
      <w:tabs>
        <w:tab w:val="left" w:pos="230"/>
      </w:tabs>
      <w:spacing w:line="200" w:lineRule="exact"/>
      <w:ind w:left="230" w:right="230"/>
      <w:jc w:val="right"/>
    </w:pPr>
    <w:rPr>
      <w:rFonts w:ascii="Arial Narrow" w:eastAsia="Calibri" w:hAnsi="Arial Narrow"/>
      <w:caps/>
      <w:kern w:val="0"/>
      <w:sz w:val="16"/>
    </w:rPr>
  </w:style>
  <w:style w:type="paragraph" w:customStyle="1" w:styleId="Blankrow">
    <w:name w:val="Blank row"/>
    <w:basedOn w:val="Normal"/>
    <w:rsid w:val="00121786"/>
    <w:pPr>
      <w:keepNext/>
      <w:spacing w:line="180" w:lineRule="atLeast"/>
      <w:ind w:left="317" w:hanging="317"/>
    </w:pPr>
    <w:rPr>
      <w:rFonts w:ascii="Arial" w:hAnsi="Arial" w:eastAsiaTheme="minorHAnsi" w:cs="Arial"/>
      <w:kern w:val="0"/>
      <w:sz w:val="18"/>
      <w:szCs w:val="18"/>
      <w:lang w:bidi="he-IL"/>
    </w:rPr>
  </w:style>
  <w:style w:type="paragraph" w:styleId="ListContinue">
    <w:name w:val="List Continue"/>
    <w:basedOn w:val="Normal"/>
    <w:semiHidden/>
    <w:unhideWhenUsed/>
    <w:locked/>
    <w:rsid w:val="00121786"/>
    <w:pPr>
      <w:spacing w:after="120" w:line="320" w:lineRule="atLeast"/>
      <w:ind w:left="360"/>
      <w:contextualSpacing/>
    </w:pPr>
    <w:rPr>
      <w:rFonts w:eastAsia="Batang"/>
      <w:kern w:val="0"/>
      <w:szCs w:val="24"/>
    </w:rPr>
  </w:style>
  <w:style w:type="paragraph" w:customStyle="1" w:styleId="Nospace">
    <w:name w:val="No space"/>
    <w:basedOn w:val="BodyText"/>
    <w:next w:val="BlockText"/>
    <w:rsid w:val="00121786"/>
    <w:pPr>
      <w:spacing w:before="0" w:after="0"/>
      <w:ind w:left="720" w:right="720"/>
    </w:pPr>
    <w:rPr>
      <w:rFonts w:eastAsia="Batang"/>
      <w:sz w:val="8"/>
      <w:szCs w:val="8"/>
    </w:rPr>
  </w:style>
  <w:style w:type="paragraph" w:customStyle="1" w:styleId="blankrow0">
    <w:name w:val="blank row"/>
    <w:basedOn w:val="Normal"/>
    <w:qFormat/>
    <w:rsid w:val="00121786"/>
    <w:pPr>
      <w:keepNext/>
      <w:spacing w:line="160" w:lineRule="exact"/>
      <w:ind w:left="317" w:hanging="317"/>
    </w:pPr>
    <w:rPr>
      <w:rFonts w:ascii="Arial" w:eastAsia="Batang" w:hAnsi="Arial"/>
      <w:kern w:val="0"/>
      <w:sz w:val="18"/>
    </w:rPr>
  </w:style>
  <w:style w:type="paragraph" w:customStyle="1" w:styleId="Heading1Front-BackMatter">
    <w:name w:val="Heading 1 Front-Back Matter"/>
    <w:basedOn w:val="Heading1"/>
    <w:next w:val="BodyText"/>
    <w:rsid w:val="00121786"/>
    <w:pPr>
      <w:tabs>
        <w:tab w:val="clear" w:pos="540"/>
      </w:tabs>
      <w:spacing w:before="640" w:after="640" w:line="640" w:lineRule="atLeast"/>
    </w:pPr>
    <w:rPr>
      <w:rFonts w:ascii="Arial Narrow" w:eastAsia="Batang" w:hAnsi="Arial Narrow"/>
      <w:color w:val="1F497D" w:themeColor="text2"/>
      <w:sz w:val="48"/>
      <w:szCs w:val="48"/>
    </w:rPr>
  </w:style>
  <w:style w:type="paragraph" w:customStyle="1" w:styleId="Reference">
    <w:name w:val="Reference"/>
    <w:basedOn w:val="BodyText"/>
    <w:qFormat/>
    <w:rsid w:val="00121786"/>
    <w:pPr>
      <w:spacing w:before="0" w:after="240"/>
      <w:ind w:left="1080" w:right="720" w:hanging="360"/>
    </w:pPr>
    <w:rPr>
      <w:rFonts w:asciiTheme="minorHAnsi" w:eastAsiaTheme="minorHAnsi" w:hAnsiTheme="minorHAnsi" w:cstheme="minorBidi"/>
      <w:sz w:val="22"/>
      <w:szCs w:val="22"/>
    </w:rPr>
  </w:style>
  <w:style w:type="paragraph" w:customStyle="1" w:styleId="Contents">
    <w:name w:val="Contents"/>
    <w:basedOn w:val="Heading1"/>
    <w:rsid w:val="00121786"/>
    <w:pPr>
      <w:keepLines/>
      <w:tabs>
        <w:tab w:val="clear" w:pos="540"/>
      </w:tabs>
      <w:suppressAutoHyphens/>
      <w:spacing w:before="480" w:after="240" w:line="640" w:lineRule="atLeast"/>
      <w:ind w:left="720" w:right="720"/>
    </w:pPr>
    <w:rPr>
      <w:rFonts w:asciiTheme="majorHAnsi" w:eastAsiaTheme="majorEastAsia" w:hAnsiTheme="majorHAnsi" w:cstheme="majorBidi"/>
      <w:bCs/>
      <w:color w:val="1F497D" w:themeColor="text2"/>
      <w:sz w:val="36"/>
      <w:szCs w:val="28"/>
    </w:rPr>
  </w:style>
  <w:style w:type="paragraph" w:styleId="Subtitle">
    <w:name w:val="Subtitle"/>
    <w:basedOn w:val="Normal"/>
    <w:next w:val="Normal"/>
    <w:link w:val="SubtitleChar"/>
    <w:qFormat/>
    <w:locked/>
    <w:rsid w:val="00121786"/>
    <w:pPr>
      <w:spacing w:line="320" w:lineRule="atLeast"/>
      <w:ind w:left="1440"/>
      <w:outlineLvl w:val="0"/>
    </w:pPr>
    <w:rPr>
      <w:rFonts w:asciiTheme="majorHAnsi" w:eastAsiaTheme="minorHAnsi" w:hAnsiTheme="majorHAnsi" w:cstheme="minorBidi"/>
      <w:b/>
      <w:color w:val="000000" w:themeColor="text1"/>
      <w:kern w:val="0"/>
      <w:sz w:val="36"/>
      <w:szCs w:val="36"/>
    </w:rPr>
  </w:style>
  <w:style w:type="character" w:customStyle="1" w:styleId="SubtitleChar">
    <w:name w:val="Subtitle Char"/>
    <w:basedOn w:val="DefaultParagraphFont"/>
    <w:link w:val="Subtitle"/>
    <w:rsid w:val="00121786"/>
    <w:rPr>
      <w:rFonts w:asciiTheme="majorHAnsi" w:eastAsiaTheme="minorHAnsi" w:hAnsiTheme="majorHAnsi" w:cstheme="minorBidi"/>
      <w:b/>
      <w:color w:val="000000" w:themeColor="text1"/>
      <w:sz w:val="36"/>
      <w:szCs w:val="36"/>
    </w:rPr>
  </w:style>
  <w:style w:type="paragraph" w:customStyle="1" w:styleId="Author">
    <w:name w:val="Author"/>
    <w:basedOn w:val="BodyText"/>
    <w:rsid w:val="00121786"/>
    <w:pPr>
      <w:spacing w:before="0" w:after="0" w:line="280" w:lineRule="atLeast"/>
      <w:ind w:left="1440" w:right="720"/>
    </w:pPr>
    <w:rPr>
      <w:rFonts w:asciiTheme="majorHAnsi" w:eastAsiaTheme="minorHAnsi" w:hAnsiTheme="majorHAnsi" w:cstheme="minorBidi"/>
      <w:color w:val="4F81BD" w:themeColor="accent1"/>
      <w:sz w:val="20"/>
    </w:rPr>
  </w:style>
  <w:style w:type="paragraph" w:customStyle="1" w:styleId="AuthorCover">
    <w:name w:val="Author Cover"/>
    <w:basedOn w:val="BodyText"/>
    <w:link w:val="AuthorCoverChar"/>
    <w:semiHidden/>
    <w:rsid w:val="00121786"/>
    <w:pPr>
      <w:spacing w:before="0" w:after="0" w:line="280" w:lineRule="atLeast"/>
      <w:jc w:val="right"/>
    </w:pPr>
    <w:rPr>
      <w:rFonts w:asciiTheme="majorHAnsi" w:eastAsiaTheme="minorHAnsi" w:hAnsiTheme="majorHAnsi" w:cstheme="minorBidi"/>
      <w:color w:val="1F497D" w:themeColor="text2"/>
    </w:rPr>
  </w:style>
  <w:style w:type="character" w:customStyle="1" w:styleId="AuthorCoverChar">
    <w:name w:val="Author Cover Char"/>
    <w:basedOn w:val="BodyTextChar"/>
    <w:link w:val="AuthorCover"/>
    <w:semiHidden/>
    <w:rsid w:val="00121786"/>
    <w:rPr>
      <w:rFonts w:asciiTheme="majorHAnsi" w:eastAsiaTheme="minorHAnsi" w:hAnsiTheme="majorHAnsi" w:cstheme="minorBidi"/>
      <w:color w:val="1F497D" w:themeColor="text2"/>
      <w:kern w:val="16"/>
      <w:sz w:val="24"/>
    </w:rPr>
  </w:style>
  <w:style w:type="paragraph" w:customStyle="1" w:styleId="TitleCover">
    <w:name w:val="Title Cover"/>
    <w:semiHidden/>
    <w:rsid w:val="00121786"/>
    <w:pPr>
      <w:suppressAutoHyphens/>
      <w:spacing w:line="600" w:lineRule="exact"/>
    </w:pPr>
    <w:rPr>
      <w:rFonts w:asciiTheme="majorHAnsi" w:eastAsiaTheme="minorHAnsi" w:hAnsiTheme="majorHAnsi" w:cstheme="minorBidi"/>
      <w:b/>
      <w:color w:val="1F497D" w:themeColor="text2"/>
      <w:sz w:val="60"/>
      <w:szCs w:val="60"/>
    </w:rPr>
  </w:style>
  <w:style w:type="paragraph" w:customStyle="1" w:styleId="SubtitleCover">
    <w:name w:val="Subtitle Cover"/>
    <w:semiHidden/>
    <w:rsid w:val="00121786"/>
    <w:pPr>
      <w:suppressAutoHyphens/>
      <w:spacing w:line="320" w:lineRule="atLeast"/>
    </w:pPr>
    <w:rPr>
      <w:rFonts w:asciiTheme="majorHAnsi" w:eastAsiaTheme="minorHAnsi" w:hAnsiTheme="majorHAnsi" w:cstheme="minorBidi"/>
      <w:b/>
      <w:color w:val="000000" w:themeColor="text1"/>
      <w:sz w:val="36"/>
      <w:szCs w:val="36"/>
    </w:rPr>
  </w:style>
  <w:style w:type="paragraph" w:customStyle="1" w:styleId="FigureTitle0">
    <w:name w:val="Figure Title"/>
    <w:basedOn w:val="TableTitle"/>
    <w:link w:val="FigureTitleChar"/>
    <w:qFormat/>
    <w:rsid w:val="00121786"/>
    <w:pPr>
      <w:keepNext w:val="0"/>
      <w:spacing w:before="360" w:after="120" w:line="320" w:lineRule="atLeast"/>
      <w:ind w:left="720" w:right="720" w:firstLine="0"/>
    </w:pPr>
    <w:rPr>
      <w:rFonts w:asciiTheme="majorHAnsi" w:eastAsiaTheme="minorHAnsi" w:hAnsiTheme="majorHAnsi" w:cstheme="minorBidi"/>
      <w:kern w:val="2"/>
      <w:sz w:val="18"/>
    </w:rPr>
  </w:style>
  <w:style w:type="character" w:customStyle="1" w:styleId="FigureTitleChar">
    <w:name w:val="Figure Title Char"/>
    <w:basedOn w:val="TableTitleChar"/>
    <w:link w:val="FigureTitle0"/>
    <w:rsid w:val="00121786"/>
    <w:rPr>
      <w:rFonts w:asciiTheme="majorHAnsi" w:eastAsiaTheme="minorHAnsi" w:hAnsiTheme="majorHAnsi" w:cstheme="minorBidi"/>
      <w:b/>
      <w:kern w:val="2"/>
      <w:sz w:val="18"/>
      <w:lang w:val="en-US" w:eastAsia="en-US" w:bidi="ar-SA"/>
    </w:rPr>
  </w:style>
  <w:style w:type="table" w:customStyle="1" w:styleId="LightGrid-Accent11">
    <w:name w:val="Light Grid - Accent 11"/>
    <w:basedOn w:val="TableNormal"/>
    <w:rsid w:val="00121786"/>
    <w:rPr>
      <w:rFonts w:asciiTheme="minorHAnsi" w:eastAsiaTheme="minorHAnsi" w:hAnsiTheme="minorHAnsi" w:cstheme="minorBidi"/>
      <w:sz w:val="22"/>
      <w:szCs w:val="22"/>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customStyle="1" w:styleId="MediumShading1-Accent11">
    <w:name w:val="Medium Shading 1 - Accent 11"/>
    <w:basedOn w:val="TableNormal"/>
    <w:rsid w:val="00121786"/>
    <w:rPr>
      <w:rFonts w:asciiTheme="minorHAnsi" w:eastAsiaTheme="minorHAnsi" w:hAnsiTheme="minorHAnsi" w:cstheme="minorBidi"/>
      <w:sz w:val="22"/>
      <w:szCs w:val="22"/>
    </w:r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paragraph" w:customStyle="1" w:styleId="Tablecolumnhead">
    <w:name w:val="Table column head"/>
    <w:basedOn w:val="Tabletext"/>
    <w:rsid w:val="00121786"/>
    <w:pPr>
      <w:spacing w:line="200" w:lineRule="atLeast"/>
      <w:ind w:left="0" w:firstLine="0"/>
    </w:pPr>
    <w:rPr>
      <w:rFonts w:eastAsia="Batang"/>
      <w:kern w:val="0"/>
    </w:rPr>
  </w:style>
  <w:style w:type="paragraph" w:customStyle="1" w:styleId="RTIlogotagline">
    <w:name w:val="RTI logo tagline"/>
    <w:rsid w:val="00121786"/>
    <w:pPr>
      <w:ind w:left="648"/>
    </w:pPr>
    <w:rPr>
      <w:rFonts w:asciiTheme="majorHAnsi" w:eastAsiaTheme="minorHAnsi" w:hAnsiTheme="majorHAnsi" w:cstheme="minorBidi"/>
      <w:color w:val="4F81BD" w:themeColor="accent1"/>
      <w:sz w:val="18"/>
      <w:szCs w:val="18"/>
    </w:rPr>
  </w:style>
  <w:style w:type="paragraph" w:customStyle="1" w:styleId="RTIlogobox">
    <w:name w:val="RTI logo box"/>
    <w:rsid w:val="00121786"/>
    <w:pPr>
      <w:ind w:left="648"/>
    </w:pPr>
    <w:rPr>
      <w:rFonts w:asciiTheme="majorHAnsi" w:eastAsiaTheme="minorHAnsi" w:hAnsiTheme="majorHAnsi" w:cstheme="minorBidi"/>
      <w:color w:val="4F81BD" w:themeColor="accent1"/>
    </w:rPr>
  </w:style>
  <w:style w:type="table" w:styleId="ColorfulListAccent3">
    <w:name w:val="Colorful List Accent 3"/>
    <w:basedOn w:val="TableNormal"/>
    <w:rsid w:val="00121786"/>
    <w:rPr>
      <w:rFonts w:asciiTheme="minorHAnsi" w:eastAsiaTheme="minorHAnsi" w:hAnsiTheme="minorHAnsi" w:cstheme="minorBidi"/>
      <w:color w:val="000000" w:themeColor="text1"/>
      <w:sz w:val="22"/>
      <w:szCs w:val="22"/>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paragraph" w:customStyle="1" w:styleId="bodytextpsg">
    <w:name w:val="body text_psg"/>
    <w:basedOn w:val="Normal"/>
    <w:link w:val="bodytextpsgChar"/>
    <w:rsid w:val="00121786"/>
    <w:pPr>
      <w:spacing w:after="240" w:line="320" w:lineRule="exact"/>
      <w:ind w:firstLine="720"/>
    </w:pPr>
    <w:rPr>
      <w:rFonts w:ascii="Times New Roman" w:hAnsi="Times New Roman"/>
      <w:kern w:val="0"/>
      <w:sz w:val="22"/>
    </w:rPr>
  </w:style>
  <w:style w:type="character" w:customStyle="1" w:styleId="bodytextpsgChar">
    <w:name w:val="body text_psg Char"/>
    <w:link w:val="bodytextpsg"/>
    <w:rsid w:val="00121786"/>
    <w:rPr>
      <w:sz w:val="22"/>
    </w:rPr>
  </w:style>
  <w:style w:type="paragraph" w:customStyle="1" w:styleId="BodyText1">
    <w:name w:val="Body Text1"/>
    <w:basedOn w:val="Normal"/>
    <w:rsid w:val="00121786"/>
    <w:pPr>
      <w:spacing w:after="240" w:line="320" w:lineRule="exact"/>
      <w:ind w:firstLine="720"/>
    </w:pPr>
    <w:rPr>
      <w:rFonts w:ascii="Times New Roman" w:hAnsi="Times New Roman"/>
      <w:kern w:val="0"/>
      <w:sz w:val="22"/>
    </w:rPr>
  </w:style>
  <w:style w:type="paragraph" w:customStyle="1" w:styleId="bullets">
    <w:name w:val="bullets"/>
    <w:basedOn w:val="Normal"/>
    <w:link w:val="bulletsChar"/>
    <w:rsid w:val="00121786"/>
    <w:pPr>
      <w:numPr>
        <w:numId w:val="9"/>
      </w:numPr>
      <w:tabs>
        <w:tab w:val="num" w:pos="-31680"/>
        <w:tab w:val="clear" w:pos="720"/>
      </w:tabs>
      <w:spacing w:after="60"/>
      <w:ind w:left="1080"/>
    </w:pPr>
    <w:rPr>
      <w:rFonts w:ascii="Times New Roman" w:hAnsi="Times New Roman"/>
      <w:kern w:val="0"/>
    </w:rPr>
  </w:style>
  <w:style w:type="character" w:customStyle="1" w:styleId="bulletsChar">
    <w:name w:val="bullets Char"/>
    <w:aliases w:val="bu Char,bu Char Char,bullets Char Char"/>
    <w:link w:val="bullets"/>
    <w:rsid w:val="00121786"/>
    <w:rPr>
      <w:sz w:val="24"/>
    </w:rPr>
  </w:style>
  <w:style w:type="paragraph" w:customStyle="1" w:styleId="a2colbul">
    <w:name w:val="a2col_bul"/>
    <w:basedOn w:val="bullets"/>
    <w:rsid w:val="00121786"/>
    <w:pPr>
      <w:ind w:left="342"/>
    </w:pPr>
  </w:style>
  <w:style w:type="paragraph" w:customStyle="1" w:styleId="aft-12-0">
    <w:name w:val="aft-12-0"/>
    <w:basedOn w:val="Normal"/>
    <w:rsid w:val="00121786"/>
    <w:pPr>
      <w:spacing w:before="240" w:after="240"/>
    </w:pPr>
    <w:rPr>
      <w:rFonts w:ascii="Times New Roman" w:hAnsi="Times New Roman"/>
      <w:kern w:val="0"/>
    </w:rPr>
  </w:style>
  <w:style w:type="paragraph" w:customStyle="1" w:styleId="bulletslast">
    <w:name w:val="bullets_last"/>
    <w:basedOn w:val="bullets"/>
    <w:next w:val="Normal"/>
    <w:qFormat/>
    <w:rsid w:val="00121786"/>
    <w:pPr>
      <w:numPr>
        <w:numId w:val="10"/>
      </w:numPr>
      <w:tabs>
        <w:tab w:val="clear" w:pos="360"/>
        <w:tab w:val="num" w:pos="720"/>
      </w:tabs>
      <w:spacing w:after="240"/>
      <w:ind w:left="1080"/>
    </w:pPr>
    <w:rPr>
      <w:sz w:val="22"/>
    </w:rPr>
  </w:style>
  <w:style w:type="paragraph" w:customStyle="1" w:styleId="bodytext-db">
    <w:name w:val="body text-db"/>
    <w:basedOn w:val="Normal"/>
    <w:rsid w:val="00121786"/>
    <w:pPr>
      <w:spacing w:after="240"/>
      <w:ind w:firstLine="720"/>
    </w:pPr>
    <w:rPr>
      <w:rFonts w:ascii="Times New Roman" w:hAnsi="Times New Roman"/>
      <w:kern w:val="0"/>
    </w:rPr>
  </w:style>
  <w:style w:type="paragraph" w:customStyle="1" w:styleId="aft-12">
    <w:name w:val="aft-12"/>
    <w:basedOn w:val="bodytext-db"/>
    <w:rsid w:val="00121786"/>
    <w:pPr>
      <w:spacing w:before="240"/>
    </w:pPr>
  </w:style>
  <w:style w:type="paragraph" w:customStyle="1" w:styleId="bullets-2ndlevel">
    <w:name w:val="bullets-2nd level"/>
    <w:basedOn w:val="Normal"/>
    <w:next w:val="Normal"/>
    <w:qFormat/>
    <w:rsid w:val="00121786"/>
    <w:pPr>
      <w:numPr>
        <w:numId w:val="11"/>
      </w:numPr>
      <w:ind w:left="1440"/>
    </w:pPr>
    <w:rPr>
      <w:rFonts w:ascii="Times New Roman" w:hAnsi="Times New Roman"/>
      <w:kern w:val="0"/>
      <w:sz w:val="22"/>
    </w:rPr>
  </w:style>
  <w:style w:type="paragraph" w:customStyle="1" w:styleId="TableExhibitSource">
    <w:name w:val="TableExhibitSource"/>
    <w:basedOn w:val="BodyText"/>
    <w:rsid w:val="00121786"/>
    <w:pPr>
      <w:keepLines/>
      <w:spacing w:before="40" w:after="360"/>
      <w:contextualSpacing/>
    </w:pPr>
    <w:rPr>
      <w:rFonts w:asciiTheme="majorHAnsi" w:eastAsiaTheme="minorHAnsi" w:hAnsiTheme="majorHAnsi" w:cs="Arial"/>
      <w:sz w:val="16"/>
      <w:szCs w:val="18"/>
    </w:rPr>
  </w:style>
  <w:style w:type="paragraph" w:customStyle="1" w:styleId="ExhbitTitlecontinued">
    <w:name w:val="Exhbit Title continued"/>
    <w:basedOn w:val="Normal"/>
    <w:rsid w:val="00121786"/>
    <w:pPr>
      <w:keepNext/>
      <w:keepLines/>
      <w:suppressAutoHyphens/>
      <w:spacing w:before="480" w:after="60"/>
    </w:pPr>
    <w:rPr>
      <w:rFonts w:asciiTheme="majorHAnsi" w:eastAsiaTheme="minorHAnsi" w:hAnsiTheme="majorHAnsi" w:cstheme="minorBidi"/>
      <w:b/>
      <w:kern w:val="0"/>
      <w:sz w:val="20"/>
    </w:rPr>
  </w:style>
  <w:style w:type="paragraph" w:customStyle="1" w:styleId="Tabletextcol1">
    <w:name w:val="Table text col.1"/>
    <w:basedOn w:val="Tabletext"/>
    <w:rsid w:val="00121786"/>
    <w:pPr>
      <w:spacing w:line="200" w:lineRule="atLeast"/>
      <w:ind w:left="0" w:firstLine="0"/>
    </w:pPr>
    <w:rPr>
      <w:rFonts w:eastAsia="Batang"/>
      <w:kern w:val="0"/>
    </w:rPr>
  </w:style>
  <w:style w:type="paragraph" w:customStyle="1" w:styleId="Source-8pt">
    <w:name w:val="Source - 8pt"/>
    <w:basedOn w:val="Normal"/>
    <w:qFormat/>
    <w:rsid w:val="00121786"/>
    <w:rPr>
      <w:rFonts w:ascii="Arial" w:hAnsi="Arial"/>
      <w:kern w:val="0"/>
      <w:sz w:val="16"/>
      <w:szCs w:val="16"/>
    </w:rPr>
  </w:style>
  <w:style w:type="paragraph" w:customStyle="1" w:styleId="Source-last8pt">
    <w:name w:val="Source - last 8pt"/>
    <w:basedOn w:val="Source-8pt"/>
    <w:qFormat/>
    <w:rsid w:val="00121786"/>
    <w:pPr>
      <w:spacing w:after="240"/>
    </w:pPr>
    <w:rPr>
      <w:szCs w:val="18"/>
    </w:rPr>
  </w:style>
  <w:style w:type="paragraph" w:customStyle="1" w:styleId="Source-last">
    <w:name w:val="Source - last"/>
    <w:basedOn w:val="Normal"/>
    <w:qFormat/>
    <w:rsid w:val="00121786"/>
    <w:pPr>
      <w:spacing w:after="240"/>
    </w:pPr>
    <w:rPr>
      <w:rFonts w:ascii="Arial" w:hAnsi="Arial"/>
      <w:kern w:val="0"/>
      <w:sz w:val="18"/>
      <w:szCs w:val="16"/>
    </w:rPr>
  </w:style>
  <w:style w:type="character" w:customStyle="1" w:styleId="UnresolvedMention2">
    <w:name w:val="Unresolved Mention2"/>
    <w:basedOn w:val="DefaultParagraphFont"/>
    <w:uiPriority w:val="99"/>
    <w:semiHidden/>
    <w:unhideWhenUsed/>
    <w:rsid w:val="000123C3"/>
    <w:rPr>
      <w:color w:val="605E5C"/>
      <w:shd w:val="clear" w:color="auto" w:fill="E1DFDD"/>
    </w:rPr>
  </w:style>
  <w:style w:type="character" w:customStyle="1" w:styleId="UnresolvedMention3">
    <w:name w:val="Unresolved Mention3"/>
    <w:basedOn w:val="DefaultParagraphFont"/>
    <w:uiPriority w:val="99"/>
    <w:semiHidden/>
    <w:unhideWhenUsed/>
    <w:rsid w:val="001D30FC"/>
    <w:rPr>
      <w:color w:val="605E5C"/>
      <w:shd w:val="clear" w:color="auto" w:fill="E1DFDD"/>
    </w:rPr>
  </w:style>
  <w:style w:type="character" w:customStyle="1" w:styleId="UnresolvedMention4">
    <w:name w:val="Unresolved Mention4"/>
    <w:basedOn w:val="DefaultParagraphFont"/>
    <w:uiPriority w:val="99"/>
    <w:semiHidden/>
    <w:unhideWhenUsed/>
    <w:rsid w:val="00690F5B"/>
    <w:rPr>
      <w:color w:val="605E5C"/>
      <w:shd w:val="clear" w:color="auto" w:fill="E1DFDD"/>
    </w:rPr>
  </w:style>
  <w:style w:type="character" w:styleId="UnresolvedMention">
    <w:name w:val="Unresolved Mention"/>
    <w:basedOn w:val="DefaultParagraphFont"/>
    <w:uiPriority w:val="99"/>
    <w:unhideWhenUsed/>
    <w:rsid w:val="001708C0"/>
    <w:rPr>
      <w:color w:val="605E5C"/>
      <w:shd w:val="clear" w:color="auto" w:fill="E1DFDD"/>
    </w:rPr>
  </w:style>
  <w:style w:type="character" w:styleId="Mention">
    <w:name w:val="Mention"/>
    <w:basedOn w:val="DefaultParagraphFont"/>
    <w:uiPriority w:val="99"/>
    <w:unhideWhenUsed/>
    <w:rPr>
      <w:color w:val="2B579A"/>
      <w:shd w:val="clear" w:color="auto" w:fill="E6E6E6"/>
    </w:rPr>
  </w:style>
  <w:style w:type="paragraph" w:customStyle="1" w:styleId="paragraph">
    <w:name w:val="paragraph"/>
    <w:basedOn w:val="Normal"/>
    <w:rsid w:val="00D43A80"/>
    <w:pPr>
      <w:spacing w:before="100" w:beforeAutospacing="1" w:after="100" w:afterAutospacing="1"/>
    </w:pPr>
    <w:rPr>
      <w:rFonts w:ascii="Times New Roman" w:hAnsi="Times New Roman"/>
      <w:kern w:val="0"/>
      <w:szCs w:val="24"/>
    </w:rPr>
  </w:style>
  <w:style w:type="character" w:customStyle="1" w:styleId="normaltextrun">
    <w:name w:val="normaltextrun"/>
    <w:basedOn w:val="DefaultParagraphFont"/>
    <w:rsid w:val="00D43A80"/>
  </w:style>
  <w:style w:type="character" w:customStyle="1" w:styleId="eop">
    <w:name w:val="eop"/>
    <w:basedOn w:val="DefaultParagraphFont"/>
    <w:rsid w:val="00D43A80"/>
  </w:style>
  <w:style w:type="paragraph" w:customStyle="1" w:styleId="bullets2nd-level">
    <w:name w:val="bullets_2nd-level"/>
    <w:basedOn w:val="Normal"/>
    <w:rsid w:val="00511A5F"/>
    <w:pPr>
      <w:spacing w:after="80"/>
      <w:ind w:left="990" w:hanging="288"/>
    </w:pPr>
    <w:rPr>
      <w:rFonts w:eastAsia="SimSun"/>
      <w:kern w:val="0"/>
      <w:szCs w:val="22"/>
      <w:lang w:eastAsia="zh-CN"/>
    </w:rPr>
  </w:style>
  <w:style w:type="paragraph" w:styleId="TableofFigures">
    <w:name w:val="table of figures"/>
    <w:basedOn w:val="Normal"/>
    <w:next w:val="Normal"/>
    <w:uiPriority w:val="99"/>
    <w:unhideWhenUsed/>
    <w:locked/>
    <w:rsid w:val="0087039E"/>
    <w:pPr>
      <w:tabs>
        <w:tab w:val="right" w:leader="dot" w:pos="10080"/>
        <w:tab w:val="right" w:leader="dot" w:pos="10368"/>
      </w:tabs>
    </w:pPr>
  </w:style>
  <w:style w:type="numbering" w:customStyle="1" w:styleId="CurrentList1">
    <w:name w:val="Current List1"/>
    <w:uiPriority w:val="99"/>
    <w:rsid w:val="00432B4F"/>
    <w:pPr>
      <w:numPr>
        <w:numId w:val="13"/>
      </w:numPr>
    </w:pPr>
  </w:style>
  <w:style w:type="table" w:styleId="GridTableLight">
    <w:name w:val="Grid Table Light"/>
    <w:basedOn w:val="TableNormal"/>
    <w:uiPriority w:val="40"/>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1.xml" /><Relationship Id="rId11" Type="http://schemas.openxmlformats.org/officeDocument/2006/relationships/footer" Target="footer2.xml" /><Relationship Id="rId12" Type="http://schemas.openxmlformats.org/officeDocument/2006/relationships/theme" Target="theme/theme1.xml" /><Relationship Id="rId13" Type="http://schemas.openxmlformats.org/officeDocument/2006/relationships/numbering" Target="numbering.xml" /><Relationship Id="rId14"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hyperlink" Target="http://@ed.gov" TargetMode="External" /><Relationship Id="rId9" Type="http://schemas.openxmlformats.org/officeDocument/2006/relationships/hyperlink" Target="mailto:@rti.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Arial - Garamond">
      <a:majorFont>
        <a:latin typeface="Arial"/>
        <a:ea typeface=""/>
        <a:cs typeface=""/>
      </a:majorFont>
      <a:minorFont>
        <a:latin typeface="Garamond"/>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1413d4ec-8256-4a0e-82b8-9e2b30677e22">
      <Terms xmlns="http://schemas.microsoft.com/office/infopath/2007/PartnerControls"/>
    </lcf76f155ced4ddcb4097134ff3c332f>
    <TaxCatchAll xmlns="bd2e9aa4-c346-48ab-81c1-848be64abc92"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52B0AD883131EE49AF27A09972337913" ma:contentTypeVersion="15" ma:contentTypeDescription="Create a new document." ma:contentTypeScope="" ma:versionID="da760e022f4f2dbfb923d13536fad8b8">
  <xsd:schema xmlns:xsd="http://www.w3.org/2001/XMLSchema" xmlns:xs="http://www.w3.org/2001/XMLSchema" xmlns:p="http://schemas.microsoft.com/office/2006/metadata/properties" xmlns:ns2="1413d4ec-8256-4a0e-82b8-9e2b30677e22" xmlns:ns3="bd2e9aa4-c346-48ab-81c1-848be64abc92" targetNamespace="http://schemas.microsoft.com/office/2006/metadata/properties" ma:root="true" ma:fieldsID="740a8c8747a4a5b6ede4f2bc31d38db5" ns2:_="" ns3:_="">
    <xsd:import namespace="1413d4ec-8256-4a0e-82b8-9e2b30677e22"/>
    <xsd:import namespace="bd2e9aa4-c346-48ab-81c1-848be64abc92"/>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DateTaken" minOccurs="0"/>
                <xsd:element ref="ns2:MediaServiceLocatio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413d4ec-8256-4a0e-82b8-9e2b30677e2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b31da6f4-e52d-49d7-b108-9c7783d77463"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ServiceLocation" ma:index="21" nillable="true" ma:displayName="Location" ma:indexed="true" ma:internalName="MediaServiceLocation"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d2e9aa4-c346-48ab-81c1-848be64abc92"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18" nillable="true" ma:displayName="Taxonomy Catch All Column" ma:hidden="true" ma:list="{4c77ec1c-7b8b-453c-a4ea-330681a0b651}" ma:internalName="TaxCatchAll" ma:showField="CatchAllData" ma:web="bd2e9aa4-c346-48ab-81c1-848be64abc9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E230DF8-93B9-464C-9AA4-A2725A6D3A99}">
  <ds:schemaRefs>
    <ds:schemaRef ds:uri="http://schemas.openxmlformats.org/officeDocument/2006/bibliography"/>
  </ds:schemaRefs>
</ds:datastoreItem>
</file>

<file path=customXml/itemProps2.xml><?xml version="1.0" encoding="utf-8"?>
<ds:datastoreItem xmlns:ds="http://schemas.openxmlformats.org/officeDocument/2006/customXml" ds:itemID="{125FD7E0-FEB7-496B-915E-8610CA90A9A1}">
  <ds:schemaRefs>
    <ds:schemaRef ds:uri="http://schemas.microsoft.com/office/2006/metadata/properties"/>
    <ds:schemaRef ds:uri="http://schemas.microsoft.com/office/infopath/2007/PartnerControls"/>
    <ds:schemaRef ds:uri="1413d4ec-8256-4a0e-82b8-9e2b30677e22"/>
    <ds:schemaRef ds:uri="bd2e9aa4-c346-48ab-81c1-848be64abc92"/>
  </ds:schemaRefs>
</ds:datastoreItem>
</file>

<file path=customXml/itemProps3.xml><?xml version="1.0" encoding="utf-8"?>
<ds:datastoreItem xmlns:ds="http://schemas.openxmlformats.org/officeDocument/2006/customXml" ds:itemID="{61F63F37-9E5F-4B3F-BDFD-AF0DF30083C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413d4ec-8256-4a0e-82b8-9e2b30677e22"/>
    <ds:schemaRef ds:uri="bd2e9aa4-c346-48ab-81c1-848be64abc9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E65D95C-647E-4D82-86A9-2EAC2FFB355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5241</Words>
  <Characters>32178</Characters>
  <Application>Microsoft Office Word</Application>
  <DocSecurity>0</DocSecurity>
  <Lines>268</Lines>
  <Paragraphs>74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37345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2024-08-27T14:04:00Z</dcterms:created>
  <dcterms:modified xsi:type="dcterms:W3CDTF">2024-10-04T19:58:00Z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0x01010052B0AD883131EE49AF27A09972337913</vt:lpwstr>
  </property>
  <property fmtid="{D5CDD505-2E9C-101B-9397-08002B2CF9AE}" pid="3" name="MediaServiceImageTags">
    <vt:lpwstr/>
  </property>
  <property fmtid="{D5CDD505-2E9C-101B-9397-08002B2CF9AE}" pid="4" name="_NewReviewCycle">
    <vt:lpwstr/>
  </property>
</Properties>
</file>