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AF1" w:rsidP="00F83AF1" w14:paraId="29D00EF5" w14:textId="77777777">
      <w:pPr>
        <w:pStyle w:val="Cov-Title"/>
        <w:spacing w:before="1080"/>
        <w:rPr>
          <w:sz w:val="32"/>
          <w:szCs w:val="32"/>
        </w:rPr>
      </w:pPr>
      <w:bookmarkStart w:id="0" w:name="_Hlk46148807"/>
      <w:bookmarkStart w:id="1" w:name="_Toc146530948"/>
      <w:bookmarkStart w:id="2" w:name="_Toc152499748"/>
      <w:r w:rsidRPr="00467437">
        <w:t>2020/2</w:t>
      </w:r>
      <w:r>
        <w:t>5</w:t>
      </w:r>
      <w:r w:rsidRPr="00467437">
        <w:t xml:space="preserve"> Beginning Postsecondary Students (BPS:20/2</w:t>
      </w:r>
      <w:r>
        <w:t>5</w:t>
      </w:r>
      <w:r w:rsidRPr="00467437">
        <w:t xml:space="preserve">) </w:t>
      </w:r>
      <w:r>
        <w:t>Full-Scale Study</w:t>
      </w:r>
    </w:p>
    <w:bookmarkEnd w:id="0"/>
    <w:p w:rsidR="00122355" w:rsidP="00122355" w14:paraId="392706AA" w14:textId="77777777">
      <w:pPr>
        <w:pStyle w:val="Cov-Date"/>
      </w:pPr>
    </w:p>
    <w:p w:rsidR="00F83AF1" w:rsidRPr="00CD167A" w:rsidP="00122355" w14:paraId="592DE53D" w14:textId="77777777">
      <w:pPr>
        <w:pStyle w:val="Cov-Date"/>
      </w:pPr>
    </w:p>
    <w:p w:rsidR="00A87996" w:rsidRPr="007269D7" w:rsidP="007269D7" w14:paraId="38B2E68D" w14:textId="505D491E">
      <w:pPr>
        <w:pStyle w:val="Cov-Subtitle"/>
        <w:outlineLvl w:val="1"/>
      </w:pPr>
      <w:bookmarkStart w:id="3" w:name="_Toc174628029"/>
      <w:r>
        <w:t xml:space="preserve">Appendix </w:t>
      </w:r>
      <w:r w:rsidR="00142FDA">
        <w:t>D</w:t>
      </w:r>
      <w:bookmarkEnd w:id="3"/>
    </w:p>
    <w:p w:rsidR="00A87996" w:rsidRPr="00CD167A" w:rsidP="00A87996" w14:paraId="42438E75" w14:textId="77777777">
      <w:pPr>
        <w:tabs>
          <w:tab w:val="left" w:pos="720"/>
          <w:tab w:val="center" w:pos="4680"/>
        </w:tabs>
        <w:autoSpaceDE w:val="0"/>
        <w:autoSpaceDN w:val="0"/>
        <w:adjustRightInd w:val="0"/>
        <w:spacing w:before="180"/>
        <w:rPr>
          <w:b/>
          <w:bCs/>
        </w:rPr>
      </w:pPr>
    </w:p>
    <w:p w:rsidR="006269D6" w:rsidRPr="007E0D74" w:rsidP="006269D6" w14:paraId="5FAEDFED" w14:textId="766FAC03">
      <w:pPr>
        <w:pStyle w:val="Cov-Subtitle"/>
        <w:outlineLvl w:val="1"/>
      </w:pPr>
      <w:bookmarkStart w:id="4" w:name="_Toc174628030"/>
      <w:r>
        <w:t>Results of the BPS:20/2</w:t>
      </w:r>
      <w:r w:rsidR="001F6597">
        <w:t>5</w:t>
      </w:r>
      <w:r>
        <w:t xml:space="preserve"> Field Test Experiments</w:t>
      </w:r>
      <w:bookmarkEnd w:id="4"/>
    </w:p>
    <w:p w:rsidR="00A87996" w:rsidP="00A87996" w14:paraId="34BCF32D" w14:textId="3B5A2073">
      <w:pPr>
        <w:tabs>
          <w:tab w:val="left" w:pos="720"/>
          <w:tab w:val="center" w:pos="4680"/>
        </w:tabs>
        <w:autoSpaceDE w:val="0"/>
        <w:autoSpaceDN w:val="0"/>
        <w:adjustRightInd w:val="0"/>
        <w:spacing w:before="180"/>
        <w:rPr>
          <w:b/>
          <w:bCs/>
        </w:rPr>
      </w:pPr>
    </w:p>
    <w:p w:rsidR="00E0558D" w:rsidP="00A87996" w14:paraId="0B9BA416" w14:textId="77777777">
      <w:pPr>
        <w:tabs>
          <w:tab w:val="left" w:pos="720"/>
          <w:tab w:val="center" w:pos="4680"/>
        </w:tabs>
        <w:autoSpaceDE w:val="0"/>
        <w:autoSpaceDN w:val="0"/>
        <w:adjustRightInd w:val="0"/>
        <w:spacing w:before="180"/>
        <w:rPr>
          <w:b/>
          <w:bCs/>
        </w:rPr>
      </w:pPr>
    </w:p>
    <w:p w:rsidR="006C5227" w:rsidRPr="00B948C2" w:rsidP="006C5227" w14:paraId="30171FF9" w14:textId="4CCB680E">
      <w:pPr>
        <w:pStyle w:val="Cov-Subtitle"/>
        <w:spacing w:before="480"/>
        <w:rPr>
          <w:sz w:val="28"/>
          <w:szCs w:val="28"/>
        </w:rPr>
      </w:pPr>
      <w:r w:rsidRPr="005D23C4">
        <w:rPr>
          <w:sz w:val="28"/>
          <w:szCs w:val="28"/>
        </w:rPr>
        <w:t xml:space="preserve">OMB # </w:t>
      </w:r>
      <w:r w:rsidRPr="005D23C4">
        <w:rPr>
          <w:sz w:val="28"/>
          <w:szCs w:val="28"/>
        </w:rPr>
        <w:t>1850-0631 v.</w:t>
      </w:r>
      <w:r w:rsidRPr="005D23C4" w:rsidR="005D23C4">
        <w:rPr>
          <w:sz w:val="28"/>
          <w:szCs w:val="28"/>
        </w:rPr>
        <w:t>21</w:t>
      </w:r>
    </w:p>
    <w:p w:rsidR="007269D7" w:rsidRPr="007269D7" w:rsidP="00A87996" w14:paraId="64D27E2F" w14:textId="023254CC">
      <w:pPr>
        <w:pStyle w:val="Cov-Address"/>
        <w:rPr>
          <w:rFonts w:ascii="Arial Black" w:hAnsi="Arial Black"/>
          <w:sz w:val="28"/>
          <w:szCs w:val="28"/>
        </w:rPr>
      </w:pPr>
    </w:p>
    <w:p w:rsidR="007269D7" w:rsidP="00A87996" w14:paraId="4FA5C8B3" w14:textId="77777777">
      <w:pPr>
        <w:pStyle w:val="Cov-Address"/>
        <w:rPr>
          <w:b/>
        </w:rPr>
      </w:pPr>
    </w:p>
    <w:p w:rsidR="00A87996" w:rsidRPr="00363BC6" w:rsidP="00A87996" w14:paraId="0A39F784" w14:textId="2B0B1FDF">
      <w:pPr>
        <w:pStyle w:val="Cov-Address"/>
        <w:rPr>
          <w:b/>
        </w:rPr>
      </w:pPr>
      <w:r w:rsidRPr="00363BC6">
        <w:rPr>
          <w:b/>
        </w:rPr>
        <w:t>Submitted by</w:t>
      </w:r>
    </w:p>
    <w:p w:rsidR="00A87996" w:rsidRPr="00363BC6" w:rsidP="00A87996" w14:paraId="6CD93753" w14:textId="77777777">
      <w:pPr>
        <w:pStyle w:val="Cov-Address"/>
        <w:rPr>
          <w:b/>
        </w:rPr>
      </w:pPr>
      <w:r w:rsidRPr="00363BC6">
        <w:rPr>
          <w:b/>
        </w:rPr>
        <w:t>National Center for Education Statistics</w:t>
      </w:r>
    </w:p>
    <w:p w:rsidR="00A87996" w:rsidP="00A87996" w14:paraId="642C6A14" w14:textId="77777777">
      <w:pPr>
        <w:pStyle w:val="Cov-Address"/>
        <w:rPr>
          <w:b/>
          <w:bCs/>
        </w:rPr>
      </w:pPr>
      <w:r w:rsidRPr="00363BC6">
        <w:rPr>
          <w:b/>
        </w:rPr>
        <w:t>U.S. Department of Education</w:t>
      </w:r>
    </w:p>
    <w:p w:rsidR="00A87996" w:rsidP="00A87996" w14:paraId="16EE7615" w14:textId="77777777">
      <w:pPr>
        <w:pStyle w:val="Cov-Address"/>
        <w:rPr>
          <w:b/>
          <w:bCs/>
        </w:rPr>
      </w:pPr>
    </w:p>
    <w:p w:rsidR="00A87996" w:rsidP="00A87996" w14:paraId="5534BDEC" w14:textId="77777777">
      <w:pPr>
        <w:pStyle w:val="Cov-Address"/>
        <w:rPr>
          <w:b/>
          <w:bCs/>
        </w:rPr>
      </w:pPr>
    </w:p>
    <w:p w:rsidR="00A87996" w:rsidP="00A87996" w14:paraId="6366ECB6" w14:textId="77777777">
      <w:pPr>
        <w:pStyle w:val="Cov-Address"/>
        <w:rPr>
          <w:b/>
          <w:bCs/>
        </w:rPr>
      </w:pPr>
    </w:p>
    <w:p w:rsidR="00A87996" w:rsidP="00A87996" w14:paraId="7E93E41F" w14:textId="77777777">
      <w:pPr>
        <w:pStyle w:val="Cov-Address"/>
        <w:rPr>
          <w:b/>
          <w:bCs/>
        </w:rPr>
      </w:pPr>
    </w:p>
    <w:p w:rsidR="00A87996" w:rsidP="00A87996" w14:paraId="0AA36995" w14:textId="77777777">
      <w:pPr>
        <w:pStyle w:val="Cov-Address"/>
        <w:rPr>
          <w:b/>
          <w:bCs/>
        </w:rPr>
      </w:pPr>
    </w:p>
    <w:p w:rsidR="00A87996" w:rsidP="00A87996" w14:paraId="3A163765" w14:textId="77777777">
      <w:pPr>
        <w:pStyle w:val="Cov-Address"/>
        <w:rPr>
          <w:b/>
          <w:bCs/>
        </w:rPr>
      </w:pPr>
    </w:p>
    <w:p w:rsidR="00A87996" w:rsidP="00A87996" w14:paraId="0157F55D" w14:textId="77777777">
      <w:pPr>
        <w:pStyle w:val="Cov-Address"/>
        <w:rPr>
          <w:b/>
          <w:bCs/>
        </w:rPr>
      </w:pPr>
    </w:p>
    <w:p w:rsidR="00A87996" w:rsidP="00A87996" w14:paraId="266C91D5" w14:textId="77777777">
      <w:pPr>
        <w:pStyle w:val="Cov-Address"/>
        <w:rPr>
          <w:b/>
          <w:bCs/>
        </w:rPr>
      </w:pPr>
    </w:p>
    <w:p w:rsidR="00A87996" w:rsidRPr="007269D7" w:rsidP="00A87996" w14:paraId="2E234FD4" w14:textId="26297F06">
      <w:pPr>
        <w:pStyle w:val="Cov-Address"/>
        <w:rPr>
          <w:rFonts w:ascii="Arial Black" w:hAnsi="Arial Black"/>
          <w:b/>
          <w:bCs/>
          <w:sz w:val="28"/>
          <w:szCs w:val="28"/>
        </w:rPr>
      </w:pPr>
      <w:r>
        <w:rPr>
          <w:rFonts w:ascii="Arial Black" w:hAnsi="Arial Black"/>
          <w:b/>
          <w:bCs/>
          <w:sz w:val="28"/>
          <w:szCs w:val="28"/>
        </w:rPr>
        <w:t>October</w:t>
      </w:r>
      <w:r w:rsidRPr="005D23C4">
        <w:rPr>
          <w:rFonts w:ascii="Arial Black" w:hAnsi="Arial Black"/>
          <w:b/>
          <w:bCs/>
          <w:sz w:val="28"/>
          <w:szCs w:val="28"/>
        </w:rPr>
        <w:t xml:space="preserve"> </w:t>
      </w:r>
      <w:r w:rsidRPr="005D23C4" w:rsidR="00921E99">
        <w:rPr>
          <w:rFonts w:ascii="Arial Black" w:hAnsi="Arial Black"/>
          <w:b/>
          <w:bCs/>
          <w:sz w:val="28"/>
          <w:szCs w:val="28"/>
        </w:rPr>
        <w:t>202</w:t>
      </w:r>
      <w:r w:rsidRPr="005D23C4" w:rsidR="001F6597">
        <w:rPr>
          <w:rFonts w:ascii="Arial Black" w:hAnsi="Arial Black"/>
          <w:b/>
          <w:bCs/>
          <w:sz w:val="28"/>
          <w:szCs w:val="28"/>
        </w:rPr>
        <w:t>4</w:t>
      </w:r>
    </w:p>
    <w:p w:rsidR="00A87996" w:rsidP="00A87996" w14:paraId="1BBA46E1" w14:textId="77777777">
      <w:pPr>
        <w:pStyle w:val="Cov-Address"/>
        <w:rPr>
          <w:b/>
          <w:bCs/>
        </w:rPr>
      </w:pPr>
    </w:p>
    <w:p w:rsidR="00A87996" w:rsidP="00A87996" w14:paraId="543DF32D" w14:textId="77777777">
      <w:pPr>
        <w:pStyle w:val="Cov-Address"/>
        <w:jc w:val="left"/>
        <w:rPr>
          <w:b/>
          <w:bCs/>
        </w:rPr>
      </w:pPr>
    </w:p>
    <w:p w:rsidR="00A87996" w:rsidP="00A87996" w14:paraId="67A6E7D7" w14:textId="77777777">
      <w:pPr>
        <w:pStyle w:val="Cov-Address"/>
        <w:jc w:val="left"/>
        <w:rPr>
          <w:b/>
          <w:bCs/>
        </w:rPr>
      </w:pPr>
    </w:p>
    <w:p w:rsidR="00A87996" w:rsidP="00A87996" w14:paraId="09190737" w14:textId="77777777">
      <w:pPr>
        <w:pStyle w:val="Cov-Address"/>
        <w:jc w:val="left"/>
        <w:rPr>
          <w:b/>
          <w:bCs/>
        </w:rPr>
      </w:pPr>
    </w:p>
    <w:p w:rsidR="00A87996" w:rsidRPr="005F5ED6" w:rsidP="00A87996" w14:paraId="20366FDF" w14:textId="77777777"/>
    <w:p w:rsidR="003D28B5" w:rsidP="003D28B5" w14:paraId="4CD36598" w14:textId="77777777">
      <w:pPr>
        <w:sectPr w:rsidSect="00E0558D">
          <w:footerReference w:type="default" r:id="rId8"/>
          <w:pgSz w:w="12240" w:h="15840" w:code="1"/>
          <w:pgMar w:top="864" w:right="864" w:bottom="720" w:left="864" w:header="432" w:footer="288" w:gutter="0"/>
          <w:cols w:sep="1" w:space="432"/>
          <w:titlePg/>
          <w:docGrid w:linePitch="360"/>
        </w:sectPr>
      </w:pPr>
      <w:bookmarkStart w:id="5" w:name="_Toc399856641"/>
      <w:bookmarkStart w:id="6" w:name="_Toc401059624"/>
      <w:bookmarkStart w:id="7" w:name="_Toc401842152"/>
      <w:bookmarkStart w:id="8" w:name="_Toc401842391"/>
      <w:bookmarkStart w:id="9" w:name="_Toc404262919"/>
      <w:bookmarkStart w:id="10" w:name="_Toc404344504"/>
      <w:bookmarkStart w:id="11" w:name="_Toc440012751"/>
      <w:bookmarkStart w:id="12" w:name="_Toc440012952"/>
      <w:bookmarkStart w:id="13" w:name="_Toc440022493"/>
      <w:bookmarkStart w:id="14" w:name="_Toc440030738"/>
      <w:bookmarkStart w:id="15" w:name="_Toc440269787"/>
      <w:bookmarkStart w:id="16" w:name="_Toc440271300"/>
      <w:bookmarkStart w:id="17" w:name="_Toc440271449"/>
      <w:bookmarkStart w:id="18" w:name="_Toc440272126"/>
      <w:bookmarkStart w:id="19" w:name="_Toc440635988"/>
      <w:bookmarkStart w:id="20" w:name="_Toc417388792"/>
      <w:bookmarkStart w:id="21" w:name="_Toc431371485"/>
      <w:bookmarkStart w:id="22" w:name="_Toc438628080"/>
      <w:bookmarkStart w:id="23" w:name="_Toc438633820"/>
      <w:bookmarkStart w:id="24" w:name="_Toc146530943"/>
      <w:bookmarkStart w:id="25" w:name="_Toc152499743"/>
      <w:bookmarkEnd w:id="1"/>
      <w:bookmarkEnd w:id="2"/>
    </w:p>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sdt>
      <w:sdtPr>
        <w:rPr>
          <w:rFonts w:ascii="Garamond" w:eastAsia="Times" w:hAnsi="Garamond" w:cs="Times New Roman"/>
          <w:color w:val="auto"/>
          <w:sz w:val="24"/>
          <w:szCs w:val="20"/>
        </w:rPr>
        <w:id w:val="-523785461"/>
        <w:docPartObj>
          <w:docPartGallery w:val="Table of Contents"/>
          <w:docPartUnique/>
        </w:docPartObj>
      </w:sdtPr>
      <w:sdtEndPr>
        <w:rPr>
          <w:b/>
          <w:bCs/>
          <w:noProof/>
        </w:rPr>
      </w:sdtEndPr>
      <w:sdtContent>
        <w:p w:rsidR="004B5E55" w:rsidP="004B5E55" w14:paraId="1E907018" w14:textId="49DE4E08">
          <w:pPr>
            <w:pStyle w:val="TOCHeading"/>
            <w:keepNext w:val="0"/>
            <w:keepLines w:val="0"/>
            <w:spacing w:before="0" w:after="120" w:line="240" w:lineRule="auto"/>
          </w:pPr>
          <w:r w:rsidRPr="004B5E55">
            <w:rPr>
              <w:rFonts w:ascii="Arial" w:eastAsia="Times New Roman" w:hAnsi="Arial" w:cs="Arial"/>
              <w:b/>
              <w:color w:val="auto"/>
              <w:szCs w:val="20"/>
            </w:rPr>
            <w:t>Contents</w:t>
          </w:r>
        </w:p>
        <w:p w:rsidR="004B5E55" w:rsidRPr="004B5E55" w:rsidP="004B5E55" w14:paraId="372AC0A8" w14:textId="3275502D">
          <w:pPr>
            <w:pStyle w:val="TOC2"/>
            <w:tabs>
              <w:tab w:val="right" w:leader="dot" w:pos="10502"/>
            </w:tabs>
            <w:rPr>
              <w:noProof/>
            </w:rPr>
          </w:pPr>
          <w:r>
            <w:fldChar w:fldCharType="begin"/>
          </w:r>
          <w:r>
            <w:instrText xml:space="preserve"> TOC \o "1-3" \h \z \u </w:instrText>
          </w:r>
          <w:r>
            <w:fldChar w:fldCharType="separate"/>
          </w:r>
          <w:hyperlink w:anchor="_Toc174628031" w:history="1">
            <w:r w:rsidRPr="004B5E55">
              <w:rPr>
                <w:rStyle w:val="Hyperlink"/>
                <w:rFonts w:eastAsia="Times New Roman" w:cs="Arial"/>
                <w:noProof/>
              </w:rPr>
              <w:t>Results of the BPS:20/25 Field Test Experiment</w:t>
            </w:r>
            <w:r>
              <w:rPr>
                <w:rStyle w:val="Hyperlink"/>
                <w:rFonts w:eastAsia="Times New Roman" w:cs="Arial"/>
                <w:noProof/>
              </w:rPr>
              <w:t>s</w:t>
            </w:r>
            <w:r w:rsidRPr="004B5E55">
              <w:rPr>
                <w:noProof/>
                <w:webHidden/>
              </w:rPr>
              <w:tab/>
            </w:r>
            <w:r w:rsidRPr="004B5E55">
              <w:rPr>
                <w:noProof/>
                <w:webHidden/>
              </w:rPr>
              <w:fldChar w:fldCharType="begin"/>
            </w:r>
            <w:r w:rsidRPr="004B5E55">
              <w:rPr>
                <w:noProof/>
                <w:webHidden/>
              </w:rPr>
              <w:instrText xml:space="preserve"> PAGEREF _Toc174628031 \h </w:instrText>
            </w:r>
            <w:r w:rsidRPr="004B5E55">
              <w:rPr>
                <w:noProof/>
                <w:webHidden/>
              </w:rPr>
              <w:fldChar w:fldCharType="separate"/>
            </w:r>
            <w:r w:rsidRPr="004B5E55">
              <w:rPr>
                <w:noProof/>
                <w:webHidden/>
              </w:rPr>
              <w:t>2</w:t>
            </w:r>
            <w:r w:rsidRPr="004B5E55">
              <w:rPr>
                <w:noProof/>
                <w:webHidden/>
              </w:rPr>
              <w:fldChar w:fldCharType="end"/>
            </w:r>
          </w:hyperlink>
        </w:p>
        <w:p w:rsidR="004B5E55" w:rsidRPr="004B5E55" w14:paraId="7E2DC824" w14:textId="110C9B2D">
          <w:pPr>
            <w:pStyle w:val="TOC2"/>
            <w:tabs>
              <w:tab w:val="right" w:leader="dot" w:pos="10502"/>
            </w:tabs>
            <w:rPr>
              <w:noProof/>
            </w:rPr>
          </w:pPr>
          <w:hyperlink w:anchor="_Toc174628032" w:history="1">
            <w:r w:rsidRPr="004B5E55">
              <w:rPr>
                <w:rStyle w:val="Hyperlink"/>
                <w:rFonts w:eastAsia="Times New Roman" w:cs="Arial"/>
                <w:iCs/>
                <w:noProof/>
              </w:rPr>
              <w:t>D.1 Address Confirmation Experiment</w:t>
            </w:r>
            <w:r w:rsidRPr="004B5E55">
              <w:rPr>
                <w:noProof/>
                <w:webHidden/>
              </w:rPr>
              <w:tab/>
            </w:r>
            <w:r w:rsidRPr="004B5E55">
              <w:rPr>
                <w:noProof/>
                <w:webHidden/>
              </w:rPr>
              <w:fldChar w:fldCharType="begin"/>
            </w:r>
            <w:r w:rsidRPr="004B5E55">
              <w:rPr>
                <w:noProof/>
                <w:webHidden/>
              </w:rPr>
              <w:instrText xml:space="preserve"> PAGEREF _Toc174628032 \h </w:instrText>
            </w:r>
            <w:r w:rsidRPr="004B5E55">
              <w:rPr>
                <w:noProof/>
                <w:webHidden/>
              </w:rPr>
              <w:fldChar w:fldCharType="separate"/>
            </w:r>
            <w:r w:rsidRPr="004B5E55">
              <w:rPr>
                <w:noProof/>
                <w:webHidden/>
              </w:rPr>
              <w:t>3</w:t>
            </w:r>
            <w:r w:rsidRPr="004B5E55">
              <w:rPr>
                <w:noProof/>
                <w:webHidden/>
              </w:rPr>
              <w:fldChar w:fldCharType="end"/>
            </w:r>
          </w:hyperlink>
        </w:p>
        <w:p w:rsidR="004B5E55" w:rsidRPr="004B5E55" w14:paraId="3D64087C" w14:textId="636A5C5E">
          <w:pPr>
            <w:pStyle w:val="TOC3"/>
            <w:tabs>
              <w:tab w:val="right" w:leader="dot" w:pos="10502"/>
            </w:tabs>
            <w:rPr>
              <w:noProof/>
            </w:rPr>
          </w:pPr>
          <w:hyperlink w:anchor="_Toc174628033" w:history="1">
            <w:r w:rsidRPr="004B5E55">
              <w:rPr>
                <w:rStyle w:val="Hyperlink"/>
                <w:rFonts w:eastAsia="Times New Roman" w:cs="Arial"/>
                <w:noProof/>
              </w:rPr>
              <w:t>Results.</w:t>
            </w:r>
            <w:r w:rsidRPr="004B5E55">
              <w:rPr>
                <w:noProof/>
                <w:webHidden/>
              </w:rPr>
              <w:tab/>
            </w:r>
            <w:r w:rsidRPr="004B5E55">
              <w:rPr>
                <w:noProof/>
                <w:webHidden/>
              </w:rPr>
              <w:fldChar w:fldCharType="begin"/>
            </w:r>
            <w:r w:rsidRPr="004B5E55">
              <w:rPr>
                <w:noProof/>
                <w:webHidden/>
              </w:rPr>
              <w:instrText xml:space="preserve"> PAGEREF _Toc174628033 \h </w:instrText>
            </w:r>
            <w:r w:rsidRPr="004B5E55">
              <w:rPr>
                <w:noProof/>
                <w:webHidden/>
              </w:rPr>
              <w:fldChar w:fldCharType="separate"/>
            </w:r>
            <w:r w:rsidRPr="004B5E55">
              <w:rPr>
                <w:noProof/>
                <w:webHidden/>
              </w:rPr>
              <w:t>3</w:t>
            </w:r>
            <w:r w:rsidRPr="004B5E55">
              <w:rPr>
                <w:noProof/>
                <w:webHidden/>
              </w:rPr>
              <w:fldChar w:fldCharType="end"/>
            </w:r>
          </w:hyperlink>
        </w:p>
        <w:p w:rsidR="004B5E55" w:rsidRPr="004B5E55" w14:paraId="41A65D2E" w14:textId="3D59488A">
          <w:pPr>
            <w:pStyle w:val="TOC3"/>
            <w:tabs>
              <w:tab w:val="right" w:leader="dot" w:pos="10502"/>
            </w:tabs>
            <w:rPr>
              <w:noProof/>
            </w:rPr>
          </w:pPr>
          <w:hyperlink w:anchor="_Toc174628034" w:history="1">
            <w:r w:rsidRPr="004B5E55">
              <w:rPr>
                <w:rStyle w:val="Hyperlink"/>
                <w:rFonts w:eastAsia="Times New Roman" w:cs="Arial"/>
                <w:noProof/>
              </w:rPr>
              <w:t>Recommendations for the full-scale study</w:t>
            </w:r>
            <w:r w:rsidRPr="004B5E55">
              <w:rPr>
                <w:noProof/>
                <w:webHidden/>
              </w:rPr>
              <w:tab/>
            </w:r>
            <w:r w:rsidRPr="004B5E55">
              <w:rPr>
                <w:noProof/>
                <w:webHidden/>
              </w:rPr>
              <w:fldChar w:fldCharType="begin"/>
            </w:r>
            <w:r w:rsidRPr="004B5E55">
              <w:rPr>
                <w:noProof/>
                <w:webHidden/>
              </w:rPr>
              <w:instrText xml:space="preserve"> PAGEREF _Toc174628034 \h </w:instrText>
            </w:r>
            <w:r w:rsidRPr="004B5E55">
              <w:rPr>
                <w:noProof/>
                <w:webHidden/>
              </w:rPr>
              <w:fldChar w:fldCharType="separate"/>
            </w:r>
            <w:r w:rsidRPr="004B5E55">
              <w:rPr>
                <w:noProof/>
                <w:webHidden/>
              </w:rPr>
              <w:t>5</w:t>
            </w:r>
            <w:r w:rsidRPr="004B5E55">
              <w:rPr>
                <w:noProof/>
                <w:webHidden/>
              </w:rPr>
              <w:fldChar w:fldCharType="end"/>
            </w:r>
          </w:hyperlink>
        </w:p>
        <w:p w:rsidR="004B5E55" w:rsidRPr="004B5E55" w14:paraId="26518946" w14:textId="4EAC40D1">
          <w:pPr>
            <w:pStyle w:val="TOC2"/>
            <w:tabs>
              <w:tab w:val="right" w:leader="dot" w:pos="10502"/>
            </w:tabs>
            <w:rPr>
              <w:noProof/>
            </w:rPr>
          </w:pPr>
          <w:hyperlink w:anchor="_Toc174628035" w:history="1">
            <w:r w:rsidRPr="004B5E55">
              <w:rPr>
                <w:rStyle w:val="Hyperlink"/>
                <w:rFonts w:eastAsia="Times New Roman" w:cs="Arial"/>
                <w:iCs/>
                <w:noProof/>
              </w:rPr>
              <w:t>D.2 Telephone Reminder Experiment</w:t>
            </w:r>
            <w:r w:rsidRPr="004B5E55">
              <w:rPr>
                <w:noProof/>
                <w:webHidden/>
              </w:rPr>
              <w:tab/>
            </w:r>
            <w:r w:rsidRPr="004B5E55">
              <w:rPr>
                <w:noProof/>
                <w:webHidden/>
              </w:rPr>
              <w:fldChar w:fldCharType="begin"/>
            </w:r>
            <w:r w:rsidRPr="004B5E55">
              <w:rPr>
                <w:noProof/>
                <w:webHidden/>
              </w:rPr>
              <w:instrText xml:space="preserve"> PAGEREF _Toc174628035 \h </w:instrText>
            </w:r>
            <w:r w:rsidRPr="004B5E55">
              <w:rPr>
                <w:noProof/>
                <w:webHidden/>
              </w:rPr>
              <w:fldChar w:fldCharType="separate"/>
            </w:r>
            <w:r w:rsidRPr="004B5E55">
              <w:rPr>
                <w:noProof/>
                <w:webHidden/>
              </w:rPr>
              <w:t>5</w:t>
            </w:r>
            <w:r w:rsidRPr="004B5E55">
              <w:rPr>
                <w:noProof/>
                <w:webHidden/>
              </w:rPr>
              <w:fldChar w:fldCharType="end"/>
            </w:r>
          </w:hyperlink>
        </w:p>
        <w:p w:rsidR="004B5E55" w:rsidRPr="004B5E55" w14:paraId="210C1AEC" w14:textId="19E366FF">
          <w:pPr>
            <w:pStyle w:val="TOC3"/>
            <w:tabs>
              <w:tab w:val="right" w:leader="dot" w:pos="10502"/>
            </w:tabs>
            <w:rPr>
              <w:noProof/>
            </w:rPr>
          </w:pPr>
          <w:hyperlink w:anchor="_Toc174628036" w:history="1">
            <w:r w:rsidRPr="004B5E55">
              <w:rPr>
                <w:rStyle w:val="Hyperlink"/>
                <w:rFonts w:eastAsia="Times New Roman" w:cs="Arial"/>
                <w:noProof/>
              </w:rPr>
              <w:t>Results.</w:t>
            </w:r>
            <w:r w:rsidRPr="004B5E55">
              <w:rPr>
                <w:noProof/>
                <w:webHidden/>
              </w:rPr>
              <w:tab/>
            </w:r>
            <w:r w:rsidRPr="004B5E55">
              <w:rPr>
                <w:noProof/>
                <w:webHidden/>
              </w:rPr>
              <w:fldChar w:fldCharType="begin"/>
            </w:r>
            <w:r w:rsidRPr="004B5E55">
              <w:rPr>
                <w:noProof/>
                <w:webHidden/>
              </w:rPr>
              <w:instrText xml:space="preserve"> PAGEREF _Toc174628036 \h </w:instrText>
            </w:r>
            <w:r w:rsidRPr="004B5E55">
              <w:rPr>
                <w:noProof/>
                <w:webHidden/>
              </w:rPr>
              <w:fldChar w:fldCharType="separate"/>
            </w:r>
            <w:r w:rsidRPr="004B5E55">
              <w:rPr>
                <w:noProof/>
                <w:webHidden/>
              </w:rPr>
              <w:t>5</w:t>
            </w:r>
            <w:r w:rsidRPr="004B5E55">
              <w:rPr>
                <w:noProof/>
                <w:webHidden/>
              </w:rPr>
              <w:fldChar w:fldCharType="end"/>
            </w:r>
          </w:hyperlink>
        </w:p>
        <w:p w:rsidR="004B5E55" w:rsidRPr="004B5E55" w14:paraId="68719710" w14:textId="4A75C5B5">
          <w:pPr>
            <w:pStyle w:val="TOC3"/>
            <w:tabs>
              <w:tab w:val="right" w:leader="dot" w:pos="10502"/>
            </w:tabs>
            <w:rPr>
              <w:noProof/>
            </w:rPr>
          </w:pPr>
          <w:hyperlink w:anchor="_Toc174628037" w:history="1">
            <w:r w:rsidRPr="004B5E55">
              <w:rPr>
                <w:rStyle w:val="Hyperlink"/>
                <w:rFonts w:eastAsia="Times New Roman" w:cs="Arial"/>
                <w:noProof/>
              </w:rPr>
              <w:t>Recommendations for the full-scale study</w:t>
            </w:r>
            <w:r w:rsidRPr="004B5E55">
              <w:rPr>
                <w:noProof/>
                <w:webHidden/>
              </w:rPr>
              <w:tab/>
            </w:r>
            <w:r w:rsidRPr="004B5E55">
              <w:rPr>
                <w:noProof/>
                <w:webHidden/>
              </w:rPr>
              <w:fldChar w:fldCharType="begin"/>
            </w:r>
            <w:r w:rsidRPr="004B5E55">
              <w:rPr>
                <w:noProof/>
                <w:webHidden/>
              </w:rPr>
              <w:instrText xml:space="preserve"> PAGEREF _Toc174628037 \h </w:instrText>
            </w:r>
            <w:r w:rsidRPr="004B5E55">
              <w:rPr>
                <w:noProof/>
                <w:webHidden/>
              </w:rPr>
              <w:fldChar w:fldCharType="separate"/>
            </w:r>
            <w:r w:rsidRPr="004B5E55">
              <w:rPr>
                <w:noProof/>
                <w:webHidden/>
              </w:rPr>
              <w:t>8</w:t>
            </w:r>
            <w:r w:rsidRPr="004B5E55">
              <w:rPr>
                <w:noProof/>
                <w:webHidden/>
              </w:rPr>
              <w:fldChar w:fldCharType="end"/>
            </w:r>
          </w:hyperlink>
        </w:p>
        <w:p w:rsidR="004B5E55" w14:paraId="26291DC4" w14:textId="232E7F81">
          <w:r>
            <w:rPr>
              <w:b/>
              <w:bCs/>
              <w:noProof/>
            </w:rPr>
            <w:fldChar w:fldCharType="end"/>
          </w:r>
        </w:p>
      </w:sdtContent>
    </w:sdt>
    <w:p w:rsidR="004B5E55" w:rsidP="005D23C4" w14:paraId="5840E223" w14:textId="77777777"/>
    <w:p w:rsidR="004B5E55" w:rsidRPr="004B5E55" w:rsidP="004B5E55" w14:paraId="427CB3AA" w14:textId="3E31B04F">
      <w:pPr>
        <w:pStyle w:val="TOCHeading"/>
        <w:keepNext w:val="0"/>
        <w:keepLines w:val="0"/>
        <w:spacing w:before="0" w:after="120" w:line="240" w:lineRule="auto"/>
      </w:pPr>
      <w:r>
        <w:rPr>
          <w:rFonts w:ascii="Arial" w:eastAsia="Times New Roman" w:hAnsi="Arial" w:cs="Arial"/>
          <w:b/>
          <w:color w:val="auto"/>
          <w:szCs w:val="20"/>
        </w:rPr>
        <w:t>Tables</w:t>
      </w:r>
    </w:p>
    <w:p w:rsidR="004B5E55" w14:paraId="07BF1F09" w14:textId="0FB9F421">
      <w:pPr>
        <w:pStyle w:val="TableofFigures"/>
        <w:tabs>
          <w:tab w:val="right" w:leader="dot" w:pos="10502"/>
        </w:tabs>
        <w:rPr>
          <w:noProof/>
        </w:rPr>
      </w:pPr>
      <w:r>
        <w:rPr>
          <w:rFonts w:ascii="Arial" w:eastAsia="Times New Roman" w:hAnsi="Arial" w:cs="Arial"/>
          <w:b/>
          <w:sz w:val="28"/>
        </w:rPr>
        <w:fldChar w:fldCharType="begin"/>
      </w:r>
      <w:r>
        <w:rPr>
          <w:rFonts w:ascii="Arial" w:eastAsia="Times New Roman" w:hAnsi="Arial" w:cs="Arial"/>
          <w:b/>
          <w:sz w:val="28"/>
        </w:rPr>
        <w:instrText xml:space="preserve"> TOC \h \z \t "Table Title" \c </w:instrText>
      </w:r>
      <w:r>
        <w:rPr>
          <w:rFonts w:ascii="Arial" w:eastAsia="Times New Roman" w:hAnsi="Arial" w:cs="Arial"/>
          <w:b/>
          <w:sz w:val="28"/>
        </w:rPr>
        <w:fldChar w:fldCharType="separate"/>
      </w:r>
      <w:hyperlink w:anchor="_Toc174628204" w:history="1">
        <w:r w:rsidRPr="00D849A0">
          <w:rPr>
            <w:rStyle w:val="Hyperlink"/>
            <w:bCs/>
            <w:noProof/>
          </w:rPr>
          <w:t>Table 1.</w:t>
        </w:r>
        <w:r w:rsidRPr="00D849A0">
          <w:rPr>
            <w:rStyle w:val="Hyperlink"/>
            <w:noProof/>
          </w:rPr>
          <w:t xml:space="preserve"> Overview of indicators, operationalizations and analytic approaches for data collection experiments</w:t>
        </w:r>
        <w:r>
          <w:rPr>
            <w:noProof/>
            <w:webHidden/>
          </w:rPr>
          <w:tab/>
        </w:r>
        <w:r>
          <w:rPr>
            <w:noProof/>
            <w:webHidden/>
          </w:rPr>
          <w:fldChar w:fldCharType="begin"/>
        </w:r>
        <w:r>
          <w:rPr>
            <w:noProof/>
            <w:webHidden/>
          </w:rPr>
          <w:instrText xml:space="preserve"> PAGEREF _Toc174628204 \h </w:instrText>
        </w:r>
        <w:r>
          <w:rPr>
            <w:noProof/>
            <w:webHidden/>
          </w:rPr>
          <w:fldChar w:fldCharType="separate"/>
        </w:r>
        <w:r>
          <w:rPr>
            <w:noProof/>
            <w:webHidden/>
          </w:rPr>
          <w:t>2</w:t>
        </w:r>
        <w:r>
          <w:rPr>
            <w:noProof/>
            <w:webHidden/>
          </w:rPr>
          <w:fldChar w:fldCharType="end"/>
        </w:r>
      </w:hyperlink>
    </w:p>
    <w:p w:rsidR="004B5E55" w14:paraId="4A166314" w14:textId="376F5E77">
      <w:pPr>
        <w:pStyle w:val="TableofFigures"/>
        <w:tabs>
          <w:tab w:val="right" w:leader="dot" w:pos="10502"/>
        </w:tabs>
        <w:rPr>
          <w:noProof/>
        </w:rPr>
      </w:pPr>
      <w:hyperlink w:anchor="_Toc174628205" w:history="1">
        <w:r w:rsidRPr="00D849A0">
          <w:rPr>
            <w:rStyle w:val="Hyperlink"/>
            <w:noProof/>
          </w:rPr>
          <w:t>Table 2. Response rates by address confirmation incentive experimental condition</w:t>
        </w:r>
        <w:r>
          <w:rPr>
            <w:noProof/>
            <w:webHidden/>
          </w:rPr>
          <w:tab/>
        </w:r>
        <w:r>
          <w:rPr>
            <w:noProof/>
            <w:webHidden/>
          </w:rPr>
          <w:fldChar w:fldCharType="begin"/>
        </w:r>
        <w:r>
          <w:rPr>
            <w:noProof/>
            <w:webHidden/>
          </w:rPr>
          <w:instrText xml:space="preserve"> PAGEREF _Toc174628205 \h </w:instrText>
        </w:r>
        <w:r>
          <w:rPr>
            <w:noProof/>
            <w:webHidden/>
          </w:rPr>
          <w:fldChar w:fldCharType="separate"/>
        </w:r>
        <w:r>
          <w:rPr>
            <w:noProof/>
            <w:webHidden/>
          </w:rPr>
          <w:t>3</w:t>
        </w:r>
        <w:r>
          <w:rPr>
            <w:noProof/>
            <w:webHidden/>
          </w:rPr>
          <w:fldChar w:fldCharType="end"/>
        </w:r>
      </w:hyperlink>
    </w:p>
    <w:p w:rsidR="004B5E55" w14:paraId="57E3C2B1" w14:textId="34526DBB">
      <w:pPr>
        <w:pStyle w:val="TableofFigures"/>
        <w:tabs>
          <w:tab w:val="right" w:leader="dot" w:pos="10502"/>
        </w:tabs>
        <w:rPr>
          <w:noProof/>
        </w:rPr>
      </w:pPr>
      <w:hyperlink w:anchor="_Toc174628206" w:history="1">
        <w:r w:rsidRPr="00D849A0">
          <w:rPr>
            <w:rStyle w:val="Hyperlink"/>
            <w:noProof/>
          </w:rPr>
          <w:t>Table 3. Sample composition by address confirmation incentive experimental condition</w:t>
        </w:r>
        <w:r>
          <w:rPr>
            <w:noProof/>
            <w:webHidden/>
          </w:rPr>
          <w:tab/>
        </w:r>
        <w:r>
          <w:rPr>
            <w:noProof/>
            <w:webHidden/>
          </w:rPr>
          <w:fldChar w:fldCharType="begin"/>
        </w:r>
        <w:r>
          <w:rPr>
            <w:noProof/>
            <w:webHidden/>
          </w:rPr>
          <w:instrText xml:space="preserve"> PAGEREF _Toc174628206 \h </w:instrText>
        </w:r>
        <w:r>
          <w:rPr>
            <w:noProof/>
            <w:webHidden/>
          </w:rPr>
          <w:fldChar w:fldCharType="separate"/>
        </w:r>
        <w:r>
          <w:rPr>
            <w:noProof/>
            <w:webHidden/>
          </w:rPr>
          <w:t>4</w:t>
        </w:r>
        <w:r>
          <w:rPr>
            <w:noProof/>
            <w:webHidden/>
          </w:rPr>
          <w:fldChar w:fldCharType="end"/>
        </w:r>
      </w:hyperlink>
    </w:p>
    <w:p w:rsidR="004B5E55" w14:paraId="57B0E4A1" w14:textId="3C0143F2">
      <w:pPr>
        <w:pStyle w:val="TableofFigures"/>
        <w:tabs>
          <w:tab w:val="right" w:leader="dot" w:pos="10502"/>
        </w:tabs>
        <w:rPr>
          <w:noProof/>
        </w:rPr>
      </w:pPr>
      <w:hyperlink w:anchor="_Toc174628207" w:history="1">
        <w:r w:rsidRPr="00D849A0">
          <w:rPr>
            <w:rStyle w:val="Hyperlink"/>
            <w:noProof/>
          </w:rPr>
          <w:t>Table.4. Average number of days to complete by address confirmation incentive experimental condition</w:t>
        </w:r>
        <w:r>
          <w:rPr>
            <w:noProof/>
            <w:webHidden/>
          </w:rPr>
          <w:tab/>
        </w:r>
        <w:r>
          <w:rPr>
            <w:noProof/>
            <w:webHidden/>
          </w:rPr>
          <w:fldChar w:fldCharType="begin"/>
        </w:r>
        <w:r>
          <w:rPr>
            <w:noProof/>
            <w:webHidden/>
          </w:rPr>
          <w:instrText xml:space="preserve"> PAGEREF _Toc174628207 \h </w:instrText>
        </w:r>
        <w:r>
          <w:rPr>
            <w:noProof/>
            <w:webHidden/>
          </w:rPr>
          <w:fldChar w:fldCharType="separate"/>
        </w:r>
        <w:r>
          <w:rPr>
            <w:noProof/>
            <w:webHidden/>
          </w:rPr>
          <w:t>5</w:t>
        </w:r>
        <w:r>
          <w:rPr>
            <w:noProof/>
            <w:webHidden/>
          </w:rPr>
          <w:fldChar w:fldCharType="end"/>
        </w:r>
      </w:hyperlink>
    </w:p>
    <w:p w:rsidR="004B5E55" w14:paraId="383FD6A5" w14:textId="514F447E">
      <w:pPr>
        <w:pStyle w:val="TableofFigures"/>
        <w:tabs>
          <w:tab w:val="right" w:leader="dot" w:pos="10502"/>
        </w:tabs>
        <w:rPr>
          <w:noProof/>
        </w:rPr>
      </w:pPr>
      <w:hyperlink w:anchor="_Toc174628208" w:history="1">
        <w:r w:rsidRPr="00D849A0">
          <w:rPr>
            <w:rStyle w:val="Hyperlink"/>
            <w:noProof/>
          </w:rPr>
          <w:t>Table 5. Response rates by telephone reminder experimental condition</w:t>
        </w:r>
        <w:r>
          <w:rPr>
            <w:noProof/>
            <w:webHidden/>
          </w:rPr>
          <w:tab/>
        </w:r>
        <w:r>
          <w:rPr>
            <w:noProof/>
            <w:webHidden/>
          </w:rPr>
          <w:fldChar w:fldCharType="begin"/>
        </w:r>
        <w:r>
          <w:rPr>
            <w:noProof/>
            <w:webHidden/>
          </w:rPr>
          <w:instrText xml:space="preserve"> PAGEREF _Toc174628208 \h </w:instrText>
        </w:r>
        <w:r>
          <w:rPr>
            <w:noProof/>
            <w:webHidden/>
          </w:rPr>
          <w:fldChar w:fldCharType="separate"/>
        </w:r>
        <w:r>
          <w:rPr>
            <w:noProof/>
            <w:webHidden/>
          </w:rPr>
          <w:t>5</w:t>
        </w:r>
        <w:r>
          <w:rPr>
            <w:noProof/>
            <w:webHidden/>
          </w:rPr>
          <w:fldChar w:fldCharType="end"/>
        </w:r>
      </w:hyperlink>
    </w:p>
    <w:p w:rsidR="004B5E55" w14:paraId="041A4FD6" w14:textId="7486FE7E">
      <w:pPr>
        <w:pStyle w:val="TableofFigures"/>
        <w:tabs>
          <w:tab w:val="right" w:leader="dot" w:pos="10502"/>
        </w:tabs>
        <w:rPr>
          <w:noProof/>
        </w:rPr>
      </w:pPr>
      <w:hyperlink w:anchor="_Toc174628209" w:history="1">
        <w:r w:rsidRPr="00D849A0">
          <w:rPr>
            <w:rStyle w:val="Hyperlink"/>
            <w:noProof/>
          </w:rPr>
          <w:t>Table 6. Sample composition by reminder mode experimental condition</w:t>
        </w:r>
        <w:r>
          <w:rPr>
            <w:noProof/>
            <w:webHidden/>
          </w:rPr>
          <w:tab/>
        </w:r>
        <w:r>
          <w:rPr>
            <w:noProof/>
            <w:webHidden/>
          </w:rPr>
          <w:fldChar w:fldCharType="begin"/>
        </w:r>
        <w:r>
          <w:rPr>
            <w:noProof/>
            <w:webHidden/>
          </w:rPr>
          <w:instrText xml:space="preserve"> PAGEREF _Toc174628209 \h </w:instrText>
        </w:r>
        <w:r>
          <w:rPr>
            <w:noProof/>
            <w:webHidden/>
          </w:rPr>
          <w:fldChar w:fldCharType="separate"/>
        </w:r>
        <w:r>
          <w:rPr>
            <w:noProof/>
            <w:webHidden/>
          </w:rPr>
          <w:t>7</w:t>
        </w:r>
        <w:r>
          <w:rPr>
            <w:noProof/>
            <w:webHidden/>
          </w:rPr>
          <w:fldChar w:fldCharType="end"/>
        </w:r>
      </w:hyperlink>
    </w:p>
    <w:p w:rsidR="004B5E55" w14:paraId="00757AB2" w14:textId="545514A5">
      <w:pPr>
        <w:pStyle w:val="TableofFigures"/>
        <w:tabs>
          <w:tab w:val="right" w:leader="dot" w:pos="10502"/>
        </w:tabs>
        <w:rPr>
          <w:noProof/>
        </w:rPr>
      </w:pPr>
      <w:hyperlink w:anchor="_Toc174628210" w:history="1">
        <w:r w:rsidRPr="00D849A0">
          <w:rPr>
            <w:rStyle w:val="Hyperlink"/>
            <w:noProof/>
          </w:rPr>
          <w:t>Table 7. Average number of days to complete by reminder mode experimental condition and evaluation period</w:t>
        </w:r>
        <w:r>
          <w:rPr>
            <w:noProof/>
            <w:webHidden/>
          </w:rPr>
          <w:tab/>
        </w:r>
        <w:r>
          <w:rPr>
            <w:noProof/>
            <w:webHidden/>
          </w:rPr>
          <w:fldChar w:fldCharType="begin"/>
        </w:r>
        <w:r>
          <w:rPr>
            <w:noProof/>
            <w:webHidden/>
          </w:rPr>
          <w:instrText xml:space="preserve"> PAGEREF _Toc174628210 \h </w:instrText>
        </w:r>
        <w:r>
          <w:rPr>
            <w:noProof/>
            <w:webHidden/>
          </w:rPr>
          <w:fldChar w:fldCharType="separate"/>
        </w:r>
        <w:r>
          <w:rPr>
            <w:noProof/>
            <w:webHidden/>
          </w:rPr>
          <w:t>8</w:t>
        </w:r>
        <w:r>
          <w:rPr>
            <w:noProof/>
            <w:webHidden/>
          </w:rPr>
          <w:fldChar w:fldCharType="end"/>
        </w:r>
      </w:hyperlink>
    </w:p>
    <w:p w:rsidR="004B5E55" w14:paraId="7409D579" w14:textId="35F0A9C0">
      <w:pPr>
        <w:spacing w:after="160" w:line="259" w:lineRule="auto"/>
        <w:rPr>
          <w:rFonts w:ascii="Arial" w:eastAsia="Times New Roman" w:hAnsi="Arial" w:cs="Arial"/>
          <w:b/>
          <w:sz w:val="28"/>
        </w:rPr>
      </w:pPr>
      <w:r>
        <w:rPr>
          <w:rFonts w:ascii="Arial" w:eastAsia="Times New Roman" w:hAnsi="Arial" w:cs="Arial"/>
          <w:b/>
          <w:sz w:val="28"/>
        </w:rPr>
        <w:fldChar w:fldCharType="end"/>
      </w:r>
      <w:r>
        <w:rPr>
          <w:rFonts w:ascii="Arial" w:eastAsia="Times New Roman" w:hAnsi="Arial" w:cs="Arial"/>
          <w:b/>
          <w:sz w:val="28"/>
        </w:rPr>
        <w:br w:type="page"/>
      </w:r>
    </w:p>
    <w:p w:rsidR="00F83AF1" w:rsidRPr="00F83AF1" w:rsidP="00F83AF1" w14:paraId="6CF942C5" w14:textId="59919D9F">
      <w:pPr>
        <w:pStyle w:val="Heading1"/>
        <w:keepLines w:val="0"/>
        <w:tabs>
          <w:tab w:val="num" w:pos="630"/>
        </w:tabs>
        <w:spacing w:before="0" w:after="120"/>
        <w:ind w:left="360" w:hanging="360"/>
        <w:rPr>
          <w:rFonts w:ascii="Arial" w:eastAsia="Times New Roman" w:hAnsi="Arial" w:cs="Arial"/>
          <w:b/>
          <w:color w:val="auto"/>
          <w:sz w:val="28"/>
          <w:szCs w:val="20"/>
        </w:rPr>
      </w:pPr>
      <w:bookmarkStart w:id="26" w:name="_Toc174628031"/>
      <w:r w:rsidRPr="00F83AF1">
        <w:rPr>
          <w:rFonts w:ascii="Arial" w:eastAsia="Times New Roman" w:hAnsi="Arial" w:cs="Arial"/>
          <w:b/>
          <w:color w:val="auto"/>
          <w:sz w:val="28"/>
          <w:szCs w:val="20"/>
        </w:rPr>
        <w:t xml:space="preserve">Results of the </w:t>
      </w:r>
      <w:r w:rsidR="004B5E55">
        <w:rPr>
          <w:rFonts w:ascii="Arial" w:eastAsia="Times New Roman" w:hAnsi="Arial" w:cs="Arial"/>
          <w:b/>
          <w:color w:val="auto"/>
          <w:sz w:val="28"/>
          <w:szCs w:val="20"/>
        </w:rPr>
        <w:t>BPS:20/25</w:t>
      </w:r>
      <w:r w:rsidRPr="00F83AF1">
        <w:rPr>
          <w:rFonts w:ascii="Arial" w:eastAsia="Times New Roman" w:hAnsi="Arial" w:cs="Arial"/>
          <w:b/>
          <w:color w:val="auto"/>
          <w:sz w:val="28"/>
          <w:szCs w:val="20"/>
        </w:rPr>
        <w:t xml:space="preserve"> Field Test Experiment</w:t>
      </w:r>
      <w:bookmarkEnd w:id="26"/>
      <w:r w:rsidR="004B5E55">
        <w:rPr>
          <w:rFonts w:ascii="Arial" w:eastAsia="Times New Roman" w:hAnsi="Arial" w:cs="Arial"/>
          <w:b/>
          <w:color w:val="auto"/>
          <w:sz w:val="28"/>
          <w:szCs w:val="20"/>
        </w:rPr>
        <w:t>s</w:t>
      </w:r>
    </w:p>
    <w:p w:rsidR="00287221" w:rsidP="00287221" w14:paraId="6706F96F" w14:textId="3486E514">
      <w:pPr>
        <w:spacing w:after="120"/>
        <w:rPr>
          <w:rFonts w:cstheme="minorHAnsi"/>
          <w:szCs w:val="24"/>
        </w:rPr>
      </w:pPr>
      <w:r w:rsidRPr="007D0BEF">
        <w:rPr>
          <w:rFonts w:cstheme="minorHAnsi"/>
          <w:szCs w:val="24"/>
        </w:rPr>
        <w:t xml:space="preserve">The BPS:20/25 field test included two data collection experiments focused on survey participation. The results of these field test experiments are summarized below. </w:t>
      </w:r>
      <w:r w:rsidRPr="00FD20C4">
        <w:rPr>
          <w:rFonts w:cstheme="minorHAnsi"/>
          <w:szCs w:val="24"/>
        </w:rPr>
        <w:t>Full details of the experiments were described and approved in BPS:20/2</w:t>
      </w:r>
      <w:r>
        <w:rPr>
          <w:rFonts w:cstheme="minorHAnsi"/>
          <w:szCs w:val="24"/>
        </w:rPr>
        <w:t>5</w:t>
      </w:r>
      <w:r w:rsidRPr="00FD20C4">
        <w:rPr>
          <w:rFonts w:cstheme="minorHAnsi"/>
          <w:szCs w:val="24"/>
        </w:rPr>
        <w:t xml:space="preserve"> Field Test Supporting Statement Part B (OMB# </w:t>
      </w:r>
      <w:r w:rsidRPr="005D23C4" w:rsidR="009E5C48">
        <w:rPr>
          <w:rFonts w:cstheme="minorHAnsi"/>
          <w:szCs w:val="24"/>
        </w:rPr>
        <w:t>1850-0631 v.</w:t>
      </w:r>
      <w:r w:rsidRPr="005D23C4" w:rsidR="005D23C4">
        <w:rPr>
          <w:rFonts w:cstheme="minorHAnsi"/>
          <w:szCs w:val="24"/>
        </w:rPr>
        <w:t>20</w:t>
      </w:r>
      <w:r w:rsidRPr="00FD20C4">
        <w:rPr>
          <w:rFonts w:cstheme="minorHAnsi"/>
          <w:szCs w:val="24"/>
        </w:rPr>
        <w:t>).</w:t>
      </w:r>
    </w:p>
    <w:p w:rsidR="00547F2C" w:rsidRPr="00547F2C" w:rsidP="00547F2C" w14:paraId="506921CA" w14:textId="77777777">
      <w:pPr>
        <w:spacing w:after="120"/>
        <w:rPr>
          <w:rFonts w:cstheme="minorHAnsi"/>
          <w:szCs w:val="24"/>
        </w:rPr>
      </w:pPr>
      <w:r w:rsidRPr="00547F2C">
        <w:rPr>
          <w:rFonts w:cstheme="minorHAnsi"/>
          <w:szCs w:val="24"/>
        </w:rPr>
        <w:t>The data collection experiments explored the effectiveness of:</w:t>
      </w:r>
    </w:p>
    <w:p w:rsidR="00547F2C" w:rsidRPr="00547F2C" w:rsidP="00547F2C" w14:paraId="6C420FEE" w14:textId="4F7F6071">
      <w:pPr>
        <w:spacing w:after="120"/>
        <w:ind w:left="720"/>
        <w:rPr>
          <w:rFonts w:cstheme="minorHAnsi"/>
          <w:szCs w:val="24"/>
        </w:rPr>
      </w:pPr>
      <w:r w:rsidRPr="00547F2C">
        <w:rPr>
          <w:rFonts w:cstheme="minorHAnsi"/>
          <w:szCs w:val="24"/>
        </w:rPr>
        <w:t>1) an “address confirmation” incentive where respondents received an additional $5 if they provided their phone number, mailing or e-mail address before the start of the survey</w:t>
      </w:r>
      <w:r w:rsidR="00FC036D">
        <w:rPr>
          <w:rFonts w:cstheme="minorHAnsi"/>
          <w:szCs w:val="24"/>
        </w:rPr>
        <w:t xml:space="preserve"> (i.e., the “address confirmation questions”)</w:t>
      </w:r>
      <w:r w:rsidRPr="00547F2C">
        <w:rPr>
          <w:rFonts w:cstheme="minorHAnsi"/>
          <w:szCs w:val="24"/>
        </w:rPr>
        <w:t xml:space="preserve">, and </w:t>
      </w:r>
    </w:p>
    <w:p w:rsidR="00547F2C" w:rsidRPr="00547F2C" w:rsidP="00547F2C" w14:paraId="3D6A1D97" w14:textId="67B6412B">
      <w:pPr>
        <w:spacing w:after="120"/>
        <w:ind w:left="720"/>
        <w:rPr>
          <w:rFonts w:cstheme="minorHAnsi"/>
          <w:szCs w:val="24"/>
        </w:rPr>
      </w:pPr>
      <w:r w:rsidRPr="00547F2C">
        <w:rPr>
          <w:rFonts w:cstheme="minorHAnsi"/>
          <w:szCs w:val="24"/>
        </w:rPr>
        <w:t xml:space="preserve">2) eliminating telephone reminders for sample members who responded to NPSAS:20 and BPS:20/22. </w:t>
      </w:r>
    </w:p>
    <w:p w:rsidR="004903E6" w:rsidRPr="007B1B71" w:rsidP="004903E6" w14:paraId="3DB99E64" w14:textId="4CD21E80">
      <w:pPr>
        <w:pStyle w:val="BodyText"/>
        <w:ind w:firstLine="0"/>
      </w:pPr>
      <w:r w:rsidRPr="007B1B71">
        <w:t xml:space="preserve">The experiments were evaluated on three criteria: survey response, sample representativeness, and data collection efficiency. Survey response was evaluated for both experiments using response rates. Pearson chi-squared tests assessed whether the experimental </w:t>
      </w:r>
      <w:r w:rsidRPr="007B1B71" w:rsidR="00FE3C1B">
        <w:t>treatment</w:t>
      </w:r>
      <w:r w:rsidRPr="007B1B71">
        <w:t xml:space="preserve"> significantly increased survey response. </w:t>
      </w:r>
    </w:p>
    <w:p w:rsidR="004903E6" w:rsidRPr="007B1B71" w:rsidP="004903E6" w14:paraId="14FE33A1" w14:textId="2F3D2D00">
      <w:pPr>
        <w:pStyle w:val="BodyText"/>
        <w:ind w:firstLine="0"/>
      </w:pPr>
      <w:r w:rsidRPr="007B1B71">
        <w:t xml:space="preserve">Next, using administrative frame data, sample representativeness was assessed across sex, </w:t>
      </w:r>
      <w:r w:rsidR="00B616A6">
        <w:t xml:space="preserve">race, </w:t>
      </w:r>
      <w:r w:rsidRPr="007B1B71">
        <w:t>ethnicity, and control of institution (i.e., public institution</w:t>
      </w:r>
      <w:r>
        <w:t>,</w:t>
      </w:r>
      <w:r w:rsidRPr="007B1B71">
        <w:t xml:space="preserve"> private nonprofit institution</w:t>
      </w:r>
      <w:r>
        <w:t>,</w:t>
      </w:r>
      <w:r w:rsidRPr="007B1B71">
        <w:t xml:space="preserve"> and private for-profit institution). Pearson chi-squared tests </w:t>
      </w:r>
      <w:r>
        <w:t xml:space="preserve">were used </w:t>
      </w:r>
      <w:r w:rsidRPr="007B1B71">
        <w:t xml:space="preserve">to </w:t>
      </w:r>
      <w:r w:rsidR="00C43369">
        <w:t>compare</w:t>
      </w:r>
      <w:r w:rsidRPr="007B1B71">
        <w:t xml:space="preserve"> </w:t>
      </w:r>
      <w:r w:rsidR="004912E2">
        <w:t xml:space="preserve">the </w:t>
      </w:r>
      <w:r w:rsidR="00C43369">
        <w:t xml:space="preserve">distribution of </w:t>
      </w:r>
      <w:r w:rsidRPr="007B1B71">
        <w:t xml:space="preserve">respondent characteristics (i.e., percentages for sex, race, </w:t>
      </w:r>
      <w:r w:rsidR="004912E2">
        <w:t xml:space="preserve">ethnicity, </w:t>
      </w:r>
      <w:r w:rsidRPr="007B1B71">
        <w:t>and institutional control)</w:t>
      </w:r>
      <w:r w:rsidR="007710E9">
        <w:t xml:space="preserve"> across the treatment</w:t>
      </w:r>
      <w:r w:rsidR="00C43369">
        <w:t xml:space="preserve"> and control groups</w:t>
      </w:r>
      <w:r w:rsidRPr="007B1B71">
        <w:t xml:space="preserve">. </w:t>
      </w:r>
      <w:r>
        <w:t>N</w:t>
      </w:r>
      <w:r w:rsidRPr="007B1B71">
        <w:t>onresponse bias</w:t>
      </w:r>
      <w:r>
        <w:t xml:space="preserve"> was also calculated</w:t>
      </w:r>
      <w:r w:rsidRPr="007B1B71">
        <w:t xml:space="preserve"> (Groves et al. 2009) for each representativeness metric within each group (i.e., within control and experimental </w:t>
      </w:r>
      <w:r>
        <w:t>groups</w:t>
      </w:r>
      <w:r w:rsidRPr="007B1B71">
        <w:t>) as</w:t>
      </w:r>
    </w:p>
    <w:p w:rsidR="004903E6" w:rsidRPr="007B1B71" w:rsidP="004903E6" w14:paraId="770F5E08" w14:textId="77777777">
      <w:pPr>
        <w:pStyle w:val="BodyText"/>
      </w:pPr>
      <m:oMathPara>
        <m:oMath>
          <m:f>
            <m:fPr>
              <m:ctrlPr>
                <w:rPr>
                  <w:rFonts w:ascii="Cambria Math" w:hAnsi="Cambria Math"/>
                  <w:i/>
                </w:rPr>
              </m:ctrlPr>
            </m:fPr>
            <m:num>
              <m:r>
                <w:rPr>
                  <w:rFonts w:ascii="Cambria Math" w:hAnsi="Cambria Math"/>
                </w:rPr>
                <m:t>m</m:t>
              </m:r>
            </m:num>
            <m:den>
              <m:r>
                <w:rPr>
                  <w:rFonts w:ascii="Cambria Math" w:hAnsi="Cambria Math"/>
                </w:rPr>
                <m:t>n</m:t>
              </m:r>
            </m:den>
          </m:f>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m:t>
              </m:r>
            </m:sub>
          </m:sSub>
          <m:r>
            <w:rPr>
              <w:rFonts w:ascii="Cambria Math" w:hAnsi="Cambria Math"/>
            </w:rPr>
            <m:t>)</m:t>
          </m:r>
        </m:oMath>
      </m:oMathPara>
    </w:p>
    <w:p w:rsidR="004903E6" w:rsidRPr="007B1B71" w:rsidP="0067198F" w14:paraId="2397621A" w14:textId="56423B38">
      <w:pPr>
        <w:pStyle w:val="BodyText"/>
        <w:ind w:firstLine="0"/>
      </w:pPr>
      <w:r>
        <w:t>w</w:t>
      </w:r>
      <w:r w:rsidRPr="007B1B71">
        <w:t xml:space="preserve">here </w:t>
      </w:r>
      <m:oMath>
        <m:r>
          <w:rPr>
            <w:rFonts w:ascii="Cambria Math" w:hAnsi="Cambria Math"/>
          </w:rPr>
          <m:t>m</m:t>
        </m:r>
      </m:oMath>
      <w:r w:rsidRPr="007B1B71">
        <w:t xml:space="preserve"> is the number of nonrespondents in a group, </w:t>
      </w:r>
      <m:oMath>
        <m:r>
          <w:rPr>
            <w:rFonts w:ascii="Cambria Math" w:hAnsi="Cambria Math"/>
          </w:rPr>
          <m:t>n</m:t>
        </m:r>
      </m:oMath>
      <w:r w:rsidRPr="007B1B71">
        <w:t xml:space="preserve"> is the total sample size for that group,</w:t>
      </w:r>
      <w:r w:rsidRPr="007B1B71">
        <w:rPr>
          <w:rFonts w:ascii="Cambria Math" w:hAnsi="Cambria Math"/>
          <w:i/>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oMath>
      <w:r w:rsidRPr="007B1B71">
        <w:t xml:space="preserve"> is the respondent mean for that group</w:t>
      </w:r>
      <w:r>
        <w:t>,</w:t>
      </w:r>
      <w:r w:rsidRPr="007B1B7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m:t>
            </m:r>
          </m:sub>
        </m:sSub>
      </m:oMath>
      <w:r w:rsidRPr="007B1B71">
        <w:t xml:space="preserve"> is the nonrespondent mean for that group. This provides a measure of the magnitude of bias. To compare the magnitude of biases across the control and treatment group, the difference of absolute biases </w:t>
      </w:r>
      <w:r>
        <w:t xml:space="preserve">was calculated </w:t>
      </w:r>
      <w:r w:rsidRPr="007B1B71">
        <w:t xml:space="preserve">as </w:t>
      </w:r>
    </w:p>
    <w:p w:rsidR="004903E6" w:rsidRPr="007B1B71" w:rsidP="004903E6" w14:paraId="019B4967" w14:textId="77777777">
      <w:pPr>
        <w:pStyle w:val="BodyText"/>
        <w:jc w:val="cente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Bias</m:t>
                  </m:r>
                </m:e>
                <m:sub>
                  <m:r>
                    <w:rPr>
                      <w:rFonts w:ascii="Cambria Math" w:hAnsi="Cambria Math"/>
                    </w:rPr>
                    <m:t>T</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Bias</m:t>
                  </m:r>
                </m:e>
                <m:sub>
                  <m:r>
                    <w:rPr>
                      <w:rFonts w:ascii="Cambria Math" w:hAnsi="Cambria Math"/>
                    </w:rPr>
                    <m:t>C</m:t>
                  </m:r>
                </m:sub>
              </m:sSub>
            </m:e>
          </m:d>
        </m:oMath>
      </m:oMathPara>
    </w:p>
    <w:p w:rsidR="004903E6" w:rsidRPr="007B1B71" w:rsidP="0067198F" w14:paraId="3D5BB29C" w14:textId="77777777">
      <w:pPr>
        <w:pStyle w:val="BodyText"/>
        <w:ind w:firstLine="0"/>
      </w:pPr>
      <w:r>
        <w:t>w</w:t>
      </w:r>
      <w:r w:rsidRPr="007B1B71">
        <w:t xml:space="preserve">here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Bias</m:t>
                </m:r>
              </m:e>
              <m:sub>
                <m:r>
                  <w:rPr>
                    <w:rFonts w:ascii="Cambria Math" w:hAnsi="Cambria Math"/>
                  </w:rPr>
                  <m:t>T</m:t>
                </m:r>
              </m:sub>
            </m:sSub>
          </m:e>
        </m:d>
      </m:oMath>
      <w:r w:rsidRPr="007B1B71">
        <w:t xml:space="preserve"> is the absolute value of nonresponse bias for the treatment group and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Bias</m:t>
                </m:r>
              </m:e>
              <m:sub>
                <m:r>
                  <w:rPr>
                    <w:rFonts w:ascii="Cambria Math" w:hAnsi="Cambria Math"/>
                  </w:rPr>
                  <m:t>C</m:t>
                </m:r>
              </m:sub>
            </m:sSub>
          </m:e>
        </m:d>
      </m:oMath>
      <w:r w:rsidRPr="007B1B71">
        <w:t xml:space="preserve"> is the absolute value of the control group. </w:t>
      </w:r>
    </w:p>
    <w:p w:rsidR="004903E6" w:rsidP="0067198F" w14:paraId="01DFDB60" w14:textId="01C82319">
      <w:pPr>
        <w:pStyle w:val="BodyText"/>
        <w:ind w:firstLine="0"/>
      </w:pPr>
      <w:r w:rsidRPr="007B1B71">
        <w:t xml:space="preserve">Finally, data collection efficiency is operationalized as the number of days between the start of the experiment and survey completion. One-sided </w:t>
      </w:r>
      <w:r w:rsidRPr="007B1B71">
        <w:rPr>
          <w:i/>
          <w:iCs/>
        </w:rPr>
        <w:t>t</w:t>
      </w:r>
      <w:r w:rsidRPr="007B1B71">
        <w:t>-tests were used to explore whether the experimental treatments significantly reduced the number of days from the start of the experiment it took respondents to complete the survey.</w:t>
      </w:r>
      <w:r w:rsidRPr="00DA4B42" w:rsidR="00DA4B42">
        <w:rPr>
          <w:rFonts w:cstheme="minorHAnsi"/>
        </w:rPr>
        <w:t xml:space="preserve"> </w:t>
      </w:r>
      <w:r w:rsidRPr="00FD20C4" w:rsidR="00DA4B42">
        <w:rPr>
          <w:rFonts w:cstheme="minorHAnsi"/>
        </w:rPr>
        <w:fldChar w:fldCharType="begin"/>
      </w:r>
      <w:r w:rsidRPr="00FD20C4" w:rsidR="00DA4B42">
        <w:rPr>
          <w:rFonts w:cstheme="minorHAnsi"/>
        </w:rPr>
        <w:instrText xml:space="preserve"> REF _Ref79565408 \h  \* MERGEFORMAT </w:instrText>
      </w:r>
      <w:r w:rsidRPr="00FD20C4" w:rsidR="00DA4B42">
        <w:rPr>
          <w:rFonts w:cstheme="minorHAnsi"/>
        </w:rPr>
        <w:fldChar w:fldCharType="separate"/>
      </w:r>
      <w:r w:rsidRPr="009A22ED" w:rsidR="00DA4B42">
        <w:t xml:space="preserve">Table </w:t>
      </w:r>
      <w:r w:rsidRPr="009A22ED" w:rsidR="00DA4B42">
        <w:rPr>
          <w:noProof/>
        </w:rPr>
        <w:t>1</w:t>
      </w:r>
      <w:r w:rsidRPr="00FD20C4" w:rsidR="00DA4B42">
        <w:rPr>
          <w:rFonts w:cstheme="minorHAnsi"/>
        </w:rPr>
        <w:fldChar w:fldCharType="end"/>
      </w:r>
      <w:r w:rsidRPr="00FD20C4" w:rsidR="00DA4B42">
        <w:rPr>
          <w:rFonts w:cstheme="minorHAnsi"/>
        </w:rPr>
        <w:t xml:space="preserve"> summarizes these indicators, their operationalization, and the analytic approaches.</w:t>
      </w:r>
    </w:p>
    <w:p w:rsidR="001D37DC" w:rsidP="0067198F" w14:paraId="2628E679" w14:textId="77777777">
      <w:pPr>
        <w:pStyle w:val="BodyText"/>
        <w:ind w:firstLine="0"/>
      </w:pPr>
    </w:p>
    <w:p w:rsidR="001D37DC" w:rsidRPr="00FD5576" w:rsidP="001D37DC" w14:paraId="11013DF4" w14:textId="57D3234A">
      <w:pPr>
        <w:pStyle w:val="TableTitle"/>
      </w:pPr>
      <w:bookmarkStart w:id="27" w:name="_Ref79565408"/>
      <w:bookmarkStart w:id="28" w:name="_Toc174628204"/>
      <w:r w:rsidRPr="00B5781B">
        <w:rPr>
          <w:bCs/>
        </w:rPr>
        <w:t xml:space="preserve">Table </w:t>
      </w:r>
      <w:r w:rsidRPr="00B5781B">
        <w:rPr>
          <w:bCs/>
        </w:rPr>
        <w:fldChar w:fldCharType="begin"/>
      </w:r>
      <w:r w:rsidRPr="00B5781B">
        <w:rPr>
          <w:bCs/>
        </w:rPr>
        <w:instrText xml:space="preserve"> SEQ Table \* ARABIC </w:instrText>
      </w:r>
      <w:r w:rsidRPr="00B5781B">
        <w:rPr>
          <w:bCs/>
        </w:rPr>
        <w:fldChar w:fldCharType="separate"/>
      </w:r>
      <w:r>
        <w:rPr>
          <w:bCs/>
          <w:noProof/>
        </w:rPr>
        <w:t>1</w:t>
      </w:r>
      <w:r w:rsidRPr="00B5781B">
        <w:rPr>
          <w:bCs/>
        </w:rPr>
        <w:fldChar w:fldCharType="end"/>
      </w:r>
      <w:bookmarkEnd w:id="27"/>
      <w:r w:rsidRPr="00B5781B">
        <w:rPr>
          <w:bCs/>
        </w:rPr>
        <w:t>.</w:t>
      </w:r>
      <w:r w:rsidRPr="00FD5576">
        <w:t xml:space="preserve"> Overview of indicators, operationalizations and analytic approaches</w:t>
      </w:r>
      <w:r>
        <w:t xml:space="preserve"> for data collection experiments</w:t>
      </w:r>
      <w:bookmarkEnd w:id="28"/>
    </w:p>
    <w:tbl>
      <w:tblPr>
        <w:tblStyle w:val="TableGrid"/>
        <w:tblW w:w="5000" w:type="pct"/>
        <w:tblLayout w:type="fixed"/>
        <w:tblLook w:val="04A0"/>
      </w:tblPr>
      <w:tblGrid>
        <w:gridCol w:w="2834"/>
        <w:gridCol w:w="5059"/>
        <w:gridCol w:w="2619"/>
      </w:tblGrid>
      <w:tr w14:paraId="3CE212D4" w14:textId="77777777" w:rsidTr="00C900B5">
        <w:tblPrEx>
          <w:tblW w:w="5000" w:type="pct"/>
          <w:tblLayout w:type="fixed"/>
          <w:tblLook w:val="04A0"/>
        </w:tblPrEx>
        <w:trPr>
          <w:trHeight w:val="144"/>
        </w:trPr>
        <w:tc>
          <w:tcPr>
            <w:tcW w:w="2834" w:type="dxa"/>
            <w:tcBorders>
              <w:top w:val="single" w:sz="12" w:space="0" w:color="auto"/>
              <w:left w:val="nil"/>
              <w:bottom w:val="nil"/>
              <w:right w:val="nil"/>
            </w:tcBorders>
            <w:vAlign w:val="bottom"/>
          </w:tcPr>
          <w:p w:rsidR="001D37DC" w:rsidRPr="006A67FD" w:rsidP="00C900B5" w14:paraId="77B2635F" w14:textId="77777777">
            <w:pPr>
              <w:rPr>
                <w:rFonts w:ascii="Arial" w:hAnsi="Arial" w:cs="Arial"/>
                <w:b/>
                <w:sz w:val="18"/>
                <w:szCs w:val="18"/>
              </w:rPr>
            </w:pPr>
            <w:r w:rsidRPr="006A67FD">
              <w:rPr>
                <w:rFonts w:ascii="Arial" w:hAnsi="Arial" w:cs="Arial"/>
                <w:b/>
                <w:sz w:val="18"/>
                <w:szCs w:val="18"/>
              </w:rPr>
              <w:t>Indicator</w:t>
            </w:r>
          </w:p>
        </w:tc>
        <w:tc>
          <w:tcPr>
            <w:tcW w:w="5059" w:type="dxa"/>
            <w:tcBorders>
              <w:top w:val="single" w:sz="12" w:space="0" w:color="auto"/>
              <w:left w:val="nil"/>
              <w:bottom w:val="nil"/>
              <w:right w:val="nil"/>
            </w:tcBorders>
            <w:vAlign w:val="bottom"/>
          </w:tcPr>
          <w:p w:rsidR="001D37DC" w:rsidRPr="006A67FD" w:rsidP="00C900B5" w14:paraId="119B3A63" w14:textId="77777777">
            <w:pPr>
              <w:rPr>
                <w:rFonts w:ascii="Arial" w:hAnsi="Arial" w:cs="Arial"/>
                <w:b/>
                <w:sz w:val="18"/>
                <w:szCs w:val="18"/>
              </w:rPr>
            </w:pPr>
            <w:r w:rsidRPr="006A67FD">
              <w:rPr>
                <w:rFonts w:ascii="Arial" w:hAnsi="Arial" w:cs="Arial"/>
                <w:b/>
                <w:sz w:val="18"/>
                <w:szCs w:val="18"/>
              </w:rPr>
              <w:t>Operationalization</w:t>
            </w:r>
          </w:p>
        </w:tc>
        <w:tc>
          <w:tcPr>
            <w:tcW w:w="2619" w:type="dxa"/>
            <w:tcBorders>
              <w:top w:val="single" w:sz="12" w:space="0" w:color="auto"/>
              <w:left w:val="nil"/>
              <w:bottom w:val="nil"/>
              <w:right w:val="nil"/>
            </w:tcBorders>
            <w:vAlign w:val="bottom"/>
          </w:tcPr>
          <w:p w:rsidR="001D37DC" w:rsidRPr="006A67FD" w:rsidP="00C900B5" w14:paraId="0B1B99A5" w14:textId="77777777">
            <w:pPr>
              <w:jc w:val="center"/>
              <w:rPr>
                <w:rFonts w:ascii="Arial" w:hAnsi="Arial" w:cs="Arial"/>
                <w:b/>
                <w:sz w:val="18"/>
                <w:szCs w:val="18"/>
              </w:rPr>
            </w:pPr>
            <w:r w:rsidRPr="006A67FD">
              <w:rPr>
                <w:rFonts w:ascii="Arial" w:hAnsi="Arial" w:cs="Arial"/>
                <w:b/>
                <w:sz w:val="18"/>
                <w:szCs w:val="18"/>
              </w:rPr>
              <w:t>Analytic Approach</w:t>
            </w:r>
          </w:p>
        </w:tc>
      </w:tr>
      <w:tr w14:paraId="7A4992DC" w14:textId="77777777" w:rsidTr="00C547B6">
        <w:tblPrEx>
          <w:tblW w:w="5000" w:type="pct"/>
          <w:tblLayout w:type="fixed"/>
          <w:tblLook w:val="04A0"/>
        </w:tblPrEx>
        <w:trPr>
          <w:trHeight w:val="144"/>
        </w:trPr>
        <w:tc>
          <w:tcPr>
            <w:tcW w:w="2834" w:type="dxa"/>
            <w:tcBorders>
              <w:top w:val="nil"/>
              <w:left w:val="nil"/>
              <w:bottom w:val="nil"/>
              <w:right w:val="nil"/>
            </w:tcBorders>
            <w:vAlign w:val="center"/>
          </w:tcPr>
          <w:p w:rsidR="001D37DC" w:rsidRPr="006A67FD" w:rsidP="00C900B5" w14:paraId="47F91838" w14:textId="77777777">
            <w:pPr>
              <w:rPr>
                <w:rFonts w:ascii="Arial" w:hAnsi="Arial" w:cs="Arial"/>
                <w:sz w:val="18"/>
                <w:szCs w:val="18"/>
              </w:rPr>
            </w:pPr>
            <w:r w:rsidRPr="007B1B71">
              <w:t>Survey response</w:t>
            </w:r>
          </w:p>
        </w:tc>
        <w:tc>
          <w:tcPr>
            <w:tcW w:w="5059" w:type="dxa"/>
            <w:tcBorders>
              <w:top w:val="nil"/>
              <w:left w:val="nil"/>
              <w:bottom w:val="nil"/>
              <w:right w:val="nil"/>
            </w:tcBorders>
            <w:vAlign w:val="center"/>
          </w:tcPr>
          <w:p w:rsidR="001D37DC" w:rsidRPr="006A67FD" w:rsidP="00C900B5" w14:paraId="3A2307F1" w14:textId="77777777">
            <w:pPr>
              <w:rPr>
                <w:rFonts w:ascii="Arial" w:hAnsi="Arial" w:cs="Arial"/>
                <w:sz w:val="18"/>
                <w:szCs w:val="18"/>
              </w:rPr>
            </w:pPr>
            <w:r w:rsidRPr="007B1B71">
              <w:t>Response rates (eligible sample members only, including partial completions)</w:t>
            </w:r>
          </w:p>
        </w:tc>
        <w:tc>
          <w:tcPr>
            <w:tcW w:w="2619" w:type="dxa"/>
            <w:tcBorders>
              <w:top w:val="nil"/>
              <w:left w:val="nil"/>
              <w:bottom w:val="nil"/>
              <w:right w:val="nil"/>
            </w:tcBorders>
            <w:vAlign w:val="center"/>
          </w:tcPr>
          <w:p w:rsidR="001D37DC" w:rsidRPr="006A67FD" w:rsidP="00C900B5" w14:paraId="6CF47C18" w14:textId="77777777">
            <w:pPr>
              <w:jc w:val="center"/>
              <w:rPr>
                <w:rFonts w:ascii="Arial" w:hAnsi="Arial" w:cs="Arial"/>
                <w:sz w:val="18"/>
                <w:szCs w:val="18"/>
              </w:rPr>
            </w:pPr>
            <w:r w:rsidRPr="007B1B71">
              <w:rPr>
                <w:i/>
                <w:iCs/>
              </w:rPr>
              <w:t>X</w:t>
            </w:r>
            <w:r w:rsidRPr="007B1B71">
              <w:t>² test</w:t>
            </w:r>
          </w:p>
        </w:tc>
      </w:tr>
      <w:tr w14:paraId="039E5FE0" w14:textId="77777777" w:rsidTr="00C547B6">
        <w:tblPrEx>
          <w:tblW w:w="5000" w:type="pct"/>
          <w:tblLayout w:type="fixed"/>
          <w:tblLook w:val="04A0"/>
        </w:tblPrEx>
        <w:trPr>
          <w:trHeight w:val="144"/>
        </w:trPr>
        <w:tc>
          <w:tcPr>
            <w:tcW w:w="2834" w:type="dxa"/>
            <w:vMerge w:val="restart"/>
            <w:tcBorders>
              <w:top w:val="nil"/>
              <w:left w:val="nil"/>
              <w:bottom w:val="nil"/>
              <w:right w:val="nil"/>
            </w:tcBorders>
            <w:vAlign w:val="center"/>
          </w:tcPr>
          <w:p w:rsidR="004C47D8" w:rsidRPr="006A67FD" w:rsidP="00C900B5" w14:paraId="739402B9" w14:textId="77777777">
            <w:pPr>
              <w:rPr>
                <w:rFonts w:ascii="Arial" w:hAnsi="Arial" w:cs="Arial"/>
                <w:sz w:val="18"/>
                <w:szCs w:val="18"/>
              </w:rPr>
            </w:pPr>
            <w:r w:rsidRPr="007B1B71">
              <w:t xml:space="preserve">Sample representativeness </w:t>
            </w:r>
          </w:p>
        </w:tc>
        <w:tc>
          <w:tcPr>
            <w:tcW w:w="5059" w:type="dxa"/>
            <w:tcBorders>
              <w:top w:val="nil"/>
              <w:left w:val="nil"/>
              <w:bottom w:val="nil"/>
              <w:right w:val="nil"/>
            </w:tcBorders>
            <w:vAlign w:val="center"/>
          </w:tcPr>
          <w:p w:rsidR="004C47D8" w:rsidRPr="006A67FD" w:rsidP="00C900B5" w14:paraId="10395657" w14:textId="6DD7E7BA">
            <w:pPr>
              <w:rPr>
                <w:rFonts w:ascii="Arial" w:hAnsi="Arial" w:cs="Arial"/>
                <w:sz w:val="18"/>
                <w:szCs w:val="18"/>
              </w:rPr>
            </w:pPr>
            <w:r>
              <w:t>Nonresponse bias</w:t>
            </w:r>
          </w:p>
        </w:tc>
        <w:tc>
          <w:tcPr>
            <w:tcW w:w="2619" w:type="dxa"/>
            <w:tcBorders>
              <w:top w:val="nil"/>
              <w:left w:val="nil"/>
              <w:bottom w:val="nil"/>
              <w:right w:val="nil"/>
            </w:tcBorders>
            <w:vAlign w:val="center"/>
          </w:tcPr>
          <w:p w:rsidR="004C47D8" w:rsidRPr="004C47D8" w:rsidP="004C47D8" w14:paraId="02C6119D" w14:textId="6DADAD9A">
            <w:pPr>
              <w:pStyle w:val="BodyText"/>
            </w:pPr>
            <m:oMathPara>
              <m:oMath>
                <m:f>
                  <m:fPr>
                    <m:ctrlPr>
                      <w:rPr>
                        <w:rFonts w:ascii="Cambria Math" w:hAnsi="Cambria Math"/>
                        <w:i/>
                      </w:rPr>
                    </m:ctrlPr>
                  </m:fPr>
                  <m:num>
                    <m:r>
                      <w:rPr>
                        <w:rFonts w:ascii="Cambria Math" w:hAnsi="Cambria Math"/>
                      </w:rPr>
                      <m:t>m</m:t>
                    </m:r>
                  </m:num>
                  <m:den>
                    <m:r>
                      <w:rPr>
                        <w:rFonts w:ascii="Cambria Math" w:hAnsi="Cambria Math"/>
                      </w:rPr>
                      <m:t>n</m:t>
                    </m:r>
                  </m:den>
                </m:f>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m</m:t>
                    </m:r>
                  </m:sub>
                </m:sSub>
                <m:r>
                  <w:rPr>
                    <w:rFonts w:ascii="Cambria Math" w:hAnsi="Cambria Math"/>
                  </w:rPr>
                  <m:t>)</m:t>
                </m:r>
              </m:oMath>
            </m:oMathPara>
          </w:p>
        </w:tc>
      </w:tr>
      <w:tr w14:paraId="3623CC3C" w14:textId="77777777" w:rsidTr="00C547B6">
        <w:tblPrEx>
          <w:tblW w:w="5000" w:type="pct"/>
          <w:tblLayout w:type="fixed"/>
          <w:tblLook w:val="04A0"/>
        </w:tblPrEx>
        <w:trPr>
          <w:trHeight w:val="144"/>
        </w:trPr>
        <w:tc>
          <w:tcPr>
            <w:tcW w:w="2834" w:type="dxa"/>
            <w:vMerge/>
            <w:tcBorders>
              <w:bottom w:val="nil"/>
              <w:right w:val="nil"/>
            </w:tcBorders>
            <w:vAlign w:val="center"/>
          </w:tcPr>
          <w:p w:rsidR="004C47D8" w:rsidRPr="007B1B71" w:rsidP="004C47D8" w14:paraId="549D9C8A" w14:textId="77777777"/>
        </w:tc>
        <w:tc>
          <w:tcPr>
            <w:tcW w:w="5059" w:type="dxa"/>
            <w:tcBorders>
              <w:top w:val="nil"/>
              <w:left w:val="nil"/>
              <w:bottom w:val="nil"/>
              <w:right w:val="nil"/>
            </w:tcBorders>
            <w:vAlign w:val="center"/>
          </w:tcPr>
          <w:p w:rsidR="004C47D8" w:rsidP="004C47D8" w14:paraId="3D8B4A00" w14:textId="5B97D90A">
            <w:r>
              <w:t>Rate</w:t>
            </w:r>
            <w:r>
              <w:t xml:space="preserve"> of </w:t>
            </w:r>
            <w:r w:rsidR="005E324F">
              <w:t>respondent</w:t>
            </w:r>
            <w:r>
              <w:t xml:space="preserve"> characteristics</w:t>
            </w:r>
            <w:r w:rsidRPr="007B1B71">
              <w:t xml:space="preserve"> </w:t>
            </w:r>
          </w:p>
        </w:tc>
        <w:tc>
          <w:tcPr>
            <w:tcW w:w="2619" w:type="dxa"/>
            <w:tcBorders>
              <w:top w:val="nil"/>
              <w:left w:val="nil"/>
              <w:bottom w:val="nil"/>
              <w:right w:val="nil"/>
            </w:tcBorders>
            <w:vAlign w:val="center"/>
          </w:tcPr>
          <w:p w:rsidR="004C47D8" w:rsidRPr="007B1B71" w:rsidP="004C47D8" w14:paraId="23A2C31C" w14:textId="32BAFC72">
            <w:pPr>
              <w:jc w:val="center"/>
              <w:rPr>
                <w:i/>
                <w:iCs/>
              </w:rPr>
            </w:pPr>
            <w:r w:rsidRPr="007B1B71">
              <w:rPr>
                <w:i/>
                <w:iCs/>
              </w:rPr>
              <w:t>X</w:t>
            </w:r>
            <w:r w:rsidRPr="007B1B71">
              <w:t>² test</w:t>
            </w:r>
          </w:p>
        </w:tc>
      </w:tr>
      <w:tr w14:paraId="3267BD40" w14:textId="77777777" w:rsidTr="00C547B6">
        <w:tblPrEx>
          <w:tblW w:w="5000" w:type="pct"/>
          <w:tblLayout w:type="fixed"/>
          <w:tblLook w:val="04A0"/>
        </w:tblPrEx>
        <w:trPr>
          <w:trHeight w:val="144"/>
        </w:trPr>
        <w:tc>
          <w:tcPr>
            <w:tcW w:w="2834" w:type="dxa"/>
            <w:tcBorders>
              <w:top w:val="nil"/>
              <w:left w:val="nil"/>
              <w:bottom w:val="single" w:sz="12" w:space="0" w:color="auto"/>
              <w:right w:val="nil"/>
            </w:tcBorders>
            <w:vAlign w:val="center"/>
          </w:tcPr>
          <w:p w:rsidR="004C47D8" w:rsidRPr="006A67FD" w:rsidP="004C47D8" w14:paraId="6DD0C273" w14:textId="77777777">
            <w:pPr>
              <w:rPr>
                <w:rFonts w:ascii="Arial" w:hAnsi="Arial" w:cs="Arial"/>
                <w:sz w:val="18"/>
                <w:szCs w:val="18"/>
              </w:rPr>
            </w:pPr>
            <w:r w:rsidRPr="007B1B71">
              <w:t>Data collection efficiency</w:t>
            </w:r>
          </w:p>
        </w:tc>
        <w:tc>
          <w:tcPr>
            <w:tcW w:w="5059" w:type="dxa"/>
            <w:tcBorders>
              <w:top w:val="nil"/>
              <w:left w:val="nil"/>
              <w:bottom w:val="single" w:sz="12" w:space="0" w:color="auto"/>
              <w:right w:val="nil"/>
            </w:tcBorders>
            <w:vAlign w:val="center"/>
          </w:tcPr>
          <w:p w:rsidR="004C47D8" w:rsidRPr="006A67FD" w:rsidP="004C47D8" w14:paraId="7CC0A32F" w14:textId="77777777">
            <w:pPr>
              <w:rPr>
                <w:rFonts w:ascii="Arial" w:hAnsi="Arial" w:cs="Arial"/>
                <w:sz w:val="18"/>
                <w:szCs w:val="18"/>
              </w:rPr>
            </w:pPr>
            <w:r w:rsidRPr="007B1B71">
              <w:t>Number of days from start of experiment to survey completion</w:t>
            </w:r>
          </w:p>
        </w:tc>
        <w:tc>
          <w:tcPr>
            <w:tcW w:w="2619" w:type="dxa"/>
            <w:tcBorders>
              <w:top w:val="nil"/>
              <w:left w:val="nil"/>
              <w:bottom w:val="single" w:sz="12" w:space="0" w:color="auto"/>
              <w:right w:val="nil"/>
            </w:tcBorders>
            <w:vAlign w:val="center"/>
          </w:tcPr>
          <w:p w:rsidR="004C47D8" w:rsidRPr="006A67FD" w:rsidP="004C47D8" w14:paraId="05413A57" w14:textId="77777777">
            <w:pPr>
              <w:jc w:val="center"/>
              <w:rPr>
                <w:rFonts w:ascii="Arial" w:hAnsi="Arial" w:cs="Arial"/>
                <w:sz w:val="18"/>
                <w:szCs w:val="18"/>
              </w:rPr>
            </w:pPr>
            <w:r w:rsidRPr="007B1B71">
              <w:rPr>
                <w:i/>
                <w:iCs/>
              </w:rPr>
              <w:t>t</w:t>
            </w:r>
            <w:r w:rsidRPr="007B1B71">
              <w:t>-test</w:t>
            </w:r>
          </w:p>
        </w:tc>
      </w:tr>
      <w:tr w14:paraId="716D3362" w14:textId="77777777" w:rsidTr="00C900B5">
        <w:tblPrEx>
          <w:tblW w:w="5000" w:type="pct"/>
          <w:tblLayout w:type="fixed"/>
          <w:tblLook w:val="04A0"/>
        </w:tblPrEx>
        <w:trPr>
          <w:trHeight w:val="144"/>
        </w:trPr>
        <w:tc>
          <w:tcPr>
            <w:tcW w:w="10512" w:type="dxa"/>
            <w:gridSpan w:val="3"/>
            <w:tcBorders>
              <w:top w:val="single" w:sz="12" w:space="0" w:color="auto"/>
              <w:left w:val="nil"/>
              <w:bottom w:val="nil"/>
              <w:right w:val="nil"/>
            </w:tcBorders>
          </w:tcPr>
          <w:p w:rsidR="004C47D8" w:rsidRPr="006E1DF2" w:rsidP="004C47D8" w14:paraId="50D40914" w14:textId="77777777">
            <w:pPr>
              <w:rPr>
                <w:rFonts w:ascii="Arial" w:hAnsi="Arial" w:cs="Arial"/>
                <w:i/>
                <w:sz w:val="16"/>
                <w:szCs w:val="16"/>
              </w:rPr>
            </w:pPr>
            <w:r w:rsidRPr="006E1DF2">
              <w:rPr>
                <w:rFonts w:ascii="Arial" w:hAnsi="Arial" w:cs="Arial"/>
                <w:sz w:val="16"/>
                <w:szCs w:val="16"/>
              </w:rPr>
              <w:t>SOURCE: U.S. Department of Education, National Center for Education Statistics, 2020/2</w:t>
            </w:r>
            <w:r>
              <w:rPr>
                <w:rFonts w:ascii="Arial" w:hAnsi="Arial" w:cs="Arial"/>
                <w:sz w:val="16"/>
                <w:szCs w:val="16"/>
              </w:rPr>
              <w:t>5</w:t>
            </w:r>
            <w:r w:rsidRPr="006E1DF2">
              <w:rPr>
                <w:rFonts w:ascii="Arial" w:hAnsi="Arial" w:cs="Arial"/>
                <w:sz w:val="16"/>
                <w:szCs w:val="16"/>
              </w:rPr>
              <w:t xml:space="preserve"> Beginning Postsecondary Students (BPS:20/2</w:t>
            </w:r>
            <w:r>
              <w:rPr>
                <w:rFonts w:ascii="Arial" w:hAnsi="Arial" w:cs="Arial"/>
                <w:sz w:val="16"/>
                <w:szCs w:val="16"/>
              </w:rPr>
              <w:t>5</w:t>
            </w:r>
            <w:r w:rsidRPr="006E1DF2">
              <w:rPr>
                <w:rFonts w:ascii="Arial" w:hAnsi="Arial" w:cs="Arial"/>
                <w:sz w:val="16"/>
                <w:szCs w:val="16"/>
              </w:rPr>
              <w:t>) Field Test.</w:t>
            </w:r>
          </w:p>
        </w:tc>
      </w:tr>
    </w:tbl>
    <w:p w:rsidR="001D37DC" w:rsidRPr="007B1B71" w:rsidP="0067198F" w14:paraId="4E040687" w14:textId="77777777">
      <w:pPr>
        <w:pStyle w:val="BodyText"/>
        <w:ind w:firstLine="0"/>
      </w:pPr>
    </w:p>
    <w:p w:rsidR="00287221" w:rsidRPr="00F83AF1" w:rsidP="00F83AF1" w14:paraId="119BF4B0" w14:textId="247437C0">
      <w:pPr>
        <w:pStyle w:val="Heading2"/>
        <w:keepLines w:val="0"/>
        <w:tabs>
          <w:tab w:val="num" w:pos="1350"/>
        </w:tabs>
        <w:overflowPunct w:val="0"/>
        <w:autoSpaceDE w:val="0"/>
        <w:autoSpaceDN w:val="0"/>
        <w:adjustRightInd w:val="0"/>
        <w:spacing w:before="120" w:after="120"/>
        <w:ind w:left="432" w:hanging="432"/>
        <w:textAlignment w:val="baseline"/>
        <w:rPr>
          <w:rFonts w:ascii="Arial" w:eastAsia="Times New Roman" w:hAnsi="Arial" w:cs="Arial"/>
          <w:b/>
          <w:bCs/>
          <w:iCs/>
          <w:color w:val="auto"/>
          <w:sz w:val="24"/>
          <w:szCs w:val="28"/>
        </w:rPr>
      </w:pPr>
      <w:bookmarkStart w:id="29" w:name="_Toc174628032"/>
      <w:r w:rsidRPr="00F83AF1">
        <w:rPr>
          <w:rFonts w:ascii="Arial" w:eastAsia="Times New Roman" w:hAnsi="Arial" w:cs="Arial"/>
          <w:b/>
          <w:bCs/>
          <w:iCs/>
          <w:color w:val="auto"/>
          <w:sz w:val="24"/>
          <w:szCs w:val="28"/>
        </w:rPr>
        <w:t>D</w:t>
      </w:r>
      <w:r w:rsidRPr="00F83AF1">
        <w:rPr>
          <w:rFonts w:ascii="Arial" w:eastAsia="Times New Roman" w:hAnsi="Arial" w:cs="Arial"/>
          <w:b/>
          <w:bCs/>
          <w:iCs/>
          <w:color w:val="auto"/>
          <w:sz w:val="24"/>
          <w:szCs w:val="28"/>
        </w:rPr>
        <w:t xml:space="preserve">.1 </w:t>
      </w:r>
      <w:r w:rsidRPr="00F83AF1" w:rsidR="00CB1E95">
        <w:rPr>
          <w:rFonts w:ascii="Arial" w:eastAsia="Times New Roman" w:hAnsi="Arial" w:cs="Arial"/>
          <w:b/>
          <w:bCs/>
          <w:iCs/>
          <w:color w:val="auto"/>
          <w:sz w:val="24"/>
          <w:szCs w:val="28"/>
        </w:rPr>
        <w:t>Address Confirmation</w:t>
      </w:r>
      <w:r w:rsidRPr="00F83AF1">
        <w:rPr>
          <w:rFonts w:ascii="Arial" w:eastAsia="Times New Roman" w:hAnsi="Arial" w:cs="Arial"/>
          <w:b/>
          <w:bCs/>
          <w:iCs/>
          <w:color w:val="auto"/>
          <w:sz w:val="24"/>
          <w:szCs w:val="28"/>
        </w:rPr>
        <w:t xml:space="preserve"> Experiment</w:t>
      </w:r>
      <w:bookmarkEnd w:id="29"/>
    </w:p>
    <w:p w:rsidR="00217417" w:rsidP="00287221" w14:paraId="55F55A82" w14:textId="6048C872">
      <w:pPr>
        <w:autoSpaceDE w:val="0"/>
        <w:autoSpaceDN w:val="0"/>
        <w:adjustRightInd w:val="0"/>
        <w:spacing w:after="120"/>
        <w:rPr>
          <w:rFonts w:cstheme="minorBidi"/>
        </w:rPr>
      </w:pPr>
      <w:r w:rsidRPr="2D54A3EE">
        <w:rPr>
          <w:rFonts w:cstheme="minorBidi"/>
        </w:rPr>
        <w:t xml:space="preserve">Feedback from </w:t>
      </w:r>
      <w:r w:rsidRPr="2D54A3EE">
        <w:rPr>
          <w:rFonts w:cstheme="minorBidi"/>
        </w:rPr>
        <w:t xml:space="preserve">sample members in </w:t>
      </w:r>
      <w:r w:rsidRPr="2D54A3EE" w:rsidR="006554FD">
        <w:rPr>
          <w:rFonts w:cstheme="minorBidi"/>
        </w:rPr>
        <w:t>open-ended questions on</w:t>
      </w:r>
      <w:r w:rsidRPr="2D54A3EE" w:rsidR="00820468">
        <w:rPr>
          <w:rFonts w:cstheme="minorBidi"/>
        </w:rPr>
        <w:t xml:space="preserve"> NPSAS:20 and </w:t>
      </w:r>
      <w:r w:rsidRPr="2D54A3EE">
        <w:rPr>
          <w:rFonts w:cstheme="minorBidi"/>
        </w:rPr>
        <w:t>BPS:20/</w:t>
      </w:r>
      <w:r w:rsidRPr="2D54A3EE" w:rsidR="00040CEC">
        <w:rPr>
          <w:rFonts w:cstheme="minorBidi"/>
        </w:rPr>
        <w:t>2</w:t>
      </w:r>
      <w:r w:rsidRPr="2D54A3EE">
        <w:rPr>
          <w:rFonts w:cstheme="minorBidi"/>
        </w:rPr>
        <w:t xml:space="preserve">2 </w:t>
      </w:r>
      <w:r w:rsidRPr="2D54A3EE" w:rsidR="00820468">
        <w:rPr>
          <w:rFonts w:cstheme="minorBidi"/>
        </w:rPr>
        <w:t>as well as</w:t>
      </w:r>
      <w:r w:rsidRPr="2D54A3EE">
        <w:rPr>
          <w:rFonts w:cstheme="minorBidi"/>
        </w:rPr>
        <w:t xml:space="preserve"> focus group participants have noted that </w:t>
      </w:r>
      <w:r w:rsidRPr="2D54A3EE" w:rsidR="00820468">
        <w:rPr>
          <w:rFonts w:cstheme="minorBidi"/>
        </w:rPr>
        <w:t xml:space="preserve">the authenticity </w:t>
      </w:r>
      <w:r w:rsidRPr="2D54A3EE" w:rsidR="00040CEC">
        <w:rPr>
          <w:rFonts w:cstheme="minorBidi"/>
        </w:rPr>
        <w:t>of the BPS survey request</w:t>
      </w:r>
      <w:r w:rsidRPr="2D54A3EE" w:rsidR="00515921">
        <w:rPr>
          <w:rFonts w:cstheme="minorBidi"/>
        </w:rPr>
        <w:t xml:space="preserve"> is sometimes questioned</w:t>
      </w:r>
      <w:r w:rsidRPr="2D54A3EE" w:rsidR="00040CEC">
        <w:rPr>
          <w:rFonts w:cstheme="minorBidi"/>
        </w:rPr>
        <w:t>.</w:t>
      </w:r>
      <w:r w:rsidRPr="2D54A3EE" w:rsidR="00914495">
        <w:rPr>
          <w:rFonts w:cstheme="minorBidi"/>
        </w:rPr>
        <w:t xml:space="preserve"> S</w:t>
      </w:r>
      <w:r w:rsidRPr="2D54A3EE" w:rsidR="002B168C">
        <w:rPr>
          <w:rFonts w:cstheme="minorBidi"/>
        </w:rPr>
        <w:t>ample members question the legitimacy of a survey</w:t>
      </w:r>
      <w:r w:rsidRPr="2D54A3EE" w:rsidR="005844D6">
        <w:rPr>
          <w:rFonts w:cstheme="minorBidi"/>
        </w:rPr>
        <w:t xml:space="preserve"> (and by extension, the legitimacy of a post-paid incentive offer for completing a survey)</w:t>
      </w:r>
      <w:r w:rsidRPr="2D54A3EE" w:rsidR="00914495">
        <w:rPr>
          <w:rFonts w:cstheme="minorBidi"/>
        </w:rPr>
        <w:t xml:space="preserve"> are more likely to </w:t>
      </w:r>
      <w:r w:rsidRPr="2D54A3EE" w:rsidR="00891902">
        <w:rPr>
          <w:rFonts w:cstheme="minorBidi"/>
        </w:rPr>
        <w:t>ignore requests for survey participation</w:t>
      </w:r>
      <w:r w:rsidRPr="2D54A3EE" w:rsidR="00CD5FE8">
        <w:rPr>
          <w:rFonts w:cstheme="minorBidi"/>
        </w:rPr>
        <w:t xml:space="preserve"> (Dillman et al. 20</w:t>
      </w:r>
      <w:r w:rsidRPr="2D54A3EE" w:rsidR="00CC3EE0">
        <w:rPr>
          <w:rFonts w:cstheme="minorBidi"/>
        </w:rPr>
        <w:t>14</w:t>
      </w:r>
      <w:r w:rsidRPr="2D54A3EE" w:rsidR="00CD5FE8">
        <w:rPr>
          <w:rFonts w:cstheme="minorBidi"/>
        </w:rPr>
        <w:t>)</w:t>
      </w:r>
      <w:r w:rsidRPr="2D54A3EE" w:rsidR="00891902">
        <w:rPr>
          <w:rFonts w:cstheme="minorBidi"/>
        </w:rPr>
        <w:t xml:space="preserve">, thus decreasing response rates and increasing the </w:t>
      </w:r>
      <w:r w:rsidRPr="2D54A3EE" w:rsidR="00CD5FE8">
        <w:rPr>
          <w:rFonts w:cstheme="minorBidi"/>
        </w:rPr>
        <w:t>potential for nonresponse bias (Massey and Tourangeau 2012)</w:t>
      </w:r>
      <w:r w:rsidRPr="2D54A3EE" w:rsidR="00BD44DF">
        <w:rPr>
          <w:rFonts w:cstheme="minorBidi"/>
        </w:rPr>
        <w:t>. The “address confirmation” experiment investigated the effectiveness of giving respondents an additional $5 incentive (</w:t>
      </w:r>
      <w:r w:rsidRPr="2D54A3EE" w:rsidR="00CE039F">
        <w:rPr>
          <w:rFonts w:cstheme="minorBidi"/>
        </w:rPr>
        <w:t>treatment</w:t>
      </w:r>
      <w:r w:rsidRPr="2D54A3EE" w:rsidR="00BD44DF">
        <w:rPr>
          <w:rFonts w:cstheme="minorBidi"/>
        </w:rPr>
        <w:t xml:space="preserve"> group</w:t>
      </w:r>
      <w:r w:rsidRPr="2D54A3EE" w:rsidR="00CF0036">
        <w:rPr>
          <w:rFonts w:cstheme="minorBidi"/>
        </w:rPr>
        <w:t xml:space="preserve">; n = </w:t>
      </w:r>
      <w:r w:rsidRPr="2D54A3EE" w:rsidR="00BF0FA4">
        <w:rPr>
          <w:rFonts w:cstheme="minorBidi"/>
        </w:rPr>
        <w:t>1,330</w:t>
      </w:r>
      <w:r w:rsidRPr="2D54A3EE" w:rsidR="00BD44DF">
        <w:rPr>
          <w:rFonts w:cstheme="minorBidi"/>
        </w:rPr>
        <w:t xml:space="preserve">) if, at the beginning of the survey, they provided their contact information (i.e., phone number </w:t>
      </w:r>
      <w:r w:rsidR="00F11981">
        <w:rPr>
          <w:rFonts w:cstheme="minorBidi"/>
        </w:rPr>
        <w:t>or</w:t>
      </w:r>
      <w:r w:rsidRPr="2D54A3EE" w:rsidR="00BD44DF">
        <w:rPr>
          <w:rFonts w:cstheme="minorBidi"/>
        </w:rPr>
        <w:t xml:space="preserve"> mailing or e</w:t>
      </w:r>
      <w:r w:rsidR="00B70B41">
        <w:rPr>
          <w:rFonts w:cstheme="minorBidi"/>
        </w:rPr>
        <w:t>-</w:t>
      </w:r>
      <w:r w:rsidRPr="2D54A3EE" w:rsidR="00BD44DF">
        <w:rPr>
          <w:rFonts w:cstheme="minorBidi"/>
        </w:rPr>
        <w:t>mail address)</w:t>
      </w:r>
      <w:r w:rsidRPr="2D54A3EE" w:rsidR="00B731AA">
        <w:rPr>
          <w:rFonts w:cstheme="minorBidi"/>
        </w:rPr>
        <w:t xml:space="preserve"> via several address confirmation questions</w:t>
      </w:r>
      <w:r w:rsidRPr="2D54A3EE" w:rsidR="00BD44DF">
        <w:rPr>
          <w:rFonts w:cstheme="minorBidi"/>
        </w:rPr>
        <w:t xml:space="preserve">. This incentive was designed to </w:t>
      </w:r>
      <w:r w:rsidR="00C87B77">
        <w:rPr>
          <w:rFonts w:cstheme="minorBidi"/>
        </w:rPr>
        <w:t>establish</w:t>
      </w:r>
      <w:r w:rsidRPr="2D54A3EE" w:rsidR="00BD44DF">
        <w:rPr>
          <w:rFonts w:cstheme="minorBidi"/>
        </w:rPr>
        <w:t xml:space="preserve"> the authenticity of the survey request</w:t>
      </w:r>
      <w:r w:rsidR="00D33655">
        <w:rPr>
          <w:rFonts w:cstheme="minorBidi"/>
        </w:rPr>
        <w:t>:</w:t>
      </w:r>
      <w:r w:rsidR="00C91F71">
        <w:rPr>
          <w:rFonts w:cstheme="minorBidi"/>
        </w:rPr>
        <w:t xml:space="preserve"> </w:t>
      </w:r>
      <w:r w:rsidR="00A616D9">
        <w:rPr>
          <w:rFonts w:cstheme="minorBidi"/>
        </w:rPr>
        <w:t xml:space="preserve">providing </w:t>
      </w:r>
      <w:r w:rsidR="00C91F71">
        <w:rPr>
          <w:rFonts w:cstheme="minorBidi"/>
        </w:rPr>
        <w:t xml:space="preserve">sample members </w:t>
      </w:r>
      <w:r w:rsidR="00D33655">
        <w:rPr>
          <w:rFonts w:cstheme="minorBidi"/>
        </w:rPr>
        <w:t xml:space="preserve">with a small up-front incentive for </w:t>
      </w:r>
      <w:r w:rsidR="00C91F71">
        <w:rPr>
          <w:rFonts w:cstheme="minorBidi"/>
        </w:rPr>
        <w:t>answer</w:t>
      </w:r>
      <w:r w:rsidR="00D33655">
        <w:rPr>
          <w:rFonts w:cstheme="minorBidi"/>
        </w:rPr>
        <w:t>ing</w:t>
      </w:r>
      <w:r w:rsidR="00C91F71">
        <w:rPr>
          <w:rFonts w:cstheme="minorBidi"/>
        </w:rPr>
        <w:t xml:space="preserve"> address questions</w:t>
      </w:r>
      <w:r w:rsidR="00512F8C">
        <w:rPr>
          <w:rFonts w:cstheme="minorBidi"/>
        </w:rPr>
        <w:t xml:space="preserve"> may </w:t>
      </w:r>
      <w:r w:rsidR="00C87B77">
        <w:rPr>
          <w:rFonts w:cstheme="minorBidi"/>
        </w:rPr>
        <w:t>demonstrate that the survey is legitimate</w:t>
      </w:r>
      <w:r w:rsidRPr="2D54A3EE" w:rsidR="00BD44DF">
        <w:rPr>
          <w:rFonts w:cstheme="minorBidi"/>
        </w:rPr>
        <w:t xml:space="preserve">, theoretically motivating </w:t>
      </w:r>
      <w:r w:rsidRPr="2D54A3EE" w:rsidR="00FF35BB">
        <w:rPr>
          <w:rFonts w:cstheme="minorBidi"/>
        </w:rPr>
        <w:t>hesitant</w:t>
      </w:r>
      <w:r w:rsidRPr="2D54A3EE" w:rsidR="00BD44DF">
        <w:rPr>
          <w:rFonts w:cstheme="minorBidi"/>
        </w:rPr>
        <w:t xml:space="preserve"> sample members to</w:t>
      </w:r>
      <w:r w:rsidR="00C87B77">
        <w:rPr>
          <w:rFonts w:cstheme="minorBidi"/>
        </w:rPr>
        <w:t xml:space="preserve"> complete</w:t>
      </w:r>
      <w:r w:rsidRPr="6245C443" w:rsidR="4BE4D0E5">
        <w:rPr>
          <w:rFonts w:cstheme="minorBidi"/>
        </w:rPr>
        <w:t>.</w:t>
      </w:r>
      <w:r w:rsidRPr="2D54A3EE" w:rsidR="00631DCA">
        <w:rPr>
          <w:rFonts w:cstheme="minorBidi"/>
        </w:rPr>
        <w:t xml:space="preserve"> The control group was also asked to provide the same contact information but was not offered an additional incentive (n = 1,331).</w:t>
      </w:r>
    </w:p>
    <w:p w:rsidR="00287221" w:rsidRPr="00F83AF1" w:rsidP="00F83AF1" w14:paraId="18BFAA78" w14:textId="77777777">
      <w:pPr>
        <w:pStyle w:val="Heading3"/>
        <w:keepLines w:val="0"/>
        <w:tabs>
          <w:tab w:val="num" w:pos="1710"/>
        </w:tabs>
        <w:spacing w:before="120" w:after="120" w:line="240" w:lineRule="auto"/>
        <w:ind w:left="1224" w:hanging="504"/>
        <w:rPr>
          <w:rFonts w:ascii="Arial" w:eastAsia="Times New Roman" w:hAnsi="Arial" w:cs="Arial"/>
          <w:b/>
          <w:bCs/>
          <w:color w:val="auto"/>
        </w:rPr>
      </w:pPr>
      <w:bookmarkStart w:id="30" w:name="_Toc174628033"/>
      <w:r w:rsidRPr="00F83AF1">
        <w:rPr>
          <w:rFonts w:ascii="Arial" w:eastAsia="Times New Roman" w:hAnsi="Arial" w:cs="Arial"/>
          <w:b/>
          <w:bCs/>
          <w:color w:val="auto"/>
        </w:rPr>
        <w:t>Results.</w:t>
      </w:r>
      <w:bookmarkEnd w:id="30"/>
      <w:r w:rsidRPr="00F83AF1">
        <w:rPr>
          <w:rFonts w:ascii="Arial" w:eastAsia="Times New Roman" w:hAnsi="Arial" w:cs="Arial"/>
          <w:b/>
          <w:bCs/>
          <w:color w:val="auto"/>
        </w:rPr>
        <w:t xml:space="preserve"> </w:t>
      </w:r>
    </w:p>
    <w:p w:rsidR="00BA0840" w:rsidP="00287221" w14:paraId="418F685B" w14:textId="0A41B132">
      <w:pPr>
        <w:spacing w:after="120"/>
        <w:rPr>
          <w:rFonts w:cstheme="minorHAnsi"/>
          <w:szCs w:val="24"/>
        </w:rPr>
      </w:pPr>
      <w:r w:rsidRPr="00FD20C4">
        <w:rPr>
          <w:rFonts w:cstheme="minorHAnsi"/>
          <w:i/>
          <w:iCs/>
          <w:szCs w:val="24"/>
        </w:rPr>
        <w:t xml:space="preserve">Survey response. </w:t>
      </w:r>
      <w:r w:rsidRPr="00FD20C4">
        <w:rPr>
          <w:rFonts w:cstheme="minorHAnsi"/>
          <w:szCs w:val="24"/>
        </w:rPr>
        <w:t>At the end of</w:t>
      </w:r>
      <w:r w:rsidR="005F42BA">
        <w:rPr>
          <w:rFonts w:cstheme="minorHAnsi"/>
          <w:szCs w:val="24"/>
        </w:rPr>
        <w:t xml:space="preserve"> data collection</w:t>
      </w:r>
      <w:r w:rsidR="006D758D">
        <w:rPr>
          <w:rFonts w:cstheme="minorHAnsi"/>
          <w:szCs w:val="24"/>
        </w:rPr>
        <w:t xml:space="preserve"> </w:t>
      </w:r>
      <w:r w:rsidRPr="00FD20C4" w:rsidR="006D758D">
        <w:rPr>
          <w:rFonts w:cstheme="minorHAnsi"/>
          <w:szCs w:val="24"/>
        </w:rPr>
        <w:t>(</w:t>
      </w:r>
      <w:r w:rsidR="006D758D">
        <w:rPr>
          <w:rFonts w:cstheme="minorHAnsi"/>
          <w:szCs w:val="24"/>
        </w:rPr>
        <w:t>17</w:t>
      </w:r>
      <w:r w:rsidRPr="00FD20C4" w:rsidR="006D758D">
        <w:rPr>
          <w:rFonts w:cstheme="minorHAnsi"/>
          <w:szCs w:val="24"/>
        </w:rPr>
        <w:t xml:space="preserve"> weeks in the field)</w:t>
      </w:r>
      <w:r w:rsidRPr="00FD20C4">
        <w:rPr>
          <w:rFonts w:cstheme="minorHAnsi"/>
          <w:szCs w:val="24"/>
        </w:rPr>
        <w:t xml:space="preserve">, </w:t>
      </w:r>
      <w:r w:rsidR="00D8737E">
        <w:rPr>
          <w:rFonts w:cstheme="minorHAnsi"/>
          <w:szCs w:val="24"/>
        </w:rPr>
        <w:t xml:space="preserve">the </w:t>
      </w:r>
      <w:r>
        <w:rPr>
          <w:rFonts w:cstheme="minorHAnsi"/>
          <w:szCs w:val="24"/>
        </w:rPr>
        <w:t xml:space="preserve">overall </w:t>
      </w:r>
      <w:r w:rsidR="00922FAF">
        <w:rPr>
          <w:rFonts w:cstheme="minorHAnsi"/>
          <w:szCs w:val="24"/>
        </w:rPr>
        <w:t xml:space="preserve">survey </w:t>
      </w:r>
      <w:r w:rsidRPr="00FD20C4" w:rsidR="00922FAF">
        <w:rPr>
          <w:rFonts w:cstheme="minorHAnsi"/>
          <w:szCs w:val="24"/>
        </w:rPr>
        <w:t>response rate for</w:t>
      </w:r>
      <w:r w:rsidR="00922FAF">
        <w:rPr>
          <w:rFonts w:cstheme="minorHAnsi"/>
          <w:szCs w:val="24"/>
        </w:rPr>
        <w:t xml:space="preserve"> </w:t>
      </w:r>
      <w:r w:rsidR="005F42BA">
        <w:rPr>
          <w:rFonts w:cstheme="minorHAnsi"/>
          <w:szCs w:val="24"/>
        </w:rPr>
        <w:t xml:space="preserve">the $5 </w:t>
      </w:r>
      <w:r w:rsidR="00922FAF">
        <w:rPr>
          <w:rFonts w:cstheme="minorHAnsi"/>
          <w:szCs w:val="24"/>
        </w:rPr>
        <w:t xml:space="preserve">address confirmation </w:t>
      </w:r>
      <w:r w:rsidR="005F42BA">
        <w:rPr>
          <w:rFonts w:cstheme="minorHAnsi"/>
          <w:szCs w:val="24"/>
        </w:rPr>
        <w:t xml:space="preserve">treatment </w:t>
      </w:r>
      <w:r w:rsidRPr="00FD20C4">
        <w:rPr>
          <w:rFonts w:cstheme="minorHAnsi"/>
          <w:szCs w:val="24"/>
        </w:rPr>
        <w:t>group (</w:t>
      </w:r>
      <w:r w:rsidRPr="00FD20C4" w:rsidR="009616FD">
        <w:rPr>
          <w:rFonts w:cstheme="minorHAnsi"/>
          <w:szCs w:val="24"/>
        </w:rPr>
        <w:t>6</w:t>
      </w:r>
      <w:r w:rsidR="009616FD">
        <w:rPr>
          <w:rFonts w:cstheme="minorHAnsi"/>
          <w:szCs w:val="24"/>
        </w:rPr>
        <w:t>1</w:t>
      </w:r>
      <w:r w:rsidRPr="00FD20C4" w:rsidR="009616FD">
        <w:rPr>
          <w:rFonts w:cstheme="minorHAnsi"/>
          <w:szCs w:val="24"/>
        </w:rPr>
        <w:t>.</w:t>
      </w:r>
      <w:r w:rsidR="009616FD">
        <w:rPr>
          <w:rFonts w:cstheme="minorHAnsi"/>
          <w:szCs w:val="24"/>
        </w:rPr>
        <w:t>9</w:t>
      </w:r>
      <w:r w:rsidRPr="00FD20C4" w:rsidR="009616FD">
        <w:rPr>
          <w:rFonts w:cstheme="minorHAnsi"/>
          <w:szCs w:val="24"/>
        </w:rPr>
        <w:t xml:space="preserve"> percent</w:t>
      </w:r>
      <w:r w:rsidRPr="00FD20C4">
        <w:rPr>
          <w:rFonts w:cstheme="minorHAnsi"/>
          <w:szCs w:val="24"/>
        </w:rPr>
        <w:t xml:space="preserve">) was significantly </w:t>
      </w:r>
      <w:r w:rsidR="001162B3">
        <w:rPr>
          <w:rFonts w:cstheme="minorHAnsi"/>
          <w:szCs w:val="24"/>
        </w:rPr>
        <w:t>lower</w:t>
      </w:r>
      <w:r w:rsidRPr="00FD20C4">
        <w:rPr>
          <w:rFonts w:cstheme="minorHAnsi"/>
          <w:szCs w:val="24"/>
        </w:rPr>
        <w:t xml:space="preserve"> than the control group </w:t>
      </w:r>
      <w:r w:rsidR="00D8737E">
        <w:rPr>
          <w:rFonts w:cstheme="minorHAnsi"/>
          <w:szCs w:val="24"/>
        </w:rPr>
        <w:t>(</w:t>
      </w:r>
      <w:r w:rsidRPr="00FD20C4" w:rsidR="009616FD">
        <w:rPr>
          <w:rFonts w:cstheme="minorHAnsi"/>
          <w:szCs w:val="24"/>
        </w:rPr>
        <w:t>6</w:t>
      </w:r>
      <w:r w:rsidR="009616FD">
        <w:rPr>
          <w:rFonts w:cstheme="minorHAnsi"/>
          <w:szCs w:val="24"/>
        </w:rPr>
        <w:t>7</w:t>
      </w:r>
      <w:r w:rsidRPr="00FD20C4" w:rsidR="009616FD">
        <w:rPr>
          <w:rFonts w:cstheme="minorHAnsi"/>
          <w:szCs w:val="24"/>
        </w:rPr>
        <w:t>.</w:t>
      </w:r>
      <w:r w:rsidR="009616FD">
        <w:rPr>
          <w:rFonts w:cstheme="minorHAnsi"/>
          <w:szCs w:val="24"/>
        </w:rPr>
        <w:t>2</w:t>
      </w:r>
      <w:r w:rsidRPr="00FD20C4" w:rsidR="009616FD">
        <w:rPr>
          <w:rFonts w:cstheme="minorHAnsi"/>
          <w:szCs w:val="24"/>
        </w:rPr>
        <w:t xml:space="preserve"> percent</w:t>
      </w:r>
      <w:r w:rsidR="009616FD">
        <w:rPr>
          <w:rFonts w:cstheme="minorHAnsi"/>
          <w:szCs w:val="24"/>
        </w:rPr>
        <w:t xml:space="preserve">; </w:t>
      </w:r>
      <m:oMath>
        <m:r>
          <w:rPr>
            <w:rFonts w:ascii="Cambria Math" w:hAnsi="Cambria Math" w:cstheme="minorHAnsi"/>
            <w:szCs w:val="24"/>
          </w:rPr>
          <m:t>χ</m:t>
        </m:r>
      </m:oMath>
      <w:r w:rsidRPr="00FD20C4" w:rsidR="009616FD">
        <w:rPr>
          <w:rFonts w:eastAsiaTheme="minorEastAsia" w:cstheme="minorHAnsi"/>
          <w:szCs w:val="24"/>
          <w:vertAlign w:val="superscript"/>
        </w:rPr>
        <w:t>2</w:t>
      </w:r>
      <w:r w:rsidRPr="00FD20C4" w:rsidR="009616FD">
        <w:rPr>
          <w:rFonts w:cstheme="minorHAnsi"/>
          <w:szCs w:val="24"/>
        </w:rPr>
        <w:t xml:space="preserve"> = </w:t>
      </w:r>
      <w:r w:rsidR="009616FD">
        <w:rPr>
          <w:rFonts w:cstheme="minorHAnsi"/>
          <w:szCs w:val="24"/>
        </w:rPr>
        <w:t>8</w:t>
      </w:r>
      <w:r w:rsidRPr="00FD20C4" w:rsidR="009616FD">
        <w:rPr>
          <w:rFonts w:cstheme="minorHAnsi"/>
          <w:szCs w:val="24"/>
        </w:rPr>
        <w:t>.</w:t>
      </w:r>
      <w:r w:rsidR="009616FD">
        <w:rPr>
          <w:rFonts w:cstheme="minorHAnsi"/>
          <w:szCs w:val="24"/>
        </w:rPr>
        <w:t>36</w:t>
      </w:r>
      <w:r w:rsidRPr="00FD20C4" w:rsidR="009616FD">
        <w:rPr>
          <w:rFonts w:cstheme="minorHAnsi"/>
          <w:szCs w:val="24"/>
        </w:rPr>
        <w:t xml:space="preserve">, </w:t>
      </w:r>
      <w:r w:rsidRPr="00FD20C4" w:rsidR="009616FD">
        <w:rPr>
          <w:rFonts w:cstheme="minorHAnsi"/>
          <w:i/>
          <w:iCs/>
          <w:szCs w:val="24"/>
        </w:rPr>
        <w:t>p</w:t>
      </w:r>
      <w:r w:rsidRPr="00FD20C4" w:rsidR="009616FD">
        <w:rPr>
          <w:rFonts w:cstheme="minorHAnsi"/>
          <w:szCs w:val="24"/>
        </w:rPr>
        <w:t xml:space="preserve"> </w:t>
      </w:r>
      <w:r w:rsidR="009616FD">
        <w:rPr>
          <w:rFonts w:cstheme="minorHAnsi"/>
          <w:szCs w:val="24"/>
        </w:rPr>
        <w:t>&lt;</w:t>
      </w:r>
      <w:r w:rsidRPr="00FD20C4" w:rsidR="009616FD">
        <w:rPr>
          <w:rFonts w:cstheme="minorHAnsi"/>
          <w:szCs w:val="24"/>
        </w:rPr>
        <w:t xml:space="preserve"> .</w:t>
      </w:r>
      <w:r w:rsidR="009616FD">
        <w:rPr>
          <w:rFonts w:cstheme="minorHAnsi"/>
          <w:szCs w:val="24"/>
        </w:rPr>
        <w:t>01</w:t>
      </w:r>
      <w:r>
        <w:rPr>
          <w:rFonts w:cstheme="minorHAnsi"/>
          <w:szCs w:val="24"/>
        </w:rPr>
        <w:t>; first row of Table 2</w:t>
      </w:r>
      <w:r w:rsidR="00D8737E">
        <w:rPr>
          <w:rFonts w:cstheme="minorHAnsi"/>
          <w:szCs w:val="24"/>
        </w:rPr>
        <w:t>)</w:t>
      </w:r>
      <w:r w:rsidRPr="00FD20C4">
        <w:rPr>
          <w:rFonts w:cstheme="minorHAnsi"/>
          <w:szCs w:val="24"/>
        </w:rPr>
        <w:t>.</w:t>
      </w:r>
      <w:r>
        <w:rPr>
          <w:rFonts w:cstheme="minorHAnsi"/>
          <w:szCs w:val="24"/>
        </w:rPr>
        <w:t xml:space="preserve"> </w:t>
      </w:r>
    </w:p>
    <w:p w:rsidR="002E34C1" w:rsidP="00287221" w14:paraId="306D0194" w14:textId="050103E2">
      <w:pPr>
        <w:spacing w:after="120"/>
        <w:rPr>
          <w:rFonts w:cstheme="minorHAnsi"/>
          <w:szCs w:val="24"/>
        </w:rPr>
      </w:pPr>
      <w:r>
        <w:rPr>
          <w:rFonts w:cstheme="minorHAnsi"/>
          <w:szCs w:val="24"/>
        </w:rPr>
        <w:t>R</w:t>
      </w:r>
      <w:r w:rsidR="006C708B">
        <w:rPr>
          <w:rFonts w:cstheme="minorHAnsi"/>
          <w:szCs w:val="24"/>
        </w:rPr>
        <w:t xml:space="preserve">esponse rates across experimental conditions </w:t>
      </w:r>
      <w:r>
        <w:rPr>
          <w:rFonts w:cstheme="minorHAnsi"/>
          <w:szCs w:val="24"/>
        </w:rPr>
        <w:t xml:space="preserve">were also examined </w:t>
      </w:r>
      <w:r w:rsidR="006C708B">
        <w:rPr>
          <w:rFonts w:cstheme="minorHAnsi"/>
          <w:szCs w:val="24"/>
        </w:rPr>
        <w:t xml:space="preserve">within the two data collection groups: 1) the default data collection group </w:t>
      </w:r>
      <w:r w:rsidRPr="1FF5877B" w:rsidR="006C708B">
        <w:rPr>
          <w:rFonts w:cstheme="minorBidi"/>
          <w:color w:val="000000" w:themeColor="text1"/>
        </w:rPr>
        <w:t>(i.e., sample members who responded to NPSAS:20 and BPS:20)</w:t>
      </w:r>
      <w:r w:rsidR="006C708B">
        <w:rPr>
          <w:rFonts w:cstheme="minorBidi"/>
          <w:color w:val="000000" w:themeColor="text1"/>
        </w:rPr>
        <w:t xml:space="preserve">, and 2) the aggressive data collection group (i.e., sample members who </w:t>
      </w:r>
      <w:r>
        <w:rPr>
          <w:rFonts w:cstheme="minorBidi"/>
          <w:color w:val="000000" w:themeColor="text1"/>
        </w:rPr>
        <w:t>were</w:t>
      </w:r>
      <w:r w:rsidR="006C708B">
        <w:rPr>
          <w:rFonts w:cstheme="minorBidi"/>
          <w:color w:val="000000" w:themeColor="text1"/>
        </w:rPr>
        <w:t xml:space="preserve"> </w:t>
      </w:r>
      <w:r w:rsidRPr="006C708B" w:rsidR="006C708B">
        <w:rPr>
          <w:rFonts w:cstheme="minorBidi"/>
          <w:color w:val="000000" w:themeColor="text1"/>
        </w:rPr>
        <w:t>NPSAS:20 survey nonrespondents, BPS:20/22 survey nonrespondents, or BPS:20/22 survey final partials</w:t>
      </w:r>
      <w:r w:rsidR="006C708B">
        <w:rPr>
          <w:rFonts w:cstheme="minorBidi"/>
          <w:color w:val="000000" w:themeColor="text1"/>
        </w:rPr>
        <w:t>).</w:t>
      </w:r>
      <w:r w:rsidRPr="006C708B" w:rsidR="006C708B">
        <w:rPr>
          <w:rFonts w:cstheme="minorHAnsi"/>
          <w:szCs w:val="24"/>
        </w:rPr>
        <w:t xml:space="preserve"> </w:t>
      </w:r>
      <w:r w:rsidR="006C708B">
        <w:rPr>
          <w:rFonts w:cstheme="minorHAnsi"/>
          <w:szCs w:val="24"/>
        </w:rPr>
        <w:t>In the default data collection group</w:t>
      </w:r>
      <w:r w:rsidRPr="00FD20C4" w:rsidR="006C708B">
        <w:rPr>
          <w:rFonts w:cstheme="minorHAnsi"/>
          <w:szCs w:val="24"/>
        </w:rPr>
        <w:t xml:space="preserve">, </w:t>
      </w:r>
      <w:r w:rsidR="006C708B">
        <w:rPr>
          <w:rFonts w:cstheme="minorHAnsi"/>
          <w:szCs w:val="24"/>
        </w:rPr>
        <w:t xml:space="preserve">survey </w:t>
      </w:r>
      <w:r w:rsidRPr="00FD20C4" w:rsidR="006C708B">
        <w:rPr>
          <w:rFonts w:cstheme="minorHAnsi"/>
          <w:szCs w:val="24"/>
        </w:rPr>
        <w:t>response rates for</w:t>
      </w:r>
      <w:r w:rsidR="006C708B">
        <w:rPr>
          <w:rFonts w:cstheme="minorHAnsi"/>
          <w:szCs w:val="24"/>
        </w:rPr>
        <w:t xml:space="preserve"> the $5 address confirmation treatment </w:t>
      </w:r>
      <w:r w:rsidRPr="00FD20C4" w:rsidR="006C708B">
        <w:rPr>
          <w:rFonts w:cstheme="minorHAnsi"/>
          <w:szCs w:val="24"/>
        </w:rPr>
        <w:t>group (</w:t>
      </w:r>
      <w:r w:rsidR="006C708B">
        <w:rPr>
          <w:rFonts w:cstheme="minorHAnsi"/>
          <w:szCs w:val="24"/>
        </w:rPr>
        <w:t>70</w:t>
      </w:r>
      <w:r w:rsidRPr="00FD20C4" w:rsidR="006C708B">
        <w:rPr>
          <w:rFonts w:cstheme="minorHAnsi"/>
          <w:szCs w:val="24"/>
        </w:rPr>
        <w:t>.</w:t>
      </w:r>
      <w:r w:rsidR="006C708B">
        <w:rPr>
          <w:rFonts w:cstheme="minorHAnsi"/>
          <w:szCs w:val="24"/>
        </w:rPr>
        <w:t>6</w:t>
      </w:r>
      <w:r w:rsidRPr="00FD20C4" w:rsidR="006C708B">
        <w:rPr>
          <w:rFonts w:cstheme="minorHAnsi"/>
          <w:szCs w:val="24"/>
        </w:rPr>
        <w:t xml:space="preserve"> percent) </w:t>
      </w:r>
      <w:bookmarkStart w:id="31" w:name="_Hlk175824710"/>
      <w:r w:rsidRPr="00FD20C4" w:rsidR="006C708B">
        <w:rPr>
          <w:rFonts w:cstheme="minorHAnsi"/>
          <w:szCs w:val="24"/>
        </w:rPr>
        <w:t xml:space="preserve">was </w:t>
      </w:r>
      <w:r w:rsidR="006C708B">
        <w:rPr>
          <w:rFonts w:cstheme="minorHAnsi"/>
          <w:szCs w:val="24"/>
        </w:rPr>
        <w:t xml:space="preserve">marginally </w:t>
      </w:r>
      <w:r w:rsidRPr="00FD20C4" w:rsidR="006C708B">
        <w:rPr>
          <w:rFonts w:cstheme="minorHAnsi"/>
          <w:szCs w:val="24"/>
        </w:rPr>
        <w:t xml:space="preserve">significantly </w:t>
      </w:r>
      <w:r w:rsidR="006C708B">
        <w:rPr>
          <w:rFonts w:cstheme="minorHAnsi"/>
          <w:szCs w:val="24"/>
        </w:rPr>
        <w:t>lower</w:t>
      </w:r>
      <w:r w:rsidRPr="00FD20C4" w:rsidR="006C708B">
        <w:rPr>
          <w:rFonts w:cstheme="minorHAnsi"/>
          <w:szCs w:val="24"/>
        </w:rPr>
        <w:t xml:space="preserve"> </w:t>
      </w:r>
      <w:bookmarkEnd w:id="31"/>
      <w:r w:rsidRPr="00FD20C4" w:rsidR="006C708B">
        <w:rPr>
          <w:rFonts w:cstheme="minorHAnsi"/>
          <w:szCs w:val="24"/>
        </w:rPr>
        <w:t xml:space="preserve">than the control group </w:t>
      </w:r>
      <w:r w:rsidR="006C708B">
        <w:rPr>
          <w:rFonts w:cstheme="minorHAnsi"/>
          <w:szCs w:val="24"/>
        </w:rPr>
        <w:t>74</w:t>
      </w:r>
      <w:r w:rsidRPr="00FD20C4" w:rsidR="006C708B">
        <w:rPr>
          <w:rFonts w:cstheme="minorHAnsi"/>
          <w:szCs w:val="24"/>
        </w:rPr>
        <w:t>.</w:t>
      </w:r>
      <w:r w:rsidR="006C708B">
        <w:rPr>
          <w:rFonts w:cstheme="minorHAnsi"/>
          <w:szCs w:val="24"/>
        </w:rPr>
        <w:t>5</w:t>
      </w:r>
      <w:r w:rsidRPr="00FD20C4" w:rsidR="006C708B">
        <w:rPr>
          <w:rFonts w:cstheme="minorHAnsi"/>
          <w:szCs w:val="24"/>
        </w:rPr>
        <w:t xml:space="preserve"> percent</w:t>
      </w:r>
      <w:r w:rsidR="006C708B">
        <w:rPr>
          <w:rFonts w:cstheme="minorHAnsi"/>
          <w:szCs w:val="24"/>
        </w:rPr>
        <w:t xml:space="preserve">; </w:t>
      </w:r>
      <m:oMath>
        <m:r>
          <w:rPr>
            <w:rFonts w:ascii="Cambria Math" w:hAnsi="Cambria Math" w:cstheme="minorHAnsi"/>
            <w:szCs w:val="24"/>
          </w:rPr>
          <m:t>χ</m:t>
        </m:r>
      </m:oMath>
      <w:r w:rsidRPr="00FD20C4" w:rsidR="006C708B">
        <w:rPr>
          <w:rFonts w:eastAsiaTheme="minorEastAsia" w:cstheme="minorHAnsi"/>
          <w:szCs w:val="24"/>
          <w:vertAlign w:val="superscript"/>
        </w:rPr>
        <w:t>2</w:t>
      </w:r>
      <w:r w:rsidRPr="00FD20C4" w:rsidR="006C708B">
        <w:rPr>
          <w:rFonts w:cstheme="minorHAnsi"/>
          <w:szCs w:val="24"/>
        </w:rPr>
        <w:t xml:space="preserve"> = </w:t>
      </w:r>
      <w:r w:rsidR="006C708B">
        <w:rPr>
          <w:rFonts w:cstheme="minorHAnsi"/>
          <w:szCs w:val="24"/>
        </w:rPr>
        <w:t>3</w:t>
      </w:r>
      <w:r w:rsidRPr="00FD20C4" w:rsidR="006C708B">
        <w:rPr>
          <w:rFonts w:cstheme="minorHAnsi"/>
          <w:szCs w:val="24"/>
        </w:rPr>
        <w:t>.</w:t>
      </w:r>
      <w:r w:rsidR="006C708B">
        <w:rPr>
          <w:rFonts w:cstheme="minorHAnsi"/>
          <w:szCs w:val="24"/>
        </w:rPr>
        <w:t>82</w:t>
      </w:r>
      <w:r w:rsidRPr="00FD20C4" w:rsidR="006C708B">
        <w:rPr>
          <w:rFonts w:cstheme="minorHAnsi"/>
          <w:szCs w:val="24"/>
        </w:rPr>
        <w:t xml:space="preserve">, </w:t>
      </w:r>
      <w:r w:rsidRPr="00FD20C4" w:rsidR="006C708B">
        <w:rPr>
          <w:rFonts w:cstheme="minorHAnsi"/>
          <w:i/>
          <w:iCs/>
          <w:szCs w:val="24"/>
        </w:rPr>
        <w:t>p</w:t>
      </w:r>
      <w:r w:rsidRPr="00FD20C4" w:rsidR="006C708B">
        <w:rPr>
          <w:rFonts w:cstheme="minorHAnsi"/>
          <w:szCs w:val="24"/>
        </w:rPr>
        <w:t xml:space="preserve"> </w:t>
      </w:r>
      <w:r w:rsidR="006C708B">
        <w:rPr>
          <w:rFonts w:cstheme="minorHAnsi"/>
          <w:szCs w:val="24"/>
        </w:rPr>
        <w:t>=</w:t>
      </w:r>
      <w:r w:rsidRPr="00FD20C4" w:rsidR="006C708B">
        <w:rPr>
          <w:rFonts w:cstheme="minorHAnsi"/>
          <w:szCs w:val="24"/>
        </w:rPr>
        <w:t xml:space="preserve"> .</w:t>
      </w:r>
      <w:r w:rsidR="006C708B">
        <w:rPr>
          <w:rFonts w:cstheme="minorHAnsi"/>
          <w:szCs w:val="24"/>
        </w:rPr>
        <w:t>05; second row of Table 2</w:t>
      </w:r>
      <w:r w:rsidRPr="00FD20C4" w:rsidR="006C708B">
        <w:rPr>
          <w:rFonts w:cstheme="minorHAnsi"/>
          <w:szCs w:val="24"/>
        </w:rPr>
        <w:t>.</w:t>
      </w:r>
      <w:r w:rsidR="006C708B">
        <w:rPr>
          <w:rFonts w:cstheme="minorHAnsi"/>
          <w:szCs w:val="24"/>
        </w:rPr>
        <w:t xml:space="preserve"> </w:t>
      </w:r>
      <w:r w:rsidR="00DC1BF2">
        <w:rPr>
          <w:rFonts w:cstheme="minorHAnsi"/>
          <w:szCs w:val="24"/>
        </w:rPr>
        <w:t>In the aggressive data collection group</w:t>
      </w:r>
      <w:r w:rsidRPr="00FD20C4" w:rsidR="00DC1BF2">
        <w:rPr>
          <w:rFonts w:cstheme="minorHAnsi"/>
          <w:szCs w:val="24"/>
        </w:rPr>
        <w:t xml:space="preserve">, </w:t>
      </w:r>
      <w:r w:rsidR="00DC1BF2">
        <w:rPr>
          <w:rFonts w:cstheme="minorHAnsi"/>
          <w:szCs w:val="24"/>
        </w:rPr>
        <w:t xml:space="preserve">survey </w:t>
      </w:r>
      <w:r w:rsidRPr="00FD20C4" w:rsidR="00DC1BF2">
        <w:rPr>
          <w:rFonts w:cstheme="minorHAnsi"/>
          <w:szCs w:val="24"/>
        </w:rPr>
        <w:t>response rates for</w:t>
      </w:r>
      <w:r w:rsidR="00DC1BF2">
        <w:rPr>
          <w:rFonts w:cstheme="minorHAnsi"/>
          <w:szCs w:val="24"/>
        </w:rPr>
        <w:t xml:space="preserve"> the $5 address confirmation treatment </w:t>
      </w:r>
      <w:r w:rsidRPr="00FD20C4" w:rsidR="00DC1BF2">
        <w:rPr>
          <w:rFonts w:cstheme="minorHAnsi"/>
          <w:szCs w:val="24"/>
        </w:rPr>
        <w:t>group (</w:t>
      </w:r>
      <w:r w:rsidR="00DC1BF2">
        <w:rPr>
          <w:rFonts w:cstheme="minorHAnsi"/>
          <w:szCs w:val="24"/>
        </w:rPr>
        <w:t>35</w:t>
      </w:r>
      <w:r w:rsidRPr="00FD20C4" w:rsidR="00DC1BF2">
        <w:rPr>
          <w:rFonts w:cstheme="minorHAnsi"/>
          <w:szCs w:val="24"/>
        </w:rPr>
        <w:t>.</w:t>
      </w:r>
      <w:r w:rsidR="00DC1BF2">
        <w:rPr>
          <w:rFonts w:cstheme="minorHAnsi"/>
          <w:szCs w:val="24"/>
        </w:rPr>
        <w:t>9</w:t>
      </w:r>
      <w:r w:rsidRPr="00FD20C4" w:rsidR="00DC1BF2">
        <w:rPr>
          <w:rFonts w:cstheme="minorHAnsi"/>
          <w:szCs w:val="24"/>
        </w:rPr>
        <w:t xml:space="preserve"> percent) was significantly </w:t>
      </w:r>
      <w:r w:rsidR="00DC1BF2">
        <w:rPr>
          <w:rFonts w:cstheme="minorHAnsi"/>
          <w:szCs w:val="24"/>
        </w:rPr>
        <w:t>lower</w:t>
      </w:r>
      <w:r w:rsidRPr="00FD20C4" w:rsidR="00DC1BF2">
        <w:rPr>
          <w:rFonts w:cstheme="minorHAnsi"/>
          <w:szCs w:val="24"/>
        </w:rPr>
        <w:t xml:space="preserve"> than the control group </w:t>
      </w:r>
      <w:r w:rsidR="00D8737E">
        <w:rPr>
          <w:rFonts w:cstheme="minorHAnsi"/>
          <w:szCs w:val="24"/>
        </w:rPr>
        <w:t>(</w:t>
      </w:r>
      <w:r w:rsidR="00DC1BF2">
        <w:rPr>
          <w:rFonts w:cstheme="minorHAnsi"/>
          <w:szCs w:val="24"/>
        </w:rPr>
        <w:t>46</w:t>
      </w:r>
      <w:r w:rsidRPr="00FD20C4" w:rsidR="00DC1BF2">
        <w:rPr>
          <w:rFonts w:cstheme="minorHAnsi"/>
          <w:szCs w:val="24"/>
        </w:rPr>
        <w:t>.</w:t>
      </w:r>
      <w:r w:rsidR="00DC1BF2">
        <w:rPr>
          <w:rFonts w:cstheme="minorHAnsi"/>
          <w:szCs w:val="24"/>
        </w:rPr>
        <w:t>0</w:t>
      </w:r>
      <w:r w:rsidRPr="00FD20C4" w:rsidR="00DC1BF2">
        <w:rPr>
          <w:rFonts w:cstheme="minorHAnsi"/>
          <w:szCs w:val="24"/>
        </w:rPr>
        <w:t xml:space="preserve"> percent</w:t>
      </w:r>
      <w:r w:rsidR="00D8737E">
        <w:rPr>
          <w:rFonts w:cstheme="minorHAnsi"/>
          <w:szCs w:val="24"/>
        </w:rPr>
        <w:t>)</w:t>
      </w:r>
      <w:r w:rsidR="00DC1BF2">
        <w:rPr>
          <w:rFonts w:cstheme="minorHAnsi"/>
          <w:szCs w:val="24"/>
        </w:rPr>
        <w:t xml:space="preserve">; </w:t>
      </w:r>
      <m:oMath>
        <m:r>
          <w:rPr>
            <w:rFonts w:ascii="Cambria Math" w:hAnsi="Cambria Math" w:cstheme="minorHAnsi"/>
            <w:szCs w:val="24"/>
          </w:rPr>
          <m:t>χ</m:t>
        </m:r>
      </m:oMath>
      <w:r w:rsidRPr="00FD20C4" w:rsidR="00DC1BF2">
        <w:rPr>
          <w:rFonts w:eastAsiaTheme="minorEastAsia" w:cstheme="minorHAnsi"/>
          <w:szCs w:val="24"/>
          <w:vertAlign w:val="superscript"/>
        </w:rPr>
        <w:t>2</w:t>
      </w:r>
      <w:r w:rsidRPr="00FD20C4" w:rsidR="00DC1BF2">
        <w:rPr>
          <w:rFonts w:cstheme="minorHAnsi"/>
          <w:szCs w:val="24"/>
        </w:rPr>
        <w:t xml:space="preserve"> = </w:t>
      </w:r>
      <w:r w:rsidR="00DC1BF2">
        <w:rPr>
          <w:rFonts w:cstheme="minorHAnsi"/>
          <w:szCs w:val="24"/>
        </w:rPr>
        <w:t>7</w:t>
      </w:r>
      <w:r w:rsidRPr="00FD20C4" w:rsidR="00DC1BF2">
        <w:rPr>
          <w:rFonts w:cstheme="minorHAnsi"/>
          <w:szCs w:val="24"/>
        </w:rPr>
        <w:t>.</w:t>
      </w:r>
      <w:r w:rsidR="00DC1BF2">
        <w:rPr>
          <w:rFonts w:cstheme="minorHAnsi"/>
          <w:szCs w:val="24"/>
        </w:rPr>
        <w:t>08</w:t>
      </w:r>
      <w:r w:rsidRPr="00FD20C4" w:rsidR="00DC1BF2">
        <w:rPr>
          <w:rFonts w:cstheme="minorHAnsi"/>
          <w:szCs w:val="24"/>
        </w:rPr>
        <w:t xml:space="preserve">, </w:t>
      </w:r>
      <w:r w:rsidRPr="00FD20C4" w:rsidR="00DC1BF2">
        <w:rPr>
          <w:rFonts w:cstheme="minorHAnsi"/>
          <w:i/>
          <w:iCs/>
          <w:szCs w:val="24"/>
        </w:rPr>
        <w:t>p</w:t>
      </w:r>
      <w:r w:rsidRPr="00FD20C4" w:rsidR="00DC1BF2">
        <w:rPr>
          <w:rFonts w:cstheme="minorHAnsi"/>
          <w:szCs w:val="24"/>
        </w:rPr>
        <w:t xml:space="preserve"> </w:t>
      </w:r>
      <w:r w:rsidR="00DC1BF2">
        <w:rPr>
          <w:rFonts w:cstheme="minorHAnsi"/>
          <w:szCs w:val="24"/>
        </w:rPr>
        <w:t>&lt;</w:t>
      </w:r>
      <w:r w:rsidRPr="00FD20C4" w:rsidR="00DC1BF2">
        <w:rPr>
          <w:rFonts w:cstheme="minorHAnsi"/>
          <w:szCs w:val="24"/>
        </w:rPr>
        <w:t xml:space="preserve"> .</w:t>
      </w:r>
      <w:r w:rsidR="00DC1BF2">
        <w:rPr>
          <w:rFonts w:cstheme="minorHAnsi"/>
          <w:szCs w:val="24"/>
        </w:rPr>
        <w:t>01; third row of Table 2</w:t>
      </w:r>
      <w:r w:rsidRPr="00FD20C4" w:rsidR="00DC1BF2">
        <w:rPr>
          <w:rFonts w:cstheme="minorHAnsi"/>
          <w:szCs w:val="24"/>
        </w:rPr>
        <w:t>.</w:t>
      </w:r>
    </w:p>
    <w:p w:rsidR="004942E4" w:rsidP="00287221" w14:paraId="28D5F79B" w14:textId="27537563">
      <w:pPr>
        <w:spacing w:after="120"/>
        <w:rPr>
          <w:rFonts w:cstheme="minorHAnsi"/>
          <w:szCs w:val="24"/>
        </w:rPr>
      </w:pPr>
      <w:r w:rsidRPr="10F335F9">
        <w:rPr>
          <w:rFonts w:cstheme="minorBidi"/>
        </w:rPr>
        <w:t xml:space="preserve">The results </w:t>
      </w:r>
      <w:r w:rsidRPr="10F335F9" w:rsidR="002E34C1">
        <w:rPr>
          <w:rFonts w:cstheme="minorBidi"/>
        </w:rPr>
        <w:t xml:space="preserve">from this study </w:t>
      </w:r>
      <w:r w:rsidRPr="10F335F9">
        <w:rPr>
          <w:rFonts w:cstheme="minorBidi"/>
        </w:rPr>
        <w:t xml:space="preserve">indicate that a </w:t>
      </w:r>
      <w:r w:rsidRPr="10F335F9" w:rsidR="002E34C1">
        <w:rPr>
          <w:rFonts w:cstheme="minorBidi"/>
        </w:rPr>
        <w:t xml:space="preserve">$5 </w:t>
      </w:r>
      <w:r w:rsidRPr="10F335F9">
        <w:rPr>
          <w:rFonts w:cstheme="minorBidi"/>
        </w:rPr>
        <w:t xml:space="preserve">incentive </w:t>
      </w:r>
      <w:r w:rsidRPr="10F335F9" w:rsidR="006335C8">
        <w:rPr>
          <w:rFonts w:cstheme="minorBidi"/>
        </w:rPr>
        <w:t xml:space="preserve">was not effective at encouraging </w:t>
      </w:r>
      <w:r w:rsidRPr="10F335F9" w:rsidR="00840486">
        <w:rPr>
          <w:rFonts w:cstheme="minorBidi"/>
        </w:rPr>
        <w:t xml:space="preserve">survey </w:t>
      </w:r>
      <w:r w:rsidRPr="10F335F9" w:rsidR="006335C8">
        <w:rPr>
          <w:rFonts w:cstheme="minorBidi"/>
        </w:rPr>
        <w:t>response</w:t>
      </w:r>
      <w:r w:rsidRPr="10F335F9" w:rsidR="00840486">
        <w:rPr>
          <w:rFonts w:cstheme="minorBidi"/>
        </w:rPr>
        <w:t>, and</w:t>
      </w:r>
      <w:r w:rsidRPr="10F335F9" w:rsidR="00C048BD">
        <w:rPr>
          <w:rFonts w:cstheme="minorBidi"/>
        </w:rPr>
        <w:t xml:space="preserve"> </w:t>
      </w:r>
      <w:r w:rsidRPr="10F335F9" w:rsidR="00840486">
        <w:rPr>
          <w:rFonts w:cstheme="minorBidi"/>
        </w:rPr>
        <w:t>s</w:t>
      </w:r>
      <w:r w:rsidRPr="10F335F9" w:rsidR="00C048BD">
        <w:rPr>
          <w:rFonts w:cstheme="minorBidi"/>
        </w:rPr>
        <w:t xml:space="preserve">urprisingly, it seems that this incentive </w:t>
      </w:r>
      <w:r w:rsidRPr="59A6006B" w:rsidR="1CA2A800">
        <w:rPr>
          <w:rFonts w:cstheme="minorBidi"/>
        </w:rPr>
        <w:t xml:space="preserve">offer </w:t>
      </w:r>
      <w:r w:rsidRPr="59A6006B" w:rsidR="4DF5F8F0">
        <w:rPr>
          <w:rFonts w:cstheme="minorBidi"/>
        </w:rPr>
        <w:t>discouraged</w:t>
      </w:r>
      <w:r w:rsidRPr="10F335F9" w:rsidR="00C048BD">
        <w:rPr>
          <w:rFonts w:cstheme="minorBidi"/>
        </w:rPr>
        <w:t xml:space="preserve"> response</w:t>
      </w:r>
      <w:r w:rsidRPr="10F335F9" w:rsidR="00986F52">
        <w:rPr>
          <w:rFonts w:cstheme="minorBidi"/>
        </w:rPr>
        <w:t xml:space="preserve"> to the survey.</w:t>
      </w:r>
      <w:r w:rsidR="00007FB9">
        <w:rPr>
          <w:rFonts w:cstheme="minorBidi"/>
        </w:rPr>
        <w:t xml:space="preserve"> This effect was true overall and within both data collection groups, though it was more pronounced in the aggressive data collection group. </w:t>
      </w:r>
      <w:r w:rsidRPr="10F335F9" w:rsidR="00325990">
        <w:rPr>
          <w:rFonts w:cstheme="minorBidi"/>
        </w:rPr>
        <w:t xml:space="preserve">Although sample members in the </w:t>
      </w:r>
      <w:r w:rsidR="00007FB9">
        <w:rPr>
          <w:rFonts w:cstheme="minorBidi"/>
        </w:rPr>
        <w:t xml:space="preserve">experiment’s </w:t>
      </w:r>
      <w:r w:rsidRPr="10F335F9" w:rsidR="00325990">
        <w:rPr>
          <w:rFonts w:cstheme="minorBidi"/>
        </w:rPr>
        <w:t xml:space="preserve">treatment group were offered a higher </w:t>
      </w:r>
      <w:r w:rsidRPr="10F335F9" w:rsidR="00DC5F04">
        <w:rPr>
          <w:rFonts w:cstheme="minorBidi"/>
        </w:rPr>
        <w:t xml:space="preserve">total </w:t>
      </w:r>
      <w:r w:rsidRPr="10F335F9" w:rsidR="00325990">
        <w:rPr>
          <w:rFonts w:cstheme="minorBidi"/>
        </w:rPr>
        <w:t>incentive than the control group</w:t>
      </w:r>
      <w:r w:rsidRPr="10F335F9" w:rsidR="00DC5F04">
        <w:rPr>
          <w:rFonts w:cstheme="minorBidi"/>
        </w:rPr>
        <w:t xml:space="preserve"> (baseline plus</w:t>
      </w:r>
      <w:r w:rsidRPr="10F335F9" w:rsidR="00325990">
        <w:rPr>
          <w:rFonts w:cstheme="minorBidi"/>
        </w:rPr>
        <w:t xml:space="preserve"> $5</w:t>
      </w:r>
      <w:r w:rsidRPr="10F335F9" w:rsidR="00DC5F04">
        <w:rPr>
          <w:rFonts w:cstheme="minorBidi"/>
        </w:rPr>
        <w:t>)</w:t>
      </w:r>
      <w:r w:rsidRPr="10F335F9" w:rsidR="00325990">
        <w:rPr>
          <w:rFonts w:cstheme="minorBidi"/>
        </w:rPr>
        <w:t xml:space="preserve">, </w:t>
      </w:r>
      <w:r w:rsidRPr="10F335F9" w:rsidR="000D6E86">
        <w:rPr>
          <w:rFonts w:cstheme="minorBidi"/>
        </w:rPr>
        <w:t xml:space="preserve">it is possible that an offer of an extra $5 incentive was </w:t>
      </w:r>
      <w:r w:rsidRPr="10F335F9" w:rsidR="008E0CD3">
        <w:rPr>
          <w:rFonts w:cstheme="minorBidi"/>
        </w:rPr>
        <w:t xml:space="preserve">confusing to </w:t>
      </w:r>
      <w:r w:rsidRPr="10F335F9" w:rsidR="00777CE3">
        <w:rPr>
          <w:rFonts w:cstheme="minorBidi"/>
        </w:rPr>
        <w:t>sample members</w:t>
      </w:r>
      <w:r w:rsidRPr="10F335F9" w:rsidR="008E0CD3">
        <w:rPr>
          <w:rFonts w:cstheme="minorBidi"/>
        </w:rPr>
        <w:t xml:space="preserve">. They may have interpreted the </w:t>
      </w:r>
      <w:r w:rsidRPr="10F335F9" w:rsidR="00B71E8A">
        <w:rPr>
          <w:rFonts w:cstheme="minorBidi"/>
        </w:rPr>
        <w:t xml:space="preserve">$5 offer to be the </w:t>
      </w:r>
      <w:r w:rsidRPr="10F335F9" w:rsidR="00B71E8A">
        <w:rPr>
          <w:rFonts w:cstheme="minorBidi"/>
          <w:i/>
        </w:rPr>
        <w:t>only</w:t>
      </w:r>
      <w:r w:rsidRPr="10F335F9" w:rsidR="00B71E8A">
        <w:rPr>
          <w:rFonts w:cstheme="minorBidi"/>
        </w:rPr>
        <w:t xml:space="preserve"> incentive </w:t>
      </w:r>
      <w:r w:rsidRPr="01279678" w:rsidR="3418E619">
        <w:rPr>
          <w:rFonts w:cstheme="minorBidi"/>
        </w:rPr>
        <w:t xml:space="preserve">available </w:t>
      </w:r>
      <w:r w:rsidRPr="10F335F9" w:rsidR="00B71E8A">
        <w:rPr>
          <w:rFonts w:cstheme="minorBidi"/>
        </w:rPr>
        <w:t xml:space="preserve">for the survey rather than </w:t>
      </w:r>
      <w:r w:rsidRPr="6B80DDA4" w:rsidR="25899B69">
        <w:rPr>
          <w:rFonts w:cstheme="minorBidi"/>
        </w:rPr>
        <w:t xml:space="preserve">as </w:t>
      </w:r>
      <w:r w:rsidRPr="6B80DDA4" w:rsidR="74BBA2E4">
        <w:rPr>
          <w:rFonts w:cstheme="minorBidi"/>
        </w:rPr>
        <w:t>an</w:t>
      </w:r>
      <w:r w:rsidRPr="10F335F9" w:rsidR="00B71E8A">
        <w:rPr>
          <w:rFonts w:cstheme="minorBidi"/>
        </w:rPr>
        <w:t xml:space="preserve"> </w:t>
      </w:r>
      <w:r w:rsidRPr="10F335F9" w:rsidR="00B71E8A">
        <w:rPr>
          <w:rFonts w:cstheme="minorBidi"/>
          <w:i/>
        </w:rPr>
        <w:t>additional</w:t>
      </w:r>
      <w:r w:rsidRPr="10F335F9" w:rsidR="00B71E8A">
        <w:rPr>
          <w:rFonts w:cstheme="minorBidi"/>
        </w:rPr>
        <w:t xml:space="preserve"> incentive</w:t>
      </w:r>
      <w:r w:rsidRPr="10F335F9" w:rsidR="00777CE3">
        <w:rPr>
          <w:rFonts w:cstheme="minorBidi"/>
        </w:rPr>
        <w:t xml:space="preserve">, </w:t>
      </w:r>
      <w:r w:rsidRPr="10F335F9" w:rsidR="004D5FB0">
        <w:rPr>
          <w:rFonts w:cstheme="minorBidi"/>
        </w:rPr>
        <w:t xml:space="preserve">thereby </w:t>
      </w:r>
      <w:r w:rsidRPr="10F335F9" w:rsidR="003B58C0">
        <w:rPr>
          <w:rFonts w:cstheme="minorBidi"/>
        </w:rPr>
        <w:t>discouraging</w:t>
      </w:r>
      <w:r w:rsidRPr="10F335F9" w:rsidR="004D5FB0">
        <w:rPr>
          <w:rFonts w:cstheme="minorBidi"/>
        </w:rPr>
        <w:t xml:space="preserve"> response versus an offer of the baseline incentive alone. </w:t>
      </w:r>
      <w:r w:rsidRPr="10F335F9" w:rsidR="00B71E8A">
        <w:rPr>
          <w:rFonts w:cstheme="minorBidi"/>
        </w:rPr>
        <w:t>Alternatively, highlighting two</w:t>
      </w:r>
      <w:r w:rsidRPr="10F335F9" w:rsidR="004D5FB0">
        <w:rPr>
          <w:rFonts w:cstheme="minorBidi"/>
        </w:rPr>
        <w:t xml:space="preserve"> steps required to complete the survey </w:t>
      </w:r>
      <w:r w:rsidRPr="10F335F9" w:rsidR="00B47E98">
        <w:rPr>
          <w:rFonts w:cstheme="minorBidi"/>
        </w:rPr>
        <w:t xml:space="preserve">in the treatment condition (where the contacting materials </w:t>
      </w:r>
      <w:r w:rsidRPr="10F335F9">
        <w:rPr>
          <w:rFonts w:cstheme="minorBidi"/>
        </w:rPr>
        <w:t>asked sample members to</w:t>
      </w:r>
      <w:r w:rsidRPr="10F335F9" w:rsidR="00B47E98">
        <w:rPr>
          <w:rFonts w:cstheme="minorBidi"/>
        </w:rPr>
        <w:t xml:space="preserve"> comple</w:t>
      </w:r>
      <w:r w:rsidRPr="10F335F9">
        <w:rPr>
          <w:rFonts w:cstheme="minorBidi"/>
        </w:rPr>
        <w:t>te</w:t>
      </w:r>
      <w:r w:rsidRPr="10F335F9" w:rsidR="00B47E98">
        <w:rPr>
          <w:rFonts w:cstheme="minorBidi"/>
        </w:rPr>
        <w:t xml:space="preserve"> the address completion questions, and then </w:t>
      </w:r>
      <w:r w:rsidRPr="10F335F9">
        <w:rPr>
          <w:rFonts w:cstheme="minorBidi"/>
        </w:rPr>
        <w:t>complete</w:t>
      </w:r>
      <w:r w:rsidRPr="10F335F9" w:rsidR="00B47E98">
        <w:rPr>
          <w:rFonts w:cstheme="minorBidi"/>
        </w:rPr>
        <w:t xml:space="preserve"> the survey) may have induced a perception of higher burden for the treatment group versus the contact group (</w:t>
      </w:r>
      <w:r w:rsidRPr="10F335F9">
        <w:rPr>
          <w:rFonts w:cstheme="minorBidi"/>
        </w:rPr>
        <w:t>where the contacting materials only asked participants to complete the survey itself; the address confirmation questions were not mentioned).</w:t>
      </w:r>
    </w:p>
    <w:p w:rsidR="00287221" w:rsidRPr="00FD5576" w:rsidP="00287221" w14:paraId="30014FF2" w14:textId="6FF0CEA2">
      <w:pPr>
        <w:pStyle w:val="TableTitle"/>
        <w:rPr>
          <w:shd w:val="clear" w:color="auto" w:fill="FFFFFF"/>
        </w:rPr>
      </w:pPr>
      <w:bookmarkStart w:id="32" w:name="_Ref79565474"/>
      <w:bookmarkStart w:id="33" w:name="_Toc174628205"/>
      <w:r>
        <w:t xml:space="preserve">Table </w:t>
      </w:r>
      <w:r>
        <w:fldChar w:fldCharType="begin"/>
      </w:r>
      <w:r>
        <w:instrText xml:space="preserve"> SEQ Table \* ARABIC </w:instrText>
      </w:r>
      <w:r>
        <w:fldChar w:fldCharType="separate"/>
      </w:r>
      <w:r>
        <w:rPr>
          <w:noProof/>
        </w:rPr>
        <w:t>2</w:t>
      </w:r>
      <w:r>
        <w:fldChar w:fldCharType="end"/>
      </w:r>
      <w:bookmarkEnd w:id="32"/>
      <w:r>
        <w:t xml:space="preserve">. </w:t>
      </w:r>
      <w:r w:rsidR="00F83AF1">
        <w:t>R</w:t>
      </w:r>
      <w:r w:rsidRPr="00FD5576">
        <w:t>esponse rates by</w:t>
      </w:r>
      <w:r w:rsidR="001645DD">
        <w:t xml:space="preserve"> address confirmation incentive</w:t>
      </w:r>
      <w:r w:rsidR="002E34C1">
        <w:t xml:space="preserve"> </w:t>
      </w:r>
      <w:r w:rsidRPr="00FD5576">
        <w:t>experimental condition</w:t>
      </w:r>
      <w:bookmarkEnd w:id="33"/>
      <w:r w:rsidR="00BA0840">
        <w:t>, overall and by data collection group</w:t>
      </w:r>
    </w:p>
    <w:tbl>
      <w:tblPr>
        <w:tblStyle w:val="TableGrid"/>
        <w:tblW w:w="5000" w:type="pct"/>
        <w:jc w:val="right"/>
        <w:tblLook w:val="04A0"/>
      </w:tblPr>
      <w:tblGrid>
        <w:gridCol w:w="4129"/>
        <w:gridCol w:w="1594"/>
        <w:gridCol w:w="1745"/>
        <w:gridCol w:w="1446"/>
        <w:gridCol w:w="1598"/>
      </w:tblGrid>
      <w:tr w14:paraId="6E4012D3" w14:textId="77777777" w:rsidTr="009616FD">
        <w:tblPrEx>
          <w:tblW w:w="5000" w:type="pct"/>
          <w:jc w:val="right"/>
          <w:tblLook w:val="04A0"/>
        </w:tblPrEx>
        <w:trPr>
          <w:trHeight w:val="144"/>
          <w:tblHeader/>
          <w:jc w:val="right"/>
        </w:trPr>
        <w:tc>
          <w:tcPr>
            <w:tcW w:w="1964" w:type="pct"/>
            <w:tcBorders>
              <w:top w:val="single" w:sz="12" w:space="0" w:color="auto"/>
              <w:left w:val="nil"/>
              <w:bottom w:val="single" w:sz="6" w:space="0" w:color="auto"/>
              <w:right w:val="nil"/>
            </w:tcBorders>
            <w:vAlign w:val="bottom"/>
          </w:tcPr>
          <w:p w:rsidR="00287221" w:rsidRPr="00003321" w:rsidP="00C900B5" w14:paraId="3D64C2AB" w14:textId="0F34318F">
            <w:pPr>
              <w:autoSpaceDE w:val="0"/>
              <w:autoSpaceDN w:val="0"/>
              <w:adjustRightInd w:val="0"/>
              <w:rPr>
                <w:rFonts w:ascii="Arial" w:hAnsi="Arial" w:cs="Arial"/>
                <w:b/>
                <w:sz w:val="18"/>
                <w:szCs w:val="18"/>
              </w:rPr>
            </w:pPr>
          </w:p>
        </w:tc>
        <w:tc>
          <w:tcPr>
            <w:tcW w:w="758" w:type="pct"/>
            <w:tcBorders>
              <w:top w:val="single" w:sz="12" w:space="0" w:color="auto"/>
              <w:left w:val="nil"/>
              <w:bottom w:val="single" w:sz="6" w:space="0" w:color="auto"/>
              <w:right w:val="nil"/>
            </w:tcBorders>
            <w:vAlign w:val="bottom"/>
          </w:tcPr>
          <w:p w:rsidR="00287221" w:rsidRPr="00003321" w:rsidP="00C900B5" w14:paraId="5D8CE619" w14:textId="77777777">
            <w:pPr>
              <w:keepNext/>
              <w:jc w:val="right"/>
              <w:rPr>
                <w:rFonts w:ascii="Arial" w:hAnsi="Arial" w:cs="Arial"/>
                <w:b/>
                <w:sz w:val="18"/>
                <w:szCs w:val="18"/>
              </w:rPr>
            </w:pPr>
            <w:r w:rsidRPr="00003321">
              <w:rPr>
                <w:rFonts w:ascii="Arial" w:hAnsi="Arial" w:cs="Arial"/>
                <w:b/>
                <w:sz w:val="18"/>
                <w:szCs w:val="18"/>
              </w:rPr>
              <w:t>Control Group</w:t>
            </w:r>
          </w:p>
          <w:p w:rsidR="00287221" w:rsidRPr="00003321" w:rsidP="00C900B5" w14:paraId="01642DF8" w14:textId="4CF8CA22">
            <w:pPr>
              <w:autoSpaceDE w:val="0"/>
              <w:autoSpaceDN w:val="0"/>
              <w:adjustRightInd w:val="0"/>
              <w:jc w:val="right"/>
              <w:rPr>
                <w:rFonts w:ascii="Arial" w:hAnsi="Arial" w:cs="Arial"/>
                <w:b/>
                <w:sz w:val="18"/>
                <w:szCs w:val="18"/>
              </w:rPr>
            </w:pPr>
            <w:r>
              <w:rPr>
                <w:rFonts w:ascii="Arial" w:hAnsi="Arial" w:cs="Arial"/>
                <w:bCs/>
                <w:sz w:val="18"/>
                <w:szCs w:val="18"/>
              </w:rPr>
              <w:t xml:space="preserve">No </w:t>
            </w:r>
            <w:r w:rsidR="00C70009">
              <w:rPr>
                <w:rFonts w:ascii="Arial" w:hAnsi="Arial" w:cs="Arial"/>
                <w:bCs/>
                <w:sz w:val="18"/>
                <w:szCs w:val="18"/>
              </w:rPr>
              <w:t>i</w:t>
            </w:r>
            <w:r>
              <w:rPr>
                <w:rFonts w:ascii="Arial" w:hAnsi="Arial" w:cs="Arial"/>
                <w:bCs/>
                <w:sz w:val="18"/>
                <w:szCs w:val="18"/>
              </w:rPr>
              <w:t xml:space="preserve">ncentive for </w:t>
            </w:r>
            <w:r w:rsidR="00C70009">
              <w:rPr>
                <w:rFonts w:ascii="Arial" w:hAnsi="Arial" w:cs="Arial"/>
                <w:bCs/>
                <w:sz w:val="18"/>
                <w:szCs w:val="18"/>
              </w:rPr>
              <w:t>a</w:t>
            </w:r>
            <w:r w:rsidR="001E7FAB">
              <w:rPr>
                <w:rFonts w:ascii="Arial" w:hAnsi="Arial" w:cs="Arial"/>
                <w:bCs/>
                <w:sz w:val="18"/>
                <w:szCs w:val="18"/>
              </w:rPr>
              <w:t xml:space="preserve">ddress </w:t>
            </w:r>
            <w:r w:rsidR="00C70009">
              <w:rPr>
                <w:rFonts w:ascii="Arial" w:hAnsi="Arial" w:cs="Arial"/>
                <w:bCs/>
                <w:sz w:val="18"/>
                <w:szCs w:val="18"/>
              </w:rPr>
              <w:t>c</w:t>
            </w:r>
            <w:r w:rsidR="001E7FAB">
              <w:rPr>
                <w:rFonts w:ascii="Arial" w:hAnsi="Arial" w:cs="Arial"/>
                <w:bCs/>
                <w:sz w:val="18"/>
                <w:szCs w:val="18"/>
              </w:rPr>
              <w:t>onfi</w:t>
            </w:r>
            <w:r w:rsidR="002703EF">
              <w:rPr>
                <w:rFonts w:ascii="Arial" w:hAnsi="Arial" w:cs="Arial"/>
                <w:bCs/>
                <w:sz w:val="18"/>
                <w:szCs w:val="18"/>
              </w:rPr>
              <w:t>rmation</w:t>
            </w:r>
            <w:r w:rsidRPr="00003321">
              <w:rPr>
                <w:rFonts w:ascii="Arial" w:hAnsi="Arial" w:cs="Arial"/>
                <w:bCs/>
                <w:sz w:val="18"/>
                <w:szCs w:val="18"/>
              </w:rPr>
              <w:t xml:space="preserve"> </w:t>
            </w:r>
          </w:p>
        </w:tc>
        <w:tc>
          <w:tcPr>
            <w:tcW w:w="830" w:type="pct"/>
            <w:tcBorders>
              <w:top w:val="single" w:sz="12" w:space="0" w:color="auto"/>
              <w:left w:val="nil"/>
              <w:bottom w:val="single" w:sz="6" w:space="0" w:color="auto"/>
              <w:right w:val="nil"/>
            </w:tcBorders>
            <w:vAlign w:val="bottom"/>
          </w:tcPr>
          <w:p w:rsidR="00287221" w:rsidRPr="00003321" w:rsidP="00C900B5" w14:paraId="7B44313F" w14:textId="77777777">
            <w:pPr>
              <w:keepNext/>
              <w:jc w:val="right"/>
              <w:rPr>
                <w:rFonts w:ascii="Arial" w:hAnsi="Arial" w:cs="Arial"/>
                <w:b/>
                <w:sz w:val="18"/>
                <w:szCs w:val="18"/>
              </w:rPr>
            </w:pPr>
            <w:r w:rsidRPr="00003321">
              <w:rPr>
                <w:rFonts w:ascii="Arial" w:hAnsi="Arial" w:cs="Arial"/>
                <w:b/>
                <w:sz w:val="18"/>
                <w:szCs w:val="18"/>
              </w:rPr>
              <w:t>Treatment Group</w:t>
            </w:r>
          </w:p>
          <w:p w:rsidR="00625B5D" w:rsidP="00C900B5" w14:paraId="3AD31462" w14:textId="77777777">
            <w:pPr>
              <w:autoSpaceDE w:val="0"/>
              <w:autoSpaceDN w:val="0"/>
              <w:adjustRightInd w:val="0"/>
              <w:jc w:val="right"/>
              <w:rPr>
                <w:rFonts w:ascii="Arial" w:hAnsi="Arial" w:cs="Arial"/>
                <w:bCs/>
                <w:sz w:val="18"/>
                <w:szCs w:val="18"/>
              </w:rPr>
            </w:pPr>
            <w:r>
              <w:rPr>
                <w:rFonts w:ascii="Arial" w:hAnsi="Arial" w:cs="Arial"/>
                <w:bCs/>
                <w:sz w:val="18"/>
                <w:szCs w:val="18"/>
              </w:rPr>
              <w:t xml:space="preserve">$5 for </w:t>
            </w:r>
          </w:p>
          <w:p w:rsidR="00287221" w:rsidRPr="00003321" w:rsidP="00C900B5" w14:paraId="022239E6" w14:textId="14710143">
            <w:pPr>
              <w:autoSpaceDE w:val="0"/>
              <w:autoSpaceDN w:val="0"/>
              <w:adjustRightInd w:val="0"/>
              <w:jc w:val="right"/>
              <w:rPr>
                <w:rFonts w:ascii="Arial" w:hAnsi="Arial" w:cs="Arial"/>
                <w:b/>
                <w:sz w:val="18"/>
                <w:szCs w:val="18"/>
              </w:rPr>
            </w:pPr>
            <w:r>
              <w:rPr>
                <w:rFonts w:ascii="Arial" w:hAnsi="Arial" w:cs="Arial"/>
                <w:bCs/>
                <w:sz w:val="18"/>
                <w:szCs w:val="18"/>
              </w:rPr>
              <w:t>a</w:t>
            </w:r>
            <w:r w:rsidR="002703EF">
              <w:rPr>
                <w:rFonts w:ascii="Arial" w:hAnsi="Arial" w:cs="Arial"/>
                <w:bCs/>
                <w:sz w:val="18"/>
                <w:szCs w:val="18"/>
              </w:rPr>
              <w:t xml:space="preserve">ddress </w:t>
            </w:r>
            <w:r>
              <w:rPr>
                <w:rFonts w:ascii="Arial" w:hAnsi="Arial" w:cs="Arial"/>
                <w:bCs/>
                <w:sz w:val="18"/>
                <w:szCs w:val="18"/>
              </w:rPr>
              <w:t>c</w:t>
            </w:r>
            <w:r w:rsidR="002703EF">
              <w:rPr>
                <w:rFonts w:ascii="Arial" w:hAnsi="Arial" w:cs="Arial"/>
                <w:bCs/>
                <w:sz w:val="18"/>
                <w:szCs w:val="18"/>
              </w:rPr>
              <w:t>onfirmation</w:t>
            </w:r>
            <w:r w:rsidRPr="00003321">
              <w:rPr>
                <w:rFonts w:ascii="Arial" w:hAnsi="Arial" w:cs="Arial"/>
                <w:bCs/>
                <w:sz w:val="18"/>
                <w:szCs w:val="18"/>
              </w:rPr>
              <w:t xml:space="preserve"> </w:t>
            </w:r>
          </w:p>
        </w:tc>
        <w:tc>
          <w:tcPr>
            <w:tcW w:w="688" w:type="pct"/>
            <w:tcBorders>
              <w:top w:val="single" w:sz="12" w:space="0" w:color="auto"/>
              <w:left w:val="nil"/>
              <w:bottom w:val="single" w:sz="6" w:space="0" w:color="auto"/>
              <w:right w:val="nil"/>
            </w:tcBorders>
            <w:vAlign w:val="bottom"/>
          </w:tcPr>
          <w:p w:rsidR="00287221" w:rsidRPr="00003321" w:rsidP="00C900B5" w14:paraId="7613DCE1" w14:textId="77777777">
            <w:pPr>
              <w:autoSpaceDE w:val="0"/>
              <w:autoSpaceDN w:val="0"/>
              <w:adjustRightInd w:val="0"/>
              <w:jc w:val="right"/>
              <w:rPr>
                <w:rFonts w:ascii="Arial" w:hAnsi="Arial" w:cs="Arial"/>
                <w:sz w:val="18"/>
                <w:szCs w:val="18"/>
                <w:vertAlign w:val="superscript"/>
              </w:rPr>
            </w:pPr>
            <m:oMath>
              <m:r>
                <w:rPr>
                  <w:rFonts w:ascii="Cambria Math" w:hAnsi="Cambria Math" w:cs="Arial"/>
                  <w:sz w:val="18"/>
                  <w:szCs w:val="18"/>
                </w:rPr>
                <m:t>χ</m:t>
              </m:r>
            </m:oMath>
            <w:r w:rsidRPr="00003321">
              <w:rPr>
                <w:rFonts w:ascii="Arial" w:hAnsi="Arial" w:eastAsiaTheme="minorEastAsia" w:cs="Arial"/>
                <w:sz w:val="18"/>
                <w:szCs w:val="18"/>
                <w:vertAlign w:val="superscript"/>
              </w:rPr>
              <w:t>2</w:t>
            </w:r>
          </w:p>
        </w:tc>
        <w:tc>
          <w:tcPr>
            <w:tcW w:w="760" w:type="pct"/>
            <w:tcBorders>
              <w:top w:val="single" w:sz="12" w:space="0" w:color="auto"/>
              <w:left w:val="nil"/>
              <w:bottom w:val="single" w:sz="6" w:space="0" w:color="auto"/>
              <w:right w:val="nil"/>
            </w:tcBorders>
            <w:vAlign w:val="bottom"/>
          </w:tcPr>
          <w:p w:rsidR="00287221" w:rsidRPr="00003321" w:rsidP="00C900B5" w14:paraId="730DAA02" w14:textId="77777777">
            <w:pPr>
              <w:autoSpaceDE w:val="0"/>
              <w:autoSpaceDN w:val="0"/>
              <w:adjustRightInd w:val="0"/>
              <w:jc w:val="right"/>
              <w:rPr>
                <w:rFonts w:ascii="Arial" w:hAnsi="Arial" w:cs="Arial"/>
                <w:sz w:val="18"/>
                <w:szCs w:val="18"/>
              </w:rPr>
            </w:pPr>
            <w:r w:rsidRPr="00003321">
              <w:rPr>
                <w:rFonts w:ascii="Arial" w:hAnsi="Arial" w:cs="Arial"/>
                <w:i/>
                <w:iCs/>
                <w:sz w:val="18"/>
                <w:szCs w:val="18"/>
              </w:rPr>
              <w:t>p</w:t>
            </w:r>
            <w:r w:rsidRPr="00003321">
              <w:rPr>
                <w:rFonts w:ascii="Arial" w:hAnsi="Arial" w:cs="Arial"/>
                <w:sz w:val="18"/>
                <w:szCs w:val="18"/>
              </w:rPr>
              <w:t>-value</w:t>
            </w:r>
          </w:p>
        </w:tc>
      </w:tr>
      <w:tr w14:paraId="36A920A4" w14:textId="77777777" w:rsidTr="002B072A">
        <w:tblPrEx>
          <w:tblW w:w="5000" w:type="pct"/>
          <w:jc w:val="right"/>
          <w:tblLook w:val="04A0"/>
        </w:tblPrEx>
        <w:trPr>
          <w:trHeight w:val="144"/>
          <w:jc w:val="right"/>
        </w:trPr>
        <w:tc>
          <w:tcPr>
            <w:tcW w:w="1964" w:type="pct"/>
            <w:tcBorders>
              <w:top w:val="nil"/>
              <w:left w:val="nil"/>
              <w:bottom w:val="single" w:sz="4" w:space="0" w:color="auto"/>
              <w:right w:val="nil"/>
            </w:tcBorders>
          </w:tcPr>
          <w:p w:rsidR="00287221" w:rsidRPr="00003321" w:rsidP="00C900B5" w14:paraId="4176FBFE" w14:textId="39E5CA2D">
            <w:pPr>
              <w:autoSpaceDE w:val="0"/>
              <w:autoSpaceDN w:val="0"/>
              <w:adjustRightInd w:val="0"/>
              <w:rPr>
                <w:rFonts w:ascii="Arial" w:hAnsi="Arial" w:cs="Arial"/>
                <w:sz w:val="18"/>
                <w:szCs w:val="18"/>
              </w:rPr>
            </w:pPr>
            <w:r>
              <w:rPr>
                <w:rFonts w:ascii="Arial" w:hAnsi="Arial" w:cs="Arial"/>
                <w:sz w:val="18"/>
                <w:szCs w:val="18"/>
              </w:rPr>
              <w:t>Overall response rate</w:t>
            </w:r>
          </w:p>
        </w:tc>
        <w:tc>
          <w:tcPr>
            <w:tcW w:w="758" w:type="pct"/>
            <w:tcBorders>
              <w:top w:val="nil"/>
              <w:left w:val="nil"/>
              <w:bottom w:val="single" w:sz="4" w:space="0" w:color="auto"/>
              <w:right w:val="nil"/>
            </w:tcBorders>
          </w:tcPr>
          <w:p w:rsidR="00287221" w:rsidRPr="00003321" w:rsidP="00C900B5" w14:paraId="0CAE12AC" w14:textId="725A0830">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6</w:t>
            </w:r>
            <w:r w:rsidR="008E22E7">
              <w:rPr>
                <w:rFonts w:ascii="Arial" w:hAnsi="Arial" w:cs="Arial"/>
                <w:color w:val="000000"/>
                <w:sz w:val="18"/>
                <w:szCs w:val="18"/>
              </w:rPr>
              <w:t>7</w:t>
            </w:r>
            <w:r w:rsidRPr="00003321">
              <w:rPr>
                <w:rFonts w:ascii="Arial" w:hAnsi="Arial" w:cs="Arial"/>
                <w:color w:val="000000"/>
                <w:sz w:val="18"/>
                <w:szCs w:val="18"/>
              </w:rPr>
              <w:t>.</w:t>
            </w:r>
            <w:r w:rsidR="008E22E7">
              <w:rPr>
                <w:rFonts w:ascii="Arial" w:hAnsi="Arial" w:cs="Arial"/>
                <w:color w:val="000000"/>
                <w:sz w:val="18"/>
                <w:szCs w:val="18"/>
              </w:rPr>
              <w:t>2</w:t>
            </w:r>
          </w:p>
        </w:tc>
        <w:tc>
          <w:tcPr>
            <w:tcW w:w="830" w:type="pct"/>
            <w:tcBorders>
              <w:top w:val="nil"/>
              <w:left w:val="nil"/>
              <w:bottom w:val="single" w:sz="4" w:space="0" w:color="auto"/>
              <w:right w:val="nil"/>
            </w:tcBorders>
          </w:tcPr>
          <w:p w:rsidR="00287221" w:rsidRPr="00003321" w:rsidP="00C900B5" w14:paraId="0D0F0A55" w14:textId="24DBAE0F">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6</w:t>
            </w:r>
            <w:r w:rsidR="008E22E7">
              <w:rPr>
                <w:rFonts w:ascii="Arial" w:hAnsi="Arial" w:cs="Arial"/>
                <w:color w:val="000000"/>
                <w:sz w:val="18"/>
                <w:szCs w:val="18"/>
              </w:rPr>
              <w:t>1</w:t>
            </w:r>
            <w:r w:rsidRPr="00003321">
              <w:rPr>
                <w:rFonts w:ascii="Arial" w:hAnsi="Arial" w:cs="Arial"/>
                <w:color w:val="000000"/>
                <w:sz w:val="18"/>
                <w:szCs w:val="18"/>
              </w:rPr>
              <w:t>.9</w:t>
            </w:r>
          </w:p>
        </w:tc>
        <w:tc>
          <w:tcPr>
            <w:tcW w:w="688" w:type="pct"/>
            <w:tcBorders>
              <w:top w:val="nil"/>
              <w:left w:val="nil"/>
              <w:bottom w:val="single" w:sz="4" w:space="0" w:color="auto"/>
              <w:right w:val="nil"/>
            </w:tcBorders>
          </w:tcPr>
          <w:p w:rsidR="00287221" w:rsidRPr="00003321" w:rsidP="00C900B5" w14:paraId="150C1B0D" w14:textId="04573F24">
            <w:pPr>
              <w:autoSpaceDE w:val="0"/>
              <w:autoSpaceDN w:val="0"/>
              <w:adjustRightInd w:val="0"/>
              <w:jc w:val="right"/>
              <w:rPr>
                <w:rFonts w:ascii="Arial" w:hAnsi="Arial" w:cs="Arial"/>
                <w:color w:val="000000"/>
                <w:sz w:val="18"/>
                <w:szCs w:val="18"/>
              </w:rPr>
            </w:pPr>
            <w:r>
              <w:rPr>
                <w:rFonts w:ascii="Arial" w:hAnsi="Arial" w:cs="Arial"/>
                <w:color w:val="000000"/>
                <w:sz w:val="18"/>
                <w:szCs w:val="18"/>
              </w:rPr>
              <w:t>8</w:t>
            </w:r>
            <w:r w:rsidRPr="00003321">
              <w:rPr>
                <w:rFonts w:ascii="Arial" w:hAnsi="Arial" w:cs="Arial"/>
                <w:color w:val="000000"/>
                <w:sz w:val="18"/>
                <w:szCs w:val="18"/>
              </w:rPr>
              <w:t>.</w:t>
            </w:r>
            <w:r>
              <w:rPr>
                <w:rFonts w:ascii="Arial" w:hAnsi="Arial" w:cs="Arial"/>
                <w:color w:val="000000"/>
                <w:sz w:val="18"/>
                <w:szCs w:val="18"/>
              </w:rPr>
              <w:t>36</w:t>
            </w:r>
          </w:p>
        </w:tc>
        <w:tc>
          <w:tcPr>
            <w:tcW w:w="760" w:type="pct"/>
            <w:tcBorders>
              <w:top w:val="nil"/>
              <w:left w:val="nil"/>
              <w:bottom w:val="single" w:sz="4" w:space="0" w:color="auto"/>
              <w:right w:val="nil"/>
            </w:tcBorders>
          </w:tcPr>
          <w:p w:rsidR="00287221" w:rsidRPr="00003321" w:rsidP="00C900B5" w14:paraId="0C766FBB" w14:textId="397F97AB">
            <w:pPr>
              <w:autoSpaceDE w:val="0"/>
              <w:autoSpaceDN w:val="0"/>
              <w:adjustRightInd w:val="0"/>
              <w:jc w:val="right"/>
              <w:rPr>
                <w:rFonts w:ascii="Arial" w:hAnsi="Arial" w:cs="Arial"/>
                <w:color w:val="000000"/>
                <w:sz w:val="18"/>
                <w:szCs w:val="18"/>
              </w:rPr>
            </w:pPr>
            <w:r w:rsidRPr="00003321">
              <w:rPr>
                <w:rFonts w:ascii="Arial" w:hAnsi="Arial" w:cs="Arial"/>
                <w:color w:val="000000"/>
                <w:sz w:val="18"/>
                <w:szCs w:val="18"/>
              </w:rPr>
              <w:t>0.</w:t>
            </w:r>
            <w:r w:rsidR="00BC4223">
              <w:rPr>
                <w:rFonts w:ascii="Arial" w:hAnsi="Arial" w:cs="Arial"/>
                <w:color w:val="000000"/>
                <w:sz w:val="18"/>
                <w:szCs w:val="18"/>
              </w:rPr>
              <w:t>004</w:t>
            </w:r>
          </w:p>
        </w:tc>
      </w:tr>
      <w:tr w14:paraId="04C0E652" w14:textId="77777777" w:rsidTr="006C708B">
        <w:tblPrEx>
          <w:tblW w:w="5000" w:type="pct"/>
          <w:jc w:val="right"/>
          <w:tblLook w:val="04A0"/>
        </w:tblPrEx>
        <w:trPr>
          <w:trHeight w:val="144"/>
          <w:jc w:val="right"/>
        </w:trPr>
        <w:tc>
          <w:tcPr>
            <w:tcW w:w="1964" w:type="pct"/>
            <w:tcBorders>
              <w:top w:val="single" w:sz="4" w:space="0" w:color="auto"/>
              <w:left w:val="nil"/>
              <w:bottom w:val="single" w:sz="4" w:space="0" w:color="auto"/>
              <w:right w:val="nil"/>
            </w:tcBorders>
          </w:tcPr>
          <w:p w:rsidR="00BA0840" w:rsidP="00C900B5" w14:paraId="2919CCD3" w14:textId="3228024F">
            <w:pPr>
              <w:autoSpaceDE w:val="0"/>
              <w:autoSpaceDN w:val="0"/>
              <w:adjustRightInd w:val="0"/>
              <w:rPr>
                <w:rFonts w:ascii="Arial" w:hAnsi="Arial" w:cs="Arial"/>
                <w:sz w:val="18"/>
                <w:szCs w:val="18"/>
              </w:rPr>
            </w:pPr>
            <w:r>
              <w:rPr>
                <w:rFonts w:ascii="Arial" w:hAnsi="Arial" w:cs="Arial"/>
                <w:sz w:val="18"/>
                <w:szCs w:val="18"/>
              </w:rPr>
              <w:t>D</w:t>
            </w:r>
            <w:r w:rsidRPr="00BA0840">
              <w:rPr>
                <w:rFonts w:ascii="Arial" w:hAnsi="Arial" w:cs="Arial"/>
                <w:sz w:val="18"/>
                <w:szCs w:val="18"/>
              </w:rPr>
              <w:t>efault data collection group</w:t>
            </w:r>
            <w:r>
              <w:rPr>
                <w:rFonts w:ascii="Arial" w:hAnsi="Arial" w:cs="Arial"/>
                <w:sz w:val="18"/>
                <w:szCs w:val="18"/>
              </w:rPr>
              <w:t xml:space="preserve"> response rate</w:t>
            </w:r>
          </w:p>
        </w:tc>
        <w:tc>
          <w:tcPr>
            <w:tcW w:w="758" w:type="pct"/>
            <w:tcBorders>
              <w:top w:val="single" w:sz="4" w:space="0" w:color="auto"/>
              <w:left w:val="nil"/>
              <w:bottom w:val="single" w:sz="4" w:space="0" w:color="auto"/>
              <w:right w:val="nil"/>
            </w:tcBorders>
          </w:tcPr>
          <w:p w:rsidR="00BA0840" w:rsidRPr="00003321" w:rsidP="00C900B5" w14:paraId="5DD39610" w14:textId="728ABFFE">
            <w:pPr>
              <w:autoSpaceDE w:val="0"/>
              <w:autoSpaceDN w:val="0"/>
              <w:adjustRightInd w:val="0"/>
              <w:jc w:val="right"/>
              <w:rPr>
                <w:rFonts w:ascii="Arial" w:hAnsi="Arial" w:cs="Arial"/>
                <w:color w:val="000000"/>
                <w:sz w:val="18"/>
                <w:szCs w:val="18"/>
              </w:rPr>
            </w:pPr>
            <w:r>
              <w:rPr>
                <w:rFonts w:ascii="Arial" w:hAnsi="Arial" w:cs="Arial"/>
                <w:color w:val="000000"/>
                <w:sz w:val="18"/>
                <w:szCs w:val="18"/>
              </w:rPr>
              <w:t>74.5</w:t>
            </w:r>
          </w:p>
        </w:tc>
        <w:tc>
          <w:tcPr>
            <w:tcW w:w="830" w:type="pct"/>
            <w:tcBorders>
              <w:top w:val="single" w:sz="4" w:space="0" w:color="auto"/>
              <w:left w:val="nil"/>
              <w:bottom w:val="single" w:sz="4" w:space="0" w:color="auto"/>
              <w:right w:val="nil"/>
            </w:tcBorders>
          </w:tcPr>
          <w:p w:rsidR="00BA0840" w:rsidRPr="00003321" w:rsidP="00C900B5" w14:paraId="1930D4BB" w14:textId="161BA00B">
            <w:pPr>
              <w:autoSpaceDE w:val="0"/>
              <w:autoSpaceDN w:val="0"/>
              <w:adjustRightInd w:val="0"/>
              <w:jc w:val="right"/>
              <w:rPr>
                <w:rFonts w:ascii="Arial" w:hAnsi="Arial" w:cs="Arial"/>
                <w:color w:val="000000"/>
                <w:sz w:val="18"/>
                <w:szCs w:val="18"/>
              </w:rPr>
            </w:pPr>
            <w:r>
              <w:rPr>
                <w:rFonts w:ascii="Arial" w:hAnsi="Arial" w:cs="Arial"/>
                <w:color w:val="000000"/>
                <w:sz w:val="18"/>
                <w:szCs w:val="18"/>
              </w:rPr>
              <w:t>70.6</w:t>
            </w:r>
          </w:p>
        </w:tc>
        <w:tc>
          <w:tcPr>
            <w:tcW w:w="688" w:type="pct"/>
            <w:tcBorders>
              <w:top w:val="single" w:sz="4" w:space="0" w:color="auto"/>
              <w:left w:val="nil"/>
              <w:bottom w:val="single" w:sz="4" w:space="0" w:color="auto"/>
              <w:right w:val="nil"/>
            </w:tcBorders>
          </w:tcPr>
          <w:p w:rsidR="00BA0840" w:rsidP="00C900B5" w14:paraId="015DD983" w14:textId="0C007ED1">
            <w:pPr>
              <w:autoSpaceDE w:val="0"/>
              <w:autoSpaceDN w:val="0"/>
              <w:adjustRightInd w:val="0"/>
              <w:jc w:val="right"/>
              <w:rPr>
                <w:rFonts w:ascii="Arial" w:hAnsi="Arial" w:cs="Arial"/>
                <w:color w:val="000000"/>
                <w:sz w:val="18"/>
                <w:szCs w:val="18"/>
              </w:rPr>
            </w:pPr>
            <w:r>
              <w:rPr>
                <w:rFonts w:ascii="Arial" w:hAnsi="Arial" w:cs="Arial"/>
                <w:color w:val="000000"/>
                <w:sz w:val="18"/>
                <w:szCs w:val="18"/>
              </w:rPr>
              <w:t>3.82</w:t>
            </w:r>
          </w:p>
        </w:tc>
        <w:tc>
          <w:tcPr>
            <w:tcW w:w="760" w:type="pct"/>
            <w:tcBorders>
              <w:top w:val="single" w:sz="4" w:space="0" w:color="auto"/>
              <w:left w:val="nil"/>
              <w:bottom w:val="single" w:sz="4" w:space="0" w:color="auto"/>
              <w:right w:val="nil"/>
            </w:tcBorders>
          </w:tcPr>
          <w:p w:rsidR="00BA0840" w:rsidRPr="00003321" w:rsidP="00C900B5" w14:paraId="086E2653" w14:textId="47950D07">
            <w:pPr>
              <w:autoSpaceDE w:val="0"/>
              <w:autoSpaceDN w:val="0"/>
              <w:adjustRightInd w:val="0"/>
              <w:jc w:val="right"/>
              <w:rPr>
                <w:rFonts w:ascii="Arial" w:hAnsi="Arial" w:cs="Arial"/>
                <w:color w:val="000000"/>
                <w:sz w:val="18"/>
                <w:szCs w:val="18"/>
              </w:rPr>
            </w:pPr>
            <w:r>
              <w:rPr>
                <w:rFonts w:ascii="Arial" w:hAnsi="Arial" w:cs="Arial"/>
                <w:color w:val="000000"/>
                <w:sz w:val="18"/>
                <w:szCs w:val="18"/>
              </w:rPr>
              <w:t>0.051</w:t>
            </w:r>
          </w:p>
        </w:tc>
      </w:tr>
      <w:tr w14:paraId="399BE259" w14:textId="77777777" w:rsidTr="006C708B">
        <w:tblPrEx>
          <w:tblW w:w="5000" w:type="pct"/>
          <w:jc w:val="right"/>
          <w:tblLook w:val="04A0"/>
        </w:tblPrEx>
        <w:trPr>
          <w:trHeight w:val="144"/>
          <w:jc w:val="right"/>
        </w:trPr>
        <w:tc>
          <w:tcPr>
            <w:tcW w:w="1964" w:type="pct"/>
            <w:tcBorders>
              <w:top w:val="single" w:sz="4" w:space="0" w:color="auto"/>
              <w:left w:val="nil"/>
              <w:bottom w:val="single" w:sz="12" w:space="0" w:color="auto"/>
              <w:right w:val="nil"/>
            </w:tcBorders>
          </w:tcPr>
          <w:p w:rsidR="00BA0840" w:rsidP="00C900B5" w14:paraId="53A62B33" w14:textId="6F2F012A">
            <w:pPr>
              <w:autoSpaceDE w:val="0"/>
              <w:autoSpaceDN w:val="0"/>
              <w:adjustRightInd w:val="0"/>
              <w:rPr>
                <w:rFonts w:ascii="Arial" w:hAnsi="Arial" w:cs="Arial"/>
                <w:sz w:val="18"/>
                <w:szCs w:val="18"/>
              </w:rPr>
            </w:pPr>
            <w:r>
              <w:rPr>
                <w:rFonts w:ascii="Arial" w:hAnsi="Arial" w:cs="Arial"/>
                <w:sz w:val="18"/>
                <w:szCs w:val="18"/>
              </w:rPr>
              <w:t>Aggressive data collection group response rate</w:t>
            </w:r>
          </w:p>
        </w:tc>
        <w:tc>
          <w:tcPr>
            <w:tcW w:w="758" w:type="pct"/>
            <w:tcBorders>
              <w:top w:val="single" w:sz="4" w:space="0" w:color="auto"/>
              <w:left w:val="nil"/>
              <w:bottom w:val="single" w:sz="12" w:space="0" w:color="auto"/>
              <w:right w:val="nil"/>
            </w:tcBorders>
          </w:tcPr>
          <w:p w:rsidR="00BA0840" w:rsidRPr="00003321" w:rsidP="00C900B5" w14:paraId="28D42C94" w14:textId="0977C364">
            <w:pPr>
              <w:autoSpaceDE w:val="0"/>
              <w:autoSpaceDN w:val="0"/>
              <w:adjustRightInd w:val="0"/>
              <w:jc w:val="right"/>
              <w:rPr>
                <w:rFonts w:ascii="Arial" w:hAnsi="Arial" w:cs="Arial"/>
                <w:color w:val="000000"/>
                <w:sz w:val="18"/>
                <w:szCs w:val="18"/>
              </w:rPr>
            </w:pPr>
            <w:r>
              <w:rPr>
                <w:rFonts w:ascii="Arial" w:hAnsi="Arial" w:cs="Arial"/>
                <w:color w:val="000000"/>
                <w:sz w:val="18"/>
                <w:szCs w:val="18"/>
              </w:rPr>
              <w:t>46</w:t>
            </w:r>
            <w:r w:rsidR="00DC1BF2">
              <w:rPr>
                <w:rFonts w:ascii="Arial" w:hAnsi="Arial" w:cs="Arial"/>
                <w:color w:val="000000"/>
                <w:sz w:val="18"/>
                <w:szCs w:val="18"/>
              </w:rPr>
              <w:t>.</w:t>
            </w:r>
            <w:r w:rsidR="00501675">
              <w:rPr>
                <w:rFonts w:ascii="Arial" w:hAnsi="Arial" w:cs="Arial"/>
                <w:color w:val="000000"/>
                <w:sz w:val="18"/>
                <w:szCs w:val="18"/>
              </w:rPr>
              <w:t>0</w:t>
            </w:r>
          </w:p>
        </w:tc>
        <w:tc>
          <w:tcPr>
            <w:tcW w:w="830" w:type="pct"/>
            <w:tcBorders>
              <w:top w:val="single" w:sz="4" w:space="0" w:color="auto"/>
              <w:left w:val="nil"/>
              <w:bottom w:val="single" w:sz="12" w:space="0" w:color="auto"/>
              <w:right w:val="nil"/>
            </w:tcBorders>
          </w:tcPr>
          <w:p w:rsidR="00BA0840" w:rsidRPr="00003321" w:rsidP="00C900B5" w14:paraId="6EBEF691" w14:textId="5B98C420">
            <w:pPr>
              <w:autoSpaceDE w:val="0"/>
              <w:autoSpaceDN w:val="0"/>
              <w:adjustRightInd w:val="0"/>
              <w:jc w:val="right"/>
              <w:rPr>
                <w:rFonts w:ascii="Arial" w:hAnsi="Arial" w:cs="Arial"/>
                <w:color w:val="000000"/>
                <w:sz w:val="18"/>
                <w:szCs w:val="18"/>
              </w:rPr>
            </w:pPr>
            <w:r>
              <w:rPr>
                <w:rFonts w:ascii="Arial" w:hAnsi="Arial" w:cs="Arial"/>
                <w:color w:val="000000"/>
                <w:sz w:val="18"/>
                <w:szCs w:val="18"/>
              </w:rPr>
              <w:t>35</w:t>
            </w:r>
            <w:r w:rsidR="00DC1BF2">
              <w:rPr>
                <w:rFonts w:ascii="Arial" w:hAnsi="Arial" w:cs="Arial"/>
                <w:color w:val="000000"/>
                <w:sz w:val="18"/>
                <w:szCs w:val="18"/>
              </w:rPr>
              <w:t>.</w:t>
            </w:r>
            <w:r>
              <w:rPr>
                <w:rFonts w:ascii="Arial" w:hAnsi="Arial" w:cs="Arial"/>
                <w:color w:val="000000"/>
                <w:sz w:val="18"/>
                <w:szCs w:val="18"/>
              </w:rPr>
              <w:t>9</w:t>
            </w:r>
          </w:p>
        </w:tc>
        <w:tc>
          <w:tcPr>
            <w:tcW w:w="688" w:type="pct"/>
            <w:tcBorders>
              <w:top w:val="single" w:sz="4" w:space="0" w:color="auto"/>
              <w:left w:val="nil"/>
              <w:bottom w:val="single" w:sz="12" w:space="0" w:color="auto"/>
              <w:right w:val="nil"/>
            </w:tcBorders>
          </w:tcPr>
          <w:p w:rsidR="00BA0840" w:rsidP="00C900B5" w14:paraId="2F05F97C" w14:textId="3F1758E9">
            <w:pPr>
              <w:autoSpaceDE w:val="0"/>
              <w:autoSpaceDN w:val="0"/>
              <w:adjustRightInd w:val="0"/>
              <w:jc w:val="right"/>
              <w:rPr>
                <w:rFonts w:ascii="Arial" w:hAnsi="Arial" w:cs="Arial"/>
                <w:color w:val="000000"/>
                <w:sz w:val="18"/>
                <w:szCs w:val="18"/>
              </w:rPr>
            </w:pPr>
            <w:r>
              <w:rPr>
                <w:rFonts w:ascii="Arial" w:hAnsi="Arial" w:cs="Arial"/>
                <w:color w:val="000000"/>
                <w:sz w:val="18"/>
                <w:szCs w:val="18"/>
              </w:rPr>
              <w:t>7.08</w:t>
            </w:r>
          </w:p>
        </w:tc>
        <w:tc>
          <w:tcPr>
            <w:tcW w:w="760" w:type="pct"/>
            <w:tcBorders>
              <w:top w:val="single" w:sz="4" w:space="0" w:color="auto"/>
              <w:left w:val="nil"/>
              <w:bottom w:val="single" w:sz="12" w:space="0" w:color="auto"/>
              <w:right w:val="nil"/>
            </w:tcBorders>
          </w:tcPr>
          <w:p w:rsidR="00BA0840" w:rsidRPr="00003321" w:rsidP="00C900B5" w14:paraId="1340D79A" w14:textId="6FE2022B">
            <w:pPr>
              <w:autoSpaceDE w:val="0"/>
              <w:autoSpaceDN w:val="0"/>
              <w:adjustRightInd w:val="0"/>
              <w:jc w:val="right"/>
              <w:rPr>
                <w:rFonts w:ascii="Arial" w:hAnsi="Arial" w:cs="Arial"/>
                <w:color w:val="000000"/>
                <w:sz w:val="18"/>
                <w:szCs w:val="18"/>
              </w:rPr>
            </w:pPr>
            <w:r>
              <w:rPr>
                <w:rFonts w:ascii="Arial" w:hAnsi="Arial" w:cs="Arial"/>
                <w:color w:val="000000"/>
                <w:sz w:val="18"/>
                <w:szCs w:val="18"/>
              </w:rPr>
              <w:t>0.008</w:t>
            </w:r>
          </w:p>
        </w:tc>
      </w:tr>
      <w:tr w14:paraId="1A341867" w14:textId="77777777" w:rsidTr="00C900B5">
        <w:tblPrEx>
          <w:tblW w:w="5000" w:type="pct"/>
          <w:jc w:val="right"/>
          <w:tblLook w:val="04A0"/>
        </w:tblPrEx>
        <w:trPr>
          <w:trHeight w:val="144"/>
          <w:jc w:val="right"/>
        </w:trPr>
        <w:tc>
          <w:tcPr>
            <w:tcW w:w="5000" w:type="pct"/>
            <w:gridSpan w:val="5"/>
            <w:tcBorders>
              <w:top w:val="single" w:sz="12" w:space="0" w:color="auto"/>
              <w:left w:val="nil"/>
              <w:bottom w:val="nil"/>
              <w:right w:val="nil"/>
            </w:tcBorders>
          </w:tcPr>
          <w:p w:rsidR="00287221" w:rsidRPr="00003321" w:rsidP="00C900B5" w14:paraId="2C537ECC" w14:textId="49BDDE8F">
            <w:pPr>
              <w:pStyle w:val="tabfigsource"/>
              <w:spacing w:after="0"/>
              <w:rPr>
                <w:rFonts w:cs="Arial"/>
                <w:color w:val="000000"/>
                <w:sz w:val="18"/>
                <w:szCs w:val="18"/>
              </w:rPr>
            </w:pPr>
            <w:r w:rsidRPr="00003321">
              <w:rPr>
                <w:rFonts w:cs="Arial"/>
              </w:rPr>
              <w:t>SOURCE: U.S. Department of Education, National Center for Education Statistics, 2020/2</w:t>
            </w:r>
            <w:r w:rsidR="006505B1">
              <w:rPr>
                <w:rFonts w:cs="Arial"/>
              </w:rPr>
              <w:t>5</w:t>
            </w:r>
            <w:r w:rsidRPr="00003321">
              <w:rPr>
                <w:rFonts w:cs="Arial"/>
              </w:rPr>
              <w:t xml:space="preserve"> Beginning Postsecondary Students (BPS:20/2</w:t>
            </w:r>
            <w:r w:rsidR="006505B1">
              <w:rPr>
                <w:rFonts w:cs="Arial"/>
              </w:rPr>
              <w:t>5</w:t>
            </w:r>
            <w:r w:rsidRPr="00003321">
              <w:rPr>
                <w:rFonts w:cs="Arial"/>
              </w:rPr>
              <w:t>) Field Test.</w:t>
            </w:r>
          </w:p>
        </w:tc>
      </w:tr>
    </w:tbl>
    <w:p w:rsidR="00287221" w:rsidP="00287221" w14:paraId="5B98D50C" w14:textId="77777777">
      <w:pPr>
        <w:rPr>
          <w:rFonts w:cstheme="minorHAnsi"/>
          <w:i/>
          <w:iCs/>
          <w:szCs w:val="24"/>
        </w:rPr>
      </w:pPr>
    </w:p>
    <w:p w:rsidR="00287221" w:rsidRPr="00FD20C4" w:rsidP="00287221" w14:paraId="11321EF4" w14:textId="75F72FD9">
      <w:pPr>
        <w:spacing w:after="120"/>
        <w:rPr>
          <w:rFonts w:cstheme="minorHAnsi"/>
          <w:szCs w:val="24"/>
        </w:rPr>
      </w:pPr>
      <w:r w:rsidRPr="00FD20C4">
        <w:rPr>
          <w:rFonts w:cstheme="minorHAnsi"/>
          <w:i/>
          <w:iCs/>
          <w:szCs w:val="24"/>
        </w:rPr>
        <w:t xml:space="preserve">Representativeness. </w:t>
      </w:r>
      <w:r w:rsidRPr="00FD20C4">
        <w:rPr>
          <w:rFonts w:cstheme="minorHAnsi"/>
          <w:szCs w:val="24"/>
        </w:rPr>
        <w:t xml:space="preserve">Sample representativeness of respondents was investigated at the end of data collection. </w:t>
      </w:r>
      <w:r w:rsidRPr="00FD20C4">
        <w:rPr>
          <w:rFonts w:cstheme="minorHAnsi"/>
          <w:szCs w:val="24"/>
        </w:rPr>
        <w:fldChar w:fldCharType="begin"/>
      </w:r>
      <w:r w:rsidRPr="00FD20C4">
        <w:rPr>
          <w:rFonts w:cstheme="minorHAnsi"/>
          <w:szCs w:val="24"/>
        </w:rPr>
        <w:instrText xml:space="preserve"> REF _Ref79565532 \h  \* MERGEFORMAT </w:instrText>
      </w:r>
      <w:r w:rsidRPr="00FD20C4">
        <w:rPr>
          <w:rFonts w:cstheme="minorHAnsi"/>
          <w:szCs w:val="24"/>
        </w:rPr>
        <w:fldChar w:fldCharType="separate"/>
      </w:r>
      <w:r w:rsidRPr="00A3046F" w:rsidR="00A3046F">
        <w:rPr>
          <w:szCs w:val="24"/>
        </w:rPr>
        <w:t xml:space="preserve">Table </w:t>
      </w:r>
      <w:r w:rsidRPr="00A3046F" w:rsidR="00A3046F">
        <w:rPr>
          <w:noProof/>
          <w:szCs w:val="24"/>
        </w:rPr>
        <w:t>3</w:t>
      </w:r>
      <w:r w:rsidRPr="00FD20C4">
        <w:rPr>
          <w:rFonts w:cstheme="minorHAnsi"/>
          <w:szCs w:val="24"/>
        </w:rPr>
        <w:fldChar w:fldCharType="end"/>
      </w:r>
      <w:r w:rsidRPr="00FD20C4">
        <w:rPr>
          <w:rFonts w:cstheme="minorHAnsi"/>
          <w:szCs w:val="24"/>
        </w:rPr>
        <w:t xml:space="preserve"> below displays sample composition for each of respondent characteristic by experimental condition. </w:t>
      </w:r>
    </w:p>
    <w:p w:rsidR="00DC5E57" w:rsidP="00157007" w14:paraId="651A588D" w14:textId="01BB11ED">
      <w:pPr>
        <w:pStyle w:val="BodyText"/>
      </w:pPr>
      <w:bookmarkStart w:id="34" w:name="_Ref79565532"/>
      <w:r>
        <w:t xml:space="preserve">The percentage of </w:t>
      </w:r>
      <w:r w:rsidRPr="007B1B71" w:rsidR="00157007">
        <w:t>BPS:20/2</w:t>
      </w:r>
      <w:r w:rsidR="00157007">
        <w:t>5</w:t>
      </w:r>
      <w:r w:rsidRPr="007B1B71" w:rsidR="00157007">
        <w:t xml:space="preserve"> field test respondents </w:t>
      </w:r>
      <w:r>
        <w:t xml:space="preserve">who identified as female did not </w:t>
      </w:r>
      <w:r w:rsidR="00513406">
        <w:t xml:space="preserve">significantly </w:t>
      </w:r>
      <w:r>
        <w:t xml:space="preserve">differ across </w:t>
      </w:r>
      <w:r w:rsidR="00391A80">
        <w:t xml:space="preserve">the </w:t>
      </w:r>
      <w:r w:rsidR="00705890">
        <w:t>no</w:t>
      </w:r>
      <w:r w:rsidR="00391A80">
        <w:t xml:space="preserve"> incentive </w:t>
      </w:r>
      <w:r>
        <w:t xml:space="preserve">control </w:t>
      </w:r>
      <w:r w:rsidR="008056D8">
        <w:t>group (</w:t>
      </w:r>
      <w:r w:rsidRPr="002F3343">
        <w:t>61.2</w:t>
      </w:r>
      <w:r w:rsidR="00126A82">
        <w:t xml:space="preserve"> percent) </w:t>
      </w:r>
      <w:r w:rsidR="00705890">
        <w:t>and the</w:t>
      </w:r>
      <w:r w:rsidR="00513406">
        <w:t xml:space="preserve"> </w:t>
      </w:r>
      <w:r w:rsidR="00505CBB">
        <w:t>$5</w:t>
      </w:r>
      <w:r w:rsidR="00391A80">
        <w:t xml:space="preserve"> incentive </w:t>
      </w:r>
      <w:r w:rsidR="00513406">
        <w:t>treatment group (</w:t>
      </w:r>
      <w:r w:rsidRPr="002F3343">
        <w:t>59.4</w:t>
      </w:r>
      <w:r w:rsidR="00513406">
        <w:t xml:space="preserve"> percent; </w:t>
      </w:r>
      <w:r w:rsidRPr="007B1B71" w:rsidR="00513406">
        <w:t>χ</w:t>
      </w:r>
      <w:r w:rsidRPr="007B1B71" w:rsidR="00513406">
        <w:rPr>
          <w:vertAlign w:val="superscript"/>
        </w:rPr>
        <w:t>2</w:t>
      </w:r>
      <w:r w:rsidRPr="007B1B71" w:rsidR="00513406">
        <w:t xml:space="preserve"> = </w:t>
      </w:r>
      <w:r w:rsidRPr="002F3343">
        <w:t>0.61</w:t>
      </w:r>
      <w:r w:rsidRPr="007B1B71" w:rsidR="00513406">
        <w:t xml:space="preserve">, </w:t>
      </w:r>
      <w:r w:rsidRPr="007B1B71" w:rsidR="00513406">
        <w:rPr>
          <w:i/>
          <w:iCs/>
        </w:rPr>
        <w:t>p</w:t>
      </w:r>
      <w:r w:rsidRPr="007B1B71" w:rsidR="00513406">
        <w:t xml:space="preserve"> =</w:t>
      </w:r>
      <w:r w:rsidR="00513406">
        <w:t xml:space="preserve"> </w:t>
      </w:r>
      <w:r w:rsidRPr="002F3343">
        <w:t>0.43</w:t>
      </w:r>
      <w:r w:rsidR="00513406">
        <w:t xml:space="preserve">). </w:t>
      </w:r>
      <w:r>
        <w:t>Similarly, the percentage of White responden</w:t>
      </w:r>
      <w:r w:rsidR="00F80F00">
        <w:t>ts in the control group (59.3 percent) was not significantly different from the percentage of White respondents in the treatment group (61</w:t>
      </w:r>
      <w:r w:rsidRPr="002F3343" w:rsidR="00F80F00">
        <w:t>.</w:t>
      </w:r>
      <w:r w:rsidR="00F80F00">
        <w:t xml:space="preserve">1 percent; </w:t>
      </w:r>
      <w:r w:rsidRPr="007B1B71" w:rsidR="00F80F00">
        <w:t>χ</w:t>
      </w:r>
      <w:r w:rsidRPr="007B1B71" w:rsidR="00F80F00">
        <w:rPr>
          <w:vertAlign w:val="superscript"/>
        </w:rPr>
        <w:t>2</w:t>
      </w:r>
      <w:r w:rsidRPr="007B1B71" w:rsidR="00F80F00">
        <w:t xml:space="preserve"> = </w:t>
      </w:r>
      <w:r w:rsidRPr="002F3343" w:rsidR="00F80F00">
        <w:t>0.6</w:t>
      </w:r>
      <w:r w:rsidR="00F80F00">
        <w:t>0</w:t>
      </w:r>
      <w:r w:rsidRPr="007B1B71" w:rsidR="00F80F00">
        <w:t xml:space="preserve">, </w:t>
      </w:r>
      <w:r w:rsidRPr="007B1B71" w:rsidR="00F80F00">
        <w:rPr>
          <w:i/>
          <w:iCs/>
        </w:rPr>
        <w:t>p</w:t>
      </w:r>
      <w:r w:rsidRPr="007B1B71" w:rsidR="00F80F00">
        <w:t xml:space="preserve"> =</w:t>
      </w:r>
      <w:r w:rsidR="00F80F00">
        <w:t xml:space="preserve"> </w:t>
      </w:r>
      <w:r w:rsidRPr="002F3343" w:rsidR="00F80F00">
        <w:t>0.4</w:t>
      </w:r>
      <w:r w:rsidR="00F80F00">
        <w:t>4)</w:t>
      </w:r>
      <w:r w:rsidR="00A3593F">
        <w:t xml:space="preserve">, nor was there a statistically significant difference between the percentage of </w:t>
      </w:r>
      <w:r w:rsidRPr="007B1B71" w:rsidR="00A3593F">
        <w:t>Hispanic or Latino respondents</w:t>
      </w:r>
      <w:r w:rsidR="00A3593F">
        <w:t xml:space="preserve"> in the control group (20.1 percent) and the treatment group (21</w:t>
      </w:r>
      <w:r w:rsidRPr="002F3343" w:rsidR="00A3593F">
        <w:t>.</w:t>
      </w:r>
      <w:r w:rsidR="00A3593F">
        <w:t xml:space="preserve">2 percent; </w:t>
      </w:r>
      <w:r w:rsidRPr="007B1B71" w:rsidR="00A3593F">
        <w:t>χ</w:t>
      </w:r>
      <w:r w:rsidRPr="007B1B71" w:rsidR="00A3593F">
        <w:rPr>
          <w:vertAlign w:val="superscript"/>
        </w:rPr>
        <w:t>2</w:t>
      </w:r>
      <w:r w:rsidRPr="007B1B71" w:rsidR="00A3593F">
        <w:t xml:space="preserve"> = </w:t>
      </w:r>
      <w:r w:rsidRPr="002F3343" w:rsidR="00A3593F">
        <w:t>0.</w:t>
      </w:r>
      <w:r w:rsidR="00A3593F">
        <w:t>89</w:t>
      </w:r>
      <w:r w:rsidRPr="007B1B71" w:rsidR="00A3593F">
        <w:t xml:space="preserve">, </w:t>
      </w:r>
      <w:r w:rsidRPr="007B1B71" w:rsidR="00A3593F">
        <w:rPr>
          <w:i/>
          <w:iCs/>
        </w:rPr>
        <w:t>p</w:t>
      </w:r>
      <w:r w:rsidRPr="007B1B71" w:rsidR="00A3593F">
        <w:t xml:space="preserve"> =</w:t>
      </w:r>
      <w:r w:rsidR="00A3593F">
        <w:t xml:space="preserve"> </w:t>
      </w:r>
      <w:r w:rsidRPr="002F3343" w:rsidR="00A3593F">
        <w:t>0.</w:t>
      </w:r>
      <w:r w:rsidR="00A3593F">
        <w:t>35)</w:t>
      </w:r>
    </w:p>
    <w:p w:rsidR="00CA2DD0" w:rsidP="00157007" w14:paraId="2D1CB268" w14:textId="612592CF">
      <w:pPr>
        <w:pStyle w:val="BodyText"/>
      </w:pPr>
      <w:r w:rsidRPr="007B1B71">
        <w:t xml:space="preserve">There was </w:t>
      </w:r>
      <w:r w:rsidR="00554803">
        <w:t xml:space="preserve">also </w:t>
      </w:r>
      <w:r w:rsidRPr="007B1B71">
        <w:t xml:space="preserve">no significant difference between the percentage of respondents from public institutions in either the </w:t>
      </w:r>
      <w:r w:rsidR="00554803">
        <w:t>control</w:t>
      </w:r>
      <w:r w:rsidRPr="007B1B71">
        <w:t xml:space="preserve"> group (</w:t>
      </w:r>
      <w:r>
        <w:t>58.3 percent</w:t>
      </w:r>
      <w:r w:rsidRPr="007B1B71">
        <w:t xml:space="preserve">) or the </w:t>
      </w:r>
      <w:r w:rsidR="002D66D2">
        <w:t>treatment</w:t>
      </w:r>
      <w:r w:rsidRPr="007B1B71">
        <w:t xml:space="preserve"> group (</w:t>
      </w:r>
      <w:r>
        <w:t xml:space="preserve">60.5 percent; </w:t>
      </w:r>
      <w:r w:rsidRPr="007B1B71">
        <w:t>χ</w:t>
      </w:r>
      <w:r w:rsidRPr="007B1B71">
        <w:rPr>
          <w:vertAlign w:val="superscript"/>
        </w:rPr>
        <w:t>2</w:t>
      </w:r>
      <w:r w:rsidRPr="007B1B71">
        <w:t xml:space="preserve"> = 0.</w:t>
      </w:r>
      <w:r>
        <w:t>85</w:t>
      </w:r>
      <w:r w:rsidRPr="007B1B71">
        <w:t xml:space="preserve">, </w:t>
      </w:r>
      <w:r w:rsidRPr="007B1B71">
        <w:rPr>
          <w:i/>
          <w:iCs/>
        </w:rPr>
        <w:t>p</w:t>
      </w:r>
      <w:r w:rsidRPr="007B1B71">
        <w:t xml:space="preserve"> = 0.</w:t>
      </w:r>
      <w:r>
        <w:t>36</w:t>
      </w:r>
      <w:r w:rsidRPr="007B1B71">
        <w:t xml:space="preserve">). </w:t>
      </w:r>
      <w:r>
        <w:t xml:space="preserve">The same was also true for </w:t>
      </w:r>
      <w:r w:rsidR="00DE26D9">
        <w:t>respondents from private nonprofit institutions (</w:t>
      </w:r>
      <w:r w:rsidRPr="007B1B71" w:rsidR="00DE26D9">
        <w:t>χ</w:t>
      </w:r>
      <w:r w:rsidRPr="007B1B71" w:rsidR="00DE26D9">
        <w:rPr>
          <w:vertAlign w:val="superscript"/>
        </w:rPr>
        <w:t>2</w:t>
      </w:r>
      <w:r w:rsidRPr="007B1B71" w:rsidR="00DE26D9">
        <w:t xml:space="preserve"> = 0.</w:t>
      </w:r>
      <w:r w:rsidR="00216772">
        <w:t>29</w:t>
      </w:r>
      <w:r w:rsidRPr="007B1B71" w:rsidR="00DE26D9">
        <w:t xml:space="preserve">, </w:t>
      </w:r>
      <w:r w:rsidRPr="007B1B71" w:rsidR="00DE26D9">
        <w:rPr>
          <w:i/>
          <w:iCs/>
        </w:rPr>
        <w:t>p</w:t>
      </w:r>
      <w:r w:rsidRPr="007B1B71" w:rsidR="00DE26D9">
        <w:t xml:space="preserve"> = 0.</w:t>
      </w:r>
      <w:r w:rsidR="00216772">
        <w:t>59</w:t>
      </w:r>
      <w:r w:rsidR="00DE26D9">
        <w:t>) and private for-profit institutions (</w:t>
      </w:r>
      <w:r w:rsidRPr="007B1B71" w:rsidR="00DE26D9">
        <w:t>χ</w:t>
      </w:r>
      <w:r w:rsidRPr="007B1B71" w:rsidR="00DE26D9">
        <w:rPr>
          <w:vertAlign w:val="superscript"/>
        </w:rPr>
        <w:t>2</w:t>
      </w:r>
      <w:r w:rsidRPr="007B1B71" w:rsidR="00DE26D9">
        <w:t xml:space="preserve"> = 0.</w:t>
      </w:r>
      <w:r w:rsidR="00216772">
        <w:t>39</w:t>
      </w:r>
      <w:r w:rsidRPr="007B1B71" w:rsidR="00DE26D9">
        <w:t xml:space="preserve">, </w:t>
      </w:r>
      <w:r w:rsidRPr="007B1B71" w:rsidR="00DE26D9">
        <w:rPr>
          <w:i/>
          <w:iCs/>
        </w:rPr>
        <w:t>p</w:t>
      </w:r>
      <w:r w:rsidRPr="007B1B71" w:rsidR="00DE26D9">
        <w:t xml:space="preserve"> = 0.</w:t>
      </w:r>
      <w:r w:rsidR="00216772">
        <w:t>53</w:t>
      </w:r>
      <w:r w:rsidR="00DE26D9">
        <w:t>).</w:t>
      </w:r>
    </w:p>
    <w:p w:rsidR="00157007" w:rsidRPr="007B1B71" w:rsidP="00DE26D9" w14:paraId="79F0A3E8" w14:textId="26F399C3">
      <w:pPr>
        <w:pStyle w:val="BodyText"/>
      </w:pPr>
      <w:r w:rsidRPr="007B1B71">
        <w:t xml:space="preserve">Nonresponse bias tended to be lower in the </w:t>
      </w:r>
      <w:r w:rsidR="005A59B7">
        <w:t>$5 incentive treatment</w:t>
      </w:r>
      <w:r w:rsidRPr="007B1B71">
        <w:t xml:space="preserve"> group (last column of </w:t>
      </w:r>
      <w:r>
        <w:t xml:space="preserve">table </w:t>
      </w:r>
      <w:r w:rsidR="005A59B7">
        <w:t>3</w:t>
      </w:r>
      <w:r w:rsidRPr="007B1B71">
        <w:t>)</w:t>
      </w:r>
      <w:r w:rsidR="005A59B7">
        <w:t>, with</w:t>
      </w:r>
      <w:r w:rsidRPr="007B1B71">
        <w:t xml:space="preserve"> </w:t>
      </w:r>
      <w:r w:rsidR="005A59B7">
        <w:t xml:space="preserve">four of the six </w:t>
      </w:r>
      <w:r w:rsidRPr="007B1B71">
        <w:t xml:space="preserve">indicators </w:t>
      </w:r>
      <w:r w:rsidR="005A59B7">
        <w:t>demonstrating</w:t>
      </w:r>
      <w:r w:rsidRPr="007B1B71">
        <w:t xml:space="preserve"> smaller biases with the </w:t>
      </w:r>
      <w:r w:rsidR="005A59B7">
        <w:t>treatment</w:t>
      </w:r>
      <w:r>
        <w:t xml:space="preserve"> group</w:t>
      </w:r>
      <w:r w:rsidRPr="007B1B71">
        <w:t xml:space="preserve"> (ranging from 0.</w:t>
      </w:r>
      <w:r w:rsidR="000A1285">
        <w:t>11</w:t>
      </w:r>
      <w:r w:rsidRPr="007B1B71">
        <w:t xml:space="preserve"> to </w:t>
      </w:r>
      <w:r w:rsidR="00C651E1">
        <w:t>1</w:t>
      </w:r>
      <w:r w:rsidRPr="007B1B71">
        <w:t>.</w:t>
      </w:r>
      <w:r w:rsidR="00C651E1">
        <w:t>37</w:t>
      </w:r>
      <w:r w:rsidRPr="007B1B71">
        <w:t>). However, the magnitude</w:t>
      </w:r>
      <w:r w:rsidR="001C6AF5">
        <w:t>s</w:t>
      </w:r>
      <w:r w:rsidRPr="007B1B71">
        <w:t xml:space="preserve"> of these biases were similar across the control and </w:t>
      </w:r>
      <w:r w:rsidR="002813A0">
        <w:t>treatment</w:t>
      </w:r>
      <w:r w:rsidRPr="007B1B71">
        <w:t xml:space="preserve"> groups for all indicators (average difference </w:t>
      </w:r>
      <w:r w:rsidR="002813A0">
        <w:t xml:space="preserve">of absolute bias </w:t>
      </w:r>
      <w:r w:rsidRPr="007B1B71">
        <w:t>across the</w:t>
      </w:r>
      <w:r w:rsidR="00236751">
        <w:t xml:space="preserve"> </w:t>
      </w:r>
      <w:r w:rsidR="00BC4E64">
        <w:t>six</w:t>
      </w:r>
      <w:r w:rsidR="00236751">
        <w:t xml:space="preserve"> </w:t>
      </w:r>
      <w:r w:rsidRPr="007B1B71">
        <w:t xml:space="preserve">indicators = </w:t>
      </w:r>
      <w:r w:rsidR="00BC4E64">
        <w:t>0</w:t>
      </w:r>
      <w:r w:rsidRPr="007B1B71">
        <w:t>.</w:t>
      </w:r>
      <w:r w:rsidR="00BC4E64">
        <w:t>98</w:t>
      </w:r>
      <w:r w:rsidRPr="007B1B71">
        <w:t>).</w:t>
      </w:r>
    </w:p>
    <w:p w:rsidR="00157007" w:rsidRPr="007B1B71" w:rsidP="00157007" w14:paraId="1FCCF0B2" w14:textId="60E90E7A">
      <w:pPr>
        <w:pStyle w:val="BodyText"/>
      </w:pPr>
      <w:r w:rsidRPr="007B1B71">
        <w:t>Taken together, these results indicate that offering a</w:t>
      </w:r>
      <w:r w:rsidR="00BC4E64">
        <w:t xml:space="preserve"> $5 incentive for completing the address confirmation questions</w:t>
      </w:r>
      <w:r w:rsidRPr="007B1B71">
        <w:t xml:space="preserve"> encouraged response from the same types of sample members as </w:t>
      </w:r>
      <w:r>
        <w:t xml:space="preserve">did </w:t>
      </w:r>
      <w:r w:rsidRPr="007B1B71">
        <w:t>the baseline incentive alone.</w:t>
      </w:r>
    </w:p>
    <w:p w:rsidR="00287221" w:rsidP="00287221" w14:paraId="0440EC91" w14:textId="1F4890D1">
      <w:pPr>
        <w:pStyle w:val="TableTitle"/>
      </w:pPr>
      <w:bookmarkStart w:id="35" w:name="_Toc174628206"/>
      <w:r>
        <w:t xml:space="preserve">Table </w:t>
      </w:r>
      <w:r>
        <w:fldChar w:fldCharType="begin"/>
      </w:r>
      <w:r>
        <w:instrText xml:space="preserve"> SEQ Table \* ARABIC </w:instrText>
      </w:r>
      <w:r>
        <w:fldChar w:fldCharType="separate"/>
      </w:r>
      <w:r>
        <w:rPr>
          <w:noProof/>
        </w:rPr>
        <w:t>3</w:t>
      </w:r>
      <w:r>
        <w:fldChar w:fldCharType="end"/>
      </w:r>
      <w:bookmarkEnd w:id="34"/>
      <w:r>
        <w:t xml:space="preserve">. </w:t>
      </w:r>
      <w:r w:rsidR="00F83AF1">
        <w:t>S</w:t>
      </w:r>
      <w:r>
        <w:t xml:space="preserve">ample composition by </w:t>
      </w:r>
      <w:r w:rsidR="00315C2E">
        <w:t xml:space="preserve">address confirmation incentive </w:t>
      </w:r>
      <w:r w:rsidRPr="00FD5576" w:rsidR="00315C2E">
        <w:t>experimental condition</w:t>
      </w:r>
      <w:bookmarkEnd w:id="35"/>
    </w:p>
    <w:tbl>
      <w:tblPr>
        <w:tblStyle w:val="TableGridNCES1"/>
        <w:tblW w:w="4773" w:type="pct"/>
        <w:tblLayout w:type="fixed"/>
        <w:tblLook w:val="04A0"/>
      </w:tblPr>
      <w:tblGrid>
        <w:gridCol w:w="2736"/>
        <w:gridCol w:w="1365"/>
        <w:gridCol w:w="1440"/>
        <w:gridCol w:w="1152"/>
        <w:gridCol w:w="1450"/>
        <w:gridCol w:w="1892"/>
      </w:tblGrid>
      <w:tr w14:paraId="7A97813D" w14:textId="77777777" w:rsidTr="00EC79A0">
        <w:tblPrEx>
          <w:tblW w:w="4773" w:type="pct"/>
          <w:tblLayout w:type="fixed"/>
          <w:tblLook w:val="04A0"/>
        </w:tblPrEx>
        <w:trPr>
          <w:tblHeader/>
        </w:trPr>
        <w:tc>
          <w:tcPr>
            <w:tcW w:w="2736" w:type="dxa"/>
          </w:tcPr>
          <w:p w:rsidR="00EE5767" w:rsidRPr="007B1B71" w:rsidP="00C900B5" w14:paraId="6CD81E60" w14:textId="77777777">
            <w:pPr>
              <w:pStyle w:val="Tabletext8pt"/>
            </w:pPr>
          </w:p>
        </w:tc>
        <w:tc>
          <w:tcPr>
            <w:tcW w:w="1365" w:type="dxa"/>
          </w:tcPr>
          <w:p w:rsidR="00EE5767" w:rsidRPr="007B1B71" w:rsidP="00C900B5" w14:paraId="3A123945" w14:textId="77777777">
            <w:pPr>
              <w:pStyle w:val="Tabletext8pt"/>
            </w:pPr>
          </w:p>
        </w:tc>
        <w:tc>
          <w:tcPr>
            <w:tcW w:w="1440" w:type="dxa"/>
          </w:tcPr>
          <w:p w:rsidR="00EE5767" w:rsidP="00C900B5" w14:paraId="682BD139" w14:textId="77777777">
            <w:pPr>
              <w:pStyle w:val="Tabletext8pt"/>
            </w:pPr>
          </w:p>
        </w:tc>
        <w:tc>
          <w:tcPr>
            <w:tcW w:w="2602" w:type="dxa"/>
            <w:gridSpan w:val="2"/>
          </w:tcPr>
          <w:p w:rsidR="00EE5767" w:rsidRPr="007B1B71" w:rsidP="00C900B5" w14:paraId="23538639" w14:textId="47D076AF">
            <w:pPr>
              <w:pStyle w:val="Tabletext8pt"/>
            </w:pPr>
            <w:r>
              <w:t xml:space="preserve">Test of </w:t>
            </w:r>
            <w:r w:rsidR="003A26FC">
              <w:t>independence</w:t>
            </w:r>
            <w:r w:rsidR="00D76856">
              <w:t xml:space="preserve"> </w:t>
            </w:r>
            <w:r w:rsidR="003A26FC">
              <w:t>for</w:t>
            </w:r>
            <w:r w:rsidR="00CD7B2A">
              <w:t xml:space="preserve"> sample </w:t>
            </w:r>
            <w:r w:rsidR="00AA342C">
              <w:t>c</w:t>
            </w:r>
            <w:r w:rsidR="00D76856">
              <w:t>haracteristic across</w:t>
            </w:r>
            <w:r w:rsidR="009923BC">
              <w:t xml:space="preserve"> treatment and control</w:t>
            </w:r>
            <w:r w:rsidR="00C91EDC">
              <w:t xml:space="preserve"> </w:t>
            </w:r>
            <w:r w:rsidR="009923BC">
              <w:t>group</w:t>
            </w:r>
            <w:r w:rsidR="00CD7B2A">
              <w:t xml:space="preserve"> respondents</w:t>
            </w:r>
            <w:r>
              <w:t xml:space="preserve"> </w:t>
            </w:r>
          </w:p>
        </w:tc>
        <w:tc>
          <w:tcPr>
            <w:tcW w:w="1892" w:type="dxa"/>
          </w:tcPr>
          <w:p w:rsidR="00EE5767" w:rsidRPr="007B1B71" w:rsidP="00C900B5" w14:paraId="35362E35" w14:textId="6523A3E5">
            <w:pPr>
              <w:pStyle w:val="Tabletext8pt"/>
            </w:pPr>
          </w:p>
        </w:tc>
      </w:tr>
      <w:tr w14:paraId="5992E6F5" w14:textId="77777777" w:rsidTr="00EC79A0">
        <w:tblPrEx>
          <w:tblW w:w="4773" w:type="pct"/>
          <w:tblLayout w:type="fixed"/>
          <w:tblLook w:val="04A0"/>
        </w:tblPrEx>
        <w:trPr>
          <w:tblHeader/>
        </w:trPr>
        <w:tc>
          <w:tcPr>
            <w:tcW w:w="2736" w:type="dxa"/>
            <w:hideMark/>
          </w:tcPr>
          <w:p w:rsidR="00EE5767" w:rsidRPr="007B1B71" w:rsidP="00C900B5" w14:paraId="6BB8CF84" w14:textId="77777777">
            <w:pPr>
              <w:pStyle w:val="Tabletext8pt"/>
              <w:rPr>
                <w:b w:val="0"/>
              </w:rPr>
            </w:pPr>
            <w:r w:rsidRPr="007B1B71">
              <w:t> </w:t>
            </w:r>
            <w:r>
              <w:t>Sample member characteristic</w:t>
            </w:r>
          </w:p>
        </w:tc>
        <w:tc>
          <w:tcPr>
            <w:tcW w:w="1365" w:type="dxa"/>
            <w:hideMark/>
          </w:tcPr>
          <w:p w:rsidR="00C70009" w:rsidRPr="00C70009" w:rsidP="00C70009" w14:paraId="723B555F" w14:textId="77777777">
            <w:pPr>
              <w:keepNext/>
              <w:rPr>
                <w:rFonts w:ascii="Arial" w:hAnsi="Arial" w:cs="Arial"/>
                <w:b w:val="0"/>
                <w:sz w:val="16"/>
                <w:szCs w:val="16"/>
              </w:rPr>
            </w:pPr>
            <w:r w:rsidRPr="00C70009">
              <w:rPr>
                <w:rFonts w:ascii="Arial" w:hAnsi="Arial" w:cs="Arial"/>
                <w:sz w:val="16"/>
                <w:szCs w:val="16"/>
              </w:rPr>
              <w:t>Control Group</w:t>
            </w:r>
          </w:p>
          <w:p w:rsidR="00EE5767" w:rsidRPr="00C70009" w:rsidP="00C70009" w14:paraId="2BFDFB15" w14:textId="6946FF5E">
            <w:pPr>
              <w:pStyle w:val="Tabletext8pt"/>
              <w:rPr>
                <w:b w:val="0"/>
                <w:szCs w:val="16"/>
              </w:rPr>
            </w:pPr>
            <w:r w:rsidRPr="00C70009">
              <w:rPr>
                <w:b w:val="0"/>
                <w:szCs w:val="16"/>
              </w:rPr>
              <w:t>No incentive for address confirmation</w:t>
            </w:r>
          </w:p>
        </w:tc>
        <w:tc>
          <w:tcPr>
            <w:tcW w:w="1440" w:type="dxa"/>
            <w:hideMark/>
          </w:tcPr>
          <w:p w:rsidR="00C70009" w:rsidRPr="00C70009" w:rsidP="00C70009" w14:paraId="1BE41422" w14:textId="77777777">
            <w:pPr>
              <w:keepNext/>
              <w:rPr>
                <w:rFonts w:ascii="Arial" w:hAnsi="Arial" w:cs="Arial"/>
                <w:b w:val="0"/>
                <w:sz w:val="16"/>
                <w:szCs w:val="16"/>
              </w:rPr>
            </w:pPr>
            <w:r w:rsidRPr="00C70009">
              <w:rPr>
                <w:rFonts w:ascii="Arial" w:hAnsi="Arial" w:cs="Arial"/>
                <w:sz w:val="16"/>
                <w:szCs w:val="16"/>
              </w:rPr>
              <w:t>Treatment Group</w:t>
            </w:r>
          </w:p>
          <w:p w:rsidR="00C70009" w:rsidRPr="00C70009" w:rsidP="00C70009" w14:paraId="17E51E4B" w14:textId="77777777">
            <w:pPr>
              <w:autoSpaceDE w:val="0"/>
              <w:autoSpaceDN w:val="0"/>
              <w:adjustRightInd w:val="0"/>
              <w:rPr>
                <w:rFonts w:ascii="Arial" w:hAnsi="Arial" w:cs="Arial"/>
                <w:b w:val="0"/>
                <w:sz w:val="16"/>
                <w:szCs w:val="16"/>
              </w:rPr>
            </w:pPr>
            <w:r w:rsidRPr="00C70009">
              <w:rPr>
                <w:rFonts w:ascii="Arial" w:hAnsi="Arial" w:cs="Arial"/>
                <w:b w:val="0"/>
                <w:sz w:val="16"/>
                <w:szCs w:val="16"/>
              </w:rPr>
              <w:t xml:space="preserve">$5 for </w:t>
            </w:r>
          </w:p>
          <w:p w:rsidR="00EE5767" w:rsidRPr="00C70009" w:rsidP="00C70009" w14:paraId="49961F7B" w14:textId="4BC7D0BA">
            <w:pPr>
              <w:pStyle w:val="Tabletext8pt"/>
              <w:rPr>
                <w:szCs w:val="16"/>
              </w:rPr>
            </w:pPr>
            <w:r w:rsidRPr="00C70009">
              <w:rPr>
                <w:b w:val="0"/>
                <w:szCs w:val="16"/>
              </w:rPr>
              <w:t>address confirmation</w:t>
            </w:r>
          </w:p>
        </w:tc>
        <w:tc>
          <w:tcPr>
            <w:tcW w:w="1152" w:type="dxa"/>
          </w:tcPr>
          <w:p w:rsidR="00EE5767" w:rsidRPr="00D76856" w:rsidP="00267008" w14:paraId="190EC837" w14:textId="44CA6843">
            <w:pPr>
              <w:pStyle w:val="Tabletext8pt"/>
              <w:rPr>
                <w:b w:val="0"/>
                <w:bCs/>
              </w:rPr>
            </w:pPr>
            <m:oMath>
              <m:r>
                <m:rPr>
                  <m:sty m:val="bi"/>
                </m:rPr>
                <w:rPr>
                  <w:rFonts w:ascii="Cambria Math" w:hAnsi="Cambria Math"/>
                  <w:sz w:val="18"/>
                  <w:szCs w:val="18"/>
                </w:rPr>
                <m:t>χ</m:t>
              </m:r>
            </m:oMath>
            <w:r w:rsidRPr="00D76856">
              <w:rPr>
                <w:b w:val="0"/>
                <w:bCs/>
                <w:sz w:val="18"/>
                <w:szCs w:val="18"/>
                <w:vertAlign w:val="superscript"/>
              </w:rPr>
              <w:t xml:space="preserve">2 </w:t>
            </w:r>
          </w:p>
        </w:tc>
        <w:tc>
          <w:tcPr>
            <w:tcW w:w="1450" w:type="dxa"/>
          </w:tcPr>
          <w:p w:rsidR="00EE5767" w:rsidRPr="00D76856" w:rsidP="00C900B5" w14:paraId="0A4EE688" w14:textId="0DA0560D">
            <w:pPr>
              <w:pStyle w:val="Tabletext8pt"/>
              <w:rPr>
                <w:b w:val="0"/>
                <w:bCs/>
              </w:rPr>
            </w:pPr>
            <w:r w:rsidRPr="00D76856">
              <w:rPr>
                <w:b w:val="0"/>
                <w:bCs/>
                <w:i/>
                <w:iCs/>
                <w:sz w:val="18"/>
                <w:szCs w:val="18"/>
              </w:rPr>
              <w:t>p</w:t>
            </w:r>
            <w:r w:rsidRPr="00D76856">
              <w:rPr>
                <w:b w:val="0"/>
                <w:bCs/>
                <w:sz w:val="18"/>
                <w:szCs w:val="18"/>
              </w:rPr>
              <w:t>-value</w:t>
            </w:r>
          </w:p>
        </w:tc>
        <w:tc>
          <w:tcPr>
            <w:tcW w:w="1892" w:type="dxa"/>
            <w:hideMark/>
          </w:tcPr>
          <w:p w:rsidR="00EE5767" w:rsidRPr="007B1B71" w:rsidP="00C900B5" w14:paraId="1F429D22" w14:textId="10F7B7B2">
            <w:pPr>
              <w:pStyle w:val="Tabletext8pt"/>
            </w:pPr>
            <w:r w:rsidRPr="007B1B71">
              <w:t>Difference in |Bias|</w:t>
            </w:r>
            <w:r w:rsidRPr="007B1B71">
              <w:br/>
            </w:r>
            <w:r>
              <w:t>Treatment</w:t>
            </w:r>
            <w:r w:rsidRPr="007B1B71">
              <w:t xml:space="preserve"> - </w:t>
            </w:r>
            <w:r>
              <w:t>C</w:t>
            </w:r>
            <w:r w:rsidRPr="007B1B71">
              <w:t>ontrol</w:t>
            </w:r>
          </w:p>
        </w:tc>
      </w:tr>
      <w:tr w14:paraId="26DEE0A7" w14:textId="77777777" w:rsidTr="00EC79A0">
        <w:tblPrEx>
          <w:tblW w:w="4773" w:type="pct"/>
          <w:tblLayout w:type="fixed"/>
          <w:tblLook w:val="04A0"/>
        </w:tblPrEx>
        <w:tc>
          <w:tcPr>
            <w:tcW w:w="2736" w:type="dxa"/>
          </w:tcPr>
          <w:p w:rsidR="00EE5767" w:rsidRPr="007B1B71" w:rsidP="00C900B5" w14:paraId="777E8261" w14:textId="77777777">
            <w:pPr>
              <w:pStyle w:val="Tabletext8ptcol1subhead"/>
            </w:pPr>
            <w:r w:rsidRPr="007B1B71">
              <w:rPr>
                <w:b/>
                <w:bCs/>
              </w:rPr>
              <w:t>Female</w:t>
            </w:r>
            <w:r w:rsidRPr="007B1B71">
              <w:t xml:space="preserve"> (in percent)</w:t>
            </w:r>
          </w:p>
        </w:tc>
        <w:tc>
          <w:tcPr>
            <w:tcW w:w="1365" w:type="dxa"/>
          </w:tcPr>
          <w:p w:rsidR="00EE5767" w:rsidRPr="007B1B71" w:rsidP="00C900B5" w14:paraId="4B5CAC83" w14:textId="77777777">
            <w:pPr>
              <w:pStyle w:val="Tabletext8ptdecimalalign"/>
              <w:jc w:val="left"/>
            </w:pPr>
          </w:p>
        </w:tc>
        <w:tc>
          <w:tcPr>
            <w:tcW w:w="1440" w:type="dxa"/>
          </w:tcPr>
          <w:p w:rsidR="00EE5767" w:rsidRPr="007B1B71" w:rsidP="00C900B5" w14:paraId="3D52FF5F" w14:textId="77777777">
            <w:pPr>
              <w:pStyle w:val="Tabletext8ptdecimalalign"/>
              <w:jc w:val="left"/>
            </w:pPr>
          </w:p>
        </w:tc>
        <w:tc>
          <w:tcPr>
            <w:tcW w:w="1152" w:type="dxa"/>
          </w:tcPr>
          <w:p w:rsidR="00EE5767" w:rsidRPr="007B1B71" w:rsidP="00C900B5" w14:paraId="2773D1F7" w14:textId="77777777">
            <w:pPr>
              <w:pStyle w:val="Tabletext8pt"/>
            </w:pPr>
          </w:p>
        </w:tc>
        <w:tc>
          <w:tcPr>
            <w:tcW w:w="1450" w:type="dxa"/>
          </w:tcPr>
          <w:p w:rsidR="00EE5767" w:rsidRPr="007B1B71" w:rsidP="00C900B5" w14:paraId="0AE0932E" w14:textId="77777777">
            <w:pPr>
              <w:pStyle w:val="Tabletext8pt"/>
            </w:pPr>
          </w:p>
        </w:tc>
        <w:tc>
          <w:tcPr>
            <w:tcW w:w="1892" w:type="dxa"/>
            <w:noWrap/>
          </w:tcPr>
          <w:p w:rsidR="00EE5767" w:rsidRPr="007B1B71" w:rsidP="00C900B5" w14:paraId="341BBAED" w14:textId="68E7421F">
            <w:pPr>
              <w:pStyle w:val="Tabletext8pt"/>
            </w:pPr>
          </w:p>
        </w:tc>
      </w:tr>
      <w:tr w14:paraId="65970547" w14:textId="77777777" w:rsidTr="00EC79A0">
        <w:tblPrEx>
          <w:tblW w:w="4773" w:type="pct"/>
          <w:tblLayout w:type="fixed"/>
          <w:tblLook w:val="04A0"/>
        </w:tblPrEx>
        <w:tc>
          <w:tcPr>
            <w:tcW w:w="2736" w:type="dxa"/>
            <w:hideMark/>
          </w:tcPr>
          <w:p w:rsidR="00EE5767" w:rsidRPr="007B1B71" w:rsidP="00B04F37" w14:paraId="4F5D363E" w14:textId="77777777">
            <w:pPr>
              <w:pStyle w:val="Tabletext8ptcol1indent1"/>
            </w:pPr>
            <w:r w:rsidRPr="007B1B71">
              <w:t>Respondents</w:t>
            </w:r>
          </w:p>
        </w:tc>
        <w:tc>
          <w:tcPr>
            <w:tcW w:w="1365" w:type="dxa"/>
          </w:tcPr>
          <w:p w:rsidR="00EE5767" w:rsidRPr="007B1B71" w:rsidP="00B04F37" w14:paraId="45F6BE9E" w14:textId="3BBB686E">
            <w:pPr>
              <w:pStyle w:val="Tabletext8ptdecimalalign"/>
              <w:jc w:val="left"/>
            </w:pPr>
            <w:r>
              <w:t>61.2</w:t>
            </w:r>
          </w:p>
        </w:tc>
        <w:tc>
          <w:tcPr>
            <w:tcW w:w="1440" w:type="dxa"/>
            <w:hideMark/>
          </w:tcPr>
          <w:p w:rsidR="00EE5767" w:rsidRPr="007B1B71" w:rsidP="00B04F37" w14:paraId="25FB81ED" w14:textId="7342868D">
            <w:pPr>
              <w:pStyle w:val="Tabletext8ptdecimalalign"/>
              <w:jc w:val="left"/>
            </w:pPr>
            <w:r>
              <w:t>59.4</w:t>
            </w:r>
          </w:p>
        </w:tc>
        <w:tc>
          <w:tcPr>
            <w:tcW w:w="1152" w:type="dxa"/>
          </w:tcPr>
          <w:p w:rsidR="00EE5767" w:rsidRPr="007B1B71" w:rsidP="00B04F37" w14:paraId="1D984F04" w14:textId="47C48021">
            <w:pPr>
              <w:pStyle w:val="Tabletext8pt"/>
            </w:pPr>
            <w:r>
              <w:t>0.61</w:t>
            </w:r>
          </w:p>
        </w:tc>
        <w:tc>
          <w:tcPr>
            <w:tcW w:w="1450" w:type="dxa"/>
          </w:tcPr>
          <w:p w:rsidR="00EE5767" w:rsidRPr="007B1B71" w:rsidP="00B04F37" w14:paraId="75356755" w14:textId="19CB1806">
            <w:pPr>
              <w:pStyle w:val="Tabletext8pt"/>
            </w:pPr>
            <w:r>
              <w:t>0.43</w:t>
            </w:r>
          </w:p>
        </w:tc>
        <w:tc>
          <w:tcPr>
            <w:tcW w:w="1892" w:type="dxa"/>
            <w:noWrap/>
            <w:hideMark/>
          </w:tcPr>
          <w:p w:rsidR="00EE5767" w:rsidRPr="007B1B71" w:rsidP="00B04F37" w14:paraId="3CB4225C" w14:textId="6F56EFAB">
            <w:pPr>
              <w:pStyle w:val="Tabletext8pt"/>
            </w:pPr>
          </w:p>
        </w:tc>
      </w:tr>
      <w:tr w14:paraId="356C76E5" w14:textId="77777777" w:rsidTr="00EC79A0">
        <w:tblPrEx>
          <w:tblW w:w="4773" w:type="pct"/>
          <w:tblLayout w:type="fixed"/>
          <w:tblLook w:val="04A0"/>
        </w:tblPrEx>
        <w:tc>
          <w:tcPr>
            <w:tcW w:w="2736" w:type="dxa"/>
            <w:hideMark/>
          </w:tcPr>
          <w:p w:rsidR="00EE5767" w:rsidRPr="007B1B71" w:rsidP="00B04F37" w14:paraId="6DB2572C" w14:textId="77777777">
            <w:pPr>
              <w:pStyle w:val="Tabletext8ptcol1indent1"/>
            </w:pPr>
            <w:r w:rsidRPr="007B1B71">
              <w:t>Nonrespondents</w:t>
            </w:r>
          </w:p>
        </w:tc>
        <w:tc>
          <w:tcPr>
            <w:tcW w:w="1365" w:type="dxa"/>
          </w:tcPr>
          <w:p w:rsidR="00EE5767" w:rsidRPr="007B1B71" w:rsidP="00B04F37" w14:paraId="6DC71FC7" w14:textId="3C9796FE">
            <w:pPr>
              <w:pStyle w:val="Tabletext8ptdecimalalign"/>
              <w:jc w:val="left"/>
            </w:pPr>
            <w:r>
              <w:t>52.8</w:t>
            </w:r>
          </w:p>
        </w:tc>
        <w:tc>
          <w:tcPr>
            <w:tcW w:w="1440" w:type="dxa"/>
            <w:hideMark/>
          </w:tcPr>
          <w:p w:rsidR="00EE5767" w:rsidRPr="007B1B71" w:rsidP="00B04F37" w14:paraId="0B1B0B9C" w14:textId="1AAF9BA9">
            <w:pPr>
              <w:pStyle w:val="Tabletext8ptdecimalalign"/>
              <w:jc w:val="left"/>
            </w:pPr>
            <w:r>
              <w:t>56.4</w:t>
            </w:r>
          </w:p>
        </w:tc>
        <w:tc>
          <w:tcPr>
            <w:tcW w:w="1152" w:type="dxa"/>
          </w:tcPr>
          <w:p w:rsidR="00EE5767" w:rsidRPr="007B1B71" w:rsidP="00B04F37" w14:paraId="1D51C1FF" w14:textId="77777777">
            <w:pPr>
              <w:pStyle w:val="Tabletext8pt"/>
            </w:pPr>
          </w:p>
        </w:tc>
        <w:tc>
          <w:tcPr>
            <w:tcW w:w="1450" w:type="dxa"/>
          </w:tcPr>
          <w:p w:rsidR="00EE5767" w:rsidRPr="007B1B71" w:rsidP="00B04F37" w14:paraId="7B49F983" w14:textId="77777777">
            <w:pPr>
              <w:pStyle w:val="Tabletext8pt"/>
            </w:pPr>
          </w:p>
        </w:tc>
        <w:tc>
          <w:tcPr>
            <w:tcW w:w="1892" w:type="dxa"/>
            <w:noWrap/>
            <w:hideMark/>
          </w:tcPr>
          <w:p w:rsidR="00EE5767" w:rsidRPr="007B1B71" w:rsidP="00B04F37" w14:paraId="27990BF5" w14:textId="32517D8B">
            <w:pPr>
              <w:pStyle w:val="Tabletext8pt"/>
            </w:pPr>
          </w:p>
        </w:tc>
      </w:tr>
      <w:tr w14:paraId="7C4AB820" w14:textId="77777777" w:rsidTr="00EC79A0">
        <w:tblPrEx>
          <w:tblW w:w="4773" w:type="pct"/>
          <w:tblLayout w:type="fixed"/>
          <w:tblLook w:val="04A0"/>
        </w:tblPrEx>
        <w:tc>
          <w:tcPr>
            <w:tcW w:w="2736" w:type="dxa"/>
            <w:hideMark/>
          </w:tcPr>
          <w:p w:rsidR="00EE5767" w:rsidRPr="007B1B71" w:rsidP="00B04F37" w14:paraId="1D19EE35" w14:textId="77777777">
            <w:pPr>
              <w:pStyle w:val="Tabletext8ptcol1indent1"/>
            </w:pPr>
            <w:r w:rsidRPr="007B1B71">
              <w:t xml:space="preserve">Respondents – </w:t>
            </w:r>
            <w:r>
              <w:t>n</w:t>
            </w:r>
            <w:r w:rsidRPr="007B1B71">
              <w:t>onrespondents</w:t>
            </w:r>
          </w:p>
        </w:tc>
        <w:tc>
          <w:tcPr>
            <w:tcW w:w="1365" w:type="dxa"/>
          </w:tcPr>
          <w:p w:rsidR="00EE5767" w:rsidRPr="007B1B71" w:rsidP="00B04F37" w14:paraId="06D437E1" w14:textId="6FAF1152">
            <w:pPr>
              <w:pStyle w:val="Tabletext8ptdecimalalign"/>
              <w:jc w:val="left"/>
            </w:pPr>
            <w:r>
              <w:t>8.4</w:t>
            </w:r>
          </w:p>
        </w:tc>
        <w:tc>
          <w:tcPr>
            <w:tcW w:w="1440" w:type="dxa"/>
            <w:hideMark/>
          </w:tcPr>
          <w:p w:rsidR="00EE5767" w:rsidRPr="007B1B71" w:rsidP="00B04F37" w14:paraId="1670774D" w14:textId="5AF5C066">
            <w:pPr>
              <w:pStyle w:val="Tabletext8ptdecimalalign"/>
              <w:jc w:val="left"/>
            </w:pPr>
            <w:r>
              <w:t>3.0</w:t>
            </w:r>
          </w:p>
        </w:tc>
        <w:tc>
          <w:tcPr>
            <w:tcW w:w="1152" w:type="dxa"/>
          </w:tcPr>
          <w:p w:rsidR="00EE5767" w:rsidRPr="007B1B71" w:rsidP="00B04F37" w14:paraId="09579FA7" w14:textId="77777777">
            <w:pPr>
              <w:pStyle w:val="Tabletext8pt"/>
            </w:pPr>
          </w:p>
        </w:tc>
        <w:tc>
          <w:tcPr>
            <w:tcW w:w="1450" w:type="dxa"/>
          </w:tcPr>
          <w:p w:rsidR="00EE5767" w:rsidRPr="007B1B71" w:rsidP="00B04F37" w14:paraId="6EE62132" w14:textId="77777777">
            <w:pPr>
              <w:pStyle w:val="Tabletext8pt"/>
            </w:pPr>
          </w:p>
        </w:tc>
        <w:tc>
          <w:tcPr>
            <w:tcW w:w="1892" w:type="dxa"/>
            <w:noWrap/>
            <w:hideMark/>
          </w:tcPr>
          <w:p w:rsidR="00EE5767" w:rsidRPr="007B1B71" w:rsidP="00B04F37" w14:paraId="739D802A" w14:textId="44182F94">
            <w:pPr>
              <w:pStyle w:val="Tabletext8pt"/>
            </w:pPr>
          </w:p>
        </w:tc>
      </w:tr>
      <w:tr w14:paraId="2F16B2F5" w14:textId="77777777" w:rsidTr="00EC79A0">
        <w:tblPrEx>
          <w:tblW w:w="4773" w:type="pct"/>
          <w:tblLayout w:type="fixed"/>
          <w:tblLook w:val="04A0"/>
        </w:tblPrEx>
        <w:trPr>
          <w:trHeight w:val="60"/>
        </w:trPr>
        <w:tc>
          <w:tcPr>
            <w:tcW w:w="2736" w:type="dxa"/>
            <w:hideMark/>
          </w:tcPr>
          <w:p w:rsidR="00EE5767" w:rsidRPr="007B1B71" w:rsidP="00235CC1" w14:paraId="5986A0FB" w14:textId="77777777">
            <w:pPr>
              <w:pStyle w:val="Tabletext8ptcol1indent1"/>
            </w:pPr>
            <w:r w:rsidRPr="007B1B71">
              <w:t xml:space="preserve">Nonresponse </w:t>
            </w:r>
            <w:r>
              <w:t>b</w:t>
            </w:r>
            <w:r w:rsidRPr="007B1B71">
              <w:t>ias</w:t>
            </w:r>
          </w:p>
        </w:tc>
        <w:tc>
          <w:tcPr>
            <w:tcW w:w="1365" w:type="dxa"/>
            <w:noWrap/>
            <w:vAlign w:val="top"/>
          </w:tcPr>
          <w:p w:rsidR="00EE5767" w:rsidRPr="007B1B71" w:rsidP="00235CC1" w14:paraId="1CDA92AE" w14:textId="303E6A16">
            <w:pPr>
              <w:pStyle w:val="Tabletext8ptdecimalalign"/>
              <w:jc w:val="left"/>
            </w:pPr>
            <w:r w:rsidRPr="002604B0">
              <w:t>2.76</w:t>
            </w:r>
          </w:p>
        </w:tc>
        <w:tc>
          <w:tcPr>
            <w:tcW w:w="1440" w:type="dxa"/>
            <w:noWrap/>
            <w:vAlign w:val="top"/>
            <w:hideMark/>
          </w:tcPr>
          <w:p w:rsidR="00EE5767" w:rsidRPr="007B1B71" w:rsidP="00235CC1" w14:paraId="0839DA5B" w14:textId="657895D9">
            <w:pPr>
              <w:pStyle w:val="Tabletext8ptdecimalalign"/>
              <w:jc w:val="left"/>
            </w:pPr>
            <w:r w:rsidRPr="002604B0">
              <w:t>1.14</w:t>
            </w:r>
          </w:p>
        </w:tc>
        <w:tc>
          <w:tcPr>
            <w:tcW w:w="1152" w:type="dxa"/>
            <w:vAlign w:val="top"/>
          </w:tcPr>
          <w:p w:rsidR="00EE5767" w:rsidRPr="007B1B71" w:rsidP="00235CC1" w14:paraId="60721B17" w14:textId="77777777">
            <w:pPr>
              <w:pStyle w:val="Tabletext8pt"/>
            </w:pPr>
          </w:p>
        </w:tc>
        <w:tc>
          <w:tcPr>
            <w:tcW w:w="1450" w:type="dxa"/>
          </w:tcPr>
          <w:p w:rsidR="00EE5767" w:rsidRPr="002604B0" w:rsidP="00235CC1" w14:paraId="0B9B407F" w14:textId="77777777">
            <w:pPr>
              <w:pStyle w:val="Tabletext8pt"/>
            </w:pPr>
          </w:p>
        </w:tc>
        <w:tc>
          <w:tcPr>
            <w:tcW w:w="1892" w:type="dxa"/>
            <w:noWrap/>
            <w:vAlign w:val="top"/>
          </w:tcPr>
          <w:p w:rsidR="00EE5767" w:rsidRPr="007B1B71" w:rsidP="00235CC1" w14:paraId="2E7A90ED" w14:textId="27EE4ED7">
            <w:pPr>
              <w:pStyle w:val="Tabletext8pt"/>
            </w:pPr>
            <w:r w:rsidRPr="002604B0">
              <w:t>-1.6</w:t>
            </w:r>
          </w:p>
        </w:tc>
      </w:tr>
      <w:tr w14:paraId="38FABF13" w14:textId="77777777" w:rsidTr="00EC79A0">
        <w:tblPrEx>
          <w:tblW w:w="4773" w:type="pct"/>
          <w:tblLayout w:type="fixed"/>
          <w:tblLook w:val="04A0"/>
        </w:tblPrEx>
        <w:tc>
          <w:tcPr>
            <w:tcW w:w="2736" w:type="dxa"/>
            <w:hideMark/>
          </w:tcPr>
          <w:p w:rsidR="00EE5767" w:rsidRPr="007B1B71" w:rsidP="00B04F37" w14:paraId="14DC3933" w14:textId="1A3F6521">
            <w:pPr>
              <w:pStyle w:val="Tabletext8ptcol1indent1"/>
            </w:pPr>
            <w:r w:rsidRPr="007B1B71">
              <w:t xml:space="preserve">Overall </w:t>
            </w:r>
            <w:r>
              <w:t>s</w:t>
            </w:r>
            <w:r w:rsidRPr="007B1B71">
              <w:t>ample (</w:t>
            </w:r>
            <w:r w:rsidRPr="007B1B71">
              <w:rPr>
                <w:i/>
                <w:iCs/>
              </w:rPr>
              <w:t>n</w:t>
            </w:r>
            <w:r w:rsidRPr="007B1B71">
              <w:t xml:space="preserve"> = </w:t>
            </w:r>
            <w:r>
              <w:t>2</w:t>
            </w:r>
            <w:r w:rsidRPr="007B1B71">
              <w:t>,</w:t>
            </w:r>
            <w:r>
              <w:t>630</w:t>
            </w:r>
            <w:r w:rsidRPr="00A76C69">
              <w:t>)</w:t>
            </w:r>
            <w:r w:rsidRPr="00C70009" w:rsidR="00C70009">
              <w:rPr>
                <w:vertAlign w:val="superscript"/>
              </w:rPr>
              <w:t>1</w:t>
            </w:r>
          </w:p>
        </w:tc>
        <w:tc>
          <w:tcPr>
            <w:tcW w:w="1365" w:type="dxa"/>
          </w:tcPr>
          <w:p w:rsidR="00EE5767" w:rsidRPr="007B1B71" w:rsidP="00B04F37" w14:paraId="5F8B04FC" w14:textId="12FBDC35">
            <w:pPr>
              <w:pStyle w:val="Tabletext8ptdecimalalign"/>
              <w:jc w:val="left"/>
            </w:pPr>
            <w:r>
              <w:t>58.5</w:t>
            </w:r>
          </w:p>
        </w:tc>
        <w:tc>
          <w:tcPr>
            <w:tcW w:w="1440" w:type="dxa"/>
            <w:hideMark/>
          </w:tcPr>
          <w:p w:rsidR="00EE5767" w:rsidRPr="007B1B71" w:rsidP="00B04F37" w14:paraId="734B1EDF" w14:textId="43B87802">
            <w:pPr>
              <w:pStyle w:val="Tabletext8ptdecimalalign"/>
              <w:jc w:val="left"/>
            </w:pPr>
            <w:r>
              <w:t>58.3</w:t>
            </w:r>
          </w:p>
        </w:tc>
        <w:tc>
          <w:tcPr>
            <w:tcW w:w="1152" w:type="dxa"/>
          </w:tcPr>
          <w:p w:rsidR="00EE5767" w:rsidRPr="007B1B71" w:rsidP="00B04F37" w14:paraId="63D04D33" w14:textId="77777777">
            <w:pPr>
              <w:pStyle w:val="Tabletext8pt"/>
            </w:pPr>
          </w:p>
        </w:tc>
        <w:tc>
          <w:tcPr>
            <w:tcW w:w="1450" w:type="dxa"/>
          </w:tcPr>
          <w:p w:rsidR="00EE5767" w:rsidRPr="007B1B71" w:rsidP="00B04F37" w14:paraId="2E2FC66D" w14:textId="77777777">
            <w:pPr>
              <w:pStyle w:val="Tabletext8pt"/>
            </w:pPr>
          </w:p>
        </w:tc>
        <w:tc>
          <w:tcPr>
            <w:tcW w:w="1892" w:type="dxa"/>
            <w:noWrap/>
          </w:tcPr>
          <w:p w:rsidR="00EE5767" w:rsidRPr="007B1B71" w:rsidP="00B04F37" w14:paraId="23EC3D5C" w14:textId="73B6282A">
            <w:pPr>
              <w:pStyle w:val="Tabletext8pt"/>
            </w:pPr>
          </w:p>
        </w:tc>
      </w:tr>
      <w:tr w14:paraId="5DC8437F" w14:textId="77777777" w:rsidTr="00EC79A0">
        <w:tblPrEx>
          <w:tblW w:w="4773" w:type="pct"/>
          <w:tblLayout w:type="fixed"/>
          <w:tblLook w:val="04A0"/>
        </w:tblPrEx>
        <w:tc>
          <w:tcPr>
            <w:tcW w:w="2736" w:type="dxa"/>
          </w:tcPr>
          <w:p w:rsidR="00EE5767" w:rsidRPr="007B1B71" w:rsidP="00C900B5" w14:paraId="06810EC7" w14:textId="27889C0F">
            <w:pPr>
              <w:pStyle w:val="Tabletext8ptcol1subhead"/>
              <w:rPr>
                <w:color w:val="000000"/>
                <w:sz w:val="18"/>
                <w:szCs w:val="18"/>
              </w:rPr>
            </w:pPr>
            <w:r w:rsidRPr="007B1B71">
              <w:rPr>
                <w:b/>
                <w:bCs/>
              </w:rPr>
              <w:t>White</w:t>
            </w:r>
            <w:r w:rsidRPr="007B1B71">
              <w:t xml:space="preserve"> (in percent)</w:t>
            </w:r>
          </w:p>
        </w:tc>
        <w:tc>
          <w:tcPr>
            <w:tcW w:w="1365" w:type="dxa"/>
          </w:tcPr>
          <w:p w:rsidR="00EE5767" w:rsidRPr="007B1B71" w:rsidP="00C900B5" w14:paraId="202097BA" w14:textId="77777777">
            <w:pPr>
              <w:pStyle w:val="Tabletext8ptdecimalalign"/>
              <w:jc w:val="left"/>
            </w:pPr>
          </w:p>
        </w:tc>
        <w:tc>
          <w:tcPr>
            <w:tcW w:w="1440" w:type="dxa"/>
          </w:tcPr>
          <w:p w:rsidR="00EE5767" w:rsidRPr="007B1B71" w:rsidP="00C900B5" w14:paraId="1D696D39" w14:textId="77777777">
            <w:pPr>
              <w:pStyle w:val="Tabletext8ptdecimalalign"/>
              <w:jc w:val="left"/>
            </w:pPr>
          </w:p>
        </w:tc>
        <w:tc>
          <w:tcPr>
            <w:tcW w:w="1152" w:type="dxa"/>
          </w:tcPr>
          <w:p w:rsidR="00EE5767" w:rsidRPr="007B1B71" w:rsidP="00C900B5" w14:paraId="337C3532" w14:textId="77777777">
            <w:pPr>
              <w:pStyle w:val="Tabletext8pt"/>
            </w:pPr>
          </w:p>
        </w:tc>
        <w:tc>
          <w:tcPr>
            <w:tcW w:w="1450" w:type="dxa"/>
          </w:tcPr>
          <w:p w:rsidR="00EE5767" w:rsidRPr="007B1B71" w:rsidP="00C900B5" w14:paraId="4F2E5A08" w14:textId="77777777">
            <w:pPr>
              <w:pStyle w:val="Tabletext8pt"/>
            </w:pPr>
          </w:p>
        </w:tc>
        <w:tc>
          <w:tcPr>
            <w:tcW w:w="1892" w:type="dxa"/>
            <w:noWrap/>
          </w:tcPr>
          <w:p w:rsidR="00EE5767" w:rsidRPr="007B1B71" w:rsidP="00C900B5" w14:paraId="708FF573" w14:textId="1CFA7384">
            <w:pPr>
              <w:pStyle w:val="Tabletext8pt"/>
            </w:pPr>
          </w:p>
        </w:tc>
      </w:tr>
      <w:tr w14:paraId="122128FA" w14:textId="77777777" w:rsidTr="00EC79A0">
        <w:tblPrEx>
          <w:tblW w:w="4773" w:type="pct"/>
          <w:tblLayout w:type="fixed"/>
          <w:tblLook w:val="04A0"/>
        </w:tblPrEx>
        <w:tc>
          <w:tcPr>
            <w:tcW w:w="2736" w:type="dxa"/>
          </w:tcPr>
          <w:p w:rsidR="00EE5767" w:rsidRPr="007B1B71" w:rsidP="00C900B5" w14:paraId="66D24FC0" w14:textId="77777777">
            <w:pPr>
              <w:pStyle w:val="Tabletext8ptcol1indent1"/>
            </w:pPr>
            <w:r w:rsidRPr="007B1B71">
              <w:t>Respondents</w:t>
            </w:r>
          </w:p>
        </w:tc>
        <w:tc>
          <w:tcPr>
            <w:tcW w:w="1365" w:type="dxa"/>
          </w:tcPr>
          <w:p w:rsidR="00EE5767" w:rsidRPr="007B1B71" w:rsidP="00C900B5" w14:paraId="2D4A792E" w14:textId="065EA5FB">
            <w:pPr>
              <w:pStyle w:val="Tabletext8ptdecimalalign"/>
              <w:jc w:val="left"/>
            </w:pPr>
            <w:r>
              <w:t>59.3</w:t>
            </w:r>
          </w:p>
        </w:tc>
        <w:tc>
          <w:tcPr>
            <w:tcW w:w="1440" w:type="dxa"/>
          </w:tcPr>
          <w:p w:rsidR="00EE5767" w:rsidRPr="007B1B71" w:rsidP="00C900B5" w14:paraId="1D1799ED" w14:textId="7A1A8030">
            <w:pPr>
              <w:pStyle w:val="Tabletext8ptdecimalalign"/>
              <w:jc w:val="left"/>
            </w:pPr>
            <w:r>
              <w:t>61.1</w:t>
            </w:r>
          </w:p>
        </w:tc>
        <w:tc>
          <w:tcPr>
            <w:tcW w:w="1152" w:type="dxa"/>
          </w:tcPr>
          <w:p w:rsidR="00EE5767" w:rsidRPr="007B1B71" w:rsidP="00C900B5" w14:paraId="7AECE101" w14:textId="7E6ACDC4">
            <w:pPr>
              <w:pStyle w:val="Tabletext8pt"/>
            </w:pPr>
            <w:r>
              <w:t>0.60</w:t>
            </w:r>
          </w:p>
        </w:tc>
        <w:tc>
          <w:tcPr>
            <w:tcW w:w="1450" w:type="dxa"/>
          </w:tcPr>
          <w:p w:rsidR="00EE5767" w:rsidRPr="007B1B71" w:rsidP="00C900B5" w14:paraId="5E7BCDBC" w14:textId="0C2D35FA">
            <w:pPr>
              <w:pStyle w:val="Tabletext8pt"/>
            </w:pPr>
            <w:r>
              <w:t>0.44</w:t>
            </w:r>
          </w:p>
        </w:tc>
        <w:tc>
          <w:tcPr>
            <w:tcW w:w="1892" w:type="dxa"/>
            <w:noWrap/>
          </w:tcPr>
          <w:p w:rsidR="00EE5767" w:rsidRPr="007B1B71" w:rsidP="00C900B5" w14:paraId="2D78E620" w14:textId="7D8B279E">
            <w:pPr>
              <w:pStyle w:val="Tabletext8pt"/>
            </w:pPr>
          </w:p>
        </w:tc>
      </w:tr>
      <w:tr w14:paraId="21D96746" w14:textId="77777777" w:rsidTr="00EC79A0">
        <w:tblPrEx>
          <w:tblW w:w="4773" w:type="pct"/>
          <w:tblLayout w:type="fixed"/>
          <w:tblLook w:val="04A0"/>
        </w:tblPrEx>
        <w:tc>
          <w:tcPr>
            <w:tcW w:w="2736" w:type="dxa"/>
            <w:hideMark/>
          </w:tcPr>
          <w:p w:rsidR="00EE5767" w:rsidRPr="007B1B71" w:rsidP="00C900B5" w14:paraId="1D2DC003" w14:textId="77777777">
            <w:pPr>
              <w:pStyle w:val="Tabletext8ptcol1indent1"/>
            </w:pPr>
            <w:r w:rsidRPr="007B1B71">
              <w:t>Nonrespondents</w:t>
            </w:r>
          </w:p>
        </w:tc>
        <w:tc>
          <w:tcPr>
            <w:tcW w:w="1365" w:type="dxa"/>
          </w:tcPr>
          <w:p w:rsidR="00EE5767" w:rsidRPr="007B1B71" w:rsidP="00C900B5" w14:paraId="7F2BE79C" w14:textId="0A913C9B">
            <w:pPr>
              <w:pStyle w:val="Tabletext8ptdecimalalign"/>
              <w:jc w:val="left"/>
            </w:pPr>
            <w:r>
              <w:t>64.4</w:t>
            </w:r>
          </w:p>
        </w:tc>
        <w:tc>
          <w:tcPr>
            <w:tcW w:w="1440" w:type="dxa"/>
          </w:tcPr>
          <w:p w:rsidR="00EE5767" w:rsidRPr="007B1B71" w:rsidP="00C900B5" w14:paraId="52615889" w14:textId="09DBC5CF">
            <w:pPr>
              <w:pStyle w:val="Tabletext8ptdecimalalign"/>
              <w:jc w:val="left"/>
            </w:pPr>
            <w:r>
              <w:t>60.5</w:t>
            </w:r>
          </w:p>
        </w:tc>
        <w:tc>
          <w:tcPr>
            <w:tcW w:w="1152" w:type="dxa"/>
          </w:tcPr>
          <w:p w:rsidR="00EE5767" w:rsidRPr="007B1B71" w:rsidP="00C900B5" w14:paraId="66F1BA0F" w14:textId="77777777">
            <w:pPr>
              <w:pStyle w:val="Tabletext8pt"/>
            </w:pPr>
          </w:p>
        </w:tc>
        <w:tc>
          <w:tcPr>
            <w:tcW w:w="1450" w:type="dxa"/>
          </w:tcPr>
          <w:p w:rsidR="00EE5767" w:rsidRPr="007B1B71" w:rsidP="00C900B5" w14:paraId="2D54BE54" w14:textId="77777777">
            <w:pPr>
              <w:pStyle w:val="Tabletext8pt"/>
            </w:pPr>
          </w:p>
        </w:tc>
        <w:tc>
          <w:tcPr>
            <w:tcW w:w="1892" w:type="dxa"/>
            <w:noWrap/>
          </w:tcPr>
          <w:p w:rsidR="00EE5767" w:rsidRPr="007B1B71" w:rsidP="00C900B5" w14:paraId="7B8E6C30" w14:textId="2D122CFD">
            <w:pPr>
              <w:pStyle w:val="Tabletext8pt"/>
            </w:pPr>
          </w:p>
        </w:tc>
      </w:tr>
      <w:tr w14:paraId="0CF05D87" w14:textId="77777777" w:rsidTr="00EC79A0">
        <w:tblPrEx>
          <w:tblW w:w="4773" w:type="pct"/>
          <w:tblLayout w:type="fixed"/>
          <w:tblLook w:val="04A0"/>
        </w:tblPrEx>
        <w:tc>
          <w:tcPr>
            <w:tcW w:w="2736" w:type="dxa"/>
            <w:hideMark/>
          </w:tcPr>
          <w:p w:rsidR="00EE5767" w:rsidRPr="007B1B71" w:rsidP="00C900B5" w14:paraId="2C5BA965" w14:textId="77777777">
            <w:pPr>
              <w:pStyle w:val="Tabletext8ptcol1indent1"/>
            </w:pPr>
            <w:r w:rsidRPr="007B1B71">
              <w:t xml:space="preserve">Respondents – </w:t>
            </w:r>
            <w:r>
              <w:t>n</w:t>
            </w:r>
            <w:r w:rsidRPr="007B1B71">
              <w:t>onrespondents</w:t>
            </w:r>
          </w:p>
        </w:tc>
        <w:tc>
          <w:tcPr>
            <w:tcW w:w="1365" w:type="dxa"/>
          </w:tcPr>
          <w:p w:rsidR="00EE5767" w:rsidRPr="007B1B71" w:rsidP="00C900B5" w14:paraId="537E4DAC" w14:textId="4CD8FDD5">
            <w:pPr>
              <w:pStyle w:val="Tabletext8ptdecimalalign"/>
              <w:jc w:val="left"/>
            </w:pPr>
            <w:r>
              <w:t>-5.1</w:t>
            </w:r>
          </w:p>
        </w:tc>
        <w:tc>
          <w:tcPr>
            <w:tcW w:w="1440" w:type="dxa"/>
          </w:tcPr>
          <w:p w:rsidR="00EE5767" w:rsidRPr="007B1B71" w:rsidP="00C900B5" w14:paraId="2F76B25A" w14:textId="36E9B0D2">
            <w:pPr>
              <w:pStyle w:val="Tabletext8ptdecimalalign"/>
              <w:jc w:val="left"/>
            </w:pPr>
            <w:r>
              <w:t>0.6</w:t>
            </w:r>
          </w:p>
        </w:tc>
        <w:tc>
          <w:tcPr>
            <w:tcW w:w="1152" w:type="dxa"/>
          </w:tcPr>
          <w:p w:rsidR="00EE5767" w:rsidRPr="007B1B71" w:rsidP="00C900B5" w14:paraId="6A6E0147" w14:textId="77777777">
            <w:pPr>
              <w:pStyle w:val="Tabletext8pt"/>
            </w:pPr>
          </w:p>
        </w:tc>
        <w:tc>
          <w:tcPr>
            <w:tcW w:w="1450" w:type="dxa"/>
          </w:tcPr>
          <w:p w:rsidR="00EE5767" w:rsidRPr="007B1B71" w:rsidP="00C900B5" w14:paraId="15BB1E71" w14:textId="77777777">
            <w:pPr>
              <w:pStyle w:val="Tabletext8pt"/>
            </w:pPr>
          </w:p>
        </w:tc>
        <w:tc>
          <w:tcPr>
            <w:tcW w:w="1892" w:type="dxa"/>
            <w:noWrap/>
          </w:tcPr>
          <w:p w:rsidR="00EE5767" w:rsidRPr="007B1B71" w:rsidP="00C900B5" w14:paraId="77A4EBA0" w14:textId="3B390680">
            <w:pPr>
              <w:pStyle w:val="Tabletext8pt"/>
            </w:pPr>
          </w:p>
        </w:tc>
      </w:tr>
      <w:tr w14:paraId="1E1CA5AF" w14:textId="77777777" w:rsidTr="00EC79A0">
        <w:tblPrEx>
          <w:tblW w:w="4773" w:type="pct"/>
          <w:tblLayout w:type="fixed"/>
          <w:tblLook w:val="04A0"/>
        </w:tblPrEx>
        <w:tc>
          <w:tcPr>
            <w:tcW w:w="2736" w:type="dxa"/>
            <w:hideMark/>
          </w:tcPr>
          <w:p w:rsidR="00EE5767" w:rsidRPr="007B1B71" w:rsidP="00EA1BC1" w14:paraId="7C40B604" w14:textId="77777777">
            <w:pPr>
              <w:pStyle w:val="Tabletext8ptcol1indent1"/>
            </w:pPr>
            <w:r w:rsidRPr="007B1B71">
              <w:t xml:space="preserve">Nonresponse </w:t>
            </w:r>
            <w:r>
              <w:t>b</w:t>
            </w:r>
            <w:r w:rsidRPr="007B1B71">
              <w:t>ias</w:t>
            </w:r>
          </w:p>
        </w:tc>
        <w:tc>
          <w:tcPr>
            <w:tcW w:w="1365" w:type="dxa"/>
            <w:noWrap/>
            <w:vAlign w:val="top"/>
          </w:tcPr>
          <w:p w:rsidR="00EE5767" w:rsidRPr="007B1B71" w:rsidP="00EA1BC1" w14:paraId="5993BD93" w14:textId="468C77B8">
            <w:pPr>
              <w:pStyle w:val="Tabletext8ptdecimalalign"/>
              <w:jc w:val="left"/>
            </w:pPr>
            <w:r w:rsidRPr="00292F9F">
              <w:t>-1.67</w:t>
            </w:r>
          </w:p>
        </w:tc>
        <w:tc>
          <w:tcPr>
            <w:tcW w:w="1440" w:type="dxa"/>
            <w:noWrap/>
            <w:vAlign w:val="top"/>
          </w:tcPr>
          <w:p w:rsidR="00EE5767" w:rsidRPr="007B1B71" w:rsidP="00EA1BC1" w14:paraId="13DC8FA4" w14:textId="15D9AAD5">
            <w:pPr>
              <w:pStyle w:val="Tabletext8ptdecimalalign"/>
              <w:jc w:val="left"/>
            </w:pPr>
            <w:r w:rsidRPr="00292F9F">
              <w:t>0.23</w:t>
            </w:r>
          </w:p>
        </w:tc>
        <w:tc>
          <w:tcPr>
            <w:tcW w:w="1152" w:type="dxa"/>
            <w:vAlign w:val="top"/>
          </w:tcPr>
          <w:p w:rsidR="00EE5767" w:rsidRPr="007B1B71" w:rsidP="00EA1BC1" w14:paraId="236F0F55" w14:textId="77777777">
            <w:pPr>
              <w:pStyle w:val="Tabletext8pt"/>
            </w:pPr>
          </w:p>
        </w:tc>
        <w:tc>
          <w:tcPr>
            <w:tcW w:w="1450" w:type="dxa"/>
          </w:tcPr>
          <w:p w:rsidR="00EE5767" w:rsidRPr="00292F9F" w:rsidP="00EA1BC1" w14:paraId="0CFC4E18" w14:textId="77777777">
            <w:pPr>
              <w:pStyle w:val="Tabletext8pt"/>
            </w:pPr>
          </w:p>
        </w:tc>
        <w:tc>
          <w:tcPr>
            <w:tcW w:w="1892" w:type="dxa"/>
            <w:noWrap/>
            <w:vAlign w:val="top"/>
          </w:tcPr>
          <w:p w:rsidR="00EE5767" w:rsidRPr="007B1B71" w:rsidP="00EA1BC1" w14:paraId="0F7F34E3" w14:textId="0DC87F09">
            <w:pPr>
              <w:pStyle w:val="Tabletext8pt"/>
            </w:pPr>
            <w:r w:rsidRPr="00292F9F">
              <w:t>-1.</w:t>
            </w:r>
            <w:r w:rsidR="0036271B">
              <w:t>5</w:t>
            </w:r>
          </w:p>
        </w:tc>
      </w:tr>
      <w:tr w14:paraId="331948F5" w14:textId="77777777" w:rsidTr="00EC79A0">
        <w:tblPrEx>
          <w:tblW w:w="4773" w:type="pct"/>
          <w:tblLayout w:type="fixed"/>
          <w:tblLook w:val="04A0"/>
        </w:tblPrEx>
        <w:tc>
          <w:tcPr>
            <w:tcW w:w="2736" w:type="dxa"/>
            <w:hideMark/>
          </w:tcPr>
          <w:p w:rsidR="00EE5767" w:rsidRPr="007B1B71" w:rsidP="00C900B5" w14:paraId="4C0CED69" w14:textId="7D13115D">
            <w:pPr>
              <w:pStyle w:val="Tabletext8ptcol1indent1"/>
            </w:pPr>
            <w:r w:rsidRPr="007B1B71">
              <w:t xml:space="preserve">Overall </w:t>
            </w:r>
            <w:r>
              <w:t>s</w:t>
            </w:r>
            <w:r w:rsidRPr="007B1B71">
              <w:t>ample (</w:t>
            </w:r>
            <w:r w:rsidRPr="007B1B71">
              <w:rPr>
                <w:i/>
                <w:iCs/>
              </w:rPr>
              <w:t>n</w:t>
            </w:r>
            <w:r w:rsidRPr="007B1B71">
              <w:t xml:space="preserve"> = </w:t>
            </w:r>
            <w:r>
              <w:t>2</w:t>
            </w:r>
            <w:r w:rsidRPr="007B1B71">
              <w:t>,</w:t>
            </w:r>
            <w:r>
              <w:t>580</w:t>
            </w:r>
            <w:r w:rsidRPr="00A76C69">
              <w:t>)</w:t>
            </w:r>
            <w:r w:rsidRPr="00C70009" w:rsidR="00C70009">
              <w:rPr>
                <w:vertAlign w:val="superscript"/>
              </w:rPr>
              <w:t xml:space="preserve"> 1</w:t>
            </w:r>
          </w:p>
        </w:tc>
        <w:tc>
          <w:tcPr>
            <w:tcW w:w="1365" w:type="dxa"/>
          </w:tcPr>
          <w:p w:rsidR="00EE5767" w:rsidRPr="007B1B71" w:rsidP="00C900B5" w14:paraId="26FCAFE2" w14:textId="6783CAA3">
            <w:pPr>
              <w:pStyle w:val="Tabletext8ptdecimalalign"/>
              <w:jc w:val="left"/>
            </w:pPr>
            <w:r>
              <w:t>61.0</w:t>
            </w:r>
          </w:p>
        </w:tc>
        <w:tc>
          <w:tcPr>
            <w:tcW w:w="1440" w:type="dxa"/>
          </w:tcPr>
          <w:p w:rsidR="00EE5767" w:rsidRPr="007B1B71" w:rsidP="00C900B5" w14:paraId="46F449AB" w14:textId="31F9B116">
            <w:pPr>
              <w:pStyle w:val="Tabletext8ptdecimalalign"/>
              <w:jc w:val="left"/>
            </w:pPr>
            <w:r>
              <w:t>60.9</w:t>
            </w:r>
          </w:p>
        </w:tc>
        <w:tc>
          <w:tcPr>
            <w:tcW w:w="1152" w:type="dxa"/>
          </w:tcPr>
          <w:p w:rsidR="00EE5767" w:rsidRPr="007B1B71" w:rsidP="00C900B5" w14:paraId="5B24C82C" w14:textId="77777777">
            <w:pPr>
              <w:pStyle w:val="Tabletext8pt"/>
            </w:pPr>
          </w:p>
        </w:tc>
        <w:tc>
          <w:tcPr>
            <w:tcW w:w="1450" w:type="dxa"/>
          </w:tcPr>
          <w:p w:rsidR="00EE5767" w:rsidRPr="007B1B71" w:rsidP="00C900B5" w14:paraId="26BED701" w14:textId="77777777">
            <w:pPr>
              <w:pStyle w:val="Tabletext8pt"/>
            </w:pPr>
          </w:p>
        </w:tc>
        <w:tc>
          <w:tcPr>
            <w:tcW w:w="1892" w:type="dxa"/>
            <w:noWrap/>
          </w:tcPr>
          <w:p w:rsidR="00EE5767" w:rsidRPr="007B1B71" w:rsidP="00C900B5" w14:paraId="24BAF36C" w14:textId="7D545146">
            <w:pPr>
              <w:pStyle w:val="Tabletext8pt"/>
            </w:pPr>
          </w:p>
        </w:tc>
      </w:tr>
      <w:tr w14:paraId="011D0A45" w14:textId="77777777" w:rsidTr="00EC79A0">
        <w:tblPrEx>
          <w:tblW w:w="4773" w:type="pct"/>
          <w:tblLayout w:type="fixed"/>
          <w:tblLook w:val="04A0"/>
        </w:tblPrEx>
        <w:tc>
          <w:tcPr>
            <w:tcW w:w="2736" w:type="dxa"/>
          </w:tcPr>
          <w:p w:rsidR="00EE5767" w:rsidRPr="007B1B71" w:rsidP="00C900B5" w14:paraId="6C10A6DC" w14:textId="77777777">
            <w:pPr>
              <w:pStyle w:val="Tabletext8ptcol1subhead"/>
            </w:pPr>
            <w:r w:rsidRPr="007B1B71">
              <w:rPr>
                <w:b/>
                <w:bCs/>
              </w:rPr>
              <w:t>Hispanic or Latino</w:t>
            </w:r>
            <w:r w:rsidRPr="007B1B71">
              <w:t xml:space="preserve"> (in percent)</w:t>
            </w:r>
          </w:p>
        </w:tc>
        <w:tc>
          <w:tcPr>
            <w:tcW w:w="1365" w:type="dxa"/>
          </w:tcPr>
          <w:p w:rsidR="00EE5767" w:rsidRPr="007B1B71" w:rsidP="00C900B5" w14:paraId="55DE272E" w14:textId="77777777">
            <w:pPr>
              <w:pStyle w:val="Tabletext8ptdecimalalign"/>
              <w:jc w:val="left"/>
            </w:pPr>
          </w:p>
        </w:tc>
        <w:tc>
          <w:tcPr>
            <w:tcW w:w="1440" w:type="dxa"/>
          </w:tcPr>
          <w:p w:rsidR="00EE5767" w:rsidRPr="007B1B71" w:rsidP="00C900B5" w14:paraId="4691E0DC" w14:textId="77777777">
            <w:pPr>
              <w:pStyle w:val="Tabletext8ptdecimalalign"/>
              <w:jc w:val="left"/>
            </w:pPr>
          </w:p>
        </w:tc>
        <w:tc>
          <w:tcPr>
            <w:tcW w:w="1152" w:type="dxa"/>
          </w:tcPr>
          <w:p w:rsidR="00EE5767" w:rsidRPr="007B1B71" w:rsidP="00C900B5" w14:paraId="5651918D" w14:textId="77777777">
            <w:pPr>
              <w:pStyle w:val="Tabletext8pt"/>
            </w:pPr>
          </w:p>
        </w:tc>
        <w:tc>
          <w:tcPr>
            <w:tcW w:w="1450" w:type="dxa"/>
          </w:tcPr>
          <w:p w:rsidR="00EE5767" w:rsidRPr="007B1B71" w:rsidP="00C900B5" w14:paraId="2289077D" w14:textId="77777777">
            <w:pPr>
              <w:pStyle w:val="Tabletext8pt"/>
            </w:pPr>
          </w:p>
        </w:tc>
        <w:tc>
          <w:tcPr>
            <w:tcW w:w="1892" w:type="dxa"/>
            <w:noWrap/>
          </w:tcPr>
          <w:p w:rsidR="00EE5767" w:rsidRPr="007B1B71" w:rsidP="00C900B5" w14:paraId="656C26E5" w14:textId="48E8B588">
            <w:pPr>
              <w:pStyle w:val="Tabletext8pt"/>
            </w:pPr>
          </w:p>
        </w:tc>
      </w:tr>
      <w:tr w14:paraId="6B75C729" w14:textId="77777777" w:rsidTr="00EC79A0">
        <w:tblPrEx>
          <w:tblW w:w="4773" w:type="pct"/>
          <w:tblLayout w:type="fixed"/>
          <w:tblLook w:val="04A0"/>
        </w:tblPrEx>
        <w:trPr>
          <w:trHeight w:val="126"/>
        </w:trPr>
        <w:tc>
          <w:tcPr>
            <w:tcW w:w="2736" w:type="dxa"/>
            <w:hideMark/>
          </w:tcPr>
          <w:p w:rsidR="00EE5767" w:rsidRPr="007B1B71" w:rsidP="00C900B5" w14:paraId="521F9BD5" w14:textId="77777777">
            <w:pPr>
              <w:pStyle w:val="Tabletext8ptcol1indent1"/>
            </w:pPr>
            <w:r w:rsidRPr="007B1B71">
              <w:t>Respondents</w:t>
            </w:r>
          </w:p>
        </w:tc>
        <w:tc>
          <w:tcPr>
            <w:tcW w:w="1365" w:type="dxa"/>
          </w:tcPr>
          <w:p w:rsidR="00EE5767" w:rsidRPr="007B1B71" w:rsidP="00C900B5" w14:paraId="21AA1F03" w14:textId="5222499D">
            <w:pPr>
              <w:pStyle w:val="Tabletext8ptdecimalalign"/>
              <w:jc w:val="left"/>
            </w:pPr>
            <w:r>
              <w:t>20.1</w:t>
            </w:r>
          </w:p>
        </w:tc>
        <w:tc>
          <w:tcPr>
            <w:tcW w:w="1440" w:type="dxa"/>
          </w:tcPr>
          <w:p w:rsidR="00EE5767" w:rsidRPr="007B1B71" w:rsidP="00C900B5" w14:paraId="167472DC" w14:textId="0FEBACF1">
            <w:pPr>
              <w:pStyle w:val="Tabletext8ptdecimalalign"/>
              <w:jc w:val="left"/>
            </w:pPr>
            <w:r>
              <w:t>21.2</w:t>
            </w:r>
          </w:p>
        </w:tc>
        <w:tc>
          <w:tcPr>
            <w:tcW w:w="1152" w:type="dxa"/>
          </w:tcPr>
          <w:p w:rsidR="00EE5767" w:rsidRPr="007B1B71" w:rsidP="00C900B5" w14:paraId="20690DA6" w14:textId="005CF555">
            <w:pPr>
              <w:pStyle w:val="Tabletext8pt"/>
            </w:pPr>
            <w:r>
              <w:t>0.89</w:t>
            </w:r>
          </w:p>
        </w:tc>
        <w:tc>
          <w:tcPr>
            <w:tcW w:w="1450" w:type="dxa"/>
          </w:tcPr>
          <w:p w:rsidR="00EE5767" w:rsidRPr="007B1B71" w:rsidP="00C900B5" w14:paraId="6148A85A" w14:textId="3E3BDA60">
            <w:pPr>
              <w:pStyle w:val="Tabletext8pt"/>
            </w:pPr>
            <w:r>
              <w:t>0.35</w:t>
            </w:r>
          </w:p>
        </w:tc>
        <w:tc>
          <w:tcPr>
            <w:tcW w:w="1892" w:type="dxa"/>
            <w:noWrap/>
          </w:tcPr>
          <w:p w:rsidR="00EE5767" w:rsidRPr="007B1B71" w:rsidP="00C900B5" w14:paraId="0C672151" w14:textId="528F5F52">
            <w:pPr>
              <w:pStyle w:val="Tabletext8pt"/>
            </w:pPr>
          </w:p>
        </w:tc>
      </w:tr>
      <w:tr w14:paraId="7B2857C3" w14:textId="77777777" w:rsidTr="00EC79A0">
        <w:tblPrEx>
          <w:tblW w:w="4773" w:type="pct"/>
          <w:tblLayout w:type="fixed"/>
          <w:tblLook w:val="04A0"/>
        </w:tblPrEx>
        <w:tc>
          <w:tcPr>
            <w:tcW w:w="2736" w:type="dxa"/>
            <w:hideMark/>
          </w:tcPr>
          <w:p w:rsidR="00EE5767" w:rsidRPr="007B1B71" w:rsidP="00C900B5" w14:paraId="20666C94" w14:textId="77777777">
            <w:pPr>
              <w:pStyle w:val="Tabletext8ptcol1indent1"/>
            </w:pPr>
            <w:r w:rsidRPr="007B1B71">
              <w:t>Nonrespondents</w:t>
            </w:r>
          </w:p>
        </w:tc>
        <w:tc>
          <w:tcPr>
            <w:tcW w:w="1365" w:type="dxa"/>
          </w:tcPr>
          <w:p w:rsidR="00EE5767" w:rsidRPr="007B1B71" w:rsidP="00C900B5" w14:paraId="146026D6" w14:textId="2754514F">
            <w:pPr>
              <w:pStyle w:val="Tabletext8ptdecimalalign"/>
              <w:jc w:val="left"/>
            </w:pPr>
            <w:r>
              <w:t>22.8</w:t>
            </w:r>
          </w:p>
        </w:tc>
        <w:tc>
          <w:tcPr>
            <w:tcW w:w="1440" w:type="dxa"/>
          </w:tcPr>
          <w:p w:rsidR="00EE5767" w:rsidRPr="007B1B71" w:rsidP="00C900B5" w14:paraId="47BE94A4" w14:textId="410299FE">
            <w:pPr>
              <w:pStyle w:val="Tabletext8ptdecimalalign"/>
              <w:jc w:val="left"/>
            </w:pPr>
            <w:r>
              <w:t>22.9</w:t>
            </w:r>
          </w:p>
        </w:tc>
        <w:tc>
          <w:tcPr>
            <w:tcW w:w="1152" w:type="dxa"/>
          </w:tcPr>
          <w:p w:rsidR="00EE5767" w:rsidRPr="007B1B71" w:rsidP="00C900B5" w14:paraId="3FCE12C5" w14:textId="77777777">
            <w:pPr>
              <w:pStyle w:val="Tabletext8pt"/>
            </w:pPr>
          </w:p>
        </w:tc>
        <w:tc>
          <w:tcPr>
            <w:tcW w:w="1450" w:type="dxa"/>
          </w:tcPr>
          <w:p w:rsidR="00EE5767" w:rsidRPr="007B1B71" w:rsidP="00C900B5" w14:paraId="1CC278A1" w14:textId="77777777">
            <w:pPr>
              <w:pStyle w:val="Tabletext8pt"/>
            </w:pPr>
          </w:p>
        </w:tc>
        <w:tc>
          <w:tcPr>
            <w:tcW w:w="1892" w:type="dxa"/>
            <w:noWrap/>
          </w:tcPr>
          <w:p w:rsidR="00EE5767" w:rsidRPr="007B1B71" w:rsidP="00C900B5" w14:paraId="75593A8E" w14:textId="2D547969">
            <w:pPr>
              <w:pStyle w:val="Tabletext8pt"/>
            </w:pPr>
          </w:p>
        </w:tc>
      </w:tr>
      <w:tr w14:paraId="3576AEBE" w14:textId="77777777" w:rsidTr="00EC79A0">
        <w:tblPrEx>
          <w:tblW w:w="4773" w:type="pct"/>
          <w:tblLayout w:type="fixed"/>
          <w:tblLook w:val="04A0"/>
        </w:tblPrEx>
        <w:tc>
          <w:tcPr>
            <w:tcW w:w="2736" w:type="dxa"/>
            <w:hideMark/>
          </w:tcPr>
          <w:p w:rsidR="00EE5767" w:rsidRPr="007B1B71" w:rsidP="00C900B5" w14:paraId="55BBCF8C" w14:textId="77777777">
            <w:pPr>
              <w:pStyle w:val="Tabletext8ptcol1indent1"/>
            </w:pPr>
            <w:r w:rsidRPr="007B1B71">
              <w:t xml:space="preserve">Respondents – </w:t>
            </w:r>
            <w:r>
              <w:t>n</w:t>
            </w:r>
            <w:r w:rsidRPr="007B1B71">
              <w:t>onrespondents</w:t>
            </w:r>
          </w:p>
        </w:tc>
        <w:tc>
          <w:tcPr>
            <w:tcW w:w="1365" w:type="dxa"/>
          </w:tcPr>
          <w:p w:rsidR="00EE5767" w:rsidRPr="007B1B71" w:rsidP="00C900B5" w14:paraId="21160381" w14:textId="36BDDBFA">
            <w:pPr>
              <w:pStyle w:val="Tabletext8ptdecimalalign"/>
              <w:jc w:val="left"/>
            </w:pPr>
            <w:r>
              <w:t>-2.7</w:t>
            </w:r>
          </w:p>
        </w:tc>
        <w:tc>
          <w:tcPr>
            <w:tcW w:w="1440" w:type="dxa"/>
          </w:tcPr>
          <w:p w:rsidR="00EE5767" w:rsidRPr="007B1B71" w:rsidP="00C900B5" w14:paraId="649136F1" w14:textId="41849E32">
            <w:pPr>
              <w:pStyle w:val="Tabletext8ptdecimalalign"/>
              <w:jc w:val="left"/>
            </w:pPr>
            <w:r>
              <w:t>-1.7</w:t>
            </w:r>
          </w:p>
        </w:tc>
        <w:tc>
          <w:tcPr>
            <w:tcW w:w="1152" w:type="dxa"/>
          </w:tcPr>
          <w:p w:rsidR="00EE5767" w:rsidRPr="007B1B71" w:rsidP="00C900B5" w14:paraId="3D28B330" w14:textId="77777777">
            <w:pPr>
              <w:pStyle w:val="Tabletext8pt"/>
            </w:pPr>
          </w:p>
        </w:tc>
        <w:tc>
          <w:tcPr>
            <w:tcW w:w="1450" w:type="dxa"/>
          </w:tcPr>
          <w:p w:rsidR="00EE5767" w:rsidRPr="007B1B71" w:rsidP="00C900B5" w14:paraId="06A50D08" w14:textId="77777777">
            <w:pPr>
              <w:pStyle w:val="Tabletext8pt"/>
            </w:pPr>
          </w:p>
        </w:tc>
        <w:tc>
          <w:tcPr>
            <w:tcW w:w="1892" w:type="dxa"/>
            <w:noWrap/>
          </w:tcPr>
          <w:p w:rsidR="00EE5767" w:rsidRPr="007B1B71" w:rsidP="00C900B5" w14:paraId="31F5958A" w14:textId="183A10D9">
            <w:pPr>
              <w:pStyle w:val="Tabletext8pt"/>
            </w:pPr>
          </w:p>
        </w:tc>
      </w:tr>
      <w:tr w14:paraId="594D5F52" w14:textId="77777777" w:rsidTr="00EC79A0">
        <w:tblPrEx>
          <w:tblW w:w="4773" w:type="pct"/>
          <w:tblLayout w:type="fixed"/>
          <w:tblLook w:val="04A0"/>
        </w:tblPrEx>
        <w:tc>
          <w:tcPr>
            <w:tcW w:w="2736" w:type="dxa"/>
            <w:hideMark/>
          </w:tcPr>
          <w:p w:rsidR="00EE5767" w:rsidRPr="007B1B71" w:rsidP="00863A3F" w14:paraId="251A802C" w14:textId="77777777">
            <w:pPr>
              <w:pStyle w:val="Tabletext8ptcol1indent1"/>
            </w:pPr>
            <w:r w:rsidRPr="007B1B71">
              <w:t xml:space="preserve">Nonresponse </w:t>
            </w:r>
            <w:r>
              <w:t>b</w:t>
            </w:r>
            <w:r w:rsidRPr="007B1B71">
              <w:t>ias</w:t>
            </w:r>
          </w:p>
        </w:tc>
        <w:tc>
          <w:tcPr>
            <w:tcW w:w="1365" w:type="dxa"/>
            <w:noWrap/>
            <w:vAlign w:val="top"/>
          </w:tcPr>
          <w:p w:rsidR="00EE5767" w:rsidRPr="007B1B71" w:rsidP="00863A3F" w14:paraId="04B3E6F6" w14:textId="473E4D2D">
            <w:pPr>
              <w:pStyle w:val="Tabletext8ptdecimalalign"/>
              <w:jc w:val="left"/>
            </w:pPr>
            <w:r w:rsidRPr="00191507">
              <w:t>-0.88</w:t>
            </w:r>
          </w:p>
        </w:tc>
        <w:tc>
          <w:tcPr>
            <w:tcW w:w="1440" w:type="dxa"/>
            <w:noWrap/>
            <w:vAlign w:val="top"/>
          </w:tcPr>
          <w:p w:rsidR="00EE5767" w:rsidRPr="007B1B71" w:rsidP="00863A3F" w14:paraId="04B03015" w14:textId="3C2395C2">
            <w:pPr>
              <w:pStyle w:val="Tabletext8ptdecimalalign"/>
              <w:jc w:val="left"/>
            </w:pPr>
            <w:r w:rsidRPr="00191507">
              <w:t>-0.64</w:t>
            </w:r>
          </w:p>
        </w:tc>
        <w:tc>
          <w:tcPr>
            <w:tcW w:w="1152" w:type="dxa"/>
            <w:vAlign w:val="top"/>
          </w:tcPr>
          <w:p w:rsidR="00EE5767" w:rsidRPr="007B1B71" w:rsidP="00863A3F" w14:paraId="492AE73A" w14:textId="77777777">
            <w:pPr>
              <w:pStyle w:val="Tabletext8pt"/>
            </w:pPr>
          </w:p>
        </w:tc>
        <w:tc>
          <w:tcPr>
            <w:tcW w:w="1450" w:type="dxa"/>
          </w:tcPr>
          <w:p w:rsidR="00EE5767" w:rsidRPr="00191507" w:rsidP="00863A3F" w14:paraId="2E5CE071" w14:textId="77777777">
            <w:pPr>
              <w:pStyle w:val="Tabletext8pt"/>
            </w:pPr>
          </w:p>
        </w:tc>
        <w:tc>
          <w:tcPr>
            <w:tcW w:w="1892" w:type="dxa"/>
            <w:noWrap/>
            <w:vAlign w:val="top"/>
          </w:tcPr>
          <w:p w:rsidR="00EE5767" w:rsidRPr="007B1B71" w:rsidP="00863A3F" w14:paraId="76313865" w14:textId="5FBE325E">
            <w:pPr>
              <w:pStyle w:val="Tabletext8pt"/>
            </w:pPr>
            <w:r w:rsidRPr="00191507">
              <w:t>-0.2</w:t>
            </w:r>
          </w:p>
        </w:tc>
      </w:tr>
      <w:tr w14:paraId="109D90D0" w14:textId="77777777" w:rsidTr="00EC79A0">
        <w:tblPrEx>
          <w:tblW w:w="4773" w:type="pct"/>
          <w:tblLayout w:type="fixed"/>
          <w:tblLook w:val="04A0"/>
        </w:tblPrEx>
        <w:tc>
          <w:tcPr>
            <w:tcW w:w="2736" w:type="dxa"/>
            <w:hideMark/>
          </w:tcPr>
          <w:p w:rsidR="00EE5767" w:rsidRPr="007B1B71" w:rsidP="00C900B5" w14:paraId="084EA489" w14:textId="5589F60C">
            <w:pPr>
              <w:pStyle w:val="Tabletext8ptcol1indent1"/>
            </w:pPr>
            <w:r w:rsidRPr="007B1B71">
              <w:t xml:space="preserve">Overall </w:t>
            </w:r>
            <w:r>
              <w:t>s</w:t>
            </w:r>
            <w:r w:rsidRPr="007B1B71">
              <w:t>ample (</w:t>
            </w:r>
            <w:r w:rsidRPr="007B1B71">
              <w:rPr>
                <w:i/>
                <w:iCs/>
              </w:rPr>
              <w:t>n</w:t>
            </w:r>
            <w:r w:rsidRPr="007B1B71">
              <w:t xml:space="preserve"> = </w:t>
            </w:r>
            <w:r>
              <w:t>2</w:t>
            </w:r>
            <w:r w:rsidRPr="007B1B71">
              <w:t>,</w:t>
            </w:r>
            <w:r>
              <w:t>600</w:t>
            </w:r>
            <w:r w:rsidRPr="007B1B71">
              <w:t>)</w:t>
            </w:r>
            <w:r w:rsidRPr="00C70009" w:rsidR="00C70009">
              <w:rPr>
                <w:vertAlign w:val="superscript"/>
              </w:rPr>
              <w:t xml:space="preserve"> 1</w:t>
            </w:r>
          </w:p>
        </w:tc>
        <w:tc>
          <w:tcPr>
            <w:tcW w:w="1365" w:type="dxa"/>
          </w:tcPr>
          <w:p w:rsidR="00EE5767" w:rsidRPr="007B1B71" w:rsidP="00C900B5" w14:paraId="4C0AC3C8" w14:textId="19C8951B">
            <w:pPr>
              <w:pStyle w:val="Tabletext8ptdecimalalign"/>
              <w:jc w:val="left"/>
            </w:pPr>
            <w:r>
              <w:t>21.0</w:t>
            </w:r>
          </w:p>
        </w:tc>
        <w:tc>
          <w:tcPr>
            <w:tcW w:w="1440" w:type="dxa"/>
          </w:tcPr>
          <w:p w:rsidR="00EE5767" w:rsidRPr="007B1B71" w:rsidP="00C900B5" w14:paraId="5405A958" w14:textId="1A1F1F8E">
            <w:pPr>
              <w:pStyle w:val="Tabletext8ptdecimalalign"/>
              <w:jc w:val="left"/>
            </w:pPr>
            <w:r>
              <w:t>22.3</w:t>
            </w:r>
          </w:p>
        </w:tc>
        <w:tc>
          <w:tcPr>
            <w:tcW w:w="1152" w:type="dxa"/>
          </w:tcPr>
          <w:p w:rsidR="00EE5767" w:rsidRPr="007B1B71" w:rsidP="00C900B5" w14:paraId="2B59D461" w14:textId="77777777">
            <w:pPr>
              <w:pStyle w:val="Tabletext8pt"/>
            </w:pPr>
          </w:p>
        </w:tc>
        <w:tc>
          <w:tcPr>
            <w:tcW w:w="1450" w:type="dxa"/>
          </w:tcPr>
          <w:p w:rsidR="00EE5767" w:rsidRPr="007B1B71" w:rsidP="00C900B5" w14:paraId="4E2B3372" w14:textId="77777777">
            <w:pPr>
              <w:pStyle w:val="Tabletext8pt"/>
            </w:pPr>
          </w:p>
        </w:tc>
        <w:tc>
          <w:tcPr>
            <w:tcW w:w="1892" w:type="dxa"/>
            <w:noWrap/>
          </w:tcPr>
          <w:p w:rsidR="00EE5767" w:rsidRPr="007B1B71" w:rsidP="00C900B5" w14:paraId="783E7F10" w14:textId="1A65CB0B">
            <w:pPr>
              <w:pStyle w:val="Tabletext8pt"/>
            </w:pPr>
          </w:p>
        </w:tc>
      </w:tr>
      <w:tr w14:paraId="04B6C35A" w14:textId="77777777" w:rsidTr="00EC79A0">
        <w:tblPrEx>
          <w:tblW w:w="4773" w:type="pct"/>
          <w:tblLayout w:type="fixed"/>
          <w:tblLook w:val="04A0"/>
        </w:tblPrEx>
        <w:tc>
          <w:tcPr>
            <w:tcW w:w="2736" w:type="dxa"/>
          </w:tcPr>
          <w:p w:rsidR="00EE5767" w:rsidRPr="007B1B71" w:rsidP="00C900B5" w14:paraId="07C922C1" w14:textId="77777777">
            <w:pPr>
              <w:pStyle w:val="Tabletext8ptcol1subhead"/>
            </w:pPr>
            <w:r w:rsidRPr="007B1B71">
              <w:rPr>
                <w:b/>
                <w:bCs/>
              </w:rPr>
              <w:t>Control</w:t>
            </w:r>
            <w:r>
              <w:rPr>
                <w:b/>
                <w:bCs/>
              </w:rPr>
              <w:t xml:space="preserve"> of institution</w:t>
            </w:r>
            <w:r w:rsidRPr="007B1B71">
              <w:t xml:space="preserve"> (in percent)</w:t>
            </w:r>
          </w:p>
        </w:tc>
        <w:tc>
          <w:tcPr>
            <w:tcW w:w="1365" w:type="dxa"/>
          </w:tcPr>
          <w:p w:rsidR="00EE5767" w:rsidRPr="007B1B71" w:rsidP="00C900B5" w14:paraId="4A46F984" w14:textId="77777777">
            <w:pPr>
              <w:pStyle w:val="Tabletext8ptdecimalalign"/>
              <w:jc w:val="left"/>
            </w:pPr>
          </w:p>
        </w:tc>
        <w:tc>
          <w:tcPr>
            <w:tcW w:w="1440" w:type="dxa"/>
          </w:tcPr>
          <w:p w:rsidR="00EE5767" w:rsidRPr="007B1B71" w:rsidP="00C900B5" w14:paraId="1FDF07A9" w14:textId="77777777">
            <w:pPr>
              <w:pStyle w:val="Tabletext8ptdecimalalign"/>
              <w:jc w:val="left"/>
            </w:pPr>
          </w:p>
        </w:tc>
        <w:tc>
          <w:tcPr>
            <w:tcW w:w="1152" w:type="dxa"/>
          </w:tcPr>
          <w:p w:rsidR="00EE5767" w:rsidRPr="007B1B71" w:rsidP="00C900B5" w14:paraId="0B1A325E" w14:textId="77777777">
            <w:pPr>
              <w:pStyle w:val="Tabletext8pt"/>
            </w:pPr>
          </w:p>
        </w:tc>
        <w:tc>
          <w:tcPr>
            <w:tcW w:w="1450" w:type="dxa"/>
          </w:tcPr>
          <w:p w:rsidR="00EE5767" w:rsidRPr="007B1B71" w:rsidP="00C900B5" w14:paraId="3E2AD552" w14:textId="77777777">
            <w:pPr>
              <w:pStyle w:val="Tabletext8pt"/>
            </w:pPr>
          </w:p>
        </w:tc>
        <w:tc>
          <w:tcPr>
            <w:tcW w:w="1892" w:type="dxa"/>
            <w:noWrap/>
          </w:tcPr>
          <w:p w:rsidR="00EE5767" w:rsidRPr="007B1B71" w:rsidP="00C900B5" w14:paraId="4A35958B" w14:textId="032F06F7">
            <w:pPr>
              <w:pStyle w:val="Tabletext8pt"/>
            </w:pPr>
          </w:p>
        </w:tc>
      </w:tr>
      <w:tr w14:paraId="6BB0885A" w14:textId="77777777" w:rsidTr="00EC79A0">
        <w:tblPrEx>
          <w:tblW w:w="4773" w:type="pct"/>
          <w:tblLayout w:type="fixed"/>
          <w:tblLook w:val="04A0"/>
        </w:tblPrEx>
        <w:tc>
          <w:tcPr>
            <w:tcW w:w="2736" w:type="dxa"/>
            <w:hideMark/>
          </w:tcPr>
          <w:p w:rsidR="00EE5767" w:rsidRPr="007B1B71" w:rsidP="00C900B5" w14:paraId="7270FC9A" w14:textId="77777777">
            <w:pPr>
              <w:pStyle w:val="Tabletext8ptcol1indent1"/>
            </w:pPr>
            <w:r w:rsidRPr="007B1B71">
              <w:t>Public</w:t>
            </w:r>
          </w:p>
        </w:tc>
        <w:tc>
          <w:tcPr>
            <w:tcW w:w="1365" w:type="dxa"/>
          </w:tcPr>
          <w:p w:rsidR="00EE5767" w:rsidRPr="007B1B71" w:rsidP="00C900B5" w14:paraId="7397A6E3" w14:textId="77777777">
            <w:pPr>
              <w:pStyle w:val="Tabletext8ptdecimalalign"/>
              <w:jc w:val="left"/>
            </w:pPr>
          </w:p>
        </w:tc>
        <w:tc>
          <w:tcPr>
            <w:tcW w:w="1440" w:type="dxa"/>
          </w:tcPr>
          <w:p w:rsidR="00EE5767" w:rsidRPr="007B1B71" w:rsidP="00C900B5" w14:paraId="1BEA57EA" w14:textId="77777777">
            <w:pPr>
              <w:pStyle w:val="Tabletext8ptdecimalalign"/>
              <w:jc w:val="left"/>
            </w:pPr>
          </w:p>
        </w:tc>
        <w:tc>
          <w:tcPr>
            <w:tcW w:w="1152" w:type="dxa"/>
          </w:tcPr>
          <w:p w:rsidR="00EE5767" w:rsidRPr="007B1B71" w:rsidP="00C900B5" w14:paraId="5BD1D60A" w14:textId="77777777">
            <w:pPr>
              <w:pStyle w:val="Tabletext8pt"/>
            </w:pPr>
          </w:p>
        </w:tc>
        <w:tc>
          <w:tcPr>
            <w:tcW w:w="1450" w:type="dxa"/>
          </w:tcPr>
          <w:p w:rsidR="00EE5767" w:rsidRPr="007B1B71" w:rsidP="00C900B5" w14:paraId="1DF0642D" w14:textId="77777777">
            <w:pPr>
              <w:pStyle w:val="Tabletext8pt"/>
            </w:pPr>
          </w:p>
        </w:tc>
        <w:tc>
          <w:tcPr>
            <w:tcW w:w="1892" w:type="dxa"/>
            <w:noWrap/>
          </w:tcPr>
          <w:p w:rsidR="00EE5767" w:rsidRPr="007B1B71" w:rsidP="00C900B5" w14:paraId="083B72D2" w14:textId="3F042AF2">
            <w:pPr>
              <w:pStyle w:val="Tabletext8pt"/>
            </w:pPr>
          </w:p>
        </w:tc>
      </w:tr>
      <w:tr w14:paraId="1F1C7D4D" w14:textId="77777777" w:rsidTr="00EC79A0">
        <w:tblPrEx>
          <w:tblW w:w="4773" w:type="pct"/>
          <w:tblLayout w:type="fixed"/>
          <w:tblLook w:val="04A0"/>
        </w:tblPrEx>
        <w:tc>
          <w:tcPr>
            <w:tcW w:w="2736" w:type="dxa"/>
            <w:hideMark/>
          </w:tcPr>
          <w:p w:rsidR="00EE5767" w:rsidRPr="007B1B71" w:rsidP="00C900B5" w14:paraId="6E6BC906" w14:textId="77777777">
            <w:pPr>
              <w:pStyle w:val="Tabletext8ptcol1indent2"/>
            </w:pPr>
            <w:r w:rsidRPr="007B1B71">
              <w:t>Respondents</w:t>
            </w:r>
          </w:p>
        </w:tc>
        <w:tc>
          <w:tcPr>
            <w:tcW w:w="1365" w:type="dxa"/>
          </w:tcPr>
          <w:p w:rsidR="00EE5767" w:rsidRPr="007B1B71" w:rsidP="00C900B5" w14:paraId="380BCD69" w14:textId="798D3D3B">
            <w:pPr>
              <w:pStyle w:val="Tabletext8ptdecimalalign"/>
              <w:jc w:val="left"/>
            </w:pPr>
            <w:r>
              <w:t>58.3</w:t>
            </w:r>
          </w:p>
        </w:tc>
        <w:tc>
          <w:tcPr>
            <w:tcW w:w="1440" w:type="dxa"/>
          </w:tcPr>
          <w:p w:rsidR="00EE5767" w:rsidRPr="007B1B71" w:rsidP="00C900B5" w14:paraId="37D41414" w14:textId="4E53ACDF">
            <w:pPr>
              <w:pStyle w:val="Tabletext8ptdecimalalign"/>
              <w:jc w:val="left"/>
            </w:pPr>
            <w:r>
              <w:t>60.5</w:t>
            </w:r>
          </w:p>
        </w:tc>
        <w:tc>
          <w:tcPr>
            <w:tcW w:w="1152" w:type="dxa"/>
          </w:tcPr>
          <w:p w:rsidR="00EE5767" w:rsidRPr="007B1B71" w:rsidP="00C900B5" w14:paraId="2C9C84A7" w14:textId="2DD2844D">
            <w:pPr>
              <w:pStyle w:val="Tabletext8pt"/>
            </w:pPr>
            <w:r>
              <w:t>0.85</w:t>
            </w:r>
          </w:p>
        </w:tc>
        <w:tc>
          <w:tcPr>
            <w:tcW w:w="1450" w:type="dxa"/>
          </w:tcPr>
          <w:p w:rsidR="00EE5767" w:rsidRPr="007B1B71" w:rsidP="00C900B5" w14:paraId="3FCAC51C" w14:textId="5D51191D">
            <w:pPr>
              <w:pStyle w:val="Tabletext8pt"/>
            </w:pPr>
            <w:r>
              <w:t>0.3</w:t>
            </w:r>
            <w:r w:rsidR="009051BA">
              <w:t>6</w:t>
            </w:r>
          </w:p>
        </w:tc>
        <w:tc>
          <w:tcPr>
            <w:tcW w:w="1892" w:type="dxa"/>
            <w:noWrap/>
          </w:tcPr>
          <w:p w:rsidR="00EE5767" w:rsidRPr="007B1B71" w:rsidP="00C900B5" w14:paraId="5E13226C" w14:textId="71575E55">
            <w:pPr>
              <w:pStyle w:val="Tabletext8pt"/>
            </w:pPr>
          </w:p>
        </w:tc>
      </w:tr>
      <w:tr w14:paraId="291F1ADA" w14:textId="77777777" w:rsidTr="00EC79A0">
        <w:tblPrEx>
          <w:tblW w:w="4773" w:type="pct"/>
          <w:tblLayout w:type="fixed"/>
          <w:tblLook w:val="04A0"/>
        </w:tblPrEx>
        <w:tc>
          <w:tcPr>
            <w:tcW w:w="2736" w:type="dxa"/>
            <w:hideMark/>
          </w:tcPr>
          <w:p w:rsidR="00EE5767" w:rsidRPr="007B1B71" w:rsidP="00C900B5" w14:paraId="22FFB450" w14:textId="77777777">
            <w:pPr>
              <w:pStyle w:val="Tabletext8ptcol1indent2"/>
            </w:pPr>
            <w:r w:rsidRPr="007B1B71">
              <w:t>Nonrespondents</w:t>
            </w:r>
          </w:p>
        </w:tc>
        <w:tc>
          <w:tcPr>
            <w:tcW w:w="1365" w:type="dxa"/>
          </w:tcPr>
          <w:p w:rsidR="00EE5767" w:rsidRPr="007B1B71" w:rsidP="00C900B5" w14:paraId="46B52386" w14:textId="3E4BD399">
            <w:pPr>
              <w:pStyle w:val="Tabletext8ptdecimalalign"/>
              <w:jc w:val="left"/>
            </w:pPr>
            <w:r>
              <w:t>61.2</w:t>
            </w:r>
          </w:p>
        </w:tc>
        <w:tc>
          <w:tcPr>
            <w:tcW w:w="1440" w:type="dxa"/>
          </w:tcPr>
          <w:p w:rsidR="00EE5767" w:rsidRPr="007B1B71" w:rsidP="00C900B5" w14:paraId="2E20A9F1" w14:textId="484B7307">
            <w:pPr>
              <w:pStyle w:val="Tabletext8ptdecimalalign"/>
              <w:jc w:val="left"/>
            </w:pPr>
            <w:r>
              <w:t>57.2</w:t>
            </w:r>
          </w:p>
        </w:tc>
        <w:tc>
          <w:tcPr>
            <w:tcW w:w="1152" w:type="dxa"/>
          </w:tcPr>
          <w:p w:rsidR="00EE5767" w:rsidRPr="007B1B71" w:rsidP="00C900B5" w14:paraId="46A49EFB" w14:textId="77777777">
            <w:pPr>
              <w:pStyle w:val="Tabletext8pt"/>
            </w:pPr>
          </w:p>
        </w:tc>
        <w:tc>
          <w:tcPr>
            <w:tcW w:w="1450" w:type="dxa"/>
          </w:tcPr>
          <w:p w:rsidR="00EE5767" w:rsidRPr="007B1B71" w:rsidP="00C900B5" w14:paraId="6370F272" w14:textId="77777777">
            <w:pPr>
              <w:pStyle w:val="Tabletext8pt"/>
            </w:pPr>
          </w:p>
        </w:tc>
        <w:tc>
          <w:tcPr>
            <w:tcW w:w="1892" w:type="dxa"/>
            <w:noWrap/>
          </w:tcPr>
          <w:p w:rsidR="00EE5767" w:rsidRPr="007B1B71" w:rsidP="00C900B5" w14:paraId="3624495C" w14:textId="03E42BCC">
            <w:pPr>
              <w:pStyle w:val="Tabletext8pt"/>
            </w:pPr>
          </w:p>
        </w:tc>
      </w:tr>
      <w:tr w14:paraId="11CEA6C9" w14:textId="77777777" w:rsidTr="00EC79A0">
        <w:tblPrEx>
          <w:tblW w:w="4773" w:type="pct"/>
          <w:tblLayout w:type="fixed"/>
          <w:tblLook w:val="04A0"/>
        </w:tblPrEx>
        <w:tc>
          <w:tcPr>
            <w:tcW w:w="2736" w:type="dxa"/>
            <w:hideMark/>
          </w:tcPr>
          <w:p w:rsidR="00EE5767" w:rsidRPr="007B1B71" w:rsidP="00C900B5" w14:paraId="2955DB2A" w14:textId="77777777">
            <w:pPr>
              <w:pStyle w:val="Tabletext8ptcol1indent2"/>
            </w:pPr>
            <w:r w:rsidRPr="007B1B71">
              <w:t xml:space="preserve">Respondents – </w:t>
            </w:r>
            <w:r>
              <w:t>n</w:t>
            </w:r>
            <w:r w:rsidRPr="007B1B71">
              <w:t>onrespondents</w:t>
            </w:r>
          </w:p>
        </w:tc>
        <w:tc>
          <w:tcPr>
            <w:tcW w:w="1365" w:type="dxa"/>
          </w:tcPr>
          <w:p w:rsidR="00EE5767" w:rsidRPr="007B1B71" w:rsidP="00C900B5" w14:paraId="5DC5960D" w14:textId="437A6DA7">
            <w:pPr>
              <w:pStyle w:val="Tabletext8ptdecimalalign"/>
              <w:jc w:val="left"/>
            </w:pPr>
            <w:r>
              <w:t>-2.9</w:t>
            </w:r>
          </w:p>
        </w:tc>
        <w:tc>
          <w:tcPr>
            <w:tcW w:w="1440" w:type="dxa"/>
          </w:tcPr>
          <w:p w:rsidR="00EE5767" w:rsidRPr="007B1B71" w:rsidP="00C900B5" w14:paraId="001A489E" w14:textId="75DF765F">
            <w:pPr>
              <w:pStyle w:val="Tabletext8ptdecimalalign"/>
              <w:jc w:val="left"/>
            </w:pPr>
            <w:r>
              <w:t>3.3</w:t>
            </w:r>
          </w:p>
        </w:tc>
        <w:tc>
          <w:tcPr>
            <w:tcW w:w="1152" w:type="dxa"/>
          </w:tcPr>
          <w:p w:rsidR="00EE5767" w:rsidRPr="007B1B71" w:rsidP="00C900B5" w14:paraId="5DB3BD82" w14:textId="77777777">
            <w:pPr>
              <w:pStyle w:val="Tabletext8pt"/>
            </w:pPr>
          </w:p>
        </w:tc>
        <w:tc>
          <w:tcPr>
            <w:tcW w:w="1450" w:type="dxa"/>
          </w:tcPr>
          <w:p w:rsidR="00EE5767" w:rsidRPr="007B1B71" w:rsidP="00C900B5" w14:paraId="7378AA3D" w14:textId="77777777">
            <w:pPr>
              <w:pStyle w:val="Tabletext8pt"/>
            </w:pPr>
          </w:p>
        </w:tc>
        <w:tc>
          <w:tcPr>
            <w:tcW w:w="1892" w:type="dxa"/>
            <w:noWrap/>
          </w:tcPr>
          <w:p w:rsidR="00EE5767" w:rsidRPr="007B1B71" w:rsidP="00C900B5" w14:paraId="0B608B5A" w14:textId="4BBED831">
            <w:pPr>
              <w:pStyle w:val="Tabletext8pt"/>
            </w:pPr>
          </w:p>
        </w:tc>
      </w:tr>
      <w:tr w14:paraId="6296EC39" w14:textId="77777777" w:rsidTr="00EC79A0">
        <w:tblPrEx>
          <w:tblW w:w="4773" w:type="pct"/>
          <w:tblLayout w:type="fixed"/>
          <w:tblLook w:val="04A0"/>
        </w:tblPrEx>
        <w:tc>
          <w:tcPr>
            <w:tcW w:w="2736" w:type="dxa"/>
            <w:hideMark/>
          </w:tcPr>
          <w:p w:rsidR="00EE5767" w:rsidRPr="007B1B71" w:rsidP="00F5460F" w14:paraId="3FE11985" w14:textId="77777777">
            <w:pPr>
              <w:pStyle w:val="Tabletext8ptcol1indent2"/>
            </w:pPr>
            <w:r w:rsidRPr="007B1B71">
              <w:t xml:space="preserve">Nonresponse </w:t>
            </w:r>
            <w:r>
              <w:t>b</w:t>
            </w:r>
            <w:r w:rsidRPr="007B1B71">
              <w:t>ias</w:t>
            </w:r>
          </w:p>
        </w:tc>
        <w:tc>
          <w:tcPr>
            <w:tcW w:w="1365" w:type="dxa"/>
            <w:noWrap/>
            <w:vAlign w:val="top"/>
          </w:tcPr>
          <w:p w:rsidR="00EE5767" w:rsidRPr="007B1B71" w:rsidP="00F5460F" w14:paraId="399CC9DD" w14:textId="07628AB6">
            <w:pPr>
              <w:pStyle w:val="Tabletext8ptdecimalalign"/>
              <w:jc w:val="left"/>
            </w:pPr>
            <w:r w:rsidRPr="008C0250">
              <w:t>-0.95</w:t>
            </w:r>
          </w:p>
        </w:tc>
        <w:tc>
          <w:tcPr>
            <w:tcW w:w="1440" w:type="dxa"/>
            <w:noWrap/>
            <w:vAlign w:val="top"/>
          </w:tcPr>
          <w:p w:rsidR="00EE5767" w:rsidRPr="007B1B71" w:rsidP="00F5460F" w14:paraId="4EF8EA77" w14:textId="6A701AB1">
            <w:pPr>
              <w:pStyle w:val="Tabletext8ptdecimalalign"/>
              <w:jc w:val="left"/>
            </w:pPr>
            <w:r w:rsidRPr="008C0250">
              <w:t>1.26</w:t>
            </w:r>
          </w:p>
        </w:tc>
        <w:tc>
          <w:tcPr>
            <w:tcW w:w="1152" w:type="dxa"/>
            <w:vAlign w:val="top"/>
          </w:tcPr>
          <w:p w:rsidR="00EE5767" w:rsidRPr="007B1B71" w:rsidP="00F5460F" w14:paraId="640E7FAA" w14:textId="77777777">
            <w:pPr>
              <w:pStyle w:val="Tabletext8pt"/>
            </w:pPr>
          </w:p>
        </w:tc>
        <w:tc>
          <w:tcPr>
            <w:tcW w:w="1450" w:type="dxa"/>
          </w:tcPr>
          <w:p w:rsidR="00EE5767" w:rsidRPr="008C0250" w:rsidP="00F5460F" w14:paraId="6A2E3831" w14:textId="77777777">
            <w:pPr>
              <w:pStyle w:val="Tabletext8pt"/>
            </w:pPr>
          </w:p>
        </w:tc>
        <w:tc>
          <w:tcPr>
            <w:tcW w:w="1892" w:type="dxa"/>
            <w:noWrap/>
            <w:vAlign w:val="top"/>
          </w:tcPr>
          <w:p w:rsidR="00EE5767" w:rsidRPr="007B1B71" w:rsidP="00F5460F" w14:paraId="3E47C680" w14:textId="378F7C88">
            <w:pPr>
              <w:pStyle w:val="Tabletext8pt"/>
            </w:pPr>
            <w:r w:rsidRPr="008C0250">
              <w:t>0.3</w:t>
            </w:r>
          </w:p>
        </w:tc>
      </w:tr>
      <w:tr w14:paraId="583A9F2D" w14:textId="77777777" w:rsidTr="00EC79A0">
        <w:tblPrEx>
          <w:tblW w:w="4773" w:type="pct"/>
          <w:tblLayout w:type="fixed"/>
          <w:tblLook w:val="04A0"/>
        </w:tblPrEx>
        <w:tc>
          <w:tcPr>
            <w:tcW w:w="2736" w:type="dxa"/>
            <w:hideMark/>
          </w:tcPr>
          <w:p w:rsidR="00EE5767" w:rsidRPr="007B1B71" w:rsidP="00C900B5" w14:paraId="52F12ABC" w14:textId="52F24462">
            <w:pPr>
              <w:pStyle w:val="Tabletext8ptcol1indent2"/>
            </w:pPr>
            <w:r w:rsidRPr="007B1B71">
              <w:t xml:space="preserve">Overall </w:t>
            </w:r>
            <w:r>
              <w:t>s</w:t>
            </w:r>
            <w:r w:rsidRPr="007B1B71">
              <w:t>ample (</w:t>
            </w:r>
            <w:r w:rsidRPr="007B1B71">
              <w:rPr>
                <w:i/>
                <w:iCs/>
              </w:rPr>
              <w:t>n</w:t>
            </w:r>
            <w:r w:rsidRPr="007B1B71">
              <w:t xml:space="preserve"> = </w:t>
            </w:r>
            <w:r>
              <w:t>2</w:t>
            </w:r>
            <w:r w:rsidRPr="007B1B71">
              <w:t>,</w:t>
            </w:r>
            <w:r>
              <w:t>660</w:t>
            </w:r>
            <w:r w:rsidRPr="007B1B71">
              <w:t>)</w:t>
            </w:r>
            <w:r w:rsidRPr="00C70009" w:rsidR="00950D3F">
              <w:rPr>
                <w:vertAlign w:val="superscript"/>
              </w:rPr>
              <w:t xml:space="preserve"> 1</w:t>
            </w:r>
          </w:p>
        </w:tc>
        <w:tc>
          <w:tcPr>
            <w:tcW w:w="1365" w:type="dxa"/>
          </w:tcPr>
          <w:p w:rsidR="00EE5767" w:rsidRPr="007B1B71" w:rsidP="00C900B5" w14:paraId="09015AF2" w14:textId="23ED7935">
            <w:pPr>
              <w:pStyle w:val="Tabletext8ptdecimalalign"/>
              <w:jc w:val="left"/>
            </w:pPr>
            <w:r>
              <w:t>59.3</w:t>
            </w:r>
          </w:p>
        </w:tc>
        <w:tc>
          <w:tcPr>
            <w:tcW w:w="1440" w:type="dxa"/>
          </w:tcPr>
          <w:p w:rsidR="00EE5767" w:rsidRPr="007B1B71" w:rsidP="00C900B5" w14:paraId="140AB7EE" w14:textId="3418CEE2">
            <w:pPr>
              <w:pStyle w:val="Tabletext8ptdecimalalign"/>
              <w:jc w:val="left"/>
            </w:pPr>
            <w:r>
              <w:t>59.3</w:t>
            </w:r>
          </w:p>
        </w:tc>
        <w:tc>
          <w:tcPr>
            <w:tcW w:w="1152" w:type="dxa"/>
          </w:tcPr>
          <w:p w:rsidR="00EE5767" w:rsidRPr="007B1B71" w:rsidP="00C900B5" w14:paraId="505F94A0" w14:textId="77777777">
            <w:pPr>
              <w:pStyle w:val="Tabletext8pt"/>
            </w:pPr>
          </w:p>
        </w:tc>
        <w:tc>
          <w:tcPr>
            <w:tcW w:w="1450" w:type="dxa"/>
          </w:tcPr>
          <w:p w:rsidR="00EE5767" w:rsidRPr="007B1B71" w:rsidP="00C900B5" w14:paraId="3A236692" w14:textId="77777777">
            <w:pPr>
              <w:pStyle w:val="Tabletext8pt"/>
            </w:pPr>
          </w:p>
        </w:tc>
        <w:tc>
          <w:tcPr>
            <w:tcW w:w="1892" w:type="dxa"/>
            <w:noWrap/>
          </w:tcPr>
          <w:p w:rsidR="00EE5767" w:rsidRPr="007B1B71" w:rsidP="00C900B5" w14:paraId="7A3ED9E8" w14:textId="71A74C34">
            <w:pPr>
              <w:pStyle w:val="Tabletext8pt"/>
            </w:pPr>
          </w:p>
        </w:tc>
      </w:tr>
      <w:tr w14:paraId="6797D10F" w14:textId="77777777" w:rsidTr="00EC79A0">
        <w:tblPrEx>
          <w:tblW w:w="4773" w:type="pct"/>
          <w:tblLayout w:type="fixed"/>
          <w:tblLook w:val="04A0"/>
        </w:tblPrEx>
        <w:tc>
          <w:tcPr>
            <w:tcW w:w="2736" w:type="dxa"/>
            <w:hideMark/>
          </w:tcPr>
          <w:p w:rsidR="00EE5767" w:rsidRPr="007B1B71" w:rsidP="00C900B5" w14:paraId="5BF971F7" w14:textId="77777777">
            <w:pPr>
              <w:pStyle w:val="Tabletext8ptcol1indent1"/>
            </w:pPr>
            <w:r w:rsidRPr="007B1B71">
              <w:t>Private nonprofit</w:t>
            </w:r>
          </w:p>
        </w:tc>
        <w:tc>
          <w:tcPr>
            <w:tcW w:w="1365" w:type="dxa"/>
          </w:tcPr>
          <w:p w:rsidR="00EE5767" w:rsidRPr="007B1B71" w:rsidP="00C900B5" w14:paraId="0B95EACC" w14:textId="77777777">
            <w:pPr>
              <w:pStyle w:val="Tabletext8ptdecimalalign"/>
              <w:jc w:val="left"/>
            </w:pPr>
          </w:p>
        </w:tc>
        <w:tc>
          <w:tcPr>
            <w:tcW w:w="1440" w:type="dxa"/>
          </w:tcPr>
          <w:p w:rsidR="00EE5767" w:rsidRPr="007B1B71" w:rsidP="00C900B5" w14:paraId="115D5453" w14:textId="77777777">
            <w:pPr>
              <w:pStyle w:val="Tabletext8ptdecimalalign"/>
              <w:jc w:val="left"/>
            </w:pPr>
          </w:p>
        </w:tc>
        <w:tc>
          <w:tcPr>
            <w:tcW w:w="1152" w:type="dxa"/>
          </w:tcPr>
          <w:p w:rsidR="00EE5767" w:rsidRPr="007B1B71" w:rsidP="00C900B5" w14:paraId="5853D8CE" w14:textId="77777777">
            <w:pPr>
              <w:pStyle w:val="Tabletext8pt"/>
            </w:pPr>
          </w:p>
        </w:tc>
        <w:tc>
          <w:tcPr>
            <w:tcW w:w="1450" w:type="dxa"/>
          </w:tcPr>
          <w:p w:rsidR="00EE5767" w:rsidRPr="007B1B71" w:rsidP="00C900B5" w14:paraId="5655FD86" w14:textId="77777777">
            <w:pPr>
              <w:pStyle w:val="Tabletext8pt"/>
            </w:pPr>
          </w:p>
        </w:tc>
        <w:tc>
          <w:tcPr>
            <w:tcW w:w="1892" w:type="dxa"/>
            <w:noWrap/>
          </w:tcPr>
          <w:p w:rsidR="00EE5767" w:rsidRPr="007B1B71" w:rsidP="00C900B5" w14:paraId="4478C12E" w14:textId="231ACDCD">
            <w:pPr>
              <w:pStyle w:val="Tabletext8pt"/>
            </w:pPr>
          </w:p>
        </w:tc>
      </w:tr>
      <w:tr w14:paraId="39172BA4" w14:textId="77777777" w:rsidTr="00EC79A0">
        <w:tblPrEx>
          <w:tblW w:w="4773" w:type="pct"/>
          <w:tblLayout w:type="fixed"/>
          <w:tblLook w:val="04A0"/>
        </w:tblPrEx>
        <w:tc>
          <w:tcPr>
            <w:tcW w:w="2736" w:type="dxa"/>
            <w:hideMark/>
          </w:tcPr>
          <w:p w:rsidR="00EE5767" w:rsidRPr="007B1B71" w:rsidP="00C900B5" w14:paraId="463C1400" w14:textId="77777777">
            <w:pPr>
              <w:pStyle w:val="Tabletext8ptcol1indent2"/>
            </w:pPr>
            <w:r w:rsidRPr="007B1B71">
              <w:t>Respondents</w:t>
            </w:r>
          </w:p>
        </w:tc>
        <w:tc>
          <w:tcPr>
            <w:tcW w:w="1365" w:type="dxa"/>
          </w:tcPr>
          <w:p w:rsidR="00EE5767" w:rsidRPr="007B1B71" w:rsidP="00C900B5" w14:paraId="09D81EE4" w14:textId="43FBA8F6">
            <w:pPr>
              <w:pStyle w:val="Tabletext8ptdecimalalign"/>
              <w:jc w:val="left"/>
            </w:pPr>
            <w:r>
              <w:t>28.3</w:t>
            </w:r>
          </w:p>
        </w:tc>
        <w:tc>
          <w:tcPr>
            <w:tcW w:w="1440" w:type="dxa"/>
          </w:tcPr>
          <w:p w:rsidR="00EE5767" w:rsidRPr="007B1B71" w:rsidP="00C900B5" w14:paraId="4325D0F8" w14:textId="7F01CA06">
            <w:pPr>
              <w:pStyle w:val="Tabletext8ptdecimalalign"/>
              <w:jc w:val="left"/>
            </w:pPr>
            <w:r>
              <w:t>27.1</w:t>
            </w:r>
          </w:p>
        </w:tc>
        <w:tc>
          <w:tcPr>
            <w:tcW w:w="1152" w:type="dxa"/>
          </w:tcPr>
          <w:p w:rsidR="00EE5767" w:rsidRPr="007B1B71" w:rsidP="00C900B5" w14:paraId="017E1301" w14:textId="728AF7B8">
            <w:pPr>
              <w:pStyle w:val="Tabletext8pt"/>
            </w:pPr>
            <w:r>
              <w:t>0.29</w:t>
            </w:r>
          </w:p>
        </w:tc>
        <w:tc>
          <w:tcPr>
            <w:tcW w:w="1450" w:type="dxa"/>
          </w:tcPr>
          <w:p w:rsidR="00EE5767" w:rsidRPr="007B1B71" w:rsidP="00C900B5" w14:paraId="0985EF1E" w14:textId="2931A314">
            <w:pPr>
              <w:pStyle w:val="Tabletext8pt"/>
            </w:pPr>
            <w:r>
              <w:t>0.59</w:t>
            </w:r>
          </w:p>
        </w:tc>
        <w:tc>
          <w:tcPr>
            <w:tcW w:w="1892" w:type="dxa"/>
            <w:noWrap/>
          </w:tcPr>
          <w:p w:rsidR="00EE5767" w:rsidRPr="007B1B71" w:rsidP="00C900B5" w14:paraId="1CCE8027" w14:textId="72C84EDA">
            <w:pPr>
              <w:pStyle w:val="Tabletext8pt"/>
            </w:pPr>
          </w:p>
        </w:tc>
      </w:tr>
      <w:tr w14:paraId="35F681CF" w14:textId="77777777" w:rsidTr="00EC79A0">
        <w:tblPrEx>
          <w:tblW w:w="4773" w:type="pct"/>
          <w:tblLayout w:type="fixed"/>
          <w:tblLook w:val="04A0"/>
        </w:tblPrEx>
        <w:tc>
          <w:tcPr>
            <w:tcW w:w="2736" w:type="dxa"/>
            <w:hideMark/>
          </w:tcPr>
          <w:p w:rsidR="00EE5767" w:rsidRPr="007B1B71" w:rsidP="00C900B5" w14:paraId="48F1F364" w14:textId="77777777">
            <w:pPr>
              <w:pStyle w:val="Tabletext8ptcol1indent2"/>
            </w:pPr>
            <w:r w:rsidRPr="007B1B71">
              <w:t>Nonrespondents</w:t>
            </w:r>
          </w:p>
        </w:tc>
        <w:tc>
          <w:tcPr>
            <w:tcW w:w="1365" w:type="dxa"/>
          </w:tcPr>
          <w:p w:rsidR="00EE5767" w:rsidRPr="007B1B71" w:rsidP="00C900B5" w14:paraId="051321BE" w14:textId="2546E987">
            <w:pPr>
              <w:pStyle w:val="Tabletext8ptdecimalalign"/>
              <w:jc w:val="left"/>
            </w:pPr>
            <w:r>
              <w:t>24.5</w:t>
            </w:r>
          </w:p>
        </w:tc>
        <w:tc>
          <w:tcPr>
            <w:tcW w:w="1440" w:type="dxa"/>
          </w:tcPr>
          <w:p w:rsidR="00EE5767" w:rsidRPr="007B1B71" w:rsidP="00C900B5" w14:paraId="4A022467" w14:textId="3B812B3F">
            <w:pPr>
              <w:pStyle w:val="Tabletext8ptdecimalalign"/>
              <w:jc w:val="left"/>
            </w:pPr>
            <w:r>
              <w:t>26.8</w:t>
            </w:r>
          </w:p>
        </w:tc>
        <w:tc>
          <w:tcPr>
            <w:tcW w:w="1152" w:type="dxa"/>
          </w:tcPr>
          <w:p w:rsidR="00EE5767" w:rsidRPr="007B1B71" w:rsidP="00C900B5" w14:paraId="4CD64C0C" w14:textId="77777777">
            <w:pPr>
              <w:pStyle w:val="Tabletext8pt"/>
            </w:pPr>
          </w:p>
        </w:tc>
        <w:tc>
          <w:tcPr>
            <w:tcW w:w="1450" w:type="dxa"/>
          </w:tcPr>
          <w:p w:rsidR="00EE5767" w:rsidRPr="007B1B71" w:rsidP="00C900B5" w14:paraId="731046E1" w14:textId="77777777">
            <w:pPr>
              <w:pStyle w:val="Tabletext8pt"/>
            </w:pPr>
          </w:p>
        </w:tc>
        <w:tc>
          <w:tcPr>
            <w:tcW w:w="1892" w:type="dxa"/>
            <w:noWrap/>
          </w:tcPr>
          <w:p w:rsidR="00EE5767" w:rsidRPr="007B1B71" w:rsidP="00C900B5" w14:paraId="4F3B6DF7" w14:textId="6F7EEB28">
            <w:pPr>
              <w:pStyle w:val="Tabletext8pt"/>
            </w:pPr>
          </w:p>
        </w:tc>
      </w:tr>
      <w:tr w14:paraId="66C22635" w14:textId="77777777" w:rsidTr="00EC79A0">
        <w:tblPrEx>
          <w:tblW w:w="4773" w:type="pct"/>
          <w:tblLayout w:type="fixed"/>
          <w:tblLook w:val="04A0"/>
        </w:tblPrEx>
        <w:tc>
          <w:tcPr>
            <w:tcW w:w="2736" w:type="dxa"/>
            <w:hideMark/>
          </w:tcPr>
          <w:p w:rsidR="00EE5767" w:rsidRPr="007B1B71" w:rsidP="00C900B5" w14:paraId="4CDEBD50" w14:textId="77777777">
            <w:pPr>
              <w:pStyle w:val="Tabletext8ptcol1indent2"/>
            </w:pPr>
            <w:r w:rsidRPr="007B1B71">
              <w:t xml:space="preserve">Respondents – </w:t>
            </w:r>
            <w:r>
              <w:t>n</w:t>
            </w:r>
            <w:r w:rsidRPr="007B1B71">
              <w:t>onrespondents</w:t>
            </w:r>
          </w:p>
        </w:tc>
        <w:tc>
          <w:tcPr>
            <w:tcW w:w="1365" w:type="dxa"/>
          </w:tcPr>
          <w:p w:rsidR="00EE5767" w:rsidRPr="007B1B71" w:rsidP="00C900B5" w14:paraId="18117B1C" w14:textId="733CAADE">
            <w:pPr>
              <w:pStyle w:val="Tabletext8ptdecimalalign"/>
              <w:jc w:val="left"/>
            </w:pPr>
            <w:r>
              <w:t>3.8</w:t>
            </w:r>
          </w:p>
        </w:tc>
        <w:tc>
          <w:tcPr>
            <w:tcW w:w="1440" w:type="dxa"/>
          </w:tcPr>
          <w:p w:rsidR="00EE5767" w:rsidRPr="007B1B71" w:rsidP="00C900B5" w14:paraId="71AC9ADD" w14:textId="0644B0C0">
            <w:pPr>
              <w:pStyle w:val="Tabletext8ptdecimalalign"/>
              <w:jc w:val="left"/>
            </w:pPr>
            <w:r>
              <w:t>0.3</w:t>
            </w:r>
          </w:p>
        </w:tc>
        <w:tc>
          <w:tcPr>
            <w:tcW w:w="1152" w:type="dxa"/>
          </w:tcPr>
          <w:p w:rsidR="00EE5767" w:rsidRPr="007B1B71" w:rsidP="00C900B5" w14:paraId="2740E5F4" w14:textId="77777777">
            <w:pPr>
              <w:pStyle w:val="Tabletext8pt"/>
            </w:pPr>
          </w:p>
        </w:tc>
        <w:tc>
          <w:tcPr>
            <w:tcW w:w="1450" w:type="dxa"/>
          </w:tcPr>
          <w:p w:rsidR="00EE5767" w:rsidRPr="007B1B71" w:rsidP="00C900B5" w14:paraId="6B25EC15" w14:textId="77777777">
            <w:pPr>
              <w:pStyle w:val="Tabletext8pt"/>
            </w:pPr>
          </w:p>
        </w:tc>
        <w:tc>
          <w:tcPr>
            <w:tcW w:w="1892" w:type="dxa"/>
            <w:noWrap/>
          </w:tcPr>
          <w:p w:rsidR="00EE5767" w:rsidRPr="007B1B71" w:rsidP="00C900B5" w14:paraId="05BE0B3F" w14:textId="5F521614">
            <w:pPr>
              <w:pStyle w:val="Tabletext8pt"/>
            </w:pPr>
          </w:p>
        </w:tc>
      </w:tr>
      <w:tr w14:paraId="7672EC8C" w14:textId="77777777" w:rsidTr="00EC79A0">
        <w:tblPrEx>
          <w:tblW w:w="4773" w:type="pct"/>
          <w:tblLayout w:type="fixed"/>
          <w:tblLook w:val="04A0"/>
        </w:tblPrEx>
        <w:tc>
          <w:tcPr>
            <w:tcW w:w="2736" w:type="dxa"/>
            <w:hideMark/>
          </w:tcPr>
          <w:p w:rsidR="00EE5767" w:rsidRPr="007B1B71" w:rsidP="0071212B" w14:paraId="4140B38B" w14:textId="77777777">
            <w:pPr>
              <w:pStyle w:val="Tabletext8ptcol1indent2"/>
            </w:pPr>
            <w:r w:rsidRPr="007B1B71">
              <w:t xml:space="preserve">Nonresponse </w:t>
            </w:r>
            <w:r>
              <w:t>b</w:t>
            </w:r>
            <w:r w:rsidRPr="007B1B71">
              <w:t>ias</w:t>
            </w:r>
          </w:p>
        </w:tc>
        <w:tc>
          <w:tcPr>
            <w:tcW w:w="1365" w:type="dxa"/>
            <w:noWrap/>
            <w:vAlign w:val="top"/>
          </w:tcPr>
          <w:p w:rsidR="00EE5767" w:rsidRPr="007B1B71" w:rsidP="0071212B" w14:paraId="6A34B1BC" w14:textId="6496F455">
            <w:pPr>
              <w:pStyle w:val="Tabletext8ptdecimalalign"/>
              <w:jc w:val="left"/>
            </w:pPr>
            <w:r w:rsidRPr="00103E22">
              <w:t>1.24</w:t>
            </w:r>
          </w:p>
        </w:tc>
        <w:tc>
          <w:tcPr>
            <w:tcW w:w="1440" w:type="dxa"/>
            <w:noWrap/>
            <w:vAlign w:val="top"/>
          </w:tcPr>
          <w:p w:rsidR="00EE5767" w:rsidRPr="007B1B71" w:rsidP="0071212B" w14:paraId="02937C20" w14:textId="0E283C85">
            <w:pPr>
              <w:pStyle w:val="Tabletext8ptdecimalalign"/>
              <w:jc w:val="left"/>
            </w:pPr>
            <w:r w:rsidRPr="00103E22">
              <w:t>0.11</w:t>
            </w:r>
          </w:p>
        </w:tc>
        <w:tc>
          <w:tcPr>
            <w:tcW w:w="1152" w:type="dxa"/>
            <w:vAlign w:val="top"/>
          </w:tcPr>
          <w:p w:rsidR="00EE5767" w:rsidRPr="007B1B71" w:rsidP="0071212B" w14:paraId="768DA077" w14:textId="77777777">
            <w:pPr>
              <w:pStyle w:val="Tabletext8pt"/>
            </w:pPr>
          </w:p>
        </w:tc>
        <w:tc>
          <w:tcPr>
            <w:tcW w:w="1450" w:type="dxa"/>
          </w:tcPr>
          <w:p w:rsidR="00EE5767" w:rsidRPr="00103E22" w:rsidP="0071212B" w14:paraId="691D2BD7" w14:textId="77777777">
            <w:pPr>
              <w:pStyle w:val="Tabletext8pt"/>
            </w:pPr>
          </w:p>
        </w:tc>
        <w:tc>
          <w:tcPr>
            <w:tcW w:w="1892" w:type="dxa"/>
            <w:noWrap/>
            <w:vAlign w:val="top"/>
          </w:tcPr>
          <w:p w:rsidR="00EE5767" w:rsidRPr="007B1B71" w:rsidP="0071212B" w14:paraId="6F0D90A5" w14:textId="16A93F4E">
            <w:pPr>
              <w:pStyle w:val="Tabletext8pt"/>
            </w:pPr>
            <w:r w:rsidRPr="00103E22">
              <w:t>-1.1</w:t>
            </w:r>
          </w:p>
        </w:tc>
      </w:tr>
      <w:tr w14:paraId="128176D0" w14:textId="77777777" w:rsidTr="00EC79A0">
        <w:tblPrEx>
          <w:tblW w:w="4773" w:type="pct"/>
          <w:tblLayout w:type="fixed"/>
          <w:tblLook w:val="04A0"/>
        </w:tblPrEx>
        <w:tc>
          <w:tcPr>
            <w:tcW w:w="2736" w:type="dxa"/>
            <w:hideMark/>
          </w:tcPr>
          <w:p w:rsidR="00EE5767" w:rsidRPr="007B1B71" w:rsidP="00C900B5" w14:paraId="31E9A947" w14:textId="43FC7CEB">
            <w:pPr>
              <w:pStyle w:val="Tabletext8ptcol1indent2"/>
            </w:pPr>
            <w:r w:rsidRPr="007B1B71">
              <w:t xml:space="preserve">Overall </w:t>
            </w:r>
            <w:r>
              <w:t>s</w:t>
            </w:r>
            <w:r w:rsidRPr="007B1B71">
              <w:t>ample (</w:t>
            </w:r>
            <w:r w:rsidRPr="007B1B71">
              <w:rPr>
                <w:i/>
                <w:iCs/>
              </w:rPr>
              <w:t>n</w:t>
            </w:r>
            <w:r w:rsidRPr="007B1B71">
              <w:t xml:space="preserve"> = </w:t>
            </w:r>
            <w:r>
              <w:t>2</w:t>
            </w:r>
            <w:r w:rsidRPr="007B1B71">
              <w:t>,</w:t>
            </w:r>
            <w:r>
              <w:t>660</w:t>
            </w:r>
            <w:r w:rsidRPr="007B1B71">
              <w:t>)</w:t>
            </w:r>
            <w:r w:rsidRPr="00C70009" w:rsidR="00950D3F">
              <w:rPr>
                <w:vertAlign w:val="superscript"/>
              </w:rPr>
              <w:t xml:space="preserve"> 1</w:t>
            </w:r>
          </w:p>
        </w:tc>
        <w:tc>
          <w:tcPr>
            <w:tcW w:w="1365" w:type="dxa"/>
          </w:tcPr>
          <w:p w:rsidR="00EE5767" w:rsidRPr="007B1B71" w:rsidP="00C900B5" w14:paraId="6C0FCA5A" w14:textId="40B13660">
            <w:pPr>
              <w:pStyle w:val="Tabletext8ptdecimalalign"/>
              <w:jc w:val="left"/>
            </w:pPr>
            <w:r>
              <w:t>27.1</w:t>
            </w:r>
          </w:p>
        </w:tc>
        <w:tc>
          <w:tcPr>
            <w:tcW w:w="1440" w:type="dxa"/>
          </w:tcPr>
          <w:p w:rsidR="00EE5767" w:rsidRPr="007B1B71" w:rsidP="00C900B5" w14:paraId="34D2DC6D" w14:textId="6509136D">
            <w:pPr>
              <w:pStyle w:val="Tabletext8ptdecimalalign"/>
              <w:jc w:val="left"/>
            </w:pPr>
            <w:r>
              <w:t>27.0</w:t>
            </w:r>
          </w:p>
        </w:tc>
        <w:tc>
          <w:tcPr>
            <w:tcW w:w="1152" w:type="dxa"/>
          </w:tcPr>
          <w:p w:rsidR="00EE5767" w:rsidRPr="007B1B71" w:rsidP="00C900B5" w14:paraId="53A5A222" w14:textId="77777777">
            <w:pPr>
              <w:pStyle w:val="Tabletext8pt"/>
            </w:pPr>
          </w:p>
        </w:tc>
        <w:tc>
          <w:tcPr>
            <w:tcW w:w="1450" w:type="dxa"/>
          </w:tcPr>
          <w:p w:rsidR="00EE5767" w:rsidRPr="007B1B71" w:rsidP="00C900B5" w14:paraId="677DAC1B" w14:textId="77777777">
            <w:pPr>
              <w:pStyle w:val="Tabletext8pt"/>
            </w:pPr>
          </w:p>
        </w:tc>
        <w:tc>
          <w:tcPr>
            <w:tcW w:w="1892" w:type="dxa"/>
            <w:noWrap/>
          </w:tcPr>
          <w:p w:rsidR="00EE5767" w:rsidRPr="007B1B71" w:rsidP="00C900B5" w14:paraId="185F13A6" w14:textId="5BDDCFE7">
            <w:pPr>
              <w:pStyle w:val="Tabletext8pt"/>
            </w:pPr>
          </w:p>
        </w:tc>
      </w:tr>
      <w:tr w14:paraId="5429A61E" w14:textId="77777777" w:rsidTr="00EC79A0">
        <w:tblPrEx>
          <w:tblW w:w="4773" w:type="pct"/>
          <w:tblLayout w:type="fixed"/>
          <w:tblLook w:val="04A0"/>
        </w:tblPrEx>
        <w:tc>
          <w:tcPr>
            <w:tcW w:w="2736" w:type="dxa"/>
            <w:hideMark/>
          </w:tcPr>
          <w:p w:rsidR="00EE5767" w:rsidRPr="007B1B71" w:rsidP="00C900B5" w14:paraId="0BB7C330" w14:textId="77777777">
            <w:pPr>
              <w:pStyle w:val="Tabletext8ptcol1indent1"/>
            </w:pPr>
            <w:r w:rsidRPr="007B1B71">
              <w:t>Private for-profit</w:t>
            </w:r>
          </w:p>
        </w:tc>
        <w:tc>
          <w:tcPr>
            <w:tcW w:w="1365" w:type="dxa"/>
          </w:tcPr>
          <w:p w:rsidR="00EE5767" w:rsidRPr="007B1B71" w:rsidP="00C900B5" w14:paraId="23C7AFB4" w14:textId="77777777">
            <w:pPr>
              <w:pStyle w:val="Tabletext8ptdecimalalign"/>
              <w:jc w:val="left"/>
            </w:pPr>
          </w:p>
        </w:tc>
        <w:tc>
          <w:tcPr>
            <w:tcW w:w="1440" w:type="dxa"/>
          </w:tcPr>
          <w:p w:rsidR="00EE5767" w:rsidRPr="007B1B71" w:rsidP="00C900B5" w14:paraId="3EAC46C3" w14:textId="77777777">
            <w:pPr>
              <w:pStyle w:val="Tabletext8ptdecimalalign"/>
              <w:jc w:val="left"/>
            </w:pPr>
          </w:p>
        </w:tc>
        <w:tc>
          <w:tcPr>
            <w:tcW w:w="1152" w:type="dxa"/>
          </w:tcPr>
          <w:p w:rsidR="00EE5767" w:rsidRPr="007B1B71" w:rsidP="00C900B5" w14:paraId="0958F948" w14:textId="77777777">
            <w:pPr>
              <w:pStyle w:val="Tabletext8pt"/>
            </w:pPr>
          </w:p>
        </w:tc>
        <w:tc>
          <w:tcPr>
            <w:tcW w:w="1450" w:type="dxa"/>
          </w:tcPr>
          <w:p w:rsidR="00EE5767" w:rsidRPr="007B1B71" w:rsidP="00C900B5" w14:paraId="0E2FE9BA" w14:textId="77777777">
            <w:pPr>
              <w:pStyle w:val="Tabletext8pt"/>
            </w:pPr>
          </w:p>
        </w:tc>
        <w:tc>
          <w:tcPr>
            <w:tcW w:w="1892" w:type="dxa"/>
            <w:noWrap/>
          </w:tcPr>
          <w:p w:rsidR="00EE5767" w:rsidRPr="007B1B71" w:rsidP="00C900B5" w14:paraId="72236D6B" w14:textId="1A4CC50B">
            <w:pPr>
              <w:pStyle w:val="Tabletext8pt"/>
            </w:pPr>
          </w:p>
        </w:tc>
      </w:tr>
      <w:tr w14:paraId="2309E8EA" w14:textId="77777777" w:rsidTr="00EC79A0">
        <w:tblPrEx>
          <w:tblW w:w="4773" w:type="pct"/>
          <w:tblLayout w:type="fixed"/>
          <w:tblLook w:val="04A0"/>
        </w:tblPrEx>
        <w:tc>
          <w:tcPr>
            <w:tcW w:w="2736" w:type="dxa"/>
            <w:hideMark/>
          </w:tcPr>
          <w:p w:rsidR="00EE5767" w:rsidRPr="007B1B71" w:rsidP="00C900B5" w14:paraId="5CD6BDAA" w14:textId="77777777">
            <w:pPr>
              <w:pStyle w:val="Tabletext8ptcol1indent2"/>
            </w:pPr>
            <w:r w:rsidRPr="007B1B71">
              <w:t>Respondents</w:t>
            </w:r>
          </w:p>
        </w:tc>
        <w:tc>
          <w:tcPr>
            <w:tcW w:w="1365" w:type="dxa"/>
          </w:tcPr>
          <w:p w:rsidR="00EE5767" w:rsidRPr="007B1B71" w:rsidP="00C900B5" w14:paraId="35370AC2" w14:textId="5693FDA0">
            <w:pPr>
              <w:pStyle w:val="Tabletext8ptdecimalalign"/>
              <w:jc w:val="left"/>
            </w:pPr>
            <w:r>
              <w:t>13.4</w:t>
            </w:r>
          </w:p>
        </w:tc>
        <w:tc>
          <w:tcPr>
            <w:tcW w:w="1440" w:type="dxa"/>
          </w:tcPr>
          <w:p w:rsidR="00EE5767" w:rsidRPr="007B1B71" w:rsidP="00C900B5" w14:paraId="1BA492D0" w14:textId="79FB5B20">
            <w:pPr>
              <w:pStyle w:val="Tabletext8ptdecimalalign"/>
              <w:jc w:val="left"/>
            </w:pPr>
            <w:r>
              <w:t>12.4</w:t>
            </w:r>
          </w:p>
        </w:tc>
        <w:tc>
          <w:tcPr>
            <w:tcW w:w="1152" w:type="dxa"/>
          </w:tcPr>
          <w:p w:rsidR="00EE5767" w:rsidRPr="007B1B71" w:rsidP="00C900B5" w14:paraId="5723181E" w14:textId="2AA6B5D4">
            <w:pPr>
              <w:pStyle w:val="Tabletext8pt"/>
            </w:pPr>
            <w:r>
              <w:t>0.39</w:t>
            </w:r>
          </w:p>
        </w:tc>
        <w:tc>
          <w:tcPr>
            <w:tcW w:w="1450" w:type="dxa"/>
          </w:tcPr>
          <w:p w:rsidR="00EE5767" w:rsidRPr="007B1B71" w:rsidP="00C900B5" w14:paraId="1E2100CC" w14:textId="66FBF318">
            <w:pPr>
              <w:pStyle w:val="Tabletext8pt"/>
            </w:pPr>
            <w:r>
              <w:t>0.53</w:t>
            </w:r>
          </w:p>
        </w:tc>
        <w:tc>
          <w:tcPr>
            <w:tcW w:w="1892" w:type="dxa"/>
            <w:noWrap/>
          </w:tcPr>
          <w:p w:rsidR="00EE5767" w:rsidRPr="007B1B71" w:rsidP="00C900B5" w14:paraId="13A10357" w14:textId="590B35EF">
            <w:pPr>
              <w:pStyle w:val="Tabletext8pt"/>
            </w:pPr>
          </w:p>
        </w:tc>
      </w:tr>
      <w:tr w14:paraId="1F8D202E" w14:textId="77777777" w:rsidTr="00EC79A0">
        <w:tblPrEx>
          <w:tblW w:w="4773" w:type="pct"/>
          <w:tblLayout w:type="fixed"/>
          <w:tblLook w:val="04A0"/>
        </w:tblPrEx>
        <w:tc>
          <w:tcPr>
            <w:tcW w:w="2736" w:type="dxa"/>
            <w:hideMark/>
          </w:tcPr>
          <w:p w:rsidR="00EE5767" w:rsidRPr="007B1B71" w:rsidP="00C900B5" w14:paraId="4E391759" w14:textId="77777777">
            <w:pPr>
              <w:pStyle w:val="Tabletext8ptcol1indent2"/>
            </w:pPr>
            <w:r w:rsidRPr="007B1B71">
              <w:t>Nonrespondents</w:t>
            </w:r>
          </w:p>
        </w:tc>
        <w:tc>
          <w:tcPr>
            <w:tcW w:w="1365" w:type="dxa"/>
          </w:tcPr>
          <w:p w:rsidR="00EE5767" w:rsidRPr="007B1B71" w:rsidP="00C900B5" w14:paraId="7F418FF7" w14:textId="1705AFEA">
            <w:pPr>
              <w:pStyle w:val="Tabletext8ptdecimalalign"/>
              <w:jc w:val="left"/>
            </w:pPr>
            <w:r>
              <w:t>14.2</w:t>
            </w:r>
          </w:p>
        </w:tc>
        <w:tc>
          <w:tcPr>
            <w:tcW w:w="1440" w:type="dxa"/>
          </w:tcPr>
          <w:p w:rsidR="00EE5767" w:rsidRPr="007B1B71" w:rsidP="00C900B5" w14:paraId="113CE062" w14:textId="6D7783C1">
            <w:pPr>
              <w:pStyle w:val="Tabletext8ptdecimalalign"/>
              <w:jc w:val="left"/>
            </w:pPr>
            <w:r>
              <w:t>16.0</w:t>
            </w:r>
          </w:p>
        </w:tc>
        <w:tc>
          <w:tcPr>
            <w:tcW w:w="1152" w:type="dxa"/>
          </w:tcPr>
          <w:p w:rsidR="00EE5767" w:rsidRPr="007B1B71" w:rsidP="00C900B5" w14:paraId="68256204" w14:textId="77777777">
            <w:pPr>
              <w:pStyle w:val="Tabletext8pt"/>
            </w:pPr>
          </w:p>
        </w:tc>
        <w:tc>
          <w:tcPr>
            <w:tcW w:w="1450" w:type="dxa"/>
          </w:tcPr>
          <w:p w:rsidR="00EE5767" w:rsidRPr="007B1B71" w:rsidP="00C900B5" w14:paraId="7F76387C" w14:textId="77777777">
            <w:pPr>
              <w:pStyle w:val="Tabletext8pt"/>
            </w:pPr>
          </w:p>
        </w:tc>
        <w:tc>
          <w:tcPr>
            <w:tcW w:w="1892" w:type="dxa"/>
            <w:noWrap/>
          </w:tcPr>
          <w:p w:rsidR="00EE5767" w:rsidRPr="007B1B71" w:rsidP="00C900B5" w14:paraId="6778C792" w14:textId="7C1CFF2C">
            <w:pPr>
              <w:pStyle w:val="Tabletext8pt"/>
            </w:pPr>
          </w:p>
        </w:tc>
      </w:tr>
      <w:tr w14:paraId="075F5E78" w14:textId="77777777" w:rsidTr="00EC79A0">
        <w:tblPrEx>
          <w:tblW w:w="4773" w:type="pct"/>
          <w:tblLayout w:type="fixed"/>
          <w:tblLook w:val="04A0"/>
        </w:tblPrEx>
        <w:tc>
          <w:tcPr>
            <w:tcW w:w="2736" w:type="dxa"/>
            <w:hideMark/>
          </w:tcPr>
          <w:p w:rsidR="00EE5767" w:rsidRPr="007B1B71" w:rsidP="00C900B5" w14:paraId="04184D05" w14:textId="77777777">
            <w:pPr>
              <w:pStyle w:val="Tabletext8ptcol1indent2"/>
            </w:pPr>
            <w:r w:rsidRPr="007B1B71">
              <w:t xml:space="preserve">Respondents – </w:t>
            </w:r>
            <w:r>
              <w:t>n</w:t>
            </w:r>
            <w:r w:rsidRPr="007B1B71">
              <w:t>onrespondents</w:t>
            </w:r>
          </w:p>
        </w:tc>
        <w:tc>
          <w:tcPr>
            <w:tcW w:w="1365" w:type="dxa"/>
          </w:tcPr>
          <w:p w:rsidR="00EE5767" w:rsidRPr="007B1B71" w:rsidP="00C900B5" w14:paraId="334F7728" w14:textId="2BBBBD02">
            <w:pPr>
              <w:pStyle w:val="Tabletext8ptdecimalalign"/>
              <w:jc w:val="left"/>
            </w:pPr>
            <w:r>
              <w:t>-0.8</w:t>
            </w:r>
          </w:p>
        </w:tc>
        <w:tc>
          <w:tcPr>
            <w:tcW w:w="1440" w:type="dxa"/>
          </w:tcPr>
          <w:p w:rsidR="00EE5767" w:rsidRPr="007B1B71" w:rsidP="00C900B5" w14:paraId="0A9B182B" w14:textId="22C3FD5B">
            <w:pPr>
              <w:pStyle w:val="Tabletext8ptdecimalalign"/>
              <w:jc w:val="left"/>
            </w:pPr>
            <w:r>
              <w:t>-3.6</w:t>
            </w:r>
          </w:p>
        </w:tc>
        <w:tc>
          <w:tcPr>
            <w:tcW w:w="1152" w:type="dxa"/>
          </w:tcPr>
          <w:p w:rsidR="00EE5767" w:rsidRPr="007B1B71" w:rsidP="00C900B5" w14:paraId="0B589980" w14:textId="77777777">
            <w:pPr>
              <w:pStyle w:val="Tabletext8pt"/>
            </w:pPr>
          </w:p>
        </w:tc>
        <w:tc>
          <w:tcPr>
            <w:tcW w:w="1450" w:type="dxa"/>
          </w:tcPr>
          <w:p w:rsidR="00EE5767" w:rsidRPr="007B1B71" w:rsidP="00C900B5" w14:paraId="42A24191" w14:textId="77777777">
            <w:pPr>
              <w:pStyle w:val="Tabletext8pt"/>
            </w:pPr>
          </w:p>
        </w:tc>
        <w:tc>
          <w:tcPr>
            <w:tcW w:w="1892" w:type="dxa"/>
            <w:noWrap/>
          </w:tcPr>
          <w:p w:rsidR="00EE5767" w:rsidRPr="007B1B71" w:rsidP="00C900B5" w14:paraId="7AFAECE7" w14:textId="31D7E613">
            <w:pPr>
              <w:pStyle w:val="Tabletext8pt"/>
            </w:pPr>
          </w:p>
        </w:tc>
      </w:tr>
      <w:tr w14:paraId="44AF27A5" w14:textId="77777777" w:rsidTr="00EC79A0">
        <w:tblPrEx>
          <w:tblW w:w="4773" w:type="pct"/>
          <w:tblLayout w:type="fixed"/>
          <w:tblLook w:val="04A0"/>
        </w:tblPrEx>
        <w:tc>
          <w:tcPr>
            <w:tcW w:w="2736" w:type="dxa"/>
            <w:hideMark/>
          </w:tcPr>
          <w:p w:rsidR="00EE5767" w:rsidRPr="007B1B71" w:rsidP="000B3ED1" w14:paraId="70B7E181" w14:textId="77777777">
            <w:pPr>
              <w:pStyle w:val="Tabletext8ptcol1indent2"/>
            </w:pPr>
            <w:r w:rsidRPr="007B1B71">
              <w:t xml:space="preserve">Nonresponse </w:t>
            </w:r>
            <w:r>
              <w:t>b</w:t>
            </w:r>
            <w:r w:rsidRPr="007B1B71">
              <w:t>ias</w:t>
            </w:r>
          </w:p>
        </w:tc>
        <w:tc>
          <w:tcPr>
            <w:tcW w:w="1365" w:type="dxa"/>
            <w:noWrap/>
            <w:vAlign w:val="top"/>
          </w:tcPr>
          <w:p w:rsidR="00EE5767" w:rsidRPr="007B1B71" w:rsidP="000B3ED1" w14:paraId="59530FBE" w14:textId="4DBA5DD0">
            <w:pPr>
              <w:pStyle w:val="Tabletext8ptdecimalalign"/>
              <w:jc w:val="left"/>
            </w:pPr>
            <w:r w:rsidRPr="0043115D">
              <w:t>-0.26</w:t>
            </w:r>
          </w:p>
        </w:tc>
        <w:tc>
          <w:tcPr>
            <w:tcW w:w="1440" w:type="dxa"/>
            <w:noWrap/>
            <w:vAlign w:val="top"/>
          </w:tcPr>
          <w:p w:rsidR="00EE5767" w:rsidRPr="007B1B71" w:rsidP="000B3ED1" w14:paraId="628FCBDB" w14:textId="01ADD84C">
            <w:pPr>
              <w:pStyle w:val="Tabletext8ptdecimalalign"/>
              <w:jc w:val="left"/>
            </w:pPr>
            <w:r w:rsidRPr="0043115D">
              <w:t>-1.37</w:t>
            </w:r>
          </w:p>
        </w:tc>
        <w:tc>
          <w:tcPr>
            <w:tcW w:w="1152" w:type="dxa"/>
            <w:vAlign w:val="top"/>
          </w:tcPr>
          <w:p w:rsidR="00EE5767" w:rsidRPr="007B1B71" w:rsidP="000B3ED1" w14:paraId="2FF33D40" w14:textId="77777777">
            <w:pPr>
              <w:pStyle w:val="Tabletext8pt"/>
            </w:pPr>
          </w:p>
        </w:tc>
        <w:tc>
          <w:tcPr>
            <w:tcW w:w="1450" w:type="dxa"/>
          </w:tcPr>
          <w:p w:rsidR="00EE5767" w:rsidRPr="0043115D" w:rsidP="000B3ED1" w14:paraId="5E80DCDF" w14:textId="77777777">
            <w:pPr>
              <w:pStyle w:val="Tabletext8pt"/>
            </w:pPr>
          </w:p>
        </w:tc>
        <w:tc>
          <w:tcPr>
            <w:tcW w:w="1892" w:type="dxa"/>
            <w:noWrap/>
            <w:vAlign w:val="top"/>
          </w:tcPr>
          <w:p w:rsidR="00EE5767" w:rsidRPr="007B1B71" w:rsidP="000B3ED1" w14:paraId="418C769C" w14:textId="75EE5B44">
            <w:pPr>
              <w:pStyle w:val="Tabletext8pt"/>
            </w:pPr>
            <w:r w:rsidRPr="0043115D">
              <w:t>1.1</w:t>
            </w:r>
          </w:p>
        </w:tc>
      </w:tr>
      <w:tr w14:paraId="1630A576" w14:textId="77777777" w:rsidTr="00EC79A0">
        <w:tblPrEx>
          <w:tblW w:w="4773" w:type="pct"/>
          <w:tblLayout w:type="fixed"/>
          <w:tblLook w:val="04A0"/>
        </w:tblPrEx>
        <w:tc>
          <w:tcPr>
            <w:tcW w:w="2736" w:type="dxa"/>
            <w:hideMark/>
          </w:tcPr>
          <w:p w:rsidR="00EE5767" w:rsidRPr="007B1B71" w:rsidP="00C900B5" w14:paraId="0E90D124" w14:textId="6CE2BAE1">
            <w:pPr>
              <w:pStyle w:val="Tabletext8ptcol1indent2"/>
            </w:pPr>
            <w:r w:rsidRPr="007B1B71">
              <w:t xml:space="preserve">Overall </w:t>
            </w:r>
            <w:r>
              <w:t>s</w:t>
            </w:r>
            <w:r w:rsidRPr="007B1B71">
              <w:t>ample (</w:t>
            </w:r>
            <w:r w:rsidRPr="007B1B71">
              <w:rPr>
                <w:i/>
                <w:iCs/>
              </w:rPr>
              <w:t>n</w:t>
            </w:r>
            <w:r w:rsidRPr="007B1B71">
              <w:t xml:space="preserve"> = </w:t>
            </w:r>
            <w:r>
              <w:t>2</w:t>
            </w:r>
            <w:r w:rsidRPr="007B1B71">
              <w:t>,</w:t>
            </w:r>
            <w:r>
              <w:t>660</w:t>
            </w:r>
            <w:r w:rsidRPr="007B1B71">
              <w:t>)</w:t>
            </w:r>
            <w:r w:rsidRPr="00C70009" w:rsidR="00950D3F">
              <w:rPr>
                <w:vertAlign w:val="superscript"/>
              </w:rPr>
              <w:t xml:space="preserve"> 1</w:t>
            </w:r>
          </w:p>
        </w:tc>
        <w:tc>
          <w:tcPr>
            <w:tcW w:w="1365" w:type="dxa"/>
          </w:tcPr>
          <w:p w:rsidR="00EE5767" w:rsidRPr="007B1B71" w:rsidP="00C900B5" w14:paraId="64B410A4" w14:textId="69C5995A">
            <w:pPr>
              <w:pStyle w:val="Tabletext8ptdecimalalign"/>
              <w:jc w:val="left"/>
            </w:pPr>
            <w:r>
              <w:t>13.7</w:t>
            </w:r>
          </w:p>
        </w:tc>
        <w:tc>
          <w:tcPr>
            <w:tcW w:w="1440" w:type="dxa"/>
          </w:tcPr>
          <w:p w:rsidR="00EE5767" w:rsidRPr="007B1B71" w:rsidP="00C900B5" w14:paraId="6AEF571E" w14:textId="55A3DF0F">
            <w:pPr>
              <w:pStyle w:val="Tabletext8ptdecimalalign"/>
              <w:jc w:val="left"/>
            </w:pPr>
            <w:r>
              <w:t>13.8</w:t>
            </w:r>
          </w:p>
        </w:tc>
        <w:tc>
          <w:tcPr>
            <w:tcW w:w="1152" w:type="dxa"/>
          </w:tcPr>
          <w:p w:rsidR="00EE5767" w:rsidRPr="007B1B71" w:rsidP="00C900B5" w14:paraId="19E5AB74" w14:textId="77777777">
            <w:pPr>
              <w:pStyle w:val="Tabletext8pt"/>
            </w:pPr>
          </w:p>
        </w:tc>
        <w:tc>
          <w:tcPr>
            <w:tcW w:w="1450" w:type="dxa"/>
          </w:tcPr>
          <w:p w:rsidR="00EE5767" w:rsidRPr="007B1B71" w:rsidP="00C900B5" w14:paraId="4CC1ABB1" w14:textId="77777777">
            <w:pPr>
              <w:pStyle w:val="Tabletext8pt"/>
            </w:pPr>
          </w:p>
        </w:tc>
        <w:tc>
          <w:tcPr>
            <w:tcW w:w="1892" w:type="dxa"/>
          </w:tcPr>
          <w:p w:rsidR="00EE5767" w:rsidRPr="007B1B71" w:rsidP="00C900B5" w14:paraId="7AEDF72E" w14:textId="69E68D25">
            <w:pPr>
              <w:pStyle w:val="Tabletext8pt"/>
            </w:pPr>
          </w:p>
        </w:tc>
      </w:tr>
    </w:tbl>
    <w:p w:rsidR="00927376" w:rsidRPr="007B1B71" w:rsidP="00927376" w14:paraId="1E68943F" w14:textId="1F38273A">
      <w:pPr>
        <w:pStyle w:val="Source75ptnotlast"/>
      </w:pPr>
      <w:r>
        <w:rPr>
          <w:vertAlign w:val="superscript"/>
        </w:rPr>
        <w:t>1</w:t>
      </w:r>
      <w:r w:rsidRPr="007B1B71">
        <w:t xml:space="preserve"> Sample sizes for the overall sample differ due to missing data.</w:t>
      </w:r>
    </w:p>
    <w:p w:rsidR="00927376" w:rsidRPr="007B1B71" w:rsidP="00927376" w14:paraId="4178946F" w14:textId="6A8E269D">
      <w:pPr>
        <w:pStyle w:val="Source75ptnotlast"/>
      </w:pPr>
      <w:r w:rsidRPr="007B1B71">
        <w:t>NOTE:</w:t>
      </w:r>
      <w:r>
        <w:t xml:space="preserve"> </w:t>
      </w:r>
      <w:r w:rsidRPr="007B1B71">
        <w:t>Nonresponse bias is calculated as (</w:t>
      </w:r>
      <w:r>
        <w:t>r</w:t>
      </w:r>
      <w:r w:rsidRPr="007B1B71">
        <w:t xml:space="preserve">espondent mean - </w:t>
      </w:r>
      <w:r>
        <w:t>n</w:t>
      </w:r>
      <w:r w:rsidRPr="007B1B71">
        <w:t>onrespondent mean) * (</w:t>
      </w:r>
      <w:r>
        <w:t>n</w:t>
      </w:r>
      <w:r w:rsidRPr="007B1B71">
        <w:t>onresponse rate)</w:t>
      </w:r>
      <w:r>
        <w:t>.</w:t>
      </w:r>
    </w:p>
    <w:p w:rsidR="00927376" w:rsidRPr="007B1B71" w:rsidP="00927376" w14:paraId="49E33E11" w14:textId="70A119F4">
      <w:pPr>
        <w:pStyle w:val="Source75ptLast"/>
      </w:pPr>
      <w:r w:rsidRPr="007B1B71">
        <w:t>SOURCE: U.S. Department of Education, National Center for Education Statistics, 2020/2</w:t>
      </w:r>
      <w:r w:rsidR="00EC79A0">
        <w:t>5</w:t>
      </w:r>
      <w:r w:rsidRPr="007B1B71">
        <w:t xml:space="preserve"> Beginning Postsecondary Students </w:t>
      </w:r>
      <w:r>
        <w:t xml:space="preserve">Longitudinal Study </w:t>
      </w:r>
      <w:r w:rsidRPr="007B1B71">
        <w:t>(BPS:20/2</w:t>
      </w:r>
      <w:r w:rsidR="00EC79A0">
        <w:t>5</w:t>
      </w:r>
      <w:r w:rsidRPr="007B1B71">
        <w:t>) Field Test.</w:t>
      </w:r>
    </w:p>
    <w:p w:rsidR="00287221" w:rsidRPr="009B6118" w:rsidP="00287221" w14:paraId="71EB7C22" w14:textId="6A5E970B">
      <w:pPr>
        <w:spacing w:after="120"/>
        <w:rPr>
          <w:rFonts w:cstheme="minorHAnsi"/>
          <w:szCs w:val="24"/>
        </w:rPr>
      </w:pPr>
      <w:r w:rsidRPr="009B6118">
        <w:rPr>
          <w:rFonts w:cstheme="minorHAnsi"/>
          <w:i/>
          <w:iCs/>
          <w:szCs w:val="24"/>
        </w:rPr>
        <w:t xml:space="preserve">Efficiency. </w:t>
      </w:r>
      <w:r w:rsidRPr="009B6118">
        <w:rPr>
          <w:rFonts w:cstheme="minorHAnsi"/>
          <w:szCs w:val="24"/>
        </w:rPr>
        <w:t>Data collection efficiency was examined (i.e., the average number of days it took respondents to complete the survey) at the end of data collection (17 weeks in the field).</w:t>
      </w:r>
      <w:r w:rsidR="0021411C">
        <w:rPr>
          <w:rFonts w:cstheme="minorHAnsi"/>
          <w:szCs w:val="24"/>
        </w:rPr>
        <w:t xml:space="preserve"> </w:t>
      </w:r>
      <w:r w:rsidRPr="009B6118">
        <w:rPr>
          <w:rFonts w:cstheme="minorHAnsi"/>
          <w:szCs w:val="24"/>
        </w:rPr>
        <w:fldChar w:fldCharType="begin"/>
      </w:r>
      <w:r w:rsidRPr="009B6118">
        <w:rPr>
          <w:rFonts w:cstheme="minorHAnsi"/>
          <w:szCs w:val="24"/>
        </w:rPr>
        <w:instrText xml:space="preserve"> REF _Ref79565699 \h  \* MERGEFORMAT </w:instrText>
      </w:r>
      <w:r w:rsidRPr="009B6118">
        <w:rPr>
          <w:rFonts w:cstheme="minorHAnsi"/>
          <w:szCs w:val="24"/>
        </w:rPr>
        <w:fldChar w:fldCharType="separate"/>
      </w:r>
      <w:r w:rsidRPr="00A3046F" w:rsidR="00A3046F">
        <w:rPr>
          <w:szCs w:val="24"/>
        </w:rPr>
        <w:t xml:space="preserve">Table </w:t>
      </w:r>
      <w:r w:rsidRPr="00A3046F" w:rsidR="00A3046F">
        <w:rPr>
          <w:noProof/>
          <w:szCs w:val="24"/>
        </w:rPr>
        <w:t>4</w:t>
      </w:r>
      <w:r w:rsidRPr="009B6118">
        <w:rPr>
          <w:rFonts w:cstheme="minorHAnsi"/>
          <w:szCs w:val="24"/>
        </w:rPr>
        <w:fldChar w:fldCharType="end"/>
      </w:r>
      <w:r w:rsidRPr="009B6118">
        <w:rPr>
          <w:rFonts w:cstheme="minorHAnsi"/>
          <w:szCs w:val="24"/>
        </w:rPr>
        <w:t xml:space="preserve"> summarizes the average number of days to survey completion for the control and </w:t>
      </w:r>
      <w:r w:rsidR="00F07EAC">
        <w:rPr>
          <w:rFonts w:cstheme="minorHAnsi"/>
          <w:szCs w:val="24"/>
        </w:rPr>
        <w:t>$5</w:t>
      </w:r>
      <w:r w:rsidR="00385578">
        <w:rPr>
          <w:rFonts w:cstheme="minorHAnsi"/>
          <w:szCs w:val="24"/>
        </w:rPr>
        <w:t xml:space="preserve"> incentive treatment</w:t>
      </w:r>
      <w:r w:rsidRPr="009B6118">
        <w:rPr>
          <w:rFonts w:cstheme="minorHAnsi"/>
          <w:szCs w:val="24"/>
        </w:rPr>
        <w:t xml:space="preserve"> groups. </w:t>
      </w:r>
    </w:p>
    <w:p w:rsidR="00287221" w:rsidRPr="009B6118" w:rsidP="00287221" w14:paraId="7206096D" w14:textId="58263C1A">
      <w:pPr>
        <w:spacing w:after="120"/>
        <w:rPr>
          <w:rFonts w:cstheme="minorBidi"/>
        </w:rPr>
      </w:pPr>
      <w:r w:rsidRPr="72E7569D">
        <w:rPr>
          <w:rFonts w:cstheme="minorBidi"/>
        </w:rPr>
        <w:t xml:space="preserve">At the end of data collection, respondents in the </w:t>
      </w:r>
      <w:r w:rsidRPr="72E7569D" w:rsidR="00D62691">
        <w:rPr>
          <w:rFonts w:cstheme="minorBidi"/>
        </w:rPr>
        <w:t>treatment</w:t>
      </w:r>
      <w:r w:rsidRPr="72E7569D">
        <w:rPr>
          <w:rFonts w:cstheme="minorBidi"/>
        </w:rPr>
        <w:t xml:space="preserve"> group took </w:t>
      </w:r>
      <w:r w:rsidRPr="72E7569D" w:rsidR="00B42E4C">
        <w:rPr>
          <w:rFonts w:cstheme="minorBidi"/>
        </w:rPr>
        <w:t>about the same number of</w:t>
      </w:r>
      <w:r w:rsidRPr="72E7569D">
        <w:rPr>
          <w:rFonts w:cstheme="minorBidi"/>
        </w:rPr>
        <w:t xml:space="preserve"> days (</w:t>
      </w:r>
      <w:r w:rsidRPr="72E7569D" w:rsidR="00B42E4C">
        <w:rPr>
          <w:rFonts w:cstheme="minorBidi"/>
        </w:rPr>
        <w:t>36</w:t>
      </w:r>
      <w:r w:rsidRPr="72E7569D">
        <w:rPr>
          <w:rFonts w:cstheme="minorBidi"/>
        </w:rPr>
        <w:t>.</w:t>
      </w:r>
      <w:r w:rsidRPr="72E7569D" w:rsidR="00B42E4C">
        <w:rPr>
          <w:rFonts w:cstheme="minorBidi"/>
        </w:rPr>
        <w:t>7</w:t>
      </w:r>
      <w:r w:rsidRPr="72E7569D">
        <w:rPr>
          <w:rFonts w:cstheme="minorBidi"/>
        </w:rPr>
        <w:t xml:space="preserve"> days) </w:t>
      </w:r>
      <w:r w:rsidRPr="72E7569D" w:rsidR="00B42E4C">
        <w:rPr>
          <w:rFonts w:cstheme="minorBidi"/>
        </w:rPr>
        <w:t>as</w:t>
      </w:r>
      <w:r w:rsidRPr="72E7569D">
        <w:rPr>
          <w:rFonts w:cstheme="minorBidi"/>
        </w:rPr>
        <w:t xml:space="preserve"> respondents in the control group (</w:t>
      </w:r>
      <w:r w:rsidRPr="72E7569D" w:rsidR="00B42E4C">
        <w:rPr>
          <w:rFonts w:cstheme="minorBidi"/>
        </w:rPr>
        <w:t>35</w:t>
      </w:r>
      <w:r w:rsidRPr="72E7569D">
        <w:rPr>
          <w:rFonts w:cstheme="minorBidi"/>
        </w:rPr>
        <w:t>.9 days) to complete the survey (</w:t>
      </w:r>
      <w:r w:rsidRPr="72E7569D">
        <w:rPr>
          <w:rFonts w:cstheme="minorBidi"/>
          <w:i/>
        </w:rPr>
        <w:t>t</w:t>
      </w:r>
      <w:r w:rsidRPr="72E7569D">
        <w:rPr>
          <w:rFonts w:cstheme="minorBidi"/>
        </w:rPr>
        <w:t>(</w:t>
      </w:r>
      <w:r w:rsidRPr="72E7569D" w:rsidR="006D52A6">
        <w:rPr>
          <w:rFonts w:cstheme="minorBidi"/>
        </w:rPr>
        <w:t>1</w:t>
      </w:r>
      <w:r w:rsidRPr="72E7569D">
        <w:rPr>
          <w:rFonts w:cstheme="minorBidi"/>
        </w:rPr>
        <w:t>,</w:t>
      </w:r>
      <w:r w:rsidRPr="72E7569D" w:rsidR="002964E3">
        <w:rPr>
          <w:rFonts w:cstheme="minorBidi"/>
        </w:rPr>
        <w:t xml:space="preserve"> 1,677</w:t>
      </w:r>
      <w:r w:rsidRPr="72E7569D">
        <w:rPr>
          <w:rFonts w:cstheme="minorBidi"/>
        </w:rPr>
        <w:t xml:space="preserve">) = </w:t>
      </w:r>
      <w:r w:rsidRPr="72E7569D" w:rsidR="002964E3">
        <w:rPr>
          <w:rFonts w:cstheme="minorBidi"/>
        </w:rPr>
        <w:t>0</w:t>
      </w:r>
      <w:r w:rsidRPr="72E7569D">
        <w:rPr>
          <w:rFonts w:cstheme="minorBidi"/>
        </w:rPr>
        <w:t>.</w:t>
      </w:r>
      <w:r w:rsidRPr="72E7569D" w:rsidR="002964E3">
        <w:rPr>
          <w:rFonts w:cstheme="minorBidi"/>
        </w:rPr>
        <w:t>47</w:t>
      </w:r>
      <w:r w:rsidRPr="72E7569D">
        <w:rPr>
          <w:rFonts w:cstheme="minorBidi"/>
        </w:rPr>
        <w:t xml:space="preserve">, </w:t>
      </w:r>
      <w:r w:rsidRPr="72E7569D">
        <w:rPr>
          <w:rFonts w:cstheme="minorBidi"/>
          <w:i/>
        </w:rPr>
        <w:t>p</w:t>
      </w:r>
      <w:r w:rsidRPr="72E7569D">
        <w:rPr>
          <w:rFonts w:cstheme="minorBidi"/>
        </w:rPr>
        <w:t xml:space="preserve"> </w:t>
      </w:r>
      <w:r w:rsidRPr="72E7569D" w:rsidR="002964E3">
        <w:rPr>
          <w:rFonts w:cstheme="minorBidi"/>
        </w:rPr>
        <w:t>=</w:t>
      </w:r>
      <w:r w:rsidRPr="72E7569D">
        <w:rPr>
          <w:rFonts w:cstheme="minorBidi"/>
        </w:rPr>
        <w:t xml:space="preserve"> 0.</w:t>
      </w:r>
      <w:r w:rsidRPr="72E7569D" w:rsidR="002964E3">
        <w:rPr>
          <w:rFonts w:cstheme="minorBidi"/>
        </w:rPr>
        <w:t>64</w:t>
      </w:r>
      <w:r w:rsidRPr="72E7569D">
        <w:rPr>
          <w:rFonts w:cstheme="minorBidi"/>
        </w:rPr>
        <w:t xml:space="preserve">). </w:t>
      </w:r>
      <w:r w:rsidRPr="72E7569D" w:rsidR="00F07EAC">
        <w:rPr>
          <w:rFonts w:cstheme="minorBidi"/>
        </w:rPr>
        <w:t xml:space="preserve">This indicates that the $5 treatment for completing the address confirmation questions did not </w:t>
      </w:r>
      <w:r w:rsidRPr="2B5E742E" w:rsidR="62F215D7">
        <w:rPr>
          <w:rFonts w:cstheme="minorBidi"/>
        </w:rPr>
        <w:t>encourage</w:t>
      </w:r>
      <w:r w:rsidRPr="72E7569D" w:rsidR="00F07EAC">
        <w:rPr>
          <w:rFonts w:cstheme="minorBidi"/>
        </w:rPr>
        <w:t xml:space="preserve"> respondents to complete their surveys any faster than respondents in the control group.</w:t>
      </w:r>
    </w:p>
    <w:p w:rsidR="00287221" w:rsidRPr="00FD5576" w:rsidP="00287221" w14:paraId="6CA49C25" w14:textId="17462964">
      <w:pPr>
        <w:pStyle w:val="TableTitle"/>
        <w:rPr>
          <w:shd w:val="clear" w:color="auto" w:fill="FFFFFF"/>
        </w:rPr>
      </w:pPr>
      <w:bookmarkStart w:id="36" w:name="_Ref79565699"/>
      <w:bookmarkStart w:id="37" w:name="_Toc174628207"/>
      <w:r>
        <w:t>Table</w:t>
      </w:r>
      <w:r w:rsidR="00EE3E0D">
        <w:t>.</w:t>
      </w:r>
      <w:r>
        <w:fldChar w:fldCharType="begin"/>
      </w:r>
      <w:r>
        <w:instrText xml:space="preserve"> SEQ Table \* ARABIC </w:instrText>
      </w:r>
      <w:r>
        <w:fldChar w:fldCharType="separate"/>
      </w:r>
      <w:r>
        <w:rPr>
          <w:noProof/>
        </w:rPr>
        <w:t>4</w:t>
      </w:r>
      <w:r>
        <w:fldChar w:fldCharType="end"/>
      </w:r>
      <w:bookmarkEnd w:id="36"/>
      <w:r>
        <w:t xml:space="preserve">. </w:t>
      </w:r>
      <w:r w:rsidR="00F83AF1">
        <w:t>A</w:t>
      </w:r>
      <w:r>
        <w:t>verage number of days to complete</w:t>
      </w:r>
      <w:r w:rsidRPr="00FD5576">
        <w:t xml:space="preserve"> by </w:t>
      </w:r>
      <w:r w:rsidR="00315C2E">
        <w:t xml:space="preserve">address confirmation incentive </w:t>
      </w:r>
      <w:r w:rsidRPr="00FD5576" w:rsidR="00315C2E">
        <w:t>experimental condition</w:t>
      </w:r>
      <w:bookmarkEnd w:id="3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2"/>
        <w:gridCol w:w="1594"/>
        <w:gridCol w:w="1596"/>
        <w:gridCol w:w="1596"/>
        <w:gridCol w:w="1594"/>
      </w:tblGrid>
      <w:tr w14:paraId="2CDFFD5F" w14:textId="77777777" w:rsidTr="00F9679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blHeader/>
        </w:trPr>
        <w:tc>
          <w:tcPr>
            <w:tcW w:w="1965" w:type="pct"/>
            <w:tcBorders>
              <w:top w:val="single" w:sz="12" w:space="0" w:color="auto"/>
              <w:bottom w:val="single" w:sz="6" w:space="0" w:color="auto"/>
            </w:tcBorders>
          </w:tcPr>
          <w:p w:rsidR="001505DE" w:rsidRPr="006E53EC" w:rsidP="001505DE" w14:paraId="020739E5" w14:textId="77777777">
            <w:pPr>
              <w:autoSpaceDE w:val="0"/>
              <w:autoSpaceDN w:val="0"/>
              <w:adjustRightInd w:val="0"/>
              <w:rPr>
                <w:rFonts w:ascii="Arial" w:hAnsi="Arial" w:cs="Arial"/>
                <w:b/>
                <w:sz w:val="18"/>
                <w:szCs w:val="18"/>
              </w:rPr>
            </w:pPr>
          </w:p>
        </w:tc>
        <w:tc>
          <w:tcPr>
            <w:tcW w:w="758" w:type="pct"/>
            <w:tcBorders>
              <w:top w:val="single" w:sz="12" w:space="0" w:color="auto"/>
              <w:bottom w:val="single" w:sz="6" w:space="0" w:color="auto"/>
            </w:tcBorders>
            <w:vAlign w:val="bottom"/>
          </w:tcPr>
          <w:p w:rsidR="001505DE" w:rsidRPr="00003321" w:rsidP="001505DE" w14:paraId="2279AA13" w14:textId="77777777">
            <w:pPr>
              <w:keepNext/>
              <w:jc w:val="right"/>
              <w:rPr>
                <w:rFonts w:ascii="Arial" w:hAnsi="Arial" w:cs="Arial"/>
                <w:b/>
                <w:sz w:val="18"/>
                <w:szCs w:val="18"/>
              </w:rPr>
            </w:pPr>
            <w:r w:rsidRPr="00003321">
              <w:rPr>
                <w:rFonts w:ascii="Arial" w:hAnsi="Arial" w:cs="Arial"/>
                <w:b/>
                <w:sz w:val="18"/>
                <w:szCs w:val="18"/>
              </w:rPr>
              <w:t>Control Group</w:t>
            </w:r>
          </w:p>
          <w:p w:rsidR="001505DE" w:rsidRPr="006E53EC" w:rsidP="001505DE" w14:paraId="6AF25704" w14:textId="307E66F5">
            <w:pPr>
              <w:autoSpaceDE w:val="0"/>
              <w:autoSpaceDN w:val="0"/>
              <w:adjustRightInd w:val="0"/>
              <w:jc w:val="right"/>
              <w:rPr>
                <w:rFonts w:ascii="Arial" w:hAnsi="Arial" w:cs="Arial"/>
                <w:b/>
                <w:sz w:val="18"/>
                <w:szCs w:val="18"/>
              </w:rPr>
            </w:pPr>
            <w:r>
              <w:rPr>
                <w:rFonts w:ascii="Arial" w:hAnsi="Arial" w:cs="Arial"/>
                <w:bCs/>
                <w:sz w:val="18"/>
                <w:szCs w:val="18"/>
              </w:rPr>
              <w:t>No incentive for address confirmation</w:t>
            </w:r>
            <w:r w:rsidRPr="00003321">
              <w:rPr>
                <w:rFonts w:ascii="Arial" w:hAnsi="Arial" w:cs="Arial"/>
                <w:bCs/>
                <w:sz w:val="18"/>
                <w:szCs w:val="18"/>
              </w:rPr>
              <w:t xml:space="preserve"> </w:t>
            </w:r>
          </w:p>
        </w:tc>
        <w:tc>
          <w:tcPr>
            <w:tcW w:w="759" w:type="pct"/>
            <w:tcBorders>
              <w:top w:val="single" w:sz="12" w:space="0" w:color="auto"/>
              <w:bottom w:val="single" w:sz="6" w:space="0" w:color="auto"/>
            </w:tcBorders>
            <w:vAlign w:val="bottom"/>
          </w:tcPr>
          <w:p w:rsidR="001505DE" w:rsidRPr="00003321" w:rsidP="001505DE" w14:paraId="5274602C" w14:textId="77777777">
            <w:pPr>
              <w:keepNext/>
              <w:jc w:val="right"/>
              <w:rPr>
                <w:rFonts w:ascii="Arial" w:hAnsi="Arial" w:cs="Arial"/>
                <w:b/>
                <w:sz w:val="18"/>
                <w:szCs w:val="18"/>
              </w:rPr>
            </w:pPr>
            <w:r w:rsidRPr="00003321">
              <w:rPr>
                <w:rFonts w:ascii="Arial" w:hAnsi="Arial" w:cs="Arial"/>
                <w:b/>
                <w:sz w:val="18"/>
                <w:szCs w:val="18"/>
              </w:rPr>
              <w:t>Treatment Group</w:t>
            </w:r>
          </w:p>
          <w:p w:rsidR="001505DE" w:rsidP="001505DE" w14:paraId="559A4E13" w14:textId="77777777">
            <w:pPr>
              <w:autoSpaceDE w:val="0"/>
              <w:autoSpaceDN w:val="0"/>
              <w:adjustRightInd w:val="0"/>
              <w:jc w:val="right"/>
              <w:rPr>
                <w:rFonts w:ascii="Arial" w:hAnsi="Arial" w:cs="Arial"/>
                <w:bCs/>
                <w:sz w:val="18"/>
                <w:szCs w:val="18"/>
              </w:rPr>
            </w:pPr>
            <w:r>
              <w:rPr>
                <w:rFonts w:ascii="Arial" w:hAnsi="Arial" w:cs="Arial"/>
                <w:bCs/>
                <w:sz w:val="18"/>
                <w:szCs w:val="18"/>
              </w:rPr>
              <w:t xml:space="preserve">$5 for </w:t>
            </w:r>
          </w:p>
          <w:p w:rsidR="001505DE" w:rsidRPr="006E53EC" w:rsidP="001505DE" w14:paraId="3C542520" w14:textId="1BB223CB">
            <w:pPr>
              <w:autoSpaceDE w:val="0"/>
              <w:autoSpaceDN w:val="0"/>
              <w:adjustRightInd w:val="0"/>
              <w:jc w:val="right"/>
              <w:rPr>
                <w:rFonts w:ascii="Arial" w:hAnsi="Arial" w:cs="Arial"/>
                <w:b/>
                <w:sz w:val="18"/>
                <w:szCs w:val="18"/>
              </w:rPr>
            </w:pPr>
            <w:r>
              <w:rPr>
                <w:rFonts w:ascii="Arial" w:hAnsi="Arial" w:cs="Arial"/>
                <w:bCs/>
                <w:sz w:val="18"/>
                <w:szCs w:val="18"/>
              </w:rPr>
              <w:t>address confirmation</w:t>
            </w:r>
            <w:r w:rsidRPr="00003321">
              <w:rPr>
                <w:rFonts w:ascii="Arial" w:hAnsi="Arial" w:cs="Arial"/>
                <w:bCs/>
                <w:sz w:val="18"/>
                <w:szCs w:val="18"/>
              </w:rPr>
              <w:t xml:space="preserve"> </w:t>
            </w:r>
          </w:p>
        </w:tc>
        <w:tc>
          <w:tcPr>
            <w:tcW w:w="759" w:type="pct"/>
            <w:tcBorders>
              <w:top w:val="single" w:sz="12" w:space="0" w:color="auto"/>
              <w:bottom w:val="single" w:sz="6" w:space="0" w:color="auto"/>
            </w:tcBorders>
            <w:vAlign w:val="bottom"/>
          </w:tcPr>
          <w:p w:rsidR="001505DE" w:rsidRPr="007A15C5" w:rsidP="001505DE" w14:paraId="03210F93" w14:textId="77777777">
            <w:pPr>
              <w:autoSpaceDE w:val="0"/>
              <w:autoSpaceDN w:val="0"/>
              <w:adjustRightInd w:val="0"/>
              <w:jc w:val="right"/>
              <w:rPr>
                <w:rFonts w:ascii="Arial" w:hAnsi="Arial" w:cs="Arial"/>
                <w:sz w:val="18"/>
                <w:szCs w:val="18"/>
              </w:rPr>
            </w:pPr>
            <m:oMathPara>
              <m:oMathParaPr>
                <m:jc m:val="right"/>
              </m:oMathParaPr>
              <m:oMath>
                <m:r>
                  <w:rPr>
                    <w:rFonts w:ascii="Cambria Math" w:hAnsi="Cambria Math" w:cs="Arial"/>
                    <w:sz w:val="18"/>
                    <w:szCs w:val="18"/>
                  </w:rPr>
                  <m:t>t</m:t>
                </m:r>
              </m:oMath>
            </m:oMathPara>
          </w:p>
        </w:tc>
        <w:tc>
          <w:tcPr>
            <w:tcW w:w="758" w:type="pct"/>
            <w:tcBorders>
              <w:top w:val="single" w:sz="12" w:space="0" w:color="auto"/>
              <w:bottom w:val="single" w:sz="6" w:space="0" w:color="auto"/>
            </w:tcBorders>
            <w:vAlign w:val="bottom"/>
          </w:tcPr>
          <w:p w:rsidR="001505DE" w:rsidRPr="006E53EC" w:rsidP="001505DE" w14:paraId="265F30CD" w14:textId="77777777">
            <w:pPr>
              <w:autoSpaceDE w:val="0"/>
              <w:autoSpaceDN w:val="0"/>
              <w:adjustRightInd w:val="0"/>
              <w:jc w:val="right"/>
              <w:rPr>
                <w:rFonts w:ascii="Arial" w:hAnsi="Arial" w:cs="Arial"/>
                <w:sz w:val="18"/>
                <w:szCs w:val="18"/>
              </w:rPr>
            </w:pPr>
            <w:r w:rsidRPr="006E53EC">
              <w:rPr>
                <w:rFonts w:ascii="Arial" w:hAnsi="Arial" w:cs="Arial"/>
                <w:i/>
                <w:iCs/>
                <w:sz w:val="18"/>
                <w:szCs w:val="18"/>
              </w:rPr>
              <w:t>p</w:t>
            </w:r>
            <w:r w:rsidRPr="006E53EC">
              <w:rPr>
                <w:rFonts w:ascii="Arial" w:hAnsi="Arial" w:cs="Arial"/>
                <w:sz w:val="18"/>
                <w:szCs w:val="18"/>
              </w:rPr>
              <w:t>-value</w:t>
            </w:r>
          </w:p>
        </w:tc>
      </w:tr>
      <w:tr w14:paraId="0EA1F3A5" w14:textId="77777777" w:rsidTr="00F9679C">
        <w:tblPrEx>
          <w:tblW w:w="5000" w:type="pct"/>
          <w:tblLook w:val="04A0"/>
        </w:tblPrEx>
        <w:trPr>
          <w:trHeight w:val="144"/>
        </w:trPr>
        <w:tc>
          <w:tcPr>
            <w:tcW w:w="1965" w:type="pct"/>
            <w:tcBorders>
              <w:bottom w:val="single" w:sz="12" w:space="0" w:color="auto"/>
            </w:tcBorders>
          </w:tcPr>
          <w:p w:rsidR="00287221" w:rsidRPr="006E53EC" w:rsidP="00C900B5" w14:paraId="60DEE876" w14:textId="77777777">
            <w:pPr>
              <w:autoSpaceDE w:val="0"/>
              <w:autoSpaceDN w:val="0"/>
              <w:adjustRightInd w:val="0"/>
              <w:rPr>
                <w:rFonts w:ascii="Arial" w:hAnsi="Arial" w:cs="Arial"/>
                <w:sz w:val="18"/>
                <w:szCs w:val="18"/>
              </w:rPr>
            </w:pPr>
            <w:r w:rsidRPr="006E53EC">
              <w:rPr>
                <w:rFonts w:ascii="Arial" w:hAnsi="Arial" w:cs="Arial"/>
                <w:sz w:val="18"/>
                <w:szCs w:val="18"/>
              </w:rPr>
              <w:t>End of data collection</w:t>
            </w:r>
          </w:p>
        </w:tc>
        <w:tc>
          <w:tcPr>
            <w:tcW w:w="758" w:type="pct"/>
            <w:tcBorders>
              <w:bottom w:val="single" w:sz="12" w:space="0" w:color="auto"/>
            </w:tcBorders>
          </w:tcPr>
          <w:p w:rsidR="00287221" w:rsidRPr="006E53EC" w:rsidP="00C900B5" w14:paraId="6288D979" w14:textId="5B09E356">
            <w:pPr>
              <w:autoSpaceDE w:val="0"/>
              <w:autoSpaceDN w:val="0"/>
              <w:adjustRightInd w:val="0"/>
              <w:jc w:val="right"/>
              <w:rPr>
                <w:rFonts w:ascii="Arial" w:hAnsi="Arial" w:cs="Arial"/>
                <w:color w:val="000000"/>
                <w:sz w:val="18"/>
                <w:szCs w:val="18"/>
              </w:rPr>
            </w:pPr>
            <w:r>
              <w:rPr>
                <w:rFonts w:ascii="Arial" w:hAnsi="Arial" w:cs="Arial"/>
                <w:color w:val="000000"/>
                <w:sz w:val="18"/>
                <w:szCs w:val="18"/>
              </w:rPr>
              <w:t>35</w:t>
            </w:r>
            <w:r w:rsidRPr="006E53EC">
              <w:rPr>
                <w:rFonts w:ascii="Arial" w:hAnsi="Arial" w:cs="Arial"/>
                <w:color w:val="000000"/>
                <w:sz w:val="18"/>
                <w:szCs w:val="18"/>
              </w:rPr>
              <w:t>.9</w:t>
            </w:r>
          </w:p>
        </w:tc>
        <w:tc>
          <w:tcPr>
            <w:tcW w:w="759" w:type="pct"/>
            <w:tcBorders>
              <w:bottom w:val="single" w:sz="12" w:space="0" w:color="auto"/>
            </w:tcBorders>
          </w:tcPr>
          <w:p w:rsidR="00287221" w:rsidRPr="006E53EC" w:rsidP="00C900B5" w14:paraId="370BD24C" w14:textId="2563459E">
            <w:pPr>
              <w:autoSpaceDE w:val="0"/>
              <w:autoSpaceDN w:val="0"/>
              <w:adjustRightInd w:val="0"/>
              <w:jc w:val="right"/>
              <w:rPr>
                <w:rFonts w:ascii="Arial" w:hAnsi="Arial" w:cs="Arial"/>
                <w:color w:val="000000"/>
                <w:sz w:val="18"/>
                <w:szCs w:val="18"/>
              </w:rPr>
            </w:pPr>
            <w:r>
              <w:rPr>
                <w:rFonts w:ascii="Arial" w:hAnsi="Arial" w:cs="Arial"/>
                <w:color w:val="000000"/>
                <w:sz w:val="18"/>
                <w:szCs w:val="18"/>
              </w:rPr>
              <w:t>36</w:t>
            </w:r>
            <w:r w:rsidRPr="006E53EC">
              <w:rPr>
                <w:rFonts w:ascii="Arial" w:hAnsi="Arial" w:cs="Arial"/>
                <w:color w:val="000000"/>
                <w:sz w:val="18"/>
                <w:szCs w:val="18"/>
              </w:rPr>
              <w:t>.</w:t>
            </w:r>
            <w:r>
              <w:rPr>
                <w:rFonts w:ascii="Arial" w:hAnsi="Arial" w:cs="Arial"/>
                <w:color w:val="000000"/>
                <w:sz w:val="18"/>
                <w:szCs w:val="18"/>
              </w:rPr>
              <w:t>7</w:t>
            </w:r>
          </w:p>
        </w:tc>
        <w:tc>
          <w:tcPr>
            <w:tcW w:w="759" w:type="pct"/>
            <w:tcBorders>
              <w:bottom w:val="single" w:sz="12" w:space="0" w:color="auto"/>
            </w:tcBorders>
          </w:tcPr>
          <w:p w:rsidR="00287221" w:rsidRPr="006E53EC" w:rsidP="00C900B5" w14:paraId="5B8F7131" w14:textId="6C727D09">
            <w:pPr>
              <w:autoSpaceDE w:val="0"/>
              <w:autoSpaceDN w:val="0"/>
              <w:adjustRightInd w:val="0"/>
              <w:jc w:val="right"/>
              <w:rPr>
                <w:rFonts w:ascii="Arial" w:hAnsi="Arial" w:cs="Arial"/>
                <w:color w:val="000000"/>
                <w:sz w:val="18"/>
                <w:szCs w:val="18"/>
              </w:rPr>
            </w:pPr>
            <w:r>
              <w:rPr>
                <w:rFonts w:ascii="Arial" w:hAnsi="Arial" w:cs="Arial"/>
                <w:color w:val="000000"/>
                <w:sz w:val="18"/>
                <w:szCs w:val="18"/>
              </w:rPr>
              <w:t>0</w:t>
            </w:r>
            <w:r w:rsidRPr="006E53EC">
              <w:rPr>
                <w:rFonts w:ascii="Arial" w:hAnsi="Arial" w:cs="Arial"/>
                <w:color w:val="000000"/>
                <w:sz w:val="18"/>
                <w:szCs w:val="18"/>
              </w:rPr>
              <w:t>.</w:t>
            </w:r>
            <w:r>
              <w:rPr>
                <w:rFonts w:ascii="Arial" w:hAnsi="Arial" w:cs="Arial"/>
                <w:color w:val="000000"/>
                <w:sz w:val="18"/>
                <w:szCs w:val="18"/>
              </w:rPr>
              <w:t>47</w:t>
            </w:r>
          </w:p>
        </w:tc>
        <w:tc>
          <w:tcPr>
            <w:tcW w:w="758" w:type="pct"/>
            <w:tcBorders>
              <w:bottom w:val="single" w:sz="12" w:space="0" w:color="auto"/>
            </w:tcBorders>
          </w:tcPr>
          <w:p w:rsidR="00287221" w:rsidRPr="006E53EC" w:rsidP="00C900B5" w14:paraId="28F65EDC" w14:textId="7F33BCC6">
            <w:pPr>
              <w:autoSpaceDE w:val="0"/>
              <w:autoSpaceDN w:val="0"/>
              <w:adjustRightInd w:val="0"/>
              <w:jc w:val="right"/>
              <w:rPr>
                <w:rFonts w:ascii="Arial" w:hAnsi="Arial" w:cs="Arial"/>
                <w:color w:val="000000"/>
                <w:sz w:val="18"/>
                <w:szCs w:val="18"/>
              </w:rPr>
            </w:pPr>
            <w:r w:rsidRPr="006E53EC">
              <w:rPr>
                <w:rFonts w:ascii="Arial" w:hAnsi="Arial" w:cs="Arial"/>
                <w:color w:val="000000"/>
                <w:sz w:val="18"/>
                <w:szCs w:val="18"/>
              </w:rPr>
              <w:t>0.</w:t>
            </w:r>
            <w:r w:rsidR="00DA4150">
              <w:rPr>
                <w:rFonts w:ascii="Arial" w:hAnsi="Arial" w:cs="Arial"/>
                <w:color w:val="000000"/>
                <w:sz w:val="18"/>
                <w:szCs w:val="18"/>
              </w:rPr>
              <w:t>64</w:t>
            </w:r>
          </w:p>
        </w:tc>
      </w:tr>
    </w:tbl>
    <w:p w:rsidR="00287221" w:rsidRPr="006E53EC" w:rsidP="00287221" w14:paraId="760CAC9F" w14:textId="1139010D">
      <w:pPr>
        <w:pStyle w:val="tabfigsource"/>
        <w:rPr>
          <w:rFonts w:cs="Arial"/>
          <w:szCs w:val="16"/>
        </w:rPr>
      </w:pPr>
      <w:r w:rsidRPr="006E53EC">
        <w:rPr>
          <w:rFonts w:cs="Arial"/>
          <w:szCs w:val="16"/>
        </w:rPr>
        <w:t>SOURCE: U.S. Department of Education, National Center for Education Statistics, 2020/2</w:t>
      </w:r>
      <w:r w:rsidR="00207F5F">
        <w:rPr>
          <w:rFonts w:cs="Arial"/>
          <w:szCs w:val="16"/>
        </w:rPr>
        <w:t>5</w:t>
      </w:r>
      <w:r w:rsidRPr="006E53EC">
        <w:rPr>
          <w:rFonts w:cs="Arial"/>
          <w:szCs w:val="16"/>
        </w:rPr>
        <w:t xml:space="preserve"> Beginning Postsecondary Students (BPS:20/2</w:t>
      </w:r>
      <w:r w:rsidR="00207F5F">
        <w:rPr>
          <w:rFonts w:cs="Arial"/>
          <w:szCs w:val="16"/>
        </w:rPr>
        <w:t>5</w:t>
      </w:r>
      <w:r w:rsidRPr="006E53EC">
        <w:rPr>
          <w:rFonts w:cs="Arial"/>
          <w:szCs w:val="16"/>
        </w:rPr>
        <w:t>) Field Test.</w:t>
      </w:r>
    </w:p>
    <w:p w:rsidR="00E77AFE" w:rsidRPr="00F83AF1" w:rsidP="00F83AF1" w14:paraId="057B7320" w14:textId="392BB472">
      <w:pPr>
        <w:pStyle w:val="Heading3"/>
        <w:keepLines w:val="0"/>
        <w:tabs>
          <w:tab w:val="num" w:pos="1710"/>
        </w:tabs>
        <w:spacing w:before="120" w:after="120" w:line="240" w:lineRule="auto"/>
        <w:ind w:left="1224" w:hanging="504"/>
        <w:rPr>
          <w:rFonts w:ascii="Arial" w:eastAsia="Times New Roman" w:hAnsi="Arial" w:cs="Arial"/>
          <w:b/>
          <w:bCs/>
          <w:color w:val="auto"/>
        </w:rPr>
      </w:pPr>
      <w:bookmarkStart w:id="38" w:name="_Toc174628034"/>
      <w:r w:rsidRPr="00F83AF1">
        <w:rPr>
          <w:rFonts w:ascii="Arial" w:eastAsia="Times New Roman" w:hAnsi="Arial" w:cs="Arial"/>
          <w:b/>
          <w:bCs/>
          <w:color w:val="auto"/>
        </w:rPr>
        <w:t>Recommendations for the full-scale study</w:t>
      </w:r>
      <w:bookmarkEnd w:id="38"/>
    </w:p>
    <w:p w:rsidR="00287221" w:rsidRPr="009B6118" w:rsidP="00287221" w14:paraId="5F474BFE" w14:textId="0AC2B94C">
      <w:pPr>
        <w:spacing w:after="120"/>
        <w:rPr>
          <w:rFonts w:cstheme="minorHAnsi"/>
          <w:szCs w:val="24"/>
        </w:rPr>
      </w:pPr>
      <w:r w:rsidRPr="00537D6A">
        <w:rPr>
          <w:rFonts w:cstheme="minorHAnsi"/>
          <w:szCs w:val="24"/>
        </w:rPr>
        <w:t xml:space="preserve">Offering sample members </w:t>
      </w:r>
      <w:r w:rsidR="00385578">
        <w:rPr>
          <w:rFonts w:cstheme="minorHAnsi"/>
          <w:szCs w:val="24"/>
        </w:rPr>
        <w:t xml:space="preserve">$5 to complete the address confirmation questions in addition to the baseline post-paid incentive amount did not significantly improve representativeness </w:t>
      </w:r>
      <w:r w:rsidR="00824802">
        <w:rPr>
          <w:rFonts w:cstheme="minorHAnsi"/>
          <w:szCs w:val="24"/>
        </w:rPr>
        <w:t xml:space="preserve">or days to complete by the end of data collection. Further, the $5 treatment </w:t>
      </w:r>
      <w:r w:rsidR="00824802">
        <w:rPr>
          <w:rFonts w:cstheme="minorHAnsi"/>
          <w:szCs w:val="24"/>
        </w:rPr>
        <w:t>actually depressed</w:t>
      </w:r>
      <w:r w:rsidR="00824802">
        <w:rPr>
          <w:rFonts w:cstheme="minorHAnsi"/>
          <w:szCs w:val="24"/>
        </w:rPr>
        <w:t xml:space="preserve"> overall survey response rates. </w:t>
      </w:r>
      <w:r w:rsidRPr="009B6118">
        <w:rPr>
          <w:rFonts w:cstheme="minorHAnsi"/>
          <w:szCs w:val="24"/>
        </w:rPr>
        <w:t xml:space="preserve">Therefore, the use </w:t>
      </w:r>
      <w:r w:rsidR="00824802">
        <w:rPr>
          <w:rFonts w:cstheme="minorHAnsi"/>
          <w:szCs w:val="24"/>
        </w:rPr>
        <w:t>of a $5 address confirmation incentive</w:t>
      </w:r>
      <w:r w:rsidRPr="009B6118">
        <w:rPr>
          <w:rFonts w:cstheme="minorHAnsi"/>
          <w:szCs w:val="24"/>
        </w:rPr>
        <w:t xml:space="preserve"> in the BPS:20/2</w:t>
      </w:r>
      <w:r w:rsidR="00824802">
        <w:rPr>
          <w:rFonts w:cstheme="minorHAnsi"/>
          <w:szCs w:val="24"/>
        </w:rPr>
        <w:t>5</w:t>
      </w:r>
      <w:r w:rsidRPr="009B6118">
        <w:rPr>
          <w:rFonts w:cstheme="minorHAnsi"/>
          <w:szCs w:val="24"/>
        </w:rPr>
        <w:t xml:space="preserve"> full-scale data collection is not recommended.</w:t>
      </w:r>
    </w:p>
    <w:p w:rsidR="00485450" w:rsidRPr="00F83AF1" w:rsidP="00F83AF1" w14:paraId="1DF1CF19" w14:textId="7D939943">
      <w:pPr>
        <w:pStyle w:val="Heading2"/>
        <w:keepLines w:val="0"/>
        <w:tabs>
          <w:tab w:val="num" w:pos="1350"/>
        </w:tabs>
        <w:overflowPunct w:val="0"/>
        <w:autoSpaceDE w:val="0"/>
        <w:autoSpaceDN w:val="0"/>
        <w:adjustRightInd w:val="0"/>
        <w:spacing w:before="120" w:after="120"/>
        <w:ind w:left="432" w:hanging="432"/>
        <w:textAlignment w:val="baseline"/>
        <w:rPr>
          <w:rFonts w:ascii="Arial" w:eastAsia="Times New Roman" w:hAnsi="Arial" w:cs="Arial"/>
          <w:b/>
          <w:bCs/>
          <w:iCs/>
          <w:color w:val="auto"/>
          <w:sz w:val="24"/>
          <w:szCs w:val="28"/>
        </w:rPr>
      </w:pPr>
      <w:bookmarkStart w:id="39" w:name="_Toc174628035"/>
      <w:r w:rsidRPr="00F83AF1">
        <w:rPr>
          <w:rFonts w:ascii="Arial" w:eastAsia="Times New Roman" w:hAnsi="Arial" w:cs="Arial"/>
          <w:b/>
          <w:bCs/>
          <w:iCs/>
          <w:color w:val="auto"/>
          <w:sz w:val="24"/>
          <w:szCs w:val="28"/>
        </w:rPr>
        <w:t>D.2 Telephone Reminder Experiment</w:t>
      </w:r>
      <w:bookmarkEnd w:id="39"/>
    </w:p>
    <w:p w:rsidR="000B662E" w:rsidP="00287221" w14:paraId="4E29BB19" w14:textId="4AA93DDE">
      <w:pPr>
        <w:spacing w:after="120"/>
        <w:rPr>
          <w:rFonts w:cstheme="minorBidi"/>
          <w:color w:val="000000"/>
        </w:rPr>
      </w:pPr>
      <w:r w:rsidRPr="1FF5877B">
        <w:rPr>
          <w:rFonts w:cstheme="minorBidi"/>
          <w:color w:val="000000" w:themeColor="text1"/>
        </w:rPr>
        <w:t xml:space="preserve">Although </w:t>
      </w:r>
      <w:r w:rsidRPr="1FF5877B" w:rsidR="00485450">
        <w:rPr>
          <w:rFonts w:cstheme="minorBidi"/>
          <w:color w:val="000000" w:themeColor="text1"/>
        </w:rPr>
        <w:t xml:space="preserve">telephone reminders </w:t>
      </w:r>
      <w:r w:rsidRPr="1FF5877B">
        <w:rPr>
          <w:rFonts w:cstheme="minorBidi"/>
          <w:color w:val="000000" w:themeColor="text1"/>
        </w:rPr>
        <w:t xml:space="preserve">are commonly used as a data collection strategy for BPS sample members, </w:t>
      </w:r>
      <w:r w:rsidRPr="1FF5877B" w:rsidR="00D822C4">
        <w:rPr>
          <w:rFonts w:cstheme="minorBidi"/>
          <w:color w:val="000000" w:themeColor="text1"/>
        </w:rPr>
        <w:t>this method is more expensive than other reminder methods (e.g., text and e</w:t>
      </w:r>
      <w:r w:rsidR="00B70B41">
        <w:rPr>
          <w:rFonts w:cstheme="minorBidi"/>
          <w:color w:val="000000" w:themeColor="text1"/>
        </w:rPr>
        <w:t>-</w:t>
      </w:r>
      <w:r w:rsidRPr="1FF5877B" w:rsidR="00D822C4">
        <w:rPr>
          <w:rFonts w:cstheme="minorBidi"/>
          <w:color w:val="000000" w:themeColor="text1"/>
        </w:rPr>
        <w:t xml:space="preserve">mail reminders). Further, the </w:t>
      </w:r>
      <w:r w:rsidRPr="1FF5877B" w:rsidR="00F72D35">
        <w:rPr>
          <w:rFonts w:cstheme="minorBidi"/>
          <w:color w:val="000000" w:themeColor="text1"/>
        </w:rPr>
        <w:t xml:space="preserve">percentage of </w:t>
      </w:r>
      <w:r w:rsidRPr="1FF5877B" w:rsidR="00946AAD">
        <w:rPr>
          <w:rFonts w:cstheme="minorBidi"/>
          <w:color w:val="000000" w:themeColor="text1"/>
        </w:rPr>
        <w:t>respondents who complete their survey using</w:t>
      </w:r>
      <w:r w:rsidRPr="1FF5877B" w:rsidR="00FF38D1">
        <w:rPr>
          <w:rFonts w:cstheme="minorBidi"/>
          <w:color w:val="000000" w:themeColor="text1"/>
        </w:rPr>
        <w:t xml:space="preserve"> telephone is low (</w:t>
      </w:r>
      <w:r w:rsidRPr="1FF5877B" w:rsidR="00296BE3">
        <w:rPr>
          <w:rFonts w:cstheme="minorBidi"/>
          <w:color w:val="000000" w:themeColor="text1"/>
        </w:rPr>
        <w:t xml:space="preserve">4 percent in NPSAS:20; </w:t>
      </w:r>
      <w:r w:rsidRPr="1FF5877B" w:rsidR="00FF38D1">
        <w:rPr>
          <w:rFonts w:cstheme="minorBidi"/>
          <w:color w:val="000000" w:themeColor="text1"/>
        </w:rPr>
        <w:t>4 percent in BPS:20/22 field test; 5 percent in BPS:20/22 full</w:t>
      </w:r>
      <w:r w:rsidR="00501675">
        <w:rPr>
          <w:rFonts w:cstheme="minorBidi"/>
          <w:color w:val="000000" w:themeColor="text1"/>
        </w:rPr>
        <w:t>-</w:t>
      </w:r>
      <w:r w:rsidRPr="1FF5877B" w:rsidR="00FF38D1">
        <w:rPr>
          <w:rFonts w:cstheme="minorBidi"/>
          <w:color w:val="000000" w:themeColor="text1"/>
        </w:rPr>
        <w:t>scale)</w:t>
      </w:r>
      <w:r w:rsidRPr="1FF5877B" w:rsidR="00296BE3">
        <w:rPr>
          <w:rFonts w:cstheme="minorBidi"/>
          <w:color w:val="000000" w:themeColor="text1"/>
        </w:rPr>
        <w:t xml:space="preserve">. </w:t>
      </w:r>
      <w:r w:rsidRPr="1FF5877B" w:rsidR="00C75CE5">
        <w:rPr>
          <w:rFonts w:cstheme="minorBidi"/>
          <w:color w:val="000000" w:themeColor="text1"/>
        </w:rPr>
        <w:t>The second data collection experiment examined the implications of eliminating telephone reminders to sample members who were deemed likely to respond to the BPS:20/25 field test based on their past response behavior (i.e., sample members who responded to NPSAS:20 and BPS:20/22, known as the default data collection group). Eight weeks into data collection, nonresponding sample members</w:t>
      </w:r>
      <w:r w:rsidRPr="1FF5877B" w:rsidR="00F56EB4">
        <w:rPr>
          <w:rFonts w:cstheme="minorBidi"/>
          <w:color w:val="000000" w:themeColor="text1"/>
        </w:rPr>
        <w:t xml:space="preserve"> </w:t>
      </w:r>
      <w:r w:rsidRPr="1FF5877B" w:rsidR="00C75CE5">
        <w:rPr>
          <w:rFonts w:cstheme="minorBidi"/>
          <w:color w:val="000000" w:themeColor="text1"/>
        </w:rPr>
        <w:t>in the default data collection group</w:t>
      </w:r>
      <w:r w:rsidRPr="1FF5877B" w:rsidR="00F56EB4">
        <w:rPr>
          <w:rFonts w:cstheme="minorBidi"/>
          <w:color w:val="000000" w:themeColor="text1"/>
        </w:rPr>
        <w:t xml:space="preserve"> (n = 930)</w:t>
      </w:r>
      <w:r w:rsidRPr="1FF5877B" w:rsidR="00C75CE5">
        <w:rPr>
          <w:rFonts w:cstheme="minorBidi"/>
          <w:color w:val="000000" w:themeColor="text1"/>
        </w:rPr>
        <w:t xml:space="preserve"> were randomly assigned to either 1) receive telephone prompting as in past BPS administrations (the control group</w:t>
      </w:r>
      <w:r w:rsidRPr="1FF5877B" w:rsidR="00F56EB4">
        <w:rPr>
          <w:rFonts w:cstheme="minorBidi"/>
          <w:color w:val="000000" w:themeColor="text1"/>
        </w:rPr>
        <w:t>; n</w:t>
      </w:r>
      <w:r w:rsidRPr="1FF5877B" w:rsidR="00602AFB">
        <w:rPr>
          <w:rFonts w:cstheme="minorBidi"/>
          <w:color w:val="000000" w:themeColor="text1"/>
        </w:rPr>
        <w:t xml:space="preserve"> </w:t>
      </w:r>
      <w:r w:rsidRPr="1FF5877B" w:rsidR="00F56EB4">
        <w:rPr>
          <w:rFonts w:cstheme="minorBidi"/>
          <w:color w:val="000000" w:themeColor="text1"/>
        </w:rPr>
        <w:t>=</w:t>
      </w:r>
      <w:r w:rsidRPr="1FF5877B" w:rsidR="00602AFB">
        <w:rPr>
          <w:rFonts w:cstheme="minorBidi"/>
          <w:color w:val="000000" w:themeColor="text1"/>
        </w:rPr>
        <w:t xml:space="preserve"> 466</w:t>
      </w:r>
      <w:r w:rsidRPr="1FF5877B" w:rsidR="00C75CE5">
        <w:rPr>
          <w:rFonts w:cstheme="minorBidi"/>
          <w:color w:val="000000" w:themeColor="text1"/>
        </w:rPr>
        <w:t xml:space="preserve">), or 2) not receive any telephone prompting (the </w:t>
      </w:r>
      <w:r w:rsidRPr="1FF5877B" w:rsidR="003F37CF">
        <w:rPr>
          <w:rFonts w:cstheme="minorBidi"/>
          <w:color w:val="000000" w:themeColor="text1"/>
        </w:rPr>
        <w:t>treatment</w:t>
      </w:r>
      <w:r w:rsidRPr="1FF5877B" w:rsidR="00C75CE5">
        <w:rPr>
          <w:rFonts w:cstheme="minorBidi"/>
          <w:color w:val="000000" w:themeColor="text1"/>
        </w:rPr>
        <w:t xml:space="preserve"> group</w:t>
      </w:r>
      <w:r w:rsidRPr="1FF5877B" w:rsidR="00602AFB">
        <w:rPr>
          <w:rFonts w:cstheme="minorBidi"/>
          <w:color w:val="000000" w:themeColor="text1"/>
        </w:rPr>
        <w:t>; n = 464</w:t>
      </w:r>
      <w:r w:rsidRPr="1FF5877B" w:rsidR="00C75CE5">
        <w:rPr>
          <w:rFonts w:cstheme="minorBidi"/>
          <w:color w:val="000000" w:themeColor="text1"/>
        </w:rPr>
        <w:t>).</w:t>
      </w:r>
      <w:r w:rsidRPr="1FF5877B" w:rsidR="00D958A0">
        <w:rPr>
          <w:rFonts w:cstheme="minorBidi"/>
          <w:color w:val="000000" w:themeColor="text1"/>
        </w:rPr>
        <w:t xml:space="preserve"> All other data collection activities (e.g., reminder e-mails, hardcopy mailings) continued for both groups.</w:t>
      </w:r>
    </w:p>
    <w:p w:rsidR="00287221" w:rsidRPr="00F83AF1" w:rsidP="00F83AF1" w14:paraId="64650246" w14:textId="77777777">
      <w:pPr>
        <w:pStyle w:val="Heading3"/>
        <w:keepLines w:val="0"/>
        <w:tabs>
          <w:tab w:val="num" w:pos="1710"/>
        </w:tabs>
        <w:spacing w:before="120" w:after="120" w:line="240" w:lineRule="auto"/>
        <w:ind w:left="1224" w:hanging="504"/>
        <w:rPr>
          <w:rFonts w:ascii="Arial" w:eastAsia="Times New Roman" w:hAnsi="Arial" w:cs="Arial"/>
          <w:b/>
          <w:bCs/>
          <w:color w:val="auto"/>
        </w:rPr>
      </w:pPr>
      <w:bookmarkStart w:id="40" w:name="_Toc174628036"/>
      <w:r w:rsidRPr="00F83AF1">
        <w:rPr>
          <w:rFonts w:ascii="Arial" w:eastAsia="Times New Roman" w:hAnsi="Arial" w:cs="Arial"/>
          <w:b/>
          <w:bCs/>
          <w:color w:val="auto"/>
        </w:rPr>
        <w:t>Results.</w:t>
      </w:r>
      <w:bookmarkEnd w:id="40"/>
      <w:r w:rsidRPr="00F83AF1">
        <w:rPr>
          <w:rFonts w:ascii="Arial" w:eastAsia="Times New Roman" w:hAnsi="Arial" w:cs="Arial"/>
          <w:b/>
          <w:bCs/>
          <w:color w:val="auto"/>
        </w:rPr>
        <w:t xml:space="preserve"> </w:t>
      </w:r>
    </w:p>
    <w:p w:rsidR="00287221" w:rsidRPr="009B6118" w:rsidP="00287221" w14:paraId="1215153E" w14:textId="49D56C98">
      <w:pPr>
        <w:spacing w:after="120"/>
        <w:rPr>
          <w:rFonts w:cstheme="minorBidi"/>
          <w:b/>
        </w:rPr>
      </w:pPr>
      <w:r w:rsidRPr="7B9CD475">
        <w:rPr>
          <w:rFonts w:cstheme="minorBidi"/>
          <w:i/>
        </w:rPr>
        <w:t xml:space="preserve">Survey response. </w:t>
      </w:r>
      <w:r w:rsidRPr="7B9CD475">
        <w:rPr>
          <w:rFonts w:cstheme="minorBidi"/>
        </w:rPr>
        <w:t xml:space="preserve">Response rates were examined at the end of data collection (17 weeks in the field). </w:t>
      </w:r>
      <w:r w:rsidRPr="7B9CD475">
        <w:rPr>
          <w:rFonts w:cstheme="minorBidi"/>
        </w:rPr>
        <w:fldChar w:fldCharType="begin"/>
      </w:r>
      <w:r w:rsidRPr="7B9CD475">
        <w:rPr>
          <w:rFonts w:cstheme="minorBidi"/>
        </w:rPr>
        <w:instrText xml:space="preserve"> REF _Ref79565738 \h  \* MERGEFORMAT </w:instrText>
      </w:r>
      <w:r w:rsidRPr="7B9CD475">
        <w:rPr>
          <w:rFonts w:cstheme="minorBidi"/>
        </w:rPr>
        <w:fldChar w:fldCharType="separate"/>
      </w:r>
      <w:r w:rsidRPr="7B9CD475" w:rsidR="00A3046F">
        <w:t>Table 5</w:t>
      </w:r>
      <w:r w:rsidRPr="7B9CD475">
        <w:rPr>
          <w:rFonts w:cstheme="minorBidi"/>
        </w:rPr>
        <w:fldChar w:fldCharType="end"/>
      </w:r>
      <w:r w:rsidRPr="7B9CD475">
        <w:rPr>
          <w:rFonts w:cstheme="minorBidi"/>
        </w:rPr>
        <w:t xml:space="preserve"> summarizes the response rates for the telephone reminder control group and the </w:t>
      </w:r>
      <w:r w:rsidRPr="7B9CD475" w:rsidR="00C52302">
        <w:rPr>
          <w:rFonts w:cstheme="minorBidi"/>
        </w:rPr>
        <w:t>no telephone</w:t>
      </w:r>
      <w:r w:rsidRPr="7B9CD475">
        <w:rPr>
          <w:rFonts w:cstheme="minorBidi"/>
        </w:rPr>
        <w:t xml:space="preserve"> reminder experimental group. </w:t>
      </w:r>
    </w:p>
    <w:p w:rsidR="00287221" w:rsidRPr="009B6118" w:rsidP="00287221" w14:paraId="4DDCAEE2" w14:textId="41C876BF">
      <w:pPr>
        <w:spacing w:after="120"/>
        <w:rPr>
          <w:rFonts w:cstheme="minorHAnsi"/>
          <w:szCs w:val="24"/>
        </w:rPr>
      </w:pPr>
      <w:r w:rsidRPr="009B6118">
        <w:rPr>
          <w:rFonts w:cstheme="minorHAnsi"/>
          <w:szCs w:val="24"/>
        </w:rPr>
        <w:t>At the end of the reminder period, the response rate for the</w:t>
      </w:r>
      <w:r w:rsidR="00781BC9">
        <w:rPr>
          <w:rFonts w:cstheme="minorHAnsi"/>
          <w:szCs w:val="24"/>
        </w:rPr>
        <w:t xml:space="preserve"> no telephone reminder treatment group</w:t>
      </w:r>
      <w:r w:rsidRPr="009B6118">
        <w:rPr>
          <w:rFonts w:cstheme="minorHAnsi"/>
          <w:szCs w:val="24"/>
        </w:rPr>
        <w:t xml:space="preserve"> (</w:t>
      </w:r>
      <w:r w:rsidR="00781BC9">
        <w:rPr>
          <w:rFonts w:cstheme="minorHAnsi"/>
          <w:szCs w:val="24"/>
        </w:rPr>
        <w:t>33</w:t>
      </w:r>
      <w:r w:rsidRPr="009B6118">
        <w:rPr>
          <w:rFonts w:cstheme="minorHAnsi"/>
          <w:szCs w:val="24"/>
        </w:rPr>
        <w:t>.</w:t>
      </w:r>
      <w:r w:rsidR="00781BC9">
        <w:rPr>
          <w:rFonts w:cstheme="minorHAnsi"/>
          <w:szCs w:val="24"/>
        </w:rPr>
        <w:t>8</w:t>
      </w:r>
      <w:r w:rsidRPr="009B6118">
        <w:rPr>
          <w:rFonts w:cstheme="minorHAnsi"/>
          <w:szCs w:val="24"/>
        </w:rPr>
        <w:t xml:space="preserve"> percent) </w:t>
      </w:r>
      <w:r w:rsidR="00781BC9">
        <w:rPr>
          <w:rFonts w:cstheme="minorHAnsi"/>
          <w:szCs w:val="24"/>
        </w:rPr>
        <w:t xml:space="preserve">was </w:t>
      </w:r>
      <w:r w:rsidR="00FF0B34">
        <w:rPr>
          <w:rFonts w:cstheme="minorHAnsi"/>
          <w:szCs w:val="24"/>
        </w:rPr>
        <w:t>14.9 percentage points</w:t>
      </w:r>
      <w:r w:rsidR="00781BC9">
        <w:rPr>
          <w:rFonts w:cstheme="minorHAnsi"/>
          <w:szCs w:val="24"/>
        </w:rPr>
        <w:t xml:space="preserve"> lower</w:t>
      </w:r>
      <w:r w:rsidRPr="009B6118">
        <w:rPr>
          <w:rFonts w:cstheme="minorHAnsi"/>
          <w:szCs w:val="24"/>
        </w:rPr>
        <w:t xml:space="preserve"> the control group who </w:t>
      </w:r>
      <w:r w:rsidR="00781BC9">
        <w:rPr>
          <w:rFonts w:cstheme="minorHAnsi"/>
          <w:szCs w:val="24"/>
        </w:rPr>
        <w:t>did receive</w:t>
      </w:r>
      <w:r w:rsidRPr="009B6118">
        <w:rPr>
          <w:rFonts w:cstheme="minorHAnsi"/>
          <w:szCs w:val="24"/>
        </w:rPr>
        <w:t xml:space="preserve"> telephone reminders (</w:t>
      </w:r>
      <w:r w:rsidR="00781BC9">
        <w:rPr>
          <w:rFonts w:cstheme="minorHAnsi"/>
          <w:szCs w:val="24"/>
        </w:rPr>
        <w:t>48</w:t>
      </w:r>
      <w:r w:rsidRPr="009B6118">
        <w:rPr>
          <w:rFonts w:cstheme="minorHAnsi"/>
          <w:szCs w:val="24"/>
        </w:rPr>
        <w:t>.</w:t>
      </w:r>
      <w:r w:rsidR="00781BC9">
        <w:rPr>
          <w:rFonts w:cstheme="minorHAnsi"/>
          <w:szCs w:val="24"/>
        </w:rPr>
        <w:t>7</w:t>
      </w:r>
      <w:r w:rsidRPr="009B6118">
        <w:rPr>
          <w:rFonts w:cstheme="minorHAnsi"/>
          <w:szCs w:val="24"/>
        </w:rPr>
        <w:t xml:space="preserve"> percent</w:t>
      </w:r>
      <w:r w:rsidR="00FF0B34">
        <w:rPr>
          <w:rFonts w:cstheme="minorHAnsi"/>
          <w:szCs w:val="24"/>
        </w:rPr>
        <w:t>), a significant difference (</w:t>
      </w:r>
      <m:oMath>
        <m:r>
          <w:rPr>
            <w:rFonts w:ascii="Cambria Math" w:hAnsi="Cambria Math" w:cstheme="minorHAnsi"/>
            <w:szCs w:val="24"/>
          </w:rPr>
          <m:t>χ</m:t>
        </m:r>
      </m:oMath>
      <w:r w:rsidRPr="009B6118">
        <w:rPr>
          <w:rFonts w:eastAsiaTheme="minorEastAsia" w:cstheme="minorHAnsi"/>
          <w:szCs w:val="24"/>
          <w:vertAlign w:val="superscript"/>
        </w:rPr>
        <w:t>2</w:t>
      </w:r>
      <w:r w:rsidRPr="009B6118">
        <w:rPr>
          <w:rFonts w:cstheme="minorHAnsi"/>
          <w:szCs w:val="24"/>
        </w:rPr>
        <w:t xml:space="preserve"> = </w:t>
      </w:r>
      <w:r w:rsidR="00781BC9">
        <w:rPr>
          <w:rFonts w:cstheme="minorHAnsi"/>
          <w:szCs w:val="24"/>
        </w:rPr>
        <w:t>21</w:t>
      </w:r>
      <w:r w:rsidRPr="009B6118">
        <w:rPr>
          <w:rFonts w:cstheme="minorHAnsi"/>
          <w:szCs w:val="24"/>
        </w:rPr>
        <w:t>.</w:t>
      </w:r>
      <w:r w:rsidR="00781BC9">
        <w:rPr>
          <w:rFonts w:cstheme="minorHAnsi"/>
          <w:szCs w:val="24"/>
        </w:rPr>
        <w:t>22</w:t>
      </w:r>
      <w:r w:rsidRPr="009B6118">
        <w:rPr>
          <w:rFonts w:cstheme="minorHAnsi"/>
          <w:szCs w:val="24"/>
        </w:rPr>
        <w:t xml:space="preserve">, </w:t>
      </w:r>
      <w:r w:rsidRPr="009B6118">
        <w:rPr>
          <w:rFonts w:cstheme="minorHAnsi"/>
          <w:i/>
          <w:iCs/>
          <w:szCs w:val="24"/>
        </w:rPr>
        <w:t>p</w:t>
      </w:r>
      <w:r w:rsidRPr="009B6118">
        <w:rPr>
          <w:rFonts w:cstheme="minorHAnsi"/>
          <w:szCs w:val="24"/>
        </w:rPr>
        <w:t xml:space="preserve"> </w:t>
      </w:r>
      <w:r w:rsidR="00781BC9">
        <w:rPr>
          <w:rFonts w:cstheme="minorHAnsi"/>
          <w:szCs w:val="24"/>
        </w:rPr>
        <w:t>&lt;</w:t>
      </w:r>
      <w:r w:rsidRPr="009B6118">
        <w:rPr>
          <w:rFonts w:cstheme="minorHAnsi"/>
          <w:szCs w:val="24"/>
        </w:rPr>
        <w:t xml:space="preserve"> 0.</w:t>
      </w:r>
      <w:r w:rsidR="00781BC9">
        <w:rPr>
          <w:rFonts w:cstheme="minorHAnsi"/>
          <w:szCs w:val="24"/>
        </w:rPr>
        <w:t>001</w:t>
      </w:r>
      <w:r w:rsidRPr="009B6118">
        <w:rPr>
          <w:rFonts w:cstheme="minorHAnsi"/>
          <w:szCs w:val="24"/>
        </w:rPr>
        <w:t xml:space="preserve">). </w:t>
      </w:r>
      <w:r w:rsidR="00BB52D3">
        <w:rPr>
          <w:rFonts w:cstheme="minorHAnsi"/>
          <w:szCs w:val="24"/>
        </w:rPr>
        <w:t xml:space="preserve">This indicates that removing telephone reminder significantly reduced the </w:t>
      </w:r>
      <w:r w:rsidR="003C3E00">
        <w:rPr>
          <w:rFonts w:cstheme="minorHAnsi"/>
          <w:szCs w:val="24"/>
        </w:rPr>
        <w:t xml:space="preserve">response rate of sample members included in the experiment (i.e., among those who had not responded by </w:t>
      </w:r>
      <w:r w:rsidR="004E2C23">
        <w:rPr>
          <w:rFonts w:cstheme="minorHAnsi"/>
          <w:szCs w:val="24"/>
        </w:rPr>
        <w:t>week 8 of data collection)</w:t>
      </w:r>
      <w:r w:rsidR="003C3E00">
        <w:rPr>
          <w:rFonts w:cstheme="minorHAnsi"/>
          <w:szCs w:val="24"/>
        </w:rPr>
        <w:t>.</w:t>
      </w:r>
    </w:p>
    <w:p w:rsidR="00287221" w:rsidRPr="00FD5576" w:rsidP="00287221" w14:paraId="262DF942" w14:textId="3C443557">
      <w:pPr>
        <w:pStyle w:val="TableTitle"/>
        <w:rPr>
          <w:shd w:val="clear" w:color="auto" w:fill="FFFFFF"/>
        </w:rPr>
      </w:pPr>
      <w:bookmarkStart w:id="41" w:name="_Ref79565738"/>
      <w:bookmarkStart w:id="42" w:name="_Toc174628208"/>
      <w:r>
        <w:t xml:space="preserve">Table </w:t>
      </w:r>
      <w:r>
        <w:fldChar w:fldCharType="begin"/>
      </w:r>
      <w:r>
        <w:instrText xml:space="preserve"> SEQ Table \* ARABIC </w:instrText>
      </w:r>
      <w:r>
        <w:fldChar w:fldCharType="separate"/>
      </w:r>
      <w:r>
        <w:rPr>
          <w:noProof/>
        </w:rPr>
        <w:t>5</w:t>
      </w:r>
      <w:r>
        <w:fldChar w:fldCharType="end"/>
      </w:r>
      <w:bookmarkEnd w:id="41"/>
      <w:r>
        <w:t xml:space="preserve">. </w:t>
      </w:r>
      <w:r w:rsidR="00F83AF1">
        <w:t>R</w:t>
      </w:r>
      <w:r w:rsidRPr="00FD5576">
        <w:t xml:space="preserve">esponse rates by </w:t>
      </w:r>
      <w:r w:rsidR="0016440F">
        <w:t xml:space="preserve">telephone </w:t>
      </w:r>
      <w:r w:rsidR="002E34C1">
        <w:t xml:space="preserve">reminder </w:t>
      </w:r>
      <w:r w:rsidRPr="00FD5576">
        <w:t>experimental condition</w:t>
      </w:r>
      <w:bookmarkEnd w:id="4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2"/>
        <w:gridCol w:w="1594"/>
        <w:gridCol w:w="1596"/>
        <w:gridCol w:w="1596"/>
        <w:gridCol w:w="1594"/>
      </w:tblGrid>
      <w:tr w14:paraId="5B72F79D" w14:textId="77777777" w:rsidTr="0079042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blHeader/>
        </w:trPr>
        <w:tc>
          <w:tcPr>
            <w:tcW w:w="1965" w:type="pct"/>
            <w:tcBorders>
              <w:top w:val="single" w:sz="12" w:space="0" w:color="auto"/>
              <w:bottom w:val="single" w:sz="6" w:space="0" w:color="auto"/>
            </w:tcBorders>
            <w:vAlign w:val="bottom"/>
          </w:tcPr>
          <w:p w:rsidR="00287221" w:rsidRPr="00834995" w:rsidP="00C900B5" w14:paraId="4CC014B2" w14:textId="77777777">
            <w:pPr>
              <w:autoSpaceDE w:val="0"/>
              <w:autoSpaceDN w:val="0"/>
              <w:adjustRightInd w:val="0"/>
              <w:rPr>
                <w:rFonts w:ascii="Arial" w:hAnsi="Arial" w:cs="Arial"/>
                <w:b/>
                <w:sz w:val="18"/>
                <w:szCs w:val="18"/>
              </w:rPr>
            </w:pPr>
          </w:p>
        </w:tc>
        <w:tc>
          <w:tcPr>
            <w:tcW w:w="758" w:type="pct"/>
            <w:tcBorders>
              <w:top w:val="single" w:sz="12" w:space="0" w:color="auto"/>
              <w:bottom w:val="single" w:sz="6" w:space="0" w:color="auto"/>
            </w:tcBorders>
            <w:vAlign w:val="bottom"/>
          </w:tcPr>
          <w:p w:rsidR="00287221" w:rsidRPr="00834995" w:rsidP="00C900B5" w14:paraId="7FE6C195" w14:textId="77777777">
            <w:pPr>
              <w:keepNext/>
              <w:jc w:val="right"/>
              <w:rPr>
                <w:rFonts w:ascii="Arial" w:hAnsi="Arial" w:cs="Arial"/>
                <w:b/>
                <w:sz w:val="18"/>
                <w:szCs w:val="18"/>
              </w:rPr>
            </w:pPr>
            <w:r w:rsidRPr="00834995">
              <w:rPr>
                <w:rFonts w:ascii="Arial" w:hAnsi="Arial" w:cs="Arial"/>
                <w:b/>
                <w:sz w:val="18"/>
                <w:szCs w:val="18"/>
              </w:rPr>
              <w:t>Control Group</w:t>
            </w:r>
          </w:p>
          <w:p w:rsidR="00287221" w:rsidRPr="00834995" w:rsidP="00C900B5" w14:paraId="529D77ED" w14:textId="77777777">
            <w:pPr>
              <w:autoSpaceDE w:val="0"/>
              <w:autoSpaceDN w:val="0"/>
              <w:adjustRightInd w:val="0"/>
              <w:jc w:val="right"/>
              <w:rPr>
                <w:rFonts w:ascii="Arial" w:hAnsi="Arial" w:cs="Arial"/>
                <w:b/>
                <w:sz w:val="18"/>
                <w:szCs w:val="18"/>
              </w:rPr>
            </w:pPr>
            <w:r w:rsidRPr="00834995">
              <w:rPr>
                <w:rFonts w:ascii="Arial" w:hAnsi="Arial" w:cs="Arial"/>
                <w:bCs/>
                <w:sz w:val="18"/>
                <w:szCs w:val="18"/>
              </w:rPr>
              <w:t>Telephone Reminders</w:t>
            </w:r>
          </w:p>
        </w:tc>
        <w:tc>
          <w:tcPr>
            <w:tcW w:w="759" w:type="pct"/>
            <w:tcBorders>
              <w:top w:val="single" w:sz="12" w:space="0" w:color="auto"/>
              <w:bottom w:val="single" w:sz="6" w:space="0" w:color="auto"/>
            </w:tcBorders>
            <w:vAlign w:val="bottom"/>
          </w:tcPr>
          <w:p w:rsidR="00287221" w:rsidRPr="00834995" w:rsidP="00C900B5" w14:paraId="7E0E903E" w14:textId="77777777">
            <w:pPr>
              <w:keepNext/>
              <w:jc w:val="right"/>
              <w:rPr>
                <w:rFonts w:ascii="Arial" w:hAnsi="Arial" w:cs="Arial"/>
                <w:b/>
                <w:sz w:val="18"/>
                <w:szCs w:val="18"/>
              </w:rPr>
            </w:pPr>
            <w:r w:rsidRPr="00834995">
              <w:rPr>
                <w:rFonts w:ascii="Arial" w:hAnsi="Arial" w:cs="Arial"/>
                <w:b/>
                <w:sz w:val="18"/>
                <w:szCs w:val="18"/>
              </w:rPr>
              <w:t>Treatment Group</w:t>
            </w:r>
          </w:p>
          <w:p w:rsidR="00287221" w:rsidRPr="00834995" w:rsidP="00C900B5" w14:paraId="0FC08FDD" w14:textId="5FD898CC">
            <w:pPr>
              <w:autoSpaceDE w:val="0"/>
              <w:autoSpaceDN w:val="0"/>
              <w:adjustRightInd w:val="0"/>
              <w:jc w:val="right"/>
              <w:rPr>
                <w:rFonts w:ascii="Arial" w:hAnsi="Arial" w:cs="Arial"/>
                <w:b/>
                <w:sz w:val="18"/>
                <w:szCs w:val="18"/>
              </w:rPr>
            </w:pPr>
            <w:r>
              <w:rPr>
                <w:rFonts w:ascii="Arial" w:hAnsi="Arial" w:cs="Arial"/>
                <w:bCs/>
                <w:sz w:val="18"/>
                <w:szCs w:val="18"/>
              </w:rPr>
              <w:t>No Telephone</w:t>
            </w:r>
            <w:r w:rsidRPr="00834995">
              <w:rPr>
                <w:rFonts w:ascii="Arial" w:hAnsi="Arial" w:cs="Arial"/>
                <w:bCs/>
                <w:sz w:val="18"/>
                <w:szCs w:val="18"/>
              </w:rPr>
              <w:t xml:space="preserve"> Reminders</w:t>
            </w:r>
          </w:p>
        </w:tc>
        <w:tc>
          <w:tcPr>
            <w:tcW w:w="759" w:type="pct"/>
            <w:tcBorders>
              <w:top w:val="single" w:sz="12" w:space="0" w:color="auto"/>
              <w:bottom w:val="single" w:sz="6" w:space="0" w:color="auto"/>
            </w:tcBorders>
            <w:vAlign w:val="bottom"/>
          </w:tcPr>
          <w:p w:rsidR="00287221" w:rsidRPr="00834995" w:rsidP="00C900B5" w14:paraId="695BD624" w14:textId="77777777">
            <w:pPr>
              <w:autoSpaceDE w:val="0"/>
              <w:autoSpaceDN w:val="0"/>
              <w:adjustRightInd w:val="0"/>
              <w:jc w:val="right"/>
              <w:rPr>
                <w:rFonts w:ascii="Arial" w:hAnsi="Arial" w:cs="Arial"/>
                <w:sz w:val="18"/>
                <w:szCs w:val="18"/>
              </w:rPr>
            </w:pPr>
            <m:oMath>
              <m:r>
                <w:rPr>
                  <w:rFonts w:ascii="Cambria Math" w:hAnsi="Cambria Math" w:cs="Arial"/>
                  <w:sz w:val="18"/>
                  <w:szCs w:val="18"/>
                </w:rPr>
                <m:t>χ</m:t>
              </m:r>
            </m:oMath>
            <w:r w:rsidRPr="00834995">
              <w:rPr>
                <w:rFonts w:ascii="Arial" w:hAnsi="Arial" w:eastAsiaTheme="minorEastAsia" w:cs="Arial"/>
                <w:sz w:val="18"/>
                <w:szCs w:val="18"/>
                <w:vertAlign w:val="superscript"/>
              </w:rPr>
              <w:t>2</w:t>
            </w:r>
          </w:p>
        </w:tc>
        <w:tc>
          <w:tcPr>
            <w:tcW w:w="758" w:type="pct"/>
            <w:tcBorders>
              <w:top w:val="single" w:sz="12" w:space="0" w:color="auto"/>
              <w:bottom w:val="single" w:sz="6" w:space="0" w:color="auto"/>
            </w:tcBorders>
            <w:vAlign w:val="bottom"/>
          </w:tcPr>
          <w:p w:rsidR="00287221" w:rsidRPr="00834995" w:rsidP="00C900B5" w14:paraId="03332083" w14:textId="77777777">
            <w:pPr>
              <w:autoSpaceDE w:val="0"/>
              <w:autoSpaceDN w:val="0"/>
              <w:adjustRightInd w:val="0"/>
              <w:jc w:val="right"/>
              <w:rPr>
                <w:rFonts w:ascii="Arial" w:hAnsi="Arial" w:cs="Arial"/>
                <w:sz w:val="18"/>
                <w:szCs w:val="18"/>
              </w:rPr>
            </w:pPr>
            <w:r w:rsidRPr="00834995">
              <w:rPr>
                <w:rFonts w:ascii="Arial" w:hAnsi="Arial" w:cs="Arial"/>
                <w:i/>
                <w:iCs/>
                <w:sz w:val="18"/>
                <w:szCs w:val="18"/>
              </w:rPr>
              <w:t>p</w:t>
            </w:r>
            <w:r w:rsidRPr="00834995">
              <w:rPr>
                <w:rFonts w:ascii="Arial" w:hAnsi="Arial" w:cs="Arial"/>
                <w:sz w:val="18"/>
                <w:szCs w:val="18"/>
              </w:rPr>
              <w:t>-value</w:t>
            </w:r>
          </w:p>
        </w:tc>
      </w:tr>
      <w:tr w14:paraId="79E60E9B" w14:textId="77777777" w:rsidTr="00790427">
        <w:tblPrEx>
          <w:tblW w:w="5000" w:type="pct"/>
          <w:tblLook w:val="04A0"/>
        </w:tblPrEx>
        <w:trPr>
          <w:trHeight w:val="144"/>
        </w:trPr>
        <w:tc>
          <w:tcPr>
            <w:tcW w:w="1965" w:type="pct"/>
            <w:tcBorders>
              <w:bottom w:val="single" w:sz="12" w:space="0" w:color="auto"/>
            </w:tcBorders>
          </w:tcPr>
          <w:p w:rsidR="00287221" w:rsidRPr="00834995" w:rsidP="00C900B5" w14:paraId="60389A55" w14:textId="77777777">
            <w:pPr>
              <w:autoSpaceDE w:val="0"/>
              <w:autoSpaceDN w:val="0"/>
              <w:adjustRightInd w:val="0"/>
              <w:rPr>
                <w:rFonts w:ascii="Arial" w:hAnsi="Arial" w:cs="Arial"/>
                <w:sz w:val="18"/>
                <w:szCs w:val="18"/>
              </w:rPr>
            </w:pPr>
            <w:r w:rsidRPr="00834995">
              <w:rPr>
                <w:rFonts w:ascii="Arial" w:hAnsi="Arial" w:cs="Arial"/>
                <w:sz w:val="18"/>
                <w:szCs w:val="18"/>
              </w:rPr>
              <w:t>End of data collection</w:t>
            </w:r>
          </w:p>
        </w:tc>
        <w:tc>
          <w:tcPr>
            <w:tcW w:w="758" w:type="pct"/>
            <w:tcBorders>
              <w:bottom w:val="single" w:sz="12" w:space="0" w:color="auto"/>
            </w:tcBorders>
          </w:tcPr>
          <w:p w:rsidR="00287221" w:rsidRPr="00834995" w:rsidP="00C900B5" w14:paraId="76859A8C" w14:textId="17B3F685">
            <w:pPr>
              <w:autoSpaceDE w:val="0"/>
              <w:autoSpaceDN w:val="0"/>
              <w:adjustRightInd w:val="0"/>
              <w:jc w:val="right"/>
              <w:rPr>
                <w:rFonts w:ascii="Arial" w:hAnsi="Arial" w:cs="Arial"/>
                <w:color w:val="000000"/>
                <w:sz w:val="18"/>
                <w:szCs w:val="18"/>
              </w:rPr>
            </w:pPr>
            <w:r>
              <w:rPr>
                <w:rFonts w:ascii="Arial" w:hAnsi="Arial" w:cs="Arial"/>
                <w:color w:val="000000"/>
                <w:sz w:val="18"/>
                <w:szCs w:val="18"/>
              </w:rPr>
              <w:t>48.7</w:t>
            </w:r>
          </w:p>
        </w:tc>
        <w:tc>
          <w:tcPr>
            <w:tcW w:w="759" w:type="pct"/>
            <w:tcBorders>
              <w:bottom w:val="single" w:sz="12" w:space="0" w:color="auto"/>
            </w:tcBorders>
          </w:tcPr>
          <w:p w:rsidR="00287221" w:rsidRPr="00834995" w:rsidP="00C900B5" w14:paraId="7E86EDBC" w14:textId="6E04FC6B">
            <w:pPr>
              <w:autoSpaceDE w:val="0"/>
              <w:autoSpaceDN w:val="0"/>
              <w:adjustRightInd w:val="0"/>
              <w:jc w:val="right"/>
              <w:rPr>
                <w:rFonts w:ascii="Arial" w:hAnsi="Arial" w:cs="Arial"/>
                <w:color w:val="000000"/>
                <w:sz w:val="18"/>
                <w:szCs w:val="18"/>
              </w:rPr>
            </w:pPr>
            <w:r>
              <w:rPr>
                <w:rFonts w:ascii="Arial" w:hAnsi="Arial" w:cs="Arial"/>
                <w:color w:val="000000"/>
                <w:sz w:val="18"/>
                <w:szCs w:val="18"/>
              </w:rPr>
              <w:t>33.8</w:t>
            </w:r>
          </w:p>
        </w:tc>
        <w:tc>
          <w:tcPr>
            <w:tcW w:w="759" w:type="pct"/>
            <w:tcBorders>
              <w:bottom w:val="single" w:sz="12" w:space="0" w:color="auto"/>
            </w:tcBorders>
          </w:tcPr>
          <w:p w:rsidR="00287221" w:rsidRPr="00834995" w:rsidP="00C900B5" w14:paraId="195B2F53" w14:textId="39E8D198">
            <w:pPr>
              <w:autoSpaceDE w:val="0"/>
              <w:autoSpaceDN w:val="0"/>
              <w:adjustRightInd w:val="0"/>
              <w:jc w:val="right"/>
              <w:rPr>
                <w:rFonts w:ascii="Arial" w:hAnsi="Arial" w:cs="Arial"/>
                <w:color w:val="000000"/>
                <w:sz w:val="18"/>
                <w:szCs w:val="18"/>
              </w:rPr>
            </w:pPr>
            <w:r>
              <w:rPr>
                <w:rFonts w:ascii="Arial" w:hAnsi="Arial" w:cs="Arial"/>
                <w:color w:val="000000"/>
                <w:sz w:val="18"/>
                <w:szCs w:val="18"/>
              </w:rPr>
              <w:t>21</w:t>
            </w:r>
            <w:r w:rsidRPr="00834995">
              <w:rPr>
                <w:rFonts w:ascii="Arial" w:hAnsi="Arial" w:cs="Arial"/>
                <w:color w:val="000000"/>
                <w:sz w:val="18"/>
                <w:szCs w:val="18"/>
              </w:rPr>
              <w:t>.</w:t>
            </w:r>
            <w:r>
              <w:rPr>
                <w:rFonts w:ascii="Arial" w:hAnsi="Arial" w:cs="Arial"/>
                <w:color w:val="000000"/>
                <w:sz w:val="18"/>
                <w:szCs w:val="18"/>
              </w:rPr>
              <w:t>22</w:t>
            </w:r>
          </w:p>
        </w:tc>
        <w:tc>
          <w:tcPr>
            <w:tcW w:w="758" w:type="pct"/>
            <w:tcBorders>
              <w:bottom w:val="single" w:sz="12" w:space="0" w:color="auto"/>
            </w:tcBorders>
          </w:tcPr>
          <w:p w:rsidR="00287221" w:rsidRPr="00834995" w:rsidP="00C900B5" w14:paraId="5A333787" w14:textId="4CD3052D">
            <w:pPr>
              <w:autoSpaceDE w:val="0"/>
              <w:autoSpaceDN w:val="0"/>
              <w:adjustRightInd w:val="0"/>
              <w:jc w:val="right"/>
              <w:rPr>
                <w:rFonts w:ascii="Arial" w:hAnsi="Arial" w:cs="Arial"/>
                <w:color w:val="000000"/>
                <w:sz w:val="18"/>
                <w:szCs w:val="18"/>
              </w:rPr>
            </w:pPr>
            <w:r>
              <w:rPr>
                <w:rFonts w:ascii="Arial" w:hAnsi="Arial" w:cs="Arial"/>
                <w:color w:val="000000"/>
                <w:sz w:val="18"/>
                <w:szCs w:val="18"/>
              </w:rPr>
              <w:t xml:space="preserve">&lt; </w:t>
            </w:r>
            <w:r w:rsidRPr="00834995">
              <w:rPr>
                <w:rFonts w:ascii="Arial" w:hAnsi="Arial" w:cs="Arial"/>
                <w:color w:val="000000"/>
                <w:sz w:val="18"/>
                <w:szCs w:val="18"/>
              </w:rPr>
              <w:t>0.</w:t>
            </w:r>
            <w:r>
              <w:rPr>
                <w:rFonts w:ascii="Arial" w:hAnsi="Arial" w:cs="Arial"/>
                <w:color w:val="000000"/>
                <w:sz w:val="18"/>
                <w:szCs w:val="18"/>
              </w:rPr>
              <w:t>001</w:t>
            </w:r>
          </w:p>
        </w:tc>
      </w:tr>
    </w:tbl>
    <w:p w:rsidR="00287221" w:rsidRPr="0081158E" w:rsidP="00287221" w14:paraId="5621D740" w14:textId="4F2DF4C3">
      <w:pPr>
        <w:pStyle w:val="tabfigsource"/>
        <w:rPr>
          <w:rFonts w:cs="Arial"/>
          <w:szCs w:val="16"/>
        </w:rPr>
      </w:pPr>
      <w:r w:rsidRPr="0081158E">
        <w:rPr>
          <w:rFonts w:cs="Arial"/>
          <w:szCs w:val="16"/>
        </w:rPr>
        <w:t>SOURCE: U.S. Department of Education, National Center for Education Statistics, 2020/2</w:t>
      </w:r>
      <w:r w:rsidR="00971A55">
        <w:rPr>
          <w:rFonts w:cs="Arial"/>
          <w:szCs w:val="16"/>
        </w:rPr>
        <w:t>5</w:t>
      </w:r>
      <w:r w:rsidRPr="0081158E">
        <w:rPr>
          <w:rFonts w:cs="Arial"/>
          <w:szCs w:val="16"/>
        </w:rPr>
        <w:t xml:space="preserve"> Beginning Postsecondary Students (BPS:20/2</w:t>
      </w:r>
      <w:r w:rsidR="00971A55">
        <w:rPr>
          <w:rFonts w:cs="Arial"/>
          <w:szCs w:val="16"/>
        </w:rPr>
        <w:t>5</w:t>
      </w:r>
      <w:r w:rsidRPr="0081158E">
        <w:rPr>
          <w:rFonts w:cs="Arial"/>
          <w:szCs w:val="16"/>
        </w:rPr>
        <w:t>) Field Test.</w:t>
      </w:r>
    </w:p>
    <w:p w:rsidR="004E2C23" w:rsidRPr="00FD20C4" w:rsidP="004E2C23" w14:paraId="4B8FD751" w14:textId="1BB3D6C4">
      <w:pPr>
        <w:spacing w:after="120"/>
        <w:rPr>
          <w:rFonts w:cstheme="minorHAnsi"/>
          <w:szCs w:val="24"/>
        </w:rPr>
      </w:pPr>
      <w:r w:rsidRPr="009B6118">
        <w:rPr>
          <w:rFonts w:cstheme="minorHAnsi"/>
          <w:i/>
          <w:iCs/>
          <w:szCs w:val="24"/>
        </w:rPr>
        <w:t xml:space="preserve">Representativeness. </w:t>
      </w:r>
      <w:r w:rsidRPr="00FD20C4">
        <w:rPr>
          <w:rFonts w:cstheme="minorHAnsi"/>
          <w:szCs w:val="24"/>
        </w:rPr>
        <w:t xml:space="preserve">Sample representativeness of respondents was investigated at the end of data collection. </w:t>
      </w:r>
      <w:r w:rsidRPr="00FD20C4">
        <w:rPr>
          <w:rFonts w:cstheme="minorHAnsi"/>
          <w:szCs w:val="24"/>
        </w:rPr>
        <w:fldChar w:fldCharType="begin"/>
      </w:r>
      <w:r w:rsidRPr="00FD20C4">
        <w:rPr>
          <w:rFonts w:cstheme="minorHAnsi"/>
          <w:szCs w:val="24"/>
        </w:rPr>
        <w:instrText xml:space="preserve"> REF _Ref79565532 \h  \* MERGEFORMAT </w:instrText>
      </w:r>
      <w:r w:rsidRPr="00FD20C4">
        <w:rPr>
          <w:rFonts w:cstheme="minorHAnsi"/>
          <w:szCs w:val="24"/>
        </w:rPr>
        <w:fldChar w:fldCharType="separate"/>
      </w:r>
      <w:r w:rsidRPr="00A3046F">
        <w:rPr>
          <w:szCs w:val="24"/>
        </w:rPr>
        <w:t xml:space="preserve">Table </w:t>
      </w:r>
      <w:r>
        <w:rPr>
          <w:szCs w:val="24"/>
        </w:rPr>
        <w:t>6</w:t>
      </w:r>
      <w:r w:rsidRPr="00FD20C4">
        <w:rPr>
          <w:rFonts w:cstheme="minorHAnsi"/>
          <w:szCs w:val="24"/>
        </w:rPr>
        <w:fldChar w:fldCharType="end"/>
      </w:r>
      <w:r w:rsidRPr="00FD20C4">
        <w:rPr>
          <w:rFonts w:cstheme="minorHAnsi"/>
          <w:szCs w:val="24"/>
        </w:rPr>
        <w:t xml:space="preserve"> below displays sample composition for each of respondent characteristic by experimental condition. </w:t>
      </w:r>
    </w:p>
    <w:p w:rsidR="004E2C23" w:rsidP="004E2C23" w14:paraId="68440B9A" w14:textId="0587D7D0">
      <w:pPr>
        <w:pStyle w:val="BodyText"/>
      </w:pPr>
      <w:r>
        <w:t xml:space="preserve">The percentage of </w:t>
      </w:r>
      <w:r w:rsidRPr="007B1B71">
        <w:t>BPS:20/2</w:t>
      </w:r>
      <w:r>
        <w:t>5</w:t>
      </w:r>
      <w:r w:rsidRPr="007B1B71">
        <w:t xml:space="preserve"> field test respondents </w:t>
      </w:r>
      <w:r>
        <w:t xml:space="preserve">who identified as female did not significantly differ across the </w:t>
      </w:r>
      <w:r w:rsidR="00D416C4">
        <w:t xml:space="preserve">telephone reminder </w:t>
      </w:r>
      <w:r>
        <w:t>control group respondents (</w:t>
      </w:r>
      <w:r w:rsidR="00671FF2">
        <w:t>56</w:t>
      </w:r>
      <w:r w:rsidRPr="002F3343">
        <w:t>.</w:t>
      </w:r>
      <w:r w:rsidR="00671FF2">
        <w:t>9</w:t>
      </w:r>
      <w:r>
        <w:t xml:space="preserve"> percent) and the </w:t>
      </w:r>
      <w:r w:rsidR="007D1F39">
        <w:t>no telephone reminder</w:t>
      </w:r>
      <w:r>
        <w:t xml:space="preserve"> treatment group (</w:t>
      </w:r>
      <w:r w:rsidR="00671FF2">
        <w:t>55</w:t>
      </w:r>
      <w:r w:rsidRPr="002F3343">
        <w:t>.4</w:t>
      </w:r>
      <w:r>
        <w:t xml:space="preserve"> percent; </w:t>
      </w:r>
      <w:r w:rsidRPr="007B1B71">
        <w:t>χ</w:t>
      </w:r>
      <w:r w:rsidRPr="007B1B71">
        <w:rPr>
          <w:vertAlign w:val="superscript"/>
        </w:rPr>
        <w:t>2</w:t>
      </w:r>
      <w:r w:rsidRPr="007B1B71">
        <w:t xml:space="preserve"> = </w:t>
      </w:r>
      <w:r w:rsidRPr="002F3343">
        <w:t>0.</w:t>
      </w:r>
      <w:r w:rsidR="00671FF2">
        <w:t>08</w:t>
      </w:r>
      <w:r w:rsidRPr="007B1B71">
        <w:t xml:space="preserve">, </w:t>
      </w:r>
      <w:r w:rsidRPr="007B1B71">
        <w:rPr>
          <w:i/>
          <w:iCs/>
        </w:rPr>
        <w:t>p</w:t>
      </w:r>
      <w:r w:rsidRPr="007B1B71">
        <w:t xml:space="preserve"> =</w:t>
      </w:r>
      <w:r>
        <w:t xml:space="preserve"> </w:t>
      </w:r>
      <w:r w:rsidRPr="002F3343">
        <w:t>0.</w:t>
      </w:r>
      <w:r w:rsidR="00671FF2">
        <w:t>78</w:t>
      </w:r>
      <w:r>
        <w:t>). Similarly, the percentage of White respondents in the control group (</w:t>
      </w:r>
      <w:r w:rsidR="00612769">
        <w:t>63</w:t>
      </w:r>
      <w:r>
        <w:t>.</w:t>
      </w:r>
      <w:r w:rsidR="00612769">
        <w:t>1</w:t>
      </w:r>
      <w:r>
        <w:t xml:space="preserve"> percent) was not significantly different from the percentage of White respondents in the treatment group (</w:t>
      </w:r>
      <w:r w:rsidR="00856B4C">
        <w:t>65</w:t>
      </w:r>
      <w:r w:rsidRPr="002F3343">
        <w:t>.</w:t>
      </w:r>
      <w:r w:rsidR="00856B4C">
        <w:t>6</w:t>
      </w:r>
      <w:r>
        <w:t xml:space="preserve"> percent; </w:t>
      </w:r>
      <w:r w:rsidRPr="007B1B71">
        <w:t>χ</w:t>
      </w:r>
      <w:r w:rsidRPr="007B1B71">
        <w:rPr>
          <w:vertAlign w:val="superscript"/>
        </w:rPr>
        <w:t>2</w:t>
      </w:r>
      <w:r w:rsidRPr="007B1B71">
        <w:t xml:space="preserve"> = </w:t>
      </w:r>
      <w:r w:rsidRPr="002F3343">
        <w:t>0.</w:t>
      </w:r>
      <w:r w:rsidR="00856B4C">
        <w:t>26</w:t>
      </w:r>
      <w:r w:rsidRPr="007B1B71">
        <w:t xml:space="preserve">, </w:t>
      </w:r>
      <w:r w:rsidRPr="007B1B71">
        <w:rPr>
          <w:i/>
          <w:iCs/>
        </w:rPr>
        <w:t>p</w:t>
      </w:r>
      <w:r w:rsidRPr="007B1B71">
        <w:t xml:space="preserve"> =</w:t>
      </w:r>
      <w:r>
        <w:t xml:space="preserve"> </w:t>
      </w:r>
      <w:r w:rsidRPr="002F3343">
        <w:t>0.</w:t>
      </w:r>
      <w:r w:rsidR="00856B4C">
        <w:t>61</w:t>
      </w:r>
      <w:r>
        <w:t xml:space="preserve">), nor was there a statistically significant difference between the </w:t>
      </w:r>
      <w:r>
        <w:t xml:space="preserve">percentage of </w:t>
      </w:r>
      <w:r w:rsidRPr="007B1B71">
        <w:t>Hispanic or Latino respondents</w:t>
      </w:r>
      <w:r>
        <w:t xml:space="preserve"> in the control group (</w:t>
      </w:r>
      <w:r w:rsidR="00856B4C">
        <w:t>21</w:t>
      </w:r>
      <w:r>
        <w:t>.</w:t>
      </w:r>
      <w:r w:rsidR="00856B4C">
        <w:t>9</w:t>
      </w:r>
      <w:r>
        <w:t xml:space="preserve"> percent) and the treatment group (</w:t>
      </w:r>
      <w:r w:rsidR="00856B4C">
        <w:t>18</w:t>
      </w:r>
      <w:r w:rsidRPr="002F3343">
        <w:t>.</w:t>
      </w:r>
      <w:r w:rsidR="00856B4C">
        <w:t>6</w:t>
      </w:r>
      <w:r>
        <w:t xml:space="preserve"> percent; </w:t>
      </w:r>
      <w:r w:rsidRPr="007B1B71">
        <w:t>χ</w:t>
      </w:r>
      <w:r w:rsidRPr="007B1B71">
        <w:rPr>
          <w:vertAlign w:val="superscript"/>
        </w:rPr>
        <w:t>2</w:t>
      </w:r>
      <w:r w:rsidRPr="007B1B71">
        <w:t xml:space="preserve"> = </w:t>
      </w:r>
      <w:r w:rsidRPr="002F3343">
        <w:t>0.</w:t>
      </w:r>
      <w:r w:rsidR="00856B4C">
        <w:t>61</w:t>
      </w:r>
      <w:r w:rsidRPr="007B1B71">
        <w:t xml:space="preserve">, </w:t>
      </w:r>
      <w:r w:rsidRPr="007B1B71">
        <w:rPr>
          <w:i/>
          <w:iCs/>
        </w:rPr>
        <w:t>p</w:t>
      </w:r>
      <w:r w:rsidRPr="007B1B71">
        <w:t xml:space="preserve"> =</w:t>
      </w:r>
      <w:r>
        <w:t xml:space="preserve"> </w:t>
      </w:r>
      <w:r w:rsidRPr="002F3343">
        <w:t>0.</w:t>
      </w:r>
      <w:r w:rsidR="00856B4C">
        <w:t>44</w:t>
      </w:r>
      <w:r>
        <w:t>)</w:t>
      </w:r>
    </w:p>
    <w:p w:rsidR="004E2C23" w:rsidP="004E2C23" w14:paraId="157DF03C" w14:textId="59B751D4">
      <w:pPr>
        <w:pStyle w:val="BodyText"/>
      </w:pPr>
      <w:r w:rsidRPr="007B1B71">
        <w:t xml:space="preserve">There was </w:t>
      </w:r>
      <w:r>
        <w:t xml:space="preserve">also </w:t>
      </w:r>
      <w:r w:rsidRPr="007B1B71">
        <w:t xml:space="preserve">no significant difference between the percentage of respondents from public institutions in either the </w:t>
      </w:r>
      <w:r>
        <w:t>control</w:t>
      </w:r>
      <w:r w:rsidRPr="007B1B71">
        <w:t xml:space="preserve"> group (</w:t>
      </w:r>
      <w:r>
        <w:t>5</w:t>
      </w:r>
      <w:r w:rsidR="00856B4C">
        <w:t>6</w:t>
      </w:r>
      <w:r>
        <w:t>.</w:t>
      </w:r>
      <w:r w:rsidR="00856B4C">
        <w:t>8</w:t>
      </w:r>
      <w:r>
        <w:t xml:space="preserve"> percent</w:t>
      </w:r>
      <w:r w:rsidRPr="007B1B71">
        <w:t xml:space="preserve">) or the </w:t>
      </w:r>
      <w:r>
        <w:t>treatment</w:t>
      </w:r>
      <w:r w:rsidRPr="007B1B71">
        <w:t xml:space="preserve"> group (</w:t>
      </w:r>
      <w:r w:rsidR="001522C3">
        <w:t>59.9</w:t>
      </w:r>
      <w:r>
        <w:t xml:space="preserve"> percent; </w:t>
      </w:r>
      <w:r w:rsidRPr="007B1B71">
        <w:t>χ</w:t>
      </w:r>
      <w:r w:rsidRPr="007B1B71">
        <w:rPr>
          <w:vertAlign w:val="superscript"/>
        </w:rPr>
        <w:t>2</w:t>
      </w:r>
      <w:r w:rsidRPr="007B1B71">
        <w:t xml:space="preserve"> = 0.</w:t>
      </w:r>
      <w:r w:rsidR="001522C3">
        <w:t>3</w:t>
      </w:r>
      <w:r>
        <w:t>5</w:t>
      </w:r>
      <w:r w:rsidRPr="007B1B71">
        <w:t xml:space="preserve">, </w:t>
      </w:r>
      <w:r w:rsidRPr="007B1B71">
        <w:rPr>
          <w:i/>
          <w:iCs/>
        </w:rPr>
        <w:t>p</w:t>
      </w:r>
      <w:r w:rsidRPr="007B1B71">
        <w:t xml:space="preserve"> = 0.</w:t>
      </w:r>
      <w:r w:rsidR="001522C3">
        <w:t>55</w:t>
      </w:r>
      <w:r w:rsidRPr="007B1B71">
        <w:t xml:space="preserve">). </w:t>
      </w:r>
      <w:r>
        <w:t>The same was also true for respondents from private nonprofit institutions (</w:t>
      </w:r>
      <w:r w:rsidRPr="007B1B71">
        <w:t>χ</w:t>
      </w:r>
      <w:r w:rsidRPr="007B1B71">
        <w:rPr>
          <w:vertAlign w:val="superscript"/>
        </w:rPr>
        <w:t>2</w:t>
      </w:r>
      <w:r w:rsidRPr="007B1B71">
        <w:t xml:space="preserve"> = 0.</w:t>
      </w:r>
      <w:r w:rsidR="001522C3">
        <w:t>35</w:t>
      </w:r>
      <w:r w:rsidRPr="007B1B71">
        <w:t xml:space="preserve">, </w:t>
      </w:r>
      <w:r w:rsidRPr="007B1B71">
        <w:rPr>
          <w:i/>
          <w:iCs/>
        </w:rPr>
        <w:t>p</w:t>
      </w:r>
      <w:r w:rsidRPr="007B1B71">
        <w:t xml:space="preserve"> = 0.</w:t>
      </w:r>
      <w:r>
        <w:t>5</w:t>
      </w:r>
      <w:r w:rsidR="001522C3">
        <w:t>6</w:t>
      </w:r>
      <w:r>
        <w:t>) and private for-profit institutions (</w:t>
      </w:r>
      <w:r w:rsidRPr="007B1B71">
        <w:t>χ</w:t>
      </w:r>
      <w:r w:rsidRPr="007B1B71">
        <w:rPr>
          <w:vertAlign w:val="superscript"/>
        </w:rPr>
        <w:t>2</w:t>
      </w:r>
      <w:r w:rsidRPr="007B1B71">
        <w:t xml:space="preserve"> = 0.</w:t>
      </w:r>
      <w:r w:rsidR="001522C3">
        <w:t>01</w:t>
      </w:r>
      <w:r w:rsidRPr="007B1B71">
        <w:t xml:space="preserve">, </w:t>
      </w:r>
      <w:r w:rsidRPr="007B1B71">
        <w:rPr>
          <w:i/>
          <w:iCs/>
        </w:rPr>
        <w:t>p</w:t>
      </w:r>
      <w:r w:rsidRPr="007B1B71">
        <w:t xml:space="preserve"> = 0.</w:t>
      </w:r>
      <w:r w:rsidR="001522C3">
        <w:t>93</w:t>
      </w:r>
      <w:r>
        <w:t>).</w:t>
      </w:r>
    </w:p>
    <w:p w:rsidR="004E2C23" w:rsidRPr="007B1B71" w:rsidP="004E2C23" w14:paraId="1B75E6BF" w14:textId="5D42E4FC">
      <w:pPr>
        <w:pStyle w:val="BodyText"/>
      </w:pPr>
      <w:r w:rsidRPr="007B1B71">
        <w:t xml:space="preserve">Nonresponse bias tended to be lower in </w:t>
      </w:r>
      <w:r w:rsidR="001522C3">
        <w:t>the telephone reminder control</w:t>
      </w:r>
      <w:r w:rsidRPr="007B1B71">
        <w:t xml:space="preserve"> group (last column of </w:t>
      </w:r>
      <w:r>
        <w:t xml:space="preserve">table </w:t>
      </w:r>
      <w:r w:rsidR="001522C3">
        <w:t>6</w:t>
      </w:r>
      <w:r w:rsidRPr="007B1B71">
        <w:t>)</w:t>
      </w:r>
      <w:r>
        <w:t>, with</w:t>
      </w:r>
      <w:r w:rsidRPr="007B1B71">
        <w:t xml:space="preserve"> </w:t>
      </w:r>
      <w:r w:rsidR="006963C4">
        <w:t>five</w:t>
      </w:r>
      <w:r>
        <w:t xml:space="preserve"> of the six </w:t>
      </w:r>
      <w:r w:rsidRPr="007B1B71">
        <w:t xml:space="preserve">indicators </w:t>
      </w:r>
      <w:r>
        <w:t>demonstrating</w:t>
      </w:r>
      <w:r w:rsidRPr="007B1B71">
        <w:t xml:space="preserve"> smaller </w:t>
      </w:r>
      <w:r w:rsidR="006963C4">
        <w:t xml:space="preserve">absolute </w:t>
      </w:r>
      <w:r w:rsidRPr="007B1B71">
        <w:t xml:space="preserve">biases with the </w:t>
      </w:r>
      <w:r w:rsidR="006963C4">
        <w:t>control</w:t>
      </w:r>
      <w:r>
        <w:t xml:space="preserve"> group</w:t>
      </w:r>
      <w:r w:rsidRPr="007B1B71">
        <w:t xml:space="preserve"> (ranging from 0.</w:t>
      </w:r>
      <w:r>
        <w:t>1</w:t>
      </w:r>
      <w:r w:rsidRPr="007B1B71">
        <w:t xml:space="preserve"> to </w:t>
      </w:r>
      <w:r w:rsidR="006963C4">
        <w:t>0</w:t>
      </w:r>
      <w:r w:rsidRPr="007B1B71">
        <w:t>.</w:t>
      </w:r>
      <w:r w:rsidR="006963C4">
        <w:t>9</w:t>
      </w:r>
      <w:r w:rsidRPr="007B1B71">
        <w:t>). However, the magnitude</w:t>
      </w:r>
      <w:r>
        <w:t>s</w:t>
      </w:r>
      <w:r w:rsidRPr="007B1B71">
        <w:t xml:space="preserve"> of these biases were similar across the control and </w:t>
      </w:r>
      <w:r>
        <w:t>treatment</w:t>
      </w:r>
      <w:r w:rsidRPr="007B1B71">
        <w:t xml:space="preserve"> groups for all indicators (average difference </w:t>
      </w:r>
      <w:r>
        <w:t xml:space="preserve">of absolute bias </w:t>
      </w:r>
      <w:r w:rsidRPr="007B1B71">
        <w:t>across the</w:t>
      </w:r>
      <w:r>
        <w:t xml:space="preserve"> six </w:t>
      </w:r>
      <w:r w:rsidRPr="007B1B71">
        <w:t xml:space="preserve">indicators = </w:t>
      </w:r>
      <w:r w:rsidR="007D6562">
        <w:t>1</w:t>
      </w:r>
      <w:r w:rsidRPr="007B1B71">
        <w:t>.</w:t>
      </w:r>
      <w:r w:rsidR="007D6562">
        <w:t>28</w:t>
      </w:r>
      <w:r w:rsidRPr="007B1B71">
        <w:t>).</w:t>
      </w:r>
    </w:p>
    <w:p w:rsidR="004E2C23" w:rsidRPr="007B1B71" w:rsidP="004E2C23" w14:paraId="1521E2AA" w14:textId="59F256FB">
      <w:pPr>
        <w:pStyle w:val="BodyText"/>
      </w:pPr>
      <w:r w:rsidRPr="007B1B71">
        <w:t xml:space="preserve">Taken together, these results indicate that </w:t>
      </w:r>
      <w:r w:rsidR="00A73E9A">
        <w:t xml:space="preserve">not offering telephone reminders encouraged </w:t>
      </w:r>
      <w:r w:rsidRPr="007B1B71">
        <w:t xml:space="preserve">response from the same types of sample members as </w:t>
      </w:r>
      <w:r>
        <w:t xml:space="preserve">did </w:t>
      </w:r>
      <w:r w:rsidR="00A73E9A">
        <w:t>offering a telephone reminder</w:t>
      </w:r>
      <w:r w:rsidRPr="007B1B71">
        <w:t>.</w:t>
      </w:r>
    </w:p>
    <w:p w:rsidR="00CB3E9E" w:rsidP="00CB3E9E" w14:paraId="62C83D78" w14:textId="037B745D">
      <w:pPr>
        <w:pStyle w:val="TableTitle"/>
      </w:pPr>
      <w:bookmarkStart w:id="43" w:name="_Ref79565789"/>
      <w:bookmarkStart w:id="44" w:name="_Toc174628209"/>
      <w:r>
        <w:t xml:space="preserve">Table </w:t>
      </w:r>
      <w:r>
        <w:fldChar w:fldCharType="begin"/>
      </w:r>
      <w:r>
        <w:instrText xml:space="preserve"> SEQ Table \* ARABIC </w:instrText>
      </w:r>
      <w:r>
        <w:fldChar w:fldCharType="separate"/>
      </w:r>
      <w:r>
        <w:rPr>
          <w:noProof/>
        </w:rPr>
        <w:t>6</w:t>
      </w:r>
      <w:r>
        <w:fldChar w:fldCharType="end"/>
      </w:r>
      <w:bookmarkEnd w:id="43"/>
      <w:r>
        <w:t>.</w:t>
      </w:r>
      <w:r w:rsidR="0021411C">
        <w:t xml:space="preserve"> </w:t>
      </w:r>
      <w:r w:rsidR="00F83AF1">
        <w:t>S</w:t>
      </w:r>
      <w:r>
        <w:t xml:space="preserve">ample composition by </w:t>
      </w:r>
      <w:r w:rsidR="002E34C1">
        <w:t xml:space="preserve">reminder mode </w:t>
      </w:r>
      <w:r>
        <w:t>experimental condition</w:t>
      </w:r>
      <w:bookmarkEnd w:id="44"/>
    </w:p>
    <w:tbl>
      <w:tblPr>
        <w:tblStyle w:val="TableGridNCES1"/>
        <w:tblW w:w="4773" w:type="pct"/>
        <w:tblLayout w:type="fixed"/>
        <w:tblLook w:val="04A0"/>
      </w:tblPr>
      <w:tblGrid>
        <w:gridCol w:w="2736"/>
        <w:gridCol w:w="1365"/>
        <w:gridCol w:w="1440"/>
        <w:gridCol w:w="1152"/>
        <w:gridCol w:w="1450"/>
        <w:gridCol w:w="1892"/>
      </w:tblGrid>
      <w:tr w14:paraId="0ABBABD6" w14:textId="77777777" w:rsidTr="00C900B5">
        <w:tblPrEx>
          <w:tblW w:w="4773" w:type="pct"/>
          <w:tblLayout w:type="fixed"/>
          <w:tblLook w:val="04A0"/>
        </w:tblPrEx>
        <w:trPr>
          <w:tblHeader/>
        </w:trPr>
        <w:tc>
          <w:tcPr>
            <w:tcW w:w="2736" w:type="dxa"/>
          </w:tcPr>
          <w:p w:rsidR="00CB3E9E" w:rsidRPr="007B1B71" w:rsidP="00C900B5" w14:paraId="36EB149D" w14:textId="77777777">
            <w:pPr>
              <w:pStyle w:val="Tabletext8pt"/>
            </w:pPr>
          </w:p>
        </w:tc>
        <w:tc>
          <w:tcPr>
            <w:tcW w:w="1365" w:type="dxa"/>
          </w:tcPr>
          <w:p w:rsidR="00CB3E9E" w:rsidRPr="007B1B71" w:rsidP="00C900B5" w14:paraId="738293B6" w14:textId="77777777">
            <w:pPr>
              <w:pStyle w:val="Tabletext8pt"/>
            </w:pPr>
          </w:p>
        </w:tc>
        <w:tc>
          <w:tcPr>
            <w:tcW w:w="1440" w:type="dxa"/>
          </w:tcPr>
          <w:p w:rsidR="00CB3E9E" w:rsidP="00C900B5" w14:paraId="7369B4A9" w14:textId="77777777">
            <w:pPr>
              <w:pStyle w:val="Tabletext8pt"/>
            </w:pPr>
          </w:p>
        </w:tc>
        <w:tc>
          <w:tcPr>
            <w:tcW w:w="2602" w:type="dxa"/>
            <w:gridSpan w:val="2"/>
          </w:tcPr>
          <w:p w:rsidR="00CB3E9E" w:rsidRPr="007B1B71" w:rsidP="00C900B5" w14:paraId="3944A7DD" w14:textId="0208C67D">
            <w:pPr>
              <w:pStyle w:val="Tabletext8pt"/>
            </w:pPr>
            <w:r>
              <w:t>D</w:t>
            </w:r>
            <w:r>
              <w:t xml:space="preserve">istribution of characteristic across treatment and </w:t>
            </w:r>
            <w:r>
              <w:br/>
            </w:r>
            <w:r>
              <w:t xml:space="preserve">control group respondents </w:t>
            </w:r>
          </w:p>
        </w:tc>
        <w:tc>
          <w:tcPr>
            <w:tcW w:w="1892" w:type="dxa"/>
          </w:tcPr>
          <w:p w:rsidR="00CB3E9E" w:rsidRPr="007B1B71" w:rsidP="00C900B5" w14:paraId="19E8957D" w14:textId="77777777">
            <w:pPr>
              <w:pStyle w:val="Tabletext8pt"/>
            </w:pPr>
          </w:p>
        </w:tc>
      </w:tr>
      <w:tr w14:paraId="4710FC7F" w14:textId="77777777" w:rsidTr="00C900B5">
        <w:tblPrEx>
          <w:tblW w:w="4773" w:type="pct"/>
          <w:tblLayout w:type="fixed"/>
          <w:tblLook w:val="04A0"/>
        </w:tblPrEx>
        <w:trPr>
          <w:tblHeader/>
        </w:trPr>
        <w:tc>
          <w:tcPr>
            <w:tcW w:w="2736" w:type="dxa"/>
            <w:hideMark/>
          </w:tcPr>
          <w:p w:rsidR="00626B3C" w:rsidRPr="007B1B71" w:rsidP="00626B3C" w14:paraId="5CBBF8E6" w14:textId="77777777">
            <w:pPr>
              <w:pStyle w:val="Tabletext8pt"/>
              <w:rPr>
                <w:b w:val="0"/>
              </w:rPr>
            </w:pPr>
            <w:r w:rsidRPr="007B1B71">
              <w:t> </w:t>
            </w:r>
            <w:r>
              <w:t>Sample member characteristic</w:t>
            </w:r>
          </w:p>
        </w:tc>
        <w:tc>
          <w:tcPr>
            <w:tcW w:w="1365" w:type="dxa"/>
            <w:hideMark/>
          </w:tcPr>
          <w:p w:rsidR="00626B3C" w:rsidRPr="00626B3C" w:rsidP="00626B3C" w14:paraId="7D8EFA14" w14:textId="77777777">
            <w:pPr>
              <w:keepNext/>
              <w:rPr>
                <w:rFonts w:ascii="Arial" w:hAnsi="Arial" w:cs="Arial"/>
                <w:b w:val="0"/>
                <w:sz w:val="16"/>
                <w:szCs w:val="16"/>
              </w:rPr>
            </w:pPr>
            <w:r w:rsidRPr="00626B3C">
              <w:rPr>
                <w:rFonts w:ascii="Arial" w:hAnsi="Arial" w:cs="Arial"/>
                <w:sz w:val="16"/>
                <w:szCs w:val="16"/>
              </w:rPr>
              <w:t>Control Group</w:t>
            </w:r>
          </w:p>
          <w:p w:rsidR="00626B3C" w:rsidRPr="00626B3C" w:rsidP="00626B3C" w14:paraId="32486653" w14:textId="711CBB23">
            <w:pPr>
              <w:pStyle w:val="Tabletext8pt"/>
              <w:rPr>
                <w:b w:val="0"/>
                <w:szCs w:val="16"/>
              </w:rPr>
            </w:pPr>
            <w:r w:rsidRPr="00626B3C">
              <w:rPr>
                <w:b w:val="0"/>
                <w:szCs w:val="16"/>
              </w:rPr>
              <w:t>Telephone reminder</w:t>
            </w:r>
          </w:p>
        </w:tc>
        <w:tc>
          <w:tcPr>
            <w:tcW w:w="1440" w:type="dxa"/>
            <w:hideMark/>
          </w:tcPr>
          <w:p w:rsidR="00626B3C" w:rsidRPr="00626B3C" w:rsidP="00626B3C" w14:paraId="2EAE389F" w14:textId="77777777">
            <w:pPr>
              <w:keepNext/>
              <w:rPr>
                <w:rFonts w:ascii="Arial" w:hAnsi="Arial" w:cs="Arial"/>
                <w:b w:val="0"/>
                <w:sz w:val="16"/>
                <w:szCs w:val="16"/>
              </w:rPr>
            </w:pPr>
            <w:r w:rsidRPr="00626B3C">
              <w:rPr>
                <w:rFonts w:ascii="Arial" w:hAnsi="Arial" w:cs="Arial"/>
                <w:sz w:val="16"/>
                <w:szCs w:val="16"/>
              </w:rPr>
              <w:t>Treatment Group</w:t>
            </w:r>
          </w:p>
          <w:p w:rsidR="00626B3C" w:rsidRPr="00626B3C" w:rsidP="00626B3C" w14:paraId="1E8A3EAB" w14:textId="6CBF005A">
            <w:pPr>
              <w:pStyle w:val="Tabletext8pt"/>
              <w:rPr>
                <w:b w:val="0"/>
                <w:szCs w:val="16"/>
              </w:rPr>
            </w:pPr>
            <w:r w:rsidRPr="00626B3C">
              <w:rPr>
                <w:b w:val="0"/>
                <w:szCs w:val="16"/>
              </w:rPr>
              <w:t>No telephone reminder</w:t>
            </w:r>
          </w:p>
        </w:tc>
        <w:tc>
          <w:tcPr>
            <w:tcW w:w="1152" w:type="dxa"/>
          </w:tcPr>
          <w:p w:rsidR="00626B3C" w:rsidRPr="00D76856" w:rsidP="00626B3C" w14:paraId="3892E8A8" w14:textId="77777777">
            <w:pPr>
              <w:pStyle w:val="Tabletext8pt"/>
              <w:rPr>
                <w:b w:val="0"/>
                <w:bCs/>
              </w:rPr>
            </w:pPr>
            <m:oMath>
              <m:r>
                <m:rPr>
                  <m:sty m:val="bi"/>
                </m:rPr>
                <w:rPr>
                  <w:rFonts w:ascii="Cambria Math" w:hAnsi="Cambria Math"/>
                  <w:sz w:val="18"/>
                  <w:szCs w:val="18"/>
                </w:rPr>
                <m:t>χ</m:t>
              </m:r>
            </m:oMath>
            <w:r w:rsidRPr="00D76856">
              <w:rPr>
                <w:b w:val="0"/>
                <w:bCs/>
                <w:sz w:val="18"/>
                <w:szCs w:val="18"/>
                <w:vertAlign w:val="superscript"/>
              </w:rPr>
              <w:t xml:space="preserve">2 </w:t>
            </w:r>
          </w:p>
        </w:tc>
        <w:tc>
          <w:tcPr>
            <w:tcW w:w="1450" w:type="dxa"/>
          </w:tcPr>
          <w:p w:rsidR="00626B3C" w:rsidRPr="00D76856" w:rsidP="00626B3C" w14:paraId="76F45A42" w14:textId="77777777">
            <w:pPr>
              <w:pStyle w:val="Tabletext8pt"/>
              <w:rPr>
                <w:b w:val="0"/>
                <w:bCs/>
              </w:rPr>
            </w:pPr>
            <w:r w:rsidRPr="00D76856">
              <w:rPr>
                <w:b w:val="0"/>
                <w:bCs/>
                <w:i/>
                <w:iCs/>
                <w:sz w:val="18"/>
                <w:szCs w:val="18"/>
              </w:rPr>
              <w:t>p</w:t>
            </w:r>
            <w:r w:rsidRPr="00D76856">
              <w:rPr>
                <w:b w:val="0"/>
                <w:bCs/>
                <w:sz w:val="18"/>
                <w:szCs w:val="18"/>
              </w:rPr>
              <w:t>-value</w:t>
            </w:r>
          </w:p>
        </w:tc>
        <w:tc>
          <w:tcPr>
            <w:tcW w:w="1892" w:type="dxa"/>
            <w:hideMark/>
          </w:tcPr>
          <w:p w:rsidR="00626B3C" w:rsidRPr="007B1B71" w:rsidP="00626B3C" w14:paraId="17377F07" w14:textId="77777777">
            <w:pPr>
              <w:pStyle w:val="Tabletext8pt"/>
            </w:pPr>
            <w:r w:rsidRPr="007B1B71">
              <w:t>Difference in |Bias|</w:t>
            </w:r>
            <w:r w:rsidRPr="007B1B71">
              <w:br/>
            </w:r>
            <w:r>
              <w:t>Treatment</w:t>
            </w:r>
            <w:r w:rsidRPr="007B1B71">
              <w:t xml:space="preserve"> - </w:t>
            </w:r>
            <w:r>
              <w:t>C</w:t>
            </w:r>
            <w:r w:rsidRPr="007B1B71">
              <w:t>ontrol</w:t>
            </w:r>
          </w:p>
        </w:tc>
      </w:tr>
      <w:tr w14:paraId="6B53D90A" w14:textId="77777777" w:rsidTr="00C900B5">
        <w:tblPrEx>
          <w:tblW w:w="4773" w:type="pct"/>
          <w:tblLayout w:type="fixed"/>
          <w:tblLook w:val="04A0"/>
        </w:tblPrEx>
        <w:tc>
          <w:tcPr>
            <w:tcW w:w="2736" w:type="dxa"/>
          </w:tcPr>
          <w:p w:rsidR="00CB3E9E" w:rsidRPr="007B1B71" w:rsidP="00C900B5" w14:paraId="71B35C84" w14:textId="77777777">
            <w:pPr>
              <w:pStyle w:val="Tabletext8ptcol1subhead"/>
            </w:pPr>
            <w:r w:rsidRPr="007B1B71">
              <w:rPr>
                <w:b/>
                <w:bCs/>
              </w:rPr>
              <w:t>Female</w:t>
            </w:r>
            <w:r w:rsidRPr="007B1B71">
              <w:t xml:space="preserve"> (in percent)</w:t>
            </w:r>
          </w:p>
        </w:tc>
        <w:tc>
          <w:tcPr>
            <w:tcW w:w="1365" w:type="dxa"/>
          </w:tcPr>
          <w:p w:rsidR="00CB3E9E" w:rsidRPr="007B1B71" w:rsidP="00C900B5" w14:paraId="08F11FA1" w14:textId="77777777">
            <w:pPr>
              <w:pStyle w:val="Tabletext8ptdecimalalign"/>
              <w:jc w:val="left"/>
            </w:pPr>
          </w:p>
        </w:tc>
        <w:tc>
          <w:tcPr>
            <w:tcW w:w="1440" w:type="dxa"/>
          </w:tcPr>
          <w:p w:rsidR="00CB3E9E" w:rsidRPr="007B1B71" w:rsidP="00C900B5" w14:paraId="255717B7" w14:textId="77777777">
            <w:pPr>
              <w:pStyle w:val="Tabletext8ptdecimalalign"/>
              <w:jc w:val="left"/>
            </w:pPr>
          </w:p>
        </w:tc>
        <w:tc>
          <w:tcPr>
            <w:tcW w:w="1152" w:type="dxa"/>
          </w:tcPr>
          <w:p w:rsidR="00CB3E9E" w:rsidRPr="007B1B71" w:rsidP="00C900B5" w14:paraId="1935921D" w14:textId="77777777">
            <w:pPr>
              <w:pStyle w:val="Tabletext8pt"/>
            </w:pPr>
          </w:p>
        </w:tc>
        <w:tc>
          <w:tcPr>
            <w:tcW w:w="1450" w:type="dxa"/>
          </w:tcPr>
          <w:p w:rsidR="00CB3E9E" w:rsidRPr="007B1B71" w:rsidP="00C900B5" w14:paraId="373312B7" w14:textId="77777777">
            <w:pPr>
              <w:pStyle w:val="Tabletext8pt"/>
            </w:pPr>
          </w:p>
        </w:tc>
        <w:tc>
          <w:tcPr>
            <w:tcW w:w="1892" w:type="dxa"/>
            <w:noWrap/>
          </w:tcPr>
          <w:p w:rsidR="00CB3E9E" w:rsidRPr="007B1B71" w:rsidP="00C900B5" w14:paraId="3D61C874" w14:textId="77777777">
            <w:pPr>
              <w:pStyle w:val="Tabletext8pt"/>
            </w:pPr>
          </w:p>
        </w:tc>
      </w:tr>
      <w:tr w14:paraId="6CBBB738" w14:textId="77777777" w:rsidTr="00B9041B">
        <w:tblPrEx>
          <w:tblW w:w="4773" w:type="pct"/>
          <w:tblLayout w:type="fixed"/>
          <w:tblLook w:val="04A0"/>
        </w:tblPrEx>
        <w:tc>
          <w:tcPr>
            <w:tcW w:w="2736" w:type="dxa"/>
            <w:hideMark/>
          </w:tcPr>
          <w:p w:rsidR="006A5B49" w:rsidRPr="007B1B71" w:rsidP="006A5B49" w14:paraId="0ABA38BE" w14:textId="77777777">
            <w:pPr>
              <w:pStyle w:val="Tabletext8ptcol1indent1"/>
            </w:pPr>
            <w:r w:rsidRPr="007B1B71">
              <w:t>Respondents</w:t>
            </w:r>
          </w:p>
        </w:tc>
        <w:tc>
          <w:tcPr>
            <w:tcW w:w="1365" w:type="dxa"/>
          </w:tcPr>
          <w:p w:rsidR="006A5B49" w:rsidRPr="007B1B71" w:rsidP="006A5B49" w14:paraId="251F77EA" w14:textId="6DDBE559">
            <w:pPr>
              <w:pStyle w:val="Tabletext8ptdecimalalign"/>
              <w:jc w:val="left"/>
            </w:pPr>
            <w:r>
              <w:t>56.9</w:t>
            </w:r>
          </w:p>
        </w:tc>
        <w:tc>
          <w:tcPr>
            <w:tcW w:w="1440" w:type="dxa"/>
          </w:tcPr>
          <w:p w:rsidR="006A5B49" w:rsidRPr="007B1B71" w:rsidP="006A5B49" w14:paraId="434809E6" w14:textId="133B3DD9">
            <w:pPr>
              <w:pStyle w:val="Tabletext8ptdecimalalign"/>
              <w:jc w:val="left"/>
            </w:pPr>
            <w:r>
              <w:t>55.4</w:t>
            </w:r>
          </w:p>
        </w:tc>
        <w:tc>
          <w:tcPr>
            <w:tcW w:w="1152" w:type="dxa"/>
          </w:tcPr>
          <w:p w:rsidR="006A5B49" w:rsidRPr="007B1B71" w:rsidP="006A5B49" w14:paraId="3DB097BE" w14:textId="5EFB2CAD">
            <w:pPr>
              <w:pStyle w:val="Tabletext8pt"/>
            </w:pPr>
            <w:r>
              <w:t>0.08</w:t>
            </w:r>
          </w:p>
        </w:tc>
        <w:tc>
          <w:tcPr>
            <w:tcW w:w="1450" w:type="dxa"/>
          </w:tcPr>
          <w:p w:rsidR="006A5B49" w:rsidRPr="007B1B71" w:rsidP="006A5B49" w14:paraId="3ABA3009" w14:textId="38B74FB8">
            <w:pPr>
              <w:pStyle w:val="Tabletext8pt"/>
            </w:pPr>
            <w:r>
              <w:t>0.78</w:t>
            </w:r>
          </w:p>
        </w:tc>
        <w:tc>
          <w:tcPr>
            <w:tcW w:w="1892" w:type="dxa"/>
            <w:noWrap/>
          </w:tcPr>
          <w:p w:rsidR="006A5B49" w:rsidRPr="007B1B71" w:rsidP="006A5B49" w14:paraId="13D1A536" w14:textId="77777777">
            <w:pPr>
              <w:pStyle w:val="Tabletext8pt"/>
            </w:pPr>
          </w:p>
        </w:tc>
      </w:tr>
      <w:tr w14:paraId="58711585" w14:textId="77777777" w:rsidTr="00B9041B">
        <w:tblPrEx>
          <w:tblW w:w="4773" w:type="pct"/>
          <w:tblLayout w:type="fixed"/>
          <w:tblLook w:val="04A0"/>
        </w:tblPrEx>
        <w:tc>
          <w:tcPr>
            <w:tcW w:w="2736" w:type="dxa"/>
            <w:hideMark/>
          </w:tcPr>
          <w:p w:rsidR="006A5B49" w:rsidRPr="007B1B71" w:rsidP="006A5B49" w14:paraId="7870DECB" w14:textId="77777777">
            <w:pPr>
              <w:pStyle w:val="Tabletext8ptcol1indent1"/>
            </w:pPr>
            <w:r w:rsidRPr="007B1B71">
              <w:t>Nonrespondents</w:t>
            </w:r>
          </w:p>
        </w:tc>
        <w:tc>
          <w:tcPr>
            <w:tcW w:w="1365" w:type="dxa"/>
          </w:tcPr>
          <w:p w:rsidR="006A5B49" w:rsidRPr="007B1B71" w:rsidP="006A5B49" w14:paraId="1D2010E7" w14:textId="4D3A920A">
            <w:pPr>
              <w:pStyle w:val="Tabletext8ptdecimalalign"/>
              <w:jc w:val="left"/>
            </w:pPr>
            <w:r>
              <w:t>56.4</w:t>
            </w:r>
          </w:p>
        </w:tc>
        <w:tc>
          <w:tcPr>
            <w:tcW w:w="1440" w:type="dxa"/>
          </w:tcPr>
          <w:p w:rsidR="006A5B49" w:rsidRPr="007B1B71" w:rsidP="006A5B49" w14:paraId="72352AD5" w14:textId="08BB2CE0">
            <w:pPr>
              <w:pStyle w:val="Tabletext8ptdecimalalign"/>
              <w:jc w:val="left"/>
            </w:pPr>
            <w:r>
              <w:t>54.1</w:t>
            </w:r>
          </w:p>
        </w:tc>
        <w:tc>
          <w:tcPr>
            <w:tcW w:w="1152" w:type="dxa"/>
          </w:tcPr>
          <w:p w:rsidR="006A5B49" w:rsidRPr="007B1B71" w:rsidP="006A5B49" w14:paraId="7CB92111" w14:textId="77777777">
            <w:pPr>
              <w:pStyle w:val="Tabletext8pt"/>
            </w:pPr>
          </w:p>
        </w:tc>
        <w:tc>
          <w:tcPr>
            <w:tcW w:w="1450" w:type="dxa"/>
          </w:tcPr>
          <w:p w:rsidR="006A5B49" w:rsidRPr="007B1B71" w:rsidP="006A5B49" w14:paraId="65367465" w14:textId="77777777">
            <w:pPr>
              <w:pStyle w:val="Tabletext8pt"/>
            </w:pPr>
          </w:p>
        </w:tc>
        <w:tc>
          <w:tcPr>
            <w:tcW w:w="1892" w:type="dxa"/>
            <w:noWrap/>
          </w:tcPr>
          <w:p w:rsidR="006A5B49" w:rsidRPr="007B1B71" w:rsidP="006A5B49" w14:paraId="751C4432" w14:textId="77777777">
            <w:pPr>
              <w:pStyle w:val="Tabletext8pt"/>
            </w:pPr>
          </w:p>
        </w:tc>
      </w:tr>
      <w:tr w14:paraId="5DA7123B" w14:textId="77777777" w:rsidTr="00C900B5">
        <w:tblPrEx>
          <w:tblW w:w="4773" w:type="pct"/>
          <w:tblLayout w:type="fixed"/>
          <w:tblLook w:val="04A0"/>
        </w:tblPrEx>
        <w:tc>
          <w:tcPr>
            <w:tcW w:w="2736" w:type="dxa"/>
            <w:hideMark/>
          </w:tcPr>
          <w:p w:rsidR="006A5B49" w:rsidRPr="007B1B71" w:rsidP="006A5B49" w14:paraId="055363C4" w14:textId="77777777">
            <w:pPr>
              <w:pStyle w:val="Tabletext8ptcol1indent1"/>
            </w:pPr>
            <w:r w:rsidRPr="007B1B71">
              <w:t xml:space="preserve">Respondents – </w:t>
            </w:r>
            <w:r>
              <w:t>n</w:t>
            </w:r>
            <w:r w:rsidRPr="007B1B71">
              <w:t>onrespondents</w:t>
            </w:r>
          </w:p>
        </w:tc>
        <w:tc>
          <w:tcPr>
            <w:tcW w:w="1365" w:type="dxa"/>
            <w:vAlign w:val="top"/>
          </w:tcPr>
          <w:p w:rsidR="006A5B49" w:rsidRPr="007B1B71" w:rsidP="006A5B49" w14:paraId="6B26FE83" w14:textId="5F380BCB">
            <w:pPr>
              <w:pStyle w:val="Tabletext8ptdecimalalign"/>
              <w:jc w:val="left"/>
            </w:pPr>
            <w:r w:rsidRPr="00296D6D">
              <w:t>0.5</w:t>
            </w:r>
          </w:p>
        </w:tc>
        <w:tc>
          <w:tcPr>
            <w:tcW w:w="1440" w:type="dxa"/>
            <w:vAlign w:val="top"/>
          </w:tcPr>
          <w:p w:rsidR="006A5B49" w:rsidRPr="007B1B71" w:rsidP="006A5B49" w14:paraId="51FEDD27" w14:textId="38C7AE62">
            <w:pPr>
              <w:pStyle w:val="Tabletext8ptdecimalalign"/>
              <w:jc w:val="left"/>
            </w:pPr>
            <w:r w:rsidRPr="00296D6D">
              <w:t>1.3</w:t>
            </w:r>
          </w:p>
        </w:tc>
        <w:tc>
          <w:tcPr>
            <w:tcW w:w="1152" w:type="dxa"/>
            <w:vAlign w:val="top"/>
          </w:tcPr>
          <w:p w:rsidR="006A5B49" w:rsidRPr="007B1B71" w:rsidP="006A5B49" w14:paraId="3976FADC" w14:textId="77777777">
            <w:pPr>
              <w:pStyle w:val="Tabletext8pt"/>
            </w:pPr>
          </w:p>
        </w:tc>
        <w:tc>
          <w:tcPr>
            <w:tcW w:w="1450" w:type="dxa"/>
            <w:vAlign w:val="top"/>
          </w:tcPr>
          <w:p w:rsidR="006A5B49" w:rsidRPr="007B1B71" w:rsidP="006A5B49" w14:paraId="24828DA9" w14:textId="77777777">
            <w:pPr>
              <w:pStyle w:val="Tabletext8pt"/>
            </w:pPr>
          </w:p>
        </w:tc>
        <w:tc>
          <w:tcPr>
            <w:tcW w:w="1892" w:type="dxa"/>
            <w:noWrap/>
            <w:vAlign w:val="top"/>
          </w:tcPr>
          <w:p w:rsidR="006A5B49" w:rsidRPr="007B1B71" w:rsidP="006A5B49" w14:paraId="3F8147AA" w14:textId="77777777">
            <w:pPr>
              <w:pStyle w:val="Tabletext8pt"/>
            </w:pPr>
          </w:p>
        </w:tc>
      </w:tr>
      <w:tr w14:paraId="790F2CBC" w14:textId="77777777" w:rsidTr="00C900B5">
        <w:tblPrEx>
          <w:tblW w:w="4773" w:type="pct"/>
          <w:tblLayout w:type="fixed"/>
          <w:tblLook w:val="04A0"/>
        </w:tblPrEx>
        <w:trPr>
          <w:trHeight w:val="60"/>
        </w:trPr>
        <w:tc>
          <w:tcPr>
            <w:tcW w:w="2736" w:type="dxa"/>
            <w:hideMark/>
          </w:tcPr>
          <w:p w:rsidR="006A5B49" w:rsidRPr="007B1B71" w:rsidP="006A5B49" w14:paraId="6D735A97" w14:textId="77777777">
            <w:pPr>
              <w:pStyle w:val="Tabletext8ptcol1indent1"/>
            </w:pPr>
            <w:r w:rsidRPr="007B1B71">
              <w:t xml:space="preserve">Nonresponse </w:t>
            </w:r>
            <w:r>
              <w:t>b</w:t>
            </w:r>
            <w:r w:rsidRPr="007B1B71">
              <w:t>ias</w:t>
            </w:r>
          </w:p>
        </w:tc>
        <w:tc>
          <w:tcPr>
            <w:tcW w:w="1365" w:type="dxa"/>
            <w:noWrap/>
            <w:vAlign w:val="top"/>
          </w:tcPr>
          <w:p w:rsidR="006A5B49" w:rsidRPr="007B1B71" w:rsidP="006A5B49" w14:paraId="7D67480A" w14:textId="3DF6E324">
            <w:pPr>
              <w:pStyle w:val="Tabletext8ptdecimalalign"/>
              <w:jc w:val="left"/>
            </w:pPr>
            <w:r w:rsidRPr="00296D6D">
              <w:t>0.3</w:t>
            </w:r>
          </w:p>
        </w:tc>
        <w:tc>
          <w:tcPr>
            <w:tcW w:w="1440" w:type="dxa"/>
            <w:noWrap/>
            <w:vAlign w:val="top"/>
          </w:tcPr>
          <w:p w:rsidR="006A5B49" w:rsidRPr="007B1B71" w:rsidP="006A5B49" w14:paraId="7E43AB21" w14:textId="5C72E691">
            <w:pPr>
              <w:pStyle w:val="Tabletext8ptdecimalalign"/>
              <w:jc w:val="left"/>
            </w:pPr>
            <w:r w:rsidRPr="00296D6D">
              <w:t>0.9</w:t>
            </w:r>
          </w:p>
        </w:tc>
        <w:tc>
          <w:tcPr>
            <w:tcW w:w="1152" w:type="dxa"/>
            <w:vAlign w:val="top"/>
          </w:tcPr>
          <w:p w:rsidR="006A5B49" w:rsidRPr="007B1B71" w:rsidP="006A5B49" w14:paraId="050908CD" w14:textId="77777777">
            <w:pPr>
              <w:pStyle w:val="Tabletext8pt"/>
            </w:pPr>
          </w:p>
        </w:tc>
        <w:tc>
          <w:tcPr>
            <w:tcW w:w="1450" w:type="dxa"/>
            <w:vAlign w:val="top"/>
          </w:tcPr>
          <w:p w:rsidR="006A5B49" w:rsidRPr="002604B0" w:rsidP="006A5B49" w14:paraId="46A36508" w14:textId="77777777">
            <w:pPr>
              <w:pStyle w:val="Tabletext8pt"/>
            </w:pPr>
          </w:p>
        </w:tc>
        <w:tc>
          <w:tcPr>
            <w:tcW w:w="1892" w:type="dxa"/>
            <w:noWrap/>
            <w:vAlign w:val="top"/>
          </w:tcPr>
          <w:p w:rsidR="006A5B49" w:rsidRPr="007B1B71" w:rsidP="006A5B49" w14:paraId="0567C577" w14:textId="1C1C07F1">
            <w:pPr>
              <w:pStyle w:val="Tabletext8pt"/>
            </w:pPr>
            <w:r w:rsidRPr="00296D6D">
              <w:t>0.6</w:t>
            </w:r>
          </w:p>
        </w:tc>
      </w:tr>
      <w:tr w14:paraId="3070209D" w14:textId="77777777" w:rsidTr="00B9041B">
        <w:tblPrEx>
          <w:tblW w:w="4773" w:type="pct"/>
          <w:tblLayout w:type="fixed"/>
          <w:tblLook w:val="04A0"/>
        </w:tblPrEx>
        <w:tc>
          <w:tcPr>
            <w:tcW w:w="2736" w:type="dxa"/>
            <w:hideMark/>
          </w:tcPr>
          <w:p w:rsidR="006A5B49" w:rsidRPr="007B1B71" w:rsidP="006A5B49" w14:paraId="56342593" w14:textId="1FC21B48">
            <w:pPr>
              <w:pStyle w:val="Tabletext8ptcol1indent1"/>
            </w:pPr>
            <w:r w:rsidRPr="007B1B71">
              <w:t xml:space="preserve">Overall </w:t>
            </w:r>
            <w:r>
              <w:t>s</w:t>
            </w:r>
            <w:r w:rsidRPr="007B1B71">
              <w:t>ample (</w:t>
            </w:r>
            <w:r w:rsidRPr="007B1B71">
              <w:rPr>
                <w:i/>
                <w:iCs/>
              </w:rPr>
              <w:t>n</w:t>
            </w:r>
            <w:r w:rsidRPr="007B1B71">
              <w:t xml:space="preserve"> = </w:t>
            </w:r>
            <w:r>
              <w:t>920</w:t>
            </w:r>
            <w:r w:rsidRPr="00A76C69">
              <w:t>)</w:t>
            </w:r>
            <w:r w:rsidRPr="007B1B71" w:rsidR="00626B3C">
              <w:rPr>
                <w:vertAlign w:val="superscript"/>
              </w:rPr>
              <w:t xml:space="preserve"> 1</w:t>
            </w:r>
          </w:p>
        </w:tc>
        <w:tc>
          <w:tcPr>
            <w:tcW w:w="1365" w:type="dxa"/>
          </w:tcPr>
          <w:p w:rsidR="006A5B49" w:rsidRPr="007B1B71" w:rsidP="006A5B49" w14:paraId="29926D38" w14:textId="6C578DDD">
            <w:pPr>
              <w:pStyle w:val="Tabletext8ptdecimalalign"/>
              <w:jc w:val="left"/>
            </w:pPr>
            <w:r>
              <w:t>56.7</w:t>
            </w:r>
          </w:p>
        </w:tc>
        <w:tc>
          <w:tcPr>
            <w:tcW w:w="1440" w:type="dxa"/>
          </w:tcPr>
          <w:p w:rsidR="006A5B49" w:rsidRPr="007B1B71" w:rsidP="006A5B49" w14:paraId="7174B7A3" w14:textId="1EB25C59">
            <w:pPr>
              <w:pStyle w:val="Tabletext8ptdecimalalign"/>
              <w:jc w:val="left"/>
            </w:pPr>
            <w:r>
              <w:t>54.6</w:t>
            </w:r>
          </w:p>
        </w:tc>
        <w:tc>
          <w:tcPr>
            <w:tcW w:w="1152" w:type="dxa"/>
          </w:tcPr>
          <w:p w:rsidR="006A5B49" w:rsidRPr="007B1B71" w:rsidP="006A5B49" w14:paraId="25B5CE32" w14:textId="77777777">
            <w:pPr>
              <w:pStyle w:val="Tabletext8pt"/>
            </w:pPr>
          </w:p>
        </w:tc>
        <w:tc>
          <w:tcPr>
            <w:tcW w:w="1450" w:type="dxa"/>
          </w:tcPr>
          <w:p w:rsidR="006A5B49" w:rsidRPr="007B1B71" w:rsidP="006A5B49" w14:paraId="4AB40FE2" w14:textId="77777777">
            <w:pPr>
              <w:pStyle w:val="Tabletext8pt"/>
            </w:pPr>
          </w:p>
        </w:tc>
        <w:tc>
          <w:tcPr>
            <w:tcW w:w="1892" w:type="dxa"/>
            <w:noWrap/>
          </w:tcPr>
          <w:p w:rsidR="006A5B49" w:rsidRPr="007B1B71" w:rsidP="006A5B49" w14:paraId="78D22205" w14:textId="77777777">
            <w:pPr>
              <w:pStyle w:val="Tabletext8pt"/>
            </w:pPr>
          </w:p>
        </w:tc>
      </w:tr>
      <w:tr w14:paraId="03220C35" w14:textId="77777777" w:rsidTr="00C900B5">
        <w:tblPrEx>
          <w:tblW w:w="4773" w:type="pct"/>
          <w:tblLayout w:type="fixed"/>
          <w:tblLook w:val="04A0"/>
        </w:tblPrEx>
        <w:tc>
          <w:tcPr>
            <w:tcW w:w="2736" w:type="dxa"/>
          </w:tcPr>
          <w:p w:rsidR="006A5B49" w:rsidRPr="007B1B71" w:rsidP="006A5B49" w14:paraId="589FF82E" w14:textId="77777777">
            <w:pPr>
              <w:pStyle w:val="Tabletext8ptcol1subhead"/>
              <w:rPr>
                <w:color w:val="000000"/>
                <w:sz w:val="18"/>
                <w:szCs w:val="18"/>
              </w:rPr>
            </w:pPr>
            <w:r w:rsidRPr="007B1B71">
              <w:rPr>
                <w:b/>
                <w:bCs/>
              </w:rPr>
              <w:t>White</w:t>
            </w:r>
            <w:r w:rsidRPr="007B1B71">
              <w:t xml:space="preserve"> (in percent)</w:t>
            </w:r>
          </w:p>
        </w:tc>
        <w:tc>
          <w:tcPr>
            <w:tcW w:w="1365" w:type="dxa"/>
          </w:tcPr>
          <w:p w:rsidR="006A5B49" w:rsidRPr="007B1B71" w:rsidP="006A5B49" w14:paraId="0C00F20D" w14:textId="77777777">
            <w:pPr>
              <w:pStyle w:val="Tabletext8ptdecimalalign"/>
              <w:jc w:val="left"/>
            </w:pPr>
          </w:p>
        </w:tc>
        <w:tc>
          <w:tcPr>
            <w:tcW w:w="1440" w:type="dxa"/>
          </w:tcPr>
          <w:p w:rsidR="006A5B49" w:rsidRPr="007B1B71" w:rsidP="006A5B49" w14:paraId="1B52A16F" w14:textId="77777777">
            <w:pPr>
              <w:pStyle w:val="Tabletext8ptdecimalalign"/>
              <w:jc w:val="left"/>
            </w:pPr>
          </w:p>
        </w:tc>
        <w:tc>
          <w:tcPr>
            <w:tcW w:w="1152" w:type="dxa"/>
          </w:tcPr>
          <w:p w:rsidR="006A5B49" w:rsidRPr="007B1B71" w:rsidP="006A5B49" w14:paraId="4C07E874" w14:textId="77777777">
            <w:pPr>
              <w:pStyle w:val="Tabletext8pt"/>
            </w:pPr>
          </w:p>
        </w:tc>
        <w:tc>
          <w:tcPr>
            <w:tcW w:w="1450" w:type="dxa"/>
          </w:tcPr>
          <w:p w:rsidR="006A5B49" w:rsidRPr="007B1B71" w:rsidP="006A5B49" w14:paraId="666D8EC4" w14:textId="77777777">
            <w:pPr>
              <w:pStyle w:val="Tabletext8pt"/>
            </w:pPr>
          </w:p>
        </w:tc>
        <w:tc>
          <w:tcPr>
            <w:tcW w:w="1892" w:type="dxa"/>
            <w:noWrap/>
          </w:tcPr>
          <w:p w:rsidR="006A5B49" w:rsidRPr="007B1B71" w:rsidP="006A5B49" w14:paraId="140AF33C" w14:textId="77777777">
            <w:pPr>
              <w:pStyle w:val="Tabletext8pt"/>
            </w:pPr>
          </w:p>
        </w:tc>
      </w:tr>
      <w:tr w14:paraId="6185F8D8" w14:textId="77777777" w:rsidTr="00C900B5">
        <w:tblPrEx>
          <w:tblW w:w="4773" w:type="pct"/>
          <w:tblLayout w:type="fixed"/>
          <w:tblLook w:val="04A0"/>
        </w:tblPrEx>
        <w:tc>
          <w:tcPr>
            <w:tcW w:w="2736" w:type="dxa"/>
          </w:tcPr>
          <w:p w:rsidR="006A5B49" w:rsidRPr="007B1B71" w:rsidP="006A5B49" w14:paraId="4C3B04B3" w14:textId="77777777">
            <w:pPr>
              <w:pStyle w:val="Tabletext8ptcol1indent1"/>
            </w:pPr>
            <w:r w:rsidRPr="007B1B71">
              <w:t>Respondents</w:t>
            </w:r>
          </w:p>
        </w:tc>
        <w:tc>
          <w:tcPr>
            <w:tcW w:w="1365" w:type="dxa"/>
          </w:tcPr>
          <w:p w:rsidR="006A5B49" w:rsidRPr="007B1B71" w:rsidP="006A5B49" w14:paraId="0F3030C2" w14:textId="38B29906">
            <w:pPr>
              <w:pStyle w:val="Tabletext8ptdecimalalign"/>
              <w:jc w:val="left"/>
            </w:pPr>
            <w:r>
              <w:t>63.1</w:t>
            </w:r>
          </w:p>
        </w:tc>
        <w:tc>
          <w:tcPr>
            <w:tcW w:w="1440" w:type="dxa"/>
          </w:tcPr>
          <w:p w:rsidR="006A5B49" w:rsidRPr="007B1B71" w:rsidP="006A5B49" w14:paraId="46CB31E8" w14:textId="40AD6CAD">
            <w:pPr>
              <w:pStyle w:val="Tabletext8ptdecimalalign"/>
              <w:jc w:val="left"/>
            </w:pPr>
            <w:r>
              <w:t>65.6</w:t>
            </w:r>
          </w:p>
        </w:tc>
        <w:tc>
          <w:tcPr>
            <w:tcW w:w="1152" w:type="dxa"/>
          </w:tcPr>
          <w:p w:rsidR="006A5B49" w:rsidRPr="007B1B71" w:rsidP="006A5B49" w14:paraId="7C466A4B" w14:textId="2E9C8534">
            <w:pPr>
              <w:pStyle w:val="Tabletext8pt"/>
            </w:pPr>
            <w:r>
              <w:t>0.26</w:t>
            </w:r>
          </w:p>
        </w:tc>
        <w:tc>
          <w:tcPr>
            <w:tcW w:w="1450" w:type="dxa"/>
          </w:tcPr>
          <w:p w:rsidR="006A5B49" w:rsidRPr="007B1B71" w:rsidP="006A5B49" w14:paraId="3468B75B" w14:textId="0A914523">
            <w:pPr>
              <w:pStyle w:val="Tabletext8pt"/>
            </w:pPr>
            <w:r>
              <w:t>0.61</w:t>
            </w:r>
          </w:p>
        </w:tc>
        <w:tc>
          <w:tcPr>
            <w:tcW w:w="1892" w:type="dxa"/>
            <w:noWrap/>
          </w:tcPr>
          <w:p w:rsidR="006A5B49" w:rsidRPr="007B1B71" w:rsidP="006A5B49" w14:paraId="304EFE7E" w14:textId="77777777">
            <w:pPr>
              <w:pStyle w:val="Tabletext8pt"/>
            </w:pPr>
          </w:p>
        </w:tc>
      </w:tr>
      <w:tr w14:paraId="59C3BA48" w14:textId="77777777" w:rsidTr="00C900B5">
        <w:tblPrEx>
          <w:tblW w:w="4773" w:type="pct"/>
          <w:tblLayout w:type="fixed"/>
          <w:tblLook w:val="04A0"/>
        </w:tblPrEx>
        <w:tc>
          <w:tcPr>
            <w:tcW w:w="2736" w:type="dxa"/>
            <w:hideMark/>
          </w:tcPr>
          <w:p w:rsidR="006A5B49" w:rsidRPr="007B1B71" w:rsidP="006A5B49" w14:paraId="6BA864D6" w14:textId="77777777">
            <w:pPr>
              <w:pStyle w:val="Tabletext8ptcol1indent1"/>
            </w:pPr>
            <w:r w:rsidRPr="007B1B71">
              <w:t>Nonrespondents</w:t>
            </w:r>
          </w:p>
        </w:tc>
        <w:tc>
          <w:tcPr>
            <w:tcW w:w="1365" w:type="dxa"/>
          </w:tcPr>
          <w:p w:rsidR="006A5B49" w:rsidRPr="007B1B71" w:rsidP="006A5B49" w14:paraId="363154F0" w14:textId="00176E5B">
            <w:pPr>
              <w:pStyle w:val="Tabletext8ptdecimalalign"/>
              <w:jc w:val="left"/>
            </w:pPr>
            <w:r>
              <w:t>63.2</w:t>
            </w:r>
          </w:p>
        </w:tc>
        <w:tc>
          <w:tcPr>
            <w:tcW w:w="1440" w:type="dxa"/>
          </w:tcPr>
          <w:p w:rsidR="006A5B49" w:rsidRPr="007B1B71" w:rsidP="006A5B49" w14:paraId="1D9443F2" w14:textId="1F27E45F">
            <w:pPr>
              <w:pStyle w:val="Tabletext8ptdecimalalign"/>
              <w:jc w:val="left"/>
            </w:pPr>
            <w:r>
              <w:t>66.1</w:t>
            </w:r>
          </w:p>
        </w:tc>
        <w:tc>
          <w:tcPr>
            <w:tcW w:w="1152" w:type="dxa"/>
          </w:tcPr>
          <w:p w:rsidR="006A5B49" w:rsidRPr="007B1B71" w:rsidP="006A5B49" w14:paraId="5BFF5CB3" w14:textId="77777777">
            <w:pPr>
              <w:pStyle w:val="Tabletext8pt"/>
            </w:pPr>
          </w:p>
        </w:tc>
        <w:tc>
          <w:tcPr>
            <w:tcW w:w="1450" w:type="dxa"/>
          </w:tcPr>
          <w:p w:rsidR="006A5B49" w:rsidRPr="007B1B71" w:rsidP="006A5B49" w14:paraId="6E942B4C" w14:textId="77777777">
            <w:pPr>
              <w:pStyle w:val="Tabletext8pt"/>
            </w:pPr>
          </w:p>
        </w:tc>
        <w:tc>
          <w:tcPr>
            <w:tcW w:w="1892" w:type="dxa"/>
            <w:noWrap/>
          </w:tcPr>
          <w:p w:rsidR="006A5B49" w:rsidRPr="007B1B71" w:rsidP="006A5B49" w14:paraId="454DEE82" w14:textId="77777777">
            <w:pPr>
              <w:pStyle w:val="Tabletext8pt"/>
            </w:pPr>
          </w:p>
        </w:tc>
      </w:tr>
      <w:tr w14:paraId="3672C607" w14:textId="77777777" w:rsidTr="00C900B5">
        <w:tblPrEx>
          <w:tblW w:w="4773" w:type="pct"/>
          <w:tblLayout w:type="fixed"/>
          <w:tblLook w:val="04A0"/>
        </w:tblPrEx>
        <w:tc>
          <w:tcPr>
            <w:tcW w:w="2736" w:type="dxa"/>
            <w:hideMark/>
          </w:tcPr>
          <w:p w:rsidR="006A5B49" w:rsidRPr="007B1B71" w:rsidP="006A5B49" w14:paraId="44CE39D1" w14:textId="77777777">
            <w:pPr>
              <w:pStyle w:val="Tabletext8ptcol1indent1"/>
            </w:pPr>
            <w:r w:rsidRPr="007B1B71">
              <w:t xml:space="preserve">Respondents – </w:t>
            </w:r>
            <w:r>
              <w:t>n</w:t>
            </w:r>
            <w:r w:rsidRPr="007B1B71">
              <w:t>onrespondents</w:t>
            </w:r>
          </w:p>
        </w:tc>
        <w:tc>
          <w:tcPr>
            <w:tcW w:w="1365" w:type="dxa"/>
            <w:vAlign w:val="top"/>
          </w:tcPr>
          <w:p w:rsidR="006A5B49" w:rsidRPr="007B1B71" w:rsidP="006A5B49" w14:paraId="368CE2B7" w14:textId="4A7CD330">
            <w:pPr>
              <w:pStyle w:val="Tabletext8ptdecimalalign"/>
              <w:jc w:val="left"/>
            </w:pPr>
            <w:r w:rsidRPr="005C1BF2">
              <w:t>-0.1</w:t>
            </w:r>
          </w:p>
        </w:tc>
        <w:tc>
          <w:tcPr>
            <w:tcW w:w="1440" w:type="dxa"/>
            <w:vAlign w:val="top"/>
          </w:tcPr>
          <w:p w:rsidR="006A5B49" w:rsidRPr="007B1B71" w:rsidP="006A5B49" w14:paraId="55E24D83" w14:textId="78F35464">
            <w:pPr>
              <w:pStyle w:val="Tabletext8ptdecimalalign"/>
              <w:jc w:val="left"/>
            </w:pPr>
            <w:r w:rsidRPr="005C1BF2">
              <w:t>-0.5</w:t>
            </w:r>
          </w:p>
        </w:tc>
        <w:tc>
          <w:tcPr>
            <w:tcW w:w="1152" w:type="dxa"/>
            <w:vAlign w:val="top"/>
          </w:tcPr>
          <w:p w:rsidR="006A5B49" w:rsidRPr="007B1B71" w:rsidP="006A5B49" w14:paraId="65C47BEB" w14:textId="77777777">
            <w:pPr>
              <w:pStyle w:val="Tabletext8pt"/>
            </w:pPr>
          </w:p>
        </w:tc>
        <w:tc>
          <w:tcPr>
            <w:tcW w:w="1450" w:type="dxa"/>
            <w:vAlign w:val="top"/>
          </w:tcPr>
          <w:p w:rsidR="006A5B49" w:rsidRPr="007B1B71" w:rsidP="006A5B49" w14:paraId="3DD2E4B3" w14:textId="77777777">
            <w:pPr>
              <w:pStyle w:val="Tabletext8pt"/>
            </w:pPr>
          </w:p>
        </w:tc>
        <w:tc>
          <w:tcPr>
            <w:tcW w:w="1892" w:type="dxa"/>
            <w:noWrap/>
            <w:vAlign w:val="top"/>
          </w:tcPr>
          <w:p w:rsidR="006A5B49" w:rsidRPr="007B1B71" w:rsidP="006A5B49" w14:paraId="5E9C8A4E" w14:textId="77777777">
            <w:pPr>
              <w:pStyle w:val="Tabletext8pt"/>
            </w:pPr>
          </w:p>
        </w:tc>
      </w:tr>
      <w:tr w14:paraId="11EB9CF6" w14:textId="77777777" w:rsidTr="00C900B5">
        <w:tblPrEx>
          <w:tblW w:w="4773" w:type="pct"/>
          <w:tblLayout w:type="fixed"/>
          <w:tblLook w:val="04A0"/>
        </w:tblPrEx>
        <w:tc>
          <w:tcPr>
            <w:tcW w:w="2736" w:type="dxa"/>
            <w:hideMark/>
          </w:tcPr>
          <w:p w:rsidR="006A5B49" w:rsidRPr="007B1B71" w:rsidP="006A5B49" w14:paraId="6C23BF66" w14:textId="77777777">
            <w:pPr>
              <w:pStyle w:val="Tabletext8ptcol1indent1"/>
            </w:pPr>
            <w:r w:rsidRPr="007B1B71">
              <w:t xml:space="preserve">Nonresponse </w:t>
            </w:r>
            <w:r>
              <w:t>b</w:t>
            </w:r>
            <w:r w:rsidRPr="007B1B71">
              <w:t>ias</w:t>
            </w:r>
          </w:p>
        </w:tc>
        <w:tc>
          <w:tcPr>
            <w:tcW w:w="1365" w:type="dxa"/>
            <w:noWrap/>
            <w:vAlign w:val="top"/>
          </w:tcPr>
          <w:p w:rsidR="006A5B49" w:rsidRPr="007B1B71" w:rsidP="006A5B49" w14:paraId="3272A97C" w14:textId="7C14DC19">
            <w:pPr>
              <w:pStyle w:val="Tabletext8ptdecimalalign"/>
              <w:jc w:val="left"/>
            </w:pPr>
            <w:r w:rsidRPr="005C1BF2">
              <w:t>-0.1</w:t>
            </w:r>
          </w:p>
        </w:tc>
        <w:tc>
          <w:tcPr>
            <w:tcW w:w="1440" w:type="dxa"/>
            <w:noWrap/>
            <w:vAlign w:val="top"/>
          </w:tcPr>
          <w:p w:rsidR="006A5B49" w:rsidRPr="007B1B71" w:rsidP="006A5B49" w14:paraId="73DCD695" w14:textId="60D954C7">
            <w:pPr>
              <w:pStyle w:val="Tabletext8ptdecimalalign"/>
              <w:jc w:val="left"/>
            </w:pPr>
            <w:r w:rsidRPr="005C1BF2">
              <w:t>-0.3</w:t>
            </w:r>
          </w:p>
        </w:tc>
        <w:tc>
          <w:tcPr>
            <w:tcW w:w="1152" w:type="dxa"/>
            <w:vAlign w:val="top"/>
          </w:tcPr>
          <w:p w:rsidR="006A5B49" w:rsidRPr="007B1B71" w:rsidP="006A5B49" w14:paraId="7A20F87A" w14:textId="77777777">
            <w:pPr>
              <w:pStyle w:val="Tabletext8pt"/>
            </w:pPr>
          </w:p>
        </w:tc>
        <w:tc>
          <w:tcPr>
            <w:tcW w:w="1450" w:type="dxa"/>
            <w:vAlign w:val="top"/>
          </w:tcPr>
          <w:p w:rsidR="006A5B49" w:rsidRPr="00292F9F" w:rsidP="006A5B49" w14:paraId="5DE96551" w14:textId="77777777">
            <w:pPr>
              <w:pStyle w:val="Tabletext8pt"/>
            </w:pPr>
          </w:p>
        </w:tc>
        <w:tc>
          <w:tcPr>
            <w:tcW w:w="1892" w:type="dxa"/>
            <w:noWrap/>
            <w:vAlign w:val="top"/>
          </w:tcPr>
          <w:p w:rsidR="006A5B49" w:rsidRPr="007B1B71" w:rsidP="006A5B49" w14:paraId="5DE0BE26" w14:textId="0F63C60F">
            <w:pPr>
              <w:pStyle w:val="Tabletext8pt"/>
            </w:pPr>
            <w:r w:rsidRPr="005C1BF2">
              <w:t>0.</w:t>
            </w:r>
            <w:r w:rsidR="00A57A77">
              <w:t>2</w:t>
            </w:r>
          </w:p>
        </w:tc>
      </w:tr>
      <w:tr w14:paraId="6683BDFB" w14:textId="77777777" w:rsidTr="00C900B5">
        <w:tblPrEx>
          <w:tblW w:w="4773" w:type="pct"/>
          <w:tblLayout w:type="fixed"/>
          <w:tblLook w:val="04A0"/>
        </w:tblPrEx>
        <w:tc>
          <w:tcPr>
            <w:tcW w:w="2736" w:type="dxa"/>
            <w:hideMark/>
          </w:tcPr>
          <w:p w:rsidR="006A5B49" w:rsidRPr="007B1B71" w:rsidP="006A5B49" w14:paraId="16F14516" w14:textId="55CE6A91">
            <w:pPr>
              <w:pStyle w:val="Tabletext8ptcol1indent1"/>
            </w:pPr>
            <w:r w:rsidRPr="007B1B71">
              <w:t xml:space="preserve">Overall </w:t>
            </w:r>
            <w:r>
              <w:t>s</w:t>
            </w:r>
            <w:r w:rsidRPr="007B1B71">
              <w:t>ample (</w:t>
            </w:r>
            <w:r w:rsidRPr="007B1B71">
              <w:rPr>
                <w:i/>
                <w:iCs/>
              </w:rPr>
              <w:t>n</w:t>
            </w:r>
            <w:r w:rsidRPr="007B1B71">
              <w:t xml:space="preserve"> = </w:t>
            </w:r>
            <w:r>
              <w:t>910</w:t>
            </w:r>
            <w:r w:rsidRPr="00A76C69">
              <w:t>)</w:t>
            </w:r>
            <w:r w:rsidRPr="007B1B71" w:rsidR="00626B3C">
              <w:rPr>
                <w:vertAlign w:val="superscript"/>
              </w:rPr>
              <w:t xml:space="preserve"> 1</w:t>
            </w:r>
          </w:p>
        </w:tc>
        <w:tc>
          <w:tcPr>
            <w:tcW w:w="1365" w:type="dxa"/>
          </w:tcPr>
          <w:p w:rsidR="006A5B49" w:rsidRPr="007B1B71" w:rsidP="006A5B49" w14:paraId="40F42DEA" w14:textId="64735455">
            <w:pPr>
              <w:pStyle w:val="Tabletext8ptdecimalalign"/>
              <w:jc w:val="left"/>
            </w:pPr>
            <w:r>
              <w:t>63.1</w:t>
            </w:r>
          </w:p>
        </w:tc>
        <w:tc>
          <w:tcPr>
            <w:tcW w:w="1440" w:type="dxa"/>
          </w:tcPr>
          <w:p w:rsidR="006A5B49" w:rsidRPr="007B1B71" w:rsidP="006A5B49" w14:paraId="72924A70" w14:textId="7953F36D">
            <w:pPr>
              <w:pStyle w:val="Tabletext8ptdecimalalign"/>
              <w:jc w:val="left"/>
            </w:pPr>
            <w:r>
              <w:t>65.9</w:t>
            </w:r>
          </w:p>
        </w:tc>
        <w:tc>
          <w:tcPr>
            <w:tcW w:w="1152" w:type="dxa"/>
          </w:tcPr>
          <w:p w:rsidR="006A5B49" w:rsidRPr="007B1B71" w:rsidP="006A5B49" w14:paraId="713EA21F" w14:textId="77777777">
            <w:pPr>
              <w:pStyle w:val="Tabletext8pt"/>
            </w:pPr>
          </w:p>
        </w:tc>
        <w:tc>
          <w:tcPr>
            <w:tcW w:w="1450" w:type="dxa"/>
          </w:tcPr>
          <w:p w:rsidR="006A5B49" w:rsidRPr="007B1B71" w:rsidP="006A5B49" w14:paraId="0ADE6DC9" w14:textId="77777777">
            <w:pPr>
              <w:pStyle w:val="Tabletext8pt"/>
            </w:pPr>
          </w:p>
        </w:tc>
        <w:tc>
          <w:tcPr>
            <w:tcW w:w="1892" w:type="dxa"/>
            <w:noWrap/>
          </w:tcPr>
          <w:p w:rsidR="006A5B49" w:rsidRPr="007B1B71" w:rsidP="006A5B49" w14:paraId="12266880" w14:textId="77777777">
            <w:pPr>
              <w:pStyle w:val="Tabletext8pt"/>
            </w:pPr>
          </w:p>
        </w:tc>
      </w:tr>
      <w:tr w14:paraId="11177351" w14:textId="77777777" w:rsidTr="00C900B5">
        <w:tblPrEx>
          <w:tblW w:w="4773" w:type="pct"/>
          <w:tblLayout w:type="fixed"/>
          <w:tblLook w:val="04A0"/>
        </w:tblPrEx>
        <w:tc>
          <w:tcPr>
            <w:tcW w:w="2736" w:type="dxa"/>
          </w:tcPr>
          <w:p w:rsidR="006A5B49" w:rsidRPr="007B1B71" w:rsidP="006A5B49" w14:paraId="671C2AF6" w14:textId="77777777">
            <w:pPr>
              <w:pStyle w:val="Tabletext8ptcol1subhead"/>
            </w:pPr>
            <w:r w:rsidRPr="007B1B71">
              <w:rPr>
                <w:b/>
                <w:bCs/>
              </w:rPr>
              <w:t>Hispanic or Latino</w:t>
            </w:r>
            <w:r w:rsidRPr="007B1B71">
              <w:t xml:space="preserve"> (in percent)</w:t>
            </w:r>
          </w:p>
        </w:tc>
        <w:tc>
          <w:tcPr>
            <w:tcW w:w="1365" w:type="dxa"/>
          </w:tcPr>
          <w:p w:rsidR="006A5B49" w:rsidRPr="007B1B71" w:rsidP="006A5B49" w14:paraId="3EA904F8" w14:textId="77777777">
            <w:pPr>
              <w:pStyle w:val="Tabletext8ptdecimalalign"/>
              <w:jc w:val="left"/>
            </w:pPr>
          </w:p>
        </w:tc>
        <w:tc>
          <w:tcPr>
            <w:tcW w:w="1440" w:type="dxa"/>
          </w:tcPr>
          <w:p w:rsidR="006A5B49" w:rsidRPr="007B1B71" w:rsidP="006A5B49" w14:paraId="7530839E" w14:textId="77777777">
            <w:pPr>
              <w:pStyle w:val="Tabletext8ptdecimalalign"/>
              <w:jc w:val="left"/>
            </w:pPr>
          </w:p>
        </w:tc>
        <w:tc>
          <w:tcPr>
            <w:tcW w:w="1152" w:type="dxa"/>
          </w:tcPr>
          <w:p w:rsidR="006A5B49" w:rsidRPr="007B1B71" w:rsidP="006A5B49" w14:paraId="61364952" w14:textId="77777777">
            <w:pPr>
              <w:pStyle w:val="Tabletext8pt"/>
            </w:pPr>
          </w:p>
        </w:tc>
        <w:tc>
          <w:tcPr>
            <w:tcW w:w="1450" w:type="dxa"/>
          </w:tcPr>
          <w:p w:rsidR="006A5B49" w:rsidRPr="007B1B71" w:rsidP="006A5B49" w14:paraId="7AA7B19E" w14:textId="77777777">
            <w:pPr>
              <w:pStyle w:val="Tabletext8pt"/>
            </w:pPr>
          </w:p>
        </w:tc>
        <w:tc>
          <w:tcPr>
            <w:tcW w:w="1892" w:type="dxa"/>
            <w:noWrap/>
          </w:tcPr>
          <w:p w:rsidR="006A5B49" w:rsidRPr="007B1B71" w:rsidP="006A5B49" w14:paraId="0E55EAA5" w14:textId="77777777">
            <w:pPr>
              <w:pStyle w:val="Tabletext8pt"/>
            </w:pPr>
          </w:p>
        </w:tc>
      </w:tr>
      <w:tr w14:paraId="0233E015" w14:textId="77777777" w:rsidTr="00C900B5">
        <w:tblPrEx>
          <w:tblW w:w="4773" w:type="pct"/>
          <w:tblLayout w:type="fixed"/>
          <w:tblLook w:val="04A0"/>
        </w:tblPrEx>
        <w:trPr>
          <w:trHeight w:val="126"/>
        </w:trPr>
        <w:tc>
          <w:tcPr>
            <w:tcW w:w="2736" w:type="dxa"/>
            <w:hideMark/>
          </w:tcPr>
          <w:p w:rsidR="006A5B49" w:rsidRPr="007B1B71" w:rsidP="006A5B49" w14:paraId="4BAFA6D1" w14:textId="77777777">
            <w:pPr>
              <w:pStyle w:val="Tabletext8ptcol1indent1"/>
            </w:pPr>
            <w:r w:rsidRPr="007B1B71">
              <w:t>Respondents</w:t>
            </w:r>
          </w:p>
        </w:tc>
        <w:tc>
          <w:tcPr>
            <w:tcW w:w="1365" w:type="dxa"/>
          </w:tcPr>
          <w:p w:rsidR="006A5B49" w:rsidRPr="007B1B71" w:rsidP="006A5B49" w14:paraId="2C9F8934" w14:textId="71BE5A31">
            <w:pPr>
              <w:pStyle w:val="Tabletext8ptdecimalalign"/>
              <w:jc w:val="left"/>
            </w:pPr>
            <w:r>
              <w:t>21.9</w:t>
            </w:r>
          </w:p>
        </w:tc>
        <w:tc>
          <w:tcPr>
            <w:tcW w:w="1440" w:type="dxa"/>
          </w:tcPr>
          <w:p w:rsidR="006A5B49" w:rsidRPr="007B1B71" w:rsidP="006A5B49" w14:paraId="7F5F4B3B" w14:textId="56F0B69B">
            <w:pPr>
              <w:pStyle w:val="Tabletext8ptdecimalalign"/>
              <w:jc w:val="left"/>
            </w:pPr>
            <w:r>
              <w:t>18.6</w:t>
            </w:r>
          </w:p>
        </w:tc>
        <w:tc>
          <w:tcPr>
            <w:tcW w:w="1152" w:type="dxa"/>
          </w:tcPr>
          <w:p w:rsidR="006A5B49" w:rsidRPr="007B1B71" w:rsidP="006A5B49" w14:paraId="05D6113F" w14:textId="0D0ED8CE">
            <w:pPr>
              <w:pStyle w:val="Tabletext8pt"/>
            </w:pPr>
            <w:r>
              <w:t>0.61</w:t>
            </w:r>
          </w:p>
        </w:tc>
        <w:tc>
          <w:tcPr>
            <w:tcW w:w="1450" w:type="dxa"/>
          </w:tcPr>
          <w:p w:rsidR="006A5B49" w:rsidRPr="007B1B71" w:rsidP="006A5B49" w14:paraId="00604647" w14:textId="615B9B56">
            <w:pPr>
              <w:pStyle w:val="Tabletext8pt"/>
            </w:pPr>
            <w:r>
              <w:t>0.44</w:t>
            </w:r>
          </w:p>
        </w:tc>
        <w:tc>
          <w:tcPr>
            <w:tcW w:w="1892" w:type="dxa"/>
            <w:noWrap/>
          </w:tcPr>
          <w:p w:rsidR="006A5B49" w:rsidRPr="007B1B71" w:rsidP="006A5B49" w14:paraId="0874C19A" w14:textId="77777777">
            <w:pPr>
              <w:pStyle w:val="Tabletext8pt"/>
            </w:pPr>
          </w:p>
        </w:tc>
      </w:tr>
      <w:tr w14:paraId="6005F790" w14:textId="77777777" w:rsidTr="00C900B5">
        <w:tblPrEx>
          <w:tblW w:w="4773" w:type="pct"/>
          <w:tblLayout w:type="fixed"/>
          <w:tblLook w:val="04A0"/>
        </w:tblPrEx>
        <w:tc>
          <w:tcPr>
            <w:tcW w:w="2736" w:type="dxa"/>
            <w:hideMark/>
          </w:tcPr>
          <w:p w:rsidR="006A5B49" w:rsidRPr="007B1B71" w:rsidP="006A5B49" w14:paraId="1B282AC9" w14:textId="77777777">
            <w:pPr>
              <w:pStyle w:val="Tabletext8ptcol1indent1"/>
            </w:pPr>
            <w:r w:rsidRPr="007B1B71">
              <w:t>Nonrespondents</w:t>
            </w:r>
          </w:p>
        </w:tc>
        <w:tc>
          <w:tcPr>
            <w:tcW w:w="1365" w:type="dxa"/>
          </w:tcPr>
          <w:p w:rsidR="006A5B49" w:rsidRPr="007B1B71" w:rsidP="006A5B49" w14:paraId="6EFE2F33" w14:textId="70511D99">
            <w:pPr>
              <w:pStyle w:val="Tabletext8ptdecimalalign"/>
              <w:jc w:val="left"/>
            </w:pPr>
            <w:r>
              <w:t>21.6</w:t>
            </w:r>
          </w:p>
        </w:tc>
        <w:tc>
          <w:tcPr>
            <w:tcW w:w="1440" w:type="dxa"/>
          </w:tcPr>
          <w:p w:rsidR="006A5B49" w:rsidRPr="007B1B71" w:rsidP="006A5B49" w14:paraId="28659ABC" w14:textId="153AD0B6">
            <w:pPr>
              <w:pStyle w:val="Tabletext8ptdecimalalign"/>
              <w:jc w:val="left"/>
            </w:pPr>
            <w:r>
              <w:t>22.6</w:t>
            </w:r>
          </w:p>
        </w:tc>
        <w:tc>
          <w:tcPr>
            <w:tcW w:w="1152" w:type="dxa"/>
          </w:tcPr>
          <w:p w:rsidR="006A5B49" w:rsidRPr="007B1B71" w:rsidP="006A5B49" w14:paraId="5CEDE4A7" w14:textId="77777777">
            <w:pPr>
              <w:pStyle w:val="Tabletext8pt"/>
            </w:pPr>
          </w:p>
        </w:tc>
        <w:tc>
          <w:tcPr>
            <w:tcW w:w="1450" w:type="dxa"/>
          </w:tcPr>
          <w:p w:rsidR="006A5B49" w:rsidRPr="007B1B71" w:rsidP="006A5B49" w14:paraId="2D69CA03" w14:textId="77777777">
            <w:pPr>
              <w:pStyle w:val="Tabletext8pt"/>
            </w:pPr>
          </w:p>
        </w:tc>
        <w:tc>
          <w:tcPr>
            <w:tcW w:w="1892" w:type="dxa"/>
            <w:noWrap/>
          </w:tcPr>
          <w:p w:rsidR="006A5B49" w:rsidRPr="007B1B71" w:rsidP="006A5B49" w14:paraId="4E77ABC8" w14:textId="77777777">
            <w:pPr>
              <w:pStyle w:val="Tabletext8pt"/>
            </w:pPr>
          </w:p>
        </w:tc>
      </w:tr>
      <w:tr w14:paraId="6668E4BE" w14:textId="77777777" w:rsidTr="00C900B5">
        <w:tblPrEx>
          <w:tblW w:w="4773" w:type="pct"/>
          <w:tblLayout w:type="fixed"/>
          <w:tblLook w:val="04A0"/>
        </w:tblPrEx>
        <w:tc>
          <w:tcPr>
            <w:tcW w:w="2736" w:type="dxa"/>
            <w:hideMark/>
          </w:tcPr>
          <w:p w:rsidR="006A5B49" w:rsidRPr="007B1B71" w:rsidP="006A5B49" w14:paraId="5FF73C55" w14:textId="77777777">
            <w:pPr>
              <w:pStyle w:val="Tabletext8ptcol1indent1"/>
            </w:pPr>
            <w:r w:rsidRPr="007B1B71">
              <w:t xml:space="preserve">Respondents – </w:t>
            </w:r>
            <w:r>
              <w:t>n</w:t>
            </w:r>
            <w:r w:rsidRPr="007B1B71">
              <w:t>onrespondents</w:t>
            </w:r>
          </w:p>
        </w:tc>
        <w:tc>
          <w:tcPr>
            <w:tcW w:w="1365" w:type="dxa"/>
            <w:vAlign w:val="top"/>
          </w:tcPr>
          <w:p w:rsidR="006A5B49" w:rsidRPr="007B1B71" w:rsidP="006A5B49" w14:paraId="2AD26DBC" w14:textId="7ECA0E01">
            <w:pPr>
              <w:pStyle w:val="Tabletext8ptdecimalalign"/>
              <w:jc w:val="left"/>
            </w:pPr>
            <w:r w:rsidRPr="00FD301B">
              <w:t>0.3</w:t>
            </w:r>
          </w:p>
        </w:tc>
        <w:tc>
          <w:tcPr>
            <w:tcW w:w="1440" w:type="dxa"/>
            <w:vAlign w:val="top"/>
          </w:tcPr>
          <w:p w:rsidR="006A5B49" w:rsidRPr="007B1B71" w:rsidP="006A5B49" w14:paraId="65C88B81" w14:textId="323EF125">
            <w:pPr>
              <w:pStyle w:val="Tabletext8ptdecimalalign"/>
              <w:jc w:val="left"/>
            </w:pPr>
            <w:r w:rsidRPr="00FD301B">
              <w:t>-4</w:t>
            </w:r>
            <w:r>
              <w:t>.0</w:t>
            </w:r>
          </w:p>
        </w:tc>
        <w:tc>
          <w:tcPr>
            <w:tcW w:w="1152" w:type="dxa"/>
            <w:vAlign w:val="top"/>
          </w:tcPr>
          <w:p w:rsidR="006A5B49" w:rsidRPr="007B1B71" w:rsidP="006A5B49" w14:paraId="599CB545" w14:textId="77777777">
            <w:pPr>
              <w:pStyle w:val="Tabletext8pt"/>
            </w:pPr>
          </w:p>
        </w:tc>
        <w:tc>
          <w:tcPr>
            <w:tcW w:w="1450" w:type="dxa"/>
            <w:vAlign w:val="top"/>
          </w:tcPr>
          <w:p w:rsidR="006A5B49" w:rsidRPr="007B1B71" w:rsidP="006A5B49" w14:paraId="6BE2F700" w14:textId="77777777">
            <w:pPr>
              <w:pStyle w:val="Tabletext8pt"/>
            </w:pPr>
          </w:p>
        </w:tc>
        <w:tc>
          <w:tcPr>
            <w:tcW w:w="1892" w:type="dxa"/>
            <w:noWrap/>
            <w:vAlign w:val="top"/>
          </w:tcPr>
          <w:p w:rsidR="006A5B49" w:rsidRPr="007B1B71" w:rsidP="006A5B49" w14:paraId="7D2A9A28" w14:textId="77777777">
            <w:pPr>
              <w:pStyle w:val="Tabletext8pt"/>
            </w:pPr>
          </w:p>
        </w:tc>
      </w:tr>
      <w:tr w14:paraId="2E1E9D49" w14:textId="77777777" w:rsidTr="00C900B5">
        <w:tblPrEx>
          <w:tblW w:w="4773" w:type="pct"/>
          <w:tblLayout w:type="fixed"/>
          <w:tblLook w:val="04A0"/>
        </w:tblPrEx>
        <w:tc>
          <w:tcPr>
            <w:tcW w:w="2736" w:type="dxa"/>
            <w:hideMark/>
          </w:tcPr>
          <w:p w:rsidR="006A5B49" w:rsidRPr="007B1B71" w:rsidP="006A5B49" w14:paraId="611C42BC" w14:textId="77777777">
            <w:pPr>
              <w:pStyle w:val="Tabletext8ptcol1indent1"/>
            </w:pPr>
            <w:r w:rsidRPr="007B1B71">
              <w:t xml:space="preserve">Nonresponse </w:t>
            </w:r>
            <w:r>
              <w:t>b</w:t>
            </w:r>
            <w:r w:rsidRPr="007B1B71">
              <w:t>ias</w:t>
            </w:r>
          </w:p>
        </w:tc>
        <w:tc>
          <w:tcPr>
            <w:tcW w:w="1365" w:type="dxa"/>
            <w:noWrap/>
            <w:vAlign w:val="top"/>
          </w:tcPr>
          <w:p w:rsidR="006A5B49" w:rsidRPr="007B1B71" w:rsidP="006A5B49" w14:paraId="14390DDA" w14:textId="0EECC864">
            <w:pPr>
              <w:pStyle w:val="Tabletext8ptdecimalalign"/>
              <w:jc w:val="left"/>
            </w:pPr>
            <w:r w:rsidRPr="00FD301B">
              <w:t>0.2</w:t>
            </w:r>
          </w:p>
        </w:tc>
        <w:tc>
          <w:tcPr>
            <w:tcW w:w="1440" w:type="dxa"/>
            <w:noWrap/>
            <w:vAlign w:val="top"/>
          </w:tcPr>
          <w:p w:rsidR="006A5B49" w:rsidRPr="007B1B71" w:rsidP="006A5B49" w14:paraId="6BD518B8" w14:textId="651411B9">
            <w:pPr>
              <w:pStyle w:val="Tabletext8ptdecimalalign"/>
              <w:jc w:val="left"/>
            </w:pPr>
            <w:r w:rsidRPr="00FD301B">
              <w:t>-2.6</w:t>
            </w:r>
          </w:p>
        </w:tc>
        <w:tc>
          <w:tcPr>
            <w:tcW w:w="1152" w:type="dxa"/>
            <w:vAlign w:val="top"/>
          </w:tcPr>
          <w:p w:rsidR="006A5B49" w:rsidRPr="007B1B71" w:rsidP="006A5B49" w14:paraId="69223158" w14:textId="77777777">
            <w:pPr>
              <w:pStyle w:val="Tabletext8pt"/>
            </w:pPr>
          </w:p>
        </w:tc>
        <w:tc>
          <w:tcPr>
            <w:tcW w:w="1450" w:type="dxa"/>
            <w:vAlign w:val="top"/>
          </w:tcPr>
          <w:p w:rsidR="006A5B49" w:rsidRPr="00191507" w:rsidP="006A5B49" w14:paraId="5FCBE963" w14:textId="77777777">
            <w:pPr>
              <w:pStyle w:val="Tabletext8pt"/>
            </w:pPr>
          </w:p>
        </w:tc>
        <w:tc>
          <w:tcPr>
            <w:tcW w:w="1892" w:type="dxa"/>
            <w:noWrap/>
            <w:vAlign w:val="top"/>
          </w:tcPr>
          <w:p w:rsidR="006A5B49" w:rsidRPr="007B1B71" w:rsidP="006A5B49" w14:paraId="2CC574CD" w14:textId="1EC70484">
            <w:pPr>
              <w:pStyle w:val="Tabletext8pt"/>
            </w:pPr>
            <w:r w:rsidRPr="00FD301B">
              <w:t>2.</w:t>
            </w:r>
            <w:r w:rsidR="00A57A77">
              <w:t>4</w:t>
            </w:r>
          </w:p>
        </w:tc>
      </w:tr>
      <w:tr w14:paraId="1B261FD2" w14:textId="77777777" w:rsidTr="00C900B5">
        <w:tblPrEx>
          <w:tblW w:w="4773" w:type="pct"/>
          <w:tblLayout w:type="fixed"/>
          <w:tblLook w:val="04A0"/>
        </w:tblPrEx>
        <w:tc>
          <w:tcPr>
            <w:tcW w:w="2736" w:type="dxa"/>
            <w:hideMark/>
          </w:tcPr>
          <w:p w:rsidR="006A5B49" w:rsidRPr="007B1B71" w:rsidP="006A5B49" w14:paraId="6784D7ED" w14:textId="7F0A837C">
            <w:pPr>
              <w:pStyle w:val="Tabletext8ptcol1indent1"/>
            </w:pPr>
            <w:r w:rsidRPr="007B1B71">
              <w:t xml:space="preserve">Overall </w:t>
            </w:r>
            <w:r>
              <w:t>s</w:t>
            </w:r>
            <w:r w:rsidRPr="007B1B71">
              <w:t>ample (</w:t>
            </w:r>
            <w:r w:rsidRPr="007B1B71">
              <w:rPr>
                <w:i/>
                <w:iCs/>
              </w:rPr>
              <w:t>n</w:t>
            </w:r>
            <w:r w:rsidRPr="007B1B71">
              <w:t xml:space="preserve"> = </w:t>
            </w:r>
            <w:r>
              <w:t>910</w:t>
            </w:r>
            <w:r w:rsidRPr="007B1B71">
              <w:t>)</w:t>
            </w:r>
            <w:r w:rsidRPr="007B1B71" w:rsidR="00626B3C">
              <w:rPr>
                <w:vertAlign w:val="superscript"/>
              </w:rPr>
              <w:t xml:space="preserve"> 1</w:t>
            </w:r>
          </w:p>
        </w:tc>
        <w:tc>
          <w:tcPr>
            <w:tcW w:w="1365" w:type="dxa"/>
          </w:tcPr>
          <w:p w:rsidR="006A5B49" w:rsidRPr="007B1B71" w:rsidP="006A5B49" w14:paraId="6E5C9A34" w14:textId="4EE7F577">
            <w:pPr>
              <w:pStyle w:val="Tabletext8ptdecimalalign"/>
              <w:jc w:val="left"/>
            </w:pPr>
            <w:r>
              <w:t>21.7</w:t>
            </w:r>
          </w:p>
        </w:tc>
        <w:tc>
          <w:tcPr>
            <w:tcW w:w="1440" w:type="dxa"/>
          </w:tcPr>
          <w:p w:rsidR="006A5B49" w:rsidRPr="007B1B71" w:rsidP="006A5B49" w14:paraId="7194A770" w14:textId="5FEE645A">
            <w:pPr>
              <w:pStyle w:val="Tabletext8ptdecimalalign"/>
              <w:jc w:val="left"/>
            </w:pPr>
            <w:r>
              <w:t>21.2</w:t>
            </w:r>
          </w:p>
        </w:tc>
        <w:tc>
          <w:tcPr>
            <w:tcW w:w="1152" w:type="dxa"/>
          </w:tcPr>
          <w:p w:rsidR="006A5B49" w:rsidRPr="007B1B71" w:rsidP="006A5B49" w14:paraId="6EE858EA" w14:textId="77777777">
            <w:pPr>
              <w:pStyle w:val="Tabletext8pt"/>
            </w:pPr>
          </w:p>
        </w:tc>
        <w:tc>
          <w:tcPr>
            <w:tcW w:w="1450" w:type="dxa"/>
          </w:tcPr>
          <w:p w:rsidR="006A5B49" w:rsidRPr="007B1B71" w:rsidP="006A5B49" w14:paraId="62A7F221" w14:textId="77777777">
            <w:pPr>
              <w:pStyle w:val="Tabletext8pt"/>
            </w:pPr>
          </w:p>
        </w:tc>
        <w:tc>
          <w:tcPr>
            <w:tcW w:w="1892" w:type="dxa"/>
            <w:noWrap/>
          </w:tcPr>
          <w:p w:rsidR="006A5B49" w:rsidRPr="007B1B71" w:rsidP="006A5B49" w14:paraId="6000D632" w14:textId="77777777">
            <w:pPr>
              <w:pStyle w:val="Tabletext8pt"/>
            </w:pPr>
          </w:p>
        </w:tc>
      </w:tr>
      <w:tr w14:paraId="43EC9B32" w14:textId="77777777" w:rsidTr="00C900B5">
        <w:tblPrEx>
          <w:tblW w:w="4773" w:type="pct"/>
          <w:tblLayout w:type="fixed"/>
          <w:tblLook w:val="04A0"/>
        </w:tblPrEx>
        <w:tc>
          <w:tcPr>
            <w:tcW w:w="2736" w:type="dxa"/>
          </w:tcPr>
          <w:p w:rsidR="006A5B49" w:rsidRPr="007B1B71" w:rsidP="006A5B49" w14:paraId="209F8518" w14:textId="77777777">
            <w:pPr>
              <w:pStyle w:val="Tabletext8ptcol1subhead"/>
            </w:pPr>
            <w:r w:rsidRPr="007B1B71">
              <w:rPr>
                <w:b/>
                <w:bCs/>
              </w:rPr>
              <w:t>Control</w:t>
            </w:r>
            <w:r>
              <w:rPr>
                <w:b/>
                <w:bCs/>
              </w:rPr>
              <w:t xml:space="preserve"> of institution</w:t>
            </w:r>
            <w:r w:rsidRPr="007B1B71">
              <w:t xml:space="preserve"> (in percent)</w:t>
            </w:r>
          </w:p>
        </w:tc>
        <w:tc>
          <w:tcPr>
            <w:tcW w:w="1365" w:type="dxa"/>
          </w:tcPr>
          <w:p w:rsidR="006A5B49" w:rsidRPr="007B1B71" w:rsidP="006A5B49" w14:paraId="22C1C057" w14:textId="77777777">
            <w:pPr>
              <w:pStyle w:val="Tabletext8ptdecimalalign"/>
              <w:jc w:val="left"/>
            </w:pPr>
          </w:p>
        </w:tc>
        <w:tc>
          <w:tcPr>
            <w:tcW w:w="1440" w:type="dxa"/>
          </w:tcPr>
          <w:p w:rsidR="006A5B49" w:rsidRPr="007B1B71" w:rsidP="006A5B49" w14:paraId="7DFC7C2E" w14:textId="77777777">
            <w:pPr>
              <w:pStyle w:val="Tabletext8ptdecimalalign"/>
              <w:jc w:val="left"/>
            </w:pPr>
          </w:p>
        </w:tc>
        <w:tc>
          <w:tcPr>
            <w:tcW w:w="1152" w:type="dxa"/>
          </w:tcPr>
          <w:p w:rsidR="006A5B49" w:rsidRPr="007B1B71" w:rsidP="006A5B49" w14:paraId="5A34E1DA" w14:textId="77777777">
            <w:pPr>
              <w:pStyle w:val="Tabletext8pt"/>
            </w:pPr>
          </w:p>
        </w:tc>
        <w:tc>
          <w:tcPr>
            <w:tcW w:w="1450" w:type="dxa"/>
          </w:tcPr>
          <w:p w:rsidR="006A5B49" w:rsidRPr="007B1B71" w:rsidP="006A5B49" w14:paraId="39C94CD3" w14:textId="77777777">
            <w:pPr>
              <w:pStyle w:val="Tabletext8pt"/>
            </w:pPr>
          </w:p>
        </w:tc>
        <w:tc>
          <w:tcPr>
            <w:tcW w:w="1892" w:type="dxa"/>
            <w:noWrap/>
          </w:tcPr>
          <w:p w:rsidR="006A5B49" w:rsidRPr="007B1B71" w:rsidP="006A5B49" w14:paraId="7A951251" w14:textId="77777777">
            <w:pPr>
              <w:pStyle w:val="Tabletext8pt"/>
            </w:pPr>
          </w:p>
        </w:tc>
      </w:tr>
      <w:tr w14:paraId="46008377" w14:textId="77777777" w:rsidTr="00C900B5">
        <w:tblPrEx>
          <w:tblW w:w="4773" w:type="pct"/>
          <w:tblLayout w:type="fixed"/>
          <w:tblLook w:val="04A0"/>
        </w:tblPrEx>
        <w:tc>
          <w:tcPr>
            <w:tcW w:w="2736" w:type="dxa"/>
            <w:hideMark/>
          </w:tcPr>
          <w:p w:rsidR="006A5B49" w:rsidRPr="007B1B71" w:rsidP="006A5B49" w14:paraId="670AAB0C" w14:textId="77777777">
            <w:pPr>
              <w:pStyle w:val="Tabletext8ptcol1indent1"/>
            </w:pPr>
            <w:r w:rsidRPr="007B1B71">
              <w:t>Public</w:t>
            </w:r>
          </w:p>
        </w:tc>
        <w:tc>
          <w:tcPr>
            <w:tcW w:w="1365" w:type="dxa"/>
          </w:tcPr>
          <w:p w:rsidR="006A5B49" w:rsidRPr="007B1B71" w:rsidP="006A5B49" w14:paraId="1F50DC0E" w14:textId="77777777">
            <w:pPr>
              <w:pStyle w:val="Tabletext8ptdecimalalign"/>
              <w:jc w:val="left"/>
            </w:pPr>
          </w:p>
        </w:tc>
        <w:tc>
          <w:tcPr>
            <w:tcW w:w="1440" w:type="dxa"/>
          </w:tcPr>
          <w:p w:rsidR="006A5B49" w:rsidRPr="007B1B71" w:rsidP="006A5B49" w14:paraId="7C16BFC0" w14:textId="77777777">
            <w:pPr>
              <w:pStyle w:val="Tabletext8ptdecimalalign"/>
              <w:jc w:val="left"/>
            </w:pPr>
          </w:p>
        </w:tc>
        <w:tc>
          <w:tcPr>
            <w:tcW w:w="1152" w:type="dxa"/>
          </w:tcPr>
          <w:p w:rsidR="006A5B49" w:rsidRPr="007B1B71" w:rsidP="006A5B49" w14:paraId="0FC73193" w14:textId="77777777">
            <w:pPr>
              <w:pStyle w:val="Tabletext8pt"/>
            </w:pPr>
          </w:p>
        </w:tc>
        <w:tc>
          <w:tcPr>
            <w:tcW w:w="1450" w:type="dxa"/>
          </w:tcPr>
          <w:p w:rsidR="006A5B49" w:rsidRPr="007B1B71" w:rsidP="006A5B49" w14:paraId="67C57B96" w14:textId="77777777">
            <w:pPr>
              <w:pStyle w:val="Tabletext8pt"/>
            </w:pPr>
          </w:p>
        </w:tc>
        <w:tc>
          <w:tcPr>
            <w:tcW w:w="1892" w:type="dxa"/>
            <w:noWrap/>
          </w:tcPr>
          <w:p w:rsidR="006A5B49" w:rsidRPr="007B1B71" w:rsidP="006A5B49" w14:paraId="1E23299F" w14:textId="77777777">
            <w:pPr>
              <w:pStyle w:val="Tabletext8pt"/>
            </w:pPr>
          </w:p>
        </w:tc>
      </w:tr>
      <w:tr w14:paraId="01DB4793" w14:textId="77777777" w:rsidTr="00C900B5">
        <w:tblPrEx>
          <w:tblW w:w="4773" w:type="pct"/>
          <w:tblLayout w:type="fixed"/>
          <w:tblLook w:val="04A0"/>
        </w:tblPrEx>
        <w:tc>
          <w:tcPr>
            <w:tcW w:w="2736" w:type="dxa"/>
            <w:hideMark/>
          </w:tcPr>
          <w:p w:rsidR="006A5B49" w:rsidRPr="007B1B71" w:rsidP="006A5B49" w14:paraId="1CC049BE" w14:textId="77777777">
            <w:pPr>
              <w:pStyle w:val="Tabletext8ptcol1indent2"/>
            </w:pPr>
            <w:r w:rsidRPr="007B1B71">
              <w:t>Respondents</w:t>
            </w:r>
          </w:p>
        </w:tc>
        <w:tc>
          <w:tcPr>
            <w:tcW w:w="1365" w:type="dxa"/>
          </w:tcPr>
          <w:p w:rsidR="006A5B49" w:rsidRPr="007B1B71" w:rsidP="006A5B49" w14:paraId="17D9CBE0" w14:textId="03ADC304">
            <w:pPr>
              <w:pStyle w:val="Tabletext8ptdecimalalign"/>
              <w:jc w:val="left"/>
            </w:pPr>
            <w:r>
              <w:t>56.8</w:t>
            </w:r>
          </w:p>
        </w:tc>
        <w:tc>
          <w:tcPr>
            <w:tcW w:w="1440" w:type="dxa"/>
          </w:tcPr>
          <w:p w:rsidR="006A5B49" w:rsidRPr="007B1B71" w:rsidP="006A5B49" w14:paraId="196F1FA7" w14:textId="4AEA1645">
            <w:pPr>
              <w:pStyle w:val="Tabletext8ptdecimalalign"/>
              <w:jc w:val="left"/>
            </w:pPr>
            <w:r>
              <w:t>59.9</w:t>
            </w:r>
          </w:p>
        </w:tc>
        <w:tc>
          <w:tcPr>
            <w:tcW w:w="1152" w:type="dxa"/>
          </w:tcPr>
          <w:p w:rsidR="006A5B49" w:rsidRPr="007B1B71" w:rsidP="006A5B49" w14:paraId="571E03E3" w14:textId="69B6C1CF">
            <w:pPr>
              <w:pStyle w:val="Tabletext8pt"/>
            </w:pPr>
            <w:r>
              <w:t>0.35</w:t>
            </w:r>
          </w:p>
        </w:tc>
        <w:tc>
          <w:tcPr>
            <w:tcW w:w="1450" w:type="dxa"/>
          </w:tcPr>
          <w:p w:rsidR="006A5B49" w:rsidRPr="007B1B71" w:rsidP="006A5B49" w14:paraId="3587FA7A" w14:textId="3E36544C">
            <w:pPr>
              <w:pStyle w:val="Tabletext8pt"/>
            </w:pPr>
            <w:r>
              <w:t>0.55</w:t>
            </w:r>
          </w:p>
        </w:tc>
        <w:tc>
          <w:tcPr>
            <w:tcW w:w="1892" w:type="dxa"/>
            <w:noWrap/>
          </w:tcPr>
          <w:p w:rsidR="006A5B49" w:rsidRPr="007B1B71" w:rsidP="006A5B49" w14:paraId="3CA0DA16" w14:textId="77777777">
            <w:pPr>
              <w:pStyle w:val="Tabletext8pt"/>
            </w:pPr>
          </w:p>
        </w:tc>
      </w:tr>
      <w:tr w14:paraId="11BA6F41" w14:textId="77777777" w:rsidTr="00C900B5">
        <w:tblPrEx>
          <w:tblW w:w="4773" w:type="pct"/>
          <w:tblLayout w:type="fixed"/>
          <w:tblLook w:val="04A0"/>
        </w:tblPrEx>
        <w:tc>
          <w:tcPr>
            <w:tcW w:w="2736" w:type="dxa"/>
            <w:hideMark/>
          </w:tcPr>
          <w:p w:rsidR="006A5B49" w:rsidRPr="007B1B71" w:rsidP="006A5B49" w14:paraId="5455941D" w14:textId="77777777">
            <w:pPr>
              <w:pStyle w:val="Tabletext8ptcol1indent2"/>
            </w:pPr>
            <w:r w:rsidRPr="007B1B71">
              <w:t>Nonrespondents</w:t>
            </w:r>
          </w:p>
        </w:tc>
        <w:tc>
          <w:tcPr>
            <w:tcW w:w="1365" w:type="dxa"/>
          </w:tcPr>
          <w:p w:rsidR="006A5B49" w:rsidRPr="007B1B71" w:rsidP="006A5B49" w14:paraId="722001D6" w14:textId="0FFA66EC">
            <w:pPr>
              <w:pStyle w:val="Tabletext8ptdecimalalign"/>
              <w:jc w:val="left"/>
            </w:pPr>
            <w:r>
              <w:t>58.6</w:t>
            </w:r>
          </w:p>
        </w:tc>
        <w:tc>
          <w:tcPr>
            <w:tcW w:w="1440" w:type="dxa"/>
          </w:tcPr>
          <w:p w:rsidR="006A5B49" w:rsidRPr="007B1B71" w:rsidP="006A5B49" w14:paraId="50F375C3" w14:textId="6FFF2062">
            <w:pPr>
              <w:pStyle w:val="Tabletext8ptdecimalalign"/>
              <w:jc w:val="left"/>
            </w:pPr>
            <w:r>
              <w:t>56.0</w:t>
            </w:r>
          </w:p>
        </w:tc>
        <w:tc>
          <w:tcPr>
            <w:tcW w:w="1152" w:type="dxa"/>
          </w:tcPr>
          <w:p w:rsidR="006A5B49" w:rsidRPr="007B1B71" w:rsidP="006A5B49" w14:paraId="26F99FF8" w14:textId="77777777">
            <w:pPr>
              <w:pStyle w:val="Tabletext8pt"/>
            </w:pPr>
          </w:p>
        </w:tc>
        <w:tc>
          <w:tcPr>
            <w:tcW w:w="1450" w:type="dxa"/>
          </w:tcPr>
          <w:p w:rsidR="006A5B49" w:rsidRPr="007B1B71" w:rsidP="006A5B49" w14:paraId="517AB6AC" w14:textId="77777777">
            <w:pPr>
              <w:pStyle w:val="Tabletext8pt"/>
            </w:pPr>
          </w:p>
        </w:tc>
        <w:tc>
          <w:tcPr>
            <w:tcW w:w="1892" w:type="dxa"/>
            <w:noWrap/>
          </w:tcPr>
          <w:p w:rsidR="006A5B49" w:rsidRPr="007B1B71" w:rsidP="006A5B49" w14:paraId="6BBECC8F" w14:textId="77777777">
            <w:pPr>
              <w:pStyle w:val="Tabletext8pt"/>
            </w:pPr>
          </w:p>
        </w:tc>
      </w:tr>
      <w:tr w14:paraId="6E640C35" w14:textId="77777777" w:rsidTr="00C900B5">
        <w:tblPrEx>
          <w:tblW w:w="4773" w:type="pct"/>
          <w:tblLayout w:type="fixed"/>
          <w:tblLook w:val="04A0"/>
        </w:tblPrEx>
        <w:tc>
          <w:tcPr>
            <w:tcW w:w="2736" w:type="dxa"/>
            <w:hideMark/>
          </w:tcPr>
          <w:p w:rsidR="006A5B49" w:rsidRPr="007B1B71" w:rsidP="006A5B49" w14:paraId="384ADA45" w14:textId="77777777">
            <w:pPr>
              <w:pStyle w:val="Tabletext8ptcol1indent2"/>
            </w:pPr>
            <w:r w:rsidRPr="007B1B71">
              <w:t xml:space="preserve">Respondents – </w:t>
            </w:r>
            <w:r>
              <w:t>n</w:t>
            </w:r>
            <w:r w:rsidRPr="007B1B71">
              <w:t>onrespondents</w:t>
            </w:r>
          </w:p>
        </w:tc>
        <w:tc>
          <w:tcPr>
            <w:tcW w:w="1365" w:type="dxa"/>
            <w:vAlign w:val="top"/>
          </w:tcPr>
          <w:p w:rsidR="006A5B49" w:rsidRPr="007B1B71" w:rsidP="006A5B49" w14:paraId="2AA451C0" w14:textId="2368F03A">
            <w:pPr>
              <w:pStyle w:val="Tabletext8ptdecimalalign"/>
              <w:jc w:val="left"/>
            </w:pPr>
            <w:r w:rsidRPr="001A6AA4">
              <w:t>-1.8</w:t>
            </w:r>
          </w:p>
        </w:tc>
        <w:tc>
          <w:tcPr>
            <w:tcW w:w="1440" w:type="dxa"/>
            <w:vAlign w:val="top"/>
          </w:tcPr>
          <w:p w:rsidR="006A5B49" w:rsidRPr="007B1B71" w:rsidP="006A5B49" w14:paraId="7CE0ED91" w14:textId="39EAE62B">
            <w:pPr>
              <w:pStyle w:val="Tabletext8ptdecimalalign"/>
              <w:jc w:val="left"/>
            </w:pPr>
            <w:r w:rsidRPr="001A6AA4">
              <w:t>3.9</w:t>
            </w:r>
          </w:p>
        </w:tc>
        <w:tc>
          <w:tcPr>
            <w:tcW w:w="1152" w:type="dxa"/>
            <w:vAlign w:val="top"/>
          </w:tcPr>
          <w:p w:rsidR="006A5B49" w:rsidRPr="007B1B71" w:rsidP="006A5B49" w14:paraId="5C06C411" w14:textId="77777777">
            <w:pPr>
              <w:pStyle w:val="Tabletext8pt"/>
            </w:pPr>
          </w:p>
        </w:tc>
        <w:tc>
          <w:tcPr>
            <w:tcW w:w="1450" w:type="dxa"/>
            <w:vAlign w:val="top"/>
          </w:tcPr>
          <w:p w:rsidR="006A5B49" w:rsidRPr="007B1B71" w:rsidP="006A5B49" w14:paraId="0A9CABB4" w14:textId="77777777">
            <w:pPr>
              <w:pStyle w:val="Tabletext8pt"/>
            </w:pPr>
          </w:p>
        </w:tc>
        <w:tc>
          <w:tcPr>
            <w:tcW w:w="1892" w:type="dxa"/>
            <w:noWrap/>
            <w:vAlign w:val="top"/>
          </w:tcPr>
          <w:p w:rsidR="006A5B49" w:rsidRPr="007B1B71" w:rsidP="006A5B49" w14:paraId="3773BE9B" w14:textId="77777777">
            <w:pPr>
              <w:pStyle w:val="Tabletext8pt"/>
            </w:pPr>
          </w:p>
        </w:tc>
      </w:tr>
      <w:tr w14:paraId="6BD468D3" w14:textId="77777777" w:rsidTr="00C900B5">
        <w:tblPrEx>
          <w:tblW w:w="4773" w:type="pct"/>
          <w:tblLayout w:type="fixed"/>
          <w:tblLook w:val="04A0"/>
        </w:tblPrEx>
        <w:tc>
          <w:tcPr>
            <w:tcW w:w="2736" w:type="dxa"/>
            <w:hideMark/>
          </w:tcPr>
          <w:p w:rsidR="006A5B49" w:rsidRPr="007B1B71" w:rsidP="006A5B49" w14:paraId="0F354D89" w14:textId="77777777">
            <w:pPr>
              <w:pStyle w:val="Tabletext8ptcol1indent2"/>
            </w:pPr>
            <w:r w:rsidRPr="007B1B71">
              <w:t xml:space="preserve">Nonresponse </w:t>
            </w:r>
            <w:r>
              <w:t>b</w:t>
            </w:r>
            <w:r w:rsidRPr="007B1B71">
              <w:t>ias</w:t>
            </w:r>
          </w:p>
        </w:tc>
        <w:tc>
          <w:tcPr>
            <w:tcW w:w="1365" w:type="dxa"/>
            <w:noWrap/>
            <w:vAlign w:val="top"/>
          </w:tcPr>
          <w:p w:rsidR="006A5B49" w:rsidRPr="007B1B71" w:rsidP="006A5B49" w14:paraId="0AEC330D" w14:textId="793903A7">
            <w:pPr>
              <w:pStyle w:val="Tabletext8ptdecimalalign"/>
              <w:jc w:val="left"/>
            </w:pPr>
            <w:r w:rsidRPr="001A6AA4">
              <w:t>-0.9</w:t>
            </w:r>
          </w:p>
        </w:tc>
        <w:tc>
          <w:tcPr>
            <w:tcW w:w="1440" w:type="dxa"/>
            <w:noWrap/>
            <w:vAlign w:val="top"/>
          </w:tcPr>
          <w:p w:rsidR="006A5B49" w:rsidRPr="007B1B71" w:rsidP="006A5B49" w14:paraId="226F28A1" w14:textId="4F53E075">
            <w:pPr>
              <w:pStyle w:val="Tabletext8ptdecimalalign"/>
              <w:jc w:val="left"/>
            </w:pPr>
            <w:r w:rsidRPr="001A6AA4">
              <w:t>2.6</w:t>
            </w:r>
          </w:p>
        </w:tc>
        <w:tc>
          <w:tcPr>
            <w:tcW w:w="1152" w:type="dxa"/>
            <w:vAlign w:val="top"/>
          </w:tcPr>
          <w:p w:rsidR="006A5B49" w:rsidRPr="007B1B71" w:rsidP="006A5B49" w14:paraId="1D767717" w14:textId="77777777">
            <w:pPr>
              <w:pStyle w:val="Tabletext8pt"/>
            </w:pPr>
          </w:p>
        </w:tc>
        <w:tc>
          <w:tcPr>
            <w:tcW w:w="1450" w:type="dxa"/>
            <w:vAlign w:val="top"/>
          </w:tcPr>
          <w:p w:rsidR="006A5B49" w:rsidRPr="008C0250" w:rsidP="006A5B49" w14:paraId="64C37596" w14:textId="77777777">
            <w:pPr>
              <w:pStyle w:val="Tabletext8pt"/>
            </w:pPr>
          </w:p>
        </w:tc>
        <w:tc>
          <w:tcPr>
            <w:tcW w:w="1892" w:type="dxa"/>
            <w:noWrap/>
            <w:vAlign w:val="top"/>
          </w:tcPr>
          <w:p w:rsidR="006A5B49" w:rsidRPr="007B1B71" w:rsidP="006A5B49" w14:paraId="3982D93A" w14:textId="1CA3C63A">
            <w:pPr>
              <w:pStyle w:val="Tabletext8pt"/>
            </w:pPr>
            <w:r w:rsidRPr="001A6AA4">
              <w:t>1.7</w:t>
            </w:r>
          </w:p>
        </w:tc>
      </w:tr>
      <w:tr w14:paraId="2E249747" w14:textId="77777777" w:rsidTr="00C900B5">
        <w:tblPrEx>
          <w:tblW w:w="4773" w:type="pct"/>
          <w:tblLayout w:type="fixed"/>
          <w:tblLook w:val="04A0"/>
        </w:tblPrEx>
        <w:tc>
          <w:tcPr>
            <w:tcW w:w="2736" w:type="dxa"/>
            <w:hideMark/>
          </w:tcPr>
          <w:p w:rsidR="006A5B49" w:rsidRPr="007B1B71" w:rsidP="006A5B49" w14:paraId="4EC64FED" w14:textId="634C7484">
            <w:pPr>
              <w:pStyle w:val="Tabletext8ptcol1indent2"/>
            </w:pPr>
            <w:r w:rsidRPr="007B1B71">
              <w:t xml:space="preserve">Overall </w:t>
            </w:r>
            <w:r>
              <w:t>s</w:t>
            </w:r>
            <w:r w:rsidRPr="007B1B71">
              <w:t>ample (</w:t>
            </w:r>
            <w:r w:rsidRPr="007B1B71">
              <w:rPr>
                <w:i/>
                <w:iCs/>
              </w:rPr>
              <w:t>n</w:t>
            </w:r>
            <w:r w:rsidRPr="007B1B71">
              <w:t xml:space="preserve"> = </w:t>
            </w:r>
            <w:r>
              <w:t>930</w:t>
            </w:r>
            <w:r w:rsidRPr="007B1B71">
              <w:t>)</w:t>
            </w:r>
            <w:r w:rsidRPr="007B1B71" w:rsidR="00626B3C">
              <w:rPr>
                <w:vertAlign w:val="superscript"/>
              </w:rPr>
              <w:t xml:space="preserve"> 1</w:t>
            </w:r>
          </w:p>
        </w:tc>
        <w:tc>
          <w:tcPr>
            <w:tcW w:w="1365" w:type="dxa"/>
          </w:tcPr>
          <w:p w:rsidR="006A5B49" w:rsidRPr="007B1B71" w:rsidP="006A5B49" w14:paraId="28F518E1" w14:textId="1D3638B2">
            <w:pPr>
              <w:pStyle w:val="Tabletext8ptdecimalalign"/>
              <w:jc w:val="left"/>
            </w:pPr>
            <w:r>
              <w:t>57.7</w:t>
            </w:r>
          </w:p>
        </w:tc>
        <w:tc>
          <w:tcPr>
            <w:tcW w:w="1440" w:type="dxa"/>
          </w:tcPr>
          <w:p w:rsidR="006A5B49" w:rsidRPr="007B1B71" w:rsidP="006A5B49" w14:paraId="5DC84B26" w14:textId="4FAABBF5">
            <w:pPr>
              <w:pStyle w:val="Tabletext8ptdecimalalign"/>
              <w:jc w:val="left"/>
            </w:pPr>
            <w:r>
              <w:t>57.0</w:t>
            </w:r>
          </w:p>
        </w:tc>
        <w:tc>
          <w:tcPr>
            <w:tcW w:w="1152" w:type="dxa"/>
          </w:tcPr>
          <w:p w:rsidR="006A5B49" w:rsidRPr="007B1B71" w:rsidP="006A5B49" w14:paraId="67F7E1B8" w14:textId="4039E33C">
            <w:pPr>
              <w:pStyle w:val="Tabletext8pt"/>
            </w:pPr>
          </w:p>
        </w:tc>
        <w:tc>
          <w:tcPr>
            <w:tcW w:w="1450" w:type="dxa"/>
          </w:tcPr>
          <w:p w:rsidR="006A5B49" w:rsidRPr="007B1B71" w:rsidP="006A5B49" w14:paraId="2B9B45C8" w14:textId="0F4AB622">
            <w:pPr>
              <w:pStyle w:val="Tabletext8pt"/>
            </w:pPr>
          </w:p>
        </w:tc>
        <w:tc>
          <w:tcPr>
            <w:tcW w:w="1892" w:type="dxa"/>
            <w:noWrap/>
          </w:tcPr>
          <w:p w:rsidR="006A5B49" w:rsidRPr="007B1B71" w:rsidP="006A5B49" w14:paraId="7ED0DFBF" w14:textId="77777777">
            <w:pPr>
              <w:pStyle w:val="Tabletext8pt"/>
            </w:pPr>
          </w:p>
        </w:tc>
      </w:tr>
      <w:tr w14:paraId="27870493" w14:textId="77777777" w:rsidTr="00C900B5">
        <w:tblPrEx>
          <w:tblW w:w="4773" w:type="pct"/>
          <w:tblLayout w:type="fixed"/>
          <w:tblLook w:val="04A0"/>
        </w:tblPrEx>
        <w:tc>
          <w:tcPr>
            <w:tcW w:w="2736" w:type="dxa"/>
            <w:hideMark/>
          </w:tcPr>
          <w:p w:rsidR="006A5B49" w:rsidRPr="007B1B71" w:rsidP="006A5B49" w14:paraId="4CCC400E" w14:textId="77777777">
            <w:pPr>
              <w:pStyle w:val="Tabletext8ptcol1indent1"/>
            </w:pPr>
            <w:r w:rsidRPr="007B1B71">
              <w:t>Private nonprofit</w:t>
            </w:r>
          </w:p>
        </w:tc>
        <w:tc>
          <w:tcPr>
            <w:tcW w:w="1365" w:type="dxa"/>
          </w:tcPr>
          <w:p w:rsidR="006A5B49" w:rsidRPr="007B1B71" w:rsidP="006A5B49" w14:paraId="52C23AF1" w14:textId="77777777">
            <w:pPr>
              <w:pStyle w:val="Tabletext8ptdecimalalign"/>
              <w:jc w:val="left"/>
            </w:pPr>
          </w:p>
        </w:tc>
        <w:tc>
          <w:tcPr>
            <w:tcW w:w="1440" w:type="dxa"/>
          </w:tcPr>
          <w:p w:rsidR="006A5B49" w:rsidRPr="007B1B71" w:rsidP="006A5B49" w14:paraId="005C11F0" w14:textId="77777777">
            <w:pPr>
              <w:pStyle w:val="Tabletext8ptdecimalalign"/>
              <w:jc w:val="left"/>
            </w:pPr>
          </w:p>
        </w:tc>
        <w:tc>
          <w:tcPr>
            <w:tcW w:w="1152" w:type="dxa"/>
          </w:tcPr>
          <w:p w:rsidR="006A5B49" w:rsidRPr="007B1B71" w:rsidP="006A5B49" w14:paraId="6728C441" w14:textId="77777777">
            <w:pPr>
              <w:pStyle w:val="Tabletext8pt"/>
            </w:pPr>
          </w:p>
        </w:tc>
        <w:tc>
          <w:tcPr>
            <w:tcW w:w="1450" w:type="dxa"/>
          </w:tcPr>
          <w:p w:rsidR="006A5B49" w:rsidRPr="007B1B71" w:rsidP="006A5B49" w14:paraId="21FDE7EE" w14:textId="77777777">
            <w:pPr>
              <w:pStyle w:val="Tabletext8pt"/>
            </w:pPr>
          </w:p>
        </w:tc>
        <w:tc>
          <w:tcPr>
            <w:tcW w:w="1892" w:type="dxa"/>
            <w:noWrap/>
          </w:tcPr>
          <w:p w:rsidR="006A5B49" w:rsidRPr="007B1B71" w:rsidP="006A5B49" w14:paraId="24B7500F" w14:textId="77777777">
            <w:pPr>
              <w:pStyle w:val="Tabletext8pt"/>
            </w:pPr>
          </w:p>
        </w:tc>
      </w:tr>
      <w:tr w14:paraId="15479869" w14:textId="77777777" w:rsidTr="00C900B5">
        <w:tblPrEx>
          <w:tblW w:w="4773" w:type="pct"/>
          <w:tblLayout w:type="fixed"/>
          <w:tblLook w:val="04A0"/>
        </w:tblPrEx>
        <w:tc>
          <w:tcPr>
            <w:tcW w:w="2736" w:type="dxa"/>
            <w:hideMark/>
          </w:tcPr>
          <w:p w:rsidR="006A5B49" w:rsidRPr="007B1B71" w:rsidP="006A5B49" w14:paraId="01C74CEE" w14:textId="77777777">
            <w:pPr>
              <w:pStyle w:val="Tabletext8ptcol1indent2"/>
            </w:pPr>
            <w:r w:rsidRPr="007B1B71">
              <w:t>Respondents</w:t>
            </w:r>
          </w:p>
        </w:tc>
        <w:tc>
          <w:tcPr>
            <w:tcW w:w="1365" w:type="dxa"/>
          </w:tcPr>
          <w:p w:rsidR="006A5B49" w:rsidRPr="007B1B71" w:rsidP="006A5B49" w14:paraId="55DEEB8D" w14:textId="1404FB27">
            <w:pPr>
              <w:pStyle w:val="Tabletext8ptdecimalalign"/>
              <w:jc w:val="left"/>
            </w:pPr>
            <w:r>
              <w:t>28.2</w:t>
            </w:r>
          </w:p>
        </w:tc>
        <w:tc>
          <w:tcPr>
            <w:tcW w:w="1440" w:type="dxa"/>
          </w:tcPr>
          <w:p w:rsidR="006A5B49" w:rsidRPr="007B1B71" w:rsidP="006A5B49" w14:paraId="63FF56B1" w14:textId="73C488FE">
            <w:pPr>
              <w:pStyle w:val="Tabletext8ptdecimalalign"/>
              <w:jc w:val="left"/>
            </w:pPr>
            <w:r>
              <w:t>25.5</w:t>
            </w:r>
          </w:p>
        </w:tc>
        <w:tc>
          <w:tcPr>
            <w:tcW w:w="1152" w:type="dxa"/>
          </w:tcPr>
          <w:p w:rsidR="006A5B49" w:rsidRPr="007B1B71" w:rsidP="006A5B49" w14:paraId="55ADA64E" w14:textId="1B79105C">
            <w:pPr>
              <w:pStyle w:val="Tabletext8pt"/>
            </w:pPr>
            <w:r>
              <w:t>0.35</w:t>
            </w:r>
          </w:p>
        </w:tc>
        <w:tc>
          <w:tcPr>
            <w:tcW w:w="1450" w:type="dxa"/>
          </w:tcPr>
          <w:p w:rsidR="006A5B49" w:rsidRPr="007B1B71" w:rsidP="006A5B49" w14:paraId="01D1EEA8" w14:textId="50007BD9">
            <w:pPr>
              <w:pStyle w:val="Tabletext8pt"/>
            </w:pPr>
            <w:r>
              <w:t>0.56</w:t>
            </w:r>
          </w:p>
        </w:tc>
        <w:tc>
          <w:tcPr>
            <w:tcW w:w="1892" w:type="dxa"/>
            <w:noWrap/>
          </w:tcPr>
          <w:p w:rsidR="006A5B49" w:rsidRPr="007B1B71" w:rsidP="006A5B49" w14:paraId="6DBD6138" w14:textId="77777777">
            <w:pPr>
              <w:pStyle w:val="Tabletext8pt"/>
            </w:pPr>
          </w:p>
        </w:tc>
      </w:tr>
      <w:tr w14:paraId="4756576E" w14:textId="77777777" w:rsidTr="00C900B5">
        <w:tblPrEx>
          <w:tblW w:w="4773" w:type="pct"/>
          <w:tblLayout w:type="fixed"/>
          <w:tblLook w:val="04A0"/>
        </w:tblPrEx>
        <w:tc>
          <w:tcPr>
            <w:tcW w:w="2736" w:type="dxa"/>
            <w:hideMark/>
          </w:tcPr>
          <w:p w:rsidR="006A5B49" w:rsidRPr="007B1B71" w:rsidP="006A5B49" w14:paraId="76AEB04F" w14:textId="77777777">
            <w:pPr>
              <w:pStyle w:val="Tabletext8ptcol1indent2"/>
            </w:pPr>
            <w:r w:rsidRPr="007B1B71">
              <w:t>Nonrespondents</w:t>
            </w:r>
          </w:p>
        </w:tc>
        <w:tc>
          <w:tcPr>
            <w:tcW w:w="1365" w:type="dxa"/>
          </w:tcPr>
          <w:p w:rsidR="006A5B49" w:rsidRPr="007B1B71" w:rsidP="006A5B49" w14:paraId="26AEC16F" w14:textId="5C76F535">
            <w:pPr>
              <w:pStyle w:val="Tabletext8ptdecimalalign"/>
              <w:jc w:val="left"/>
            </w:pPr>
            <w:r>
              <w:t>27.6</w:t>
            </w:r>
          </w:p>
        </w:tc>
        <w:tc>
          <w:tcPr>
            <w:tcW w:w="1440" w:type="dxa"/>
          </w:tcPr>
          <w:p w:rsidR="006A5B49" w:rsidRPr="007B1B71" w:rsidP="006A5B49" w14:paraId="193F872F" w14:textId="0794888E">
            <w:pPr>
              <w:pStyle w:val="Tabletext8ptdecimalalign"/>
              <w:jc w:val="left"/>
            </w:pPr>
            <w:r>
              <w:t>30.0</w:t>
            </w:r>
          </w:p>
        </w:tc>
        <w:tc>
          <w:tcPr>
            <w:tcW w:w="1152" w:type="dxa"/>
          </w:tcPr>
          <w:p w:rsidR="006A5B49" w:rsidRPr="007B1B71" w:rsidP="006A5B49" w14:paraId="3531D0F8" w14:textId="77777777">
            <w:pPr>
              <w:pStyle w:val="Tabletext8pt"/>
            </w:pPr>
          </w:p>
        </w:tc>
        <w:tc>
          <w:tcPr>
            <w:tcW w:w="1450" w:type="dxa"/>
          </w:tcPr>
          <w:p w:rsidR="006A5B49" w:rsidRPr="007B1B71" w:rsidP="006A5B49" w14:paraId="532A8B17" w14:textId="77777777">
            <w:pPr>
              <w:pStyle w:val="Tabletext8pt"/>
            </w:pPr>
          </w:p>
        </w:tc>
        <w:tc>
          <w:tcPr>
            <w:tcW w:w="1892" w:type="dxa"/>
            <w:noWrap/>
          </w:tcPr>
          <w:p w:rsidR="006A5B49" w:rsidRPr="007B1B71" w:rsidP="006A5B49" w14:paraId="2226D8C2" w14:textId="77777777">
            <w:pPr>
              <w:pStyle w:val="Tabletext8pt"/>
            </w:pPr>
          </w:p>
        </w:tc>
      </w:tr>
      <w:tr w14:paraId="7E3C821C" w14:textId="77777777" w:rsidTr="00C900B5">
        <w:tblPrEx>
          <w:tblW w:w="4773" w:type="pct"/>
          <w:tblLayout w:type="fixed"/>
          <w:tblLook w:val="04A0"/>
        </w:tblPrEx>
        <w:tc>
          <w:tcPr>
            <w:tcW w:w="2736" w:type="dxa"/>
            <w:hideMark/>
          </w:tcPr>
          <w:p w:rsidR="006A5B49" w:rsidRPr="007B1B71" w:rsidP="006A5B49" w14:paraId="5664DF57" w14:textId="77777777">
            <w:pPr>
              <w:pStyle w:val="Tabletext8ptcol1indent2"/>
            </w:pPr>
            <w:r w:rsidRPr="007B1B71">
              <w:t xml:space="preserve">Respondents – </w:t>
            </w:r>
            <w:r>
              <w:t>n</w:t>
            </w:r>
            <w:r w:rsidRPr="007B1B71">
              <w:t>onrespondents</w:t>
            </w:r>
          </w:p>
        </w:tc>
        <w:tc>
          <w:tcPr>
            <w:tcW w:w="1365" w:type="dxa"/>
            <w:vAlign w:val="top"/>
          </w:tcPr>
          <w:p w:rsidR="006A5B49" w:rsidRPr="007B1B71" w:rsidP="006A5B49" w14:paraId="76D8F846" w14:textId="3F102601">
            <w:pPr>
              <w:pStyle w:val="Tabletext8ptdecimalalign"/>
              <w:jc w:val="left"/>
            </w:pPr>
            <w:r w:rsidRPr="00A72D33">
              <w:t>0.6</w:t>
            </w:r>
          </w:p>
        </w:tc>
        <w:tc>
          <w:tcPr>
            <w:tcW w:w="1440" w:type="dxa"/>
            <w:vAlign w:val="top"/>
          </w:tcPr>
          <w:p w:rsidR="006A5B49" w:rsidRPr="007B1B71" w:rsidP="006A5B49" w14:paraId="7CB9964E" w14:textId="1687C4CA">
            <w:pPr>
              <w:pStyle w:val="Tabletext8ptdecimalalign"/>
              <w:jc w:val="left"/>
            </w:pPr>
            <w:r w:rsidRPr="00A72D33">
              <w:t>-4.5</w:t>
            </w:r>
          </w:p>
        </w:tc>
        <w:tc>
          <w:tcPr>
            <w:tcW w:w="1152" w:type="dxa"/>
            <w:vAlign w:val="top"/>
          </w:tcPr>
          <w:p w:rsidR="006A5B49" w:rsidRPr="007B1B71" w:rsidP="006A5B49" w14:paraId="76C8185B" w14:textId="77777777">
            <w:pPr>
              <w:pStyle w:val="Tabletext8pt"/>
            </w:pPr>
          </w:p>
        </w:tc>
        <w:tc>
          <w:tcPr>
            <w:tcW w:w="1450" w:type="dxa"/>
            <w:vAlign w:val="top"/>
          </w:tcPr>
          <w:p w:rsidR="006A5B49" w:rsidRPr="007B1B71" w:rsidP="006A5B49" w14:paraId="755B5C28" w14:textId="77777777">
            <w:pPr>
              <w:pStyle w:val="Tabletext8pt"/>
            </w:pPr>
          </w:p>
        </w:tc>
        <w:tc>
          <w:tcPr>
            <w:tcW w:w="1892" w:type="dxa"/>
            <w:noWrap/>
            <w:vAlign w:val="top"/>
          </w:tcPr>
          <w:p w:rsidR="006A5B49" w:rsidRPr="007B1B71" w:rsidP="006A5B49" w14:paraId="4CEB6989" w14:textId="77777777">
            <w:pPr>
              <w:pStyle w:val="Tabletext8pt"/>
            </w:pPr>
          </w:p>
        </w:tc>
      </w:tr>
      <w:tr w14:paraId="2C323200" w14:textId="77777777" w:rsidTr="00C900B5">
        <w:tblPrEx>
          <w:tblW w:w="4773" w:type="pct"/>
          <w:tblLayout w:type="fixed"/>
          <w:tblLook w:val="04A0"/>
        </w:tblPrEx>
        <w:tc>
          <w:tcPr>
            <w:tcW w:w="2736" w:type="dxa"/>
            <w:hideMark/>
          </w:tcPr>
          <w:p w:rsidR="006A5B49" w:rsidRPr="007B1B71" w:rsidP="006A5B49" w14:paraId="7258681A" w14:textId="77777777">
            <w:pPr>
              <w:pStyle w:val="Tabletext8ptcol1indent2"/>
            </w:pPr>
            <w:r w:rsidRPr="007B1B71">
              <w:t xml:space="preserve">Nonresponse </w:t>
            </w:r>
            <w:r>
              <w:t>b</w:t>
            </w:r>
            <w:r w:rsidRPr="007B1B71">
              <w:t>ias</w:t>
            </w:r>
          </w:p>
        </w:tc>
        <w:tc>
          <w:tcPr>
            <w:tcW w:w="1365" w:type="dxa"/>
            <w:noWrap/>
            <w:vAlign w:val="top"/>
          </w:tcPr>
          <w:p w:rsidR="006A5B49" w:rsidRPr="007B1B71" w:rsidP="006A5B49" w14:paraId="449E9811" w14:textId="249DE8AE">
            <w:pPr>
              <w:pStyle w:val="Tabletext8ptdecimalalign"/>
              <w:jc w:val="left"/>
            </w:pPr>
            <w:r w:rsidRPr="00A72D33">
              <w:t>0.3</w:t>
            </w:r>
          </w:p>
        </w:tc>
        <w:tc>
          <w:tcPr>
            <w:tcW w:w="1440" w:type="dxa"/>
            <w:noWrap/>
            <w:vAlign w:val="top"/>
          </w:tcPr>
          <w:p w:rsidR="006A5B49" w:rsidRPr="007B1B71" w:rsidP="006A5B49" w14:paraId="133CB04D" w14:textId="02822A20">
            <w:pPr>
              <w:pStyle w:val="Tabletext8ptdecimalalign"/>
              <w:jc w:val="left"/>
            </w:pPr>
            <w:r w:rsidRPr="00A72D33">
              <w:t>-3.0</w:t>
            </w:r>
          </w:p>
        </w:tc>
        <w:tc>
          <w:tcPr>
            <w:tcW w:w="1152" w:type="dxa"/>
            <w:vAlign w:val="top"/>
          </w:tcPr>
          <w:p w:rsidR="006A5B49" w:rsidRPr="007B1B71" w:rsidP="006A5B49" w14:paraId="1A443192" w14:textId="77777777">
            <w:pPr>
              <w:pStyle w:val="Tabletext8pt"/>
            </w:pPr>
          </w:p>
        </w:tc>
        <w:tc>
          <w:tcPr>
            <w:tcW w:w="1450" w:type="dxa"/>
            <w:vAlign w:val="top"/>
          </w:tcPr>
          <w:p w:rsidR="006A5B49" w:rsidRPr="00103E22" w:rsidP="006A5B49" w14:paraId="452E7F56" w14:textId="77777777">
            <w:pPr>
              <w:pStyle w:val="Tabletext8pt"/>
            </w:pPr>
          </w:p>
        </w:tc>
        <w:tc>
          <w:tcPr>
            <w:tcW w:w="1892" w:type="dxa"/>
            <w:noWrap/>
            <w:vAlign w:val="top"/>
          </w:tcPr>
          <w:p w:rsidR="006A5B49" w:rsidRPr="007B1B71" w:rsidP="006A5B49" w14:paraId="23D7E328" w14:textId="51F84FC6">
            <w:pPr>
              <w:pStyle w:val="Tabletext8pt"/>
            </w:pPr>
            <w:r w:rsidRPr="00A72D33">
              <w:t>2.7</w:t>
            </w:r>
          </w:p>
        </w:tc>
      </w:tr>
      <w:tr w14:paraId="770E376A" w14:textId="77777777" w:rsidTr="00C900B5">
        <w:tblPrEx>
          <w:tblW w:w="4773" w:type="pct"/>
          <w:tblLayout w:type="fixed"/>
          <w:tblLook w:val="04A0"/>
        </w:tblPrEx>
        <w:tc>
          <w:tcPr>
            <w:tcW w:w="2736" w:type="dxa"/>
            <w:hideMark/>
          </w:tcPr>
          <w:p w:rsidR="006A5B49" w:rsidRPr="007B1B71" w:rsidP="006A5B49" w14:paraId="1CB4F3E2" w14:textId="42EFEA69">
            <w:pPr>
              <w:pStyle w:val="Tabletext8ptcol1indent2"/>
            </w:pPr>
            <w:r w:rsidRPr="007B1B71">
              <w:t xml:space="preserve">Overall </w:t>
            </w:r>
            <w:r>
              <w:t>s</w:t>
            </w:r>
            <w:r w:rsidRPr="007B1B71">
              <w:t>ample (</w:t>
            </w:r>
            <w:r w:rsidRPr="007B1B71">
              <w:rPr>
                <w:i/>
                <w:iCs/>
              </w:rPr>
              <w:t>n</w:t>
            </w:r>
            <w:r w:rsidRPr="007B1B71">
              <w:t xml:space="preserve"> = </w:t>
            </w:r>
            <w:r>
              <w:t>930</w:t>
            </w:r>
            <w:r w:rsidRPr="007B1B71">
              <w:t>)</w:t>
            </w:r>
            <w:r w:rsidRPr="007B1B71" w:rsidR="00626B3C">
              <w:rPr>
                <w:vertAlign w:val="superscript"/>
              </w:rPr>
              <w:t xml:space="preserve"> 1</w:t>
            </w:r>
          </w:p>
        </w:tc>
        <w:tc>
          <w:tcPr>
            <w:tcW w:w="1365" w:type="dxa"/>
          </w:tcPr>
          <w:p w:rsidR="006A5B49" w:rsidRPr="007B1B71" w:rsidP="006A5B49" w14:paraId="64FCDC52" w14:textId="27F24FF2">
            <w:pPr>
              <w:pStyle w:val="Tabletext8ptdecimalalign"/>
              <w:jc w:val="left"/>
            </w:pPr>
            <w:r>
              <w:t>27.9</w:t>
            </w:r>
          </w:p>
        </w:tc>
        <w:tc>
          <w:tcPr>
            <w:tcW w:w="1440" w:type="dxa"/>
          </w:tcPr>
          <w:p w:rsidR="006A5B49" w:rsidRPr="007B1B71" w:rsidP="006A5B49" w14:paraId="539D30F8" w14:textId="6F0AE4AC">
            <w:pPr>
              <w:pStyle w:val="Tabletext8ptdecimalalign"/>
              <w:jc w:val="left"/>
            </w:pPr>
            <w:r>
              <w:t>28.5</w:t>
            </w:r>
          </w:p>
        </w:tc>
        <w:tc>
          <w:tcPr>
            <w:tcW w:w="1152" w:type="dxa"/>
          </w:tcPr>
          <w:p w:rsidR="006A5B49" w:rsidRPr="007B1B71" w:rsidP="006A5B49" w14:paraId="506C8B9C" w14:textId="77777777">
            <w:pPr>
              <w:pStyle w:val="Tabletext8pt"/>
            </w:pPr>
          </w:p>
        </w:tc>
        <w:tc>
          <w:tcPr>
            <w:tcW w:w="1450" w:type="dxa"/>
          </w:tcPr>
          <w:p w:rsidR="006A5B49" w:rsidRPr="007B1B71" w:rsidP="006A5B49" w14:paraId="6F34C0A0" w14:textId="77777777">
            <w:pPr>
              <w:pStyle w:val="Tabletext8pt"/>
            </w:pPr>
          </w:p>
        </w:tc>
        <w:tc>
          <w:tcPr>
            <w:tcW w:w="1892" w:type="dxa"/>
            <w:noWrap/>
          </w:tcPr>
          <w:p w:rsidR="006A5B49" w:rsidRPr="007B1B71" w:rsidP="006A5B49" w14:paraId="55CEBBFA" w14:textId="77777777">
            <w:pPr>
              <w:pStyle w:val="Tabletext8pt"/>
            </w:pPr>
          </w:p>
        </w:tc>
      </w:tr>
      <w:tr w14:paraId="2F251719" w14:textId="77777777" w:rsidTr="00C900B5">
        <w:tblPrEx>
          <w:tblW w:w="4773" w:type="pct"/>
          <w:tblLayout w:type="fixed"/>
          <w:tblLook w:val="04A0"/>
        </w:tblPrEx>
        <w:tc>
          <w:tcPr>
            <w:tcW w:w="2736" w:type="dxa"/>
            <w:hideMark/>
          </w:tcPr>
          <w:p w:rsidR="006A5B49" w:rsidRPr="007B1B71" w:rsidP="006A5B49" w14:paraId="7770D64A" w14:textId="77777777">
            <w:pPr>
              <w:pStyle w:val="Tabletext8ptcol1indent1"/>
            </w:pPr>
            <w:r w:rsidRPr="007B1B71">
              <w:t>Private for-profit</w:t>
            </w:r>
          </w:p>
        </w:tc>
        <w:tc>
          <w:tcPr>
            <w:tcW w:w="1365" w:type="dxa"/>
          </w:tcPr>
          <w:p w:rsidR="006A5B49" w:rsidRPr="007B1B71" w:rsidP="006A5B49" w14:paraId="3ED9CD98" w14:textId="77777777">
            <w:pPr>
              <w:pStyle w:val="Tabletext8ptdecimalalign"/>
              <w:jc w:val="left"/>
            </w:pPr>
          </w:p>
        </w:tc>
        <w:tc>
          <w:tcPr>
            <w:tcW w:w="1440" w:type="dxa"/>
          </w:tcPr>
          <w:p w:rsidR="006A5B49" w:rsidRPr="007B1B71" w:rsidP="006A5B49" w14:paraId="44B10BAC" w14:textId="77777777">
            <w:pPr>
              <w:pStyle w:val="Tabletext8ptdecimalalign"/>
              <w:jc w:val="left"/>
            </w:pPr>
          </w:p>
        </w:tc>
        <w:tc>
          <w:tcPr>
            <w:tcW w:w="1152" w:type="dxa"/>
          </w:tcPr>
          <w:p w:rsidR="006A5B49" w:rsidRPr="007B1B71" w:rsidP="006A5B49" w14:paraId="57199BF3" w14:textId="77777777">
            <w:pPr>
              <w:pStyle w:val="Tabletext8pt"/>
            </w:pPr>
          </w:p>
        </w:tc>
        <w:tc>
          <w:tcPr>
            <w:tcW w:w="1450" w:type="dxa"/>
          </w:tcPr>
          <w:p w:rsidR="006A5B49" w:rsidRPr="007B1B71" w:rsidP="006A5B49" w14:paraId="0C80AAA6" w14:textId="77777777">
            <w:pPr>
              <w:pStyle w:val="Tabletext8pt"/>
            </w:pPr>
          </w:p>
        </w:tc>
        <w:tc>
          <w:tcPr>
            <w:tcW w:w="1892" w:type="dxa"/>
            <w:noWrap/>
          </w:tcPr>
          <w:p w:rsidR="006A5B49" w:rsidRPr="007B1B71" w:rsidP="006A5B49" w14:paraId="3F1F4EF6" w14:textId="77777777">
            <w:pPr>
              <w:pStyle w:val="Tabletext8pt"/>
            </w:pPr>
          </w:p>
        </w:tc>
      </w:tr>
      <w:tr w14:paraId="72A2C7AD" w14:textId="77777777" w:rsidTr="00C900B5">
        <w:tblPrEx>
          <w:tblW w:w="4773" w:type="pct"/>
          <w:tblLayout w:type="fixed"/>
          <w:tblLook w:val="04A0"/>
        </w:tblPrEx>
        <w:tc>
          <w:tcPr>
            <w:tcW w:w="2736" w:type="dxa"/>
            <w:hideMark/>
          </w:tcPr>
          <w:p w:rsidR="006A5B49" w:rsidRPr="007B1B71" w:rsidP="006A5B49" w14:paraId="3CF3EADB" w14:textId="77777777">
            <w:pPr>
              <w:pStyle w:val="Tabletext8ptcol1indent2"/>
            </w:pPr>
            <w:r w:rsidRPr="007B1B71">
              <w:t>Respondents</w:t>
            </w:r>
          </w:p>
        </w:tc>
        <w:tc>
          <w:tcPr>
            <w:tcW w:w="1365" w:type="dxa"/>
          </w:tcPr>
          <w:p w:rsidR="006A5B49" w:rsidRPr="007B1B71" w:rsidP="006A5B49" w14:paraId="7485A60D" w14:textId="75085A24">
            <w:pPr>
              <w:pStyle w:val="Tabletext8ptdecimalalign"/>
              <w:jc w:val="left"/>
            </w:pPr>
            <w:r>
              <w:t>15.0</w:t>
            </w:r>
          </w:p>
        </w:tc>
        <w:tc>
          <w:tcPr>
            <w:tcW w:w="1440" w:type="dxa"/>
          </w:tcPr>
          <w:p w:rsidR="006A5B49" w:rsidRPr="007B1B71" w:rsidP="006A5B49" w14:paraId="46404067" w14:textId="0BB3AF74">
            <w:pPr>
              <w:pStyle w:val="Tabletext8ptdecimalalign"/>
              <w:jc w:val="left"/>
            </w:pPr>
            <w:r>
              <w:t>14.7</w:t>
            </w:r>
          </w:p>
        </w:tc>
        <w:tc>
          <w:tcPr>
            <w:tcW w:w="1152" w:type="dxa"/>
          </w:tcPr>
          <w:p w:rsidR="006A5B49" w:rsidRPr="007B1B71" w:rsidP="006A5B49" w14:paraId="29F376AD" w14:textId="31093685">
            <w:pPr>
              <w:pStyle w:val="Tabletext8pt"/>
            </w:pPr>
            <w:r>
              <w:t>0.01</w:t>
            </w:r>
          </w:p>
        </w:tc>
        <w:tc>
          <w:tcPr>
            <w:tcW w:w="1450" w:type="dxa"/>
          </w:tcPr>
          <w:p w:rsidR="006A5B49" w:rsidRPr="007B1B71" w:rsidP="006A5B49" w14:paraId="7C1C9AB8" w14:textId="5990FE3E">
            <w:pPr>
              <w:pStyle w:val="Tabletext8pt"/>
            </w:pPr>
            <w:r>
              <w:t>0.93</w:t>
            </w:r>
          </w:p>
        </w:tc>
        <w:tc>
          <w:tcPr>
            <w:tcW w:w="1892" w:type="dxa"/>
            <w:noWrap/>
          </w:tcPr>
          <w:p w:rsidR="006A5B49" w:rsidRPr="007B1B71" w:rsidP="006A5B49" w14:paraId="706876CF" w14:textId="77777777">
            <w:pPr>
              <w:pStyle w:val="Tabletext8pt"/>
            </w:pPr>
          </w:p>
        </w:tc>
      </w:tr>
      <w:tr w14:paraId="7ECCB35D" w14:textId="77777777" w:rsidTr="00C900B5">
        <w:tblPrEx>
          <w:tblW w:w="4773" w:type="pct"/>
          <w:tblLayout w:type="fixed"/>
          <w:tblLook w:val="04A0"/>
        </w:tblPrEx>
        <w:tc>
          <w:tcPr>
            <w:tcW w:w="2736" w:type="dxa"/>
            <w:hideMark/>
          </w:tcPr>
          <w:p w:rsidR="006A5B49" w:rsidRPr="007B1B71" w:rsidP="006A5B49" w14:paraId="69D32803" w14:textId="77777777">
            <w:pPr>
              <w:pStyle w:val="Tabletext8ptcol1indent2"/>
            </w:pPr>
            <w:r w:rsidRPr="007B1B71">
              <w:t>Nonrespondents</w:t>
            </w:r>
          </w:p>
        </w:tc>
        <w:tc>
          <w:tcPr>
            <w:tcW w:w="1365" w:type="dxa"/>
          </w:tcPr>
          <w:p w:rsidR="006A5B49" w:rsidRPr="007B1B71" w:rsidP="006A5B49" w14:paraId="64B2F825" w14:textId="5ED0A1F8">
            <w:pPr>
              <w:pStyle w:val="Tabletext8ptdecimalalign"/>
              <w:jc w:val="left"/>
            </w:pPr>
            <w:r>
              <w:t>13.8</w:t>
            </w:r>
          </w:p>
        </w:tc>
        <w:tc>
          <w:tcPr>
            <w:tcW w:w="1440" w:type="dxa"/>
          </w:tcPr>
          <w:p w:rsidR="006A5B49" w:rsidRPr="007B1B71" w:rsidP="006A5B49" w14:paraId="40E6835A" w14:textId="57CA8C4C">
            <w:pPr>
              <w:pStyle w:val="Tabletext8ptdecimalalign"/>
              <w:jc w:val="left"/>
            </w:pPr>
            <w:r>
              <w:t>14.0</w:t>
            </w:r>
          </w:p>
        </w:tc>
        <w:tc>
          <w:tcPr>
            <w:tcW w:w="1152" w:type="dxa"/>
          </w:tcPr>
          <w:p w:rsidR="006A5B49" w:rsidRPr="007B1B71" w:rsidP="006A5B49" w14:paraId="6649DA5A" w14:textId="77777777">
            <w:pPr>
              <w:pStyle w:val="Tabletext8pt"/>
            </w:pPr>
          </w:p>
        </w:tc>
        <w:tc>
          <w:tcPr>
            <w:tcW w:w="1450" w:type="dxa"/>
          </w:tcPr>
          <w:p w:rsidR="006A5B49" w:rsidRPr="007B1B71" w:rsidP="006A5B49" w14:paraId="3A4A938D" w14:textId="77777777">
            <w:pPr>
              <w:pStyle w:val="Tabletext8pt"/>
            </w:pPr>
          </w:p>
        </w:tc>
        <w:tc>
          <w:tcPr>
            <w:tcW w:w="1892" w:type="dxa"/>
            <w:noWrap/>
          </w:tcPr>
          <w:p w:rsidR="006A5B49" w:rsidRPr="007B1B71" w:rsidP="006A5B49" w14:paraId="5A0B4E6E" w14:textId="77777777">
            <w:pPr>
              <w:pStyle w:val="Tabletext8pt"/>
            </w:pPr>
          </w:p>
        </w:tc>
      </w:tr>
      <w:tr w14:paraId="0AD40471" w14:textId="77777777" w:rsidTr="00C900B5">
        <w:tblPrEx>
          <w:tblW w:w="4773" w:type="pct"/>
          <w:tblLayout w:type="fixed"/>
          <w:tblLook w:val="04A0"/>
        </w:tblPrEx>
        <w:tc>
          <w:tcPr>
            <w:tcW w:w="2736" w:type="dxa"/>
            <w:hideMark/>
          </w:tcPr>
          <w:p w:rsidR="006A5B49" w:rsidRPr="007B1B71" w:rsidP="006A5B49" w14:paraId="0E09FC16" w14:textId="77777777">
            <w:pPr>
              <w:pStyle w:val="Tabletext8ptcol1indent2"/>
            </w:pPr>
            <w:r w:rsidRPr="007B1B71">
              <w:t xml:space="preserve">Respondents – </w:t>
            </w:r>
            <w:r>
              <w:t>n</w:t>
            </w:r>
            <w:r w:rsidRPr="007B1B71">
              <w:t>onrespondents</w:t>
            </w:r>
          </w:p>
        </w:tc>
        <w:tc>
          <w:tcPr>
            <w:tcW w:w="1365" w:type="dxa"/>
            <w:vAlign w:val="top"/>
          </w:tcPr>
          <w:p w:rsidR="006A5B49" w:rsidRPr="007B1B71" w:rsidP="006A5B49" w14:paraId="301890DD" w14:textId="033F228E">
            <w:pPr>
              <w:pStyle w:val="Tabletext8ptdecimalalign"/>
              <w:jc w:val="left"/>
            </w:pPr>
            <w:r w:rsidRPr="006C45C7">
              <w:t>1.2</w:t>
            </w:r>
          </w:p>
        </w:tc>
        <w:tc>
          <w:tcPr>
            <w:tcW w:w="1440" w:type="dxa"/>
            <w:vAlign w:val="top"/>
          </w:tcPr>
          <w:p w:rsidR="006A5B49" w:rsidRPr="007B1B71" w:rsidP="006A5B49" w14:paraId="397A42F4" w14:textId="7BB0D0A8">
            <w:pPr>
              <w:pStyle w:val="Tabletext8ptdecimalalign"/>
              <w:jc w:val="left"/>
            </w:pPr>
            <w:r w:rsidRPr="006C45C7">
              <w:t>0.7</w:t>
            </w:r>
          </w:p>
        </w:tc>
        <w:tc>
          <w:tcPr>
            <w:tcW w:w="1152" w:type="dxa"/>
            <w:vAlign w:val="top"/>
          </w:tcPr>
          <w:p w:rsidR="006A5B49" w:rsidRPr="007B1B71" w:rsidP="006A5B49" w14:paraId="22676E39" w14:textId="77777777">
            <w:pPr>
              <w:pStyle w:val="Tabletext8pt"/>
            </w:pPr>
          </w:p>
        </w:tc>
        <w:tc>
          <w:tcPr>
            <w:tcW w:w="1450" w:type="dxa"/>
            <w:vAlign w:val="top"/>
          </w:tcPr>
          <w:p w:rsidR="006A5B49" w:rsidRPr="007B1B71" w:rsidP="006A5B49" w14:paraId="74FC438A" w14:textId="77777777">
            <w:pPr>
              <w:pStyle w:val="Tabletext8pt"/>
            </w:pPr>
          </w:p>
        </w:tc>
        <w:tc>
          <w:tcPr>
            <w:tcW w:w="1892" w:type="dxa"/>
            <w:noWrap/>
            <w:vAlign w:val="top"/>
          </w:tcPr>
          <w:p w:rsidR="006A5B49" w:rsidRPr="007B1B71" w:rsidP="006A5B49" w14:paraId="0CB8063D" w14:textId="77777777">
            <w:pPr>
              <w:pStyle w:val="Tabletext8pt"/>
            </w:pPr>
          </w:p>
        </w:tc>
      </w:tr>
      <w:tr w14:paraId="5B1B5041" w14:textId="77777777" w:rsidTr="00C900B5">
        <w:tblPrEx>
          <w:tblW w:w="4773" w:type="pct"/>
          <w:tblLayout w:type="fixed"/>
          <w:tblLook w:val="04A0"/>
        </w:tblPrEx>
        <w:tc>
          <w:tcPr>
            <w:tcW w:w="2736" w:type="dxa"/>
            <w:hideMark/>
          </w:tcPr>
          <w:p w:rsidR="006A5B49" w:rsidRPr="007B1B71" w:rsidP="006A5B49" w14:paraId="02BB11F6" w14:textId="77777777">
            <w:pPr>
              <w:pStyle w:val="Tabletext8ptcol1indent2"/>
            </w:pPr>
            <w:r w:rsidRPr="007B1B71">
              <w:t xml:space="preserve">Nonresponse </w:t>
            </w:r>
            <w:r>
              <w:t>b</w:t>
            </w:r>
            <w:r w:rsidRPr="007B1B71">
              <w:t>ias</w:t>
            </w:r>
          </w:p>
        </w:tc>
        <w:tc>
          <w:tcPr>
            <w:tcW w:w="1365" w:type="dxa"/>
            <w:noWrap/>
            <w:vAlign w:val="top"/>
          </w:tcPr>
          <w:p w:rsidR="006A5B49" w:rsidRPr="007B1B71" w:rsidP="006A5B49" w14:paraId="5DACB29A" w14:textId="0AF2DA5B">
            <w:pPr>
              <w:pStyle w:val="Tabletext8ptdecimalalign"/>
              <w:jc w:val="left"/>
            </w:pPr>
            <w:r w:rsidRPr="006C45C7">
              <w:t>0.6</w:t>
            </w:r>
          </w:p>
        </w:tc>
        <w:tc>
          <w:tcPr>
            <w:tcW w:w="1440" w:type="dxa"/>
            <w:noWrap/>
            <w:vAlign w:val="top"/>
          </w:tcPr>
          <w:p w:rsidR="006A5B49" w:rsidRPr="007B1B71" w:rsidP="006A5B49" w14:paraId="454CAC8B" w14:textId="77E6310F">
            <w:pPr>
              <w:pStyle w:val="Tabletext8ptdecimalalign"/>
              <w:jc w:val="left"/>
            </w:pPr>
            <w:r w:rsidRPr="006C45C7">
              <w:t>0.5</w:t>
            </w:r>
          </w:p>
        </w:tc>
        <w:tc>
          <w:tcPr>
            <w:tcW w:w="1152" w:type="dxa"/>
            <w:vAlign w:val="top"/>
          </w:tcPr>
          <w:p w:rsidR="006A5B49" w:rsidRPr="007B1B71" w:rsidP="006A5B49" w14:paraId="29841EDF" w14:textId="77777777">
            <w:pPr>
              <w:pStyle w:val="Tabletext8pt"/>
            </w:pPr>
          </w:p>
        </w:tc>
        <w:tc>
          <w:tcPr>
            <w:tcW w:w="1450" w:type="dxa"/>
            <w:vAlign w:val="top"/>
          </w:tcPr>
          <w:p w:rsidR="006A5B49" w:rsidRPr="0043115D" w:rsidP="006A5B49" w14:paraId="4CA12AB3" w14:textId="77777777">
            <w:pPr>
              <w:pStyle w:val="Tabletext8pt"/>
            </w:pPr>
          </w:p>
        </w:tc>
        <w:tc>
          <w:tcPr>
            <w:tcW w:w="1892" w:type="dxa"/>
            <w:noWrap/>
            <w:vAlign w:val="top"/>
          </w:tcPr>
          <w:p w:rsidR="006A5B49" w:rsidRPr="007B1B71" w:rsidP="006A5B49" w14:paraId="5DEFFF20" w14:textId="5D087145">
            <w:pPr>
              <w:pStyle w:val="Tabletext8pt"/>
            </w:pPr>
            <w:r>
              <w:t>-</w:t>
            </w:r>
            <w:r w:rsidRPr="006C45C7">
              <w:t>0.</w:t>
            </w:r>
            <w:r w:rsidR="0036271B">
              <w:t>1</w:t>
            </w:r>
          </w:p>
        </w:tc>
      </w:tr>
      <w:tr w14:paraId="0768182D" w14:textId="77777777" w:rsidTr="00C900B5">
        <w:tblPrEx>
          <w:tblW w:w="4773" w:type="pct"/>
          <w:tblLayout w:type="fixed"/>
          <w:tblLook w:val="04A0"/>
        </w:tblPrEx>
        <w:tc>
          <w:tcPr>
            <w:tcW w:w="2736" w:type="dxa"/>
            <w:hideMark/>
          </w:tcPr>
          <w:p w:rsidR="006A5B49" w:rsidRPr="007B1B71" w:rsidP="006A5B49" w14:paraId="41E2C174" w14:textId="74DC66D9">
            <w:pPr>
              <w:pStyle w:val="Tabletext8ptcol1indent2"/>
            </w:pPr>
            <w:r w:rsidRPr="007B1B71">
              <w:t xml:space="preserve">Overall </w:t>
            </w:r>
            <w:r>
              <w:t>s</w:t>
            </w:r>
            <w:r w:rsidRPr="007B1B71">
              <w:t>ample (</w:t>
            </w:r>
            <w:r w:rsidRPr="007B1B71">
              <w:rPr>
                <w:i/>
                <w:iCs/>
              </w:rPr>
              <w:t>n</w:t>
            </w:r>
            <w:r w:rsidRPr="007B1B71">
              <w:t xml:space="preserve"> = </w:t>
            </w:r>
            <w:r>
              <w:t>930</w:t>
            </w:r>
            <w:r w:rsidRPr="007B1B71">
              <w:t>)</w:t>
            </w:r>
            <w:r w:rsidRPr="007B1B71" w:rsidR="00626B3C">
              <w:rPr>
                <w:vertAlign w:val="superscript"/>
              </w:rPr>
              <w:t xml:space="preserve"> 1</w:t>
            </w:r>
          </w:p>
        </w:tc>
        <w:tc>
          <w:tcPr>
            <w:tcW w:w="1365" w:type="dxa"/>
          </w:tcPr>
          <w:p w:rsidR="006A5B49" w:rsidRPr="007B1B71" w:rsidP="006A5B49" w14:paraId="332451F0" w14:textId="694BDC74">
            <w:pPr>
              <w:pStyle w:val="Tabletext8ptdecimalalign"/>
              <w:jc w:val="left"/>
            </w:pPr>
            <w:r>
              <w:t>14.4</w:t>
            </w:r>
          </w:p>
        </w:tc>
        <w:tc>
          <w:tcPr>
            <w:tcW w:w="1440" w:type="dxa"/>
          </w:tcPr>
          <w:p w:rsidR="006A5B49" w:rsidRPr="007B1B71" w:rsidP="006A5B49" w14:paraId="13683304" w14:textId="55F66B61">
            <w:pPr>
              <w:pStyle w:val="Tabletext8ptdecimalalign"/>
              <w:jc w:val="left"/>
            </w:pPr>
            <w:r>
              <w:t>14.2</w:t>
            </w:r>
          </w:p>
        </w:tc>
        <w:tc>
          <w:tcPr>
            <w:tcW w:w="1152" w:type="dxa"/>
          </w:tcPr>
          <w:p w:rsidR="006A5B49" w:rsidRPr="007B1B71" w:rsidP="006A5B49" w14:paraId="1F79D73A" w14:textId="77777777">
            <w:pPr>
              <w:pStyle w:val="Tabletext8pt"/>
            </w:pPr>
          </w:p>
        </w:tc>
        <w:tc>
          <w:tcPr>
            <w:tcW w:w="1450" w:type="dxa"/>
          </w:tcPr>
          <w:p w:rsidR="006A5B49" w:rsidRPr="007B1B71" w:rsidP="006A5B49" w14:paraId="20429D72" w14:textId="77777777">
            <w:pPr>
              <w:pStyle w:val="Tabletext8pt"/>
            </w:pPr>
          </w:p>
        </w:tc>
        <w:tc>
          <w:tcPr>
            <w:tcW w:w="1892" w:type="dxa"/>
          </w:tcPr>
          <w:p w:rsidR="006A5B49" w:rsidRPr="007B1B71" w:rsidP="006A5B49" w14:paraId="369EDBEE" w14:textId="77777777">
            <w:pPr>
              <w:pStyle w:val="Tabletext8pt"/>
            </w:pPr>
          </w:p>
        </w:tc>
      </w:tr>
    </w:tbl>
    <w:p w:rsidR="00CB3E9E" w:rsidRPr="007B1B71" w:rsidP="00CB3E9E" w14:paraId="0306BA8D" w14:textId="5D6DE245">
      <w:pPr>
        <w:pStyle w:val="Source75ptnotlast"/>
      </w:pPr>
      <w:r>
        <w:rPr>
          <w:vertAlign w:val="superscript"/>
        </w:rPr>
        <w:t>1</w:t>
      </w:r>
      <w:r w:rsidRPr="007B1B71">
        <w:t xml:space="preserve"> Sample sizes for the overall sample differ due to missing data.</w:t>
      </w:r>
    </w:p>
    <w:p w:rsidR="00CB3E9E" w:rsidRPr="007B1B71" w:rsidP="00CB3E9E" w14:paraId="342F5C36" w14:textId="662E8104">
      <w:pPr>
        <w:pStyle w:val="Source75ptnotlast"/>
      </w:pPr>
      <w:r w:rsidRPr="007B1B71">
        <w:t>NOTE: Nonresponse bias is calculated as (</w:t>
      </w:r>
      <w:r>
        <w:t>r</w:t>
      </w:r>
      <w:r w:rsidRPr="007B1B71">
        <w:t xml:space="preserve">espondent mean - </w:t>
      </w:r>
      <w:r>
        <w:t>n</w:t>
      </w:r>
      <w:r w:rsidRPr="007B1B71">
        <w:t>onrespondent mean) * (</w:t>
      </w:r>
      <w:r>
        <w:t>n</w:t>
      </w:r>
      <w:r w:rsidRPr="007B1B71">
        <w:t>onresponse rate)</w:t>
      </w:r>
      <w:r>
        <w:t>.</w:t>
      </w:r>
    </w:p>
    <w:p w:rsidR="00CB3E9E" w:rsidRPr="007B1B71" w:rsidP="00CB3E9E" w14:paraId="17F144CF" w14:textId="77777777">
      <w:pPr>
        <w:pStyle w:val="Source75ptLast"/>
      </w:pPr>
      <w:r w:rsidRPr="007B1B71">
        <w:t>SOURCE: U.S. Department of Education, National Center for Education Statistics, 2020/2</w:t>
      </w:r>
      <w:r>
        <w:t>5</w:t>
      </w:r>
      <w:r w:rsidRPr="007B1B71">
        <w:t xml:space="preserve"> Beginning Postsecondary Students </w:t>
      </w:r>
      <w:r>
        <w:t xml:space="preserve">Longitudinal Study </w:t>
      </w:r>
      <w:r w:rsidRPr="007B1B71">
        <w:t>(BPS:20/2</w:t>
      </w:r>
      <w:r>
        <w:t>5</w:t>
      </w:r>
      <w:r w:rsidRPr="007B1B71">
        <w:t>) Field Test.</w:t>
      </w:r>
    </w:p>
    <w:p w:rsidR="00287221" w:rsidRPr="009B6118" w:rsidP="00287221" w14:paraId="1AD19EDC" w14:textId="6A5771D5">
      <w:pPr>
        <w:spacing w:after="120"/>
        <w:rPr>
          <w:rFonts w:cstheme="minorHAnsi"/>
          <w:szCs w:val="24"/>
        </w:rPr>
      </w:pPr>
      <w:r w:rsidRPr="009B6118">
        <w:rPr>
          <w:rFonts w:cstheme="minorHAnsi"/>
          <w:i/>
          <w:iCs/>
          <w:szCs w:val="24"/>
        </w:rPr>
        <w:t xml:space="preserve">Efficiency. </w:t>
      </w:r>
      <w:r w:rsidRPr="009B6118">
        <w:rPr>
          <w:rFonts w:cstheme="minorHAnsi"/>
          <w:szCs w:val="24"/>
        </w:rPr>
        <w:t xml:space="preserve">Data collection efficiency was examined (i.e., the average number of days it took respondents to complete the survey) at the end of data collection (17 weeks in the field). </w:t>
      </w:r>
      <w:r w:rsidRPr="009B6118">
        <w:rPr>
          <w:rFonts w:cstheme="minorHAnsi"/>
          <w:szCs w:val="24"/>
        </w:rPr>
        <w:fldChar w:fldCharType="begin"/>
      </w:r>
      <w:r w:rsidRPr="009B6118">
        <w:rPr>
          <w:rFonts w:cstheme="minorHAnsi"/>
          <w:szCs w:val="24"/>
        </w:rPr>
        <w:instrText xml:space="preserve"> REF _Ref79565924 \h  \* MERGEFORMAT </w:instrText>
      </w:r>
      <w:r w:rsidRPr="009B6118">
        <w:rPr>
          <w:rFonts w:cstheme="minorHAnsi"/>
          <w:szCs w:val="24"/>
        </w:rPr>
        <w:fldChar w:fldCharType="separate"/>
      </w:r>
      <w:r w:rsidRPr="00A3046F" w:rsidR="00A3046F">
        <w:rPr>
          <w:szCs w:val="24"/>
        </w:rPr>
        <w:t xml:space="preserve">Table </w:t>
      </w:r>
      <w:r w:rsidRPr="00A3046F" w:rsidR="00A3046F">
        <w:rPr>
          <w:noProof/>
          <w:szCs w:val="24"/>
        </w:rPr>
        <w:t>7</w:t>
      </w:r>
      <w:r w:rsidRPr="009B6118">
        <w:rPr>
          <w:rFonts w:cstheme="minorHAnsi"/>
          <w:szCs w:val="24"/>
        </w:rPr>
        <w:fldChar w:fldCharType="end"/>
      </w:r>
      <w:r w:rsidRPr="009B6118">
        <w:rPr>
          <w:rFonts w:cstheme="minorHAnsi"/>
          <w:szCs w:val="24"/>
        </w:rPr>
        <w:t xml:space="preserve"> summarizes the average number of days to survey completion for the control and </w:t>
      </w:r>
      <w:r w:rsidR="00C52302">
        <w:rPr>
          <w:rFonts w:cstheme="minorHAnsi"/>
          <w:szCs w:val="24"/>
        </w:rPr>
        <w:t>treatment</w:t>
      </w:r>
      <w:r w:rsidRPr="009B6118">
        <w:rPr>
          <w:rFonts w:cstheme="minorHAnsi"/>
          <w:szCs w:val="24"/>
        </w:rPr>
        <w:t xml:space="preserve"> groups at these two time points. </w:t>
      </w:r>
    </w:p>
    <w:p w:rsidR="009C4D47" w:rsidRPr="009C4D47" w:rsidP="009C4D47" w14:paraId="5ECCB65D" w14:textId="28E79957">
      <w:pPr>
        <w:spacing w:after="120"/>
        <w:rPr>
          <w:rFonts w:cstheme="minorHAnsi"/>
          <w:szCs w:val="24"/>
        </w:rPr>
      </w:pPr>
      <w:bookmarkStart w:id="45" w:name="_Ref79565924"/>
      <w:r w:rsidRPr="009B6118">
        <w:rPr>
          <w:rFonts w:cstheme="minorHAnsi"/>
          <w:szCs w:val="24"/>
        </w:rPr>
        <w:t xml:space="preserve">At the end of data collection, respondents in the </w:t>
      </w:r>
      <w:r>
        <w:rPr>
          <w:rFonts w:cstheme="minorHAnsi"/>
          <w:szCs w:val="24"/>
        </w:rPr>
        <w:t>treatment</w:t>
      </w:r>
      <w:r w:rsidRPr="009B6118">
        <w:rPr>
          <w:rFonts w:cstheme="minorHAnsi"/>
          <w:szCs w:val="24"/>
        </w:rPr>
        <w:t xml:space="preserve"> group took </w:t>
      </w:r>
      <w:r w:rsidR="00EB7586">
        <w:rPr>
          <w:rFonts w:cstheme="minorHAnsi"/>
          <w:szCs w:val="24"/>
        </w:rPr>
        <w:t>longer</w:t>
      </w:r>
      <w:r w:rsidRPr="009B6118">
        <w:rPr>
          <w:rFonts w:cstheme="minorHAnsi"/>
          <w:szCs w:val="24"/>
        </w:rPr>
        <w:t xml:space="preserve"> (</w:t>
      </w:r>
      <w:r w:rsidR="00EB7586">
        <w:rPr>
          <w:rFonts w:cstheme="minorHAnsi"/>
          <w:szCs w:val="24"/>
        </w:rPr>
        <w:t>89</w:t>
      </w:r>
      <w:r w:rsidRPr="009B6118">
        <w:rPr>
          <w:rFonts w:cstheme="minorHAnsi"/>
          <w:szCs w:val="24"/>
        </w:rPr>
        <w:t>.</w:t>
      </w:r>
      <w:r>
        <w:rPr>
          <w:rFonts w:cstheme="minorHAnsi"/>
          <w:szCs w:val="24"/>
        </w:rPr>
        <w:t>7</w:t>
      </w:r>
      <w:r w:rsidRPr="009B6118">
        <w:rPr>
          <w:rFonts w:cstheme="minorHAnsi"/>
          <w:szCs w:val="24"/>
        </w:rPr>
        <w:t xml:space="preserve"> days) </w:t>
      </w:r>
      <w:r w:rsidR="00EB7586">
        <w:rPr>
          <w:rFonts w:cstheme="minorHAnsi"/>
          <w:szCs w:val="24"/>
        </w:rPr>
        <w:t>than</w:t>
      </w:r>
      <w:r w:rsidRPr="009B6118">
        <w:rPr>
          <w:rFonts w:cstheme="minorHAnsi"/>
          <w:szCs w:val="24"/>
        </w:rPr>
        <w:t xml:space="preserve"> respondents in the control group (</w:t>
      </w:r>
      <w:r w:rsidR="00EB7586">
        <w:rPr>
          <w:rFonts w:cstheme="minorHAnsi"/>
          <w:szCs w:val="24"/>
        </w:rPr>
        <w:t>83</w:t>
      </w:r>
      <w:r w:rsidRPr="009B6118">
        <w:rPr>
          <w:rFonts w:cstheme="minorHAnsi"/>
          <w:szCs w:val="24"/>
        </w:rPr>
        <w:t>.</w:t>
      </w:r>
      <w:r w:rsidR="00EB7586">
        <w:rPr>
          <w:rFonts w:cstheme="minorHAnsi"/>
          <w:szCs w:val="24"/>
        </w:rPr>
        <w:t>6</w:t>
      </w:r>
      <w:r w:rsidRPr="009B6118">
        <w:rPr>
          <w:rFonts w:cstheme="minorHAnsi"/>
          <w:szCs w:val="24"/>
        </w:rPr>
        <w:t xml:space="preserve"> days) to complete the survey (</w:t>
      </w:r>
      <w:r w:rsidRPr="009B6118">
        <w:rPr>
          <w:rFonts w:cstheme="minorHAnsi"/>
          <w:i/>
          <w:iCs/>
          <w:szCs w:val="24"/>
        </w:rPr>
        <w:t>t</w:t>
      </w:r>
      <w:r w:rsidRPr="009B6118">
        <w:rPr>
          <w:rFonts w:cstheme="minorHAnsi"/>
          <w:szCs w:val="24"/>
        </w:rPr>
        <w:t>(</w:t>
      </w:r>
      <w:r>
        <w:rPr>
          <w:rFonts w:cstheme="minorHAnsi"/>
          <w:szCs w:val="24"/>
        </w:rPr>
        <w:t>1</w:t>
      </w:r>
      <w:r w:rsidRPr="009B6118">
        <w:rPr>
          <w:rFonts w:cstheme="minorHAnsi"/>
          <w:szCs w:val="24"/>
        </w:rPr>
        <w:t>,</w:t>
      </w:r>
      <w:r>
        <w:rPr>
          <w:rFonts w:cstheme="minorHAnsi"/>
          <w:szCs w:val="24"/>
        </w:rPr>
        <w:t xml:space="preserve"> </w:t>
      </w:r>
      <w:r w:rsidR="00CC0C02">
        <w:rPr>
          <w:rFonts w:cstheme="minorHAnsi"/>
          <w:szCs w:val="24"/>
        </w:rPr>
        <w:t>363</w:t>
      </w:r>
      <w:r w:rsidRPr="009B6118">
        <w:rPr>
          <w:rFonts w:cstheme="minorHAnsi"/>
          <w:szCs w:val="24"/>
        </w:rPr>
        <w:t xml:space="preserve">) = </w:t>
      </w:r>
      <w:r w:rsidR="00CC0C02">
        <w:rPr>
          <w:rFonts w:cstheme="minorHAnsi"/>
          <w:szCs w:val="24"/>
        </w:rPr>
        <w:t>-3</w:t>
      </w:r>
      <w:r w:rsidRPr="009B6118">
        <w:rPr>
          <w:rFonts w:cstheme="minorHAnsi"/>
          <w:szCs w:val="24"/>
        </w:rPr>
        <w:t>.</w:t>
      </w:r>
      <w:r w:rsidR="00CC0C02">
        <w:rPr>
          <w:rFonts w:cstheme="minorHAnsi"/>
          <w:szCs w:val="24"/>
        </w:rPr>
        <w:t>83</w:t>
      </w:r>
      <w:r w:rsidRPr="009B6118">
        <w:rPr>
          <w:rFonts w:cstheme="minorHAnsi"/>
          <w:szCs w:val="24"/>
        </w:rPr>
        <w:t xml:space="preserve">, </w:t>
      </w:r>
      <w:r w:rsidRPr="009B6118">
        <w:rPr>
          <w:rFonts w:cstheme="minorHAnsi"/>
          <w:i/>
          <w:iCs/>
          <w:szCs w:val="24"/>
        </w:rPr>
        <w:t>p</w:t>
      </w:r>
      <w:r w:rsidRPr="009B6118">
        <w:rPr>
          <w:rFonts w:cstheme="minorHAnsi"/>
          <w:szCs w:val="24"/>
        </w:rPr>
        <w:t xml:space="preserve"> </w:t>
      </w:r>
      <w:r w:rsidR="00CC0C02">
        <w:rPr>
          <w:rFonts w:cstheme="minorHAnsi"/>
          <w:szCs w:val="24"/>
        </w:rPr>
        <w:t>&lt;</w:t>
      </w:r>
      <w:r w:rsidRPr="009B6118">
        <w:rPr>
          <w:rFonts w:cstheme="minorHAnsi"/>
          <w:szCs w:val="24"/>
        </w:rPr>
        <w:t xml:space="preserve"> 0.</w:t>
      </w:r>
      <w:r w:rsidR="00CC0C02">
        <w:rPr>
          <w:rFonts w:cstheme="minorHAnsi"/>
          <w:szCs w:val="24"/>
        </w:rPr>
        <w:t>001</w:t>
      </w:r>
      <w:r w:rsidRPr="009B6118">
        <w:rPr>
          <w:rFonts w:cstheme="minorHAnsi"/>
          <w:szCs w:val="24"/>
        </w:rPr>
        <w:t xml:space="preserve">). </w:t>
      </w:r>
      <w:r w:rsidRPr="009C4D47">
        <w:rPr>
          <w:rFonts w:cstheme="minorHAnsi"/>
          <w:szCs w:val="24"/>
        </w:rPr>
        <w:t>However, this difference is small (</w:t>
      </w:r>
      <w:r w:rsidR="00446BE1">
        <w:rPr>
          <w:rFonts w:cstheme="minorHAnsi"/>
          <w:szCs w:val="24"/>
        </w:rPr>
        <w:t>less than a week; 6.1</w:t>
      </w:r>
      <w:r w:rsidRPr="009C4D47">
        <w:rPr>
          <w:rFonts w:cstheme="minorHAnsi"/>
          <w:szCs w:val="24"/>
        </w:rPr>
        <w:t xml:space="preserve"> days), and not long enough to allow for any cost savings in the data collection process (e.g., via fewer reminder calls, texts, or mailings). Thus, while these differences are statistically significant, they are not practically significant. </w:t>
      </w:r>
    </w:p>
    <w:p w:rsidR="00A73E9A" w:rsidRPr="009B6118" w:rsidP="00A73E9A" w14:paraId="0BCA75D7" w14:textId="6E7CEAB2">
      <w:pPr>
        <w:spacing w:after="120"/>
        <w:rPr>
          <w:rFonts w:cstheme="minorHAnsi"/>
          <w:szCs w:val="24"/>
        </w:rPr>
      </w:pPr>
    </w:p>
    <w:p w:rsidR="00287221" w:rsidRPr="00FD5576" w:rsidP="00287221" w14:paraId="77F95D90" w14:textId="56D84C5F">
      <w:pPr>
        <w:pStyle w:val="TableTitle"/>
        <w:rPr>
          <w:shd w:val="clear" w:color="auto" w:fill="FFFFFF"/>
        </w:rPr>
      </w:pPr>
      <w:bookmarkStart w:id="46" w:name="_Toc174628210"/>
      <w:r>
        <w:t xml:space="preserve">Table </w:t>
      </w:r>
      <w:r>
        <w:fldChar w:fldCharType="begin"/>
      </w:r>
      <w:r>
        <w:instrText xml:space="preserve"> SEQ Table \* ARABIC </w:instrText>
      </w:r>
      <w:r>
        <w:fldChar w:fldCharType="separate"/>
      </w:r>
      <w:r>
        <w:rPr>
          <w:noProof/>
        </w:rPr>
        <w:t>7</w:t>
      </w:r>
      <w:r>
        <w:fldChar w:fldCharType="end"/>
      </w:r>
      <w:bookmarkEnd w:id="45"/>
      <w:r>
        <w:t xml:space="preserve">. </w:t>
      </w:r>
      <w:r w:rsidR="00F83AF1">
        <w:t>A</w:t>
      </w:r>
      <w:r>
        <w:t>verage number of days to complete</w:t>
      </w:r>
      <w:r w:rsidRPr="00FD5576">
        <w:t xml:space="preserve"> by </w:t>
      </w:r>
      <w:r w:rsidR="002E34C1">
        <w:t xml:space="preserve">reminder mode </w:t>
      </w:r>
      <w:r w:rsidRPr="00FD5576">
        <w:t>experimental condition and evaluation period</w:t>
      </w:r>
      <w:bookmarkEnd w:id="4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0"/>
        <w:gridCol w:w="1594"/>
        <w:gridCol w:w="1745"/>
        <w:gridCol w:w="1449"/>
        <w:gridCol w:w="1594"/>
      </w:tblGrid>
      <w:tr w14:paraId="224CD6E6" w14:textId="77777777" w:rsidTr="00A73E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blHeader/>
        </w:trPr>
        <w:tc>
          <w:tcPr>
            <w:tcW w:w="1965" w:type="pct"/>
            <w:tcBorders>
              <w:top w:val="single" w:sz="12" w:space="0" w:color="auto"/>
              <w:bottom w:val="single" w:sz="6" w:space="0" w:color="auto"/>
            </w:tcBorders>
            <w:vAlign w:val="bottom"/>
          </w:tcPr>
          <w:p w:rsidR="00287221" w:rsidRPr="009B5E0B" w:rsidP="00C900B5" w14:paraId="34875C51" w14:textId="77777777">
            <w:pPr>
              <w:autoSpaceDE w:val="0"/>
              <w:autoSpaceDN w:val="0"/>
              <w:adjustRightInd w:val="0"/>
              <w:rPr>
                <w:rFonts w:ascii="Arial" w:hAnsi="Arial" w:cs="Arial"/>
                <w:b/>
                <w:sz w:val="18"/>
                <w:szCs w:val="18"/>
              </w:rPr>
            </w:pPr>
          </w:p>
        </w:tc>
        <w:tc>
          <w:tcPr>
            <w:tcW w:w="758" w:type="pct"/>
            <w:tcBorders>
              <w:top w:val="single" w:sz="12" w:space="0" w:color="auto"/>
              <w:bottom w:val="single" w:sz="6" w:space="0" w:color="auto"/>
            </w:tcBorders>
            <w:vAlign w:val="bottom"/>
          </w:tcPr>
          <w:p w:rsidR="00287221" w:rsidRPr="009B5E0B" w:rsidP="00C900B5" w14:paraId="47ED64C5" w14:textId="77777777">
            <w:pPr>
              <w:keepNext/>
              <w:jc w:val="right"/>
              <w:rPr>
                <w:rFonts w:ascii="Arial" w:hAnsi="Arial" w:cs="Arial"/>
                <w:b/>
                <w:sz w:val="18"/>
                <w:szCs w:val="18"/>
              </w:rPr>
            </w:pPr>
            <w:r w:rsidRPr="009B5E0B">
              <w:rPr>
                <w:rFonts w:ascii="Arial" w:hAnsi="Arial" w:cs="Arial"/>
                <w:b/>
                <w:sz w:val="18"/>
                <w:szCs w:val="18"/>
              </w:rPr>
              <w:t>Control Group</w:t>
            </w:r>
          </w:p>
          <w:p w:rsidR="00287221" w:rsidRPr="009B5E0B" w:rsidP="00C900B5" w14:paraId="793FAF22" w14:textId="0C8A9008">
            <w:pPr>
              <w:autoSpaceDE w:val="0"/>
              <w:autoSpaceDN w:val="0"/>
              <w:adjustRightInd w:val="0"/>
              <w:jc w:val="right"/>
              <w:rPr>
                <w:rFonts w:ascii="Arial" w:hAnsi="Arial" w:cs="Arial"/>
                <w:b/>
                <w:sz w:val="18"/>
                <w:szCs w:val="18"/>
              </w:rPr>
            </w:pPr>
            <w:r>
              <w:rPr>
                <w:rFonts w:ascii="Arial" w:hAnsi="Arial" w:cs="Arial"/>
                <w:bCs/>
                <w:sz w:val="18"/>
                <w:szCs w:val="18"/>
              </w:rPr>
              <w:t>Telephone reminder</w:t>
            </w:r>
          </w:p>
        </w:tc>
        <w:tc>
          <w:tcPr>
            <w:tcW w:w="830" w:type="pct"/>
            <w:tcBorders>
              <w:top w:val="single" w:sz="12" w:space="0" w:color="auto"/>
              <w:bottom w:val="single" w:sz="6" w:space="0" w:color="auto"/>
            </w:tcBorders>
            <w:vAlign w:val="bottom"/>
          </w:tcPr>
          <w:p w:rsidR="00287221" w:rsidRPr="009B5E0B" w:rsidP="00C900B5" w14:paraId="1B2E95D4" w14:textId="77777777">
            <w:pPr>
              <w:keepNext/>
              <w:jc w:val="right"/>
              <w:rPr>
                <w:rFonts w:ascii="Arial" w:hAnsi="Arial" w:cs="Arial"/>
                <w:b/>
                <w:sz w:val="18"/>
                <w:szCs w:val="18"/>
              </w:rPr>
            </w:pPr>
            <w:r w:rsidRPr="009B5E0B">
              <w:rPr>
                <w:rFonts w:ascii="Arial" w:hAnsi="Arial" w:cs="Arial"/>
                <w:b/>
                <w:sz w:val="18"/>
                <w:szCs w:val="18"/>
              </w:rPr>
              <w:t>Treatment Group</w:t>
            </w:r>
          </w:p>
          <w:p w:rsidR="00287221" w:rsidRPr="009B5E0B" w:rsidP="00C900B5" w14:paraId="65369DD6" w14:textId="038E9546">
            <w:pPr>
              <w:autoSpaceDE w:val="0"/>
              <w:autoSpaceDN w:val="0"/>
              <w:adjustRightInd w:val="0"/>
              <w:jc w:val="right"/>
              <w:rPr>
                <w:rFonts w:ascii="Arial" w:hAnsi="Arial" w:cs="Arial"/>
                <w:b/>
                <w:sz w:val="18"/>
                <w:szCs w:val="18"/>
              </w:rPr>
            </w:pPr>
            <w:r>
              <w:rPr>
                <w:rFonts w:ascii="Arial" w:hAnsi="Arial" w:cs="Arial"/>
                <w:bCs/>
                <w:sz w:val="18"/>
                <w:szCs w:val="18"/>
              </w:rPr>
              <w:t xml:space="preserve">No </w:t>
            </w:r>
            <w:r w:rsidR="00626B3C">
              <w:rPr>
                <w:rFonts w:ascii="Arial" w:hAnsi="Arial" w:cs="Arial"/>
                <w:bCs/>
                <w:sz w:val="18"/>
                <w:szCs w:val="18"/>
              </w:rPr>
              <w:t>telephone reminder</w:t>
            </w:r>
          </w:p>
        </w:tc>
        <w:tc>
          <w:tcPr>
            <w:tcW w:w="689" w:type="pct"/>
            <w:tcBorders>
              <w:top w:val="single" w:sz="12" w:space="0" w:color="auto"/>
              <w:bottom w:val="single" w:sz="6" w:space="0" w:color="auto"/>
            </w:tcBorders>
            <w:vAlign w:val="bottom"/>
          </w:tcPr>
          <w:p w:rsidR="00287221" w:rsidRPr="009B5E0B" w:rsidP="00C900B5" w14:paraId="7B5200F1" w14:textId="77777777">
            <w:pPr>
              <w:autoSpaceDE w:val="0"/>
              <w:autoSpaceDN w:val="0"/>
              <w:adjustRightInd w:val="0"/>
              <w:jc w:val="right"/>
              <w:rPr>
                <w:rFonts w:ascii="Arial" w:hAnsi="Arial" w:cs="Arial"/>
                <w:sz w:val="18"/>
                <w:szCs w:val="18"/>
              </w:rPr>
            </w:pPr>
            <m:oMathPara>
              <m:oMathParaPr>
                <m:jc m:val="right"/>
              </m:oMathParaPr>
              <m:oMath>
                <m:r>
                  <w:rPr>
                    <w:rFonts w:ascii="Cambria Math" w:hAnsi="Cambria Math" w:cs="Arial"/>
                    <w:sz w:val="18"/>
                    <w:szCs w:val="18"/>
                  </w:rPr>
                  <m:t>t</m:t>
                </m:r>
              </m:oMath>
            </m:oMathPara>
          </w:p>
        </w:tc>
        <w:tc>
          <w:tcPr>
            <w:tcW w:w="758" w:type="pct"/>
            <w:tcBorders>
              <w:top w:val="single" w:sz="12" w:space="0" w:color="auto"/>
              <w:bottom w:val="single" w:sz="6" w:space="0" w:color="auto"/>
            </w:tcBorders>
            <w:vAlign w:val="bottom"/>
          </w:tcPr>
          <w:p w:rsidR="00287221" w:rsidRPr="009B5E0B" w:rsidP="00C900B5" w14:paraId="13FB1477" w14:textId="77777777">
            <w:pPr>
              <w:autoSpaceDE w:val="0"/>
              <w:autoSpaceDN w:val="0"/>
              <w:adjustRightInd w:val="0"/>
              <w:jc w:val="right"/>
              <w:rPr>
                <w:rFonts w:ascii="Arial" w:hAnsi="Arial" w:cs="Arial"/>
                <w:sz w:val="18"/>
                <w:szCs w:val="18"/>
              </w:rPr>
            </w:pPr>
            <w:r w:rsidRPr="009B5E0B">
              <w:rPr>
                <w:rFonts w:ascii="Arial" w:hAnsi="Arial" w:cs="Arial"/>
                <w:i/>
                <w:iCs/>
                <w:sz w:val="18"/>
                <w:szCs w:val="18"/>
              </w:rPr>
              <w:t>p</w:t>
            </w:r>
            <w:r w:rsidRPr="009B5E0B">
              <w:rPr>
                <w:rFonts w:ascii="Arial" w:hAnsi="Arial" w:cs="Arial"/>
                <w:sz w:val="18"/>
                <w:szCs w:val="18"/>
              </w:rPr>
              <w:t>-value</w:t>
            </w:r>
          </w:p>
        </w:tc>
      </w:tr>
      <w:tr w14:paraId="6802583A" w14:textId="77777777" w:rsidTr="00A73E9A">
        <w:tblPrEx>
          <w:tblW w:w="5000" w:type="pct"/>
          <w:tblLook w:val="04A0"/>
        </w:tblPrEx>
        <w:trPr>
          <w:trHeight w:val="144"/>
        </w:trPr>
        <w:tc>
          <w:tcPr>
            <w:tcW w:w="1965" w:type="pct"/>
            <w:tcBorders>
              <w:bottom w:val="single" w:sz="12" w:space="0" w:color="auto"/>
            </w:tcBorders>
          </w:tcPr>
          <w:p w:rsidR="00287221" w:rsidRPr="009B5E0B" w:rsidP="00C900B5" w14:paraId="1BE0680A" w14:textId="77777777">
            <w:pPr>
              <w:autoSpaceDE w:val="0"/>
              <w:autoSpaceDN w:val="0"/>
              <w:adjustRightInd w:val="0"/>
              <w:rPr>
                <w:rFonts w:ascii="Arial" w:hAnsi="Arial" w:cs="Arial"/>
                <w:sz w:val="18"/>
                <w:szCs w:val="18"/>
              </w:rPr>
            </w:pPr>
            <w:r w:rsidRPr="009B5E0B">
              <w:rPr>
                <w:rFonts w:ascii="Arial" w:hAnsi="Arial" w:cs="Arial"/>
                <w:sz w:val="18"/>
                <w:szCs w:val="18"/>
              </w:rPr>
              <w:t>End of data collection</w:t>
            </w:r>
          </w:p>
        </w:tc>
        <w:tc>
          <w:tcPr>
            <w:tcW w:w="758" w:type="pct"/>
            <w:tcBorders>
              <w:bottom w:val="single" w:sz="12" w:space="0" w:color="auto"/>
            </w:tcBorders>
          </w:tcPr>
          <w:p w:rsidR="00287221" w:rsidRPr="009B5E0B" w:rsidP="00C900B5" w14:paraId="0B040707" w14:textId="2FEB9154">
            <w:pPr>
              <w:autoSpaceDE w:val="0"/>
              <w:autoSpaceDN w:val="0"/>
              <w:adjustRightInd w:val="0"/>
              <w:jc w:val="right"/>
              <w:rPr>
                <w:rFonts w:ascii="Arial" w:hAnsi="Arial" w:cs="Arial"/>
                <w:color w:val="000000"/>
                <w:sz w:val="18"/>
                <w:szCs w:val="18"/>
              </w:rPr>
            </w:pPr>
            <w:r>
              <w:rPr>
                <w:rFonts w:ascii="Arial" w:hAnsi="Arial" w:cs="Arial"/>
                <w:color w:val="000000"/>
                <w:sz w:val="18"/>
                <w:szCs w:val="18"/>
              </w:rPr>
              <w:t>89</w:t>
            </w:r>
            <w:r w:rsidRPr="009B5E0B">
              <w:rPr>
                <w:rFonts w:ascii="Arial" w:hAnsi="Arial" w:cs="Arial"/>
                <w:color w:val="000000"/>
                <w:sz w:val="18"/>
                <w:szCs w:val="18"/>
              </w:rPr>
              <w:t>.</w:t>
            </w:r>
            <w:r>
              <w:rPr>
                <w:rFonts w:ascii="Arial" w:hAnsi="Arial" w:cs="Arial"/>
                <w:color w:val="000000"/>
                <w:sz w:val="18"/>
                <w:szCs w:val="18"/>
              </w:rPr>
              <w:t>7</w:t>
            </w:r>
          </w:p>
        </w:tc>
        <w:tc>
          <w:tcPr>
            <w:tcW w:w="830" w:type="pct"/>
            <w:tcBorders>
              <w:bottom w:val="single" w:sz="12" w:space="0" w:color="auto"/>
            </w:tcBorders>
          </w:tcPr>
          <w:p w:rsidR="00287221" w:rsidRPr="009B5E0B" w:rsidP="00C900B5" w14:paraId="348E3E48" w14:textId="7B3305D3">
            <w:pPr>
              <w:autoSpaceDE w:val="0"/>
              <w:autoSpaceDN w:val="0"/>
              <w:adjustRightInd w:val="0"/>
              <w:jc w:val="right"/>
              <w:rPr>
                <w:rFonts w:ascii="Arial" w:hAnsi="Arial" w:cs="Arial"/>
                <w:color w:val="000000"/>
                <w:sz w:val="18"/>
                <w:szCs w:val="18"/>
              </w:rPr>
            </w:pPr>
            <w:r>
              <w:rPr>
                <w:rFonts w:ascii="Arial" w:hAnsi="Arial" w:cs="Arial"/>
                <w:color w:val="000000"/>
                <w:sz w:val="18"/>
                <w:szCs w:val="18"/>
              </w:rPr>
              <w:t>83</w:t>
            </w:r>
            <w:r w:rsidRPr="009B5E0B">
              <w:rPr>
                <w:rFonts w:ascii="Arial" w:hAnsi="Arial" w:cs="Arial"/>
                <w:color w:val="000000"/>
                <w:sz w:val="18"/>
                <w:szCs w:val="18"/>
              </w:rPr>
              <w:t>.</w:t>
            </w:r>
            <w:r>
              <w:rPr>
                <w:rFonts w:ascii="Arial" w:hAnsi="Arial" w:cs="Arial"/>
                <w:color w:val="000000"/>
                <w:sz w:val="18"/>
                <w:szCs w:val="18"/>
              </w:rPr>
              <w:t>6</w:t>
            </w:r>
          </w:p>
        </w:tc>
        <w:tc>
          <w:tcPr>
            <w:tcW w:w="689" w:type="pct"/>
            <w:tcBorders>
              <w:bottom w:val="single" w:sz="12" w:space="0" w:color="auto"/>
            </w:tcBorders>
          </w:tcPr>
          <w:p w:rsidR="00287221" w:rsidRPr="009B5E0B" w:rsidP="00C900B5" w14:paraId="4FF82679" w14:textId="6F736656">
            <w:pPr>
              <w:autoSpaceDE w:val="0"/>
              <w:autoSpaceDN w:val="0"/>
              <w:adjustRightInd w:val="0"/>
              <w:jc w:val="right"/>
              <w:rPr>
                <w:rFonts w:ascii="Arial" w:hAnsi="Arial" w:cs="Arial"/>
                <w:color w:val="000000"/>
                <w:sz w:val="18"/>
                <w:szCs w:val="18"/>
              </w:rPr>
            </w:pPr>
            <w:r>
              <w:rPr>
                <w:rFonts w:ascii="Arial" w:hAnsi="Arial" w:cs="Arial"/>
                <w:color w:val="000000"/>
                <w:sz w:val="18"/>
                <w:szCs w:val="18"/>
              </w:rPr>
              <w:t>-3</w:t>
            </w:r>
            <w:r w:rsidRPr="009B5E0B">
              <w:rPr>
                <w:rFonts w:ascii="Arial" w:hAnsi="Arial" w:cs="Arial"/>
                <w:color w:val="000000"/>
                <w:sz w:val="18"/>
                <w:szCs w:val="18"/>
              </w:rPr>
              <w:t>.</w:t>
            </w:r>
            <w:r>
              <w:rPr>
                <w:rFonts w:ascii="Arial" w:hAnsi="Arial" w:cs="Arial"/>
                <w:color w:val="000000"/>
                <w:sz w:val="18"/>
                <w:szCs w:val="18"/>
              </w:rPr>
              <w:t>83</w:t>
            </w:r>
          </w:p>
        </w:tc>
        <w:tc>
          <w:tcPr>
            <w:tcW w:w="758" w:type="pct"/>
            <w:tcBorders>
              <w:bottom w:val="single" w:sz="12" w:space="0" w:color="auto"/>
            </w:tcBorders>
          </w:tcPr>
          <w:p w:rsidR="00287221" w:rsidRPr="009B5E0B" w:rsidP="00C900B5" w14:paraId="7DE8D362" w14:textId="3929E6A8">
            <w:pPr>
              <w:autoSpaceDE w:val="0"/>
              <w:autoSpaceDN w:val="0"/>
              <w:adjustRightInd w:val="0"/>
              <w:jc w:val="right"/>
              <w:rPr>
                <w:rFonts w:ascii="Arial" w:hAnsi="Arial" w:cs="Arial"/>
                <w:color w:val="000000"/>
                <w:sz w:val="18"/>
                <w:szCs w:val="18"/>
              </w:rPr>
            </w:pPr>
            <w:r>
              <w:rPr>
                <w:rFonts w:ascii="Arial" w:hAnsi="Arial" w:cs="Arial"/>
                <w:color w:val="000000"/>
                <w:sz w:val="18"/>
                <w:szCs w:val="18"/>
              </w:rPr>
              <w:t>&lt; .001</w:t>
            </w:r>
          </w:p>
        </w:tc>
      </w:tr>
    </w:tbl>
    <w:p w:rsidR="00287221" w:rsidRPr="009B5E0B" w:rsidP="00287221" w14:paraId="3CFF8C33" w14:textId="3B0121AD">
      <w:pPr>
        <w:pStyle w:val="tabfigsource"/>
        <w:rPr>
          <w:rFonts w:cs="Arial"/>
          <w:szCs w:val="16"/>
        </w:rPr>
      </w:pPr>
      <w:r w:rsidRPr="009B5E0B">
        <w:rPr>
          <w:rFonts w:cs="Arial"/>
          <w:szCs w:val="16"/>
        </w:rPr>
        <w:t>SOURCE: U.S. Department of Education, National Center for Education Statistics, 2020/2</w:t>
      </w:r>
      <w:r w:rsidR="001505DE">
        <w:rPr>
          <w:rFonts w:cs="Arial"/>
          <w:szCs w:val="16"/>
        </w:rPr>
        <w:t>5</w:t>
      </w:r>
      <w:r w:rsidRPr="009B5E0B">
        <w:rPr>
          <w:rFonts w:cs="Arial"/>
          <w:szCs w:val="16"/>
        </w:rPr>
        <w:t xml:space="preserve"> Beginning Postsecondary Students (BPS:20/2</w:t>
      </w:r>
      <w:r w:rsidR="001505DE">
        <w:rPr>
          <w:rFonts w:cs="Arial"/>
          <w:szCs w:val="16"/>
        </w:rPr>
        <w:t>5</w:t>
      </w:r>
      <w:r w:rsidRPr="009B5E0B">
        <w:rPr>
          <w:rFonts w:cs="Arial"/>
          <w:szCs w:val="16"/>
        </w:rPr>
        <w:t>) Field Test.</w:t>
      </w:r>
    </w:p>
    <w:p w:rsidR="00E77AFE" w:rsidRPr="00F83AF1" w:rsidP="00F83AF1" w14:paraId="226B623B" w14:textId="0CA43CAA">
      <w:pPr>
        <w:pStyle w:val="Heading3"/>
        <w:keepLines w:val="0"/>
        <w:tabs>
          <w:tab w:val="num" w:pos="1710"/>
        </w:tabs>
        <w:spacing w:before="120" w:after="120" w:line="240" w:lineRule="auto"/>
        <w:ind w:left="1224" w:hanging="504"/>
        <w:rPr>
          <w:rFonts w:ascii="Arial" w:eastAsia="Times New Roman" w:hAnsi="Arial" w:cs="Arial"/>
          <w:b/>
          <w:bCs/>
          <w:color w:val="auto"/>
        </w:rPr>
      </w:pPr>
      <w:bookmarkStart w:id="47" w:name="_Toc174628037"/>
      <w:r w:rsidRPr="00F83AF1">
        <w:rPr>
          <w:rFonts w:ascii="Arial" w:eastAsia="Times New Roman" w:hAnsi="Arial" w:cs="Arial"/>
          <w:b/>
          <w:bCs/>
          <w:color w:val="auto"/>
        </w:rPr>
        <w:t>Recommendations for the full-scale study</w:t>
      </w:r>
      <w:bookmarkEnd w:id="47"/>
    </w:p>
    <w:p w:rsidR="005A1737" w:rsidRPr="00D9490B" w:rsidP="00EE3E0D" w14:paraId="2E709B63" w14:textId="0E375D1F">
      <w:pPr>
        <w:spacing w:after="120"/>
        <w:rPr>
          <w:rFonts w:cstheme="minorBidi"/>
        </w:rPr>
      </w:pPr>
      <w:r w:rsidRPr="43BF632C">
        <w:rPr>
          <w:rFonts w:cstheme="minorBidi"/>
        </w:rPr>
        <w:t xml:space="preserve">Removing telephone reminders from sample members </w:t>
      </w:r>
      <w:r w:rsidRPr="43BF632C" w:rsidR="00207E61">
        <w:rPr>
          <w:rFonts w:cstheme="minorBidi"/>
        </w:rPr>
        <w:t>receiving</w:t>
      </w:r>
      <w:r w:rsidRPr="43BF632C">
        <w:rPr>
          <w:rFonts w:cstheme="minorBidi"/>
        </w:rPr>
        <w:t xml:space="preserve"> the default data collection protocol</w:t>
      </w:r>
      <w:r w:rsidRPr="005B05D4" w:rsidR="005B05D4">
        <w:rPr>
          <w:rFonts w:cstheme="minorBidi"/>
        </w:rPr>
        <w:t xml:space="preserve"> did not </w:t>
      </w:r>
      <w:r w:rsidRPr="43BF632C">
        <w:rPr>
          <w:rFonts w:cstheme="minorBidi"/>
        </w:rPr>
        <w:t xml:space="preserve">significantly alter respondent sample </w:t>
      </w:r>
      <w:r w:rsidRPr="005B05D4" w:rsidR="005B05D4">
        <w:rPr>
          <w:rFonts w:cstheme="minorBidi"/>
        </w:rPr>
        <w:t xml:space="preserve">representativeness by the end of data collection. Further, while </w:t>
      </w:r>
      <w:r w:rsidRPr="43BF632C">
        <w:rPr>
          <w:rFonts w:cstheme="minorBidi"/>
        </w:rPr>
        <w:t>offering telephone reminders</w:t>
      </w:r>
      <w:r w:rsidRPr="005B05D4" w:rsidR="005B05D4">
        <w:rPr>
          <w:rFonts w:cstheme="minorBidi"/>
        </w:rPr>
        <w:t xml:space="preserve"> did bring in responses a few days sooner than </w:t>
      </w:r>
      <w:r w:rsidRPr="43BF632C">
        <w:rPr>
          <w:rFonts w:cstheme="minorBidi"/>
        </w:rPr>
        <w:t>not offering telephone reminders</w:t>
      </w:r>
      <w:r w:rsidRPr="005B05D4" w:rsidR="005B05D4">
        <w:rPr>
          <w:rFonts w:cstheme="minorBidi"/>
        </w:rPr>
        <w:t xml:space="preserve">, this small gain in efficiency did not justify the cost of the </w:t>
      </w:r>
      <w:r w:rsidRPr="43BF632C" w:rsidR="00207E61">
        <w:rPr>
          <w:rFonts w:cstheme="minorBidi"/>
        </w:rPr>
        <w:t>reminders</w:t>
      </w:r>
      <w:r w:rsidRPr="005B05D4" w:rsidR="005B05D4">
        <w:rPr>
          <w:rFonts w:cstheme="minorBidi"/>
        </w:rPr>
        <w:t xml:space="preserve">. </w:t>
      </w:r>
      <w:r w:rsidRPr="43BF632C" w:rsidR="00207E61">
        <w:rPr>
          <w:rFonts w:cstheme="minorBidi"/>
        </w:rPr>
        <w:t>However, the response rate of sample members receiving the default data collection protocol</w:t>
      </w:r>
      <w:r w:rsidRPr="43BF632C" w:rsidR="00816302">
        <w:rPr>
          <w:rFonts w:cstheme="minorBidi"/>
        </w:rPr>
        <w:t xml:space="preserve"> was higher when </w:t>
      </w:r>
      <w:r w:rsidRPr="7CBDCBCF" w:rsidR="2994C285">
        <w:rPr>
          <w:rFonts w:cstheme="minorBidi"/>
        </w:rPr>
        <w:t>the</w:t>
      </w:r>
      <w:r w:rsidRPr="7CBDCBCF" w:rsidR="02522B5E">
        <w:rPr>
          <w:rFonts w:cstheme="minorBidi"/>
        </w:rPr>
        <w:t>y</w:t>
      </w:r>
      <w:r w:rsidRPr="43BF632C" w:rsidR="00816302">
        <w:rPr>
          <w:rFonts w:cstheme="minorBidi"/>
        </w:rPr>
        <w:t xml:space="preserve"> were given telephone reminders to complete the survey. </w:t>
      </w:r>
      <w:r w:rsidRPr="43BF632C" w:rsidR="00257FD9">
        <w:rPr>
          <w:rFonts w:cstheme="minorBidi"/>
        </w:rPr>
        <w:t>These results therefore indicate that telephone reminders, despite their cost, are still useful for encouraging response from sample members who have responded to NPSAS and BPS survey requests in the past. To balance the utility and cost of telephone reminders, in the BPS:20/25 full- scale data study we recommend using telephone reminders only for certain sample members in the default data collection group; specifically, sample members in the default data collection group that belong to demographic groups with low response rates. Encouraging response from these groups with telephone reminders would reduce their potential for nonresponse bias.</w:t>
      </w:r>
    </w:p>
    <w:sectPr w:rsidSect="00287221">
      <w:footerReference w:type="first" r:id="rId9"/>
      <w:pgSz w:w="12240" w:h="15840" w:code="1"/>
      <w:pgMar w:top="864" w:right="864" w:bottom="720" w:left="864" w:header="432"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us">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277" w:rsidRPr="007D63AD" w:rsidP="00296DEF" w14:paraId="15873F70" w14:textId="6876218E">
    <w:pPr>
      <w:pStyle w:val="Footer"/>
    </w:pPr>
    <w:r>
      <w:t>D</w:t>
    </w:r>
    <w:r w:rsidRPr="007D63AD">
      <w:t>-</w:t>
    </w:r>
    <w:sdt>
      <w:sdtPr>
        <w:id w:val="2042624846"/>
        <w:docPartObj>
          <w:docPartGallery w:val="Page Numbers (Bottom of Page)"/>
          <w:docPartUnique/>
        </w:docPartObj>
      </w:sdtPr>
      <w:sdtContent>
        <w:r w:rsidRPr="007D63AD">
          <w:fldChar w:fldCharType="begin"/>
        </w:r>
        <w:r w:rsidRPr="007D63AD">
          <w:instrText xml:space="preserve"> PAGE   \* MERGEFORMAT </w:instrText>
        </w:r>
        <w:r w:rsidRPr="007D63AD">
          <w:fldChar w:fldCharType="separate"/>
        </w:r>
        <w:r w:rsidR="00DD4F39">
          <w:rPr>
            <w:noProof/>
          </w:rPr>
          <w:t>6</w:t>
        </w:r>
        <w:r w:rsidRPr="007D63AD">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3AD" w:rsidRPr="00296DEF" w:rsidP="00296DEF" w14:paraId="2FF5A14D" w14:textId="24C624FE">
    <w:pPr>
      <w:pStyle w:val="Footer"/>
    </w:pPr>
    <w:r>
      <w:t>D</w:t>
    </w:r>
    <w:r w:rsidRPr="00296DEF">
      <w:t>-</w:t>
    </w:r>
    <w:sdt>
      <w:sdtPr>
        <w:id w:val="996934180"/>
        <w:docPartObj>
          <w:docPartGallery w:val="Page Numbers (Bottom of Page)"/>
          <w:docPartUnique/>
        </w:docPartObj>
      </w:sdtPr>
      <w:sdtContent>
        <w:r w:rsidRPr="00296DEF">
          <w:fldChar w:fldCharType="begin"/>
        </w:r>
        <w:r w:rsidRPr="00296DEF">
          <w:instrText xml:space="preserve"> PAGE   \* MERGEFORMAT </w:instrText>
        </w:r>
        <w:r w:rsidRPr="00296DEF">
          <w:fldChar w:fldCharType="separate"/>
        </w:r>
        <w:r w:rsidR="00DD4F39">
          <w:rPr>
            <w:noProof/>
          </w:rPr>
          <w:t>2</w:t>
        </w:r>
        <w:r w:rsidRPr="00296DEF">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80D7A"/>
    <w:multiLevelType w:val="hybridMultilevel"/>
    <w:tmpl w:val="413CF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184F21"/>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8EA58DE"/>
    <w:multiLevelType w:val="hybridMultilevel"/>
    <w:tmpl w:val="22CA1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BA6E32"/>
    <w:multiLevelType w:val="hybridMultilevel"/>
    <w:tmpl w:val="82E864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245957"/>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D1394E"/>
    <w:multiLevelType w:val="hybridMultilevel"/>
    <w:tmpl w:val="459E4890"/>
    <w:lvl w:ilvl="0">
      <w:start w:val="3"/>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41F64CEA"/>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4BD5ACD"/>
    <w:multiLevelType w:val="hybridMultilevel"/>
    <w:tmpl w:val="FBE4E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134CAA"/>
    <w:multiLevelType w:val="hybridMultilevel"/>
    <w:tmpl w:val="D7F6A488"/>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9">
    <w:nsid w:val="48F23D71"/>
    <w:multiLevelType w:val="hybridMultilevel"/>
    <w:tmpl w:val="90046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5B7C1C"/>
    <w:multiLevelType w:val="hybridMultilevel"/>
    <w:tmpl w:val="FBB6F936"/>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4C5EC0"/>
    <w:multiLevelType w:val="hybridMultilevel"/>
    <w:tmpl w:val="024EE39E"/>
    <w:lvl w:ilvl="0">
      <w:start w:val="3"/>
      <w:numFmt w:val="bullet"/>
      <w:lvlText w:val="-"/>
      <w:lvlJc w:val="left"/>
      <w:pPr>
        <w:ind w:left="720" w:hanging="360"/>
      </w:pPr>
      <w:rPr>
        <w:rFonts w:ascii="Garamond" w:eastAsia="Times" w:hAnsi="Garamond"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755E16"/>
    <w:multiLevelType w:val="hybridMultilevel"/>
    <w:tmpl w:val="35101E9E"/>
    <w:lvl w:ilvl="0">
      <w:start w:val="13"/>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5752DA2"/>
    <w:multiLevelType w:val="hybridMultilevel"/>
    <w:tmpl w:val="B25A9AD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592655C9"/>
    <w:multiLevelType w:val="hybridMultilevel"/>
    <w:tmpl w:val="A880CE52"/>
    <w:lvl w:ilvl="0">
      <w:start w:val="2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587C93"/>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38918E0"/>
    <w:multiLevelType w:val="hybridMultilevel"/>
    <w:tmpl w:val="3DC2A1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3822AE"/>
    <w:multiLevelType w:val="multilevel"/>
    <w:tmpl w:val="022C9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0047536">
    <w:abstractNumId w:val="11"/>
  </w:num>
  <w:num w:numId="2" w16cid:durableId="1668366310">
    <w:abstractNumId w:val="9"/>
  </w:num>
  <w:num w:numId="3" w16cid:durableId="815072767">
    <w:abstractNumId w:val="15"/>
  </w:num>
  <w:num w:numId="4" w16cid:durableId="685375700">
    <w:abstractNumId w:val="0"/>
  </w:num>
  <w:num w:numId="5" w16cid:durableId="1396929382">
    <w:abstractNumId w:val="13"/>
  </w:num>
  <w:num w:numId="6" w16cid:durableId="1085418787">
    <w:abstractNumId w:val="1"/>
  </w:num>
  <w:num w:numId="7" w16cid:durableId="164439665">
    <w:abstractNumId w:val="17"/>
  </w:num>
  <w:num w:numId="8" w16cid:durableId="136529480">
    <w:abstractNumId w:val="6"/>
  </w:num>
  <w:num w:numId="9" w16cid:durableId="441733405">
    <w:abstractNumId w:val="14"/>
  </w:num>
  <w:num w:numId="10" w16cid:durableId="1838880005">
    <w:abstractNumId w:val="8"/>
  </w:num>
  <w:num w:numId="11" w16cid:durableId="642275684">
    <w:abstractNumId w:val="12"/>
  </w:num>
  <w:num w:numId="12" w16cid:durableId="1393433134">
    <w:abstractNumId w:val="2"/>
  </w:num>
  <w:num w:numId="13" w16cid:durableId="1800029772">
    <w:abstractNumId w:val="4"/>
  </w:num>
  <w:num w:numId="14" w16cid:durableId="1696883557">
    <w:abstractNumId w:val="7"/>
  </w:num>
  <w:num w:numId="15" w16cid:durableId="160121749">
    <w:abstractNumId w:val="10"/>
  </w:num>
  <w:num w:numId="16" w16cid:durableId="1516535246">
    <w:abstractNumId w:val="5"/>
  </w:num>
  <w:num w:numId="17" w16cid:durableId="1488522169">
    <w:abstractNumId w:val="3"/>
  </w:num>
  <w:num w:numId="18" w16cid:durableId="11727212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77"/>
    <w:rsid w:val="00001CD6"/>
    <w:rsid w:val="00003321"/>
    <w:rsid w:val="00007AD2"/>
    <w:rsid w:val="00007FB9"/>
    <w:rsid w:val="00011097"/>
    <w:rsid w:val="00013C88"/>
    <w:rsid w:val="000143B6"/>
    <w:rsid w:val="000145B7"/>
    <w:rsid w:val="0002053A"/>
    <w:rsid w:val="0002340C"/>
    <w:rsid w:val="00025ECB"/>
    <w:rsid w:val="00031C69"/>
    <w:rsid w:val="00032FF3"/>
    <w:rsid w:val="00037F54"/>
    <w:rsid w:val="00040CEC"/>
    <w:rsid w:val="00041A26"/>
    <w:rsid w:val="00046ABB"/>
    <w:rsid w:val="000508E1"/>
    <w:rsid w:val="00053734"/>
    <w:rsid w:val="00060020"/>
    <w:rsid w:val="00063F0A"/>
    <w:rsid w:val="0007004B"/>
    <w:rsid w:val="0007007A"/>
    <w:rsid w:val="000706FB"/>
    <w:rsid w:val="0007272C"/>
    <w:rsid w:val="00072F09"/>
    <w:rsid w:val="000805DB"/>
    <w:rsid w:val="0008126E"/>
    <w:rsid w:val="000900CD"/>
    <w:rsid w:val="00095B99"/>
    <w:rsid w:val="00097E58"/>
    <w:rsid w:val="000A123D"/>
    <w:rsid w:val="000A1285"/>
    <w:rsid w:val="000A5E70"/>
    <w:rsid w:val="000A684E"/>
    <w:rsid w:val="000B15C2"/>
    <w:rsid w:val="000B3D8E"/>
    <w:rsid w:val="000B3ED1"/>
    <w:rsid w:val="000B662E"/>
    <w:rsid w:val="000C015A"/>
    <w:rsid w:val="000C2DB8"/>
    <w:rsid w:val="000C33FA"/>
    <w:rsid w:val="000C3CE0"/>
    <w:rsid w:val="000C49A2"/>
    <w:rsid w:val="000C7BB6"/>
    <w:rsid w:val="000D1944"/>
    <w:rsid w:val="000D6E86"/>
    <w:rsid w:val="000E1596"/>
    <w:rsid w:val="000E258C"/>
    <w:rsid w:val="000F4F34"/>
    <w:rsid w:val="000F6EAA"/>
    <w:rsid w:val="00102052"/>
    <w:rsid w:val="00103E22"/>
    <w:rsid w:val="00107619"/>
    <w:rsid w:val="00111FC4"/>
    <w:rsid w:val="001162B3"/>
    <w:rsid w:val="00122355"/>
    <w:rsid w:val="00122675"/>
    <w:rsid w:val="00122DCE"/>
    <w:rsid w:val="00124D2C"/>
    <w:rsid w:val="00125153"/>
    <w:rsid w:val="00126778"/>
    <w:rsid w:val="00126A82"/>
    <w:rsid w:val="00127AB2"/>
    <w:rsid w:val="00130FE2"/>
    <w:rsid w:val="00131A2F"/>
    <w:rsid w:val="00132590"/>
    <w:rsid w:val="001333A9"/>
    <w:rsid w:val="00135968"/>
    <w:rsid w:val="00136309"/>
    <w:rsid w:val="00142FDA"/>
    <w:rsid w:val="001448F2"/>
    <w:rsid w:val="00147248"/>
    <w:rsid w:val="001503DB"/>
    <w:rsid w:val="001505DE"/>
    <w:rsid w:val="0015139D"/>
    <w:rsid w:val="001522C3"/>
    <w:rsid w:val="00156531"/>
    <w:rsid w:val="00157007"/>
    <w:rsid w:val="00157595"/>
    <w:rsid w:val="00161299"/>
    <w:rsid w:val="0016440F"/>
    <w:rsid w:val="001645DD"/>
    <w:rsid w:val="00167322"/>
    <w:rsid w:val="00173724"/>
    <w:rsid w:val="001739BD"/>
    <w:rsid w:val="00182F7C"/>
    <w:rsid w:val="00184580"/>
    <w:rsid w:val="001855CC"/>
    <w:rsid w:val="001860F1"/>
    <w:rsid w:val="00187FDF"/>
    <w:rsid w:val="00191507"/>
    <w:rsid w:val="0019347E"/>
    <w:rsid w:val="00193D14"/>
    <w:rsid w:val="001A01CC"/>
    <w:rsid w:val="001A2FC2"/>
    <w:rsid w:val="001A3B89"/>
    <w:rsid w:val="001A580B"/>
    <w:rsid w:val="001A6AA4"/>
    <w:rsid w:val="001A7BE9"/>
    <w:rsid w:val="001B1800"/>
    <w:rsid w:val="001B3850"/>
    <w:rsid w:val="001B6C53"/>
    <w:rsid w:val="001C1F8D"/>
    <w:rsid w:val="001C2205"/>
    <w:rsid w:val="001C6984"/>
    <w:rsid w:val="001C6AF5"/>
    <w:rsid w:val="001D32C1"/>
    <w:rsid w:val="001D37DC"/>
    <w:rsid w:val="001D3BB9"/>
    <w:rsid w:val="001D6888"/>
    <w:rsid w:val="001D7A6C"/>
    <w:rsid w:val="001D7EF9"/>
    <w:rsid w:val="001E308B"/>
    <w:rsid w:val="001E5A09"/>
    <w:rsid w:val="001E6E53"/>
    <w:rsid w:val="001E7FAB"/>
    <w:rsid w:val="001F2BA9"/>
    <w:rsid w:val="001F33BD"/>
    <w:rsid w:val="001F4729"/>
    <w:rsid w:val="001F6597"/>
    <w:rsid w:val="00200AED"/>
    <w:rsid w:val="00204ED7"/>
    <w:rsid w:val="00207E61"/>
    <w:rsid w:val="00207F5F"/>
    <w:rsid w:val="002139BB"/>
    <w:rsid w:val="00213B28"/>
    <w:rsid w:val="0021411C"/>
    <w:rsid w:val="002154D0"/>
    <w:rsid w:val="00216772"/>
    <w:rsid w:val="00217417"/>
    <w:rsid w:val="0023285A"/>
    <w:rsid w:val="00235CC1"/>
    <w:rsid w:val="00236751"/>
    <w:rsid w:val="0025355C"/>
    <w:rsid w:val="00254209"/>
    <w:rsid w:val="00256C73"/>
    <w:rsid w:val="002578D1"/>
    <w:rsid w:val="00257FD9"/>
    <w:rsid w:val="002604B0"/>
    <w:rsid w:val="00260C10"/>
    <w:rsid w:val="00263C6E"/>
    <w:rsid w:val="00267008"/>
    <w:rsid w:val="002703E6"/>
    <w:rsid w:val="002703EF"/>
    <w:rsid w:val="00270846"/>
    <w:rsid w:val="00271E2B"/>
    <w:rsid w:val="00277CB7"/>
    <w:rsid w:val="0027D89C"/>
    <w:rsid w:val="002813A0"/>
    <w:rsid w:val="002815D0"/>
    <w:rsid w:val="00284AF3"/>
    <w:rsid w:val="002854D2"/>
    <w:rsid w:val="002870EB"/>
    <w:rsid w:val="00287221"/>
    <w:rsid w:val="00290AF5"/>
    <w:rsid w:val="00292F9F"/>
    <w:rsid w:val="00295361"/>
    <w:rsid w:val="002957BA"/>
    <w:rsid w:val="002964E3"/>
    <w:rsid w:val="00296BE3"/>
    <w:rsid w:val="00296D6D"/>
    <w:rsid w:val="00296DEF"/>
    <w:rsid w:val="002A6924"/>
    <w:rsid w:val="002A7E84"/>
    <w:rsid w:val="002B072A"/>
    <w:rsid w:val="002B168C"/>
    <w:rsid w:val="002B64E1"/>
    <w:rsid w:val="002C1FE0"/>
    <w:rsid w:val="002C2D63"/>
    <w:rsid w:val="002C2FBC"/>
    <w:rsid w:val="002C443D"/>
    <w:rsid w:val="002C75CA"/>
    <w:rsid w:val="002C7DE4"/>
    <w:rsid w:val="002D0081"/>
    <w:rsid w:val="002D24DE"/>
    <w:rsid w:val="002D36E5"/>
    <w:rsid w:val="002D66D2"/>
    <w:rsid w:val="002D68A0"/>
    <w:rsid w:val="002E34C1"/>
    <w:rsid w:val="002E57C5"/>
    <w:rsid w:val="002F0C72"/>
    <w:rsid w:val="002F0EAE"/>
    <w:rsid w:val="002F3343"/>
    <w:rsid w:val="002F6A77"/>
    <w:rsid w:val="00301AAF"/>
    <w:rsid w:val="00302283"/>
    <w:rsid w:val="0030427B"/>
    <w:rsid w:val="00310731"/>
    <w:rsid w:val="00315C2E"/>
    <w:rsid w:val="00325990"/>
    <w:rsid w:val="00326415"/>
    <w:rsid w:val="0032758A"/>
    <w:rsid w:val="00327975"/>
    <w:rsid w:val="00330775"/>
    <w:rsid w:val="00330CBF"/>
    <w:rsid w:val="003318F9"/>
    <w:rsid w:val="00333EAF"/>
    <w:rsid w:val="00334B1E"/>
    <w:rsid w:val="0034474C"/>
    <w:rsid w:val="0034763F"/>
    <w:rsid w:val="0035428B"/>
    <w:rsid w:val="00355EEB"/>
    <w:rsid w:val="00361ADD"/>
    <w:rsid w:val="0036271B"/>
    <w:rsid w:val="0036292F"/>
    <w:rsid w:val="00363BC6"/>
    <w:rsid w:val="00370A9A"/>
    <w:rsid w:val="00376223"/>
    <w:rsid w:val="00380FC8"/>
    <w:rsid w:val="00382BA4"/>
    <w:rsid w:val="0038405F"/>
    <w:rsid w:val="00385578"/>
    <w:rsid w:val="00391A80"/>
    <w:rsid w:val="00397ED4"/>
    <w:rsid w:val="003A107A"/>
    <w:rsid w:val="003A1546"/>
    <w:rsid w:val="003A26FC"/>
    <w:rsid w:val="003B1D1A"/>
    <w:rsid w:val="003B2B6D"/>
    <w:rsid w:val="003B58C0"/>
    <w:rsid w:val="003C3E00"/>
    <w:rsid w:val="003C6038"/>
    <w:rsid w:val="003C7F5E"/>
    <w:rsid w:val="003D28B5"/>
    <w:rsid w:val="003D5F0B"/>
    <w:rsid w:val="003D65B6"/>
    <w:rsid w:val="003E3816"/>
    <w:rsid w:val="003E6EA4"/>
    <w:rsid w:val="003F0B82"/>
    <w:rsid w:val="003F37CF"/>
    <w:rsid w:val="00404BE6"/>
    <w:rsid w:val="004050F7"/>
    <w:rsid w:val="00407F4A"/>
    <w:rsid w:val="004115FC"/>
    <w:rsid w:val="00412F09"/>
    <w:rsid w:val="0042225D"/>
    <w:rsid w:val="00422DCD"/>
    <w:rsid w:val="00423162"/>
    <w:rsid w:val="004255F1"/>
    <w:rsid w:val="004264B3"/>
    <w:rsid w:val="0043115D"/>
    <w:rsid w:val="00435C47"/>
    <w:rsid w:val="00437BC2"/>
    <w:rsid w:val="00443EB4"/>
    <w:rsid w:val="00446BE1"/>
    <w:rsid w:val="004529FE"/>
    <w:rsid w:val="00456CD3"/>
    <w:rsid w:val="00460C52"/>
    <w:rsid w:val="004652A1"/>
    <w:rsid w:val="004663D4"/>
    <w:rsid w:val="00467437"/>
    <w:rsid w:val="00467482"/>
    <w:rsid w:val="0047234C"/>
    <w:rsid w:val="0048114F"/>
    <w:rsid w:val="00484B9F"/>
    <w:rsid w:val="00485450"/>
    <w:rsid w:val="004903E6"/>
    <w:rsid w:val="004912E2"/>
    <w:rsid w:val="004942E4"/>
    <w:rsid w:val="004A009B"/>
    <w:rsid w:val="004A6D0D"/>
    <w:rsid w:val="004B3218"/>
    <w:rsid w:val="004B3359"/>
    <w:rsid w:val="004B42F4"/>
    <w:rsid w:val="004B43FF"/>
    <w:rsid w:val="004B5E55"/>
    <w:rsid w:val="004B71AA"/>
    <w:rsid w:val="004C0C8D"/>
    <w:rsid w:val="004C47D8"/>
    <w:rsid w:val="004D0ADF"/>
    <w:rsid w:val="004D597E"/>
    <w:rsid w:val="004D5FB0"/>
    <w:rsid w:val="004E2C23"/>
    <w:rsid w:val="004E4E9A"/>
    <w:rsid w:val="004E5F7B"/>
    <w:rsid w:val="004F0B9F"/>
    <w:rsid w:val="004F4059"/>
    <w:rsid w:val="004F4252"/>
    <w:rsid w:val="004F6E4F"/>
    <w:rsid w:val="00501675"/>
    <w:rsid w:val="00505CBB"/>
    <w:rsid w:val="005062F6"/>
    <w:rsid w:val="00506921"/>
    <w:rsid w:val="0051116C"/>
    <w:rsid w:val="00512F8C"/>
    <w:rsid w:val="00513406"/>
    <w:rsid w:val="00515838"/>
    <w:rsid w:val="00515921"/>
    <w:rsid w:val="00515AA9"/>
    <w:rsid w:val="0051664E"/>
    <w:rsid w:val="00516F40"/>
    <w:rsid w:val="0051754D"/>
    <w:rsid w:val="00527A33"/>
    <w:rsid w:val="00532DF3"/>
    <w:rsid w:val="0053414B"/>
    <w:rsid w:val="0053453C"/>
    <w:rsid w:val="00537D6A"/>
    <w:rsid w:val="00540D14"/>
    <w:rsid w:val="00541B16"/>
    <w:rsid w:val="005440C4"/>
    <w:rsid w:val="00547761"/>
    <w:rsid w:val="00547F2C"/>
    <w:rsid w:val="005527C9"/>
    <w:rsid w:val="00554803"/>
    <w:rsid w:val="00565EA0"/>
    <w:rsid w:val="0057423F"/>
    <w:rsid w:val="00574A8B"/>
    <w:rsid w:val="00575328"/>
    <w:rsid w:val="0057662A"/>
    <w:rsid w:val="0057771D"/>
    <w:rsid w:val="00577CF3"/>
    <w:rsid w:val="00577F86"/>
    <w:rsid w:val="00583219"/>
    <w:rsid w:val="005844D6"/>
    <w:rsid w:val="00584A42"/>
    <w:rsid w:val="00587796"/>
    <w:rsid w:val="00594ABD"/>
    <w:rsid w:val="005A0209"/>
    <w:rsid w:val="005A0F0B"/>
    <w:rsid w:val="005A1737"/>
    <w:rsid w:val="005A1D54"/>
    <w:rsid w:val="005A24C8"/>
    <w:rsid w:val="005A48AD"/>
    <w:rsid w:val="005A59B7"/>
    <w:rsid w:val="005B05D4"/>
    <w:rsid w:val="005B30DD"/>
    <w:rsid w:val="005B3A0D"/>
    <w:rsid w:val="005C00BA"/>
    <w:rsid w:val="005C1BF2"/>
    <w:rsid w:val="005C471D"/>
    <w:rsid w:val="005C577F"/>
    <w:rsid w:val="005C6A69"/>
    <w:rsid w:val="005D0186"/>
    <w:rsid w:val="005D23C4"/>
    <w:rsid w:val="005E324F"/>
    <w:rsid w:val="005E470F"/>
    <w:rsid w:val="005E7A64"/>
    <w:rsid w:val="005F3587"/>
    <w:rsid w:val="005F38A9"/>
    <w:rsid w:val="005F42BA"/>
    <w:rsid w:val="005F514A"/>
    <w:rsid w:val="005F5ED6"/>
    <w:rsid w:val="00600488"/>
    <w:rsid w:val="00601B2B"/>
    <w:rsid w:val="00602AFB"/>
    <w:rsid w:val="00602DC9"/>
    <w:rsid w:val="006064A2"/>
    <w:rsid w:val="00607516"/>
    <w:rsid w:val="006100EC"/>
    <w:rsid w:val="00610D7F"/>
    <w:rsid w:val="00611513"/>
    <w:rsid w:val="00612769"/>
    <w:rsid w:val="00616C0A"/>
    <w:rsid w:val="00617185"/>
    <w:rsid w:val="00625B5D"/>
    <w:rsid w:val="006269D6"/>
    <w:rsid w:val="00626B3C"/>
    <w:rsid w:val="0062713F"/>
    <w:rsid w:val="00631557"/>
    <w:rsid w:val="00631DCA"/>
    <w:rsid w:val="006335C8"/>
    <w:rsid w:val="0063683B"/>
    <w:rsid w:val="00641E79"/>
    <w:rsid w:val="006440D4"/>
    <w:rsid w:val="00644805"/>
    <w:rsid w:val="0064576C"/>
    <w:rsid w:val="006505B1"/>
    <w:rsid w:val="00651B54"/>
    <w:rsid w:val="006554FD"/>
    <w:rsid w:val="0065582B"/>
    <w:rsid w:val="00656480"/>
    <w:rsid w:val="00667CEB"/>
    <w:rsid w:val="00670CAF"/>
    <w:rsid w:val="0067198F"/>
    <w:rsid w:val="00671FF2"/>
    <w:rsid w:val="00673B6A"/>
    <w:rsid w:val="00675986"/>
    <w:rsid w:val="0068402F"/>
    <w:rsid w:val="00684853"/>
    <w:rsid w:val="00693E0F"/>
    <w:rsid w:val="00695204"/>
    <w:rsid w:val="006963C4"/>
    <w:rsid w:val="006978AF"/>
    <w:rsid w:val="006A0636"/>
    <w:rsid w:val="006A1D76"/>
    <w:rsid w:val="006A44FE"/>
    <w:rsid w:val="006A5B49"/>
    <w:rsid w:val="006A67FD"/>
    <w:rsid w:val="006B34F8"/>
    <w:rsid w:val="006B359D"/>
    <w:rsid w:val="006B3955"/>
    <w:rsid w:val="006B44D2"/>
    <w:rsid w:val="006C45C7"/>
    <w:rsid w:val="006C5227"/>
    <w:rsid w:val="006C5275"/>
    <w:rsid w:val="006C65D0"/>
    <w:rsid w:val="006C708B"/>
    <w:rsid w:val="006C7A3A"/>
    <w:rsid w:val="006C7FC3"/>
    <w:rsid w:val="006D112F"/>
    <w:rsid w:val="006D2E53"/>
    <w:rsid w:val="006D3A1C"/>
    <w:rsid w:val="006D52A6"/>
    <w:rsid w:val="006D758D"/>
    <w:rsid w:val="006D7C2D"/>
    <w:rsid w:val="006E0E31"/>
    <w:rsid w:val="006E1DF2"/>
    <w:rsid w:val="006E53EC"/>
    <w:rsid w:val="006F1C28"/>
    <w:rsid w:val="006F36B1"/>
    <w:rsid w:val="006F38E7"/>
    <w:rsid w:val="006F52EF"/>
    <w:rsid w:val="00705890"/>
    <w:rsid w:val="0071212B"/>
    <w:rsid w:val="00714C8B"/>
    <w:rsid w:val="00715CF7"/>
    <w:rsid w:val="00721636"/>
    <w:rsid w:val="007269D7"/>
    <w:rsid w:val="0072715A"/>
    <w:rsid w:val="00730EF6"/>
    <w:rsid w:val="007315E2"/>
    <w:rsid w:val="00732505"/>
    <w:rsid w:val="007352F7"/>
    <w:rsid w:val="00740201"/>
    <w:rsid w:val="00743A09"/>
    <w:rsid w:val="00743D49"/>
    <w:rsid w:val="00745AB4"/>
    <w:rsid w:val="00756349"/>
    <w:rsid w:val="007710E9"/>
    <w:rsid w:val="007726CB"/>
    <w:rsid w:val="00774313"/>
    <w:rsid w:val="00774C83"/>
    <w:rsid w:val="007752E4"/>
    <w:rsid w:val="00777CE3"/>
    <w:rsid w:val="00780458"/>
    <w:rsid w:val="00780976"/>
    <w:rsid w:val="00781BC9"/>
    <w:rsid w:val="00784064"/>
    <w:rsid w:val="00790427"/>
    <w:rsid w:val="00791C05"/>
    <w:rsid w:val="00794694"/>
    <w:rsid w:val="0079505F"/>
    <w:rsid w:val="007A15C5"/>
    <w:rsid w:val="007B1B71"/>
    <w:rsid w:val="007B5003"/>
    <w:rsid w:val="007C1DEB"/>
    <w:rsid w:val="007C6AF4"/>
    <w:rsid w:val="007D0BEF"/>
    <w:rsid w:val="007D1EA9"/>
    <w:rsid w:val="007D1F39"/>
    <w:rsid w:val="007D2070"/>
    <w:rsid w:val="007D2A4D"/>
    <w:rsid w:val="007D3620"/>
    <w:rsid w:val="007D4381"/>
    <w:rsid w:val="007D47BE"/>
    <w:rsid w:val="007D5A24"/>
    <w:rsid w:val="007D63AD"/>
    <w:rsid w:val="007D6562"/>
    <w:rsid w:val="007D75DC"/>
    <w:rsid w:val="007E0673"/>
    <w:rsid w:val="007E0D74"/>
    <w:rsid w:val="007E1196"/>
    <w:rsid w:val="007E305C"/>
    <w:rsid w:val="007E49D1"/>
    <w:rsid w:val="007F45DE"/>
    <w:rsid w:val="007F7F9C"/>
    <w:rsid w:val="00804C1E"/>
    <w:rsid w:val="008056D8"/>
    <w:rsid w:val="00805B7F"/>
    <w:rsid w:val="00805FE7"/>
    <w:rsid w:val="0081158E"/>
    <w:rsid w:val="0081182C"/>
    <w:rsid w:val="00813277"/>
    <w:rsid w:val="0081428E"/>
    <w:rsid w:val="00816302"/>
    <w:rsid w:val="00820468"/>
    <w:rsid w:val="00820BA3"/>
    <w:rsid w:val="00821F4C"/>
    <w:rsid w:val="00824802"/>
    <w:rsid w:val="008272C6"/>
    <w:rsid w:val="00832DA5"/>
    <w:rsid w:val="00834995"/>
    <w:rsid w:val="008349A3"/>
    <w:rsid w:val="0083591E"/>
    <w:rsid w:val="008369BA"/>
    <w:rsid w:val="008378AE"/>
    <w:rsid w:val="00840486"/>
    <w:rsid w:val="008405C2"/>
    <w:rsid w:val="008430EE"/>
    <w:rsid w:val="0084385D"/>
    <w:rsid w:val="00847A02"/>
    <w:rsid w:val="00847F55"/>
    <w:rsid w:val="00852017"/>
    <w:rsid w:val="0085277B"/>
    <w:rsid w:val="008538A7"/>
    <w:rsid w:val="008559FB"/>
    <w:rsid w:val="00855B5B"/>
    <w:rsid w:val="00856B4C"/>
    <w:rsid w:val="00861D11"/>
    <w:rsid w:val="00863A3F"/>
    <w:rsid w:val="008655AE"/>
    <w:rsid w:val="00872A5A"/>
    <w:rsid w:val="00875A86"/>
    <w:rsid w:val="00880635"/>
    <w:rsid w:val="008809ED"/>
    <w:rsid w:val="00883C23"/>
    <w:rsid w:val="008851BE"/>
    <w:rsid w:val="00891902"/>
    <w:rsid w:val="00894CDD"/>
    <w:rsid w:val="0089586F"/>
    <w:rsid w:val="008A24E9"/>
    <w:rsid w:val="008B3481"/>
    <w:rsid w:val="008B4DE2"/>
    <w:rsid w:val="008C003B"/>
    <w:rsid w:val="008C0238"/>
    <w:rsid w:val="008C0250"/>
    <w:rsid w:val="008C0CFE"/>
    <w:rsid w:val="008C49CB"/>
    <w:rsid w:val="008C654F"/>
    <w:rsid w:val="008C6A90"/>
    <w:rsid w:val="008D2198"/>
    <w:rsid w:val="008D2F47"/>
    <w:rsid w:val="008D5E94"/>
    <w:rsid w:val="008D7FD6"/>
    <w:rsid w:val="008E0CD3"/>
    <w:rsid w:val="008E22E7"/>
    <w:rsid w:val="008E371C"/>
    <w:rsid w:val="008E4B0A"/>
    <w:rsid w:val="008E6671"/>
    <w:rsid w:val="008F1616"/>
    <w:rsid w:val="008F63D1"/>
    <w:rsid w:val="009046DB"/>
    <w:rsid w:val="009051BA"/>
    <w:rsid w:val="009069D3"/>
    <w:rsid w:val="00907F2B"/>
    <w:rsid w:val="00907FE3"/>
    <w:rsid w:val="00913BF2"/>
    <w:rsid w:val="00914495"/>
    <w:rsid w:val="009169F0"/>
    <w:rsid w:val="00920F94"/>
    <w:rsid w:val="00921CCD"/>
    <w:rsid w:val="00921E99"/>
    <w:rsid w:val="009221B4"/>
    <w:rsid w:val="00922FAF"/>
    <w:rsid w:val="0092468E"/>
    <w:rsid w:val="009249F7"/>
    <w:rsid w:val="00926184"/>
    <w:rsid w:val="00927376"/>
    <w:rsid w:val="00930126"/>
    <w:rsid w:val="00930AC4"/>
    <w:rsid w:val="009340EE"/>
    <w:rsid w:val="00937075"/>
    <w:rsid w:val="009453E7"/>
    <w:rsid w:val="00945B40"/>
    <w:rsid w:val="00946AAD"/>
    <w:rsid w:val="00950D3F"/>
    <w:rsid w:val="0095755C"/>
    <w:rsid w:val="009616FD"/>
    <w:rsid w:val="009617F5"/>
    <w:rsid w:val="00970AED"/>
    <w:rsid w:val="00971A55"/>
    <w:rsid w:val="009745BD"/>
    <w:rsid w:val="00975CBE"/>
    <w:rsid w:val="00980032"/>
    <w:rsid w:val="00983E1E"/>
    <w:rsid w:val="00986F52"/>
    <w:rsid w:val="009923BC"/>
    <w:rsid w:val="009A22ED"/>
    <w:rsid w:val="009A29B5"/>
    <w:rsid w:val="009A36F8"/>
    <w:rsid w:val="009A772C"/>
    <w:rsid w:val="009B0D46"/>
    <w:rsid w:val="009B5E0B"/>
    <w:rsid w:val="009B6118"/>
    <w:rsid w:val="009C4D47"/>
    <w:rsid w:val="009C4D88"/>
    <w:rsid w:val="009D259B"/>
    <w:rsid w:val="009D5F3E"/>
    <w:rsid w:val="009D7A35"/>
    <w:rsid w:val="009E56C6"/>
    <w:rsid w:val="009E5C48"/>
    <w:rsid w:val="009E5E00"/>
    <w:rsid w:val="009F1753"/>
    <w:rsid w:val="009F2ACB"/>
    <w:rsid w:val="009F4E31"/>
    <w:rsid w:val="009F5607"/>
    <w:rsid w:val="00A03424"/>
    <w:rsid w:val="00A043B4"/>
    <w:rsid w:val="00A05033"/>
    <w:rsid w:val="00A2064B"/>
    <w:rsid w:val="00A21CAA"/>
    <w:rsid w:val="00A3046F"/>
    <w:rsid w:val="00A31DD7"/>
    <w:rsid w:val="00A3593F"/>
    <w:rsid w:val="00A408D3"/>
    <w:rsid w:val="00A41CF2"/>
    <w:rsid w:val="00A43A21"/>
    <w:rsid w:val="00A4636D"/>
    <w:rsid w:val="00A47CDD"/>
    <w:rsid w:val="00A5153C"/>
    <w:rsid w:val="00A53A4D"/>
    <w:rsid w:val="00A53BF1"/>
    <w:rsid w:val="00A56880"/>
    <w:rsid w:val="00A57A77"/>
    <w:rsid w:val="00A616D9"/>
    <w:rsid w:val="00A625A3"/>
    <w:rsid w:val="00A67DA2"/>
    <w:rsid w:val="00A71005"/>
    <w:rsid w:val="00A72D33"/>
    <w:rsid w:val="00A73E9A"/>
    <w:rsid w:val="00A75BC6"/>
    <w:rsid w:val="00A76C69"/>
    <w:rsid w:val="00A77067"/>
    <w:rsid w:val="00A81FFC"/>
    <w:rsid w:val="00A82284"/>
    <w:rsid w:val="00A84140"/>
    <w:rsid w:val="00A87996"/>
    <w:rsid w:val="00AA342C"/>
    <w:rsid w:val="00AA3588"/>
    <w:rsid w:val="00AA5BB9"/>
    <w:rsid w:val="00AB2198"/>
    <w:rsid w:val="00AB42C0"/>
    <w:rsid w:val="00AC1BDF"/>
    <w:rsid w:val="00AC28FE"/>
    <w:rsid w:val="00AC5F5B"/>
    <w:rsid w:val="00AC7A84"/>
    <w:rsid w:val="00AD1297"/>
    <w:rsid w:val="00AD2EB7"/>
    <w:rsid w:val="00AD3427"/>
    <w:rsid w:val="00AD3CAF"/>
    <w:rsid w:val="00AD45C4"/>
    <w:rsid w:val="00AE50A7"/>
    <w:rsid w:val="00AE7864"/>
    <w:rsid w:val="00AF27A9"/>
    <w:rsid w:val="00AF3179"/>
    <w:rsid w:val="00AF6F32"/>
    <w:rsid w:val="00B0339B"/>
    <w:rsid w:val="00B04F37"/>
    <w:rsid w:val="00B1408B"/>
    <w:rsid w:val="00B2029F"/>
    <w:rsid w:val="00B20B64"/>
    <w:rsid w:val="00B23A0F"/>
    <w:rsid w:val="00B23C68"/>
    <w:rsid w:val="00B261BF"/>
    <w:rsid w:val="00B31B43"/>
    <w:rsid w:val="00B323E5"/>
    <w:rsid w:val="00B33FDA"/>
    <w:rsid w:val="00B36828"/>
    <w:rsid w:val="00B37826"/>
    <w:rsid w:val="00B42E4C"/>
    <w:rsid w:val="00B43792"/>
    <w:rsid w:val="00B4396E"/>
    <w:rsid w:val="00B47E98"/>
    <w:rsid w:val="00B5781B"/>
    <w:rsid w:val="00B616A6"/>
    <w:rsid w:val="00B61E07"/>
    <w:rsid w:val="00B62187"/>
    <w:rsid w:val="00B62791"/>
    <w:rsid w:val="00B70018"/>
    <w:rsid w:val="00B70B41"/>
    <w:rsid w:val="00B71E8A"/>
    <w:rsid w:val="00B731AA"/>
    <w:rsid w:val="00B73702"/>
    <w:rsid w:val="00B74B83"/>
    <w:rsid w:val="00B75DE1"/>
    <w:rsid w:val="00B763DB"/>
    <w:rsid w:val="00B76A6F"/>
    <w:rsid w:val="00B803AB"/>
    <w:rsid w:val="00B877FF"/>
    <w:rsid w:val="00B9041B"/>
    <w:rsid w:val="00B91645"/>
    <w:rsid w:val="00B91A4E"/>
    <w:rsid w:val="00B948C2"/>
    <w:rsid w:val="00B972DB"/>
    <w:rsid w:val="00BA0840"/>
    <w:rsid w:val="00BA19B7"/>
    <w:rsid w:val="00BA2527"/>
    <w:rsid w:val="00BB1EBB"/>
    <w:rsid w:val="00BB2D13"/>
    <w:rsid w:val="00BB52D3"/>
    <w:rsid w:val="00BB623B"/>
    <w:rsid w:val="00BC164F"/>
    <w:rsid w:val="00BC2541"/>
    <w:rsid w:val="00BC408E"/>
    <w:rsid w:val="00BC4223"/>
    <w:rsid w:val="00BC4E64"/>
    <w:rsid w:val="00BC7C42"/>
    <w:rsid w:val="00BD1A4A"/>
    <w:rsid w:val="00BD44DF"/>
    <w:rsid w:val="00BD6411"/>
    <w:rsid w:val="00BE13AD"/>
    <w:rsid w:val="00BE7594"/>
    <w:rsid w:val="00BF0FA4"/>
    <w:rsid w:val="00C00810"/>
    <w:rsid w:val="00C015B8"/>
    <w:rsid w:val="00C01801"/>
    <w:rsid w:val="00C048BD"/>
    <w:rsid w:val="00C04E60"/>
    <w:rsid w:val="00C0563A"/>
    <w:rsid w:val="00C05E34"/>
    <w:rsid w:val="00C06A53"/>
    <w:rsid w:val="00C07D76"/>
    <w:rsid w:val="00C12125"/>
    <w:rsid w:val="00C157B6"/>
    <w:rsid w:val="00C16BF9"/>
    <w:rsid w:val="00C2427D"/>
    <w:rsid w:val="00C24D3B"/>
    <w:rsid w:val="00C34956"/>
    <w:rsid w:val="00C35A07"/>
    <w:rsid w:val="00C35ACB"/>
    <w:rsid w:val="00C35B2E"/>
    <w:rsid w:val="00C411E7"/>
    <w:rsid w:val="00C4267A"/>
    <w:rsid w:val="00C43369"/>
    <w:rsid w:val="00C44CDC"/>
    <w:rsid w:val="00C52302"/>
    <w:rsid w:val="00C547B6"/>
    <w:rsid w:val="00C651E1"/>
    <w:rsid w:val="00C70009"/>
    <w:rsid w:val="00C700E2"/>
    <w:rsid w:val="00C71B12"/>
    <w:rsid w:val="00C75CE5"/>
    <w:rsid w:val="00C84326"/>
    <w:rsid w:val="00C85E22"/>
    <w:rsid w:val="00C874BB"/>
    <w:rsid w:val="00C87B77"/>
    <w:rsid w:val="00C900B5"/>
    <w:rsid w:val="00C91EDC"/>
    <w:rsid w:val="00C91F71"/>
    <w:rsid w:val="00C973AB"/>
    <w:rsid w:val="00CA06D3"/>
    <w:rsid w:val="00CA1BE8"/>
    <w:rsid w:val="00CA2C18"/>
    <w:rsid w:val="00CA2DD0"/>
    <w:rsid w:val="00CB0839"/>
    <w:rsid w:val="00CB1E95"/>
    <w:rsid w:val="00CB206A"/>
    <w:rsid w:val="00CB3B18"/>
    <w:rsid w:val="00CB3E9E"/>
    <w:rsid w:val="00CC0C02"/>
    <w:rsid w:val="00CC3EE0"/>
    <w:rsid w:val="00CC6977"/>
    <w:rsid w:val="00CD167A"/>
    <w:rsid w:val="00CD2E3D"/>
    <w:rsid w:val="00CD4A65"/>
    <w:rsid w:val="00CD5943"/>
    <w:rsid w:val="00CD5FE8"/>
    <w:rsid w:val="00CD7B2A"/>
    <w:rsid w:val="00CD7F37"/>
    <w:rsid w:val="00CE039F"/>
    <w:rsid w:val="00CF0036"/>
    <w:rsid w:val="00CF0EE6"/>
    <w:rsid w:val="00CF3F35"/>
    <w:rsid w:val="00CF60AD"/>
    <w:rsid w:val="00CF671F"/>
    <w:rsid w:val="00CF766D"/>
    <w:rsid w:val="00D033BA"/>
    <w:rsid w:val="00D07EF0"/>
    <w:rsid w:val="00D144BA"/>
    <w:rsid w:val="00D26F0A"/>
    <w:rsid w:val="00D27C50"/>
    <w:rsid w:val="00D33655"/>
    <w:rsid w:val="00D35CDF"/>
    <w:rsid w:val="00D364FA"/>
    <w:rsid w:val="00D37609"/>
    <w:rsid w:val="00D416C4"/>
    <w:rsid w:val="00D443C4"/>
    <w:rsid w:val="00D50641"/>
    <w:rsid w:val="00D53A33"/>
    <w:rsid w:val="00D548A0"/>
    <w:rsid w:val="00D5758C"/>
    <w:rsid w:val="00D6101B"/>
    <w:rsid w:val="00D62691"/>
    <w:rsid w:val="00D649B2"/>
    <w:rsid w:val="00D76856"/>
    <w:rsid w:val="00D77785"/>
    <w:rsid w:val="00D822C4"/>
    <w:rsid w:val="00D849A0"/>
    <w:rsid w:val="00D84FD0"/>
    <w:rsid w:val="00D8737E"/>
    <w:rsid w:val="00D9490B"/>
    <w:rsid w:val="00D958A0"/>
    <w:rsid w:val="00D95F37"/>
    <w:rsid w:val="00D95FBB"/>
    <w:rsid w:val="00DA0AFB"/>
    <w:rsid w:val="00DA4150"/>
    <w:rsid w:val="00DA4B42"/>
    <w:rsid w:val="00DA53B4"/>
    <w:rsid w:val="00DA6E5B"/>
    <w:rsid w:val="00DB161E"/>
    <w:rsid w:val="00DC073C"/>
    <w:rsid w:val="00DC1BF2"/>
    <w:rsid w:val="00DC365A"/>
    <w:rsid w:val="00DC5E57"/>
    <w:rsid w:val="00DC5F04"/>
    <w:rsid w:val="00DC74BB"/>
    <w:rsid w:val="00DD1B01"/>
    <w:rsid w:val="00DD1EEA"/>
    <w:rsid w:val="00DD372F"/>
    <w:rsid w:val="00DD3B40"/>
    <w:rsid w:val="00DD4F39"/>
    <w:rsid w:val="00DD7282"/>
    <w:rsid w:val="00DE26D9"/>
    <w:rsid w:val="00DE4959"/>
    <w:rsid w:val="00DE6410"/>
    <w:rsid w:val="00DE6F25"/>
    <w:rsid w:val="00DF2DDF"/>
    <w:rsid w:val="00DF44D1"/>
    <w:rsid w:val="00DF697A"/>
    <w:rsid w:val="00E0558D"/>
    <w:rsid w:val="00E208D3"/>
    <w:rsid w:val="00E20CEA"/>
    <w:rsid w:val="00E24E33"/>
    <w:rsid w:val="00E25C32"/>
    <w:rsid w:val="00E34E05"/>
    <w:rsid w:val="00E37B9C"/>
    <w:rsid w:val="00E42647"/>
    <w:rsid w:val="00E46A6D"/>
    <w:rsid w:val="00E46BFD"/>
    <w:rsid w:val="00E47423"/>
    <w:rsid w:val="00E52F9F"/>
    <w:rsid w:val="00E62E62"/>
    <w:rsid w:val="00E674C3"/>
    <w:rsid w:val="00E67AB3"/>
    <w:rsid w:val="00E7162F"/>
    <w:rsid w:val="00E74928"/>
    <w:rsid w:val="00E76F4A"/>
    <w:rsid w:val="00E77AFE"/>
    <w:rsid w:val="00E80636"/>
    <w:rsid w:val="00E81B27"/>
    <w:rsid w:val="00E84495"/>
    <w:rsid w:val="00E84797"/>
    <w:rsid w:val="00E94A94"/>
    <w:rsid w:val="00E94CBC"/>
    <w:rsid w:val="00EA1BC1"/>
    <w:rsid w:val="00EA364F"/>
    <w:rsid w:val="00EA64BF"/>
    <w:rsid w:val="00EB10D7"/>
    <w:rsid w:val="00EB1B21"/>
    <w:rsid w:val="00EB289A"/>
    <w:rsid w:val="00EB68CF"/>
    <w:rsid w:val="00EB7586"/>
    <w:rsid w:val="00EC0E2C"/>
    <w:rsid w:val="00EC405F"/>
    <w:rsid w:val="00EC729D"/>
    <w:rsid w:val="00EC79A0"/>
    <w:rsid w:val="00ED4D5B"/>
    <w:rsid w:val="00ED66DB"/>
    <w:rsid w:val="00ED765D"/>
    <w:rsid w:val="00ED76AA"/>
    <w:rsid w:val="00EE24EC"/>
    <w:rsid w:val="00EE2941"/>
    <w:rsid w:val="00EE325C"/>
    <w:rsid w:val="00EE3E0D"/>
    <w:rsid w:val="00EE5767"/>
    <w:rsid w:val="00EE7142"/>
    <w:rsid w:val="00EF3441"/>
    <w:rsid w:val="00EF6F79"/>
    <w:rsid w:val="00EF7BAD"/>
    <w:rsid w:val="00F01AEF"/>
    <w:rsid w:val="00F05C58"/>
    <w:rsid w:val="00F07EAC"/>
    <w:rsid w:val="00F11981"/>
    <w:rsid w:val="00F13D46"/>
    <w:rsid w:val="00F17CBA"/>
    <w:rsid w:val="00F17E88"/>
    <w:rsid w:val="00F237A0"/>
    <w:rsid w:val="00F26FA4"/>
    <w:rsid w:val="00F33771"/>
    <w:rsid w:val="00F42B85"/>
    <w:rsid w:val="00F5460F"/>
    <w:rsid w:val="00F56EB4"/>
    <w:rsid w:val="00F626AC"/>
    <w:rsid w:val="00F63CAF"/>
    <w:rsid w:val="00F63FAF"/>
    <w:rsid w:val="00F64579"/>
    <w:rsid w:val="00F723D9"/>
    <w:rsid w:val="00F72D35"/>
    <w:rsid w:val="00F762A0"/>
    <w:rsid w:val="00F80F00"/>
    <w:rsid w:val="00F83AF1"/>
    <w:rsid w:val="00F90626"/>
    <w:rsid w:val="00F94763"/>
    <w:rsid w:val="00F9679C"/>
    <w:rsid w:val="00FA1D04"/>
    <w:rsid w:val="00FA2345"/>
    <w:rsid w:val="00FA309D"/>
    <w:rsid w:val="00FA3553"/>
    <w:rsid w:val="00FA79E6"/>
    <w:rsid w:val="00FB17DF"/>
    <w:rsid w:val="00FB2D0D"/>
    <w:rsid w:val="00FC036D"/>
    <w:rsid w:val="00FC3F5F"/>
    <w:rsid w:val="00FC4673"/>
    <w:rsid w:val="00FC4924"/>
    <w:rsid w:val="00FC57DF"/>
    <w:rsid w:val="00FC5928"/>
    <w:rsid w:val="00FD20C4"/>
    <w:rsid w:val="00FD301B"/>
    <w:rsid w:val="00FD4AAA"/>
    <w:rsid w:val="00FD5576"/>
    <w:rsid w:val="00FE3C1B"/>
    <w:rsid w:val="00FF0B34"/>
    <w:rsid w:val="00FF312F"/>
    <w:rsid w:val="00FF35BB"/>
    <w:rsid w:val="00FF38D1"/>
    <w:rsid w:val="00FF3FFF"/>
    <w:rsid w:val="00FF51C6"/>
    <w:rsid w:val="010C7239"/>
    <w:rsid w:val="01279678"/>
    <w:rsid w:val="02522B5E"/>
    <w:rsid w:val="028BF555"/>
    <w:rsid w:val="04D7F5A1"/>
    <w:rsid w:val="075DDD4A"/>
    <w:rsid w:val="081AB291"/>
    <w:rsid w:val="08D9DFCB"/>
    <w:rsid w:val="0943E7AE"/>
    <w:rsid w:val="0B021A36"/>
    <w:rsid w:val="0E2B3CC7"/>
    <w:rsid w:val="0F6218FC"/>
    <w:rsid w:val="0FF07EAD"/>
    <w:rsid w:val="10542CD7"/>
    <w:rsid w:val="10F335F9"/>
    <w:rsid w:val="11474F9A"/>
    <w:rsid w:val="11BDA2C3"/>
    <w:rsid w:val="15C4E9B0"/>
    <w:rsid w:val="166AB8BD"/>
    <w:rsid w:val="167C07F4"/>
    <w:rsid w:val="1AA4D535"/>
    <w:rsid w:val="1CA2A800"/>
    <w:rsid w:val="1D7D387E"/>
    <w:rsid w:val="1D82EF45"/>
    <w:rsid w:val="1DA2BA31"/>
    <w:rsid w:val="1FB54FAF"/>
    <w:rsid w:val="1FEFA4D1"/>
    <w:rsid w:val="1FF5877B"/>
    <w:rsid w:val="20469182"/>
    <w:rsid w:val="22B83DE1"/>
    <w:rsid w:val="2403A527"/>
    <w:rsid w:val="25454C4C"/>
    <w:rsid w:val="255E1389"/>
    <w:rsid w:val="257CC92B"/>
    <w:rsid w:val="25899B69"/>
    <w:rsid w:val="2994C285"/>
    <w:rsid w:val="2A2983B7"/>
    <w:rsid w:val="2B4F7A86"/>
    <w:rsid w:val="2B5E742E"/>
    <w:rsid w:val="2B96E38A"/>
    <w:rsid w:val="2D54A3EE"/>
    <w:rsid w:val="2DE5C2CF"/>
    <w:rsid w:val="2F30FEBF"/>
    <w:rsid w:val="2FADA41F"/>
    <w:rsid w:val="3072AE35"/>
    <w:rsid w:val="30B97149"/>
    <w:rsid w:val="31F89536"/>
    <w:rsid w:val="329E10F8"/>
    <w:rsid w:val="3418E619"/>
    <w:rsid w:val="34709769"/>
    <w:rsid w:val="35FA6256"/>
    <w:rsid w:val="36544CAF"/>
    <w:rsid w:val="36C685E0"/>
    <w:rsid w:val="37545230"/>
    <w:rsid w:val="38BE62AC"/>
    <w:rsid w:val="392EA4FF"/>
    <w:rsid w:val="3C0B61CB"/>
    <w:rsid w:val="3D0781B8"/>
    <w:rsid w:val="3E9295F5"/>
    <w:rsid w:val="3EAF6CEC"/>
    <w:rsid w:val="3EC0CB6F"/>
    <w:rsid w:val="414D9943"/>
    <w:rsid w:val="426434A5"/>
    <w:rsid w:val="42C3C19F"/>
    <w:rsid w:val="43BF632C"/>
    <w:rsid w:val="44C349EB"/>
    <w:rsid w:val="45CDA55D"/>
    <w:rsid w:val="45EDD408"/>
    <w:rsid w:val="48B92FD2"/>
    <w:rsid w:val="4B63EB07"/>
    <w:rsid w:val="4BE4D0E5"/>
    <w:rsid w:val="4C2F3312"/>
    <w:rsid w:val="4D883718"/>
    <w:rsid w:val="4DF5F8F0"/>
    <w:rsid w:val="5085670C"/>
    <w:rsid w:val="51A22499"/>
    <w:rsid w:val="56128EE1"/>
    <w:rsid w:val="5613C85C"/>
    <w:rsid w:val="569DEF56"/>
    <w:rsid w:val="592FE213"/>
    <w:rsid w:val="5977AD4E"/>
    <w:rsid w:val="59A6006B"/>
    <w:rsid w:val="5B17BC9C"/>
    <w:rsid w:val="5B8CDEF4"/>
    <w:rsid w:val="5BF5222D"/>
    <w:rsid w:val="5E36E9DC"/>
    <w:rsid w:val="60EB43A2"/>
    <w:rsid w:val="613490F4"/>
    <w:rsid w:val="6245C443"/>
    <w:rsid w:val="62F215D7"/>
    <w:rsid w:val="63A29C01"/>
    <w:rsid w:val="66CDEEBD"/>
    <w:rsid w:val="6952ABFA"/>
    <w:rsid w:val="6978C238"/>
    <w:rsid w:val="6B2D2301"/>
    <w:rsid w:val="6B6899C8"/>
    <w:rsid w:val="6B80DDA4"/>
    <w:rsid w:val="6C67DCF5"/>
    <w:rsid w:val="6CC2C241"/>
    <w:rsid w:val="6CEA93D4"/>
    <w:rsid w:val="6ECD885A"/>
    <w:rsid w:val="6F764CE5"/>
    <w:rsid w:val="703EA129"/>
    <w:rsid w:val="70AF1C76"/>
    <w:rsid w:val="713B0EE0"/>
    <w:rsid w:val="72E7569D"/>
    <w:rsid w:val="735DF289"/>
    <w:rsid w:val="73D873EF"/>
    <w:rsid w:val="74BBA2E4"/>
    <w:rsid w:val="76339378"/>
    <w:rsid w:val="769EEA76"/>
    <w:rsid w:val="779DA8E1"/>
    <w:rsid w:val="7807865D"/>
    <w:rsid w:val="78BD475E"/>
    <w:rsid w:val="7B3E8643"/>
    <w:rsid w:val="7B9CD475"/>
    <w:rsid w:val="7C5DA3C9"/>
    <w:rsid w:val="7CBDCBCF"/>
    <w:rsid w:val="7E20EB78"/>
    <w:rsid w:val="7E9297C7"/>
    <w:rsid w:val="7FE2FA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F8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55C"/>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287221"/>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8722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E0558D"/>
    <w:pPr>
      <w:jc w:val="center"/>
    </w:pPr>
    <w:rPr>
      <w:rFonts w:eastAsia="Times New Roman"/>
      <w:sz w:val="20"/>
      <w:szCs w:val="24"/>
    </w:rPr>
  </w:style>
  <w:style w:type="character" w:customStyle="1" w:styleId="FooterChar">
    <w:name w:val="Footer Char"/>
    <w:basedOn w:val="DefaultParagraphFont"/>
    <w:link w:val="Footer"/>
    <w:uiPriority w:val="99"/>
    <w:rsid w:val="00E0558D"/>
    <w:rPr>
      <w:rFonts w:ascii="Garamond" w:eastAsia="Times New Roman" w:hAnsi="Garamond" w:cs="Times New Roman"/>
      <w:sz w:val="20"/>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uiPriority w:val="99"/>
    <w:qFormat/>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uiPriority w:val="99"/>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rsid w:val="00136309"/>
    <w:rPr>
      <w:rFonts w:asciiTheme="majorHAnsi" w:eastAsiaTheme="majorEastAsia" w:hAnsiTheme="majorHAnsi" w:cstheme="majorBidi"/>
      <w:color w:val="2E74B5" w:themeColor="accent1" w:themeShade="BF"/>
      <w:sz w:val="26"/>
      <w:szCs w:val="26"/>
    </w:rPr>
  </w:style>
  <w:style w:type="paragraph" w:customStyle="1" w:styleId="Cov-Address">
    <w:name w:val="Cov-Address"/>
    <w:basedOn w:val="Normal"/>
    <w:rsid w:val="00A87996"/>
    <w:pPr>
      <w:jc w:val="right"/>
    </w:pPr>
    <w:rPr>
      <w:rFonts w:ascii="Arial" w:eastAsia="Times New Roman" w:hAnsi="Arial"/>
    </w:rPr>
  </w:style>
  <w:style w:type="paragraph" w:customStyle="1" w:styleId="Cov-Date">
    <w:name w:val="Cov-Date"/>
    <w:basedOn w:val="Normal"/>
    <w:uiPriority w:val="99"/>
    <w:rsid w:val="00A87996"/>
    <w:pPr>
      <w:jc w:val="right"/>
    </w:pPr>
    <w:rPr>
      <w:rFonts w:ascii="Arial" w:eastAsia="Times New Roman" w:hAnsi="Arial"/>
      <w:b/>
      <w:sz w:val="28"/>
    </w:rPr>
  </w:style>
  <w:style w:type="paragraph" w:customStyle="1" w:styleId="Cov-Subtitle">
    <w:name w:val="Cov-Subtitle"/>
    <w:basedOn w:val="Normal"/>
    <w:uiPriority w:val="99"/>
    <w:rsid w:val="00A87996"/>
    <w:pPr>
      <w:jc w:val="right"/>
    </w:pPr>
    <w:rPr>
      <w:rFonts w:ascii="Arial Black" w:eastAsia="Times New Roman" w:hAnsi="Arial Black"/>
      <w:sz w:val="32"/>
    </w:rPr>
  </w:style>
  <w:style w:type="paragraph" w:customStyle="1" w:styleId="Cov-Title">
    <w:name w:val="Cov-Title"/>
    <w:basedOn w:val="Normal"/>
    <w:rsid w:val="00A87996"/>
    <w:pPr>
      <w:jc w:val="right"/>
    </w:pPr>
    <w:rPr>
      <w:rFonts w:ascii="Arial Black" w:eastAsia="Times New Roman" w:hAnsi="Arial Black"/>
      <w:sz w:val="40"/>
    </w:rPr>
  </w:style>
  <w:style w:type="character" w:styleId="CommentReference">
    <w:name w:val="annotation reference"/>
    <w:basedOn w:val="DefaultParagraphFont"/>
    <w:uiPriority w:val="99"/>
    <w:unhideWhenUsed/>
    <w:rsid w:val="00CD2E3D"/>
    <w:rPr>
      <w:sz w:val="16"/>
      <w:szCs w:val="16"/>
    </w:rPr>
  </w:style>
  <w:style w:type="paragraph" w:styleId="CommentText">
    <w:name w:val="annotation text"/>
    <w:basedOn w:val="Normal"/>
    <w:link w:val="CommentTextChar"/>
    <w:uiPriority w:val="99"/>
    <w:unhideWhenUsed/>
    <w:rsid w:val="00CD2E3D"/>
    <w:rPr>
      <w:sz w:val="20"/>
    </w:rPr>
  </w:style>
  <w:style w:type="character" w:customStyle="1" w:styleId="CommentTextChar">
    <w:name w:val="Comment Text Char"/>
    <w:basedOn w:val="DefaultParagraphFont"/>
    <w:link w:val="CommentText"/>
    <w:uiPriority w:val="99"/>
    <w:rsid w:val="00CD2E3D"/>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CD2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E3D"/>
    <w:rPr>
      <w:rFonts w:ascii="Segoe UI" w:eastAsia="Times" w:hAnsi="Segoe UI" w:cs="Segoe UI"/>
      <w:sz w:val="18"/>
      <w:szCs w:val="18"/>
    </w:rPr>
  </w:style>
  <w:style w:type="paragraph" w:customStyle="1" w:styleId="TOC-Cover">
    <w:name w:val="TOC-Cover"/>
    <w:basedOn w:val="Normal"/>
    <w:next w:val="Normal"/>
    <w:qFormat/>
    <w:rsid w:val="00FB2D0D"/>
    <w:pPr>
      <w:tabs>
        <w:tab w:val="right" w:leader="dot" w:pos="10440"/>
      </w:tabs>
      <w:ind w:right="720"/>
    </w:pPr>
    <w:rPr>
      <w:rFonts w:ascii="Arial" w:hAnsi="Arial" w:cs="Arial"/>
      <w:b/>
      <w:szCs w:val="24"/>
    </w:rPr>
  </w:style>
  <w:style w:type="paragraph" w:styleId="FootnoteText">
    <w:name w:val="footnote text"/>
    <w:aliases w:val="F1,fo,fo1,footnote text,footnote text 9 pt,footnote text Char,ft,ft1,ft9"/>
    <w:basedOn w:val="Normal"/>
    <w:link w:val="FootnoteTextChar0"/>
    <w:uiPriority w:val="99"/>
    <w:unhideWhenUsed/>
    <w:qFormat/>
    <w:rsid w:val="0053414B"/>
    <w:rPr>
      <w:sz w:val="20"/>
    </w:rPr>
  </w:style>
  <w:style w:type="character" w:customStyle="1" w:styleId="FootnoteTextChar0">
    <w:name w:val="Footnote Text Char"/>
    <w:aliases w:val="F1 Char,fo Char,fo1 Char,footnote text 9 pt Char,footnote text Char Char,footnote text Char1,ft Char,ft1 Char,ft9 Char"/>
    <w:basedOn w:val="DefaultParagraphFont"/>
    <w:link w:val="FootnoteText"/>
    <w:uiPriority w:val="99"/>
    <w:rsid w:val="0053414B"/>
    <w:rPr>
      <w:rFonts w:ascii="Garamond" w:eastAsia="Times" w:hAnsi="Garamond" w:cs="Times New Roman"/>
      <w:sz w:val="20"/>
      <w:szCs w:val="20"/>
    </w:rPr>
  </w:style>
  <w:style w:type="character" w:styleId="FootnoteReference">
    <w:name w:val="footnote reference"/>
    <w:aliases w:val="footnote reference,fr"/>
    <w:basedOn w:val="DefaultParagraphFont"/>
    <w:uiPriority w:val="99"/>
    <w:unhideWhenUsed/>
    <w:qFormat/>
    <w:rsid w:val="0053414B"/>
    <w:rPr>
      <w:vertAlign w:val="superscript"/>
    </w:rPr>
  </w:style>
  <w:style w:type="paragraph" w:styleId="Revision">
    <w:name w:val="Revision"/>
    <w:hidden/>
    <w:uiPriority w:val="99"/>
    <w:semiHidden/>
    <w:rsid w:val="00921E99"/>
    <w:pPr>
      <w:spacing w:after="0" w:line="240" w:lineRule="auto"/>
    </w:pPr>
    <w:rPr>
      <w:rFonts w:ascii="Garamond" w:eastAsia="Times" w:hAnsi="Garamond" w:cs="Times New Roman"/>
      <w:sz w:val="24"/>
      <w:szCs w:val="20"/>
    </w:rPr>
  </w:style>
  <w:style w:type="character" w:customStyle="1" w:styleId="Heading3Char">
    <w:name w:val="Heading 3 Char"/>
    <w:basedOn w:val="DefaultParagraphFont"/>
    <w:link w:val="Heading3"/>
    <w:rsid w:val="002872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87221"/>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287221"/>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8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87221"/>
    <w:rPr>
      <w:color w:val="605E5C"/>
      <w:shd w:val="clear" w:color="auto" w:fill="E1DFDD"/>
    </w:rPr>
  </w:style>
  <w:style w:type="table" w:customStyle="1" w:styleId="TableGridLight1">
    <w:name w:val="Table Grid Light1"/>
    <w:basedOn w:val="TableNormal"/>
    <w:uiPriority w:val="40"/>
    <w:rsid w:val="00287221"/>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figsource">
    <w:name w:val="tab/fig source"/>
    <w:basedOn w:val="Normal"/>
    <w:rsid w:val="00287221"/>
    <w:pPr>
      <w:keepLines/>
      <w:spacing w:after="240"/>
      <w:contextualSpacing/>
    </w:pPr>
    <w:rPr>
      <w:rFonts w:ascii="Arial" w:eastAsia="Times New Roman" w:hAnsi="Arial"/>
      <w:sz w:val="16"/>
      <w:szCs w:val="24"/>
      <w:lang w:val="en-CA"/>
    </w:rPr>
  </w:style>
  <w:style w:type="paragraph" w:customStyle="1" w:styleId="TableTitle">
    <w:name w:val="Table Title"/>
    <w:basedOn w:val="Normal"/>
    <w:link w:val="TableTitleChar"/>
    <w:uiPriority w:val="99"/>
    <w:qFormat/>
    <w:rsid w:val="00287221"/>
    <w:pPr>
      <w:keepNext/>
      <w:keepLines/>
      <w:spacing w:before="120" w:after="60"/>
      <w:ind w:left="994" w:hanging="994"/>
      <w:outlineLvl w:val="3"/>
    </w:pPr>
    <w:rPr>
      <w:rFonts w:ascii="Arial" w:eastAsia="Times New Roman" w:hAnsi="Arial"/>
      <w:b/>
      <w:snapToGrid w:val="0"/>
      <w:sz w:val="20"/>
      <w:szCs w:val="24"/>
      <w:lang w:val="en-CA"/>
    </w:rPr>
  </w:style>
  <w:style w:type="character" w:customStyle="1" w:styleId="TableTitleChar">
    <w:name w:val="Table Title Char"/>
    <w:basedOn w:val="DefaultParagraphFont"/>
    <w:link w:val="TableTitle"/>
    <w:uiPriority w:val="99"/>
    <w:locked/>
    <w:rsid w:val="00287221"/>
    <w:rPr>
      <w:rFonts w:ascii="Arial" w:eastAsia="Times New Roman" w:hAnsi="Arial" w:cs="Times New Roman"/>
      <w:b/>
      <w:snapToGrid w:val="0"/>
      <w:sz w:val="20"/>
      <w:szCs w:val="24"/>
      <w:lang w:val="en-CA"/>
    </w:rPr>
  </w:style>
  <w:style w:type="paragraph" w:styleId="NormalWeb">
    <w:name w:val="Normal (Web)"/>
    <w:basedOn w:val="Normal"/>
    <w:uiPriority w:val="99"/>
    <w:unhideWhenUsed/>
    <w:rsid w:val="00287221"/>
    <w:pPr>
      <w:spacing w:before="100" w:beforeAutospacing="1" w:after="100" w:afterAutospacing="1"/>
    </w:pPr>
    <w:rPr>
      <w:rFonts w:ascii="Times New Roman" w:hAnsi="Times New Roman" w:eastAsiaTheme="minorEastAsia"/>
      <w:szCs w:val="24"/>
    </w:rPr>
  </w:style>
  <w:style w:type="table" w:styleId="GridTableLight">
    <w:name w:val="Grid Table Light"/>
    <w:basedOn w:val="TableNormal"/>
    <w:uiPriority w:val="40"/>
    <w:rsid w:val="002872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locked/>
    <w:rsid w:val="00287221"/>
  </w:style>
  <w:style w:type="character" w:styleId="Emphasis">
    <w:name w:val="Emphasis"/>
    <w:basedOn w:val="DefaultParagraphFont"/>
    <w:uiPriority w:val="20"/>
    <w:qFormat/>
    <w:rsid w:val="00287221"/>
    <w:rPr>
      <w:i/>
      <w:iCs/>
    </w:rPr>
  </w:style>
  <w:style w:type="character" w:styleId="FollowedHyperlink">
    <w:name w:val="FollowedHyperlink"/>
    <w:basedOn w:val="DefaultParagraphFont"/>
    <w:uiPriority w:val="99"/>
    <w:semiHidden/>
    <w:unhideWhenUsed/>
    <w:rsid w:val="00287221"/>
    <w:rPr>
      <w:color w:val="954F72" w:themeColor="followedHyperlink"/>
      <w:u w:val="single"/>
    </w:rPr>
  </w:style>
  <w:style w:type="paragraph" w:styleId="Caption">
    <w:name w:val="caption"/>
    <w:basedOn w:val="Normal"/>
    <w:next w:val="Normal"/>
    <w:uiPriority w:val="35"/>
    <w:unhideWhenUsed/>
    <w:qFormat/>
    <w:rsid w:val="00287221"/>
    <w:pPr>
      <w:spacing w:after="200"/>
    </w:pPr>
    <w:rPr>
      <w:rFonts w:asciiTheme="minorHAnsi" w:eastAsiaTheme="minorHAnsi" w:hAnsiTheme="minorHAnsi" w:cstheme="minorBidi"/>
      <w:i/>
      <w:iCs/>
      <w:color w:val="44546A" w:themeColor="text2"/>
      <w:sz w:val="18"/>
      <w:szCs w:val="18"/>
    </w:rPr>
  </w:style>
  <w:style w:type="paragraph" w:customStyle="1" w:styleId="biblio">
    <w:name w:val="biblio"/>
    <w:basedOn w:val="Normal"/>
    <w:rsid w:val="005A1737"/>
    <w:pPr>
      <w:spacing w:after="120" w:line="259" w:lineRule="auto"/>
      <w:ind w:left="540" w:hanging="540"/>
    </w:pPr>
    <w:rPr>
      <w:rFonts w:eastAsiaTheme="minorHAnsi" w:cs="Andalus"/>
      <w:szCs w:val="24"/>
    </w:rPr>
  </w:style>
  <w:style w:type="paragraph" w:customStyle="1" w:styleId="AppHeading2">
    <w:name w:val="AppHeading2"/>
    <w:basedOn w:val="Normal"/>
    <w:rsid w:val="005A1737"/>
    <w:pPr>
      <w:keepNext/>
      <w:autoSpaceDE w:val="0"/>
      <w:autoSpaceDN w:val="0"/>
      <w:adjustRightInd w:val="0"/>
      <w:spacing w:after="120"/>
      <w:outlineLvl w:val="1"/>
    </w:pPr>
    <w:rPr>
      <w:rFonts w:eastAsiaTheme="minorHAnsi"/>
      <w:b/>
      <w:bCs/>
      <w:szCs w:val="24"/>
    </w:rPr>
  </w:style>
  <w:style w:type="character" w:styleId="Mention">
    <w:name w:val="Mention"/>
    <w:basedOn w:val="DefaultParagraphFont"/>
    <w:uiPriority w:val="99"/>
    <w:unhideWhenUsed/>
    <w:rsid w:val="001B6C53"/>
    <w:rPr>
      <w:color w:val="2B579A"/>
      <w:shd w:val="clear" w:color="auto" w:fill="E1DFDD"/>
    </w:rPr>
  </w:style>
  <w:style w:type="paragraph" w:customStyle="1" w:styleId="Tabletext8pt">
    <w:name w:val="Table text 8pt"/>
    <w:link w:val="Tabletext8ptChar"/>
    <w:uiPriority w:val="99"/>
    <w:rsid w:val="009B0D46"/>
    <w:pPr>
      <w:keepNext/>
      <w:suppressAutoHyphens/>
      <w:adjustRightInd w:val="0"/>
      <w:spacing w:before="20" w:after="0" w:line="240" w:lineRule="auto"/>
    </w:pPr>
    <w:rPr>
      <w:rFonts w:ascii="Arial" w:hAnsi="Arial" w:eastAsiaTheme="minorEastAsia" w:cs="Arial"/>
      <w:sz w:val="16"/>
      <w:szCs w:val="20"/>
    </w:rPr>
  </w:style>
  <w:style w:type="character" w:customStyle="1" w:styleId="Tabletext8ptChar">
    <w:name w:val="Table text 8pt Char"/>
    <w:link w:val="Tabletext8pt"/>
    <w:uiPriority w:val="99"/>
    <w:rsid w:val="009B0D46"/>
    <w:rPr>
      <w:rFonts w:ascii="Arial" w:hAnsi="Arial" w:eastAsiaTheme="minorEastAsia" w:cs="Arial"/>
      <w:sz w:val="16"/>
      <w:szCs w:val="20"/>
    </w:rPr>
  </w:style>
  <w:style w:type="paragraph" w:customStyle="1" w:styleId="Tabletext8ptcol1subhead">
    <w:name w:val="Table text 8pt col.1 subhead"/>
    <w:basedOn w:val="Tabletext8pt"/>
    <w:rsid w:val="00927376"/>
    <w:pPr>
      <w:spacing w:before="120"/>
      <w:ind w:left="216" w:hanging="216"/>
    </w:pPr>
    <w:rPr>
      <w:rFonts w:eastAsiaTheme="majorEastAsia"/>
    </w:rPr>
  </w:style>
  <w:style w:type="paragraph" w:customStyle="1" w:styleId="Tabletext8ptdecimalalign">
    <w:name w:val="Table text 8pt decimal align"/>
    <w:basedOn w:val="Tabletext8pt"/>
    <w:rsid w:val="00927376"/>
    <w:pPr>
      <w:tabs>
        <w:tab w:val="decimal" w:pos="1502"/>
      </w:tabs>
    </w:pPr>
  </w:style>
  <w:style w:type="table" w:customStyle="1" w:styleId="TableGridNCES1">
    <w:name w:val="Table Grid NCES1"/>
    <w:basedOn w:val="TableNormal"/>
    <w:next w:val="TableGrid"/>
    <w:rsid w:val="00927376"/>
    <w:pPr>
      <w:spacing w:before="20" w:after="0" w:line="240" w:lineRule="auto"/>
      <w:jc w:val="right"/>
    </w:pPr>
    <w:rPr>
      <w:rFonts w:ascii="Arial" w:eastAsia="Batang" w:hAnsi="Arial" w:cs="Times New Roman"/>
      <w:sz w:val="16"/>
      <w:szCs w:val="20"/>
    </w:rPr>
    <w:tblPr>
      <w:tblBorders>
        <w:top w:val="single" w:sz="12" w:space="0" w:color="auto"/>
        <w:bottom w:val="single" w:sz="12" w:space="0" w:color="auto"/>
      </w:tblBorders>
      <w:tblCellMar>
        <w:left w:w="29" w:type="dxa"/>
        <w:right w:w="58" w:type="dxa"/>
      </w:tblCellMar>
    </w:tblPr>
    <w:trPr>
      <w:cantSplit/>
    </w:trPr>
    <w:tcPr>
      <w:vAlign w:val="bottom"/>
    </w:tcPr>
    <w:tblStylePr w:type="firstRow">
      <w:rPr>
        <w:b/>
      </w:rPr>
      <w:tblPr/>
      <w:tcPr>
        <w:tcBorders>
          <w:bottom w:val="single" w:sz="4" w:space="0" w:color="auto"/>
          <w:insideH w:val="nil"/>
        </w:tcBorders>
      </w:tcPr>
    </w:tblStylePr>
    <w:tblStylePr w:type="firstCol">
      <w:pPr>
        <w:jc w:val="left"/>
      </w:pPr>
    </w:tblStylePr>
    <w:tblStylePr w:type="nwCell">
      <w:pPr>
        <w:jc w:val="left"/>
      </w:pPr>
      <w:tblPr/>
      <w:tcPr>
        <w:vAlign w:val="bottom"/>
      </w:tcPr>
    </w:tblStylePr>
  </w:style>
  <w:style w:type="paragraph" w:customStyle="1" w:styleId="Tabletext8ptcol1indent1">
    <w:name w:val="Table text 8pt col.1 indent 1"/>
    <w:basedOn w:val="Normal"/>
    <w:rsid w:val="00927376"/>
    <w:pPr>
      <w:keepNext/>
      <w:suppressAutoHyphens/>
      <w:adjustRightInd w:val="0"/>
      <w:spacing w:before="20"/>
      <w:ind w:left="317" w:hanging="173"/>
    </w:pPr>
    <w:rPr>
      <w:rFonts w:ascii="Arial" w:hAnsi="Arial" w:eastAsiaTheme="minorEastAsia" w:cs="Arial"/>
      <w:bCs/>
      <w:sz w:val="16"/>
      <w:szCs w:val="18"/>
    </w:rPr>
  </w:style>
  <w:style w:type="paragraph" w:customStyle="1" w:styleId="Tabletext8ptcol1indent2">
    <w:name w:val="Table text 8pt col.1 indent 2"/>
    <w:basedOn w:val="Tabletext8ptcol1indent1"/>
    <w:rsid w:val="00927376"/>
    <w:pPr>
      <w:ind w:left="461"/>
    </w:pPr>
  </w:style>
  <w:style w:type="paragraph" w:customStyle="1" w:styleId="Source75ptLast">
    <w:name w:val="Source 7.5pt Last"/>
    <w:basedOn w:val="Normal"/>
    <w:next w:val="BodyText"/>
    <w:rsid w:val="00927376"/>
    <w:pPr>
      <w:keepLines/>
      <w:spacing w:after="480"/>
      <w:contextualSpacing/>
    </w:pPr>
    <w:rPr>
      <w:rFonts w:ascii="Arial" w:hAnsi="Arial" w:eastAsiaTheme="minorEastAsia"/>
      <w:sz w:val="15"/>
      <w:szCs w:val="18"/>
    </w:rPr>
  </w:style>
  <w:style w:type="paragraph" w:customStyle="1" w:styleId="Source75ptnotlast">
    <w:name w:val="Source 7.5pt not last"/>
    <w:basedOn w:val="Normal"/>
    <w:rsid w:val="00927376"/>
    <w:pPr>
      <w:keepNext/>
      <w:keepLines/>
      <w:spacing w:before="60"/>
      <w:contextualSpacing/>
    </w:pPr>
    <w:rPr>
      <w:rFonts w:ascii="Arial" w:eastAsia="Times New Roman" w:hAnsi="Arial"/>
      <w:sz w:val="15"/>
      <w:szCs w:val="16"/>
    </w:rPr>
  </w:style>
  <w:style w:type="paragraph" w:styleId="TOCHeading">
    <w:name w:val="TOC Heading"/>
    <w:basedOn w:val="Heading1"/>
    <w:next w:val="Normal"/>
    <w:uiPriority w:val="39"/>
    <w:unhideWhenUsed/>
    <w:qFormat/>
    <w:rsid w:val="004B5E55"/>
    <w:pPr>
      <w:spacing w:line="259" w:lineRule="auto"/>
      <w:outlineLvl w:val="9"/>
    </w:pPr>
  </w:style>
  <w:style w:type="paragraph" w:styleId="TOC2">
    <w:name w:val="toc 2"/>
    <w:basedOn w:val="Normal"/>
    <w:next w:val="Normal"/>
    <w:autoRedefine/>
    <w:uiPriority w:val="39"/>
    <w:unhideWhenUsed/>
    <w:rsid w:val="004B5E55"/>
    <w:pPr>
      <w:spacing w:after="100"/>
      <w:ind w:left="240"/>
    </w:pPr>
  </w:style>
  <w:style w:type="paragraph" w:styleId="TOC1">
    <w:name w:val="toc 1"/>
    <w:basedOn w:val="Normal"/>
    <w:next w:val="Normal"/>
    <w:autoRedefine/>
    <w:uiPriority w:val="39"/>
    <w:unhideWhenUsed/>
    <w:rsid w:val="004B5E55"/>
    <w:pPr>
      <w:spacing w:after="100"/>
    </w:pPr>
  </w:style>
  <w:style w:type="paragraph" w:styleId="TOC3">
    <w:name w:val="toc 3"/>
    <w:basedOn w:val="Normal"/>
    <w:next w:val="Normal"/>
    <w:autoRedefine/>
    <w:uiPriority w:val="39"/>
    <w:unhideWhenUsed/>
    <w:rsid w:val="004B5E55"/>
    <w:pPr>
      <w:spacing w:after="100"/>
      <w:ind w:left="480"/>
    </w:pPr>
  </w:style>
  <w:style w:type="paragraph" w:styleId="TableofFigures">
    <w:name w:val="table of figures"/>
    <w:basedOn w:val="Normal"/>
    <w:next w:val="Normal"/>
    <w:uiPriority w:val="99"/>
    <w:unhideWhenUsed/>
    <w:rsid w:val="004B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13d4ec-8256-4a0e-82b8-9e2b30677e22">
      <Terms xmlns="http://schemas.microsoft.com/office/infopath/2007/PartnerControls"/>
    </lcf76f155ced4ddcb4097134ff3c332f>
    <TaxCatchAll xmlns="bd2e9aa4-c346-48ab-81c1-848be64abc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B0AD883131EE49AF27A09972337913" ma:contentTypeVersion="15" ma:contentTypeDescription="Create a new document." ma:contentTypeScope="" ma:versionID="da760e022f4f2dbfb923d13536fad8b8">
  <xsd:schema xmlns:xsd="http://www.w3.org/2001/XMLSchema" xmlns:xs="http://www.w3.org/2001/XMLSchema" xmlns:p="http://schemas.microsoft.com/office/2006/metadata/properties" xmlns:ns2="1413d4ec-8256-4a0e-82b8-9e2b30677e22" xmlns:ns3="bd2e9aa4-c346-48ab-81c1-848be64abc92" targetNamespace="http://schemas.microsoft.com/office/2006/metadata/properties" ma:root="true" ma:fieldsID="740a8c8747a4a5b6ede4f2bc31d38db5" ns2:_="" ns3:_="">
    <xsd:import namespace="1413d4ec-8256-4a0e-82b8-9e2b30677e22"/>
    <xsd:import namespace="bd2e9aa4-c346-48ab-81c1-848be64a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4ec-8256-4a0e-82b8-9e2b3067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e9aa4-c346-48ab-81c1-848be64ab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77ec1c-7b8b-453c-a4ea-330681a0b651}" ma:internalName="TaxCatchAll" ma:showField="CatchAllData" ma:web="bd2e9aa4-c346-48ab-81c1-848be64a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BD7A2-8395-4229-85B6-B3DEC6620E80}">
  <ds:schemaRefs>
    <ds:schemaRef ds:uri="http://schemas.microsoft.com/sharepoint/v3/contenttype/forms"/>
  </ds:schemaRefs>
</ds:datastoreItem>
</file>

<file path=customXml/itemProps2.xml><?xml version="1.0" encoding="utf-8"?>
<ds:datastoreItem xmlns:ds="http://schemas.openxmlformats.org/officeDocument/2006/customXml" ds:itemID="{51C190C3-5009-47E5-A954-559F244CF1F2}">
  <ds:schemaRefs>
    <ds:schemaRef ds:uri="http://schemas.microsoft.com/office/2006/metadata/properties"/>
    <ds:schemaRef ds:uri="http://schemas.microsoft.com/office/infopath/2007/PartnerControls"/>
    <ds:schemaRef ds:uri="1413d4ec-8256-4a0e-82b8-9e2b30677e22"/>
    <ds:schemaRef ds:uri="bd2e9aa4-c346-48ab-81c1-848be64abc92"/>
  </ds:schemaRefs>
</ds:datastoreItem>
</file>

<file path=customXml/itemProps3.xml><?xml version="1.0" encoding="utf-8"?>
<ds:datastoreItem xmlns:ds="http://schemas.openxmlformats.org/officeDocument/2006/customXml" ds:itemID="{469C5BD1-8C3B-4097-B814-2360C91BBA18}">
  <ds:schemaRefs>
    <ds:schemaRef ds:uri="http://schemas.openxmlformats.org/officeDocument/2006/bibliography"/>
  </ds:schemaRefs>
</ds:datastoreItem>
</file>

<file path=customXml/itemProps4.xml><?xml version="1.0" encoding="utf-8"?>
<ds:datastoreItem xmlns:ds="http://schemas.openxmlformats.org/officeDocument/2006/customXml" ds:itemID="{D4339180-0000-4F21-88F4-528BE1E9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4ec-8256-4a0e-82b8-9e2b30677e22"/>
    <ds:schemaRef ds:uri="bd2e9aa4-c346-48ab-81c1-848be64a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2024-08-27T14:14:00Z</dcterms:created>
  <dcterms:modified xsi:type="dcterms:W3CDTF">2024-10-04T19:56:00Z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0x01010052B0AD883131EE49AF27A09972337913</vt:lpwstr>
  </property>
  <property fmtid="{D5CDD505-2E9C-101B-9397-08002B2CF9AE}" pid="3" name="MediaServiceImageTags">
    <vt:lpwstr/>
  </property>
</Properties>
</file>