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227867" w:rsidP="00A2604E" w14:paraId="1502CB1A" w14:textId="77777777">
      <w:pPr>
        <w:jc w:val="center"/>
      </w:pPr>
      <w:r w:rsidRPr="00227867">
        <w:t>UNITED STATES OF AMERICA</w:t>
      </w:r>
    </w:p>
    <w:p w:rsidR="00A2604E" w:rsidRPr="00227867" w:rsidP="00A2604E" w14:paraId="273661E3" w14:textId="77777777">
      <w:pPr>
        <w:jc w:val="center"/>
      </w:pPr>
      <w:r w:rsidRPr="00227867">
        <w:t>FEDERAL ENERGY REGULATORY COMMISSION</w:t>
      </w:r>
    </w:p>
    <w:p w:rsidR="00A2604E" w:rsidRPr="00227867" w:rsidP="00A2604E" w14:paraId="6C561934" w14:textId="77777777"/>
    <w:p w:rsidR="00A2604E" w:rsidRPr="00227867" w:rsidP="00A2604E" w14:paraId="3E11D4A1" w14:textId="7172962F">
      <w:pPr>
        <w:jc w:val="center"/>
      </w:pPr>
      <w:r w:rsidRPr="00227867">
        <w:t xml:space="preserve">[Docket No. </w:t>
      </w:r>
      <w:r w:rsidRPr="00227867" w:rsidR="00613169">
        <w:t>IC</w:t>
      </w:r>
      <w:r w:rsidRPr="00227867" w:rsidR="00FB078F">
        <w:t>2</w:t>
      </w:r>
      <w:r w:rsidRPr="00227867" w:rsidR="00FF7874">
        <w:t>4</w:t>
      </w:r>
      <w:r w:rsidRPr="00227867" w:rsidR="00613169">
        <w:t>-</w:t>
      </w:r>
      <w:r w:rsidRPr="00227867" w:rsidR="00C0408A">
        <w:t>24</w:t>
      </w:r>
      <w:r w:rsidRPr="00227867" w:rsidR="00613169">
        <w:t>-000</w:t>
      </w:r>
      <w:r w:rsidRPr="00227867">
        <w:t>]</w:t>
      </w:r>
    </w:p>
    <w:p w:rsidR="00A2604E" w:rsidRPr="00227867" w:rsidP="00A2604E" w14:paraId="4D16FE54" w14:textId="77777777"/>
    <w:p w:rsidR="00A2604E" w:rsidRPr="00227867" w:rsidP="00A2604E" w14:paraId="0627AE31" w14:textId="40975F4F">
      <w:pPr>
        <w:jc w:val="center"/>
      </w:pPr>
      <w:r w:rsidRPr="00227867">
        <w:t>COMMISSION INFORMATION COLLECTION ACTIVITIES (FERC-</w:t>
      </w:r>
      <w:r w:rsidRPr="00227867" w:rsidR="00491543">
        <w:t>725</w:t>
      </w:r>
      <w:r w:rsidRPr="00227867" w:rsidR="00C0408A">
        <w:t>V</w:t>
      </w:r>
      <w:r w:rsidRPr="00227867">
        <w:t>);</w:t>
      </w:r>
    </w:p>
    <w:p w:rsidR="00A2604E" w:rsidRPr="00227867" w:rsidP="00A2604E" w14:paraId="3B5240D4" w14:textId="77777777">
      <w:pPr>
        <w:jc w:val="center"/>
      </w:pPr>
      <w:r w:rsidRPr="00227867">
        <w:t>COMMENT REQUEST; EXTENSION</w:t>
      </w:r>
    </w:p>
    <w:p w:rsidR="00881405" w:rsidRPr="00227867" w:rsidP="00A2604E" w14:paraId="5D8DD33D" w14:textId="77777777">
      <w:pPr>
        <w:jc w:val="center"/>
      </w:pPr>
    </w:p>
    <w:p w:rsidR="00E52385" w:rsidP="00227867" w14:paraId="0E069ADB" w14:textId="7E137285">
      <w:pPr>
        <w:jc w:val="center"/>
      </w:pPr>
      <w:r w:rsidRPr="00227867">
        <w:t>(October 23, 2024)</w:t>
      </w:r>
    </w:p>
    <w:p w:rsidR="00227867" w:rsidRPr="00227867" w:rsidP="00227867" w14:paraId="41DAD9A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19C2ACEF">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C0408A" w:rsidR="00C0408A">
        <w:rPr>
          <w:i/>
          <w:szCs w:val="26"/>
        </w:rPr>
        <w:t xml:space="preserve"> </w:t>
      </w:r>
      <w:r w:rsidRPr="00C0408A" w:rsidR="00C0408A">
        <w:rPr>
          <w:szCs w:val="26"/>
        </w:rPr>
        <w:t>FERC-725V, Mandatory Reliability Standards: COM Reliability Standards</w:t>
      </w:r>
      <w:r w:rsidR="00CC5692">
        <w:t>.</w:t>
      </w:r>
      <w:r w:rsidR="00EE248C">
        <w:t xml:space="preserve"> There are no changes to the reporting requirements with this information collection.</w:t>
      </w:r>
      <w:r w:rsidR="00B437DF">
        <w:t xml:space="preserve">  The 60-day notice comment period ended on </w:t>
      </w:r>
      <w:r w:rsidR="00133619">
        <w:t>October 21, 2024, with no comments received.</w:t>
      </w:r>
    </w:p>
    <w:p w:rsidR="00A2604E" w:rsidRPr="00524164" w:rsidP="00A2604E" w14:paraId="5C5B574A" w14:textId="3D73F6EF">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 xml:space="preserve">INSERT DATE </w:t>
      </w:r>
      <w:r w:rsidR="00FF098F">
        <w:rPr>
          <w:b/>
        </w:rPr>
        <w:t>3</w:t>
      </w:r>
      <w:r w:rsidRPr="000F36DF" w:rsidR="000F36DF">
        <w:rPr>
          <w:b/>
        </w:rPr>
        <w:t>0 DAYS AFTER DATE OF PUBLICATION IN THE FEDERAL REGISTER</w:t>
      </w:r>
      <w:r w:rsidRPr="000F36DF">
        <w:rPr>
          <w:b/>
          <w:bCs/>
        </w:rPr>
        <w:t>]</w:t>
      </w:r>
      <w:r w:rsidRPr="00524164">
        <w:t xml:space="preserve">. </w:t>
      </w:r>
    </w:p>
    <w:p w:rsidR="006D5E14" w:rsidRPr="00A34E33" w:rsidP="006D5E14" w14:paraId="6E434D0D" w14:textId="5C70FA9B">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Pr>
          <w:szCs w:val="26"/>
        </w:rPr>
        <w:t>725</w:t>
      </w:r>
      <w:r w:rsidR="00456947">
        <w:rPr>
          <w:szCs w:val="26"/>
        </w:rPr>
        <w:t>V</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Pr>
          <w:iCs/>
          <w:szCs w:val="26"/>
        </w:rPr>
        <w:t>277)</w:t>
      </w:r>
      <w:r w:rsidRPr="00A34E33">
        <w:rPr>
          <w:iCs/>
          <w:szCs w:val="26"/>
        </w:rPr>
        <w:t xml:space="preserve"> in the subject line of your comments.  Comments</w:t>
      </w:r>
      <w:r w:rsidRPr="00A34E33">
        <w:rPr>
          <w:szCs w:val="26"/>
        </w:rPr>
        <w:t xml:space="preserve"> should be sent within 30 days of publication of this notice to </w:t>
      </w:r>
      <w:hyperlink r:id="rId10" w:history="1">
        <w:r w:rsidRPr="00A34E33">
          <w:rPr>
            <w:rStyle w:val="Hyperlink"/>
            <w:szCs w:val="26"/>
          </w:rPr>
          <w:t>www.reginfo.gov/public/do/PRAMain</w:t>
        </w:r>
      </w:hyperlink>
      <w:r w:rsidRPr="00A34E33">
        <w:rPr>
          <w:szCs w:val="26"/>
        </w:rPr>
        <w:t>.</w:t>
      </w:r>
    </w:p>
    <w:p w:rsidR="00133619" w:rsidP="00133619" w14:paraId="2849A4DC" w14:textId="00177864">
      <w:pPr>
        <w:spacing w:line="480" w:lineRule="auto"/>
        <w:rPr>
          <w:szCs w:val="26"/>
        </w:rPr>
      </w:pPr>
      <w:r>
        <w:rPr>
          <w:b/>
          <w:szCs w:val="26"/>
        </w:rPr>
        <w:t>ADDRESSES:</w:t>
      </w:r>
      <w:r>
        <w:rPr>
          <w:szCs w:val="26"/>
        </w:rPr>
        <w:t xml:space="preserve"> </w:t>
      </w:r>
      <w:r>
        <w:rPr>
          <w:iCs/>
          <w:szCs w:val="26"/>
        </w:rPr>
        <w:t>Send written comments on FERC-</w:t>
      </w:r>
      <w:r>
        <w:rPr>
          <w:szCs w:val="26"/>
        </w:rPr>
        <w:t>725</w:t>
      </w:r>
      <w:r w:rsidR="00456947">
        <w:rPr>
          <w:szCs w:val="26"/>
        </w:rPr>
        <w:t>V</w:t>
      </w:r>
      <w:r>
        <w:rPr>
          <w:szCs w:val="26"/>
        </w:rPr>
        <w:t xml:space="preserve"> </w:t>
      </w:r>
      <w:r>
        <w:rPr>
          <w:iCs/>
          <w:szCs w:val="26"/>
        </w:rPr>
        <w:t xml:space="preserve">to OMB through </w:t>
      </w:r>
      <w:hyperlink r:id="rId10" w:history="1">
        <w:r>
          <w:rPr>
            <w:rStyle w:val="Hyperlink"/>
          </w:rPr>
          <w:t>www.reginfo.gov/public/do/PRAMain</w:t>
        </w:r>
      </w:hyperlink>
      <w:r>
        <w:rPr>
          <w:szCs w:val="26"/>
        </w:rPr>
        <w:t>.</w:t>
      </w:r>
      <w:r>
        <w:rPr>
          <w:iCs/>
          <w:szCs w:val="26"/>
        </w:rPr>
        <w:t xml:space="preserve">  Attention:  Federal Energy Regulatory </w:t>
      </w:r>
      <w:r>
        <w:rPr>
          <w:iCs/>
          <w:szCs w:val="26"/>
        </w:rPr>
        <w:t>Commission Desk Officer.  Please identify the OMB Control Number (1902-0277) in the subject line of your comments.  Comments</w:t>
      </w:r>
      <w:r>
        <w:rPr>
          <w:szCs w:val="26"/>
        </w:rPr>
        <w:t xml:space="preserve"> should be sent </w:t>
      </w:r>
      <w:bookmarkStart w:id="1" w:name="_Hlk35891527"/>
      <w:r>
        <w:rPr>
          <w:szCs w:val="26"/>
        </w:rPr>
        <w:t xml:space="preserve">within 30 days of publication of this notice to </w:t>
      </w:r>
      <w:bookmarkStart w:id="2" w:name="_Hlk38028221"/>
      <w:hyperlink r:id="rId10" w:history="1">
        <w:r>
          <w:rPr>
            <w:rStyle w:val="Hyperlink"/>
          </w:rPr>
          <w:t>www.reginfo.gov/public/do/PRAMain</w:t>
        </w:r>
      </w:hyperlink>
      <w:r>
        <w:rPr>
          <w:szCs w:val="26"/>
        </w:rPr>
        <w:t>.</w:t>
      </w:r>
      <w:bookmarkEnd w:id="1"/>
      <w:bookmarkEnd w:id="2"/>
    </w:p>
    <w:p w:rsidR="00133619" w:rsidP="00133619" w14:paraId="26EFEFAC" w14:textId="67CDA932">
      <w:pPr>
        <w:spacing w:line="480" w:lineRule="auto"/>
        <w:rPr>
          <w:szCs w:val="26"/>
        </w:rPr>
      </w:pPr>
      <w:r>
        <w:rPr>
          <w:szCs w:val="26"/>
        </w:rPr>
        <w:t>Please submit copies of your comments to the Commission.  You may submit copies of your comments (identified by Docket No. IC24-24-000) by one of the following methods:</w:t>
      </w:r>
    </w:p>
    <w:p w:rsidR="00133619" w:rsidP="00133619" w14:paraId="5DCA6E60" w14:textId="77777777">
      <w:pPr>
        <w:spacing w:line="480" w:lineRule="auto"/>
        <w:rPr>
          <w:szCs w:val="26"/>
        </w:rPr>
      </w:pPr>
      <w:r>
        <w:rPr>
          <w:szCs w:val="26"/>
        </w:rPr>
        <w:t xml:space="preserve">Electronic filing through </w:t>
      </w:r>
      <w:hyperlink r:id="rId11" w:history="1">
        <w:r>
          <w:rPr>
            <w:rStyle w:val="Hyperlink"/>
          </w:rPr>
          <w:t>https://www.ferc.gov</w:t>
        </w:r>
      </w:hyperlink>
      <w:r>
        <w:rPr>
          <w:szCs w:val="26"/>
        </w:rPr>
        <w:t>, is preferred.</w:t>
      </w:r>
    </w:p>
    <w:p w:rsidR="00133619" w:rsidP="00133619" w14:paraId="39F9515C" w14:textId="77777777">
      <w:pPr>
        <w:numPr>
          <w:ilvl w:val="0"/>
          <w:numId w:val="8"/>
        </w:numPr>
        <w:spacing w:line="480" w:lineRule="auto"/>
        <w:rPr>
          <w:szCs w:val="26"/>
        </w:rPr>
      </w:pPr>
      <w:r>
        <w:rPr>
          <w:szCs w:val="26"/>
        </w:rPr>
        <w:t xml:space="preserve">Electronic Filing: Documents must be filed in acceptable native applications and print-to-PDF, but not in scanned or picture format. </w:t>
      </w:r>
    </w:p>
    <w:p w:rsidR="00133619" w:rsidP="00133619" w14:paraId="2CB31342" w14:textId="77777777">
      <w:pPr>
        <w:numPr>
          <w:ilvl w:val="0"/>
          <w:numId w:val="8"/>
        </w:numPr>
        <w:spacing w:line="480" w:lineRule="auto"/>
        <w:rPr>
          <w:szCs w:val="26"/>
        </w:rPr>
      </w:pPr>
      <w:r>
        <w:rPr>
          <w:szCs w:val="26"/>
        </w:rPr>
        <w:t>For those unable to file electronically, comments may be filed by USPS mail or by other delivery methods:</w:t>
      </w:r>
    </w:p>
    <w:p w:rsidR="00133619" w:rsidP="00133619" w14:paraId="6CF6A6D6" w14:textId="77777777">
      <w:pPr>
        <w:numPr>
          <w:ilvl w:val="1"/>
          <w:numId w:val="8"/>
        </w:numPr>
        <w:spacing w:line="480" w:lineRule="auto"/>
        <w:rPr>
          <w:szCs w:val="26"/>
        </w:rPr>
      </w:pPr>
      <w:r>
        <w:rPr>
          <w:szCs w:val="26"/>
        </w:rPr>
        <w:t>Mail via U.S. Postal Service Only: Federal Energy Regulatory Commission, Secretary of the Commission, 888 First Street, N.E., Washington, DC 20426.</w:t>
      </w:r>
    </w:p>
    <w:p w:rsidR="00133619" w:rsidP="00133619" w14:paraId="4D6B541B" w14:textId="77777777">
      <w:pPr>
        <w:numPr>
          <w:ilvl w:val="1"/>
          <w:numId w:val="8"/>
        </w:numPr>
        <w:spacing w:line="480" w:lineRule="auto"/>
        <w:rPr>
          <w:szCs w:val="26"/>
        </w:rPr>
      </w:pPr>
      <w:r>
        <w:rPr>
          <w:szCs w:val="26"/>
        </w:rPr>
        <w:t>All other delivery methods: Federal Energy Regulatory Commission, Secretary of the Commission, 12225 Wilkins Avenue, Rockville, MD 20852.</w:t>
      </w:r>
    </w:p>
    <w:p w:rsidR="00133619" w:rsidP="00133619" w14:paraId="29866D19" w14:textId="77777777">
      <w:pPr>
        <w:spacing w:line="480" w:lineRule="auto"/>
        <w:rPr>
          <w:szCs w:val="26"/>
        </w:rPr>
      </w:pPr>
      <w:bookmarkStart w:id="3" w:name="OLE_LINK1"/>
      <w:r>
        <w:rPr>
          <w:i/>
          <w:szCs w:val="26"/>
        </w:rPr>
        <w:t>Instructions</w:t>
      </w:r>
      <w:r>
        <w:rPr>
          <w:iCs/>
          <w:szCs w:val="26"/>
        </w:rPr>
        <w:t>:</w:t>
      </w:r>
      <w:r>
        <w:rPr>
          <w:i/>
          <w:szCs w:val="26"/>
        </w:rPr>
        <w:t xml:space="preserve">  </w:t>
      </w:r>
      <w:r>
        <w:rPr>
          <w:iCs/>
          <w:szCs w:val="26"/>
        </w:rPr>
        <w:t xml:space="preserve">OMB submissions </w:t>
      </w:r>
      <w:r>
        <w:rPr>
          <w:szCs w:val="26"/>
        </w:rPr>
        <w:t>must be formatted and filed in accordance with submission guidelines at</w:t>
      </w:r>
      <w:r>
        <w:rPr>
          <w:i/>
          <w:szCs w:val="26"/>
        </w:rPr>
        <w:t xml:space="preserve"> </w:t>
      </w:r>
      <w:hyperlink r:id="rId10" w:history="1">
        <w:r>
          <w:rPr>
            <w:rStyle w:val="Hyperlink"/>
          </w:rPr>
          <w:t>www.reginfo.gov/public/do/PRAMain</w:t>
        </w:r>
      </w:hyperlink>
      <w:r>
        <w:rPr>
          <w:szCs w:val="26"/>
          <w:u w:val="single"/>
        </w:rPr>
        <w:t>.</w:t>
      </w:r>
      <w:r>
        <w:rPr>
          <w:szCs w:val="26"/>
        </w:rPr>
        <w:t xml:space="preserve">  Using the search function under the “Currently Under Review” field, select Federal Energy Regulatory Commission; click “submit,” and select “comment” to the right of the subject collection.</w:t>
      </w:r>
    </w:p>
    <w:p w:rsidR="00133619" w:rsidP="00133619" w14:paraId="25141108" w14:textId="77777777">
      <w:pPr>
        <w:spacing w:line="480" w:lineRule="auto"/>
        <w:rPr>
          <w:szCs w:val="26"/>
        </w:rPr>
      </w:pPr>
      <w:r>
        <w:rPr>
          <w:i/>
          <w:iCs/>
          <w:szCs w:val="26"/>
        </w:rPr>
        <w:t>FERC submissions</w:t>
      </w:r>
      <w:r>
        <w:rPr>
          <w:szCs w:val="26"/>
        </w:rPr>
        <w:t xml:space="preserve"> </w:t>
      </w:r>
      <w:bookmarkStart w:id="4" w:name="_Hlk38028397"/>
      <w:r>
        <w:rPr>
          <w:szCs w:val="26"/>
        </w:rPr>
        <w:t>must be formatted and filed in accordance with submission guidelines at</w:t>
      </w:r>
      <w:bookmarkEnd w:id="4"/>
      <w:r>
        <w:rPr>
          <w:szCs w:val="26"/>
        </w:rPr>
        <w:t xml:space="preserve">:  </w:t>
      </w:r>
      <w:hyperlink r:id="rId12" w:history="1">
        <w:r>
          <w:rPr>
            <w:rStyle w:val="Hyperlink"/>
          </w:rPr>
          <w:t>https://www.ferc.gov/ferc-online/overview</w:t>
        </w:r>
      </w:hyperlink>
      <w:r>
        <w:rPr>
          <w:szCs w:val="26"/>
        </w:rPr>
        <w:t>.  For user assistance, contact FERC Online Support by e-mail at ferconlinesupport@ferc.gov, or by phone at: (866) 208-3676 (toll-free).</w:t>
      </w:r>
    </w:p>
    <w:p w:rsidR="00FF098F" w:rsidRPr="00133619" w:rsidP="008212DA" w14:paraId="401271D4" w14:textId="6C62C0EC">
      <w:pPr>
        <w:spacing w:line="480" w:lineRule="auto"/>
        <w:rPr>
          <w:szCs w:val="26"/>
        </w:rPr>
      </w:pPr>
      <w:r>
        <w:rPr>
          <w:i/>
          <w:szCs w:val="26"/>
        </w:rPr>
        <w:t>Docket</w:t>
      </w:r>
      <w:r>
        <w:rPr>
          <w:iCs/>
          <w:szCs w:val="26"/>
        </w:rPr>
        <w:t xml:space="preserve">:  </w:t>
      </w:r>
      <w:r>
        <w:rPr>
          <w:szCs w:val="26"/>
        </w:rPr>
        <w:t xml:space="preserve">Users interested in receiving automatic notification of activity in this docket or in viewing/downloading comments and issuances in this docket may do so at </w:t>
      </w:r>
      <w:hyperlink r:id="rId12" w:history="1">
        <w:r>
          <w:rPr>
            <w:rStyle w:val="Hyperlink"/>
          </w:rPr>
          <w:t>https://www.ferc.gov/ferc-online/overview</w:t>
        </w:r>
      </w:hyperlink>
      <w:r>
        <w:rPr>
          <w:szCs w:val="26"/>
        </w:rPr>
        <w:t xml:space="preserve">. </w:t>
      </w:r>
      <w:bookmarkEnd w:id="3"/>
    </w:p>
    <w:p w:rsidR="0086175B" w:rsidRPr="0086175B" w:rsidP="008212DA" w14:paraId="78258633" w14:textId="48820BFB">
      <w:pPr>
        <w:spacing w:line="480" w:lineRule="auto"/>
        <w:rPr>
          <w:szCs w:val="26"/>
        </w:rPr>
      </w:pPr>
      <w:r w:rsidRPr="003B29FB">
        <w:rPr>
          <w:b/>
          <w:szCs w:val="26"/>
        </w:rPr>
        <w:t>FOR FURTHER INFORMATION:</w:t>
      </w:r>
      <w:r w:rsidRPr="003B29FB">
        <w:rPr>
          <w:szCs w:val="26"/>
        </w:rPr>
        <w:t xml:space="preserve">  </w:t>
      </w:r>
      <w:r w:rsidR="009A5682">
        <w:rPr>
          <w:szCs w:val="26"/>
        </w:rPr>
        <w:t xml:space="preserve">Kayla Williams </w:t>
      </w:r>
      <w:r w:rsidRPr="003B29FB">
        <w:rPr>
          <w:szCs w:val="26"/>
        </w:rPr>
        <w:t xml:space="preserve">may be reached by e-mail at </w:t>
      </w:r>
      <w:hyperlink r:id="rId13" w:history="1">
        <w:r w:rsidRPr="003B29FB">
          <w:rPr>
            <w:rStyle w:val="Hyperlink"/>
          </w:rPr>
          <w:t>DataClearance@FERC.gov</w:t>
        </w:r>
      </w:hyperlink>
      <w:r w:rsidRPr="003B29FB">
        <w:rPr>
          <w:szCs w:val="26"/>
        </w:rPr>
        <w:t>, telephone at (202) 502-</w:t>
      </w:r>
      <w:r>
        <w:rPr>
          <w:szCs w:val="26"/>
        </w:rPr>
        <w:t>6</w:t>
      </w:r>
      <w:r w:rsidR="009053DE">
        <w:rPr>
          <w:szCs w:val="26"/>
        </w:rPr>
        <w:t>46</w:t>
      </w:r>
      <w:r w:rsidR="00FF098F">
        <w:rPr>
          <w:szCs w:val="26"/>
        </w:rPr>
        <w:t>8</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C0408A" w:rsidRPr="00C0408A" w:rsidP="00C0408A" w14:paraId="4A225339" w14:textId="77777777">
      <w:pPr>
        <w:spacing w:line="480" w:lineRule="auto"/>
        <w:rPr>
          <w:szCs w:val="26"/>
        </w:rPr>
      </w:pPr>
      <w:bookmarkStart w:id="5" w:name="_Hlk173308440"/>
      <w:r w:rsidRPr="00C0408A">
        <w:rPr>
          <w:i/>
          <w:szCs w:val="26"/>
        </w:rPr>
        <w:t xml:space="preserve">Title: </w:t>
      </w:r>
      <w:r w:rsidRPr="00C0408A">
        <w:rPr>
          <w:szCs w:val="26"/>
        </w:rPr>
        <w:t xml:space="preserve">FERC-725V, Mandatory Reliability Standards: COM Reliability Standards </w:t>
      </w:r>
    </w:p>
    <w:bookmarkEnd w:id="5"/>
    <w:p w:rsidR="00C0408A" w:rsidRPr="00C0408A" w:rsidP="00C0408A" w14:paraId="21DF86AE" w14:textId="77777777">
      <w:pPr>
        <w:spacing w:line="480" w:lineRule="auto"/>
        <w:rPr>
          <w:szCs w:val="26"/>
        </w:rPr>
      </w:pPr>
      <w:r w:rsidRPr="00C0408A">
        <w:rPr>
          <w:i/>
          <w:szCs w:val="26"/>
        </w:rPr>
        <w:t>OMB Control No.:</w:t>
      </w:r>
      <w:r w:rsidRPr="00C0408A">
        <w:rPr>
          <w:szCs w:val="26"/>
        </w:rPr>
        <w:t xml:space="preserve"> 1902-0277</w:t>
      </w:r>
    </w:p>
    <w:p w:rsidR="00C0408A" w:rsidRPr="00C0408A" w:rsidP="00C0408A" w14:paraId="173E73F1" w14:textId="77777777">
      <w:pPr>
        <w:spacing w:line="480" w:lineRule="auto"/>
        <w:rPr>
          <w:szCs w:val="26"/>
        </w:rPr>
      </w:pPr>
      <w:r w:rsidRPr="00C0408A">
        <w:rPr>
          <w:i/>
          <w:szCs w:val="26"/>
        </w:rPr>
        <w:t>Type of Request:</w:t>
      </w:r>
      <w:r w:rsidRPr="00C0408A">
        <w:rPr>
          <w:szCs w:val="26"/>
        </w:rPr>
        <w:t xml:space="preserve"> Three-year extension of the FERC-725V information collection requirements with no changes to the current reporting requirements. </w:t>
      </w:r>
    </w:p>
    <w:p w:rsidR="00C0408A" w:rsidRPr="00C0408A" w:rsidP="00C0408A" w14:paraId="51F296E7" w14:textId="43F24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0408A">
        <w:rPr>
          <w:i/>
          <w:szCs w:val="26"/>
        </w:rPr>
        <w:t xml:space="preserve">Abstract: </w:t>
      </w:r>
      <w:r w:rsidRPr="00C0408A">
        <w:rPr>
          <w:szCs w:val="26"/>
        </w:rPr>
        <w:t>On August 15, 2016, the North American Electric Reliability Corporation (NERC) filed a petition for Commission approval, pursuant to section 215(d)(1) of the Federal Power Act (“FPA”)</w:t>
      </w:r>
      <w:r>
        <w:rPr>
          <w:b/>
          <w:szCs w:val="26"/>
          <w:vertAlign w:val="superscript"/>
        </w:rPr>
        <w:footnoteReference w:id="3"/>
      </w:r>
      <w:r w:rsidRPr="00C0408A">
        <w:rPr>
          <w:szCs w:val="26"/>
        </w:rPr>
        <w:t xml:space="preserve"> and Section 39.5</w:t>
      </w:r>
      <w:r>
        <w:rPr>
          <w:b/>
          <w:szCs w:val="26"/>
          <w:vertAlign w:val="superscript"/>
        </w:rPr>
        <w:footnoteReference w:id="4"/>
      </w:r>
      <w:r w:rsidRPr="00C0408A">
        <w:rPr>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w:t>
      </w:r>
      <w:r w:rsidRPr="00C0408A">
        <w:rPr>
          <w:szCs w:val="26"/>
        </w:rPr>
        <w:t xml:space="preserve">(“VSLs”)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w:t>
      </w:r>
      <w:r w:rsidR="003A350E">
        <w:rPr>
          <w:szCs w:val="26"/>
        </w:rPr>
        <w:t>reliable operations</w:t>
      </w:r>
      <w:r w:rsidRPr="00C0408A">
        <w:rPr>
          <w:szCs w:val="26"/>
        </w:rPr>
        <w:t>.</w:t>
      </w:r>
    </w:p>
    <w:p w:rsidR="00C0408A" w:rsidP="00C0408A" w14:paraId="6293F827" w14:textId="133774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szCs w:val="26"/>
        </w:rPr>
      </w:pPr>
      <w:r w:rsidRPr="00C0408A">
        <w:rPr>
          <w:szCs w:val="26"/>
        </w:rPr>
        <w:t xml:space="preserve"> </w:t>
      </w:r>
      <w:r w:rsidRPr="00C0408A">
        <w:rPr>
          <w:color w:val="000000"/>
          <w:szCs w:val="26"/>
        </w:rPr>
        <w:t xml:space="preserve">Reliability Standards COM-001-2 and COM-002-4 do not require responsible entities to file information with the Commission.  COM-001-2 requires that transmission operators, balancing authorities, reliability coordinators, distribution providers, and generator operators </w:t>
      </w:r>
      <w:r w:rsidR="00301F62">
        <w:rPr>
          <w:color w:val="000000"/>
          <w:szCs w:val="26"/>
        </w:rPr>
        <w:t xml:space="preserve">to </w:t>
      </w:r>
      <w:r w:rsidRPr="00C0408A">
        <w:rPr>
          <w:color w:val="000000"/>
          <w:szCs w:val="26"/>
        </w:rPr>
        <w:t xml:space="preserve">maintain documentation of </w:t>
      </w:r>
      <w:r w:rsidR="00EE248C">
        <w:rPr>
          <w:color w:val="000000"/>
          <w:szCs w:val="26"/>
        </w:rPr>
        <w:t>i</w:t>
      </w:r>
      <w:r w:rsidRPr="00C0408A">
        <w:rPr>
          <w:color w:val="000000"/>
          <w:szCs w:val="26"/>
        </w:rPr>
        <w:t xml:space="preserve">nterpersonal </w:t>
      </w:r>
      <w:r w:rsidR="00EE248C">
        <w:rPr>
          <w:color w:val="000000"/>
          <w:szCs w:val="26"/>
        </w:rPr>
        <w:t>c</w:t>
      </w:r>
      <w:r w:rsidRPr="00C0408A">
        <w:rPr>
          <w:color w:val="000000"/>
          <w:szCs w:val="26"/>
        </w:rPr>
        <w:t>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w:t>
      </w:r>
      <w:r w:rsidR="006B0632">
        <w:rPr>
          <w:color w:val="000000"/>
          <w:szCs w:val="26"/>
        </w:rPr>
        <w:t xml:space="preserve"> in </w:t>
      </w:r>
      <w:r w:rsidRPr="00C0408A">
        <w:rPr>
          <w:color w:val="000000"/>
          <w:szCs w:val="26"/>
        </w:rPr>
        <w:t>their annual assessment</w:t>
      </w:r>
      <w:r w:rsidR="006B0632">
        <w:rPr>
          <w:color w:val="000000"/>
          <w:szCs w:val="26"/>
        </w:rPr>
        <w:t>.</w:t>
      </w:r>
      <w:r w:rsidRPr="00C0408A">
        <w:rPr>
          <w:color w:val="000000"/>
          <w:szCs w:val="26"/>
        </w:rPr>
        <w:t xml:space="preserve"> Additionally, all applicable entities (balancing authorities, reliability coordinators, transmission operators, generator operators, and distribution providers) must be able to provide evidence of three-part communication when issuing or receiving an </w:t>
      </w:r>
      <w:r w:rsidR="00EE248C">
        <w:rPr>
          <w:color w:val="000000"/>
          <w:szCs w:val="26"/>
        </w:rPr>
        <w:t>o</w:t>
      </w:r>
      <w:r w:rsidRPr="00C0408A">
        <w:rPr>
          <w:color w:val="000000"/>
          <w:szCs w:val="26"/>
        </w:rPr>
        <w:t xml:space="preserve">perating </w:t>
      </w:r>
      <w:r w:rsidR="00EE248C">
        <w:rPr>
          <w:color w:val="000000"/>
          <w:szCs w:val="26"/>
        </w:rPr>
        <w:t>i</w:t>
      </w:r>
      <w:r w:rsidRPr="00C0408A">
        <w:rPr>
          <w:color w:val="000000"/>
          <w:szCs w:val="26"/>
        </w:rPr>
        <w:t>nstruction during an Emergency.</w:t>
      </w:r>
    </w:p>
    <w:p w:rsidR="00C418AE" w:rsidRPr="00C0408A" w:rsidP="00C0408A" w14:paraId="481E35B0" w14:textId="4FA7F7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T</w:t>
      </w:r>
      <w:r w:rsidRPr="00C418AE">
        <w:rPr>
          <w:szCs w:val="26"/>
        </w:rPr>
        <w:t xml:space="preserve">he </w:t>
      </w:r>
      <w:r>
        <w:rPr>
          <w:szCs w:val="26"/>
        </w:rPr>
        <w:t>one-time consideration of responsibility for COM-002-4 associated with Requirement R1 is no longer needed as entities</w:t>
      </w:r>
      <w:r w:rsidR="006B0632">
        <w:rPr>
          <w:szCs w:val="26"/>
        </w:rPr>
        <w:t xml:space="preserve"> previously</w:t>
      </w:r>
      <w:r>
        <w:rPr>
          <w:szCs w:val="26"/>
        </w:rPr>
        <w:t xml:space="preserve"> developed protocols </w:t>
      </w:r>
      <w:r>
        <w:rPr>
          <w:szCs w:val="26"/>
        </w:rPr>
        <w:t xml:space="preserve">associated with effective communication.  The ongoing work </w:t>
      </w:r>
      <w:r w:rsidRPr="00C418AE">
        <w:rPr>
          <w:szCs w:val="26"/>
        </w:rPr>
        <w:t xml:space="preserve">for </w:t>
      </w:r>
      <w:r>
        <w:rPr>
          <w:szCs w:val="26"/>
        </w:rPr>
        <w:t>COM-001-3 and COM-002-4</w:t>
      </w:r>
      <w:r w:rsidRPr="00C418AE">
        <w:rPr>
          <w:szCs w:val="26"/>
        </w:rPr>
        <w:t xml:space="preserve"> will remain the same, but the type of job responsibilities to follow the requirements will be split between an engineer and record-keeper, instead of just an engineer.  </w:t>
      </w:r>
      <w:r>
        <w:rPr>
          <w:szCs w:val="26"/>
        </w:rPr>
        <w:t>Since the previous renewal</w:t>
      </w:r>
      <w:r w:rsidR="008E7D0A">
        <w:rPr>
          <w:szCs w:val="26"/>
        </w:rPr>
        <w:t>, there has been an incremental increase in the number of respondents who must meet the requirements of these two COM reliability standards.</w:t>
      </w:r>
    </w:p>
    <w:p w:rsidR="00C0408A" w:rsidRPr="00C0408A" w:rsidP="00C0408A" w14:paraId="61A3E102" w14:textId="77777777">
      <w:pPr>
        <w:spacing w:line="480" w:lineRule="auto"/>
        <w:rPr>
          <w:szCs w:val="26"/>
        </w:rPr>
      </w:pPr>
      <w:r w:rsidRPr="00C0408A">
        <w:rPr>
          <w:i/>
          <w:szCs w:val="26"/>
        </w:rPr>
        <w:t xml:space="preserve">Type of Respondents: </w:t>
      </w:r>
      <w:r w:rsidRPr="00C0408A">
        <w:rPr>
          <w:szCs w:val="26"/>
        </w:rPr>
        <w:t>Public utilities.</w:t>
      </w:r>
    </w:p>
    <w:p w:rsidR="00C0408A" w:rsidRPr="00C0408A" w:rsidP="00C0408A" w14:paraId="66FBF8B1" w14:textId="79E0BF61">
      <w:pPr>
        <w:spacing w:line="480" w:lineRule="auto"/>
        <w:rPr>
          <w:szCs w:val="26"/>
        </w:rPr>
      </w:pPr>
      <w:r w:rsidRPr="00C0408A">
        <w:rPr>
          <w:i/>
          <w:szCs w:val="26"/>
        </w:rPr>
        <w:t>Estimate of Annual Burden</w:t>
      </w:r>
      <w:r w:rsidR="006B0632">
        <w:rPr>
          <w:i/>
          <w:szCs w:val="26"/>
        </w:rPr>
        <w:t>:</w:t>
      </w:r>
      <w:r>
        <w:rPr>
          <w:b/>
          <w:i/>
          <w:szCs w:val="26"/>
          <w:vertAlign w:val="superscript"/>
        </w:rPr>
        <w:footnoteReference w:id="5"/>
      </w:r>
      <w:r w:rsidRPr="00C0408A">
        <w:rPr>
          <w:i/>
          <w:szCs w:val="26"/>
        </w:rPr>
        <w:t xml:space="preserve"> </w:t>
      </w:r>
      <w:r w:rsidRPr="00C0408A">
        <w:rPr>
          <w:szCs w:val="26"/>
        </w:rPr>
        <w:t xml:space="preserve">The Commission estimates the annual public reporting burden for the information collection as: </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439"/>
        <w:gridCol w:w="1351"/>
        <w:gridCol w:w="1261"/>
        <w:gridCol w:w="1168"/>
        <w:gridCol w:w="1630"/>
        <w:gridCol w:w="1235"/>
        <w:gridCol w:w="29"/>
      </w:tblGrid>
      <w:tr w14:paraId="405BEBE4" w14:textId="77777777" w:rsidTr="00BE15E5">
        <w:tblPrEx>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5000" w:type="pct"/>
            <w:gridSpan w:val="8"/>
            <w:tcBorders>
              <w:bottom w:val="single" w:sz="4" w:space="0" w:color="auto"/>
            </w:tcBorders>
            <w:shd w:val="clear" w:color="auto" w:fill="D9D9D9"/>
          </w:tcPr>
          <w:p w:rsidR="00C0408A" w:rsidRPr="00C0408A" w:rsidP="00C0408A" w14:paraId="6B809EE0" w14:textId="77777777">
            <w:pPr>
              <w:jc w:val="center"/>
              <w:rPr>
                <w:rFonts w:eastAsia="Calibri"/>
                <w:b/>
                <w:szCs w:val="26"/>
              </w:rPr>
            </w:pPr>
            <w:r w:rsidRPr="00C0408A">
              <w:rPr>
                <w:rFonts w:eastAsia="Calibri"/>
                <w:b/>
                <w:szCs w:val="26"/>
              </w:rPr>
              <w:t xml:space="preserve">FERC-725V, </w:t>
            </w:r>
            <w:r w:rsidRPr="00C0408A">
              <w:rPr>
                <w:b/>
                <w:szCs w:val="26"/>
              </w:rPr>
              <w:t>Mandatory Reliability Standards: COM Reliability Standards</w:t>
            </w:r>
          </w:p>
        </w:tc>
      </w:tr>
      <w:tr w14:paraId="4B9B3F93" w14:textId="77777777" w:rsidTr="00BE15E5">
        <w:tblPrEx>
          <w:tblW w:w="5250" w:type="pct"/>
          <w:jc w:val="center"/>
          <w:tblLayout w:type="fixed"/>
          <w:tblLook w:val="01E0"/>
        </w:tblPrEx>
        <w:trPr>
          <w:gridAfter w:val="1"/>
          <w:wAfter w:w="15" w:type="dxa"/>
          <w:cantSplit/>
          <w:trHeight w:val="2330"/>
          <w:jc w:val="center"/>
        </w:trPr>
        <w:tc>
          <w:tcPr>
            <w:tcW w:w="868" w:type="pct"/>
            <w:shd w:val="clear" w:color="auto" w:fill="D9D9D9"/>
            <w:vAlign w:val="bottom"/>
          </w:tcPr>
          <w:p w:rsidR="00C0408A" w:rsidRPr="00C0408A" w:rsidP="00C0408A" w14:paraId="21754EB0" w14:textId="77777777">
            <w:pPr>
              <w:jc w:val="center"/>
              <w:rPr>
                <w:rFonts w:eastAsia="Calibri"/>
                <w:b/>
                <w:szCs w:val="26"/>
              </w:rPr>
            </w:pPr>
          </w:p>
        </w:tc>
        <w:tc>
          <w:tcPr>
            <w:tcW w:w="733" w:type="pct"/>
            <w:shd w:val="clear" w:color="auto" w:fill="D9D9D9"/>
            <w:vAlign w:val="bottom"/>
          </w:tcPr>
          <w:p w:rsidR="00C0408A" w:rsidRPr="00C0408A" w:rsidP="00C0408A" w14:paraId="2C588D01" w14:textId="072BD7F3">
            <w:pPr>
              <w:jc w:val="center"/>
              <w:rPr>
                <w:rFonts w:eastAsia="Calibri"/>
                <w:b/>
                <w:szCs w:val="26"/>
                <w:highlight w:val="yellow"/>
              </w:rPr>
            </w:pPr>
            <w:r w:rsidRPr="00C0408A">
              <w:rPr>
                <w:rFonts w:eastAsia="Calibri"/>
                <w:b/>
                <w:szCs w:val="26"/>
              </w:rPr>
              <w:t>Number of Respondents</w:t>
            </w:r>
            <w:r>
              <w:rPr>
                <w:rStyle w:val="FootnoteReference"/>
                <w:rFonts w:eastAsia="Calibri"/>
                <w:b w:val="0"/>
              </w:rPr>
              <w:footnoteReference w:id="6"/>
            </w:r>
            <w:r w:rsidRPr="00C0408A">
              <w:rPr>
                <w:rFonts w:eastAsia="Calibri"/>
                <w:b/>
                <w:szCs w:val="26"/>
              </w:rPr>
              <w:br/>
              <w:t>(1)</w:t>
            </w:r>
          </w:p>
        </w:tc>
        <w:tc>
          <w:tcPr>
            <w:tcW w:w="688" w:type="pct"/>
            <w:shd w:val="clear" w:color="auto" w:fill="D9D9D9"/>
            <w:vAlign w:val="bottom"/>
          </w:tcPr>
          <w:p w:rsidR="00C0408A" w:rsidRPr="00C0408A" w:rsidP="00C0408A" w14:paraId="5C263BC0" w14:textId="77777777">
            <w:pPr>
              <w:jc w:val="center"/>
              <w:rPr>
                <w:rFonts w:eastAsia="Calibri"/>
                <w:b/>
                <w:szCs w:val="26"/>
              </w:rPr>
            </w:pPr>
            <w:r w:rsidRPr="00C0408A">
              <w:rPr>
                <w:rFonts w:eastAsia="Calibri"/>
                <w:b/>
                <w:szCs w:val="26"/>
              </w:rPr>
              <w:t>Annual Number of Responses per Respondent</w:t>
            </w:r>
          </w:p>
          <w:p w:rsidR="00C0408A" w:rsidRPr="00C0408A" w:rsidP="00C0408A" w14:paraId="41CF0D2A" w14:textId="77777777">
            <w:pPr>
              <w:jc w:val="center"/>
              <w:rPr>
                <w:rFonts w:eastAsia="Calibri"/>
                <w:b/>
                <w:szCs w:val="26"/>
                <w:highlight w:val="yellow"/>
              </w:rPr>
            </w:pPr>
            <w:r w:rsidRPr="00C0408A">
              <w:rPr>
                <w:rFonts w:eastAsia="Calibri"/>
                <w:b/>
                <w:szCs w:val="26"/>
              </w:rPr>
              <w:t>(2)</w:t>
            </w:r>
          </w:p>
        </w:tc>
        <w:tc>
          <w:tcPr>
            <w:tcW w:w="642" w:type="pct"/>
            <w:shd w:val="clear" w:color="auto" w:fill="D9D9D9"/>
            <w:vAlign w:val="bottom"/>
          </w:tcPr>
          <w:p w:rsidR="00C0408A" w:rsidRPr="00C0408A" w:rsidP="00C0408A" w14:paraId="3F38EAFC" w14:textId="0D493F45">
            <w:pPr>
              <w:jc w:val="center"/>
              <w:rPr>
                <w:rFonts w:eastAsia="Calibri"/>
                <w:b/>
                <w:szCs w:val="26"/>
                <w:highlight w:val="yellow"/>
              </w:rPr>
            </w:pPr>
            <w:r w:rsidRPr="00C0408A">
              <w:rPr>
                <w:rFonts w:eastAsia="Calibri"/>
                <w:b/>
                <w:szCs w:val="26"/>
              </w:rPr>
              <w:t>Total Number of Responses (</w:t>
            </w:r>
            <w:r w:rsidRPr="00C0408A">
              <w:rPr>
                <w:rFonts w:eastAsia="Calibri"/>
                <w:b/>
                <w:szCs w:val="26"/>
              </w:rPr>
              <w:t>1)*</w:t>
            </w:r>
            <w:r w:rsidRPr="00C0408A">
              <w:rPr>
                <w:rFonts w:eastAsia="Calibri"/>
                <w:b/>
                <w:szCs w:val="26"/>
              </w:rPr>
              <w:t>(2)=</w:t>
            </w:r>
            <w:r w:rsidR="00CC6AF0">
              <w:rPr>
                <w:rFonts w:eastAsia="Calibri"/>
                <w:b/>
                <w:szCs w:val="26"/>
              </w:rPr>
              <w:t xml:space="preserve"> </w:t>
            </w:r>
            <w:r w:rsidRPr="00C0408A">
              <w:rPr>
                <w:rFonts w:eastAsia="Calibri"/>
                <w:b/>
                <w:szCs w:val="26"/>
              </w:rPr>
              <w:t>(3)</w:t>
            </w:r>
          </w:p>
        </w:tc>
        <w:tc>
          <w:tcPr>
            <w:tcW w:w="595" w:type="pct"/>
            <w:shd w:val="clear" w:color="auto" w:fill="D9D9D9"/>
            <w:vAlign w:val="bottom"/>
          </w:tcPr>
          <w:p w:rsidR="00C0408A" w:rsidRPr="00C0408A" w:rsidP="00C0408A" w14:paraId="059BA084" w14:textId="77777777">
            <w:pPr>
              <w:jc w:val="center"/>
              <w:rPr>
                <w:rFonts w:eastAsia="Calibri"/>
                <w:b/>
                <w:szCs w:val="26"/>
              </w:rPr>
            </w:pPr>
            <w:r w:rsidRPr="00C0408A">
              <w:rPr>
                <w:rFonts w:eastAsia="Calibri"/>
                <w:b/>
                <w:szCs w:val="26"/>
              </w:rPr>
              <w:t>Average Burden &amp; Cost Per Response</w:t>
            </w:r>
            <w:r>
              <w:rPr>
                <w:rFonts w:eastAsia="Calibri"/>
                <w:b/>
                <w:szCs w:val="26"/>
                <w:vertAlign w:val="superscript"/>
              </w:rPr>
              <w:footnoteReference w:id="7"/>
            </w:r>
          </w:p>
          <w:p w:rsidR="00C0408A" w:rsidRPr="00C0408A" w:rsidP="00C0408A" w14:paraId="3E6988B2" w14:textId="77777777">
            <w:pPr>
              <w:jc w:val="center"/>
              <w:rPr>
                <w:rFonts w:eastAsia="Calibri"/>
                <w:b/>
                <w:szCs w:val="26"/>
                <w:highlight w:val="yellow"/>
              </w:rPr>
            </w:pPr>
            <w:r w:rsidRPr="00C0408A">
              <w:rPr>
                <w:rFonts w:eastAsia="Calibri"/>
                <w:b/>
                <w:szCs w:val="26"/>
              </w:rPr>
              <w:t>(4)</w:t>
            </w:r>
          </w:p>
        </w:tc>
        <w:tc>
          <w:tcPr>
            <w:tcW w:w="830" w:type="pct"/>
            <w:shd w:val="clear" w:color="auto" w:fill="D9D9D9"/>
            <w:vAlign w:val="bottom"/>
          </w:tcPr>
          <w:p w:rsidR="00C0408A" w:rsidRPr="00C0408A" w:rsidP="00C0408A" w14:paraId="71ADFCF6" w14:textId="77777777">
            <w:pPr>
              <w:jc w:val="center"/>
              <w:rPr>
                <w:rFonts w:eastAsia="Calibri"/>
                <w:b/>
                <w:szCs w:val="26"/>
              </w:rPr>
            </w:pPr>
            <w:r w:rsidRPr="00C0408A">
              <w:rPr>
                <w:rFonts w:eastAsia="Calibri"/>
                <w:b/>
                <w:szCs w:val="26"/>
              </w:rPr>
              <w:t>Total Annual Burden Hours &amp; Total Annual Cost</w:t>
            </w:r>
          </w:p>
          <w:p w:rsidR="00C0408A" w:rsidRPr="00C0408A" w:rsidP="00C0408A" w14:paraId="3ACE6393" w14:textId="77777777">
            <w:pPr>
              <w:jc w:val="center"/>
              <w:rPr>
                <w:rFonts w:eastAsia="Calibri"/>
                <w:b/>
                <w:szCs w:val="26"/>
                <w:highlight w:val="yellow"/>
              </w:rPr>
            </w:pPr>
            <w:r w:rsidRPr="00C0408A">
              <w:rPr>
                <w:rFonts w:eastAsia="Calibri"/>
                <w:b/>
                <w:szCs w:val="26"/>
              </w:rPr>
              <w:t>(</w:t>
            </w:r>
            <w:r w:rsidRPr="00C0408A">
              <w:rPr>
                <w:rFonts w:eastAsia="Calibri"/>
                <w:b/>
                <w:szCs w:val="26"/>
              </w:rPr>
              <w:t>3)*</w:t>
            </w:r>
            <w:r w:rsidRPr="00C0408A">
              <w:rPr>
                <w:rFonts w:eastAsia="Calibri"/>
                <w:b/>
                <w:szCs w:val="26"/>
              </w:rPr>
              <w:t>(4)=(5)</w:t>
            </w:r>
          </w:p>
        </w:tc>
        <w:tc>
          <w:tcPr>
            <w:tcW w:w="629" w:type="pct"/>
            <w:shd w:val="clear" w:color="auto" w:fill="D9D9D9"/>
            <w:vAlign w:val="bottom"/>
          </w:tcPr>
          <w:p w:rsidR="00C0408A" w:rsidRPr="00C0408A" w:rsidP="00C0408A" w14:paraId="1ACEE222" w14:textId="77777777">
            <w:pPr>
              <w:jc w:val="center"/>
              <w:rPr>
                <w:rFonts w:eastAsia="Calibri"/>
                <w:b/>
                <w:szCs w:val="26"/>
              </w:rPr>
            </w:pPr>
            <w:r w:rsidRPr="00C0408A">
              <w:rPr>
                <w:rFonts w:eastAsia="Calibri"/>
                <w:b/>
                <w:szCs w:val="26"/>
              </w:rPr>
              <w:t>Cost per Respondent</w:t>
            </w:r>
          </w:p>
          <w:p w:rsidR="00C0408A" w:rsidRPr="00C0408A" w:rsidP="00C0408A" w14:paraId="0DC60321" w14:textId="77777777">
            <w:pPr>
              <w:jc w:val="center"/>
              <w:rPr>
                <w:rFonts w:eastAsia="Calibri"/>
                <w:b/>
                <w:szCs w:val="26"/>
              </w:rPr>
            </w:pPr>
            <w:r w:rsidRPr="00C0408A">
              <w:rPr>
                <w:rFonts w:eastAsia="Calibri"/>
                <w:b/>
                <w:szCs w:val="26"/>
              </w:rPr>
              <w:t xml:space="preserve"> ($)</w:t>
            </w:r>
          </w:p>
          <w:p w:rsidR="00C0408A" w:rsidRPr="00C0408A" w:rsidP="00C0408A" w14:paraId="0072B520" w14:textId="77777777">
            <w:pPr>
              <w:jc w:val="center"/>
              <w:rPr>
                <w:rFonts w:eastAsia="Calibri"/>
                <w:b/>
                <w:szCs w:val="26"/>
                <w:highlight w:val="yellow"/>
              </w:rPr>
            </w:pPr>
            <w:r w:rsidRPr="00C0408A">
              <w:rPr>
                <w:rFonts w:eastAsia="Calibri"/>
                <w:b/>
                <w:szCs w:val="26"/>
              </w:rPr>
              <w:t>(</w:t>
            </w:r>
            <w:r w:rsidRPr="00C0408A">
              <w:rPr>
                <w:rFonts w:eastAsia="Calibri"/>
                <w:b/>
                <w:szCs w:val="26"/>
              </w:rPr>
              <w:t>5)÷</w:t>
            </w:r>
            <w:r w:rsidRPr="00C0408A">
              <w:rPr>
                <w:rFonts w:eastAsia="Calibri"/>
                <w:b/>
                <w:szCs w:val="26"/>
              </w:rPr>
              <w:t>(1)</w:t>
            </w:r>
          </w:p>
        </w:tc>
      </w:tr>
      <w:tr w14:paraId="15A3FC87" w14:textId="77777777" w:rsidTr="00BE15E5">
        <w:tblPrEx>
          <w:tblW w:w="5250" w:type="pct"/>
          <w:jc w:val="center"/>
          <w:tblLayout w:type="fixed"/>
          <w:tblLook w:val="01E0"/>
        </w:tblPrEx>
        <w:trPr>
          <w:gridAfter w:val="1"/>
          <w:wAfter w:w="15" w:type="dxa"/>
          <w:cantSplit/>
          <w:trHeight w:val="1187"/>
          <w:jc w:val="center"/>
        </w:trPr>
        <w:tc>
          <w:tcPr>
            <w:tcW w:w="868" w:type="pct"/>
            <w:vMerge w:val="restart"/>
            <w:vAlign w:val="center"/>
          </w:tcPr>
          <w:p w:rsidR="00BA5A3C" w:rsidRPr="00C0408A" w:rsidP="00C0408A" w14:paraId="76957AF7" w14:textId="0216F2C7">
            <w:pPr>
              <w:rPr>
                <w:rFonts w:eastAsia="Calibri"/>
                <w:szCs w:val="26"/>
              </w:rPr>
            </w:pPr>
            <w:r w:rsidRPr="00C0408A">
              <w:rPr>
                <w:szCs w:val="26"/>
              </w:rPr>
              <w:t xml:space="preserve">Maintain evidence of Interpersonal </w:t>
            </w:r>
            <w:r w:rsidRPr="00C0408A">
              <w:rPr>
                <w:szCs w:val="26"/>
              </w:rPr>
              <w:t>Communication capability [COM-001-</w:t>
            </w:r>
            <w:r>
              <w:rPr>
                <w:szCs w:val="26"/>
              </w:rPr>
              <w:t>3</w:t>
            </w:r>
            <w:r w:rsidRPr="00C0408A">
              <w:rPr>
                <w:szCs w:val="26"/>
              </w:rPr>
              <w:t xml:space="preserve"> R7 and R8]</w:t>
            </w:r>
            <w:r w:rsidRPr="00C0408A">
              <w:rPr>
                <w:rFonts w:eastAsia="Calibri"/>
                <w:szCs w:val="26"/>
              </w:rPr>
              <w:t xml:space="preserve"> </w:t>
            </w:r>
          </w:p>
        </w:tc>
        <w:tc>
          <w:tcPr>
            <w:tcW w:w="733" w:type="pct"/>
          </w:tcPr>
          <w:p w:rsidR="00BA5A3C" w:rsidRPr="00C0408A" w:rsidP="00BE15E5" w14:paraId="3EB5FE9C" w14:textId="1E976805">
            <w:pPr>
              <w:jc w:val="center"/>
              <w:rPr>
                <w:rFonts w:eastAsia="Calibri"/>
                <w:szCs w:val="26"/>
              </w:rPr>
            </w:pPr>
            <w:r>
              <w:rPr>
                <w:rFonts w:eastAsia="Calibri"/>
                <w:szCs w:val="26"/>
              </w:rPr>
              <w:t>(</w:t>
            </w:r>
            <w:r w:rsidRPr="00C0408A">
              <w:rPr>
                <w:rFonts w:eastAsia="Calibri"/>
                <w:szCs w:val="26"/>
              </w:rPr>
              <w:t>DP</w:t>
            </w:r>
            <w:r>
              <w:rPr>
                <w:rFonts w:eastAsia="Calibri"/>
                <w:szCs w:val="26"/>
              </w:rPr>
              <w:t>)</w:t>
            </w:r>
            <w:r>
              <w:rPr>
                <w:rFonts w:eastAsia="Calibri"/>
                <w:szCs w:val="26"/>
              </w:rPr>
              <w:br/>
            </w:r>
            <w:r w:rsidR="004207F2">
              <w:rPr>
                <w:rFonts w:eastAsia="Calibri"/>
                <w:szCs w:val="26"/>
              </w:rPr>
              <w:t>300</w:t>
            </w:r>
            <w:r w:rsidRPr="00C0408A">
              <w:rPr>
                <w:rFonts w:eastAsia="Calibri"/>
                <w:szCs w:val="26"/>
              </w:rPr>
              <w:t xml:space="preserve"> </w:t>
            </w:r>
          </w:p>
        </w:tc>
        <w:tc>
          <w:tcPr>
            <w:tcW w:w="688" w:type="pct"/>
            <w:vAlign w:val="center"/>
          </w:tcPr>
          <w:p w:rsidR="00BA5A3C" w:rsidRPr="00C0408A" w:rsidP="00BE15E5" w14:paraId="1D7E7DAC" w14:textId="77777777">
            <w:pPr>
              <w:jc w:val="center"/>
              <w:rPr>
                <w:rFonts w:eastAsia="Calibri"/>
                <w:szCs w:val="26"/>
              </w:rPr>
            </w:pPr>
            <w:r w:rsidRPr="00C0408A">
              <w:rPr>
                <w:rFonts w:eastAsia="Calibri"/>
                <w:szCs w:val="26"/>
              </w:rPr>
              <w:t>1</w:t>
            </w:r>
          </w:p>
        </w:tc>
        <w:tc>
          <w:tcPr>
            <w:tcW w:w="642" w:type="pct"/>
            <w:vAlign w:val="center"/>
          </w:tcPr>
          <w:p w:rsidR="00BA5A3C" w:rsidRPr="00C0408A" w:rsidP="00BE15E5" w14:paraId="4B1BF3B2" w14:textId="5672B2DA">
            <w:pPr>
              <w:jc w:val="center"/>
              <w:rPr>
                <w:rFonts w:eastAsia="Calibri"/>
                <w:szCs w:val="26"/>
              </w:rPr>
            </w:pPr>
            <w:r>
              <w:rPr>
                <w:rFonts w:eastAsia="Calibri"/>
                <w:szCs w:val="26"/>
              </w:rPr>
              <w:t>300</w:t>
            </w:r>
          </w:p>
        </w:tc>
        <w:tc>
          <w:tcPr>
            <w:tcW w:w="595" w:type="pct"/>
            <w:vAlign w:val="center"/>
          </w:tcPr>
          <w:p w:rsidR="00BA5A3C" w:rsidRPr="00C0408A" w:rsidP="00C0408A" w14:paraId="1DB09A30" w14:textId="0944375B">
            <w:pPr>
              <w:jc w:val="right"/>
              <w:rPr>
                <w:rFonts w:eastAsia="Calibri"/>
                <w:szCs w:val="26"/>
              </w:rPr>
            </w:pPr>
            <w:r w:rsidRPr="00C0408A">
              <w:rPr>
                <w:rFonts w:eastAsia="Calibri"/>
                <w:szCs w:val="26"/>
              </w:rPr>
              <w:t xml:space="preserve">4 hrs. </w:t>
            </w:r>
          </w:p>
          <w:p w:rsidR="00BA5A3C" w:rsidRPr="00C0408A" w:rsidP="00C0408A" w14:paraId="1B17F2DD" w14:textId="16EFBED0">
            <w:pPr>
              <w:jc w:val="right"/>
              <w:rPr>
                <w:rFonts w:eastAsia="Calibri"/>
                <w:szCs w:val="26"/>
              </w:rPr>
            </w:pPr>
            <w:r w:rsidRPr="00C0408A">
              <w:rPr>
                <w:rFonts w:eastAsia="Calibri"/>
                <w:szCs w:val="26"/>
              </w:rPr>
              <w:t>$</w:t>
            </w:r>
            <w:r w:rsidR="009A430C">
              <w:rPr>
                <w:rFonts w:eastAsia="Calibri"/>
                <w:szCs w:val="26"/>
              </w:rPr>
              <w:t>282.68</w:t>
            </w:r>
            <w:r w:rsidRPr="00C0408A">
              <w:rPr>
                <w:rFonts w:eastAsia="Calibri"/>
                <w:szCs w:val="26"/>
              </w:rPr>
              <w:t xml:space="preserve"> </w:t>
            </w:r>
          </w:p>
        </w:tc>
        <w:tc>
          <w:tcPr>
            <w:tcW w:w="830" w:type="pct"/>
            <w:vAlign w:val="center"/>
          </w:tcPr>
          <w:p w:rsidR="00BA5A3C" w:rsidRPr="00C0408A" w:rsidP="00C0408A" w14:paraId="089088D7" w14:textId="3D48B601">
            <w:pPr>
              <w:jc w:val="right"/>
              <w:rPr>
                <w:rFonts w:eastAsia="Calibri"/>
                <w:szCs w:val="26"/>
              </w:rPr>
            </w:pPr>
            <w:r>
              <w:rPr>
                <w:rFonts w:eastAsia="Calibri"/>
                <w:szCs w:val="26"/>
              </w:rPr>
              <w:t>1</w:t>
            </w:r>
            <w:r w:rsidR="00374D2A">
              <w:rPr>
                <w:rFonts w:eastAsia="Calibri"/>
                <w:szCs w:val="26"/>
              </w:rPr>
              <w:t>,</w:t>
            </w:r>
            <w:r>
              <w:rPr>
                <w:rFonts w:eastAsia="Calibri"/>
                <w:szCs w:val="26"/>
              </w:rPr>
              <w:t xml:space="preserve">200 </w:t>
            </w:r>
            <w:r w:rsidRPr="00C0408A">
              <w:rPr>
                <w:rFonts w:eastAsia="Calibri"/>
                <w:szCs w:val="26"/>
              </w:rPr>
              <w:t xml:space="preserve">hrs. </w:t>
            </w:r>
          </w:p>
          <w:p w:rsidR="00BA5A3C" w:rsidRPr="00C0408A" w:rsidP="00C0408A" w14:paraId="2BDE65F1" w14:textId="11F2F0A1">
            <w:pPr>
              <w:jc w:val="right"/>
              <w:rPr>
                <w:rFonts w:eastAsia="Calibri"/>
                <w:szCs w:val="26"/>
              </w:rPr>
            </w:pPr>
            <w:r w:rsidRPr="00C0408A">
              <w:rPr>
                <w:rFonts w:eastAsia="Calibri"/>
                <w:szCs w:val="26"/>
              </w:rPr>
              <w:t>$</w:t>
            </w:r>
            <w:r w:rsidR="00E6029D">
              <w:rPr>
                <w:rFonts w:eastAsia="Calibri"/>
                <w:szCs w:val="26"/>
              </w:rPr>
              <w:t>8</w:t>
            </w:r>
            <w:r w:rsidR="009A430C">
              <w:rPr>
                <w:rFonts w:eastAsia="Calibri"/>
                <w:szCs w:val="26"/>
              </w:rPr>
              <w:t>4,804</w:t>
            </w:r>
            <w:r w:rsidRPr="00C0408A">
              <w:rPr>
                <w:rFonts w:eastAsia="Calibri"/>
                <w:szCs w:val="26"/>
              </w:rPr>
              <w:t xml:space="preserve"> </w:t>
            </w:r>
          </w:p>
        </w:tc>
        <w:tc>
          <w:tcPr>
            <w:tcW w:w="629" w:type="pct"/>
            <w:vAlign w:val="center"/>
          </w:tcPr>
          <w:p w:rsidR="00BA5A3C" w:rsidRPr="00C0408A" w:rsidP="00C0408A" w14:paraId="126707D4" w14:textId="215A6C65">
            <w:pPr>
              <w:jc w:val="right"/>
              <w:rPr>
                <w:rFonts w:eastAsia="Calibri"/>
                <w:szCs w:val="26"/>
              </w:rPr>
            </w:pPr>
            <w:r w:rsidRPr="00C0408A">
              <w:rPr>
                <w:rFonts w:eastAsia="Calibri"/>
                <w:szCs w:val="26"/>
              </w:rPr>
              <w:t>$</w:t>
            </w:r>
            <w:r w:rsidR="003F452F">
              <w:rPr>
                <w:rFonts w:eastAsia="Calibri"/>
                <w:szCs w:val="26"/>
              </w:rPr>
              <w:t>2</w:t>
            </w:r>
            <w:r w:rsidR="009A430C">
              <w:rPr>
                <w:rFonts w:eastAsia="Calibri"/>
                <w:szCs w:val="26"/>
              </w:rPr>
              <w:t>82.68</w:t>
            </w:r>
          </w:p>
        </w:tc>
      </w:tr>
      <w:tr w14:paraId="57167835" w14:textId="77777777" w:rsidTr="00BE15E5">
        <w:tblPrEx>
          <w:tblW w:w="5250" w:type="pct"/>
          <w:jc w:val="center"/>
          <w:tblLayout w:type="fixed"/>
          <w:tblLook w:val="01E0"/>
        </w:tblPrEx>
        <w:trPr>
          <w:gridAfter w:val="1"/>
          <w:wAfter w:w="15" w:type="dxa"/>
          <w:cantSplit/>
          <w:trHeight w:val="1268"/>
          <w:jc w:val="center"/>
        </w:trPr>
        <w:tc>
          <w:tcPr>
            <w:tcW w:w="868" w:type="pct"/>
            <w:vMerge/>
          </w:tcPr>
          <w:p w:rsidR="00BA5A3C" w:rsidRPr="00C0408A" w:rsidP="00C0408A" w14:paraId="52E450CA" w14:textId="77777777">
            <w:pPr>
              <w:rPr>
                <w:szCs w:val="26"/>
              </w:rPr>
            </w:pPr>
          </w:p>
        </w:tc>
        <w:tc>
          <w:tcPr>
            <w:tcW w:w="733" w:type="pct"/>
          </w:tcPr>
          <w:p w:rsidR="00BA5A3C" w:rsidRPr="00C0408A" w:rsidP="00BE15E5" w14:paraId="1BFC4075" w14:textId="6016A85D">
            <w:pPr>
              <w:jc w:val="center"/>
              <w:rPr>
                <w:rFonts w:eastAsia="Calibri"/>
                <w:szCs w:val="26"/>
              </w:rPr>
            </w:pPr>
            <w:r>
              <w:rPr>
                <w:rFonts w:eastAsia="Calibri"/>
                <w:szCs w:val="26"/>
              </w:rPr>
              <w:t>(</w:t>
            </w:r>
            <w:r>
              <w:rPr>
                <w:rFonts w:eastAsia="Calibri"/>
                <w:szCs w:val="26"/>
              </w:rPr>
              <w:t>GOP</w:t>
            </w:r>
            <w:r>
              <w:rPr>
                <w:rFonts w:eastAsia="Calibri"/>
                <w:szCs w:val="26"/>
              </w:rPr>
              <w:t>)</w:t>
            </w:r>
            <w:r>
              <w:rPr>
                <w:rFonts w:eastAsia="Calibri"/>
                <w:szCs w:val="26"/>
              </w:rPr>
              <w:br/>
            </w:r>
            <w:r w:rsidR="00121D48">
              <w:rPr>
                <w:rFonts w:eastAsia="Calibri"/>
                <w:szCs w:val="26"/>
              </w:rPr>
              <w:t>1</w:t>
            </w:r>
            <w:r w:rsidR="00374D2A">
              <w:rPr>
                <w:rFonts w:eastAsia="Calibri"/>
                <w:szCs w:val="26"/>
              </w:rPr>
              <w:t>,</w:t>
            </w:r>
            <w:r w:rsidR="00121D48">
              <w:rPr>
                <w:rFonts w:eastAsia="Calibri"/>
                <w:szCs w:val="26"/>
              </w:rPr>
              <w:t>028</w:t>
            </w:r>
            <w:r>
              <w:rPr>
                <w:rFonts w:eastAsia="Calibri"/>
                <w:szCs w:val="26"/>
              </w:rPr>
              <w:br/>
            </w:r>
          </w:p>
        </w:tc>
        <w:tc>
          <w:tcPr>
            <w:tcW w:w="688" w:type="pct"/>
            <w:vAlign w:val="center"/>
          </w:tcPr>
          <w:p w:rsidR="00BA5A3C" w:rsidRPr="00C0408A" w:rsidP="00BE15E5" w14:paraId="374191A3" w14:textId="4132C3F1">
            <w:pPr>
              <w:jc w:val="center"/>
              <w:rPr>
                <w:rFonts w:eastAsia="Calibri"/>
                <w:szCs w:val="26"/>
              </w:rPr>
            </w:pPr>
            <w:r>
              <w:rPr>
                <w:rFonts w:eastAsia="Calibri"/>
                <w:szCs w:val="26"/>
              </w:rPr>
              <w:t>1</w:t>
            </w:r>
          </w:p>
        </w:tc>
        <w:tc>
          <w:tcPr>
            <w:tcW w:w="642" w:type="pct"/>
            <w:vAlign w:val="center"/>
          </w:tcPr>
          <w:p w:rsidR="00BA5A3C" w:rsidRPr="00C0408A" w:rsidP="00BE15E5" w14:paraId="697CD87A" w14:textId="74B6BF6C">
            <w:pPr>
              <w:jc w:val="center"/>
              <w:rPr>
                <w:rFonts w:eastAsia="Calibri"/>
                <w:szCs w:val="26"/>
              </w:rPr>
            </w:pPr>
            <w:r>
              <w:rPr>
                <w:rFonts w:eastAsia="Calibri"/>
                <w:szCs w:val="26"/>
              </w:rPr>
              <w:t>1</w:t>
            </w:r>
            <w:r w:rsidR="00374D2A">
              <w:rPr>
                <w:rFonts w:eastAsia="Calibri"/>
                <w:szCs w:val="26"/>
              </w:rPr>
              <w:t>,</w:t>
            </w:r>
            <w:r>
              <w:rPr>
                <w:rFonts w:eastAsia="Calibri"/>
                <w:szCs w:val="26"/>
              </w:rPr>
              <w:t>028</w:t>
            </w:r>
          </w:p>
        </w:tc>
        <w:tc>
          <w:tcPr>
            <w:tcW w:w="595" w:type="pct"/>
            <w:vAlign w:val="center"/>
          </w:tcPr>
          <w:p w:rsidR="0083151E" w:rsidRPr="0083151E" w:rsidP="0083151E" w14:paraId="605E8443" w14:textId="31E62325">
            <w:pPr>
              <w:jc w:val="right"/>
              <w:rPr>
                <w:rFonts w:eastAsia="Calibri"/>
                <w:szCs w:val="26"/>
              </w:rPr>
            </w:pPr>
            <w:r w:rsidRPr="0083151E">
              <w:rPr>
                <w:rFonts w:eastAsia="Calibri"/>
                <w:szCs w:val="26"/>
              </w:rPr>
              <w:t xml:space="preserve">4 hrs. </w:t>
            </w:r>
          </w:p>
          <w:p w:rsidR="00BA5A3C" w:rsidRPr="00C0408A" w:rsidP="0083151E" w14:paraId="7589BE59" w14:textId="3790EFE0">
            <w:pPr>
              <w:jc w:val="right"/>
              <w:rPr>
                <w:rFonts w:eastAsia="Calibri"/>
                <w:szCs w:val="26"/>
              </w:rPr>
            </w:pPr>
            <w:r w:rsidRPr="0083151E">
              <w:rPr>
                <w:rFonts w:eastAsia="Calibri"/>
                <w:szCs w:val="26"/>
              </w:rPr>
              <w:t>$</w:t>
            </w:r>
            <w:r w:rsidR="00DD7EC8">
              <w:rPr>
                <w:rFonts w:eastAsia="Calibri"/>
                <w:szCs w:val="26"/>
              </w:rPr>
              <w:t>2</w:t>
            </w:r>
            <w:r w:rsidR="009A430C">
              <w:rPr>
                <w:rFonts w:eastAsia="Calibri"/>
                <w:szCs w:val="26"/>
              </w:rPr>
              <w:t>82.68</w:t>
            </w:r>
          </w:p>
        </w:tc>
        <w:tc>
          <w:tcPr>
            <w:tcW w:w="830" w:type="pct"/>
            <w:vAlign w:val="center"/>
          </w:tcPr>
          <w:p w:rsidR="00BA5A3C" w:rsidRPr="00C0408A" w:rsidP="00BE15E5" w14:paraId="40584A1A" w14:textId="0BB130B3">
            <w:pPr>
              <w:ind w:left="-134"/>
              <w:jc w:val="right"/>
              <w:rPr>
                <w:rFonts w:eastAsia="Calibri"/>
                <w:szCs w:val="26"/>
              </w:rPr>
            </w:pPr>
            <w:r>
              <w:rPr>
                <w:rFonts w:eastAsia="Calibri"/>
                <w:szCs w:val="26"/>
              </w:rPr>
              <w:t>4</w:t>
            </w:r>
            <w:r w:rsidR="00374D2A">
              <w:rPr>
                <w:rFonts w:eastAsia="Calibri"/>
                <w:szCs w:val="26"/>
              </w:rPr>
              <w:t>,</w:t>
            </w:r>
            <w:r>
              <w:rPr>
                <w:rFonts w:eastAsia="Calibri"/>
                <w:szCs w:val="26"/>
              </w:rPr>
              <w:t xml:space="preserve">112 </w:t>
            </w:r>
            <w:r w:rsidRPr="00C0408A" w:rsidR="003E5EA3">
              <w:rPr>
                <w:rFonts w:eastAsia="Calibri"/>
                <w:szCs w:val="26"/>
              </w:rPr>
              <w:t>hrs. $</w:t>
            </w:r>
            <w:r w:rsidR="00DE0E7F">
              <w:rPr>
                <w:rFonts w:eastAsia="Calibri"/>
                <w:szCs w:val="26"/>
              </w:rPr>
              <w:t>2</w:t>
            </w:r>
            <w:r w:rsidR="009A430C">
              <w:rPr>
                <w:rFonts w:eastAsia="Calibri"/>
                <w:szCs w:val="26"/>
              </w:rPr>
              <w:t>90,595.04</w:t>
            </w:r>
          </w:p>
        </w:tc>
        <w:tc>
          <w:tcPr>
            <w:tcW w:w="629" w:type="pct"/>
            <w:vAlign w:val="center"/>
          </w:tcPr>
          <w:p w:rsidR="00BA5A3C" w:rsidRPr="00C0408A" w:rsidP="00C0408A" w14:paraId="161FA555" w14:textId="43D13109">
            <w:pPr>
              <w:jc w:val="right"/>
              <w:rPr>
                <w:rFonts w:eastAsia="Calibri"/>
                <w:szCs w:val="26"/>
              </w:rPr>
            </w:pPr>
            <w:r>
              <w:rPr>
                <w:rFonts w:eastAsia="Calibri"/>
                <w:szCs w:val="26"/>
              </w:rPr>
              <w:t>$</w:t>
            </w:r>
            <w:r w:rsidR="00BF2547">
              <w:rPr>
                <w:rFonts w:eastAsia="Calibri"/>
                <w:szCs w:val="26"/>
              </w:rPr>
              <w:t>2</w:t>
            </w:r>
            <w:r w:rsidR="009A430C">
              <w:rPr>
                <w:rFonts w:eastAsia="Calibri"/>
                <w:szCs w:val="26"/>
              </w:rPr>
              <w:t>82.68</w:t>
            </w:r>
          </w:p>
        </w:tc>
      </w:tr>
      <w:tr w14:paraId="2B05DE60" w14:textId="77777777" w:rsidTr="00BE15E5">
        <w:tblPrEx>
          <w:tblW w:w="5250" w:type="pct"/>
          <w:jc w:val="center"/>
          <w:tblLayout w:type="fixed"/>
          <w:tblLook w:val="01E0"/>
        </w:tblPrEx>
        <w:trPr>
          <w:gridAfter w:val="1"/>
          <w:wAfter w:w="15" w:type="dxa"/>
          <w:cantSplit/>
          <w:trHeight w:val="1070"/>
          <w:jc w:val="center"/>
        </w:trPr>
        <w:tc>
          <w:tcPr>
            <w:tcW w:w="868" w:type="pct"/>
            <w:vMerge w:val="restart"/>
            <w:vAlign w:val="center"/>
          </w:tcPr>
          <w:p w:rsidR="00B04130" w:rsidRPr="00C0408A" w:rsidP="00C0408A" w14:paraId="4F1B7679" w14:textId="2857CA9C">
            <w:pPr>
              <w:rPr>
                <w:rFonts w:eastAsia="Calibri"/>
                <w:szCs w:val="26"/>
              </w:rPr>
            </w:pPr>
            <w:r w:rsidRPr="00C0408A">
              <w:rPr>
                <w:rFonts w:eastAsia="Calibri"/>
                <w:szCs w:val="26"/>
              </w:rPr>
              <w:t>Maintain evidence of training and assessments [COM-002-4 R2, R4, R5 and R6]</w:t>
            </w:r>
          </w:p>
        </w:tc>
        <w:tc>
          <w:tcPr>
            <w:tcW w:w="733" w:type="pct"/>
          </w:tcPr>
          <w:p w:rsidR="00B04130" w:rsidRPr="00C0408A" w:rsidP="00BE15E5" w14:paraId="05236AE7" w14:textId="09CA2CB7">
            <w:pPr>
              <w:jc w:val="center"/>
              <w:rPr>
                <w:rFonts w:eastAsia="Calibri"/>
                <w:szCs w:val="26"/>
              </w:rPr>
            </w:pPr>
            <w:r w:rsidRPr="00C0408A">
              <w:rPr>
                <w:rFonts w:eastAsia="Calibri"/>
                <w:szCs w:val="26"/>
              </w:rPr>
              <w:t>(BA</w:t>
            </w:r>
            <w:r>
              <w:rPr>
                <w:rFonts w:eastAsia="Calibri"/>
                <w:szCs w:val="26"/>
              </w:rPr>
              <w:t>)</w:t>
            </w:r>
            <w:r w:rsidR="00C643C8">
              <w:rPr>
                <w:rFonts w:eastAsia="Calibri"/>
                <w:szCs w:val="26"/>
              </w:rPr>
              <w:br/>
            </w:r>
            <w:r w:rsidR="00121D48">
              <w:rPr>
                <w:rFonts w:eastAsia="Calibri"/>
                <w:szCs w:val="26"/>
              </w:rPr>
              <w:t>98</w:t>
            </w:r>
          </w:p>
        </w:tc>
        <w:tc>
          <w:tcPr>
            <w:tcW w:w="688" w:type="pct"/>
            <w:vAlign w:val="center"/>
          </w:tcPr>
          <w:p w:rsidR="00B04130" w:rsidRPr="00C0408A" w:rsidP="00BE15E5" w14:paraId="5B63E539" w14:textId="77777777">
            <w:pPr>
              <w:jc w:val="center"/>
              <w:rPr>
                <w:rFonts w:eastAsia="Calibri"/>
                <w:szCs w:val="26"/>
              </w:rPr>
            </w:pPr>
            <w:r w:rsidRPr="00C0408A">
              <w:rPr>
                <w:rFonts w:eastAsia="Calibri"/>
                <w:szCs w:val="26"/>
              </w:rPr>
              <w:t>1</w:t>
            </w:r>
          </w:p>
          <w:p w:rsidR="00B04130" w:rsidRPr="00C0408A" w:rsidP="00C0408A" w14:paraId="225D99AB" w14:textId="77777777">
            <w:pPr>
              <w:jc w:val="right"/>
              <w:rPr>
                <w:rFonts w:eastAsia="Calibri"/>
                <w:szCs w:val="26"/>
              </w:rPr>
            </w:pPr>
          </w:p>
        </w:tc>
        <w:tc>
          <w:tcPr>
            <w:tcW w:w="642" w:type="pct"/>
            <w:vAlign w:val="center"/>
          </w:tcPr>
          <w:p w:rsidR="00B04130" w:rsidRPr="00C0408A" w:rsidP="00BE15E5" w14:paraId="2EB5505A" w14:textId="2C22221A">
            <w:pPr>
              <w:jc w:val="center"/>
              <w:rPr>
                <w:rFonts w:eastAsia="Calibri"/>
                <w:szCs w:val="26"/>
              </w:rPr>
            </w:pPr>
            <w:r>
              <w:rPr>
                <w:rFonts w:eastAsia="Calibri"/>
                <w:szCs w:val="26"/>
              </w:rPr>
              <w:t>98</w:t>
            </w:r>
          </w:p>
        </w:tc>
        <w:tc>
          <w:tcPr>
            <w:tcW w:w="595" w:type="pct"/>
            <w:vAlign w:val="center"/>
          </w:tcPr>
          <w:p w:rsidR="00B04130" w:rsidRPr="00C0408A" w:rsidP="00C0408A" w14:paraId="082DB9F5" w14:textId="34830D12">
            <w:pPr>
              <w:jc w:val="right"/>
              <w:rPr>
                <w:rFonts w:eastAsia="Calibri"/>
                <w:szCs w:val="26"/>
              </w:rPr>
            </w:pPr>
            <w:r w:rsidRPr="00C0408A">
              <w:rPr>
                <w:rFonts w:eastAsia="Calibri"/>
                <w:szCs w:val="26"/>
              </w:rPr>
              <w:t xml:space="preserve">8 hrs. </w:t>
            </w:r>
          </w:p>
          <w:p w:rsidR="00B04130" w:rsidRPr="00C0408A" w:rsidP="00C0408A" w14:paraId="5D439823" w14:textId="6E3407CB">
            <w:pPr>
              <w:jc w:val="right"/>
              <w:rPr>
                <w:rFonts w:eastAsia="Calibri"/>
                <w:szCs w:val="26"/>
              </w:rPr>
            </w:pPr>
            <w:r w:rsidRPr="00C0408A">
              <w:rPr>
                <w:rFonts w:eastAsia="Calibri"/>
                <w:szCs w:val="26"/>
              </w:rPr>
              <w:t>$</w:t>
            </w:r>
            <w:r w:rsidR="00DD7EC8">
              <w:rPr>
                <w:rFonts w:eastAsia="Calibri"/>
                <w:szCs w:val="26"/>
              </w:rPr>
              <w:t>5</w:t>
            </w:r>
            <w:r w:rsidR="009A430C">
              <w:rPr>
                <w:rFonts w:eastAsia="Calibri"/>
                <w:szCs w:val="26"/>
              </w:rPr>
              <w:t>65.36</w:t>
            </w:r>
          </w:p>
        </w:tc>
        <w:tc>
          <w:tcPr>
            <w:tcW w:w="830" w:type="pct"/>
            <w:vAlign w:val="center"/>
          </w:tcPr>
          <w:p w:rsidR="00B04130" w:rsidRPr="00C0408A" w:rsidP="00C0408A" w14:paraId="2AA130DF" w14:textId="2BBF313A">
            <w:pPr>
              <w:jc w:val="right"/>
              <w:rPr>
                <w:rFonts w:eastAsia="Calibri"/>
                <w:szCs w:val="26"/>
              </w:rPr>
            </w:pPr>
            <w:r>
              <w:rPr>
                <w:rFonts w:eastAsia="Calibri"/>
                <w:szCs w:val="26"/>
              </w:rPr>
              <w:br/>
            </w:r>
            <w:r w:rsidR="009E281E">
              <w:rPr>
                <w:rFonts w:eastAsia="Calibri"/>
                <w:szCs w:val="26"/>
              </w:rPr>
              <w:t>7</w:t>
            </w:r>
            <w:r w:rsidR="002347B9">
              <w:rPr>
                <w:rFonts w:eastAsia="Calibri"/>
                <w:szCs w:val="26"/>
              </w:rPr>
              <w:t>8</w:t>
            </w:r>
            <w:r w:rsidR="009E281E">
              <w:rPr>
                <w:rFonts w:eastAsia="Calibri"/>
                <w:szCs w:val="26"/>
              </w:rPr>
              <w:t>4</w:t>
            </w:r>
            <w:r w:rsidR="002347B9">
              <w:rPr>
                <w:rFonts w:eastAsia="Calibri"/>
                <w:szCs w:val="26"/>
              </w:rPr>
              <w:t xml:space="preserve"> </w:t>
            </w:r>
            <w:r w:rsidRPr="00C0408A">
              <w:rPr>
                <w:rFonts w:eastAsia="Calibri"/>
                <w:szCs w:val="26"/>
              </w:rPr>
              <w:t xml:space="preserve">hrs. </w:t>
            </w:r>
          </w:p>
          <w:p w:rsidR="00B04130" w:rsidRPr="00C0408A" w:rsidP="00C0408A" w14:paraId="04DCAC64" w14:textId="6EB15D5F">
            <w:pPr>
              <w:jc w:val="right"/>
              <w:rPr>
                <w:rFonts w:eastAsia="Calibri"/>
                <w:szCs w:val="26"/>
              </w:rPr>
            </w:pPr>
            <w:r w:rsidRPr="00C0408A">
              <w:rPr>
                <w:rFonts w:eastAsia="Calibri"/>
                <w:szCs w:val="26"/>
              </w:rPr>
              <w:t>$</w:t>
            </w:r>
            <w:r w:rsidR="00CE4C34">
              <w:rPr>
                <w:rFonts w:eastAsia="Calibri"/>
                <w:szCs w:val="26"/>
              </w:rPr>
              <w:t>5</w:t>
            </w:r>
            <w:r w:rsidR="009A430C">
              <w:rPr>
                <w:rFonts w:eastAsia="Calibri"/>
                <w:szCs w:val="26"/>
              </w:rPr>
              <w:t>5,405.28</w:t>
            </w:r>
          </w:p>
          <w:p w:rsidR="00B04130" w:rsidRPr="00C0408A" w:rsidP="00C0408A" w14:paraId="20CE1AFC" w14:textId="77777777">
            <w:pPr>
              <w:jc w:val="right"/>
              <w:rPr>
                <w:rFonts w:eastAsia="Calibri"/>
                <w:szCs w:val="26"/>
              </w:rPr>
            </w:pPr>
          </w:p>
        </w:tc>
        <w:tc>
          <w:tcPr>
            <w:tcW w:w="629" w:type="pct"/>
            <w:vAlign w:val="center"/>
          </w:tcPr>
          <w:p w:rsidR="00B04130" w:rsidRPr="00C0408A" w:rsidP="00C0408A" w14:paraId="60B21614" w14:textId="24CB8F2F">
            <w:pPr>
              <w:jc w:val="right"/>
              <w:rPr>
                <w:rFonts w:eastAsia="Calibri"/>
                <w:szCs w:val="26"/>
              </w:rPr>
            </w:pPr>
            <w:r w:rsidRPr="00C0408A">
              <w:rPr>
                <w:rFonts w:eastAsia="Calibri"/>
                <w:szCs w:val="26"/>
              </w:rPr>
              <w:t>$</w:t>
            </w:r>
            <w:r w:rsidR="00ED1AD3">
              <w:rPr>
                <w:rFonts w:eastAsia="Calibri"/>
                <w:szCs w:val="26"/>
              </w:rPr>
              <w:t>5</w:t>
            </w:r>
            <w:r w:rsidR="009A430C">
              <w:rPr>
                <w:rFonts w:eastAsia="Calibri"/>
                <w:szCs w:val="26"/>
              </w:rPr>
              <w:t>65.</w:t>
            </w:r>
            <w:r w:rsidR="0075004D">
              <w:rPr>
                <w:rFonts w:eastAsia="Calibri"/>
                <w:szCs w:val="26"/>
              </w:rPr>
              <w:t>36</w:t>
            </w:r>
          </w:p>
        </w:tc>
      </w:tr>
      <w:tr w14:paraId="3DC867C3" w14:textId="77777777" w:rsidTr="00BE15E5">
        <w:tblPrEx>
          <w:tblW w:w="5250" w:type="pct"/>
          <w:jc w:val="center"/>
          <w:tblLayout w:type="fixed"/>
          <w:tblLook w:val="01E0"/>
        </w:tblPrEx>
        <w:trPr>
          <w:gridAfter w:val="1"/>
          <w:wAfter w:w="15" w:type="dxa"/>
          <w:cantSplit/>
          <w:trHeight w:val="683"/>
          <w:jc w:val="center"/>
        </w:trPr>
        <w:tc>
          <w:tcPr>
            <w:tcW w:w="868" w:type="pct"/>
            <w:vMerge/>
          </w:tcPr>
          <w:p w:rsidR="00B04130" w:rsidRPr="00C0408A" w:rsidP="00C0408A" w14:paraId="2AE43294" w14:textId="77777777">
            <w:pPr>
              <w:rPr>
                <w:rFonts w:eastAsia="Calibri"/>
                <w:szCs w:val="26"/>
              </w:rPr>
            </w:pPr>
          </w:p>
        </w:tc>
        <w:tc>
          <w:tcPr>
            <w:tcW w:w="733" w:type="pct"/>
          </w:tcPr>
          <w:p w:rsidR="00B04130" w:rsidRPr="00C0408A" w:rsidP="00BE15E5" w14:paraId="0F751DE7" w14:textId="6F7C0A74">
            <w:pPr>
              <w:jc w:val="center"/>
              <w:rPr>
                <w:rFonts w:eastAsia="Calibri"/>
                <w:szCs w:val="26"/>
              </w:rPr>
            </w:pPr>
            <w:r>
              <w:rPr>
                <w:rFonts w:eastAsia="Calibri"/>
                <w:szCs w:val="26"/>
              </w:rPr>
              <w:t>(RC)</w:t>
            </w:r>
            <w:r w:rsidR="00C643C8">
              <w:rPr>
                <w:rFonts w:eastAsia="Calibri"/>
                <w:szCs w:val="26"/>
              </w:rPr>
              <w:br/>
            </w:r>
            <w:r w:rsidR="004207F2">
              <w:rPr>
                <w:rFonts w:eastAsia="Calibri"/>
                <w:szCs w:val="26"/>
              </w:rPr>
              <w:t>12</w:t>
            </w:r>
            <w:r>
              <w:rPr>
                <w:rFonts w:eastAsia="Calibri"/>
                <w:szCs w:val="26"/>
              </w:rPr>
              <w:br/>
            </w:r>
          </w:p>
        </w:tc>
        <w:tc>
          <w:tcPr>
            <w:tcW w:w="688" w:type="pct"/>
            <w:vAlign w:val="center"/>
          </w:tcPr>
          <w:p w:rsidR="00B04130" w:rsidRPr="00C0408A" w:rsidP="00BE15E5" w14:paraId="1B08DAFF" w14:textId="32716252">
            <w:pPr>
              <w:jc w:val="center"/>
              <w:rPr>
                <w:rFonts w:eastAsia="Calibri"/>
                <w:szCs w:val="26"/>
              </w:rPr>
            </w:pPr>
            <w:r>
              <w:rPr>
                <w:rFonts w:eastAsia="Calibri"/>
                <w:szCs w:val="26"/>
              </w:rPr>
              <w:t>1</w:t>
            </w:r>
          </w:p>
        </w:tc>
        <w:tc>
          <w:tcPr>
            <w:tcW w:w="642" w:type="pct"/>
            <w:vAlign w:val="center"/>
          </w:tcPr>
          <w:p w:rsidR="00B04130" w:rsidRPr="00C0408A" w:rsidP="00BE15E5" w14:paraId="3DC62554" w14:textId="1238293A">
            <w:pPr>
              <w:jc w:val="center"/>
              <w:rPr>
                <w:rFonts w:eastAsia="Calibri"/>
                <w:szCs w:val="26"/>
              </w:rPr>
            </w:pPr>
            <w:r>
              <w:rPr>
                <w:rFonts w:eastAsia="Calibri"/>
                <w:szCs w:val="26"/>
              </w:rPr>
              <w:t>12</w:t>
            </w:r>
          </w:p>
        </w:tc>
        <w:tc>
          <w:tcPr>
            <w:tcW w:w="595" w:type="pct"/>
            <w:vAlign w:val="center"/>
          </w:tcPr>
          <w:p w:rsidR="00C04839" w:rsidRPr="00C0408A" w:rsidP="00C04839" w14:paraId="16457292" w14:textId="2A8DFEC3">
            <w:pPr>
              <w:jc w:val="right"/>
              <w:rPr>
                <w:rFonts w:eastAsia="Calibri"/>
                <w:szCs w:val="26"/>
              </w:rPr>
            </w:pPr>
            <w:r w:rsidRPr="00C0408A">
              <w:rPr>
                <w:rFonts w:eastAsia="Calibri"/>
                <w:szCs w:val="26"/>
              </w:rPr>
              <w:t xml:space="preserve">8 hrs. </w:t>
            </w:r>
          </w:p>
          <w:p w:rsidR="00B04130" w:rsidRPr="00C0408A" w:rsidP="00C04839" w14:paraId="7592E64C" w14:textId="68EB42C1">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3E5EA3" w:rsidRPr="00C0408A" w:rsidP="003E5EA3" w14:paraId="7A9525D9" w14:textId="053C2ABF">
            <w:pPr>
              <w:jc w:val="right"/>
              <w:rPr>
                <w:rFonts w:eastAsia="Calibri"/>
                <w:szCs w:val="26"/>
              </w:rPr>
            </w:pPr>
            <w:r>
              <w:rPr>
                <w:rFonts w:eastAsia="Calibri"/>
                <w:szCs w:val="26"/>
              </w:rPr>
              <w:t xml:space="preserve">96 </w:t>
            </w:r>
            <w:r w:rsidRPr="00C0408A">
              <w:rPr>
                <w:rFonts w:eastAsia="Calibri"/>
                <w:szCs w:val="26"/>
              </w:rPr>
              <w:t xml:space="preserve">hrs. </w:t>
            </w:r>
          </w:p>
          <w:p w:rsidR="00B04130" w:rsidRPr="00C0408A" w:rsidP="003E5EA3" w14:paraId="1F99E932" w14:textId="1ED49703">
            <w:pPr>
              <w:jc w:val="right"/>
              <w:rPr>
                <w:rFonts w:eastAsia="Calibri"/>
                <w:szCs w:val="26"/>
              </w:rPr>
            </w:pPr>
            <w:r w:rsidRPr="00C0408A">
              <w:rPr>
                <w:rFonts w:eastAsia="Calibri"/>
                <w:szCs w:val="26"/>
              </w:rPr>
              <w:t>$</w:t>
            </w:r>
            <w:r w:rsidR="00AD4726">
              <w:rPr>
                <w:rFonts w:eastAsia="Calibri"/>
                <w:szCs w:val="26"/>
              </w:rPr>
              <w:t>6,784.32</w:t>
            </w:r>
          </w:p>
        </w:tc>
        <w:tc>
          <w:tcPr>
            <w:tcW w:w="629" w:type="pct"/>
            <w:vAlign w:val="center"/>
          </w:tcPr>
          <w:p w:rsidR="00B04130" w:rsidRPr="00C0408A" w:rsidP="00C0408A" w14:paraId="6E93F91B" w14:textId="27820A23">
            <w:pPr>
              <w:jc w:val="right"/>
              <w:rPr>
                <w:rFonts w:eastAsia="Calibri"/>
                <w:szCs w:val="26"/>
              </w:rPr>
            </w:pPr>
            <w:r>
              <w:rPr>
                <w:rFonts w:eastAsia="Calibri"/>
                <w:szCs w:val="26"/>
              </w:rPr>
              <w:t>$</w:t>
            </w:r>
            <w:r w:rsidR="00907770">
              <w:rPr>
                <w:rFonts w:eastAsia="Calibri"/>
                <w:szCs w:val="26"/>
              </w:rPr>
              <w:t>5</w:t>
            </w:r>
            <w:r w:rsidR="0075004D">
              <w:rPr>
                <w:rFonts w:eastAsia="Calibri"/>
                <w:szCs w:val="26"/>
              </w:rPr>
              <w:t>65.36</w:t>
            </w:r>
          </w:p>
        </w:tc>
      </w:tr>
      <w:tr w14:paraId="4A29C1A0" w14:textId="77777777" w:rsidTr="00BE15E5">
        <w:tblPrEx>
          <w:tblW w:w="5250" w:type="pct"/>
          <w:jc w:val="center"/>
          <w:tblLayout w:type="fixed"/>
          <w:tblLook w:val="01E0"/>
        </w:tblPrEx>
        <w:trPr>
          <w:gridAfter w:val="1"/>
          <w:wAfter w:w="15" w:type="dxa"/>
          <w:cantSplit/>
          <w:trHeight w:val="737"/>
          <w:jc w:val="center"/>
        </w:trPr>
        <w:tc>
          <w:tcPr>
            <w:tcW w:w="868" w:type="pct"/>
            <w:vMerge/>
          </w:tcPr>
          <w:p w:rsidR="00B04130" w:rsidP="00C0408A" w14:paraId="76F5137F" w14:textId="77777777">
            <w:pPr>
              <w:rPr>
                <w:rFonts w:eastAsia="Calibri"/>
                <w:szCs w:val="26"/>
              </w:rPr>
            </w:pPr>
          </w:p>
        </w:tc>
        <w:tc>
          <w:tcPr>
            <w:tcW w:w="733" w:type="pct"/>
          </w:tcPr>
          <w:p w:rsidR="00B04130" w:rsidRPr="00C0408A" w:rsidP="00BE15E5" w14:paraId="32F9E334" w14:textId="1B8B12C3">
            <w:pPr>
              <w:jc w:val="center"/>
              <w:rPr>
                <w:rFonts w:eastAsia="Calibri"/>
                <w:szCs w:val="26"/>
              </w:rPr>
            </w:pPr>
            <w:r>
              <w:rPr>
                <w:rFonts w:eastAsia="Calibri"/>
                <w:szCs w:val="26"/>
              </w:rPr>
              <w:t>(TOP)</w:t>
            </w:r>
            <w:r w:rsidR="00C643C8">
              <w:rPr>
                <w:rFonts w:eastAsia="Calibri"/>
                <w:szCs w:val="26"/>
              </w:rPr>
              <w:br/>
            </w:r>
            <w:r w:rsidR="004207F2">
              <w:rPr>
                <w:rFonts w:eastAsia="Calibri"/>
                <w:szCs w:val="26"/>
              </w:rPr>
              <w:t>165</w:t>
            </w:r>
            <w:r>
              <w:rPr>
                <w:rFonts w:eastAsia="Calibri"/>
                <w:szCs w:val="26"/>
              </w:rPr>
              <w:br/>
            </w:r>
          </w:p>
        </w:tc>
        <w:tc>
          <w:tcPr>
            <w:tcW w:w="688" w:type="pct"/>
            <w:vAlign w:val="center"/>
          </w:tcPr>
          <w:p w:rsidR="00B04130" w:rsidRPr="00C0408A" w:rsidP="00BE15E5" w14:paraId="378E034E" w14:textId="1949E9CE">
            <w:pPr>
              <w:jc w:val="center"/>
              <w:rPr>
                <w:rFonts w:eastAsia="Calibri"/>
                <w:szCs w:val="26"/>
              </w:rPr>
            </w:pPr>
            <w:r>
              <w:rPr>
                <w:rFonts w:eastAsia="Calibri"/>
                <w:szCs w:val="26"/>
              </w:rPr>
              <w:t>1</w:t>
            </w:r>
          </w:p>
        </w:tc>
        <w:tc>
          <w:tcPr>
            <w:tcW w:w="642" w:type="pct"/>
            <w:vAlign w:val="center"/>
          </w:tcPr>
          <w:p w:rsidR="00B04130" w:rsidRPr="00C0408A" w:rsidP="00BE15E5" w14:paraId="5E2190C4" w14:textId="0D3415FE">
            <w:pPr>
              <w:jc w:val="center"/>
              <w:rPr>
                <w:rFonts w:eastAsia="Calibri"/>
                <w:szCs w:val="26"/>
              </w:rPr>
            </w:pPr>
            <w:r>
              <w:rPr>
                <w:rFonts w:eastAsia="Calibri"/>
                <w:szCs w:val="26"/>
              </w:rPr>
              <w:t>165</w:t>
            </w:r>
          </w:p>
        </w:tc>
        <w:tc>
          <w:tcPr>
            <w:tcW w:w="595" w:type="pct"/>
            <w:vAlign w:val="center"/>
          </w:tcPr>
          <w:p w:rsidR="00C04839" w:rsidRPr="00C0408A" w:rsidP="00C04839" w14:paraId="6E1B206A" w14:textId="26B7084B">
            <w:pPr>
              <w:jc w:val="right"/>
              <w:rPr>
                <w:rFonts w:eastAsia="Calibri"/>
                <w:szCs w:val="26"/>
              </w:rPr>
            </w:pPr>
            <w:r w:rsidRPr="00C0408A">
              <w:rPr>
                <w:rFonts w:eastAsia="Calibri"/>
                <w:szCs w:val="26"/>
              </w:rPr>
              <w:t xml:space="preserve">8 hrs. </w:t>
            </w:r>
          </w:p>
          <w:p w:rsidR="00B04130" w:rsidRPr="00C0408A" w:rsidP="00C04839" w14:paraId="48BB8957" w14:textId="25E5FB2A">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3E5EA3" w:rsidRPr="00C0408A" w:rsidP="003E5EA3" w14:paraId="79A122D4" w14:textId="1E2EF33A">
            <w:pPr>
              <w:jc w:val="right"/>
              <w:rPr>
                <w:rFonts w:eastAsia="Calibri"/>
                <w:szCs w:val="26"/>
              </w:rPr>
            </w:pPr>
            <w:r>
              <w:rPr>
                <w:rFonts w:eastAsia="Calibri"/>
                <w:szCs w:val="26"/>
              </w:rPr>
              <w:t>1</w:t>
            </w:r>
            <w:r w:rsidR="00374D2A">
              <w:rPr>
                <w:rFonts w:eastAsia="Calibri"/>
                <w:szCs w:val="26"/>
              </w:rPr>
              <w:t>,</w:t>
            </w:r>
            <w:r>
              <w:rPr>
                <w:rFonts w:eastAsia="Calibri"/>
                <w:szCs w:val="26"/>
              </w:rPr>
              <w:t xml:space="preserve">320 </w:t>
            </w:r>
            <w:r w:rsidRPr="00C0408A">
              <w:rPr>
                <w:rFonts w:eastAsia="Calibri"/>
                <w:szCs w:val="26"/>
              </w:rPr>
              <w:t xml:space="preserve">hrs. </w:t>
            </w:r>
          </w:p>
          <w:p w:rsidR="00B04130" w:rsidRPr="00C0408A" w:rsidP="003E5EA3" w14:paraId="5D90BC26" w14:textId="3BBD2768">
            <w:pPr>
              <w:jc w:val="right"/>
              <w:rPr>
                <w:rFonts w:eastAsia="Calibri"/>
                <w:szCs w:val="26"/>
              </w:rPr>
            </w:pPr>
            <w:r w:rsidRPr="00C0408A">
              <w:rPr>
                <w:rFonts w:eastAsia="Calibri"/>
                <w:szCs w:val="26"/>
              </w:rPr>
              <w:t>$</w:t>
            </w:r>
            <w:r w:rsidR="00AD4726">
              <w:rPr>
                <w:rFonts w:eastAsia="Calibri"/>
                <w:szCs w:val="26"/>
              </w:rPr>
              <w:t>93,284.40</w:t>
            </w:r>
          </w:p>
        </w:tc>
        <w:tc>
          <w:tcPr>
            <w:tcW w:w="629" w:type="pct"/>
            <w:vAlign w:val="center"/>
          </w:tcPr>
          <w:p w:rsidR="00B04130" w:rsidP="00C0408A" w14:paraId="148EED14" w14:textId="5D404CD9">
            <w:pPr>
              <w:jc w:val="right"/>
              <w:rPr>
                <w:rFonts w:eastAsia="Calibri"/>
                <w:szCs w:val="26"/>
              </w:rPr>
            </w:pPr>
            <w:r>
              <w:rPr>
                <w:rFonts w:eastAsia="Calibri"/>
                <w:szCs w:val="26"/>
              </w:rPr>
              <w:t>$</w:t>
            </w:r>
            <w:r w:rsidR="00907770">
              <w:rPr>
                <w:rFonts w:eastAsia="Calibri"/>
                <w:szCs w:val="26"/>
              </w:rPr>
              <w:t>5</w:t>
            </w:r>
            <w:r w:rsidR="0075004D">
              <w:rPr>
                <w:rFonts w:eastAsia="Calibri"/>
                <w:szCs w:val="26"/>
              </w:rPr>
              <w:t>65.36</w:t>
            </w:r>
          </w:p>
        </w:tc>
      </w:tr>
      <w:tr w14:paraId="2C4FB6BC" w14:textId="77777777" w:rsidTr="00BE15E5">
        <w:tblPrEx>
          <w:tblW w:w="5250" w:type="pct"/>
          <w:jc w:val="center"/>
          <w:tblLayout w:type="fixed"/>
          <w:tblLook w:val="01E0"/>
        </w:tblPrEx>
        <w:trPr>
          <w:gridAfter w:val="1"/>
          <w:wAfter w:w="15" w:type="dxa"/>
          <w:cantSplit/>
          <w:trHeight w:val="845"/>
          <w:jc w:val="center"/>
        </w:trPr>
        <w:tc>
          <w:tcPr>
            <w:tcW w:w="868" w:type="pct"/>
            <w:vMerge w:val="restart"/>
            <w:vAlign w:val="center"/>
          </w:tcPr>
          <w:p w:rsidR="00E81A2D" w:rsidRPr="00C0408A" w:rsidP="00C0408A" w14:paraId="53BC78A3" w14:textId="19966706">
            <w:pPr>
              <w:rPr>
                <w:rFonts w:eastAsia="Calibri"/>
                <w:szCs w:val="26"/>
              </w:rPr>
            </w:pPr>
            <w:r w:rsidRPr="00C0408A">
              <w:rPr>
                <w:rFonts w:eastAsia="Calibri"/>
                <w:szCs w:val="26"/>
              </w:rPr>
              <w:t>Maintain evidence of training [COM-002-4 R3 and R6]</w:t>
            </w:r>
          </w:p>
          <w:p w:rsidR="00E81A2D" w:rsidRPr="00C0408A" w:rsidP="00C0408A" w14:paraId="1B30CBF0" w14:textId="7B9CD896">
            <w:pPr>
              <w:rPr>
                <w:rFonts w:eastAsia="Calibri"/>
                <w:szCs w:val="26"/>
              </w:rPr>
            </w:pPr>
          </w:p>
        </w:tc>
        <w:tc>
          <w:tcPr>
            <w:tcW w:w="733" w:type="pct"/>
          </w:tcPr>
          <w:p w:rsidR="00E81A2D" w:rsidRPr="00C0408A" w:rsidP="00BE15E5" w14:paraId="32D1A689" w14:textId="578A4BD6">
            <w:pPr>
              <w:jc w:val="center"/>
              <w:rPr>
                <w:rFonts w:eastAsia="Calibri"/>
                <w:szCs w:val="26"/>
              </w:rPr>
            </w:pPr>
            <w:r w:rsidRPr="00C0408A">
              <w:rPr>
                <w:rFonts w:eastAsia="Calibri"/>
                <w:szCs w:val="26"/>
              </w:rPr>
              <w:t>(DP</w:t>
            </w:r>
            <w:r>
              <w:rPr>
                <w:rFonts w:eastAsia="Calibri"/>
                <w:szCs w:val="26"/>
              </w:rPr>
              <w:t>)</w:t>
            </w:r>
            <w:r w:rsidR="00C643C8">
              <w:rPr>
                <w:rFonts w:eastAsia="Calibri"/>
                <w:szCs w:val="26"/>
              </w:rPr>
              <w:br/>
            </w:r>
            <w:r w:rsidR="004207F2">
              <w:rPr>
                <w:rFonts w:eastAsia="Calibri"/>
                <w:szCs w:val="26"/>
              </w:rPr>
              <w:t>300</w:t>
            </w:r>
          </w:p>
        </w:tc>
        <w:tc>
          <w:tcPr>
            <w:tcW w:w="688" w:type="pct"/>
            <w:vAlign w:val="center"/>
          </w:tcPr>
          <w:p w:rsidR="008E72C5" w:rsidP="00320CB8" w14:paraId="717C1422" w14:textId="77777777">
            <w:pPr>
              <w:jc w:val="center"/>
              <w:rPr>
                <w:rFonts w:eastAsia="Calibri"/>
                <w:szCs w:val="26"/>
              </w:rPr>
            </w:pPr>
          </w:p>
          <w:p w:rsidR="00E81A2D" w:rsidRPr="00C0408A" w:rsidP="00BE15E5" w14:paraId="4602033C" w14:textId="0F34A3C9">
            <w:pPr>
              <w:jc w:val="center"/>
              <w:rPr>
                <w:rFonts w:eastAsia="Calibri"/>
                <w:szCs w:val="26"/>
              </w:rPr>
            </w:pPr>
            <w:r w:rsidRPr="00C0408A">
              <w:rPr>
                <w:rFonts w:eastAsia="Calibri"/>
                <w:szCs w:val="26"/>
              </w:rPr>
              <w:t>1</w:t>
            </w:r>
          </w:p>
          <w:p w:rsidR="00E81A2D" w:rsidRPr="00C0408A" w:rsidP="00C0408A" w14:paraId="5642F335" w14:textId="77777777">
            <w:pPr>
              <w:jc w:val="right"/>
              <w:rPr>
                <w:rFonts w:eastAsia="Calibri"/>
                <w:szCs w:val="26"/>
              </w:rPr>
            </w:pPr>
          </w:p>
        </w:tc>
        <w:tc>
          <w:tcPr>
            <w:tcW w:w="642" w:type="pct"/>
            <w:vAlign w:val="center"/>
          </w:tcPr>
          <w:p w:rsidR="00E81A2D" w:rsidRPr="00C0408A" w:rsidP="00BE15E5" w14:paraId="1B2AD96D" w14:textId="71F0C947">
            <w:pPr>
              <w:jc w:val="center"/>
              <w:rPr>
                <w:rFonts w:eastAsia="Calibri"/>
                <w:szCs w:val="26"/>
              </w:rPr>
            </w:pPr>
            <w:r>
              <w:rPr>
                <w:rFonts w:eastAsia="Calibri"/>
                <w:szCs w:val="26"/>
              </w:rPr>
              <w:t>300</w:t>
            </w:r>
          </w:p>
        </w:tc>
        <w:tc>
          <w:tcPr>
            <w:tcW w:w="595" w:type="pct"/>
            <w:vAlign w:val="center"/>
          </w:tcPr>
          <w:p w:rsidR="00E81A2D" w:rsidRPr="00C0408A" w:rsidP="00C0408A" w14:paraId="598A51FD" w14:textId="3D669B35">
            <w:pPr>
              <w:jc w:val="right"/>
              <w:rPr>
                <w:rFonts w:eastAsia="Calibri"/>
                <w:szCs w:val="26"/>
              </w:rPr>
            </w:pPr>
            <w:r w:rsidRPr="00C0408A">
              <w:rPr>
                <w:rFonts w:eastAsia="Calibri"/>
                <w:szCs w:val="26"/>
              </w:rPr>
              <w:t xml:space="preserve">8 hrs. </w:t>
            </w:r>
          </w:p>
          <w:p w:rsidR="00E81A2D" w:rsidRPr="00C0408A" w:rsidP="00C0408A" w14:paraId="2A784DD3" w14:textId="7AF2C414">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E81A2D" w:rsidRPr="00C0408A" w:rsidP="00C0408A" w14:paraId="585F06EC" w14:textId="00A976DF">
            <w:pPr>
              <w:jc w:val="right"/>
              <w:rPr>
                <w:rFonts w:eastAsia="Calibri"/>
                <w:szCs w:val="26"/>
              </w:rPr>
            </w:pPr>
            <w:r>
              <w:rPr>
                <w:rFonts w:eastAsia="Calibri"/>
                <w:szCs w:val="26"/>
              </w:rPr>
              <w:t>2</w:t>
            </w:r>
            <w:r w:rsidR="00374D2A">
              <w:rPr>
                <w:rFonts w:eastAsia="Calibri"/>
                <w:szCs w:val="26"/>
              </w:rPr>
              <w:t>,</w:t>
            </w:r>
            <w:r>
              <w:rPr>
                <w:rFonts w:eastAsia="Calibri"/>
                <w:szCs w:val="26"/>
              </w:rPr>
              <w:t xml:space="preserve">400 </w:t>
            </w:r>
            <w:r w:rsidRPr="00C0408A">
              <w:rPr>
                <w:rFonts w:eastAsia="Calibri"/>
                <w:szCs w:val="26"/>
              </w:rPr>
              <w:t xml:space="preserve">hrs. </w:t>
            </w:r>
            <w:r w:rsidR="003E5EA3">
              <w:rPr>
                <w:rFonts w:eastAsia="Calibri"/>
                <w:szCs w:val="26"/>
              </w:rPr>
              <w:br/>
            </w:r>
            <w:r w:rsidRPr="00C0408A">
              <w:rPr>
                <w:rFonts w:eastAsia="Calibri"/>
                <w:szCs w:val="26"/>
              </w:rPr>
              <w:t>$</w:t>
            </w:r>
            <w:r w:rsidR="00266CF0">
              <w:rPr>
                <w:rFonts w:eastAsia="Calibri"/>
                <w:szCs w:val="26"/>
              </w:rPr>
              <w:t>16</w:t>
            </w:r>
            <w:r w:rsidR="00AD4726">
              <w:rPr>
                <w:rFonts w:eastAsia="Calibri"/>
                <w:szCs w:val="26"/>
              </w:rPr>
              <w:t>9,608</w:t>
            </w:r>
          </w:p>
        </w:tc>
        <w:tc>
          <w:tcPr>
            <w:tcW w:w="629" w:type="pct"/>
            <w:vAlign w:val="center"/>
          </w:tcPr>
          <w:p w:rsidR="00E81A2D" w:rsidRPr="00C0408A" w:rsidP="00C0408A" w14:paraId="50998352" w14:textId="10C3E731">
            <w:pPr>
              <w:jc w:val="right"/>
              <w:rPr>
                <w:rFonts w:eastAsia="Calibri"/>
                <w:szCs w:val="26"/>
              </w:rPr>
            </w:pPr>
            <w:r w:rsidRPr="00C0408A">
              <w:rPr>
                <w:rFonts w:eastAsia="Calibri"/>
                <w:szCs w:val="26"/>
              </w:rPr>
              <w:t>$</w:t>
            </w:r>
            <w:r w:rsidR="008E72C5">
              <w:rPr>
                <w:rFonts w:eastAsia="Calibri"/>
                <w:szCs w:val="26"/>
              </w:rPr>
              <w:t>5</w:t>
            </w:r>
            <w:r w:rsidR="0075004D">
              <w:rPr>
                <w:rFonts w:eastAsia="Calibri"/>
                <w:szCs w:val="26"/>
              </w:rPr>
              <w:t>65.36</w:t>
            </w:r>
          </w:p>
        </w:tc>
      </w:tr>
      <w:tr w14:paraId="272F48F2" w14:textId="77777777" w:rsidTr="00BE15E5">
        <w:tblPrEx>
          <w:tblW w:w="5250" w:type="pct"/>
          <w:jc w:val="center"/>
          <w:tblLayout w:type="fixed"/>
          <w:tblLook w:val="01E0"/>
        </w:tblPrEx>
        <w:trPr>
          <w:gridAfter w:val="1"/>
          <w:wAfter w:w="15" w:type="dxa"/>
          <w:cantSplit/>
          <w:jc w:val="center"/>
        </w:trPr>
        <w:tc>
          <w:tcPr>
            <w:tcW w:w="868" w:type="pct"/>
            <w:vMerge/>
          </w:tcPr>
          <w:p w:rsidR="00E81A2D" w:rsidRPr="00C0408A" w:rsidP="00C0408A" w14:paraId="640310EB" w14:textId="2743D36D">
            <w:pPr>
              <w:rPr>
                <w:rFonts w:eastAsia="Calibri"/>
                <w:szCs w:val="26"/>
              </w:rPr>
            </w:pPr>
          </w:p>
        </w:tc>
        <w:tc>
          <w:tcPr>
            <w:tcW w:w="733" w:type="pct"/>
          </w:tcPr>
          <w:p w:rsidR="00E81A2D" w:rsidP="00BE15E5" w14:paraId="12045C64" w14:textId="685510BF">
            <w:pPr>
              <w:jc w:val="center"/>
              <w:rPr>
                <w:rFonts w:eastAsia="Calibri"/>
                <w:szCs w:val="26"/>
              </w:rPr>
            </w:pPr>
            <w:r>
              <w:rPr>
                <w:rFonts w:eastAsia="Calibri"/>
                <w:szCs w:val="26"/>
              </w:rPr>
              <w:t>(GOP)</w:t>
            </w:r>
            <w:r w:rsidR="00C643C8">
              <w:rPr>
                <w:rFonts w:eastAsia="Calibri"/>
                <w:szCs w:val="26"/>
              </w:rPr>
              <w:br/>
            </w:r>
            <w:r w:rsidR="004207F2">
              <w:rPr>
                <w:rFonts w:eastAsia="Calibri"/>
                <w:szCs w:val="26"/>
              </w:rPr>
              <w:t>1</w:t>
            </w:r>
            <w:r w:rsidR="00374D2A">
              <w:rPr>
                <w:rFonts w:eastAsia="Calibri"/>
                <w:szCs w:val="26"/>
              </w:rPr>
              <w:t>,</w:t>
            </w:r>
            <w:r w:rsidR="004207F2">
              <w:rPr>
                <w:rFonts w:eastAsia="Calibri"/>
                <w:szCs w:val="26"/>
              </w:rPr>
              <w:t>028</w:t>
            </w:r>
          </w:p>
          <w:p w:rsidR="00E81A2D" w:rsidRPr="00C0408A" w:rsidP="00C0408A" w14:paraId="64AD04A6" w14:textId="040FEBF4">
            <w:pPr>
              <w:jc w:val="right"/>
              <w:rPr>
                <w:rFonts w:eastAsia="Calibri"/>
                <w:szCs w:val="26"/>
              </w:rPr>
            </w:pPr>
          </w:p>
        </w:tc>
        <w:tc>
          <w:tcPr>
            <w:tcW w:w="688" w:type="pct"/>
            <w:vAlign w:val="center"/>
          </w:tcPr>
          <w:p w:rsidR="00E81A2D" w:rsidRPr="00C0408A" w:rsidP="00BE15E5" w14:paraId="5C98491E" w14:textId="4188D33A">
            <w:pPr>
              <w:jc w:val="center"/>
              <w:rPr>
                <w:rFonts w:eastAsia="Calibri"/>
                <w:szCs w:val="26"/>
              </w:rPr>
            </w:pPr>
            <w:r>
              <w:rPr>
                <w:rFonts w:eastAsia="Calibri"/>
                <w:szCs w:val="26"/>
              </w:rPr>
              <w:t>1</w:t>
            </w:r>
          </w:p>
        </w:tc>
        <w:tc>
          <w:tcPr>
            <w:tcW w:w="642" w:type="pct"/>
            <w:vAlign w:val="center"/>
          </w:tcPr>
          <w:p w:rsidR="00E81A2D" w:rsidRPr="00C0408A" w:rsidP="00BE15E5" w14:paraId="5939E48E" w14:textId="70C511C6">
            <w:pPr>
              <w:jc w:val="center"/>
              <w:rPr>
                <w:rFonts w:eastAsia="Calibri"/>
                <w:szCs w:val="26"/>
              </w:rPr>
            </w:pPr>
            <w:r>
              <w:rPr>
                <w:rFonts w:eastAsia="Calibri"/>
                <w:szCs w:val="26"/>
              </w:rPr>
              <w:t>1</w:t>
            </w:r>
            <w:r w:rsidR="00374D2A">
              <w:rPr>
                <w:rFonts w:eastAsia="Calibri"/>
                <w:szCs w:val="26"/>
              </w:rPr>
              <w:t>,</w:t>
            </w:r>
            <w:r>
              <w:rPr>
                <w:rFonts w:eastAsia="Calibri"/>
                <w:szCs w:val="26"/>
              </w:rPr>
              <w:t>028</w:t>
            </w:r>
          </w:p>
        </w:tc>
        <w:tc>
          <w:tcPr>
            <w:tcW w:w="595" w:type="pct"/>
            <w:vAlign w:val="center"/>
          </w:tcPr>
          <w:p w:rsidR="00C04839" w:rsidRPr="00C0408A" w:rsidP="00C04839" w14:paraId="46BADE4B" w14:textId="48543530">
            <w:pPr>
              <w:jc w:val="right"/>
              <w:rPr>
                <w:rFonts w:eastAsia="Calibri"/>
                <w:szCs w:val="26"/>
              </w:rPr>
            </w:pPr>
            <w:r w:rsidRPr="00C0408A">
              <w:rPr>
                <w:rFonts w:eastAsia="Calibri"/>
                <w:szCs w:val="26"/>
              </w:rPr>
              <w:t xml:space="preserve">8 hrs. </w:t>
            </w:r>
          </w:p>
          <w:p w:rsidR="00E81A2D" w:rsidRPr="00C0408A" w:rsidP="00C04839" w14:paraId="1D020191" w14:textId="7DCAA410">
            <w:pPr>
              <w:jc w:val="right"/>
              <w:rPr>
                <w:rFonts w:eastAsia="Calibri"/>
                <w:szCs w:val="26"/>
              </w:rPr>
            </w:pPr>
            <w:r w:rsidRPr="00C0408A">
              <w:rPr>
                <w:rFonts w:eastAsia="Calibri"/>
                <w:szCs w:val="26"/>
              </w:rPr>
              <w:t>$</w:t>
            </w:r>
            <w:r w:rsidR="004B472A">
              <w:rPr>
                <w:rFonts w:eastAsia="Calibri"/>
                <w:szCs w:val="26"/>
              </w:rPr>
              <w:t>5</w:t>
            </w:r>
            <w:r w:rsidR="00AD4726">
              <w:rPr>
                <w:rFonts w:eastAsia="Calibri"/>
                <w:szCs w:val="26"/>
              </w:rPr>
              <w:t>65.36</w:t>
            </w:r>
          </w:p>
        </w:tc>
        <w:tc>
          <w:tcPr>
            <w:tcW w:w="830" w:type="pct"/>
            <w:vAlign w:val="center"/>
          </w:tcPr>
          <w:p w:rsidR="003E5EA3" w:rsidRPr="00C0408A" w:rsidP="003E5EA3" w14:paraId="0C97C42B" w14:textId="7C2A982C">
            <w:pPr>
              <w:jc w:val="right"/>
              <w:rPr>
                <w:rFonts w:eastAsia="Calibri"/>
                <w:szCs w:val="26"/>
              </w:rPr>
            </w:pPr>
            <w:r>
              <w:rPr>
                <w:rFonts w:eastAsia="Calibri"/>
                <w:szCs w:val="26"/>
              </w:rPr>
              <w:t>8</w:t>
            </w:r>
            <w:r w:rsidR="00374D2A">
              <w:rPr>
                <w:rFonts w:eastAsia="Calibri"/>
                <w:szCs w:val="26"/>
              </w:rPr>
              <w:t>,</w:t>
            </w:r>
            <w:r>
              <w:rPr>
                <w:rFonts w:eastAsia="Calibri"/>
                <w:szCs w:val="26"/>
              </w:rPr>
              <w:t xml:space="preserve">224 </w:t>
            </w:r>
            <w:r w:rsidRPr="00C0408A">
              <w:rPr>
                <w:rFonts w:eastAsia="Calibri"/>
                <w:szCs w:val="26"/>
              </w:rPr>
              <w:t xml:space="preserve">hrs. </w:t>
            </w:r>
          </w:p>
          <w:p w:rsidR="00E81A2D" w:rsidRPr="00C0408A" w:rsidP="00BE15E5" w14:paraId="7102D351" w14:textId="31A0B23E">
            <w:pPr>
              <w:ind w:left="-134"/>
              <w:jc w:val="right"/>
              <w:rPr>
                <w:rFonts w:eastAsia="Calibri"/>
                <w:szCs w:val="26"/>
              </w:rPr>
            </w:pPr>
            <w:r w:rsidRPr="00C0408A">
              <w:rPr>
                <w:rFonts w:eastAsia="Calibri"/>
                <w:szCs w:val="26"/>
              </w:rPr>
              <w:t>$</w:t>
            </w:r>
            <w:r w:rsidR="00AC7E81">
              <w:rPr>
                <w:rFonts w:eastAsia="Calibri"/>
                <w:szCs w:val="26"/>
              </w:rPr>
              <w:t>5</w:t>
            </w:r>
            <w:r w:rsidR="0075004D">
              <w:rPr>
                <w:rFonts w:eastAsia="Calibri"/>
                <w:szCs w:val="26"/>
              </w:rPr>
              <w:t>81,190.08</w:t>
            </w:r>
          </w:p>
        </w:tc>
        <w:tc>
          <w:tcPr>
            <w:tcW w:w="629" w:type="pct"/>
            <w:vAlign w:val="center"/>
          </w:tcPr>
          <w:p w:rsidR="00E81A2D" w:rsidRPr="00C0408A" w:rsidP="00C0408A" w14:paraId="1471BABF" w14:textId="4A4FFA7A">
            <w:pPr>
              <w:jc w:val="right"/>
              <w:rPr>
                <w:rFonts w:eastAsia="Calibri"/>
                <w:szCs w:val="26"/>
              </w:rPr>
            </w:pPr>
            <w:r>
              <w:rPr>
                <w:rFonts w:eastAsia="Calibri"/>
                <w:szCs w:val="26"/>
              </w:rPr>
              <w:t>$</w:t>
            </w:r>
            <w:r w:rsidR="008E72C5">
              <w:rPr>
                <w:rFonts w:eastAsia="Calibri"/>
                <w:szCs w:val="26"/>
              </w:rPr>
              <w:t>5</w:t>
            </w:r>
            <w:r w:rsidR="0075004D">
              <w:rPr>
                <w:rFonts w:eastAsia="Calibri"/>
                <w:szCs w:val="26"/>
              </w:rPr>
              <w:t>65.36</w:t>
            </w:r>
          </w:p>
        </w:tc>
      </w:tr>
      <w:tr w14:paraId="7FC42E0F" w14:textId="77777777" w:rsidTr="00BE15E5">
        <w:tblPrEx>
          <w:tblW w:w="5250" w:type="pct"/>
          <w:jc w:val="center"/>
          <w:tblLayout w:type="fixed"/>
          <w:tblLook w:val="01E0"/>
        </w:tblPrEx>
        <w:trPr>
          <w:gridAfter w:val="1"/>
          <w:wAfter w:w="15" w:type="dxa"/>
          <w:cantSplit/>
          <w:trHeight w:val="485"/>
          <w:jc w:val="center"/>
        </w:trPr>
        <w:tc>
          <w:tcPr>
            <w:tcW w:w="868" w:type="pct"/>
            <w:tcBorders>
              <w:bottom w:val="single" w:sz="4" w:space="0" w:color="auto"/>
            </w:tcBorders>
          </w:tcPr>
          <w:p w:rsidR="00C0408A" w:rsidRPr="00C0408A" w:rsidP="00C0408A" w14:paraId="09220AE4" w14:textId="77777777">
            <w:pPr>
              <w:rPr>
                <w:rFonts w:eastAsia="Calibri"/>
                <w:b/>
                <w:szCs w:val="26"/>
              </w:rPr>
            </w:pPr>
            <w:r w:rsidRPr="00C0408A">
              <w:rPr>
                <w:rFonts w:eastAsia="Calibri"/>
                <w:b/>
                <w:szCs w:val="26"/>
              </w:rPr>
              <w:t>TOTAL</w:t>
            </w:r>
          </w:p>
        </w:tc>
        <w:tc>
          <w:tcPr>
            <w:tcW w:w="1421" w:type="pct"/>
            <w:gridSpan w:val="2"/>
            <w:tcBorders>
              <w:bottom w:val="single" w:sz="4" w:space="0" w:color="auto"/>
            </w:tcBorders>
            <w:shd w:val="clear" w:color="auto" w:fill="D9D9D9"/>
          </w:tcPr>
          <w:p w:rsidR="00C0408A" w:rsidRPr="00C0408A" w:rsidP="00C0408A" w14:paraId="7A086FF7" w14:textId="77777777">
            <w:pPr>
              <w:jc w:val="right"/>
              <w:rPr>
                <w:rFonts w:eastAsia="Calibri"/>
                <w:szCs w:val="26"/>
              </w:rPr>
            </w:pPr>
          </w:p>
        </w:tc>
        <w:tc>
          <w:tcPr>
            <w:tcW w:w="642" w:type="pct"/>
            <w:tcBorders>
              <w:bottom w:val="single" w:sz="4" w:space="0" w:color="auto"/>
            </w:tcBorders>
            <w:shd w:val="clear" w:color="auto" w:fill="auto"/>
          </w:tcPr>
          <w:p w:rsidR="00C0408A" w:rsidRPr="00C0408A" w:rsidP="00BE15E5" w14:paraId="30BC5E34" w14:textId="1423B6EC">
            <w:pPr>
              <w:jc w:val="center"/>
              <w:rPr>
                <w:rFonts w:eastAsia="Calibri"/>
                <w:b/>
                <w:szCs w:val="26"/>
              </w:rPr>
            </w:pPr>
            <w:r w:rsidRPr="00C0408A">
              <w:rPr>
                <w:rFonts w:eastAsia="Calibri"/>
                <w:b/>
                <w:szCs w:val="26"/>
              </w:rPr>
              <w:t>2,</w:t>
            </w:r>
            <w:r w:rsidR="000F45EC">
              <w:rPr>
                <w:rFonts w:eastAsia="Calibri"/>
                <w:b/>
                <w:szCs w:val="26"/>
              </w:rPr>
              <w:t>931</w:t>
            </w:r>
          </w:p>
        </w:tc>
        <w:tc>
          <w:tcPr>
            <w:tcW w:w="595" w:type="pct"/>
            <w:tcBorders>
              <w:bottom w:val="single" w:sz="4" w:space="0" w:color="auto"/>
            </w:tcBorders>
            <w:shd w:val="clear" w:color="auto" w:fill="D9D9D9"/>
          </w:tcPr>
          <w:p w:rsidR="00C0408A" w:rsidRPr="00C0408A" w:rsidP="00C0408A" w14:paraId="4576B3F4" w14:textId="77777777">
            <w:pPr>
              <w:jc w:val="right"/>
              <w:rPr>
                <w:rFonts w:eastAsia="Calibri"/>
                <w:szCs w:val="26"/>
              </w:rPr>
            </w:pPr>
          </w:p>
        </w:tc>
        <w:tc>
          <w:tcPr>
            <w:tcW w:w="830" w:type="pct"/>
            <w:tcBorders>
              <w:bottom w:val="single" w:sz="4" w:space="0" w:color="auto"/>
            </w:tcBorders>
          </w:tcPr>
          <w:p w:rsidR="00C0408A" w:rsidRPr="00C0408A" w:rsidP="00BE15E5" w14:paraId="75E260EB" w14:textId="3FA49877">
            <w:pPr>
              <w:ind w:left="-44"/>
              <w:rPr>
                <w:rFonts w:eastAsia="Calibri"/>
                <w:b/>
                <w:szCs w:val="26"/>
              </w:rPr>
            </w:pPr>
            <w:r>
              <w:rPr>
                <w:rFonts w:eastAsia="Calibri"/>
                <w:b/>
                <w:szCs w:val="26"/>
              </w:rPr>
              <w:t>18</w:t>
            </w:r>
            <w:r w:rsidRPr="00C0408A">
              <w:rPr>
                <w:rFonts w:eastAsia="Calibri"/>
                <w:b/>
                <w:szCs w:val="26"/>
              </w:rPr>
              <w:t>,</w:t>
            </w:r>
            <w:r w:rsidR="00760B62">
              <w:rPr>
                <w:rFonts w:eastAsia="Calibri"/>
                <w:b/>
                <w:szCs w:val="26"/>
              </w:rPr>
              <w:t>1</w:t>
            </w:r>
            <w:r w:rsidR="009F6D8A">
              <w:rPr>
                <w:rFonts w:eastAsia="Calibri"/>
                <w:b/>
                <w:szCs w:val="26"/>
              </w:rPr>
              <w:t>3</w:t>
            </w:r>
            <w:r w:rsidRPr="00C0408A" w:rsidR="009F6D8A">
              <w:rPr>
                <w:rFonts w:eastAsia="Calibri"/>
                <w:b/>
                <w:szCs w:val="26"/>
              </w:rPr>
              <w:t xml:space="preserve">6 </w:t>
            </w:r>
            <w:r w:rsidR="00DF5F20">
              <w:rPr>
                <w:rFonts w:eastAsia="Calibri"/>
                <w:b/>
                <w:szCs w:val="26"/>
              </w:rPr>
              <w:t>h</w:t>
            </w:r>
            <w:r w:rsidRPr="00C0408A">
              <w:rPr>
                <w:rFonts w:eastAsia="Calibri"/>
                <w:b/>
                <w:szCs w:val="26"/>
              </w:rPr>
              <w:t xml:space="preserve">rs. </w:t>
            </w:r>
          </w:p>
          <w:p w:rsidR="00C0408A" w:rsidRPr="00C0408A" w:rsidP="00BE15E5" w14:paraId="08AD09F1" w14:textId="07A45310">
            <w:pPr>
              <w:ind w:left="-134"/>
              <w:jc w:val="right"/>
              <w:rPr>
                <w:rFonts w:eastAsia="Calibri"/>
                <w:b/>
                <w:szCs w:val="26"/>
              </w:rPr>
            </w:pPr>
            <w:r w:rsidRPr="00C0408A">
              <w:rPr>
                <w:rFonts w:eastAsia="Calibri"/>
                <w:b/>
                <w:szCs w:val="26"/>
              </w:rPr>
              <w:t>$</w:t>
            </w:r>
            <w:r w:rsidR="0071543E">
              <w:rPr>
                <w:rFonts w:eastAsia="Calibri"/>
                <w:b/>
                <w:szCs w:val="26"/>
              </w:rPr>
              <w:t>1,</w:t>
            </w:r>
            <w:r w:rsidR="00F91CB3">
              <w:rPr>
                <w:rFonts w:eastAsia="Calibri"/>
                <w:b/>
                <w:szCs w:val="26"/>
              </w:rPr>
              <w:t>2</w:t>
            </w:r>
            <w:r w:rsidR="0075004D">
              <w:rPr>
                <w:rFonts w:eastAsia="Calibri"/>
                <w:b/>
                <w:szCs w:val="26"/>
              </w:rPr>
              <w:t>81,671.12</w:t>
            </w:r>
          </w:p>
        </w:tc>
        <w:tc>
          <w:tcPr>
            <w:tcW w:w="629" w:type="pct"/>
            <w:tcBorders>
              <w:bottom w:val="single" w:sz="4" w:space="0" w:color="auto"/>
            </w:tcBorders>
            <w:shd w:val="clear" w:color="auto" w:fill="D9D9D9"/>
          </w:tcPr>
          <w:p w:rsidR="00C0408A" w:rsidRPr="00C0408A" w:rsidP="00C0408A" w14:paraId="71630BAF" w14:textId="77777777">
            <w:pPr>
              <w:jc w:val="right"/>
              <w:rPr>
                <w:rFonts w:eastAsia="Calibri"/>
                <w:b/>
                <w:szCs w:val="26"/>
              </w:rPr>
            </w:pPr>
          </w:p>
        </w:tc>
      </w:tr>
    </w:tbl>
    <w:p w:rsidR="00C0408A" w:rsidRPr="00C0408A" w:rsidP="00C0408A" w14:paraId="2427EE76" w14:textId="77777777">
      <w:pPr>
        <w:spacing w:line="480" w:lineRule="auto"/>
        <w:rPr>
          <w:szCs w:val="26"/>
        </w:rPr>
      </w:pPr>
    </w:p>
    <w:p w:rsidR="00C0408A" w:rsidP="00AE1F12" w14:paraId="56094ED5" w14:textId="2AF3E5D5">
      <w:pPr>
        <w:spacing w:line="480" w:lineRule="auto"/>
        <w:rPr>
          <w:i/>
        </w:rPr>
      </w:pPr>
    </w:p>
    <w:p w:rsidR="000F36DF" w:rsidP="00AE1F12" w14:paraId="2D6683BE" w14:textId="7170CC99">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227867" w:rsidP="00AE1F12" w14:paraId="783B7D61" w14:textId="77777777">
      <w:pPr>
        <w:spacing w:line="480" w:lineRule="auto"/>
      </w:pPr>
    </w:p>
    <w:p w:rsidR="00227867" w:rsidP="00AE1F12" w14:paraId="347EBB81" w14:textId="77777777">
      <w:pPr>
        <w:spacing w:line="480" w:lineRule="auto"/>
      </w:pPr>
    </w:p>
    <w:p w:rsidR="00227867" w:rsidP="00AE1F12" w14:paraId="1CCC4716" w14:textId="77777777">
      <w:pPr>
        <w:spacing w:line="480" w:lineRule="auto"/>
      </w:pPr>
    </w:p>
    <w:p w:rsidR="00881405" w:rsidP="00AE1F12" w14:paraId="40735770" w14:textId="7E123D72">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054C0B94">
      <w:pPr>
        <w:ind w:firstLine="2606"/>
        <w:jc w:val="center"/>
      </w:pPr>
      <w:r w:rsidRPr="00E52385">
        <w:t>Secretary.</w:t>
      </w:r>
    </w:p>
    <w:p w:rsidR="00E52385" w14:paraId="0470DF50"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12C4" w:rsidP="00B01B16" w14:paraId="1AB98657" w14:textId="77777777">
      <w:r>
        <w:separator/>
      </w:r>
    </w:p>
  </w:footnote>
  <w:footnote w:type="continuationSeparator" w:id="1">
    <w:p w:rsidR="008F12C4" w:rsidP="00B01B16" w14:paraId="3240DF9D" w14:textId="77777777">
      <w:r>
        <w:continuationSeparator/>
      </w:r>
    </w:p>
  </w:footnote>
  <w:footnote w:type="continuationNotice" w:id="2">
    <w:p w:rsidR="008F12C4" w14:paraId="169F2C6A" w14:textId="77777777"/>
  </w:footnote>
  <w:footnote w:id="3">
    <w:p w:rsidR="00C0408A" w:rsidRPr="002C0D1E" w:rsidP="00227867" w14:paraId="69C4E25C" w14:textId="77777777">
      <w:pPr>
        <w:pStyle w:val="FootnoteText"/>
        <w:ind w:firstLine="720"/>
        <w:rPr>
          <w:sz w:val="26"/>
          <w:szCs w:val="26"/>
        </w:rPr>
      </w:pPr>
      <w:r w:rsidRPr="002C0D1E">
        <w:rPr>
          <w:rStyle w:val="FootnoteReference"/>
        </w:rPr>
        <w:footnoteRef/>
      </w:r>
      <w:r w:rsidRPr="002C0D1E">
        <w:rPr>
          <w:sz w:val="26"/>
          <w:szCs w:val="26"/>
        </w:rPr>
        <w:t xml:space="preserve"> 16 U.S.C. § 824o (2012).</w:t>
      </w:r>
    </w:p>
  </w:footnote>
  <w:footnote w:id="4">
    <w:p w:rsidR="00C0408A" w:rsidRPr="002C0D1E" w:rsidP="00227867" w14:paraId="412CD64A" w14:textId="77777777">
      <w:pPr>
        <w:pStyle w:val="FootnoteText"/>
        <w:ind w:firstLine="720"/>
        <w:rPr>
          <w:sz w:val="26"/>
          <w:szCs w:val="26"/>
        </w:rPr>
      </w:pPr>
      <w:r w:rsidRPr="002C0D1E">
        <w:rPr>
          <w:rStyle w:val="FootnoteReference"/>
        </w:rPr>
        <w:footnoteRef/>
      </w:r>
      <w:r w:rsidRPr="002C0D1E">
        <w:rPr>
          <w:sz w:val="26"/>
          <w:szCs w:val="26"/>
        </w:rPr>
        <w:t xml:space="preserve"> 18 C.F.R. § 39.5 (2015).</w:t>
      </w:r>
    </w:p>
  </w:footnote>
  <w:footnote w:id="5">
    <w:p w:rsidR="00C0408A" w:rsidRPr="002C0D1E" w:rsidP="00227867" w14:paraId="702599D0" w14:textId="430469EF">
      <w:pPr>
        <w:pStyle w:val="FootnoteText"/>
        <w:ind w:firstLine="720"/>
        <w:rPr>
          <w:sz w:val="26"/>
          <w:szCs w:val="26"/>
        </w:rPr>
      </w:pPr>
      <w:r w:rsidRPr="002C0D1E">
        <w:rPr>
          <w:rStyle w:val="FootnoteReference"/>
        </w:rPr>
        <w:footnoteRef/>
      </w:r>
      <w:r w:rsidRPr="002C0D1E">
        <w:rPr>
          <w:sz w:val="26"/>
          <w:szCs w:val="26"/>
        </w:rPr>
        <w:t xml:space="preserve"> The Commission defines burden as the total time, effort, or financial resources expended by persons to generate, maintain, retain, or disclose or provide information to or for a Federal agency. </w:t>
      </w:r>
      <w:r w:rsidR="002662C7">
        <w:rPr>
          <w:sz w:val="26"/>
          <w:szCs w:val="26"/>
        </w:rPr>
        <w:t xml:space="preserve"> </w:t>
      </w:r>
      <w:r w:rsidRPr="002C0D1E">
        <w:rPr>
          <w:sz w:val="26"/>
          <w:szCs w:val="26"/>
        </w:rPr>
        <w:t>For further explanation of what is included in the information collection burden, reference 5 Code of Federal Regulations 1320.3.</w:t>
      </w:r>
    </w:p>
  </w:footnote>
  <w:footnote w:id="6">
    <w:p w:rsidR="00BD2445" w:rsidP="00227867" w14:paraId="3808372E" w14:textId="78F24958">
      <w:pPr>
        <w:pStyle w:val="FootnoteText"/>
        <w:ind w:firstLine="720"/>
      </w:pPr>
      <w:r>
        <w:rPr>
          <w:rStyle w:val="FootnoteReference"/>
        </w:rPr>
        <w:footnoteRef/>
      </w:r>
      <w:r>
        <w:t xml:space="preserve"> </w:t>
      </w:r>
      <w:r w:rsidRPr="007B7391" w:rsidR="00BC1E57">
        <w:rPr>
          <w:sz w:val="26"/>
          <w:szCs w:val="26"/>
        </w:rPr>
        <w:t>BA=</w:t>
      </w:r>
      <w:r w:rsidRPr="007B7391" w:rsidR="00756FAF">
        <w:rPr>
          <w:sz w:val="26"/>
          <w:szCs w:val="26"/>
        </w:rPr>
        <w:t xml:space="preserve"> </w:t>
      </w:r>
      <w:r w:rsidRPr="007B7391" w:rsidR="00BC1E57">
        <w:rPr>
          <w:sz w:val="26"/>
          <w:szCs w:val="26"/>
        </w:rPr>
        <w:t>b</w:t>
      </w:r>
      <w:r w:rsidRPr="007B7391" w:rsidR="006A2ACA">
        <w:rPr>
          <w:sz w:val="26"/>
          <w:szCs w:val="26"/>
        </w:rPr>
        <w:t xml:space="preserve">alancing </w:t>
      </w:r>
      <w:r w:rsidRPr="007B7391" w:rsidR="00BC1E57">
        <w:rPr>
          <w:sz w:val="26"/>
          <w:szCs w:val="26"/>
        </w:rPr>
        <w:t>a</w:t>
      </w:r>
      <w:r w:rsidRPr="007B7391" w:rsidR="006A2ACA">
        <w:rPr>
          <w:sz w:val="26"/>
          <w:szCs w:val="26"/>
        </w:rPr>
        <w:t>uthority</w:t>
      </w:r>
      <w:r w:rsidRPr="007B7391" w:rsidR="00BC1E57">
        <w:rPr>
          <w:sz w:val="26"/>
          <w:szCs w:val="26"/>
        </w:rPr>
        <w:t xml:space="preserve">, </w:t>
      </w:r>
      <w:r w:rsidRPr="007B7391" w:rsidR="00756FAF">
        <w:rPr>
          <w:sz w:val="26"/>
          <w:szCs w:val="26"/>
        </w:rPr>
        <w:t>RC</w:t>
      </w:r>
      <w:r w:rsidRPr="007B7391" w:rsidR="00A11900">
        <w:rPr>
          <w:sz w:val="26"/>
          <w:szCs w:val="26"/>
        </w:rPr>
        <w:t xml:space="preserve"> </w:t>
      </w:r>
      <w:r w:rsidRPr="007B7391" w:rsidR="00756FAF">
        <w:rPr>
          <w:sz w:val="26"/>
          <w:szCs w:val="26"/>
        </w:rPr>
        <w:t xml:space="preserve">= Reliability Coordinator, </w:t>
      </w:r>
      <w:r w:rsidRPr="007B7391" w:rsidR="00A11900">
        <w:rPr>
          <w:sz w:val="26"/>
          <w:szCs w:val="26"/>
        </w:rPr>
        <w:t xml:space="preserve">DP = </w:t>
      </w:r>
      <w:r w:rsidRPr="007B7391" w:rsidR="00807EF5">
        <w:rPr>
          <w:sz w:val="26"/>
          <w:szCs w:val="26"/>
        </w:rPr>
        <w:t xml:space="preserve">distribution provider, </w:t>
      </w:r>
      <w:r w:rsidRPr="007B7391" w:rsidR="00552978">
        <w:rPr>
          <w:sz w:val="26"/>
          <w:szCs w:val="26"/>
        </w:rPr>
        <w:t xml:space="preserve">TOP = transmission operator; GOP = generator operators. </w:t>
      </w:r>
      <w:r w:rsidRPr="007B7391" w:rsidR="00807EF5">
        <w:rPr>
          <w:sz w:val="26"/>
          <w:szCs w:val="26"/>
        </w:rPr>
        <w:t xml:space="preserve"> </w:t>
      </w:r>
      <w:r w:rsidRPr="007B7391" w:rsidR="00537A68">
        <w:rPr>
          <w:sz w:val="26"/>
          <w:szCs w:val="26"/>
        </w:rPr>
        <w:t>These values were derived from the NERC Compliance data of April 16, 2024</w:t>
      </w:r>
      <w:r w:rsidR="007B7391">
        <w:rPr>
          <w:sz w:val="26"/>
          <w:szCs w:val="26"/>
        </w:rPr>
        <w:t>,</w:t>
      </w:r>
      <w:r w:rsidRPr="007B7391" w:rsidR="00537A68">
        <w:rPr>
          <w:sz w:val="26"/>
          <w:szCs w:val="26"/>
        </w:rPr>
        <w:t xml:space="preserve"> using only unique United States registered entities.</w:t>
      </w:r>
      <w:r w:rsidR="00537A68">
        <w:t xml:space="preserve"> </w:t>
      </w:r>
    </w:p>
  </w:footnote>
  <w:footnote w:id="7">
    <w:p w:rsidR="00C0408A" w:rsidRPr="002C0D1E" w:rsidP="00227867" w14:paraId="216F4158" w14:textId="0DB64ED0">
      <w:pPr>
        <w:pStyle w:val="FootnoteText"/>
        <w:ind w:firstLine="720"/>
        <w:rPr>
          <w:sz w:val="26"/>
          <w:szCs w:val="26"/>
        </w:rPr>
      </w:pPr>
      <w:r w:rsidRPr="002C0D1E">
        <w:rPr>
          <w:rStyle w:val="FootnoteReference"/>
        </w:rPr>
        <w:footnoteRef/>
      </w:r>
      <w:r w:rsidRPr="002C0D1E">
        <w:rPr>
          <w:sz w:val="26"/>
          <w:szCs w:val="26"/>
        </w:rPr>
        <w:t xml:space="preserve"> </w:t>
      </w:r>
      <w:r w:rsidRPr="00C418AE" w:rsidR="00C418AE">
        <w:rPr>
          <w:sz w:val="26"/>
          <w:szCs w:val="26"/>
        </w:rPr>
        <w:t>The estimated hourly cost (salary plus benefits) is a combination based on the Bureau of Labor Statistics (BLS), as of 202</w:t>
      </w:r>
      <w:r w:rsidR="009A430C">
        <w:rPr>
          <w:sz w:val="26"/>
          <w:szCs w:val="26"/>
        </w:rPr>
        <w:t>4</w:t>
      </w:r>
      <w:r w:rsidRPr="00C418AE" w:rsidR="00C418AE">
        <w:rPr>
          <w:sz w:val="26"/>
          <w:szCs w:val="26"/>
        </w:rPr>
        <w:t>, for 75% of the average of an Electrical Engineer (17-2071) $7</w:t>
      </w:r>
      <w:r w:rsidR="009A430C">
        <w:rPr>
          <w:sz w:val="26"/>
          <w:szCs w:val="26"/>
        </w:rPr>
        <w:t>9.31</w:t>
      </w:r>
      <w:r w:rsidRPr="00C418AE" w:rsidR="00C418AE">
        <w:rPr>
          <w:sz w:val="26"/>
          <w:szCs w:val="26"/>
        </w:rPr>
        <w:t>/hr</w:t>
      </w:r>
      <w:r w:rsidR="007B7391">
        <w:rPr>
          <w:sz w:val="26"/>
          <w:szCs w:val="26"/>
        </w:rPr>
        <w:t>.</w:t>
      </w:r>
      <w:r w:rsidRPr="00C418AE" w:rsidR="00C418AE">
        <w:rPr>
          <w:sz w:val="26"/>
          <w:szCs w:val="26"/>
        </w:rPr>
        <w:t>,  7</w:t>
      </w:r>
      <w:r w:rsidR="009A430C">
        <w:rPr>
          <w:sz w:val="26"/>
          <w:szCs w:val="26"/>
        </w:rPr>
        <w:t>9.31</w:t>
      </w:r>
      <w:r w:rsidRPr="00C418AE" w:rsidR="00C418AE">
        <w:rPr>
          <w:sz w:val="26"/>
          <w:szCs w:val="26"/>
        </w:rPr>
        <w:t xml:space="preserve"> x .75 = 5</w:t>
      </w:r>
      <w:r w:rsidR="009A430C">
        <w:rPr>
          <w:sz w:val="26"/>
          <w:szCs w:val="26"/>
        </w:rPr>
        <w:t>9.4825</w:t>
      </w:r>
      <w:r w:rsidRPr="00C418AE" w:rsidR="00C418AE">
        <w:rPr>
          <w:sz w:val="26"/>
          <w:szCs w:val="26"/>
        </w:rPr>
        <w:t xml:space="preserve"> ($5</w:t>
      </w:r>
      <w:r w:rsidR="009A430C">
        <w:rPr>
          <w:sz w:val="26"/>
          <w:szCs w:val="26"/>
        </w:rPr>
        <w:t>9.48</w:t>
      </w:r>
      <w:r w:rsidRPr="00C418AE" w:rsidR="00C418AE">
        <w:rPr>
          <w:sz w:val="26"/>
          <w:szCs w:val="26"/>
        </w:rPr>
        <w:t>-rounded) ($5</w:t>
      </w:r>
      <w:r w:rsidR="009A430C">
        <w:rPr>
          <w:sz w:val="26"/>
          <w:szCs w:val="26"/>
        </w:rPr>
        <w:t>9.48</w:t>
      </w:r>
      <w:r w:rsidRPr="00C418AE" w:rsidR="00C418AE">
        <w:rPr>
          <w:sz w:val="26"/>
          <w:szCs w:val="26"/>
        </w:rPr>
        <w:t>/hour) and 25% of an Information and Record Clerk (43-4199) $</w:t>
      </w:r>
      <w:r w:rsidR="009A430C">
        <w:rPr>
          <w:sz w:val="26"/>
          <w:szCs w:val="26"/>
        </w:rPr>
        <w:t>44.74</w:t>
      </w:r>
      <w:r w:rsidRPr="00C418AE" w:rsidR="00C418AE">
        <w:rPr>
          <w:sz w:val="26"/>
          <w:szCs w:val="26"/>
        </w:rPr>
        <w:t>/hr</w:t>
      </w:r>
      <w:r w:rsidR="007B7391">
        <w:rPr>
          <w:sz w:val="26"/>
          <w:szCs w:val="26"/>
        </w:rPr>
        <w:t>.</w:t>
      </w:r>
      <w:r w:rsidRPr="00C418AE" w:rsidR="00C418AE">
        <w:rPr>
          <w:sz w:val="26"/>
          <w:szCs w:val="26"/>
        </w:rPr>
        <w:t>, $</w:t>
      </w:r>
      <w:r w:rsidR="009A430C">
        <w:rPr>
          <w:sz w:val="26"/>
          <w:szCs w:val="26"/>
        </w:rPr>
        <w:t>44.74</w:t>
      </w:r>
      <w:r w:rsidRPr="00C418AE" w:rsidR="00C418AE">
        <w:rPr>
          <w:sz w:val="26"/>
          <w:szCs w:val="26"/>
        </w:rPr>
        <w:t xml:space="preserve"> x .25% = </w:t>
      </w:r>
      <w:r w:rsidR="009A430C">
        <w:rPr>
          <w:sz w:val="26"/>
          <w:szCs w:val="26"/>
        </w:rPr>
        <w:t>11.185</w:t>
      </w:r>
      <w:r w:rsidRPr="00C418AE" w:rsidR="00C418AE">
        <w:rPr>
          <w:sz w:val="26"/>
          <w:szCs w:val="26"/>
        </w:rPr>
        <w:t xml:space="preserve"> ($</w:t>
      </w:r>
      <w:r w:rsidR="009A430C">
        <w:rPr>
          <w:sz w:val="26"/>
          <w:szCs w:val="26"/>
        </w:rPr>
        <w:t>11.19</w:t>
      </w:r>
      <w:r w:rsidRPr="00C418AE" w:rsidR="00C418AE">
        <w:rPr>
          <w:sz w:val="26"/>
          <w:szCs w:val="26"/>
        </w:rPr>
        <w:t xml:space="preserve"> rounded) ($</w:t>
      </w:r>
      <w:r w:rsidR="009A430C">
        <w:rPr>
          <w:sz w:val="26"/>
          <w:szCs w:val="26"/>
        </w:rPr>
        <w:t>11.19</w:t>
      </w:r>
      <w:r w:rsidRPr="00C418AE" w:rsidR="00C418AE">
        <w:rPr>
          <w:sz w:val="26"/>
          <w:szCs w:val="26"/>
        </w:rPr>
        <w:t>/hour), for a total ($</w:t>
      </w:r>
      <w:r w:rsidR="009A430C">
        <w:rPr>
          <w:sz w:val="26"/>
          <w:szCs w:val="26"/>
        </w:rPr>
        <w:t>59.48</w:t>
      </w:r>
      <w:r w:rsidRPr="00C418AE" w:rsidR="00C418AE">
        <w:rPr>
          <w:sz w:val="26"/>
          <w:szCs w:val="26"/>
        </w:rPr>
        <w:t>+$</w:t>
      </w:r>
      <w:r w:rsidR="009A430C">
        <w:rPr>
          <w:sz w:val="26"/>
          <w:szCs w:val="26"/>
        </w:rPr>
        <w:t>11.19</w:t>
      </w:r>
      <w:r w:rsidRPr="00C418AE" w:rsidR="00C418AE">
        <w:rPr>
          <w:sz w:val="26"/>
          <w:szCs w:val="26"/>
        </w:rPr>
        <w:t xml:space="preserve"> = $</w:t>
      </w:r>
      <w:r w:rsidR="009A430C">
        <w:rPr>
          <w:sz w:val="26"/>
          <w:szCs w:val="26"/>
        </w:rPr>
        <w:t>70.67</w:t>
      </w:r>
      <w:r w:rsidRPr="00C418AE" w:rsidR="00C418AE">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583DA3A0">
        <w:pPr>
          <w:pStyle w:val="Header"/>
        </w:pPr>
        <w:r w:rsidRPr="00980E58">
          <w:t xml:space="preserve">Docket No. </w:t>
        </w:r>
        <w:r w:rsidRPr="00974530">
          <w:t>I</w:t>
        </w:r>
        <w:r>
          <w:t>C2</w:t>
        </w:r>
        <w:r w:rsidR="006D1CE0">
          <w:t>4</w:t>
        </w:r>
        <w:r w:rsidRPr="00974530">
          <w:t>-</w:t>
        </w:r>
        <w:r w:rsidR="00BB0C97">
          <w:t>2</w:t>
        </w:r>
        <w:r w:rsidR="00C0408A">
          <w:t>4</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 w:numId="8" w16cid:durableId="141415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4462"/>
    <w:rsid w:val="00026C2D"/>
    <w:rsid w:val="00033DD8"/>
    <w:rsid w:val="000459B6"/>
    <w:rsid w:val="00061D59"/>
    <w:rsid w:val="00062427"/>
    <w:rsid w:val="00063B25"/>
    <w:rsid w:val="00082444"/>
    <w:rsid w:val="00084A11"/>
    <w:rsid w:val="00085A2B"/>
    <w:rsid w:val="0008692A"/>
    <w:rsid w:val="0009446C"/>
    <w:rsid w:val="000A0250"/>
    <w:rsid w:val="000A1FE3"/>
    <w:rsid w:val="000A6F37"/>
    <w:rsid w:val="000A7E68"/>
    <w:rsid w:val="000B32CE"/>
    <w:rsid w:val="000B5C78"/>
    <w:rsid w:val="000D318C"/>
    <w:rsid w:val="000E2568"/>
    <w:rsid w:val="000F36DF"/>
    <w:rsid w:val="000F45EC"/>
    <w:rsid w:val="000F606E"/>
    <w:rsid w:val="00113520"/>
    <w:rsid w:val="00114D0E"/>
    <w:rsid w:val="00116326"/>
    <w:rsid w:val="00117BAE"/>
    <w:rsid w:val="00117E0B"/>
    <w:rsid w:val="00121178"/>
    <w:rsid w:val="00121D48"/>
    <w:rsid w:val="001258C6"/>
    <w:rsid w:val="00125991"/>
    <w:rsid w:val="00133619"/>
    <w:rsid w:val="00134E93"/>
    <w:rsid w:val="001408C4"/>
    <w:rsid w:val="0015445B"/>
    <w:rsid w:val="00156BBB"/>
    <w:rsid w:val="001600DF"/>
    <w:rsid w:val="00164215"/>
    <w:rsid w:val="001642F6"/>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6B8"/>
    <w:rsid w:val="001B78B8"/>
    <w:rsid w:val="001C0B75"/>
    <w:rsid w:val="001C7064"/>
    <w:rsid w:val="001E40B7"/>
    <w:rsid w:val="001F1CDF"/>
    <w:rsid w:val="00202E41"/>
    <w:rsid w:val="00210715"/>
    <w:rsid w:val="002131D0"/>
    <w:rsid w:val="00224BF8"/>
    <w:rsid w:val="00227867"/>
    <w:rsid w:val="002347B9"/>
    <w:rsid w:val="0024309C"/>
    <w:rsid w:val="00247214"/>
    <w:rsid w:val="00253F98"/>
    <w:rsid w:val="00257CC2"/>
    <w:rsid w:val="002662C7"/>
    <w:rsid w:val="00266431"/>
    <w:rsid w:val="00266CF0"/>
    <w:rsid w:val="00281F64"/>
    <w:rsid w:val="00297211"/>
    <w:rsid w:val="002A0531"/>
    <w:rsid w:val="002A4B87"/>
    <w:rsid w:val="002B1694"/>
    <w:rsid w:val="002C03F1"/>
    <w:rsid w:val="002C0D1E"/>
    <w:rsid w:val="002C3223"/>
    <w:rsid w:val="002C3579"/>
    <w:rsid w:val="002C556B"/>
    <w:rsid w:val="002D17E5"/>
    <w:rsid w:val="002D19D9"/>
    <w:rsid w:val="002E06A0"/>
    <w:rsid w:val="002E5D67"/>
    <w:rsid w:val="002E6DAA"/>
    <w:rsid w:val="002E7120"/>
    <w:rsid w:val="002F1008"/>
    <w:rsid w:val="002F4401"/>
    <w:rsid w:val="002F505F"/>
    <w:rsid w:val="00301ED5"/>
    <w:rsid w:val="00301F62"/>
    <w:rsid w:val="00303516"/>
    <w:rsid w:val="00305D2F"/>
    <w:rsid w:val="00306318"/>
    <w:rsid w:val="00311D90"/>
    <w:rsid w:val="00314219"/>
    <w:rsid w:val="003149BC"/>
    <w:rsid w:val="00314D59"/>
    <w:rsid w:val="00320CB8"/>
    <w:rsid w:val="003270F2"/>
    <w:rsid w:val="00332D75"/>
    <w:rsid w:val="00333661"/>
    <w:rsid w:val="00336AD9"/>
    <w:rsid w:val="00353B9A"/>
    <w:rsid w:val="00365468"/>
    <w:rsid w:val="003658A2"/>
    <w:rsid w:val="003673EC"/>
    <w:rsid w:val="00372200"/>
    <w:rsid w:val="00373A2E"/>
    <w:rsid w:val="00374D2A"/>
    <w:rsid w:val="00376525"/>
    <w:rsid w:val="00397ABE"/>
    <w:rsid w:val="003A2C3F"/>
    <w:rsid w:val="003A350E"/>
    <w:rsid w:val="003A6035"/>
    <w:rsid w:val="003B29FB"/>
    <w:rsid w:val="003B435C"/>
    <w:rsid w:val="003B5B0B"/>
    <w:rsid w:val="003C08DE"/>
    <w:rsid w:val="003C3E7A"/>
    <w:rsid w:val="003C467C"/>
    <w:rsid w:val="003D28D2"/>
    <w:rsid w:val="003E1657"/>
    <w:rsid w:val="003E1B5A"/>
    <w:rsid w:val="003E40B2"/>
    <w:rsid w:val="003E44AD"/>
    <w:rsid w:val="003E5EA3"/>
    <w:rsid w:val="003F0FE7"/>
    <w:rsid w:val="003F2E32"/>
    <w:rsid w:val="003F452F"/>
    <w:rsid w:val="003F570B"/>
    <w:rsid w:val="003F6B3B"/>
    <w:rsid w:val="003F7567"/>
    <w:rsid w:val="00411B62"/>
    <w:rsid w:val="004177CD"/>
    <w:rsid w:val="004207F2"/>
    <w:rsid w:val="0042688C"/>
    <w:rsid w:val="0042765E"/>
    <w:rsid w:val="00427AE5"/>
    <w:rsid w:val="00443282"/>
    <w:rsid w:val="004471A9"/>
    <w:rsid w:val="004562F1"/>
    <w:rsid w:val="00456947"/>
    <w:rsid w:val="004609ED"/>
    <w:rsid w:val="004618D7"/>
    <w:rsid w:val="004628F2"/>
    <w:rsid w:val="00471921"/>
    <w:rsid w:val="00491543"/>
    <w:rsid w:val="0049612F"/>
    <w:rsid w:val="004962D9"/>
    <w:rsid w:val="004A661D"/>
    <w:rsid w:val="004B239D"/>
    <w:rsid w:val="004B472A"/>
    <w:rsid w:val="004C0BC3"/>
    <w:rsid w:val="004C70C8"/>
    <w:rsid w:val="004E0525"/>
    <w:rsid w:val="004E683E"/>
    <w:rsid w:val="00501035"/>
    <w:rsid w:val="00524164"/>
    <w:rsid w:val="00527733"/>
    <w:rsid w:val="00531000"/>
    <w:rsid w:val="00537A68"/>
    <w:rsid w:val="005401E0"/>
    <w:rsid w:val="00544424"/>
    <w:rsid w:val="0054746C"/>
    <w:rsid w:val="00552978"/>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03E8"/>
    <w:rsid w:val="00606C85"/>
    <w:rsid w:val="006128A5"/>
    <w:rsid w:val="00613169"/>
    <w:rsid w:val="0062572C"/>
    <w:rsid w:val="00630E07"/>
    <w:rsid w:val="0063784F"/>
    <w:rsid w:val="00637F43"/>
    <w:rsid w:val="00644A1B"/>
    <w:rsid w:val="00645C5B"/>
    <w:rsid w:val="00646D5F"/>
    <w:rsid w:val="006536D8"/>
    <w:rsid w:val="00654399"/>
    <w:rsid w:val="00654BA4"/>
    <w:rsid w:val="0066195A"/>
    <w:rsid w:val="00664931"/>
    <w:rsid w:val="006670C8"/>
    <w:rsid w:val="006841A7"/>
    <w:rsid w:val="00693721"/>
    <w:rsid w:val="00694C22"/>
    <w:rsid w:val="006963BC"/>
    <w:rsid w:val="006970F4"/>
    <w:rsid w:val="006A2ACA"/>
    <w:rsid w:val="006A2E15"/>
    <w:rsid w:val="006B0632"/>
    <w:rsid w:val="006C0377"/>
    <w:rsid w:val="006C1D12"/>
    <w:rsid w:val="006C5ECD"/>
    <w:rsid w:val="006D1CE0"/>
    <w:rsid w:val="006D5E14"/>
    <w:rsid w:val="006E7CBB"/>
    <w:rsid w:val="006F7028"/>
    <w:rsid w:val="006F749E"/>
    <w:rsid w:val="007024F1"/>
    <w:rsid w:val="0071004E"/>
    <w:rsid w:val="00713417"/>
    <w:rsid w:val="00714EDD"/>
    <w:rsid w:val="0071543E"/>
    <w:rsid w:val="0071670A"/>
    <w:rsid w:val="00723505"/>
    <w:rsid w:val="007263B9"/>
    <w:rsid w:val="0074136F"/>
    <w:rsid w:val="0075004D"/>
    <w:rsid w:val="0075009F"/>
    <w:rsid w:val="00756FAF"/>
    <w:rsid w:val="00760B62"/>
    <w:rsid w:val="00767177"/>
    <w:rsid w:val="00775681"/>
    <w:rsid w:val="00781E6A"/>
    <w:rsid w:val="00782ECC"/>
    <w:rsid w:val="0078743D"/>
    <w:rsid w:val="007901CE"/>
    <w:rsid w:val="00795C55"/>
    <w:rsid w:val="007A23CA"/>
    <w:rsid w:val="007A4202"/>
    <w:rsid w:val="007A50D7"/>
    <w:rsid w:val="007B1F57"/>
    <w:rsid w:val="007B4938"/>
    <w:rsid w:val="007B6CD5"/>
    <w:rsid w:val="007B7391"/>
    <w:rsid w:val="007E3706"/>
    <w:rsid w:val="007F4CD3"/>
    <w:rsid w:val="007F61C2"/>
    <w:rsid w:val="008018DB"/>
    <w:rsid w:val="00803CA2"/>
    <w:rsid w:val="00807CAC"/>
    <w:rsid w:val="00807EF5"/>
    <w:rsid w:val="008115BF"/>
    <w:rsid w:val="00816942"/>
    <w:rsid w:val="008212DA"/>
    <w:rsid w:val="00824D81"/>
    <w:rsid w:val="0083151E"/>
    <w:rsid w:val="00835322"/>
    <w:rsid w:val="00843568"/>
    <w:rsid w:val="00853ABC"/>
    <w:rsid w:val="00855FE8"/>
    <w:rsid w:val="0086175B"/>
    <w:rsid w:val="00871D53"/>
    <w:rsid w:val="00871DCE"/>
    <w:rsid w:val="00881405"/>
    <w:rsid w:val="00890224"/>
    <w:rsid w:val="0089069F"/>
    <w:rsid w:val="00895B40"/>
    <w:rsid w:val="00895DA2"/>
    <w:rsid w:val="00897359"/>
    <w:rsid w:val="008A6A02"/>
    <w:rsid w:val="008A7371"/>
    <w:rsid w:val="008B7C2C"/>
    <w:rsid w:val="008B7EC5"/>
    <w:rsid w:val="008C59C7"/>
    <w:rsid w:val="008D25B7"/>
    <w:rsid w:val="008D399B"/>
    <w:rsid w:val="008D5479"/>
    <w:rsid w:val="008E0DC0"/>
    <w:rsid w:val="008E0DF5"/>
    <w:rsid w:val="008E3273"/>
    <w:rsid w:val="008E4932"/>
    <w:rsid w:val="008E72C5"/>
    <w:rsid w:val="008E7D0A"/>
    <w:rsid w:val="008F0C45"/>
    <w:rsid w:val="008F12C4"/>
    <w:rsid w:val="00904B00"/>
    <w:rsid w:val="009053DE"/>
    <w:rsid w:val="00907770"/>
    <w:rsid w:val="0092024A"/>
    <w:rsid w:val="0092205A"/>
    <w:rsid w:val="009314F0"/>
    <w:rsid w:val="00940C0F"/>
    <w:rsid w:val="00951DC3"/>
    <w:rsid w:val="00952710"/>
    <w:rsid w:val="0095548F"/>
    <w:rsid w:val="009603F5"/>
    <w:rsid w:val="009744C8"/>
    <w:rsid w:val="00974530"/>
    <w:rsid w:val="00977A6A"/>
    <w:rsid w:val="00980E58"/>
    <w:rsid w:val="009815BD"/>
    <w:rsid w:val="00981886"/>
    <w:rsid w:val="00982934"/>
    <w:rsid w:val="00990102"/>
    <w:rsid w:val="00990FEC"/>
    <w:rsid w:val="00991995"/>
    <w:rsid w:val="00992257"/>
    <w:rsid w:val="009A1B08"/>
    <w:rsid w:val="009A430C"/>
    <w:rsid w:val="009A5682"/>
    <w:rsid w:val="009C3CB9"/>
    <w:rsid w:val="009C4A13"/>
    <w:rsid w:val="009C745D"/>
    <w:rsid w:val="009D13E8"/>
    <w:rsid w:val="009D61BE"/>
    <w:rsid w:val="009E1900"/>
    <w:rsid w:val="009E281E"/>
    <w:rsid w:val="009F4BA5"/>
    <w:rsid w:val="009F5460"/>
    <w:rsid w:val="009F6D8A"/>
    <w:rsid w:val="009F7DE3"/>
    <w:rsid w:val="00A07154"/>
    <w:rsid w:val="00A11868"/>
    <w:rsid w:val="00A11900"/>
    <w:rsid w:val="00A127D3"/>
    <w:rsid w:val="00A1386C"/>
    <w:rsid w:val="00A14335"/>
    <w:rsid w:val="00A14B43"/>
    <w:rsid w:val="00A23612"/>
    <w:rsid w:val="00A2604E"/>
    <w:rsid w:val="00A32860"/>
    <w:rsid w:val="00A34E33"/>
    <w:rsid w:val="00A417A2"/>
    <w:rsid w:val="00A52189"/>
    <w:rsid w:val="00A57463"/>
    <w:rsid w:val="00A664DF"/>
    <w:rsid w:val="00A71219"/>
    <w:rsid w:val="00A713D0"/>
    <w:rsid w:val="00A722D4"/>
    <w:rsid w:val="00A72496"/>
    <w:rsid w:val="00A73303"/>
    <w:rsid w:val="00A75AAA"/>
    <w:rsid w:val="00A7635A"/>
    <w:rsid w:val="00A82A29"/>
    <w:rsid w:val="00AA516A"/>
    <w:rsid w:val="00AA5B0E"/>
    <w:rsid w:val="00AB4DBF"/>
    <w:rsid w:val="00AB520B"/>
    <w:rsid w:val="00AC0504"/>
    <w:rsid w:val="00AC1DB7"/>
    <w:rsid w:val="00AC4CCB"/>
    <w:rsid w:val="00AC664F"/>
    <w:rsid w:val="00AC750B"/>
    <w:rsid w:val="00AC7E81"/>
    <w:rsid w:val="00AD4726"/>
    <w:rsid w:val="00AD6937"/>
    <w:rsid w:val="00AE1F12"/>
    <w:rsid w:val="00AE24CC"/>
    <w:rsid w:val="00AE4155"/>
    <w:rsid w:val="00AE4B7C"/>
    <w:rsid w:val="00AE66F6"/>
    <w:rsid w:val="00AF17CE"/>
    <w:rsid w:val="00AF349B"/>
    <w:rsid w:val="00B009E9"/>
    <w:rsid w:val="00B01B16"/>
    <w:rsid w:val="00B04130"/>
    <w:rsid w:val="00B11D16"/>
    <w:rsid w:val="00B129E0"/>
    <w:rsid w:val="00B13678"/>
    <w:rsid w:val="00B15B2D"/>
    <w:rsid w:val="00B24588"/>
    <w:rsid w:val="00B24919"/>
    <w:rsid w:val="00B437DF"/>
    <w:rsid w:val="00B447D7"/>
    <w:rsid w:val="00B61016"/>
    <w:rsid w:val="00B625C5"/>
    <w:rsid w:val="00B66413"/>
    <w:rsid w:val="00B71BAA"/>
    <w:rsid w:val="00B76A1F"/>
    <w:rsid w:val="00B82F8C"/>
    <w:rsid w:val="00B8460F"/>
    <w:rsid w:val="00B95477"/>
    <w:rsid w:val="00BA13EE"/>
    <w:rsid w:val="00BA1D81"/>
    <w:rsid w:val="00BA5A3C"/>
    <w:rsid w:val="00BA7130"/>
    <w:rsid w:val="00BB0C97"/>
    <w:rsid w:val="00BB1262"/>
    <w:rsid w:val="00BB28BF"/>
    <w:rsid w:val="00BC1E57"/>
    <w:rsid w:val="00BD1C24"/>
    <w:rsid w:val="00BD2445"/>
    <w:rsid w:val="00BD74AE"/>
    <w:rsid w:val="00BE15E5"/>
    <w:rsid w:val="00BE16BC"/>
    <w:rsid w:val="00BE3FE7"/>
    <w:rsid w:val="00BF2547"/>
    <w:rsid w:val="00BF2D74"/>
    <w:rsid w:val="00BF4CC8"/>
    <w:rsid w:val="00BF75B6"/>
    <w:rsid w:val="00C02547"/>
    <w:rsid w:val="00C0408A"/>
    <w:rsid w:val="00C04839"/>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70729"/>
    <w:rsid w:val="00C71475"/>
    <w:rsid w:val="00C77EF7"/>
    <w:rsid w:val="00C77F0F"/>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C6AF0"/>
    <w:rsid w:val="00CD058A"/>
    <w:rsid w:val="00CD56E5"/>
    <w:rsid w:val="00CE0C1B"/>
    <w:rsid w:val="00CE4C34"/>
    <w:rsid w:val="00CE64F2"/>
    <w:rsid w:val="00CF0118"/>
    <w:rsid w:val="00CF0C67"/>
    <w:rsid w:val="00CF0F40"/>
    <w:rsid w:val="00CF4753"/>
    <w:rsid w:val="00D0083B"/>
    <w:rsid w:val="00D172D8"/>
    <w:rsid w:val="00D35B2D"/>
    <w:rsid w:val="00D41A90"/>
    <w:rsid w:val="00D44183"/>
    <w:rsid w:val="00D5276C"/>
    <w:rsid w:val="00D6384D"/>
    <w:rsid w:val="00D653F3"/>
    <w:rsid w:val="00D66B24"/>
    <w:rsid w:val="00D8288F"/>
    <w:rsid w:val="00D82D9B"/>
    <w:rsid w:val="00D872BC"/>
    <w:rsid w:val="00DA529F"/>
    <w:rsid w:val="00DB5AAE"/>
    <w:rsid w:val="00DB6882"/>
    <w:rsid w:val="00DC5017"/>
    <w:rsid w:val="00DC5129"/>
    <w:rsid w:val="00DC783F"/>
    <w:rsid w:val="00DD7EC8"/>
    <w:rsid w:val="00DD7F1B"/>
    <w:rsid w:val="00DE0E7F"/>
    <w:rsid w:val="00DE63B7"/>
    <w:rsid w:val="00DF5F20"/>
    <w:rsid w:val="00E059B8"/>
    <w:rsid w:val="00E1100C"/>
    <w:rsid w:val="00E12A7A"/>
    <w:rsid w:val="00E13F3A"/>
    <w:rsid w:val="00E27FD6"/>
    <w:rsid w:val="00E41DB9"/>
    <w:rsid w:val="00E52385"/>
    <w:rsid w:val="00E6029D"/>
    <w:rsid w:val="00E676B3"/>
    <w:rsid w:val="00E762BB"/>
    <w:rsid w:val="00E77026"/>
    <w:rsid w:val="00E81A2D"/>
    <w:rsid w:val="00E8661B"/>
    <w:rsid w:val="00E9084E"/>
    <w:rsid w:val="00E962E6"/>
    <w:rsid w:val="00EA689F"/>
    <w:rsid w:val="00EC1434"/>
    <w:rsid w:val="00EC72B0"/>
    <w:rsid w:val="00EC77DB"/>
    <w:rsid w:val="00ED1AD3"/>
    <w:rsid w:val="00EE248C"/>
    <w:rsid w:val="00EF25D8"/>
    <w:rsid w:val="00EF33BE"/>
    <w:rsid w:val="00EF4F97"/>
    <w:rsid w:val="00F02165"/>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91CB3"/>
    <w:rsid w:val="00F93134"/>
    <w:rsid w:val="00FA415A"/>
    <w:rsid w:val="00FB078F"/>
    <w:rsid w:val="00FC3F00"/>
    <w:rsid w:val="00FE12E0"/>
    <w:rsid w:val="00FF098F"/>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D5DC08E4-3B61-47F2-8AA5-6D3B6459BB5B}">
  <ds:schemaRefs>
    <ds:schemaRef ds:uri="Microsoft.SharePoint.Taxonomy.ContentTypeSync"/>
  </ds:schemaRefs>
</ds:datastoreItem>
</file>

<file path=customXml/itemProps4.xml><?xml version="1.0" encoding="utf-8"?>
<ds:datastoreItem xmlns:ds="http://schemas.openxmlformats.org/officeDocument/2006/customXml" ds:itemID="{87E9ADA7-D0F1-4E17-8105-9A4E124F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2024-10-31T15:06:00Z</dcterms:created>
  <dcterms:modified xsi:type="dcterms:W3CDTF">2024-10-31T15:06:00Z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0c58f378-f125-4b24-9c94-3b963270e026</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2024-10-31T15:05:28Z</vt:lpwstr>
  </property>
  <property fmtid="{D5CDD505-2E9C-101B-9397-08002B2CF9AE}" pid="8" name="MSIP_Label_bd24d06a-0e85-4d57-b1e0-ba34b1abc708_SiteId">
    <vt:lpwstr>19caa9e9-04ff-43fa-885f-d77fac387903</vt:lpwstr>
  </property>
</Properties>
</file>