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46BD" w:rsidRPr="003E05E4" w:rsidP="001F1C1E" w14:paraId="2BE9EC43"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Supporting Statement</w:t>
      </w:r>
    </w:p>
    <w:p w:rsidR="001B46BD" w:rsidRPr="003E05E4" w:rsidP="00D74674" w14:paraId="48198E7F" w14:textId="77777777">
      <w:pPr>
        <w:spacing w:after="0"/>
        <w:jc w:val="center"/>
        <w:rPr>
          <w:rFonts w:ascii="Times New Roman" w:hAnsi="Times New Roman" w:cs="Times New Roman"/>
          <w:b/>
          <w:sz w:val="26"/>
          <w:szCs w:val="26"/>
        </w:rPr>
      </w:pPr>
      <w:r w:rsidRPr="003E05E4">
        <w:rPr>
          <w:rFonts w:ascii="Times New Roman" w:hAnsi="Times New Roman" w:cs="Times New Roman"/>
          <w:b/>
          <w:sz w:val="26"/>
          <w:szCs w:val="26"/>
        </w:rPr>
        <w:t xml:space="preserve">FERC-725V, Mandatory Reliability Standards: </w:t>
      </w:r>
      <w:r w:rsidRPr="003E05E4" w:rsidR="00D74674">
        <w:rPr>
          <w:rFonts w:ascii="Times New Roman" w:hAnsi="Times New Roman" w:cs="Times New Roman"/>
          <w:b/>
          <w:sz w:val="26"/>
          <w:szCs w:val="26"/>
        </w:rPr>
        <w:t>COM</w:t>
      </w:r>
      <w:r>
        <w:rPr>
          <w:rFonts w:ascii="Times New Roman" w:hAnsi="Times New Roman" w:cs="Times New Roman"/>
          <w:b/>
          <w:sz w:val="26"/>
          <w:szCs w:val="26"/>
          <w:vertAlign w:val="superscript"/>
        </w:rPr>
        <w:footnoteReference w:id="2"/>
      </w:r>
      <w:r w:rsidRPr="003E05E4" w:rsidR="00A91019">
        <w:rPr>
          <w:rFonts w:ascii="Times New Roman" w:hAnsi="Times New Roman" w:cs="Times New Roman"/>
          <w:b/>
          <w:sz w:val="26"/>
          <w:szCs w:val="26"/>
          <w:vertAlign w:val="superscript"/>
        </w:rPr>
        <w:t xml:space="preserve"> </w:t>
      </w:r>
      <w:r w:rsidRPr="003E05E4" w:rsidR="00D74674">
        <w:rPr>
          <w:rFonts w:ascii="Times New Roman" w:hAnsi="Times New Roman" w:cs="Times New Roman"/>
          <w:b/>
          <w:sz w:val="26"/>
          <w:szCs w:val="26"/>
        </w:rPr>
        <w:t xml:space="preserve"> </w:t>
      </w:r>
      <w:r w:rsidRPr="003E05E4">
        <w:rPr>
          <w:rFonts w:ascii="Times New Roman" w:hAnsi="Times New Roman" w:cs="Times New Roman"/>
          <w:b/>
          <w:sz w:val="26"/>
          <w:szCs w:val="26"/>
        </w:rPr>
        <w:t xml:space="preserve">Reliability Standards </w:t>
      </w:r>
    </w:p>
    <w:p w:rsidR="00D74674" w:rsidRPr="003E05E4" w:rsidP="00D74674" w14:paraId="177C74E8"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 xml:space="preserve">(Three-year </w:t>
      </w:r>
      <w:r w:rsidR="001205A3">
        <w:rPr>
          <w:rFonts w:ascii="Times New Roman" w:hAnsi="Times New Roman" w:cs="Times New Roman"/>
          <w:sz w:val="26"/>
          <w:szCs w:val="26"/>
        </w:rPr>
        <w:t xml:space="preserve">approval for </w:t>
      </w:r>
      <w:r w:rsidRPr="003E05E4">
        <w:rPr>
          <w:rFonts w:ascii="Times New Roman" w:hAnsi="Times New Roman" w:cs="Times New Roman"/>
          <w:sz w:val="26"/>
          <w:szCs w:val="26"/>
        </w:rPr>
        <w:t>extension requested)</w:t>
      </w:r>
    </w:p>
    <w:p w:rsidR="001B46BD" w:rsidRPr="003E05E4" w:rsidP="001F1C1E" w14:paraId="1C9DA8CC" w14:textId="77777777">
      <w:pPr>
        <w:spacing w:after="0"/>
        <w:rPr>
          <w:rFonts w:ascii="Times New Roman" w:hAnsi="Times New Roman" w:cs="Times New Roman"/>
          <w:sz w:val="26"/>
          <w:szCs w:val="26"/>
        </w:rPr>
      </w:pPr>
    </w:p>
    <w:p w:rsidR="001205A3" w:rsidP="001F1C1E" w14:paraId="67615CA5" w14:textId="3C45FB39">
      <w:pPr>
        <w:spacing w:after="0"/>
        <w:rPr>
          <w:rFonts w:ascii="Times New Roman" w:hAnsi="Times New Roman" w:cs="Times New Roman"/>
          <w:sz w:val="26"/>
          <w:szCs w:val="26"/>
        </w:rPr>
      </w:pPr>
      <w:r w:rsidRPr="001205A3">
        <w:rPr>
          <w:rFonts w:ascii="Times New Roman" w:hAnsi="Times New Roman" w:cs="Times New Roman"/>
          <w:sz w:val="26"/>
          <w:szCs w:val="26"/>
        </w:rPr>
        <w:t>The Federal Energy Regulatory Commission (FERC or Commission) requests the Office of Management and Budget (OMB) extend its approval of the</w:t>
      </w:r>
      <w:r>
        <w:rPr>
          <w:rFonts w:ascii="Times New Roman" w:hAnsi="Times New Roman" w:cs="Times New Roman"/>
          <w:sz w:val="26"/>
          <w:szCs w:val="26"/>
        </w:rPr>
        <w:t xml:space="preserve"> </w:t>
      </w:r>
      <w:r w:rsidRPr="001205A3">
        <w:rPr>
          <w:rFonts w:ascii="Times New Roman" w:hAnsi="Times New Roman" w:cs="Times New Roman"/>
          <w:sz w:val="26"/>
          <w:szCs w:val="26"/>
        </w:rPr>
        <w:t>FERC-725V, Mandatory Reliability Standards: COM</w:t>
      </w:r>
      <w:r w:rsidRPr="001205A3">
        <w:rPr>
          <w:rFonts w:ascii="Times New Roman" w:hAnsi="Times New Roman" w:cs="Times New Roman"/>
          <w:sz w:val="26"/>
          <w:szCs w:val="26"/>
          <w:vertAlign w:val="superscript"/>
        </w:rPr>
        <w:t xml:space="preserve"> </w:t>
      </w:r>
      <w:r w:rsidRPr="001205A3">
        <w:rPr>
          <w:rFonts w:ascii="Times New Roman" w:hAnsi="Times New Roman" w:cs="Times New Roman"/>
          <w:sz w:val="26"/>
          <w:szCs w:val="26"/>
        </w:rPr>
        <w:t>Reliability Standards</w:t>
      </w:r>
      <w:r>
        <w:rPr>
          <w:rFonts w:ascii="Times New Roman" w:hAnsi="Times New Roman" w:cs="Times New Roman"/>
          <w:sz w:val="26"/>
          <w:szCs w:val="26"/>
        </w:rPr>
        <w:t xml:space="preserve">, under OMB Control Number </w:t>
      </w:r>
      <w:r w:rsidRPr="001205A3">
        <w:rPr>
          <w:rFonts w:ascii="Times New Roman" w:hAnsi="Times New Roman" w:cs="Times New Roman"/>
          <w:sz w:val="26"/>
          <w:szCs w:val="26"/>
        </w:rPr>
        <w:t xml:space="preserve">(1902-0277), for an additional three years. </w:t>
      </w:r>
    </w:p>
    <w:p w:rsidR="001205A3" w:rsidP="001F1C1E" w14:paraId="713DE848" w14:textId="77777777">
      <w:pPr>
        <w:spacing w:after="0"/>
        <w:rPr>
          <w:rFonts w:ascii="Times New Roman" w:hAnsi="Times New Roman" w:cs="Times New Roman"/>
          <w:sz w:val="26"/>
          <w:szCs w:val="26"/>
        </w:rPr>
      </w:pPr>
    </w:p>
    <w:p w:rsidR="001B46BD" w:rsidRPr="003E05E4" w:rsidP="001F1C1E" w14:paraId="6F051953"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CIRCUMSTANCES THAT MAKE THE COLLECTION OF INFORMATION NECESSARY</w:t>
      </w:r>
    </w:p>
    <w:p w:rsidR="00DA61EC" w:rsidRPr="003E05E4" w:rsidP="00DA61EC" w14:paraId="31A97911" w14:textId="77777777">
      <w:pPr>
        <w:pStyle w:val="FERCparanumber"/>
        <w:numPr>
          <w:ilvl w:val="0"/>
          <w:numId w:val="0"/>
        </w:numPr>
        <w:spacing w:line="240" w:lineRule="auto"/>
        <w:rPr>
          <w:szCs w:val="26"/>
        </w:rPr>
      </w:pPr>
    </w:p>
    <w:p w:rsidR="00DA61EC" w:rsidRPr="003E05E4" w:rsidP="00DA61EC" w14:paraId="4D965B04" w14:textId="77777777">
      <w:pPr>
        <w:pStyle w:val="FERCparanumber"/>
        <w:numPr>
          <w:ilvl w:val="0"/>
          <w:numId w:val="0"/>
        </w:numPr>
        <w:spacing w:line="240" w:lineRule="auto"/>
        <w:rPr>
          <w:szCs w:val="26"/>
        </w:rPr>
      </w:pPr>
      <w:r w:rsidRPr="003E05E4">
        <w:rPr>
          <w:szCs w:val="26"/>
        </w:rPr>
        <w:t>On August 8, 2005, The Electricity Modernization Act of 2005, which is Title XII of the Energy Policy Act of 2005 (EPAct 2005), was enacted into law.</w:t>
      </w:r>
      <w:r>
        <w:rPr>
          <w:rStyle w:val="FootnoteReference"/>
          <w:szCs w:val="26"/>
          <w:vertAlign w:val="superscript"/>
        </w:rPr>
        <w:footnoteReference w:id="3"/>
      </w:r>
      <w:r w:rsidRPr="003E05E4">
        <w:rPr>
          <w:szCs w:val="26"/>
        </w:rPr>
        <w:t xml:space="preserve">  EPAct 2005 added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3E05E4">
        <w:rPr>
          <w:szCs w:val="26"/>
          <w:vertAlign w:val="superscript"/>
        </w:rPr>
        <w:t xml:space="preserve"> </w:t>
      </w:r>
      <w:r>
        <w:rPr>
          <w:szCs w:val="26"/>
          <w:vertAlign w:val="superscript"/>
        </w:rPr>
        <w:footnoteReference w:id="4"/>
      </w:r>
    </w:p>
    <w:p w:rsidR="00DA61EC" w:rsidRPr="003E05E4" w:rsidP="001F1C1E" w14:paraId="1C2E7A21" w14:textId="77777777">
      <w:pPr>
        <w:spacing w:after="0"/>
        <w:rPr>
          <w:rFonts w:ascii="Times New Roman" w:hAnsi="Times New Roman" w:cs="Times New Roman"/>
          <w:sz w:val="26"/>
          <w:szCs w:val="26"/>
        </w:rPr>
      </w:pPr>
    </w:p>
    <w:p w:rsidR="001B46BD" w:rsidRPr="003E05E4" w:rsidP="001F1C1E" w14:paraId="3E0FF704" w14:textId="77777777">
      <w:pPr>
        <w:spacing w:after="0"/>
        <w:rPr>
          <w:rFonts w:ascii="Times New Roman" w:hAnsi="Times New Roman" w:cs="Times New Roman"/>
          <w:sz w:val="26"/>
          <w:szCs w:val="26"/>
        </w:rPr>
      </w:pPr>
      <w:r w:rsidRPr="003E05E4">
        <w:rPr>
          <w:rFonts w:ascii="Times New Roman" w:hAnsi="Times New Roman" w:cs="Times New Roman"/>
          <w:sz w:val="26"/>
          <w:szCs w:val="26"/>
        </w:rPr>
        <w:t>Section 215(d)(2) of the FPA and the Commission’s regulations provide that the Commission may approve a Reliability Standard if it determines that the standard is just, reasonable, not unduly discriminatory or preferential, and in the public interest. The Commission specified in Order No. 672 factors it would consider when assessing whether a particular 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rsidR="00DA61EC" w:rsidRPr="003E05E4" w:rsidP="001F1C1E" w14:paraId="058422AF" w14:textId="77777777">
      <w:pPr>
        <w:spacing w:after="0"/>
        <w:rPr>
          <w:rFonts w:ascii="Times New Roman" w:hAnsi="Times New Roman" w:cs="Times New Roman"/>
          <w:sz w:val="26"/>
          <w:szCs w:val="26"/>
        </w:rPr>
      </w:pPr>
    </w:p>
    <w:p w:rsidR="001B46BD" w:rsidRPr="003E05E4" w:rsidP="001F1C1E" w14:paraId="393338F7" w14:textId="77777777">
      <w:pPr>
        <w:spacing w:after="0"/>
        <w:rPr>
          <w:rFonts w:ascii="Times New Roman" w:hAnsi="Times New Roman" w:cs="Times New Roman"/>
          <w:sz w:val="26"/>
          <w:szCs w:val="26"/>
        </w:rPr>
      </w:pPr>
      <w:r w:rsidRPr="003E05E4">
        <w:rPr>
          <w:rFonts w:ascii="Times New Roman" w:hAnsi="Times New Roman" w:cs="Times New Roman"/>
          <w:sz w:val="26"/>
          <w:szCs w:val="26"/>
        </w:rPr>
        <w:t>On April 16, 2015, pursuant to section 215 of the FPA, the Commission issued a Final Rule approving Reliability Standards COM-001-</w:t>
      </w:r>
      <w:r w:rsidR="00C723F0">
        <w:rPr>
          <w:rFonts w:ascii="Times New Roman" w:hAnsi="Times New Roman" w:cs="Times New Roman"/>
          <w:sz w:val="26"/>
          <w:szCs w:val="26"/>
        </w:rPr>
        <w:t>3</w:t>
      </w:r>
      <w:r w:rsidRPr="003E05E4">
        <w:rPr>
          <w:rFonts w:ascii="Times New Roman" w:hAnsi="Times New Roman" w:cs="Times New Roman"/>
          <w:sz w:val="26"/>
          <w:szCs w:val="26"/>
        </w:rPr>
        <w:t xml:space="preserve"> and COM-002-4, a</w:t>
      </w:r>
      <w:r w:rsidR="007F1E1C">
        <w:rPr>
          <w:rFonts w:ascii="Times New Roman" w:hAnsi="Times New Roman" w:cs="Times New Roman"/>
          <w:sz w:val="26"/>
          <w:szCs w:val="26"/>
        </w:rPr>
        <w:t xml:space="preserve">s well as NERC’s retirement of </w:t>
      </w:r>
      <w:r w:rsidRPr="003E05E4">
        <w:rPr>
          <w:rFonts w:ascii="Times New Roman" w:hAnsi="Times New Roman" w:cs="Times New Roman"/>
          <w:sz w:val="26"/>
          <w:szCs w:val="26"/>
        </w:rPr>
        <w:t xml:space="preserve">Reliability Standards COM-001-1.1 and COM-002-2.   </w:t>
      </w:r>
    </w:p>
    <w:p w:rsidR="00A74F9D" w:rsidRPr="003E05E4" w:rsidP="001F1C1E" w14:paraId="7D1D27B4" w14:textId="77777777">
      <w:pPr>
        <w:spacing w:after="0"/>
        <w:rPr>
          <w:rFonts w:ascii="Times New Roman" w:hAnsi="Times New Roman" w:cs="Times New Roman"/>
          <w:sz w:val="26"/>
          <w:szCs w:val="26"/>
        </w:rPr>
      </w:pPr>
    </w:p>
    <w:p w:rsidR="001B46BD" w:rsidRPr="003E05E4" w:rsidP="001F1C1E" w14:paraId="62892BA2" w14:textId="77777777">
      <w:pPr>
        <w:spacing w:after="0"/>
        <w:rPr>
          <w:rFonts w:ascii="Times New Roman" w:hAnsi="Times New Roman" w:cs="Times New Roman"/>
          <w:sz w:val="26"/>
          <w:szCs w:val="26"/>
        </w:rPr>
      </w:pPr>
      <w:r w:rsidRPr="003E05E4">
        <w:rPr>
          <w:rFonts w:ascii="Times New Roman" w:hAnsi="Times New Roman" w:cs="Times New Roman"/>
          <w:sz w:val="26"/>
          <w:szCs w:val="26"/>
        </w:rPr>
        <w:t>In approving the revised standards, the Commission noted that 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establishes Interpersonal Communication capability necessary to maintain reliability, while Reliability Standard COM-002-4 improves communications related to Operating Instructions, requiring issuers of Operating Instructions to adopt predefined communications protocols and requiring both issuers and recipients of Operating Instructions to use three-part communications.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  </w:t>
      </w:r>
    </w:p>
    <w:p w:rsidR="001B46BD" w:rsidRPr="003E05E4" w:rsidP="001F1C1E" w14:paraId="435BE0CF" w14:textId="77777777">
      <w:pPr>
        <w:spacing w:after="0"/>
        <w:rPr>
          <w:rFonts w:ascii="Times New Roman" w:hAnsi="Times New Roman" w:cs="Times New Roman"/>
          <w:sz w:val="26"/>
          <w:szCs w:val="26"/>
        </w:rPr>
      </w:pPr>
    </w:p>
    <w:p w:rsidR="00295147" w:rsidRPr="003E05E4" w:rsidP="00295147" w14:paraId="36CC41D0" w14:textId="77777777">
      <w:pPr>
        <w:spacing w:after="0"/>
        <w:rPr>
          <w:rFonts w:ascii="Times New Roman" w:hAnsi="Times New Roman" w:cs="Times New Roman"/>
          <w:sz w:val="26"/>
          <w:szCs w:val="26"/>
        </w:rPr>
      </w:pPr>
      <w:r w:rsidRPr="003E05E4">
        <w:rPr>
          <w:rFonts w:ascii="Times New Roman" w:hAnsi="Times New Roman" w:cs="Times New Roman"/>
          <w:sz w:val="26"/>
          <w:szCs w:val="26"/>
        </w:rPr>
        <w:t>On August 15, 2016, the North American Electric Reliability Corporation (NERC) filed a petition for Commission approval, pursuant to section 215(d)(1) of the Federal Power Act (“FPA”)</w:t>
      </w:r>
      <w:r>
        <w:rPr>
          <w:rFonts w:ascii="Times New Roman" w:hAnsi="Times New Roman" w:cs="Times New Roman"/>
          <w:b/>
          <w:sz w:val="26"/>
          <w:szCs w:val="26"/>
          <w:vertAlign w:val="superscript"/>
        </w:rPr>
        <w:footnoteReference w:id="5"/>
      </w:r>
      <w:r w:rsidRPr="003E05E4">
        <w:rPr>
          <w:rFonts w:ascii="Times New Roman" w:hAnsi="Times New Roman" w:cs="Times New Roman"/>
          <w:sz w:val="26"/>
          <w:szCs w:val="26"/>
        </w:rPr>
        <w:t xml:space="preserve"> and Section 39.5</w:t>
      </w:r>
      <w:r>
        <w:rPr>
          <w:rFonts w:ascii="Times New Roman" w:hAnsi="Times New Roman" w:cs="Times New Roman"/>
          <w:b/>
          <w:sz w:val="26"/>
          <w:szCs w:val="26"/>
          <w:vertAlign w:val="superscript"/>
        </w:rPr>
        <w:footnoteReference w:id="6"/>
      </w:r>
      <w:r w:rsidRPr="003E05E4">
        <w:rPr>
          <w:rFonts w:ascii="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w:t>
      </w:r>
      <w:r w:rsidR="001B3FB6">
        <w:rPr>
          <w:rFonts w:ascii="Times New Roman" w:hAnsi="Times New Roman" w:cs="Times New Roman"/>
          <w:sz w:val="26"/>
          <w:szCs w:val="26"/>
        </w:rPr>
        <w:t>2</w:t>
      </w:r>
      <w:r w:rsidRPr="003E05E4">
        <w:rPr>
          <w:rFonts w:ascii="Times New Roman" w:hAnsi="Times New Roman" w:cs="Times New Roman"/>
          <w:sz w:val="26"/>
          <w:szCs w:val="26"/>
        </w:rPr>
        <w:t>, or develop a new standard, to address the Commission’s concerns regarding ensuring the adequacy of internal communications capability whenever internal communications could directly affect the reliability opera.</w:t>
      </w:r>
    </w:p>
    <w:p w:rsidR="00295147" w:rsidRPr="003E05E4" w:rsidP="00295147" w14:paraId="55058F85"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Reliability Standards COM-001-2 and COM-002-4 do not require responsible entities to file information with the Commission.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w:t>
      </w:r>
      <w:r w:rsidRPr="003E05E4">
        <w:rPr>
          <w:rFonts w:ascii="Times New Roman" w:hAnsi="Times New Roman" w:cs="Times New Roman"/>
          <w:sz w:val="26"/>
          <w:szCs w:val="26"/>
        </w:rPr>
        <w:t>coordinators, transmission operators, generator operators, and distribution providers) must be able to provide evidence of three-part communication when issuing or receiving an Operating Instruction during an Emergency.</w:t>
      </w:r>
    </w:p>
    <w:p w:rsidR="001B46BD" w:rsidRPr="003E05E4" w:rsidP="001F1C1E" w14:paraId="515FBBAE" w14:textId="77777777">
      <w:pPr>
        <w:spacing w:after="0"/>
        <w:rPr>
          <w:rFonts w:ascii="Times New Roman" w:hAnsi="Times New Roman" w:cs="Times New Roman"/>
          <w:sz w:val="26"/>
          <w:szCs w:val="26"/>
        </w:rPr>
      </w:pPr>
    </w:p>
    <w:p w:rsidR="001B46BD" w:rsidRPr="003E05E4" w:rsidP="001F1C1E" w14:paraId="60AFDE4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HOW, BY WHOM, AND FOR WHAT PURPOSE THE INFORMATION IS TO BE USED AND THE CONSEQUENCES OF NOT COLLECTING THE INFORMATION</w:t>
      </w:r>
    </w:p>
    <w:p w:rsidR="001B46BD" w:rsidRPr="003E05E4" w:rsidP="001F1C1E" w14:paraId="55EFEC84" w14:textId="77777777">
      <w:pPr>
        <w:spacing w:after="0"/>
        <w:rPr>
          <w:rFonts w:ascii="Times New Roman" w:hAnsi="Times New Roman" w:cs="Times New Roman"/>
          <w:sz w:val="26"/>
          <w:szCs w:val="26"/>
        </w:rPr>
      </w:pPr>
    </w:p>
    <w:p w:rsidR="001B46BD" w:rsidRPr="003E05E4" w:rsidP="001F1C1E" w14:paraId="705154CC"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information in the </w:t>
      </w:r>
      <w:r w:rsidRPr="003E05E4">
        <w:rPr>
          <w:rFonts w:ascii="Times New Roman" w:hAnsi="Times New Roman" w:cs="Times New Roman"/>
          <w:sz w:val="26"/>
          <w:szCs w:val="26"/>
        </w:rPr>
        <w:t>FERC</w:t>
      </w:r>
      <w:r w:rsidRPr="003E05E4">
        <w:rPr>
          <w:rFonts w:ascii="Times New Roman" w:hAnsi="Times New Roman" w:cs="Times New Roman"/>
          <w:sz w:val="26"/>
          <w:szCs w:val="26"/>
        </w:rPr>
        <w:t xml:space="preserve">-725V, </w:t>
      </w:r>
      <w:r w:rsidRPr="003E05E4" w:rsidR="004B636C">
        <w:rPr>
          <w:rFonts w:ascii="Times New Roman" w:hAnsi="Times New Roman" w:cs="Times New Roman"/>
          <w:sz w:val="26"/>
          <w:szCs w:val="26"/>
        </w:rPr>
        <w:t>Mandatory Reliability Standards: COM</w:t>
      </w:r>
      <w:r w:rsidRPr="003E05E4" w:rsidR="004B636C">
        <w:rPr>
          <w:rFonts w:ascii="Times New Roman" w:hAnsi="Times New Roman" w:cs="Times New Roman"/>
          <w:sz w:val="26"/>
          <w:szCs w:val="26"/>
          <w:vertAlign w:val="superscript"/>
        </w:rPr>
        <w:t xml:space="preserve"> </w:t>
      </w:r>
      <w:r w:rsidRPr="003E05E4" w:rsidR="004B636C">
        <w:rPr>
          <w:rFonts w:ascii="Times New Roman" w:hAnsi="Times New Roman" w:cs="Times New Roman"/>
          <w:sz w:val="26"/>
          <w:szCs w:val="26"/>
        </w:rPr>
        <w:t>Reliability Standards</w:t>
      </w:r>
      <w:r w:rsidRPr="003E05E4">
        <w:rPr>
          <w:rFonts w:ascii="Times New Roman" w:hAnsi="Times New Roman" w:cs="Times New Roman"/>
          <w:sz w:val="26"/>
          <w:szCs w:val="26"/>
        </w:rPr>
        <w:t xml:space="preserve"> </w:t>
      </w:r>
      <w:r w:rsidRPr="003E05E4" w:rsidR="004B636C">
        <w:rPr>
          <w:rFonts w:ascii="Times New Roman" w:hAnsi="Times New Roman" w:cs="Times New Roman"/>
          <w:sz w:val="26"/>
          <w:szCs w:val="26"/>
        </w:rPr>
        <w:t>improve</w:t>
      </w:r>
      <w:r w:rsidR="001205A3">
        <w:rPr>
          <w:rFonts w:ascii="Times New Roman" w:hAnsi="Times New Roman" w:cs="Times New Roman"/>
          <w:sz w:val="26"/>
          <w:szCs w:val="26"/>
        </w:rPr>
        <w:t>s</w:t>
      </w:r>
      <w:r w:rsidRPr="003E05E4" w:rsidR="004B636C">
        <w:rPr>
          <w:rFonts w:ascii="Times New Roman" w:hAnsi="Times New Roman" w:cs="Times New Roman"/>
          <w:sz w:val="26"/>
          <w:szCs w:val="26"/>
        </w:rPr>
        <w:t xml:space="preserve"> communications and </w:t>
      </w:r>
      <w:r w:rsidRPr="003E05E4">
        <w:rPr>
          <w:rFonts w:ascii="Times New Roman" w:hAnsi="Times New Roman" w:cs="Times New Roman"/>
          <w:sz w:val="26"/>
          <w:szCs w:val="26"/>
        </w:rPr>
        <w:t xml:space="preserve">require entities to maintain certain additional records subject to review by the NERC and NERC’s Regional Entities. </w:t>
      </w:r>
    </w:p>
    <w:p w:rsidR="001B46BD" w:rsidRPr="003E05E4" w:rsidP="001F1C1E" w14:paraId="7B2F15EF" w14:textId="77777777">
      <w:pPr>
        <w:spacing w:after="0"/>
        <w:rPr>
          <w:rFonts w:ascii="Times New Roman" w:hAnsi="Times New Roman" w:cs="Times New Roman"/>
          <w:sz w:val="26"/>
          <w:szCs w:val="26"/>
        </w:rPr>
      </w:pPr>
    </w:p>
    <w:p w:rsidR="001B46BD" w:rsidRPr="003E05E4" w:rsidP="001F1C1E" w14:paraId="58696D88" w14:textId="77777777">
      <w:pPr>
        <w:spacing w:after="0"/>
        <w:rPr>
          <w:rFonts w:ascii="Times New Roman" w:hAnsi="Times New Roman" w:cs="Times New Roman"/>
          <w:sz w:val="26"/>
          <w:szCs w:val="26"/>
        </w:rPr>
      </w:pPr>
      <w:r w:rsidRPr="003E05E4">
        <w:rPr>
          <w:rFonts w:ascii="Times New Roman" w:hAnsi="Times New Roman" w:cs="Times New Roman"/>
          <w:sz w:val="26"/>
          <w:szCs w:val="26"/>
        </w:rPr>
        <w:t>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applies to reliability coordinators, balancing authorities, transmission operators, generator operators, and distribution providers.  The Reliability Standard includes eleven requirements and two defined terms, “Interpersonal Communication” and “Alternat</w:t>
      </w:r>
      <w:r w:rsidRPr="003E05E4" w:rsidR="00E06676">
        <w:rPr>
          <w:rFonts w:ascii="Times New Roman" w:hAnsi="Times New Roman" w:cs="Times New Roman"/>
          <w:sz w:val="26"/>
          <w:szCs w:val="26"/>
        </w:rPr>
        <w:t>ive Interpersonal Communication</w:t>
      </w:r>
      <w:r w:rsidRPr="003E05E4">
        <w:rPr>
          <w:rFonts w:ascii="Times New Roman" w:hAnsi="Times New Roman" w:cs="Times New Roman"/>
          <w:sz w:val="26"/>
          <w:szCs w:val="26"/>
        </w:rPr>
        <w:t>”</w:t>
      </w:r>
      <w:r w:rsidRPr="003E05E4" w:rsidR="00E06676">
        <w:rPr>
          <w:rFonts w:ascii="Times New Roman" w:hAnsi="Times New Roman" w:cs="Times New Roman"/>
          <w:sz w:val="26"/>
          <w:szCs w:val="26"/>
        </w:rPr>
        <w:t>. T</w:t>
      </w:r>
      <w:r w:rsidRPr="003E05E4">
        <w:rPr>
          <w:rFonts w:ascii="Times New Roman" w:hAnsi="Times New Roman" w:cs="Times New Roman"/>
          <w:sz w:val="26"/>
          <w:szCs w:val="26"/>
        </w:rPr>
        <w:t xml:space="preserve">he definitions provide clarity that an entity’s communication capability must be redundant and that each of the capabilities must not utilize the same medium.    </w:t>
      </w:r>
    </w:p>
    <w:p w:rsidR="001B46BD" w:rsidRPr="003E05E4" w:rsidP="001F1C1E" w14:paraId="5F9BD00C" w14:textId="77777777">
      <w:pPr>
        <w:spacing w:after="0"/>
        <w:rPr>
          <w:rFonts w:ascii="Times New Roman" w:hAnsi="Times New Roman" w:cs="Times New Roman"/>
          <w:sz w:val="26"/>
          <w:szCs w:val="26"/>
        </w:rPr>
      </w:pPr>
    </w:p>
    <w:p w:rsidR="00E06676" w:rsidRPr="003E05E4" w:rsidP="001F1C1E" w14:paraId="77894DCC" w14:textId="293980B9">
      <w:pPr>
        <w:spacing w:after="0"/>
        <w:rPr>
          <w:rFonts w:ascii="Times New Roman" w:hAnsi="Times New Roman" w:cs="Times New Roman"/>
          <w:sz w:val="26"/>
          <w:szCs w:val="26"/>
        </w:rPr>
      </w:pPr>
      <w:r w:rsidRPr="003E05E4">
        <w:rPr>
          <w:rFonts w:ascii="Times New Roman" w:hAnsi="Times New Roman" w:cs="Times New Roman"/>
          <w:sz w:val="26"/>
          <w:szCs w:val="26"/>
        </w:rPr>
        <w:t>The requirements of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address the Interpersonal Communication capability and Alternative Interpersonal Communication capability of the reliability coordinator, transmission operator, and balancing authority functions. </w:t>
      </w:r>
    </w:p>
    <w:p w:rsidR="00E06676" w:rsidRPr="003E05E4" w:rsidP="001F1C1E" w14:paraId="697A8B76" w14:textId="77777777">
      <w:pPr>
        <w:spacing w:after="0"/>
        <w:rPr>
          <w:rFonts w:ascii="Times New Roman" w:hAnsi="Times New Roman" w:cs="Times New Roman"/>
          <w:sz w:val="26"/>
          <w:szCs w:val="26"/>
        </w:rPr>
      </w:pPr>
    </w:p>
    <w:p w:rsidR="00E06676" w:rsidRPr="003E05E4" w:rsidP="00E06676" w14:paraId="1D450D8E"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 requires each reliability coordinator to have Interpersonal Communication capability with all transmission operators and balancing authorities within its reliability coordinator area, and with each adjacent reliability coordinator within the same interconnection.  </w:t>
      </w:r>
    </w:p>
    <w:p w:rsidR="00E06676" w:rsidRPr="003E05E4" w:rsidP="00E06676" w14:paraId="7D25B256"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R2 requires each reliability coordinator to designate Alternative Interpersonal Communication capability with those same identified entities.  </w:t>
      </w:r>
    </w:p>
    <w:p w:rsidR="00E06676" w:rsidRPr="003E05E4" w:rsidP="00E06676" w14:paraId="2A377E76"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R3 and R4 set out the communications capability requirements for a transmission operator.  Under Requirement R3, Interpersonal Communication capability is required between the transmission operator’s reliability coordinator, each balancing authority within its transmission operator area, each distribution provider and generator operator within its transmission operator area, and each adjacent transmission operator whether synchronously or asynchronously connected.  Under Requirement R4, Alternative Interpersonal Communication capability must be designated between the transmission operator’s reliability coordinator, each balancing authority within its transmission operator area, and each adjacent transmission operator.  </w:t>
      </w:r>
    </w:p>
    <w:p w:rsidR="00E06676" w:rsidRPr="003E05E4" w:rsidP="002B6670" w14:paraId="2DFB3A07"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R5 and R6 set out similar requirements for each balancing authority, again identifying the specific functional entities for which the balancing authority must maintain Interpersonal Communication capability and for which it must designate Alternative Interpersonal Communication capability.  </w:t>
      </w:r>
    </w:p>
    <w:p w:rsidR="00E06676" w:rsidRPr="003E05E4" w:rsidP="00B62368" w14:paraId="19EDEB1F"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R7 and R8 address the communications capability that distribution providers and generator operators must maintain, with each required to have Interpersonal Communications capability with its balancing authority and its transmission operator.  </w:t>
      </w:r>
    </w:p>
    <w:p w:rsidR="00E06676" w:rsidRPr="003E05E4" w:rsidP="00B62368" w14:paraId="5761D02A"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R9 requires each reliability coordinator, transmission operator, and balancing authority to test its Alternative Interpersonal Communication capability at least once each calendar month, and to initiate action to repair or designate a replacement if the test is unsuccessful.  </w:t>
      </w:r>
    </w:p>
    <w:p w:rsidR="00E06676" w:rsidRPr="003E05E4" w:rsidP="00B62368" w14:paraId="5E7BB52C"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Requirement R10 requires the same entities to notify applicable entities (as identified in R1, R3 and R5) of the detection of an Interpersonal Communication capability failure th</w:t>
      </w:r>
      <w:r w:rsidRPr="003E05E4">
        <w:rPr>
          <w:rFonts w:ascii="Times New Roman" w:hAnsi="Times New Roman" w:cs="Times New Roman"/>
          <w:sz w:val="26"/>
          <w:szCs w:val="26"/>
        </w:rPr>
        <w:t xml:space="preserve">at lasts 30 minutes or longer. </w:t>
      </w:r>
    </w:p>
    <w:p w:rsidR="001B46BD" w:rsidRPr="003E05E4" w:rsidP="00B62368" w14:paraId="4AE231A0"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R11 requires distribution providers and generator operators to consult with affected balancing authorities and transmission operators when a failure is detected in their Interpersonal Communication capability, and to determine a mutually agreeable action for the restoration of that capability.  </w:t>
      </w:r>
    </w:p>
    <w:p w:rsidR="001B46BD" w:rsidRPr="003E05E4" w:rsidP="001F1C1E" w14:paraId="62969C64" w14:textId="77777777">
      <w:pPr>
        <w:spacing w:after="0"/>
        <w:rPr>
          <w:rFonts w:ascii="Times New Roman" w:hAnsi="Times New Roman" w:cs="Times New Roman"/>
          <w:sz w:val="26"/>
          <w:szCs w:val="26"/>
        </w:rPr>
      </w:pPr>
    </w:p>
    <w:p w:rsidR="006F0DA1" w:rsidRPr="003E05E4" w:rsidP="006F0DA1" w14:paraId="46FA9D4B"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Reliability Standard COM-002-4 improves communications surrounding the issuance of Operating Instructions by requiring the use of predefined communications protocols to reduce the possibility of miscommunication that could lead to action or inaction harmful to reliability.  </w:t>
      </w:r>
    </w:p>
    <w:p w:rsidR="001B46BD" w:rsidRPr="003E05E4" w:rsidP="001F1C1E" w14:paraId="17710E7B" w14:textId="77777777">
      <w:pPr>
        <w:spacing w:after="0"/>
        <w:rPr>
          <w:rFonts w:ascii="Times New Roman" w:hAnsi="Times New Roman" w:cs="Times New Roman"/>
          <w:sz w:val="26"/>
          <w:szCs w:val="26"/>
        </w:rPr>
      </w:pPr>
    </w:p>
    <w:p w:rsidR="001B46BD" w:rsidRPr="003E05E4" w:rsidP="001F1C1E" w14:paraId="67453C0E"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 consequences of not collecting this information means the Commission would not be able to meet its statutory obligation under the Federal Power Act to ensure</w:t>
      </w:r>
      <w:r w:rsidRPr="003E05E4">
        <w:rPr>
          <w:rFonts w:ascii="Times New Roman" w:hAnsi="Times New Roman" w:cs="Times New Roman"/>
          <w:sz w:val="26"/>
          <w:szCs w:val="26"/>
        </w:rPr>
        <w:t xml:space="preserve"> </w:t>
      </w:r>
      <w:r w:rsidRPr="003E05E4">
        <w:rPr>
          <w:rFonts w:ascii="Times New Roman" w:hAnsi="Times New Roman" w:cs="Times New Roman"/>
          <w:sz w:val="26"/>
          <w:szCs w:val="26"/>
        </w:rPr>
        <w:t xml:space="preserve">a Reliability Standard is just, reasonable, not unduly discriminatory or preferential, and in the public interest. </w:t>
      </w:r>
    </w:p>
    <w:p w:rsidR="001B46BD" w:rsidRPr="003E05E4" w:rsidP="001F1C1E" w14:paraId="661DC7D7" w14:textId="77777777">
      <w:pPr>
        <w:spacing w:after="0"/>
        <w:rPr>
          <w:rFonts w:ascii="Times New Roman" w:hAnsi="Times New Roman" w:cs="Times New Roman"/>
          <w:sz w:val="26"/>
          <w:szCs w:val="26"/>
        </w:rPr>
      </w:pPr>
    </w:p>
    <w:p w:rsidR="001B46BD" w:rsidRPr="003E05E4" w:rsidP="001F1C1E" w14:paraId="1F886C62"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CONSIDERATION OF THE USE OF IMPROVED INFORMATION TECHNOLOGY TO REDUCE THE BURDEN AND TECHNICAL OR LEGAL OBSTACLES TO REDUCING BURDEN</w:t>
      </w:r>
    </w:p>
    <w:p w:rsidR="001B46BD" w:rsidRPr="003E05E4" w:rsidP="001F1C1E" w14:paraId="4FB2A6F2" w14:textId="77777777">
      <w:pPr>
        <w:spacing w:after="0"/>
        <w:rPr>
          <w:rFonts w:ascii="Times New Roman" w:hAnsi="Times New Roman" w:cs="Times New Roman"/>
          <w:sz w:val="26"/>
          <w:szCs w:val="26"/>
        </w:rPr>
      </w:pPr>
    </w:p>
    <w:p w:rsidR="002237C6" w:rsidP="002237C6" w14:paraId="13BB665C"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use of current or improved technology is not covered in Reliability Standards, and is therefore left to the discretion of each reporting entity. </w:t>
      </w:r>
    </w:p>
    <w:p w:rsidR="008E40CE" w:rsidRPr="003E05E4" w:rsidP="002237C6" w14:paraId="1752A619" w14:textId="77777777">
      <w:pPr>
        <w:spacing w:after="0"/>
        <w:rPr>
          <w:rFonts w:ascii="Times New Roman" w:hAnsi="Times New Roman" w:cs="Times New Roman"/>
          <w:sz w:val="26"/>
          <w:szCs w:val="26"/>
        </w:rPr>
      </w:pPr>
    </w:p>
    <w:p w:rsidR="002237C6" w:rsidP="002237C6" w14:paraId="58BADC48"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 submittals are not made to FERC.</w:t>
      </w:r>
    </w:p>
    <w:p w:rsidR="008E40CE" w:rsidRPr="003E05E4" w:rsidP="002237C6" w14:paraId="13A18FC6" w14:textId="77777777">
      <w:pPr>
        <w:spacing w:after="0"/>
        <w:rPr>
          <w:rFonts w:ascii="Times New Roman" w:hAnsi="Times New Roman" w:cs="Times New Roman"/>
          <w:sz w:val="26"/>
          <w:szCs w:val="26"/>
        </w:rPr>
      </w:pPr>
    </w:p>
    <w:p w:rsidR="001B46BD" w:rsidRPr="003E05E4" w:rsidP="001F1C1E" w14:paraId="38155BB3"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1B46BD" w:rsidRPr="003E05E4" w:rsidP="001F1C1E" w14:paraId="266BA16B" w14:textId="77777777">
      <w:pPr>
        <w:spacing w:after="0"/>
        <w:rPr>
          <w:rFonts w:ascii="Times New Roman" w:hAnsi="Times New Roman" w:cs="Times New Roman"/>
          <w:sz w:val="26"/>
          <w:szCs w:val="26"/>
        </w:rPr>
      </w:pPr>
    </w:p>
    <w:p w:rsidR="00FC7F5A" w:rsidRPr="003E05E4" w:rsidP="00FC7F5A" w14:paraId="0A1C52FA" w14:textId="77777777">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The Commission is unaware of any </w:t>
      </w:r>
      <w:r w:rsidRPr="003E05E4">
        <w:rPr>
          <w:rFonts w:ascii="Times New Roman" w:hAnsi="Times New Roman" w:cs="Times New Roman"/>
          <w:sz w:val="26"/>
          <w:szCs w:val="26"/>
        </w:rPr>
        <w:t xml:space="preserve">duplication of information. </w:t>
      </w:r>
    </w:p>
    <w:p w:rsidR="001B46BD" w:rsidRPr="003E05E4" w:rsidP="001F1C1E" w14:paraId="7BA7F0C5" w14:textId="77777777">
      <w:pPr>
        <w:spacing w:after="0"/>
        <w:rPr>
          <w:rFonts w:ascii="Times New Roman" w:hAnsi="Times New Roman" w:cs="Times New Roman"/>
          <w:sz w:val="26"/>
          <w:szCs w:val="26"/>
        </w:rPr>
      </w:pPr>
    </w:p>
    <w:p w:rsidR="001B46BD" w:rsidRPr="003E05E4" w:rsidP="001F1C1E" w14:paraId="74CCBF5B"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METHODS USED TO MINIMIZE THE BURDEN IN COLLECTION OF INFORMATION INVOLVING SMALL ENTITIES</w:t>
      </w:r>
    </w:p>
    <w:p w:rsidR="001B46BD" w:rsidRPr="003E05E4" w:rsidP="001F1C1E" w14:paraId="6DD607C2" w14:textId="77777777">
      <w:pPr>
        <w:spacing w:after="0"/>
        <w:rPr>
          <w:rFonts w:ascii="Times New Roman" w:hAnsi="Times New Roman" w:cs="Times New Roman"/>
          <w:sz w:val="26"/>
          <w:szCs w:val="26"/>
        </w:rPr>
      </w:pPr>
    </w:p>
    <w:p w:rsidR="001B46BD" w:rsidRPr="003E05E4" w:rsidP="001F1C1E" w14:paraId="46F48780"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1B46BD" w:rsidRPr="003E05E4" w:rsidP="001F1C1E" w14:paraId="2DFF143D" w14:textId="77777777">
      <w:pPr>
        <w:spacing w:after="0"/>
        <w:rPr>
          <w:rFonts w:ascii="Times New Roman" w:hAnsi="Times New Roman" w:cs="Times New Roman"/>
          <w:sz w:val="26"/>
          <w:szCs w:val="26"/>
        </w:rPr>
      </w:pPr>
    </w:p>
    <w:p w:rsidR="001B46BD" w:rsidRPr="003E05E4" w:rsidP="001F1C1E" w14:paraId="2DB840BA" w14:textId="77777777">
      <w:pPr>
        <w:spacing w:after="0"/>
        <w:rPr>
          <w:rFonts w:ascii="Times New Roman" w:hAnsi="Times New Roman" w:cs="Times New Roman"/>
          <w:sz w:val="26"/>
          <w:szCs w:val="26"/>
        </w:rPr>
      </w:pPr>
      <w:r w:rsidRPr="003E05E4">
        <w:rPr>
          <w:rFonts w:ascii="Times New Roman" w:hAnsi="Times New Roman" w:cs="Times New Roman"/>
          <w:sz w:val="26"/>
          <w:szCs w:val="26"/>
        </w:rPr>
        <w:t>Detailed information regarding these options are available in NERC’s Rules of Procedure at sections 507 and 508.</w:t>
      </w:r>
      <w:r>
        <w:rPr>
          <w:rFonts w:ascii="Times New Roman" w:hAnsi="Times New Roman" w:cs="Times New Roman"/>
          <w:sz w:val="26"/>
          <w:szCs w:val="26"/>
          <w:vertAlign w:val="superscript"/>
        </w:rPr>
        <w:footnoteReference w:id="7"/>
      </w:r>
      <w:r w:rsidRPr="003E05E4">
        <w:rPr>
          <w:rFonts w:ascii="Times New Roman" w:hAnsi="Times New Roman" w:cs="Times New Roman"/>
          <w:sz w:val="26"/>
          <w:szCs w:val="26"/>
        </w:rPr>
        <w:t xml:space="preserve"> </w:t>
      </w:r>
    </w:p>
    <w:p w:rsidR="001B46BD" w:rsidRPr="003E05E4" w:rsidP="001F1C1E" w14:paraId="1097EDE0" w14:textId="77777777">
      <w:pPr>
        <w:spacing w:after="0"/>
        <w:rPr>
          <w:rFonts w:ascii="Times New Roman" w:hAnsi="Times New Roman" w:cs="Times New Roman"/>
          <w:sz w:val="26"/>
          <w:szCs w:val="26"/>
        </w:rPr>
      </w:pPr>
    </w:p>
    <w:p w:rsidR="001B46BD" w:rsidRPr="003E05E4" w:rsidP="001F1C1E" w14:paraId="2F8D56B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CONSEQUENCE TO FEDERAL PROGRAM IF COLLECTION WERE CONDUCTED LESS FREQUENTLY</w:t>
      </w:r>
    </w:p>
    <w:p w:rsidR="006620E3" w:rsidRPr="003E05E4" w:rsidP="001F1C1E" w14:paraId="5C453227" w14:textId="77777777">
      <w:pPr>
        <w:spacing w:after="0"/>
        <w:rPr>
          <w:rFonts w:ascii="Times New Roman" w:hAnsi="Times New Roman" w:cs="Times New Roman"/>
          <w:sz w:val="26"/>
          <w:szCs w:val="26"/>
        </w:rPr>
      </w:pPr>
    </w:p>
    <w:p w:rsidR="006620E3" w:rsidP="001F1C1E" w14:paraId="65A1E36C" w14:textId="03302F5C">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Reliability Standard provides consistent documentation and information sharing practices for demand and energy data while promoting efficient planning practices across industry and supporting identification of necessary system reinforcements. </w:t>
      </w:r>
      <w:r w:rsidRPr="002364E8" w:rsidR="002364E8">
        <w:rPr>
          <w:rFonts w:ascii="Times New Roman" w:hAnsi="Times New Roman" w:cs="Times New Roman"/>
          <w:sz w:val="26"/>
          <w:szCs w:val="26"/>
        </w:rPr>
        <w:t xml:space="preserve">One of key finding from the final report on the 2003 Blackout Report was to tighten communication protocols, the COM standards identify what enetities need to do for establishing communication within their organizations, to other entities and issuance of operating instructions.  Failure to have effective communication capability and protocols, from these Reliability Standards, could impact the entities effectively coordinating during Bulk Electric System events as well as routine operations. </w:t>
      </w:r>
      <w:r w:rsidR="0088375A">
        <w:rPr>
          <w:rFonts w:ascii="Times New Roman" w:hAnsi="Times New Roman" w:cs="Times New Roman"/>
          <w:sz w:val="26"/>
          <w:szCs w:val="26"/>
        </w:rPr>
        <w:t xml:space="preserve"> </w:t>
      </w:r>
      <w:r w:rsidRPr="003E05E4">
        <w:rPr>
          <w:rFonts w:ascii="Times New Roman" w:hAnsi="Times New Roman" w:cs="Times New Roman"/>
          <w:sz w:val="26"/>
          <w:szCs w:val="26"/>
        </w:rPr>
        <w:t>If the Commission  collect</w:t>
      </w:r>
      <w:r w:rsidR="00211C1D">
        <w:rPr>
          <w:rFonts w:ascii="Times New Roman" w:hAnsi="Times New Roman" w:cs="Times New Roman"/>
          <w:sz w:val="26"/>
          <w:szCs w:val="26"/>
        </w:rPr>
        <w:t>ed</w:t>
      </w:r>
      <w:r w:rsidRPr="003E05E4">
        <w:rPr>
          <w:rFonts w:ascii="Times New Roman" w:hAnsi="Times New Roman" w:cs="Times New Roman"/>
          <w:sz w:val="26"/>
          <w:szCs w:val="26"/>
        </w:rPr>
        <w:t xml:space="preserve"> this information </w:t>
      </w:r>
      <w:r w:rsidR="00211C1D">
        <w:rPr>
          <w:rFonts w:ascii="Times New Roman" w:hAnsi="Times New Roman" w:cs="Times New Roman"/>
          <w:sz w:val="26"/>
          <w:szCs w:val="26"/>
        </w:rPr>
        <w:t xml:space="preserve">less frequently </w:t>
      </w:r>
      <w:r w:rsidRPr="003E05E4">
        <w:rPr>
          <w:rFonts w:ascii="Times New Roman" w:hAnsi="Times New Roman" w:cs="Times New Roman"/>
          <w:sz w:val="26"/>
          <w:szCs w:val="26"/>
        </w:rPr>
        <w:t xml:space="preserve">, it would not be able to carry out its responsibilities as specified by Section 215 to the Federal Power Act (FPA). </w:t>
      </w:r>
    </w:p>
    <w:p w:rsidR="008E40CE" w:rsidRPr="003E05E4" w:rsidP="001F1C1E" w14:paraId="0E9E9D99" w14:textId="77777777">
      <w:pPr>
        <w:spacing w:after="0"/>
        <w:rPr>
          <w:rFonts w:ascii="Times New Roman" w:hAnsi="Times New Roman" w:cs="Times New Roman"/>
          <w:sz w:val="26"/>
          <w:szCs w:val="26"/>
        </w:rPr>
      </w:pPr>
    </w:p>
    <w:p w:rsidR="001B46BD" w:rsidRPr="003E05E4" w:rsidP="001F1C1E" w14:paraId="7610B79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SPECIAL CIRCUMSTANCES RELATING TO THE INFORMATION COLLECTION</w:t>
      </w:r>
    </w:p>
    <w:p w:rsidR="001B46BD" w:rsidRPr="003E05E4" w:rsidP="001F1C1E" w14:paraId="7A611BB6" w14:textId="77777777">
      <w:pPr>
        <w:spacing w:after="0"/>
        <w:rPr>
          <w:rFonts w:ascii="Times New Roman" w:hAnsi="Times New Roman" w:cs="Times New Roman"/>
          <w:sz w:val="26"/>
          <w:szCs w:val="26"/>
        </w:rPr>
      </w:pPr>
    </w:p>
    <w:p w:rsidR="001B46BD" w:rsidRPr="003E05E4" w:rsidP="001F1C1E" w14:paraId="7A7103EF"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There are no special circumstances </w:t>
      </w:r>
      <w:r w:rsidRPr="003E05E4" w:rsidR="00C91215">
        <w:rPr>
          <w:rFonts w:ascii="Times New Roman" w:hAnsi="Times New Roman" w:cs="Times New Roman"/>
          <w:sz w:val="26"/>
          <w:szCs w:val="26"/>
        </w:rPr>
        <w:t>related to FERC-725V</w:t>
      </w:r>
      <w:r w:rsidR="007E4654">
        <w:rPr>
          <w:rFonts w:ascii="Times New Roman" w:hAnsi="Times New Roman" w:cs="Times New Roman"/>
          <w:sz w:val="26"/>
          <w:szCs w:val="26"/>
        </w:rPr>
        <w:t xml:space="preserve"> information collection</w:t>
      </w:r>
      <w:r w:rsidRPr="003E05E4" w:rsidR="00C91215">
        <w:rPr>
          <w:rFonts w:ascii="Times New Roman" w:hAnsi="Times New Roman" w:cs="Times New Roman"/>
          <w:sz w:val="26"/>
          <w:szCs w:val="26"/>
        </w:rPr>
        <w:t>.</w:t>
      </w:r>
    </w:p>
    <w:p w:rsidR="001B46BD" w:rsidRPr="003E05E4" w:rsidP="001F1C1E" w14:paraId="5CB0DA8A" w14:textId="77777777">
      <w:pPr>
        <w:spacing w:after="0"/>
        <w:rPr>
          <w:rFonts w:ascii="Times New Roman" w:hAnsi="Times New Roman" w:cs="Times New Roman"/>
          <w:sz w:val="26"/>
          <w:szCs w:val="26"/>
        </w:rPr>
      </w:pPr>
    </w:p>
    <w:p w:rsidR="001B46BD" w:rsidRPr="003E05E4" w:rsidP="001F1C1E" w14:paraId="07BCBD92"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 xml:space="preserve">DESCRIBE EFFORTS TO CONSULT OUTSIDE THE AGENCY: SUMMARIZE PUBLIC COMMENTS AND THE AGENCY’S RESPONSE </w:t>
      </w:r>
    </w:p>
    <w:p w:rsidR="001B46BD" w:rsidRPr="003E05E4" w:rsidP="001F1C1E" w14:paraId="6EC150EB" w14:textId="77777777">
      <w:pPr>
        <w:spacing w:after="0"/>
        <w:rPr>
          <w:rFonts w:ascii="Times New Roman" w:hAnsi="Times New Roman" w:cs="Times New Roman"/>
          <w:sz w:val="26"/>
          <w:szCs w:val="26"/>
        </w:rPr>
      </w:pPr>
    </w:p>
    <w:p w:rsidR="00130E91" w:rsidRPr="003E05E4" w:rsidP="00130E91" w14:paraId="094A4122"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t>The ERO process to establish Reliability Standards is a collaborative process, with the ERO, Regional Entities and other stakeholders developing and reviewing drafts and providing comments</w:t>
      </w:r>
      <w:r w:rsidRPr="003E05E4" w:rsidR="006620E3">
        <w:rPr>
          <w:rFonts w:ascii="Times New Roman" w:hAnsi="Times New Roman" w:cs="Times New Roman"/>
          <w:bCs/>
          <w:sz w:val="26"/>
          <w:szCs w:val="26"/>
        </w:rPr>
        <w:t>, vetting and voting on FERC-725V</w:t>
      </w:r>
      <w:r w:rsidRPr="003E05E4">
        <w:rPr>
          <w:rFonts w:ascii="Times New Roman" w:hAnsi="Times New Roman" w:cs="Times New Roman"/>
          <w:bCs/>
          <w:sz w:val="26"/>
          <w:szCs w:val="26"/>
        </w:rPr>
        <w:t>.</w:t>
      </w:r>
      <w:r w:rsidRPr="003E05E4">
        <w:rPr>
          <w:rFonts w:ascii="Times New Roman" w:hAnsi="Times New Roman" w:cs="Times New Roman"/>
          <w:bCs/>
          <w:sz w:val="26"/>
          <w:szCs w:val="26"/>
          <w:vertAlign w:val="superscript"/>
        </w:rPr>
        <w:t xml:space="preserve"> </w:t>
      </w:r>
      <w:r w:rsidRPr="003E05E4">
        <w:rPr>
          <w:rFonts w:ascii="Times New Roman" w:hAnsi="Times New Roman" w:cs="Times New Roman"/>
          <w:bCs/>
          <w:sz w:val="26"/>
          <w:szCs w:val="26"/>
        </w:rPr>
        <w:t xml:space="preserve"> </w:t>
      </w:r>
    </w:p>
    <w:p w:rsidR="00130E91" w:rsidRPr="003E05E4" w:rsidP="00130E91" w14:paraId="00B16F46" w14:textId="77777777">
      <w:pPr>
        <w:spacing w:after="0"/>
        <w:rPr>
          <w:rFonts w:ascii="Times New Roman" w:hAnsi="Times New Roman" w:cs="Times New Roman"/>
          <w:bCs/>
          <w:sz w:val="26"/>
          <w:szCs w:val="26"/>
        </w:rPr>
      </w:pPr>
    </w:p>
    <w:p w:rsidR="00106C16" w:rsidRPr="003E05E4" w:rsidP="00130E91" w14:paraId="32069391" w14:textId="3C1B4285">
      <w:pPr>
        <w:spacing w:after="0"/>
        <w:rPr>
          <w:rFonts w:ascii="Times New Roman" w:hAnsi="Times New Roman" w:cs="Times New Roman"/>
          <w:bCs/>
          <w:sz w:val="26"/>
          <w:szCs w:val="26"/>
        </w:rPr>
      </w:pPr>
      <w:r w:rsidRPr="003E05E4">
        <w:rPr>
          <w:rFonts w:ascii="Times New Roman" w:hAnsi="Times New Roman" w:cs="Times New Roman"/>
          <w:bCs/>
          <w:sz w:val="26"/>
          <w:szCs w:val="26"/>
        </w:rPr>
        <w:t>In accordance with OMB requirements, the Commission published a 60-day notice</w:t>
      </w:r>
      <w:r>
        <w:rPr>
          <w:rFonts w:ascii="Times New Roman" w:hAnsi="Times New Roman" w:cs="Times New Roman"/>
          <w:b/>
          <w:bCs/>
          <w:sz w:val="26"/>
          <w:szCs w:val="26"/>
          <w:vertAlign w:val="superscript"/>
        </w:rPr>
        <w:footnoteReference w:id="8"/>
      </w:r>
      <w:r w:rsidRPr="003E05E4">
        <w:rPr>
          <w:rFonts w:ascii="Times New Roman" w:hAnsi="Times New Roman" w:cs="Times New Roman"/>
          <w:bCs/>
          <w:sz w:val="26"/>
          <w:szCs w:val="26"/>
        </w:rPr>
        <w:t xml:space="preserve"> and a 30-day notice</w:t>
      </w:r>
      <w:r>
        <w:rPr>
          <w:rFonts w:ascii="Times New Roman" w:hAnsi="Times New Roman" w:cs="Times New Roman"/>
          <w:b/>
          <w:bCs/>
          <w:sz w:val="26"/>
          <w:szCs w:val="26"/>
          <w:vertAlign w:val="superscript"/>
        </w:rPr>
        <w:footnoteReference w:id="9"/>
      </w:r>
      <w:r w:rsidRPr="003E05E4">
        <w:rPr>
          <w:rFonts w:ascii="Times New Roman" w:hAnsi="Times New Roman" w:cs="Times New Roman"/>
          <w:b/>
          <w:bCs/>
          <w:sz w:val="26"/>
          <w:szCs w:val="26"/>
        </w:rPr>
        <w:t xml:space="preserve"> </w:t>
      </w:r>
      <w:r w:rsidRPr="003E05E4">
        <w:rPr>
          <w:rFonts w:ascii="Times New Roman" w:hAnsi="Times New Roman" w:cs="Times New Roman"/>
          <w:bCs/>
          <w:sz w:val="26"/>
          <w:szCs w:val="26"/>
        </w:rPr>
        <w:t xml:space="preserve">to the public regarding this information collection </w:t>
      </w:r>
      <w:r w:rsidR="00731BF5">
        <w:rPr>
          <w:rFonts w:ascii="Times New Roman" w:hAnsi="Times New Roman" w:cs="Times New Roman"/>
          <w:bCs/>
          <w:sz w:val="26"/>
          <w:szCs w:val="26"/>
        </w:rPr>
        <w:t>August 20</w:t>
      </w:r>
      <w:r w:rsidRPr="003E05E4">
        <w:rPr>
          <w:rFonts w:ascii="Times New Roman" w:hAnsi="Times New Roman" w:cs="Times New Roman"/>
          <w:bCs/>
          <w:sz w:val="26"/>
          <w:szCs w:val="26"/>
        </w:rPr>
        <w:t xml:space="preserve"> and </w:t>
      </w:r>
      <w:r w:rsidR="00731BF5">
        <w:rPr>
          <w:rFonts w:ascii="Times New Roman" w:hAnsi="Times New Roman" w:cs="Times New Roman"/>
          <w:bCs/>
          <w:sz w:val="26"/>
          <w:szCs w:val="26"/>
        </w:rPr>
        <w:t xml:space="preserve">October </w:t>
      </w:r>
      <w:r w:rsidR="00E03BE0">
        <w:rPr>
          <w:rFonts w:ascii="Times New Roman" w:hAnsi="Times New Roman" w:cs="Times New Roman"/>
          <w:bCs/>
          <w:sz w:val="26"/>
          <w:szCs w:val="26"/>
        </w:rPr>
        <w:t>30</w:t>
      </w:r>
      <w:r w:rsidRPr="003E05E4">
        <w:rPr>
          <w:rFonts w:ascii="Times New Roman" w:hAnsi="Times New Roman" w:cs="Times New Roman"/>
          <w:bCs/>
          <w:sz w:val="26"/>
          <w:szCs w:val="26"/>
        </w:rPr>
        <w:t>, 20</w:t>
      </w:r>
      <w:r w:rsidR="00F71306">
        <w:rPr>
          <w:rFonts w:ascii="Times New Roman" w:hAnsi="Times New Roman" w:cs="Times New Roman"/>
          <w:bCs/>
          <w:sz w:val="26"/>
          <w:szCs w:val="26"/>
        </w:rPr>
        <w:t>2</w:t>
      </w:r>
      <w:r w:rsidR="00731BF5">
        <w:rPr>
          <w:rFonts w:ascii="Times New Roman" w:hAnsi="Times New Roman" w:cs="Times New Roman"/>
          <w:bCs/>
          <w:sz w:val="26"/>
          <w:szCs w:val="26"/>
        </w:rPr>
        <w:t>4</w:t>
      </w:r>
      <w:r w:rsidRPr="003E05E4">
        <w:rPr>
          <w:rFonts w:ascii="Times New Roman" w:hAnsi="Times New Roman" w:cs="Times New Roman"/>
          <w:bCs/>
          <w:sz w:val="26"/>
          <w:szCs w:val="26"/>
        </w:rPr>
        <w:t xml:space="preserve">, respectively.  Within the public notices, the Commission noted that it would be requesting a three-year extension of the public reporting burden. </w:t>
      </w:r>
    </w:p>
    <w:p w:rsidR="00130E91" w:rsidRPr="003E05E4" w:rsidP="00130E91" w14:paraId="4157F1ED"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t xml:space="preserve"> </w:t>
      </w:r>
    </w:p>
    <w:p w:rsidR="001B46BD" w:rsidRPr="003E05E4" w:rsidP="001F1C1E" w14:paraId="65E8E4AE" w14:textId="77777777">
      <w:pPr>
        <w:spacing w:after="0"/>
        <w:rPr>
          <w:rFonts w:ascii="Times New Roman" w:hAnsi="Times New Roman" w:cs="Times New Roman"/>
          <w:sz w:val="26"/>
          <w:szCs w:val="26"/>
        </w:rPr>
      </w:pPr>
      <w:r w:rsidRPr="003E05E4">
        <w:rPr>
          <w:rFonts w:ascii="Times New Roman" w:hAnsi="Times New Roman" w:cs="Times New Roman"/>
          <w:bCs/>
          <w:sz w:val="26"/>
          <w:szCs w:val="26"/>
        </w:rPr>
        <w:t>The Commission received no comments in response to the 60-day notice.</w:t>
      </w:r>
    </w:p>
    <w:p w:rsidR="001B46BD" w:rsidRPr="003E05E4" w:rsidP="001F1C1E" w14:paraId="3299C59F" w14:textId="77777777">
      <w:pPr>
        <w:spacing w:after="0"/>
        <w:rPr>
          <w:rFonts w:ascii="Times New Roman" w:hAnsi="Times New Roman" w:cs="Times New Roman"/>
          <w:sz w:val="26"/>
          <w:szCs w:val="26"/>
        </w:rPr>
      </w:pPr>
    </w:p>
    <w:p w:rsidR="001B46BD" w:rsidRPr="003E05E4" w:rsidP="001F1C1E" w14:paraId="503F398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PAYMENT OR GIFTS TO RESPONDENTS</w:t>
      </w:r>
    </w:p>
    <w:p w:rsidR="001B46BD" w:rsidRPr="003E05E4" w:rsidP="001F1C1E" w14:paraId="248DF46A" w14:textId="77777777">
      <w:pPr>
        <w:spacing w:after="0"/>
        <w:rPr>
          <w:rFonts w:ascii="Times New Roman" w:hAnsi="Times New Roman" w:cs="Times New Roman"/>
          <w:sz w:val="26"/>
          <w:szCs w:val="26"/>
        </w:rPr>
      </w:pPr>
    </w:p>
    <w:p w:rsidR="007E4654" w:rsidP="001F1C1E" w14:paraId="74E64538" w14:textId="77777777">
      <w:pPr>
        <w:spacing w:after="0"/>
        <w:rPr>
          <w:rFonts w:ascii="Times New Roman" w:hAnsi="Times New Roman" w:cs="Times New Roman"/>
          <w:sz w:val="26"/>
          <w:szCs w:val="26"/>
        </w:rPr>
      </w:pPr>
      <w:r w:rsidRPr="007E4654">
        <w:rPr>
          <w:rFonts w:ascii="Times New Roman" w:hAnsi="Times New Roman" w:cs="Times New Roman"/>
          <w:sz w:val="26"/>
          <w:szCs w:val="26"/>
        </w:rPr>
        <w:t>There are no payments or gifts to respondents associated with this collection.</w:t>
      </w:r>
    </w:p>
    <w:p w:rsidR="001B46BD" w:rsidRPr="003E05E4" w:rsidP="001F1C1E" w14:paraId="40FA76D2"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rsidR="001B46BD" w:rsidRPr="003E05E4" w:rsidP="001F1C1E" w14:paraId="63AD2B55"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ASSURANCE OF CONFIDENTIALITY PROVIDED TO RESPONDENTS</w:t>
      </w:r>
    </w:p>
    <w:p w:rsidR="001B46BD" w:rsidRPr="003E05E4" w:rsidP="001F1C1E" w14:paraId="05643BF1" w14:textId="77777777">
      <w:pPr>
        <w:spacing w:after="0"/>
        <w:rPr>
          <w:rFonts w:ascii="Times New Roman" w:hAnsi="Times New Roman" w:cs="Times New Roman"/>
          <w:sz w:val="26"/>
          <w:szCs w:val="26"/>
        </w:rPr>
      </w:pPr>
    </w:p>
    <w:p w:rsidR="00A23D43" w:rsidRPr="003E05E4" w:rsidP="00A23D43" w14:paraId="715C3AC7" w14:textId="77777777">
      <w:pPr>
        <w:spacing w:after="0"/>
        <w:rPr>
          <w:rFonts w:ascii="Times New Roman" w:hAnsi="Times New Roman" w:cs="Times New Roman"/>
          <w:sz w:val="26"/>
          <w:szCs w:val="26"/>
        </w:rPr>
      </w:pPr>
      <w:r w:rsidRPr="003E05E4">
        <w:rPr>
          <w:rFonts w:ascii="Times New Roman" w:hAnsi="Times New Roman" w:cs="Times New Roman"/>
          <w:sz w:val="26"/>
          <w:szCs w:val="26"/>
        </w:rPr>
        <w:t>According to the NERC Rule of Procedure 1502,</w:t>
      </w:r>
      <w:r>
        <w:rPr>
          <w:rFonts w:ascii="Times New Roman" w:hAnsi="Times New Roman" w:cs="Times New Roman"/>
          <w:sz w:val="26"/>
          <w:szCs w:val="26"/>
          <w:vertAlign w:val="superscript"/>
        </w:rPr>
        <w:footnoteReference w:id="10"/>
      </w:r>
      <w:r w:rsidRPr="003E05E4">
        <w:rPr>
          <w:rFonts w:ascii="Times New Roman"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A23D43" w:rsidRPr="003E05E4" w:rsidP="005A5283" w14:paraId="7A47E744" w14:textId="77777777">
      <w:pPr>
        <w:spacing w:after="0"/>
        <w:rPr>
          <w:rFonts w:ascii="Times New Roman" w:hAnsi="Times New Roman" w:cs="Times New Roman"/>
          <w:sz w:val="26"/>
          <w:szCs w:val="26"/>
        </w:rPr>
      </w:pPr>
    </w:p>
    <w:p w:rsidR="005A5283" w:rsidRPr="003E05E4" w:rsidP="005A5283" w14:paraId="33800906" w14:textId="77777777">
      <w:pPr>
        <w:spacing w:after="0"/>
        <w:rPr>
          <w:rFonts w:ascii="Times New Roman" w:hAnsi="Times New Roman" w:cs="Times New Roman"/>
          <w:sz w:val="26"/>
          <w:szCs w:val="26"/>
        </w:rPr>
      </w:pPr>
      <w:r w:rsidRPr="003E05E4">
        <w:rPr>
          <w:rFonts w:ascii="Times New Roman" w:hAnsi="Times New Roman" w:cs="Times New Roman"/>
          <w:sz w:val="26"/>
          <w:szCs w:val="26"/>
        </w:rPr>
        <w:t>Responding entities do not submit the information collected under th</w:t>
      </w:r>
      <w:r w:rsidRPr="003E05E4">
        <w:rPr>
          <w:rFonts w:ascii="Times New Roman" w:hAnsi="Times New Roman" w:cs="Times New Roman"/>
          <w:sz w:val="26"/>
          <w:szCs w:val="26"/>
        </w:rPr>
        <w:t>is</w:t>
      </w:r>
      <w:r w:rsidRPr="003E05E4">
        <w:rPr>
          <w:rFonts w:ascii="Times New Roman" w:hAnsi="Times New Roman" w:cs="Times New Roman"/>
          <w:sz w:val="26"/>
          <w:szCs w:val="26"/>
        </w:rPr>
        <w:t xml:space="preserve">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rsidR="005A5283" w:rsidRPr="003E05E4" w:rsidP="005A5283" w14:paraId="51E7059E" w14:textId="77777777">
      <w:pPr>
        <w:spacing w:after="0"/>
        <w:rPr>
          <w:rFonts w:ascii="Times New Roman" w:hAnsi="Times New Roman" w:cs="Times New Roman"/>
          <w:sz w:val="26"/>
          <w:szCs w:val="26"/>
        </w:rPr>
      </w:pPr>
    </w:p>
    <w:p w:rsidR="001B46BD" w:rsidRPr="003E05E4" w:rsidP="001F1C1E" w14:paraId="26CF6175"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1B46BD" w:rsidRPr="003E05E4" w:rsidP="001F1C1E" w14:paraId="7CDA7DEC" w14:textId="77777777">
      <w:pPr>
        <w:spacing w:after="0"/>
        <w:rPr>
          <w:rFonts w:ascii="Times New Roman" w:hAnsi="Times New Roman" w:cs="Times New Roman"/>
          <w:sz w:val="26"/>
          <w:szCs w:val="26"/>
        </w:rPr>
      </w:pPr>
    </w:p>
    <w:p w:rsidR="000413F4" w:rsidP="001F1C1E" w14:paraId="651DBE51"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questions of a sensitive nature associated with the reporting requirements</w:t>
      </w:r>
      <w:r w:rsidRPr="003E05E4" w:rsidR="001B46BD">
        <w:rPr>
          <w:rFonts w:ascii="Times New Roman" w:hAnsi="Times New Roman" w:cs="Times New Roman"/>
          <w:sz w:val="26"/>
          <w:szCs w:val="26"/>
        </w:rPr>
        <w:t xml:space="preserve">. </w:t>
      </w:r>
    </w:p>
    <w:p w:rsidR="001B46BD" w:rsidRPr="003E05E4" w:rsidP="001F1C1E" w14:paraId="411B25BB" w14:textId="77777777">
      <w:pPr>
        <w:spacing w:after="0"/>
        <w:rPr>
          <w:rFonts w:ascii="Times New Roman" w:hAnsi="Times New Roman" w:cs="Times New Roman"/>
          <w:bCs/>
          <w:sz w:val="26"/>
          <w:szCs w:val="26"/>
        </w:rPr>
      </w:pPr>
      <w:r w:rsidRPr="003E05E4">
        <w:rPr>
          <w:rFonts w:ascii="Times New Roman" w:hAnsi="Times New Roman" w:cs="Times New Roman"/>
          <w:sz w:val="26"/>
          <w:szCs w:val="26"/>
        </w:rPr>
        <w:t xml:space="preserve"> </w:t>
      </w:r>
    </w:p>
    <w:p w:rsidR="00B10B75" w:rsidP="001F1C1E" w14:paraId="23DE209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BURDEN OF COLLECTION OF INFORMATION</w:t>
      </w:r>
    </w:p>
    <w:p w:rsidR="00B10B75" w:rsidP="00B10B75" w14:paraId="1B87ED7A" w14:textId="77777777">
      <w:pPr>
        <w:spacing w:after="0"/>
        <w:rPr>
          <w:rFonts w:ascii="Times New Roman" w:hAnsi="Times New Roman" w:cs="Times New Roman"/>
          <w:b/>
          <w:sz w:val="26"/>
          <w:szCs w:val="26"/>
        </w:rPr>
      </w:pPr>
    </w:p>
    <w:p w:rsidR="00B10B75" w:rsidP="00B10B75" w14:paraId="753993BD" w14:textId="4796BA3F">
      <w:pPr>
        <w:spacing w:after="0"/>
        <w:rPr>
          <w:rFonts w:ascii="Times New Roman" w:hAnsi="Times New Roman" w:cs="Times New Roman"/>
          <w:sz w:val="26"/>
          <w:szCs w:val="26"/>
        </w:rPr>
      </w:pPr>
      <w:r w:rsidRPr="00B10B75">
        <w:rPr>
          <w:rFonts w:ascii="Times New Roman" w:hAnsi="Times New Roman" w:cs="Times New Roman"/>
          <w:sz w:val="26"/>
          <w:szCs w:val="26"/>
        </w:rPr>
        <w:t>The Commission estimates the annual reporting burden</w:t>
      </w:r>
      <w:r>
        <w:rPr>
          <w:rStyle w:val="FootnoteReference"/>
          <w:rFonts w:ascii="Times New Roman" w:hAnsi="Times New Roman" w:cs="Times New Roman"/>
          <w:sz w:val="26"/>
          <w:szCs w:val="26"/>
          <w:vertAlign w:val="superscript"/>
        </w:rPr>
        <w:footnoteReference w:id="11"/>
      </w:r>
      <w:r w:rsidRPr="00B10B75">
        <w:rPr>
          <w:rFonts w:ascii="Times New Roman" w:hAnsi="Times New Roman" w:cs="Times New Roman"/>
          <w:sz w:val="26"/>
          <w:szCs w:val="26"/>
          <w:vertAlign w:val="superscript"/>
        </w:rPr>
        <w:t xml:space="preserve"> </w:t>
      </w:r>
      <w:r w:rsidRPr="00B10B75">
        <w:rPr>
          <w:rFonts w:ascii="Times New Roman" w:hAnsi="Times New Roman" w:cs="Times New Roman"/>
          <w:sz w:val="26"/>
          <w:szCs w:val="26"/>
        </w:rPr>
        <w:t xml:space="preserve">and associated </w:t>
      </w:r>
      <w:r w:rsidRPr="00B10B75" w:rsidR="001B46BD">
        <w:rPr>
          <w:rFonts w:ascii="Times New Roman" w:hAnsi="Times New Roman" w:cs="Times New Roman"/>
          <w:sz w:val="26"/>
          <w:szCs w:val="26"/>
        </w:rPr>
        <w:t xml:space="preserve">cost as follows: </w:t>
      </w:r>
    </w:p>
    <w:p w:rsidR="00FF279E" w:rsidRPr="00B10B75" w:rsidP="00B10B75" w14:paraId="54F61A75" w14:textId="77777777">
      <w:pPr>
        <w:spacing w:after="0"/>
        <w:rPr>
          <w:rFonts w:ascii="Times New Roman" w:hAnsi="Times New Roman" w:cs="Times New Roman"/>
          <w:b/>
          <w:sz w:val="26"/>
          <w:szCs w:val="26"/>
        </w:rPr>
      </w:pPr>
      <w:r w:rsidRPr="00B10B75">
        <w:rPr>
          <w:rFonts w:ascii="Times New Roman" w:hAnsi="Times New Roman" w:cs="Times New Roman"/>
          <w:sz w:val="26"/>
          <w:szCs w:val="26"/>
        </w:rPr>
        <w:t xml:space="preserve"> </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439"/>
        <w:gridCol w:w="1351"/>
        <w:gridCol w:w="1261"/>
        <w:gridCol w:w="1168"/>
        <w:gridCol w:w="1630"/>
        <w:gridCol w:w="1235"/>
        <w:gridCol w:w="29"/>
      </w:tblGrid>
      <w:tr w14:paraId="474C60E9" w14:textId="77777777" w:rsidTr="00247B66">
        <w:tblPrEx>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5000" w:type="pct"/>
            <w:gridSpan w:val="8"/>
            <w:tcBorders>
              <w:bottom w:val="single" w:sz="4" w:space="0" w:color="auto"/>
            </w:tcBorders>
            <w:shd w:val="clear" w:color="auto" w:fill="D9D9D9"/>
          </w:tcPr>
          <w:p w:rsidR="00FF279E" w:rsidRPr="00FF279E" w:rsidP="00FF279E" w14:paraId="0061E9A0"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 xml:space="preserve">FERC-725V, </w:t>
            </w:r>
            <w:r w:rsidRPr="00FF279E">
              <w:rPr>
                <w:rFonts w:ascii="Times New Roman" w:eastAsia="Times New Roman" w:hAnsi="Times New Roman" w:cs="Times New Roman"/>
                <w:b/>
                <w:sz w:val="26"/>
                <w:szCs w:val="26"/>
              </w:rPr>
              <w:t>Mandatory Reliability Standards: COM Reliability Standards</w:t>
            </w:r>
          </w:p>
        </w:tc>
      </w:tr>
      <w:tr w14:paraId="78977017" w14:textId="77777777" w:rsidTr="00247B66">
        <w:tblPrEx>
          <w:tblW w:w="5250" w:type="pct"/>
          <w:jc w:val="center"/>
          <w:tblLayout w:type="fixed"/>
          <w:tblLook w:val="01E0"/>
        </w:tblPrEx>
        <w:trPr>
          <w:gridAfter w:val="1"/>
          <w:wAfter w:w="15" w:type="dxa"/>
          <w:cantSplit/>
          <w:trHeight w:val="2330"/>
          <w:jc w:val="center"/>
        </w:trPr>
        <w:tc>
          <w:tcPr>
            <w:tcW w:w="868" w:type="pct"/>
            <w:shd w:val="clear" w:color="auto" w:fill="D9D9D9"/>
            <w:vAlign w:val="bottom"/>
          </w:tcPr>
          <w:p w:rsidR="00FF279E" w:rsidRPr="00FF279E" w:rsidP="00FF279E" w14:paraId="582EB6EB" w14:textId="77777777">
            <w:pPr>
              <w:spacing w:after="0" w:line="240" w:lineRule="auto"/>
              <w:jc w:val="center"/>
              <w:rPr>
                <w:rFonts w:ascii="Times New Roman" w:eastAsia="Calibri" w:hAnsi="Times New Roman" w:cs="Times New Roman"/>
                <w:b/>
                <w:sz w:val="26"/>
                <w:szCs w:val="26"/>
              </w:rPr>
            </w:pPr>
          </w:p>
        </w:tc>
        <w:tc>
          <w:tcPr>
            <w:tcW w:w="733" w:type="pct"/>
            <w:shd w:val="clear" w:color="auto" w:fill="D9D9D9"/>
            <w:vAlign w:val="bottom"/>
          </w:tcPr>
          <w:p w:rsidR="00FF279E" w:rsidRPr="00FF279E" w:rsidP="00FF279E" w14:paraId="132C294B"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Number of Respondents</w:t>
            </w:r>
            <w:r>
              <w:rPr>
                <w:rFonts w:ascii="Times New Roman" w:eastAsia="Calibri" w:hAnsi="Times New Roman" w:cs="Times New Roman"/>
                <w:sz w:val="26"/>
                <w:szCs w:val="26"/>
                <w:vertAlign w:val="superscript"/>
              </w:rPr>
              <w:footnoteReference w:id="12"/>
            </w:r>
            <w:r w:rsidRPr="00FF279E">
              <w:rPr>
                <w:rFonts w:ascii="Times New Roman" w:eastAsia="Calibri" w:hAnsi="Times New Roman" w:cs="Times New Roman"/>
                <w:b/>
                <w:sz w:val="26"/>
                <w:szCs w:val="26"/>
              </w:rPr>
              <w:br/>
              <w:t>(1)</w:t>
            </w:r>
          </w:p>
        </w:tc>
        <w:tc>
          <w:tcPr>
            <w:tcW w:w="688" w:type="pct"/>
            <w:shd w:val="clear" w:color="auto" w:fill="D9D9D9"/>
            <w:vAlign w:val="bottom"/>
          </w:tcPr>
          <w:p w:rsidR="00FF279E" w:rsidRPr="00FF279E" w:rsidP="00FF279E" w14:paraId="2038E682"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Annual Number of Responses per Respondent</w:t>
            </w:r>
          </w:p>
          <w:p w:rsidR="00FF279E" w:rsidRPr="00FF279E" w:rsidP="00FF279E" w14:paraId="41EFCEE9"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(2)</w:t>
            </w:r>
          </w:p>
        </w:tc>
        <w:tc>
          <w:tcPr>
            <w:tcW w:w="642" w:type="pct"/>
            <w:shd w:val="clear" w:color="auto" w:fill="D9D9D9"/>
            <w:vAlign w:val="bottom"/>
          </w:tcPr>
          <w:p w:rsidR="00FF279E" w:rsidRPr="00FF279E" w:rsidP="00FF279E" w14:paraId="27E197A3"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Total Number of Responses (1)*(2)= (3)</w:t>
            </w:r>
          </w:p>
        </w:tc>
        <w:tc>
          <w:tcPr>
            <w:tcW w:w="595" w:type="pct"/>
            <w:shd w:val="clear" w:color="auto" w:fill="D9D9D9"/>
            <w:vAlign w:val="bottom"/>
          </w:tcPr>
          <w:p w:rsidR="00FF279E" w:rsidRPr="00FF279E" w:rsidP="00FF279E" w14:paraId="14831DA3"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Average Burden &amp; Cost Per Response</w:t>
            </w:r>
            <w:r>
              <w:rPr>
                <w:rFonts w:ascii="Times New Roman" w:eastAsia="Calibri" w:hAnsi="Times New Roman" w:cs="Times New Roman"/>
                <w:b/>
                <w:sz w:val="26"/>
                <w:szCs w:val="26"/>
                <w:vertAlign w:val="superscript"/>
              </w:rPr>
              <w:footnoteReference w:id="13"/>
            </w:r>
          </w:p>
          <w:p w:rsidR="00FF279E" w:rsidRPr="00FF279E" w:rsidP="00FF279E" w14:paraId="0514AC64"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(4)</w:t>
            </w:r>
          </w:p>
        </w:tc>
        <w:tc>
          <w:tcPr>
            <w:tcW w:w="830" w:type="pct"/>
            <w:shd w:val="clear" w:color="auto" w:fill="D9D9D9"/>
            <w:vAlign w:val="bottom"/>
          </w:tcPr>
          <w:p w:rsidR="00FF279E" w:rsidRPr="00FF279E" w:rsidP="00FF279E" w14:paraId="05263852"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Total Annual Burden Hours &amp; Total Annual Cost</w:t>
            </w:r>
          </w:p>
          <w:p w:rsidR="00FF279E" w:rsidRPr="00FF279E" w:rsidP="00FF279E" w14:paraId="264B59EA"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(3)*(4)=(5)</w:t>
            </w:r>
          </w:p>
        </w:tc>
        <w:tc>
          <w:tcPr>
            <w:tcW w:w="629" w:type="pct"/>
            <w:shd w:val="clear" w:color="auto" w:fill="D9D9D9"/>
            <w:vAlign w:val="bottom"/>
          </w:tcPr>
          <w:p w:rsidR="00FF279E" w:rsidRPr="00FF279E" w:rsidP="00FF279E" w14:paraId="33C51B5C"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Cost per Respondent</w:t>
            </w:r>
          </w:p>
          <w:p w:rsidR="00FF279E" w:rsidRPr="00FF279E" w:rsidP="00FF279E" w14:paraId="2BB7587D"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 xml:space="preserve"> ($)</w:t>
            </w:r>
          </w:p>
          <w:p w:rsidR="00FF279E" w:rsidRPr="00FF279E" w:rsidP="00FF279E" w14:paraId="33CA7280" w14:textId="77777777">
            <w:pPr>
              <w:spacing w:after="0" w:line="240" w:lineRule="auto"/>
              <w:jc w:val="center"/>
              <w:rPr>
                <w:rFonts w:ascii="Times New Roman" w:eastAsia="Calibri" w:hAnsi="Times New Roman" w:cs="Times New Roman"/>
                <w:b/>
                <w:sz w:val="26"/>
                <w:szCs w:val="26"/>
                <w:highlight w:val="yellow"/>
              </w:rPr>
            </w:pPr>
            <w:r w:rsidRPr="00FF279E">
              <w:rPr>
                <w:rFonts w:ascii="Times New Roman" w:eastAsia="Calibri" w:hAnsi="Times New Roman" w:cs="Times New Roman"/>
                <w:b/>
                <w:sz w:val="26"/>
                <w:szCs w:val="26"/>
              </w:rPr>
              <w:t>(5)÷(1)</w:t>
            </w:r>
          </w:p>
        </w:tc>
      </w:tr>
      <w:tr w14:paraId="59539A51" w14:textId="77777777" w:rsidTr="00247B66">
        <w:tblPrEx>
          <w:tblW w:w="5250" w:type="pct"/>
          <w:jc w:val="center"/>
          <w:tblLayout w:type="fixed"/>
          <w:tblLook w:val="01E0"/>
        </w:tblPrEx>
        <w:trPr>
          <w:gridAfter w:val="1"/>
          <w:wAfter w:w="15" w:type="dxa"/>
          <w:cantSplit/>
          <w:trHeight w:val="1187"/>
          <w:jc w:val="center"/>
        </w:trPr>
        <w:tc>
          <w:tcPr>
            <w:tcW w:w="868" w:type="pct"/>
            <w:vMerge w:val="restart"/>
            <w:vAlign w:val="center"/>
          </w:tcPr>
          <w:p w:rsidR="00FF279E" w:rsidRPr="00FF279E" w:rsidP="00FF279E" w14:paraId="64B40928" w14:textId="77777777">
            <w:pPr>
              <w:spacing w:after="0" w:line="240" w:lineRule="auto"/>
              <w:rPr>
                <w:rFonts w:ascii="Times New Roman" w:eastAsia="Calibri" w:hAnsi="Times New Roman" w:cs="Times New Roman"/>
                <w:sz w:val="26"/>
                <w:szCs w:val="26"/>
              </w:rPr>
            </w:pPr>
            <w:r w:rsidRPr="00FF279E">
              <w:rPr>
                <w:rFonts w:ascii="Times New Roman" w:eastAsia="Times New Roman" w:hAnsi="Times New Roman" w:cs="Times New Roman"/>
                <w:sz w:val="26"/>
                <w:szCs w:val="26"/>
              </w:rPr>
              <w:t>Maintain evidence of Interpersonal Communication capability [COM-001-3 R7 and R8]</w:t>
            </w:r>
            <w:r w:rsidRPr="00FF279E">
              <w:rPr>
                <w:rFonts w:ascii="Times New Roman" w:eastAsia="Calibri" w:hAnsi="Times New Roman" w:cs="Times New Roman"/>
                <w:sz w:val="26"/>
                <w:szCs w:val="26"/>
              </w:rPr>
              <w:t xml:space="preserve"> </w:t>
            </w:r>
          </w:p>
        </w:tc>
        <w:tc>
          <w:tcPr>
            <w:tcW w:w="733" w:type="pct"/>
          </w:tcPr>
          <w:p w:rsidR="00FF279E" w:rsidRPr="00FF279E" w:rsidP="00FF279E" w14:paraId="69D02576"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(DP)</w:t>
            </w:r>
            <w:r w:rsidRPr="00FF279E">
              <w:rPr>
                <w:rFonts w:ascii="Times New Roman" w:eastAsia="Calibri" w:hAnsi="Times New Roman" w:cs="Times New Roman"/>
                <w:sz w:val="26"/>
                <w:szCs w:val="26"/>
              </w:rPr>
              <w:br/>
              <w:t xml:space="preserve">300 </w:t>
            </w:r>
          </w:p>
        </w:tc>
        <w:tc>
          <w:tcPr>
            <w:tcW w:w="688" w:type="pct"/>
            <w:vAlign w:val="center"/>
          </w:tcPr>
          <w:p w:rsidR="00FF279E" w:rsidRPr="00FF279E" w:rsidP="00FF279E" w14:paraId="713A0937"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tc>
        <w:tc>
          <w:tcPr>
            <w:tcW w:w="642" w:type="pct"/>
            <w:vAlign w:val="center"/>
          </w:tcPr>
          <w:p w:rsidR="00FF279E" w:rsidRPr="00FF279E" w:rsidP="00FF279E" w14:paraId="5A806BA7"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300</w:t>
            </w:r>
          </w:p>
        </w:tc>
        <w:tc>
          <w:tcPr>
            <w:tcW w:w="595" w:type="pct"/>
            <w:vAlign w:val="center"/>
          </w:tcPr>
          <w:p w:rsidR="00FF279E" w:rsidRPr="00FF279E" w:rsidP="00FF279E" w14:paraId="0BAEDC6F"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4 hrs. </w:t>
            </w:r>
          </w:p>
          <w:p w:rsidR="00FF279E" w:rsidRPr="00FF279E" w:rsidP="00FF279E" w14:paraId="4E4B3DFA"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$282.68 </w:t>
            </w:r>
          </w:p>
        </w:tc>
        <w:tc>
          <w:tcPr>
            <w:tcW w:w="830" w:type="pct"/>
            <w:vAlign w:val="center"/>
          </w:tcPr>
          <w:p w:rsidR="00FF279E" w:rsidRPr="00FF279E" w:rsidP="00FF279E" w14:paraId="37958DBE"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1,200 hrs. </w:t>
            </w:r>
          </w:p>
          <w:p w:rsidR="00FF279E" w:rsidRPr="00FF279E" w:rsidP="00FF279E" w14:paraId="7F6B7767"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$84,804 </w:t>
            </w:r>
          </w:p>
        </w:tc>
        <w:tc>
          <w:tcPr>
            <w:tcW w:w="629" w:type="pct"/>
            <w:vAlign w:val="center"/>
          </w:tcPr>
          <w:p w:rsidR="00FF279E" w:rsidRPr="00FF279E" w:rsidP="00FF279E" w14:paraId="58D0B243"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$282.68</w:t>
            </w:r>
          </w:p>
        </w:tc>
      </w:tr>
      <w:tr w14:paraId="47A8E31B" w14:textId="77777777" w:rsidTr="00247B66">
        <w:tblPrEx>
          <w:tblW w:w="5250" w:type="pct"/>
          <w:jc w:val="center"/>
          <w:tblLayout w:type="fixed"/>
          <w:tblLook w:val="01E0"/>
        </w:tblPrEx>
        <w:trPr>
          <w:gridAfter w:val="1"/>
          <w:wAfter w:w="15" w:type="dxa"/>
          <w:cantSplit/>
          <w:trHeight w:val="1268"/>
          <w:jc w:val="center"/>
        </w:trPr>
        <w:tc>
          <w:tcPr>
            <w:tcW w:w="868" w:type="pct"/>
            <w:vMerge/>
          </w:tcPr>
          <w:p w:rsidR="00FF279E" w:rsidRPr="00FF279E" w:rsidP="00FF279E" w14:paraId="7753F76E" w14:textId="77777777">
            <w:pPr>
              <w:spacing w:after="0" w:line="240" w:lineRule="auto"/>
              <w:rPr>
                <w:rFonts w:ascii="Times New Roman" w:eastAsia="Times New Roman" w:hAnsi="Times New Roman" w:cs="Times New Roman"/>
                <w:sz w:val="26"/>
                <w:szCs w:val="26"/>
              </w:rPr>
            </w:pPr>
          </w:p>
        </w:tc>
        <w:tc>
          <w:tcPr>
            <w:tcW w:w="733" w:type="pct"/>
          </w:tcPr>
          <w:p w:rsidR="00FF279E" w:rsidRPr="00FF279E" w:rsidP="00FF279E" w14:paraId="6B482747"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(GOP)</w:t>
            </w:r>
            <w:r w:rsidRPr="00FF279E">
              <w:rPr>
                <w:rFonts w:ascii="Times New Roman" w:eastAsia="Calibri" w:hAnsi="Times New Roman" w:cs="Times New Roman"/>
                <w:sz w:val="26"/>
                <w:szCs w:val="26"/>
              </w:rPr>
              <w:br/>
              <w:t>1,028</w:t>
            </w:r>
            <w:r w:rsidRPr="00FF279E">
              <w:rPr>
                <w:rFonts w:ascii="Times New Roman" w:eastAsia="Calibri" w:hAnsi="Times New Roman" w:cs="Times New Roman"/>
                <w:sz w:val="26"/>
                <w:szCs w:val="26"/>
              </w:rPr>
              <w:br/>
            </w:r>
          </w:p>
        </w:tc>
        <w:tc>
          <w:tcPr>
            <w:tcW w:w="688" w:type="pct"/>
            <w:vAlign w:val="center"/>
          </w:tcPr>
          <w:p w:rsidR="00FF279E" w:rsidRPr="00FF279E" w:rsidP="00FF279E" w14:paraId="4A17B36C"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tc>
        <w:tc>
          <w:tcPr>
            <w:tcW w:w="642" w:type="pct"/>
            <w:vAlign w:val="center"/>
          </w:tcPr>
          <w:p w:rsidR="00FF279E" w:rsidRPr="00FF279E" w:rsidP="00FF279E" w14:paraId="0A4B0DFB"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1,028</w:t>
            </w:r>
          </w:p>
        </w:tc>
        <w:tc>
          <w:tcPr>
            <w:tcW w:w="595" w:type="pct"/>
            <w:vAlign w:val="center"/>
          </w:tcPr>
          <w:p w:rsidR="00FF279E" w:rsidRPr="00FF279E" w:rsidP="00FF279E" w14:paraId="7C63FE31"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4 hrs. </w:t>
            </w:r>
          </w:p>
          <w:p w:rsidR="00FF279E" w:rsidRPr="00FF279E" w:rsidP="00FF279E" w14:paraId="231B9DDB"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$282.68</w:t>
            </w:r>
          </w:p>
        </w:tc>
        <w:tc>
          <w:tcPr>
            <w:tcW w:w="830" w:type="pct"/>
            <w:vAlign w:val="center"/>
          </w:tcPr>
          <w:p w:rsidR="00FF279E" w:rsidRPr="00FF279E" w:rsidP="00FF279E" w14:paraId="75839E5E" w14:textId="77777777">
            <w:pPr>
              <w:spacing w:after="0" w:line="240" w:lineRule="auto"/>
              <w:ind w:left="-134"/>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4,112 hrs. $290,595.04</w:t>
            </w:r>
          </w:p>
        </w:tc>
        <w:tc>
          <w:tcPr>
            <w:tcW w:w="629" w:type="pct"/>
            <w:vAlign w:val="center"/>
          </w:tcPr>
          <w:p w:rsidR="00FF279E" w:rsidRPr="00FF279E" w:rsidP="00FF279E" w14:paraId="555F64BF"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$282.68</w:t>
            </w:r>
          </w:p>
        </w:tc>
      </w:tr>
      <w:tr w14:paraId="1399E704" w14:textId="77777777" w:rsidTr="00247B66">
        <w:tblPrEx>
          <w:tblW w:w="5250" w:type="pct"/>
          <w:jc w:val="center"/>
          <w:tblLayout w:type="fixed"/>
          <w:tblLook w:val="01E0"/>
        </w:tblPrEx>
        <w:trPr>
          <w:gridAfter w:val="1"/>
          <w:wAfter w:w="15" w:type="dxa"/>
          <w:cantSplit/>
          <w:trHeight w:val="1070"/>
          <w:jc w:val="center"/>
        </w:trPr>
        <w:tc>
          <w:tcPr>
            <w:tcW w:w="868" w:type="pct"/>
            <w:vMerge w:val="restart"/>
            <w:vAlign w:val="center"/>
          </w:tcPr>
          <w:p w:rsidR="00FF279E" w:rsidRPr="00FF279E" w:rsidP="00FF279E" w14:paraId="351D55FB" w14:textId="77777777">
            <w:pPr>
              <w:spacing w:after="0" w:line="240" w:lineRule="auto"/>
              <w:rPr>
                <w:rFonts w:ascii="Times New Roman" w:eastAsia="Calibri" w:hAnsi="Times New Roman" w:cs="Times New Roman"/>
                <w:sz w:val="26"/>
                <w:szCs w:val="26"/>
              </w:rPr>
            </w:pPr>
            <w:r w:rsidRPr="00FF279E">
              <w:rPr>
                <w:rFonts w:ascii="Times New Roman" w:eastAsia="Calibri" w:hAnsi="Times New Roman" w:cs="Times New Roman"/>
                <w:sz w:val="26"/>
                <w:szCs w:val="26"/>
              </w:rPr>
              <w:t>Maintain evidence of training and assessments [COM-002-4 R2, R4, R5 and R6]</w:t>
            </w:r>
          </w:p>
        </w:tc>
        <w:tc>
          <w:tcPr>
            <w:tcW w:w="733" w:type="pct"/>
          </w:tcPr>
          <w:p w:rsidR="00FF279E" w:rsidRPr="00FF279E" w:rsidP="00FF279E" w14:paraId="4178497D"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(BA)</w:t>
            </w:r>
            <w:r w:rsidRPr="00FF279E">
              <w:rPr>
                <w:rFonts w:ascii="Times New Roman" w:eastAsia="Calibri" w:hAnsi="Times New Roman" w:cs="Times New Roman"/>
                <w:sz w:val="26"/>
                <w:szCs w:val="26"/>
              </w:rPr>
              <w:br/>
              <w:t>98</w:t>
            </w:r>
          </w:p>
        </w:tc>
        <w:tc>
          <w:tcPr>
            <w:tcW w:w="688" w:type="pct"/>
            <w:vAlign w:val="center"/>
          </w:tcPr>
          <w:p w:rsidR="00FF279E" w:rsidRPr="00FF279E" w:rsidP="00FF279E" w14:paraId="3EA808F1"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p w:rsidR="00FF279E" w:rsidRPr="00FF279E" w:rsidP="00FF279E" w14:paraId="4F6BD8CC" w14:textId="77777777">
            <w:pPr>
              <w:spacing w:after="0" w:line="240" w:lineRule="auto"/>
              <w:jc w:val="right"/>
              <w:rPr>
                <w:rFonts w:ascii="Times New Roman" w:eastAsia="Calibri" w:hAnsi="Times New Roman" w:cs="Times New Roman"/>
                <w:sz w:val="26"/>
                <w:szCs w:val="26"/>
              </w:rPr>
            </w:pPr>
          </w:p>
        </w:tc>
        <w:tc>
          <w:tcPr>
            <w:tcW w:w="642" w:type="pct"/>
            <w:vAlign w:val="center"/>
          </w:tcPr>
          <w:p w:rsidR="00FF279E" w:rsidRPr="00FF279E" w:rsidP="00FF279E" w14:paraId="7768DC61"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98</w:t>
            </w:r>
          </w:p>
        </w:tc>
        <w:tc>
          <w:tcPr>
            <w:tcW w:w="595" w:type="pct"/>
            <w:vAlign w:val="center"/>
          </w:tcPr>
          <w:p w:rsidR="00FF279E" w:rsidRPr="00FF279E" w:rsidP="00FF279E" w14:paraId="0CDB600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 hrs. </w:t>
            </w:r>
          </w:p>
          <w:p w:rsidR="00FF279E" w:rsidRPr="00FF279E" w:rsidP="00FF279E" w14:paraId="56FF26C9"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c>
          <w:tcPr>
            <w:tcW w:w="830" w:type="pct"/>
            <w:vAlign w:val="center"/>
          </w:tcPr>
          <w:p w:rsidR="00FF279E" w:rsidRPr="00FF279E" w:rsidP="00FF279E" w14:paraId="157FC2BE"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br/>
              <w:t xml:space="preserve">784 hrs. </w:t>
            </w:r>
          </w:p>
          <w:p w:rsidR="00FF279E" w:rsidRPr="00FF279E" w:rsidP="00FF279E" w14:paraId="615E9EB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$55,405.28</w:t>
            </w:r>
          </w:p>
          <w:p w:rsidR="00FF279E" w:rsidRPr="00FF279E" w:rsidP="00FF279E" w14:paraId="05FB5BA0" w14:textId="77777777">
            <w:pPr>
              <w:spacing w:after="0" w:line="240" w:lineRule="auto"/>
              <w:jc w:val="right"/>
              <w:rPr>
                <w:rFonts w:ascii="Times New Roman" w:eastAsia="Calibri" w:hAnsi="Times New Roman" w:cs="Times New Roman"/>
                <w:sz w:val="26"/>
                <w:szCs w:val="26"/>
              </w:rPr>
            </w:pPr>
          </w:p>
        </w:tc>
        <w:tc>
          <w:tcPr>
            <w:tcW w:w="629" w:type="pct"/>
            <w:vAlign w:val="center"/>
          </w:tcPr>
          <w:p w:rsidR="00FF279E" w:rsidRPr="00FF279E" w:rsidP="00FF279E" w14:paraId="16F6C2BF"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r>
      <w:tr w14:paraId="73666F9F" w14:textId="77777777" w:rsidTr="00247B66">
        <w:tblPrEx>
          <w:tblW w:w="5250" w:type="pct"/>
          <w:jc w:val="center"/>
          <w:tblLayout w:type="fixed"/>
          <w:tblLook w:val="01E0"/>
        </w:tblPrEx>
        <w:trPr>
          <w:gridAfter w:val="1"/>
          <w:wAfter w:w="15" w:type="dxa"/>
          <w:cantSplit/>
          <w:trHeight w:val="683"/>
          <w:jc w:val="center"/>
        </w:trPr>
        <w:tc>
          <w:tcPr>
            <w:tcW w:w="868" w:type="pct"/>
            <w:vMerge/>
          </w:tcPr>
          <w:p w:rsidR="00FF279E" w:rsidRPr="00FF279E" w:rsidP="00FF279E" w14:paraId="12403ED3" w14:textId="77777777">
            <w:pPr>
              <w:spacing w:after="0" w:line="240" w:lineRule="auto"/>
              <w:rPr>
                <w:rFonts w:ascii="Times New Roman" w:eastAsia="Calibri" w:hAnsi="Times New Roman" w:cs="Times New Roman"/>
                <w:sz w:val="26"/>
                <w:szCs w:val="26"/>
              </w:rPr>
            </w:pPr>
          </w:p>
        </w:tc>
        <w:tc>
          <w:tcPr>
            <w:tcW w:w="733" w:type="pct"/>
          </w:tcPr>
          <w:p w:rsidR="00FF279E" w:rsidRPr="00FF279E" w:rsidP="00FF279E" w14:paraId="45B6EB3C"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(RC)</w:t>
            </w:r>
            <w:r w:rsidRPr="00FF279E">
              <w:rPr>
                <w:rFonts w:ascii="Times New Roman" w:eastAsia="Calibri" w:hAnsi="Times New Roman" w:cs="Times New Roman"/>
                <w:sz w:val="26"/>
                <w:szCs w:val="26"/>
              </w:rPr>
              <w:br/>
              <w:t>12</w:t>
            </w:r>
            <w:r w:rsidRPr="00FF279E">
              <w:rPr>
                <w:rFonts w:ascii="Times New Roman" w:eastAsia="Calibri" w:hAnsi="Times New Roman" w:cs="Times New Roman"/>
                <w:sz w:val="26"/>
                <w:szCs w:val="26"/>
              </w:rPr>
              <w:br/>
            </w:r>
          </w:p>
        </w:tc>
        <w:tc>
          <w:tcPr>
            <w:tcW w:w="688" w:type="pct"/>
            <w:vAlign w:val="center"/>
          </w:tcPr>
          <w:p w:rsidR="00FF279E" w:rsidRPr="00FF279E" w:rsidP="00FF279E" w14:paraId="156B3AAF"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tc>
        <w:tc>
          <w:tcPr>
            <w:tcW w:w="642" w:type="pct"/>
            <w:vAlign w:val="center"/>
          </w:tcPr>
          <w:p w:rsidR="00FF279E" w:rsidRPr="00FF279E" w:rsidP="00FF279E" w14:paraId="4DB715E7"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12</w:t>
            </w:r>
          </w:p>
        </w:tc>
        <w:tc>
          <w:tcPr>
            <w:tcW w:w="595" w:type="pct"/>
            <w:vAlign w:val="center"/>
          </w:tcPr>
          <w:p w:rsidR="00FF279E" w:rsidRPr="00FF279E" w:rsidP="00FF279E" w14:paraId="03D01FF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 hrs. </w:t>
            </w:r>
          </w:p>
          <w:p w:rsidR="00FF279E" w:rsidRPr="00FF279E" w:rsidP="00FF279E" w14:paraId="62668FBB"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c>
          <w:tcPr>
            <w:tcW w:w="830" w:type="pct"/>
            <w:vAlign w:val="center"/>
          </w:tcPr>
          <w:p w:rsidR="00FF279E" w:rsidRPr="00FF279E" w:rsidP="00FF279E" w14:paraId="13A4ECB3"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96 hrs. </w:t>
            </w:r>
          </w:p>
          <w:p w:rsidR="00FF279E" w:rsidRPr="00FF279E" w:rsidP="00FF279E" w14:paraId="39195ADB"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$6,784.32</w:t>
            </w:r>
          </w:p>
        </w:tc>
        <w:tc>
          <w:tcPr>
            <w:tcW w:w="629" w:type="pct"/>
            <w:vAlign w:val="center"/>
          </w:tcPr>
          <w:p w:rsidR="00FF279E" w:rsidRPr="00FF279E" w:rsidP="00FF279E" w14:paraId="1CBF5682"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r>
      <w:tr w14:paraId="32E431B4" w14:textId="77777777" w:rsidTr="00247B66">
        <w:tblPrEx>
          <w:tblW w:w="5250" w:type="pct"/>
          <w:jc w:val="center"/>
          <w:tblLayout w:type="fixed"/>
          <w:tblLook w:val="01E0"/>
        </w:tblPrEx>
        <w:trPr>
          <w:gridAfter w:val="1"/>
          <w:wAfter w:w="15" w:type="dxa"/>
          <w:cantSplit/>
          <w:trHeight w:val="737"/>
          <w:jc w:val="center"/>
        </w:trPr>
        <w:tc>
          <w:tcPr>
            <w:tcW w:w="868" w:type="pct"/>
            <w:vMerge/>
          </w:tcPr>
          <w:p w:rsidR="00FF279E" w:rsidRPr="00FF279E" w:rsidP="00FF279E" w14:paraId="3BD52205" w14:textId="77777777">
            <w:pPr>
              <w:spacing w:after="0" w:line="240" w:lineRule="auto"/>
              <w:rPr>
                <w:rFonts w:ascii="Times New Roman" w:eastAsia="Calibri" w:hAnsi="Times New Roman" w:cs="Times New Roman"/>
                <w:sz w:val="26"/>
                <w:szCs w:val="26"/>
              </w:rPr>
            </w:pPr>
          </w:p>
        </w:tc>
        <w:tc>
          <w:tcPr>
            <w:tcW w:w="733" w:type="pct"/>
          </w:tcPr>
          <w:p w:rsidR="00FF279E" w:rsidRPr="00FF279E" w:rsidP="00FF279E" w14:paraId="7A86EC02"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(TOP)</w:t>
            </w:r>
            <w:r w:rsidRPr="00FF279E">
              <w:rPr>
                <w:rFonts w:ascii="Times New Roman" w:eastAsia="Calibri" w:hAnsi="Times New Roman" w:cs="Times New Roman"/>
                <w:sz w:val="26"/>
                <w:szCs w:val="26"/>
              </w:rPr>
              <w:br/>
              <w:t>165</w:t>
            </w:r>
            <w:r w:rsidRPr="00FF279E">
              <w:rPr>
                <w:rFonts w:ascii="Times New Roman" w:eastAsia="Calibri" w:hAnsi="Times New Roman" w:cs="Times New Roman"/>
                <w:sz w:val="26"/>
                <w:szCs w:val="26"/>
              </w:rPr>
              <w:br/>
            </w:r>
          </w:p>
        </w:tc>
        <w:tc>
          <w:tcPr>
            <w:tcW w:w="688" w:type="pct"/>
            <w:vAlign w:val="center"/>
          </w:tcPr>
          <w:p w:rsidR="00FF279E" w:rsidRPr="00FF279E" w:rsidP="00FF279E" w14:paraId="251912E5"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tc>
        <w:tc>
          <w:tcPr>
            <w:tcW w:w="642" w:type="pct"/>
            <w:vAlign w:val="center"/>
          </w:tcPr>
          <w:p w:rsidR="00FF279E" w:rsidRPr="00FF279E" w:rsidP="00FF279E" w14:paraId="4DF6B2EF"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165</w:t>
            </w:r>
          </w:p>
        </w:tc>
        <w:tc>
          <w:tcPr>
            <w:tcW w:w="595" w:type="pct"/>
            <w:vAlign w:val="center"/>
          </w:tcPr>
          <w:p w:rsidR="00FF279E" w:rsidRPr="00FF279E" w:rsidP="00FF279E" w14:paraId="0C3B493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 hrs. </w:t>
            </w:r>
          </w:p>
          <w:p w:rsidR="00FF279E" w:rsidRPr="00FF279E" w:rsidP="00FF279E" w14:paraId="59740337"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c>
          <w:tcPr>
            <w:tcW w:w="830" w:type="pct"/>
            <w:vAlign w:val="center"/>
          </w:tcPr>
          <w:p w:rsidR="00FF279E" w:rsidRPr="00FF279E" w:rsidP="00FF279E" w14:paraId="52AC3F1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1,320 hrs. </w:t>
            </w:r>
          </w:p>
          <w:p w:rsidR="00FF279E" w:rsidRPr="00FF279E" w:rsidP="00FF279E" w14:paraId="34FCC3E6"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$93,284.40</w:t>
            </w:r>
          </w:p>
        </w:tc>
        <w:tc>
          <w:tcPr>
            <w:tcW w:w="629" w:type="pct"/>
            <w:vAlign w:val="center"/>
          </w:tcPr>
          <w:p w:rsidR="00FF279E" w:rsidRPr="00FF279E" w:rsidP="00FF279E" w14:paraId="5FF41C07"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r>
      <w:tr w14:paraId="38940AC7" w14:textId="77777777" w:rsidTr="00247B66">
        <w:tblPrEx>
          <w:tblW w:w="5250" w:type="pct"/>
          <w:jc w:val="center"/>
          <w:tblLayout w:type="fixed"/>
          <w:tblLook w:val="01E0"/>
        </w:tblPrEx>
        <w:trPr>
          <w:gridAfter w:val="1"/>
          <w:wAfter w:w="15" w:type="dxa"/>
          <w:cantSplit/>
          <w:trHeight w:val="845"/>
          <w:jc w:val="center"/>
        </w:trPr>
        <w:tc>
          <w:tcPr>
            <w:tcW w:w="868" w:type="pct"/>
            <w:vMerge w:val="restart"/>
            <w:vAlign w:val="center"/>
          </w:tcPr>
          <w:p w:rsidR="00FF279E" w:rsidRPr="00FF279E" w:rsidP="00FF279E" w14:paraId="77539536" w14:textId="77777777">
            <w:pPr>
              <w:spacing w:after="0" w:line="240" w:lineRule="auto"/>
              <w:rPr>
                <w:rFonts w:ascii="Times New Roman" w:eastAsia="Calibri" w:hAnsi="Times New Roman" w:cs="Times New Roman"/>
                <w:sz w:val="26"/>
                <w:szCs w:val="26"/>
              </w:rPr>
            </w:pPr>
            <w:r w:rsidRPr="00FF279E">
              <w:rPr>
                <w:rFonts w:ascii="Times New Roman" w:eastAsia="Calibri" w:hAnsi="Times New Roman" w:cs="Times New Roman"/>
                <w:sz w:val="26"/>
                <w:szCs w:val="26"/>
              </w:rPr>
              <w:t>Maintain evidence of training [COM-002-4 R3 and R6]</w:t>
            </w:r>
          </w:p>
          <w:p w:rsidR="00FF279E" w:rsidRPr="00FF279E" w:rsidP="00FF279E" w14:paraId="5C903C1D" w14:textId="77777777">
            <w:pPr>
              <w:spacing w:after="0" w:line="240" w:lineRule="auto"/>
              <w:rPr>
                <w:rFonts w:ascii="Times New Roman" w:eastAsia="Calibri" w:hAnsi="Times New Roman" w:cs="Times New Roman"/>
                <w:sz w:val="26"/>
                <w:szCs w:val="26"/>
              </w:rPr>
            </w:pPr>
          </w:p>
        </w:tc>
        <w:tc>
          <w:tcPr>
            <w:tcW w:w="733" w:type="pct"/>
          </w:tcPr>
          <w:p w:rsidR="00FF279E" w:rsidRPr="00FF279E" w:rsidP="00FF279E" w14:paraId="245F1C59"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(DP)</w:t>
            </w:r>
            <w:r w:rsidRPr="00FF279E">
              <w:rPr>
                <w:rFonts w:ascii="Times New Roman" w:eastAsia="Calibri" w:hAnsi="Times New Roman" w:cs="Times New Roman"/>
                <w:sz w:val="26"/>
                <w:szCs w:val="26"/>
              </w:rPr>
              <w:br/>
              <w:t>300</w:t>
            </w:r>
          </w:p>
        </w:tc>
        <w:tc>
          <w:tcPr>
            <w:tcW w:w="688" w:type="pct"/>
            <w:vAlign w:val="center"/>
          </w:tcPr>
          <w:p w:rsidR="00FF279E" w:rsidRPr="00FF279E" w:rsidP="00FF279E" w14:paraId="6FCF46D0" w14:textId="77777777">
            <w:pPr>
              <w:spacing w:after="0" w:line="240" w:lineRule="auto"/>
              <w:jc w:val="center"/>
              <w:rPr>
                <w:rFonts w:ascii="Times New Roman" w:eastAsia="Calibri" w:hAnsi="Times New Roman" w:cs="Times New Roman"/>
                <w:sz w:val="26"/>
                <w:szCs w:val="26"/>
              </w:rPr>
            </w:pPr>
          </w:p>
          <w:p w:rsidR="00FF279E" w:rsidRPr="00FF279E" w:rsidP="00FF279E" w14:paraId="7DDC9A83"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p w:rsidR="00FF279E" w:rsidRPr="00FF279E" w:rsidP="00FF279E" w14:paraId="132084A9" w14:textId="77777777">
            <w:pPr>
              <w:spacing w:after="0" w:line="240" w:lineRule="auto"/>
              <w:jc w:val="right"/>
              <w:rPr>
                <w:rFonts w:ascii="Times New Roman" w:eastAsia="Calibri" w:hAnsi="Times New Roman" w:cs="Times New Roman"/>
                <w:sz w:val="26"/>
                <w:szCs w:val="26"/>
              </w:rPr>
            </w:pPr>
          </w:p>
        </w:tc>
        <w:tc>
          <w:tcPr>
            <w:tcW w:w="642" w:type="pct"/>
            <w:vAlign w:val="center"/>
          </w:tcPr>
          <w:p w:rsidR="00FF279E" w:rsidRPr="00FF279E" w:rsidP="00FF279E" w14:paraId="618DFE9D"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300</w:t>
            </w:r>
          </w:p>
        </w:tc>
        <w:tc>
          <w:tcPr>
            <w:tcW w:w="595" w:type="pct"/>
            <w:vAlign w:val="center"/>
          </w:tcPr>
          <w:p w:rsidR="00FF279E" w:rsidRPr="00FF279E" w:rsidP="00FF279E" w14:paraId="1F6DC838"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 hrs. </w:t>
            </w:r>
          </w:p>
          <w:p w:rsidR="00FF279E" w:rsidRPr="00FF279E" w:rsidP="00FF279E" w14:paraId="51A6D77F"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c>
          <w:tcPr>
            <w:tcW w:w="830" w:type="pct"/>
            <w:vAlign w:val="center"/>
          </w:tcPr>
          <w:p w:rsidR="00FF279E" w:rsidRPr="00FF279E" w:rsidP="00FF279E" w14:paraId="08A60419"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2,400 hrs. </w:t>
            </w:r>
            <w:r w:rsidRPr="00FF279E">
              <w:rPr>
                <w:rFonts w:ascii="Times New Roman" w:eastAsia="Calibri" w:hAnsi="Times New Roman" w:cs="Times New Roman"/>
                <w:sz w:val="26"/>
                <w:szCs w:val="26"/>
              </w:rPr>
              <w:br/>
              <w:t>$169,608</w:t>
            </w:r>
          </w:p>
        </w:tc>
        <w:tc>
          <w:tcPr>
            <w:tcW w:w="629" w:type="pct"/>
            <w:vAlign w:val="center"/>
          </w:tcPr>
          <w:p w:rsidR="00FF279E" w:rsidRPr="00FF279E" w:rsidP="00FF279E" w14:paraId="63F7E834"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r>
      <w:tr w14:paraId="46C8889A" w14:textId="77777777" w:rsidTr="00247B66">
        <w:tblPrEx>
          <w:tblW w:w="5250" w:type="pct"/>
          <w:jc w:val="center"/>
          <w:tblLayout w:type="fixed"/>
          <w:tblLook w:val="01E0"/>
        </w:tblPrEx>
        <w:trPr>
          <w:gridAfter w:val="1"/>
          <w:wAfter w:w="15" w:type="dxa"/>
          <w:cantSplit/>
          <w:jc w:val="center"/>
        </w:trPr>
        <w:tc>
          <w:tcPr>
            <w:tcW w:w="868" w:type="pct"/>
            <w:vMerge/>
          </w:tcPr>
          <w:p w:rsidR="00FF279E" w:rsidRPr="00FF279E" w:rsidP="00FF279E" w14:paraId="226E3FBF" w14:textId="77777777">
            <w:pPr>
              <w:spacing w:after="0" w:line="240" w:lineRule="auto"/>
              <w:rPr>
                <w:rFonts w:ascii="Times New Roman" w:eastAsia="Calibri" w:hAnsi="Times New Roman" w:cs="Times New Roman"/>
                <w:sz w:val="26"/>
                <w:szCs w:val="26"/>
              </w:rPr>
            </w:pPr>
          </w:p>
        </w:tc>
        <w:tc>
          <w:tcPr>
            <w:tcW w:w="733" w:type="pct"/>
          </w:tcPr>
          <w:p w:rsidR="00FF279E" w:rsidRPr="00FF279E" w:rsidP="00FF279E" w14:paraId="7A9058DA"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(GOP)</w:t>
            </w:r>
            <w:r w:rsidRPr="00FF279E">
              <w:rPr>
                <w:rFonts w:ascii="Times New Roman" w:eastAsia="Calibri" w:hAnsi="Times New Roman" w:cs="Times New Roman"/>
                <w:sz w:val="26"/>
                <w:szCs w:val="26"/>
              </w:rPr>
              <w:br/>
              <w:t>1,028</w:t>
            </w:r>
          </w:p>
          <w:p w:rsidR="00FF279E" w:rsidRPr="00FF279E" w:rsidP="00FF279E" w14:paraId="0EAD9491" w14:textId="77777777">
            <w:pPr>
              <w:spacing w:after="0" w:line="240" w:lineRule="auto"/>
              <w:jc w:val="right"/>
              <w:rPr>
                <w:rFonts w:ascii="Times New Roman" w:eastAsia="Calibri" w:hAnsi="Times New Roman" w:cs="Times New Roman"/>
                <w:sz w:val="26"/>
                <w:szCs w:val="26"/>
              </w:rPr>
            </w:pPr>
          </w:p>
        </w:tc>
        <w:tc>
          <w:tcPr>
            <w:tcW w:w="688" w:type="pct"/>
            <w:vAlign w:val="center"/>
          </w:tcPr>
          <w:p w:rsidR="00FF279E" w:rsidRPr="00FF279E" w:rsidP="00FF279E" w14:paraId="34292B69"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w:t>
            </w:r>
          </w:p>
        </w:tc>
        <w:tc>
          <w:tcPr>
            <w:tcW w:w="642" w:type="pct"/>
            <w:vAlign w:val="center"/>
          </w:tcPr>
          <w:p w:rsidR="00FF279E" w:rsidRPr="00FF279E" w:rsidP="00FF279E" w14:paraId="2A731F7B" w14:textId="77777777">
            <w:pPr>
              <w:spacing w:after="0" w:line="240" w:lineRule="auto"/>
              <w:jc w:val="center"/>
              <w:rPr>
                <w:rFonts w:ascii="Times New Roman" w:eastAsia="Calibri" w:hAnsi="Times New Roman" w:cs="Times New Roman"/>
                <w:sz w:val="26"/>
                <w:szCs w:val="26"/>
              </w:rPr>
            </w:pPr>
            <w:r w:rsidRPr="00FF279E">
              <w:rPr>
                <w:rFonts w:ascii="Times New Roman" w:eastAsia="Calibri" w:hAnsi="Times New Roman" w:cs="Times New Roman"/>
                <w:sz w:val="26"/>
                <w:szCs w:val="26"/>
              </w:rPr>
              <w:t>1,028</w:t>
            </w:r>
          </w:p>
        </w:tc>
        <w:tc>
          <w:tcPr>
            <w:tcW w:w="595" w:type="pct"/>
            <w:vAlign w:val="center"/>
          </w:tcPr>
          <w:p w:rsidR="00FF279E" w:rsidRPr="00FF279E" w:rsidP="00FF279E" w14:paraId="1D8B7E56"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 hrs. </w:t>
            </w:r>
          </w:p>
          <w:p w:rsidR="00FF279E" w:rsidRPr="00FF279E" w:rsidP="00FF279E" w14:paraId="0B7A7C1E"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c>
          <w:tcPr>
            <w:tcW w:w="830" w:type="pct"/>
            <w:vAlign w:val="center"/>
          </w:tcPr>
          <w:p w:rsidR="00FF279E" w:rsidRPr="00FF279E" w:rsidP="00FF279E" w14:paraId="74F83A53"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 xml:space="preserve">8,224 hrs. </w:t>
            </w:r>
          </w:p>
          <w:p w:rsidR="00FF279E" w:rsidRPr="00FF279E" w:rsidP="00FF279E" w14:paraId="71E28187" w14:textId="77777777">
            <w:pPr>
              <w:spacing w:after="0" w:line="240" w:lineRule="auto"/>
              <w:ind w:left="-134"/>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$581,190.08</w:t>
            </w:r>
          </w:p>
        </w:tc>
        <w:tc>
          <w:tcPr>
            <w:tcW w:w="629" w:type="pct"/>
            <w:vAlign w:val="center"/>
          </w:tcPr>
          <w:p w:rsidR="00FF279E" w:rsidRPr="00FF279E" w:rsidP="00FF279E" w14:paraId="19901028" w14:textId="77777777">
            <w:pPr>
              <w:spacing w:after="0" w:line="240" w:lineRule="auto"/>
              <w:jc w:val="right"/>
              <w:rPr>
                <w:rFonts w:ascii="Times New Roman" w:eastAsia="Calibri" w:hAnsi="Times New Roman" w:cs="Times New Roman"/>
                <w:sz w:val="26"/>
                <w:szCs w:val="26"/>
              </w:rPr>
            </w:pPr>
            <w:r w:rsidRPr="00FF279E">
              <w:rPr>
                <w:rFonts w:ascii="Times New Roman" w:eastAsia="Calibri" w:hAnsi="Times New Roman" w:cs="Times New Roman"/>
                <w:sz w:val="26"/>
                <w:szCs w:val="26"/>
              </w:rPr>
              <w:t>$565.36</w:t>
            </w:r>
          </w:p>
        </w:tc>
      </w:tr>
      <w:tr w14:paraId="707735E3" w14:textId="77777777" w:rsidTr="00247B66">
        <w:tblPrEx>
          <w:tblW w:w="5250" w:type="pct"/>
          <w:jc w:val="center"/>
          <w:tblLayout w:type="fixed"/>
          <w:tblLook w:val="01E0"/>
        </w:tblPrEx>
        <w:trPr>
          <w:gridAfter w:val="1"/>
          <w:wAfter w:w="15" w:type="dxa"/>
          <w:cantSplit/>
          <w:trHeight w:val="485"/>
          <w:jc w:val="center"/>
        </w:trPr>
        <w:tc>
          <w:tcPr>
            <w:tcW w:w="868" w:type="pct"/>
            <w:tcBorders>
              <w:bottom w:val="single" w:sz="4" w:space="0" w:color="auto"/>
            </w:tcBorders>
          </w:tcPr>
          <w:p w:rsidR="00FF279E" w:rsidRPr="00FF279E" w:rsidP="00FF279E" w14:paraId="162D4D05" w14:textId="77777777">
            <w:pPr>
              <w:spacing w:after="0" w:line="240" w:lineRule="auto"/>
              <w:rPr>
                <w:rFonts w:ascii="Times New Roman" w:eastAsia="Calibri" w:hAnsi="Times New Roman" w:cs="Times New Roman"/>
                <w:b/>
                <w:sz w:val="26"/>
                <w:szCs w:val="26"/>
              </w:rPr>
            </w:pPr>
            <w:r w:rsidRPr="00FF279E">
              <w:rPr>
                <w:rFonts w:ascii="Times New Roman" w:eastAsia="Calibri" w:hAnsi="Times New Roman" w:cs="Times New Roman"/>
                <w:b/>
                <w:sz w:val="26"/>
                <w:szCs w:val="26"/>
              </w:rPr>
              <w:t>TOTAL</w:t>
            </w:r>
          </w:p>
        </w:tc>
        <w:tc>
          <w:tcPr>
            <w:tcW w:w="1421" w:type="pct"/>
            <w:gridSpan w:val="2"/>
            <w:tcBorders>
              <w:bottom w:val="single" w:sz="4" w:space="0" w:color="auto"/>
            </w:tcBorders>
            <w:shd w:val="clear" w:color="auto" w:fill="D9D9D9"/>
          </w:tcPr>
          <w:p w:rsidR="00FF279E" w:rsidRPr="00FF279E" w:rsidP="00FF279E" w14:paraId="62F080D2" w14:textId="77777777">
            <w:pPr>
              <w:spacing w:after="0" w:line="240" w:lineRule="auto"/>
              <w:jc w:val="right"/>
              <w:rPr>
                <w:rFonts w:ascii="Times New Roman" w:eastAsia="Calibri" w:hAnsi="Times New Roman" w:cs="Times New Roman"/>
                <w:sz w:val="26"/>
                <w:szCs w:val="26"/>
              </w:rPr>
            </w:pPr>
          </w:p>
        </w:tc>
        <w:tc>
          <w:tcPr>
            <w:tcW w:w="642" w:type="pct"/>
            <w:tcBorders>
              <w:bottom w:val="single" w:sz="4" w:space="0" w:color="auto"/>
            </w:tcBorders>
            <w:shd w:val="clear" w:color="auto" w:fill="auto"/>
          </w:tcPr>
          <w:p w:rsidR="00FF279E" w:rsidRPr="00FF279E" w:rsidP="00FF279E" w14:paraId="3F8AE77C" w14:textId="77777777">
            <w:pPr>
              <w:spacing w:after="0" w:line="240" w:lineRule="auto"/>
              <w:jc w:val="center"/>
              <w:rPr>
                <w:rFonts w:ascii="Times New Roman" w:eastAsia="Calibri" w:hAnsi="Times New Roman" w:cs="Times New Roman"/>
                <w:b/>
                <w:sz w:val="26"/>
                <w:szCs w:val="26"/>
              </w:rPr>
            </w:pPr>
            <w:r w:rsidRPr="00FF279E">
              <w:rPr>
                <w:rFonts w:ascii="Times New Roman" w:eastAsia="Calibri" w:hAnsi="Times New Roman" w:cs="Times New Roman"/>
                <w:b/>
                <w:sz w:val="26"/>
                <w:szCs w:val="26"/>
              </w:rPr>
              <w:t>2,931</w:t>
            </w:r>
          </w:p>
        </w:tc>
        <w:tc>
          <w:tcPr>
            <w:tcW w:w="595" w:type="pct"/>
            <w:tcBorders>
              <w:bottom w:val="single" w:sz="4" w:space="0" w:color="auto"/>
            </w:tcBorders>
            <w:shd w:val="clear" w:color="auto" w:fill="D9D9D9"/>
          </w:tcPr>
          <w:p w:rsidR="00FF279E" w:rsidRPr="00FF279E" w:rsidP="00FF279E" w14:paraId="4EDF48CD" w14:textId="77777777">
            <w:pPr>
              <w:spacing w:after="0" w:line="240" w:lineRule="auto"/>
              <w:jc w:val="right"/>
              <w:rPr>
                <w:rFonts w:ascii="Times New Roman" w:eastAsia="Calibri" w:hAnsi="Times New Roman" w:cs="Times New Roman"/>
                <w:sz w:val="26"/>
                <w:szCs w:val="26"/>
              </w:rPr>
            </w:pPr>
          </w:p>
        </w:tc>
        <w:tc>
          <w:tcPr>
            <w:tcW w:w="830" w:type="pct"/>
            <w:tcBorders>
              <w:bottom w:val="single" w:sz="4" w:space="0" w:color="auto"/>
            </w:tcBorders>
          </w:tcPr>
          <w:p w:rsidR="00FF279E" w:rsidRPr="00FF279E" w:rsidP="00FF279E" w14:paraId="66F8C89F" w14:textId="77777777">
            <w:pPr>
              <w:spacing w:after="0" w:line="240" w:lineRule="auto"/>
              <w:ind w:left="-44"/>
              <w:rPr>
                <w:rFonts w:ascii="Times New Roman" w:eastAsia="Calibri" w:hAnsi="Times New Roman" w:cs="Times New Roman"/>
                <w:b/>
                <w:sz w:val="26"/>
                <w:szCs w:val="26"/>
              </w:rPr>
            </w:pPr>
            <w:r w:rsidRPr="00FF279E">
              <w:rPr>
                <w:rFonts w:ascii="Times New Roman" w:eastAsia="Calibri" w:hAnsi="Times New Roman" w:cs="Times New Roman"/>
                <w:b/>
                <w:sz w:val="26"/>
                <w:szCs w:val="26"/>
              </w:rPr>
              <w:t xml:space="preserve">18,136 hrs. </w:t>
            </w:r>
          </w:p>
          <w:p w:rsidR="00FF279E" w:rsidRPr="00FF279E" w:rsidP="00FF279E" w14:paraId="71356808" w14:textId="77777777">
            <w:pPr>
              <w:spacing w:after="0" w:line="240" w:lineRule="auto"/>
              <w:ind w:left="-134"/>
              <w:jc w:val="right"/>
              <w:rPr>
                <w:rFonts w:ascii="Times New Roman" w:eastAsia="Calibri" w:hAnsi="Times New Roman" w:cs="Times New Roman"/>
                <w:b/>
                <w:sz w:val="26"/>
                <w:szCs w:val="26"/>
              </w:rPr>
            </w:pPr>
            <w:r w:rsidRPr="00FF279E">
              <w:rPr>
                <w:rFonts w:ascii="Times New Roman" w:eastAsia="Calibri" w:hAnsi="Times New Roman" w:cs="Times New Roman"/>
                <w:b/>
                <w:sz w:val="26"/>
                <w:szCs w:val="26"/>
              </w:rPr>
              <w:t>$1,281,671.12</w:t>
            </w:r>
          </w:p>
        </w:tc>
        <w:tc>
          <w:tcPr>
            <w:tcW w:w="629" w:type="pct"/>
            <w:tcBorders>
              <w:bottom w:val="single" w:sz="4" w:space="0" w:color="auto"/>
            </w:tcBorders>
            <w:shd w:val="clear" w:color="auto" w:fill="D9D9D9"/>
          </w:tcPr>
          <w:p w:rsidR="00FF279E" w:rsidRPr="00FF279E" w:rsidP="00FF279E" w14:paraId="28E4E6CE" w14:textId="77777777">
            <w:pPr>
              <w:spacing w:after="0" w:line="240" w:lineRule="auto"/>
              <w:jc w:val="right"/>
              <w:rPr>
                <w:rFonts w:ascii="Times New Roman" w:eastAsia="Calibri" w:hAnsi="Times New Roman" w:cs="Times New Roman"/>
                <w:b/>
                <w:sz w:val="26"/>
                <w:szCs w:val="26"/>
              </w:rPr>
            </w:pPr>
          </w:p>
        </w:tc>
      </w:tr>
    </w:tbl>
    <w:p w:rsidR="001B46BD" w:rsidRPr="00B10B75" w:rsidP="00B10B75" w14:paraId="75987774" w14:textId="49441C14">
      <w:pPr>
        <w:spacing w:after="0"/>
        <w:rPr>
          <w:rFonts w:ascii="Times New Roman" w:hAnsi="Times New Roman" w:cs="Times New Roman"/>
          <w:b/>
          <w:sz w:val="26"/>
          <w:szCs w:val="26"/>
        </w:rPr>
      </w:pPr>
    </w:p>
    <w:p w:rsidR="001B46BD" w:rsidRPr="003E05E4" w:rsidP="001F1C1E" w14:paraId="752B812B"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tab/>
      </w:r>
    </w:p>
    <w:p w:rsidR="001B46BD" w:rsidRPr="003E05E4" w:rsidP="001F1C1E" w14:paraId="21C97E13" w14:textId="77777777">
      <w:pPr>
        <w:spacing w:after="0"/>
        <w:rPr>
          <w:rFonts w:ascii="Times New Roman" w:hAnsi="Times New Roman" w:cs="Times New Roman"/>
          <w:sz w:val="26"/>
          <w:szCs w:val="26"/>
        </w:rPr>
      </w:pPr>
    </w:p>
    <w:p w:rsidR="001B46BD" w:rsidRPr="003E05E4" w:rsidP="001F1C1E" w14:paraId="49F6581C" w14:textId="347B1863">
      <w:pPr>
        <w:spacing w:after="0"/>
        <w:rPr>
          <w:rFonts w:ascii="Times New Roman" w:hAnsi="Times New Roman" w:cs="Times New Roman"/>
          <w:sz w:val="26"/>
          <w:szCs w:val="26"/>
        </w:rPr>
      </w:pPr>
      <w:r w:rsidRPr="003E05E4">
        <w:rPr>
          <w:rFonts w:ascii="Times New Roman" w:hAnsi="Times New Roman" w:cs="Times New Roman"/>
          <w:sz w:val="26"/>
          <w:szCs w:val="26"/>
        </w:rPr>
        <w:t>This information collection captures the burden contained in the requirements and measure</w:t>
      </w:r>
      <w:r w:rsidR="00292908">
        <w:rPr>
          <w:rFonts w:ascii="Times New Roman" w:hAnsi="Times New Roman" w:cs="Times New Roman"/>
          <w:sz w:val="26"/>
          <w:szCs w:val="26"/>
        </w:rPr>
        <w:t>s</w:t>
      </w:r>
      <w:r w:rsidRPr="003E05E4">
        <w:rPr>
          <w:rFonts w:ascii="Times New Roman" w:hAnsi="Times New Roman" w:cs="Times New Roman"/>
          <w:sz w:val="26"/>
          <w:szCs w:val="26"/>
        </w:rPr>
        <w:t xml:space="preserve"> of </w:t>
      </w:r>
      <w:r w:rsidRPr="003E05E4" w:rsidR="00534E17">
        <w:rPr>
          <w:rFonts w:ascii="Times New Roman" w:hAnsi="Times New Roman" w:cs="Times New Roman"/>
          <w:sz w:val="26"/>
          <w:szCs w:val="26"/>
        </w:rPr>
        <w:t xml:space="preserve">COM </w:t>
      </w:r>
      <w:r w:rsidRPr="003E05E4">
        <w:rPr>
          <w:rFonts w:ascii="Times New Roman" w:hAnsi="Times New Roman" w:cs="Times New Roman"/>
          <w:sz w:val="26"/>
          <w:szCs w:val="26"/>
        </w:rPr>
        <w:t>Reliability Standards</w:t>
      </w:r>
      <w:r w:rsidRPr="003E05E4" w:rsidR="00534E17">
        <w:rPr>
          <w:rFonts w:ascii="Times New Roman" w:hAnsi="Times New Roman" w:cs="Times New Roman"/>
          <w:sz w:val="26"/>
          <w:szCs w:val="26"/>
        </w:rPr>
        <w:t>.</w:t>
      </w:r>
    </w:p>
    <w:p w:rsidR="001B46BD" w:rsidRPr="003E05E4" w:rsidP="001F1C1E" w14:paraId="0A9F0B05" w14:textId="77777777">
      <w:pPr>
        <w:spacing w:after="0"/>
        <w:rPr>
          <w:rFonts w:ascii="Times New Roman" w:hAnsi="Times New Roman" w:cs="Times New Roman"/>
          <w:sz w:val="26"/>
          <w:szCs w:val="26"/>
        </w:rPr>
      </w:pPr>
    </w:p>
    <w:p w:rsidR="001B46BD" w:rsidRPr="003E05E4" w:rsidP="001F1C1E" w14:paraId="12767CB6"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 OF THE TOTAL ANNUAL COST BURDEN TO RESPONDENTS</w:t>
      </w:r>
    </w:p>
    <w:p w:rsidR="001B46BD" w:rsidRPr="003E05E4" w:rsidP="001F1C1E" w14:paraId="669B06F1" w14:textId="77777777">
      <w:pPr>
        <w:spacing w:after="0"/>
        <w:rPr>
          <w:rFonts w:ascii="Times New Roman" w:hAnsi="Times New Roman" w:cs="Times New Roman"/>
          <w:sz w:val="26"/>
          <w:szCs w:val="26"/>
        </w:rPr>
      </w:pPr>
    </w:p>
    <w:p w:rsidR="00C975AC" w:rsidRPr="003E05E4" w:rsidP="00C975AC" w14:paraId="64662790"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non-labor costs currently associated with the FERC-725V information collection.</w:t>
      </w:r>
    </w:p>
    <w:p w:rsidR="00C975AC" w:rsidRPr="003E05E4" w:rsidP="00C975AC" w14:paraId="3E089B40" w14:textId="77777777">
      <w:pPr>
        <w:spacing w:after="0"/>
        <w:rPr>
          <w:rFonts w:ascii="Times New Roman" w:hAnsi="Times New Roman" w:cs="Times New Roman"/>
          <w:sz w:val="26"/>
          <w:szCs w:val="26"/>
        </w:rPr>
      </w:pPr>
    </w:p>
    <w:p w:rsidR="00C975AC" w:rsidRPr="003E05E4" w:rsidP="00C975AC" w14:paraId="6B38BB37" w14:textId="77777777">
      <w:pPr>
        <w:spacing w:after="0"/>
        <w:rPr>
          <w:rFonts w:ascii="Times New Roman" w:hAnsi="Times New Roman" w:cs="Times New Roman"/>
          <w:sz w:val="26"/>
          <w:szCs w:val="26"/>
        </w:rPr>
      </w:pPr>
      <w:r w:rsidRPr="003E05E4">
        <w:rPr>
          <w:rFonts w:ascii="Times New Roman" w:hAnsi="Times New Roman" w:cs="Times New Roman"/>
          <w:sz w:val="26"/>
          <w:szCs w:val="26"/>
        </w:rPr>
        <w:t>All of the costs in this collection are associated with burden hours (labor) and described in Questions #12 and #15.</w:t>
      </w:r>
    </w:p>
    <w:p w:rsidR="001B46BD" w:rsidRPr="003E05E4" w:rsidP="001F1C1E" w14:paraId="7A732C6E" w14:textId="77777777">
      <w:pPr>
        <w:spacing w:after="0"/>
        <w:rPr>
          <w:rFonts w:ascii="Times New Roman" w:hAnsi="Times New Roman" w:cs="Times New Roman"/>
          <w:sz w:val="26"/>
          <w:szCs w:val="26"/>
        </w:rPr>
      </w:pPr>
    </w:p>
    <w:p w:rsidR="001B46BD" w:rsidRPr="003E05E4" w:rsidP="001F1C1E" w14:paraId="2F7C771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ANNUALIZED COST TO FEDERAL GOVERNMENT</w:t>
      </w:r>
    </w:p>
    <w:p w:rsidR="001B46BD" w:rsidRPr="003E05E4" w:rsidP="001F1C1E" w14:paraId="54F276D0" w14:textId="77777777">
      <w:pPr>
        <w:spacing w:after="0"/>
        <w:rPr>
          <w:rFonts w:ascii="Times New Roman" w:hAnsi="Times New Roman" w:cs="Times New Roman"/>
          <w:sz w:val="26"/>
          <w:szCs w:val="26"/>
        </w:rPr>
      </w:pPr>
    </w:p>
    <w:p w:rsidR="00C975AC" w:rsidRPr="003E05E4" w:rsidP="00C975AC" w14:paraId="74C4FD40"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Regional Entities and NERC do most of the data processing, monitoring and compliance work for </w:t>
      </w:r>
      <w:r w:rsidRPr="003E05E4" w:rsidR="00082C99">
        <w:rPr>
          <w:rFonts w:ascii="Times New Roman" w:hAnsi="Times New Roman" w:cs="Times New Roman"/>
          <w:sz w:val="26"/>
          <w:szCs w:val="26"/>
        </w:rPr>
        <w:t xml:space="preserve">this </w:t>
      </w:r>
      <w:r w:rsidRPr="003E05E4">
        <w:rPr>
          <w:rFonts w:ascii="Times New Roman" w:hAnsi="Times New Roman" w:cs="Times New Roman"/>
          <w:sz w:val="26"/>
          <w:szCs w:val="26"/>
        </w:rPr>
        <w:t>Reliability Standards</w:t>
      </w:r>
      <w:r w:rsidR="007E4654">
        <w:rPr>
          <w:rFonts w:ascii="Times New Roman" w:hAnsi="Times New Roman" w:cs="Times New Roman"/>
          <w:sz w:val="26"/>
          <w:szCs w:val="26"/>
        </w:rPr>
        <w:t>; the burden and cost are included under the FERC-725 collection (OMB Control No. 1902-0225) and are not part of this request or package</w:t>
      </w:r>
      <w:r w:rsidRPr="003E05E4">
        <w:rPr>
          <w:rFonts w:ascii="Times New Roman" w:hAnsi="Times New Roman" w:cs="Times New Roman"/>
          <w:sz w:val="26"/>
          <w:szCs w:val="26"/>
        </w:rPr>
        <w:t xml:space="preserve">.  Any involvement by the Commission is covered under the FERC-725 collection and is not part of this request or package. </w:t>
      </w:r>
    </w:p>
    <w:p w:rsidR="00C975AC" w:rsidRPr="003E05E4" w:rsidP="001F1C1E" w14:paraId="44346B79"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estimated </w:t>
      </w:r>
      <w:r w:rsidRPr="007E4654" w:rsidR="007E4654">
        <w:rPr>
          <w:rFonts w:ascii="Times New Roman" w:hAnsi="Times New Roman" w:cs="Times New Roman"/>
          <w:sz w:val="26"/>
          <w:szCs w:val="26"/>
        </w:rPr>
        <w:t>annualized cost to the Federal Government for FERC-725</w:t>
      </w:r>
      <w:r w:rsidR="007E4654">
        <w:rPr>
          <w:rFonts w:ascii="Times New Roman" w:hAnsi="Times New Roman" w:cs="Times New Roman"/>
          <w:sz w:val="26"/>
          <w:szCs w:val="26"/>
        </w:rPr>
        <w:t>V follows:</w:t>
      </w:r>
    </w:p>
    <w:p w:rsidR="001B46BD" w:rsidRPr="003E05E4" w:rsidP="001F1C1E" w14:paraId="2A0BD81A" w14:textId="77777777">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29EBB9F6" w14:textId="77777777" w:rsidTr="001B46BD">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1B46BD" w:rsidRPr="003E05E4" w:rsidP="001F1C1E" w14:paraId="236E1A70"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B46BD" w:rsidRPr="003E05E4" w:rsidP="001F1C1E" w14:paraId="51F90EFB"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B46BD" w:rsidRPr="003E05E4" w:rsidP="001F1C1E" w14:paraId="5AC09A49"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Estimated Annual Federal Cost</w:t>
            </w:r>
          </w:p>
        </w:tc>
      </w:tr>
      <w:tr w14:paraId="37F72E00" w14:textId="77777777" w:rsidTr="001B46B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B46BD" w:rsidRPr="003E05E4" w:rsidP="001F1C1E" w14:paraId="5349EB3B" w14:textId="77777777">
            <w:pPr>
              <w:spacing w:after="0"/>
              <w:rPr>
                <w:rFonts w:ascii="Times New Roman" w:hAnsi="Times New Roman" w:cs="Times New Roman"/>
                <w:sz w:val="26"/>
                <w:szCs w:val="26"/>
              </w:rPr>
            </w:pPr>
            <w:r w:rsidRPr="003E05E4">
              <w:rPr>
                <w:rFonts w:ascii="Times New Roman" w:hAnsi="Times New Roman" w:cs="Times New Roman"/>
                <w:sz w:val="26"/>
                <w:szCs w:val="26"/>
              </w:rPr>
              <w:t>Analysis and Processing of filings</w:t>
            </w:r>
            <w:r>
              <w:rPr>
                <w:rStyle w:val="FootnoteReference"/>
                <w:rFonts w:ascii="Times New Roman" w:hAnsi="Times New Roman" w:cs="Times New Roman"/>
                <w:sz w:val="26"/>
                <w:szCs w:val="26"/>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vAlign w:val="center"/>
            <w:hideMark/>
          </w:tcPr>
          <w:p w:rsidR="001B46BD" w:rsidRPr="003E05E4" w:rsidP="000D67C5" w14:paraId="55D2209B"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1B46BD" w:rsidRPr="003E05E4" w:rsidP="000D67C5" w14:paraId="7939C2E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r w14:paraId="49E570F5" w14:textId="77777777" w:rsidTr="001B46B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B46BD" w:rsidRPr="003E05E4" w:rsidP="001F1C1E" w14:paraId="20AC893F" w14:textId="77777777">
            <w:pPr>
              <w:spacing w:after="0"/>
              <w:rPr>
                <w:rFonts w:ascii="Times New Roman" w:hAnsi="Times New Roman" w:cs="Times New Roman"/>
                <w:sz w:val="26"/>
                <w:szCs w:val="26"/>
              </w:rPr>
            </w:pPr>
            <w:r w:rsidRPr="003E05E4">
              <w:rPr>
                <w:rFonts w:ascii="Times New Roman" w:hAnsi="Times New Roman" w:cs="Times New Roman"/>
                <w:sz w:val="26"/>
                <w:szCs w:val="26"/>
              </w:rPr>
              <w:t>Paperwork Reduction Act Administrative Cost</w:t>
            </w:r>
            <w:r>
              <w:rPr>
                <w:rFonts w:ascii="Times New Roman" w:hAnsi="Times New Roman" w:cs="Times New Roman"/>
                <w:sz w:val="26"/>
                <w:szCs w:val="26"/>
                <w:vertAlign w:val="superscript"/>
              </w:rPr>
              <w:footnoteReference w:id="15"/>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46BD" w:rsidRPr="003E05E4" w:rsidP="001F1C1E" w14:paraId="161A0829" w14:textId="77777777">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B46BD" w:rsidRPr="003E05E4" w:rsidP="000D67C5" w14:paraId="7FB7D14D" w14:textId="6F88DC57">
            <w:pPr>
              <w:spacing w:after="0"/>
              <w:jc w:val="right"/>
              <w:rPr>
                <w:rFonts w:ascii="Times New Roman" w:hAnsi="Times New Roman" w:cs="Times New Roman"/>
                <w:sz w:val="26"/>
                <w:szCs w:val="26"/>
              </w:rPr>
            </w:pPr>
            <w:r w:rsidRPr="003E05E4">
              <w:rPr>
                <w:rFonts w:ascii="Times New Roman" w:hAnsi="Times New Roman" w:cs="Times New Roman"/>
                <w:sz w:val="26"/>
                <w:szCs w:val="26"/>
              </w:rPr>
              <w:t>$</w:t>
            </w:r>
            <w:r w:rsidR="0076649F">
              <w:rPr>
                <w:rFonts w:ascii="Times New Roman" w:hAnsi="Times New Roman" w:cs="Times New Roman"/>
                <w:sz w:val="26"/>
                <w:szCs w:val="26"/>
              </w:rPr>
              <w:t>8,396</w:t>
            </w:r>
          </w:p>
        </w:tc>
      </w:tr>
      <w:tr w14:paraId="5597F8D0" w14:textId="77777777" w:rsidTr="001B46B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914EC2" w:rsidRPr="007E4654" w:rsidP="001F1C1E" w14:paraId="022B35C2" w14:textId="77777777">
            <w:pPr>
              <w:spacing w:after="0"/>
              <w:rPr>
                <w:rFonts w:ascii="Times New Roman" w:hAnsi="Times New Roman" w:cs="Times New Roman"/>
                <w:b/>
                <w:sz w:val="26"/>
                <w:szCs w:val="26"/>
              </w:rPr>
            </w:pPr>
            <w:r w:rsidRPr="007E465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4EC2" w:rsidRPr="003E05E4" w:rsidP="001F1C1E" w14:paraId="4EBA0348" w14:textId="77777777">
            <w:pPr>
              <w:spacing w:after="0"/>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914EC2" w:rsidRPr="003E05E4" w:rsidP="000D67C5" w14:paraId="511CB6A7" w14:textId="4C32C8A3">
            <w:pPr>
              <w:spacing w:after="0"/>
              <w:jc w:val="right"/>
              <w:rPr>
                <w:rFonts w:ascii="Times New Roman" w:hAnsi="Times New Roman" w:cs="Times New Roman"/>
                <w:sz w:val="26"/>
                <w:szCs w:val="26"/>
              </w:rPr>
            </w:pPr>
            <w:r w:rsidRPr="003E05E4">
              <w:rPr>
                <w:rFonts w:ascii="Times New Roman" w:hAnsi="Times New Roman" w:cs="Times New Roman"/>
                <w:sz w:val="26"/>
                <w:szCs w:val="26"/>
              </w:rPr>
              <w:t>$</w:t>
            </w:r>
            <w:r w:rsidR="0076649F">
              <w:rPr>
                <w:rFonts w:ascii="Times New Roman" w:hAnsi="Times New Roman" w:cs="Times New Roman"/>
                <w:sz w:val="26"/>
                <w:szCs w:val="26"/>
              </w:rPr>
              <w:t>8,396</w:t>
            </w:r>
          </w:p>
        </w:tc>
      </w:tr>
    </w:tbl>
    <w:p w:rsidR="001B46BD" w:rsidP="001F1C1E" w14:paraId="42311CBA" w14:textId="77777777">
      <w:pPr>
        <w:spacing w:after="0"/>
        <w:rPr>
          <w:rFonts w:ascii="Times New Roman" w:hAnsi="Times New Roman" w:cs="Times New Roman"/>
          <w:b/>
          <w:sz w:val="26"/>
          <w:szCs w:val="26"/>
        </w:rPr>
      </w:pPr>
    </w:p>
    <w:p w:rsidR="007E4654" w:rsidRPr="007E4654" w:rsidP="007E4654" w14:paraId="7127EB40" w14:textId="77777777">
      <w:pPr>
        <w:spacing w:after="0"/>
        <w:rPr>
          <w:rFonts w:ascii="Times New Roman" w:hAnsi="Times New Roman" w:cs="Times New Roman"/>
          <w:sz w:val="26"/>
          <w:szCs w:val="26"/>
        </w:rPr>
      </w:pPr>
      <w:r w:rsidRPr="007E4654">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7E4654" w:rsidRPr="007E4654" w:rsidP="007E4654" w14:paraId="2378F4BB" w14:textId="77777777">
      <w:pPr>
        <w:spacing w:after="0"/>
        <w:rPr>
          <w:rFonts w:ascii="Times New Roman" w:hAnsi="Times New Roman" w:cs="Times New Roman"/>
          <w:sz w:val="26"/>
          <w:szCs w:val="26"/>
        </w:rPr>
      </w:pPr>
    </w:p>
    <w:p w:rsidR="007E4654" w:rsidRPr="007E4654" w:rsidP="007E4654" w14:paraId="725174C9" w14:textId="77777777">
      <w:pPr>
        <w:spacing w:after="0"/>
        <w:rPr>
          <w:rFonts w:ascii="Times New Roman" w:hAnsi="Times New Roman" w:cs="Times New Roman"/>
          <w:sz w:val="26"/>
          <w:szCs w:val="26"/>
        </w:rPr>
      </w:pPr>
      <w:r w:rsidRPr="007E4654">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7E4654" w:rsidRPr="003E05E4" w:rsidP="001F1C1E" w14:paraId="39FA2E78" w14:textId="77777777">
      <w:pPr>
        <w:spacing w:after="0"/>
        <w:rPr>
          <w:rFonts w:ascii="Times New Roman" w:hAnsi="Times New Roman" w:cs="Times New Roman"/>
          <w:b/>
          <w:sz w:val="26"/>
          <w:szCs w:val="26"/>
        </w:rPr>
      </w:pPr>
    </w:p>
    <w:p w:rsidR="001B46BD" w:rsidRPr="003E05E4" w:rsidP="001F1C1E" w14:paraId="4DD5775A"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REASONS FOR CHANGES IN BURDEN INCLUDING THE NEED FOR ANY INCREASE</w:t>
      </w:r>
    </w:p>
    <w:p w:rsidR="003E05E4" w:rsidP="00550190" w14:paraId="115095A9" w14:textId="77777777">
      <w:pPr>
        <w:spacing w:after="0"/>
        <w:rPr>
          <w:rFonts w:ascii="Times New Roman" w:hAnsi="Times New Roman" w:cs="Times New Roman"/>
          <w:sz w:val="26"/>
          <w:szCs w:val="26"/>
        </w:rPr>
      </w:pPr>
    </w:p>
    <w:p w:rsidR="001B310F" w:rsidP="00735DF3" w14:paraId="19CA2AA4" w14:textId="77777777">
      <w:pPr>
        <w:spacing w:after="0"/>
        <w:rPr>
          <w:rFonts w:ascii="Times New Roman" w:hAnsi="Times New Roman" w:cs="Times New Roman"/>
          <w:b/>
          <w:sz w:val="26"/>
          <w:szCs w:val="26"/>
        </w:rPr>
      </w:pPr>
      <w:r>
        <w:rPr>
          <w:rFonts w:ascii="Times New Roman" w:hAnsi="Times New Roman" w:cs="Times New Roman"/>
          <w:b/>
          <w:sz w:val="26"/>
          <w:szCs w:val="26"/>
        </w:rPr>
        <w:t xml:space="preserve">Adjustments in Estimates. </w:t>
      </w:r>
    </w:p>
    <w:p w:rsidR="001B310F" w:rsidP="006D4213" w14:paraId="3DD3CB64" w14:textId="0E9C0A79">
      <w:pPr>
        <w:pStyle w:val="ListParagraph"/>
        <w:numPr>
          <w:ilvl w:val="0"/>
          <w:numId w:val="8"/>
        </w:numPr>
        <w:spacing w:after="0"/>
        <w:rPr>
          <w:rFonts w:ascii="Times New Roman" w:hAnsi="Times New Roman" w:cs="Times New Roman"/>
          <w:sz w:val="26"/>
          <w:szCs w:val="26"/>
        </w:rPr>
      </w:pPr>
      <w:r w:rsidRPr="006D4213">
        <w:rPr>
          <w:rFonts w:ascii="Times New Roman" w:hAnsi="Times New Roman" w:cs="Times New Roman"/>
          <w:sz w:val="26"/>
          <w:szCs w:val="26"/>
        </w:rPr>
        <w:t xml:space="preserve">FERC-725V information collection experienced burden reduction due to </w:t>
      </w:r>
      <w:r w:rsidRPr="006D4213">
        <w:rPr>
          <w:rFonts w:ascii="Times New Roman" w:hAnsi="Times New Roman" w:cs="Times New Roman"/>
          <w:sz w:val="26"/>
          <w:szCs w:val="26"/>
        </w:rPr>
        <w:t>normal industry</w:t>
      </w:r>
      <w:r w:rsidRPr="006D4213">
        <w:rPr>
          <w:rFonts w:ascii="Times New Roman" w:hAnsi="Times New Roman" w:cs="Times New Roman"/>
          <w:sz w:val="26"/>
          <w:szCs w:val="26"/>
        </w:rPr>
        <w:t xml:space="preserve"> fluctuation</w:t>
      </w:r>
      <w:r w:rsidRPr="006D4213">
        <w:rPr>
          <w:rFonts w:ascii="Times New Roman" w:hAnsi="Times New Roman" w:cs="Times New Roman"/>
          <w:sz w:val="26"/>
          <w:szCs w:val="26"/>
        </w:rPr>
        <w:t>s</w:t>
      </w:r>
      <w:r w:rsidRPr="006D4213">
        <w:rPr>
          <w:rFonts w:ascii="Times New Roman" w:hAnsi="Times New Roman" w:cs="Times New Roman"/>
          <w:sz w:val="26"/>
          <w:szCs w:val="26"/>
        </w:rPr>
        <w:t xml:space="preserve">. This caused a </w:t>
      </w:r>
      <w:r w:rsidR="002223A4">
        <w:rPr>
          <w:rFonts w:ascii="Times New Roman" w:hAnsi="Times New Roman" w:cs="Times New Roman"/>
          <w:sz w:val="26"/>
          <w:szCs w:val="26"/>
        </w:rPr>
        <w:t>in</w:t>
      </w:r>
      <w:r w:rsidR="00CA238F">
        <w:rPr>
          <w:rFonts w:ascii="Times New Roman" w:hAnsi="Times New Roman" w:cs="Times New Roman"/>
          <w:sz w:val="26"/>
          <w:szCs w:val="26"/>
        </w:rPr>
        <w:t>crease</w:t>
      </w:r>
      <w:r w:rsidRPr="006D4213" w:rsidR="00CA238F">
        <w:rPr>
          <w:rFonts w:ascii="Times New Roman" w:hAnsi="Times New Roman" w:cs="Times New Roman"/>
          <w:sz w:val="26"/>
          <w:szCs w:val="26"/>
        </w:rPr>
        <w:t xml:space="preserve"> </w:t>
      </w:r>
      <w:r w:rsidR="009C6700">
        <w:rPr>
          <w:rFonts w:ascii="Times New Roman" w:hAnsi="Times New Roman" w:cs="Times New Roman"/>
          <w:sz w:val="26"/>
          <w:szCs w:val="26"/>
        </w:rPr>
        <w:t xml:space="preserve">(adjustment) </w:t>
      </w:r>
      <w:r w:rsidRPr="006D4213">
        <w:rPr>
          <w:rFonts w:ascii="Times New Roman" w:hAnsi="Times New Roman" w:cs="Times New Roman"/>
          <w:sz w:val="26"/>
          <w:szCs w:val="26"/>
        </w:rPr>
        <w:t xml:space="preserve">of </w:t>
      </w:r>
      <w:r w:rsidR="002223A4">
        <w:rPr>
          <w:rFonts w:ascii="Times New Roman" w:hAnsi="Times New Roman" w:cs="Times New Roman"/>
          <w:sz w:val="26"/>
          <w:szCs w:val="26"/>
        </w:rPr>
        <w:t>+147</w:t>
      </w:r>
      <w:r w:rsidRPr="006D4213">
        <w:rPr>
          <w:rFonts w:ascii="Times New Roman" w:hAnsi="Times New Roman" w:cs="Times New Roman"/>
          <w:sz w:val="26"/>
          <w:szCs w:val="26"/>
        </w:rPr>
        <w:t xml:space="preserve"> </w:t>
      </w:r>
      <w:r w:rsidR="00CA238F">
        <w:rPr>
          <w:rFonts w:ascii="Times New Roman" w:hAnsi="Times New Roman" w:cs="Times New Roman"/>
          <w:sz w:val="26"/>
          <w:szCs w:val="26"/>
        </w:rPr>
        <w:t xml:space="preserve">respondents </w:t>
      </w:r>
      <w:r w:rsidRPr="006D4213">
        <w:rPr>
          <w:rFonts w:ascii="Times New Roman" w:hAnsi="Times New Roman" w:cs="Times New Roman"/>
          <w:sz w:val="26"/>
          <w:szCs w:val="26"/>
        </w:rPr>
        <w:t>from Reliability Standard COM-002-4</w:t>
      </w:r>
      <w:r>
        <w:rPr>
          <w:rFonts w:ascii="Times New Roman" w:hAnsi="Times New Roman" w:cs="Times New Roman"/>
          <w:sz w:val="26"/>
          <w:szCs w:val="26"/>
        </w:rPr>
        <w:t>.</w:t>
      </w:r>
    </w:p>
    <w:p w:rsidR="00735DF3" w:rsidRPr="0012632E" w:rsidP="00550190" w14:paraId="67D783D7" w14:textId="373F0B7E">
      <w:pPr>
        <w:pStyle w:val="ListParagraph"/>
        <w:numPr>
          <w:ilvl w:val="0"/>
          <w:numId w:val="8"/>
        </w:numPr>
        <w:spacing w:after="0"/>
        <w:rPr>
          <w:rFonts w:ascii="Times New Roman" w:hAnsi="Times New Roman" w:cs="Times New Roman"/>
          <w:sz w:val="26"/>
          <w:szCs w:val="26"/>
        </w:rPr>
      </w:pPr>
      <w:r w:rsidRPr="001B310F">
        <w:rPr>
          <w:rFonts w:ascii="Times New Roman" w:hAnsi="Times New Roman" w:cs="Times New Roman"/>
          <w:sz w:val="26"/>
          <w:szCs w:val="26"/>
        </w:rPr>
        <w:t>FERC-725V is also experienced</w:t>
      </w:r>
      <w:r w:rsidR="00CA238F">
        <w:rPr>
          <w:rFonts w:ascii="Times New Roman" w:hAnsi="Times New Roman" w:cs="Times New Roman"/>
          <w:sz w:val="26"/>
          <w:szCs w:val="26"/>
        </w:rPr>
        <w:t xml:space="preserve"> a burden increase due to a normal fluctuation (</w:t>
      </w:r>
      <w:r w:rsidRPr="001B310F">
        <w:rPr>
          <w:rFonts w:ascii="Times New Roman" w:hAnsi="Times New Roman" w:cs="Times New Roman"/>
          <w:sz w:val="26"/>
          <w:szCs w:val="26"/>
        </w:rPr>
        <w:t>increase</w:t>
      </w:r>
      <w:r w:rsidR="00CA238F">
        <w:rPr>
          <w:rFonts w:ascii="Times New Roman" w:hAnsi="Times New Roman" w:cs="Times New Roman"/>
          <w:sz w:val="26"/>
          <w:szCs w:val="26"/>
        </w:rPr>
        <w:t>)</w:t>
      </w:r>
      <w:r w:rsidRPr="001B310F">
        <w:rPr>
          <w:rFonts w:ascii="Times New Roman" w:hAnsi="Times New Roman" w:cs="Times New Roman"/>
          <w:sz w:val="26"/>
          <w:szCs w:val="26"/>
        </w:rPr>
        <w:t xml:space="preserve"> in respondents in Reliability Standard COM-00</w:t>
      </w:r>
      <w:r w:rsidR="0049165C">
        <w:rPr>
          <w:rFonts w:ascii="Times New Roman" w:hAnsi="Times New Roman" w:cs="Times New Roman"/>
          <w:sz w:val="26"/>
          <w:szCs w:val="26"/>
        </w:rPr>
        <w:t>1</w:t>
      </w:r>
      <w:r w:rsidRPr="001B310F">
        <w:rPr>
          <w:rFonts w:ascii="Times New Roman" w:hAnsi="Times New Roman" w:cs="Times New Roman"/>
          <w:sz w:val="26"/>
          <w:szCs w:val="26"/>
        </w:rPr>
        <w:t>-</w:t>
      </w:r>
      <w:r w:rsidR="0049165C">
        <w:rPr>
          <w:rFonts w:ascii="Times New Roman" w:hAnsi="Times New Roman" w:cs="Times New Roman"/>
          <w:sz w:val="26"/>
          <w:szCs w:val="26"/>
        </w:rPr>
        <w:t>3</w:t>
      </w:r>
      <w:r w:rsidRPr="001B310F">
        <w:rPr>
          <w:rFonts w:ascii="Times New Roman" w:hAnsi="Times New Roman" w:cs="Times New Roman"/>
          <w:sz w:val="26"/>
          <w:szCs w:val="26"/>
        </w:rPr>
        <w:t xml:space="preserve">.  The number of respondents </w:t>
      </w:r>
      <w:r w:rsidR="00CA238F">
        <w:rPr>
          <w:rFonts w:ascii="Times New Roman" w:hAnsi="Times New Roman" w:cs="Times New Roman"/>
          <w:sz w:val="26"/>
          <w:szCs w:val="26"/>
        </w:rPr>
        <w:t xml:space="preserve">and responses </w:t>
      </w:r>
      <w:r w:rsidRPr="001B310F">
        <w:rPr>
          <w:rFonts w:ascii="Times New Roman" w:hAnsi="Times New Roman" w:cs="Times New Roman"/>
          <w:sz w:val="26"/>
          <w:szCs w:val="26"/>
        </w:rPr>
        <w:t>increased from 1,</w:t>
      </w:r>
      <w:r w:rsidR="002223A4">
        <w:rPr>
          <w:rFonts w:ascii="Times New Roman" w:hAnsi="Times New Roman" w:cs="Times New Roman"/>
          <w:sz w:val="26"/>
          <w:szCs w:val="26"/>
        </w:rPr>
        <w:t>313</w:t>
      </w:r>
      <w:r w:rsidRPr="001B310F">
        <w:rPr>
          <w:rFonts w:ascii="Times New Roman" w:hAnsi="Times New Roman" w:cs="Times New Roman"/>
          <w:sz w:val="26"/>
          <w:szCs w:val="26"/>
        </w:rPr>
        <w:t>to 1,</w:t>
      </w:r>
      <w:r w:rsidR="0049165C">
        <w:rPr>
          <w:rFonts w:ascii="Times New Roman" w:hAnsi="Times New Roman" w:cs="Times New Roman"/>
          <w:sz w:val="26"/>
          <w:szCs w:val="26"/>
        </w:rPr>
        <w:t>3</w:t>
      </w:r>
      <w:r w:rsidR="002223A4">
        <w:rPr>
          <w:rFonts w:ascii="Times New Roman" w:hAnsi="Times New Roman" w:cs="Times New Roman"/>
          <w:sz w:val="26"/>
          <w:szCs w:val="26"/>
        </w:rPr>
        <w:t>28</w:t>
      </w:r>
      <w:r w:rsidR="0049165C">
        <w:rPr>
          <w:rFonts w:ascii="Times New Roman" w:hAnsi="Times New Roman" w:cs="Times New Roman"/>
          <w:sz w:val="26"/>
          <w:szCs w:val="26"/>
        </w:rPr>
        <w:t xml:space="preserve"> </w:t>
      </w:r>
      <w:r w:rsidRPr="001B310F">
        <w:rPr>
          <w:rFonts w:ascii="Times New Roman" w:hAnsi="Times New Roman" w:cs="Times New Roman"/>
          <w:sz w:val="26"/>
          <w:szCs w:val="26"/>
        </w:rPr>
        <w:t>respondents (</w:t>
      </w:r>
      <w:r w:rsidR="002223A4">
        <w:rPr>
          <w:rFonts w:ascii="Times New Roman" w:hAnsi="Times New Roman" w:cs="Times New Roman"/>
          <w:sz w:val="26"/>
          <w:szCs w:val="26"/>
        </w:rPr>
        <w:t>+15</w:t>
      </w:r>
      <w:r w:rsidRPr="001B310F">
        <w:rPr>
          <w:rFonts w:ascii="Times New Roman" w:hAnsi="Times New Roman" w:cs="Times New Roman"/>
          <w:sz w:val="26"/>
          <w:szCs w:val="26"/>
        </w:rPr>
        <w:t xml:space="preserve">).  </w:t>
      </w:r>
    </w:p>
    <w:p w:rsidR="001B46BD" w:rsidRPr="003E05E4" w:rsidP="001F1C1E" w14:paraId="51E9ACB1"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Commission estimates the annual reporting burden and associated cost as follows:  </w:t>
      </w:r>
    </w:p>
    <w:p w:rsidR="001B46BD" w:rsidRPr="003E05E4" w:rsidP="001F1C1E" w14:paraId="0C92D720" w14:textId="77777777">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17E61DD2" w14:textId="77777777" w:rsidTr="001B46BD">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B46BD" w:rsidRPr="003E05E4" w:rsidP="001F1C1E" w14:paraId="78538B69"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B46BD" w:rsidRPr="003E05E4" w:rsidP="001F1C1E" w14:paraId="38184277"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B46BD" w:rsidRPr="003E05E4" w:rsidP="001F1C1E" w14:paraId="15BAAADF"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B46BD" w:rsidRPr="003E05E4" w:rsidP="001F1C1E" w14:paraId="3539E61C"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B46BD" w:rsidRPr="003E05E4" w:rsidP="001F1C1E" w14:paraId="093D8363"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Agency Discretion</w:t>
            </w:r>
          </w:p>
        </w:tc>
      </w:tr>
      <w:tr w14:paraId="151F5E48" w14:textId="77777777" w:rsidTr="008B608C">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1B46BD" w:rsidRPr="003E05E4" w:rsidP="000D67C5" w14:paraId="7212C53F"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center"/>
            <w:hideMark/>
          </w:tcPr>
          <w:p w:rsidR="001B46BD" w:rsidRPr="003E05E4" w:rsidP="008B608C" w14:paraId="5525F86C" w14:textId="7E967C14">
            <w:pPr>
              <w:spacing w:after="0"/>
              <w:jc w:val="right"/>
              <w:rPr>
                <w:rFonts w:ascii="Times New Roman" w:hAnsi="Times New Roman" w:cs="Times New Roman"/>
                <w:sz w:val="26"/>
                <w:szCs w:val="26"/>
              </w:rPr>
            </w:pPr>
            <w:r>
              <w:rPr>
                <w:rFonts w:ascii="Times New Roman" w:hAnsi="Times New Roman" w:cs="Times New Roman"/>
                <w:sz w:val="26"/>
                <w:szCs w:val="26"/>
              </w:rPr>
              <w:t>2,</w:t>
            </w:r>
            <w:r w:rsidR="002223A4">
              <w:rPr>
                <w:rFonts w:ascii="Times New Roman" w:hAnsi="Times New Roman" w:cs="Times New Roman"/>
                <w:sz w:val="26"/>
                <w:szCs w:val="26"/>
              </w:rPr>
              <w:t>931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2CB82EDD" w14:textId="27A40E30">
            <w:pPr>
              <w:spacing w:after="0"/>
              <w:jc w:val="right"/>
              <w:rPr>
                <w:rFonts w:ascii="Times New Roman" w:hAnsi="Times New Roman" w:cs="Times New Roman"/>
                <w:sz w:val="26"/>
                <w:szCs w:val="26"/>
              </w:rPr>
            </w:pPr>
            <w:r>
              <w:rPr>
                <w:rFonts w:ascii="Times New Roman" w:hAnsi="Times New Roman" w:cs="Times New Roman"/>
                <w:sz w:val="26"/>
                <w:szCs w:val="26"/>
              </w:rPr>
              <w:t>2,769</w:t>
            </w:r>
          </w:p>
        </w:tc>
        <w:tc>
          <w:tcPr>
            <w:tcW w:w="1800" w:type="dxa"/>
            <w:tcBorders>
              <w:top w:val="single" w:sz="4" w:space="0" w:color="auto"/>
              <w:left w:val="single" w:sz="4" w:space="0" w:color="auto"/>
              <w:bottom w:val="single" w:sz="4" w:space="0" w:color="auto"/>
              <w:right w:val="single" w:sz="4" w:space="0" w:color="auto"/>
            </w:tcBorders>
            <w:vAlign w:val="center"/>
          </w:tcPr>
          <w:p w:rsidR="001B46BD" w:rsidRPr="003E05E4" w14:paraId="30EA8FC8" w14:textId="1578D6AE">
            <w:pPr>
              <w:spacing w:after="0"/>
              <w:jc w:val="right"/>
              <w:rPr>
                <w:rFonts w:ascii="Times New Roman" w:hAnsi="Times New Roman" w:cs="Times New Roman"/>
                <w:sz w:val="26"/>
                <w:szCs w:val="26"/>
              </w:rPr>
            </w:pPr>
            <w:r>
              <w:rPr>
                <w:rFonts w:ascii="Times New Roman" w:hAnsi="Times New Roman" w:cs="Times New Roman"/>
                <w:sz w:val="26"/>
                <w:szCs w:val="26"/>
              </w:rPr>
              <w:t>162</w:t>
            </w:r>
          </w:p>
        </w:tc>
        <w:tc>
          <w:tcPr>
            <w:tcW w:w="1800" w:type="dxa"/>
            <w:tcBorders>
              <w:top w:val="single" w:sz="4" w:space="0" w:color="auto"/>
              <w:left w:val="single" w:sz="4" w:space="0" w:color="auto"/>
              <w:bottom w:val="single" w:sz="4" w:space="0" w:color="auto"/>
              <w:right w:val="single" w:sz="4" w:space="0" w:color="auto"/>
            </w:tcBorders>
            <w:vAlign w:val="center"/>
          </w:tcPr>
          <w:p w:rsidR="001B46BD" w:rsidRPr="003E05E4" w:rsidP="00146965" w14:paraId="319AA7AD" w14:textId="7534F88E">
            <w:pPr>
              <w:spacing w:after="0"/>
              <w:jc w:val="right"/>
              <w:rPr>
                <w:rFonts w:ascii="Times New Roman" w:hAnsi="Times New Roman" w:cs="Times New Roman"/>
                <w:sz w:val="26"/>
                <w:szCs w:val="26"/>
              </w:rPr>
            </w:pPr>
            <w:r>
              <w:rPr>
                <w:rFonts w:ascii="Times New Roman" w:hAnsi="Times New Roman" w:cs="Times New Roman"/>
                <w:sz w:val="26"/>
                <w:szCs w:val="26"/>
              </w:rPr>
              <w:t>0</w:t>
            </w:r>
          </w:p>
        </w:tc>
      </w:tr>
      <w:tr w14:paraId="19541A94" w14:textId="77777777" w:rsidTr="008B608C">
        <w:tblPrEx>
          <w:tblW w:w="9360" w:type="dxa"/>
          <w:tblInd w:w="18" w:type="dxa"/>
          <w:tblLook w:val="01E0"/>
        </w:tblPrEx>
        <w:trPr>
          <w:trHeight w:val="575"/>
        </w:trPr>
        <w:tc>
          <w:tcPr>
            <w:tcW w:w="2679" w:type="dxa"/>
            <w:tcBorders>
              <w:top w:val="single" w:sz="4" w:space="0" w:color="auto"/>
              <w:left w:val="single" w:sz="4" w:space="0" w:color="auto"/>
              <w:bottom w:val="single" w:sz="4" w:space="0" w:color="auto"/>
              <w:right w:val="single" w:sz="4" w:space="0" w:color="auto"/>
            </w:tcBorders>
            <w:hideMark/>
          </w:tcPr>
          <w:p w:rsidR="001B46BD" w:rsidRPr="003E05E4" w:rsidP="000D67C5" w14:paraId="6F70C01A" w14:textId="56A43962">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Time Burden (Hr</w:t>
            </w:r>
            <w:r w:rsidR="009C6700">
              <w:rPr>
                <w:rFonts w:ascii="Times New Roman" w:hAnsi="Times New Roman" w:cs="Times New Roman"/>
                <w:sz w:val="26"/>
                <w:szCs w:val="26"/>
              </w:rPr>
              <w:t>.</w:t>
            </w:r>
            <w:r w:rsidRPr="003E05E4">
              <w:rPr>
                <w:rFonts w:ascii="Times New Roman" w:hAnsi="Times New Roman" w:cs="Times New Roman"/>
                <w:sz w:val="26"/>
                <w:szCs w:val="26"/>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53869E61" w14:textId="51619A66">
            <w:pPr>
              <w:spacing w:after="0"/>
              <w:jc w:val="right"/>
              <w:rPr>
                <w:rFonts w:ascii="Times New Roman" w:hAnsi="Times New Roman" w:cs="Times New Roman"/>
                <w:sz w:val="26"/>
                <w:szCs w:val="26"/>
              </w:rPr>
            </w:pPr>
            <w:r>
              <w:rPr>
                <w:rFonts w:ascii="Times New Roman" w:hAnsi="Times New Roman" w:cs="Times New Roman"/>
                <w:sz w:val="26"/>
                <w:szCs w:val="26"/>
              </w:rPr>
              <w:t>1</w:t>
            </w:r>
            <w:r w:rsidR="002223A4">
              <w:rPr>
                <w:rFonts w:ascii="Times New Roman" w:hAnsi="Times New Roman" w:cs="Times New Roman"/>
                <w:sz w:val="26"/>
                <w:szCs w:val="26"/>
              </w:rPr>
              <w:t>8,136</w:t>
            </w:r>
          </w:p>
        </w:tc>
        <w:tc>
          <w:tcPr>
            <w:tcW w:w="1620"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6E76CFAB" w14:textId="2B19DA62">
            <w:pPr>
              <w:spacing w:after="0"/>
              <w:jc w:val="right"/>
              <w:rPr>
                <w:rFonts w:ascii="Times New Roman" w:hAnsi="Times New Roman" w:cs="Times New Roman"/>
                <w:sz w:val="26"/>
                <w:szCs w:val="26"/>
              </w:rPr>
            </w:pPr>
            <w:r>
              <w:rPr>
                <w:rFonts w:ascii="Times New Roman" w:hAnsi="Times New Roman" w:cs="Times New Roman"/>
                <w:sz w:val="26"/>
                <w:szCs w:val="26"/>
              </w:rPr>
              <w:t>16,900</w:t>
            </w:r>
          </w:p>
        </w:tc>
        <w:tc>
          <w:tcPr>
            <w:tcW w:w="1800" w:type="dxa"/>
            <w:tcBorders>
              <w:top w:val="single" w:sz="4" w:space="0" w:color="auto"/>
              <w:left w:val="single" w:sz="4" w:space="0" w:color="auto"/>
              <w:bottom w:val="single" w:sz="4" w:space="0" w:color="auto"/>
              <w:right w:val="single" w:sz="4" w:space="0" w:color="auto"/>
            </w:tcBorders>
            <w:vAlign w:val="center"/>
          </w:tcPr>
          <w:p w:rsidR="001B46BD" w:rsidRPr="003E05E4" w:rsidP="00883E77" w14:paraId="5F09CA8E" w14:textId="7DFD03A4">
            <w:pPr>
              <w:spacing w:after="0"/>
              <w:jc w:val="right"/>
              <w:rPr>
                <w:rFonts w:ascii="Times New Roman" w:hAnsi="Times New Roman" w:cs="Times New Roman"/>
                <w:sz w:val="26"/>
                <w:szCs w:val="26"/>
              </w:rPr>
            </w:pPr>
            <w:r>
              <w:rPr>
                <w:rFonts w:ascii="Times New Roman" w:hAnsi="Times New Roman" w:cs="Times New Roman"/>
                <w:sz w:val="26"/>
                <w:szCs w:val="26"/>
              </w:rPr>
              <w:t>1,236</w:t>
            </w:r>
          </w:p>
        </w:tc>
        <w:tc>
          <w:tcPr>
            <w:tcW w:w="1800" w:type="dxa"/>
            <w:tcBorders>
              <w:top w:val="single" w:sz="4" w:space="0" w:color="auto"/>
              <w:left w:val="single" w:sz="4" w:space="0" w:color="auto"/>
              <w:bottom w:val="single" w:sz="4" w:space="0" w:color="auto"/>
              <w:right w:val="single" w:sz="4" w:space="0" w:color="auto"/>
            </w:tcBorders>
            <w:vAlign w:val="center"/>
          </w:tcPr>
          <w:p w:rsidR="001B46BD" w:rsidRPr="003E05E4" w:rsidP="00146965" w14:paraId="15AC981C" w14:textId="7BD340AC">
            <w:pPr>
              <w:spacing w:after="0"/>
              <w:jc w:val="right"/>
              <w:rPr>
                <w:rFonts w:ascii="Times New Roman" w:hAnsi="Times New Roman" w:cs="Times New Roman"/>
                <w:sz w:val="26"/>
                <w:szCs w:val="26"/>
              </w:rPr>
            </w:pPr>
            <w:r>
              <w:rPr>
                <w:rFonts w:ascii="Times New Roman" w:hAnsi="Times New Roman" w:cs="Times New Roman"/>
                <w:sz w:val="26"/>
                <w:szCs w:val="26"/>
              </w:rPr>
              <w:t>0</w:t>
            </w:r>
          </w:p>
        </w:tc>
      </w:tr>
      <w:tr w14:paraId="760C071F" w14:textId="77777777" w:rsidTr="001B46BD">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1B46BD" w:rsidRPr="003E05E4" w:rsidP="000D67C5" w14:paraId="4A8C6047"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06566CB2"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3C94A78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2DEBCF1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46BD" w:rsidRPr="003E05E4" w:rsidP="007E454D" w14:paraId="4A749885"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bl>
    <w:p w:rsidR="001B46BD" w:rsidRPr="003E05E4" w:rsidP="001F1C1E" w14:paraId="467A242D"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rsidR="001B46BD" w:rsidRPr="003E05E4" w:rsidP="001F1C1E" w14:paraId="56CAAC30" w14:textId="77777777">
      <w:pPr>
        <w:spacing w:after="0"/>
        <w:rPr>
          <w:rFonts w:ascii="Times New Roman" w:hAnsi="Times New Roman" w:cs="Times New Roman"/>
          <w:sz w:val="26"/>
          <w:szCs w:val="26"/>
        </w:rPr>
      </w:pPr>
    </w:p>
    <w:p w:rsidR="001B46BD" w:rsidRPr="003E05E4" w:rsidP="001F1C1E" w14:paraId="383C7F1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TIME SCHEDULE FOR PUBLICATION OF DATA</w:t>
      </w:r>
    </w:p>
    <w:p w:rsidR="007E4654" w:rsidP="001F1C1E" w14:paraId="03E52E91" w14:textId="77777777">
      <w:pPr>
        <w:spacing w:after="0"/>
        <w:rPr>
          <w:rFonts w:ascii="Times New Roman" w:hAnsi="Times New Roman" w:cs="Times New Roman"/>
          <w:sz w:val="26"/>
          <w:szCs w:val="26"/>
        </w:rPr>
      </w:pPr>
    </w:p>
    <w:p w:rsidR="001B46BD" w:rsidRPr="003E05E4" w:rsidP="001F1C1E" w14:paraId="0A38188B"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is no publication of data as</w:t>
      </w:r>
      <w:r w:rsidRPr="003E05E4" w:rsidR="000D67C5">
        <w:rPr>
          <w:rFonts w:ascii="Times New Roman" w:hAnsi="Times New Roman" w:cs="Times New Roman"/>
          <w:sz w:val="26"/>
          <w:szCs w:val="26"/>
        </w:rPr>
        <w:t>sociated with FERC-725V</w:t>
      </w:r>
      <w:r w:rsidRPr="003E05E4">
        <w:rPr>
          <w:rFonts w:ascii="Times New Roman" w:hAnsi="Times New Roman" w:cs="Times New Roman"/>
          <w:sz w:val="26"/>
          <w:szCs w:val="26"/>
        </w:rPr>
        <w:t xml:space="preserve"> collection of information.</w:t>
      </w:r>
    </w:p>
    <w:p w:rsidR="001B46BD" w:rsidRPr="003E05E4" w:rsidP="001F1C1E" w14:paraId="251231E3" w14:textId="77777777">
      <w:pPr>
        <w:spacing w:after="0"/>
        <w:rPr>
          <w:rFonts w:ascii="Times New Roman" w:hAnsi="Times New Roman" w:cs="Times New Roman"/>
          <w:sz w:val="26"/>
          <w:szCs w:val="26"/>
        </w:rPr>
      </w:pPr>
    </w:p>
    <w:p w:rsidR="001B46BD" w:rsidRPr="003E05E4" w:rsidP="001F1C1E" w14:paraId="46109D7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DISPLAY OF EXPIRATION DATE</w:t>
      </w:r>
    </w:p>
    <w:p w:rsidR="001B46BD" w:rsidRPr="003E05E4" w:rsidP="001F1C1E" w14:paraId="0674D8F0" w14:textId="77777777">
      <w:pPr>
        <w:spacing w:after="0"/>
        <w:rPr>
          <w:rFonts w:ascii="Times New Roman" w:hAnsi="Times New Roman" w:cs="Times New Roman"/>
          <w:sz w:val="26"/>
          <w:szCs w:val="26"/>
        </w:rPr>
      </w:pPr>
    </w:p>
    <w:p w:rsidR="001B46BD" w:rsidRPr="003E05E4" w:rsidP="001F1C1E" w14:paraId="4BB31D58" w14:textId="380D2CDF">
      <w:pPr>
        <w:spacing w:after="0"/>
        <w:rPr>
          <w:rFonts w:ascii="Times New Roman" w:hAnsi="Times New Roman" w:cs="Times New Roman"/>
          <w:sz w:val="26"/>
          <w:szCs w:val="26"/>
        </w:rPr>
      </w:pPr>
      <w:r w:rsidRPr="003E05E4">
        <w:rPr>
          <w:rFonts w:ascii="Times New Roman" w:hAnsi="Times New Roman" w:cs="Times New Roman"/>
          <w:sz w:val="26"/>
          <w:szCs w:val="26"/>
        </w:rPr>
        <w:t>The expiration date is displayed in a table posted on ferc.gov at</w:t>
      </w:r>
      <w:r w:rsidR="00CE5EF8">
        <w:rPr>
          <w:rFonts w:ascii="Times New Roman" w:hAnsi="Times New Roman" w:cs="Times New Roman"/>
          <w:sz w:val="26"/>
          <w:szCs w:val="26"/>
        </w:rPr>
        <w:t xml:space="preserve"> </w:t>
      </w:r>
      <w:r w:rsidRPr="003E05E4">
        <w:rPr>
          <w:rFonts w:ascii="Times New Roman" w:hAnsi="Times New Roman" w:cs="Times New Roman"/>
          <w:sz w:val="26"/>
          <w:szCs w:val="26"/>
        </w:rPr>
        <w:t>.</w:t>
      </w:r>
    </w:p>
    <w:p w:rsidR="00CE5EF8" w:rsidP="001F1C1E" w14:paraId="2F735502" w14:textId="5EFAE730">
      <w:pPr>
        <w:spacing w:after="0"/>
        <w:rPr>
          <w:rFonts w:ascii="Times New Roman" w:hAnsi="Times New Roman" w:cs="Times New Roman"/>
          <w:sz w:val="26"/>
          <w:szCs w:val="26"/>
        </w:rPr>
      </w:pPr>
      <w:r w:rsidRPr="00CE5EF8">
        <w:t xml:space="preserve"> </w:t>
      </w:r>
      <w:hyperlink r:id="rId11" w:history="1">
        <w:r w:rsidRPr="002F2444">
          <w:rPr>
            <w:rStyle w:val="Hyperlink"/>
            <w:rFonts w:ascii="Times New Roman" w:hAnsi="Times New Roman" w:cs="Times New Roman"/>
            <w:sz w:val="26"/>
            <w:szCs w:val="26"/>
          </w:rPr>
          <w:t>https://www.ferc.gov/information-collections</w:t>
        </w:r>
      </w:hyperlink>
      <w:r>
        <w:rPr>
          <w:rFonts w:ascii="Times New Roman" w:hAnsi="Times New Roman" w:cs="Times New Roman"/>
          <w:sz w:val="26"/>
          <w:szCs w:val="26"/>
        </w:rPr>
        <w:t>.</w:t>
      </w:r>
    </w:p>
    <w:p w:rsidR="00CE5EF8" w:rsidRPr="003E05E4" w:rsidP="001F1C1E" w14:paraId="6EA9FB39" w14:textId="77777777">
      <w:pPr>
        <w:spacing w:after="0"/>
        <w:rPr>
          <w:rFonts w:ascii="Times New Roman" w:hAnsi="Times New Roman" w:cs="Times New Roman"/>
          <w:sz w:val="26"/>
          <w:szCs w:val="26"/>
        </w:rPr>
      </w:pPr>
    </w:p>
    <w:p w:rsidR="001B46BD" w:rsidRPr="003E05E4" w:rsidP="001F1C1E" w14:paraId="1F60E81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EXCEPTIONS TO THE CERTIFICATION STATEMENT</w:t>
      </w:r>
    </w:p>
    <w:p w:rsidR="001B46BD" w:rsidRPr="003E05E4" w:rsidP="001F1C1E" w14:paraId="63B57A86" w14:textId="77777777">
      <w:pPr>
        <w:spacing w:after="0"/>
        <w:rPr>
          <w:rFonts w:ascii="Times New Roman" w:hAnsi="Times New Roman" w:cs="Times New Roman"/>
          <w:b/>
          <w:sz w:val="26"/>
          <w:szCs w:val="26"/>
        </w:rPr>
      </w:pPr>
    </w:p>
    <w:p w:rsidR="001B46BD" w:rsidRPr="003E05E4" w:rsidP="001F1C1E" w14:paraId="442A464A"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exceptions</w:t>
      </w:r>
      <w:r w:rsidRPr="003E05E4" w:rsidR="000D67C5">
        <w:rPr>
          <w:rFonts w:ascii="Times New Roman" w:hAnsi="Times New Roman" w:cs="Times New Roman"/>
          <w:sz w:val="26"/>
          <w:szCs w:val="26"/>
        </w:rPr>
        <w:t xml:space="preserve"> for FERC-725V</w:t>
      </w:r>
      <w:r w:rsidRPr="003E05E4">
        <w:rPr>
          <w:rFonts w:ascii="Times New Roman" w:hAnsi="Times New Roman" w:cs="Times New Roman"/>
          <w:sz w:val="26"/>
          <w:szCs w:val="26"/>
        </w:rPr>
        <w:t>.</w:t>
      </w:r>
    </w:p>
    <w:p w:rsidR="001B46BD" w:rsidRPr="003E05E4" w:rsidP="001F1C1E" w14:paraId="24D75608" w14:textId="77777777">
      <w:pPr>
        <w:spacing w:after="0"/>
        <w:rPr>
          <w:rFonts w:ascii="Times New Roman" w:hAnsi="Times New Roman" w:cs="Times New Roman"/>
          <w:sz w:val="26"/>
          <w:szCs w:val="26"/>
        </w:rPr>
      </w:pPr>
    </w:p>
    <w:p w:rsidR="008802B2" w:rsidRPr="003E05E4" w:rsidP="000F6E38" w14:paraId="740C3FE1" w14:textId="77777777">
      <w:pPr>
        <w:spacing w:after="0" w:line="240" w:lineRule="auto"/>
        <w:rPr>
          <w:rFonts w:ascii="Times New Roman" w:hAnsi="Times New Roman" w:cs="Times New Roman"/>
          <w:sz w:val="26"/>
          <w:szCs w:val="26"/>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9673429"/>
      <w:docPartObj>
        <w:docPartGallery w:val="Page Numbers (Bottom of Page)"/>
        <w:docPartUnique/>
      </w:docPartObj>
    </w:sdtPr>
    <w:sdtEndPr>
      <w:rPr>
        <w:noProof/>
      </w:rPr>
    </w:sdtEndPr>
    <w:sdtContent>
      <w:p w:rsidR="00C56FBB" w14:paraId="46450736" w14:textId="77777777">
        <w:pPr>
          <w:pStyle w:val="Footer"/>
          <w:jc w:val="right"/>
        </w:pPr>
        <w:r>
          <w:fldChar w:fldCharType="begin"/>
        </w:r>
        <w:r>
          <w:instrText xml:space="preserve"> PAGE   \* MERGEFORMAT </w:instrText>
        </w:r>
        <w:r>
          <w:fldChar w:fldCharType="separate"/>
        </w:r>
        <w:r w:rsidR="003F7008">
          <w:rPr>
            <w:noProof/>
          </w:rPr>
          <w:t>1</w:t>
        </w:r>
        <w:r>
          <w:rPr>
            <w:noProof/>
          </w:rPr>
          <w:fldChar w:fldCharType="end"/>
        </w:r>
      </w:p>
    </w:sdtContent>
  </w:sdt>
  <w:p w:rsidR="00C56FBB" w14:paraId="61327F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4040" w:rsidP="001B46BD" w14:paraId="2738855C" w14:textId="77777777">
      <w:pPr>
        <w:spacing w:after="0" w:line="240" w:lineRule="auto"/>
      </w:pPr>
      <w:r>
        <w:separator/>
      </w:r>
    </w:p>
  </w:footnote>
  <w:footnote w:type="continuationSeparator" w:id="1">
    <w:p w:rsidR="003F4040" w:rsidP="001B46BD" w14:paraId="26A7759C" w14:textId="77777777">
      <w:pPr>
        <w:spacing w:after="0" w:line="240" w:lineRule="auto"/>
      </w:pPr>
      <w:r>
        <w:continuationSeparator/>
      </w:r>
    </w:p>
  </w:footnote>
  <w:footnote w:id="2">
    <w:p w:rsidR="00A91019" w:rsidRPr="004D22EE" w:rsidP="00A91019" w14:paraId="48593A67" w14:textId="77777777">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“COM” stands for Communication</w:t>
      </w:r>
    </w:p>
  </w:footnote>
  <w:footnote w:id="3">
    <w:p w:rsidR="00DA61EC" w:rsidRPr="004D22EE" w:rsidP="00DA61EC" w14:paraId="4510C629" w14:textId="77777777">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Energy Policy Act of 2005, Pub. L. No 109-58, Title XII, Subtitle A, 119 Stat. 594, 941 (2005), codified at 16 U.S.C. 824o (2006).</w:t>
      </w:r>
    </w:p>
  </w:footnote>
  <w:footnote w:id="4">
    <w:p w:rsidR="00DA61EC" w:rsidRPr="004D22EE" w:rsidP="00DA61EC" w14:paraId="2F8EDCC6" w14:textId="77777777">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i/>
          <w:iCs/>
          <w:sz w:val="26"/>
          <w:szCs w:val="26"/>
        </w:rPr>
        <w:t>North American Electric Reliability Corp.</w:t>
      </w:r>
      <w:r w:rsidRPr="004D22EE">
        <w:rPr>
          <w:rFonts w:ascii="Times New Roman" w:hAnsi="Times New Roman" w:cs="Times New Roman"/>
          <w:sz w:val="26"/>
          <w:szCs w:val="26"/>
        </w:rPr>
        <w:t xml:space="preserve">, 116 FERC ¶ 61,062, </w:t>
      </w:r>
      <w:r w:rsidRPr="004D22EE">
        <w:rPr>
          <w:rFonts w:ascii="Times New Roman" w:hAnsi="Times New Roman" w:cs="Times New Roman"/>
          <w:i/>
          <w:iCs/>
          <w:sz w:val="26"/>
          <w:szCs w:val="26"/>
        </w:rPr>
        <w:t>order on reh’g &amp; compliance</w:t>
      </w:r>
      <w:r w:rsidRPr="004D22EE">
        <w:rPr>
          <w:rFonts w:ascii="Times New Roman" w:hAnsi="Times New Roman" w:cs="Times New Roman"/>
          <w:sz w:val="26"/>
          <w:szCs w:val="26"/>
        </w:rPr>
        <w:t xml:space="preserve">, 117 FERC ¶ 61,126 (2006), </w:t>
      </w:r>
      <w:r w:rsidRPr="004D22EE">
        <w:rPr>
          <w:rFonts w:ascii="Times New Roman" w:hAnsi="Times New Roman" w:cs="Times New Roman"/>
          <w:i/>
          <w:sz w:val="26"/>
          <w:szCs w:val="26"/>
        </w:rPr>
        <w:t xml:space="preserve">aff’d </w:t>
      </w:r>
      <w:r w:rsidRPr="004D22EE">
        <w:rPr>
          <w:rFonts w:ascii="Times New Roman" w:hAnsi="Times New Roman" w:cs="Times New Roman"/>
          <w:i/>
          <w:iCs/>
          <w:sz w:val="26"/>
          <w:szCs w:val="26"/>
        </w:rPr>
        <w:t>sub nom. Alcoa, Inc. v. FERC</w:t>
      </w:r>
      <w:r w:rsidRPr="004D22EE">
        <w:rPr>
          <w:rFonts w:ascii="Times New Roman" w:hAnsi="Times New Roman" w:cs="Times New Roman"/>
          <w:sz w:val="26"/>
          <w:szCs w:val="26"/>
        </w:rPr>
        <w:t xml:space="preserve">, 564 F.3d 1342 (D.C. Cir. 2009).  </w:t>
      </w:r>
    </w:p>
  </w:footnote>
  <w:footnote w:id="5">
    <w:p w:rsidR="00295147" w:rsidRPr="004D22EE" w:rsidP="00295147" w14:paraId="16B87585" w14:textId="7777777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16 U.S.C. § 824o (2012).</w:t>
      </w:r>
    </w:p>
  </w:footnote>
  <w:footnote w:id="6">
    <w:p w:rsidR="00295147" w:rsidRPr="004D22EE" w:rsidP="00295147" w14:paraId="3D811DC6" w14:textId="7777777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18 C.F.R. § 39.5 (2015).</w:t>
      </w:r>
    </w:p>
  </w:footnote>
  <w:footnote w:id="7">
    <w:p w:rsidR="001B46BD" w:rsidRPr="004D22EE" w:rsidP="001B46BD" w14:paraId="1D600016" w14:textId="77777777">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Style w:val="FootnoteReference"/>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 xml:space="preserve">Available at </w:t>
      </w:r>
      <w:hyperlink r:id="rId1" w:history="1">
        <w:r w:rsidRPr="004D22EE">
          <w:rPr>
            <w:rStyle w:val="Hyperlink"/>
            <w:rFonts w:ascii="Times New Roman" w:hAnsi="Times New Roman" w:cs="Times New Roman"/>
            <w:sz w:val="26"/>
            <w:szCs w:val="26"/>
          </w:rPr>
          <w:t>http://www.nerc.com/FilingsOrders/us/RuleOfProcedureDL/NERC_ROP_Effective_20140701_updated_20140602.pdf</w:t>
        </w:r>
      </w:hyperlink>
      <w:r w:rsidRPr="004D22EE">
        <w:rPr>
          <w:rFonts w:ascii="Times New Roman" w:hAnsi="Times New Roman" w:cs="Times New Roman"/>
          <w:sz w:val="26"/>
          <w:szCs w:val="26"/>
        </w:rPr>
        <w:t xml:space="preserve">. </w:t>
      </w:r>
    </w:p>
  </w:footnote>
  <w:footnote w:id="8">
    <w:p w:rsidR="00130E91" w:rsidRPr="004D22EE" w:rsidP="00130E91" w14:paraId="06F00697" w14:textId="72AD449F">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Pr="004D22EE">
        <w:rPr>
          <w:rFonts w:ascii="Times New Roman" w:hAnsi="Times New Roman" w:cs="Times New Roman"/>
          <w:sz w:val="26"/>
          <w:szCs w:val="26"/>
        </w:rPr>
        <w:t>8</w:t>
      </w:r>
      <w:r w:rsidR="00CE5EF8">
        <w:rPr>
          <w:rFonts w:ascii="Times New Roman" w:hAnsi="Times New Roman" w:cs="Times New Roman"/>
          <w:sz w:val="26"/>
          <w:szCs w:val="26"/>
        </w:rPr>
        <w:t>9</w:t>
      </w:r>
      <w:r w:rsidRPr="004D22EE">
        <w:rPr>
          <w:rFonts w:ascii="Times New Roman" w:hAnsi="Times New Roman" w:cs="Times New Roman"/>
          <w:sz w:val="26"/>
          <w:szCs w:val="26"/>
        </w:rPr>
        <w:t xml:space="preserve"> FR </w:t>
      </w:r>
      <w:r w:rsidR="00731BF5">
        <w:rPr>
          <w:rFonts w:ascii="Times New Roman" w:hAnsi="Times New Roman" w:cs="Times New Roman"/>
          <w:sz w:val="26"/>
          <w:szCs w:val="26"/>
        </w:rPr>
        <w:t>67430</w:t>
      </w:r>
    </w:p>
  </w:footnote>
  <w:footnote w:id="9">
    <w:p w:rsidR="00130E91" w:rsidRPr="004D22EE" w:rsidP="00130E91" w14:paraId="413983FB" w14:textId="6100BB28">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Pr="004D22EE" w:rsidR="005A5283">
        <w:rPr>
          <w:rFonts w:ascii="Times New Roman" w:hAnsi="Times New Roman" w:cs="Times New Roman"/>
          <w:sz w:val="26"/>
          <w:szCs w:val="26"/>
        </w:rPr>
        <w:t>8</w:t>
      </w:r>
      <w:r w:rsidR="00CE5EF8">
        <w:rPr>
          <w:rFonts w:ascii="Times New Roman" w:hAnsi="Times New Roman" w:cs="Times New Roman"/>
          <w:sz w:val="26"/>
          <w:szCs w:val="26"/>
        </w:rPr>
        <w:t>9</w:t>
      </w:r>
      <w:r w:rsidRPr="004D22EE" w:rsidR="005A5283">
        <w:rPr>
          <w:rFonts w:ascii="Times New Roman" w:hAnsi="Times New Roman" w:cs="Times New Roman"/>
          <w:sz w:val="26"/>
          <w:szCs w:val="26"/>
        </w:rPr>
        <w:t xml:space="preserve"> FR </w:t>
      </w:r>
      <w:r w:rsidR="001A1492">
        <w:rPr>
          <w:rFonts w:ascii="Times New Roman" w:hAnsi="Times New Roman" w:cs="Times New Roman"/>
          <w:sz w:val="26"/>
          <w:szCs w:val="26"/>
        </w:rPr>
        <w:t>8633</w:t>
      </w:r>
      <w:r w:rsidR="00E03BE0">
        <w:rPr>
          <w:rFonts w:ascii="Times New Roman" w:hAnsi="Times New Roman" w:cs="Times New Roman"/>
          <w:sz w:val="26"/>
          <w:szCs w:val="26"/>
        </w:rPr>
        <w:t>4</w:t>
      </w:r>
    </w:p>
  </w:footnote>
  <w:footnote w:id="10">
    <w:p w:rsidR="00A23D43" w:rsidRPr="004D22EE" w:rsidP="00A23D43" w14:paraId="568905B4" w14:textId="77777777">
      <w:pPr>
        <w:pStyle w:val="FootnoteText"/>
        <w:rPr>
          <w:rFonts w:ascii="Times New Roman" w:hAnsi="Times New Roman" w:cs="Times New Roman"/>
          <w:sz w:val="26"/>
          <w:szCs w:val="26"/>
        </w:rPr>
      </w:pPr>
      <w:r w:rsidRPr="004D22EE">
        <w:rPr>
          <w:rFonts w:ascii="Times New Roman" w:hAnsi="Times New Roman" w:cs="Times New Roman"/>
          <w:sz w:val="26"/>
          <w:szCs w:val="26"/>
        </w:rPr>
        <w:t>.</w:t>
      </w:r>
    </w:p>
  </w:footnote>
  <w:footnote w:id="11">
    <w:p w:rsidR="00A22F8C" w:rsidRPr="00CE5EF8" w14:paraId="61ACBC34" w14:textId="77777777">
      <w:pPr>
        <w:pStyle w:val="FootnoteText"/>
        <w:rPr>
          <w:rFonts w:ascii="Times New Roman" w:hAnsi="Times New Roman" w:cs="Times New Roman"/>
          <w:sz w:val="26"/>
          <w:szCs w:val="26"/>
        </w:rPr>
      </w:pPr>
      <w:r w:rsidRPr="00CE5EF8">
        <w:rPr>
          <w:rStyle w:val="FootnoteReference"/>
          <w:rFonts w:ascii="Times New Roman" w:hAnsi="Times New Roman" w:cs="Times New Roman"/>
          <w:sz w:val="26"/>
          <w:szCs w:val="26"/>
          <w:vertAlign w:val="superscript"/>
        </w:rPr>
        <w:footnoteRef/>
      </w:r>
      <w:r w:rsidRPr="00CE5EF8">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12">
    <w:p w:rsidR="00FF279E" w:rsidRPr="00CE5EF8" w:rsidP="00FF279E" w14:paraId="285B497E" w14:textId="77777777">
      <w:pPr>
        <w:pStyle w:val="FootnoteText"/>
        <w:rPr>
          <w:rFonts w:ascii="Times New Roman" w:hAnsi="Times New Roman" w:cs="Times New Roman"/>
          <w:sz w:val="26"/>
          <w:szCs w:val="26"/>
        </w:rPr>
      </w:pPr>
      <w:r w:rsidRPr="00CE5EF8">
        <w:rPr>
          <w:rStyle w:val="FootnoteReference"/>
          <w:rFonts w:ascii="Times New Roman" w:hAnsi="Times New Roman" w:cs="Times New Roman"/>
          <w:sz w:val="26"/>
          <w:szCs w:val="26"/>
          <w:vertAlign w:val="superscript"/>
        </w:rPr>
        <w:footnoteRef/>
      </w:r>
      <w:r w:rsidRPr="00CE5EF8">
        <w:rPr>
          <w:rFonts w:ascii="Times New Roman" w:hAnsi="Times New Roman" w:cs="Times New Roman"/>
          <w:sz w:val="26"/>
          <w:szCs w:val="26"/>
          <w:vertAlign w:val="superscript"/>
        </w:rPr>
        <w:t xml:space="preserve"> </w:t>
      </w:r>
      <w:r w:rsidRPr="00CE5EF8">
        <w:rPr>
          <w:rFonts w:ascii="Times New Roman" w:hAnsi="Times New Roman" w:cs="Times New Roman"/>
          <w:sz w:val="26"/>
          <w:szCs w:val="26"/>
        </w:rPr>
        <w:t xml:space="preserve">BA= balancing authority, RC = Reliability Coordinator, DP = distribution provider, TOP = transmission operator; GOP = generator operators.  These values were derived from the NERC Compliance data of April 16, 2024, using only unique United States registered entities. </w:t>
      </w:r>
    </w:p>
  </w:footnote>
  <w:footnote w:id="13">
    <w:p w:rsidR="00FF279E" w:rsidRPr="00CE5EF8" w:rsidP="00FF279E" w14:paraId="511F1C59" w14:textId="77777777">
      <w:pPr>
        <w:pStyle w:val="FootnoteText"/>
        <w:rPr>
          <w:rFonts w:ascii="Times New Roman" w:hAnsi="Times New Roman" w:cs="Times New Roman"/>
          <w:sz w:val="26"/>
          <w:szCs w:val="26"/>
        </w:rPr>
      </w:pPr>
      <w:r w:rsidRPr="00CE5EF8">
        <w:rPr>
          <w:rStyle w:val="FootnoteReference"/>
          <w:rFonts w:ascii="Times New Roman" w:hAnsi="Times New Roman" w:cs="Times New Roman"/>
          <w:sz w:val="26"/>
          <w:szCs w:val="26"/>
          <w:vertAlign w:val="superscript"/>
        </w:rPr>
        <w:footnoteRef/>
      </w:r>
      <w:r w:rsidRPr="00CE5EF8">
        <w:rPr>
          <w:rFonts w:ascii="Times New Roman" w:hAnsi="Times New Roman" w:cs="Times New Roman"/>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14">
    <w:p w:rsidR="003C1750" w14:paraId="5EDFC9A3" w14:textId="356640E3">
      <w:pPr>
        <w:pStyle w:val="FootnoteText"/>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3C1750">
        <w:rPr>
          <w:rFonts w:ascii="Times New Roman" w:hAnsi="Times New Roman" w:cs="Times New Roman"/>
          <w:sz w:val="26"/>
          <w:szCs w:val="26"/>
        </w:rPr>
        <w:t>Based upon FERC’s 20</w:t>
      </w:r>
      <w:r w:rsidR="00B10B75">
        <w:rPr>
          <w:rFonts w:ascii="Times New Roman" w:hAnsi="Times New Roman" w:cs="Times New Roman"/>
          <w:sz w:val="26"/>
          <w:szCs w:val="26"/>
        </w:rPr>
        <w:t>20</w:t>
      </w:r>
      <w:r w:rsidRPr="003C1750">
        <w:rPr>
          <w:rFonts w:ascii="Times New Roman" w:hAnsi="Times New Roman" w:cs="Times New Roman"/>
          <w:sz w:val="26"/>
          <w:szCs w:val="26"/>
        </w:rPr>
        <w:t xml:space="preserve"> FTE average salary plus benefits ($</w:t>
      </w:r>
      <w:r w:rsidR="00CE5EF8">
        <w:rPr>
          <w:rFonts w:ascii="Times New Roman" w:hAnsi="Times New Roman" w:cs="Times New Roman"/>
          <w:sz w:val="26"/>
          <w:szCs w:val="26"/>
        </w:rPr>
        <w:t>287,786</w:t>
      </w:r>
      <w:r w:rsidRPr="003C1750">
        <w:rPr>
          <w:rFonts w:ascii="Times New Roman" w:hAnsi="Times New Roman" w:cs="Times New Roman"/>
          <w:sz w:val="26"/>
          <w:szCs w:val="26"/>
        </w:rPr>
        <w:t>).</w:t>
      </w:r>
    </w:p>
  </w:footnote>
  <w:footnote w:id="15">
    <w:p w:rsidR="001B46BD" w:rsidRPr="004D22EE" w:rsidP="001B46BD" w14:paraId="4A4755F2" w14:textId="77777777">
      <w:pPr>
        <w:pStyle w:val="FootnoteText"/>
        <w:rPr>
          <w:rFonts w:ascii="Times New Roman" w:hAnsi="Times New Roman" w:cs="Times New Roman"/>
          <w:sz w:val="26"/>
          <w:szCs w:val="26"/>
        </w:rPr>
      </w:pPr>
      <w:r w:rsidRPr="003632A9">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3D0" w14:paraId="6148F6A2" w14:textId="7CDC4446">
    <w:pPr>
      <w:pStyle w:val="Header"/>
      <w:rPr>
        <w:rFonts w:ascii="Times New Roman" w:hAnsi="Times New Roman" w:cs="Times New Roman"/>
        <w:sz w:val="26"/>
        <w:szCs w:val="26"/>
      </w:rPr>
    </w:pPr>
    <w:r w:rsidRPr="00DE63D0">
      <w:rPr>
        <w:rFonts w:ascii="Times New Roman" w:hAnsi="Times New Roman" w:cs="Times New Roman"/>
        <w:sz w:val="26"/>
        <w:szCs w:val="26"/>
      </w:rPr>
      <w:t>FERC-725V (OMB Control No.1902-0277)</w:t>
    </w:r>
  </w:p>
  <w:p w:rsidR="001F744A" w:rsidRPr="00DE63D0" w14:paraId="29343C20" w14:textId="58CA677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7732F"/>
    <w:multiLevelType w:val="hybridMultilevel"/>
    <w:tmpl w:val="2F24E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284A7F"/>
    <w:multiLevelType w:val="hybridMultilevel"/>
    <w:tmpl w:val="5B4848D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4585445D"/>
    <w:multiLevelType w:val="hybridMultilevel"/>
    <w:tmpl w:val="D6B69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CC1895"/>
    <w:multiLevelType w:val="hybridMultilevel"/>
    <w:tmpl w:val="632C2E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A858F9"/>
    <w:multiLevelType w:val="hybridMultilevel"/>
    <w:tmpl w:val="19B45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7EED160A"/>
    <w:multiLevelType w:val="hybridMultilevel"/>
    <w:tmpl w:val="77B601E4"/>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459226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695696">
    <w:abstractNumId w:val="3"/>
  </w:num>
  <w:num w:numId="3" w16cid:durableId="231670348">
    <w:abstractNumId w:val="6"/>
  </w:num>
  <w:num w:numId="4" w16cid:durableId="2016029448">
    <w:abstractNumId w:val="5"/>
  </w:num>
  <w:num w:numId="5" w16cid:durableId="924462329">
    <w:abstractNumId w:val="1"/>
  </w:num>
  <w:num w:numId="6" w16cid:durableId="1759136709">
    <w:abstractNumId w:val="2"/>
  </w:num>
  <w:num w:numId="7" w16cid:durableId="1180579694">
    <w:abstractNumId w:val="0"/>
  </w:num>
  <w:num w:numId="8" w16cid:durableId="130142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BD"/>
    <w:rsid w:val="00013C71"/>
    <w:rsid w:val="00017CB6"/>
    <w:rsid w:val="000413F4"/>
    <w:rsid w:val="00044DAA"/>
    <w:rsid w:val="00082C99"/>
    <w:rsid w:val="00096BD1"/>
    <w:rsid w:val="000B5BE3"/>
    <w:rsid w:val="000D06EA"/>
    <w:rsid w:val="000D0DB9"/>
    <w:rsid w:val="000D67C5"/>
    <w:rsid w:val="000E4B10"/>
    <w:rsid w:val="000F05D1"/>
    <w:rsid w:val="000F6E38"/>
    <w:rsid w:val="00106C16"/>
    <w:rsid w:val="001205A3"/>
    <w:rsid w:val="0012632E"/>
    <w:rsid w:val="00130661"/>
    <w:rsid w:val="00130E91"/>
    <w:rsid w:val="00135432"/>
    <w:rsid w:val="00146965"/>
    <w:rsid w:val="00154E6A"/>
    <w:rsid w:val="00157A5C"/>
    <w:rsid w:val="00161E35"/>
    <w:rsid w:val="00195E24"/>
    <w:rsid w:val="001A1492"/>
    <w:rsid w:val="001A1E63"/>
    <w:rsid w:val="001B310F"/>
    <w:rsid w:val="001B3FB6"/>
    <w:rsid w:val="001B46BD"/>
    <w:rsid w:val="001E7DBD"/>
    <w:rsid w:val="001F1C1E"/>
    <w:rsid w:val="001F744A"/>
    <w:rsid w:val="002053D6"/>
    <w:rsid w:val="00211C1D"/>
    <w:rsid w:val="00215692"/>
    <w:rsid w:val="002213B4"/>
    <w:rsid w:val="0022231A"/>
    <w:rsid w:val="002223A4"/>
    <w:rsid w:val="002237C6"/>
    <w:rsid w:val="002304E8"/>
    <w:rsid w:val="002364E8"/>
    <w:rsid w:val="002460AF"/>
    <w:rsid w:val="002619AC"/>
    <w:rsid w:val="00292908"/>
    <w:rsid w:val="00295147"/>
    <w:rsid w:val="002B224C"/>
    <w:rsid w:val="002B6670"/>
    <w:rsid w:val="002C51C9"/>
    <w:rsid w:val="002E565E"/>
    <w:rsid w:val="002F0539"/>
    <w:rsid w:val="002F2444"/>
    <w:rsid w:val="002F395E"/>
    <w:rsid w:val="003632A9"/>
    <w:rsid w:val="0039177A"/>
    <w:rsid w:val="003C1750"/>
    <w:rsid w:val="003E05E4"/>
    <w:rsid w:val="003F02DE"/>
    <w:rsid w:val="003F0519"/>
    <w:rsid w:val="003F4040"/>
    <w:rsid w:val="003F7008"/>
    <w:rsid w:val="003F7855"/>
    <w:rsid w:val="00426871"/>
    <w:rsid w:val="00435802"/>
    <w:rsid w:val="00454344"/>
    <w:rsid w:val="0049165C"/>
    <w:rsid w:val="00497944"/>
    <w:rsid w:val="004A5E5B"/>
    <w:rsid w:val="004B1440"/>
    <w:rsid w:val="004B636C"/>
    <w:rsid w:val="004D22EE"/>
    <w:rsid w:val="004E740E"/>
    <w:rsid w:val="00500C98"/>
    <w:rsid w:val="00534E17"/>
    <w:rsid w:val="0053511E"/>
    <w:rsid w:val="00550190"/>
    <w:rsid w:val="00551A9D"/>
    <w:rsid w:val="00554565"/>
    <w:rsid w:val="005A3F93"/>
    <w:rsid w:val="005A5283"/>
    <w:rsid w:val="005C4EAE"/>
    <w:rsid w:val="005D478B"/>
    <w:rsid w:val="005D49AE"/>
    <w:rsid w:val="005E7421"/>
    <w:rsid w:val="00603BA4"/>
    <w:rsid w:val="0062426E"/>
    <w:rsid w:val="00625939"/>
    <w:rsid w:val="00633C72"/>
    <w:rsid w:val="00641D2B"/>
    <w:rsid w:val="006525AB"/>
    <w:rsid w:val="006620E3"/>
    <w:rsid w:val="006629FB"/>
    <w:rsid w:val="00664667"/>
    <w:rsid w:val="00681E41"/>
    <w:rsid w:val="006A2440"/>
    <w:rsid w:val="006C79C3"/>
    <w:rsid w:val="006D180E"/>
    <w:rsid w:val="006D40ED"/>
    <w:rsid w:val="006D4213"/>
    <w:rsid w:val="006D5D5E"/>
    <w:rsid w:val="006E4F68"/>
    <w:rsid w:val="006F0DA1"/>
    <w:rsid w:val="006F4DBA"/>
    <w:rsid w:val="007116C0"/>
    <w:rsid w:val="00723AEB"/>
    <w:rsid w:val="00731BF5"/>
    <w:rsid w:val="00735DF3"/>
    <w:rsid w:val="00753BBD"/>
    <w:rsid w:val="0076649F"/>
    <w:rsid w:val="00777B14"/>
    <w:rsid w:val="007848D2"/>
    <w:rsid w:val="007952DF"/>
    <w:rsid w:val="007C4ECD"/>
    <w:rsid w:val="007E454D"/>
    <w:rsid w:val="007E4654"/>
    <w:rsid w:val="007E73DE"/>
    <w:rsid w:val="007F1E1C"/>
    <w:rsid w:val="00837E0D"/>
    <w:rsid w:val="00852B4C"/>
    <w:rsid w:val="0086261A"/>
    <w:rsid w:val="008802B2"/>
    <w:rsid w:val="00882AD8"/>
    <w:rsid w:val="0088375A"/>
    <w:rsid w:val="00883E77"/>
    <w:rsid w:val="008B608C"/>
    <w:rsid w:val="008B7BA0"/>
    <w:rsid w:val="008C1845"/>
    <w:rsid w:val="008C5F4E"/>
    <w:rsid w:val="008C746D"/>
    <w:rsid w:val="008E40CE"/>
    <w:rsid w:val="008F6A60"/>
    <w:rsid w:val="0090022A"/>
    <w:rsid w:val="00901671"/>
    <w:rsid w:val="00910DC5"/>
    <w:rsid w:val="0091495A"/>
    <w:rsid w:val="00914EC2"/>
    <w:rsid w:val="00920C28"/>
    <w:rsid w:val="00941526"/>
    <w:rsid w:val="00955161"/>
    <w:rsid w:val="009753AD"/>
    <w:rsid w:val="009C6700"/>
    <w:rsid w:val="009E2E81"/>
    <w:rsid w:val="009F48C4"/>
    <w:rsid w:val="00A07506"/>
    <w:rsid w:val="00A11AB2"/>
    <w:rsid w:val="00A15E18"/>
    <w:rsid w:val="00A22F8C"/>
    <w:rsid w:val="00A23D43"/>
    <w:rsid w:val="00A74F9D"/>
    <w:rsid w:val="00A82CEB"/>
    <w:rsid w:val="00A842D3"/>
    <w:rsid w:val="00A853D0"/>
    <w:rsid w:val="00A87289"/>
    <w:rsid w:val="00A91019"/>
    <w:rsid w:val="00AF2F65"/>
    <w:rsid w:val="00B027CC"/>
    <w:rsid w:val="00B10B75"/>
    <w:rsid w:val="00B47261"/>
    <w:rsid w:val="00B56536"/>
    <w:rsid w:val="00B56569"/>
    <w:rsid w:val="00B62368"/>
    <w:rsid w:val="00BD08B7"/>
    <w:rsid w:val="00BF46DE"/>
    <w:rsid w:val="00C231C0"/>
    <w:rsid w:val="00C33004"/>
    <w:rsid w:val="00C56FBB"/>
    <w:rsid w:val="00C60247"/>
    <w:rsid w:val="00C60F26"/>
    <w:rsid w:val="00C62F75"/>
    <w:rsid w:val="00C70ED9"/>
    <w:rsid w:val="00C723F0"/>
    <w:rsid w:val="00C91215"/>
    <w:rsid w:val="00C975AC"/>
    <w:rsid w:val="00CA238F"/>
    <w:rsid w:val="00CA3043"/>
    <w:rsid w:val="00CA31EE"/>
    <w:rsid w:val="00CB68B2"/>
    <w:rsid w:val="00CE53DF"/>
    <w:rsid w:val="00CE5EF8"/>
    <w:rsid w:val="00D275E6"/>
    <w:rsid w:val="00D3173B"/>
    <w:rsid w:val="00D67B5E"/>
    <w:rsid w:val="00D74674"/>
    <w:rsid w:val="00DA08AA"/>
    <w:rsid w:val="00DA61EC"/>
    <w:rsid w:val="00DA6EB3"/>
    <w:rsid w:val="00DE1ACC"/>
    <w:rsid w:val="00DE63D0"/>
    <w:rsid w:val="00E02E9B"/>
    <w:rsid w:val="00E03BE0"/>
    <w:rsid w:val="00E06676"/>
    <w:rsid w:val="00E32B75"/>
    <w:rsid w:val="00E44572"/>
    <w:rsid w:val="00E82214"/>
    <w:rsid w:val="00E921A5"/>
    <w:rsid w:val="00EA49F7"/>
    <w:rsid w:val="00ED4056"/>
    <w:rsid w:val="00EF75C1"/>
    <w:rsid w:val="00F21255"/>
    <w:rsid w:val="00F37983"/>
    <w:rsid w:val="00F53D9E"/>
    <w:rsid w:val="00F71306"/>
    <w:rsid w:val="00FB6730"/>
    <w:rsid w:val="00FC4A12"/>
    <w:rsid w:val="00FC7F5A"/>
    <w:rsid w:val="00FE080B"/>
    <w:rsid w:val="00FE0C23"/>
    <w:rsid w:val="00FE6391"/>
    <w:rsid w:val="00FF279E"/>
    <w:rsid w:val="00FF7C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0FF13"/>
  <w15:docId w15:val="{8927AF59-0D22-4FE5-8838-2EBBA531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iPriority w:val="99"/>
    <w:unhideWhenUsed/>
    <w:qFormat/>
    <w:rsid w:val="001B46BD"/>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 Char1,ft Char1"/>
    <w:basedOn w:val="DefaultParagraphFont"/>
    <w:link w:val="FootnoteText"/>
    <w:uiPriority w:val="99"/>
    <w:semiHidden/>
    <w:rsid w:val="001B46BD"/>
    <w:rPr>
      <w:sz w:val="20"/>
      <w:szCs w:val="20"/>
    </w:rPr>
  </w:style>
  <w:style w:type="character" w:styleId="Hyperlink">
    <w:name w:val="Hyperlink"/>
    <w:unhideWhenUsed/>
    <w:rsid w:val="001B46BD"/>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1B46BD"/>
  </w:style>
  <w:style w:type="paragraph" w:styleId="Header">
    <w:name w:val="header"/>
    <w:basedOn w:val="Normal"/>
    <w:link w:val="HeaderChar"/>
    <w:uiPriority w:val="99"/>
    <w:unhideWhenUsed/>
    <w:rsid w:val="00DE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D0"/>
  </w:style>
  <w:style w:type="paragraph" w:styleId="Footer">
    <w:name w:val="footer"/>
    <w:basedOn w:val="Normal"/>
    <w:link w:val="FooterChar"/>
    <w:uiPriority w:val="99"/>
    <w:unhideWhenUsed/>
    <w:rsid w:val="00DE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D0"/>
  </w:style>
  <w:style w:type="paragraph" w:styleId="ListParagraph">
    <w:name w:val="List Paragraph"/>
    <w:basedOn w:val="Normal"/>
    <w:uiPriority w:val="34"/>
    <w:qFormat/>
    <w:rsid w:val="00E06676"/>
    <w:pPr>
      <w:ind w:left="720"/>
      <w:contextualSpacing/>
    </w:p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DA61EC"/>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DA61EC"/>
    <w:pPr>
      <w:widowControl w:val="0"/>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A61EC"/>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1C9"/>
    <w:rPr>
      <w:sz w:val="16"/>
      <w:szCs w:val="16"/>
    </w:rPr>
  </w:style>
  <w:style w:type="paragraph" w:styleId="CommentText">
    <w:name w:val="annotation text"/>
    <w:basedOn w:val="Normal"/>
    <w:link w:val="CommentTextChar"/>
    <w:uiPriority w:val="99"/>
    <w:unhideWhenUsed/>
    <w:rsid w:val="002C51C9"/>
    <w:pPr>
      <w:spacing w:line="240" w:lineRule="auto"/>
    </w:pPr>
    <w:rPr>
      <w:sz w:val="20"/>
      <w:szCs w:val="20"/>
    </w:rPr>
  </w:style>
  <w:style w:type="character" w:customStyle="1" w:styleId="CommentTextChar">
    <w:name w:val="Comment Text Char"/>
    <w:basedOn w:val="DefaultParagraphFont"/>
    <w:link w:val="CommentText"/>
    <w:uiPriority w:val="99"/>
    <w:rsid w:val="002C51C9"/>
    <w:rPr>
      <w:sz w:val="20"/>
      <w:szCs w:val="20"/>
    </w:rPr>
  </w:style>
  <w:style w:type="paragraph" w:styleId="CommentSubject">
    <w:name w:val="annotation subject"/>
    <w:basedOn w:val="CommentText"/>
    <w:next w:val="CommentText"/>
    <w:link w:val="CommentSubjectChar"/>
    <w:uiPriority w:val="99"/>
    <w:semiHidden/>
    <w:unhideWhenUsed/>
    <w:rsid w:val="002C51C9"/>
    <w:rPr>
      <w:b/>
      <w:bCs/>
    </w:rPr>
  </w:style>
  <w:style w:type="character" w:customStyle="1" w:styleId="CommentSubjectChar">
    <w:name w:val="Comment Subject Char"/>
    <w:basedOn w:val="CommentTextChar"/>
    <w:link w:val="CommentSubject"/>
    <w:uiPriority w:val="99"/>
    <w:semiHidden/>
    <w:rsid w:val="002C51C9"/>
    <w:rPr>
      <w:b/>
      <w:bCs/>
      <w:sz w:val="20"/>
      <w:szCs w:val="20"/>
    </w:rPr>
  </w:style>
  <w:style w:type="paragraph" w:styleId="BalloonText">
    <w:name w:val="Balloon Text"/>
    <w:basedOn w:val="Normal"/>
    <w:link w:val="BalloonTextChar"/>
    <w:uiPriority w:val="99"/>
    <w:semiHidden/>
    <w:unhideWhenUsed/>
    <w:rsid w:val="002C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C9"/>
    <w:rPr>
      <w:rFonts w:ascii="Segoe UI" w:hAnsi="Segoe UI" w:cs="Segoe UI"/>
      <w:sz w:val="18"/>
      <w:szCs w:val="18"/>
    </w:rPr>
  </w:style>
  <w:style w:type="character" w:styleId="FollowedHyperlink">
    <w:name w:val="FollowedHyperlink"/>
    <w:basedOn w:val="DefaultParagraphFont"/>
    <w:uiPriority w:val="99"/>
    <w:semiHidden/>
    <w:unhideWhenUsed/>
    <w:rsid w:val="00CE5EF8"/>
    <w:rPr>
      <w:color w:val="954F72" w:themeColor="followedHyperlink"/>
      <w:u w:val="single"/>
    </w:rPr>
  </w:style>
  <w:style w:type="character" w:styleId="UnresolvedMention">
    <w:name w:val="Unresolved Mention"/>
    <w:basedOn w:val="DefaultParagraphFont"/>
    <w:uiPriority w:val="99"/>
    <w:semiHidden/>
    <w:unhideWhenUsed/>
    <w:rsid w:val="00CE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NERC_ROP_Effective_20140701_updated_201406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2018-07-10T00:00:00-04:00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IC18-6</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DF4C-6834-4317-A0DF-EF29529735AF}">
  <ds:schemaRefs>
    <ds:schemaRef ds:uri="Microsoft.SharePoint.Taxonomy.ContentTypeSync"/>
  </ds:schemaRefs>
</ds:datastoreItem>
</file>

<file path=customXml/itemProps2.xml><?xml version="1.0" encoding="utf-8"?>
<ds:datastoreItem xmlns:ds="http://schemas.openxmlformats.org/officeDocument/2006/customXml" ds:itemID="{0B9668E2-EA07-45D2-B857-A3144EE361B1}">
  <ds:schemaRefs>
    <ds:schemaRef ds:uri="http://schemas.microsoft.com/office/2006/metadata/customXsn"/>
  </ds:schemaRefs>
</ds:datastoreItem>
</file>

<file path=customXml/itemProps3.xml><?xml version="1.0" encoding="utf-8"?>
<ds:datastoreItem xmlns:ds="http://schemas.openxmlformats.org/officeDocument/2006/customXml" ds:itemID="{974A085B-4DAB-45C2-A555-D341843D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86C95-2DF6-4490-874F-7BDD5BBD451A}">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FFC6EB6-268E-4B89-9753-F3D70CC12B10}">
  <ds:schemaRefs>
    <ds:schemaRef ds:uri="http://schemas.microsoft.com/sharepoint/v3/contenttype/forms"/>
  </ds:schemaRefs>
</ds:datastoreItem>
</file>

<file path=customXml/itemProps6.xml><?xml version="1.0" encoding="utf-8"?>
<ds:datastoreItem xmlns:ds="http://schemas.openxmlformats.org/officeDocument/2006/customXml" ds:itemID="{B45BE08E-D267-489C-A924-B031F4CD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7328</TotalTime>
  <Pages>10</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Mandatory Reliability Standards: COM   Reliability Standards</vt:lpstr>
    </vt:vector>
  </TitlesOfParts>
  <Company>FERC</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COM   Reliability Standards</dc:title>
  <dc:creator>Michele Chambers</dc:creator>
  <cp:lastModifiedBy>Kayla Williams</cp:lastModifiedBy>
  <cp:revision>12</cp:revision>
  <cp:lastPrinted>2018-07-09T18:12:00Z</cp:lastPrinted>
  <dcterms:created xsi:type="dcterms:W3CDTF">2021-12-07T13:51:00Z</dcterms:created>
  <dcterms:modified xsi:type="dcterms:W3CDTF">2024-10-31T15:20:00Z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cb28715e-32a8-4d46-984e-9a9989f3e692</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2024-09-25T13:32:08Z</vt:lpwstr>
  </property>
  <property fmtid="{D5CDD505-2E9C-101B-9397-08002B2CF9AE}" pid="9" name="MSIP_Label_bd24d06a-0e85-4d57-b1e0-ba34b1abc708_SiteId">
    <vt:lpwstr>19caa9e9-04ff-43fa-885f-d77fac387903</vt:lpwstr>
  </property>
</Properties>
</file>