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P="00FD66F1" w14:paraId="0ACFBA64" w14:textId="77777777">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A96B65" w:rsidP="00570861" w14:paraId="5E2E51C3" w14:textId="3DAB4DD1">
      <w:pPr>
        <w:spacing w:after="0"/>
        <w:jc w:val="center"/>
        <w:rPr>
          <w:rFonts w:ascii="Times New Roman" w:hAnsi="Times New Roman" w:cs="Times New Roman"/>
          <w:b/>
          <w:sz w:val="24"/>
          <w:szCs w:val="24"/>
        </w:rPr>
      </w:pPr>
      <w:r>
        <w:rPr>
          <w:rFonts w:ascii="Times New Roman" w:hAnsi="Times New Roman" w:cs="Times New Roman"/>
          <w:b/>
          <w:sz w:val="24"/>
          <w:szCs w:val="24"/>
        </w:rPr>
        <w:t>FERC-725X</w:t>
      </w:r>
      <w:r w:rsidR="00570861">
        <w:rPr>
          <w:rFonts w:ascii="Times New Roman" w:hAnsi="Times New Roman" w:cs="Times New Roman"/>
          <w:b/>
          <w:sz w:val="24"/>
          <w:szCs w:val="24"/>
        </w:rPr>
        <w:t xml:space="preserve">, </w:t>
      </w:r>
      <w:r w:rsidRPr="003E5045">
        <w:rPr>
          <w:rFonts w:ascii="Times New Roman" w:hAnsi="Times New Roman"/>
          <w:b/>
          <w:sz w:val="24"/>
          <w:szCs w:val="24"/>
        </w:rPr>
        <w:t xml:space="preserve">Mandatory Reliability Standards: </w:t>
      </w:r>
      <w:r>
        <w:rPr>
          <w:rFonts w:ascii="Times New Roman" w:hAnsi="Times New Roman"/>
          <w:b/>
          <w:sz w:val="24"/>
          <w:szCs w:val="24"/>
        </w:rPr>
        <w:t>Voltage and Reactive (VAR) Standards</w:t>
      </w:r>
    </w:p>
    <w:p w:rsidR="003B3B61" w:rsidP="003B3B61"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14:paraId="4E036854" w14:textId="77777777">
      <w:pPr>
        <w:spacing w:after="0"/>
        <w:rPr>
          <w:rFonts w:ascii="Times New Roman" w:hAnsi="Times New Roman" w:cs="Times New Roman"/>
          <w:sz w:val="24"/>
          <w:szCs w:val="24"/>
        </w:rPr>
      </w:pPr>
    </w:p>
    <w:p w:rsidR="00546870" w:rsidP="00546870" w14:paraId="56B41986" w14:textId="16AAF6B8">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640365">
        <w:rPr>
          <w:rFonts w:ascii="Times New Roman" w:hAnsi="Times New Roman" w:cs="Times New Roman"/>
          <w:sz w:val="24"/>
          <w:szCs w:val="24"/>
        </w:rPr>
        <w:t>FERC-725X</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640365">
        <w:rPr>
          <w:rFonts w:ascii="Times New Roman" w:hAnsi="Times New Roman" w:cs="Times New Roman"/>
          <w:sz w:val="24"/>
          <w:szCs w:val="24"/>
        </w:rPr>
        <w:t>der OMB Control No. 1902-0278</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Pr>
          <w:rFonts w:ascii="Times New Roman" w:hAnsi="Times New Roman" w:cs="Times New Roman"/>
          <w:sz w:val="24"/>
          <w:szCs w:val="24"/>
        </w:rPr>
        <w:t>of the FERC-725</w:t>
      </w:r>
      <w:r w:rsidR="00640365">
        <w:rPr>
          <w:rFonts w:ascii="Times New Roman" w:hAnsi="Times New Roman" w:cs="Times New Roman"/>
          <w:sz w:val="24"/>
          <w:szCs w:val="24"/>
        </w:rPr>
        <w:t>X</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640365">
        <w:rPr>
          <w:rFonts w:ascii="Times New Roman" w:hAnsi="Times New Roman" w:cs="Times New Roman"/>
          <w:sz w:val="24"/>
          <w:szCs w:val="24"/>
        </w:rPr>
        <w:t>ng requirements in the FERC-725X</w:t>
      </w:r>
      <w:r>
        <w:rPr>
          <w:rFonts w:ascii="Times New Roman" w:hAnsi="Times New Roman" w:cs="Times New Roman"/>
          <w:sz w:val="24"/>
          <w:szCs w:val="24"/>
        </w:rPr>
        <w:t xml:space="preserve"> are also contained in FERC’s regulations in 18 Code of Federal Regulations (CFR) Part 40.</w:t>
      </w:r>
    </w:p>
    <w:p w:rsidR="0002242D" w:rsidP="00FD66F1" w14:paraId="3418B643" w14:textId="3292E231">
      <w:pPr>
        <w:spacing w:after="0"/>
        <w:rPr>
          <w:rFonts w:ascii="Times New Roman" w:hAnsi="Times New Roman" w:cs="Times New Roman"/>
          <w:sz w:val="24"/>
          <w:szCs w:val="24"/>
        </w:rPr>
      </w:pPr>
    </w:p>
    <w:p w:rsidR="00A72E7B" w:rsidRPr="00EB3E6F" w:rsidP="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EB3E6F" w14:paraId="489129EB" w14:textId="77777777">
      <w:pPr>
        <w:spacing w:after="0"/>
        <w:rPr>
          <w:rFonts w:ascii="Times New Roman" w:hAnsi="Times New Roman" w:cs="Times New Roman"/>
          <w:sz w:val="24"/>
          <w:szCs w:val="24"/>
        </w:rPr>
      </w:pPr>
    </w:p>
    <w:p w:rsidR="0000761B" w:rsidRPr="00A44AE9" w:rsidP="0000761B" w14:paraId="79B20183" w14:textId="77777777">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Pr>
          <w:rStyle w:val="FootnoteReference"/>
          <w:rFonts w:ascii="Times New Roman" w:hAnsi="Times New Roman" w:cs="Times New Roman"/>
          <w:sz w:val="24"/>
          <w:szCs w:val="24"/>
          <w:vertAlign w:val="superscript"/>
        </w:rPr>
        <w:footnoteReference w:id="2"/>
      </w:r>
    </w:p>
    <w:p w:rsidR="00EB3E6F" w:rsidRPr="00EB3E6F" w:rsidP="00EB3E6F" w14:paraId="41C0BFB7" w14:textId="77777777">
      <w:pPr>
        <w:spacing w:after="0"/>
        <w:rPr>
          <w:rFonts w:ascii="Times New Roman" w:hAnsi="Times New Roman" w:cs="Times New Roman"/>
          <w:sz w:val="24"/>
          <w:szCs w:val="24"/>
        </w:rPr>
      </w:pPr>
    </w:p>
    <w:p w:rsidR="00A72E7B" w:rsidRPr="00EB3E6F" w:rsidP="00A72E7B"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14:paraId="070BEF3D" w14:textId="77777777">
      <w:pPr>
        <w:spacing w:after="0"/>
        <w:rPr>
          <w:rFonts w:ascii="Times New Roman" w:hAnsi="Times New Roman" w:cs="Times New Roman"/>
          <w:sz w:val="24"/>
          <w:szCs w:val="24"/>
        </w:rPr>
      </w:pPr>
    </w:p>
    <w:p w:rsidR="00756810" w:rsidP="004276A5" w14:paraId="0875DB34" w14:textId="758CE6C5">
      <w:pPr>
        <w:spacing w:after="0"/>
        <w:rPr>
          <w:rFonts w:ascii="Times New Roman" w:hAnsi="Times New Roman" w:cs="Times New Roman"/>
          <w:sz w:val="24"/>
          <w:szCs w:val="24"/>
        </w:rPr>
      </w:pPr>
      <w:r>
        <w:rPr>
          <w:rFonts w:ascii="Times New Roman" w:hAnsi="Times New Roman" w:cs="Times New Roman"/>
          <w:sz w:val="24"/>
          <w:szCs w:val="24"/>
        </w:rPr>
        <w:t>The Commission approved Reliability Standards VAR-001-4 and VAR-002-3 in the order in Docket No. RD14-11-000</w:t>
      </w:r>
      <w:r>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w:t>
      </w:r>
      <w:r w:rsidR="00DE0976">
        <w:rPr>
          <w:rFonts w:ascii="Times New Roman" w:hAnsi="Times New Roman" w:cs="Times New Roman"/>
          <w:sz w:val="24"/>
          <w:szCs w:val="24"/>
        </w:rPr>
        <w:t xml:space="preserve">Reliability Standard </w:t>
      </w:r>
      <w:r>
        <w:rPr>
          <w:rFonts w:ascii="Times New Roman" w:hAnsi="Times New Roman" w:cs="Times New Roman"/>
          <w:sz w:val="24"/>
          <w:szCs w:val="24"/>
        </w:rPr>
        <w:t xml:space="preserve">VAR-001-4 was revised </w:t>
      </w:r>
      <w:r w:rsidR="00DE0976">
        <w:rPr>
          <w:rFonts w:ascii="Times New Roman" w:hAnsi="Times New Roman" w:cs="Times New Roman"/>
          <w:sz w:val="24"/>
          <w:szCs w:val="24"/>
        </w:rPr>
        <w:t>by two errata notices approved by the Commission</w:t>
      </w:r>
      <w:r>
        <w:rPr>
          <w:rStyle w:val="FootnoteReference"/>
          <w:rFonts w:ascii="Times New Roman" w:hAnsi="Times New Roman" w:cs="Times New Roman"/>
          <w:sz w:val="24"/>
          <w:szCs w:val="24"/>
          <w:vertAlign w:val="superscript"/>
        </w:rPr>
        <w:footnoteReference w:id="4"/>
      </w:r>
      <w:r w:rsidR="00DE0976">
        <w:rPr>
          <w:rFonts w:ascii="Times New Roman" w:hAnsi="Times New Roman" w:cs="Times New Roman"/>
          <w:sz w:val="24"/>
          <w:szCs w:val="24"/>
        </w:rPr>
        <w:t xml:space="preserve">.  Reliability Standard VAR-002-3 was revised into VAR-002-4 in the Order in Docket No. RD15-3-000.  The revision updated the applicability language in </w:t>
      </w:r>
      <w:r w:rsidR="00DE0976">
        <w:rPr>
          <w:rFonts w:ascii="Times New Roman" w:hAnsi="Times New Roman" w:cs="Times New Roman"/>
          <w:sz w:val="24"/>
          <w:szCs w:val="24"/>
        </w:rPr>
        <w:t>provisions related to generation owners and generation operators of “any resources identified through inclusion I4 of the bulk electric system definition”</w:t>
      </w:r>
      <w:r>
        <w:rPr>
          <w:rStyle w:val="FootnoteReference"/>
          <w:rFonts w:ascii="Times New Roman" w:hAnsi="Times New Roman" w:cs="Times New Roman"/>
          <w:sz w:val="24"/>
          <w:szCs w:val="24"/>
          <w:vertAlign w:val="superscript"/>
        </w:rPr>
        <w:footnoteReference w:id="5"/>
      </w:r>
      <w:r w:rsidR="00DE0976">
        <w:rPr>
          <w:rFonts w:ascii="Times New Roman" w:hAnsi="Times New Roman" w:cs="Times New Roman"/>
          <w:sz w:val="24"/>
          <w:szCs w:val="24"/>
        </w:rPr>
        <w:t>.</w:t>
      </w:r>
    </w:p>
    <w:p w:rsidR="00640365" w:rsidRPr="003E5045" w:rsidP="00640365" w14:paraId="0660A699" w14:textId="77777777">
      <w:pPr>
        <w:spacing w:after="0" w:line="240" w:lineRule="auto"/>
        <w:rPr>
          <w:rFonts w:ascii="Times New Roman" w:hAnsi="Times New Roman" w:cs="Times New Roman"/>
          <w:sz w:val="24"/>
          <w:szCs w:val="24"/>
        </w:rPr>
      </w:pPr>
    </w:p>
    <w:p w:rsidR="00640365" w:rsidP="00640365" w14:paraId="44E3FABF" w14:textId="2DAB29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the following paragraphs describe the information collection requirements contained in this collection.  Each Reliability Standard requirement is accompanied by a compliance measure which requires the applicable entity to have evidence that it complied with the requirement.  </w:t>
      </w:r>
      <w:r w:rsidR="00B51D20">
        <w:rPr>
          <w:rFonts w:ascii="Times New Roman" w:hAnsi="Times New Roman" w:cs="Times New Roman"/>
          <w:sz w:val="24"/>
          <w:szCs w:val="24"/>
        </w:rPr>
        <w:t>Each Reliability Standard is</w:t>
      </w:r>
      <w:r>
        <w:rPr>
          <w:rFonts w:ascii="Times New Roman" w:hAnsi="Times New Roman" w:cs="Times New Roman"/>
          <w:sz w:val="24"/>
          <w:szCs w:val="24"/>
        </w:rPr>
        <w:t xml:space="preserve"> included as supplemental documents to this</w:t>
      </w:r>
      <w:r w:rsidR="00B51D20">
        <w:rPr>
          <w:rFonts w:ascii="Times New Roman" w:hAnsi="Times New Roman" w:cs="Times New Roman"/>
          <w:sz w:val="24"/>
          <w:szCs w:val="24"/>
        </w:rPr>
        <w:t xml:space="preserve"> extension request.</w:t>
      </w:r>
    </w:p>
    <w:p w:rsidR="00640365" w:rsidP="00640365" w14:paraId="79174FF1" w14:textId="77777777">
      <w:pPr>
        <w:spacing w:after="0" w:line="240" w:lineRule="auto"/>
        <w:rPr>
          <w:rFonts w:ascii="Times New Roman" w:hAnsi="Times New Roman" w:cs="Times New Roman"/>
          <w:sz w:val="24"/>
          <w:szCs w:val="24"/>
        </w:rPr>
      </w:pPr>
    </w:p>
    <w:p w:rsidR="00B51D20" w:rsidP="00640365" w14:paraId="1A51190E" w14:textId="7503B5EF">
      <w:pPr>
        <w:pStyle w:val="Default"/>
        <w:rPr>
          <w:b/>
        </w:rPr>
      </w:pPr>
      <w:r w:rsidRPr="001C1D2F">
        <w:rPr>
          <w:b/>
        </w:rPr>
        <w:t>Reliability Standard VAR-001-</w:t>
      </w:r>
      <w:r w:rsidR="00C67F82">
        <w:rPr>
          <w:b/>
        </w:rPr>
        <w:t>5</w:t>
      </w:r>
    </w:p>
    <w:p w:rsidR="00B51D20" w:rsidP="00B51D20" w14:paraId="4DAD7575" w14:textId="31826F90">
      <w:pPr>
        <w:pStyle w:val="Default"/>
      </w:pPr>
      <w:r>
        <w:t>Reliability Standard VAR-001-</w:t>
      </w:r>
      <w:r w:rsidR="00C67F82">
        <w:t>5</w:t>
      </w:r>
      <w:r w:rsidRPr="001C1D2F" w:rsidR="00640365">
        <w:t xml:space="preserve"> requires</w:t>
      </w:r>
      <w:r>
        <w:t xml:space="preserve"> each Transmission Operator to:</w:t>
      </w:r>
    </w:p>
    <w:p w:rsidR="00B51D20" w:rsidP="00B51D20" w14:paraId="39BF6C35" w14:textId="6953B70B">
      <w:pPr>
        <w:pStyle w:val="Default"/>
        <w:numPr>
          <w:ilvl w:val="0"/>
          <w:numId w:val="15"/>
        </w:numPr>
      </w:pPr>
      <w:r w:rsidRPr="001C1D2F">
        <w:t>Specify a system-wide voltage schedule (which is either a range or a target value with an associated tolerance band) as part of its plan to operate within SOLs and IROLs, and to provide the voltage schedule to its Reliability Coordinator and adjacent Transmission Operators</w:t>
      </w:r>
      <w:r>
        <w:t xml:space="preserve"> upon request (Requirement R1);</w:t>
      </w:r>
    </w:p>
    <w:p w:rsidR="00E65419" w:rsidP="00B51D20" w14:paraId="4BA208C5" w14:textId="6D0AFF58">
      <w:pPr>
        <w:pStyle w:val="Default"/>
        <w:numPr>
          <w:ilvl w:val="0"/>
          <w:numId w:val="15"/>
        </w:numPr>
      </w:pPr>
      <w:r w:rsidRPr="00E65419">
        <w:t>Each Transmission Operator shall schedule sufficient reactive resources to regulate voltage levels under normal and Contingency conditions. Transmission Operators can provide sufficient reactive resources through various means including, but not limited to, reactive generation scheduling, transmission line and reactive resource switching, and using controllable load.</w:t>
      </w:r>
      <w:r w:rsidR="00CC5689">
        <w:t xml:space="preserve"> (Requirement R2)</w:t>
      </w:r>
    </w:p>
    <w:p w:rsidR="00B51D20" w:rsidP="00640365" w14:paraId="000062EC" w14:textId="4EA9DE1A">
      <w:pPr>
        <w:pStyle w:val="Default"/>
        <w:numPr>
          <w:ilvl w:val="0"/>
          <w:numId w:val="15"/>
        </w:numPr>
      </w:pPr>
      <w:r w:rsidRPr="00E65419">
        <w:t xml:space="preserve">Similar to Requirement R2, the VAR SDT determined that for reliability purposes, the </w:t>
      </w:r>
      <w:r>
        <w:t>Transmission Operator</w:t>
      </w:r>
      <w:r w:rsidRPr="00E65419">
        <w:t xml:space="preserve"> must ensure sufficient voltage support is provided in Real-time in order to operate within an SOL</w:t>
      </w:r>
      <w:r>
        <w:t xml:space="preserve">. </w:t>
      </w:r>
      <w:r w:rsidRPr="001C1D2F" w:rsidR="00640365">
        <w:t>Develop a set of criteria to exempt generators from certain requirements unde</w:t>
      </w:r>
      <w:r w:rsidR="009276A9">
        <w:t>r Reliability Standard VAR-002-4.1</w:t>
      </w:r>
      <w:r w:rsidRPr="001C1D2F" w:rsidR="00640365">
        <w:t xml:space="preserve"> related to voltage or Reactive Power schedules, automatic voltage regulations, and</w:t>
      </w:r>
      <w:r>
        <w:t xml:space="preserve"> notification (Requirement R4);</w:t>
      </w:r>
    </w:p>
    <w:p w:rsidR="00B51D20" w:rsidP="00640365" w14:paraId="7C0407F3" w14:textId="4E089FB3">
      <w:pPr>
        <w:pStyle w:val="Default"/>
        <w:numPr>
          <w:ilvl w:val="0"/>
          <w:numId w:val="15"/>
        </w:numPr>
      </w:pPr>
      <w:r w:rsidRPr="001C1D2F">
        <w:t>Specify a voltage or Reactive Power schedule (which is either a range or a target value with an associated tolerance band) for generators at either the high or low voltage side of the generator step-up transformer</w:t>
      </w:r>
      <w:r w:rsidR="004C55C0">
        <w:t xml:space="preserve"> and</w:t>
      </w:r>
      <w:r w:rsidRPr="001C1D2F">
        <w:t xml:space="preserve"> provide the schedule to the associated Generator Operator, provide the Generator Operator the notification requirements for deviating from the schedule, and, if requested, provide the Generator Operator the criteria used to develop the schedule (Requirement R5); and</w:t>
      </w:r>
    </w:p>
    <w:p w:rsidR="00640365" w:rsidRPr="00B51D20" w:rsidP="00640365" w14:paraId="55AFE510" w14:textId="41B1E00D">
      <w:pPr>
        <w:pStyle w:val="Default"/>
        <w:numPr>
          <w:ilvl w:val="0"/>
          <w:numId w:val="15"/>
        </w:numPr>
      </w:pPr>
      <w:r w:rsidRPr="00B51D20">
        <w:t xml:space="preserve">Communicate step-up transformer tap changes, the time frame for completion, and the justification for these changes to Generator Owners (Requirement R6). </w:t>
      </w:r>
    </w:p>
    <w:p w:rsidR="00640365" w:rsidRPr="001C1D2F" w:rsidP="00640365" w14:paraId="57F3834F" w14:textId="77777777">
      <w:pPr>
        <w:spacing w:after="0" w:line="240" w:lineRule="auto"/>
        <w:rPr>
          <w:rFonts w:ascii="Times New Roman" w:hAnsi="Times New Roman" w:cs="Times New Roman"/>
          <w:sz w:val="24"/>
          <w:szCs w:val="24"/>
        </w:rPr>
      </w:pPr>
    </w:p>
    <w:p w:rsidR="00B51D20" w:rsidP="00640365" w14:paraId="5FED266A" w14:textId="2E171DA2">
      <w:pPr>
        <w:pStyle w:val="Default"/>
        <w:rPr>
          <w:b/>
        </w:rPr>
      </w:pPr>
      <w:r>
        <w:rPr>
          <w:b/>
        </w:rPr>
        <w:t>Reliability Standard VAR-002-4.1</w:t>
      </w:r>
    </w:p>
    <w:p w:rsidR="00B51D20" w:rsidP="00B51D20" w14:paraId="2AFEEBD3" w14:textId="697256B6">
      <w:pPr>
        <w:pStyle w:val="Default"/>
      </w:pPr>
      <w:r>
        <w:t>Reliability Standard VAR-002-4.1</w:t>
      </w:r>
      <w:r w:rsidRPr="001C1D2F" w:rsidR="00640365">
        <w:t xml:space="preserve"> requires each Generator Operator to:</w:t>
      </w:r>
    </w:p>
    <w:p w:rsidR="00937334" w:rsidP="00B51D20" w14:paraId="56F56140" w14:textId="77777777">
      <w:pPr>
        <w:pStyle w:val="Default"/>
        <w:numPr>
          <w:ilvl w:val="0"/>
          <w:numId w:val="16"/>
        </w:numPr>
      </w:pPr>
      <w:r w:rsidRPr="001C1D2F">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VAR-001-4</w:t>
      </w:r>
      <w:r w:rsidR="009276A9">
        <w:t>.1</w:t>
      </w:r>
      <w:r w:rsidRPr="001C1D2F">
        <w:t>, Requirement R4, or (2) makes certain notifications to the Transmission Operator specifying the reasons it cann</w:t>
      </w:r>
      <w:r w:rsidR="00B51D20">
        <w:t>ot so operate (Requirement R1);</w:t>
      </w:r>
    </w:p>
    <w:p w:rsidR="00B51D20" w:rsidP="00B51D20" w14:paraId="633D706A" w14:textId="3BE36B72">
      <w:pPr>
        <w:pStyle w:val="Default"/>
        <w:numPr>
          <w:ilvl w:val="0"/>
          <w:numId w:val="16"/>
        </w:numPr>
      </w:pPr>
      <w:r w:rsidRPr="001C1D2F">
        <w:t>Maintain the Transmission Operator’s generator voltage or Reactive Power schedule, unless the Generator Operator (1) is exempted pursuant to the criteria developed under VAR-001-4</w:t>
      </w:r>
      <w:r w:rsidR="009276A9">
        <w:t>.2</w:t>
      </w:r>
      <w:r w:rsidRPr="001C1D2F">
        <w:t>, Requirement R4, or (2) complies with the notification requirements for deviations as established by the Transmission Owner pursuant to VAR-001-4</w:t>
      </w:r>
      <w:r w:rsidR="009276A9">
        <w:t>.2</w:t>
      </w:r>
      <w:r w:rsidRPr="001C1D2F">
        <w:t>, Requ</w:t>
      </w:r>
      <w:r>
        <w:t>irement R5 (Requirement R2);</w:t>
      </w:r>
    </w:p>
    <w:p w:rsidR="000A49C8" w:rsidP="00640365" w14:paraId="3FBFE63E" w14:textId="77777777">
      <w:pPr>
        <w:pStyle w:val="Default"/>
        <w:numPr>
          <w:ilvl w:val="0"/>
          <w:numId w:val="16"/>
        </w:numPr>
      </w:pPr>
      <w:r w:rsidRPr="001C1D2F">
        <w:t>Notify the Transmission Operator of a change in status of its voltage controlling device within 30 minutes, unless the status is restored within that ti</w:t>
      </w:r>
      <w:r>
        <w:t>me period (Requirement R3);</w:t>
      </w:r>
    </w:p>
    <w:p w:rsidR="000A49C8" w:rsidP="000A49C8" w14:paraId="7C5892CA" w14:textId="65049814">
      <w:pPr>
        <w:pStyle w:val="Default"/>
        <w:numPr>
          <w:ilvl w:val="0"/>
          <w:numId w:val="16"/>
        </w:numPr>
      </w:pPr>
      <w:r w:rsidRPr="001C1D2F">
        <w:t>Notify the Transmission Operator of a change in reactive capability due to factors other t</w:t>
      </w:r>
      <w:r w:rsidR="009276A9">
        <w:t>han those described in VAR-002-4.1</w:t>
      </w:r>
      <w:r w:rsidRPr="001C1D2F">
        <w:t>, Requirement R3 within 30 minutes unless the capability has been restored during tha</w:t>
      </w:r>
      <w:r>
        <w:t>t time period (Requirement R4);</w:t>
      </w:r>
    </w:p>
    <w:p w:rsidR="00937334" w:rsidP="00640365" w14:paraId="1E7DEBEB" w14:textId="1E9DD0F4">
      <w:pPr>
        <w:pStyle w:val="Default"/>
        <w:numPr>
          <w:ilvl w:val="0"/>
          <w:numId w:val="16"/>
        </w:numPr>
      </w:pPr>
      <w:r w:rsidRPr="001C1D2F">
        <w:t>Provide information on its step-up transformers and auxiliary transformers within 30 days of a request from the Transmission Operator or Transmissio</w:t>
      </w:r>
      <w:r w:rsidR="000A49C8">
        <w:t>n Planner (Requirement R5); and</w:t>
      </w:r>
    </w:p>
    <w:p w:rsidR="000D6FBE" w:rsidP="00FD3669" w14:paraId="4683B0AA" w14:textId="1C567333">
      <w:pPr>
        <w:pStyle w:val="Default"/>
        <w:numPr>
          <w:ilvl w:val="0"/>
          <w:numId w:val="16"/>
        </w:numPr>
      </w:pPr>
      <w:r w:rsidRPr="001C1D2F">
        <w:t xml:space="preserve">Comply with the Transmission Operator’s step-up transformer tap change directives unless compliance would violate safety, an equipment rating, or applicable laws, </w:t>
      </w:r>
      <w:r w:rsidRPr="001C1D2F" w:rsidR="00FD3669">
        <w:t>rules,</w:t>
      </w:r>
      <w:r w:rsidRPr="001C1D2F">
        <w:t xml:space="preserve"> or regulations (Requirement R6). </w:t>
      </w:r>
    </w:p>
    <w:p w:rsidR="00BF2DB7" w:rsidRPr="00EB3E6F" w:rsidP="00BF2DB7" w14:paraId="129301E5" w14:textId="77777777">
      <w:pPr>
        <w:pStyle w:val="Default"/>
        <w:ind w:left="720"/>
      </w:pPr>
    </w:p>
    <w:p w:rsidR="00EB3E6F" w:rsidRPr="00EB3E6F" w:rsidP="00A72E7B"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14:paraId="3DE42D36" w14:textId="77777777">
      <w:pPr>
        <w:spacing w:after="0"/>
        <w:rPr>
          <w:rFonts w:ascii="Times New Roman" w:hAnsi="Times New Roman" w:cs="Times New Roman"/>
          <w:sz w:val="24"/>
          <w:szCs w:val="24"/>
        </w:rPr>
      </w:pPr>
    </w:p>
    <w:p w:rsidR="00D43F0E" w:rsidP="00D43F0E" w14:paraId="5F4E1DCA" w14:textId="5F4ACEBF">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0A49C8">
        <w:rPr>
          <w:rFonts w:ascii="Times New Roman" w:hAnsi="Times New Roman" w:cs="Times New Roman"/>
          <w:sz w:val="24"/>
          <w:szCs w:val="24"/>
        </w:rPr>
        <w:t>FERC-725X</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rsidR="00D43F0E" w:rsidP="00D43F0E" w14:paraId="52D9AB71" w14:textId="77777777">
      <w:pPr>
        <w:spacing w:after="0"/>
        <w:ind w:firstLine="360"/>
        <w:rPr>
          <w:rFonts w:ascii="Times New Roman" w:hAnsi="Times New Roman" w:cs="Times New Roman"/>
          <w:sz w:val="24"/>
          <w:szCs w:val="24"/>
        </w:rPr>
      </w:pPr>
    </w:p>
    <w:p w:rsidR="00D43F0E" w:rsidRPr="00A44AE9" w:rsidP="00D43F0E" w14:paraId="0392FED2" w14:textId="77777777">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rsidR="00466C57" w:rsidRPr="00EB3E6F" w:rsidP="00EB3E6F" w14:paraId="2AA4616C" w14:textId="77777777">
      <w:pPr>
        <w:spacing w:after="0"/>
        <w:rPr>
          <w:rFonts w:ascii="Times New Roman" w:hAnsi="Times New Roman" w:cs="Times New Roman"/>
          <w:sz w:val="24"/>
          <w:szCs w:val="24"/>
        </w:rPr>
      </w:pPr>
    </w:p>
    <w:p w:rsidR="00EB3E6F" w:rsidRPr="00EB3E6F" w:rsidP="00A72E7B"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79379D3A" w14:textId="77777777">
      <w:pPr>
        <w:spacing w:after="0"/>
        <w:rPr>
          <w:rFonts w:ascii="Times New Roman" w:hAnsi="Times New Roman" w:cs="Times New Roman"/>
          <w:sz w:val="24"/>
          <w:szCs w:val="24"/>
        </w:rPr>
      </w:pPr>
    </w:p>
    <w:p w:rsidR="00D43F0E" w:rsidRPr="00A44AE9" w:rsidP="00D43F0E" w14:paraId="2FB02FDA"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The Commission is unaware of any other source of information related to bulk-electric system physical security.</w:t>
      </w:r>
    </w:p>
    <w:p w:rsidR="00466C57" w:rsidRPr="00EB3E6F" w:rsidP="00EB3E6F" w14:paraId="0802EA7E" w14:textId="77777777">
      <w:pPr>
        <w:spacing w:after="0"/>
        <w:rPr>
          <w:rFonts w:ascii="Times New Roman" w:hAnsi="Times New Roman" w:cs="Times New Roman"/>
          <w:sz w:val="24"/>
          <w:szCs w:val="24"/>
        </w:rPr>
      </w:pPr>
    </w:p>
    <w:p w:rsidR="00EB3E6F" w:rsidRPr="00EB3E6F" w:rsidP="00A72E7B"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14:paraId="2C2C6A43" w14:textId="77777777">
      <w:pPr>
        <w:spacing w:after="0"/>
        <w:rPr>
          <w:rFonts w:ascii="Times New Roman" w:hAnsi="Times New Roman" w:cs="Times New Roman"/>
          <w:sz w:val="24"/>
          <w:szCs w:val="24"/>
        </w:rPr>
      </w:pPr>
    </w:p>
    <w:p w:rsidR="00D43F0E" w:rsidRPr="00A44AE9" w:rsidP="00D43F0E" w14:paraId="07808E18" w14:textId="3AE4464D">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00E557B9">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6"/>
      </w:r>
    </w:p>
    <w:p w:rsidR="001348AC" w:rsidRPr="00EB3E6F" w:rsidP="00EB3E6F" w14:paraId="6313B5C9" w14:textId="77777777">
      <w:pPr>
        <w:spacing w:after="0"/>
        <w:rPr>
          <w:rFonts w:ascii="Times New Roman" w:hAnsi="Times New Roman" w:cs="Times New Roman"/>
          <w:sz w:val="24"/>
          <w:szCs w:val="24"/>
        </w:rPr>
      </w:pPr>
    </w:p>
    <w:p w:rsidR="00EB3E6F" w:rsidRPr="00D80FBD" w:rsidP="00A72E7B" w14:paraId="0631BAC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14:paraId="3CD67D0B" w14:textId="77777777">
      <w:pPr>
        <w:spacing w:after="0"/>
        <w:rPr>
          <w:rFonts w:ascii="Times New Roman" w:hAnsi="Times New Roman" w:cs="Times New Roman"/>
          <w:sz w:val="24"/>
          <w:szCs w:val="24"/>
        </w:rPr>
      </w:pPr>
    </w:p>
    <w:p w:rsidR="00CF759C" w:rsidP="00EB3E6F" w14:paraId="0B87DD4D" w14:textId="24394F75">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C5589B">
        <w:rPr>
          <w:rFonts w:ascii="Times New Roman" w:hAnsi="Times New Roman" w:cs="Times New Roman"/>
          <w:sz w:val="24"/>
          <w:szCs w:val="24"/>
        </w:rPr>
        <w:t xml:space="preserve">, additional not having information readily available or </w:t>
      </w:r>
      <w:r w:rsidR="00FD71DF">
        <w:rPr>
          <w:rFonts w:ascii="Times New Roman" w:hAnsi="Times New Roman" w:cs="Times New Roman"/>
          <w:sz w:val="24"/>
          <w:szCs w:val="24"/>
        </w:rPr>
        <w:t>im</w:t>
      </w:r>
      <w:r w:rsidR="00C5589B">
        <w:rPr>
          <w:rFonts w:ascii="Times New Roman" w:hAnsi="Times New Roman" w:cs="Times New Roman"/>
          <w:sz w:val="24"/>
          <w:szCs w:val="24"/>
        </w:rPr>
        <w:t>properly scheduling voltage could lead</w:t>
      </w:r>
      <w:r w:rsidR="00977684">
        <w:rPr>
          <w:rFonts w:ascii="Times New Roman" w:hAnsi="Times New Roman" w:cs="Times New Roman"/>
          <w:sz w:val="24"/>
          <w:szCs w:val="24"/>
        </w:rPr>
        <w:t xml:space="preserve"> adversely impact the reliability of the BES</w:t>
      </w:r>
      <w:r w:rsidR="00297631">
        <w:rPr>
          <w:rFonts w:ascii="Times New Roman" w:hAnsi="Times New Roman" w:cs="Times New Roman"/>
          <w:sz w:val="24"/>
          <w:szCs w:val="24"/>
        </w:rPr>
        <w:t>.</w:t>
      </w:r>
      <w:r w:rsidR="00FD71DF">
        <w:rPr>
          <w:rFonts w:ascii="Times New Roman" w:hAnsi="Times New Roman" w:cs="Times New Roman"/>
          <w:sz w:val="24"/>
          <w:szCs w:val="24"/>
        </w:rPr>
        <w:t xml:space="preserve">  </w:t>
      </w:r>
    </w:p>
    <w:p w:rsidR="00FD71DF" w:rsidP="00EB3E6F" w14:paraId="45AA0130" w14:textId="25FC656E">
      <w:pPr>
        <w:spacing w:after="0"/>
        <w:rPr>
          <w:rFonts w:ascii="Times New Roman" w:hAnsi="Times New Roman" w:cs="Times New Roman"/>
          <w:sz w:val="24"/>
          <w:szCs w:val="24"/>
        </w:rPr>
      </w:pPr>
    </w:p>
    <w:p w:rsidR="00FD71DF" w:rsidRPr="00FD71DF" w:rsidP="00FD71DF" w14:paraId="0ED152FD" w14:textId="16FB1584">
      <w:pPr>
        <w:spacing w:after="0"/>
        <w:rPr>
          <w:rFonts w:ascii="Times New Roman" w:hAnsi="Times New Roman" w:cs="Times New Roman"/>
          <w:sz w:val="24"/>
          <w:szCs w:val="24"/>
        </w:rPr>
      </w:pPr>
      <w:r w:rsidRPr="00FD71DF">
        <w:rPr>
          <w:rFonts w:ascii="Times New Roman" w:hAnsi="Times New Roman" w:cs="Times New Roman"/>
          <w:sz w:val="24"/>
          <w:szCs w:val="24"/>
        </w:rPr>
        <w:t xml:space="preserve">For these VAR standards there is not a specific frequency of collection rather it is a constant flow of information.  Between the entities they share information often through SCADA (supervisory control and data acquisition) or email communication. </w:t>
      </w:r>
      <w:r>
        <w:rPr>
          <w:rFonts w:ascii="Times New Roman" w:hAnsi="Times New Roman" w:cs="Times New Roman"/>
          <w:sz w:val="24"/>
          <w:szCs w:val="24"/>
        </w:rPr>
        <w:t xml:space="preserve"> </w:t>
      </w:r>
      <w:r w:rsidRPr="00FD71DF">
        <w:rPr>
          <w:rFonts w:ascii="Times New Roman" w:hAnsi="Times New Roman" w:cs="Times New Roman"/>
          <w:sz w:val="24"/>
          <w:szCs w:val="24"/>
        </w:rPr>
        <w:t>Sharing of information is accomplished in real-time to operate the BES and in other instances it may consist of specific requests.  The represent</w:t>
      </w:r>
      <w:r>
        <w:rPr>
          <w:rFonts w:ascii="Times New Roman" w:hAnsi="Times New Roman" w:cs="Times New Roman"/>
          <w:sz w:val="24"/>
          <w:szCs w:val="24"/>
        </w:rPr>
        <w:t>s</w:t>
      </w:r>
      <w:r w:rsidRPr="00FD71DF">
        <w:rPr>
          <w:rFonts w:ascii="Times New Roman" w:hAnsi="Times New Roman" w:cs="Times New Roman"/>
          <w:sz w:val="24"/>
          <w:szCs w:val="24"/>
        </w:rPr>
        <w:t xml:space="preserve"> the collective effort of the entities to be responsive to the </w:t>
      </w:r>
      <w:r>
        <w:rPr>
          <w:rFonts w:ascii="Times New Roman" w:hAnsi="Times New Roman" w:cs="Times New Roman"/>
          <w:sz w:val="24"/>
          <w:szCs w:val="24"/>
        </w:rPr>
        <w:t>R</w:t>
      </w:r>
      <w:r w:rsidRPr="00FD71DF">
        <w:rPr>
          <w:rFonts w:ascii="Times New Roman" w:hAnsi="Times New Roman" w:cs="Times New Roman"/>
          <w:sz w:val="24"/>
          <w:szCs w:val="24"/>
        </w:rPr>
        <w:t xml:space="preserve">equirements of </w:t>
      </w:r>
      <w:r>
        <w:rPr>
          <w:rFonts w:ascii="Times New Roman" w:hAnsi="Times New Roman" w:cs="Times New Roman"/>
          <w:sz w:val="24"/>
          <w:szCs w:val="24"/>
        </w:rPr>
        <w:t>the VAR S</w:t>
      </w:r>
      <w:r w:rsidRPr="00FD71DF">
        <w:rPr>
          <w:rFonts w:ascii="Times New Roman" w:hAnsi="Times New Roman" w:cs="Times New Roman"/>
          <w:sz w:val="24"/>
          <w:szCs w:val="24"/>
        </w:rPr>
        <w:t>tandards and operate the BES in a reliable manner, so it is shown as one response per year.</w:t>
      </w:r>
    </w:p>
    <w:p w:rsidR="00297631" w:rsidRPr="00EB3E6F" w:rsidP="00EB3E6F" w14:paraId="76417F54" w14:textId="77777777">
      <w:pPr>
        <w:spacing w:after="0"/>
        <w:rPr>
          <w:rFonts w:ascii="Times New Roman" w:hAnsi="Times New Roman" w:cs="Times New Roman"/>
          <w:sz w:val="24"/>
          <w:szCs w:val="24"/>
        </w:rPr>
      </w:pPr>
    </w:p>
    <w:p w:rsidR="00EB3E6F" w:rsidRPr="00D80FBD" w:rsidP="00A72E7B"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14:paraId="3235B8A1" w14:textId="77777777">
      <w:pPr>
        <w:spacing w:after="0"/>
        <w:rPr>
          <w:rFonts w:ascii="Times New Roman" w:hAnsi="Times New Roman" w:cs="Times New Roman"/>
          <w:sz w:val="24"/>
          <w:szCs w:val="24"/>
        </w:rPr>
      </w:pPr>
    </w:p>
    <w:p w:rsidR="00EB3E6F" w:rsidP="00EB3E6F" w14:paraId="51F8D074" w14:textId="6A8E8314">
      <w:pPr>
        <w:spacing w:after="0"/>
        <w:rPr>
          <w:rFonts w:ascii="Times New Roman" w:hAnsi="Times New Roman" w:cs="Times New Roman"/>
          <w:sz w:val="24"/>
          <w:szCs w:val="24"/>
        </w:rPr>
      </w:pPr>
      <w:r>
        <w:rPr>
          <w:rFonts w:ascii="Times New Roman" w:hAnsi="Times New Roman" w:cs="Times New Roman"/>
          <w:sz w:val="24"/>
          <w:szCs w:val="24"/>
        </w:rPr>
        <w:t>There are</w:t>
      </w:r>
      <w:r w:rsidR="00470E4D">
        <w:rPr>
          <w:rFonts w:ascii="Times New Roman" w:hAnsi="Times New Roman" w:cs="Times New Roman"/>
          <w:sz w:val="24"/>
          <w:szCs w:val="24"/>
        </w:rPr>
        <w:t xml:space="preserve"> </w:t>
      </w:r>
      <w:r>
        <w:rPr>
          <w:rFonts w:ascii="Times New Roman" w:hAnsi="Times New Roman" w:cs="Times New Roman"/>
          <w:sz w:val="24"/>
          <w:szCs w:val="24"/>
        </w:rPr>
        <w:t xml:space="preserve">special circumstances </w:t>
      </w:r>
      <w:r w:rsidR="000A49C8">
        <w:rPr>
          <w:rFonts w:ascii="Times New Roman" w:hAnsi="Times New Roman" w:cs="Times New Roman"/>
          <w:sz w:val="24"/>
          <w:szCs w:val="24"/>
        </w:rPr>
        <w:t>related to the FERC-725X</w:t>
      </w:r>
      <w:r w:rsidR="00D43F0E">
        <w:rPr>
          <w:rFonts w:ascii="Times New Roman" w:hAnsi="Times New Roman" w:cs="Times New Roman"/>
          <w:sz w:val="24"/>
          <w:szCs w:val="24"/>
        </w:rPr>
        <w:t xml:space="preserve"> information collection.</w:t>
      </w:r>
    </w:p>
    <w:p w:rsidR="008D310F" w:rsidP="00EB3E6F" w14:paraId="5161D56B" w14:textId="705E3C32">
      <w:pPr>
        <w:spacing w:after="0"/>
        <w:rPr>
          <w:rFonts w:ascii="Times New Roman" w:hAnsi="Times New Roman" w:cs="Times New Roman"/>
          <w:sz w:val="24"/>
          <w:szCs w:val="24"/>
        </w:rPr>
      </w:pPr>
    </w:p>
    <w:p w:rsidR="00752267" w:rsidP="00EB3E6F" w14:paraId="1BC1A075" w14:textId="1D3E1656">
      <w:pPr>
        <w:spacing w:after="0"/>
        <w:rPr>
          <w:rFonts w:ascii="Times New Roman" w:hAnsi="Times New Roman" w:cs="Times New Roman"/>
          <w:sz w:val="24"/>
          <w:szCs w:val="24"/>
        </w:rPr>
      </w:pPr>
      <w:r w:rsidRPr="00FD71DF">
        <w:rPr>
          <w:rFonts w:ascii="Times New Roman" w:hAnsi="Times New Roman" w:cs="Times New Roman"/>
          <w:sz w:val="24"/>
          <w:szCs w:val="24"/>
        </w:rPr>
        <w:t xml:space="preserve">For these VAR standards there is not a specific frequency </w:t>
      </w:r>
      <w:r>
        <w:rPr>
          <w:rFonts w:ascii="Times New Roman" w:hAnsi="Times New Roman" w:cs="Times New Roman"/>
          <w:sz w:val="24"/>
          <w:szCs w:val="24"/>
        </w:rPr>
        <w:t xml:space="preserve">for most </w:t>
      </w:r>
      <w:r w:rsidRPr="00FD71DF">
        <w:rPr>
          <w:rFonts w:ascii="Times New Roman" w:hAnsi="Times New Roman" w:cs="Times New Roman"/>
          <w:sz w:val="24"/>
          <w:szCs w:val="24"/>
        </w:rPr>
        <w:t xml:space="preserve">of </w:t>
      </w:r>
      <w:r>
        <w:rPr>
          <w:rFonts w:ascii="Times New Roman" w:hAnsi="Times New Roman" w:cs="Times New Roman"/>
          <w:sz w:val="24"/>
          <w:szCs w:val="24"/>
        </w:rPr>
        <w:t xml:space="preserve">information </w:t>
      </w:r>
      <w:r w:rsidRPr="00FD71DF">
        <w:rPr>
          <w:rFonts w:ascii="Times New Roman" w:hAnsi="Times New Roman" w:cs="Times New Roman"/>
          <w:sz w:val="24"/>
          <w:szCs w:val="24"/>
        </w:rPr>
        <w:t>collection rather it is a constant flow of information</w:t>
      </w:r>
      <w:r>
        <w:rPr>
          <w:rFonts w:ascii="Times New Roman" w:hAnsi="Times New Roman" w:cs="Times New Roman"/>
          <w:sz w:val="24"/>
          <w:szCs w:val="24"/>
        </w:rPr>
        <w:t xml:space="preserve"> or it could be request</w:t>
      </w:r>
      <w:r w:rsidR="00B25380">
        <w:rPr>
          <w:rFonts w:ascii="Times New Roman" w:hAnsi="Times New Roman" w:cs="Times New Roman"/>
          <w:sz w:val="24"/>
          <w:szCs w:val="24"/>
        </w:rPr>
        <w:t>ed</w:t>
      </w:r>
      <w:r>
        <w:rPr>
          <w:rFonts w:ascii="Times New Roman" w:hAnsi="Times New Roman" w:cs="Times New Roman"/>
          <w:sz w:val="24"/>
          <w:szCs w:val="24"/>
        </w:rPr>
        <w:t xml:space="preserve"> on demand with </w:t>
      </w:r>
      <w:r w:rsidR="00B1196E">
        <w:rPr>
          <w:rFonts w:ascii="Times New Roman" w:hAnsi="Times New Roman" w:cs="Times New Roman"/>
          <w:sz w:val="24"/>
          <w:szCs w:val="24"/>
        </w:rPr>
        <w:t xml:space="preserve">the </w:t>
      </w:r>
      <w:r>
        <w:rPr>
          <w:rFonts w:ascii="Times New Roman" w:hAnsi="Times New Roman" w:cs="Times New Roman"/>
          <w:sz w:val="24"/>
          <w:szCs w:val="24"/>
        </w:rPr>
        <w:t>expectation in that instances for 30-day delivery</w:t>
      </w:r>
      <w:r w:rsidRPr="00FD71DF">
        <w:rPr>
          <w:rFonts w:ascii="Times New Roman" w:hAnsi="Times New Roman" w:cs="Times New Roman"/>
          <w:sz w:val="24"/>
          <w:szCs w:val="24"/>
        </w:rPr>
        <w:t xml:space="preserve">.  Between the entities they share information often through SCADA (supervisory control and data acquisition) or email communication. </w:t>
      </w:r>
      <w:r>
        <w:rPr>
          <w:rFonts w:ascii="Times New Roman" w:hAnsi="Times New Roman" w:cs="Times New Roman"/>
          <w:sz w:val="24"/>
          <w:szCs w:val="24"/>
        </w:rPr>
        <w:t xml:space="preserve"> </w:t>
      </w:r>
      <w:r w:rsidRPr="00FD71DF">
        <w:rPr>
          <w:rFonts w:ascii="Times New Roman" w:hAnsi="Times New Roman" w:cs="Times New Roman"/>
          <w:sz w:val="24"/>
          <w:szCs w:val="24"/>
        </w:rPr>
        <w:t>Sharing of information is accomplished in real-time to operate the BES and in other instances it may consist of specific requests.  The represent</w:t>
      </w:r>
      <w:r>
        <w:rPr>
          <w:rFonts w:ascii="Times New Roman" w:hAnsi="Times New Roman" w:cs="Times New Roman"/>
          <w:sz w:val="24"/>
          <w:szCs w:val="24"/>
        </w:rPr>
        <w:t>s</w:t>
      </w:r>
      <w:r w:rsidRPr="00FD71DF">
        <w:rPr>
          <w:rFonts w:ascii="Times New Roman" w:hAnsi="Times New Roman" w:cs="Times New Roman"/>
          <w:sz w:val="24"/>
          <w:szCs w:val="24"/>
        </w:rPr>
        <w:t xml:space="preserve"> the collective effort of the entities to be responsive to the </w:t>
      </w:r>
      <w:r>
        <w:rPr>
          <w:rFonts w:ascii="Times New Roman" w:hAnsi="Times New Roman" w:cs="Times New Roman"/>
          <w:sz w:val="24"/>
          <w:szCs w:val="24"/>
        </w:rPr>
        <w:t>R</w:t>
      </w:r>
      <w:r w:rsidRPr="00FD71DF">
        <w:rPr>
          <w:rFonts w:ascii="Times New Roman" w:hAnsi="Times New Roman" w:cs="Times New Roman"/>
          <w:sz w:val="24"/>
          <w:szCs w:val="24"/>
        </w:rPr>
        <w:t xml:space="preserve">equirements of </w:t>
      </w:r>
      <w:r>
        <w:rPr>
          <w:rFonts w:ascii="Times New Roman" w:hAnsi="Times New Roman" w:cs="Times New Roman"/>
          <w:sz w:val="24"/>
          <w:szCs w:val="24"/>
        </w:rPr>
        <w:t>the VAR S</w:t>
      </w:r>
      <w:r w:rsidRPr="00FD71DF">
        <w:rPr>
          <w:rFonts w:ascii="Times New Roman" w:hAnsi="Times New Roman" w:cs="Times New Roman"/>
          <w:sz w:val="24"/>
          <w:szCs w:val="24"/>
        </w:rPr>
        <w:t>tandards and operate the BES in a reliable manner, so it is shown as one response per year</w:t>
      </w:r>
      <w:r>
        <w:rPr>
          <w:rFonts w:ascii="Times New Roman" w:hAnsi="Times New Roman" w:cs="Times New Roman"/>
          <w:sz w:val="24"/>
          <w:szCs w:val="24"/>
        </w:rPr>
        <w:t xml:space="preserve">.  </w:t>
      </w:r>
    </w:p>
    <w:p w:rsidR="00752267" w:rsidP="00EB3E6F" w14:paraId="1488CAA5" w14:textId="77777777">
      <w:pPr>
        <w:spacing w:after="0"/>
        <w:rPr>
          <w:rFonts w:ascii="Times New Roman" w:hAnsi="Times New Roman" w:cs="Times New Roman"/>
          <w:sz w:val="24"/>
          <w:szCs w:val="24"/>
        </w:rPr>
      </w:pPr>
    </w:p>
    <w:p w:rsidR="00470E4D" w:rsidP="00EB3E6F" w14:paraId="6A383216" w14:textId="637C04C6">
      <w:pPr>
        <w:spacing w:after="0"/>
        <w:rPr>
          <w:rFonts w:ascii="Times New Roman" w:hAnsi="Times New Roman" w:cs="Times New Roman"/>
          <w:sz w:val="24"/>
          <w:szCs w:val="24"/>
        </w:rPr>
      </w:pPr>
      <w:r>
        <w:rPr>
          <w:rFonts w:ascii="Times New Roman" w:hAnsi="Times New Roman" w:cs="Times New Roman"/>
          <w:sz w:val="24"/>
          <w:szCs w:val="24"/>
        </w:rPr>
        <w:t>Additionally</w:t>
      </w:r>
      <w:r w:rsidR="00752267">
        <w:rPr>
          <w:rFonts w:ascii="Times New Roman" w:hAnsi="Times New Roman" w:cs="Times New Roman"/>
          <w:sz w:val="24"/>
          <w:szCs w:val="24"/>
        </w:rPr>
        <w:t>,</w:t>
      </w:r>
      <w:r>
        <w:rPr>
          <w:rFonts w:ascii="Times New Roman" w:hAnsi="Times New Roman" w:cs="Times New Roman"/>
          <w:sz w:val="24"/>
          <w:szCs w:val="24"/>
        </w:rPr>
        <w:t xml:space="preserve"> for circumstances where a request is made for data by the reliability coordinator or adjacent transmission operator, the applicable transmission operator will need to provide system voltage schedules within 30-days of the request.</w:t>
      </w:r>
    </w:p>
    <w:p w:rsidR="00752267" w:rsidP="00EB3E6F" w14:paraId="5B06EF8A" w14:textId="34205D85">
      <w:pPr>
        <w:spacing w:after="0"/>
        <w:rPr>
          <w:rFonts w:ascii="Times New Roman" w:hAnsi="Times New Roman" w:cs="Times New Roman"/>
          <w:sz w:val="24"/>
          <w:szCs w:val="24"/>
        </w:rPr>
      </w:pPr>
    </w:p>
    <w:p w:rsidR="00752267" w:rsidP="00EB3E6F" w14:paraId="58B08FBB" w14:textId="59300072">
      <w:pPr>
        <w:spacing w:after="0"/>
        <w:rPr>
          <w:rFonts w:ascii="Times New Roman" w:hAnsi="Times New Roman" w:cs="Times New Roman"/>
          <w:sz w:val="24"/>
          <w:szCs w:val="24"/>
        </w:rPr>
      </w:pPr>
      <w:r>
        <w:rPr>
          <w:rFonts w:ascii="Times New Roman" w:hAnsi="Times New Roman" w:cs="Times New Roman"/>
          <w:sz w:val="24"/>
          <w:szCs w:val="24"/>
        </w:rPr>
        <w:t xml:space="preserve">Within VAR-002 when a generator operator has a change in status for </w:t>
      </w:r>
      <w:r w:rsidR="00E404F2">
        <w:rPr>
          <w:rFonts w:ascii="Times New Roman" w:hAnsi="Times New Roman" w:cs="Times New Roman"/>
          <w:sz w:val="24"/>
          <w:szCs w:val="24"/>
        </w:rPr>
        <w:t>VA</w:t>
      </w:r>
      <w:r>
        <w:rPr>
          <w:rFonts w:ascii="Times New Roman" w:hAnsi="Times New Roman" w:cs="Times New Roman"/>
          <w:sz w:val="24"/>
          <w:szCs w:val="24"/>
        </w:rPr>
        <w:t>R, power system stabilizer that may last longer than 30-minutes, that generator operator will have to notify the associated transmission operator.  These types of exchanges of information are to be recorded.</w:t>
      </w:r>
    </w:p>
    <w:p w:rsidR="00470E4D" w:rsidP="00EB3E6F" w14:paraId="1DDD2AE7" w14:textId="48C39EEF">
      <w:pPr>
        <w:spacing w:after="0"/>
        <w:rPr>
          <w:rFonts w:ascii="Times New Roman" w:hAnsi="Times New Roman" w:cs="Times New Roman"/>
          <w:sz w:val="24"/>
          <w:szCs w:val="24"/>
        </w:rPr>
      </w:pPr>
    </w:p>
    <w:p w:rsidR="00470E4D" w:rsidRPr="00EB3E6F" w:rsidP="00EB3E6F" w14:paraId="13B50773" w14:textId="77777777">
      <w:pPr>
        <w:spacing w:after="0"/>
        <w:rPr>
          <w:rFonts w:ascii="Times New Roman" w:hAnsi="Times New Roman" w:cs="Times New Roman"/>
          <w:sz w:val="24"/>
          <w:szCs w:val="24"/>
        </w:rPr>
      </w:pPr>
    </w:p>
    <w:p w:rsidR="00EB3E6F" w:rsidRPr="00D80FBD" w:rsidP="00A72E7B"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14:paraId="4D23222C" w14:textId="77777777">
      <w:pPr>
        <w:spacing w:after="0"/>
        <w:rPr>
          <w:rFonts w:ascii="Times New Roman" w:hAnsi="Times New Roman" w:cs="Times New Roman"/>
          <w:sz w:val="24"/>
          <w:szCs w:val="24"/>
        </w:rPr>
      </w:pPr>
    </w:p>
    <w:p w:rsidR="00D43F0E" w:rsidRPr="00A44AE9" w:rsidP="00D43F0E" w14:paraId="58C70201" w14:textId="7E673FB3">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 </w:t>
      </w:r>
      <w:r w:rsidR="007B34EB">
        <w:rPr>
          <w:rFonts w:ascii="Times New Roman" w:hAnsi="Times New Roman" w:cs="Times New Roman"/>
          <w:sz w:val="24"/>
          <w:szCs w:val="24"/>
        </w:rPr>
        <w:t>Electric Reliability Organization’s (</w:t>
      </w:r>
      <w:r w:rsidRPr="00A44AE9">
        <w:rPr>
          <w:rFonts w:ascii="Times New Roman" w:hAnsi="Times New Roman" w:cs="Times New Roman"/>
          <w:sz w:val="24"/>
          <w:szCs w:val="24"/>
        </w:rPr>
        <w:t>ERO</w:t>
      </w:r>
      <w:r w:rsidR="007B34EB">
        <w:rPr>
          <w:rFonts w:ascii="Times New Roman" w:hAnsi="Times New Roman" w:cs="Times New Roman"/>
          <w:sz w:val="24"/>
          <w:szCs w:val="24"/>
        </w:rPr>
        <w:t>)</w:t>
      </w:r>
      <w:r w:rsidRPr="00A44AE9">
        <w:rPr>
          <w:rFonts w:ascii="Times New Roman" w:hAnsi="Times New Roman" w:cs="Times New Roman"/>
          <w:sz w:val="24"/>
          <w:szCs w:val="24"/>
        </w:rPr>
        <w:t xml:space="preserve"> process to establish Reliability Standards is a collaborative process with the ERO, Regional Entities, and other stakeholders developing and reviewing drafts and providing comments.</w:t>
      </w:r>
      <w:r>
        <w:rPr>
          <w:rStyle w:val="FootnoteReference"/>
          <w:rFonts w:ascii="Times New Roman" w:hAnsi="Times New Roman" w:cs="Times New Roman"/>
          <w:sz w:val="24"/>
          <w:szCs w:val="24"/>
          <w:vertAlign w:val="superscript"/>
        </w:rPr>
        <w:footnoteReference w:id="7"/>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rsidR="00D43F0E" w:rsidRPr="00A44AE9" w:rsidP="00D43F0E" w14:paraId="65A4CC8F" w14:textId="77777777">
      <w:pPr>
        <w:spacing w:after="0"/>
        <w:rPr>
          <w:rFonts w:ascii="Times New Roman" w:hAnsi="Times New Roman" w:cs="Times New Roman"/>
          <w:sz w:val="24"/>
          <w:szCs w:val="24"/>
        </w:rPr>
      </w:pPr>
    </w:p>
    <w:p w:rsidR="00D43F0E" w:rsidP="00D43F0E" w14:paraId="7E486EE0" w14:textId="67DE85A2">
      <w:pPr>
        <w:autoSpaceDE w:val="0"/>
        <w:autoSpaceDN w:val="0"/>
        <w:adjustRightInd w:val="0"/>
        <w:spacing w:after="0"/>
        <w:rPr>
          <w:rFonts w:ascii="Times New Roman" w:hAnsi="Times New Roman" w:cs="Times New Roman"/>
          <w:sz w:val="24"/>
          <w:szCs w:val="24"/>
        </w:rPr>
      </w:pPr>
      <w:r w:rsidRPr="007B34EB">
        <w:rPr>
          <w:rFonts w:ascii="Times New Roman" w:hAnsi="Times New Roman" w:cs="Times New Roman"/>
          <w:sz w:val="24"/>
          <w:szCs w:val="24"/>
        </w:rPr>
        <w:t xml:space="preserve">Each FERC </w:t>
      </w:r>
      <w:r>
        <w:rPr>
          <w:rFonts w:ascii="Times New Roman" w:hAnsi="Times New Roman" w:cs="Times New Roman"/>
          <w:sz w:val="24"/>
          <w:szCs w:val="24"/>
        </w:rPr>
        <w:t>information collection activity</w:t>
      </w:r>
      <w:r w:rsidRPr="007B34EB">
        <w:rPr>
          <w:rFonts w:ascii="Times New Roman" w:hAnsi="Times New Roman" w:cs="Times New Roman"/>
          <w:sz w:val="24"/>
          <w:szCs w:val="24"/>
        </w:rPr>
        <w:t xml:space="preserve"> is published in the Federal Register thereby providing public utilities and licensees, state commissions, federal agencies, and other interested parties an opportunity to submit data, views, comments or suggestions concerning the proposed collections of data.</w:t>
      </w:r>
      <w:r>
        <w:rPr>
          <w:rFonts w:ascii="Times New Roman" w:hAnsi="Times New Roman" w:cs="Times New Roman"/>
          <w:sz w:val="24"/>
          <w:szCs w:val="24"/>
        </w:rPr>
        <w:t xml:space="preserve">  </w:t>
      </w: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Pr>
          <w:rStyle w:val="FootnoteReference"/>
          <w:rFonts w:ascii="Times New Roman" w:hAnsi="Times New Roman" w:cs="Times New Roman"/>
          <w:sz w:val="24"/>
          <w:szCs w:val="24"/>
          <w:vertAlign w:val="superscript"/>
        </w:rPr>
        <w:footnoteReference w:id="8"/>
      </w:r>
      <w:r>
        <w:rPr>
          <w:rFonts w:ascii="Times New Roman" w:hAnsi="Times New Roman" w:cs="Times New Roman"/>
          <w:sz w:val="24"/>
          <w:szCs w:val="24"/>
        </w:rPr>
        <w:t xml:space="preserve"> and </w:t>
      </w:r>
      <w:r w:rsidR="0096022F">
        <w:rPr>
          <w:rFonts w:ascii="Times New Roman" w:hAnsi="Times New Roman" w:cs="Times New Roman"/>
          <w:sz w:val="24"/>
          <w:szCs w:val="24"/>
        </w:rPr>
        <w:t>N</w:t>
      </w:r>
      <w:r>
        <w:rPr>
          <w:rFonts w:ascii="Times New Roman" w:hAnsi="Times New Roman" w:cs="Times New Roman"/>
          <w:sz w:val="24"/>
          <w:szCs w:val="24"/>
        </w:rPr>
        <w:t>a 30-day notice</w:t>
      </w:r>
      <w:r>
        <w:rPr>
          <w:rStyle w:val="FootnoteReference"/>
          <w:rFonts w:ascii="Times New Roman" w:hAnsi="Times New Roman" w:cs="Times New Roman"/>
          <w:sz w:val="24"/>
          <w:szCs w:val="24"/>
          <w:vertAlign w:val="superscript"/>
        </w:rPr>
        <w:footnoteReference w:id="9"/>
      </w:r>
      <w:r w:rsidRPr="00D4396D">
        <w:rPr>
          <w:rFonts w:ascii="Times New Roman" w:hAnsi="Times New Roman" w:cs="Times New Roman"/>
          <w:sz w:val="24"/>
          <w:szCs w:val="24"/>
        </w:rPr>
        <w:t xml:space="preserve"> to the public regarding thi</w:t>
      </w:r>
      <w:r w:rsidR="000A49C8">
        <w:rPr>
          <w:rFonts w:ascii="Times New Roman" w:hAnsi="Times New Roman" w:cs="Times New Roman"/>
          <w:sz w:val="24"/>
          <w:szCs w:val="24"/>
        </w:rPr>
        <w:t xml:space="preserve">s information collection on </w:t>
      </w:r>
      <w:r w:rsidR="003132A8">
        <w:rPr>
          <w:rFonts w:ascii="Times New Roman" w:hAnsi="Times New Roman" w:cs="Times New Roman"/>
          <w:sz w:val="24"/>
          <w:szCs w:val="24"/>
        </w:rPr>
        <w:t>8</w:t>
      </w:r>
      <w:r w:rsidR="000A49C8">
        <w:rPr>
          <w:rFonts w:ascii="Times New Roman" w:hAnsi="Times New Roman" w:cs="Times New Roman"/>
          <w:sz w:val="24"/>
          <w:szCs w:val="24"/>
        </w:rPr>
        <w:t>/</w:t>
      </w:r>
      <w:r w:rsidR="003132A8">
        <w:rPr>
          <w:rFonts w:ascii="Times New Roman" w:hAnsi="Times New Roman" w:cs="Times New Roman"/>
          <w:sz w:val="24"/>
          <w:szCs w:val="24"/>
        </w:rPr>
        <w:t>19</w:t>
      </w:r>
      <w:r w:rsidR="000A49C8">
        <w:rPr>
          <w:rFonts w:ascii="Times New Roman" w:hAnsi="Times New Roman" w:cs="Times New Roman"/>
          <w:sz w:val="24"/>
          <w:szCs w:val="24"/>
        </w:rPr>
        <w:t>/20</w:t>
      </w:r>
      <w:r w:rsidR="00C97DC0">
        <w:rPr>
          <w:rFonts w:ascii="Times New Roman" w:hAnsi="Times New Roman" w:cs="Times New Roman"/>
          <w:sz w:val="24"/>
          <w:szCs w:val="24"/>
        </w:rPr>
        <w:t>2</w:t>
      </w:r>
      <w:r w:rsidR="00BA33C6">
        <w:rPr>
          <w:rFonts w:ascii="Times New Roman" w:hAnsi="Times New Roman" w:cs="Times New Roman"/>
          <w:sz w:val="24"/>
          <w:szCs w:val="24"/>
        </w:rPr>
        <w:t>4</w:t>
      </w:r>
      <w:r w:rsidR="000A49C8">
        <w:rPr>
          <w:rFonts w:ascii="Times New Roman" w:hAnsi="Times New Roman" w:cs="Times New Roman"/>
          <w:sz w:val="24"/>
          <w:szCs w:val="24"/>
        </w:rPr>
        <w:t xml:space="preserve"> and </w:t>
      </w:r>
      <w:r w:rsidR="003132A8">
        <w:rPr>
          <w:rFonts w:ascii="Times New Roman" w:hAnsi="Times New Roman" w:cs="Times New Roman"/>
          <w:sz w:val="24"/>
          <w:szCs w:val="24"/>
        </w:rPr>
        <w:t>10</w:t>
      </w:r>
      <w:r w:rsidR="000A49C8">
        <w:rPr>
          <w:rFonts w:ascii="Times New Roman" w:hAnsi="Times New Roman" w:cs="Times New Roman"/>
          <w:sz w:val="24"/>
          <w:szCs w:val="24"/>
        </w:rPr>
        <w:t>/</w:t>
      </w:r>
      <w:r w:rsidR="008B63E9">
        <w:rPr>
          <w:rFonts w:ascii="Times New Roman" w:hAnsi="Times New Roman" w:cs="Times New Roman"/>
          <w:sz w:val="24"/>
          <w:szCs w:val="24"/>
        </w:rPr>
        <w:t>30</w:t>
      </w:r>
      <w:r>
        <w:rPr>
          <w:rFonts w:ascii="Times New Roman" w:hAnsi="Times New Roman" w:cs="Times New Roman"/>
          <w:sz w:val="24"/>
          <w:szCs w:val="24"/>
        </w:rPr>
        <w:t>/20</w:t>
      </w:r>
      <w:r w:rsidR="00C97DC0">
        <w:rPr>
          <w:rFonts w:ascii="Times New Roman" w:hAnsi="Times New Roman" w:cs="Times New Roman"/>
          <w:sz w:val="24"/>
          <w:szCs w:val="24"/>
        </w:rPr>
        <w:t>2</w:t>
      </w:r>
      <w:r w:rsidR="003132A8">
        <w:rPr>
          <w:rFonts w:ascii="Times New Roman" w:hAnsi="Times New Roman" w:cs="Times New Roman"/>
          <w:sz w:val="24"/>
          <w:szCs w:val="24"/>
        </w:rPr>
        <w:t>4</w:t>
      </w:r>
      <w:r w:rsidRPr="00D4396D">
        <w:rPr>
          <w:rFonts w:ascii="Times New Roman" w:hAnsi="Times New Roman" w:cs="Times New Roman"/>
          <w:sz w:val="24"/>
          <w:szCs w:val="24"/>
        </w:rPr>
        <w:t xml:space="preserve"> respectively.  Within the public notices, the Commission noted that it would be requesting a three-year extension of the public reporting burden.</w:t>
      </w:r>
      <w:r>
        <w:rPr>
          <w:rFonts w:ascii="Times New Roman" w:hAnsi="Times New Roman" w:cs="Times New Roman"/>
          <w:sz w:val="24"/>
          <w:szCs w:val="24"/>
        </w:rPr>
        <w:t xml:space="preserve"> The Commission received no comments from the public in response to </w:t>
      </w:r>
      <w:r w:rsidR="00744A3C">
        <w:rPr>
          <w:rFonts w:ascii="Times New Roman" w:hAnsi="Times New Roman" w:cs="Times New Roman"/>
          <w:sz w:val="24"/>
          <w:szCs w:val="24"/>
        </w:rPr>
        <w:t>the 60-day</w:t>
      </w:r>
      <w:r w:rsidR="000A49C8">
        <w:rPr>
          <w:rFonts w:ascii="Times New Roman" w:hAnsi="Times New Roman" w:cs="Times New Roman"/>
          <w:sz w:val="24"/>
          <w:szCs w:val="24"/>
        </w:rPr>
        <w:t xml:space="preserve"> notice regarding the FERC-725X</w:t>
      </w:r>
      <w:r>
        <w:rPr>
          <w:rFonts w:ascii="Times New Roman" w:hAnsi="Times New Roman" w:cs="Times New Roman"/>
          <w:sz w:val="24"/>
          <w:szCs w:val="24"/>
        </w:rPr>
        <w:t xml:space="preserve"> information collection.</w:t>
      </w:r>
    </w:p>
    <w:p w:rsidR="00EB3E6F" w:rsidRPr="00EB3E6F" w:rsidP="00EB3E6F" w14:paraId="45339A23" w14:textId="595D6301">
      <w:pPr>
        <w:spacing w:after="0"/>
        <w:rPr>
          <w:rFonts w:ascii="Times New Roman" w:hAnsi="Times New Roman" w:cs="Times New Roman"/>
          <w:sz w:val="24"/>
          <w:szCs w:val="24"/>
        </w:rPr>
      </w:pPr>
    </w:p>
    <w:p w:rsidR="00EB3E6F" w:rsidRPr="00D80FBD" w:rsidP="00A72E7B"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14:paraId="7394C59A" w14:textId="77777777">
      <w:pPr>
        <w:spacing w:after="0"/>
        <w:rPr>
          <w:rFonts w:ascii="Times New Roman" w:hAnsi="Times New Roman" w:cs="Times New Roman"/>
          <w:sz w:val="24"/>
          <w:szCs w:val="24"/>
        </w:rPr>
      </w:pPr>
    </w:p>
    <w:p w:rsidR="00D80FBD" w:rsidP="00D80FBD" w14:paraId="2D6D951D" w14:textId="77777777">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rsidR="008D310F" w:rsidRPr="00D80FBD" w:rsidP="00D80FBD" w14:paraId="5FFE503A" w14:textId="77777777">
      <w:pPr>
        <w:spacing w:after="0"/>
        <w:rPr>
          <w:rFonts w:ascii="Times New Roman" w:hAnsi="Times New Roman" w:cs="Times New Roman"/>
          <w:sz w:val="24"/>
          <w:szCs w:val="24"/>
        </w:rPr>
      </w:pPr>
    </w:p>
    <w:p w:rsidR="00D80FBD" w:rsidRPr="00D80FBD" w:rsidP="00A72E7B"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14:paraId="752483D7" w14:textId="77777777">
      <w:pPr>
        <w:spacing w:after="0"/>
        <w:rPr>
          <w:rFonts w:ascii="Times New Roman" w:hAnsi="Times New Roman" w:cs="Times New Roman"/>
          <w:sz w:val="24"/>
          <w:szCs w:val="24"/>
        </w:rPr>
      </w:pPr>
    </w:p>
    <w:p w:rsidR="002C1BFB" w:rsidP="002C1BFB" w14:paraId="14E2B3F6" w14:textId="7777777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Pr>
          <w:rStyle w:val="FootnoteReference"/>
          <w:rFonts w:ascii="Times New Roman" w:hAnsi="Times New Roman" w:cs="Times New Roman"/>
          <w:sz w:val="24"/>
          <w:szCs w:val="24"/>
          <w:vertAlign w:val="superscript"/>
        </w:rPr>
        <w:footnoteReference w:id="10"/>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rsidR="002C1BFB" w:rsidP="002C1BFB" w14:paraId="581EAAB9" w14:textId="77777777">
      <w:pPr>
        <w:spacing w:after="0"/>
        <w:rPr>
          <w:rFonts w:ascii="Times New Roman" w:hAnsi="Times New Roman" w:cs="Times New Roman"/>
          <w:sz w:val="24"/>
          <w:szCs w:val="24"/>
        </w:rPr>
      </w:pPr>
    </w:p>
    <w:p w:rsidR="002C1BFB" w:rsidP="002C1BFB" w14:paraId="2B886A8D" w14:textId="27A5CA86">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rsidR="008D310F" w:rsidRPr="00D80FBD" w:rsidP="00D80FBD" w14:paraId="2B6C79EB" w14:textId="77777777">
      <w:pPr>
        <w:spacing w:after="0"/>
        <w:rPr>
          <w:rFonts w:ascii="Times New Roman" w:hAnsi="Times New Roman" w:cs="Times New Roman"/>
          <w:sz w:val="24"/>
          <w:szCs w:val="24"/>
        </w:rPr>
      </w:pPr>
    </w:p>
    <w:p w:rsidR="00D80FBD" w:rsidRPr="00D80FBD" w:rsidP="00A72E7B"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14:paraId="0DBA2F08" w14:textId="77777777">
      <w:pPr>
        <w:spacing w:after="0"/>
        <w:rPr>
          <w:rFonts w:ascii="Times New Roman" w:hAnsi="Times New Roman" w:cs="Times New Roman"/>
          <w:sz w:val="24"/>
          <w:szCs w:val="24"/>
        </w:rPr>
      </w:pPr>
    </w:p>
    <w:p w:rsidR="00D80FBD" w:rsidP="00D80FBD"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74195A" w:rsidRPr="00D80FBD" w:rsidP="00D80FBD" w14:paraId="4DD76322" w14:textId="77777777">
      <w:pPr>
        <w:spacing w:after="0"/>
        <w:rPr>
          <w:rFonts w:ascii="Times New Roman" w:hAnsi="Times New Roman" w:cs="Times New Roman"/>
          <w:sz w:val="24"/>
          <w:szCs w:val="24"/>
        </w:rPr>
      </w:pPr>
    </w:p>
    <w:p w:rsidR="00D80FBD" w:rsidP="00A72E7B" w14:paraId="5B02ECA3" w14:textId="65EB10A8">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5"/>
        <w:gridCol w:w="1731"/>
        <w:gridCol w:w="1471"/>
        <w:gridCol w:w="1349"/>
        <w:gridCol w:w="1371"/>
        <w:gridCol w:w="1456"/>
        <w:gridCol w:w="1471"/>
      </w:tblGrid>
      <w:tr w14:paraId="59CAA0C7" w14:textId="77777777" w:rsidTr="00C63F30">
        <w:tblPrEx>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DC06A5" w:rsidRPr="00DC06A5" w:rsidP="00C63F30" w14:paraId="319C71E8" w14:textId="77777777">
            <w:pPr>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FERC-725X, Mandatory Reliability Standards: Voltage and Reactive (VAR) Standards</w:t>
            </w:r>
          </w:p>
        </w:tc>
      </w:tr>
      <w:tr w14:paraId="5028F567" w14:textId="77777777" w:rsidTr="00C63F30">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shd w:val="clear" w:color="auto" w:fill="D9D9D9"/>
          </w:tcPr>
          <w:p w:rsidR="00DC06A5" w:rsidRPr="00DC06A5" w:rsidP="00DC06A5" w14:paraId="4D86E7C8" w14:textId="77777777">
            <w:pPr>
              <w:spacing w:after="0" w:line="240" w:lineRule="auto"/>
              <w:jc w:val="center"/>
              <w:rPr>
                <w:rFonts w:ascii="Times New Roman" w:eastAsia="Calibri" w:hAnsi="Times New Roman" w:cs="Times New Roman"/>
                <w:b/>
                <w:sz w:val="26"/>
                <w:szCs w:val="26"/>
              </w:rPr>
            </w:pPr>
          </w:p>
        </w:tc>
        <w:tc>
          <w:tcPr>
            <w:tcW w:w="67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06A5" w:rsidRPr="00DC06A5" w:rsidP="00DC06A5" w14:paraId="4B76B64D"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Number of Respondents</w:t>
            </w:r>
            <w:r>
              <w:rPr>
                <w:rFonts w:ascii="Times New Roman" w:eastAsia="Calibri" w:hAnsi="Times New Roman" w:cs="Times New Roman"/>
                <w:b/>
                <w:sz w:val="26"/>
                <w:szCs w:val="26"/>
                <w:vertAlign w:val="superscript"/>
              </w:rPr>
              <w:footnoteReference w:id="11"/>
            </w:r>
            <w:r w:rsidRPr="00DC06A5">
              <w:rPr>
                <w:rFonts w:ascii="Times New Roman" w:eastAsia="Calibri" w:hAnsi="Times New Roman" w:cs="Times New Roman"/>
                <w:b/>
                <w:sz w:val="26"/>
                <w:szCs w:val="26"/>
              </w:rPr>
              <w:br/>
              <w:t>(1)</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06A5" w:rsidRPr="00DC06A5" w:rsidP="00DC06A5" w14:paraId="243C8F3A"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Annual Number of Responses per Respondent</w:t>
            </w:r>
          </w:p>
          <w:p w:rsidR="00DC06A5" w:rsidRPr="00DC06A5" w:rsidP="00DC06A5" w14:paraId="424F6316"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(2)</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06A5" w:rsidRPr="00DC06A5" w:rsidP="00DC06A5" w14:paraId="7A99139D"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Total Number of Responses (1)*(2)=(3)</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06A5" w:rsidRPr="00DC06A5" w:rsidP="00DC06A5" w14:paraId="5D9258F5"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Average Burden &amp; Cost Per Response</w:t>
            </w:r>
            <w:r>
              <w:rPr>
                <w:rFonts w:ascii="Times New Roman" w:eastAsia="Calibri" w:hAnsi="Times New Roman" w:cs="Times New Roman"/>
                <w:b/>
                <w:sz w:val="26"/>
                <w:szCs w:val="26"/>
                <w:vertAlign w:val="superscript"/>
              </w:rPr>
              <w:footnoteReference w:id="12"/>
            </w:r>
          </w:p>
          <w:p w:rsidR="00DC06A5" w:rsidRPr="00DC06A5" w:rsidP="00DC06A5" w14:paraId="526B90A2"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(4)</w:t>
            </w:r>
          </w:p>
        </w:tc>
        <w:tc>
          <w:tcPr>
            <w:tcW w:w="72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06A5" w:rsidRPr="00DC06A5" w:rsidP="00DC06A5" w14:paraId="03988AB2"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Total Annual Burden Hours &amp; Total Annual Cost</w:t>
            </w:r>
          </w:p>
          <w:p w:rsidR="00DC06A5" w:rsidRPr="00DC06A5" w:rsidP="00DC06A5" w14:paraId="0E0D7B1A"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(3)*(4)=(5)</w:t>
            </w:r>
          </w:p>
        </w:tc>
        <w:tc>
          <w:tcPr>
            <w:tcW w:w="88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06A5" w:rsidRPr="00DC06A5" w:rsidP="00DC06A5" w14:paraId="36383CE8"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Cost per Respondent</w:t>
            </w:r>
          </w:p>
          <w:p w:rsidR="00DC06A5" w:rsidRPr="00DC06A5" w:rsidP="00DC06A5" w14:paraId="26856D6B"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 xml:space="preserve"> ($)</w:t>
            </w:r>
          </w:p>
          <w:p w:rsidR="00DC06A5" w:rsidRPr="00DC06A5" w:rsidP="00DC06A5" w14:paraId="67C3733E" w14:textId="77777777">
            <w:pPr>
              <w:spacing w:after="0" w:line="240" w:lineRule="auto"/>
              <w:jc w:val="center"/>
              <w:rPr>
                <w:rFonts w:ascii="Times New Roman" w:eastAsia="Calibri" w:hAnsi="Times New Roman" w:cs="Times New Roman"/>
                <w:b/>
                <w:sz w:val="26"/>
                <w:szCs w:val="26"/>
              </w:rPr>
            </w:pPr>
            <w:r w:rsidRPr="00DC06A5">
              <w:rPr>
                <w:rFonts w:ascii="Times New Roman" w:eastAsia="Calibri" w:hAnsi="Times New Roman" w:cs="Times New Roman"/>
                <w:b/>
                <w:sz w:val="26"/>
                <w:szCs w:val="26"/>
              </w:rPr>
              <w:t>(5)÷(1)</w:t>
            </w:r>
          </w:p>
        </w:tc>
      </w:tr>
      <w:tr w14:paraId="31C0E770" w14:textId="77777777" w:rsidTr="00C63F30">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hideMark/>
          </w:tcPr>
          <w:p w:rsidR="00DC06A5" w:rsidRPr="00DC06A5" w:rsidP="00DC06A5" w14:paraId="4E5B4F20" w14:textId="77777777">
            <w:pPr>
              <w:spacing w:after="0" w:line="240" w:lineRule="auto"/>
              <w:rPr>
                <w:rFonts w:ascii="Times New Roman" w:eastAsia="Calibri" w:hAnsi="Times New Roman" w:cs="Times New Roman"/>
                <w:sz w:val="26"/>
                <w:szCs w:val="26"/>
              </w:rPr>
            </w:pPr>
            <w:r w:rsidRPr="00DC06A5">
              <w:rPr>
                <w:rFonts w:ascii="Times New Roman" w:eastAsia="Calibri" w:hAnsi="Times New Roman" w:cs="Times New Roman"/>
                <w:sz w:val="26"/>
                <w:szCs w:val="26"/>
              </w:rPr>
              <w:t>VAR-001-5</w:t>
            </w:r>
          </w:p>
          <w:p w:rsidR="00DC06A5" w:rsidRPr="00DC06A5" w:rsidP="00DC06A5" w14:paraId="1FF76F3F" w14:textId="77777777">
            <w:pPr>
              <w:spacing w:after="0" w:line="240" w:lineRule="auto"/>
              <w:rPr>
                <w:rFonts w:ascii="Times New Roman" w:eastAsia="Calibri" w:hAnsi="Times New Roman" w:cs="Times New Roman"/>
                <w:sz w:val="26"/>
                <w:szCs w:val="26"/>
              </w:rPr>
            </w:pPr>
            <w:r w:rsidRPr="00DC06A5">
              <w:rPr>
                <w:rFonts w:ascii="Times New Roman" w:eastAsia="Calibri" w:hAnsi="Times New Roman" w:cs="Times New Roman"/>
                <w:sz w:val="26"/>
                <w:szCs w:val="26"/>
              </w:rPr>
              <w:t xml:space="preserve">Compliance and record-keeping </w:t>
            </w:r>
          </w:p>
        </w:tc>
        <w:tc>
          <w:tcPr>
            <w:tcW w:w="678" w:type="pct"/>
            <w:tcBorders>
              <w:top w:val="single" w:sz="4" w:space="0" w:color="auto"/>
              <w:left w:val="single" w:sz="4" w:space="0" w:color="auto"/>
              <w:bottom w:val="single" w:sz="4" w:space="0" w:color="auto"/>
              <w:right w:val="single" w:sz="4" w:space="0" w:color="auto"/>
            </w:tcBorders>
            <w:vAlign w:val="center"/>
          </w:tcPr>
          <w:p w:rsidR="00DC06A5" w:rsidRPr="00DC06A5" w:rsidP="00DC06A5" w14:paraId="72737796"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165 (TOP)</w:t>
            </w:r>
          </w:p>
          <w:p w:rsidR="00DC06A5" w:rsidRPr="00DC06A5" w:rsidP="00DC06A5" w14:paraId="52BF9C11" w14:textId="77777777">
            <w:pPr>
              <w:spacing w:after="0" w:line="240" w:lineRule="auto"/>
              <w:jc w:val="right"/>
              <w:rPr>
                <w:rFonts w:ascii="Times New Roman" w:eastAsia="Calibri" w:hAnsi="Times New Roman" w:cs="Times New Roman"/>
                <w:sz w:val="26"/>
                <w:szCs w:val="26"/>
              </w:rPr>
            </w:pPr>
          </w:p>
        </w:tc>
        <w:tc>
          <w:tcPr>
            <w:tcW w:w="598"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1BD32BA5"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w:t>
            </w:r>
          </w:p>
        </w:tc>
        <w:tc>
          <w:tcPr>
            <w:tcW w:w="550"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0F3E08E6"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165</w:t>
            </w:r>
          </w:p>
        </w:tc>
        <w:tc>
          <w:tcPr>
            <w:tcW w:w="885"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59E81C9F"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160 hrs.</w:t>
            </w:r>
          </w:p>
          <w:p w:rsidR="00DC06A5" w:rsidRPr="00DC06A5" w:rsidP="00DC06A5" w14:paraId="389EDB06"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$11,307.20</w:t>
            </w:r>
          </w:p>
        </w:tc>
        <w:tc>
          <w:tcPr>
            <w:tcW w:w="720"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41455829"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26,400 hrs.</w:t>
            </w:r>
          </w:p>
          <w:p w:rsidR="00DC06A5" w:rsidRPr="00DC06A5" w:rsidP="00DC06A5" w14:paraId="1C53F4B7"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 xml:space="preserve">$1,865,688 </w:t>
            </w:r>
          </w:p>
        </w:tc>
        <w:tc>
          <w:tcPr>
            <w:tcW w:w="885"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5BDFBF76"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$11,307.20</w:t>
            </w:r>
          </w:p>
        </w:tc>
      </w:tr>
      <w:tr w14:paraId="47A7884C" w14:textId="77777777" w:rsidTr="00C63F30">
        <w:tblPrEx>
          <w:tblW w:w="5489" w:type="pct"/>
          <w:jc w:val="center"/>
          <w:tblLook w:val="01E0"/>
        </w:tblPrEx>
        <w:trPr>
          <w:cantSplit/>
          <w:jc w:val="center"/>
        </w:trPr>
        <w:tc>
          <w:tcPr>
            <w:tcW w:w="679" w:type="pct"/>
            <w:tcBorders>
              <w:top w:val="single" w:sz="4" w:space="0" w:color="auto"/>
              <w:left w:val="single" w:sz="4" w:space="0" w:color="auto"/>
              <w:bottom w:val="single" w:sz="4" w:space="0" w:color="auto"/>
              <w:right w:val="single" w:sz="4" w:space="0" w:color="auto"/>
            </w:tcBorders>
            <w:hideMark/>
          </w:tcPr>
          <w:p w:rsidR="00DC06A5" w:rsidRPr="00DC06A5" w:rsidP="00DC06A5" w14:paraId="507B77CC" w14:textId="77777777">
            <w:pPr>
              <w:spacing w:after="0" w:line="240" w:lineRule="auto"/>
              <w:rPr>
                <w:rFonts w:ascii="Times New Roman" w:eastAsia="Calibri" w:hAnsi="Times New Roman" w:cs="Times New Roman"/>
                <w:sz w:val="26"/>
                <w:szCs w:val="26"/>
              </w:rPr>
            </w:pPr>
            <w:r w:rsidRPr="00DC06A5">
              <w:rPr>
                <w:rFonts w:ascii="Times New Roman" w:eastAsia="Calibri" w:hAnsi="Times New Roman" w:cs="Times New Roman"/>
                <w:sz w:val="26"/>
                <w:szCs w:val="26"/>
              </w:rPr>
              <w:t>VAR-002-4.1</w:t>
            </w:r>
          </w:p>
          <w:p w:rsidR="00DC06A5" w:rsidRPr="00DC06A5" w:rsidP="00DC06A5" w14:paraId="2BAFAB39" w14:textId="77777777">
            <w:pPr>
              <w:spacing w:after="0" w:line="240" w:lineRule="auto"/>
              <w:rPr>
                <w:rFonts w:ascii="Times New Roman" w:eastAsia="Calibri" w:hAnsi="Times New Roman" w:cs="Times New Roman"/>
                <w:sz w:val="26"/>
                <w:szCs w:val="26"/>
              </w:rPr>
            </w:pPr>
            <w:r w:rsidRPr="00DC06A5">
              <w:rPr>
                <w:rFonts w:ascii="Times New Roman" w:eastAsia="Calibri" w:hAnsi="Times New Roman" w:cs="Times New Roman"/>
                <w:sz w:val="26"/>
                <w:szCs w:val="26"/>
              </w:rPr>
              <w:t xml:space="preserve">Compliance and record-keeping </w:t>
            </w:r>
          </w:p>
        </w:tc>
        <w:tc>
          <w:tcPr>
            <w:tcW w:w="678"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0D486295"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1,028 (GOP)</w:t>
            </w:r>
          </w:p>
        </w:tc>
        <w:tc>
          <w:tcPr>
            <w:tcW w:w="598"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2CFA9C70"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w:t>
            </w:r>
          </w:p>
        </w:tc>
        <w:tc>
          <w:tcPr>
            <w:tcW w:w="550"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255031E8"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1,028</w:t>
            </w:r>
          </w:p>
        </w:tc>
        <w:tc>
          <w:tcPr>
            <w:tcW w:w="885"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1097541F"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200 hrs.</w:t>
            </w:r>
          </w:p>
          <w:p w:rsidR="00DC06A5" w:rsidRPr="00DC06A5" w:rsidP="00DC06A5" w14:paraId="1882DDA4"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$14,134</w:t>
            </w:r>
          </w:p>
        </w:tc>
        <w:tc>
          <w:tcPr>
            <w:tcW w:w="720"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6F7D8EC7"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205,600 hrs.</w:t>
            </w:r>
          </w:p>
          <w:p w:rsidR="00DC06A5" w:rsidRPr="00DC06A5" w:rsidP="00DC06A5" w14:paraId="3EDB5CF5"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$14,529,752</w:t>
            </w:r>
          </w:p>
        </w:tc>
        <w:tc>
          <w:tcPr>
            <w:tcW w:w="885" w:type="pct"/>
            <w:tcBorders>
              <w:top w:val="single" w:sz="4" w:space="0" w:color="auto"/>
              <w:left w:val="single" w:sz="4" w:space="0" w:color="auto"/>
              <w:bottom w:val="single" w:sz="4" w:space="0" w:color="auto"/>
              <w:right w:val="single" w:sz="4" w:space="0" w:color="auto"/>
            </w:tcBorders>
            <w:vAlign w:val="center"/>
            <w:hideMark/>
          </w:tcPr>
          <w:p w:rsidR="00DC06A5" w:rsidRPr="00DC06A5" w:rsidP="00DC06A5" w14:paraId="0089F5CE" w14:textId="77777777">
            <w:pPr>
              <w:spacing w:after="0" w:line="240" w:lineRule="auto"/>
              <w:jc w:val="right"/>
              <w:rPr>
                <w:rFonts w:ascii="Times New Roman" w:eastAsia="Calibri" w:hAnsi="Times New Roman" w:cs="Times New Roman"/>
                <w:sz w:val="26"/>
                <w:szCs w:val="26"/>
              </w:rPr>
            </w:pPr>
            <w:r w:rsidRPr="00DC06A5">
              <w:rPr>
                <w:rFonts w:ascii="Times New Roman" w:eastAsia="Calibri" w:hAnsi="Times New Roman" w:cs="Times New Roman"/>
                <w:sz w:val="26"/>
                <w:szCs w:val="26"/>
              </w:rPr>
              <w:t>$14,134</w:t>
            </w:r>
          </w:p>
        </w:tc>
      </w:tr>
      <w:tr w14:paraId="5BA6AC1D" w14:textId="77777777" w:rsidTr="00C63F30">
        <w:tblPrEx>
          <w:tblW w:w="5489" w:type="pct"/>
          <w:jc w:val="center"/>
          <w:tblLook w:val="01E0"/>
        </w:tblPrEx>
        <w:trPr>
          <w:cantSplit/>
          <w:trHeight w:val="485"/>
          <w:jc w:val="center"/>
        </w:trPr>
        <w:tc>
          <w:tcPr>
            <w:tcW w:w="679" w:type="pct"/>
            <w:tcBorders>
              <w:top w:val="single" w:sz="4" w:space="0" w:color="auto"/>
              <w:left w:val="single" w:sz="4" w:space="0" w:color="auto"/>
              <w:bottom w:val="single" w:sz="4" w:space="0" w:color="auto"/>
              <w:right w:val="single" w:sz="4" w:space="0" w:color="auto"/>
            </w:tcBorders>
            <w:hideMark/>
          </w:tcPr>
          <w:p w:rsidR="00DC06A5" w:rsidRPr="00DC06A5" w:rsidP="00DC06A5" w14:paraId="0124A8C0" w14:textId="77777777">
            <w:pPr>
              <w:spacing w:after="0" w:line="240" w:lineRule="auto"/>
              <w:rPr>
                <w:rFonts w:ascii="Times New Roman" w:eastAsia="Calibri" w:hAnsi="Times New Roman" w:cs="Times New Roman"/>
                <w:b/>
                <w:sz w:val="26"/>
                <w:szCs w:val="26"/>
              </w:rPr>
            </w:pPr>
            <w:r w:rsidRPr="00DC06A5">
              <w:rPr>
                <w:rFonts w:ascii="Times New Roman" w:eastAsia="Calibri" w:hAnsi="Times New Roman" w:cs="Times New Roman"/>
                <w:b/>
                <w:sz w:val="26"/>
                <w:szCs w:val="26"/>
              </w:rPr>
              <w:t>TOTAL</w:t>
            </w:r>
          </w:p>
        </w:tc>
        <w:tc>
          <w:tcPr>
            <w:tcW w:w="1276" w:type="pct"/>
            <w:gridSpan w:val="2"/>
            <w:tcBorders>
              <w:top w:val="single" w:sz="4" w:space="0" w:color="auto"/>
              <w:left w:val="single" w:sz="4" w:space="0" w:color="auto"/>
              <w:bottom w:val="single" w:sz="4" w:space="0" w:color="auto"/>
              <w:right w:val="single" w:sz="4" w:space="0" w:color="auto"/>
            </w:tcBorders>
            <w:shd w:val="clear" w:color="auto" w:fill="D9D9D9"/>
          </w:tcPr>
          <w:p w:rsidR="00DC06A5" w:rsidRPr="00DC06A5" w:rsidP="00DC06A5" w14:paraId="766A8438" w14:textId="77777777">
            <w:pPr>
              <w:spacing w:after="0" w:line="240" w:lineRule="auto"/>
              <w:jc w:val="right"/>
              <w:rPr>
                <w:rFonts w:ascii="Times New Roman" w:eastAsia="Calibri" w:hAnsi="Times New Roman" w:cs="Times New Roman"/>
                <w:b/>
                <w:bCs/>
                <w:sz w:val="26"/>
                <w:szCs w:val="26"/>
              </w:rPr>
            </w:pPr>
          </w:p>
        </w:tc>
        <w:tc>
          <w:tcPr>
            <w:tcW w:w="550" w:type="pct"/>
            <w:tcBorders>
              <w:top w:val="single" w:sz="4" w:space="0" w:color="auto"/>
              <w:left w:val="single" w:sz="4" w:space="0" w:color="auto"/>
              <w:bottom w:val="single" w:sz="4" w:space="0" w:color="auto"/>
              <w:right w:val="single" w:sz="4" w:space="0" w:color="auto"/>
            </w:tcBorders>
            <w:hideMark/>
          </w:tcPr>
          <w:p w:rsidR="00DC06A5" w:rsidRPr="00DC06A5" w:rsidP="00DC06A5" w14:paraId="6F5F5A91" w14:textId="77777777">
            <w:pPr>
              <w:spacing w:after="0" w:line="240" w:lineRule="auto"/>
              <w:jc w:val="right"/>
              <w:rPr>
                <w:rFonts w:ascii="Times New Roman" w:eastAsia="Calibri" w:hAnsi="Times New Roman" w:cs="Times New Roman"/>
                <w:b/>
                <w:bCs/>
                <w:sz w:val="26"/>
                <w:szCs w:val="26"/>
              </w:rPr>
            </w:pPr>
            <w:r w:rsidRPr="00DC06A5">
              <w:rPr>
                <w:rFonts w:ascii="Times New Roman" w:eastAsia="Calibri" w:hAnsi="Times New Roman" w:cs="Times New Roman"/>
                <w:b/>
                <w:bCs/>
                <w:sz w:val="26"/>
                <w:szCs w:val="26"/>
              </w:rPr>
              <w:t>1,193</w:t>
            </w:r>
          </w:p>
        </w:tc>
        <w:tc>
          <w:tcPr>
            <w:tcW w:w="885" w:type="pct"/>
            <w:tcBorders>
              <w:top w:val="single" w:sz="4" w:space="0" w:color="auto"/>
              <w:left w:val="single" w:sz="4" w:space="0" w:color="auto"/>
              <w:bottom w:val="single" w:sz="4" w:space="0" w:color="auto"/>
              <w:right w:val="single" w:sz="4" w:space="0" w:color="auto"/>
            </w:tcBorders>
            <w:shd w:val="clear" w:color="auto" w:fill="D9D9D9"/>
          </w:tcPr>
          <w:p w:rsidR="00DC06A5" w:rsidRPr="00DC06A5" w:rsidP="00DC06A5" w14:paraId="38226C94" w14:textId="77777777">
            <w:pPr>
              <w:spacing w:after="0" w:line="240" w:lineRule="auto"/>
              <w:jc w:val="right"/>
              <w:rPr>
                <w:rFonts w:ascii="Times New Roman" w:eastAsia="Calibri" w:hAnsi="Times New Roman" w:cs="Times New Roman"/>
                <w:b/>
                <w:bCs/>
                <w:sz w:val="26"/>
                <w:szCs w:val="26"/>
              </w:rPr>
            </w:pPr>
          </w:p>
        </w:tc>
        <w:tc>
          <w:tcPr>
            <w:tcW w:w="720" w:type="pct"/>
            <w:tcBorders>
              <w:top w:val="single" w:sz="4" w:space="0" w:color="auto"/>
              <w:left w:val="single" w:sz="4" w:space="0" w:color="auto"/>
              <w:bottom w:val="single" w:sz="4" w:space="0" w:color="auto"/>
              <w:right w:val="single" w:sz="4" w:space="0" w:color="auto"/>
            </w:tcBorders>
            <w:hideMark/>
          </w:tcPr>
          <w:p w:rsidR="00DC06A5" w:rsidRPr="00DC06A5" w:rsidP="00DC06A5" w14:paraId="1BAC4601" w14:textId="77777777">
            <w:pPr>
              <w:spacing w:after="0" w:line="240" w:lineRule="auto"/>
              <w:jc w:val="right"/>
              <w:rPr>
                <w:rFonts w:ascii="Times New Roman" w:eastAsia="Calibri" w:hAnsi="Times New Roman" w:cs="Times New Roman"/>
                <w:b/>
                <w:bCs/>
                <w:sz w:val="26"/>
                <w:szCs w:val="26"/>
              </w:rPr>
            </w:pPr>
            <w:r w:rsidRPr="00DC06A5">
              <w:rPr>
                <w:rFonts w:ascii="Times New Roman" w:eastAsia="Calibri" w:hAnsi="Times New Roman" w:cs="Times New Roman"/>
                <w:b/>
                <w:bCs/>
                <w:sz w:val="26"/>
                <w:szCs w:val="26"/>
              </w:rPr>
              <w:t>232,000 hrs.</w:t>
            </w:r>
          </w:p>
          <w:p w:rsidR="00DC06A5" w:rsidRPr="00DC06A5" w:rsidP="00DC06A5" w14:paraId="3B065ED8" w14:textId="77777777">
            <w:pPr>
              <w:spacing w:after="0" w:line="240" w:lineRule="auto"/>
              <w:jc w:val="right"/>
              <w:rPr>
                <w:rFonts w:ascii="Times New Roman" w:eastAsia="Calibri" w:hAnsi="Times New Roman" w:cs="Times New Roman"/>
                <w:b/>
                <w:bCs/>
                <w:sz w:val="26"/>
                <w:szCs w:val="26"/>
              </w:rPr>
            </w:pPr>
            <w:r w:rsidRPr="00DC06A5">
              <w:rPr>
                <w:rFonts w:ascii="Times New Roman" w:eastAsia="Calibri" w:hAnsi="Times New Roman" w:cs="Times New Roman"/>
                <w:b/>
                <w:bCs/>
                <w:sz w:val="26"/>
                <w:szCs w:val="26"/>
              </w:rPr>
              <w:t>$16,395,440</w:t>
            </w:r>
          </w:p>
        </w:tc>
        <w:tc>
          <w:tcPr>
            <w:tcW w:w="885" w:type="pct"/>
            <w:tcBorders>
              <w:top w:val="single" w:sz="4" w:space="0" w:color="auto"/>
              <w:left w:val="single" w:sz="4" w:space="0" w:color="auto"/>
              <w:bottom w:val="single" w:sz="4" w:space="0" w:color="auto"/>
              <w:right w:val="single" w:sz="4" w:space="0" w:color="auto"/>
            </w:tcBorders>
            <w:shd w:val="clear" w:color="auto" w:fill="D9D9D9"/>
          </w:tcPr>
          <w:p w:rsidR="00DC06A5" w:rsidRPr="00DC06A5" w:rsidP="00DC06A5" w14:paraId="7E714D12" w14:textId="77777777">
            <w:pPr>
              <w:spacing w:after="0" w:line="240" w:lineRule="auto"/>
              <w:jc w:val="right"/>
              <w:rPr>
                <w:rFonts w:ascii="Times New Roman" w:eastAsia="Calibri" w:hAnsi="Times New Roman" w:cs="Times New Roman"/>
                <w:b/>
                <w:bCs/>
                <w:sz w:val="26"/>
                <w:szCs w:val="26"/>
              </w:rPr>
            </w:pPr>
          </w:p>
        </w:tc>
      </w:tr>
    </w:tbl>
    <w:p w:rsidR="003E1BE7" w:rsidP="003E1BE7" w14:paraId="05EAF106" w14:textId="2425C90D">
      <w:pPr>
        <w:spacing w:after="0"/>
        <w:rPr>
          <w:rFonts w:ascii="Times New Roman" w:hAnsi="Times New Roman" w:cs="Times New Roman"/>
          <w:b/>
          <w:sz w:val="24"/>
          <w:szCs w:val="24"/>
        </w:rPr>
      </w:pPr>
    </w:p>
    <w:p w:rsidR="00DC06A5" w:rsidRPr="003E1BE7" w:rsidP="003E1BE7" w14:paraId="46209D1B" w14:textId="77777777">
      <w:pPr>
        <w:spacing w:after="0"/>
        <w:rPr>
          <w:rFonts w:ascii="Times New Roman" w:hAnsi="Times New Roman" w:cs="Times New Roman"/>
          <w:b/>
          <w:sz w:val="24"/>
          <w:szCs w:val="24"/>
        </w:rPr>
      </w:pPr>
    </w:p>
    <w:p w:rsidR="00AE14A8" w:rsidP="00D80FBD" w14:paraId="0DE6E184" w14:textId="47194AFA">
      <w:pPr>
        <w:spacing w:after="0"/>
        <w:rPr>
          <w:rFonts w:ascii="Times New Roman" w:hAnsi="Times New Roman" w:cs="Times New Roman"/>
          <w:sz w:val="24"/>
          <w:szCs w:val="24"/>
        </w:rPr>
      </w:pPr>
    </w:p>
    <w:p w:rsidR="002C5784" w:rsidP="002C5784" w14:paraId="026CA84A" w14:textId="1FF5BFB4">
      <w:pPr>
        <w:spacing w:after="0"/>
        <w:rPr>
          <w:rFonts w:ascii="Times New Roman" w:hAnsi="Times New Roman" w:cs="Times New Roman"/>
          <w:sz w:val="24"/>
          <w:szCs w:val="24"/>
        </w:rPr>
      </w:pPr>
      <w:r>
        <w:rPr>
          <w:rFonts w:ascii="Times New Roman" w:hAnsi="Times New Roman" w:cs="Times New Roman"/>
          <w:sz w:val="24"/>
          <w:szCs w:val="24"/>
        </w:rPr>
        <w:t>The burden for the FERC-725X</w:t>
      </w:r>
      <w:r w:rsidR="006437A2">
        <w:rPr>
          <w:rFonts w:ascii="Times New Roman" w:hAnsi="Times New Roman" w:cs="Times New Roman"/>
          <w:sz w:val="24"/>
          <w:szCs w:val="24"/>
        </w:rPr>
        <w:t xml:space="preserve"> information collection includes estimates related </w:t>
      </w:r>
      <w:r w:rsidR="006E48BC">
        <w:rPr>
          <w:rFonts w:ascii="Times New Roman" w:hAnsi="Times New Roman" w:cs="Times New Roman"/>
          <w:sz w:val="24"/>
          <w:szCs w:val="24"/>
        </w:rPr>
        <w:t xml:space="preserve">to </w:t>
      </w:r>
      <w:r>
        <w:rPr>
          <w:rFonts w:ascii="Times New Roman" w:hAnsi="Times New Roman" w:cs="Times New Roman"/>
          <w:sz w:val="24"/>
          <w:szCs w:val="24"/>
        </w:rPr>
        <w:t xml:space="preserve">both of the </w:t>
      </w:r>
      <w:r w:rsidR="006437A2">
        <w:rPr>
          <w:rFonts w:ascii="Times New Roman" w:hAnsi="Times New Roman" w:cs="Times New Roman"/>
          <w:sz w:val="24"/>
          <w:szCs w:val="24"/>
        </w:rPr>
        <w:t>previously approved Reliability Standards</w:t>
      </w:r>
      <w:r>
        <w:rPr>
          <w:rFonts w:ascii="Times New Roman" w:hAnsi="Times New Roman" w:cs="Times New Roman"/>
          <w:sz w:val="24"/>
          <w:szCs w:val="24"/>
        </w:rPr>
        <w:t xml:space="preserve"> (VAR-001-4</w:t>
      </w:r>
      <w:r w:rsidR="00E453EB">
        <w:rPr>
          <w:rFonts w:ascii="Times New Roman" w:hAnsi="Times New Roman" w:cs="Times New Roman"/>
          <w:sz w:val="24"/>
          <w:szCs w:val="24"/>
        </w:rPr>
        <w:t>.2 and VAR-002-4.1</w:t>
      </w:r>
      <w:r>
        <w:rPr>
          <w:rFonts w:ascii="Times New Roman" w:hAnsi="Times New Roman" w:cs="Times New Roman"/>
          <w:sz w:val="24"/>
          <w:szCs w:val="24"/>
        </w:rPr>
        <w:t>)</w:t>
      </w:r>
      <w:r w:rsidR="006437A2">
        <w:rPr>
          <w:rFonts w:ascii="Times New Roman" w:hAnsi="Times New Roman" w:cs="Times New Roman"/>
          <w:sz w:val="24"/>
          <w:szCs w:val="24"/>
        </w:rPr>
        <w:t>.</w:t>
      </w:r>
      <w:r w:rsidR="00CE0A63">
        <w:rPr>
          <w:rFonts w:ascii="Times New Roman" w:hAnsi="Times New Roman" w:cs="Times New Roman"/>
          <w:sz w:val="24"/>
          <w:szCs w:val="24"/>
        </w:rPr>
        <w:t xml:space="preserve"> </w:t>
      </w:r>
    </w:p>
    <w:p w:rsidR="00DE18D9" w:rsidRPr="00DE18D9" w:rsidP="002C5784" w14:paraId="00756926" w14:textId="3976D67C">
      <w:pPr>
        <w:spacing w:after="0"/>
        <w:rPr>
          <w:rFonts w:ascii="Times New Roman" w:hAnsi="Times New Roman" w:cs="Times New Roman"/>
          <w:sz w:val="24"/>
          <w:szCs w:val="24"/>
        </w:rPr>
      </w:pPr>
      <w:r w:rsidRPr="00DE18D9">
        <w:rPr>
          <w:rFonts w:ascii="Times New Roman" w:hAnsi="Times New Roman" w:cs="Times New Roman"/>
          <w:sz w:val="24"/>
          <w:szCs w:val="24"/>
        </w:rPr>
        <w:t xml:space="preserve">The total annual </w:t>
      </w:r>
      <w:r w:rsidR="000A49C8">
        <w:rPr>
          <w:rFonts w:ascii="Times New Roman" w:hAnsi="Times New Roman" w:cs="Times New Roman"/>
          <w:sz w:val="24"/>
          <w:szCs w:val="24"/>
        </w:rPr>
        <w:t>burden and cost of the FERC-725X</w:t>
      </w:r>
      <w:r w:rsidRPr="00DE18D9">
        <w:rPr>
          <w:rFonts w:ascii="Times New Roman" w:hAnsi="Times New Roman" w:cs="Times New Roman"/>
          <w:sz w:val="24"/>
          <w:szCs w:val="24"/>
        </w:rPr>
        <w:t xml:space="preserve"> </w:t>
      </w:r>
      <w:r w:rsidR="000A49C8">
        <w:rPr>
          <w:rFonts w:ascii="Times New Roman" w:hAnsi="Times New Roman" w:cs="Times New Roman"/>
          <w:sz w:val="24"/>
          <w:szCs w:val="24"/>
        </w:rPr>
        <w:t xml:space="preserve">information collection is </w:t>
      </w:r>
      <w:r w:rsidR="003E1BE7">
        <w:rPr>
          <w:rFonts w:ascii="Times New Roman" w:hAnsi="Times New Roman" w:cs="Times New Roman"/>
          <w:sz w:val="24"/>
          <w:szCs w:val="24"/>
        </w:rPr>
        <w:t>2</w:t>
      </w:r>
      <w:r w:rsidR="003645F9">
        <w:rPr>
          <w:rFonts w:ascii="Times New Roman" w:hAnsi="Times New Roman" w:cs="Times New Roman"/>
          <w:sz w:val="24"/>
          <w:szCs w:val="24"/>
        </w:rPr>
        <w:t>32</w:t>
      </w:r>
      <w:r w:rsidR="003E1BE7">
        <w:rPr>
          <w:rFonts w:ascii="Times New Roman" w:hAnsi="Times New Roman" w:cs="Times New Roman"/>
          <w:sz w:val="24"/>
          <w:szCs w:val="24"/>
        </w:rPr>
        <w:t>,</w:t>
      </w:r>
      <w:r w:rsidR="003645F9">
        <w:rPr>
          <w:rFonts w:ascii="Times New Roman" w:hAnsi="Times New Roman" w:cs="Times New Roman"/>
          <w:sz w:val="24"/>
          <w:szCs w:val="24"/>
        </w:rPr>
        <w:t xml:space="preserve">000 </w:t>
      </w:r>
      <w:r w:rsidR="003E1BE7">
        <w:rPr>
          <w:rFonts w:ascii="Times New Roman" w:hAnsi="Times New Roman" w:cs="Times New Roman"/>
          <w:sz w:val="24"/>
          <w:szCs w:val="24"/>
        </w:rPr>
        <w:t>hours</w:t>
      </w:r>
      <w:r w:rsidR="000A49C8">
        <w:rPr>
          <w:rFonts w:ascii="Times New Roman" w:hAnsi="Times New Roman" w:cs="Times New Roman"/>
          <w:sz w:val="24"/>
          <w:szCs w:val="24"/>
        </w:rPr>
        <w:t xml:space="preserve"> and </w:t>
      </w:r>
      <w:r w:rsidR="003E1BE7">
        <w:rPr>
          <w:rFonts w:ascii="Times New Roman" w:hAnsi="Times New Roman" w:cs="Times New Roman"/>
          <w:sz w:val="24"/>
          <w:szCs w:val="24"/>
        </w:rPr>
        <w:t>$1</w:t>
      </w:r>
      <w:r w:rsidR="003645F9">
        <w:rPr>
          <w:rFonts w:ascii="Times New Roman" w:hAnsi="Times New Roman" w:cs="Times New Roman"/>
          <w:sz w:val="24"/>
          <w:szCs w:val="24"/>
        </w:rPr>
        <w:t>6</w:t>
      </w:r>
      <w:r w:rsidR="003E1BE7">
        <w:rPr>
          <w:rFonts w:ascii="Times New Roman" w:hAnsi="Times New Roman" w:cs="Times New Roman"/>
          <w:sz w:val="24"/>
          <w:szCs w:val="24"/>
        </w:rPr>
        <w:t>,</w:t>
      </w:r>
      <w:r w:rsidR="003645F9">
        <w:rPr>
          <w:rFonts w:ascii="Times New Roman" w:hAnsi="Times New Roman" w:cs="Times New Roman"/>
          <w:sz w:val="24"/>
          <w:szCs w:val="24"/>
        </w:rPr>
        <w:t>395</w:t>
      </w:r>
      <w:r w:rsidR="00375B89">
        <w:rPr>
          <w:rFonts w:ascii="Times New Roman" w:hAnsi="Times New Roman" w:cs="Times New Roman"/>
          <w:sz w:val="24"/>
          <w:szCs w:val="24"/>
        </w:rPr>
        <w:t>,</w:t>
      </w:r>
      <w:r w:rsidR="003645F9">
        <w:rPr>
          <w:rFonts w:ascii="Times New Roman" w:hAnsi="Times New Roman" w:cs="Times New Roman"/>
          <w:sz w:val="24"/>
          <w:szCs w:val="24"/>
        </w:rPr>
        <w:t>440</w:t>
      </w:r>
      <w:r w:rsidR="00C15264">
        <w:rPr>
          <w:rFonts w:ascii="Times New Roman" w:hAnsi="Times New Roman" w:cs="Times New Roman"/>
          <w:sz w:val="24"/>
          <w:szCs w:val="24"/>
        </w:rPr>
        <w:t xml:space="preserve"> (rounded)</w:t>
      </w:r>
      <w:r w:rsidRPr="00DE18D9">
        <w:rPr>
          <w:rFonts w:ascii="Times New Roman" w:hAnsi="Times New Roman" w:cs="Times New Roman"/>
          <w:sz w:val="24"/>
          <w:szCs w:val="24"/>
        </w:rPr>
        <w:t>.</w:t>
      </w:r>
      <w:r w:rsidR="000446EC">
        <w:rPr>
          <w:rFonts w:ascii="Times New Roman" w:hAnsi="Times New Roman" w:cs="Times New Roman"/>
          <w:sz w:val="24"/>
          <w:szCs w:val="24"/>
        </w:rPr>
        <w:t>up</w:t>
      </w:r>
    </w:p>
    <w:p w:rsidR="00EA5C58" w:rsidRPr="00D80FBD" w:rsidP="008D310F" w14:paraId="15AB793E" w14:textId="77777777">
      <w:pPr>
        <w:spacing w:after="0"/>
        <w:rPr>
          <w:rFonts w:ascii="Times New Roman" w:hAnsi="Times New Roman" w:cs="Times New Roman"/>
          <w:sz w:val="24"/>
          <w:szCs w:val="24"/>
        </w:rPr>
      </w:pPr>
    </w:p>
    <w:p w:rsidR="00D80FBD" w:rsidRPr="00414F32" w:rsidP="00A72E7B"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14:paraId="1A0B2949" w14:textId="77777777">
      <w:pPr>
        <w:spacing w:after="0"/>
        <w:rPr>
          <w:rFonts w:ascii="Times New Roman" w:hAnsi="Times New Roman" w:cs="Times New Roman"/>
          <w:sz w:val="24"/>
          <w:szCs w:val="24"/>
        </w:rPr>
      </w:pPr>
    </w:p>
    <w:p w:rsidR="0074195A" w:rsidRPr="0074195A" w:rsidP="0074195A" w14:paraId="393B90F0" w14:textId="44F2824C">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0A49C8">
        <w:rPr>
          <w:rFonts w:ascii="Times New Roman" w:hAnsi="Times New Roman" w:cs="Times New Roman"/>
          <w:sz w:val="24"/>
          <w:szCs w:val="24"/>
        </w:rPr>
        <w:t xml:space="preserve"> FERC-725X</w:t>
      </w:r>
      <w:r w:rsidRPr="0074195A">
        <w:rPr>
          <w:rFonts w:ascii="Times New Roman" w:hAnsi="Times New Roman" w:cs="Times New Roman"/>
          <w:sz w:val="24"/>
          <w:szCs w:val="24"/>
        </w:rPr>
        <w:t>.</w:t>
      </w:r>
    </w:p>
    <w:p w:rsidR="0074195A" w:rsidRPr="0074195A" w:rsidP="0074195A" w14:paraId="3D34229A" w14:textId="77777777">
      <w:pPr>
        <w:spacing w:after="0"/>
        <w:rPr>
          <w:rFonts w:ascii="Times New Roman" w:hAnsi="Times New Roman" w:cs="Times New Roman"/>
          <w:sz w:val="24"/>
          <w:szCs w:val="24"/>
        </w:rPr>
      </w:pPr>
    </w:p>
    <w:p w:rsidR="00E636D7" w:rsidP="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0074195A" w:rsidRPr="00E636D7" w:rsidP="0074195A" w14:paraId="33245613" w14:textId="77777777">
      <w:pPr>
        <w:spacing w:after="0"/>
        <w:rPr>
          <w:rFonts w:ascii="Times New Roman" w:hAnsi="Times New Roman" w:cs="Times New Roman"/>
          <w:sz w:val="24"/>
          <w:szCs w:val="24"/>
        </w:rPr>
      </w:pPr>
    </w:p>
    <w:p w:rsidR="00E636D7" w:rsidRPr="00414F32" w:rsidP="00A72E7B"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14:paraId="68BEC129" w14:textId="77777777">
      <w:pPr>
        <w:spacing w:after="0"/>
        <w:rPr>
          <w:rFonts w:ascii="Times New Roman" w:hAnsi="Times New Roman" w:cs="Times New Roman"/>
          <w:sz w:val="24"/>
          <w:szCs w:val="24"/>
        </w:rPr>
      </w:pPr>
    </w:p>
    <w:p w:rsidR="00D85DBB" w:rsidP="00D85DBB" w14:paraId="37038A7A" w14:textId="0FF6338F">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Pr="00E67CF3" w:rsid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Pr="00E67CF3" w:rsid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rsidR="00D85DBB" w:rsidP="00A276F5" w14:paraId="20A27179" w14:textId="77777777">
      <w:pPr>
        <w:spacing w:after="0"/>
        <w:rPr>
          <w:rFonts w:ascii="Times New Roman" w:hAnsi="Times New Roman" w:cs="Times New Roman"/>
          <w:sz w:val="24"/>
          <w:szCs w:val="24"/>
        </w:rPr>
      </w:pPr>
    </w:p>
    <w:p w:rsidR="00A276F5" w:rsidP="00A276F5" w14:paraId="79052984" w14:textId="3878B023">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0A49C8">
        <w:rPr>
          <w:rFonts w:ascii="Times New Roman" w:hAnsi="Times New Roman" w:cs="Times New Roman"/>
          <w:sz w:val="24"/>
          <w:szCs w:val="24"/>
        </w:rPr>
        <w:t>ment for FERC-725X</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14:paraId="5616B52C"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002C63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630A34" w:rsidP="00630A34" w14:paraId="40313B84"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14:paraId="0442D0CC"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630A34" w:rsidP="00630A34" w14:paraId="60B348C3" w14:textId="5FC64EF7">
            <w:pPr>
              <w:spacing w:after="0"/>
              <w:rPr>
                <w:rFonts w:ascii="Times New Roman" w:hAnsi="Times New Roman" w:cs="Times New Roman"/>
                <w:sz w:val="24"/>
                <w:szCs w:val="24"/>
              </w:rPr>
            </w:pPr>
            <w:r>
              <w:rPr>
                <w:rFonts w:ascii="Times New Roman" w:hAnsi="Times New Roman" w:cs="Times New Roman"/>
                <w:sz w:val="24"/>
                <w:szCs w:val="24"/>
              </w:rPr>
              <w:t>FERC-725X</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Pr>
                <w:rFonts w:ascii="Times New Roman" w:hAnsi="Times New Roman" w:cs="Times New Roman"/>
                <w:sz w:val="24"/>
                <w:szCs w:val="24"/>
                <w:vertAlign w:val="superscript"/>
              </w:rPr>
              <w:footnoteReference w:id="13"/>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630A34" w:rsidP="00630A34" w14:paraId="58FB477E" w14:textId="77777777">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630A34" w:rsidP="00630A34" w14:paraId="3AF280C5" w14:textId="77777777">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14:paraId="574B7DA6"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P="00F82B8E"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Pr>
                <w:rFonts w:ascii="Times New Roman" w:hAnsi="Times New Roman" w:cs="Times New Roman"/>
                <w:sz w:val="24"/>
                <w:szCs w:val="24"/>
                <w:vertAlign w:val="superscript"/>
              </w:rPr>
              <w:footnoteReference w:id="14"/>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630A34" w:rsidP="00630A34" w14:paraId="443B14DA"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630A34" w:rsidP="00630A34" w14:paraId="299BC118" w14:textId="0A85B3CC">
            <w:pPr>
              <w:spacing w:after="0"/>
              <w:rPr>
                <w:rFonts w:ascii="Times New Roman" w:hAnsi="Times New Roman" w:cs="Times New Roman"/>
                <w:sz w:val="24"/>
                <w:szCs w:val="24"/>
              </w:rPr>
            </w:pPr>
            <w:r w:rsidRPr="00630A34">
              <w:rPr>
                <w:rFonts w:ascii="Times New Roman" w:hAnsi="Times New Roman" w:cs="Times New Roman"/>
                <w:sz w:val="24"/>
                <w:szCs w:val="24"/>
              </w:rPr>
              <w:t>$</w:t>
            </w:r>
            <w:r w:rsidR="00FF1AC3">
              <w:rPr>
                <w:rFonts w:ascii="Times New Roman" w:hAnsi="Times New Roman" w:cs="Times New Roman"/>
                <w:sz w:val="24"/>
                <w:szCs w:val="24"/>
              </w:rPr>
              <w:t>8,396</w:t>
            </w:r>
          </w:p>
        </w:tc>
      </w:tr>
      <w:tr w14:paraId="3CFDFA41" w14:textId="77777777" w:rsidTr="002C63E1">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630A34" w:rsidP="00630A34"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630A34" w:rsidP="00630A34" w14:paraId="1C18FB49"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630A34" w:rsidP="00E67CF3" w14:paraId="056CE0F0" w14:textId="7D62F940">
            <w:pPr>
              <w:spacing w:after="0"/>
              <w:rPr>
                <w:rFonts w:ascii="Times New Roman" w:hAnsi="Times New Roman" w:cs="Times New Roman"/>
                <w:sz w:val="24"/>
                <w:szCs w:val="24"/>
              </w:rPr>
            </w:pPr>
            <w:r w:rsidRPr="00630A34">
              <w:rPr>
                <w:rFonts w:ascii="Times New Roman" w:hAnsi="Times New Roman" w:cs="Times New Roman"/>
                <w:sz w:val="24"/>
                <w:szCs w:val="24"/>
              </w:rPr>
              <w:t>$</w:t>
            </w:r>
            <w:r w:rsidR="00FF1AC3">
              <w:rPr>
                <w:rFonts w:ascii="Times New Roman" w:hAnsi="Times New Roman" w:cs="Times New Roman"/>
                <w:sz w:val="24"/>
                <w:szCs w:val="24"/>
              </w:rPr>
              <w:t>8,396</w:t>
            </w:r>
          </w:p>
        </w:tc>
      </w:tr>
    </w:tbl>
    <w:p w:rsidR="006B437C" w:rsidRPr="006B437C" w:rsidP="006B437C" w14:paraId="767669C0" w14:textId="77777777">
      <w:pPr>
        <w:spacing w:after="0"/>
        <w:rPr>
          <w:rFonts w:ascii="Times New Roman" w:hAnsi="Times New Roman" w:cs="Times New Roman"/>
          <w:sz w:val="24"/>
          <w:szCs w:val="24"/>
        </w:rPr>
      </w:pPr>
    </w:p>
    <w:p w:rsidR="00630A34" w:rsidP="006B437C" w14:paraId="37C3D84C" w14:textId="2E1677B2">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r w:rsidR="007B34EB">
        <w:rPr>
          <w:rFonts w:ascii="Times New Roman" w:hAnsi="Times New Roman" w:cs="Times New Roman"/>
          <w:sz w:val="24"/>
          <w:szCs w:val="24"/>
        </w:rPr>
        <w:t>For this collection, there are no analysis and filings costs.</w:t>
      </w:r>
    </w:p>
    <w:p w:rsidR="00F82B8E" w:rsidP="006B437C" w14:paraId="51438554" w14:textId="77777777">
      <w:pPr>
        <w:spacing w:after="0"/>
        <w:rPr>
          <w:rFonts w:ascii="Times New Roman" w:hAnsi="Times New Roman" w:cs="Times New Roman"/>
          <w:sz w:val="24"/>
          <w:szCs w:val="24"/>
        </w:rPr>
      </w:pPr>
    </w:p>
    <w:p w:rsidR="00F82B8E" w:rsidP="006B437C" w14:paraId="265EC661" w14:textId="7541260A">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6B437C" w:rsidRPr="00A276F5" w:rsidP="006B437C" w14:paraId="6F4DA4A9" w14:textId="77777777">
      <w:pPr>
        <w:spacing w:after="0"/>
        <w:rPr>
          <w:rFonts w:ascii="Times New Roman" w:hAnsi="Times New Roman" w:cs="Times New Roman"/>
          <w:sz w:val="24"/>
          <w:szCs w:val="24"/>
        </w:rPr>
      </w:pPr>
    </w:p>
    <w:p w:rsidR="00A276F5" w:rsidRPr="00414F32" w:rsidP="00A72E7B"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3316E0" w:rsidRPr="003316E0" w:rsidP="003316E0" w14:paraId="3AFE43CF" w14:textId="77777777">
      <w:pPr>
        <w:spacing w:after="0"/>
        <w:rPr>
          <w:rFonts w:ascii="Times New Roman" w:hAnsi="Times New Roman" w:cs="Times New Roman"/>
          <w:sz w:val="24"/>
          <w:szCs w:val="24"/>
        </w:rPr>
      </w:pPr>
    </w:p>
    <w:p w:rsidR="006F4640" w:rsidP="00BE7025" w14:paraId="2167566C" w14:textId="77777777">
      <w:pPr>
        <w:spacing w:after="0"/>
        <w:rPr>
          <w:rFonts w:ascii="Times New Roman" w:hAnsi="Times New Roman" w:cs="Times New Roman"/>
          <w:sz w:val="24"/>
          <w:szCs w:val="24"/>
        </w:rPr>
      </w:pPr>
      <w:r>
        <w:rPr>
          <w:rFonts w:ascii="Times New Roman" w:hAnsi="Times New Roman" w:cs="Times New Roman"/>
          <w:sz w:val="24"/>
          <w:szCs w:val="24"/>
        </w:rPr>
        <w:t>There are no program changes or changes to reporting requirements for the FERC-725X information collection.</w:t>
      </w:r>
    </w:p>
    <w:p w:rsidR="009726E7" w:rsidRPr="009726E7" w:rsidP="009726E7" w14:paraId="5FF75751" w14:textId="77777777">
      <w:pPr>
        <w:spacing w:after="0"/>
        <w:rPr>
          <w:rFonts w:ascii="Times New Roman" w:hAnsi="Times New Roman" w:cs="Times New Roman"/>
          <w:sz w:val="24"/>
          <w:szCs w:val="24"/>
        </w:rPr>
      </w:pPr>
      <w:r w:rsidRPr="009726E7">
        <w:rPr>
          <w:rFonts w:ascii="Times New Roman" w:hAnsi="Times New Roman" w:cs="Times New Roman"/>
          <w:sz w:val="24"/>
          <w:szCs w:val="24"/>
        </w:rPr>
        <w:t>The Burden responses for FERC 725X was adjusted by agency estimate due to fluctuations.</w:t>
      </w:r>
    </w:p>
    <w:p w:rsidR="009726E7" w:rsidRPr="009726E7" w:rsidP="009726E7" w14:paraId="2EDDAD19" w14:textId="77777777">
      <w:pPr>
        <w:spacing w:after="0"/>
        <w:rPr>
          <w:rFonts w:ascii="Times New Roman" w:hAnsi="Times New Roman" w:cs="Times New Roman"/>
          <w:sz w:val="24"/>
          <w:szCs w:val="24"/>
        </w:rPr>
      </w:pPr>
    </w:p>
    <w:p w:rsidR="009726E7" w:rsidRPr="009726E7" w:rsidP="009726E7" w14:paraId="0946566D" w14:textId="66F452AE">
      <w:pPr>
        <w:spacing w:after="0"/>
        <w:rPr>
          <w:rFonts w:ascii="Times New Roman" w:hAnsi="Times New Roman" w:cs="Times New Roman"/>
          <w:sz w:val="24"/>
          <w:szCs w:val="24"/>
        </w:rPr>
      </w:pPr>
      <w:r w:rsidRPr="009726E7">
        <w:rPr>
          <w:rFonts w:ascii="Times New Roman" w:hAnsi="Times New Roman" w:cs="Times New Roman"/>
          <w:sz w:val="24"/>
          <w:szCs w:val="24"/>
        </w:rPr>
        <w:t xml:space="preserve">VAR-001-5 decreased by </w:t>
      </w:r>
      <w:r w:rsidR="006F731B">
        <w:rPr>
          <w:rFonts w:ascii="Times New Roman" w:hAnsi="Times New Roman" w:cs="Times New Roman"/>
          <w:sz w:val="24"/>
          <w:szCs w:val="24"/>
        </w:rPr>
        <w:t>-</w:t>
      </w:r>
      <w:r w:rsidRPr="009726E7">
        <w:rPr>
          <w:rFonts w:ascii="Times New Roman" w:hAnsi="Times New Roman" w:cs="Times New Roman"/>
          <w:sz w:val="24"/>
          <w:szCs w:val="24"/>
        </w:rPr>
        <w:t>2 burden responses.</w:t>
      </w:r>
    </w:p>
    <w:p w:rsidR="009726E7" w:rsidRPr="009726E7" w:rsidP="009726E7" w14:paraId="6A6E4BDE" w14:textId="77777777">
      <w:pPr>
        <w:spacing w:after="0"/>
        <w:rPr>
          <w:rFonts w:ascii="Times New Roman" w:hAnsi="Times New Roman" w:cs="Times New Roman"/>
          <w:sz w:val="24"/>
          <w:szCs w:val="24"/>
        </w:rPr>
      </w:pPr>
    </w:p>
    <w:p w:rsidR="009726E7" w:rsidP="009726E7" w14:paraId="40994B25" w14:textId="6946731E">
      <w:pPr>
        <w:spacing w:after="0"/>
        <w:rPr>
          <w:rFonts w:ascii="Times New Roman" w:hAnsi="Times New Roman" w:cs="Times New Roman"/>
          <w:sz w:val="24"/>
          <w:szCs w:val="24"/>
        </w:rPr>
      </w:pPr>
      <w:r w:rsidRPr="009726E7">
        <w:rPr>
          <w:rFonts w:ascii="Times New Roman" w:hAnsi="Times New Roman" w:cs="Times New Roman"/>
          <w:sz w:val="24"/>
          <w:szCs w:val="24"/>
        </w:rPr>
        <w:t xml:space="preserve">VAR-002-4.1 decreased by </w:t>
      </w:r>
      <w:r w:rsidR="006F731B">
        <w:rPr>
          <w:rFonts w:ascii="Times New Roman" w:hAnsi="Times New Roman" w:cs="Times New Roman"/>
          <w:sz w:val="24"/>
          <w:szCs w:val="24"/>
        </w:rPr>
        <w:t>-</w:t>
      </w:r>
      <w:r w:rsidRPr="009726E7">
        <w:rPr>
          <w:rFonts w:ascii="Times New Roman" w:hAnsi="Times New Roman" w:cs="Times New Roman"/>
          <w:sz w:val="24"/>
          <w:szCs w:val="24"/>
        </w:rPr>
        <w:t>846 burden responses.</w:t>
      </w:r>
    </w:p>
    <w:p w:rsidR="006F4640" w:rsidP="00BE7025" w14:paraId="6E1A690B" w14:textId="77777777">
      <w:pPr>
        <w:spacing w:after="0"/>
        <w:rPr>
          <w:rFonts w:ascii="Times New Roman" w:hAnsi="Times New Roman" w:cs="Times New Roman"/>
          <w:sz w:val="24"/>
          <w:szCs w:val="24"/>
        </w:rPr>
      </w:pPr>
    </w:p>
    <w:p w:rsidR="000158B8" w:rsidP="00BE7025" w14:paraId="68E5D5A9" w14:textId="2BF93874">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0A49C8">
        <w:rPr>
          <w:rFonts w:ascii="Times New Roman" w:hAnsi="Times New Roman" w:cs="Times New Roman"/>
          <w:sz w:val="24"/>
          <w:szCs w:val="24"/>
        </w:rPr>
        <w:t>the FERC-725X</w:t>
      </w:r>
      <w:r w:rsidR="007B193F">
        <w:rPr>
          <w:rFonts w:ascii="Times New Roman" w:hAnsi="Times New Roman" w:cs="Times New Roman"/>
          <w:sz w:val="24"/>
          <w:szCs w:val="24"/>
        </w:rPr>
        <w:t xml:space="preserve"> </w:t>
      </w:r>
      <w:r w:rsidR="00BE7025">
        <w:rPr>
          <w:rFonts w:ascii="Times New Roman" w:hAnsi="Times New Roman" w:cs="Times New Roman"/>
          <w:sz w:val="24"/>
          <w:szCs w:val="24"/>
        </w:rPr>
        <w:t xml:space="preserve">information collection </w:t>
      </w:r>
      <w:r w:rsidR="003E1BE7">
        <w:rPr>
          <w:rFonts w:ascii="Times New Roman" w:hAnsi="Times New Roman" w:cs="Times New Roman"/>
          <w:sz w:val="24"/>
          <w:szCs w:val="24"/>
        </w:rPr>
        <w:t>has</w:t>
      </w:r>
      <w:r w:rsidR="000A49C8">
        <w:rPr>
          <w:rFonts w:ascii="Times New Roman" w:hAnsi="Times New Roman" w:cs="Times New Roman"/>
          <w:sz w:val="24"/>
          <w:szCs w:val="24"/>
        </w:rPr>
        <w:t xml:space="preserve"> </w:t>
      </w:r>
      <w:r w:rsidR="003E1BE7">
        <w:rPr>
          <w:rFonts w:ascii="Times New Roman" w:hAnsi="Times New Roman" w:cs="Times New Roman"/>
          <w:sz w:val="24"/>
          <w:szCs w:val="24"/>
        </w:rPr>
        <w:t>de</w:t>
      </w:r>
      <w:r w:rsidR="000A49C8">
        <w:rPr>
          <w:rFonts w:ascii="Times New Roman" w:hAnsi="Times New Roman" w:cs="Times New Roman"/>
          <w:sz w:val="24"/>
          <w:szCs w:val="24"/>
        </w:rPr>
        <w:t>crease</w:t>
      </w:r>
      <w:r w:rsidR="003E1BE7">
        <w:rPr>
          <w:rFonts w:ascii="Times New Roman" w:hAnsi="Times New Roman" w:cs="Times New Roman"/>
          <w:sz w:val="24"/>
          <w:szCs w:val="24"/>
        </w:rPr>
        <w:t xml:space="preserve">d in the </w:t>
      </w:r>
      <w:r w:rsidR="00025C2E">
        <w:rPr>
          <w:rFonts w:ascii="Times New Roman" w:hAnsi="Times New Roman" w:cs="Times New Roman"/>
          <w:sz w:val="24"/>
          <w:szCs w:val="24"/>
        </w:rPr>
        <w:t>number</w:t>
      </w:r>
      <w:r w:rsidR="003E1BE7">
        <w:rPr>
          <w:rFonts w:ascii="Times New Roman" w:hAnsi="Times New Roman" w:cs="Times New Roman"/>
          <w:sz w:val="24"/>
          <w:szCs w:val="24"/>
        </w:rPr>
        <w:t xml:space="preserve"> of </w:t>
      </w:r>
      <w:r w:rsidR="007E37D2">
        <w:rPr>
          <w:rFonts w:ascii="Times New Roman" w:hAnsi="Times New Roman" w:cs="Times New Roman"/>
          <w:sz w:val="24"/>
          <w:szCs w:val="24"/>
        </w:rPr>
        <w:t>entities</w:t>
      </w:r>
      <w:r w:rsidR="003E1BE7">
        <w:rPr>
          <w:rFonts w:ascii="Times New Roman" w:hAnsi="Times New Roman" w:cs="Times New Roman"/>
          <w:sz w:val="24"/>
          <w:szCs w:val="24"/>
        </w:rPr>
        <w:t xml:space="preserve"> and burden hours. There was a difference in burden hours and cost by </w:t>
      </w:r>
      <w:r w:rsidR="006F731B">
        <w:rPr>
          <w:rFonts w:ascii="Times New Roman" w:hAnsi="Times New Roman" w:cs="Times New Roman"/>
          <w:sz w:val="24"/>
          <w:szCs w:val="24"/>
        </w:rPr>
        <w:t>+17,880</w:t>
      </w:r>
      <w:r w:rsidRPr="003E1BE7" w:rsidR="003E1BE7">
        <w:rPr>
          <w:rFonts w:ascii="Times New Roman" w:hAnsi="Times New Roman" w:cs="Times New Roman"/>
          <w:sz w:val="24"/>
          <w:szCs w:val="24"/>
        </w:rPr>
        <w:t xml:space="preserve"> hours</w:t>
      </w:r>
      <w:r w:rsidR="006F731B">
        <w:rPr>
          <w:rFonts w:ascii="Times New Roman" w:hAnsi="Times New Roman" w:cs="Times New Roman"/>
          <w:sz w:val="24"/>
          <w:szCs w:val="24"/>
        </w:rPr>
        <w:t xml:space="preserve"> (adjusted the burden </w:t>
      </w:r>
      <w:r w:rsidR="009453EA">
        <w:rPr>
          <w:rFonts w:ascii="Times New Roman" w:hAnsi="Times New Roman" w:cs="Times New Roman"/>
          <w:sz w:val="24"/>
          <w:szCs w:val="24"/>
        </w:rPr>
        <w:t>per</w:t>
      </w:r>
      <w:r w:rsidR="006F731B">
        <w:rPr>
          <w:rFonts w:ascii="Times New Roman" w:hAnsi="Times New Roman" w:cs="Times New Roman"/>
          <w:sz w:val="24"/>
          <w:szCs w:val="24"/>
        </w:rPr>
        <w:t xml:space="preserve"> response</w:t>
      </w:r>
      <w:r w:rsidR="009453EA">
        <w:rPr>
          <w:rFonts w:ascii="Times New Roman" w:hAnsi="Times New Roman" w:cs="Times New Roman"/>
          <w:sz w:val="24"/>
          <w:szCs w:val="24"/>
        </w:rPr>
        <w:t xml:space="preserve"> and re</w:t>
      </w:r>
      <w:r w:rsidR="00124405">
        <w:rPr>
          <w:rFonts w:ascii="Times New Roman" w:hAnsi="Times New Roman" w:cs="Times New Roman"/>
          <w:sz w:val="24"/>
          <w:szCs w:val="24"/>
        </w:rPr>
        <w:t xml:space="preserve">duced how many times it occurs per year to </w:t>
      </w:r>
      <w:r w:rsidR="00F437D2">
        <w:rPr>
          <w:rFonts w:ascii="Times New Roman" w:hAnsi="Times New Roman" w:cs="Times New Roman"/>
          <w:sz w:val="24"/>
          <w:szCs w:val="24"/>
        </w:rPr>
        <w:t>1 for VAR-002-4.1</w:t>
      </w:r>
      <w:r w:rsidR="009453EA">
        <w:rPr>
          <w:rFonts w:ascii="Times New Roman" w:hAnsi="Times New Roman" w:cs="Times New Roman"/>
          <w:sz w:val="24"/>
          <w:szCs w:val="24"/>
        </w:rPr>
        <w:t>)</w:t>
      </w:r>
      <w:r w:rsidRPr="003E1BE7" w:rsidR="003E1BE7">
        <w:rPr>
          <w:rFonts w:ascii="Times New Roman" w:hAnsi="Times New Roman" w:cs="Times New Roman"/>
          <w:sz w:val="24"/>
          <w:szCs w:val="24"/>
        </w:rPr>
        <w:t xml:space="preserve"> </w:t>
      </w:r>
      <w:r w:rsidR="003E1BE7">
        <w:rPr>
          <w:rFonts w:ascii="Times New Roman" w:hAnsi="Times New Roman" w:cs="Times New Roman"/>
          <w:sz w:val="24"/>
          <w:szCs w:val="24"/>
        </w:rPr>
        <w:t xml:space="preserve">due to </w:t>
      </w:r>
      <w:r w:rsidR="009115AB">
        <w:rPr>
          <w:rFonts w:ascii="Times New Roman" w:hAnsi="Times New Roman" w:cs="Times New Roman"/>
          <w:sz w:val="24"/>
          <w:szCs w:val="24"/>
        </w:rPr>
        <w:t>normal industry fluctuations</w:t>
      </w:r>
      <w:r w:rsidR="006F4640">
        <w:rPr>
          <w:rFonts w:ascii="Times New Roman" w:hAnsi="Times New Roman" w:cs="Times New Roman"/>
          <w:sz w:val="24"/>
          <w:szCs w:val="24"/>
        </w:rPr>
        <w:t xml:space="preserve"> and correction of an accounting error described below</w:t>
      </w:r>
      <w:r w:rsidR="000A49C8">
        <w:rPr>
          <w:rFonts w:ascii="Times New Roman" w:hAnsi="Times New Roman" w:cs="Times New Roman"/>
          <w:sz w:val="24"/>
          <w:szCs w:val="24"/>
        </w:rPr>
        <w:t>.</w:t>
      </w:r>
      <w:r w:rsidR="009115AB">
        <w:rPr>
          <w:rFonts w:ascii="Times New Roman" w:hAnsi="Times New Roman" w:cs="Times New Roman"/>
          <w:sz w:val="24"/>
          <w:szCs w:val="24"/>
        </w:rPr>
        <w:t xml:space="preserve">  These </w:t>
      </w:r>
      <w:r w:rsidR="006F4640">
        <w:rPr>
          <w:rFonts w:ascii="Times New Roman" w:hAnsi="Times New Roman" w:cs="Times New Roman"/>
          <w:sz w:val="24"/>
          <w:szCs w:val="24"/>
        </w:rPr>
        <w:t xml:space="preserve">industry </w:t>
      </w:r>
      <w:r w:rsidR="009115AB">
        <w:rPr>
          <w:rFonts w:ascii="Times New Roman" w:hAnsi="Times New Roman" w:cs="Times New Roman"/>
          <w:sz w:val="24"/>
          <w:szCs w:val="24"/>
        </w:rPr>
        <w:t xml:space="preserve">fluctuations (e.g. companies merging/splitting, companies entering or leaving the industry) caused the number of respondents </w:t>
      </w:r>
      <w:r w:rsidR="00F437D2">
        <w:rPr>
          <w:rFonts w:ascii="Times New Roman" w:hAnsi="Times New Roman" w:cs="Times New Roman"/>
          <w:sz w:val="24"/>
          <w:szCs w:val="24"/>
        </w:rPr>
        <w:t xml:space="preserve">to decrease </w:t>
      </w:r>
      <w:r w:rsidR="009115AB">
        <w:rPr>
          <w:rFonts w:ascii="Times New Roman" w:hAnsi="Times New Roman" w:cs="Times New Roman"/>
          <w:sz w:val="24"/>
          <w:szCs w:val="24"/>
        </w:rPr>
        <w:t xml:space="preserve">and their associated annual burden to </w:t>
      </w:r>
      <w:r w:rsidR="00F437D2">
        <w:rPr>
          <w:rFonts w:ascii="Times New Roman" w:hAnsi="Times New Roman" w:cs="Times New Roman"/>
          <w:sz w:val="24"/>
          <w:szCs w:val="24"/>
        </w:rPr>
        <w:t>in</w:t>
      </w:r>
      <w:r w:rsidR="009115AB">
        <w:rPr>
          <w:rFonts w:ascii="Times New Roman" w:hAnsi="Times New Roman" w:cs="Times New Roman"/>
          <w:sz w:val="24"/>
          <w:szCs w:val="24"/>
        </w:rPr>
        <w:t>crease.</w:t>
      </w:r>
      <w:r w:rsidR="000A49C8">
        <w:rPr>
          <w:rFonts w:ascii="Times New Roman" w:hAnsi="Times New Roman" w:cs="Times New Roman"/>
          <w:sz w:val="24"/>
          <w:szCs w:val="24"/>
        </w:rPr>
        <w:t xml:space="preserve">  </w:t>
      </w:r>
    </w:p>
    <w:p w:rsidR="00D76508" w:rsidP="003316E0" w14:paraId="0599760A" w14:textId="77777777">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092CED9A" w14:textId="77777777" w:rsidTr="002C63E1">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3316E0" w:rsidRPr="003316E0" w:rsidP="003316E0" w14:paraId="6B520AF6" w14:textId="61BA4AF9">
            <w:pPr>
              <w:spacing w:after="0"/>
              <w:rPr>
                <w:rFonts w:ascii="Times New Roman" w:hAnsi="Times New Roman" w:cs="Times New Roman"/>
                <w:b/>
                <w:sz w:val="24"/>
                <w:szCs w:val="24"/>
              </w:rPr>
            </w:pPr>
            <w:r>
              <w:rPr>
                <w:rFonts w:ascii="Times New Roman" w:hAnsi="Times New Roman" w:cs="Times New Roman"/>
                <w:b/>
                <w:sz w:val="24"/>
                <w:szCs w:val="24"/>
              </w:rPr>
              <w:t>FERC-725X</w:t>
            </w:r>
          </w:p>
        </w:tc>
        <w:tc>
          <w:tcPr>
            <w:tcW w:w="1779" w:type="dxa"/>
            <w:shd w:val="clear" w:color="auto" w:fill="D9D9D9"/>
            <w:vAlign w:val="bottom"/>
          </w:tcPr>
          <w:p w:rsidR="003316E0" w:rsidRPr="003316E0" w:rsidP="003316E0" w14:paraId="457B7B7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003316E0" w:rsidRPr="003316E0" w:rsidP="003316E0" w14:paraId="2D3BBCD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003316E0" w:rsidRPr="003316E0" w:rsidP="003316E0" w14:paraId="67C7C085"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003316E0" w:rsidRPr="003316E0" w:rsidP="003316E0" w14:paraId="75318E4C"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14:paraId="35507E46" w14:textId="77777777" w:rsidTr="002C63E1">
        <w:tblPrEx>
          <w:tblW w:w="9367" w:type="dxa"/>
          <w:tblInd w:w="108" w:type="dxa"/>
          <w:tblLook w:val="01E0"/>
        </w:tblPrEx>
        <w:trPr>
          <w:trHeight w:val="591"/>
        </w:trPr>
        <w:tc>
          <w:tcPr>
            <w:tcW w:w="2589" w:type="dxa"/>
          </w:tcPr>
          <w:p w:rsidR="003316E0" w:rsidRPr="003316E0" w:rsidP="003316E0" w14:paraId="1BA3E751"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003316E0" w:rsidRPr="003316E0" w:rsidP="00007B68" w14:paraId="79EDD501" w14:textId="0A53387C">
            <w:pPr>
              <w:spacing w:after="0"/>
              <w:jc w:val="right"/>
              <w:rPr>
                <w:rFonts w:ascii="Times New Roman" w:hAnsi="Times New Roman" w:cs="Times New Roman"/>
                <w:sz w:val="24"/>
                <w:szCs w:val="24"/>
              </w:rPr>
            </w:pPr>
            <w:r>
              <w:rPr>
                <w:rFonts w:ascii="Times New Roman" w:hAnsi="Times New Roman" w:cs="Times New Roman"/>
                <w:sz w:val="24"/>
                <w:szCs w:val="24"/>
              </w:rPr>
              <w:t>1,193</w:t>
            </w:r>
          </w:p>
        </w:tc>
        <w:tc>
          <w:tcPr>
            <w:tcW w:w="1959" w:type="dxa"/>
            <w:vAlign w:val="center"/>
          </w:tcPr>
          <w:p w:rsidR="003316E0" w:rsidRPr="003316E0" w:rsidP="00007B68" w14:paraId="34118B9D" w14:textId="128FD302">
            <w:pPr>
              <w:spacing w:after="0"/>
              <w:jc w:val="right"/>
              <w:rPr>
                <w:rFonts w:ascii="Times New Roman" w:hAnsi="Times New Roman" w:cs="Times New Roman"/>
                <w:sz w:val="24"/>
                <w:szCs w:val="24"/>
              </w:rPr>
            </w:pPr>
            <w:r>
              <w:rPr>
                <w:rFonts w:ascii="Times New Roman" w:hAnsi="Times New Roman" w:cs="Times New Roman"/>
                <w:sz w:val="24"/>
                <w:szCs w:val="24"/>
              </w:rPr>
              <w:t>2</w:t>
            </w:r>
            <w:r w:rsidR="007517C5">
              <w:rPr>
                <w:rFonts w:ascii="Times New Roman" w:hAnsi="Times New Roman" w:cs="Times New Roman"/>
                <w:sz w:val="24"/>
                <w:szCs w:val="24"/>
              </w:rPr>
              <w:t>,</w:t>
            </w:r>
            <w:r>
              <w:rPr>
                <w:rFonts w:ascii="Times New Roman" w:hAnsi="Times New Roman" w:cs="Times New Roman"/>
                <w:sz w:val="24"/>
                <w:szCs w:val="24"/>
              </w:rPr>
              <w:t>0</w:t>
            </w:r>
            <w:r w:rsidR="00E75165">
              <w:rPr>
                <w:rFonts w:ascii="Times New Roman" w:hAnsi="Times New Roman" w:cs="Times New Roman"/>
                <w:sz w:val="24"/>
                <w:szCs w:val="24"/>
              </w:rPr>
              <w:t>41</w:t>
            </w:r>
          </w:p>
        </w:tc>
        <w:tc>
          <w:tcPr>
            <w:tcW w:w="1683" w:type="dxa"/>
            <w:vAlign w:val="center"/>
          </w:tcPr>
          <w:p w:rsidR="003316E0" w:rsidRPr="003316E0" w:rsidP="00007B68" w14:paraId="2025D071" w14:textId="62337189">
            <w:pPr>
              <w:spacing w:after="0"/>
              <w:jc w:val="right"/>
              <w:rPr>
                <w:rFonts w:ascii="Times New Roman" w:hAnsi="Times New Roman" w:cs="Times New Roman"/>
                <w:sz w:val="24"/>
                <w:szCs w:val="24"/>
              </w:rPr>
            </w:pPr>
            <w:r>
              <w:rPr>
                <w:rFonts w:ascii="Times New Roman" w:hAnsi="Times New Roman" w:cs="Times New Roman"/>
                <w:sz w:val="24"/>
                <w:szCs w:val="24"/>
              </w:rPr>
              <w:t>-</w:t>
            </w:r>
            <w:r w:rsidR="00E27FB2">
              <w:rPr>
                <w:rFonts w:ascii="Times New Roman" w:hAnsi="Times New Roman" w:cs="Times New Roman"/>
                <w:sz w:val="24"/>
                <w:szCs w:val="24"/>
              </w:rPr>
              <w:t>848</w:t>
            </w:r>
          </w:p>
        </w:tc>
        <w:tc>
          <w:tcPr>
            <w:tcW w:w="1357" w:type="dxa"/>
            <w:vAlign w:val="center"/>
          </w:tcPr>
          <w:p w:rsidR="003316E0" w:rsidRPr="003316E0" w:rsidP="00007B68" w14:paraId="65BA40B0" w14:textId="0C30DE80">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782CF625" w14:textId="77777777" w:rsidTr="002C63E1">
        <w:tblPrEx>
          <w:tblW w:w="9367" w:type="dxa"/>
          <w:tblInd w:w="108" w:type="dxa"/>
          <w:tblLook w:val="01E0"/>
        </w:tblPrEx>
        <w:trPr>
          <w:trHeight w:val="575"/>
        </w:trPr>
        <w:tc>
          <w:tcPr>
            <w:tcW w:w="2589" w:type="dxa"/>
          </w:tcPr>
          <w:p w:rsidR="003316E0" w:rsidRPr="003316E0" w:rsidP="003316E0" w14:paraId="6C091134" w14:textId="3E97752B">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rsidR="003316E0" w:rsidRPr="003316E0" w:rsidP="00007B68" w14:paraId="32E5E690" w14:textId="7B8F4582">
            <w:pPr>
              <w:spacing w:after="0"/>
              <w:jc w:val="right"/>
              <w:rPr>
                <w:rFonts w:ascii="Times New Roman" w:hAnsi="Times New Roman" w:cs="Times New Roman"/>
                <w:sz w:val="24"/>
                <w:szCs w:val="24"/>
              </w:rPr>
            </w:pPr>
            <w:r>
              <w:rPr>
                <w:rFonts w:ascii="Times New Roman" w:hAnsi="Times New Roman" w:cs="Times New Roman"/>
                <w:sz w:val="24"/>
                <w:szCs w:val="24"/>
              </w:rPr>
              <w:t>2</w:t>
            </w:r>
            <w:r w:rsidR="00E75165">
              <w:rPr>
                <w:rFonts w:ascii="Times New Roman" w:hAnsi="Times New Roman" w:cs="Times New Roman"/>
                <w:sz w:val="24"/>
                <w:szCs w:val="24"/>
              </w:rPr>
              <w:t>32,000</w:t>
            </w:r>
          </w:p>
        </w:tc>
        <w:tc>
          <w:tcPr>
            <w:tcW w:w="1959" w:type="dxa"/>
            <w:vAlign w:val="center"/>
          </w:tcPr>
          <w:p w:rsidR="003316E0" w:rsidRPr="003316E0" w:rsidP="00007B68" w14:paraId="38CAE0BB" w14:textId="11BDB675">
            <w:pPr>
              <w:spacing w:after="0"/>
              <w:jc w:val="right"/>
              <w:rPr>
                <w:rFonts w:ascii="Times New Roman" w:hAnsi="Times New Roman" w:cs="Times New Roman"/>
                <w:sz w:val="24"/>
                <w:szCs w:val="24"/>
              </w:rPr>
            </w:pPr>
            <w:r>
              <w:rPr>
                <w:rFonts w:ascii="Times New Roman" w:hAnsi="Times New Roman" w:cs="Times New Roman"/>
                <w:sz w:val="24"/>
                <w:szCs w:val="24"/>
              </w:rPr>
              <w:t>21</w:t>
            </w:r>
            <w:r w:rsidR="00E75165">
              <w:rPr>
                <w:rFonts w:ascii="Times New Roman" w:hAnsi="Times New Roman" w:cs="Times New Roman"/>
                <w:sz w:val="24"/>
                <w:szCs w:val="24"/>
              </w:rPr>
              <w:t>4</w:t>
            </w:r>
            <w:r>
              <w:rPr>
                <w:rFonts w:ascii="Times New Roman" w:hAnsi="Times New Roman" w:cs="Times New Roman"/>
                <w:sz w:val="24"/>
                <w:szCs w:val="24"/>
              </w:rPr>
              <w:t>,</w:t>
            </w:r>
            <w:r w:rsidR="00E75165">
              <w:rPr>
                <w:rFonts w:ascii="Times New Roman" w:hAnsi="Times New Roman" w:cs="Times New Roman"/>
                <w:sz w:val="24"/>
                <w:szCs w:val="24"/>
              </w:rPr>
              <w:t>120</w:t>
            </w:r>
          </w:p>
        </w:tc>
        <w:tc>
          <w:tcPr>
            <w:tcW w:w="1683" w:type="dxa"/>
            <w:vAlign w:val="center"/>
          </w:tcPr>
          <w:p w:rsidR="003316E0" w:rsidRPr="003316E0" w:rsidP="00007B68" w14:paraId="5A1C252C" w14:textId="701599DC">
            <w:pPr>
              <w:spacing w:after="0"/>
              <w:jc w:val="right"/>
              <w:rPr>
                <w:rFonts w:ascii="Times New Roman" w:hAnsi="Times New Roman" w:cs="Times New Roman"/>
                <w:sz w:val="24"/>
                <w:szCs w:val="24"/>
              </w:rPr>
            </w:pPr>
            <w:r>
              <w:rPr>
                <w:rFonts w:ascii="Times New Roman" w:hAnsi="Times New Roman" w:cs="Times New Roman"/>
                <w:sz w:val="24"/>
                <w:szCs w:val="24"/>
              </w:rPr>
              <w:t>+17,880</w:t>
            </w:r>
          </w:p>
        </w:tc>
        <w:tc>
          <w:tcPr>
            <w:tcW w:w="1357" w:type="dxa"/>
            <w:vAlign w:val="center"/>
          </w:tcPr>
          <w:p w:rsidR="003316E0" w:rsidRPr="003316E0" w:rsidP="00007B68" w14:paraId="04CAEE84" w14:textId="2C093132">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568E6D4A" w14:textId="77777777" w:rsidTr="002C63E1">
        <w:tblPrEx>
          <w:tblW w:w="9367" w:type="dxa"/>
          <w:tblInd w:w="108" w:type="dxa"/>
          <w:tblLook w:val="01E0"/>
        </w:tblPrEx>
        <w:trPr>
          <w:trHeight w:val="295"/>
        </w:trPr>
        <w:tc>
          <w:tcPr>
            <w:tcW w:w="2589" w:type="dxa"/>
          </w:tcPr>
          <w:p w:rsidR="003316E0" w:rsidRPr="003316E0" w:rsidP="003316E0" w14:paraId="6FEBF27C"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003316E0" w:rsidRPr="003316E0" w:rsidP="00007B68" w14:paraId="49C2616D"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003316E0" w:rsidRPr="003316E0" w:rsidP="00007B68" w14:paraId="41207F78"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003316E0" w:rsidRPr="003316E0" w:rsidP="00007B68" w14:paraId="16C6F583"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003316E0" w:rsidRPr="003316E0" w:rsidP="00007B68" w14:paraId="69C5710A"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P="003316E0" w14:paraId="310395DD" w14:textId="77777777">
      <w:pPr>
        <w:spacing w:after="0"/>
        <w:rPr>
          <w:rFonts w:ascii="Times New Roman" w:hAnsi="Times New Roman" w:cs="Times New Roman"/>
          <w:sz w:val="24"/>
          <w:szCs w:val="24"/>
        </w:rPr>
      </w:pPr>
    </w:p>
    <w:p w:rsidR="003316E0" w:rsidRPr="00A276F5" w:rsidP="003316E0" w14:paraId="7198FAED" w14:textId="77777777">
      <w:pPr>
        <w:spacing w:after="0"/>
        <w:rPr>
          <w:rFonts w:ascii="Times New Roman" w:hAnsi="Times New Roman" w:cs="Times New Roman"/>
          <w:sz w:val="24"/>
          <w:szCs w:val="24"/>
        </w:rPr>
      </w:pPr>
    </w:p>
    <w:p w:rsidR="00A276F5" w:rsidRPr="00414F32" w:rsidP="00A72E7B"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14:paraId="549D3523" w14:textId="77777777">
      <w:pPr>
        <w:spacing w:after="0"/>
        <w:rPr>
          <w:rFonts w:ascii="Times New Roman" w:hAnsi="Times New Roman" w:cs="Times New Roman"/>
          <w:sz w:val="24"/>
          <w:szCs w:val="24"/>
        </w:rPr>
      </w:pPr>
    </w:p>
    <w:p w:rsidR="00414F32" w:rsidP="00414F32"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00197A36" w:rsidRPr="00414F32" w:rsidP="00414F32" w14:paraId="2A811203" w14:textId="77777777">
      <w:pPr>
        <w:spacing w:after="0"/>
        <w:rPr>
          <w:rFonts w:ascii="Times New Roman" w:hAnsi="Times New Roman" w:cs="Times New Roman"/>
          <w:sz w:val="24"/>
          <w:szCs w:val="24"/>
        </w:rPr>
      </w:pPr>
    </w:p>
    <w:p w:rsidR="00414F32" w:rsidRPr="00414F32" w:rsidP="00A72E7B"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14:paraId="7AC6D57D" w14:textId="77777777">
      <w:pPr>
        <w:spacing w:after="0"/>
        <w:rPr>
          <w:rFonts w:ascii="Times New Roman" w:hAnsi="Times New Roman" w:cs="Times New Roman"/>
          <w:sz w:val="24"/>
          <w:szCs w:val="24"/>
        </w:rPr>
      </w:pPr>
    </w:p>
    <w:p w:rsidR="00313D4E" w:rsidRPr="00313D4E" w:rsidP="00313D4E" w14:paraId="343E2E85" w14:textId="446DECEA">
      <w:pPr>
        <w:spacing w:after="0" w:line="240" w:lineRule="auto"/>
        <w:rPr>
          <w:rFonts w:ascii="Times New Roman" w:eastAsia="Calibri" w:hAnsi="Times New Roman" w:cs="Times New Roman"/>
          <w:sz w:val="24"/>
          <w:szCs w:val="24"/>
        </w:rPr>
      </w:pPr>
      <w:r w:rsidRPr="00313D4E">
        <w:rPr>
          <w:rFonts w:ascii="Times New Roman" w:eastAsia="Calibri" w:hAnsi="Times New Roman" w:cs="Times New Roman"/>
          <w:sz w:val="24"/>
          <w:szCs w:val="24"/>
        </w:rPr>
        <w:t xml:space="preserve">The PRA information (including expiration dates and OMB Control Nos.) is posted at </w:t>
      </w:r>
      <w:hyperlink r:id="rId9" w:history="1">
        <w:r w:rsidRPr="006116B9" w:rsidR="007B34EB">
          <w:rPr>
            <w:rStyle w:val="Hyperlink"/>
            <w:rFonts w:ascii="Times New Roman" w:hAnsi="Times New Roman" w:cs="Times New Roman"/>
          </w:rPr>
          <w:t>https://www.ferc.gov/enforcement-legal/legal/information-collections</w:t>
        </w:r>
      </w:hyperlink>
      <w:r w:rsidRPr="006116B9" w:rsidR="007B34EB">
        <w:rPr>
          <w:rFonts w:ascii="Times New Roman" w:hAnsi="Times New Roman" w:cs="Times New Roman"/>
        </w:rPr>
        <w:t xml:space="preserve"> </w:t>
      </w:r>
    </w:p>
    <w:p w:rsidR="00197A36" w:rsidRPr="00414F32" w:rsidP="00414F32" w14:paraId="515C9511" w14:textId="77777777">
      <w:pPr>
        <w:spacing w:after="0"/>
        <w:rPr>
          <w:rFonts w:ascii="Times New Roman" w:hAnsi="Times New Roman" w:cs="Times New Roman"/>
          <w:sz w:val="24"/>
          <w:szCs w:val="24"/>
        </w:rPr>
      </w:pPr>
    </w:p>
    <w:p w:rsidR="00414F32" w:rsidP="00A72E7B"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14:paraId="1E4AC3D6" w14:textId="77777777">
      <w:pPr>
        <w:spacing w:after="0"/>
        <w:rPr>
          <w:rFonts w:ascii="Times New Roman" w:hAnsi="Times New Roman" w:cs="Times New Roman"/>
          <w:sz w:val="24"/>
          <w:szCs w:val="24"/>
        </w:rPr>
      </w:pPr>
    </w:p>
    <w:p w:rsidR="00414F32" w:rsidP="007A2F92"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001968F8" w:rsidRPr="007A2F92" w:rsidP="002C5784" w14:paraId="71D2FDBE" w14:textId="0B90ED0D">
      <w:pPr>
        <w:rPr>
          <w:rFonts w:ascii="Times New Roman" w:hAnsi="Times New Roman" w:cs="Times New Roman"/>
          <w:sz w:val="24"/>
          <w:szCs w:val="24"/>
        </w:rPr>
      </w:pPr>
    </w:p>
    <w:sectPr w:rsidSect="0078612A">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007B68" w:rsidRPr="00DD79FB" w14:paraId="4A025BA2" w14:textId="7777777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1C033B">
          <w:rPr>
            <w:rFonts w:ascii="Times New Roman" w:hAnsi="Times New Roman" w:cs="Times New Roman"/>
            <w:noProof/>
          </w:rPr>
          <w:t>1</w:t>
        </w:r>
        <w:r w:rsidRPr="00DD79FB">
          <w:rPr>
            <w:rFonts w:ascii="Times New Roman" w:hAnsi="Times New Roman" w:cs="Times New Roman"/>
            <w:noProof/>
          </w:rPr>
          <w:fldChar w:fldCharType="end"/>
        </w:r>
      </w:p>
    </w:sdtContent>
  </w:sdt>
  <w:p w:rsidR="00007B68"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0FAA" w:rsidP="00FD66F1" w14:paraId="238BDC89" w14:textId="77777777">
      <w:pPr>
        <w:spacing w:after="0" w:line="240" w:lineRule="auto"/>
      </w:pPr>
      <w:r>
        <w:separator/>
      </w:r>
    </w:p>
  </w:footnote>
  <w:footnote w:type="continuationSeparator" w:id="1">
    <w:p w:rsidR="00A20FAA" w:rsidP="00FD66F1" w14:paraId="34571FDA" w14:textId="77777777">
      <w:pPr>
        <w:spacing w:after="0" w:line="240" w:lineRule="auto"/>
      </w:pPr>
      <w:r>
        <w:continuationSeparator/>
      </w:r>
    </w:p>
  </w:footnote>
  <w:footnote w:id="2">
    <w:p w:rsidR="00007B68" w:rsidRPr="00025C2E" w:rsidP="0020384F" w14:paraId="3CF10310" w14:textId="77777777">
      <w:pPr>
        <w:pStyle w:val="FootnoteText"/>
        <w:rPr>
          <w:sz w:val="26"/>
          <w:szCs w:val="26"/>
        </w:rPr>
      </w:pPr>
      <w:r w:rsidRPr="00F82B8E">
        <w:rPr>
          <w:rStyle w:val="FootnoteReference"/>
        </w:rPr>
        <w:footnoteRef/>
      </w:r>
      <w:r w:rsidRPr="00F82B8E">
        <w:t xml:space="preserve"> </w:t>
      </w:r>
      <w:r w:rsidRPr="00025C2E">
        <w:rPr>
          <w:i/>
          <w:iCs/>
          <w:sz w:val="26"/>
          <w:szCs w:val="26"/>
        </w:rPr>
        <w:t>North American Electric Reliability Corp.</w:t>
      </w:r>
      <w:r w:rsidRPr="00025C2E">
        <w:rPr>
          <w:sz w:val="26"/>
          <w:szCs w:val="26"/>
        </w:rPr>
        <w:t xml:space="preserve">, 116 FERC ¶ 61,062, </w:t>
      </w:r>
      <w:r w:rsidRPr="00025C2E">
        <w:rPr>
          <w:i/>
          <w:iCs/>
          <w:sz w:val="26"/>
          <w:szCs w:val="26"/>
        </w:rPr>
        <w:t>order on reh’g &amp; compliance</w:t>
      </w:r>
      <w:r w:rsidRPr="00025C2E">
        <w:rPr>
          <w:sz w:val="26"/>
          <w:szCs w:val="26"/>
        </w:rPr>
        <w:t xml:space="preserve">, 117 FERC ¶ 61,126 (2006), </w:t>
      </w:r>
      <w:r w:rsidRPr="00025C2E">
        <w:rPr>
          <w:i/>
          <w:sz w:val="26"/>
          <w:szCs w:val="26"/>
        </w:rPr>
        <w:t xml:space="preserve">aff’d </w:t>
      </w:r>
      <w:r w:rsidRPr="00025C2E">
        <w:rPr>
          <w:i/>
          <w:iCs/>
          <w:sz w:val="26"/>
          <w:szCs w:val="26"/>
        </w:rPr>
        <w:t>sub nom. Alcoa, Inc. v. FERC</w:t>
      </w:r>
      <w:r w:rsidRPr="00025C2E">
        <w:rPr>
          <w:sz w:val="26"/>
          <w:szCs w:val="26"/>
        </w:rPr>
        <w:t xml:space="preserve">, 564 F.3d 1342 (D.C. Cir. 2009).  </w:t>
      </w:r>
    </w:p>
  </w:footnote>
  <w:footnote w:id="3">
    <w:p w:rsidR="00756810" w:rsidRPr="00025C2E" w14:paraId="1F7ECB31" w14:textId="75BE88AA">
      <w:pPr>
        <w:pStyle w:val="FootnoteText"/>
        <w:rPr>
          <w:sz w:val="26"/>
          <w:szCs w:val="26"/>
        </w:rPr>
      </w:pPr>
      <w:r>
        <w:rPr>
          <w:rStyle w:val="FootnoteReference"/>
        </w:rPr>
        <w:footnoteRef/>
      </w:r>
      <w:r>
        <w:t xml:space="preserve"> </w:t>
      </w:r>
      <w:r w:rsidRPr="00025C2E">
        <w:rPr>
          <w:sz w:val="26"/>
          <w:szCs w:val="26"/>
        </w:rPr>
        <w:t>The Order in Docket No. RD14-11-000 was issued on 8/1/2014 (</w:t>
      </w:r>
      <w:hyperlink r:id="rId1" w:history="1">
        <w:r w:rsidRPr="00025C2E">
          <w:rPr>
            <w:rStyle w:val="Hyperlink"/>
            <w:sz w:val="26"/>
            <w:szCs w:val="26"/>
          </w:rPr>
          <w:t>https://elibrary-backup.ferc.gov/idmws/common/OpenNat.asp?fileID=13606637</w:t>
        </w:r>
      </w:hyperlink>
      <w:r w:rsidRPr="00025C2E">
        <w:rPr>
          <w:sz w:val="26"/>
          <w:szCs w:val="26"/>
        </w:rPr>
        <w:t>)</w:t>
      </w:r>
    </w:p>
  </w:footnote>
  <w:footnote w:id="4">
    <w:p w:rsidR="00DE0976" w:rsidRPr="00025C2E" w14:paraId="488E2AD1" w14:textId="713262BD">
      <w:pPr>
        <w:pStyle w:val="FootnoteText"/>
        <w:rPr>
          <w:sz w:val="26"/>
          <w:szCs w:val="26"/>
        </w:rPr>
      </w:pPr>
      <w:r>
        <w:rPr>
          <w:rStyle w:val="FootnoteReference"/>
        </w:rPr>
        <w:footnoteRef/>
      </w:r>
      <w:r>
        <w:t xml:space="preserve"> </w:t>
      </w:r>
      <w:r w:rsidRPr="00025C2E">
        <w:rPr>
          <w:sz w:val="26"/>
          <w:szCs w:val="26"/>
        </w:rPr>
        <w:t xml:space="preserve">VAR-001-4 was revised into VAR-001-4.1 by an </w:t>
      </w:r>
      <w:r w:rsidRPr="00025C2E" w:rsidR="00FD3669">
        <w:rPr>
          <w:sz w:val="26"/>
          <w:szCs w:val="26"/>
        </w:rPr>
        <w:t>erratum</w:t>
      </w:r>
      <w:r w:rsidRPr="00025C2E" w:rsidR="00E453EB">
        <w:rPr>
          <w:sz w:val="26"/>
          <w:szCs w:val="26"/>
        </w:rPr>
        <w:t xml:space="preserve"> in Docket No. RD15-3-000</w:t>
      </w:r>
      <w:r w:rsidRPr="00025C2E">
        <w:rPr>
          <w:sz w:val="26"/>
          <w:szCs w:val="26"/>
        </w:rPr>
        <w:t xml:space="preserve"> on 11/13/2015. VAR-001-4.1 was then revised into VAR-001-4.2 </w:t>
      </w:r>
      <w:r w:rsidRPr="00025C2E" w:rsidR="00E453EB">
        <w:rPr>
          <w:sz w:val="26"/>
          <w:szCs w:val="26"/>
        </w:rPr>
        <w:t xml:space="preserve">and VAR-002-4 was revised into VAR-002-4.1 </w:t>
      </w:r>
      <w:r w:rsidRPr="00025C2E">
        <w:rPr>
          <w:sz w:val="26"/>
          <w:szCs w:val="26"/>
        </w:rPr>
        <w:t>by another errata</w:t>
      </w:r>
      <w:r w:rsidRPr="00025C2E" w:rsidR="00E453EB">
        <w:rPr>
          <w:sz w:val="26"/>
          <w:szCs w:val="26"/>
        </w:rPr>
        <w:t xml:space="preserve"> in Docket No. RD17-7-000</w:t>
      </w:r>
      <w:r w:rsidRPr="00025C2E">
        <w:rPr>
          <w:sz w:val="26"/>
          <w:szCs w:val="26"/>
        </w:rPr>
        <w:t xml:space="preserve"> on 9/26/2017. Both of these errata notice provided administrative corrections only and had no effect on the reporting burden for either reliability standard.</w:t>
      </w:r>
    </w:p>
  </w:footnote>
  <w:footnote w:id="5">
    <w:p w:rsidR="00DE0976" w14:paraId="1A6208B3" w14:textId="4049FDF2">
      <w:pPr>
        <w:pStyle w:val="FootnoteText"/>
      </w:pPr>
      <w:r>
        <w:rPr>
          <w:rStyle w:val="FootnoteReference"/>
        </w:rPr>
        <w:footnoteRef/>
      </w:r>
      <w:r>
        <w:t xml:space="preserve"> </w:t>
      </w:r>
      <w:r w:rsidRPr="00025C2E">
        <w:rPr>
          <w:sz w:val="26"/>
          <w:szCs w:val="26"/>
        </w:rPr>
        <w:t>Order in Docket No.  RD15-3-000, page 3, paragraph 4.</w:t>
      </w:r>
    </w:p>
  </w:footnote>
  <w:footnote w:id="6">
    <w:p w:rsidR="00007B68" w:rsidRPr="00F82B8E" w:rsidP="0020384F" w14:paraId="69D7D514" w14:textId="1FF6798C">
      <w:pPr>
        <w:pStyle w:val="FootnoteText"/>
      </w:pPr>
      <w:r w:rsidRPr="00F82B8E">
        <w:rPr>
          <w:rStyle w:val="FootnoteReference"/>
        </w:rPr>
        <w:footnoteRef/>
      </w:r>
      <w:hyperlink r:id="rId2" w:history="1">
        <w:r w:rsidRPr="00D12B58" w:rsidR="00025C2E">
          <w:rPr>
            <w:rStyle w:val="Hyperlink"/>
            <w:sz w:val="26"/>
            <w:szCs w:val="26"/>
          </w:rPr>
          <w:t>http://www.nerc.com/FilingsOrders/us/RuleOfProcedureDL/NERC_ROP_Effective_20161031.pdf</w:t>
        </w:r>
      </w:hyperlink>
      <w:r w:rsidRPr="00F82B8E">
        <w:t xml:space="preserve"> </w:t>
      </w:r>
    </w:p>
  </w:footnote>
  <w:footnote w:id="7">
    <w:p w:rsidR="00007B68" w:rsidRPr="00F82B8E" w:rsidP="0020384F" w14:paraId="3BD27AEA" w14:textId="77777777">
      <w:pPr>
        <w:pStyle w:val="FootnoteText"/>
      </w:pPr>
      <w:r w:rsidRPr="00F82B8E">
        <w:rPr>
          <w:rStyle w:val="FootnoteReference"/>
        </w:rPr>
        <w:footnoteRef/>
      </w:r>
      <w:r w:rsidRPr="00F82B8E">
        <w:t xml:space="preserve"> </w:t>
      </w:r>
      <w:r w:rsidRPr="00025C2E">
        <w:rPr>
          <w:sz w:val="26"/>
          <w:szCs w:val="26"/>
        </w:rPr>
        <w:t xml:space="preserve">Details of the ERO standards development process are available on the NERC website at </w:t>
      </w:r>
      <w:hyperlink r:id="rId3" w:history="1">
        <w:r w:rsidRPr="00025C2E">
          <w:rPr>
            <w:rStyle w:val="Hyperlink"/>
            <w:sz w:val="26"/>
            <w:szCs w:val="26"/>
          </w:rPr>
          <w:t>http://www.nerc.com/pa/Stand/Documents/Appendix_3A_StandardsProcessesManual.pdf</w:t>
        </w:r>
      </w:hyperlink>
      <w:r w:rsidRPr="00F82B8E">
        <w:t>.</w:t>
      </w:r>
    </w:p>
  </w:footnote>
  <w:footnote w:id="8">
    <w:p w:rsidR="00007B68" w:rsidRPr="00F82B8E" w:rsidP="0020384F" w14:paraId="14C24072" w14:textId="7B507720">
      <w:pPr>
        <w:pStyle w:val="FootnoteText"/>
      </w:pPr>
      <w:r w:rsidRPr="00F82B8E">
        <w:rPr>
          <w:rStyle w:val="FootnoteReference"/>
        </w:rPr>
        <w:footnoteRef/>
      </w:r>
      <w:r w:rsidR="000A49C8">
        <w:t xml:space="preserve"> </w:t>
      </w:r>
      <w:r w:rsidRPr="00025C2E" w:rsidR="000A49C8">
        <w:rPr>
          <w:sz w:val="26"/>
          <w:szCs w:val="26"/>
        </w:rPr>
        <w:t>8</w:t>
      </w:r>
      <w:r w:rsidRPr="00025C2E" w:rsidR="00BA33C6">
        <w:rPr>
          <w:sz w:val="26"/>
          <w:szCs w:val="26"/>
        </w:rPr>
        <w:t>9</w:t>
      </w:r>
      <w:r w:rsidRPr="00025C2E" w:rsidR="000A49C8">
        <w:rPr>
          <w:sz w:val="26"/>
          <w:szCs w:val="26"/>
        </w:rPr>
        <w:t xml:space="preserve"> FR </w:t>
      </w:r>
      <w:r w:rsidRPr="00025C2E" w:rsidR="00BA33C6">
        <w:rPr>
          <w:sz w:val="26"/>
          <w:szCs w:val="26"/>
        </w:rPr>
        <w:t>67079</w:t>
      </w:r>
    </w:p>
  </w:footnote>
  <w:footnote w:id="9">
    <w:p w:rsidR="00007B68" w:rsidRPr="00F82B8E" w:rsidP="0020384F" w14:paraId="7B2F1C4B" w14:textId="7A290A10">
      <w:pPr>
        <w:pStyle w:val="FootnoteText"/>
      </w:pPr>
      <w:r w:rsidRPr="00F82B8E">
        <w:rPr>
          <w:rStyle w:val="FootnoteReference"/>
        </w:rPr>
        <w:footnoteRef/>
      </w:r>
      <w:r w:rsidR="000A49C8">
        <w:t xml:space="preserve"> </w:t>
      </w:r>
      <w:r w:rsidRPr="008B63E9" w:rsidR="000A49C8">
        <w:rPr>
          <w:sz w:val="26"/>
          <w:szCs w:val="26"/>
        </w:rPr>
        <w:t>8</w:t>
      </w:r>
      <w:r w:rsidRPr="008B63E9" w:rsidR="00025C2E">
        <w:rPr>
          <w:sz w:val="26"/>
          <w:szCs w:val="26"/>
        </w:rPr>
        <w:t>9</w:t>
      </w:r>
      <w:r w:rsidRPr="008B63E9" w:rsidR="000A49C8">
        <w:rPr>
          <w:sz w:val="26"/>
          <w:szCs w:val="26"/>
        </w:rPr>
        <w:t xml:space="preserve"> FR </w:t>
      </w:r>
      <w:r w:rsidR="008B63E9">
        <w:rPr>
          <w:sz w:val="26"/>
          <w:szCs w:val="26"/>
        </w:rPr>
        <w:t>86336</w:t>
      </w:r>
    </w:p>
  </w:footnote>
  <w:footnote w:id="10">
    <w:p w:rsidR="00007B68" w:rsidRPr="00F82B8E" w:rsidP="0020384F" w14:paraId="227080BC" w14:textId="4C7891ED">
      <w:pPr>
        <w:pStyle w:val="FootnoteText"/>
      </w:pPr>
      <w:r w:rsidRPr="00F82B8E">
        <w:rPr>
          <w:rStyle w:val="FootnoteReference"/>
        </w:rPr>
        <w:footnoteRef/>
      </w:r>
      <w:r w:rsidRPr="00F82B8E">
        <w:t xml:space="preserve"> </w:t>
      </w:r>
      <w:r w:rsidR="00025C2E">
        <w:t xml:space="preserve"> </w:t>
      </w:r>
      <w:r w:rsidRPr="00025C2E" w:rsidR="00025C2E">
        <w:rPr>
          <w:sz w:val="26"/>
          <w:szCs w:val="26"/>
        </w:rPr>
        <w:t>S</w:t>
      </w:r>
      <w:r w:rsidRPr="00025C2E">
        <w:rPr>
          <w:sz w:val="26"/>
          <w:szCs w:val="26"/>
        </w:rPr>
        <w:t>ection 1502, Paragraph 2, available at NERCs website.</w:t>
      </w:r>
    </w:p>
  </w:footnote>
  <w:footnote w:id="11">
    <w:p w:rsidR="00DC06A5" w:rsidRPr="00686FE0" w:rsidP="00DC06A5" w14:paraId="589EBC81" w14:textId="77777777">
      <w:pPr>
        <w:pStyle w:val="FootnoteText"/>
        <w:rPr>
          <w:sz w:val="26"/>
          <w:szCs w:val="26"/>
        </w:rPr>
      </w:pPr>
      <w:r w:rsidRPr="00686FE0">
        <w:rPr>
          <w:rStyle w:val="FootnoteReference"/>
        </w:rPr>
        <w:footnoteRef/>
      </w:r>
      <w:r w:rsidRPr="00686FE0">
        <w:rPr>
          <w:sz w:val="26"/>
          <w:szCs w:val="26"/>
        </w:rPr>
        <w:t xml:space="preserve"> TOP = transmission operator; GOP = generator operators. </w:t>
      </w:r>
      <w:r w:rsidRPr="007C27E8">
        <w:rPr>
          <w:sz w:val="26"/>
          <w:szCs w:val="26"/>
        </w:rPr>
        <w:t xml:space="preserve">These values were derived from the </w:t>
      </w:r>
      <w:r w:rsidRPr="00040229">
        <w:rPr>
          <w:sz w:val="26"/>
          <w:szCs w:val="26"/>
        </w:rPr>
        <w:t>NERC Compliance data of April 16, 2024, using only unique United States registered entities.</w:t>
      </w:r>
    </w:p>
  </w:footnote>
  <w:footnote w:id="12">
    <w:p w:rsidR="00DC06A5" w:rsidP="00DC06A5" w14:paraId="5CB29753" w14:textId="77777777">
      <w:pPr>
        <w:pStyle w:val="FootnoteText"/>
      </w:pPr>
      <w:r w:rsidRPr="00686FE0">
        <w:rPr>
          <w:rStyle w:val="FootnoteReference"/>
        </w:rPr>
        <w:footnoteRef/>
      </w:r>
      <w:r w:rsidRPr="00686FE0">
        <w:rPr>
          <w:sz w:val="26"/>
          <w:szCs w:val="26"/>
        </w:rPr>
        <w:t xml:space="preserve"> </w:t>
      </w:r>
      <w:r w:rsidRPr="00C418AE">
        <w:rPr>
          <w:sz w:val="26"/>
          <w:szCs w:val="26"/>
        </w:rPr>
        <w:t>The estimated hourly cost (salary plus benefits) is a combination based on the Bureau of Labor Statistics (BLS), as of 202</w:t>
      </w:r>
      <w:r>
        <w:rPr>
          <w:sz w:val="26"/>
          <w:szCs w:val="26"/>
        </w:rPr>
        <w:t>4</w:t>
      </w:r>
      <w:r w:rsidRPr="00C418AE">
        <w:rPr>
          <w:sz w:val="26"/>
          <w:szCs w:val="26"/>
        </w:rPr>
        <w:t>, for 75% of the average of an Electrical Engineer (17-2071) $7</w:t>
      </w:r>
      <w:r>
        <w:rPr>
          <w:sz w:val="26"/>
          <w:szCs w:val="26"/>
        </w:rPr>
        <w:t>9.31</w:t>
      </w:r>
      <w:r w:rsidRPr="00C418AE">
        <w:rPr>
          <w:sz w:val="26"/>
          <w:szCs w:val="26"/>
        </w:rPr>
        <w:t>/hr</w:t>
      </w:r>
      <w:r>
        <w:rPr>
          <w:sz w:val="26"/>
          <w:szCs w:val="26"/>
        </w:rPr>
        <w:t>.</w:t>
      </w:r>
      <w:r w:rsidRPr="00C418AE">
        <w:rPr>
          <w:sz w:val="26"/>
          <w:szCs w:val="26"/>
        </w:rPr>
        <w:t>,  7</w:t>
      </w:r>
      <w:r>
        <w:rPr>
          <w:sz w:val="26"/>
          <w:szCs w:val="26"/>
        </w:rPr>
        <w:t>9.31</w:t>
      </w:r>
      <w:r w:rsidRPr="00C418AE">
        <w:rPr>
          <w:sz w:val="26"/>
          <w:szCs w:val="26"/>
        </w:rPr>
        <w:t xml:space="preserve"> x .75 = 5</w:t>
      </w:r>
      <w:r>
        <w:rPr>
          <w:sz w:val="26"/>
          <w:szCs w:val="26"/>
        </w:rPr>
        <w:t>9.4825</w:t>
      </w:r>
      <w:r w:rsidRPr="00C418AE">
        <w:rPr>
          <w:sz w:val="26"/>
          <w:szCs w:val="26"/>
        </w:rPr>
        <w:t xml:space="preserve"> ($5</w:t>
      </w:r>
      <w:r>
        <w:rPr>
          <w:sz w:val="26"/>
          <w:szCs w:val="26"/>
        </w:rPr>
        <w:t>9.48</w:t>
      </w:r>
      <w:r w:rsidRPr="00C418AE">
        <w:rPr>
          <w:sz w:val="26"/>
          <w:szCs w:val="26"/>
        </w:rPr>
        <w:t>-rounded) ($5</w:t>
      </w:r>
      <w:r>
        <w:rPr>
          <w:sz w:val="26"/>
          <w:szCs w:val="26"/>
        </w:rPr>
        <w:t>9.48</w:t>
      </w:r>
      <w:r w:rsidRPr="00C418AE">
        <w:rPr>
          <w:sz w:val="26"/>
          <w:szCs w:val="26"/>
        </w:rPr>
        <w:t>/hour) and 25% of an Information and Record Clerk (43-4199) $</w:t>
      </w:r>
      <w:r>
        <w:rPr>
          <w:sz w:val="26"/>
          <w:szCs w:val="26"/>
        </w:rPr>
        <w:t>44.74</w:t>
      </w:r>
      <w:r w:rsidRPr="00C418AE">
        <w:rPr>
          <w:sz w:val="26"/>
          <w:szCs w:val="26"/>
        </w:rPr>
        <w:t>/hr</w:t>
      </w:r>
      <w:r>
        <w:rPr>
          <w:sz w:val="26"/>
          <w:szCs w:val="26"/>
        </w:rPr>
        <w:t>.</w:t>
      </w:r>
      <w:r w:rsidRPr="00C418AE">
        <w:rPr>
          <w:sz w:val="26"/>
          <w:szCs w:val="26"/>
        </w:rPr>
        <w:t>, $</w:t>
      </w:r>
      <w:r>
        <w:rPr>
          <w:sz w:val="26"/>
          <w:szCs w:val="26"/>
        </w:rPr>
        <w:t>44.74</w:t>
      </w:r>
      <w:r w:rsidRPr="00C418AE">
        <w:rPr>
          <w:sz w:val="26"/>
          <w:szCs w:val="26"/>
        </w:rPr>
        <w:t xml:space="preserve"> x .25% = </w:t>
      </w:r>
      <w:r>
        <w:rPr>
          <w:sz w:val="26"/>
          <w:szCs w:val="26"/>
        </w:rPr>
        <w:t>11.185</w:t>
      </w:r>
      <w:r w:rsidRPr="00C418AE">
        <w:rPr>
          <w:sz w:val="26"/>
          <w:szCs w:val="26"/>
        </w:rPr>
        <w:t xml:space="preserve"> ($</w:t>
      </w:r>
      <w:r>
        <w:rPr>
          <w:sz w:val="26"/>
          <w:szCs w:val="26"/>
        </w:rPr>
        <w:t>11.19</w:t>
      </w:r>
      <w:r w:rsidRPr="00C418AE">
        <w:rPr>
          <w:sz w:val="26"/>
          <w:szCs w:val="26"/>
        </w:rPr>
        <w:t xml:space="preserve"> rounded) ($</w:t>
      </w:r>
      <w:r>
        <w:rPr>
          <w:sz w:val="26"/>
          <w:szCs w:val="26"/>
        </w:rPr>
        <w:t>11.19</w:t>
      </w:r>
      <w:r w:rsidRPr="00C418AE">
        <w:rPr>
          <w:sz w:val="26"/>
          <w:szCs w:val="26"/>
        </w:rPr>
        <w:t>/hour), for a total ($</w:t>
      </w:r>
      <w:r>
        <w:rPr>
          <w:sz w:val="26"/>
          <w:szCs w:val="26"/>
        </w:rPr>
        <w:t>59.48</w:t>
      </w:r>
      <w:r w:rsidRPr="00C418AE">
        <w:rPr>
          <w:sz w:val="26"/>
          <w:szCs w:val="26"/>
        </w:rPr>
        <w:t>+$</w:t>
      </w:r>
      <w:r>
        <w:rPr>
          <w:sz w:val="26"/>
          <w:szCs w:val="26"/>
        </w:rPr>
        <w:t>11.19</w:t>
      </w:r>
      <w:r w:rsidRPr="00C418AE">
        <w:rPr>
          <w:sz w:val="26"/>
          <w:szCs w:val="26"/>
        </w:rPr>
        <w:t xml:space="preserve"> = $</w:t>
      </w:r>
      <w:r>
        <w:rPr>
          <w:sz w:val="26"/>
          <w:szCs w:val="26"/>
        </w:rPr>
        <w:t>70.67</w:t>
      </w:r>
      <w:r w:rsidRPr="00C418AE">
        <w:rPr>
          <w:sz w:val="26"/>
          <w:szCs w:val="26"/>
        </w:rPr>
        <w:t>/hour).</w:t>
      </w:r>
    </w:p>
  </w:footnote>
  <w:footnote w:id="13">
    <w:p w:rsidR="00007B68" w:rsidRPr="00025C2E" w:rsidP="0020384F" w14:paraId="3C6FE927" w14:textId="133F92C9">
      <w:pPr>
        <w:pStyle w:val="FootnoteText"/>
        <w:rPr>
          <w:sz w:val="26"/>
          <w:szCs w:val="26"/>
        </w:rPr>
      </w:pPr>
      <w:r w:rsidRPr="00F82B8E">
        <w:rPr>
          <w:rStyle w:val="FootnoteReference"/>
        </w:rPr>
        <w:footnoteRef/>
      </w:r>
      <w:r w:rsidRPr="00F82B8E">
        <w:rPr>
          <w:vertAlign w:val="superscript"/>
        </w:rPr>
        <w:t xml:space="preserve"> </w:t>
      </w:r>
      <w:r w:rsidRPr="00025C2E">
        <w:rPr>
          <w:sz w:val="26"/>
          <w:szCs w:val="26"/>
        </w:rPr>
        <w:t>Based upon FERC’s 20</w:t>
      </w:r>
      <w:r w:rsidRPr="00025C2E" w:rsidR="00FF1AC3">
        <w:rPr>
          <w:sz w:val="26"/>
          <w:szCs w:val="26"/>
        </w:rPr>
        <w:t>24</w:t>
      </w:r>
      <w:r w:rsidRPr="00025C2E">
        <w:rPr>
          <w:sz w:val="26"/>
          <w:szCs w:val="26"/>
        </w:rPr>
        <w:t xml:space="preserve"> FTE average salary plus benefits</w:t>
      </w:r>
      <w:r w:rsidRPr="00025C2E" w:rsidR="00D06C9B">
        <w:rPr>
          <w:sz w:val="26"/>
          <w:szCs w:val="26"/>
        </w:rPr>
        <w:t xml:space="preserve"> full-time equivalent average annual salary plus benefits ($207,786 per year)</w:t>
      </w:r>
      <w:r w:rsidRPr="00025C2E">
        <w:rPr>
          <w:sz w:val="26"/>
          <w:szCs w:val="26"/>
        </w:rPr>
        <w:t>.</w:t>
      </w:r>
    </w:p>
  </w:footnote>
  <w:footnote w:id="14">
    <w:p w:rsidR="00007B68" w:rsidRPr="00F82B8E" w:rsidP="0020384F" w14:paraId="2C5047DF" w14:textId="77777777">
      <w:pPr>
        <w:pStyle w:val="FootnoteText"/>
      </w:pPr>
      <w:r w:rsidRPr="00F82B8E">
        <w:rPr>
          <w:rStyle w:val="FootnoteReference"/>
        </w:rPr>
        <w:footnoteRef/>
      </w:r>
      <w:r w:rsidRPr="00F82B8E">
        <w:t xml:space="preserve"> </w:t>
      </w:r>
      <w:r w:rsidRPr="00025C2E">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B68" w14:paraId="299FEECE" w14:textId="64A666AD">
    <w:pPr>
      <w:pStyle w:val="Header"/>
      <w:rPr>
        <w:rFonts w:ascii="Times New Roman" w:hAnsi="Times New Roman" w:cs="Times New Roman"/>
        <w:sz w:val="24"/>
        <w:szCs w:val="24"/>
      </w:rPr>
    </w:pPr>
    <w:r>
      <w:rPr>
        <w:rFonts w:ascii="Times New Roman" w:hAnsi="Times New Roman" w:cs="Times New Roman"/>
        <w:sz w:val="24"/>
        <w:szCs w:val="24"/>
      </w:rPr>
      <w:t>FERC-725X</w:t>
    </w:r>
    <w:r>
      <w:rPr>
        <w:rFonts w:ascii="Times New Roman" w:hAnsi="Times New Roman" w:cs="Times New Roman"/>
        <w:sz w:val="24"/>
        <w:szCs w:val="24"/>
      </w:rPr>
      <w:t xml:space="preserve"> (OMB Control </w:t>
    </w:r>
    <w:r w:rsidR="00640365">
      <w:rPr>
        <w:rFonts w:ascii="Times New Roman" w:hAnsi="Times New Roman" w:cs="Times New Roman"/>
        <w:sz w:val="24"/>
        <w:szCs w:val="24"/>
      </w:rPr>
      <w:t>No. 1902-0278</w:t>
    </w:r>
    <w:r>
      <w:rPr>
        <w:rFonts w:ascii="Times New Roman" w:hAnsi="Times New Roman" w:cs="Times New Roman"/>
        <w:sz w:val="24"/>
        <w:szCs w:val="24"/>
      </w:rPr>
      <w:t>)</w:t>
    </w:r>
  </w:p>
  <w:p w:rsidR="00482076" w14:paraId="5EBDF32E" w14:textId="504E8C25">
    <w:pPr>
      <w:pStyle w:val="Header"/>
    </w:pPr>
    <w:r>
      <w:rPr>
        <w:rFonts w:ascii="Times New Roman" w:hAnsi="Times New Roman" w:cs="Times New Roman"/>
        <w:sz w:val="24"/>
        <w:szCs w:val="24"/>
      </w:rPr>
      <w:t>Renewal in Docket No. IC2</w:t>
    </w:r>
    <w:r w:rsidR="00AA2040">
      <w:rPr>
        <w:rFonts w:ascii="Times New Roman" w:hAnsi="Times New Roman" w:cs="Times New Roman"/>
        <w:sz w:val="24"/>
        <w:szCs w:val="24"/>
      </w:rPr>
      <w:t>4</w:t>
    </w:r>
    <w:r w:rsidR="00292697">
      <w:rPr>
        <w:rFonts w:ascii="Times New Roman" w:hAnsi="Times New Roman" w:cs="Times New Roman"/>
        <w:sz w:val="24"/>
        <w:szCs w:val="2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152B0D"/>
    <w:multiLevelType w:val="hybridMultilevel"/>
    <w:tmpl w:val="B9DE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0A2A45"/>
    <w:multiLevelType w:val="hybridMultilevel"/>
    <w:tmpl w:val="8E4EB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9167310">
    <w:abstractNumId w:val="8"/>
  </w:num>
  <w:num w:numId="2" w16cid:durableId="2070415930">
    <w:abstractNumId w:val="6"/>
  </w:num>
  <w:num w:numId="3" w16cid:durableId="2049376365">
    <w:abstractNumId w:val="12"/>
  </w:num>
  <w:num w:numId="4" w16cid:durableId="349797073">
    <w:abstractNumId w:val="14"/>
  </w:num>
  <w:num w:numId="5" w16cid:durableId="905604564">
    <w:abstractNumId w:val="9"/>
  </w:num>
  <w:num w:numId="6" w16cid:durableId="1130172041">
    <w:abstractNumId w:val="0"/>
  </w:num>
  <w:num w:numId="7" w16cid:durableId="830289100">
    <w:abstractNumId w:val="5"/>
  </w:num>
  <w:num w:numId="8" w16cid:durableId="211038321">
    <w:abstractNumId w:val="7"/>
  </w:num>
  <w:num w:numId="9" w16cid:durableId="179047502">
    <w:abstractNumId w:val="15"/>
  </w:num>
  <w:num w:numId="10" w16cid:durableId="1750080591">
    <w:abstractNumId w:val="11"/>
  </w:num>
  <w:num w:numId="11" w16cid:durableId="980186213">
    <w:abstractNumId w:val="2"/>
  </w:num>
  <w:num w:numId="12" w16cid:durableId="1564023825">
    <w:abstractNumId w:val="3"/>
  </w:num>
  <w:num w:numId="13" w16cid:durableId="1135215496">
    <w:abstractNumId w:val="1"/>
  </w:num>
  <w:num w:numId="14" w16cid:durableId="1320422664">
    <w:abstractNumId w:val="4"/>
  </w:num>
  <w:num w:numId="15" w16cid:durableId="1364525611">
    <w:abstractNumId w:val="10"/>
  </w:num>
  <w:num w:numId="16" w16cid:durableId="1449005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1564A"/>
    <w:rsid w:val="000158B8"/>
    <w:rsid w:val="0002242D"/>
    <w:rsid w:val="0002567F"/>
    <w:rsid w:val="00025C2E"/>
    <w:rsid w:val="00030C21"/>
    <w:rsid w:val="00035845"/>
    <w:rsid w:val="00040229"/>
    <w:rsid w:val="00042BD1"/>
    <w:rsid w:val="000446EC"/>
    <w:rsid w:val="000517E2"/>
    <w:rsid w:val="00074DC8"/>
    <w:rsid w:val="0007636B"/>
    <w:rsid w:val="00097E6C"/>
    <w:rsid w:val="000A18A4"/>
    <w:rsid w:val="000A49C8"/>
    <w:rsid w:val="000A7778"/>
    <w:rsid w:val="000B0C37"/>
    <w:rsid w:val="000B34A4"/>
    <w:rsid w:val="000B45EB"/>
    <w:rsid w:val="000C5CD7"/>
    <w:rsid w:val="000D1DCE"/>
    <w:rsid w:val="000D58F6"/>
    <w:rsid w:val="000D6FBE"/>
    <w:rsid w:val="000E15B3"/>
    <w:rsid w:val="000E2B20"/>
    <w:rsid w:val="000E5772"/>
    <w:rsid w:val="000E5F31"/>
    <w:rsid w:val="000E72CD"/>
    <w:rsid w:val="000F1DBC"/>
    <w:rsid w:val="000F34E5"/>
    <w:rsid w:val="000F41C9"/>
    <w:rsid w:val="001115C7"/>
    <w:rsid w:val="001119AF"/>
    <w:rsid w:val="00115F70"/>
    <w:rsid w:val="0012296A"/>
    <w:rsid w:val="00124405"/>
    <w:rsid w:val="001348AC"/>
    <w:rsid w:val="00143103"/>
    <w:rsid w:val="00144325"/>
    <w:rsid w:val="00147F3A"/>
    <w:rsid w:val="00150D8F"/>
    <w:rsid w:val="00162B26"/>
    <w:rsid w:val="0017533A"/>
    <w:rsid w:val="00175AD1"/>
    <w:rsid w:val="00181727"/>
    <w:rsid w:val="00185730"/>
    <w:rsid w:val="001968F8"/>
    <w:rsid w:val="00197A36"/>
    <w:rsid w:val="001A05A0"/>
    <w:rsid w:val="001A73FD"/>
    <w:rsid w:val="001C033B"/>
    <w:rsid w:val="001C1170"/>
    <w:rsid w:val="001C1D2F"/>
    <w:rsid w:val="001C1E51"/>
    <w:rsid w:val="001C2970"/>
    <w:rsid w:val="001C2DAF"/>
    <w:rsid w:val="001E6AC0"/>
    <w:rsid w:val="0020384F"/>
    <w:rsid w:val="00212A83"/>
    <w:rsid w:val="00236674"/>
    <w:rsid w:val="00247B75"/>
    <w:rsid w:val="0026674D"/>
    <w:rsid w:val="00272108"/>
    <w:rsid w:val="002779D9"/>
    <w:rsid w:val="00292697"/>
    <w:rsid w:val="00297631"/>
    <w:rsid w:val="002A0D26"/>
    <w:rsid w:val="002A1294"/>
    <w:rsid w:val="002A40A7"/>
    <w:rsid w:val="002B13E2"/>
    <w:rsid w:val="002B4DD2"/>
    <w:rsid w:val="002B5629"/>
    <w:rsid w:val="002C1BFB"/>
    <w:rsid w:val="002C5784"/>
    <w:rsid w:val="002C63E1"/>
    <w:rsid w:val="00304952"/>
    <w:rsid w:val="003132A8"/>
    <w:rsid w:val="00313D4E"/>
    <w:rsid w:val="00324A19"/>
    <w:rsid w:val="003316E0"/>
    <w:rsid w:val="003528CC"/>
    <w:rsid w:val="00362710"/>
    <w:rsid w:val="00362A6A"/>
    <w:rsid w:val="00363B01"/>
    <w:rsid w:val="003645F9"/>
    <w:rsid w:val="00375B89"/>
    <w:rsid w:val="003800E6"/>
    <w:rsid w:val="003967A4"/>
    <w:rsid w:val="003B0249"/>
    <w:rsid w:val="003B3B61"/>
    <w:rsid w:val="003C51DB"/>
    <w:rsid w:val="003D5A4D"/>
    <w:rsid w:val="003D5BDA"/>
    <w:rsid w:val="003E1743"/>
    <w:rsid w:val="003E1BE7"/>
    <w:rsid w:val="003E5045"/>
    <w:rsid w:val="003E6C01"/>
    <w:rsid w:val="0040192F"/>
    <w:rsid w:val="00410E5C"/>
    <w:rsid w:val="00414F32"/>
    <w:rsid w:val="004276A5"/>
    <w:rsid w:val="00443588"/>
    <w:rsid w:val="0045480C"/>
    <w:rsid w:val="0045680D"/>
    <w:rsid w:val="00466C57"/>
    <w:rsid w:val="0047035D"/>
    <w:rsid w:val="00470E4D"/>
    <w:rsid w:val="00477D11"/>
    <w:rsid w:val="00482076"/>
    <w:rsid w:val="004B3FFA"/>
    <w:rsid w:val="004C02F0"/>
    <w:rsid w:val="004C4C89"/>
    <w:rsid w:val="004C55C0"/>
    <w:rsid w:val="004C5E0E"/>
    <w:rsid w:val="004D29AB"/>
    <w:rsid w:val="004E651C"/>
    <w:rsid w:val="004F6977"/>
    <w:rsid w:val="00507511"/>
    <w:rsid w:val="005121A2"/>
    <w:rsid w:val="00513A16"/>
    <w:rsid w:val="00522F69"/>
    <w:rsid w:val="0053287C"/>
    <w:rsid w:val="00540572"/>
    <w:rsid w:val="00541B4E"/>
    <w:rsid w:val="00541FBD"/>
    <w:rsid w:val="005462B6"/>
    <w:rsid w:val="00546870"/>
    <w:rsid w:val="00547FA1"/>
    <w:rsid w:val="00554EFD"/>
    <w:rsid w:val="0056394E"/>
    <w:rsid w:val="00570861"/>
    <w:rsid w:val="00571C5E"/>
    <w:rsid w:val="00576FDE"/>
    <w:rsid w:val="0057700F"/>
    <w:rsid w:val="00582E7E"/>
    <w:rsid w:val="00591BAD"/>
    <w:rsid w:val="005A2792"/>
    <w:rsid w:val="005A29F9"/>
    <w:rsid w:val="005B77CE"/>
    <w:rsid w:val="005E2146"/>
    <w:rsid w:val="005E4FD7"/>
    <w:rsid w:val="005F1C3C"/>
    <w:rsid w:val="005F44CB"/>
    <w:rsid w:val="006116B9"/>
    <w:rsid w:val="006166FA"/>
    <w:rsid w:val="00621C29"/>
    <w:rsid w:val="00625238"/>
    <w:rsid w:val="00630A34"/>
    <w:rsid w:val="00637CE1"/>
    <w:rsid w:val="00640365"/>
    <w:rsid w:val="006437A2"/>
    <w:rsid w:val="00656FFC"/>
    <w:rsid w:val="00657A47"/>
    <w:rsid w:val="00664BC0"/>
    <w:rsid w:val="00674FD8"/>
    <w:rsid w:val="00682634"/>
    <w:rsid w:val="00686FE0"/>
    <w:rsid w:val="00690136"/>
    <w:rsid w:val="0069237F"/>
    <w:rsid w:val="00697657"/>
    <w:rsid w:val="006A6C23"/>
    <w:rsid w:val="006B437C"/>
    <w:rsid w:val="006B6D60"/>
    <w:rsid w:val="006D5F25"/>
    <w:rsid w:val="006E3CFD"/>
    <w:rsid w:val="006E48BC"/>
    <w:rsid w:val="006F4640"/>
    <w:rsid w:val="006F731B"/>
    <w:rsid w:val="00711903"/>
    <w:rsid w:val="00716469"/>
    <w:rsid w:val="007310BC"/>
    <w:rsid w:val="00731C22"/>
    <w:rsid w:val="00736047"/>
    <w:rsid w:val="0074195A"/>
    <w:rsid w:val="00744A3C"/>
    <w:rsid w:val="007517C5"/>
    <w:rsid w:val="00752267"/>
    <w:rsid w:val="00756810"/>
    <w:rsid w:val="00761A02"/>
    <w:rsid w:val="00773AEB"/>
    <w:rsid w:val="007763AF"/>
    <w:rsid w:val="0078612A"/>
    <w:rsid w:val="00787670"/>
    <w:rsid w:val="007A2F92"/>
    <w:rsid w:val="007A6142"/>
    <w:rsid w:val="007B06B3"/>
    <w:rsid w:val="007B193F"/>
    <w:rsid w:val="007B34EB"/>
    <w:rsid w:val="007B51AE"/>
    <w:rsid w:val="007B7E0C"/>
    <w:rsid w:val="007C1FB6"/>
    <w:rsid w:val="007C27E8"/>
    <w:rsid w:val="007D719C"/>
    <w:rsid w:val="007E37D2"/>
    <w:rsid w:val="007E3C37"/>
    <w:rsid w:val="007E7C0F"/>
    <w:rsid w:val="007F4AE4"/>
    <w:rsid w:val="00825EE1"/>
    <w:rsid w:val="00834C7F"/>
    <w:rsid w:val="008524C6"/>
    <w:rsid w:val="00855EC8"/>
    <w:rsid w:val="008619E1"/>
    <w:rsid w:val="00873A94"/>
    <w:rsid w:val="00876F75"/>
    <w:rsid w:val="00896C01"/>
    <w:rsid w:val="008A21A4"/>
    <w:rsid w:val="008A52E9"/>
    <w:rsid w:val="008B63E9"/>
    <w:rsid w:val="008B703B"/>
    <w:rsid w:val="008C238C"/>
    <w:rsid w:val="008C25E0"/>
    <w:rsid w:val="008C288D"/>
    <w:rsid w:val="008C2F02"/>
    <w:rsid w:val="008C76E2"/>
    <w:rsid w:val="008D310F"/>
    <w:rsid w:val="008E58B7"/>
    <w:rsid w:val="008E70CD"/>
    <w:rsid w:val="009115AB"/>
    <w:rsid w:val="00911FF4"/>
    <w:rsid w:val="00913A8B"/>
    <w:rsid w:val="009276A9"/>
    <w:rsid w:val="0093102B"/>
    <w:rsid w:val="0093357F"/>
    <w:rsid w:val="00937334"/>
    <w:rsid w:val="009430EF"/>
    <w:rsid w:val="009453EA"/>
    <w:rsid w:val="00947AC8"/>
    <w:rsid w:val="00950ECA"/>
    <w:rsid w:val="00952D21"/>
    <w:rsid w:val="0096022F"/>
    <w:rsid w:val="00963609"/>
    <w:rsid w:val="00970C75"/>
    <w:rsid w:val="00970FE4"/>
    <w:rsid w:val="00971AB3"/>
    <w:rsid w:val="009726E7"/>
    <w:rsid w:val="00977684"/>
    <w:rsid w:val="00977929"/>
    <w:rsid w:val="0099336E"/>
    <w:rsid w:val="009A2011"/>
    <w:rsid w:val="009A5447"/>
    <w:rsid w:val="009B266A"/>
    <w:rsid w:val="009C45B8"/>
    <w:rsid w:val="009E1190"/>
    <w:rsid w:val="00A062E2"/>
    <w:rsid w:val="00A20FAA"/>
    <w:rsid w:val="00A23C8F"/>
    <w:rsid w:val="00A276F5"/>
    <w:rsid w:val="00A44AE9"/>
    <w:rsid w:val="00A45BD2"/>
    <w:rsid w:val="00A5648B"/>
    <w:rsid w:val="00A61802"/>
    <w:rsid w:val="00A62953"/>
    <w:rsid w:val="00A72E7B"/>
    <w:rsid w:val="00A741BA"/>
    <w:rsid w:val="00A81C16"/>
    <w:rsid w:val="00A82B09"/>
    <w:rsid w:val="00A84355"/>
    <w:rsid w:val="00A84BED"/>
    <w:rsid w:val="00A9186C"/>
    <w:rsid w:val="00A93F1B"/>
    <w:rsid w:val="00A96B65"/>
    <w:rsid w:val="00AA2040"/>
    <w:rsid w:val="00AB291C"/>
    <w:rsid w:val="00AC5D45"/>
    <w:rsid w:val="00AD16A3"/>
    <w:rsid w:val="00AD3DE5"/>
    <w:rsid w:val="00AD4149"/>
    <w:rsid w:val="00AD50EA"/>
    <w:rsid w:val="00AE14A8"/>
    <w:rsid w:val="00AE298A"/>
    <w:rsid w:val="00AF2217"/>
    <w:rsid w:val="00B015EC"/>
    <w:rsid w:val="00B01AC9"/>
    <w:rsid w:val="00B072C3"/>
    <w:rsid w:val="00B1196E"/>
    <w:rsid w:val="00B139C5"/>
    <w:rsid w:val="00B25380"/>
    <w:rsid w:val="00B27783"/>
    <w:rsid w:val="00B33B5F"/>
    <w:rsid w:val="00B51D20"/>
    <w:rsid w:val="00B57039"/>
    <w:rsid w:val="00B72662"/>
    <w:rsid w:val="00B837BA"/>
    <w:rsid w:val="00B85235"/>
    <w:rsid w:val="00B8706D"/>
    <w:rsid w:val="00B93ACC"/>
    <w:rsid w:val="00B9413E"/>
    <w:rsid w:val="00BA1C7D"/>
    <w:rsid w:val="00BA33C6"/>
    <w:rsid w:val="00BA7C56"/>
    <w:rsid w:val="00BB3B2C"/>
    <w:rsid w:val="00BC27F0"/>
    <w:rsid w:val="00BE526B"/>
    <w:rsid w:val="00BE7025"/>
    <w:rsid w:val="00BF2816"/>
    <w:rsid w:val="00BF2DB7"/>
    <w:rsid w:val="00BF3F67"/>
    <w:rsid w:val="00C01698"/>
    <w:rsid w:val="00C03F29"/>
    <w:rsid w:val="00C05F12"/>
    <w:rsid w:val="00C15264"/>
    <w:rsid w:val="00C27D56"/>
    <w:rsid w:val="00C35DFC"/>
    <w:rsid w:val="00C418AE"/>
    <w:rsid w:val="00C47527"/>
    <w:rsid w:val="00C510DD"/>
    <w:rsid w:val="00C5589B"/>
    <w:rsid w:val="00C61E8F"/>
    <w:rsid w:val="00C6263B"/>
    <w:rsid w:val="00C63F30"/>
    <w:rsid w:val="00C676C1"/>
    <w:rsid w:val="00C67F82"/>
    <w:rsid w:val="00C96C91"/>
    <w:rsid w:val="00C97DC0"/>
    <w:rsid w:val="00CA07D0"/>
    <w:rsid w:val="00CA495F"/>
    <w:rsid w:val="00CA59C3"/>
    <w:rsid w:val="00CB26E8"/>
    <w:rsid w:val="00CC5689"/>
    <w:rsid w:val="00CC7D22"/>
    <w:rsid w:val="00CE0A63"/>
    <w:rsid w:val="00CE15BC"/>
    <w:rsid w:val="00CE2CDA"/>
    <w:rsid w:val="00CE2D4E"/>
    <w:rsid w:val="00CE41F2"/>
    <w:rsid w:val="00CE535C"/>
    <w:rsid w:val="00CF759C"/>
    <w:rsid w:val="00D03D95"/>
    <w:rsid w:val="00D06C9B"/>
    <w:rsid w:val="00D075A0"/>
    <w:rsid w:val="00D12B58"/>
    <w:rsid w:val="00D21D86"/>
    <w:rsid w:val="00D407F7"/>
    <w:rsid w:val="00D4396D"/>
    <w:rsid w:val="00D43F0E"/>
    <w:rsid w:val="00D47528"/>
    <w:rsid w:val="00D63739"/>
    <w:rsid w:val="00D7606F"/>
    <w:rsid w:val="00D76508"/>
    <w:rsid w:val="00D80FBD"/>
    <w:rsid w:val="00D83445"/>
    <w:rsid w:val="00D85DBB"/>
    <w:rsid w:val="00D87A76"/>
    <w:rsid w:val="00D9209B"/>
    <w:rsid w:val="00DA06F4"/>
    <w:rsid w:val="00DB55F4"/>
    <w:rsid w:val="00DB58D2"/>
    <w:rsid w:val="00DB6DC8"/>
    <w:rsid w:val="00DC015E"/>
    <w:rsid w:val="00DC06A5"/>
    <w:rsid w:val="00DC4E36"/>
    <w:rsid w:val="00DD3B35"/>
    <w:rsid w:val="00DD579E"/>
    <w:rsid w:val="00DD79FB"/>
    <w:rsid w:val="00DE0976"/>
    <w:rsid w:val="00DE18D9"/>
    <w:rsid w:val="00E06351"/>
    <w:rsid w:val="00E0690B"/>
    <w:rsid w:val="00E11CA6"/>
    <w:rsid w:val="00E12A4B"/>
    <w:rsid w:val="00E14565"/>
    <w:rsid w:val="00E20612"/>
    <w:rsid w:val="00E22AC2"/>
    <w:rsid w:val="00E23E64"/>
    <w:rsid w:val="00E25683"/>
    <w:rsid w:val="00E27FB2"/>
    <w:rsid w:val="00E36A45"/>
    <w:rsid w:val="00E404F2"/>
    <w:rsid w:val="00E453EB"/>
    <w:rsid w:val="00E50DF3"/>
    <w:rsid w:val="00E52D63"/>
    <w:rsid w:val="00E557B9"/>
    <w:rsid w:val="00E57CCE"/>
    <w:rsid w:val="00E636D7"/>
    <w:rsid w:val="00E65419"/>
    <w:rsid w:val="00E67CF3"/>
    <w:rsid w:val="00E75165"/>
    <w:rsid w:val="00E760F8"/>
    <w:rsid w:val="00E87A4F"/>
    <w:rsid w:val="00E9410A"/>
    <w:rsid w:val="00EA5C58"/>
    <w:rsid w:val="00EB3E6F"/>
    <w:rsid w:val="00EB554A"/>
    <w:rsid w:val="00ED5560"/>
    <w:rsid w:val="00F0169F"/>
    <w:rsid w:val="00F109D2"/>
    <w:rsid w:val="00F12DC2"/>
    <w:rsid w:val="00F14038"/>
    <w:rsid w:val="00F152DF"/>
    <w:rsid w:val="00F26E86"/>
    <w:rsid w:val="00F32A3D"/>
    <w:rsid w:val="00F41092"/>
    <w:rsid w:val="00F437D2"/>
    <w:rsid w:val="00F44875"/>
    <w:rsid w:val="00F62674"/>
    <w:rsid w:val="00F65531"/>
    <w:rsid w:val="00F707CA"/>
    <w:rsid w:val="00F77257"/>
    <w:rsid w:val="00F81142"/>
    <w:rsid w:val="00F82B8E"/>
    <w:rsid w:val="00F8440A"/>
    <w:rsid w:val="00F918F6"/>
    <w:rsid w:val="00FC037A"/>
    <w:rsid w:val="00FD3669"/>
    <w:rsid w:val="00FD66F1"/>
    <w:rsid w:val="00FD71DF"/>
    <w:rsid w:val="00FF1AC3"/>
    <w:rsid w:val="00FF6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66DF8DD4-FC53-45A2-A472-CFCF2F29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B3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nforcement-legal/legal/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library-backup.ferc.gov/idmws/common/OpenNat.asp?fileID=13606637" TargetMode="External" /><Relationship Id="rId2" Type="http://schemas.openxmlformats.org/officeDocument/2006/relationships/hyperlink" Target="http://www.nerc.com/FilingsOrders/us/RuleOfProcedureDL/NERC_ROP_Effective_20161031.pdf" TargetMode="External" /><Relationship Id="rId3" Type="http://schemas.openxmlformats.org/officeDocument/2006/relationships/hyperlink" Target="http://www.nerc.com/pa/Stand/Documents/Appendix_3A_StandardsProcessesManu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Date xmlns="d6eefc7d-9817-4fa6-84d5-3bc009be21b8">2021-12-14T05:00:00+00:00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725X</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IC21-12</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A4479-0543-455B-A152-110FB41B2830}">
  <ds:schemaRefs>
    <ds:schemaRef ds:uri="http://purl.org/dc/terms/"/>
    <ds:schemaRef ds:uri="http://schemas.openxmlformats.org/package/2006/metadata/core-properties"/>
    <ds:schemaRef ds:uri="http://schemas.microsoft.com/office/2006/documentManagement/types"/>
    <ds:schemaRef ds:uri="e029e753-062b-49ce-baa7-feb352134f8f"/>
    <ds:schemaRef ds:uri="5a7c6213-c3f8-4376-93f2-dc58e5c51d54"/>
    <ds:schemaRef ds:uri="http://purl.org/dc/elements/1.1/"/>
    <ds:schemaRef ds:uri="http://schemas.microsoft.com/office/2006/metadata/properties"/>
    <ds:schemaRef ds:uri="d6eefc7d-9817-4fa6-84d5-3bc009be21b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49A9290A-2C5A-484C-AA23-D51AC0AF7506}">
  <ds:schemaRefs>
    <ds:schemaRef ds:uri="http://schemas.openxmlformats.org/officeDocument/2006/bibliography"/>
  </ds:schemaRefs>
</ds:datastoreItem>
</file>

<file path=customXml/itemProps4.xml><?xml version="1.0" encoding="utf-8"?>
<ds:datastoreItem xmlns:ds="http://schemas.openxmlformats.org/officeDocument/2006/customXml" ds:itemID="{F084B663-95E7-45A0-8FE6-D5E20139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FERC-725X supporting statement</vt:lpstr>
    </vt:vector>
  </TitlesOfParts>
  <Company>FERC</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FERC-725X supporting statement</dc:title>
  <dc:creator>ferc</dc:creator>
  <cp:lastModifiedBy>Kayla Williams</cp:lastModifiedBy>
  <cp:revision>4</cp:revision>
  <dcterms:created xsi:type="dcterms:W3CDTF">2024-10-23T15:12:00Z</dcterms:created>
  <dcterms:modified xsi:type="dcterms:W3CDTF">2024-10-31T15:22:00Z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7abed3cb-57f1-4a41-98f4-8d71096efa78</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2024-10-09T20:05:47Z</vt:lpwstr>
  </property>
  <property fmtid="{D5CDD505-2E9C-101B-9397-08002B2CF9AE}" pid="10" name="MSIP_Label_bd24d06a-0e85-4d57-b1e0-ba34b1abc708_SiteId">
    <vt:lpwstr>19caa9e9-04ff-43fa-885f-d77fac387903</vt:lpwstr>
  </property>
</Properties>
</file>