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3E6F" w:rsidP="00FD66F1" w14:paraId="0ACFBA64" w14:textId="77777777">
      <w:pPr>
        <w:spacing w:after="0"/>
        <w:jc w:val="center"/>
        <w:rPr>
          <w:rFonts w:ascii="Times New Roman" w:hAnsi="Times New Roman" w:cs="Times New Roman"/>
          <w:sz w:val="24"/>
          <w:szCs w:val="24"/>
        </w:rPr>
      </w:pPr>
      <w:r>
        <w:rPr>
          <w:rFonts w:ascii="Times New Roman" w:hAnsi="Times New Roman" w:cs="Times New Roman"/>
          <w:sz w:val="24"/>
          <w:szCs w:val="24"/>
        </w:rPr>
        <w:t>Supporting Statement</w:t>
      </w:r>
    </w:p>
    <w:p w:rsidR="00A96B65" w:rsidP="00570861" w14:paraId="5E2E51C3" w14:textId="3DAB4DD1">
      <w:pPr>
        <w:spacing w:after="0"/>
        <w:jc w:val="center"/>
        <w:rPr>
          <w:rFonts w:ascii="Times New Roman" w:hAnsi="Times New Roman" w:cs="Times New Roman"/>
          <w:b/>
          <w:sz w:val="24"/>
          <w:szCs w:val="24"/>
        </w:rPr>
      </w:pPr>
      <w:r>
        <w:rPr>
          <w:rFonts w:ascii="Times New Roman" w:hAnsi="Times New Roman" w:cs="Times New Roman"/>
          <w:b/>
          <w:sz w:val="24"/>
          <w:szCs w:val="24"/>
        </w:rPr>
        <w:t>FERC-725X</w:t>
      </w:r>
      <w:r w:rsidR="00570861">
        <w:rPr>
          <w:rFonts w:ascii="Times New Roman" w:hAnsi="Times New Roman" w:cs="Times New Roman"/>
          <w:b/>
          <w:sz w:val="24"/>
          <w:szCs w:val="24"/>
        </w:rPr>
        <w:t xml:space="preserve">, </w:t>
      </w:r>
      <w:r w:rsidRPr="003E5045">
        <w:rPr>
          <w:rFonts w:ascii="Times New Roman" w:hAnsi="Times New Roman"/>
          <w:b/>
          <w:sz w:val="24"/>
          <w:szCs w:val="24"/>
        </w:rPr>
        <w:t xml:space="preserve">Mandatory Reliability Standards: </w:t>
      </w:r>
      <w:r>
        <w:rPr>
          <w:rFonts w:ascii="Times New Roman" w:hAnsi="Times New Roman"/>
          <w:b/>
          <w:sz w:val="24"/>
          <w:szCs w:val="24"/>
        </w:rPr>
        <w:t>Voltage and Reactive (VAR) Standards</w:t>
      </w:r>
    </w:p>
    <w:p w:rsidR="003B3B61" w:rsidP="003B3B61" w14:paraId="320391F6" w14:textId="2BCE5C14">
      <w:pPr>
        <w:spacing w:after="0"/>
        <w:jc w:val="center"/>
        <w:rPr>
          <w:rFonts w:ascii="Times New Roman" w:hAnsi="Times New Roman" w:cs="Times New Roman"/>
          <w:sz w:val="24"/>
          <w:szCs w:val="24"/>
        </w:rPr>
      </w:pPr>
      <w:r>
        <w:rPr>
          <w:rFonts w:ascii="Times New Roman" w:hAnsi="Times New Roman" w:cs="Times New Roman"/>
          <w:sz w:val="24"/>
          <w:szCs w:val="24"/>
        </w:rPr>
        <w:t>(Three-year extension requested)</w:t>
      </w:r>
    </w:p>
    <w:p w:rsidR="00FD66F1" w:rsidP="00F8440A" w14:paraId="4E036854" w14:textId="77777777">
      <w:pPr>
        <w:spacing w:after="0"/>
        <w:rPr>
          <w:rFonts w:ascii="Times New Roman" w:hAnsi="Times New Roman" w:cs="Times New Roman"/>
          <w:sz w:val="24"/>
          <w:szCs w:val="24"/>
        </w:rPr>
      </w:pPr>
    </w:p>
    <w:p w:rsidR="00546870" w:rsidP="00546870" w14:paraId="56B41986" w14:textId="16AAF6B8">
      <w:pPr>
        <w:spacing w:after="0"/>
        <w:rPr>
          <w:rFonts w:ascii="Times New Roman" w:hAnsi="Times New Roman" w:cs="Times New Roman"/>
          <w:sz w:val="24"/>
          <w:szCs w:val="24"/>
        </w:rPr>
      </w:pPr>
      <w:r w:rsidRPr="00A44AE9">
        <w:rPr>
          <w:rFonts w:ascii="Times New Roman" w:hAnsi="Times New Roman" w:cs="Times New Roman"/>
          <w:sz w:val="24"/>
          <w:szCs w:val="24"/>
        </w:rPr>
        <w:t>The Federal Energy Regulatory Commission (FERC or Commission) requests that the Office of Management and Budget (OMB) review</w:t>
      </w:r>
      <w:r>
        <w:rPr>
          <w:rFonts w:ascii="Times New Roman" w:hAnsi="Times New Roman" w:cs="Times New Roman"/>
          <w:sz w:val="24"/>
          <w:szCs w:val="24"/>
        </w:rPr>
        <w:t xml:space="preserve"> and renew</w:t>
      </w:r>
      <w:r w:rsidRPr="00A44AE9">
        <w:rPr>
          <w:rFonts w:ascii="Times New Roman" w:hAnsi="Times New Roman" w:cs="Times New Roman"/>
          <w:sz w:val="24"/>
          <w:szCs w:val="24"/>
        </w:rPr>
        <w:t xml:space="preserve"> the information collection requirements in </w:t>
      </w:r>
      <w:r w:rsidR="00640365">
        <w:rPr>
          <w:rFonts w:ascii="Times New Roman" w:hAnsi="Times New Roman" w:cs="Times New Roman"/>
          <w:sz w:val="24"/>
          <w:szCs w:val="24"/>
        </w:rPr>
        <w:t>FERC-725X</w:t>
      </w:r>
      <w:r>
        <w:rPr>
          <w:rFonts w:ascii="Times New Roman" w:hAnsi="Times New Roman" w:cs="Times New Roman"/>
          <w:sz w:val="24"/>
          <w:szCs w:val="24"/>
        </w:rPr>
        <w:t xml:space="preserve"> </w:t>
      </w:r>
      <w:r w:rsidRPr="00A44AE9">
        <w:rPr>
          <w:rFonts w:ascii="Times New Roman" w:hAnsi="Times New Roman" w:cs="Times New Roman"/>
          <w:sz w:val="24"/>
          <w:szCs w:val="24"/>
        </w:rPr>
        <w:t>un</w:t>
      </w:r>
      <w:r w:rsidR="00640365">
        <w:rPr>
          <w:rFonts w:ascii="Times New Roman" w:hAnsi="Times New Roman" w:cs="Times New Roman"/>
          <w:sz w:val="24"/>
          <w:szCs w:val="24"/>
        </w:rPr>
        <w:t>der OMB Control No. 1902-0278</w:t>
      </w:r>
      <w:r>
        <w:rPr>
          <w:rFonts w:ascii="Times New Roman" w:hAnsi="Times New Roman" w:cs="Times New Roman"/>
          <w:sz w:val="24"/>
          <w:szCs w:val="24"/>
        </w:rPr>
        <w:t xml:space="preserve">. </w:t>
      </w:r>
      <w:r w:rsidRPr="00A44AE9">
        <w:rPr>
          <w:rFonts w:ascii="Times New Roman" w:hAnsi="Times New Roman" w:cs="Times New Roman"/>
          <w:sz w:val="24"/>
          <w:szCs w:val="24"/>
        </w:rPr>
        <w:t xml:space="preserve">This supporting statement covers the requirements </w:t>
      </w:r>
      <w:r>
        <w:rPr>
          <w:rFonts w:ascii="Times New Roman" w:hAnsi="Times New Roman" w:cs="Times New Roman"/>
          <w:sz w:val="24"/>
          <w:szCs w:val="24"/>
        </w:rPr>
        <w:t>of the FERC-725</w:t>
      </w:r>
      <w:r w:rsidR="00640365">
        <w:rPr>
          <w:rFonts w:ascii="Times New Roman" w:hAnsi="Times New Roman" w:cs="Times New Roman"/>
          <w:sz w:val="24"/>
          <w:szCs w:val="24"/>
        </w:rPr>
        <w:t>X</w:t>
      </w:r>
      <w:r>
        <w:rPr>
          <w:rFonts w:ascii="Times New Roman" w:hAnsi="Times New Roman" w:cs="Times New Roman"/>
          <w:sz w:val="24"/>
          <w:szCs w:val="24"/>
        </w:rPr>
        <w:t xml:space="preserve"> information collection</w:t>
      </w:r>
      <w:r w:rsidRPr="00A44AE9">
        <w:rPr>
          <w:rFonts w:ascii="Times New Roman" w:hAnsi="Times New Roman" w:cs="Times New Roman"/>
          <w:sz w:val="24"/>
          <w:szCs w:val="24"/>
        </w:rPr>
        <w:t>.</w:t>
      </w:r>
      <w:r>
        <w:rPr>
          <w:rFonts w:ascii="Times New Roman" w:hAnsi="Times New Roman" w:cs="Times New Roman"/>
          <w:sz w:val="24"/>
          <w:szCs w:val="24"/>
        </w:rPr>
        <w:t xml:space="preserve"> The reporti</w:t>
      </w:r>
      <w:r w:rsidR="00640365">
        <w:rPr>
          <w:rFonts w:ascii="Times New Roman" w:hAnsi="Times New Roman" w:cs="Times New Roman"/>
          <w:sz w:val="24"/>
          <w:szCs w:val="24"/>
        </w:rPr>
        <w:t>ng requirements in the FERC-725X</w:t>
      </w:r>
      <w:r>
        <w:rPr>
          <w:rFonts w:ascii="Times New Roman" w:hAnsi="Times New Roman" w:cs="Times New Roman"/>
          <w:sz w:val="24"/>
          <w:szCs w:val="24"/>
        </w:rPr>
        <w:t xml:space="preserve"> are also contained in FERC’s regulations in 18 Code of Federal Regulations (CFR) Part 40.</w:t>
      </w:r>
    </w:p>
    <w:p w:rsidR="0002242D" w:rsidP="00FD66F1" w14:paraId="3418B643" w14:textId="3292E231">
      <w:pPr>
        <w:spacing w:after="0"/>
        <w:rPr>
          <w:rFonts w:ascii="Times New Roman" w:hAnsi="Times New Roman" w:cs="Times New Roman"/>
          <w:sz w:val="24"/>
          <w:szCs w:val="24"/>
        </w:rPr>
      </w:pPr>
    </w:p>
    <w:p w:rsidR="00A72E7B" w:rsidRPr="00EB3E6F" w:rsidP="00A72E7B" w14:paraId="331505ED" w14:textId="77777777">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CIRCUMSTANCES THAT MAKE THE COLLECTION OF INFORMATION NECESSARY</w:t>
      </w:r>
    </w:p>
    <w:p w:rsidR="00A72E7B" w:rsidP="00EB3E6F" w14:paraId="489129EB" w14:textId="77777777">
      <w:pPr>
        <w:spacing w:after="0"/>
        <w:rPr>
          <w:rFonts w:ascii="Times New Roman" w:hAnsi="Times New Roman" w:cs="Times New Roman"/>
          <w:sz w:val="24"/>
          <w:szCs w:val="24"/>
        </w:rPr>
      </w:pPr>
    </w:p>
    <w:p w:rsidR="0000761B" w:rsidRPr="00A44AE9" w:rsidP="0000761B" w14:paraId="79B20183" w14:textId="77777777">
      <w:pPr>
        <w:spacing w:after="0"/>
        <w:rPr>
          <w:rFonts w:ascii="Times New Roman" w:hAnsi="Times New Roman" w:cs="Times New Roman"/>
          <w:sz w:val="24"/>
          <w:szCs w:val="24"/>
        </w:rPr>
      </w:pPr>
      <w:r w:rsidRPr="00A44AE9">
        <w:rPr>
          <w:rFonts w:ascii="Times New Roman" w:hAnsi="Times New Roman" w:cs="Times New Roman"/>
          <w:sz w:val="24"/>
          <w:szCs w:val="24"/>
        </w:rPr>
        <w:t>On August 8, 2005, The Electricity Modernization Act of 2005, which is Title XII of the Energy Policy Act of 2005 (EPAct 2005), was enacted into law.  EPAct 2005 added a new Section 215 to the Federal Power Act (FPA), which requires a Commission-certified Electric Reliability Organization (ERO) to develop mandatory and enforceable Reliability Standards, which are subject to Commission review and approval.  Once approved, the Reliability Standards may be enforced by the ERO, subject to Commission oversight.  In 2006, the Commission certified the North American Electric Reliability Corporation (NERC) as the ERO pursuant to FPA section 215.</w:t>
      </w:r>
      <w:r>
        <w:rPr>
          <w:rStyle w:val="FootnoteReference"/>
          <w:rFonts w:ascii="Times New Roman" w:hAnsi="Times New Roman" w:cs="Times New Roman"/>
          <w:sz w:val="24"/>
          <w:szCs w:val="24"/>
          <w:vertAlign w:val="superscript"/>
        </w:rPr>
        <w:footnoteReference w:id="2"/>
      </w:r>
    </w:p>
    <w:p w:rsidR="00EB3E6F" w:rsidRPr="00EB3E6F" w:rsidP="00EB3E6F" w14:paraId="41C0BFB7" w14:textId="77777777">
      <w:pPr>
        <w:spacing w:after="0"/>
        <w:rPr>
          <w:rFonts w:ascii="Times New Roman" w:hAnsi="Times New Roman" w:cs="Times New Roman"/>
          <w:sz w:val="24"/>
          <w:szCs w:val="24"/>
        </w:rPr>
      </w:pPr>
    </w:p>
    <w:p w:rsidR="00A72E7B" w:rsidRPr="00EB3E6F" w:rsidP="00A72E7B" w14:paraId="1A879F5B" w14:textId="77777777">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HOW, BY WHOM, AND FOR WHAT PURPOSE THE INFORMATION IS TO BE USED AND THE CONSEQUENCES OF NOT COLLECTING THE INFORMATION</w:t>
      </w:r>
    </w:p>
    <w:p w:rsidR="004B3FFA" w:rsidP="004276A5" w14:paraId="070BEF3D" w14:textId="77777777">
      <w:pPr>
        <w:spacing w:after="0"/>
        <w:rPr>
          <w:rFonts w:ascii="Times New Roman" w:hAnsi="Times New Roman" w:cs="Times New Roman"/>
          <w:sz w:val="24"/>
          <w:szCs w:val="24"/>
        </w:rPr>
      </w:pPr>
    </w:p>
    <w:p w:rsidR="00756810" w:rsidP="004276A5" w14:paraId="0875DB34" w14:textId="758CE6C5">
      <w:pPr>
        <w:spacing w:after="0"/>
        <w:rPr>
          <w:rFonts w:ascii="Times New Roman" w:hAnsi="Times New Roman" w:cs="Times New Roman"/>
          <w:sz w:val="24"/>
          <w:szCs w:val="24"/>
        </w:rPr>
      </w:pPr>
      <w:r>
        <w:rPr>
          <w:rFonts w:ascii="Times New Roman" w:hAnsi="Times New Roman" w:cs="Times New Roman"/>
          <w:sz w:val="24"/>
          <w:szCs w:val="24"/>
        </w:rPr>
        <w:t>The Commission approved Reliability Standards VAR-001-4 and VAR-002-3 in the order in Docket No. RD14-11-000</w:t>
      </w:r>
      <w:r>
        <w:rPr>
          <w:rStyle w:val="FootnoteReference"/>
          <w:rFonts w:ascii="Times New Roman" w:hAnsi="Times New Roman" w:cs="Times New Roman"/>
          <w:sz w:val="24"/>
          <w:szCs w:val="24"/>
          <w:vertAlign w:val="superscript"/>
        </w:rPr>
        <w:footnoteReference w:id="3"/>
      </w:r>
      <w:r>
        <w:rPr>
          <w:rFonts w:ascii="Times New Roman" w:hAnsi="Times New Roman" w:cs="Times New Roman"/>
          <w:sz w:val="24"/>
          <w:szCs w:val="24"/>
        </w:rPr>
        <w:t xml:space="preserve">.  </w:t>
      </w:r>
      <w:r w:rsidR="00DE0976">
        <w:rPr>
          <w:rFonts w:ascii="Times New Roman" w:hAnsi="Times New Roman" w:cs="Times New Roman"/>
          <w:sz w:val="24"/>
          <w:szCs w:val="24"/>
        </w:rPr>
        <w:t xml:space="preserve">Reliability Standard </w:t>
      </w:r>
      <w:r>
        <w:rPr>
          <w:rFonts w:ascii="Times New Roman" w:hAnsi="Times New Roman" w:cs="Times New Roman"/>
          <w:sz w:val="24"/>
          <w:szCs w:val="24"/>
        </w:rPr>
        <w:t xml:space="preserve">VAR-001-4 was revised </w:t>
      </w:r>
      <w:r w:rsidR="00DE0976">
        <w:rPr>
          <w:rFonts w:ascii="Times New Roman" w:hAnsi="Times New Roman" w:cs="Times New Roman"/>
          <w:sz w:val="24"/>
          <w:szCs w:val="24"/>
        </w:rPr>
        <w:t>by two errata notices approved by the Commission</w:t>
      </w:r>
      <w:r>
        <w:rPr>
          <w:rStyle w:val="FootnoteReference"/>
          <w:rFonts w:ascii="Times New Roman" w:hAnsi="Times New Roman" w:cs="Times New Roman"/>
          <w:sz w:val="24"/>
          <w:szCs w:val="24"/>
          <w:vertAlign w:val="superscript"/>
        </w:rPr>
        <w:footnoteReference w:id="4"/>
      </w:r>
      <w:r w:rsidR="00DE0976">
        <w:rPr>
          <w:rFonts w:ascii="Times New Roman" w:hAnsi="Times New Roman" w:cs="Times New Roman"/>
          <w:sz w:val="24"/>
          <w:szCs w:val="24"/>
        </w:rPr>
        <w:t xml:space="preserve">.  Reliability Standard VAR-002-3 was revised into VAR-002-4 in the Order in Docket No. RD15-3-000.  The revision updated the applicability language in </w:t>
      </w:r>
      <w:r w:rsidR="00DE0976">
        <w:rPr>
          <w:rFonts w:ascii="Times New Roman" w:hAnsi="Times New Roman" w:cs="Times New Roman"/>
          <w:sz w:val="24"/>
          <w:szCs w:val="24"/>
        </w:rPr>
        <w:t>provisions related to generation owners and generation operators of “any resources identified through inclusion I4 of the bulk electric system definition”</w:t>
      </w:r>
      <w:r>
        <w:rPr>
          <w:rStyle w:val="FootnoteReference"/>
          <w:rFonts w:ascii="Times New Roman" w:hAnsi="Times New Roman" w:cs="Times New Roman"/>
          <w:sz w:val="24"/>
          <w:szCs w:val="24"/>
          <w:vertAlign w:val="superscript"/>
        </w:rPr>
        <w:footnoteReference w:id="5"/>
      </w:r>
      <w:r w:rsidR="00DE0976">
        <w:rPr>
          <w:rFonts w:ascii="Times New Roman" w:hAnsi="Times New Roman" w:cs="Times New Roman"/>
          <w:sz w:val="24"/>
          <w:szCs w:val="24"/>
        </w:rPr>
        <w:t>.</w:t>
      </w:r>
    </w:p>
    <w:p w:rsidR="00640365" w:rsidRPr="003E5045" w:rsidP="00640365" w14:paraId="0660A699" w14:textId="77777777">
      <w:pPr>
        <w:spacing w:after="0" w:line="240" w:lineRule="auto"/>
        <w:rPr>
          <w:rFonts w:ascii="Times New Roman" w:hAnsi="Times New Roman" w:cs="Times New Roman"/>
          <w:sz w:val="24"/>
          <w:szCs w:val="24"/>
        </w:rPr>
      </w:pPr>
    </w:p>
    <w:p w:rsidR="00640365" w:rsidP="00640365" w14:paraId="44E3FABF" w14:textId="2DAB29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Additionally, the following paragraphs describe the information collection requirements contained in this collection.  Each Reliability Standard requirement is accompanied by a compliance measure which requires the applicable entity to have evidence that it complied with the requirement.  </w:t>
      </w:r>
      <w:r w:rsidR="00B51D20">
        <w:rPr>
          <w:rFonts w:ascii="Times New Roman" w:hAnsi="Times New Roman" w:cs="Times New Roman"/>
          <w:sz w:val="24"/>
          <w:szCs w:val="24"/>
        </w:rPr>
        <w:t>Each Reliability Standard is</w:t>
      </w:r>
      <w:r>
        <w:rPr>
          <w:rFonts w:ascii="Times New Roman" w:hAnsi="Times New Roman" w:cs="Times New Roman"/>
          <w:sz w:val="24"/>
          <w:szCs w:val="24"/>
        </w:rPr>
        <w:t xml:space="preserve"> included as supplemental documents to this</w:t>
      </w:r>
      <w:r w:rsidR="00B51D20">
        <w:rPr>
          <w:rFonts w:ascii="Times New Roman" w:hAnsi="Times New Roman" w:cs="Times New Roman"/>
          <w:sz w:val="24"/>
          <w:szCs w:val="24"/>
        </w:rPr>
        <w:t xml:space="preserve"> extension request.</w:t>
      </w:r>
    </w:p>
    <w:p w:rsidR="00640365" w:rsidP="00640365" w14:paraId="79174FF1" w14:textId="77777777">
      <w:pPr>
        <w:spacing w:after="0" w:line="240" w:lineRule="auto"/>
        <w:rPr>
          <w:rFonts w:ascii="Times New Roman" w:hAnsi="Times New Roman" w:cs="Times New Roman"/>
          <w:sz w:val="24"/>
          <w:szCs w:val="24"/>
        </w:rPr>
      </w:pPr>
    </w:p>
    <w:p w:rsidR="00B51D20" w:rsidP="00640365" w14:paraId="1A51190E" w14:textId="7503B5EF">
      <w:pPr>
        <w:pStyle w:val="Default"/>
        <w:rPr>
          <w:b/>
        </w:rPr>
      </w:pPr>
      <w:r w:rsidRPr="001C1D2F">
        <w:rPr>
          <w:b/>
        </w:rPr>
        <w:t>Reliability Standard VAR-001-</w:t>
      </w:r>
      <w:r w:rsidR="00C67F82">
        <w:rPr>
          <w:b/>
        </w:rPr>
        <w:t>5</w:t>
      </w:r>
    </w:p>
    <w:p w:rsidR="00B51D20" w:rsidP="00B51D20" w14:paraId="4DAD7575" w14:textId="31826F90">
      <w:pPr>
        <w:pStyle w:val="Default"/>
      </w:pPr>
      <w:r>
        <w:t>Reliability Standard VAR-001-</w:t>
      </w:r>
      <w:r w:rsidR="00C67F82">
        <w:t>5</w:t>
      </w:r>
      <w:r w:rsidRPr="001C1D2F" w:rsidR="00640365">
        <w:t xml:space="preserve"> requires</w:t>
      </w:r>
      <w:r>
        <w:t xml:space="preserve"> each Transmission Operator to:</w:t>
      </w:r>
    </w:p>
    <w:p w:rsidR="00B51D20" w:rsidP="00B51D20" w14:paraId="39BF6C35" w14:textId="6953B70B">
      <w:pPr>
        <w:pStyle w:val="Default"/>
        <w:numPr>
          <w:ilvl w:val="0"/>
          <w:numId w:val="15"/>
        </w:numPr>
      </w:pPr>
      <w:r w:rsidRPr="001C1D2F">
        <w:t>Specify a system-wide voltage schedule (which is either a range or a target value with an associated tolerance band) as part of its plan to operate within SOLs and IROLs, and to provide the voltage schedule to its Reliability Coordinator and adjacent Transmission Operators</w:t>
      </w:r>
      <w:r>
        <w:t xml:space="preserve"> upon request (Requirement R1);</w:t>
      </w:r>
    </w:p>
    <w:p w:rsidR="00E65419" w:rsidP="00B51D20" w14:paraId="4BA208C5" w14:textId="6D0AFF58">
      <w:pPr>
        <w:pStyle w:val="Default"/>
        <w:numPr>
          <w:ilvl w:val="0"/>
          <w:numId w:val="15"/>
        </w:numPr>
      </w:pPr>
      <w:r w:rsidRPr="00E65419">
        <w:t>Each Transmission Operator shall schedule sufficient reactive resources to regulate voltage levels under normal and Contingency conditions. Transmission Operators can provide sufficient reactive resources through various means including, but not limited to, reactive generation scheduling, transmission line and reactive resource switching, and using controllable load.</w:t>
      </w:r>
      <w:r w:rsidR="00CC5689">
        <w:t xml:space="preserve"> (Requirement R2)</w:t>
      </w:r>
    </w:p>
    <w:p w:rsidR="00B51D20" w:rsidP="00640365" w14:paraId="000062EC" w14:textId="4EA9DE1A">
      <w:pPr>
        <w:pStyle w:val="Default"/>
        <w:numPr>
          <w:ilvl w:val="0"/>
          <w:numId w:val="15"/>
        </w:numPr>
      </w:pPr>
      <w:r w:rsidRPr="00E65419">
        <w:t xml:space="preserve">Similar to Requirement R2, the VAR SDT determined that for reliability purposes, the </w:t>
      </w:r>
      <w:r>
        <w:t>Transmission Operator</w:t>
      </w:r>
      <w:r w:rsidRPr="00E65419">
        <w:t xml:space="preserve"> must ensure sufficient voltage support is provided in Real-time in order to operate within an SOL</w:t>
      </w:r>
      <w:r>
        <w:t xml:space="preserve">. </w:t>
      </w:r>
      <w:r w:rsidRPr="001C1D2F" w:rsidR="00640365">
        <w:t>Develop a set of criteria to exempt generators from certain requirements unde</w:t>
      </w:r>
      <w:r w:rsidR="009276A9">
        <w:t>r Reliability Standard VAR-002-4.1</w:t>
      </w:r>
      <w:r w:rsidRPr="001C1D2F" w:rsidR="00640365">
        <w:t xml:space="preserve"> related to voltage or Reactive Power schedules, automatic voltage regulations, and</w:t>
      </w:r>
      <w:r>
        <w:t xml:space="preserve"> notification (Requirement R4);</w:t>
      </w:r>
    </w:p>
    <w:p w:rsidR="00B51D20" w:rsidP="00640365" w14:paraId="7C0407F3" w14:textId="4E089FB3">
      <w:pPr>
        <w:pStyle w:val="Default"/>
        <w:numPr>
          <w:ilvl w:val="0"/>
          <w:numId w:val="15"/>
        </w:numPr>
      </w:pPr>
      <w:r w:rsidRPr="001C1D2F">
        <w:t>Specify a voltage or Reactive Power schedule (which is either a range or a target value with an associated tolerance band) for generators at either the high or low voltage side of the generator step-up transformer</w:t>
      </w:r>
      <w:r w:rsidR="004C55C0">
        <w:t xml:space="preserve"> and</w:t>
      </w:r>
      <w:r w:rsidRPr="001C1D2F">
        <w:t xml:space="preserve"> provide the schedule to the associated Generator Operator, provide the Generator Operator the notification requirements for deviating from the schedule, and, if requested, provide the Generator Operator the criteria used to develop the schedule (Requirement R5); and</w:t>
      </w:r>
    </w:p>
    <w:p w:rsidR="00640365" w:rsidRPr="00B51D20" w:rsidP="00640365" w14:paraId="55AFE510" w14:textId="41B1E00D">
      <w:pPr>
        <w:pStyle w:val="Default"/>
        <w:numPr>
          <w:ilvl w:val="0"/>
          <w:numId w:val="15"/>
        </w:numPr>
      </w:pPr>
      <w:r w:rsidRPr="00B51D20">
        <w:t xml:space="preserve">Communicate step-up transformer tap changes, the time frame for completion, and the justification for these changes to Generator Owners (Requirement R6). </w:t>
      </w:r>
    </w:p>
    <w:p w:rsidR="00640365" w:rsidRPr="001C1D2F" w:rsidP="00640365" w14:paraId="57F3834F" w14:textId="77777777">
      <w:pPr>
        <w:spacing w:after="0" w:line="240" w:lineRule="auto"/>
        <w:rPr>
          <w:rFonts w:ascii="Times New Roman" w:hAnsi="Times New Roman" w:cs="Times New Roman"/>
          <w:sz w:val="24"/>
          <w:szCs w:val="24"/>
        </w:rPr>
      </w:pPr>
    </w:p>
    <w:p w:rsidR="00B51D20" w:rsidP="00640365" w14:paraId="5FED266A" w14:textId="2E171DA2">
      <w:pPr>
        <w:pStyle w:val="Default"/>
        <w:rPr>
          <w:b/>
        </w:rPr>
      </w:pPr>
      <w:r>
        <w:rPr>
          <w:b/>
        </w:rPr>
        <w:t>Reliability Standard VAR-002-4.1</w:t>
      </w:r>
    </w:p>
    <w:p w:rsidR="00B51D20" w:rsidP="00B51D20" w14:paraId="2AFEEBD3" w14:textId="697256B6">
      <w:pPr>
        <w:pStyle w:val="Default"/>
      </w:pPr>
      <w:r>
        <w:t>Reliability Standard VAR-002-4.1</w:t>
      </w:r>
      <w:r w:rsidRPr="001C1D2F" w:rsidR="00640365">
        <w:t xml:space="preserve"> requires each Generator Operator to:</w:t>
      </w:r>
    </w:p>
    <w:p w:rsidR="00937334" w:rsidP="00B51D20" w14:paraId="56F56140" w14:textId="77777777">
      <w:pPr>
        <w:pStyle w:val="Default"/>
        <w:numPr>
          <w:ilvl w:val="0"/>
          <w:numId w:val="16"/>
        </w:numPr>
      </w:pPr>
      <w:r w:rsidRPr="001C1D2F">
        <w:t>Operate each of its generators connected to the interconnected transmission system in automatic voltage control mode or in a different control mode as instructed by the Transmission Operator, unless the Generator Operator (1) is exempted pursuant to the criteria developed under VAR-001-4</w:t>
      </w:r>
      <w:r w:rsidR="009276A9">
        <w:t>.1</w:t>
      </w:r>
      <w:r w:rsidRPr="001C1D2F">
        <w:t>, Requirement R4, or (2) makes certain notifications to the Transmission Operator specifying the reasons it cann</w:t>
      </w:r>
      <w:r w:rsidR="00B51D20">
        <w:t>ot so operate (Requirement R1);</w:t>
      </w:r>
    </w:p>
    <w:p w:rsidR="00B51D20" w:rsidP="00B51D20" w14:paraId="633D706A" w14:textId="3BE36B72">
      <w:pPr>
        <w:pStyle w:val="Default"/>
        <w:numPr>
          <w:ilvl w:val="0"/>
          <w:numId w:val="16"/>
        </w:numPr>
      </w:pPr>
      <w:r w:rsidRPr="001C1D2F">
        <w:t>Maintain the Transmission Operator’s generator voltage or Reactive Power schedule, unless the Generator Operator (1) is exempted pursuant to the criteria developed under VAR-001-4</w:t>
      </w:r>
      <w:r w:rsidR="009276A9">
        <w:t>.2</w:t>
      </w:r>
      <w:r w:rsidRPr="001C1D2F">
        <w:t>, Requirement R4, or (2) complies with the notification requirements for deviations as established by the Transmission Owner pursuant to VAR-001-4</w:t>
      </w:r>
      <w:r w:rsidR="009276A9">
        <w:t>.2</w:t>
      </w:r>
      <w:r w:rsidRPr="001C1D2F">
        <w:t>, Requ</w:t>
      </w:r>
      <w:r>
        <w:t>irement R5 (Requirement R2);</w:t>
      </w:r>
    </w:p>
    <w:p w:rsidR="000A49C8" w:rsidP="00640365" w14:paraId="3FBFE63E" w14:textId="77777777">
      <w:pPr>
        <w:pStyle w:val="Default"/>
        <w:numPr>
          <w:ilvl w:val="0"/>
          <w:numId w:val="16"/>
        </w:numPr>
      </w:pPr>
      <w:r w:rsidRPr="001C1D2F">
        <w:t>Notify the Transmission Operator of a change in status of its voltage controlling device within 30 minutes, unless the status is restored within that ti</w:t>
      </w:r>
      <w:r>
        <w:t>me period (Requirement R3);</w:t>
      </w:r>
    </w:p>
    <w:p w:rsidR="000A49C8" w:rsidP="000A49C8" w14:paraId="7C5892CA" w14:textId="65049814">
      <w:pPr>
        <w:pStyle w:val="Default"/>
        <w:numPr>
          <w:ilvl w:val="0"/>
          <w:numId w:val="16"/>
        </w:numPr>
      </w:pPr>
      <w:r w:rsidRPr="001C1D2F">
        <w:t>Notify the Transmission Operator of a change in reactive capability due to factors other t</w:t>
      </w:r>
      <w:r w:rsidR="009276A9">
        <w:t>han those described in VAR-002-4.1</w:t>
      </w:r>
      <w:r w:rsidRPr="001C1D2F">
        <w:t>, Requirement R3 within 30 minutes unless the capability has been restored during tha</w:t>
      </w:r>
      <w:r>
        <w:t>t time period (Requirement R4);</w:t>
      </w:r>
    </w:p>
    <w:p w:rsidR="00937334" w:rsidP="00640365" w14:paraId="1E7DEBEB" w14:textId="1E9DD0F4">
      <w:pPr>
        <w:pStyle w:val="Default"/>
        <w:numPr>
          <w:ilvl w:val="0"/>
          <w:numId w:val="16"/>
        </w:numPr>
      </w:pPr>
      <w:r w:rsidRPr="001C1D2F">
        <w:t>Provide information on its step-up transformers and auxiliary transformers within 30 days of a request from the Transmission Operator or Transmissio</w:t>
      </w:r>
      <w:r w:rsidR="000A49C8">
        <w:t>n Planner (Requirement R5); and</w:t>
      </w:r>
    </w:p>
    <w:p w:rsidR="000D6FBE" w:rsidP="00FD3669" w14:paraId="4683B0AA" w14:textId="1C567333">
      <w:pPr>
        <w:pStyle w:val="Default"/>
        <w:numPr>
          <w:ilvl w:val="0"/>
          <w:numId w:val="16"/>
        </w:numPr>
      </w:pPr>
      <w:r w:rsidRPr="001C1D2F">
        <w:t xml:space="preserve">Comply with the Transmission Operator’s step-up transformer tap change directives unless compliance would violate safety, an equipment rating, or applicable laws, </w:t>
      </w:r>
      <w:r w:rsidRPr="001C1D2F" w:rsidR="00FD3669">
        <w:t>rules,</w:t>
      </w:r>
      <w:r w:rsidRPr="001C1D2F">
        <w:t xml:space="preserve"> or regulations (Requirement R6). </w:t>
      </w:r>
    </w:p>
    <w:p w:rsidR="00BF2DB7" w:rsidRPr="00EB3E6F" w:rsidP="00BF2DB7" w14:paraId="129301E5" w14:textId="77777777">
      <w:pPr>
        <w:pStyle w:val="Default"/>
        <w:ind w:left="720"/>
      </w:pPr>
    </w:p>
    <w:p w:rsidR="00EB3E6F" w:rsidRPr="00EB3E6F" w:rsidP="00A72E7B" w14:paraId="383755D2" w14:textId="77777777">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DESCRIBE ANY CONSIDERATION OF THE USE OF IMPROVED INFORMATION TECHNOLOGY TO REDUCE THE BURDEN AND TECHNICAL OR LEGAL OBSTACLES TO REDUCING BURDEN</w:t>
      </w:r>
    </w:p>
    <w:p w:rsidR="00EB3E6F" w:rsidP="00EB3E6F" w14:paraId="3DE42D36" w14:textId="77777777">
      <w:pPr>
        <w:spacing w:after="0"/>
        <w:rPr>
          <w:rFonts w:ascii="Times New Roman" w:hAnsi="Times New Roman" w:cs="Times New Roman"/>
          <w:sz w:val="24"/>
          <w:szCs w:val="24"/>
        </w:rPr>
      </w:pPr>
    </w:p>
    <w:p w:rsidR="00D43F0E" w:rsidP="00D43F0E" w14:paraId="5F4E1DCA" w14:textId="5F4ACEBF">
      <w:pPr>
        <w:spacing w:after="0"/>
        <w:rPr>
          <w:rFonts w:ascii="Times New Roman" w:hAnsi="Times New Roman" w:cs="Times New Roman"/>
          <w:sz w:val="24"/>
          <w:szCs w:val="24"/>
        </w:rPr>
      </w:pPr>
      <w:r w:rsidRPr="00A44AE9">
        <w:rPr>
          <w:rFonts w:ascii="Times New Roman" w:hAnsi="Times New Roman" w:cs="Times New Roman"/>
          <w:sz w:val="24"/>
          <w:szCs w:val="24"/>
        </w:rPr>
        <w:t>Th</w:t>
      </w:r>
      <w:r>
        <w:rPr>
          <w:rFonts w:ascii="Times New Roman" w:hAnsi="Times New Roman" w:cs="Times New Roman"/>
          <w:sz w:val="24"/>
          <w:szCs w:val="24"/>
        </w:rPr>
        <w:t>is</w:t>
      </w:r>
      <w:r w:rsidRPr="00A44AE9">
        <w:rPr>
          <w:rFonts w:ascii="Times New Roman" w:hAnsi="Times New Roman" w:cs="Times New Roman"/>
          <w:sz w:val="24"/>
          <w:szCs w:val="24"/>
        </w:rPr>
        <w:t xml:space="preserve"> collection do</w:t>
      </w:r>
      <w:r>
        <w:rPr>
          <w:rFonts w:ascii="Times New Roman" w:hAnsi="Times New Roman" w:cs="Times New Roman"/>
          <w:sz w:val="24"/>
          <w:szCs w:val="24"/>
        </w:rPr>
        <w:t>es</w:t>
      </w:r>
      <w:r w:rsidRPr="00A44AE9">
        <w:rPr>
          <w:rFonts w:ascii="Times New Roman" w:hAnsi="Times New Roman" w:cs="Times New Roman"/>
          <w:sz w:val="24"/>
          <w:szCs w:val="24"/>
        </w:rPr>
        <w:t xml:space="preserve"> not require</w:t>
      </w:r>
      <w:r>
        <w:rPr>
          <w:rFonts w:ascii="Times New Roman" w:hAnsi="Times New Roman" w:cs="Times New Roman"/>
          <w:sz w:val="24"/>
          <w:szCs w:val="24"/>
        </w:rPr>
        <w:t xml:space="preserve"> industry to file the information </w:t>
      </w:r>
      <w:r w:rsidRPr="00A44AE9">
        <w:rPr>
          <w:rFonts w:ascii="Times New Roman" w:hAnsi="Times New Roman" w:cs="Times New Roman"/>
          <w:sz w:val="24"/>
          <w:szCs w:val="24"/>
        </w:rPr>
        <w:t xml:space="preserve">with the Commission.  However, </w:t>
      </w:r>
      <w:r w:rsidR="000A49C8">
        <w:rPr>
          <w:rFonts w:ascii="Times New Roman" w:hAnsi="Times New Roman" w:cs="Times New Roman"/>
          <w:sz w:val="24"/>
          <w:szCs w:val="24"/>
        </w:rPr>
        <w:t>FERC-725X</w:t>
      </w:r>
      <w:r w:rsidRPr="00A44AE9">
        <w:rPr>
          <w:rFonts w:ascii="Times New Roman" w:hAnsi="Times New Roman" w:cs="Times New Roman"/>
          <w:sz w:val="24"/>
          <w:szCs w:val="24"/>
        </w:rPr>
        <w:t xml:space="preserve"> do</w:t>
      </w:r>
      <w:r>
        <w:rPr>
          <w:rFonts w:ascii="Times New Roman" w:hAnsi="Times New Roman" w:cs="Times New Roman"/>
          <w:sz w:val="24"/>
          <w:szCs w:val="24"/>
        </w:rPr>
        <w:t>es</w:t>
      </w:r>
      <w:r w:rsidRPr="00A44AE9">
        <w:rPr>
          <w:rFonts w:ascii="Times New Roman" w:hAnsi="Times New Roman" w:cs="Times New Roman"/>
          <w:sz w:val="24"/>
          <w:szCs w:val="24"/>
        </w:rPr>
        <w:t xml:space="preserve"> contain information collection and record retention requirements for which using cu</w:t>
      </w:r>
      <w:r>
        <w:rPr>
          <w:rFonts w:ascii="Times New Roman" w:hAnsi="Times New Roman" w:cs="Times New Roman"/>
          <w:sz w:val="24"/>
          <w:szCs w:val="24"/>
        </w:rPr>
        <w:t>rrent technology is an option.</w:t>
      </w:r>
    </w:p>
    <w:p w:rsidR="00D43F0E" w:rsidP="00D43F0E" w14:paraId="52D9AB71" w14:textId="77777777">
      <w:pPr>
        <w:spacing w:after="0"/>
        <w:ind w:firstLine="360"/>
        <w:rPr>
          <w:rFonts w:ascii="Times New Roman" w:hAnsi="Times New Roman" w:cs="Times New Roman"/>
          <w:sz w:val="24"/>
          <w:szCs w:val="24"/>
        </w:rPr>
      </w:pPr>
    </w:p>
    <w:p w:rsidR="00D43F0E" w:rsidRPr="00A44AE9" w:rsidP="00D43F0E" w14:paraId="0392FED2" w14:textId="77777777">
      <w:pPr>
        <w:spacing w:after="0"/>
        <w:rPr>
          <w:rFonts w:ascii="Times New Roman" w:hAnsi="Times New Roman" w:cs="Times New Roman"/>
          <w:sz w:val="24"/>
          <w:szCs w:val="24"/>
        </w:rPr>
      </w:pPr>
      <w:r>
        <w:rPr>
          <w:rFonts w:ascii="Times New Roman" w:hAnsi="Times New Roman" w:cs="Times New Roman"/>
          <w:sz w:val="24"/>
          <w:szCs w:val="24"/>
        </w:rPr>
        <w:t>The information technology to meet the information collection requirements is not specifically covered in the Reliability Standard.</w:t>
      </w:r>
    </w:p>
    <w:p w:rsidR="00466C57" w:rsidRPr="00EB3E6F" w:rsidP="00EB3E6F" w14:paraId="2AA4616C" w14:textId="77777777">
      <w:pPr>
        <w:spacing w:after="0"/>
        <w:rPr>
          <w:rFonts w:ascii="Times New Roman" w:hAnsi="Times New Roman" w:cs="Times New Roman"/>
          <w:sz w:val="24"/>
          <w:szCs w:val="24"/>
        </w:rPr>
      </w:pPr>
    </w:p>
    <w:p w:rsidR="00EB3E6F" w:rsidRPr="00EB3E6F" w:rsidP="00A72E7B" w14:paraId="7F3A435F" w14:textId="77777777">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DESCRIBE EFFORTS TO IDENTIF</w:t>
      </w:r>
      <w:r w:rsidR="00074DC8">
        <w:rPr>
          <w:rFonts w:ascii="Times New Roman" w:hAnsi="Times New Roman" w:cs="Times New Roman"/>
          <w:b/>
          <w:sz w:val="24"/>
          <w:szCs w:val="24"/>
        </w:rPr>
        <w:t>Y</w:t>
      </w:r>
      <w:r w:rsidRPr="00EB3E6F">
        <w:rPr>
          <w:rFonts w:ascii="Times New Roman" w:hAnsi="Times New Roman" w:cs="Times New Roman"/>
          <w:b/>
          <w:sz w:val="24"/>
          <w:szCs w:val="24"/>
        </w:rPr>
        <w:t xml:space="preserve"> DUPLICATION AND SHOW SPECIFICALLY WHY ANY SIMILAR INFORMATION ALREADY AVAILABLE CANNOT BE USED OR MODIFIED FOR USE FOR THE PURPOSE(S) DESCRIBED IN INSTRUCTION NO. 2</w:t>
      </w:r>
    </w:p>
    <w:p w:rsidR="00EB3E6F" w:rsidP="00EB3E6F" w14:paraId="79379D3A" w14:textId="77777777">
      <w:pPr>
        <w:spacing w:after="0"/>
        <w:rPr>
          <w:rFonts w:ascii="Times New Roman" w:hAnsi="Times New Roman" w:cs="Times New Roman"/>
          <w:sz w:val="24"/>
          <w:szCs w:val="24"/>
        </w:rPr>
      </w:pPr>
    </w:p>
    <w:p w:rsidR="00D43F0E" w:rsidRPr="00A44AE9" w:rsidP="00D43F0E" w14:paraId="2FB02FDA" w14:textId="77777777">
      <w:pPr>
        <w:spacing w:after="0"/>
        <w:rPr>
          <w:rFonts w:ascii="Times New Roman" w:hAnsi="Times New Roman" w:cs="Times New Roman"/>
          <w:sz w:val="24"/>
          <w:szCs w:val="24"/>
        </w:rPr>
      </w:pPr>
      <w:r w:rsidRPr="00A44AE9">
        <w:rPr>
          <w:rFonts w:ascii="Times New Roman" w:hAnsi="Times New Roman" w:cs="Times New Roman"/>
          <w:sz w:val="24"/>
          <w:szCs w:val="24"/>
        </w:rPr>
        <w:t>The Commission periodically reviews filing requirements concurrent with OMB review or as the Commission deems necessary to eliminate duplicative filing and</w:t>
      </w:r>
      <w:r>
        <w:rPr>
          <w:rFonts w:ascii="Times New Roman" w:hAnsi="Times New Roman" w:cs="Times New Roman"/>
          <w:sz w:val="24"/>
          <w:szCs w:val="24"/>
        </w:rPr>
        <w:t xml:space="preserve"> to minimize the filing burden.  The Commission is unaware of any other source of information related to bulk-electric system physical security.</w:t>
      </w:r>
    </w:p>
    <w:p w:rsidR="00466C57" w:rsidRPr="00EB3E6F" w:rsidP="00EB3E6F" w14:paraId="0802EA7E" w14:textId="77777777">
      <w:pPr>
        <w:spacing w:after="0"/>
        <w:rPr>
          <w:rFonts w:ascii="Times New Roman" w:hAnsi="Times New Roman" w:cs="Times New Roman"/>
          <w:sz w:val="24"/>
          <w:szCs w:val="24"/>
        </w:rPr>
      </w:pPr>
    </w:p>
    <w:p w:rsidR="00EB3E6F" w:rsidRPr="00EB3E6F" w:rsidP="00A72E7B" w14:paraId="72EA9393" w14:textId="77777777">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METHODS USED TO MINIMIZE THE BURDEN IN COLLECTION OF INFORMATION INVOLVING SMALL ENTITIES</w:t>
      </w:r>
    </w:p>
    <w:p w:rsidR="00EB3E6F" w:rsidP="00EB3E6F" w14:paraId="2C2C6A43" w14:textId="77777777">
      <w:pPr>
        <w:spacing w:after="0"/>
        <w:rPr>
          <w:rFonts w:ascii="Times New Roman" w:hAnsi="Times New Roman" w:cs="Times New Roman"/>
          <w:sz w:val="24"/>
          <w:szCs w:val="24"/>
        </w:rPr>
      </w:pPr>
    </w:p>
    <w:p w:rsidR="00D43F0E" w:rsidRPr="00A44AE9" w:rsidP="00D43F0E" w14:paraId="07808E18" w14:textId="3AE4464D">
      <w:pPr>
        <w:spacing w:after="0"/>
        <w:rPr>
          <w:rFonts w:ascii="Times New Roman" w:hAnsi="Times New Roman" w:cs="Times New Roman"/>
          <w:sz w:val="24"/>
          <w:szCs w:val="24"/>
        </w:rPr>
      </w:pPr>
      <w:r w:rsidRPr="00A44AE9">
        <w:rPr>
          <w:rFonts w:ascii="Times New Roman" w:hAnsi="Times New Roman" w:cs="Times New Roman"/>
          <w:sz w:val="24"/>
          <w:szCs w:val="24"/>
        </w:rPr>
        <w:t>In general, small entities may reduce their burden by taking part in a joint registration organization or a coordinated functional registration.  These options allow a small entity to share the compliance burden with other entities and, thus, to minimize their own compliance burden. Detailed information regarding these options is available in NERC’s Rule of Procedure at Sections 507 and 508</w:t>
      </w:r>
      <w:r w:rsidR="00E557B9">
        <w:rPr>
          <w:rFonts w:ascii="Times New Roman" w:hAnsi="Times New Roman" w:cs="Times New Roman"/>
          <w:sz w:val="24"/>
          <w:szCs w:val="24"/>
        </w:rPr>
        <w:t>.</w:t>
      </w:r>
      <w:r>
        <w:rPr>
          <w:rStyle w:val="FootnoteReference"/>
          <w:rFonts w:ascii="Times New Roman" w:hAnsi="Times New Roman" w:cs="Times New Roman"/>
          <w:sz w:val="24"/>
          <w:szCs w:val="24"/>
          <w:vertAlign w:val="superscript"/>
        </w:rPr>
        <w:footnoteReference w:id="6"/>
      </w:r>
    </w:p>
    <w:p w:rsidR="001348AC" w:rsidRPr="00EB3E6F" w:rsidP="00EB3E6F" w14:paraId="6313B5C9" w14:textId="77777777">
      <w:pPr>
        <w:spacing w:after="0"/>
        <w:rPr>
          <w:rFonts w:ascii="Times New Roman" w:hAnsi="Times New Roman" w:cs="Times New Roman"/>
          <w:sz w:val="24"/>
          <w:szCs w:val="24"/>
        </w:rPr>
      </w:pPr>
    </w:p>
    <w:p w:rsidR="00EB3E6F" w:rsidRPr="00D80FBD" w:rsidP="00A72E7B" w14:paraId="0631BAC3" w14:textId="77777777">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CONSEQUENCE TO FEDERAL PROGRAM IF COLLECTION WERE CONDUCTED LESS FREQUENTLY</w:t>
      </w:r>
    </w:p>
    <w:p w:rsidR="00EB3E6F" w:rsidP="00EB3E6F" w14:paraId="3CD67D0B" w14:textId="77777777">
      <w:pPr>
        <w:spacing w:after="0"/>
        <w:rPr>
          <w:rFonts w:ascii="Times New Roman" w:hAnsi="Times New Roman" w:cs="Times New Roman"/>
          <w:sz w:val="24"/>
          <w:szCs w:val="24"/>
        </w:rPr>
      </w:pPr>
    </w:p>
    <w:p w:rsidR="00CF759C" w:rsidP="00EB3E6F" w14:paraId="0B87DD4D" w14:textId="24394F75">
      <w:pPr>
        <w:spacing w:after="0"/>
        <w:rPr>
          <w:rFonts w:ascii="Times New Roman" w:hAnsi="Times New Roman" w:cs="Times New Roman"/>
          <w:sz w:val="24"/>
          <w:szCs w:val="24"/>
        </w:rPr>
      </w:pPr>
      <w:r>
        <w:rPr>
          <w:rFonts w:ascii="Times New Roman" w:hAnsi="Times New Roman" w:cs="Times New Roman"/>
          <w:sz w:val="24"/>
          <w:szCs w:val="24"/>
        </w:rPr>
        <w:t>The</w:t>
      </w:r>
      <w:r w:rsidR="00297631">
        <w:rPr>
          <w:rFonts w:ascii="Times New Roman" w:hAnsi="Times New Roman" w:cs="Times New Roman"/>
          <w:sz w:val="24"/>
          <w:szCs w:val="24"/>
        </w:rPr>
        <w:t xml:space="preserve"> Reliability Standard provides consistent documentation and information sharing practices for demand and energy data while promoting efficient planning practices across industry and supporting identification of necessary system reinforcements.  As stated earlier, all of this would be hindered if th</w:t>
      </w:r>
      <w:r w:rsidR="00FF69D6">
        <w:rPr>
          <w:rFonts w:ascii="Times New Roman" w:hAnsi="Times New Roman" w:cs="Times New Roman"/>
          <w:sz w:val="24"/>
          <w:szCs w:val="24"/>
        </w:rPr>
        <w:t>is</w:t>
      </w:r>
      <w:r w:rsidR="00297631">
        <w:rPr>
          <w:rFonts w:ascii="Times New Roman" w:hAnsi="Times New Roman" w:cs="Times New Roman"/>
          <w:sz w:val="24"/>
          <w:szCs w:val="24"/>
        </w:rPr>
        <w:t xml:space="preserve"> collection of information were discontinued</w:t>
      </w:r>
      <w:r w:rsidR="007E3C37">
        <w:rPr>
          <w:rFonts w:ascii="Times New Roman" w:hAnsi="Times New Roman" w:cs="Times New Roman"/>
          <w:sz w:val="24"/>
          <w:szCs w:val="24"/>
        </w:rPr>
        <w:t xml:space="preserve"> or conducted less frequently</w:t>
      </w:r>
      <w:r w:rsidR="00C5589B">
        <w:rPr>
          <w:rFonts w:ascii="Times New Roman" w:hAnsi="Times New Roman" w:cs="Times New Roman"/>
          <w:sz w:val="24"/>
          <w:szCs w:val="24"/>
        </w:rPr>
        <w:t xml:space="preserve">, additional not having information readily available or </w:t>
      </w:r>
      <w:r w:rsidR="00FD71DF">
        <w:rPr>
          <w:rFonts w:ascii="Times New Roman" w:hAnsi="Times New Roman" w:cs="Times New Roman"/>
          <w:sz w:val="24"/>
          <w:szCs w:val="24"/>
        </w:rPr>
        <w:t>im</w:t>
      </w:r>
      <w:r w:rsidR="00C5589B">
        <w:rPr>
          <w:rFonts w:ascii="Times New Roman" w:hAnsi="Times New Roman" w:cs="Times New Roman"/>
          <w:sz w:val="24"/>
          <w:szCs w:val="24"/>
        </w:rPr>
        <w:t>properly scheduling voltage could lead</w:t>
      </w:r>
      <w:r w:rsidR="00977684">
        <w:rPr>
          <w:rFonts w:ascii="Times New Roman" w:hAnsi="Times New Roman" w:cs="Times New Roman"/>
          <w:sz w:val="24"/>
          <w:szCs w:val="24"/>
        </w:rPr>
        <w:t xml:space="preserve"> adversely impact the reliability of the BES</w:t>
      </w:r>
      <w:r w:rsidR="00297631">
        <w:rPr>
          <w:rFonts w:ascii="Times New Roman" w:hAnsi="Times New Roman" w:cs="Times New Roman"/>
          <w:sz w:val="24"/>
          <w:szCs w:val="24"/>
        </w:rPr>
        <w:t>.</w:t>
      </w:r>
      <w:r w:rsidR="00FD71DF">
        <w:rPr>
          <w:rFonts w:ascii="Times New Roman" w:hAnsi="Times New Roman" w:cs="Times New Roman"/>
          <w:sz w:val="24"/>
          <w:szCs w:val="24"/>
        </w:rPr>
        <w:t xml:space="preserve">  </w:t>
      </w:r>
    </w:p>
    <w:p w:rsidR="00FD71DF" w:rsidP="00EB3E6F" w14:paraId="45AA0130" w14:textId="25FC656E">
      <w:pPr>
        <w:spacing w:after="0"/>
        <w:rPr>
          <w:rFonts w:ascii="Times New Roman" w:hAnsi="Times New Roman" w:cs="Times New Roman"/>
          <w:sz w:val="24"/>
          <w:szCs w:val="24"/>
        </w:rPr>
      </w:pPr>
    </w:p>
    <w:p w:rsidR="00FD71DF" w:rsidRPr="00FD71DF" w:rsidP="00FD71DF" w14:paraId="0ED152FD" w14:textId="16FB1584">
      <w:pPr>
        <w:spacing w:after="0"/>
        <w:rPr>
          <w:rFonts w:ascii="Times New Roman" w:hAnsi="Times New Roman" w:cs="Times New Roman"/>
          <w:sz w:val="24"/>
          <w:szCs w:val="24"/>
        </w:rPr>
      </w:pPr>
      <w:r w:rsidRPr="00FD71DF">
        <w:rPr>
          <w:rFonts w:ascii="Times New Roman" w:hAnsi="Times New Roman" w:cs="Times New Roman"/>
          <w:sz w:val="24"/>
          <w:szCs w:val="24"/>
        </w:rPr>
        <w:t xml:space="preserve">For these VAR standards there is not a specific frequency of collection rather it is a constant flow of information.  Between the entities they share information often through SCADA (supervisory control and data acquisition) or email communication. </w:t>
      </w:r>
      <w:r>
        <w:rPr>
          <w:rFonts w:ascii="Times New Roman" w:hAnsi="Times New Roman" w:cs="Times New Roman"/>
          <w:sz w:val="24"/>
          <w:szCs w:val="24"/>
        </w:rPr>
        <w:t xml:space="preserve"> </w:t>
      </w:r>
      <w:r w:rsidRPr="00FD71DF">
        <w:rPr>
          <w:rFonts w:ascii="Times New Roman" w:hAnsi="Times New Roman" w:cs="Times New Roman"/>
          <w:sz w:val="24"/>
          <w:szCs w:val="24"/>
        </w:rPr>
        <w:t>Sharing of information is accomplished in real-time to operate the BES and in other instances it may consist of specific requests.  The represent</w:t>
      </w:r>
      <w:r>
        <w:rPr>
          <w:rFonts w:ascii="Times New Roman" w:hAnsi="Times New Roman" w:cs="Times New Roman"/>
          <w:sz w:val="24"/>
          <w:szCs w:val="24"/>
        </w:rPr>
        <w:t>s</w:t>
      </w:r>
      <w:r w:rsidRPr="00FD71DF">
        <w:rPr>
          <w:rFonts w:ascii="Times New Roman" w:hAnsi="Times New Roman" w:cs="Times New Roman"/>
          <w:sz w:val="24"/>
          <w:szCs w:val="24"/>
        </w:rPr>
        <w:t xml:space="preserve"> the collective effort of the entities to be responsive to the </w:t>
      </w:r>
      <w:r>
        <w:rPr>
          <w:rFonts w:ascii="Times New Roman" w:hAnsi="Times New Roman" w:cs="Times New Roman"/>
          <w:sz w:val="24"/>
          <w:szCs w:val="24"/>
        </w:rPr>
        <w:t>R</w:t>
      </w:r>
      <w:r w:rsidRPr="00FD71DF">
        <w:rPr>
          <w:rFonts w:ascii="Times New Roman" w:hAnsi="Times New Roman" w:cs="Times New Roman"/>
          <w:sz w:val="24"/>
          <w:szCs w:val="24"/>
        </w:rPr>
        <w:t xml:space="preserve">equirements of </w:t>
      </w:r>
      <w:r>
        <w:rPr>
          <w:rFonts w:ascii="Times New Roman" w:hAnsi="Times New Roman" w:cs="Times New Roman"/>
          <w:sz w:val="24"/>
          <w:szCs w:val="24"/>
        </w:rPr>
        <w:t>the VAR S</w:t>
      </w:r>
      <w:r w:rsidRPr="00FD71DF">
        <w:rPr>
          <w:rFonts w:ascii="Times New Roman" w:hAnsi="Times New Roman" w:cs="Times New Roman"/>
          <w:sz w:val="24"/>
          <w:szCs w:val="24"/>
        </w:rPr>
        <w:t>tandards and operate the BES in a reliable manner, so it is shown as one response per year.</w:t>
      </w:r>
    </w:p>
    <w:p w:rsidR="00297631" w:rsidRPr="00EB3E6F" w:rsidP="00EB3E6F" w14:paraId="76417F54" w14:textId="77777777">
      <w:pPr>
        <w:spacing w:after="0"/>
        <w:rPr>
          <w:rFonts w:ascii="Times New Roman" w:hAnsi="Times New Roman" w:cs="Times New Roman"/>
          <w:sz w:val="24"/>
          <w:szCs w:val="24"/>
        </w:rPr>
      </w:pPr>
    </w:p>
    <w:p w:rsidR="00EB3E6F" w:rsidRPr="00D80FBD" w:rsidP="00A72E7B" w14:paraId="49BEA7BC" w14:textId="77777777">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EXPLAIN ANY SPECIAL CIRCUMSTANCES RELATING TO THE INFORMATION COLLECTION</w:t>
      </w:r>
    </w:p>
    <w:p w:rsidR="00EB3E6F" w:rsidP="00EB3E6F" w14:paraId="3235B8A1" w14:textId="77777777">
      <w:pPr>
        <w:spacing w:after="0"/>
        <w:rPr>
          <w:rFonts w:ascii="Times New Roman" w:hAnsi="Times New Roman" w:cs="Times New Roman"/>
          <w:sz w:val="24"/>
          <w:szCs w:val="24"/>
        </w:rPr>
      </w:pPr>
    </w:p>
    <w:p w:rsidR="00EB3E6F" w:rsidP="00EB3E6F" w14:paraId="51F8D074" w14:textId="6A8E8314">
      <w:pPr>
        <w:spacing w:after="0"/>
        <w:rPr>
          <w:rFonts w:ascii="Times New Roman" w:hAnsi="Times New Roman" w:cs="Times New Roman"/>
          <w:sz w:val="24"/>
          <w:szCs w:val="24"/>
        </w:rPr>
      </w:pPr>
      <w:r>
        <w:rPr>
          <w:rFonts w:ascii="Times New Roman" w:hAnsi="Times New Roman" w:cs="Times New Roman"/>
          <w:sz w:val="24"/>
          <w:szCs w:val="24"/>
        </w:rPr>
        <w:t>There are</w:t>
      </w:r>
      <w:r w:rsidR="00470E4D">
        <w:rPr>
          <w:rFonts w:ascii="Times New Roman" w:hAnsi="Times New Roman" w:cs="Times New Roman"/>
          <w:sz w:val="24"/>
          <w:szCs w:val="24"/>
        </w:rPr>
        <w:t xml:space="preserve"> </w:t>
      </w:r>
      <w:r>
        <w:rPr>
          <w:rFonts w:ascii="Times New Roman" w:hAnsi="Times New Roman" w:cs="Times New Roman"/>
          <w:sz w:val="24"/>
          <w:szCs w:val="24"/>
        </w:rPr>
        <w:t xml:space="preserve">special circumstances </w:t>
      </w:r>
      <w:r w:rsidR="000A49C8">
        <w:rPr>
          <w:rFonts w:ascii="Times New Roman" w:hAnsi="Times New Roman" w:cs="Times New Roman"/>
          <w:sz w:val="24"/>
          <w:szCs w:val="24"/>
        </w:rPr>
        <w:t>related to the FERC-725X</w:t>
      </w:r>
      <w:r w:rsidR="00D43F0E">
        <w:rPr>
          <w:rFonts w:ascii="Times New Roman" w:hAnsi="Times New Roman" w:cs="Times New Roman"/>
          <w:sz w:val="24"/>
          <w:szCs w:val="24"/>
        </w:rPr>
        <w:t xml:space="preserve"> information collection.</w:t>
      </w:r>
    </w:p>
    <w:p w:rsidR="008D310F" w:rsidP="00EB3E6F" w14:paraId="5161D56B" w14:textId="705E3C32">
      <w:pPr>
        <w:spacing w:after="0"/>
        <w:rPr>
          <w:rFonts w:ascii="Times New Roman" w:hAnsi="Times New Roman" w:cs="Times New Roman"/>
          <w:sz w:val="24"/>
          <w:szCs w:val="24"/>
        </w:rPr>
      </w:pPr>
    </w:p>
    <w:p w:rsidR="00752267" w:rsidP="00EB3E6F" w14:paraId="1BC1A075" w14:textId="1D3E1656">
      <w:pPr>
        <w:spacing w:after="0"/>
        <w:rPr>
          <w:rFonts w:ascii="Times New Roman" w:hAnsi="Times New Roman" w:cs="Times New Roman"/>
          <w:sz w:val="24"/>
          <w:szCs w:val="24"/>
        </w:rPr>
      </w:pPr>
      <w:r w:rsidRPr="00FD71DF">
        <w:rPr>
          <w:rFonts w:ascii="Times New Roman" w:hAnsi="Times New Roman" w:cs="Times New Roman"/>
          <w:sz w:val="24"/>
          <w:szCs w:val="24"/>
        </w:rPr>
        <w:t xml:space="preserve">For these VAR standards there is not a specific frequency </w:t>
      </w:r>
      <w:r>
        <w:rPr>
          <w:rFonts w:ascii="Times New Roman" w:hAnsi="Times New Roman" w:cs="Times New Roman"/>
          <w:sz w:val="24"/>
          <w:szCs w:val="24"/>
        </w:rPr>
        <w:t xml:space="preserve">for most </w:t>
      </w:r>
      <w:r w:rsidRPr="00FD71DF">
        <w:rPr>
          <w:rFonts w:ascii="Times New Roman" w:hAnsi="Times New Roman" w:cs="Times New Roman"/>
          <w:sz w:val="24"/>
          <w:szCs w:val="24"/>
        </w:rPr>
        <w:t xml:space="preserve">of </w:t>
      </w:r>
      <w:r>
        <w:rPr>
          <w:rFonts w:ascii="Times New Roman" w:hAnsi="Times New Roman" w:cs="Times New Roman"/>
          <w:sz w:val="24"/>
          <w:szCs w:val="24"/>
        </w:rPr>
        <w:t xml:space="preserve">information </w:t>
      </w:r>
      <w:r w:rsidRPr="00FD71DF">
        <w:rPr>
          <w:rFonts w:ascii="Times New Roman" w:hAnsi="Times New Roman" w:cs="Times New Roman"/>
          <w:sz w:val="24"/>
          <w:szCs w:val="24"/>
        </w:rPr>
        <w:t>collection rather it is a constant flow of information</w:t>
      </w:r>
      <w:r>
        <w:rPr>
          <w:rFonts w:ascii="Times New Roman" w:hAnsi="Times New Roman" w:cs="Times New Roman"/>
          <w:sz w:val="24"/>
          <w:szCs w:val="24"/>
        </w:rPr>
        <w:t xml:space="preserve"> or it could be request</w:t>
      </w:r>
      <w:r w:rsidR="00B25380">
        <w:rPr>
          <w:rFonts w:ascii="Times New Roman" w:hAnsi="Times New Roman" w:cs="Times New Roman"/>
          <w:sz w:val="24"/>
          <w:szCs w:val="24"/>
        </w:rPr>
        <w:t>ed</w:t>
      </w:r>
      <w:r>
        <w:rPr>
          <w:rFonts w:ascii="Times New Roman" w:hAnsi="Times New Roman" w:cs="Times New Roman"/>
          <w:sz w:val="24"/>
          <w:szCs w:val="24"/>
        </w:rPr>
        <w:t xml:space="preserve"> on demand with </w:t>
      </w:r>
      <w:r w:rsidR="00B1196E">
        <w:rPr>
          <w:rFonts w:ascii="Times New Roman" w:hAnsi="Times New Roman" w:cs="Times New Roman"/>
          <w:sz w:val="24"/>
          <w:szCs w:val="24"/>
        </w:rPr>
        <w:t xml:space="preserve">the </w:t>
      </w:r>
      <w:r>
        <w:rPr>
          <w:rFonts w:ascii="Times New Roman" w:hAnsi="Times New Roman" w:cs="Times New Roman"/>
          <w:sz w:val="24"/>
          <w:szCs w:val="24"/>
        </w:rPr>
        <w:t>expectation in that instances for 30-day delivery</w:t>
      </w:r>
      <w:r w:rsidRPr="00FD71DF">
        <w:rPr>
          <w:rFonts w:ascii="Times New Roman" w:hAnsi="Times New Roman" w:cs="Times New Roman"/>
          <w:sz w:val="24"/>
          <w:szCs w:val="24"/>
        </w:rPr>
        <w:t xml:space="preserve">.  Between the entities they share information often through SCADA (supervisory control and data acquisition) or email communication. </w:t>
      </w:r>
      <w:r>
        <w:rPr>
          <w:rFonts w:ascii="Times New Roman" w:hAnsi="Times New Roman" w:cs="Times New Roman"/>
          <w:sz w:val="24"/>
          <w:szCs w:val="24"/>
        </w:rPr>
        <w:t xml:space="preserve"> </w:t>
      </w:r>
      <w:r w:rsidRPr="00FD71DF">
        <w:rPr>
          <w:rFonts w:ascii="Times New Roman" w:hAnsi="Times New Roman" w:cs="Times New Roman"/>
          <w:sz w:val="24"/>
          <w:szCs w:val="24"/>
        </w:rPr>
        <w:t>Sharing of information is accomplished in real-time to operate the BES and in other instances it may consist of specific requests.  The represent</w:t>
      </w:r>
      <w:r>
        <w:rPr>
          <w:rFonts w:ascii="Times New Roman" w:hAnsi="Times New Roman" w:cs="Times New Roman"/>
          <w:sz w:val="24"/>
          <w:szCs w:val="24"/>
        </w:rPr>
        <w:t>s</w:t>
      </w:r>
      <w:r w:rsidRPr="00FD71DF">
        <w:rPr>
          <w:rFonts w:ascii="Times New Roman" w:hAnsi="Times New Roman" w:cs="Times New Roman"/>
          <w:sz w:val="24"/>
          <w:szCs w:val="24"/>
        </w:rPr>
        <w:t xml:space="preserve"> the collective effort of the entities to be responsive to the </w:t>
      </w:r>
      <w:r>
        <w:rPr>
          <w:rFonts w:ascii="Times New Roman" w:hAnsi="Times New Roman" w:cs="Times New Roman"/>
          <w:sz w:val="24"/>
          <w:szCs w:val="24"/>
        </w:rPr>
        <w:t>R</w:t>
      </w:r>
      <w:r w:rsidRPr="00FD71DF">
        <w:rPr>
          <w:rFonts w:ascii="Times New Roman" w:hAnsi="Times New Roman" w:cs="Times New Roman"/>
          <w:sz w:val="24"/>
          <w:szCs w:val="24"/>
        </w:rPr>
        <w:t xml:space="preserve">equirements of </w:t>
      </w:r>
      <w:r>
        <w:rPr>
          <w:rFonts w:ascii="Times New Roman" w:hAnsi="Times New Roman" w:cs="Times New Roman"/>
          <w:sz w:val="24"/>
          <w:szCs w:val="24"/>
        </w:rPr>
        <w:t>the VAR S</w:t>
      </w:r>
      <w:r w:rsidRPr="00FD71DF">
        <w:rPr>
          <w:rFonts w:ascii="Times New Roman" w:hAnsi="Times New Roman" w:cs="Times New Roman"/>
          <w:sz w:val="24"/>
          <w:szCs w:val="24"/>
        </w:rPr>
        <w:t>tandards and operate the BES in a reliable manner, so it is shown as one response per year</w:t>
      </w:r>
      <w:r>
        <w:rPr>
          <w:rFonts w:ascii="Times New Roman" w:hAnsi="Times New Roman" w:cs="Times New Roman"/>
          <w:sz w:val="24"/>
          <w:szCs w:val="24"/>
        </w:rPr>
        <w:t xml:space="preserve">.  </w:t>
      </w:r>
    </w:p>
    <w:p w:rsidR="00752267" w:rsidP="00EB3E6F" w14:paraId="1488CAA5" w14:textId="77777777">
      <w:pPr>
        <w:spacing w:after="0"/>
        <w:rPr>
          <w:rFonts w:ascii="Times New Roman" w:hAnsi="Times New Roman" w:cs="Times New Roman"/>
          <w:sz w:val="24"/>
          <w:szCs w:val="24"/>
        </w:rPr>
      </w:pPr>
    </w:p>
    <w:p w:rsidR="00470E4D" w:rsidP="00EB3E6F" w14:paraId="6A383216" w14:textId="637C04C6">
      <w:pPr>
        <w:spacing w:after="0"/>
        <w:rPr>
          <w:rFonts w:ascii="Times New Roman" w:hAnsi="Times New Roman" w:cs="Times New Roman"/>
          <w:sz w:val="24"/>
          <w:szCs w:val="24"/>
        </w:rPr>
      </w:pPr>
      <w:r>
        <w:rPr>
          <w:rFonts w:ascii="Times New Roman" w:hAnsi="Times New Roman" w:cs="Times New Roman"/>
          <w:sz w:val="24"/>
          <w:szCs w:val="24"/>
        </w:rPr>
        <w:t>Additionally</w:t>
      </w:r>
      <w:r w:rsidR="00752267">
        <w:rPr>
          <w:rFonts w:ascii="Times New Roman" w:hAnsi="Times New Roman" w:cs="Times New Roman"/>
          <w:sz w:val="24"/>
          <w:szCs w:val="24"/>
        </w:rPr>
        <w:t>,</w:t>
      </w:r>
      <w:r>
        <w:rPr>
          <w:rFonts w:ascii="Times New Roman" w:hAnsi="Times New Roman" w:cs="Times New Roman"/>
          <w:sz w:val="24"/>
          <w:szCs w:val="24"/>
        </w:rPr>
        <w:t xml:space="preserve"> for circumstances where a request is made for data by the reliability coordinator or adjacent transmission operator, the applicable transmission operator will need to provide system voltage schedules within 30-days of the request.</w:t>
      </w:r>
    </w:p>
    <w:p w:rsidR="00752267" w:rsidP="00EB3E6F" w14:paraId="5B06EF8A" w14:textId="34205D85">
      <w:pPr>
        <w:spacing w:after="0"/>
        <w:rPr>
          <w:rFonts w:ascii="Times New Roman" w:hAnsi="Times New Roman" w:cs="Times New Roman"/>
          <w:sz w:val="24"/>
          <w:szCs w:val="24"/>
        </w:rPr>
      </w:pPr>
    </w:p>
    <w:p w:rsidR="00752267" w:rsidP="00EB3E6F" w14:paraId="58B08FBB" w14:textId="59300072">
      <w:pPr>
        <w:spacing w:after="0"/>
        <w:rPr>
          <w:rFonts w:ascii="Times New Roman" w:hAnsi="Times New Roman" w:cs="Times New Roman"/>
          <w:sz w:val="24"/>
          <w:szCs w:val="24"/>
        </w:rPr>
      </w:pPr>
      <w:r>
        <w:rPr>
          <w:rFonts w:ascii="Times New Roman" w:hAnsi="Times New Roman" w:cs="Times New Roman"/>
          <w:sz w:val="24"/>
          <w:szCs w:val="24"/>
        </w:rPr>
        <w:t xml:space="preserve">Within VAR-002 when a generator operator has a change in status for </w:t>
      </w:r>
      <w:r w:rsidR="00E404F2">
        <w:rPr>
          <w:rFonts w:ascii="Times New Roman" w:hAnsi="Times New Roman" w:cs="Times New Roman"/>
          <w:sz w:val="24"/>
          <w:szCs w:val="24"/>
        </w:rPr>
        <w:t>VA</w:t>
      </w:r>
      <w:r>
        <w:rPr>
          <w:rFonts w:ascii="Times New Roman" w:hAnsi="Times New Roman" w:cs="Times New Roman"/>
          <w:sz w:val="24"/>
          <w:szCs w:val="24"/>
        </w:rPr>
        <w:t>R, power system stabilizer that may last longer than 30-minutes, that generator operator will have to notify the associated transmission operator.  These types of exchanges of information are to be recorded.</w:t>
      </w:r>
    </w:p>
    <w:p w:rsidR="00470E4D" w:rsidP="00EB3E6F" w14:paraId="1DDD2AE7" w14:textId="48C39EEF">
      <w:pPr>
        <w:spacing w:after="0"/>
        <w:rPr>
          <w:rFonts w:ascii="Times New Roman" w:hAnsi="Times New Roman" w:cs="Times New Roman"/>
          <w:sz w:val="24"/>
          <w:szCs w:val="24"/>
        </w:rPr>
      </w:pPr>
    </w:p>
    <w:p w:rsidR="00470E4D" w:rsidRPr="00EB3E6F" w:rsidP="00EB3E6F" w14:paraId="13B50773" w14:textId="77777777">
      <w:pPr>
        <w:spacing w:after="0"/>
        <w:rPr>
          <w:rFonts w:ascii="Times New Roman" w:hAnsi="Times New Roman" w:cs="Times New Roman"/>
          <w:sz w:val="24"/>
          <w:szCs w:val="24"/>
        </w:rPr>
      </w:pPr>
    </w:p>
    <w:p w:rsidR="00EB3E6F" w:rsidRPr="00D80FBD" w:rsidP="00A72E7B" w14:paraId="31455D90" w14:textId="77777777">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DESCRIBE EFFORTS TO CONSULT OUTSIDE THE AGENCY: SUMMARIZE PUBLIC COMMENTS AND THE AGENCY’S RESPONSE</w:t>
      </w:r>
    </w:p>
    <w:p w:rsidR="00EB3E6F" w:rsidP="00EB3E6F" w14:paraId="4D23222C" w14:textId="77777777">
      <w:pPr>
        <w:spacing w:after="0"/>
        <w:rPr>
          <w:rFonts w:ascii="Times New Roman" w:hAnsi="Times New Roman" w:cs="Times New Roman"/>
          <w:sz w:val="24"/>
          <w:szCs w:val="24"/>
        </w:rPr>
      </w:pPr>
    </w:p>
    <w:p w:rsidR="00D43F0E" w:rsidRPr="00A44AE9" w:rsidP="00D43F0E" w14:paraId="58C70201" w14:textId="7E673FB3">
      <w:pPr>
        <w:spacing w:after="0"/>
        <w:rPr>
          <w:rFonts w:ascii="Times New Roman" w:hAnsi="Times New Roman" w:cs="Times New Roman"/>
          <w:sz w:val="24"/>
          <w:szCs w:val="24"/>
        </w:rPr>
      </w:pPr>
      <w:r w:rsidRPr="00A44AE9">
        <w:rPr>
          <w:rFonts w:ascii="Times New Roman" w:hAnsi="Times New Roman" w:cs="Times New Roman"/>
          <w:sz w:val="24"/>
          <w:szCs w:val="24"/>
        </w:rPr>
        <w:t xml:space="preserve">The </w:t>
      </w:r>
      <w:r w:rsidR="007B34EB">
        <w:rPr>
          <w:rFonts w:ascii="Times New Roman" w:hAnsi="Times New Roman" w:cs="Times New Roman"/>
          <w:sz w:val="24"/>
          <w:szCs w:val="24"/>
        </w:rPr>
        <w:t>Electric Reliability Organization’s (</w:t>
      </w:r>
      <w:r w:rsidRPr="00A44AE9">
        <w:rPr>
          <w:rFonts w:ascii="Times New Roman" w:hAnsi="Times New Roman" w:cs="Times New Roman"/>
          <w:sz w:val="24"/>
          <w:szCs w:val="24"/>
        </w:rPr>
        <w:t>ERO</w:t>
      </w:r>
      <w:r w:rsidR="007B34EB">
        <w:rPr>
          <w:rFonts w:ascii="Times New Roman" w:hAnsi="Times New Roman" w:cs="Times New Roman"/>
          <w:sz w:val="24"/>
          <w:szCs w:val="24"/>
        </w:rPr>
        <w:t>)</w:t>
      </w:r>
      <w:r w:rsidRPr="00A44AE9">
        <w:rPr>
          <w:rFonts w:ascii="Times New Roman" w:hAnsi="Times New Roman" w:cs="Times New Roman"/>
          <w:sz w:val="24"/>
          <w:szCs w:val="24"/>
        </w:rPr>
        <w:t xml:space="preserve"> process to establish Reliability Standards is a collaborative process with the ERO, Regional Entities, and other stakeholders developing and reviewing drafts and providing comments.</w:t>
      </w:r>
      <w:r>
        <w:rPr>
          <w:rStyle w:val="FootnoteReference"/>
          <w:rFonts w:ascii="Times New Roman" w:hAnsi="Times New Roman" w:cs="Times New Roman"/>
          <w:sz w:val="24"/>
          <w:szCs w:val="24"/>
          <w:vertAlign w:val="superscript"/>
        </w:rPr>
        <w:footnoteReference w:id="7"/>
      </w:r>
      <w:r w:rsidRPr="00A44AE9">
        <w:rPr>
          <w:rFonts w:ascii="Times New Roman" w:hAnsi="Times New Roman" w:cs="Times New Roman"/>
          <w:sz w:val="24"/>
          <w:szCs w:val="24"/>
        </w:rPr>
        <w:t xml:space="preserve">  The </w:t>
      </w:r>
      <w:r>
        <w:rPr>
          <w:rFonts w:ascii="Times New Roman" w:hAnsi="Times New Roman" w:cs="Times New Roman"/>
          <w:sz w:val="24"/>
          <w:szCs w:val="24"/>
        </w:rPr>
        <w:t>NERC-</w:t>
      </w:r>
      <w:r w:rsidRPr="00A44AE9">
        <w:rPr>
          <w:rFonts w:ascii="Times New Roman" w:hAnsi="Times New Roman" w:cs="Times New Roman"/>
          <w:sz w:val="24"/>
          <w:szCs w:val="24"/>
        </w:rPr>
        <w:t xml:space="preserve">approved </w:t>
      </w:r>
      <w:r>
        <w:rPr>
          <w:rFonts w:ascii="Times New Roman" w:hAnsi="Times New Roman" w:cs="Times New Roman"/>
          <w:sz w:val="24"/>
          <w:szCs w:val="24"/>
        </w:rPr>
        <w:t>R</w:t>
      </w:r>
      <w:r w:rsidRPr="00A44AE9">
        <w:rPr>
          <w:rFonts w:ascii="Times New Roman" w:hAnsi="Times New Roman" w:cs="Times New Roman"/>
          <w:sz w:val="24"/>
          <w:szCs w:val="24"/>
        </w:rPr>
        <w:t xml:space="preserve">eliability </w:t>
      </w:r>
      <w:r>
        <w:rPr>
          <w:rFonts w:ascii="Times New Roman" w:hAnsi="Times New Roman" w:cs="Times New Roman"/>
          <w:sz w:val="24"/>
          <w:szCs w:val="24"/>
        </w:rPr>
        <w:t>S</w:t>
      </w:r>
      <w:r w:rsidRPr="00A44AE9">
        <w:rPr>
          <w:rFonts w:ascii="Times New Roman" w:hAnsi="Times New Roman" w:cs="Times New Roman"/>
          <w:sz w:val="24"/>
          <w:szCs w:val="24"/>
        </w:rPr>
        <w:t xml:space="preserve">tandards were </w:t>
      </w:r>
      <w:r>
        <w:rPr>
          <w:rFonts w:ascii="Times New Roman" w:hAnsi="Times New Roman" w:cs="Times New Roman"/>
          <w:sz w:val="24"/>
          <w:szCs w:val="24"/>
        </w:rPr>
        <w:t xml:space="preserve">then </w:t>
      </w:r>
      <w:r w:rsidRPr="00A44AE9">
        <w:rPr>
          <w:rFonts w:ascii="Times New Roman" w:hAnsi="Times New Roman" w:cs="Times New Roman"/>
          <w:sz w:val="24"/>
          <w:szCs w:val="24"/>
        </w:rPr>
        <w:t>submitted by NERC to the</w:t>
      </w:r>
      <w:r>
        <w:rPr>
          <w:rFonts w:ascii="Times New Roman" w:hAnsi="Times New Roman" w:cs="Times New Roman"/>
          <w:sz w:val="24"/>
          <w:szCs w:val="24"/>
        </w:rPr>
        <w:t xml:space="preserve"> FERC for review and approval.</w:t>
      </w:r>
    </w:p>
    <w:p w:rsidR="00D43F0E" w:rsidRPr="00A44AE9" w:rsidP="00D43F0E" w14:paraId="65A4CC8F" w14:textId="77777777">
      <w:pPr>
        <w:spacing w:after="0"/>
        <w:rPr>
          <w:rFonts w:ascii="Times New Roman" w:hAnsi="Times New Roman" w:cs="Times New Roman"/>
          <w:sz w:val="24"/>
          <w:szCs w:val="24"/>
        </w:rPr>
      </w:pPr>
    </w:p>
    <w:p w:rsidR="00D43F0E" w:rsidP="00D43F0E" w14:paraId="7E486EE0" w14:textId="67DE85A2">
      <w:pPr>
        <w:autoSpaceDE w:val="0"/>
        <w:autoSpaceDN w:val="0"/>
        <w:adjustRightInd w:val="0"/>
        <w:spacing w:after="0"/>
        <w:rPr>
          <w:rFonts w:ascii="Times New Roman" w:hAnsi="Times New Roman" w:cs="Times New Roman"/>
          <w:sz w:val="24"/>
          <w:szCs w:val="24"/>
        </w:rPr>
      </w:pPr>
      <w:r w:rsidRPr="007B34EB">
        <w:rPr>
          <w:rFonts w:ascii="Times New Roman" w:hAnsi="Times New Roman" w:cs="Times New Roman"/>
          <w:sz w:val="24"/>
          <w:szCs w:val="24"/>
        </w:rPr>
        <w:t xml:space="preserve">Each FERC </w:t>
      </w:r>
      <w:r>
        <w:rPr>
          <w:rFonts w:ascii="Times New Roman" w:hAnsi="Times New Roman" w:cs="Times New Roman"/>
          <w:sz w:val="24"/>
          <w:szCs w:val="24"/>
        </w:rPr>
        <w:t>information collection activity</w:t>
      </w:r>
      <w:r w:rsidRPr="007B34EB">
        <w:rPr>
          <w:rFonts w:ascii="Times New Roman" w:hAnsi="Times New Roman" w:cs="Times New Roman"/>
          <w:sz w:val="24"/>
          <w:szCs w:val="24"/>
        </w:rPr>
        <w:t xml:space="preserve"> is published in the Federal Register thereby providing public utilities and licensees, state commissions, federal agencies, and other interested parties an opportunity to submit data, views, comments or suggestions concerning the proposed collections of data.</w:t>
      </w:r>
      <w:r>
        <w:rPr>
          <w:rFonts w:ascii="Times New Roman" w:hAnsi="Times New Roman" w:cs="Times New Roman"/>
          <w:sz w:val="24"/>
          <w:szCs w:val="24"/>
        </w:rPr>
        <w:t xml:space="preserve">  </w:t>
      </w:r>
      <w:r w:rsidRPr="00D4396D">
        <w:rPr>
          <w:rFonts w:ascii="Times New Roman" w:hAnsi="Times New Roman" w:cs="Times New Roman"/>
          <w:sz w:val="24"/>
          <w:szCs w:val="24"/>
        </w:rPr>
        <w:t>In accordance with OMB requirements, the Commi</w:t>
      </w:r>
      <w:r>
        <w:rPr>
          <w:rFonts w:ascii="Times New Roman" w:hAnsi="Times New Roman" w:cs="Times New Roman"/>
          <w:sz w:val="24"/>
          <w:szCs w:val="24"/>
        </w:rPr>
        <w:t>ssion published a 60-day notice</w:t>
      </w:r>
      <w:r>
        <w:rPr>
          <w:rStyle w:val="FootnoteReference"/>
          <w:rFonts w:ascii="Times New Roman" w:hAnsi="Times New Roman" w:cs="Times New Roman"/>
          <w:sz w:val="24"/>
          <w:szCs w:val="24"/>
          <w:vertAlign w:val="superscript"/>
        </w:rPr>
        <w:footnoteReference w:id="8"/>
      </w:r>
      <w:r>
        <w:rPr>
          <w:rFonts w:ascii="Times New Roman" w:hAnsi="Times New Roman" w:cs="Times New Roman"/>
          <w:sz w:val="24"/>
          <w:szCs w:val="24"/>
        </w:rPr>
        <w:t xml:space="preserve"> and </w:t>
      </w:r>
      <w:r w:rsidR="0096022F">
        <w:rPr>
          <w:rFonts w:ascii="Times New Roman" w:hAnsi="Times New Roman" w:cs="Times New Roman"/>
          <w:sz w:val="24"/>
          <w:szCs w:val="24"/>
        </w:rPr>
        <w:t>N</w:t>
      </w:r>
      <w:r>
        <w:rPr>
          <w:rFonts w:ascii="Times New Roman" w:hAnsi="Times New Roman" w:cs="Times New Roman"/>
          <w:sz w:val="24"/>
          <w:szCs w:val="24"/>
        </w:rPr>
        <w:t>a 30-day notice</w:t>
      </w:r>
      <w:r>
        <w:rPr>
          <w:rStyle w:val="FootnoteReference"/>
          <w:rFonts w:ascii="Times New Roman" w:hAnsi="Times New Roman" w:cs="Times New Roman"/>
          <w:sz w:val="24"/>
          <w:szCs w:val="24"/>
          <w:vertAlign w:val="superscript"/>
        </w:rPr>
        <w:footnoteReference w:id="9"/>
      </w:r>
      <w:r w:rsidRPr="00D4396D">
        <w:rPr>
          <w:rFonts w:ascii="Times New Roman" w:hAnsi="Times New Roman" w:cs="Times New Roman"/>
          <w:sz w:val="24"/>
          <w:szCs w:val="24"/>
        </w:rPr>
        <w:t xml:space="preserve"> to the public regarding thi</w:t>
      </w:r>
      <w:r w:rsidR="000A49C8">
        <w:rPr>
          <w:rFonts w:ascii="Times New Roman" w:hAnsi="Times New Roman" w:cs="Times New Roman"/>
          <w:sz w:val="24"/>
          <w:szCs w:val="24"/>
        </w:rPr>
        <w:t xml:space="preserve">s information collection on </w:t>
      </w:r>
      <w:r w:rsidR="003132A8">
        <w:rPr>
          <w:rFonts w:ascii="Times New Roman" w:hAnsi="Times New Roman" w:cs="Times New Roman"/>
          <w:sz w:val="24"/>
          <w:szCs w:val="24"/>
        </w:rPr>
        <w:t>8</w:t>
      </w:r>
      <w:r w:rsidR="000A49C8">
        <w:rPr>
          <w:rFonts w:ascii="Times New Roman" w:hAnsi="Times New Roman" w:cs="Times New Roman"/>
          <w:sz w:val="24"/>
          <w:szCs w:val="24"/>
        </w:rPr>
        <w:t>/</w:t>
      </w:r>
      <w:r w:rsidR="003132A8">
        <w:rPr>
          <w:rFonts w:ascii="Times New Roman" w:hAnsi="Times New Roman" w:cs="Times New Roman"/>
          <w:sz w:val="24"/>
          <w:szCs w:val="24"/>
        </w:rPr>
        <w:t>19</w:t>
      </w:r>
      <w:r w:rsidR="000A49C8">
        <w:rPr>
          <w:rFonts w:ascii="Times New Roman" w:hAnsi="Times New Roman" w:cs="Times New Roman"/>
          <w:sz w:val="24"/>
          <w:szCs w:val="24"/>
        </w:rPr>
        <w:t>/20</w:t>
      </w:r>
      <w:r w:rsidR="00C97DC0">
        <w:rPr>
          <w:rFonts w:ascii="Times New Roman" w:hAnsi="Times New Roman" w:cs="Times New Roman"/>
          <w:sz w:val="24"/>
          <w:szCs w:val="24"/>
        </w:rPr>
        <w:t>2</w:t>
      </w:r>
      <w:r w:rsidR="00BA33C6">
        <w:rPr>
          <w:rFonts w:ascii="Times New Roman" w:hAnsi="Times New Roman" w:cs="Times New Roman"/>
          <w:sz w:val="24"/>
          <w:szCs w:val="24"/>
        </w:rPr>
        <w:t>4</w:t>
      </w:r>
      <w:r w:rsidR="000A49C8">
        <w:rPr>
          <w:rFonts w:ascii="Times New Roman" w:hAnsi="Times New Roman" w:cs="Times New Roman"/>
          <w:sz w:val="24"/>
          <w:szCs w:val="24"/>
        </w:rPr>
        <w:t xml:space="preserve"> and </w:t>
      </w:r>
      <w:r w:rsidR="003132A8">
        <w:rPr>
          <w:rFonts w:ascii="Times New Roman" w:hAnsi="Times New Roman" w:cs="Times New Roman"/>
          <w:sz w:val="24"/>
          <w:szCs w:val="24"/>
        </w:rPr>
        <w:t>10</w:t>
      </w:r>
      <w:r w:rsidR="000A49C8">
        <w:rPr>
          <w:rFonts w:ascii="Times New Roman" w:hAnsi="Times New Roman" w:cs="Times New Roman"/>
          <w:sz w:val="24"/>
          <w:szCs w:val="24"/>
        </w:rPr>
        <w:t>/</w:t>
      </w:r>
      <w:r w:rsidR="008B63E9">
        <w:rPr>
          <w:rFonts w:ascii="Times New Roman" w:hAnsi="Times New Roman" w:cs="Times New Roman"/>
          <w:sz w:val="24"/>
          <w:szCs w:val="24"/>
        </w:rPr>
        <w:t>30</w:t>
      </w:r>
      <w:r>
        <w:rPr>
          <w:rFonts w:ascii="Times New Roman" w:hAnsi="Times New Roman" w:cs="Times New Roman"/>
          <w:sz w:val="24"/>
          <w:szCs w:val="24"/>
        </w:rPr>
        <w:t>/20</w:t>
      </w:r>
      <w:r w:rsidR="00C97DC0">
        <w:rPr>
          <w:rFonts w:ascii="Times New Roman" w:hAnsi="Times New Roman" w:cs="Times New Roman"/>
          <w:sz w:val="24"/>
          <w:szCs w:val="24"/>
        </w:rPr>
        <w:t>2</w:t>
      </w:r>
      <w:r w:rsidR="003132A8">
        <w:rPr>
          <w:rFonts w:ascii="Times New Roman" w:hAnsi="Times New Roman" w:cs="Times New Roman"/>
          <w:sz w:val="24"/>
          <w:szCs w:val="24"/>
        </w:rPr>
        <w:t>4</w:t>
      </w:r>
      <w:r w:rsidRPr="00D4396D">
        <w:rPr>
          <w:rFonts w:ascii="Times New Roman" w:hAnsi="Times New Roman" w:cs="Times New Roman"/>
          <w:sz w:val="24"/>
          <w:szCs w:val="24"/>
        </w:rPr>
        <w:t xml:space="preserve"> respectively.  Within the public notices, the Commission noted that it would be requesting a three-year extension of the public reporting burden.</w:t>
      </w:r>
      <w:r>
        <w:rPr>
          <w:rFonts w:ascii="Times New Roman" w:hAnsi="Times New Roman" w:cs="Times New Roman"/>
          <w:sz w:val="24"/>
          <w:szCs w:val="24"/>
        </w:rPr>
        <w:t xml:space="preserve"> The Commission received no comments from the public in response to </w:t>
      </w:r>
      <w:r w:rsidR="00744A3C">
        <w:rPr>
          <w:rFonts w:ascii="Times New Roman" w:hAnsi="Times New Roman" w:cs="Times New Roman"/>
          <w:sz w:val="24"/>
          <w:szCs w:val="24"/>
        </w:rPr>
        <w:t>the 60-day</w:t>
      </w:r>
      <w:r w:rsidR="000A49C8">
        <w:rPr>
          <w:rFonts w:ascii="Times New Roman" w:hAnsi="Times New Roman" w:cs="Times New Roman"/>
          <w:sz w:val="24"/>
          <w:szCs w:val="24"/>
        </w:rPr>
        <w:t xml:space="preserve"> notice regarding the FERC-725X</w:t>
      </w:r>
      <w:r>
        <w:rPr>
          <w:rFonts w:ascii="Times New Roman" w:hAnsi="Times New Roman" w:cs="Times New Roman"/>
          <w:sz w:val="24"/>
          <w:szCs w:val="24"/>
        </w:rPr>
        <w:t xml:space="preserve"> information collection.</w:t>
      </w:r>
    </w:p>
    <w:p w:rsidR="00EB3E6F" w:rsidRPr="00EB3E6F" w:rsidP="00EB3E6F" w14:paraId="45339A23" w14:textId="595D6301">
      <w:pPr>
        <w:spacing w:after="0"/>
        <w:rPr>
          <w:rFonts w:ascii="Times New Roman" w:hAnsi="Times New Roman" w:cs="Times New Roman"/>
          <w:sz w:val="24"/>
          <w:szCs w:val="24"/>
        </w:rPr>
      </w:pPr>
    </w:p>
    <w:p w:rsidR="00EB3E6F" w:rsidRPr="00D80FBD" w:rsidP="00A72E7B" w14:paraId="67AD048F" w14:textId="77777777">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EXPLAIN ANY PAYMENT OR GIFTS TO RESPONDENTS</w:t>
      </w:r>
    </w:p>
    <w:p w:rsidR="00D80FBD" w:rsidP="00D80FBD" w14:paraId="7394C59A" w14:textId="77777777">
      <w:pPr>
        <w:spacing w:after="0"/>
        <w:rPr>
          <w:rFonts w:ascii="Times New Roman" w:hAnsi="Times New Roman" w:cs="Times New Roman"/>
          <w:sz w:val="24"/>
          <w:szCs w:val="24"/>
        </w:rPr>
      </w:pPr>
    </w:p>
    <w:p w:rsidR="00D80FBD" w:rsidP="00D80FBD" w14:paraId="2D6D951D" w14:textId="77777777">
      <w:pPr>
        <w:spacing w:after="0"/>
        <w:rPr>
          <w:rFonts w:ascii="Times New Roman" w:hAnsi="Times New Roman" w:cs="Times New Roman"/>
          <w:sz w:val="24"/>
          <w:szCs w:val="24"/>
        </w:rPr>
      </w:pPr>
      <w:r w:rsidRPr="008D310F">
        <w:rPr>
          <w:rFonts w:ascii="Times New Roman" w:hAnsi="Times New Roman" w:cs="Times New Roman"/>
          <w:sz w:val="24"/>
          <w:szCs w:val="24"/>
        </w:rPr>
        <w:t>There are no payments or gifts to respondents associated with th</w:t>
      </w:r>
      <w:r w:rsidR="00B9413E">
        <w:rPr>
          <w:rFonts w:ascii="Times New Roman" w:hAnsi="Times New Roman" w:cs="Times New Roman"/>
          <w:sz w:val="24"/>
          <w:szCs w:val="24"/>
        </w:rPr>
        <w:t>is</w:t>
      </w:r>
      <w:r w:rsidRPr="008D310F">
        <w:rPr>
          <w:rFonts w:ascii="Times New Roman" w:hAnsi="Times New Roman" w:cs="Times New Roman"/>
          <w:sz w:val="24"/>
          <w:szCs w:val="24"/>
        </w:rPr>
        <w:t xml:space="preserve"> collection.</w:t>
      </w:r>
    </w:p>
    <w:p w:rsidR="008D310F" w:rsidRPr="00D80FBD" w:rsidP="00D80FBD" w14:paraId="5FFE503A" w14:textId="77777777">
      <w:pPr>
        <w:spacing w:after="0"/>
        <w:rPr>
          <w:rFonts w:ascii="Times New Roman" w:hAnsi="Times New Roman" w:cs="Times New Roman"/>
          <w:sz w:val="24"/>
          <w:szCs w:val="24"/>
        </w:rPr>
      </w:pPr>
    </w:p>
    <w:p w:rsidR="00D80FBD" w:rsidRPr="00D80FBD" w:rsidP="00A72E7B" w14:paraId="3A58A0FB" w14:textId="77777777">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DESCRIBE ANY ASSURANCE OF CONFIDENTIALITY PROVIDED TO RESPONDENTS</w:t>
      </w:r>
    </w:p>
    <w:p w:rsidR="00D80FBD" w:rsidP="00D80FBD" w14:paraId="752483D7" w14:textId="77777777">
      <w:pPr>
        <w:spacing w:after="0"/>
        <w:rPr>
          <w:rFonts w:ascii="Times New Roman" w:hAnsi="Times New Roman" w:cs="Times New Roman"/>
          <w:sz w:val="24"/>
          <w:szCs w:val="24"/>
        </w:rPr>
      </w:pPr>
    </w:p>
    <w:p w:rsidR="002C1BFB" w:rsidP="002C1BFB" w14:paraId="14E2B3F6" w14:textId="77777777">
      <w:pPr>
        <w:spacing w:after="0"/>
        <w:rPr>
          <w:rFonts w:ascii="Times New Roman" w:hAnsi="Times New Roman" w:cs="Times New Roman"/>
          <w:sz w:val="24"/>
          <w:szCs w:val="24"/>
        </w:rPr>
      </w:pPr>
      <w:r>
        <w:rPr>
          <w:rFonts w:ascii="Times New Roman" w:hAnsi="Times New Roman" w:cs="Times New Roman"/>
          <w:sz w:val="24"/>
          <w:szCs w:val="24"/>
        </w:rPr>
        <w:t xml:space="preserve">According to the </w:t>
      </w:r>
      <w:r w:rsidRPr="00147F3A">
        <w:rPr>
          <w:rFonts w:ascii="Times New Roman" w:hAnsi="Times New Roman" w:cs="Times New Roman"/>
          <w:sz w:val="24"/>
          <w:szCs w:val="24"/>
        </w:rPr>
        <w:t>NERC Rule of Procedure</w:t>
      </w:r>
      <w:r>
        <w:rPr>
          <w:rStyle w:val="FootnoteReference"/>
          <w:rFonts w:ascii="Times New Roman" w:hAnsi="Times New Roman" w:cs="Times New Roman"/>
          <w:sz w:val="24"/>
          <w:szCs w:val="24"/>
          <w:vertAlign w:val="superscript"/>
        </w:rPr>
        <w:footnoteReference w:id="10"/>
      </w:r>
      <w:r w:rsidRPr="00147F3A">
        <w:rPr>
          <w:rFonts w:ascii="Times New Roman" w:hAnsi="Times New Roman" w:cs="Times New Roman"/>
          <w:sz w:val="24"/>
          <w:szCs w:val="24"/>
        </w:rPr>
        <w:t>, “…a Receiving Entity shall keep in confidence and not copy, disclose, or distribute any Confidential</w:t>
      </w:r>
      <w:r>
        <w:rPr>
          <w:rFonts w:ascii="Times New Roman" w:hAnsi="Times New Roman" w:cs="Times New Roman"/>
          <w:sz w:val="24"/>
          <w:szCs w:val="24"/>
        </w:rPr>
        <w:t xml:space="preserve"> Information or any part thereof without the permission of the Submitting Entity, except as otherwise legally required.”  This serves to protect confidential information submitted to NERC or Regional Entities.</w:t>
      </w:r>
    </w:p>
    <w:p w:rsidR="002C1BFB" w:rsidP="002C1BFB" w14:paraId="581EAAB9" w14:textId="77777777">
      <w:pPr>
        <w:spacing w:after="0"/>
        <w:rPr>
          <w:rFonts w:ascii="Times New Roman" w:hAnsi="Times New Roman" w:cs="Times New Roman"/>
          <w:sz w:val="24"/>
          <w:szCs w:val="24"/>
        </w:rPr>
      </w:pPr>
    </w:p>
    <w:p w:rsidR="002C1BFB" w:rsidP="002C1BFB" w14:paraId="2B886A8D" w14:textId="27A5CA86">
      <w:pPr>
        <w:spacing w:after="0"/>
        <w:rPr>
          <w:rFonts w:ascii="Times New Roman" w:hAnsi="Times New Roman" w:cs="Times New Roman"/>
          <w:sz w:val="24"/>
          <w:szCs w:val="24"/>
        </w:rPr>
      </w:pPr>
      <w:r>
        <w:rPr>
          <w:rFonts w:ascii="Times New Roman" w:hAnsi="Times New Roman" w:cs="Times New Roman"/>
          <w:sz w:val="24"/>
          <w:szCs w:val="24"/>
        </w:rPr>
        <w:t>Responding entities do not submit the informat</w:t>
      </w:r>
      <w:r w:rsidR="00952D21">
        <w:rPr>
          <w:rFonts w:ascii="Times New Roman" w:hAnsi="Times New Roman" w:cs="Times New Roman"/>
          <w:sz w:val="24"/>
          <w:szCs w:val="24"/>
        </w:rPr>
        <w:t>ion collected under the</w:t>
      </w:r>
      <w:r w:rsidR="006437A2">
        <w:rPr>
          <w:rFonts w:ascii="Times New Roman" w:hAnsi="Times New Roman" w:cs="Times New Roman"/>
          <w:sz w:val="24"/>
          <w:szCs w:val="24"/>
        </w:rPr>
        <w:t>se</w:t>
      </w:r>
      <w:r>
        <w:rPr>
          <w:rFonts w:ascii="Times New Roman" w:hAnsi="Times New Roman" w:cs="Times New Roman"/>
          <w:sz w:val="24"/>
          <w:szCs w:val="24"/>
        </w:rPr>
        <w:t xml:space="preserve"> Reliability Standard</w:t>
      </w:r>
      <w:r w:rsidR="006437A2">
        <w:rPr>
          <w:rFonts w:ascii="Times New Roman" w:hAnsi="Times New Roman" w:cs="Times New Roman"/>
          <w:sz w:val="24"/>
          <w:szCs w:val="24"/>
        </w:rPr>
        <w:t>s</w:t>
      </w:r>
      <w:r>
        <w:rPr>
          <w:rFonts w:ascii="Times New Roman" w:hAnsi="Times New Roman" w:cs="Times New Roman"/>
          <w:sz w:val="24"/>
          <w:szCs w:val="24"/>
        </w:rPr>
        <w:t xml:space="preserve"> to FERC.  Rather, they maintain it internally</w:t>
      </w:r>
      <w:r w:rsidR="00FF69D6">
        <w:rPr>
          <w:rFonts w:ascii="Times New Roman" w:hAnsi="Times New Roman" w:cs="Times New Roman"/>
          <w:sz w:val="24"/>
          <w:szCs w:val="24"/>
        </w:rPr>
        <w:t xml:space="preserve"> and provide information collected to applicable Regional Entities</w:t>
      </w:r>
      <w:r>
        <w:rPr>
          <w:rFonts w:ascii="Times New Roman" w:hAnsi="Times New Roman" w:cs="Times New Roman"/>
          <w:sz w:val="24"/>
          <w:szCs w:val="24"/>
        </w:rPr>
        <w:t xml:space="preserve">.  Since there are no submissions made to FERC, FERC provides no specific provisions in order to protect confidentiality. </w:t>
      </w:r>
    </w:p>
    <w:p w:rsidR="008D310F" w:rsidRPr="00D80FBD" w:rsidP="00D80FBD" w14:paraId="2B6C79EB" w14:textId="77777777">
      <w:pPr>
        <w:spacing w:after="0"/>
        <w:rPr>
          <w:rFonts w:ascii="Times New Roman" w:hAnsi="Times New Roman" w:cs="Times New Roman"/>
          <w:sz w:val="24"/>
          <w:szCs w:val="24"/>
        </w:rPr>
      </w:pPr>
    </w:p>
    <w:p w:rsidR="00D80FBD" w:rsidRPr="00D80FBD" w:rsidP="00A72E7B" w14:paraId="7B8DE5EA" w14:textId="77777777">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 xml:space="preserve">PROVIDE </w:t>
      </w:r>
      <w:r w:rsidRPr="004C5E0E" w:rsidR="004C5E0E">
        <w:rPr>
          <w:rFonts w:ascii="Times New Roman" w:hAnsi="Times New Roman" w:cs="Times New Roman"/>
          <w:b/>
          <w:sz w:val="24"/>
          <w:szCs w:val="24"/>
        </w:rPr>
        <w:t>ADDITIONAL JUSTIFICATION FOR ANY QUESTIONS OF A SENSITIVE NATURE, SUCH AS SEXUAL BEHAVIOR AND ATTITUDES, RELIGIOUS BELIEFS, AND OTHER MATTERS THAT ARE COMMONLY CONSIDERED PRIVATE.</w:t>
      </w:r>
    </w:p>
    <w:p w:rsidR="00D80FBD" w:rsidP="00D80FBD" w14:paraId="0DBA2F08" w14:textId="77777777">
      <w:pPr>
        <w:spacing w:after="0"/>
        <w:rPr>
          <w:rFonts w:ascii="Times New Roman" w:hAnsi="Times New Roman" w:cs="Times New Roman"/>
          <w:sz w:val="24"/>
          <w:szCs w:val="24"/>
        </w:rPr>
      </w:pPr>
    </w:p>
    <w:p w:rsidR="00D80FBD" w:rsidP="00D80FBD" w14:paraId="3AAB0479" w14:textId="77777777">
      <w:pPr>
        <w:spacing w:after="0"/>
        <w:rPr>
          <w:rFonts w:ascii="Times New Roman" w:hAnsi="Times New Roman" w:cs="Times New Roman"/>
          <w:sz w:val="24"/>
          <w:szCs w:val="24"/>
        </w:rPr>
      </w:pPr>
      <w:r>
        <w:rPr>
          <w:rFonts w:ascii="Times New Roman" w:hAnsi="Times New Roman" w:cs="Times New Roman"/>
          <w:sz w:val="24"/>
          <w:szCs w:val="24"/>
        </w:rPr>
        <w:t>There are no questions of a sensitive nature in the reporting requirements.</w:t>
      </w:r>
    </w:p>
    <w:p w:rsidR="0074195A" w:rsidRPr="00D80FBD" w:rsidP="00D80FBD" w14:paraId="4DD76322" w14:textId="77777777">
      <w:pPr>
        <w:spacing w:after="0"/>
        <w:rPr>
          <w:rFonts w:ascii="Times New Roman" w:hAnsi="Times New Roman" w:cs="Times New Roman"/>
          <w:sz w:val="24"/>
          <w:szCs w:val="24"/>
        </w:rPr>
      </w:pPr>
    </w:p>
    <w:p w:rsidR="00D80FBD" w:rsidP="00A72E7B" w14:paraId="5B02ECA3" w14:textId="65EB10A8">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ESTIMATED BURDEN OF COLLECTION OF INFORMATION</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5"/>
        <w:gridCol w:w="1731"/>
        <w:gridCol w:w="1471"/>
        <w:gridCol w:w="1349"/>
        <w:gridCol w:w="1371"/>
        <w:gridCol w:w="1456"/>
        <w:gridCol w:w="1471"/>
      </w:tblGrid>
      <w:tr w14:paraId="59CAA0C7" w14:textId="77777777" w:rsidTr="00C63F30">
        <w:tblPrEx>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DC06A5" w:rsidRPr="00DC06A5" w:rsidP="00C63F30" w14:paraId="319C71E8" w14:textId="77777777">
            <w:pPr>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FERC-725X, Mandatory Reliability Standards: Voltage and Reactive (VAR) Standards</w:t>
            </w:r>
          </w:p>
        </w:tc>
      </w:tr>
      <w:tr w14:paraId="5028F567" w14:textId="77777777" w:rsidTr="00C63F30">
        <w:tblPrEx>
          <w:tblW w:w="5489" w:type="pct"/>
          <w:jc w:val="center"/>
          <w:tblLook w:val="01E0"/>
        </w:tblPrEx>
        <w:trPr>
          <w:cantSplit/>
          <w:jc w:val="center"/>
        </w:trPr>
        <w:tc>
          <w:tcPr>
            <w:tcW w:w="679" w:type="pct"/>
            <w:tcBorders>
              <w:top w:val="single" w:sz="4" w:space="0" w:color="auto"/>
              <w:left w:val="single" w:sz="4" w:space="0" w:color="auto"/>
              <w:bottom w:val="single" w:sz="4" w:space="0" w:color="auto"/>
              <w:right w:val="single" w:sz="4" w:space="0" w:color="auto"/>
            </w:tcBorders>
            <w:shd w:val="clear" w:color="auto" w:fill="D9D9D9"/>
          </w:tcPr>
          <w:p w:rsidR="00DC06A5" w:rsidRPr="00DC06A5" w:rsidP="00DC06A5" w14:paraId="4D86E7C8" w14:textId="77777777">
            <w:pPr>
              <w:spacing w:after="0" w:line="240" w:lineRule="auto"/>
              <w:jc w:val="center"/>
              <w:rPr>
                <w:rFonts w:ascii="Times New Roman" w:eastAsia="Calibri" w:hAnsi="Times New Roman" w:cs="Times New Roman"/>
                <w:b/>
                <w:sz w:val="26"/>
                <w:szCs w:val="26"/>
              </w:rPr>
            </w:pPr>
          </w:p>
        </w:tc>
        <w:tc>
          <w:tcPr>
            <w:tcW w:w="67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C06A5" w:rsidRPr="00DC06A5" w:rsidP="00DC06A5" w14:paraId="4B76B64D" w14:textId="77777777">
            <w:pPr>
              <w:spacing w:after="0" w:line="240" w:lineRule="auto"/>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Number of Respondents</w:t>
            </w:r>
            <w:r>
              <w:rPr>
                <w:rFonts w:ascii="Times New Roman" w:eastAsia="Calibri" w:hAnsi="Times New Roman" w:cs="Times New Roman"/>
                <w:b/>
                <w:sz w:val="26"/>
                <w:szCs w:val="26"/>
                <w:vertAlign w:val="superscript"/>
              </w:rPr>
              <w:footnoteReference w:id="11"/>
            </w:r>
            <w:r w:rsidRPr="00DC06A5">
              <w:rPr>
                <w:rFonts w:ascii="Times New Roman" w:eastAsia="Calibri" w:hAnsi="Times New Roman" w:cs="Times New Roman"/>
                <w:b/>
                <w:sz w:val="26"/>
                <w:szCs w:val="26"/>
              </w:rPr>
              <w:br/>
              <w:t>(1)</w:t>
            </w:r>
          </w:p>
        </w:tc>
        <w:tc>
          <w:tcPr>
            <w:tcW w:w="59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C06A5" w:rsidRPr="00DC06A5" w:rsidP="00DC06A5" w14:paraId="243C8F3A" w14:textId="77777777">
            <w:pPr>
              <w:spacing w:after="0" w:line="240" w:lineRule="auto"/>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Annual Number of Responses per Respondent</w:t>
            </w:r>
          </w:p>
          <w:p w:rsidR="00DC06A5" w:rsidRPr="00DC06A5" w:rsidP="00DC06A5" w14:paraId="424F6316" w14:textId="77777777">
            <w:pPr>
              <w:spacing w:after="0" w:line="240" w:lineRule="auto"/>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(2)</w:t>
            </w:r>
          </w:p>
        </w:tc>
        <w:tc>
          <w:tcPr>
            <w:tcW w:w="55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C06A5" w:rsidRPr="00DC06A5" w:rsidP="00DC06A5" w14:paraId="7A99139D" w14:textId="77777777">
            <w:pPr>
              <w:spacing w:after="0" w:line="240" w:lineRule="auto"/>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Total Number of Responses (1)*(2)=(3)</w:t>
            </w:r>
          </w:p>
        </w:tc>
        <w:tc>
          <w:tcPr>
            <w:tcW w:w="885"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C06A5" w:rsidRPr="00DC06A5" w:rsidP="00DC06A5" w14:paraId="5D9258F5" w14:textId="77777777">
            <w:pPr>
              <w:spacing w:after="0" w:line="240" w:lineRule="auto"/>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Average Burden &amp; Cost Per Response</w:t>
            </w:r>
            <w:r>
              <w:rPr>
                <w:rFonts w:ascii="Times New Roman" w:eastAsia="Calibri" w:hAnsi="Times New Roman" w:cs="Times New Roman"/>
                <w:b/>
                <w:sz w:val="26"/>
                <w:szCs w:val="26"/>
                <w:vertAlign w:val="superscript"/>
              </w:rPr>
              <w:footnoteReference w:id="12"/>
            </w:r>
          </w:p>
          <w:p w:rsidR="00DC06A5" w:rsidRPr="00DC06A5" w:rsidP="00DC06A5" w14:paraId="526B90A2" w14:textId="77777777">
            <w:pPr>
              <w:spacing w:after="0" w:line="240" w:lineRule="auto"/>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(4)</w:t>
            </w:r>
          </w:p>
        </w:tc>
        <w:tc>
          <w:tcPr>
            <w:tcW w:w="72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C06A5" w:rsidRPr="00DC06A5" w:rsidP="00DC06A5" w14:paraId="03988AB2" w14:textId="77777777">
            <w:pPr>
              <w:spacing w:after="0" w:line="240" w:lineRule="auto"/>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Total Annual Burden Hours &amp; Total Annual Cost</w:t>
            </w:r>
          </w:p>
          <w:p w:rsidR="00DC06A5" w:rsidRPr="00DC06A5" w:rsidP="00DC06A5" w14:paraId="0E0D7B1A" w14:textId="77777777">
            <w:pPr>
              <w:spacing w:after="0" w:line="240" w:lineRule="auto"/>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(3)*(4)=(5)</w:t>
            </w:r>
          </w:p>
        </w:tc>
        <w:tc>
          <w:tcPr>
            <w:tcW w:w="885"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C06A5" w:rsidRPr="00DC06A5" w:rsidP="00DC06A5" w14:paraId="36383CE8" w14:textId="77777777">
            <w:pPr>
              <w:spacing w:after="0" w:line="240" w:lineRule="auto"/>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Cost per Respondent</w:t>
            </w:r>
          </w:p>
          <w:p w:rsidR="00DC06A5" w:rsidRPr="00DC06A5" w:rsidP="00DC06A5" w14:paraId="26856D6B" w14:textId="77777777">
            <w:pPr>
              <w:spacing w:after="0" w:line="240" w:lineRule="auto"/>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 xml:space="preserve"> ($)</w:t>
            </w:r>
          </w:p>
          <w:p w:rsidR="00DC06A5" w:rsidRPr="00DC06A5" w:rsidP="00DC06A5" w14:paraId="67C3733E" w14:textId="77777777">
            <w:pPr>
              <w:spacing w:after="0" w:line="240" w:lineRule="auto"/>
              <w:jc w:val="center"/>
              <w:rPr>
                <w:rFonts w:ascii="Times New Roman" w:eastAsia="Calibri" w:hAnsi="Times New Roman" w:cs="Times New Roman"/>
                <w:b/>
                <w:sz w:val="26"/>
                <w:szCs w:val="26"/>
              </w:rPr>
            </w:pPr>
            <w:r w:rsidRPr="00DC06A5">
              <w:rPr>
                <w:rFonts w:ascii="Times New Roman" w:eastAsia="Calibri" w:hAnsi="Times New Roman" w:cs="Times New Roman"/>
                <w:b/>
                <w:sz w:val="26"/>
                <w:szCs w:val="26"/>
              </w:rPr>
              <w:t>(5)÷(1)</w:t>
            </w:r>
          </w:p>
        </w:tc>
      </w:tr>
      <w:tr w14:paraId="31C0E770" w14:textId="77777777" w:rsidTr="00C63F30">
        <w:tblPrEx>
          <w:tblW w:w="5489" w:type="pct"/>
          <w:jc w:val="center"/>
          <w:tblLook w:val="01E0"/>
        </w:tblPrEx>
        <w:trPr>
          <w:cantSplit/>
          <w:jc w:val="center"/>
        </w:trPr>
        <w:tc>
          <w:tcPr>
            <w:tcW w:w="679" w:type="pct"/>
            <w:tcBorders>
              <w:top w:val="single" w:sz="4" w:space="0" w:color="auto"/>
              <w:left w:val="single" w:sz="4" w:space="0" w:color="auto"/>
              <w:bottom w:val="single" w:sz="4" w:space="0" w:color="auto"/>
              <w:right w:val="single" w:sz="4" w:space="0" w:color="auto"/>
            </w:tcBorders>
            <w:hideMark/>
          </w:tcPr>
          <w:p w:rsidR="00DC06A5" w:rsidRPr="00DC06A5" w:rsidP="00DC06A5" w14:paraId="4E5B4F20" w14:textId="77777777">
            <w:pPr>
              <w:spacing w:after="0" w:line="240" w:lineRule="auto"/>
              <w:rPr>
                <w:rFonts w:ascii="Times New Roman" w:eastAsia="Calibri" w:hAnsi="Times New Roman" w:cs="Times New Roman"/>
                <w:sz w:val="26"/>
                <w:szCs w:val="26"/>
              </w:rPr>
            </w:pPr>
            <w:r w:rsidRPr="00DC06A5">
              <w:rPr>
                <w:rFonts w:ascii="Times New Roman" w:eastAsia="Calibri" w:hAnsi="Times New Roman" w:cs="Times New Roman"/>
                <w:sz w:val="26"/>
                <w:szCs w:val="26"/>
              </w:rPr>
              <w:t>VAR-001-5</w:t>
            </w:r>
          </w:p>
          <w:p w:rsidR="00DC06A5" w:rsidRPr="00DC06A5" w:rsidP="00DC06A5" w14:paraId="1FF76F3F" w14:textId="77777777">
            <w:pPr>
              <w:spacing w:after="0" w:line="240" w:lineRule="auto"/>
              <w:rPr>
                <w:rFonts w:ascii="Times New Roman" w:eastAsia="Calibri" w:hAnsi="Times New Roman" w:cs="Times New Roman"/>
                <w:sz w:val="26"/>
                <w:szCs w:val="26"/>
              </w:rPr>
            </w:pPr>
            <w:r w:rsidRPr="00DC06A5">
              <w:rPr>
                <w:rFonts w:ascii="Times New Roman" w:eastAsia="Calibri" w:hAnsi="Times New Roman" w:cs="Times New Roman"/>
                <w:sz w:val="26"/>
                <w:szCs w:val="26"/>
              </w:rPr>
              <w:t xml:space="preserve">Compliance and record-keeping </w:t>
            </w:r>
          </w:p>
        </w:tc>
        <w:tc>
          <w:tcPr>
            <w:tcW w:w="678" w:type="pct"/>
            <w:tcBorders>
              <w:top w:val="single" w:sz="4" w:space="0" w:color="auto"/>
              <w:left w:val="single" w:sz="4" w:space="0" w:color="auto"/>
              <w:bottom w:val="single" w:sz="4" w:space="0" w:color="auto"/>
              <w:right w:val="single" w:sz="4" w:space="0" w:color="auto"/>
            </w:tcBorders>
            <w:vAlign w:val="center"/>
          </w:tcPr>
          <w:p w:rsidR="00DC06A5" w:rsidRPr="00DC06A5" w:rsidP="00DC06A5" w14:paraId="72737796"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165 (TOP)</w:t>
            </w:r>
          </w:p>
          <w:p w:rsidR="00DC06A5" w:rsidRPr="00DC06A5" w:rsidP="00DC06A5" w14:paraId="52BF9C11" w14:textId="77777777">
            <w:pPr>
              <w:spacing w:after="0" w:line="240" w:lineRule="auto"/>
              <w:jc w:val="right"/>
              <w:rPr>
                <w:rFonts w:ascii="Times New Roman" w:eastAsia="Calibri" w:hAnsi="Times New Roman" w:cs="Times New Roman"/>
                <w:sz w:val="26"/>
                <w:szCs w:val="26"/>
              </w:rPr>
            </w:pPr>
          </w:p>
        </w:tc>
        <w:tc>
          <w:tcPr>
            <w:tcW w:w="598" w:type="pct"/>
            <w:tcBorders>
              <w:top w:val="single" w:sz="4" w:space="0" w:color="auto"/>
              <w:left w:val="single" w:sz="4" w:space="0" w:color="auto"/>
              <w:bottom w:val="single" w:sz="4" w:space="0" w:color="auto"/>
              <w:right w:val="single" w:sz="4" w:space="0" w:color="auto"/>
            </w:tcBorders>
            <w:vAlign w:val="center"/>
            <w:hideMark/>
          </w:tcPr>
          <w:p w:rsidR="00DC06A5" w:rsidRPr="00DC06A5" w:rsidP="00DC06A5" w14:paraId="1BD32BA5"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w:t>
            </w:r>
          </w:p>
        </w:tc>
        <w:tc>
          <w:tcPr>
            <w:tcW w:w="550" w:type="pct"/>
            <w:tcBorders>
              <w:top w:val="single" w:sz="4" w:space="0" w:color="auto"/>
              <w:left w:val="single" w:sz="4" w:space="0" w:color="auto"/>
              <w:bottom w:val="single" w:sz="4" w:space="0" w:color="auto"/>
              <w:right w:val="single" w:sz="4" w:space="0" w:color="auto"/>
            </w:tcBorders>
            <w:vAlign w:val="center"/>
            <w:hideMark/>
          </w:tcPr>
          <w:p w:rsidR="00DC06A5" w:rsidRPr="00DC06A5" w:rsidP="00DC06A5" w14:paraId="0F3E08E6"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165</w:t>
            </w:r>
          </w:p>
        </w:tc>
        <w:tc>
          <w:tcPr>
            <w:tcW w:w="885" w:type="pct"/>
            <w:tcBorders>
              <w:top w:val="single" w:sz="4" w:space="0" w:color="auto"/>
              <w:left w:val="single" w:sz="4" w:space="0" w:color="auto"/>
              <w:bottom w:val="single" w:sz="4" w:space="0" w:color="auto"/>
              <w:right w:val="single" w:sz="4" w:space="0" w:color="auto"/>
            </w:tcBorders>
            <w:vAlign w:val="center"/>
            <w:hideMark/>
          </w:tcPr>
          <w:p w:rsidR="00DC06A5" w:rsidRPr="00DC06A5" w:rsidP="00DC06A5" w14:paraId="59E81C9F"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160 hrs.</w:t>
            </w:r>
          </w:p>
          <w:p w:rsidR="00DC06A5" w:rsidRPr="00DC06A5" w:rsidP="00DC06A5" w14:paraId="389EDB06"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$11,307.20</w:t>
            </w:r>
          </w:p>
        </w:tc>
        <w:tc>
          <w:tcPr>
            <w:tcW w:w="720" w:type="pct"/>
            <w:tcBorders>
              <w:top w:val="single" w:sz="4" w:space="0" w:color="auto"/>
              <w:left w:val="single" w:sz="4" w:space="0" w:color="auto"/>
              <w:bottom w:val="single" w:sz="4" w:space="0" w:color="auto"/>
              <w:right w:val="single" w:sz="4" w:space="0" w:color="auto"/>
            </w:tcBorders>
            <w:vAlign w:val="center"/>
            <w:hideMark/>
          </w:tcPr>
          <w:p w:rsidR="00DC06A5" w:rsidRPr="00DC06A5" w:rsidP="00DC06A5" w14:paraId="41455829"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26,400 hrs.</w:t>
            </w:r>
          </w:p>
          <w:p w:rsidR="00DC06A5" w:rsidRPr="00DC06A5" w:rsidP="00DC06A5" w14:paraId="1C53F4B7"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 xml:space="preserve">$1,865,688 </w:t>
            </w:r>
          </w:p>
        </w:tc>
        <w:tc>
          <w:tcPr>
            <w:tcW w:w="885" w:type="pct"/>
            <w:tcBorders>
              <w:top w:val="single" w:sz="4" w:space="0" w:color="auto"/>
              <w:left w:val="single" w:sz="4" w:space="0" w:color="auto"/>
              <w:bottom w:val="single" w:sz="4" w:space="0" w:color="auto"/>
              <w:right w:val="single" w:sz="4" w:space="0" w:color="auto"/>
            </w:tcBorders>
            <w:vAlign w:val="center"/>
            <w:hideMark/>
          </w:tcPr>
          <w:p w:rsidR="00DC06A5" w:rsidRPr="00DC06A5" w:rsidP="00DC06A5" w14:paraId="5BDFBF76"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$11,307.20</w:t>
            </w:r>
          </w:p>
        </w:tc>
      </w:tr>
      <w:tr w14:paraId="47A7884C" w14:textId="77777777" w:rsidTr="00C63F30">
        <w:tblPrEx>
          <w:tblW w:w="5489" w:type="pct"/>
          <w:jc w:val="center"/>
          <w:tblLook w:val="01E0"/>
        </w:tblPrEx>
        <w:trPr>
          <w:cantSplit/>
          <w:jc w:val="center"/>
        </w:trPr>
        <w:tc>
          <w:tcPr>
            <w:tcW w:w="679" w:type="pct"/>
            <w:tcBorders>
              <w:top w:val="single" w:sz="4" w:space="0" w:color="auto"/>
              <w:left w:val="single" w:sz="4" w:space="0" w:color="auto"/>
              <w:bottom w:val="single" w:sz="4" w:space="0" w:color="auto"/>
              <w:right w:val="single" w:sz="4" w:space="0" w:color="auto"/>
            </w:tcBorders>
            <w:hideMark/>
          </w:tcPr>
          <w:p w:rsidR="00DC06A5" w:rsidRPr="00DC06A5" w:rsidP="00DC06A5" w14:paraId="507B77CC" w14:textId="77777777">
            <w:pPr>
              <w:spacing w:after="0" w:line="240" w:lineRule="auto"/>
              <w:rPr>
                <w:rFonts w:ascii="Times New Roman" w:eastAsia="Calibri" w:hAnsi="Times New Roman" w:cs="Times New Roman"/>
                <w:sz w:val="26"/>
                <w:szCs w:val="26"/>
              </w:rPr>
            </w:pPr>
            <w:r w:rsidRPr="00DC06A5">
              <w:rPr>
                <w:rFonts w:ascii="Times New Roman" w:eastAsia="Calibri" w:hAnsi="Times New Roman" w:cs="Times New Roman"/>
                <w:sz w:val="26"/>
                <w:szCs w:val="26"/>
              </w:rPr>
              <w:t>VAR-002-4.1</w:t>
            </w:r>
          </w:p>
          <w:p w:rsidR="00DC06A5" w:rsidRPr="00DC06A5" w:rsidP="00DC06A5" w14:paraId="2BAFAB39" w14:textId="77777777">
            <w:pPr>
              <w:spacing w:after="0" w:line="240" w:lineRule="auto"/>
              <w:rPr>
                <w:rFonts w:ascii="Times New Roman" w:eastAsia="Calibri" w:hAnsi="Times New Roman" w:cs="Times New Roman"/>
                <w:sz w:val="26"/>
                <w:szCs w:val="26"/>
              </w:rPr>
            </w:pPr>
            <w:r w:rsidRPr="00DC06A5">
              <w:rPr>
                <w:rFonts w:ascii="Times New Roman" w:eastAsia="Calibri" w:hAnsi="Times New Roman" w:cs="Times New Roman"/>
                <w:sz w:val="26"/>
                <w:szCs w:val="26"/>
              </w:rPr>
              <w:t xml:space="preserve">Compliance and record-keeping </w:t>
            </w:r>
          </w:p>
        </w:tc>
        <w:tc>
          <w:tcPr>
            <w:tcW w:w="678" w:type="pct"/>
            <w:tcBorders>
              <w:top w:val="single" w:sz="4" w:space="0" w:color="auto"/>
              <w:left w:val="single" w:sz="4" w:space="0" w:color="auto"/>
              <w:bottom w:val="single" w:sz="4" w:space="0" w:color="auto"/>
              <w:right w:val="single" w:sz="4" w:space="0" w:color="auto"/>
            </w:tcBorders>
            <w:vAlign w:val="center"/>
            <w:hideMark/>
          </w:tcPr>
          <w:p w:rsidR="00DC06A5" w:rsidRPr="00DC06A5" w:rsidP="00DC06A5" w14:paraId="0D486295"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1,028 (GOP)</w:t>
            </w:r>
          </w:p>
        </w:tc>
        <w:tc>
          <w:tcPr>
            <w:tcW w:w="598" w:type="pct"/>
            <w:tcBorders>
              <w:top w:val="single" w:sz="4" w:space="0" w:color="auto"/>
              <w:left w:val="single" w:sz="4" w:space="0" w:color="auto"/>
              <w:bottom w:val="single" w:sz="4" w:space="0" w:color="auto"/>
              <w:right w:val="single" w:sz="4" w:space="0" w:color="auto"/>
            </w:tcBorders>
            <w:vAlign w:val="center"/>
            <w:hideMark/>
          </w:tcPr>
          <w:p w:rsidR="00DC06A5" w:rsidRPr="00DC06A5" w:rsidP="00DC06A5" w14:paraId="2CFA9C70"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w:t>
            </w:r>
          </w:p>
        </w:tc>
        <w:tc>
          <w:tcPr>
            <w:tcW w:w="550" w:type="pct"/>
            <w:tcBorders>
              <w:top w:val="single" w:sz="4" w:space="0" w:color="auto"/>
              <w:left w:val="single" w:sz="4" w:space="0" w:color="auto"/>
              <w:bottom w:val="single" w:sz="4" w:space="0" w:color="auto"/>
              <w:right w:val="single" w:sz="4" w:space="0" w:color="auto"/>
            </w:tcBorders>
            <w:vAlign w:val="center"/>
            <w:hideMark/>
          </w:tcPr>
          <w:p w:rsidR="00DC06A5" w:rsidRPr="00DC06A5" w:rsidP="00DC06A5" w14:paraId="255031E8"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1,028</w:t>
            </w:r>
          </w:p>
        </w:tc>
        <w:tc>
          <w:tcPr>
            <w:tcW w:w="885" w:type="pct"/>
            <w:tcBorders>
              <w:top w:val="single" w:sz="4" w:space="0" w:color="auto"/>
              <w:left w:val="single" w:sz="4" w:space="0" w:color="auto"/>
              <w:bottom w:val="single" w:sz="4" w:space="0" w:color="auto"/>
              <w:right w:val="single" w:sz="4" w:space="0" w:color="auto"/>
            </w:tcBorders>
            <w:vAlign w:val="center"/>
            <w:hideMark/>
          </w:tcPr>
          <w:p w:rsidR="00DC06A5" w:rsidRPr="00DC06A5" w:rsidP="00DC06A5" w14:paraId="1097541F"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200 hrs.</w:t>
            </w:r>
          </w:p>
          <w:p w:rsidR="00DC06A5" w:rsidRPr="00DC06A5" w:rsidP="00DC06A5" w14:paraId="1882DDA4"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$14,134</w:t>
            </w:r>
          </w:p>
        </w:tc>
        <w:tc>
          <w:tcPr>
            <w:tcW w:w="720" w:type="pct"/>
            <w:tcBorders>
              <w:top w:val="single" w:sz="4" w:space="0" w:color="auto"/>
              <w:left w:val="single" w:sz="4" w:space="0" w:color="auto"/>
              <w:bottom w:val="single" w:sz="4" w:space="0" w:color="auto"/>
              <w:right w:val="single" w:sz="4" w:space="0" w:color="auto"/>
            </w:tcBorders>
            <w:vAlign w:val="center"/>
            <w:hideMark/>
          </w:tcPr>
          <w:p w:rsidR="00DC06A5" w:rsidRPr="00DC06A5" w:rsidP="00DC06A5" w14:paraId="6F7D8EC7"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205,600 hrs.</w:t>
            </w:r>
          </w:p>
          <w:p w:rsidR="00DC06A5" w:rsidRPr="00DC06A5" w:rsidP="00DC06A5" w14:paraId="3EDB5CF5"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$14,529,752</w:t>
            </w:r>
          </w:p>
        </w:tc>
        <w:tc>
          <w:tcPr>
            <w:tcW w:w="885" w:type="pct"/>
            <w:tcBorders>
              <w:top w:val="single" w:sz="4" w:space="0" w:color="auto"/>
              <w:left w:val="single" w:sz="4" w:space="0" w:color="auto"/>
              <w:bottom w:val="single" w:sz="4" w:space="0" w:color="auto"/>
              <w:right w:val="single" w:sz="4" w:space="0" w:color="auto"/>
            </w:tcBorders>
            <w:vAlign w:val="center"/>
            <w:hideMark/>
          </w:tcPr>
          <w:p w:rsidR="00DC06A5" w:rsidRPr="00DC06A5" w:rsidP="00DC06A5" w14:paraId="0089F5CE" w14:textId="77777777">
            <w:pPr>
              <w:spacing w:after="0" w:line="240" w:lineRule="auto"/>
              <w:jc w:val="right"/>
              <w:rPr>
                <w:rFonts w:ascii="Times New Roman" w:eastAsia="Calibri" w:hAnsi="Times New Roman" w:cs="Times New Roman"/>
                <w:sz w:val="26"/>
                <w:szCs w:val="26"/>
              </w:rPr>
            </w:pPr>
            <w:r w:rsidRPr="00DC06A5">
              <w:rPr>
                <w:rFonts w:ascii="Times New Roman" w:eastAsia="Calibri" w:hAnsi="Times New Roman" w:cs="Times New Roman"/>
                <w:sz w:val="26"/>
                <w:szCs w:val="26"/>
              </w:rPr>
              <w:t>$14,134</w:t>
            </w:r>
          </w:p>
        </w:tc>
      </w:tr>
      <w:tr w14:paraId="5BA6AC1D" w14:textId="77777777" w:rsidTr="00C63F30">
        <w:tblPrEx>
          <w:tblW w:w="5489" w:type="pct"/>
          <w:jc w:val="center"/>
          <w:tblLook w:val="01E0"/>
        </w:tblPrEx>
        <w:trPr>
          <w:cantSplit/>
          <w:trHeight w:val="485"/>
          <w:jc w:val="center"/>
        </w:trPr>
        <w:tc>
          <w:tcPr>
            <w:tcW w:w="679" w:type="pct"/>
            <w:tcBorders>
              <w:top w:val="single" w:sz="4" w:space="0" w:color="auto"/>
              <w:left w:val="single" w:sz="4" w:space="0" w:color="auto"/>
              <w:bottom w:val="single" w:sz="4" w:space="0" w:color="auto"/>
              <w:right w:val="single" w:sz="4" w:space="0" w:color="auto"/>
            </w:tcBorders>
            <w:hideMark/>
          </w:tcPr>
          <w:p w:rsidR="00DC06A5" w:rsidRPr="00DC06A5" w:rsidP="00DC06A5" w14:paraId="0124A8C0" w14:textId="77777777">
            <w:pPr>
              <w:spacing w:after="0" w:line="240" w:lineRule="auto"/>
              <w:rPr>
                <w:rFonts w:ascii="Times New Roman" w:eastAsia="Calibri" w:hAnsi="Times New Roman" w:cs="Times New Roman"/>
                <w:b/>
                <w:sz w:val="26"/>
                <w:szCs w:val="26"/>
              </w:rPr>
            </w:pPr>
            <w:r w:rsidRPr="00DC06A5">
              <w:rPr>
                <w:rFonts w:ascii="Times New Roman" w:eastAsia="Calibri" w:hAnsi="Times New Roman" w:cs="Times New Roman"/>
                <w:b/>
                <w:sz w:val="26"/>
                <w:szCs w:val="26"/>
              </w:rPr>
              <w:t>TOTAL</w:t>
            </w:r>
          </w:p>
        </w:tc>
        <w:tc>
          <w:tcPr>
            <w:tcW w:w="1276" w:type="pct"/>
            <w:gridSpan w:val="2"/>
            <w:tcBorders>
              <w:top w:val="single" w:sz="4" w:space="0" w:color="auto"/>
              <w:left w:val="single" w:sz="4" w:space="0" w:color="auto"/>
              <w:bottom w:val="single" w:sz="4" w:space="0" w:color="auto"/>
              <w:right w:val="single" w:sz="4" w:space="0" w:color="auto"/>
            </w:tcBorders>
            <w:shd w:val="clear" w:color="auto" w:fill="D9D9D9"/>
          </w:tcPr>
          <w:p w:rsidR="00DC06A5" w:rsidRPr="00DC06A5" w:rsidP="00DC06A5" w14:paraId="766A8438" w14:textId="77777777">
            <w:pPr>
              <w:spacing w:after="0" w:line="240" w:lineRule="auto"/>
              <w:jc w:val="right"/>
              <w:rPr>
                <w:rFonts w:ascii="Times New Roman" w:eastAsia="Calibri" w:hAnsi="Times New Roman" w:cs="Times New Roman"/>
                <w:b/>
                <w:bCs/>
                <w:sz w:val="26"/>
                <w:szCs w:val="26"/>
              </w:rPr>
            </w:pPr>
          </w:p>
        </w:tc>
        <w:tc>
          <w:tcPr>
            <w:tcW w:w="550" w:type="pct"/>
            <w:tcBorders>
              <w:top w:val="single" w:sz="4" w:space="0" w:color="auto"/>
              <w:left w:val="single" w:sz="4" w:space="0" w:color="auto"/>
              <w:bottom w:val="single" w:sz="4" w:space="0" w:color="auto"/>
              <w:right w:val="single" w:sz="4" w:space="0" w:color="auto"/>
            </w:tcBorders>
            <w:hideMark/>
          </w:tcPr>
          <w:p w:rsidR="00DC06A5" w:rsidRPr="00DC06A5" w:rsidP="00DC06A5" w14:paraId="6F5F5A91" w14:textId="77777777">
            <w:pPr>
              <w:spacing w:after="0" w:line="240" w:lineRule="auto"/>
              <w:jc w:val="right"/>
              <w:rPr>
                <w:rFonts w:ascii="Times New Roman" w:eastAsia="Calibri" w:hAnsi="Times New Roman" w:cs="Times New Roman"/>
                <w:b/>
                <w:bCs/>
                <w:sz w:val="26"/>
                <w:szCs w:val="26"/>
              </w:rPr>
            </w:pPr>
            <w:r w:rsidRPr="00DC06A5">
              <w:rPr>
                <w:rFonts w:ascii="Times New Roman" w:eastAsia="Calibri" w:hAnsi="Times New Roman" w:cs="Times New Roman"/>
                <w:b/>
                <w:bCs/>
                <w:sz w:val="26"/>
                <w:szCs w:val="26"/>
              </w:rPr>
              <w:t>1,193</w:t>
            </w:r>
          </w:p>
        </w:tc>
        <w:tc>
          <w:tcPr>
            <w:tcW w:w="885" w:type="pct"/>
            <w:tcBorders>
              <w:top w:val="single" w:sz="4" w:space="0" w:color="auto"/>
              <w:left w:val="single" w:sz="4" w:space="0" w:color="auto"/>
              <w:bottom w:val="single" w:sz="4" w:space="0" w:color="auto"/>
              <w:right w:val="single" w:sz="4" w:space="0" w:color="auto"/>
            </w:tcBorders>
            <w:shd w:val="clear" w:color="auto" w:fill="D9D9D9"/>
          </w:tcPr>
          <w:p w:rsidR="00DC06A5" w:rsidRPr="00DC06A5" w:rsidP="00DC06A5" w14:paraId="38226C94" w14:textId="77777777">
            <w:pPr>
              <w:spacing w:after="0" w:line="240" w:lineRule="auto"/>
              <w:jc w:val="right"/>
              <w:rPr>
                <w:rFonts w:ascii="Times New Roman" w:eastAsia="Calibri" w:hAnsi="Times New Roman" w:cs="Times New Roman"/>
                <w:b/>
                <w:bCs/>
                <w:sz w:val="26"/>
                <w:szCs w:val="26"/>
              </w:rPr>
            </w:pPr>
          </w:p>
        </w:tc>
        <w:tc>
          <w:tcPr>
            <w:tcW w:w="720" w:type="pct"/>
            <w:tcBorders>
              <w:top w:val="single" w:sz="4" w:space="0" w:color="auto"/>
              <w:left w:val="single" w:sz="4" w:space="0" w:color="auto"/>
              <w:bottom w:val="single" w:sz="4" w:space="0" w:color="auto"/>
              <w:right w:val="single" w:sz="4" w:space="0" w:color="auto"/>
            </w:tcBorders>
            <w:hideMark/>
          </w:tcPr>
          <w:p w:rsidR="00DC06A5" w:rsidRPr="00DC06A5" w:rsidP="00DC06A5" w14:paraId="1BAC4601" w14:textId="77777777">
            <w:pPr>
              <w:spacing w:after="0" w:line="240" w:lineRule="auto"/>
              <w:jc w:val="right"/>
              <w:rPr>
                <w:rFonts w:ascii="Times New Roman" w:eastAsia="Calibri" w:hAnsi="Times New Roman" w:cs="Times New Roman"/>
                <w:b/>
                <w:bCs/>
                <w:sz w:val="26"/>
                <w:szCs w:val="26"/>
              </w:rPr>
            </w:pPr>
            <w:r w:rsidRPr="00DC06A5">
              <w:rPr>
                <w:rFonts w:ascii="Times New Roman" w:eastAsia="Calibri" w:hAnsi="Times New Roman" w:cs="Times New Roman"/>
                <w:b/>
                <w:bCs/>
                <w:sz w:val="26"/>
                <w:szCs w:val="26"/>
              </w:rPr>
              <w:t>232,000 hrs.</w:t>
            </w:r>
          </w:p>
          <w:p w:rsidR="00DC06A5" w:rsidRPr="00DC06A5" w:rsidP="00DC06A5" w14:paraId="3B065ED8" w14:textId="77777777">
            <w:pPr>
              <w:spacing w:after="0" w:line="240" w:lineRule="auto"/>
              <w:jc w:val="right"/>
              <w:rPr>
                <w:rFonts w:ascii="Times New Roman" w:eastAsia="Calibri" w:hAnsi="Times New Roman" w:cs="Times New Roman"/>
                <w:b/>
                <w:bCs/>
                <w:sz w:val="26"/>
                <w:szCs w:val="26"/>
              </w:rPr>
            </w:pPr>
            <w:r w:rsidRPr="00DC06A5">
              <w:rPr>
                <w:rFonts w:ascii="Times New Roman" w:eastAsia="Calibri" w:hAnsi="Times New Roman" w:cs="Times New Roman"/>
                <w:b/>
                <w:bCs/>
                <w:sz w:val="26"/>
                <w:szCs w:val="26"/>
              </w:rPr>
              <w:t>$16,395,440</w:t>
            </w:r>
          </w:p>
        </w:tc>
        <w:tc>
          <w:tcPr>
            <w:tcW w:w="885" w:type="pct"/>
            <w:tcBorders>
              <w:top w:val="single" w:sz="4" w:space="0" w:color="auto"/>
              <w:left w:val="single" w:sz="4" w:space="0" w:color="auto"/>
              <w:bottom w:val="single" w:sz="4" w:space="0" w:color="auto"/>
              <w:right w:val="single" w:sz="4" w:space="0" w:color="auto"/>
            </w:tcBorders>
            <w:shd w:val="clear" w:color="auto" w:fill="D9D9D9"/>
          </w:tcPr>
          <w:p w:rsidR="00DC06A5" w:rsidRPr="00DC06A5" w:rsidP="00DC06A5" w14:paraId="7E714D12" w14:textId="77777777">
            <w:pPr>
              <w:spacing w:after="0" w:line="240" w:lineRule="auto"/>
              <w:jc w:val="right"/>
              <w:rPr>
                <w:rFonts w:ascii="Times New Roman" w:eastAsia="Calibri" w:hAnsi="Times New Roman" w:cs="Times New Roman"/>
                <w:b/>
                <w:bCs/>
                <w:sz w:val="26"/>
                <w:szCs w:val="26"/>
              </w:rPr>
            </w:pPr>
          </w:p>
        </w:tc>
      </w:tr>
    </w:tbl>
    <w:p w:rsidR="003E1BE7" w:rsidP="003E1BE7" w14:paraId="05EAF106" w14:textId="2425C90D">
      <w:pPr>
        <w:spacing w:after="0"/>
        <w:rPr>
          <w:rFonts w:ascii="Times New Roman" w:hAnsi="Times New Roman" w:cs="Times New Roman"/>
          <w:b/>
          <w:sz w:val="24"/>
          <w:szCs w:val="24"/>
        </w:rPr>
      </w:pPr>
    </w:p>
    <w:p w:rsidR="00DC06A5" w:rsidRPr="003E1BE7" w:rsidP="003E1BE7" w14:paraId="46209D1B" w14:textId="77777777">
      <w:pPr>
        <w:spacing w:after="0"/>
        <w:rPr>
          <w:rFonts w:ascii="Times New Roman" w:hAnsi="Times New Roman" w:cs="Times New Roman"/>
          <w:b/>
          <w:sz w:val="24"/>
          <w:szCs w:val="24"/>
        </w:rPr>
      </w:pPr>
    </w:p>
    <w:p w:rsidR="00AE14A8" w:rsidP="00D80FBD" w14:paraId="0DE6E184" w14:textId="47194AFA">
      <w:pPr>
        <w:spacing w:after="0"/>
        <w:rPr>
          <w:rFonts w:ascii="Times New Roman" w:hAnsi="Times New Roman" w:cs="Times New Roman"/>
          <w:sz w:val="24"/>
          <w:szCs w:val="24"/>
        </w:rPr>
      </w:pPr>
    </w:p>
    <w:p w:rsidR="002C5784" w:rsidP="002C5784" w14:paraId="026CA84A" w14:textId="1FF5BFB4">
      <w:pPr>
        <w:spacing w:after="0"/>
        <w:rPr>
          <w:rFonts w:ascii="Times New Roman" w:hAnsi="Times New Roman" w:cs="Times New Roman"/>
          <w:sz w:val="24"/>
          <w:szCs w:val="24"/>
        </w:rPr>
      </w:pPr>
      <w:r>
        <w:rPr>
          <w:rFonts w:ascii="Times New Roman" w:hAnsi="Times New Roman" w:cs="Times New Roman"/>
          <w:sz w:val="24"/>
          <w:szCs w:val="24"/>
        </w:rPr>
        <w:t>The burden for the FERC-725X</w:t>
      </w:r>
      <w:r w:rsidR="006437A2">
        <w:rPr>
          <w:rFonts w:ascii="Times New Roman" w:hAnsi="Times New Roman" w:cs="Times New Roman"/>
          <w:sz w:val="24"/>
          <w:szCs w:val="24"/>
        </w:rPr>
        <w:t xml:space="preserve"> information collection includes estimates related </w:t>
      </w:r>
      <w:r w:rsidR="006E48BC">
        <w:rPr>
          <w:rFonts w:ascii="Times New Roman" w:hAnsi="Times New Roman" w:cs="Times New Roman"/>
          <w:sz w:val="24"/>
          <w:szCs w:val="24"/>
        </w:rPr>
        <w:t xml:space="preserve">to </w:t>
      </w:r>
      <w:r>
        <w:rPr>
          <w:rFonts w:ascii="Times New Roman" w:hAnsi="Times New Roman" w:cs="Times New Roman"/>
          <w:sz w:val="24"/>
          <w:szCs w:val="24"/>
        </w:rPr>
        <w:t xml:space="preserve">both of the </w:t>
      </w:r>
      <w:r w:rsidR="006437A2">
        <w:rPr>
          <w:rFonts w:ascii="Times New Roman" w:hAnsi="Times New Roman" w:cs="Times New Roman"/>
          <w:sz w:val="24"/>
          <w:szCs w:val="24"/>
        </w:rPr>
        <w:t>previously approved Reliability Standards</w:t>
      </w:r>
      <w:r>
        <w:rPr>
          <w:rFonts w:ascii="Times New Roman" w:hAnsi="Times New Roman" w:cs="Times New Roman"/>
          <w:sz w:val="24"/>
          <w:szCs w:val="24"/>
        </w:rPr>
        <w:t xml:space="preserve"> (VAR-001-4</w:t>
      </w:r>
      <w:r w:rsidR="00E453EB">
        <w:rPr>
          <w:rFonts w:ascii="Times New Roman" w:hAnsi="Times New Roman" w:cs="Times New Roman"/>
          <w:sz w:val="24"/>
          <w:szCs w:val="24"/>
        </w:rPr>
        <w:t>.2 and VAR-002-4.1</w:t>
      </w:r>
      <w:r>
        <w:rPr>
          <w:rFonts w:ascii="Times New Roman" w:hAnsi="Times New Roman" w:cs="Times New Roman"/>
          <w:sz w:val="24"/>
          <w:szCs w:val="24"/>
        </w:rPr>
        <w:t>)</w:t>
      </w:r>
      <w:r w:rsidR="006437A2">
        <w:rPr>
          <w:rFonts w:ascii="Times New Roman" w:hAnsi="Times New Roman" w:cs="Times New Roman"/>
          <w:sz w:val="24"/>
          <w:szCs w:val="24"/>
        </w:rPr>
        <w:t>.</w:t>
      </w:r>
      <w:r w:rsidR="00CE0A63">
        <w:rPr>
          <w:rFonts w:ascii="Times New Roman" w:hAnsi="Times New Roman" w:cs="Times New Roman"/>
          <w:sz w:val="24"/>
          <w:szCs w:val="24"/>
        </w:rPr>
        <w:t xml:space="preserve"> </w:t>
      </w:r>
    </w:p>
    <w:p w:rsidR="00DE18D9" w:rsidRPr="00DE18D9" w:rsidP="002C5784" w14:paraId="00756926" w14:textId="3976D67C">
      <w:pPr>
        <w:spacing w:after="0"/>
        <w:rPr>
          <w:rFonts w:ascii="Times New Roman" w:hAnsi="Times New Roman" w:cs="Times New Roman"/>
          <w:sz w:val="24"/>
          <w:szCs w:val="24"/>
        </w:rPr>
      </w:pPr>
      <w:r w:rsidRPr="00DE18D9">
        <w:rPr>
          <w:rFonts w:ascii="Times New Roman" w:hAnsi="Times New Roman" w:cs="Times New Roman"/>
          <w:sz w:val="24"/>
          <w:szCs w:val="24"/>
        </w:rPr>
        <w:t xml:space="preserve">The total annual </w:t>
      </w:r>
      <w:r w:rsidR="000A49C8">
        <w:rPr>
          <w:rFonts w:ascii="Times New Roman" w:hAnsi="Times New Roman" w:cs="Times New Roman"/>
          <w:sz w:val="24"/>
          <w:szCs w:val="24"/>
        </w:rPr>
        <w:t>burden and cost of the FERC-725X</w:t>
      </w:r>
      <w:r w:rsidRPr="00DE18D9">
        <w:rPr>
          <w:rFonts w:ascii="Times New Roman" w:hAnsi="Times New Roman" w:cs="Times New Roman"/>
          <w:sz w:val="24"/>
          <w:szCs w:val="24"/>
        </w:rPr>
        <w:t xml:space="preserve"> </w:t>
      </w:r>
      <w:r w:rsidR="000A49C8">
        <w:rPr>
          <w:rFonts w:ascii="Times New Roman" w:hAnsi="Times New Roman" w:cs="Times New Roman"/>
          <w:sz w:val="24"/>
          <w:szCs w:val="24"/>
        </w:rPr>
        <w:t xml:space="preserve">information collection is </w:t>
      </w:r>
      <w:r w:rsidR="003E1BE7">
        <w:rPr>
          <w:rFonts w:ascii="Times New Roman" w:hAnsi="Times New Roman" w:cs="Times New Roman"/>
          <w:sz w:val="24"/>
          <w:szCs w:val="24"/>
        </w:rPr>
        <w:t>2</w:t>
      </w:r>
      <w:r w:rsidR="003645F9">
        <w:rPr>
          <w:rFonts w:ascii="Times New Roman" w:hAnsi="Times New Roman" w:cs="Times New Roman"/>
          <w:sz w:val="24"/>
          <w:szCs w:val="24"/>
        </w:rPr>
        <w:t>32</w:t>
      </w:r>
      <w:r w:rsidR="003E1BE7">
        <w:rPr>
          <w:rFonts w:ascii="Times New Roman" w:hAnsi="Times New Roman" w:cs="Times New Roman"/>
          <w:sz w:val="24"/>
          <w:szCs w:val="24"/>
        </w:rPr>
        <w:t>,</w:t>
      </w:r>
      <w:r w:rsidR="003645F9">
        <w:rPr>
          <w:rFonts w:ascii="Times New Roman" w:hAnsi="Times New Roman" w:cs="Times New Roman"/>
          <w:sz w:val="24"/>
          <w:szCs w:val="24"/>
        </w:rPr>
        <w:t xml:space="preserve">000 </w:t>
      </w:r>
      <w:r w:rsidR="003E1BE7">
        <w:rPr>
          <w:rFonts w:ascii="Times New Roman" w:hAnsi="Times New Roman" w:cs="Times New Roman"/>
          <w:sz w:val="24"/>
          <w:szCs w:val="24"/>
        </w:rPr>
        <w:t>hours</w:t>
      </w:r>
      <w:r w:rsidR="000A49C8">
        <w:rPr>
          <w:rFonts w:ascii="Times New Roman" w:hAnsi="Times New Roman" w:cs="Times New Roman"/>
          <w:sz w:val="24"/>
          <w:szCs w:val="24"/>
        </w:rPr>
        <w:t xml:space="preserve"> and </w:t>
      </w:r>
      <w:r w:rsidR="003E1BE7">
        <w:rPr>
          <w:rFonts w:ascii="Times New Roman" w:hAnsi="Times New Roman" w:cs="Times New Roman"/>
          <w:sz w:val="24"/>
          <w:szCs w:val="24"/>
        </w:rPr>
        <w:t>$1</w:t>
      </w:r>
      <w:r w:rsidR="003645F9">
        <w:rPr>
          <w:rFonts w:ascii="Times New Roman" w:hAnsi="Times New Roman" w:cs="Times New Roman"/>
          <w:sz w:val="24"/>
          <w:szCs w:val="24"/>
        </w:rPr>
        <w:t>6</w:t>
      </w:r>
      <w:r w:rsidR="003E1BE7">
        <w:rPr>
          <w:rFonts w:ascii="Times New Roman" w:hAnsi="Times New Roman" w:cs="Times New Roman"/>
          <w:sz w:val="24"/>
          <w:szCs w:val="24"/>
        </w:rPr>
        <w:t>,</w:t>
      </w:r>
      <w:r w:rsidR="003645F9">
        <w:rPr>
          <w:rFonts w:ascii="Times New Roman" w:hAnsi="Times New Roman" w:cs="Times New Roman"/>
          <w:sz w:val="24"/>
          <w:szCs w:val="24"/>
        </w:rPr>
        <w:t>395</w:t>
      </w:r>
      <w:r w:rsidR="00375B89">
        <w:rPr>
          <w:rFonts w:ascii="Times New Roman" w:hAnsi="Times New Roman" w:cs="Times New Roman"/>
          <w:sz w:val="24"/>
          <w:szCs w:val="24"/>
        </w:rPr>
        <w:t>,</w:t>
      </w:r>
      <w:r w:rsidR="003645F9">
        <w:rPr>
          <w:rFonts w:ascii="Times New Roman" w:hAnsi="Times New Roman" w:cs="Times New Roman"/>
          <w:sz w:val="24"/>
          <w:szCs w:val="24"/>
        </w:rPr>
        <w:t>440</w:t>
      </w:r>
      <w:r w:rsidR="00C15264">
        <w:rPr>
          <w:rFonts w:ascii="Times New Roman" w:hAnsi="Times New Roman" w:cs="Times New Roman"/>
          <w:sz w:val="24"/>
          <w:szCs w:val="24"/>
        </w:rPr>
        <w:t xml:space="preserve"> (rounded)</w:t>
      </w:r>
      <w:r w:rsidRPr="00DE18D9">
        <w:rPr>
          <w:rFonts w:ascii="Times New Roman" w:hAnsi="Times New Roman" w:cs="Times New Roman"/>
          <w:sz w:val="24"/>
          <w:szCs w:val="24"/>
        </w:rPr>
        <w:t>.</w:t>
      </w:r>
      <w:r w:rsidR="000446EC">
        <w:rPr>
          <w:rFonts w:ascii="Times New Roman" w:hAnsi="Times New Roman" w:cs="Times New Roman"/>
          <w:sz w:val="24"/>
          <w:szCs w:val="24"/>
        </w:rPr>
        <w:t>up</w:t>
      </w:r>
    </w:p>
    <w:p w:rsidR="00EA5C58" w:rsidRPr="00D80FBD" w:rsidP="008D310F" w14:paraId="15AB793E" w14:textId="77777777">
      <w:pPr>
        <w:spacing w:after="0"/>
        <w:rPr>
          <w:rFonts w:ascii="Times New Roman" w:hAnsi="Times New Roman" w:cs="Times New Roman"/>
          <w:sz w:val="24"/>
          <w:szCs w:val="24"/>
        </w:rPr>
      </w:pPr>
    </w:p>
    <w:p w:rsidR="00D80FBD" w:rsidRPr="00414F32" w:rsidP="00A72E7B" w14:paraId="6E56FBEA" w14:textId="77777777">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ESTIMATE OF THE TOTAL ANNUAL COST BURDEN TO RESPONDENTS</w:t>
      </w:r>
    </w:p>
    <w:p w:rsidR="00E636D7" w:rsidP="00E636D7" w14:paraId="1A0B2949" w14:textId="77777777">
      <w:pPr>
        <w:spacing w:after="0"/>
        <w:rPr>
          <w:rFonts w:ascii="Times New Roman" w:hAnsi="Times New Roman" w:cs="Times New Roman"/>
          <w:sz w:val="24"/>
          <w:szCs w:val="24"/>
        </w:rPr>
      </w:pPr>
    </w:p>
    <w:p w:rsidR="0074195A" w:rsidRPr="0074195A" w:rsidP="0074195A" w14:paraId="393B90F0" w14:textId="44F2824C">
      <w:pPr>
        <w:spacing w:after="0"/>
        <w:rPr>
          <w:rFonts w:ascii="Times New Roman" w:hAnsi="Times New Roman" w:cs="Times New Roman"/>
          <w:sz w:val="24"/>
          <w:szCs w:val="24"/>
        </w:rPr>
      </w:pPr>
      <w:r w:rsidRPr="0074195A">
        <w:rPr>
          <w:rFonts w:ascii="Times New Roman" w:hAnsi="Times New Roman" w:cs="Times New Roman"/>
          <w:sz w:val="24"/>
          <w:szCs w:val="24"/>
        </w:rPr>
        <w:t>There are no non-labor costs currently associated with the</w:t>
      </w:r>
      <w:r w:rsidR="000A49C8">
        <w:rPr>
          <w:rFonts w:ascii="Times New Roman" w:hAnsi="Times New Roman" w:cs="Times New Roman"/>
          <w:sz w:val="24"/>
          <w:szCs w:val="24"/>
        </w:rPr>
        <w:t xml:space="preserve"> FERC-725X</w:t>
      </w:r>
      <w:r w:rsidRPr="0074195A">
        <w:rPr>
          <w:rFonts w:ascii="Times New Roman" w:hAnsi="Times New Roman" w:cs="Times New Roman"/>
          <w:sz w:val="24"/>
          <w:szCs w:val="24"/>
        </w:rPr>
        <w:t>.</w:t>
      </w:r>
    </w:p>
    <w:p w:rsidR="0074195A" w:rsidRPr="0074195A" w:rsidP="0074195A" w14:paraId="3D34229A" w14:textId="77777777">
      <w:pPr>
        <w:spacing w:after="0"/>
        <w:rPr>
          <w:rFonts w:ascii="Times New Roman" w:hAnsi="Times New Roman" w:cs="Times New Roman"/>
          <w:sz w:val="24"/>
          <w:szCs w:val="24"/>
        </w:rPr>
      </w:pPr>
    </w:p>
    <w:p w:rsidR="00E636D7" w:rsidP="0074195A" w14:paraId="14203881" w14:textId="084451FC">
      <w:pPr>
        <w:spacing w:after="0"/>
        <w:rPr>
          <w:rFonts w:ascii="Times New Roman" w:hAnsi="Times New Roman" w:cs="Times New Roman"/>
          <w:sz w:val="24"/>
          <w:szCs w:val="24"/>
        </w:rPr>
      </w:pPr>
      <w:r w:rsidRPr="0074195A">
        <w:rPr>
          <w:rFonts w:ascii="Times New Roman" w:hAnsi="Times New Roman" w:cs="Times New Roman"/>
          <w:sz w:val="24"/>
          <w:szCs w:val="24"/>
        </w:rPr>
        <w:t xml:space="preserve">All of the costs are associated with </w:t>
      </w:r>
      <w:r w:rsidR="00DB58D2">
        <w:rPr>
          <w:rFonts w:ascii="Times New Roman" w:hAnsi="Times New Roman" w:cs="Times New Roman"/>
          <w:sz w:val="24"/>
          <w:szCs w:val="24"/>
        </w:rPr>
        <w:t>burden hours (</w:t>
      </w:r>
      <w:r w:rsidRPr="0074195A">
        <w:rPr>
          <w:rFonts w:ascii="Times New Roman" w:hAnsi="Times New Roman" w:cs="Times New Roman"/>
          <w:sz w:val="24"/>
          <w:szCs w:val="24"/>
        </w:rPr>
        <w:t>labor</w:t>
      </w:r>
      <w:r w:rsidR="00DB58D2">
        <w:rPr>
          <w:rFonts w:ascii="Times New Roman" w:hAnsi="Times New Roman" w:cs="Times New Roman"/>
          <w:sz w:val="24"/>
          <w:szCs w:val="24"/>
        </w:rPr>
        <w:t>)</w:t>
      </w:r>
      <w:r w:rsidRPr="0074195A">
        <w:rPr>
          <w:rFonts w:ascii="Times New Roman" w:hAnsi="Times New Roman" w:cs="Times New Roman"/>
          <w:sz w:val="24"/>
          <w:szCs w:val="24"/>
        </w:rPr>
        <w:t xml:space="preserve"> and </w:t>
      </w:r>
      <w:r w:rsidR="00DB58D2">
        <w:rPr>
          <w:rFonts w:ascii="Times New Roman" w:hAnsi="Times New Roman" w:cs="Times New Roman"/>
          <w:sz w:val="24"/>
          <w:szCs w:val="24"/>
        </w:rPr>
        <w:t>described in #12 and 15.</w:t>
      </w:r>
    </w:p>
    <w:p w:rsidR="0074195A" w:rsidRPr="00E636D7" w:rsidP="0074195A" w14:paraId="33245613" w14:textId="77777777">
      <w:pPr>
        <w:spacing w:after="0"/>
        <w:rPr>
          <w:rFonts w:ascii="Times New Roman" w:hAnsi="Times New Roman" w:cs="Times New Roman"/>
          <w:sz w:val="24"/>
          <w:szCs w:val="24"/>
        </w:rPr>
      </w:pPr>
    </w:p>
    <w:p w:rsidR="00E636D7" w:rsidRPr="00414F32" w:rsidP="00A72E7B" w14:paraId="1406ECFF" w14:textId="77777777">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ESTIMATED ANNUALIZED COST TO FEDERAL GOVERNMENT</w:t>
      </w:r>
    </w:p>
    <w:p w:rsidR="00A276F5" w:rsidP="00A276F5" w14:paraId="68BEC129" w14:textId="77777777">
      <w:pPr>
        <w:spacing w:after="0"/>
        <w:rPr>
          <w:rFonts w:ascii="Times New Roman" w:hAnsi="Times New Roman" w:cs="Times New Roman"/>
          <w:sz w:val="24"/>
          <w:szCs w:val="24"/>
        </w:rPr>
      </w:pPr>
    </w:p>
    <w:p w:rsidR="00D85DBB" w:rsidP="00D85DBB" w14:paraId="37038A7A" w14:textId="0FF6338F">
      <w:pPr>
        <w:spacing w:after="0"/>
        <w:rPr>
          <w:rFonts w:ascii="Times New Roman" w:hAnsi="Times New Roman" w:cs="Times New Roman"/>
          <w:sz w:val="24"/>
          <w:szCs w:val="24"/>
        </w:rPr>
      </w:pPr>
      <w:r>
        <w:rPr>
          <w:rFonts w:ascii="Times New Roman" w:hAnsi="Times New Roman"/>
          <w:sz w:val="24"/>
          <w:szCs w:val="24"/>
        </w:rPr>
        <w:t>The Regional Entities and NERC do most of the data processing, monitoring and compliance work for Reliability Standards</w:t>
      </w:r>
      <w:r w:rsidR="00E67CF3">
        <w:rPr>
          <w:rFonts w:ascii="Times New Roman" w:hAnsi="Times New Roman"/>
          <w:sz w:val="24"/>
          <w:szCs w:val="24"/>
        </w:rPr>
        <w:t xml:space="preserve">; the burden and cost are included </w:t>
      </w:r>
      <w:r w:rsidRPr="00E67CF3" w:rsidR="00E67CF3">
        <w:rPr>
          <w:rFonts w:ascii="Times New Roman" w:hAnsi="Times New Roman"/>
          <w:sz w:val="24"/>
          <w:szCs w:val="24"/>
        </w:rPr>
        <w:t xml:space="preserve">under the FERC-725 collection (OMB Control No. 1902-0225) and </w:t>
      </w:r>
      <w:r w:rsidR="00E67CF3">
        <w:rPr>
          <w:rFonts w:ascii="Times New Roman" w:hAnsi="Times New Roman"/>
          <w:sz w:val="24"/>
          <w:szCs w:val="24"/>
        </w:rPr>
        <w:t>are</w:t>
      </w:r>
      <w:r w:rsidRPr="00E67CF3" w:rsidR="00E67CF3">
        <w:rPr>
          <w:rFonts w:ascii="Times New Roman" w:hAnsi="Times New Roman"/>
          <w:sz w:val="24"/>
          <w:szCs w:val="24"/>
        </w:rPr>
        <w:t xml:space="preserve"> not part of this request or package</w:t>
      </w:r>
      <w:r>
        <w:rPr>
          <w:rFonts w:ascii="Times New Roman" w:hAnsi="Times New Roman"/>
          <w:sz w:val="24"/>
          <w:szCs w:val="24"/>
        </w:rPr>
        <w:t>.  Any involvement by the Commission is covered under the FERC-725 collection (OMB Control No. 1902-0225) and is not part of this request or package.</w:t>
      </w:r>
    </w:p>
    <w:p w:rsidR="00D85DBB" w:rsidP="00A276F5" w14:paraId="20A27179" w14:textId="77777777">
      <w:pPr>
        <w:spacing w:after="0"/>
        <w:rPr>
          <w:rFonts w:ascii="Times New Roman" w:hAnsi="Times New Roman" w:cs="Times New Roman"/>
          <w:sz w:val="24"/>
          <w:szCs w:val="24"/>
        </w:rPr>
      </w:pPr>
    </w:p>
    <w:p w:rsidR="00A276F5" w:rsidP="00A276F5" w14:paraId="79052984" w14:textId="3878B023">
      <w:pPr>
        <w:spacing w:after="0"/>
        <w:rPr>
          <w:rFonts w:ascii="Times New Roman" w:hAnsi="Times New Roman" w:cs="Times New Roman"/>
          <w:sz w:val="24"/>
          <w:szCs w:val="24"/>
        </w:rPr>
      </w:pPr>
      <w:r w:rsidRPr="00630A34">
        <w:rPr>
          <w:rFonts w:ascii="Times New Roman" w:hAnsi="Times New Roman" w:cs="Times New Roman"/>
          <w:sz w:val="24"/>
          <w:szCs w:val="24"/>
        </w:rPr>
        <w:t>The estimated annualized cost to the Federal Govern</w:t>
      </w:r>
      <w:r w:rsidR="000A49C8">
        <w:rPr>
          <w:rFonts w:ascii="Times New Roman" w:hAnsi="Times New Roman" w:cs="Times New Roman"/>
          <w:sz w:val="24"/>
          <w:szCs w:val="24"/>
        </w:rPr>
        <w:t>ment for FERC-725X</w:t>
      </w:r>
      <w:r w:rsidR="00BE7025">
        <w:rPr>
          <w:rFonts w:ascii="Times New Roman" w:hAnsi="Times New Roman" w:cs="Times New Roman"/>
          <w:sz w:val="24"/>
          <w:szCs w:val="24"/>
        </w:rPr>
        <w:t xml:space="preserve"> follows</w:t>
      </w:r>
      <w:r w:rsidRPr="00630A34">
        <w:rPr>
          <w:rFonts w:ascii="Times New Roman" w:hAnsi="Times New Roman" w:cs="Times New Roman"/>
          <w:sz w:val="24"/>
          <w:szCs w:val="24"/>
        </w:rPr>
        <w:t>:</w:t>
      </w:r>
    </w:p>
    <w:p w:rsidR="00630A34" w:rsidP="00A276F5" w14:paraId="5616B52C" w14:textId="77777777">
      <w:pPr>
        <w:spacing w:after="0"/>
        <w:rPr>
          <w:rFonts w:ascii="Times New Roman" w:hAnsi="Times New Roman" w:cs="Times New Roman"/>
          <w:sz w:val="24"/>
          <w:szCs w:val="24"/>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2995"/>
      </w:tblGrid>
      <w:tr w14:paraId="4D55693E" w14:textId="77777777" w:rsidTr="002C63E1">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tcBorders>
              <w:top w:val="single" w:sz="4" w:space="0" w:color="auto"/>
              <w:left w:val="single" w:sz="4" w:space="0" w:color="auto"/>
              <w:bottom w:val="single" w:sz="4" w:space="0" w:color="auto"/>
              <w:right w:val="single" w:sz="4" w:space="0" w:color="auto"/>
            </w:tcBorders>
            <w:shd w:val="clear" w:color="auto" w:fill="CCCCCC"/>
          </w:tcPr>
          <w:p w:rsidR="00630A34" w:rsidRPr="00630A34" w:rsidP="00630A34" w14:paraId="40313B84" w14:textId="77777777">
            <w:pPr>
              <w:spacing w:after="0"/>
              <w:rPr>
                <w:rFonts w:ascii="Times New Roman" w:hAnsi="Times New Roman" w:cs="Times New Roman"/>
                <w:sz w:val="24"/>
                <w:szCs w:val="24"/>
              </w:rPr>
            </w:pP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rsidR="00630A34" w:rsidRPr="00630A34" w:rsidP="00630A34" w14:paraId="3BC50B53" w14:textId="77777777">
            <w:pPr>
              <w:spacing w:after="0"/>
              <w:rPr>
                <w:rFonts w:ascii="Times New Roman" w:hAnsi="Times New Roman" w:cs="Times New Roman"/>
                <w:b/>
                <w:sz w:val="24"/>
                <w:szCs w:val="24"/>
              </w:rPr>
            </w:pPr>
            <w:r w:rsidRPr="00630A34">
              <w:rPr>
                <w:rFonts w:ascii="Times New Roman" w:hAnsi="Times New Roman" w:cs="Times New Roman"/>
                <w:b/>
                <w:sz w:val="24"/>
                <w:szCs w:val="24"/>
              </w:rPr>
              <w:t>Number of Employees (FTE)</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rsidR="00630A34" w:rsidRPr="00630A34" w:rsidP="00630A34" w14:paraId="115036DD" w14:textId="77777777">
            <w:pPr>
              <w:spacing w:after="0"/>
              <w:rPr>
                <w:rFonts w:ascii="Times New Roman" w:hAnsi="Times New Roman" w:cs="Times New Roman"/>
                <w:b/>
                <w:sz w:val="24"/>
                <w:szCs w:val="24"/>
              </w:rPr>
            </w:pPr>
            <w:r w:rsidRPr="00630A34">
              <w:rPr>
                <w:rFonts w:ascii="Times New Roman" w:hAnsi="Times New Roman" w:cs="Times New Roman"/>
                <w:b/>
                <w:sz w:val="24"/>
                <w:szCs w:val="24"/>
              </w:rPr>
              <w:t>Estimated Annual Federal Cost</w:t>
            </w:r>
          </w:p>
        </w:tc>
      </w:tr>
      <w:tr w14:paraId="0442D0CC" w14:textId="77777777" w:rsidTr="002C63E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30A34" w:rsidRPr="00630A34" w:rsidP="00630A34" w14:paraId="60B348C3" w14:textId="5FC64EF7">
            <w:pPr>
              <w:spacing w:after="0"/>
              <w:rPr>
                <w:rFonts w:ascii="Times New Roman" w:hAnsi="Times New Roman" w:cs="Times New Roman"/>
                <w:sz w:val="24"/>
                <w:szCs w:val="24"/>
              </w:rPr>
            </w:pPr>
            <w:r>
              <w:rPr>
                <w:rFonts w:ascii="Times New Roman" w:hAnsi="Times New Roman" w:cs="Times New Roman"/>
                <w:sz w:val="24"/>
                <w:szCs w:val="24"/>
              </w:rPr>
              <w:t>FERC-725X</w:t>
            </w:r>
            <w:r>
              <w:rPr>
                <w:rFonts w:ascii="Times New Roman" w:hAnsi="Times New Roman" w:cs="Times New Roman"/>
                <w:sz w:val="24"/>
                <w:szCs w:val="24"/>
              </w:rPr>
              <w:t xml:space="preserve"> </w:t>
            </w:r>
            <w:r w:rsidRPr="00630A34">
              <w:rPr>
                <w:rFonts w:ascii="Times New Roman" w:hAnsi="Times New Roman" w:cs="Times New Roman"/>
                <w:sz w:val="24"/>
                <w:szCs w:val="24"/>
              </w:rPr>
              <w:t>Analysis and Processing of filings</w:t>
            </w:r>
            <w:r>
              <w:rPr>
                <w:rFonts w:ascii="Times New Roman" w:hAnsi="Times New Roman" w:cs="Times New Roman"/>
                <w:sz w:val="24"/>
                <w:szCs w:val="24"/>
                <w:vertAlign w:val="superscript"/>
              </w:rPr>
              <w:footnoteReference w:id="13"/>
            </w:r>
          </w:p>
        </w:tc>
        <w:tc>
          <w:tcPr>
            <w:tcW w:w="3201" w:type="dxa"/>
            <w:tcBorders>
              <w:top w:val="single" w:sz="4" w:space="0" w:color="auto"/>
              <w:left w:val="single" w:sz="4" w:space="0" w:color="auto"/>
              <w:bottom w:val="single" w:sz="4" w:space="0" w:color="auto"/>
              <w:right w:val="single" w:sz="4" w:space="0" w:color="auto"/>
            </w:tcBorders>
            <w:vAlign w:val="bottom"/>
            <w:hideMark/>
          </w:tcPr>
          <w:p w:rsidR="00630A34" w:rsidRPr="00630A34" w:rsidP="00630A34" w14:paraId="58FB477E" w14:textId="77777777">
            <w:pPr>
              <w:spacing w:after="0"/>
              <w:rPr>
                <w:rFonts w:ascii="Times New Roman" w:hAnsi="Times New Roman" w:cs="Times New Roman"/>
                <w:sz w:val="24"/>
                <w:szCs w:val="24"/>
              </w:rPr>
            </w:pPr>
            <w:r>
              <w:rPr>
                <w:rFonts w:ascii="Times New Roman" w:hAnsi="Times New Roman" w:cs="Times New Roman"/>
                <w:sz w:val="24"/>
                <w:szCs w:val="24"/>
              </w:rPr>
              <w:t>0</w:t>
            </w:r>
          </w:p>
        </w:tc>
        <w:tc>
          <w:tcPr>
            <w:tcW w:w="2995" w:type="dxa"/>
            <w:tcBorders>
              <w:top w:val="single" w:sz="4" w:space="0" w:color="auto"/>
              <w:left w:val="single" w:sz="4" w:space="0" w:color="auto"/>
              <w:bottom w:val="single" w:sz="4" w:space="0" w:color="auto"/>
              <w:right w:val="single" w:sz="4" w:space="0" w:color="auto"/>
            </w:tcBorders>
            <w:vAlign w:val="bottom"/>
            <w:hideMark/>
          </w:tcPr>
          <w:p w:rsidR="00630A34" w:rsidRPr="00630A34" w:rsidP="00630A34" w14:paraId="3AF280C5" w14:textId="77777777">
            <w:pPr>
              <w:spacing w:after="0"/>
              <w:rPr>
                <w:rFonts w:ascii="Times New Roman" w:hAnsi="Times New Roman" w:cs="Times New Roman"/>
                <w:sz w:val="24"/>
                <w:szCs w:val="24"/>
              </w:rPr>
            </w:pPr>
            <w:r w:rsidRPr="00630A34">
              <w:rPr>
                <w:rFonts w:ascii="Times New Roman" w:hAnsi="Times New Roman" w:cs="Times New Roman"/>
                <w:sz w:val="24"/>
                <w:szCs w:val="24"/>
              </w:rPr>
              <w:t>$</w:t>
            </w:r>
            <w:r w:rsidR="007B193F">
              <w:rPr>
                <w:rFonts w:ascii="Times New Roman" w:hAnsi="Times New Roman" w:cs="Times New Roman"/>
                <w:sz w:val="24"/>
                <w:szCs w:val="24"/>
              </w:rPr>
              <w:t>0</w:t>
            </w:r>
          </w:p>
        </w:tc>
      </w:tr>
      <w:tr w14:paraId="574B7DA6" w14:textId="77777777" w:rsidTr="002C63E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tcPr>
          <w:p w:rsidR="00AD16A3" w:rsidP="00F82B8E" w14:paraId="1250E3AD" w14:textId="582555DF">
            <w:pPr>
              <w:spacing w:after="0"/>
              <w:rPr>
                <w:rFonts w:ascii="Times New Roman" w:hAnsi="Times New Roman" w:cs="Times New Roman"/>
                <w:sz w:val="24"/>
                <w:szCs w:val="24"/>
              </w:rPr>
            </w:pPr>
            <w:r w:rsidRPr="00630A34">
              <w:rPr>
                <w:rFonts w:ascii="Times New Roman" w:hAnsi="Times New Roman" w:cs="Times New Roman"/>
                <w:sz w:val="24"/>
                <w:szCs w:val="24"/>
              </w:rPr>
              <w:t>PRA</w:t>
            </w:r>
            <w:r>
              <w:rPr>
                <w:rFonts w:ascii="Times New Roman" w:hAnsi="Times New Roman" w:cs="Times New Roman"/>
                <w:sz w:val="24"/>
                <w:szCs w:val="24"/>
                <w:vertAlign w:val="superscript"/>
              </w:rPr>
              <w:footnoteReference w:id="14"/>
            </w:r>
            <w:r w:rsidRPr="00630A34">
              <w:rPr>
                <w:rFonts w:ascii="Times New Roman" w:hAnsi="Times New Roman" w:cs="Times New Roman"/>
                <w:sz w:val="24"/>
                <w:szCs w:val="24"/>
              </w:rPr>
              <w:t xml:space="preserve"> Administrative Cost</w:t>
            </w:r>
          </w:p>
        </w:tc>
        <w:tc>
          <w:tcPr>
            <w:tcW w:w="3201" w:type="dxa"/>
            <w:tcBorders>
              <w:top w:val="single" w:sz="4" w:space="0" w:color="auto"/>
              <w:left w:val="single" w:sz="4" w:space="0" w:color="auto"/>
              <w:bottom w:val="single" w:sz="4" w:space="0" w:color="auto"/>
              <w:right w:val="single" w:sz="4" w:space="0" w:color="auto"/>
            </w:tcBorders>
            <w:shd w:val="clear" w:color="auto" w:fill="D9D9D9"/>
            <w:vAlign w:val="center"/>
          </w:tcPr>
          <w:p w:rsidR="00AD16A3" w:rsidRPr="00630A34" w:rsidP="00630A34" w14:paraId="443B14DA" w14:textId="77777777">
            <w:pPr>
              <w:spacing w:after="0"/>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center"/>
          </w:tcPr>
          <w:p w:rsidR="00AD16A3" w:rsidRPr="00630A34" w:rsidP="00630A34" w14:paraId="299BC118" w14:textId="0A85B3CC">
            <w:pPr>
              <w:spacing w:after="0"/>
              <w:rPr>
                <w:rFonts w:ascii="Times New Roman" w:hAnsi="Times New Roman" w:cs="Times New Roman"/>
                <w:sz w:val="24"/>
                <w:szCs w:val="24"/>
              </w:rPr>
            </w:pPr>
            <w:r w:rsidRPr="00630A34">
              <w:rPr>
                <w:rFonts w:ascii="Times New Roman" w:hAnsi="Times New Roman" w:cs="Times New Roman"/>
                <w:sz w:val="24"/>
                <w:szCs w:val="24"/>
              </w:rPr>
              <w:t>$</w:t>
            </w:r>
            <w:r w:rsidR="00FF1AC3">
              <w:rPr>
                <w:rFonts w:ascii="Times New Roman" w:hAnsi="Times New Roman" w:cs="Times New Roman"/>
                <w:sz w:val="24"/>
                <w:szCs w:val="24"/>
              </w:rPr>
              <w:t>8,396</w:t>
            </w:r>
          </w:p>
        </w:tc>
      </w:tr>
      <w:tr w14:paraId="3CFDFA41" w14:textId="77777777" w:rsidTr="002C63E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AD16A3" w:rsidRPr="00630A34" w:rsidP="00630A34" w14:paraId="06203189" w14:textId="77777777">
            <w:pPr>
              <w:spacing w:after="0"/>
              <w:rPr>
                <w:rFonts w:ascii="Times New Roman" w:hAnsi="Times New Roman" w:cs="Times New Roman"/>
                <w:sz w:val="24"/>
                <w:szCs w:val="24"/>
              </w:rPr>
            </w:pPr>
            <w:r w:rsidRPr="00630A34">
              <w:rPr>
                <w:rFonts w:ascii="Times New Roman" w:hAnsi="Times New Roman" w:cs="Times New Roman"/>
                <w:b/>
                <w:sz w:val="24"/>
                <w:szCs w:val="24"/>
              </w:rPr>
              <w:t>FERC Total</w:t>
            </w:r>
          </w:p>
        </w:tc>
        <w:tc>
          <w:tcPr>
            <w:tcW w:w="3201" w:type="dxa"/>
            <w:tcBorders>
              <w:top w:val="single" w:sz="4" w:space="0" w:color="auto"/>
              <w:left w:val="single" w:sz="4" w:space="0" w:color="auto"/>
              <w:bottom w:val="single" w:sz="4" w:space="0" w:color="auto"/>
              <w:right w:val="single" w:sz="4" w:space="0" w:color="auto"/>
            </w:tcBorders>
            <w:vAlign w:val="center"/>
          </w:tcPr>
          <w:p w:rsidR="00AD16A3" w:rsidRPr="00630A34" w:rsidP="00630A34" w14:paraId="1C18FB49" w14:textId="77777777">
            <w:pPr>
              <w:spacing w:after="0"/>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center"/>
            <w:hideMark/>
          </w:tcPr>
          <w:p w:rsidR="00AD16A3" w:rsidRPr="00630A34" w:rsidP="00E67CF3" w14:paraId="056CE0F0" w14:textId="7D62F940">
            <w:pPr>
              <w:spacing w:after="0"/>
              <w:rPr>
                <w:rFonts w:ascii="Times New Roman" w:hAnsi="Times New Roman" w:cs="Times New Roman"/>
                <w:sz w:val="24"/>
                <w:szCs w:val="24"/>
              </w:rPr>
            </w:pPr>
            <w:r w:rsidRPr="00630A34">
              <w:rPr>
                <w:rFonts w:ascii="Times New Roman" w:hAnsi="Times New Roman" w:cs="Times New Roman"/>
                <w:sz w:val="24"/>
                <w:szCs w:val="24"/>
              </w:rPr>
              <w:t>$</w:t>
            </w:r>
            <w:r w:rsidR="00FF1AC3">
              <w:rPr>
                <w:rFonts w:ascii="Times New Roman" w:hAnsi="Times New Roman" w:cs="Times New Roman"/>
                <w:sz w:val="24"/>
                <w:szCs w:val="24"/>
              </w:rPr>
              <w:t>8,396</w:t>
            </w:r>
          </w:p>
        </w:tc>
      </w:tr>
    </w:tbl>
    <w:p w:rsidR="006B437C" w:rsidRPr="006B437C" w:rsidP="006B437C" w14:paraId="767669C0" w14:textId="77777777">
      <w:pPr>
        <w:spacing w:after="0"/>
        <w:rPr>
          <w:rFonts w:ascii="Times New Roman" w:hAnsi="Times New Roman" w:cs="Times New Roman"/>
          <w:sz w:val="24"/>
          <w:szCs w:val="24"/>
        </w:rPr>
      </w:pPr>
    </w:p>
    <w:p w:rsidR="00630A34" w:rsidP="006B437C" w14:paraId="37C3D84C" w14:textId="2E1677B2">
      <w:pPr>
        <w:spacing w:after="0"/>
        <w:rPr>
          <w:rFonts w:ascii="Times New Roman" w:hAnsi="Times New Roman" w:cs="Times New Roman"/>
          <w:sz w:val="24"/>
          <w:szCs w:val="24"/>
        </w:rPr>
      </w:pPr>
      <w:r w:rsidRPr="006B437C">
        <w:rPr>
          <w:rFonts w:ascii="Times New Roman" w:hAnsi="Times New Roman" w:cs="Times New Roman"/>
          <w:sz w:val="24"/>
          <w:szCs w:val="24"/>
        </w:rPr>
        <w:t xml:space="preserve">The Commission bases its estimate of the ‘Analysis and Processing of filings’ cost to the Federal Government on salaries and benefits for professional and clerical support.  This estimated cost represents staff analysis, decision making, and review of any actual filings made in response to the information collection.  </w:t>
      </w:r>
      <w:r w:rsidR="007B34EB">
        <w:rPr>
          <w:rFonts w:ascii="Times New Roman" w:hAnsi="Times New Roman" w:cs="Times New Roman"/>
          <w:sz w:val="24"/>
          <w:szCs w:val="24"/>
        </w:rPr>
        <w:t>For this collection, there are no analysis and filings costs.</w:t>
      </w:r>
    </w:p>
    <w:p w:rsidR="00F82B8E" w:rsidP="006B437C" w14:paraId="51438554" w14:textId="77777777">
      <w:pPr>
        <w:spacing w:after="0"/>
        <w:rPr>
          <w:rFonts w:ascii="Times New Roman" w:hAnsi="Times New Roman" w:cs="Times New Roman"/>
          <w:sz w:val="24"/>
          <w:szCs w:val="24"/>
        </w:rPr>
      </w:pPr>
    </w:p>
    <w:p w:rsidR="00F82B8E" w:rsidP="006B437C" w14:paraId="265EC661" w14:textId="7541260A">
      <w:pPr>
        <w:spacing w:after="0"/>
        <w:rPr>
          <w:rFonts w:ascii="Times New Roman" w:hAnsi="Times New Roman" w:cs="Times New Roman"/>
          <w:sz w:val="24"/>
          <w:szCs w:val="24"/>
        </w:rPr>
      </w:pPr>
      <w:r w:rsidRPr="00F82B8E">
        <w:rPr>
          <w:rFonts w:ascii="Times New Roman" w:hAnsi="Times New Roman" w:cs="Times New Roman"/>
          <w:sz w:val="24"/>
          <w:szCs w:val="24"/>
        </w:rPr>
        <w:t>The PRA Administrative Cost is a Federal Cost associated with preparing, issuing, and submitting materials necessary to comply with the Paperwork Reduction Act (PRA) for rulemakings, orders, or any other vehicle used to create, modify, extend, or discontinue an information collection.  This average annual cost includes requests for extensions, all associated rulemakings, and other changes to the collection.</w:t>
      </w:r>
    </w:p>
    <w:p w:rsidR="006B437C" w:rsidRPr="00A276F5" w:rsidP="006B437C" w14:paraId="6F4DA4A9" w14:textId="77777777">
      <w:pPr>
        <w:spacing w:after="0"/>
        <w:rPr>
          <w:rFonts w:ascii="Times New Roman" w:hAnsi="Times New Roman" w:cs="Times New Roman"/>
          <w:sz w:val="24"/>
          <w:szCs w:val="24"/>
        </w:rPr>
      </w:pPr>
    </w:p>
    <w:p w:rsidR="00A276F5" w:rsidRPr="00414F32" w:rsidP="00A72E7B" w14:paraId="10B2EB6C" w14:textId="77777777">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REASONS FOR CHANGES IN BURDEN INCLUDING THE NEED FOR ANY INCREASE</w:t>
      </w:r>
    </w:p>
    <w:p w:rsidR="003316E0" w:rsidRPr="003316E0" w:rsidP="003316E0" w14:paraId="3AFE43CF" w14:textId="77777777">
      <w:pPr>
        <w:spacing w:after="0"/>
        <w:rPr>
          <w:rFonts w:ascii="Times New Roman" w:hAnsi="Times New Roman" w:cs="Times New Roman"/>
          <w:sz w:val="24"/>
          <w:szCs w:val="24"/>
        </w:rPr>
      </w:pPr>
    </w:p>
    <w:p w:rsidR="006F4640" w:rsidP="00BE7025" w14:paraId="2167566C" w14:textId="77777777">
      <w:pPr>
        <w:spacing w:after="0"/>
        <w:rPr>
          <w:rFonts w:ascii="Times New Roman" w:hAnsi="Times New Roman" w:cs="Times New Roman"/>
          <w:sz w:val="24"/>
          <w:szCs w:val="24"/>
        </w:rPr>
      </w:pPr>
      <w:r>
        <w:rPr>
          <w:rFonts w:ascii="Times New Roman" w:hAnsi="Times New Roman" w:cs="Times New Roman"/>
          <w:sz w:val="24"/>
          <w:szCs w:val="24"/>
        </w:rPr>
        <w:t>There are no program changes or changes to reporting requirements for the FERC-725X information collection.</w:t>
      </w:r>
    </w:p>
    <w:p w:rsidR="009726E7" w:rsidRPr="009726E7" w:rsidP="009726E7" w14:paraId="5FF75751" w14:textId="77777777">
      <w:pPr>
        <w:spacing w:after="0"/>
        <w:rPr>
          <w:rFonts w:ascii="Times New Roman" w:hAnsi="Times New Roman" w:cs="Times New Roman"/>
          <w:sz w:val="24"/>
          <w:szCs w:val="24"/>
        </w:rPr>
      </w:pPr>
      <w:r w:rsidRPr="009726E7">
        <w:rPr>
          <w:rFonts w:ascii="Times New Roman" w:hAnsi="Times New Roman" w:cs="Times New Roman"/>
          <w:sz w:val="24"/>
          <w:szCs w:val="24"/>
        </w:rPr>
        <w:t>The Burden responses for FERC 725X was adjusted by agency estimate due to fluctuations.</w:t>
      </w:r>
    </w:p>
    <w:p w:rsidR="009726E7" w:rsidRPr="009726E7" w:rsidP="009726E7" w14:paraId="2EDDAD19" w14:textId="77777777">
      <w:pPr>
        <w:spacing w:after="0"/>
        <w:rPr>
          <w:rFonts w:ascii="Times New Roman" w:hAnsi="Times New Roman" w:cs="Times New Roman"/>
          <w:sz w:val="24"/>
          <w:szCs w:val="24"/>
        </w:rPr>
      </w:pPr>
    </w:p>
    <w:p w:rsidR="009726E7" w:rsidRPr="009726E7" w:rsidP="009726E7" w14:paraId="0946566D" w14:textId="66F452AE">
      <w:pPr>
        <w:spacing w:after="0"/>
        <w:rPr>
          <w:rFonts w:ascii="Times New Roman" w:hAnsi="Times New Roman" w:cs="Times New Roman"/>
          <w:sz w:val="24"/>
          <w:szCs w:val="24"/>
        </w:rPr>
      </w:pPr>
      <w:r w:rsidRPr="009726E7">
        <w:rPr>
          <w:rFonts w:ascii="Times New Roman" w:hAnsi="Times New Roman" w:cs="Times New Roman"/>
          <w:sz w:val="24"/>
          <w:szCs w:val="24"/>
        </w:rPr>
        <w:t xml:space="preserve">VAR-001-5 decreased by </w:t>
      </w:r>
      <w:r w:rsidR="006F731B">
        <w:rPr>
          <w:rFonts w:ascii="Times New Roman" w:hAnsi="Times New Roman" w:cs="Times New Roman"/>
          <w:sz w:val="24"/>
          <w:szCs w:val="24"/>
        </w:rPr>
        <w:t>-</w:t>
      </w:r>
      <w:r w:rsidRPr="009726E7">
        <w:rPr>
          <w:rFonts w:ascii="Times New Roman" w:hAnsi="Times New Roman" w:cs="Times New Roman"/>
          <w:sz w:val="24"/>
          <w:szCs w:val="24"/>
        </w:rPr>
        <w:t>2 burden responses.</w:t>
      </w:r>
    </w:p>
    <w:p w:rsidR="009726E7" w:rsidRPr="009726E7" w:rsidP="009726E7" w14:paraId="6A6E4BDE" w14:textId="77777777">
      <w:pPr>
        <w:spacing w:after="0"/>
        <w:rPr>
          <w:rFonts w:ascii="Times New Roman" w:hAnsi="Times New Roman" w:cs="Times New Roman"/>
          <w:sz w:val="24"/>
          <w:szCs w:val="24"/>
        </w:rPr>
      </w:pPr>
    </w:p>
    <w:p w:rsidR="009726E7" w:rsidP="009726E7" w14:paraId="40994B25" w14:textId="6946731E">
      <w:pPr>
        <w:spacing w:after="0"/>
        <w:rPr>
          <w:rFonts w:ascii="Times New Roman" w:hAnsi="Times New Roman" w:cs="Times New Roman"/>
          <w:sz w:val="24"/>
          <w:szCs w:val="24"/>
        </w:rPr>
      </w:pPr>
      <w:r w:rsidRPr="009726E7">
        <w:rPr>
          <w:rFonts w:ascii="Times New Roman" w:hAnsi="Times New Roman" w:cs="Times New Roman"/>
          <w:sz w:val="24"/>
          <w:szCs w:val="24"/>
        </w:rPr>
        <w:t xml:space="preserve">VAR-002-4.1 decreased by </w:t>
      </w:r>
      <w:r w:rsidR="006F731B">
        <w:rPr>
          <w:rFonts w:ascii="Times New Roman" w:hAnsi="Times New Roman" w:cs="Times New Roman"/>
          <w:sz w:val="24"/>
          <w:szCs w:val="24"/>
        </w:rPr>
        <w:t>-</w:t>
      </w:r>
      <w:r w:rsidRPr="009726E7">
        <w:rPr>
          <w:rFonts w:ascii="Times New Roman" w:hAnsi="Times New Roman" w:cs="Times New Roman"/>
          <w:sz w:val="24"/>
          <w:szCs w:val="24"/>
        </w:rPr>
        <w:t>846 burden responses.</w:t>
      </w:r>
    </w:p>
    <w:p w:rsidR="006F4640" w:rsidP="00BE7025" w14:paraId="6E1A690B" w14:textId="77777777">
      <w:pPr>
        <w:spacing w:after="0"/>
        <w:rPr>
          <w:rFonts w:ascii="Times New Roman" w:hAnsi="Times New Roman" w:cs="Times New Roman"/>
          <w:sz w:val="24"/>
          <w:szCs w:val="24"/>
        </w:rPr>
      </w:pPr>
    </w:p>
    <w:p w:rsidR="000158B8" w:rsidP="00BE7025" w14:paraId="68E5D5A9" w14:textId="2BF93874">
      <w:pPr>
        <w:spacing w:after="0"/>
        <w:rPr>
          <w:rFonts w:ascii="Times New Roman" w:hAnsi="Times New Roman" w:cs="Times New Roman"/>
          <w:sz w:val="24"/>
          <w:szCs w:val="24"/>
        </w:rPr>
      </w:pPr>
      <w:r w:rsidRPr="003316E0">
        <w:rPr>
          <w:rFonts w:ascii="Times New Roman" w:hAnsi="Times New Roman" w:cs="Times New Roman"/>
          <w:sz w:val="24"/>
          <w:szCs w:val="24"/>
        </w:rPr>
        <w:t>The burden for</w:t>
      </w:r>
      <w:r>
        <w:rPr>
          <w:rFonts w:ascii="Times New Roman" w:hAnsi="Times New Roman" w:cs="Times New Roman"/>
          <w:sz w:val="24"/>
          <w:szCs w:val="24"/>
        </w:rPr>
        <w:t xml:space="preserve"> </w:t>
      </w:r>
      <w:r w:rsidR="000A49C8">
        <w:rPr>
          <w:rFonts w:ascii="Times New Roman" w:hAnsi="Times New Roman" w:cs="Times New Roman"/>
          <w:sz w:val="24"/>
          <w:szCs w:val="24"/>
        </w:rPr>
        <w:t>the FERC-725X</w:t>
      </w:r>
      <w:r w:rsidR="007B193F">
        <w:rPr>
          <w:rFonts w:ascii="Times New Roman" w:hAnsi="Times New Roman" w:cs="Times New Roman"/>
          <w:sz w:val="24"/>
          <w:szCs w:val="24"/>
        </w:rPr>
        <w:t xml:space="preserve"> </w:t>
      </w:r>
      <w:r w:rsidR="00BE7025">
        <w:rPr>
          <w:rFonts w:ascii="Times New Roman" w:hAnsi="Times New Roman" w:cs="Times New Roman"/>
          <w:sz w:val="24"/>
          <w:szCs w:val="24"/>
        </w:rPr>
        <w:t xml:space="preserve">information collection </w:t>
      </w:r>
      <w:r w:rsidR="003E1BE7">
        <w:rPr>
          <w:rFonts w:ascii="Times New Roman" w:hAnsi="Times New Roman" w:cs="Times New Roman"/>
          <w:sz w:val="24"/>
          <w:szCs w:val="24"/>
        </w:rPr>
        <w:t>has</w:t>
      </w:r>
      <w:r w:rsidR="000A49C8">
        <w:rPr>
          <w:rFonts w:ascii="Times New Roman" w:hAnsi="Times New Roman" w:cs="Times New Roman"/>
          <w:sz w:val="24"/>
          <w:szCs w:val="24"/>
        </w:rPr>
        <w:t xml:space="preserve"> </w:t>
      </w:r>
      <w:r w:rsidR="003E1BE7">
        <w:rPr>
          <w:rFonts w:ascii="Times New Roman" w:hAnsi="Times New Roman" w:cs="Times New Roman"/>
          <w:sz w:val="24"/>
          <w:szCs w:val="24"/>
        </w:rPr>
        <w:t>de</w:t>
      </w:r>
      <w:r w:rsidR="000A49C8">
        <w:rPr>
          <w:rFonts w:ascii="Times New Roman" w:hAnsi="Times New Roman" w:cs="Times New Roman"/>
          <w:sz w:val="24"/>
          <w:szCs w:val="24"/>
        </w:rPr>
        <w:t>crease</w:t>
      </w:r>
      <w:r w:rsidR="003E1BE7">
        <w:rPr>
          <w:rFonts w:ascii="Times New Roman" w:hAnsi="Times New Roman" w:cs="Times New Roman"/>
          <w:sz w:val="24"/>
          <w:szCs w:val="24"/>
        </w:rPr>
        <w:t xml:space="preserve">d in the </w:t>
      </w:r>
      <w:r w:rsidR="00025C2E">
        <w:rPr>
          <w:rFonts w:ascii="Times New Roman" w:hAnsi="Times New Roman" w:cs="Times New Roman"/>
          <w:sz w:val="24"/>
          <w:szCs w:val="24"/>
        </w:rPr>
        <w:t>number</w:t>
      </w:r>
      <w:r w:rsidR="003E1BE7">
        <w:rPr>
          <w:rFonts w:ascii="Times New Roman" w:hAnsi="Times New Roman" w:cs="Times New Roman"/>
          <w:sz w:val="24"/>
          <w:szCs w:val="24"/>
        </w:rPr>
        <w:t xml:space="preserve"> of </w:t>
      </w:r>
      <w:r w:rsidR="007E37D2">
        <w:rPr>
          <w:rFonts w:ascii="Times New Roman" w:hAnsi="Times New Roman" w:cs="Times New Roman"/>
          <w:sz w:val="24"/>
          <w:szCs w:val="24"/>
        </w:rPr>
        <w:t>entities</w:t>
      </w:r>
      <w:r w:rsidR="003E1BE7">
        <w:rPr>
          <w:rFonts w:ascii="Times New Roman" w:hAnsi="Times New Roman" w:cs="Times New Roman"/>
          <w:sz w:val="24"/>
          <w:szCs w:val="24"/>
        </w:rPr>
        <w:t xml:space="preserve"> and burden hours. There was a difference in burden hours and cost by </w:t>
      </w:r>
      <w:r w:rsidR="006F731B">
        <w:rPr>
          <w:rFonts w:ascii="Times New Roman" w:hAnsi="Times New Roman" w:cs="Times New Roman"/>
          <w:sz w:val="24"/>
          <w:szCs w:val="24"/>
        </w:rPr>
        <w:t>+17,880</w:t>
      </w:r>
      <w:r w:rsidRPr="003E1BE7" w:rsidR="003E1BE7">
        <w:rPr>
          <w:rFonts w:ascii="Times New Roman" w:hAnsi="Times New Roman" w:cs="Times New Roman"/>
          <w:sz w:val="24"/>
          <w:szCs w:val="24"/>
        </w:rPr>
        <w:t xml:space="preserve"> hours</w:t>
      </w:r>
      <w:r w:rsidR="006F731B">
        <w:rPr>
          <w:rFonts w:ascii="Times New Roman" w:hAnsi="Times New Roman" w:cs="Times New Roman"/>
          <w:sz w:val="24"/>
          <w:szCs w:val="24"/>
        </w:rPr>
        <w:t xml:space="preserve"> (adjusted the burden </w:t>
      </w:r>
      <w:r w:rsidR="009453EA">
        <w:rPr>
          <w:rFonts w:ascii="Times New Roman" w:hAnsi="Times New Roman" w:cs="Times New Roman"/>
          <w:sz w:val="24"/>
          <w:szCs w:val="24"/>
        </w:rPr>
        <w:t>per</w:t>
      </w:r>
      <w:r w:rsidR="006F731B">
        <w:rPr>
          <w:rFonts w:ascii="Times New Roman" w:hAnsi="Times New Roman" w:cs="Times New Roman"/>
          <w:sz w:val="24"/>
          <w:szCs w:val="24"/>
        </w:rPr>
        <w:t xml:space="preserve"> response</w:t>
      </w:r>
      <w:r w:rsidR="009453EA">
        <w:rPr>
          <w:rFonts w:ascii="Times New Roman" w:hAnsi="Times New Roman" w:cs="Times New Roman"/>
          <w:sz w:val="24"/>
          <w:szCs w:val="24"/>
        </w:rPr>
        <w:t xml:space="preserve"> and re</w:t>
      </w:r>
      <w:r w:rsidR="00124405">
        <w:rPr>
          <w:rFonts w:ascii="Times New Roman" w:hAnsi="Times New Roman" w:cs="Times New Roman"/>
          <w:sz w:val="24"/>
          <w:szCs w:val="24"/>
        </w:rPr>
        <w:t xml:space="preserve">duced how many times it occurs per year to </w:t>
      </w:r>
      <w:r w:rsidR="00F437D2">
        <w:rPr>
          <w:rFonts w:ascii="Times New Roman" w:hAnsi="Times New Roman" w:cs="Times New Roman"/>
          <w:sz w:val="24"/>
          <w:szCs w:val="24"/>
        </w:rPr>
        <w:t>1 for VAR-002-4.1</w:t>
      </w:r>
      <w:r w:rsidR="009453EA">
        <w:rPr>
          <w:rFonts w:ascii="Times New Roman" w:hAnsi="Times New Roman" w:cs="Times New Roman"/>
          <w:sz w:val="24"/>
          <w:szCs w:val="24"/>
        </w:rPr>
        <w:t>)</w:t>
      </w:r>
      <w:r w:rsidRPr="003E1BE7" w:rsidR="003E1BE7">
        <w:rPr>
          <w:rFonts w:ascii="Times New Roman" w:hAnsi="Times New Roman" w:cs="Times New Roman"/>
          <w:sz w:val="24"/>
          <w:szCs w:val="24"/>
        </w:rPr>
        <w:t xml:space="preserve"> </w:t>
      </w:r>
      <w:r w:rsidR="003E1BE7">
        <w:rPr>
          <w:rFonts w:ascii="Times New Roman" w:hAnsi="Times New Roman" w:cs="Times New Roman"/>
          <w:sz w:val="24"/>
          <w:szCs w:val="24"/>
        </w:rPr>
        <w:t xml:space="preserve">due to </w:t>
      </w:r>
      <w:r w:rsidR="009115AB">
        <w:rPr>
          <w:rFonts w:ascii="Times New Roman" w:hAnsi="Times New Roman" w:cs="Times New Roman"/>
          <w:sz w:val="24"/>
          <w:szCs w:val="24"/>
        </w:rPr>
        <w:t>normal industry fluctuations</w:t>
      </w:r>
      <w:r w:rsidR="006F4640">
        <w:rPr>
          <w:rFonts w:ascii="Times New Roman" w:hAnsi="Times New Roman" w:cs="Times New Roman"/>
          <w:sz w:val="24"/>
          <w:szCs w:val="24"/>
        </w:rPr>
        <w:t xml:space="preserve"> and correction of an accounting error described below</w:t>
      </w:r>
      <w:r w:rsidR="000A49C8">
        <w:rPr>
          <w:rFonts w:ascii="Times New Roman" w:hAnsi="Times New Roman" w:cs="Times New Roman"/>
          <w:sz w:val="24"/>
          <w:szCs w:val="24"/>
        </w:rPr>
        <w:t>.</w:t>
      </w:r>
      <w:r w:rsidR="009115AB">
        <w:rPr>
          <w:rFonts w:ascii="Times New Roman" w:hAnsi="Times New Roman" w:cs="Times New Roman"/>
          <w:sz w:val="24"/>
          <w:szCs w:val="24"/>
        </w:rPr>
        <w:t xml:space="preserve">  These </w:t>
      </w:r>
      <w:r w:rsidR="006F4640">
        <w:rPr>
          <w:rFonts w:ascii="Times New Roman" w:hAnsi="Times New Roman" w:cs="Times New Roman"/>
          <w:sz w:val="24"/>
          <w:szCs w:val="24"/>
        </w:rPr>
        <w:t xml:space="preserve">industry </w:t>
      </w:r>
      <w:r w:rsidR="009115AB">
        <w:rPr>
          <w:rFonts w:ascii="Times New Roman" w:hAnsi="Times New Roman" w:cs="Times New Roman"/>
          <w:sz w:val="24"/>
          <w:szCs w:val="24"/>
        </w:rPr>
        <w:t xml:space="preserve">fluctuations (e.g. companies merging/splitting, companies entering or leaving the industry) caused the number of respondents </w:t>
      </w:r>
      <w:r w:rsidR="00F437D2">
        <w:rPr>
          <w:rFonts w:ascii="Times New Roman" w:hAnsi="Times New Roman" w:cs="Times New Roman"/>
          <w:sz w:val="24"/>
          <w:szCs w:val="24"/>
        </w:rPr>
        <w:t xml:space="preserve">to decrease </w:t>
      </w:r>
      <w:r w:rsidR="009115AB">
        <w:rPr>
          <w:rFonts w:ascii="Times New Roman" w:hAnsi="Times New Roman" w:cs="Times New Roman"/>
          <w:sz w:val="24"/>
          <w:szCs w:val="24"/>
        </w:rPr>
        <w:t xml:space="preserve">and their associated annual burden to </w:t>
      </w:r>
      <w:r w:rsidR="00F437D2">
        <w:rPr>
          <w:rFonts w:ascii="Times New Roman" w:hAnsi="Times New Roman" w:cs="Times New Roman"/>
          <w:sz w:val="24"/>
          <w:szCs w:val="24"/>
        </w:rPr>
        <w:t>in</w:t>
      </w:r>
      <w:r w:rsidR="009115AB">
        <w:rPr>
          <w:rFonts w:ascii="Times New Roman" w:hAnsi="Times New Roman" w:cs="Times New Roman"/>
          <w:sz w:val="24"/>
          <w:szCs w:val="24"/>
        </w:rPr>
        <w:t>crease.</w:t>
      </w:r>
      <w:r w:rsidR="000A49C8">
        <w:rPr>
          <w:rFonts w:ascii="Times New Roman" w:hAnsi="Times New Roman" w:cs="Times New Roman"/>
          <w:sz w:val="24"/>
          <w:szCs w:val="24"/>
        </w:rPr>
        <w:t xml:space="preserve">  </w:t>
      </w:r>
    </w:p>
    <w:p w:rsidR="00D76508" w:rsidP="003316E0" w14:paraId="0599760A" w14:textId="77777777">
      <w:pPr>
        <w:spacing w:after="0"/>
        <w:rPr>
          <w:rFonts w:ascii="Times New Roman" w:hAnsi="Times New Roman" w:cs="Times New Roman"/>
          <w:sz w:val="24"/>
          <w:szCs w:val="24"/>
        </w:rPr>
      </w:pP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9"/>
        <w:gridCol w:w="1779"/>
        <w:gridCol w:w="1959"/>
        <w:gridCol w:w="1683"/>
        <w:gridCol w:w="1357"/>
      </w:tblGrid>
      <w:tr w14:paraId="092CED9A" w14:textId="77777777" w:rsidTr="002C63E1">
        <w:tblPrEx>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589" w:type="dxa"/>
            <w:shd w:val="clear" w:color="auto" w:fill="D9D9D9"/>
            <w:vAlign w:val="bottom"/>
          </w:tcPr>
          <w:p w:rsidR="003316E0" w:rsidRPr="003316E0" w:rsidP="003316E0" w14:paraId="6B520AF6" w14:textId="61BA4AF9">
            <w:pPr>
              <w:spacing w:after="0"/>
              <w:rPr>
                <w:rFonts w:ascii="Times New Roman" w:hAnsi="Times New Roman" w:cs="Times New Roman"/>
                <w:b/>
                <w:sz w:val="24"/>
                <w:szCs w:val="24"/>
              </w:rPr>
            </w:pPr>
            <w:r>
              <w:rPr>
                <w:rFonts w:ascii="Times New Roman" w:hAnsi="Times New Roman" w:cs="Times New Roman"/>
                <w:b/>
                <w:sz w:val="24"/>
                <w:szCs w:val="24"/>
              </w:rPr>
              <w:t>FERC-725X</w:t>
            </w:r>
          </w:p>
        </w:tc>
        <w:tc>
          <w:tcPr>
            <w:tcW w:w="1779" w:type="dxa"/>
            <w:shd w:val="clear" w:color="auto" w:fill="D9D9D9"/>
            <w:vAlign w:val="bottom"/>
          </w:tcPr>
          <w:p w:rsidR="003316E0" w:rsidRPr="003316E0" w:rsidP="003316E0" w14:paraId="457B7B73" w14:textId="77777777">
            <w:pPr>
              <w:spacing w:after="0"/>
              <w:rPr>
                <w:rFonts w:ascii="Times New Roman" w:hAnsi="Times New Roman" w:cs="Times New Roman"/>
                <w:b/>
                <w:sz w:val="24"/>
                <w:szCs w:val="24"/>
              </w:rPr>
            </w:pPr>
            <w:r w:rsidRPr="003316E0">
              <w:rPr>
                <w:rFonts w:ascii="Times New Roman" w:hAnsi="Times New Roman" w:cs="Times New Roman"/>
                <w:b/>
                <w:sz w:val="24"/>
                <w:szCs w:val="24"/>
              </w:rPr>
              <w:t>Total Request</w:t>
            </w:r>
          </w:p>
        </w:tc>
        <w:tc>
          <w:tcPr>
            <w:tcW w:w="1959" w:type="dxa"/>
            <w:shd w:val="clear" w:color="auto" w:fill="D9D9D9"/>
            <w:vAlign w:val="bottom"/>
          </w:tcPr>
          <w:p w:rsidR="003316E0" w:rsidRPr="003316E0" w:rsidP="003316E0" w14:paraId="2D3BBCD3" w14:textId="77777777">
            <w:pPr>
              <w:spacing w:after="0"/>
              <w:rPr>
                <w:rFonts w:ascii="Times New Roman" w:hAnsi="Times New Roman" w:cs="Times New Roman"/>
                <w:b/>
                <w:sz w:val="24"/>
                <w:szCs w:val="24"/>
              </w:rPr>
            </w:pPr>
            <w:r w:rsidRPr="003316E0">
              <w:rPr>
                <w:rFonts w:ascii="Times New Roman" w:hAnsi="Times New Roman" w:cs="Times New Roman"/>
                <w:b/>
                <w:sz w:val="24"/>
                <w:szCs w:val="24"/>
              </w:rPr>
              <w:t>Previously Approved</w:t>
            </w:r>
          </w:p>
        </w:tc>
        <w:tc>
          <w:tcPr>
            <w:tcW w:w="1683" w:type="dxa"/>
            <w:shd w:val="clear" w:color="auto" w:fill="D9D9D9"/>
            <w:vAlign w:val="bottom"/>
          </w:tcPr>
          <w:p w:rsidR="003316E0" w:rsidRPr="003316E0" w:rsidP="003316E0" w14:paraId="67C7C085" w14:textId="77777777">
            <w:pPr>
              <w:spacing w:after="0"/>
              <w:rPr>
                <w:rFonts w:ascii="Times New Roman" w:hAnsi="Times New Roman" w:cs="Times New Roman"/>
                <w:b/>
                <w:sz w:val="24"/>
                <w:szCs w:val="24"/>
              </w:rPr>
            </w:pPr>
            <w:r w:rsidRPr="003316E0">
              <w:rPr>
                <w:rFonts w:ascii="Times New Roman" w:hAnsi="Times New Roman" w:cs="Times New Roman"/>
                <w:b/>
                <w:sz w:val="24"/>
                <w:szCs w:val="24"/>
              </w:rPr>
              <w:t>Change due to Adjustment in Estimate</w:t>
            </w:r>
          </w:p>
        </w:tc>
        <w:tc>
          <w:tcPr>
            <w:tcW w:w="1357" w:type="dxa"/>
            <w:shd w:val="clear" w:color="auto" w:fill="D9D9D9"/>
            <w:vAlign w:val="bottom"/>
          </w:tcPr>
          <w:p w:rsidR="003316E0" w:rsidRPr="003316E0" w:rsidP="003316E0" w14:paraId="75318E4C" w14:textId="77777777">
            <w:pPr>
              <w:spacing w:after="0"/>
              <w:rPr>
                <w:rFonts w:ascii="Times New Roman" w:hAnsi="Times New Roman" w:cs="Times New Roman"/>
                <w:b/>
                <w:sz w:val="24"/>
                <w:szCs w:val="24"/>
              </w:rPr>
            </w:pPr>
            <w:r w:rsidRPr="003316E0">
              <w:rPr>
                <w:rFonts w:ascii="Times New Roman" w:hAnsi="Times New Roman" w:cs="Times New Roman"/>
                <w:b/>
                <w:sz w:val="24"/>
                <w:szCs w:val="24"/>
              </w:rPr>
              <w:t>Change Due to Agency Discretion</w:t>
            </w:r>
          </w:p>
        </w:tc>
      </w:tr>
      <w:tr w14:paraId="35507E46" w14:textId="77777777" w:rsidTr="002C63E1">
        <w:tblPrEx>
          <w:tblW w:w="9367" w:type="dxa"/>
          <w:tblInd w:w="108" w:type="dxa"/>
          <w:tblLook w:val="01E0"/>
        </w:tblPrEx>
        <w:trPr>
          <w:trHeight w:val="591"/>
        </w:trPr>
        <w:tc>
          <w:tcPr>
            <w:tcW w:w="2589" w:type="dxa"/>
          </w:tcPr>
          <w:p w:rsidR="003316E0" w:rsidRPr="003316E0" w:rsidP="003316E0" w14:paraId="1BA3E751" w14:textId="77777777">
            <w:pPr>
              <w:spacing w:after="0"/>
              <w:rPr>
                <w:rFonts w:ascii="Times New Roman" w:hAnsi="Times New Roman" w:cs="Times New Roman"/>
                <w:sz w:val="24"/>
                <w:szCs w:val="24"/>
              </w:rPr>
            </w:pPr>
            <w:r w:rsidRPr="003316E0">
              <w:rPr>
                <w:rFonts w:ascii="Times New Roman" w:hAnsi="Times New Roman" w:cs="Times New Roman"/>
                <w:sz w:val="24"/>
                <w:szCs w:val="24"/>
              </w:rPr>
              <w:t>Annual Number of Responses</w:t>
            </w:r>
          </w:p>
        </w:tc>
        <w:tc>
          <w:tcPr>
            <w:tcW w:w="1779" w:type="dxa"/>
            <w:vAlign w:val="center"/>
          </w:tcPr>
          <w:p w:rsidR="003316E0" w:rsidRPr="003316E0" w:rsidP="00007B68" w14:paraId="79EDD501" w14:textId="0A53387C">
            <w:pPr>
              <w:spacing w:after="0"/>
              <w:jc w:val="right"/>
              <w:rPr>
                <w:rFonts w:ascii="Times New Roman" w:hAnsi="Times New Roman" w:cs="Times New Roman"/>
                <w:sz w:val="24"/>
                <w:szCs w:val="24"/>
              </w:rPr>
            </w:pPr>
            <w:r>
              <w:rPr>
                <w:rFonts w:ascii="Times New Roman" w:hAnsi="Times New Roman" w:cs="Times New Roman"/>
                <w:sz w:val="24"/>
                <w:szCs w:val="24"/>
              </w:rPr>
              <w:t>1,193</w:t>
            </w:r>
          </w:p>
        </w:tc>
        <w:tc>
          <w:tcPr>
            <w:tcW w:w="1959" w:type="dxa"/>
            <w:vAlign w:val="center"/>
          </w:tcPr>
          <w:p w:rsidR="003316E0" w:rsidRPr="003316E0" w:rsidP="00007B68" w14:paraId="34118B9D" w14:textId="128FD302">
            <w:pPr>
              <w:spacing w:after="0"/>
              <w:jc w:val="right"/>
              <w:rPr>
                <w:rFonts w:ascii="Times New Roman" w:hAnsi="Times New Roman" w:cs="Times New Roman"/>
                <w:sz w:val="24"/>
                <w:szCs w:val="24"/>
              </w:rPr>
            </w:pPr>
            <w:r>
              <w:rPr>
                <w:rFonts w:ascii="Times New Roman" w:hAnsi="Times New Roman" w:cs="Times New Roman"/>
                <w:sz w:val="24"/>
                <w:szCs w:val="24"/>
              </w:rPr>
              <w:t>2</w:t>
            </w:r>
            <w:r w:rsidR="007517C5">
              <w:rPr>
                <w:rFonts w:ascii="Times New Roman" w:hAnsi="Times New Roman" w:cs="Times New Roman"/>
                <w:sz w:val="24"/>
                <w:szCs w:val="24"/>
              </w:rPr>
              <w:t>,</w:t>
            </w:r>
            <w:r>
              <w:rPr>
                <w:rFonts w:ascii="Times New Roman" w:hAnsi="Times New Roman" w:cs="Times New Roman"/>
                <w:sz w:val="24"/>
                <w:szCs w:val="24"/>
              </w:rPr>
              <w:t>0</w:t>
            </w:r>
            <w:r w:rsidR="00E75165">
              <w:rPr>
                <w:rFonts w:ascii="Times New Roman" w:hAnsi="Times New Roman" w:cs="Times New Roman"/>
                <w:sz w:val="24"/>
                <w:szCs w:val="24"/>
              </w:rPr>
              <w:t>41</w:t>
            </w:r>
          </w:p>
        </w:tc>
        <w:tc>
          <w:tcPr>
            <w:tcW w:w="1683" w:type="dxa"/>
            <w:vAlign w:val="center"/>
          </w:tcPr>
          <w:p w:rsidR="003316E0" w:rsidRPr="003316E0" w:rsidP="00007B68" w14:paraId="2025D071" w14:textId="62337189">
            <w:pPr>
              <w:spacing w:after="0"/>
              <w:jc w:val="right"/>
              <w:rPr>
                <w:rFonts w:ascii="Times New Roman" w:hAnsi="Times New Roman" w:cs="Times New Roman"/>
                <w:sz w:val="24"/>
                <w:szCs w:val="24"/>
              </w:rPr>
            </w:pPr>
            <w:r>
              <w:rPr>
                <w:rFonts w:ascii="Times New Roman" w:hAnsi="Times New Roman" w:cs="Times New Roman"/>
                <w:sz w:val="24"/>
                <w:szCs w:val="24"/>
              </w:rPr>
              <w:t>-</w:t>
            </w:r>
            <w:r w:rsidR="00E27FB2">
              <w:rPr>
                <w:rFonts w:ascii="Times New Roman" w:hAnsi="Times New Roman" w:cs="Times New Roman"/>
                <w:sz w:val="24"/>
                <w:szCs w:val="24"/>
              </w:rPr>
              <w:t>848</w:t>
            </w:r>
          </w:p>
        </w:tc>
        <w:tc>
          <w:tcPr>
            <w:tcW w:w="1357" w:type="dxa"/>
            <w:vAlign w:val="center"/>
          </w:tcPr>
          <w:p w:rsidR="003316E0" w:rsidRPr="003316E0" w:rsidP="00007B68" w14:paraId="65BA40B0" w14:textId="0C30DE80">
            <w:pPr>
              <w:spacing w:after="0"/>
              <w:jc w:val="right"/>
              <w:rPr>
                <w:rFonts w:ascii="Times New Roman" w:hAnsi="Times New Roman" w:cs="Times New Roman"/>
                <w:sz w:val="24"/>
                <w:szCs w:val="24"/>
              </w:rPr>
            </w:pPr>
            <w:r>
              <w:rPr>
                <w:rFonts w:ascii="Times New Roman" w:hAnsi="Times New Roman" w:cs="Times New Roman"/>
                <w:sz w:val="24"/>
                <w:szCs w:val="24"/>
              </w:rPr>
              <w:t>0</w:t>
            </w:r>
          </w:p>
        </w:tc>
      </w:tr>
      <w:tr w14:paraId="782CF625" w14:textId="77777777" w:rsidTr="002C63E1">
        <w:tblPrEx>
          <w:tblW w:w="9367" w:type="dxa"/>
          <w:tblInd w:w="108" w:type="dxa"/>
          <w:tblLook w:val="01E0"/>
        </w:tblPrEx>
        <w:trPr>
          <w:trHeight w:val="575"/>
        </w:trPr>
        <w:tc>
          <w:tcPr>
            <w:tcW w:w="2589" w:type="dxa"/>
          </w:tcPr>
          <w:p w:rsidR="003316E0" w:rsidRPr="003316E0" w:rsidP="003316E0" w14:paraId="6C091134" w14:textId="3E97752B">
            <w:pPr>
              <w:spacing w:after="0"/>
              <w:rPr>
                <w:rFonts w:ascii="Times New Roman" w:hAnsi="Times New Roman" w:cs="Times New Roman"/>
                <w:sz w:val="24"/>
                <w:szCs w:val="24"/>
              </w:rPr>
            </w:pPr>
            <w:r w:rsidRPr="003316E0">
              <w:rPr>
                <w:rFonts w:ascii="Times New Roman" w:hAnsi="Times New Roman" w:cs="Times New Roman"/>
                <w:sz w:val="24"/>
                <w:szCs w:val="24"/>
              </w:rPr>
              <w:t>Annual Time Burden (Hr</w:t>
            </w:r>
            <w:r w:rsidR="00D47528">
              <w:rPr>
                <w:rFonts w:ascii="Times New Roman" w:hAnsi="Times New Roman" w:cs="Times New Roman"/>
                <w:sz w:val="24"/>
                <w:szCs w:val="24"/>
              </w:rPr>
              <w:t>.</w:t>
            </w:r>
            <w:r w:rsidRPr="003316E0">
              <w:rPr>
                <w:rFonts w:ascii="Times New Roman" w:hAnsi="Times New Roman" w:cs="Times New Roman"/>
                <w:sz w:val="24"/>
                <w:szCs w:val="24"/>
              </w:rPr>
              <w:t>)</w:t>
            </w:r>
          </w:p>
        </w:tc>
        <w:tc>
          <w:tcPr>
            <w:tcW w:w="1779" w:type="dxa"/>
            <w:vAlign w:val="center"/>
          </w:tcPr>
          <w:p w:rsidR="003316E0" w:rsidRPr="003316E0" w:rsidP="00007B68" w14:paraId="32E5E690" w14:textId="7B8F4582">
            <w:pPr>
              <w:spacing w:after="0"/>
              <w:jc w:val="right"/>
              <w:rPr>
                <w:rFonts w:ascii="Times New Roman" w:hAnsi="Times New Roman" w:cs="Times New Roman"/>
                <w:sz w:val="24"/>
                <w:szCs w:val="24"/>
              </w:rPr>
            </w:pPr>
            <w:r>
              <w:rPr>
                <w:rFonts w:ascii="Times New Roman" w:hAnsi="Times New Roman" w:cs="Times New Roman"/>
                <w:sz w:val="24"/>
                <w:szCs w:val="24"/>
              </w:rPr>
              <w:t>2</w:t>
            </w:r>
            <w:r w:rsidR="00E75165">
              <w:rPr>
                <w:rFonts w:ascii="Times New Roman" w:hAnsi="Times New Roman" w:cs="Times New Roman"/>
                <w:sz w:val="24"/>
                <w:szCs w:val="24"/>
              </w:rPr>
              <w:t>32,000</w:t>
            </w:r>
          </w:p>
        </w:tc>
        <w:tc>
          <w:tcPr>
            <w:tcW w:w="1959" w:type="dxa"/>
            <w:vAlign w:val="center"/>
          </w:tcPr>
          <w:p w:rsidR="003316E0" w:rsidRPr="003316E0" w:rsidP="00007B68" w14:paraId="38CAE0BB" w14:textId="11BDB675">
            <w:pPr>
              <w:spacing w:after="0"/>
              <w:jc w:val="right"/>
              <w:rPr>
                <w:rFonts w:ascii="Times New Roman" w:hAnsi="Times New Roman" w:cs="Times New Roman"/>
                <w:sz w:val="24"/>
                <w:szCs w:val="24"/>
              </w:rPr>
            </w:pPr>
            <w:r>
              <w:rPr>
                <w:rFonts w:ascii="Times New Roman" w:hAnsi="Times New Roman" w:cs="Times New Roman"/>
                <w:sz w:val="24"/>
                <w:szCs w:val="24"/>
              </w:rPr>
              <w:t>21</w:t>
            </w:r>
            <w:r w:rsidR="00E75165">
              <w:rPr>
                <w:rFonts w:ascii="Times New Roman" w:hAnsi="Times New Roman" w:cs="Times New Roman"/>
                <w:sz w:val="24"/>
                <w:szCs w:val="24"/>
              </w:rPr>
              <w:t>4</w:t>
            </w:r>
            <w:r>
              <w:rPr>
                <w:rFonts w:ascii="Times New Roman" w:hAnsi="Times New Roman" w:cs="Times New Roman"/>
                <w:sz w:val="24"/>
                <w:szCs w:val="24"/>
              </w:rPr>
              <w:t>,</w:t>
            </w:r>
            <w:r w:rsidR="00E75165">
              <w:rPr>
                <w:rFonts w:ascii="Times New Roman" w:hAnsi="Times New Roman" w:cs="Times New Roman"/>
                <w:sz w:val="24"/>
                <w:szCs w:val="24"/>
              </w:rPr>
              <w:t>120</w:t>
            </w:r>
          </w:p>
        </w:tc>
        <w:tc>
          <w:tcPr>
            <w:tcW w:w="1683" w:type="dxa"/>
            <w:vAlign w:val="center"/>
          </w:tcPr>
          <w:p w:rsidR="003316E0" w:rsidRPr="003316E0" w:rsidP="00007B68" w14:paraId="5A1C252C" w14:textId="701599DC">
            <w:pPr>
              <w:spacing w:after="0"/>
              <w:jc w:val="right"/>
              <w:rPr>
                <w:rFonts w:ascii="Times New Roman" w:hAnsi="Times New Roman" w:cs="Times New Roman"/>
                <w:sz w:val="24"/>
                <w:szCs w:val="24"/>
              </w:rPr>
            </w:pPr>
            <w:r>
              <w:rPr>
                <w:rFonts w:ascii="Times New Roman" w:hAnsi="Times New Roman" w:cs="Times New Roman"/>
                <w:sz w:val="24"/>
                <w:szCs w:val="24"/>
              </w:rPr>
              <w:t>+17,880</w:t>
            </w:r>
          </w:p>
        </w:tc>
        <w:tc>
          <w:tcPr>
            <w:tcW w:w="1357" w:type="dxa"/>
            <w:vAlign w:val="center"/>
          </w:tcPr>
          <w:p w:rsidR="003316E0" w:rsidRPr="003316E0" w:rsidP="00007B68" w14:paraId="04CAEE84" w14:textId="2C093132">
            <w:pPr>
              <w:spacing w:after="0"/>
              <w:jc w:val="right"/>
              <w:rPr>
                <w:rFonts w:ascii="Times New Roman" w:hAnsi="Times New Roman" w:cs="Times New Roman"/>
                <w:sz w:val="24"/>
                <w:szCs w:val="24"/>
              </w:rPr>
            </w:pPr>
            <w:r>
              <w:rPr>
                <w:rFonts w:ascii="Times New Roman" w:hAnsi="Times New Roman" w:cs="Times New Roman"/>
                <w:sz w:val="24"/>
                <w:szCs w:val="24"/>
              </w:rPr>
              <w:t>0</w:t>
            </w:r>
          </w:p>
        </w:tc>
      </w:tr>
      <w:tr w14:paraId="568E6D4A" w14:textId="77777777" w:rsidTr="002C63E1">
        <w:tblPrEx>
          <w:tblW w:w="9367" w:type="dxa"/>
          <w:tblInd w:w="108" w:type="dxa"/>
          <w:tblLook w:val="01E0"/>
        </w:tblPrEx>
        <w:trPr>
          <w:trHeight w:val="295"/>
        </w:trPr>
        <w:tc>
          <w:tcPr>
            <w:tcW w:w="2589" w:type="dxa"/>
          </w:tcPr>
          <w:p w:rsidR="003316E0" w:rsidRPr="003316E0" w:rsidP="003316E0" w14:paraId="6FEBF27C" w14:textId="77777777">
            <w:pPr>
              <w:spacing w:after="0"/>
              <w:rPr>
                <w:rFonts w:ascii="Times New Roman" w:hAnsi="Times New Roman" w:cs="Times New Roman"/>
                <w:sz w:val="24"/>
                <w:szCs w:val="24"/>
              </w:rPr>
            </w:pPr>
            <w:r w:rsidRPr="003316E0">
              <w:rPr>
                <w:rFonts w:ascii="Times New Roman" w:hAnsi="Times New Roman" w:cs="Times New Roman"/>
                <w:sz w:val="24"/>
                <w:szCs w:val="24"/>
              </w:rPr>
              <w:t>Annual Cost Burden ($)</w:t>
            </w:r>
          </w:p>
        </w:tc>
        <w:tc>
          <w:tcPr>
            <w:tcW w:w="1779" w:type="dxa"/>
            <w:vAlign w:val="center"/>
          </w:tcPr>
          <w:p w:rsidR="003316E0" w:rsidRPr="003316E0" w:rsidP="00007B68" w14:paraId="49C2616D" w14:textId="77777777">
            <w:pPr>
              <w:spacing w:after="0"/>
              <w:jc w:val="right"/>
              <w:rPr>
                <w:rFonts w:ascii="Times New Roman" w:hAnsi="Times New Roman" w:cs="Times New Roman"/>
                <w:sz w:val="24"/>
                <w:szCs w:val="24"/>
              </w:rPr>
            </w:pPr>
            <w:r w:rsidRPr="003316E0">
              <w:rPr>
                <w:rFonts w:ascii="Times New Roman" w:hAnsi="Times New Roman" w:cs="Times New Roman"/>
                <w:sz w:val="24"/>
                <w:szCs w:val="24"/>
              </w:rPr>
              <w:t>0</w:t>
            </w:r>
          </w:p>
        </w:tc>
        <w:tc>
          <w:tcPr>
            <w:tcW w:w="1959" w:type="dxa"/>
            <w:vAlign w:val="center"/>
          </w:tcPr>
          <w:p w:rsidR="003316E0" w:rsidRPr="003316E0" w:rsidP="00007B68" w14:paraId="41207F78" w14:textId="77777777">
            <w:pPr>
              <w:spacing w:after="0"/>
              <w:jc w:val="right"/>
              <w:rPr>
                <w:rFonts w:ascii="Times New Roman" w:hAnsi="Times New Roman" w:cs="Times New Roman"/>
                <w:sz w:val="24"/>
                <w:szCs w:val="24"/>
              </w:rPr>
            </w:pPr>
            <w:r w:rsidRPr="003316E0">
              <w:rPr>
                <w:rFonts w:ascii="Times New Roman" w:hAnsi="Times New Roman" w:cs="Times New Roman"/>
                <w:sz w:val="24"/>
                <w:szCs w:val="24"/>
              </w:rPr>
              <w:t>0</w:t>
            </w:r>
          </w:p>
        </w:tc>
        <w:tc>
          <w:tcPr>
            <w:tcW w:w="1683" w:type="dxa"/>
            <w:vAlign w:val="center"/>
          </w:tcPr>
          <w:p w:rsidR="003316E0" w:rsidRPr="003316E0" w:rsidP="00007B68" w14:paraId="16C6F583" w14:textId="77777777">
            <w:pPr>
              <w:spacing w:after="0"/>
              <w:jc w:val="right"/>
              <w:rPr>
                <w:rFonts w:ascii="Times New Roman" w:hAnsi="Times New Roman" w:cs="Times New Roman"/>
                <w:sz w:val="24"/>
                <w:szCs w:val="24"/>
              </w:rPr>
            </w:pPr>
            <w:r w:rsidRPr="003316E0">
              <w:rPr>
                <w:rFonts w:ascii="Times New Roman" w:hAnsi="Times New Roman" w:cs="Times New Roman"/>
                <w:sz w:val="24"/>
                <w:szCs w:val="24"/>
              </w:rPr>
              <w:t>0</w:t>
            </w:r>
          </w:p>
        </w:tc>
        <w:tc>
          <w:tcPr>
            <w:tcW w:w="1357" w:type="dxa"/>
            <w:vAlign w:val="center"/>
          </w:tcPr>
          <w:p w:rsidR="003316E0" w:rsidRPr="003316E0" w:rsidP="00007B68" w14:paraId="69C5710A" w14:textId="77777777">
            <w:pPr>
              <w:spacing w:after="0"/>
              <w:jc w:val="right"/>
              <w:rPr>
                <w:rFonts w:ascii="Times New Roman" w:hAnsi="Times New Roman" w:cs="Times New Roman"/>
                <w:sz w:val="24"/>
                <w:szCs w:val="24"/>
              </w:rPr>
            </w:pPr>
            <w:r w:rsidRPr="003316E0">
              <w:rPr>
                <w:rFonts w:ascii="Times New Roman" w:hAnsi="Times New Roman" w:cs="Times New Roman"/>
                <w:sz w:val="24"/>
                <w:szCs w:val="24"/>
              </w:rPr>
              <w:t>0</w:t>
            </w:r>
          </w:p>
        </w:tc>
      </w:tr>
    </w:tbl>
    <w:p w:rsidR="003316E0" w:rsidP="003316E0" w14:paraId="310395DD" w14:textId="77777777">
      <w:pPr>
        <w:spacing w:after="0"/>
        <w:rPr>
          <w:rFonts w:ascii="Times New Roman" w:hAnsi="Times New Roman" w:cs="Times New Roman"/>
          <w:sz w:val="24"/>
          <w:szCs w:val="24"/>
        </w:rPr>
      </w:pPr>
    </w:p>
    <w:p w:rsidR="003316E0" w:rsidRPr="00A276F5" w:rsidP="003316E0" w14:paraId="7198FAED" w14:textId="77777777">
      <w:pPr>
        <w:spacing w:after="0"/>
        <w:rPr>
          <w:rFonts w:ascii="Times New Roman" w:hAnsi="Times New Roman" w:cs="Times New Roman"/>
          <w:sz w:val="24"/>
          <w:szCs w:val="24"/>
        </w:rPr>
      </w:pPr>
    </w:p>
    <w:p w:rsidR="00A276F5" w:rsidRPr="00414F32" w:rsidP="00A72E7B" w14:paraId="14DF466B" w14:textId="77777777">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TIME SCHEDULE FOR PUBLICATION OF DATA</w:t>
      </w:r>
    </w:p>
    <w:p w:rsidR="00414F32" w:rsidP="00414F32" w14:paraId="549D3523" w14:textId="77777777">
      <w:pPr>
        <w:spacing w:after="0"/>
        <w:rPr>
          <w:rFonts w:ascii="Times New Roman" w:hAnsi="Times New Roman" w:cs="Times New Roman"/>
          <w:sz w:val="24"/>
          <w:szCs w:val="24"/>
        </w:rPr>
      </w:pPr>
    </w:p>
    <w:p w:rsidR="00414F32" w:rsidP="00414F32" w14:paraId="2E0C5762" w14:textId="3A06D1F2">
      <w:pPr>
        <w:spacing w:after="0"/>
        <w:rPr>
          <w:rFonts w:ascii="Times New Roman" w:hAnsi="Times New Roman" w:cs="Times New Roman"/>
          <w:sz w:val="24"/>
          <w:szCs w:val="24"/>
        </w:rPr>
      </w:pPr>
      <w:r>
        <w:rPr>
          <w:rFonts w:ascii="Times New Roman" w:hAnsi="Times New Roman" w:cs="Times New Roman"/>
          <w:sz w:val="24"/>
          <w:szCs w:val="24"/>
        </w:rPr>
        <w:t>FERC does not publish any data associated with th</w:t>
      </w:r>
      <w:r w:rsidR="00D47528">
        <w:rPr>
          <w:rFonts w:ascii="Times New Roman" w:hAnsi="Times New Roman" w:cs="Times New Roman"/>
          <w:sz w:val="24"/>
          <w:szCs w:val="24"/>
        </w:rPr>
        <w:t>i</w:t>
      </w:r>
      <w:r>
        <w:rPr>
          <w:rFonts w:ascii="Times New Roman" w:hAnsi="Times New Roman" w:cs="Times New Roman"/>
          <w:sz w:val="24"/>
          <w:szCs w:val="24"/>
        </w:rPr>
        <w:t>s collection.</w:t>
      </w:r>
    </w:p>
    <w:p w:rsidR="00197A36" w:rsidRPr="00414F32" w:rsidP="00414F32" w14:paraId="2A811203" w14:textId="77777777">
      <w:pPr>
        <w:spacing w:after="0"/>
        <w:rPr>
          <w:rFonts w:ascii="Times New Roman" w:hAnsi="Times New Roman" w:cs="Times New Roman"/>
          <w:sz w:val="24"/>
          <w:szCs w:val="24"/>
        </w:rPr>
      </w:pPr>
    </w:p>
    <w:p w:rsidR="00414F32" w:rsidRPr="00414F32" w:rsidP="00A72E7B" w14:paraId="349CB48A" w14:textId="77777777">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DISPLAY OF EXPIRATION DATE</w:t>
      </w:r>
    </w:p>
    <w:p w:rsidR="00414F32" w:rsidP="00414F32" w14:paraId="7AC6D57D" w14:textId="77777777">
      <w:pPr>
        <w:spacing w:after="0"/>
        <w:rPr>
          <w:rFonts w:ascii="Times New Roman" w:hAnsi="Times New Roman" w:cs="Times New Roman"/>
          <w:sz w:val="24"/>
          <w:szCs w:val="24"/>
        </w:rPr>
      </w:pPr>
    </w:p>
    <w:p w:rsidR="00313D4E" w:rsidRPr="00313D4E" w:rsidP="00313D4E" w14:paraId="343E2E85" w14:textId="446DECEA">
      <w:pPr>
        <w:spacing w:after="0" w:line="240" w:lineRule="auto"/>
        <w:rPr>
          <w:rFonts w:ascii="Times New Roman" w:eastAsia="Calibri" w:hAnsi="Times New Roman" w:cs="Times New Roman"/>
          <w:sz w:val="24"/>
          <w:szCs w:val="24"/>
        </w:rPr>
      </w:pPr>
      <w:r w:rsidRPr="00313D4E">
        <w:rPr>
          <w:rFonts w:ascii="Times New Roman" w:eastAsia="Calibri" w:hAnsi="Times New Roman" w:cs="Times New Roman"/>
          <w:sz w:val="24"/>
          <w:szCs w:val="24"/>
        </w:rPr>
        <w:t xml:space="preserve">The PRA information (including expiration dates and OMB Control Nos.) is posted at </w:t>
      </w:r>
      <w:hyperlink r:id="rId9" w:history="1">
        <w:r w:rsidRPr="006116B9" w:rsidR="007B34EB">
          <w:rPr>
            <w:rStyle w:val="Hyperlink"/>
            <w:rFonts w:ascii="Times New Roman" w:hAnsi="Times New Roman" w:cs="Times New Roman"/>
          </w:rPr>
          <w:t>https://www.ferc.gov/enforcement-legal/legal/information-collections</w:t>
        </w:r>
      </w:hyperlink>
      <w:r w:rsidRPr="006116B9" w:rsidR="007B34EB">
        <w:rPr>
          <w:rFonts w:ascii="Times New Roman" w:hAnsi="Times New Roman" w:cs="Times New Roman"/>
        </w:rPr>
        <w:t xml:space="preserve"> </w:t>
      </w:r>
    </w:p>
    <w:p w:rsidR="00197A36" w:rsidRPr="00414F32" w:rsidP="00414F32" w14:paraId="515C9511" w14:textId="77777777">
      <w:pPr>
        <w:spacing w:after="0"/>
        <w:rPr>
          <w:rFonts w:ascii="Times New Roman" w:hAnsi="Times New Roman" w:cs="Times New Roman"/>
          <w:sz w:val="24"/>
          <w:szCs w:val="24"/>
        </w:rPr>
      </w:pPr>
    </w:p>
    <w:p w:rsidR="00414F32" w:rsidP="00A72E7B" w14:paraId="67CF7F12" w14:textId="77777777">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EXCEPTIONS TO THE CERTIFICATION STATEMENT</w:t>
      </w:r>
    </w:p>
    <w:p w:rsidR="00970FE4" w:rsidP="0057700F" w14:paraId="1E4AC3D6" w14:textId="77777777">
      <w:pPr>
        <w:spacing w:after="0"/>
        <w:rPr>
          <w:rFonts w:ascii="Times New Roman" w:hAnsi="Times New Roman" w:cs="Times New Roman"/>
          <w:sz w:val="24"/>
          <w:szCs w:val="24"/>
        </w:rPr>
      </w:pPr>
    </w:p>
    <w:p w:rsidR="00414F32" w:rsidP="007A2F92" w14:paraId="3547AA9B" w14:textId="2627D09E">
      <w:pPr>
        <w:spacing w:after="0"/>
        <w:rPr>
          <w:rFonts w:ascii="Times New Roman" w:hAnsi="Times New Roman" w:cs="Times New Roman"/>
          <w:sz w:val="24"/>
          <w:szCs w:val="24"/>
        </w:rPr>
      </w:pPr>
      <w:r>
        <w:rPr>
          <w:rFonts w:ascii="Times New Roman" w:hAnsi="Times New Roman" w:cs="Times New Roman"/>
          <w:sz w:val="24"/>
          <w:szCs w:val="24"/>
        </w:rPr>
        <w:t>There are no exceptions.</w:t>
      </w:r>
    </w:p>
    <w:p w:rsidR="001968F8" w:rsidRPr="007A2F92" w:rsidP="002C5784" w14:paraId="71D2FDBE" w14:textId="0B90ED0D">
      <w:pPr>
        <w:rPr>
          <w:rFonts w:ascii="Times New Roman" w:hAnsi="Times New Roman" w:cs="Times New Roman"/>
          <w:sz w:val="24"/>
          <w:szCs w:val="24"/>
        </w:rPr>
      </w:pPr>
    </w:p>
    <w:sectPr w:rsidSect="0078612A">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6411206"/>
      <w:docPartObj>
        <w:docPartGallery w:val="Page Numbers (Bottom of Page)"/>
        <w:docPartUnique/>
      </w:docPartObj>
    </w:sdtPr>
    <w:sdtEndPr>
      <w:rPr>
        <w:rFonts w:ascii="Times New Roman" w:hAnsi="Times New Roman" w:cs="Times New Roman"/>
        <w:noProof/>
      </w:rPr>
    </w:sdtEndPr>
    <w:sdtContent>
      <w:p w:rsidR="00007B68" w:rsidRPr="00DD79FB" w14:paraId="4A025BA2" w14:textId="77777777">
        <w:pPr>
          <w:pStyle w:val="Footer"/>
          <w:jc w:val="right"/>
          <w:rPr>
            <w:rFonts w:ascii="Times New Roman" w:hAnsi="Times New Roman" w:cs="Times New Roman"/>
          </w:rPr>
        </w:pPr>
        <w:r w:rsidRPr="00DD79FB">
          <w:rPr>
            <w:rFonts w:ascii="Times New Roman" w:hAnsi="Times New Roman" w:cs="Times New Roman"/>
          </w:rPr>
          <w:fldChar w:fldCharType="begin"/>
        </w:r>
        <w:r w:rsidRPr="00DD79FB">
          <w:rPr>
            <w:rFonts w:ascii="Times New Roman" w:hAnsi="Times New Roman" w:cs="Times New Roman"/>
          </w:rPr>
          <w:instrText xml:space="preserve"> PAGE   \* MERGEFORMAT </w:instrText>
        </w:r>
        <w:r w:rsidRPr="00DD79FB">
          <w:rPr>
            <w:rFonts w:ascii="Times New Roman" w:hAnsi="Times New Roman" w:cs="Times New Roman"/>
          </w:rPr>
          <w:fldChar w:fldCharType="separate"/>
        </w:r>
        <w:r w:rsidR="001C033B">
          <w:rPr>
            <w:rFonts w:ascii="Times New Roman" w:hAnsi="Times New Roman" w:cs="Times New Roman"/>
            <w:noProof/>
          </w:rPr>
          <w:t>1</w:t>
        </w:r>
        <w:r w:rsidRPr="00DD79FB">
          <w:rPr>
            <w:rFonts w:ascii="Times New Roman" w:hAnsi="Times New Roman" w:cs="Times New Roman"/>
            <w:noProof/>
          </w:rPr>
          <w:fldChar w:fldCharType="end"/>
        </w:r>
      </w:p>
    </w:sdtContent>
  </w:sdt>
  <w:p w:rsidR="00007B68" w14:paraId="57822BC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20FAA" w:rsidP="00FD66F1" w14:paraId="238BDC89" w14:textId="77777777">
      <w:pPr>
        <w:spacing w:after="0" w:line="240" w:lineRule="auto"/>
      </w:pPr>
      <w:r>
        <w:separator/>
      </w:r>
    </w:p>
  </w:footnote>
  <w:footnote w:type="continuationSeparator" w:id="1">
    <w:p w:rsidR="00A20FAA" w:rsidP="00FD66F1" w14:paraId="34571FDA" w14:textId="77777777">
      <w:pPr>
        <w:spacing w:after="0" w:line="240" w:lineRule="auto"/>
      </w:pPr>
      <w:r>
        <w:continuationSeparator/>
      </w:r>
    </w:p>
  </w:footnote>
  <w:footnote w:id="2">
    <w:p w:rsidR="00007B68" w:rsidRPr="00025C2E" w:rsidP="0020384F" w14:paraId="3CF10310" w14:textId="77777777">
      <w:pPr>
        <w:pStyle w:val="FootnoteText"/>
        <w:rPr>
          <w:sz w:val="26"/>
          <w:szCs w:val="26"/>
        </w:rPr>
      </w:pPr>
      <w:r w:rsidRPr="00F82B8E">
        <w:rPr>
          <w:rStyle w:val="FootnoteReference"/>
        </w:rPr>
        <w:footnoteRef/>
      </w:r>
      <w:r w:rsidRPr="00F82B8E">
        <w:t xml:space="preserve"> </w:t>
      </w:r>
      <w:r w:rsidRPr="00025C2E">
        <w:rPr>
          <w:i/>
          <w:iCs/>
          <w:sz w:val="26"/>
          <w:szCs w:val="26"/>
        </w:rPr>
        <w:t>North American Electric Reliability Corp.</w:t>
      </w:r>
      <w:r w:rsidRPr="00025C2E">
        <w:rPr>
          <w:sz w:val="26"/>
          <w:szCs w:val="26"/>
        </w:rPr>
        <w:t xml:space="preserve">, 116 FERC ¶ 61,062, </w:t>
      </w:r>
      <w:r w:rsidRPr="00025C2E">
        <w:rPr>
          <w:i/>
          <w:iCs/>
          <w:sz w:val="26"/>
          <w:szCs w:val="26"/>
        </w:rPr>
        <w:t>order on reh’g &amp; compliance</w:t>
      </w:r>
      <w:r w:rsidRPr="00025C2E">
        <w:rPr>
          <w:sz w:val="26"/>
          <w:szCs w:val="26"/>
        </w:rPr>
        <w:t xml:space="preserve">, 117 FERC ¶ 61,126 (2006), </w:t>
      </w:r>
      <w:r w:rsidRPr="00025C2E">
        <w:rPr>
          <w:i/>
          <w:sz w:val="26"/>
          <w:szCs w:val="26"/>
        </w:rPr>
        <w:t xml:space="preserve">aff’d </w:t>
      </w:r>
      <w:r w:rsidRPr="00025C2E">
        <w:rPr>
          <w:i/>
          <w:iCs/>
          <w:sz w:val="26"/>
          <w:szCs w:val="26"/>
        </w:rPr>
        <w:t>sub nom. Alcoa, Inc. v. FERC</w:t>
      </w:r>
      <w:r w:rsidRPr="00025C2E">
        <w:rPr>
          <w:sz w:val="26"/>
          <w:szCs w:val="26"/>
        </w:rPr>
        <w:t xml:space="preserve">, 564 F.3d 1342 (D.C. Cir. 2009).  </w:t>
      </w:r>
    </w:p>
  </w:footnote>
  <w:footnote w:id="3">
    <w:p w:rsidR="00756810" w:rsidRPr="00025C2E" w14:paraId="1F7ECB31" w14:textId="75BE88AA">
      <w:pPr>
        <w:pStyle w:val="FootnoteText"/>
        <w:rPr>
          <w:sz w:val="26"/>
          <w:szCs w:val="26"/>
        </w:rPr>
      </w:pPr>
      <w:r>
        <w:rPr>
          <w:rStyle w:val="FootnoteReference"/>
        </w:rPr>
        <w:footnoteRef/>
      </w:r>
      <w:r>
        <w:t xml:space="preserve"> </w:t>
      </w:r>
      <w:r w:rsidRPr="00025C2E">
        <w:rPr>
          <w:sz w:val="26"/>
          <w:szCs w:val="26"/>
        </w:rPr>
        <w:t>The Order in Docket No. RD14-11-000 was issued on 8/1/2014 (</w:t>
      </w:r>
      <w:hyperlink r:id="rId1" w:history="1">
        <w:r w:rsidRPr="00025C2E">
          <w:rPr>
            <w:rStyle w:val="Hyperlink"/>
            <w:sz w:val="26"/>
            <w:szCs w:val="26"/>
          </w:rPr>
          <w:t>https://elibrary-backup.ferc.gov/idmws/common/OpenNat.asp?fileID=13606637</w:t>
        </w:r>
      </w:hyperlink>
      <w:r w:rsidRPr="00025C2E">
        <w:rPr>
          <w:sz w:val="26"/>
          <w:szCs w:val="26"/>
        </w:rPr>
        <w:t>)</w:t>
      </w:r>
    </w:p>
  </w:footnote>
  <w:footnote w:id="4">
    <w:p w:rsidR="00DE0976" w:rsidRPr="00025C2E" w14:paraId="488E2AD1" w14:textId="713262BD">
      <w:pPr>
        <w:pStyle w:val="FootnoteText"/>
        <w:rPr>
          <w:sz w:val="26"/>
          <w:szCs w:val="26"/>
        </w:rPr>
      </w:pPr>
      <w:r>
        <w:rPr>
          <w:rStyle w:val="FootnoteReference"/>
        </w:rPr>
        <w:footnoteRef/>
      </w:r>
      <w:r>
        <w:t xml:space="preserve"> </w:t>
      </w:r>
      <w:r w:rsidRPr="00025C2E">
        <w:rPr>
          <w:sz w:val="26"/>
          <w:szCs w:val="26"/>
        </w:rPr>
        <w:t xml:space="preserve">VAR-001-4 was revised into VAR-001-4.1 by an </w:t>
      </w:r>
      <w:r w:rsidRPr="00025C2E" w:rsidR="00FD3669">
        <w:rPr>
          <w:sz w:val="26"/>
          <w:szCs w:val="26"/>
        </w:rPr>
        <w:t>erratum</w:t>
      </w:r>
      <w:r w:rsidRPr="00025C2E" w:rsidR="00E453EB">
        <w:rPr>
          <w:sz w:val="26"/>
          <w:szCs w:val="26"/>
        </w:rPr>
        <w:t xml:space="preserve"> in Docket No. RD15-3-000</w:t>
      </w:r>
      <w:r w:rsidRPr="00025C2E">
        <w:rPr>
          <w:sz w:val="26"/>
          <w:szCs w:val="26"/>
        </w:rPr>
        <w:t xml:space="preserve"> on 11/13/2015. VAR-001-4.1 was then revised into VAR-001-4.2 </w:t>
      </w:r>
      <w:r w:rsidRPr="00025C2E" w:rsidR="00E453EB">
        <w:rPr>
          <w:sz w:val="26"/>
          <w:szCs w:val="26"/>
        </w:rPr>
        <w:t xml:space="preserve">and VAR-002-4 was revised into VAR-002-4.1 </w:t>
      </w:r>
      <w:r w:rsidRPr="00025C2E">
        <w:rPr>
          <w:sz w:val="26"/>
          <w:szCs w:val="26"/>
        </w:rPr>
        <w:t>by another errata</w:t>
      </w:r>
      <w:r w:rsidRPr="00025C2E" w:rsidR="00E453EB">
        <w:rPr>
          <w:sz w:val="26"/>
          <w:szCs w:val="26"/>
        </w:rPr>
        <w:t xml:space="preserve"> in Docket No. RD17-7-000</w:t>
      </w:r>
      <w:r w:rsidRPr="00025C2E">
        <w:rPr>
          <w:sz w:val="26"/>
          <w:szCs w:val="26"/>
        </w:rPr>
        <w:t xml:space="preserve"> on 9/26/2017. Both of these errata notice provided administrative corrections only and had no effect on the reporting burden for either reliability standard.</w:t>
      </w:r>
    </w:p>
  </w:footnote>
  <w:footnote w:id="5">
    <w:p w:rsidR="00DE0976" w14:paraId="1A6208B3" w14:textId="4049FDF2">
      <w:pPr>
        <w:pStyle w:val="FootnoteText"/>
      </w:pPr>
      <w:r>
        <w:rPr>
          <w:rStyle w:val="FootnoteReference"/>
        </w:rPr>
        <w:footnoteRef/>
      </w:r>
      <w:r>
        <w:t xml:space="preserve"> </w:t>
      </w:r>
      <w:r w:rsidRPr="00025C2E">
        <w:rPr>
          <w:sz w:val="26"/>
          <w:szCs w:val="26"/>
        </w:rPr>
        <w:t>Order in Docket No.  RD15-3-000, page 3, paragraph 4.</w:t>
      </w:r>
    </w:p>
  </w:footnote>
  <w:footnote w:id="6">
    <w:p w:rsidR="00007B68" w:rsidRPr="00F82B8E" w:rsidP="0020384F" w14:paraId="69D7D514" w14:textId="1FF6798C">
      <w:pPr>
        <w:pStyle w:val="FootnoteText"/>
      </w:pPr>
      <w:r w:rsidRPr="00F82B8E">
        <w:rPr>
          <w:rStyle w:val="FootnoteReference"/>
        </w:rPr>
        <w:footnoteRef/>
      </w:r>
      <w:hyperlink r:id="rId2" w:history="1">
        <w:r w:rsidRPr="00D12B58" w:rsidR="00025C2E">
          <w:rPr>
            <w:rStyle w:val="Hyperlink"/>
            <w:sz w:val="26"/>
            <w:szCs w:val="26"/>
          </w:rPr>
          <w:t>http://www.nerc.com/FilingsOrders/us/RuleOfProcedureDL/NERC_ROP_Effective_20161031.pdf</w:t>
        </w:r>
      </w:hyperlink>
      <w:r w:rsidRPr="00F82B8E">
        <w:t xml:space="preserve"> </w:t>
      </w:r>
    </w:p>
  </w:footnote>
  <w:footnote w:id="7">
    <w:p w:rsidR="00007B68" w:rsidRPr="00F82B8E" w:rsidP="0020384F" w14:paraId="3BD27AEA" w14:textId="77777777">
      <w:pPr>
        <w:pStyle w:val="FootnoteText"/>
      </w:pPr>
      <w:r w:rsidRPr="00F82B8E">
        <w:rPr>
          <w:rStyle w:val="FootnoteReference"/>
        </w:rPr>
        <w:footnoteRef/>
      </w:r>
      <w:r w:rsidRPr="00F82B8E">
        <w:t xml:space="preserve"> </w:t>
      </w:r>
      <w:r w:rsidRPr="00025C2E">
        <w:rPr>
          <w:sz w:val="26"/>
          <w:szCs w:val="26"/>
        </w:rPr>
        <w:t xml:space="preserve">Details of the ERO standards development process are available on the NERC website at </w:t>
      </w:r>
      <w:hyperlink r:id="rId3" w:history="1">
        <w:r w:rsidRPr="00025C2E">
          <w:rPr>
            <w:rStyle w:val="Hyperlink"/>
            <w:sz w:val="26"/>
            <w:szCs w:val="26"/>
          </w:rPr>
          <w:t>http://www.nerc.com/pa/Stand/Documents/Appendix_3A_StandardsProcessesManual.pdf</w:t>
        </w:r>
      </w:hyperlink>
      <w:r w:rsidRPr="00F82B8E">
        <w:t>.</w:t>
      </w:r>
    </w:p>
  </w:footnote>
  <w:footnote w:id="8">
    <w:p w:rsidR="00007B68" w:rsidRPr="00F82B8E" w:rsidP="0020384F" w14:paraId="14C24072" w14:textId="7B507720">
      <w:pPr>
        <w:pStyle w:val="FootnoteText"/>
      </w:pPr>
      <w:r w:rsidRPr="00F82B8E">
        <w:rPr>
          <w:rStyle w:val="FootnoteReference"/>
        </w:rPr>
        <w:footnoteRef/>
      </w:r>
      <w:r w:rsidR="000A49C8">
        <w:t xml:space="preserve"> </w:t>
      </w:r>
      <w:r w:rsidRPr="00025C2E" w:rsidR="000A49C8">
        <w:rPr>
          <w:sz w:val="26"/>
          <w:szCs w:val="26"/>
        </w:rPr>
        <w:t>8</w:t>
      </w:r>
      <w:r w:rsidRPr="00025C2E" w:rsidR="00BA33C6">
        <w:rPr>
          <w:sz w:val="26"/>
          <w:szCs w:val="26"/>
        </w:rPr>
        <w:t>9</w:t>
      </w:r>
      <w:r w:rsidRPr="00025C2E" w:rsidR="000A49C8">
        <w:rPr>
          <w:sz w:val="26"/>
          <w:szCs w:val="26"/>
        </w:rPr>
        <w:t xml:space="preserve"> FR </w:t>
      </w:r>
      <w:r w:rsidRPr="00025C2E" w:rsidR="00BA33C6">
        <w:rPr>
          <w:sz w:val="26"/>
          <w:szCs w:val="26"/>
        </w:rPr>
        <w:t>67079</w:t>
      </w:r>
    </w:p>
  </w:footnote>
  <w:footnote w:id="9">
    <w:p w:rsidR="00007B68" w:rsidRPr="00F82B8E" w:rsidP="0020384F" w14:paraId="7B2F1C4B" w14:textId="7A290A10">
      <w:pPr>
        <w:pStyle w:val="FootnoteText"/>
      </w:pPr>
      <w:r w:rsidRPr="00F82B8E">
        <w:rPr>
          <w:rStyle w:val="FootnoteReference"/>
        </w:rPr>
        <w:footnoteRef/>
      </w:r>
      <w:r w:rsidR="000A49C8">
        <w:t xml:space="preserve"> </w:t>
      </w:r>
      <w:r w:rsidRPr="008B63E9" w:rsidR="000A49C8">
        <w:rPr>
          <w:sz w:val="26"/>
          <w:szCs w:val="26"/>
        </w:rPr>
        <w:t>8</w:t>
      </w:r>
      <w:r w:rsidRPr="008B63E9" w:rsidR="00025C2E">
        <w:rPr>
          <w:sz w:val="26"/>
          <w:szCs w:val="26"/>
        </w:rPr>
        <w:t>9</w:t>
      </w:r>
      <w:r w:rsidRPr="008B63E9" w:rsidR="000A49C8">
        <w:rPr>
          <w:sz w:val="26"/>
          <w:szCs w:val="26"/>
        </w:rPr>
        <w:t xml:space="preserve"> FR </w:t>
      </w:r>
      <w:r w:rsidR="008B63E9">
        <w:rPr>
          <w:sz w:val="26"/>
          <w:szCs w:val="26"/>
        </w:rPr>
        <w:t>86336</w:t>
      </w:r>
    </w:p>
  </w:footnote>
  <w:footnote w:id="10">
    <w:p w:rsidR="00007B68" w:rsidRPr="00F82B8E" w:rsidP="0020384F" w14:paraId="227080BC" w14:textId="4C7891ED">
      <w:pPr>
        <w:pStyle w:val="FootnoteText"/>
      </w:pPr>
      <w:r w:rsidRPr="00F82B8E">
        <w:rPr>
          <w:rStyle w:val="FootnoteReference"/>
        </w:rPr>
        <w:footnoteRef/>
      </w:r>
      <w:r w:rsidRPr="00F82B8E">
        <w:t xml:space="preserve"> </w:t>
      </w:r>
      <w:r w:rsidR="00025C2E">
        <w:t xml:space="preserve"> </w:t>
      </w:r>
      <w:r w:rsidRPr="00025C2E" w:rsidR="00025C2E">
        <w:rPr>
          <w:sz w:val="26"/>
          <w:szCs w:val="26"/>
        </w:rPr>
        <w:t>S</w:t>
      </w:r>
      <w:r w:rsidRPr="00025C2E">
        <w:rPr>
          <w:sz w:val="26"/>
          <w:szCs w:val="26"/>
        </w:rPr>
        <w:t>ection 1502, Paragraph 2, available at NERCs website.</w:t>
      </w:r>
    </w:p>
  </w:footnote>
  <w:footnote w:id="11">
    <w:p w:rsidR="00DC06A5" w:rsidRPr="00686FE0" w:rsidP="00DC06A5" w14:paraId="589EBC81" w14:textId="77777777">
      <w:pPr>
        <w:pStyle w:val="FootnoteText"/>
        <w:rPr>
          <w:sz w:val="26"/>
          <w:szCs w:val="26"/>
        </w:rPr>
      </w:pPr>
      <w:r w:rsidRPr="00686FE0">
        <w:rPr>
          <w:rStyle w:val="FootnoteReference"/>
        </w:rPr>
        <w:footnoteRef/>
      </w:r>
      <w:r w:rsidRPr="00686FE0">
        <w:rPr>
          <w:sz w:val="26"/>
          <w:szCs w:val="26"/>
        </w:rPr>
        <w:t xml:space="preserve"> TOP = transmission operator; GOP = generator operators. </w:t>
      </w:r>
      <w:r w:rsidRPr="007C27E8">
        <w:rPr>
          <w:sz w:val="26"/>
          <w:szCs w:val="26"/>
        </w:rPr>
        <w:t xml:space="preserve">These values were derived from the </w:t>
      </w:r>
      <w:r w:rsidRPr="00040229">
        <w:rPr>
          <w:sz w:val="26"/>
          <w:szCs w:val="26"/>
        </w:rPr>
        <w:t>NERC Compliance data of April 16, 2024, using only unique United States registered entities.</w:t>
      </w:r>
    </w:p>
  </w:footnote>
  <w:footnote w:id="12">
    <w:p w:rsidR="00DC06A5" w:rsidP="00DC06A5" w14:paraId="5CB29753" w14:textId="77777777">
      <w:pPr>
        <w:pStyle w:val="FootnoteText"/>
      </w:pPr>
      <w:r w:rsidRPr="00686FE0">
        <w:rPr>
          <w:rStyle w:val="FootnoteReference"/>
        </w:rPr>
        <w:footnoteRef/>
      </w:r>
      <w:r w:rsidRPr="00686FE0">
        <w:rPr>
          <w:sz w:val="26"/>
          <w:szCs w:val="26"/>
        </w:rPr>
        <w:t xml:space="preserve"> </w:t>
      </w:r>
      <w:r w:rsidRPr="00C418AE">
        <w:rPr>
          <w:sz w:val="26"/>
          <w:szCs w:val="26"/>
        </w:rPr>
        <w:t>The estimated hourly cost (salary plus benefits) is a combination based on the Bureau of Labor Statistics (BLS), as of 202</w:t>
      </w:r>
      <w:r>
        <w:rPr>
          <w:sz w:val="26"/>
          <w:szCs w:val="26"/>
        </w:rPr>
        <w:t>4</w:t>
      </w:r>
      <w:r w:rsidRPr="00C418AE">
        <w:rPr>
          <w:sz w:val="26"/>
          <w:szCs w:val="26"/>
        </w:rPr>
        <w:t>, for 75% of the average of an Electrical Engineer (17-2071) $7</w:t>
      </w:r>
      <w:r>
        <w:rPr>
          <w:sz w:val="26"/>
          <w:szCs w:val="26"/>
        </w:rPr>
        <w:t>9.31</w:t>
      </w:r>
      <w:r w:rsidRPr="00C418AE">
        <w:rPr>
          <w:sz w:val="26"/>
          <w:szCs w:val="26"/>
        </w:rPr>
        <w:t>/hr</w:t>
      </w:r>
      <w:r>
        <w:rPr>
          <w:sz w:val="26"/>
          <w:szCs w:val="26"/>
        </w:rPr>
        <w:t>.</w:t>
      </w:r>
      <w:r w:rsidRPr="00C418AE">
        <w:rPr>
          <w:sz w:val="26"/>
          <w:szCs w:val="26"/>
        </w:rPr>
        <w:t>,  7</w:t>
      </w:r>
      <w:r>
        <w:rPr>
          <w:sz w:val="26"/>
          <w:szCs w:val="26"/>
        </w:rPr>
        <w:t>9.31</w:t>
      </w:r>
      <w:r w:rsidRPr="00C418AE">
        <w:rPr>
          <w:sz w:val="26"/>
          <w:szCs w:val="26"/>
        </w:rPr>
        <w:t xml:space="preserve"> x .75 = 5</w:t>
      </w:r>
      <w:r>
        <w:rPr>
          <w:sz w:val="26"/>
          <w:szCs w:val="26"/>
        </w:rPr>
        <w:t>9.4825</w:t>
      </w:r>
      <w:r w:rsidRPr="00C418AE">
        <w:rPr>
          <w:sz w:val="26"/>
          <w:szCs w:val="26"/>
        </w:rPr>
        <w:t xml:space="preserve"> ($5</w:t>
      </w:r>
      <w:r>
        <w:rPr>
          <w:sz w:val="26"/>
          <w:szCs w:val="26"/>
        </w:rPr>
        <w:t>9.48</w:t>
      </w:r>
      <w:r w:rsidRPr="00C418AE">
        <w:rPr>
          <w:sz w:val="26"/>
          <w:szCs w:val="26"/>
        </w:rPr>
        <w:t>-rounded) ($5</w:t>
      </w:r>
      <w:r>
        <w:rPr>
          <w:sz w:val="26"/>
          <w:szCs w:val="26"/>
        </w:rPr>
        <w:t>9.48</w:t>
      </w:r>
      <w:r w:rsidRPr="00C418AE">
        <w:rPr>
          <w:sz w:val="26"/>
          <w:szCs w:val="26"/>
        </w:rPr>
        <w:t>/hour) and 25% of an Information and Record Clerk (43-4199) $</w:t>
      </w:r>
      <w:r>
        <w:rPr>
          <w:sz w:val="26"/>
          <w:szCs w:val="26"/>
        </w:rPr>
        <w:t>44.74</w:t>
      </w:r>
      <w:r w:rsidRPr="00C418AE">
        <w:rPr>
          <w:sz w:val="26"/>
          <w:szCs w:val="26"/>
        </w:rPr>
        <w:t>/hr</w:t>
      </w:r>
      <w:r>
        <w:rPr>
          <w:sz w:val="26"/>
          <w:szCs w:val="26"/>
        </w:rPr>
        <w:t>.</w:t>
      </w:r>
      <w:r w:rsidRPr="00C418AE">
        <w:rPr>
          <w:sz w:val="26"/>
          <w:szCs w:val="26"/>
        </w:rPr>
        <w:t>, $</w:t>
      </w:r>
      <w:r>
        <w:rPr>
          <w:sz w:val="26"/>
          <w:szCs w:val="26"/>
        </w:rPr>
        <w:t>44.74</w:t>
      </w:r>
      <w:r w:rsidRPr="00C418AE">
        <w:rPr>
          <w:sz w:val="26"/>
          <w:szCs w:val="26"/>
        </w:rPr>
        <w:t xml:space="preserve"> x .25% = </w:t>
      </w:r>
      <w:r>
        <w:rPr>
          <w:sz w:val="26"/>
          <w:szCs w:val="26"/>
        </w:rPr>
        <w:t>11.185</w:t>
      </w:r>
      <w:r w:rsidRPr="00C418AE">
        <w:rPr>
          <w:sz w:val="26"/>
          <w:szCs w:val="26"/>
        </w:rPr>
        <w:t xml:space="preserve"> ($</w:t>
      </w:r>
      <w:r>
        <w:rPr>
          <w:sz w:val="26"/>
          <w:szCs w:val="26"/>
        </w:rPr>
        <w:t>11.19</w:t>
      </w:r>
      <w:r w:rsidRPr="00C418AE">
        <w:rPr>
          <w:sz w:val="26"/>
          <w:szCs w:val="26"/>
        </w:rPr>
        <w:t xml:space="preserve"> rounded) ($</w:t>
      </w:r>
      <w:r>
        <w:rPr>
          <w:sz w:val="26"/>
          <w:szCs w:val="26"/>
        </w:rPr>
        <w:t>11.19</w:t>
      </w:r>
      <w:r w:rsidRPr="00C418AE">
        <w:rPr>
          <w:sz w:val="26"/>
          <w:szCs w:val="26"/>
        </w:rPr>
        <w:t>/hour), for a total ($</w:t>
      </w:r>
      <w:r>
        <w:rPr>
          <w:sz w:val="26"/>
          <w:szCs w:val="26"/>
        </w:rPr>
        <w:t>59.48</w:t>
      </w:r>
      <w:r w:rsidRPr="00C418AE">
        <w:rPr>
          <w:sz w:val="26"/>
          <w:szCs w:val="26"/>
        </w:rPr>
        <w:t>+$</w:t>
      </w:r>
      <w:r>
        <w:rPr>
          <w:sz w:val="26"/>
          <w:szCs w:val="26"/>
        </w:rPr>
        <w:t>11.19</w:t>
      </w:r>
      <w:r w:rsidRPr="00C418AE">
        <w:rPr>
          <w:sz w:val="26"/>
          <w:szCs w:val="26"/>
        </w:rPr>
        <w:t xml:space="preserve"> = $</w:t>
      </w:r>
      <w:r>
        <w:rPr>
          <w:sz w:val="26"/>
          <w:szCs w:val="26"/>
        </w:rPr>
        <w:t>70.67</w:t>
      </w:r>
      <w:r w:rsidRPr="00C418AE">
        <w:rPr>
          <w:sz w:val="26"/>
          <w:szCs w:val="26"/>
        </w:rPr>
        <w:t>/hour).</w:t>
      </w:r>
    </w:p>
  </w:footnote>
  <w:footnote w:id="13">
    <w:p w:rsidR="00007B68" w:rsidRPr="00025C2E" w:rsidP="0020384F" w14:paraId="3C6FE927" w14:textId="133F92C9">
      <w:pPr>
        <w:pStyle w:val="FootnoteText"/>
        <w:rPr>
          <w:sz w:val="26"/>
          <w:szCs w:val="26"/>
        </w:rPr>
      </w:pPr>
      <w:r w:rsidRPr="00F82B8E">
        <w:rPr>
          <w:rStyle w:val="FootnoteReference"/>
        </w:rPr>
        <w:footnoteRef/>
      </w:r>
      <w:r w:rsidRPr="00F82B8E">
        <w:rPr>
          <w:vertAlign w:val="superscript"/>
        </w:rPr>
        <w:t xml:space="preserve"> </w:t>
      </w:r>
      <w:r w:rsidRPr="00025C2E">
        <w:rPr>
          <w:sz w:val="26"/>
          <w:szCs w:val="26"/>
        </w:rPr>
        <w:t>Based upon FERC’s 20</w:t>
      </w:r>
      <w:r w:rsidRPr="00025C2E" w:rsidR="00FF1AC3">
        <w:rPr>
          <w:sz w:val="26"/>
          <w:szCs w:val="26"/>
        </w:rPr>
        <w:t>24</w:t>
      </w:r>
      <w:r w:rsidRPr="00025C2E">
        <w:rPr>
          <w:sz w:val="26"/>
          <w:szCs w:val="26"/>
        </w:rPr>
        <w:t xml:space="preserve"> FTE average salary plus benefits</w:t>
      </w:r>
      <w:r w:rsidRPr="00025C2E" w:rsidR="00D06C9B">
        <w:rPr>
          <w:sz w:val="26"/>
          <w:szCs w:val="26"/>
        </w:rPr>
        <w:t xml:space="preserve"> full-time equivalent average annual salary plus benefits ($207,786 per year)</w:t>
      </w:r>
      <w:r w:rsidRPr="00025C2E">
        <w:rPr>
          <w:sz w:val="26"/>
          <w:szCs w:val="26"/>
        </w:rPr>
        <w:t>.</w:t>
      </w:r>
    </w:p>
  </w:footnote>
  <w:footnote w:id="14">
    <w:p w:rsidR="00007B68" w:rsidRPr="00F82B8E" w:rsidP="0020384F" w14:paraId="2C5047DF" w14:textId="77777777">
      <w:pPr>
        <w:pStyle w:val="FootnoteText"/>
      </w:pPr>
      <w:r w:rsidRPr="00F82B8E">
        <w:rPr>
          <w:rStyle w:val="FootnoteReference"/>
        </w:rPr>
        <w:footnoteRef/>
      </w:r>
      <w:r w:rsidRPr="00F82B8E">
        <w:t xml:space="preserve"> </w:t>
      </w:r>
      <w:r w:rsidRPr="00025C2E">
        <w:rPr>
          <w:sz w:val="26"/>
          <w:szCs w:val="26"/>
        </w:rPr>
        <w:t>Paperwork Reduction Act of 1995 (PRA)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7B68" w14:paraId="299FEECE" w14:textId="64A666AD">
    <w:pPr>
      <w:pStyle w:val="Header"/>
      <w:rPr>
        <w:rFonts w:ascii="Times New Roman" w:hAnsi="Times New Roman" w:cs="Times New Roman"/>
        <w:sz w:val="24"/>
        <w:szCs w:val="24"/>
      </w:rPr>
    </w:pPr>
    <w:r>
      <w:rPr>
        <w:rFonts w:ascii="Times New Roman" w:hAnsi="Times New Roman" w:cs="Times New Roman"/>
        <w:sz w:val="24"/>
        <w:szCs w:val="24"/>
      </w:rPr>
      <w:t>FERC-725X</w:t>
    </w:r>
    <w:r>
      <w:rPr>
        <w:rFonts w:ascii="Times New Roman" w:hAnsi="Times New Roman" w:cs="Times New Roman"/>
        <w:sz w:val="24"/>
        <w:szCs w:val="24"/>
      </w:rPr>
      <w:t xml:space="preserve"> (OMB Control </w:t>
    </w:r>
    <w:r w:rsidR="00640365">
      <w:rPr>
        <w:rFonts w:ascii="Times New Roman" w:hAnsi="Times New Roman" w:cs="Times New Roman"/>
        <w:sz w:val="24"/>
        <w:szCs w:val="24"/>
      </w:rPr>
      <w:t>No. 1902-0278</w:t>
    </w:r>
    <w:r>
      <w:rPr>
        <w:rFonts w:ascii="Times New Roman" w:hAnsi="Times New Roman" w:cs="Times New Roman"/>
        <w:sz w:val="24"/>
        <w:szCs w:val="24"/>
      </w:rPr>
      <w:t>)</w:t>
    </w:r>
  </w:p>
  <w:p w:rsidR="00482076" w14:paraId="5EBDF32E" w14:textId="504E8C25">
    <w:pPr>
      <w:pStyle w:val="Header"/>
    </w:pPr>
    <w:r>
      <w:rPr>
        <w:rFonts w:ascii="Times New Roman" w:hAnsi="Times New Roman" w:cs="Times New Roman"/>
        <w:sz w:val="24"/>
        <w:szCs w:val="24"/>
      </w:rPr>
      <w:t>Renewal in Docket No. IC2</w:t>
    </w:r>
    <w:r w:rsidR="00AA2040">
      <w:rPr>
        <w:rFonts w:ascii="Times New Roman" w:hAnsi="Times New Roman" w:cs="Times New Roman"/>
        <w:sz w:val="24"/>
        <w:szCs w:val="24"/>
      </w:rPr>
      <w:t>4</w:t>
    </w:r>
    <w:r w:rsidR="00292697">
      <w:rPr>
        <w:rFonts w:ascii="Times New Roman" w:hAnsi="Times New Roman" w:cs="Times New Roman"/>
        <w:sz w:val="24"/>
        <w:szCs w:val="24"/>
      </w:rP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CC7705"/>
    <w:multiLevelType w:val="hybridMultilevel"/>
    <w:tmpl w:val="98CEB89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6F065A9"/>
    <w:multiLevelType w:val="hybridMultilevel"/>
    <w:tmpl w:val="A934A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610EB8"/>
    <w:multiLevelType w:val="hybridMultilevel"/>
    <w:tmpl w:val="92902B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B373959"/>
    <w:multiLevelType w:val="hybridMultilevel"/>
    <w:tmpl w:val="8670DB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A91A3C"/>
    <w:multiLevelType w:val="hybridMultilevel"/>
    <w:tmpl w:val="42B2F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2BC04FF"/>
    <w:multiLevelType w:val="hybridMultilevel"/>
    <w:tmpl w:val="CAC218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453C6417"/>
    <w:multiLevelType w:val="hybridMultilevel"/>
    <w:tmpl w:val="53A8CA2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8">
    <w:nsid w:val="4FCC1895"/>
    <w:multiLevelType w:val="hybridMultilevel"/>
    <w:tmpl w:val="632C2E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138255B"/>
    <w:multiLevelType w:val="hybridMultilevel"/>
    <w:tmpl w:val="AA26E8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2152B0D"/>
    <w:multiLevelType w:val="hybridMultilevel"/>
    <w:tmpl w:val="B9DE19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96F428C"/>
    <w:multiLevelType w:val="hybridMultilevel"/>
    <w:tmpl w:val="7BDE7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260868"/>
    <w:multiLevelType w:val="hybridMultilevel"/>
    <w:tmpl w:val="FF0638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C0A2A45"/>
    <w:multiLevelType w:val="hybridMultilevel"/>
    <w:tmpl w:val="8E4EB1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72835CA"/>
    <w:multiLevelType w:val="hybridMultilevel"/>
    <w:tmpl w:val="63342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BCF05D8"/>
    <w:multiLevelType w:val="hybridMultilevel"/>
    <w:tmpl w:val="D5B058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19167310">
    <w:abstractNumId w:val="8"/>
  </w:num>
  <w:num w:numId="2" w16cid:durableId="2070415930">
    <w:abstractNumId w:val="6"/>
  </w:num>
  <w:num w:numId="3" w16cid:durableId="2049376365">
    <w:abstractNumId w:val="12"/>
  </w:num>
  <w:num w:numId="4" w16cid:durableId="349797073">
    <w:abstractNumId w:val="14"/>
  </w:num>
  <w:num w:numId="5" w16cid:durableId="905604564">
    <w:abstractNumId w:val="9"/>
  </w:num>
  <w:num w:numId="6" w16cid:durableId="1130172041">
    <w:abstractNumId w:val="0"/>
  </w:num>
  <w:num w:numId="7" w16cid:durableId="830289100">
    <w:abstractNumId w:val="5"/>
  </w:num>
  <w:num w:numId="8" w16cid:durableId="211038321">
    <w:abstractNumId w:val="7"/>
  </w:num>
  <w:num w:numId="9" w16cid:durableId="179047502">
    <w:abstractNumId w:val="15"/>
  </w:num>
  <w:num w:numId="10" w16cid:durableId="1750080591">
    <w:abstractNumId w:val="11"/>
  </w:num>
  <w:num w:numId="11" w16cid:durableId="980186213">
    <w:abstractNumId w:val="2"/>
  </w:num>
  <w:num w:numId="12" w16cid:durableId="1564023825">
    <w:abstractNumId w:val="3"/>
  </w:num>
  <w:num w:numId="13" w16cid:durableId="1135215496">
    <w:abstractNumId w:val="1"/>
  </w:num>
  <w:num w:numId="14" w16cid:durableId="1320422664">
    <w:abstractNumId w:val="4"/>
  </w:num>
  <w:num w:numId="15" w16cid:durableId="1364525611">
    <w:abstractNumId w:val="10"/>
  </w:num>
  <w:num w:numId="16" w16cid:durableId="14490057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F1"/>
    <w:rsid w:val="00004742"/>
    <w:rsid w:val="0000761B"/>
    <w:rsid w:val="00007B68"/>
    <w:rsid w:val="0001564A"/>
    <w:rsid w:val="000158B8"/>
    <w:rsid w:val="0002242D"/>
    <w:rsid w:val="0002567F"/>
    <w:rsid w:val="00025C2E"/>
    <w:rsid w:val="00030C21"/>
    <w:rsid w:val="00035845"/>
    <w:rsid w:val="00040229"/>
    <w:rsid w:val="00042BD1"/>
    <w:rsid w:val="000446EC"/>
    <w:rsid w:val="000517E2"/>
    <w:rsid w:val="00074DC8"/>
    <w:rsid w:val="0007636B"/>
    <w:rsid w:val="00097E6C"/>
    <w:rsid w:val="000A18A4"/>
    <w:rsid w:val="000A49C8"/>
    <w:rsid w:val="000A7778"/>
    <w:rsid w:val="000B0C37"/>
    <w:rsid w:val="000B34A4"/>
    <w:rsid w:val="000B45EB"/>
    <w:rsid w:val="000C5CD7"/>
    <w:rsid w:val="000D1DCE"/>
    <w:rsid w:val="000D58F6"/>
    <w:rsid w:val="000D6FBE"/>
    <w:rsid w:val="000E15B3"/>
    <w:rsid w:val="000E2B20"/>
    <w:rsid w:val="000E5772"/>
    <w:rsid w:val="000E5F31"/>
    <w:rsid w:val="000E72CD"/>
    <w:rsid w:val="000F1DBC"/>
    <w:rsid w:val="000F34E5"/>
    <w:rsid w:val="000F41C9"/>
    <w:rsid w:val="001115C7"/>
    <w:rsid w:val="001119AF"/>
    <w:rsid w:val="00115F70"/>
    <w:rsid w:val="0012296A"/>
    <w:rsid w:val="00124405"/>
    <w:rsid w:val="001348AC"/>
    <w:rsid w:val="00143103"/>
    <w:rsid w:val="00144325"/>
    <w:rsid w:val="00147F3A"/>
    <w:rsid w:val="00150D8F"/>
    <w:rsid w:val="00162B26"/>
    <w:rsid w:val="0017533A"/>
    <w:rsid w:val="00175AD1"/>
    <w:rsid w:val="00181727"/>
    <w:rsid w:val="00185730"/>
    <w:rsid w:val="001968F8"/>
    <w:rsid w:val="00197A36"/>
    <w:rsid w:val="001A05A0"/>
    <w:rsid w:val="001A73FD"/>
    <w:rsid w:val="001C033B"/>
    <w:rsid w:val="001C1170"/>
    <w:rsid w:val="001C1D2F"/>
    <w:rsid w:val="001C1E51"/>
    <w:rsid w:val="001C2970"/>
    <w:rsid w:val="001C2DAF"/>
    <w:rsid w:val="001E6AC0"/>
    <w:rsid w:val="0020384F"/>
    <w:rsid w:val="00212A83"/>
    <w:rsid w:val="00236674"/>
    <w:rsid w:val="00247B75"/>
    <w:rsid w:val="0026674D"/>
    <w:rsid w:val="00272108"/>
    <w:rsid w:val="002779D9"/>
    <w:rsid w:val="00292697"/>
    <w:rsid w:val="00297631"/>
    <w:rsid w:val="002A0D26"/>
    <w:rsid w:val="002A1294"/>
    <w:rsid w:val="002A40A7"/>
    <w:rsid w:val="002B13E2"/>
    <w:rsid w:val="002B4DD2"/>
    <w:rsid w:val="002B5629"/>
    <w:rsid w:val="002C1BFB"/>
    <w:rsid w:val="002C5784"/>
    <w:rsid w:val="002C63E1"/>
    <w:rsid w:val="00304952"/>
    <w:rsid w:val="003132A8"/>
    <w:rsid w:val="00313D4E"/>
    <w:rsid w:val="00324A19"/>
    <w:rsid w:val="003316E0"/>
    <w:rsid w:val="003528CC"/>
    <w:rsid w:val="00362710"/>
    <w:rsid w:val="00362A6A"/>
    <w:rsid w:val="00363B01"/>
    <w:rsid w:val="003645F9"/>
    <w:rsid w:val="00375B89"/>
    <w:rsid w:val="003800E6"/>
    <w:rsid w:val="003967A4"/>
    <w:rsid w:val="003B0249"/>
    <w:rsid w:val="003B3B61"/>
    <w:rsid w:val="003C51DB"/>
    <w:rsid w:val="003D5A4D"/>
    <w:rsid w:val="003D5BDA"/>
    <w:rsid w:val="003E1743"/>
    <w:rsid w:val="003E1BE7"/>
    <w:rsid w:val="003E5045"/>
    <w:rsid w:val="003E6C01"/>
    <w:rsid w:val="0040192F"/>
    <w:rsid w:val="00410E5C"/>
    <w:rsid w:val="00414F32"/>
    <w:rsid w:val="004276A5"/>
    <w:rsid w:val="00443588"/>
    <w:rsid w:val="0045480C"/>
    <w:rsid w:val="0045680D"/>
    <w:rsid w:val="00466C57"/>
    <w:rsid w:val="0047035D"/>
    <w:rsid w:val="00470E4D"/>
    <w:rsid w:val="00477D11"/>
    <w:rsid w:val="00482076"/>
    <w:rsid w:val="004B3FFA"/>
    <w:rsid w:val="004C02F0"/>
    <w:rsid w:val="004C4C89"/>
    <w:rsid w:val="004C55C0"/>
    <w:rsid w:val="004C5E0E"/>
    <w:rsid w:val="004D29AB"/>
    <w:rsid w:val="004E651C"/>
    <w:rsid w:val="004F6977"/>
    <w:rsid w:val="00507511"/>
    <w:rsid w:val="005121A2"/>
    <w:rsid w:val="00513A16"/>
    <w:rsid w:val="00522F69"/>
    <w:rsid w:val="0053287C"/>
    <w:rsid w:val="00540572"/>
    <w:rsid w:val="00541B4E"/>
    <w:rsid w:val="00541FBD"/>
    <w:rsid w:val="005462B6"/>
    <w:rsid w:val="00546870"/>
    <w:rsid w:val="00547FA1"/>
    <w:rsid w:val="00554EFD"/>
    <w:rsid w:val="0056394E"/>
    <w:rsid w:val="00570861"/>
    <w:rsid w:val="00571C5E"/>
    <w:rsid w:val="00576FDE"/>
    <w:rsid w:val="0057700F"/>
    <w:rsid w:val="00582E7E"/>
    <w:rsid w:val="00591BAD"/>
    <w:rsid w:val="005A2792"/>
    <w:rsid w:val="005A29F9"/>
    <w:rsid w:val="005B77CE"/>
    <w:rsid w:val="005E2146"/>
    <w:rsid w:val="005E4FD7"/>
    <w:rsid w:val="005F1C3C"/>
    <w:rsid w:val="005F44CB"/>
    <w:rsid w:val="006116B9"/>
    <w:rsid w:val="006166FA"/>
    <w:rsid w:val="00621C29"/>
    <w:rsid w:val="00625238"/>
    <w:rsid w:val="00630A34"/>
    <w:rsid w:val="00637CE1"/>
    <w:rsid w:val="00640365"/>
    <w:rsid w:val="006437A2"/>
    <w:rsid w:val="00656FFC"/>
    <w:rsid w:val="00657A47"/>
    <w:rsid w:val="00664BC0"/>
    <w:rsid w:val="00674FD8"/>
    <w:rsid w:val="00682634"/>
    <w:rsid w:val="00686FE0"/>
    <w:rsid w:val="00690136"/>
    <w:rsid w:val="0069237F"/>
    <w:rsid w:val="00697657"/>
    <w:rsid w:val="006A6C23"/>
    <w:rsid w:val="006B437C"/>
    <w:rsid w:val="006B6D60"/>
    <w:rsid w:val="006D5F25"/>
    <w:rsid w:val="006E3CFD"/>
    <w:rsid w:val="006E48BC"/>
    <w:rsid w:val="006F4640"/>
    <w:rsid w:val="006F731B"/>
    <w:rsid w:val="00711903"/>
    <w:rsid w:val="00716469"/>
    <w:rsid w:val="007310BC"/>
    <w:rsid w:val="00731C22"/>
    <w:rsid w:val="00736047"/>
    <w:rsid w:val="0074195A"/>
    <w:rsid w:val="00744A3C"/>
    <w:rsid w:val="007517C5"/>
    <w:rsid w:val="00752267"/>
    <w:rsid w:val="00756810"/>
    <w:rsid w:val="00761A02"/>
    <w:rsid w:val="00773AEB"/>
    <w:rsid w:val="007763AF"/>
    <w:rsid w:val="0078612A"/>
    <w:rsid w:val="00787670"/>
    <w:rsid w:val="007A2F92"/>
    <w:rsid w:val="007A6142"/>
    <w:rsid w:val="007B06B3"/>
    <w:rsid w:val="007B193F"/>
    <w:rsid w:val="007B34EB"/>
    <w:rsid w:val="007B51AE"/>
    <w:rsid w:val="007B7E0C"/>
    <w:rsid w:val="007C1FB6"/>
    <w:rsid w:val="007C27E8"/>
    <w:rsid w:val="007D719C"/>
    <w:rsid w:val="007E37D2"/>
    <w:rsid w:val="007E3C37"/>
    <w:rsid w:val="007E7C0F"/>
    <w:rsid w:val="007F4AE4"/>
    <w:rsid w:val="00825EE1"/>
    <w:rsid w:val="00834C7F"/>
    <w:rsid w:val="008524C6"/>
    <w:rsid w:val="00855EC8"/>
    <w:rsid w:val="008619E1"/>
    <w:rsid w:val="00873A94"/>
    <w:rsid w:val="00876F75"/>
    <w:rsid w:val="00896C01"/>
    <w:rsid w:val="008A21A4"/>
    <w:rsid w:val="008A52E9"/>
    <w:rsid w:val="008B63E9"/>
    <w:rsid w:val="008B703B"/>
    <w:rsid w:val="008C238C"/>
    <w:rsid w:val="008C25E0"/>
    <w:rsid w:val="008C288D"/>
    <w:rsid w:val="008C2F02"/>
    <w:rsid w:val="008C76E2"/>
    <w:rsid w:val="008D310F"/>
    <w:rsid w:val="008E58B7"/>
    <w:rsid w:val="008E70CD"/>
    <w:rsid w:val="009115AB"/>
    <w:rsid w:val="00911FF4"/>
    <w:rsid w:val="00913A8B"/>
    <w:rsid w:val="009276A9"/>
    <w:rsid w:val="0093102B"/>
    <w:rsid w:val="0093357F"/>
    <w:rsid w:val="00937334"/>
    <w:rsid w:val="009430EF"/>
    <w:rsid w:val="009453EA"/>
    <w:rsid w:val="00947AC8"/>
    <w:rsid w:val="00950ECA"/>
    <w:rsid w:val="00952D21"/>
    <w:rsid w:val="0096022F"/>
    <w:rsid w:val="00963609"/>
    <w:rsid w:val="00970C75"/>
    <w:rsid w:val="00970FE4"/>
    <w:rsid w:val="00971AB3"/>
    <w:rsid w:val="009726E7"/>
    <w:rsid w:val="00977684"/>
    <w:rsid w:val="00977929"/>
    <w:rsid w:val="0099336E"/>
    <w:rsid w:val="009A2011"/>
    <w:rsid w:val="009A5447"/>
    <w:rsid w:val="009B266A"/>
    <w:rsid w:val="009C45B8"/>
    <w:rsid w:val="009E1190"/>
    <w:rsid w:val="00A062E2"/>
    <w:rsid w:val="00A20FAA"/>
    <w:rsid w:val="00A23C8F"/>
    <w:rsid w:val="00A276F5"/>
    <w:rsid w:val="00A44AE9"/>
    <w:rsid w:val="00A45BD2"/>
    <w:rsid w:val="00A5648B"/>
    <w:rsid w:val="00A61802"/>
    <w:rsid w:val="00A62953"/>
    <w:rsid w:val="00A72E7B"/>
    <w:rsid w:val="00A741BA"/>
    <w:rsid w:val="00A81C16"/>
    <w:rsid w:val="00A82B09"/>
    <w:rsid w:val="00A84355"/>
    <w:rsid w:val="00A84BED"/>
    <w:rsid w:val="00A9186C"/>
    <w:rsid w:val="00A93F1B"/>
    <w:rsid w:val="00A96B65"/>
    <w:rsid w:val="00AA2040"/>
    <w:rsid w:val="00AB291C"/>
    <w:rsid w:val="00AC5D45"/>
    <w:rsid w:val="00AD16A3"/>
    <w:rsid w:val="00AD3DE5"/>
    <w:rsid w:val="00AD4149"/>
    <w:rsid w:val="00AD50EA"/>
    <w:rsid w:val="00AE14A8"/>
    <w:rsid w:val="00AE298A"/>
    <w:rsid w:val="00AF2217"/>
    <w:rsid w:val="00B015EC"/>
    <w:rsid w:val="00B01AC9"/>
    <w:rsid w:val="00B072C3"/>
    <w:rsid w:val="00B1196E"/>
    <w:rsid w:val="00B139C5"/>
    <w:rsid w:val="00B25380"/>
    <w:rsid w:val="00B27783"/>
    <w:rsid w:val="00B33B5F"/>
    <w:rsid w:val="00B51D20"/>
    <w:rsid w:val="00B57039"/>
    <w:rsid w:val="00B72662"/>
    <w:rsid w:val="00B837BA"/>
    <w:rsid w:val="00B85235"/>
    <w:rsid w:val="00B8706D"/>
    <w:rsid w:val="00B93ACC"/>
    <w:rsid w:val="00B9413E"/>
    <w:rsid w:val="00BA1C7D"/>
    <w:rsid w:val="00BA33C6"/>
    <w:rsid w:val="00BA7C56"/>
    <w:rsid w:val="00BB3B2C"/>
    <w:rsid w:val="00BC27F0"/>
    <w:rsid w:val="00BE526B"/>
    <w:rsid w:val="00BE7025"/>
    <w:rsid w:val="00BF2816"/>
    <w:rsid w:val="00BF2DB7"/>
    <w:rsid w:val="00BF3F67"/>
    <w:rsid w:val="00C01698"/>
    <w:rsid w:val="00C03F29"/>
    <w:rsid w:val="00C05F12"/>
    <w:rsid w:val="00C15264"/>
    <w:rsid w:val="00C27D56"/>
    <w:rsid w:val="00C35DFC"/>
    <w:rsid w:val="00C418AE"/>
    <w:rsid w:val="00C47527"/>
    <w:rsid w:val="00C510DD"/>
    <w:rsid w:val="00C5589B"/>
    <w:rsid w:val="00C61E8F"/>
    <w:rsid w:val="00C6263B"/>
    <w:rsid w:val="00C63F30"/>
    <w:rsid w:val="00C676C1"/>
    <w:rsid w:val="00C67F82"/>
    <w:rsid w:val="00C96C91"/>
    <w:rsid w:val="00C97DC0"/>
    <w:rsid w:val="00CA07D0"/>
    <w:rsid w:val="00CA495F"/>
    <w:rsid w:val="00CA59C3"/>
    <w:rsid w:val="00CB26E8"/>
    <w:rsid w:val="00CC5689"/>
    <w:rsid w:val="00CC7D22"/>
    <w:rsid w:val="00CE0A63"/>
    <w:rsid w:val="00CE15BC"/>
    <w:rsid w:val="00CE2CDA"/>
    <w:rsid w:val="00CE2D4E"/>
    <w:rsid w:val="00CE41F2"/>
    <w:rsid w:val="00CE535C"/>
    <w:rsid w:val="00CF759C"/>
    <w:rsid w:val="00D03D95"/>
    <w:rsid w:val="00D06C9B"/>
    <w:rsid w:val="00D075A0"/>
    <w:rsid w:val="00D12B58"/>
    <w:rsid w:val="00D21D86"/>
    <w:rsid w:val="00D407F7"/>
    <w:rsid w:val="00D4396D"/>
    <w:rsid w:val="00D43F0E"/>
    <w:rsid w:val="00D47528"/>
    <w:rsid w:val="00D63739"/>
    <w:rsid w:val="00D7606F"/>
    <w:rsid w:val="00D76508"/>
    <w:rsid w:val="00D80FBD"/>
    <w:rsid w:val="00D83445"/>
    <w:rsid w:val="00D85DBB"/>
    <w:rsid w:val="00D87A76"/>
    <w:rsid w:val="00D9209B"/>
    <w:rsid w:val="00DA06F4"/>
    <w:rsid w:val="00DB55F4"/>
    <w:rsid w:val="00DB58D2"/>
    <w:rsid w:val="00DB6DC8"/>
    <w:rsid w:val="00DC015E"/>
    <w:rsid w:val="00DC06A5"/>
    <w:rsid w:val="00DC4E36"/>
    <w:rsid w:val="00DD3B35"/>
    <w:rsid w:val="00DD579E"/>
    <w:rsid w:val="00DD79FB"/>
    <w:rsid w:val="00DE0976"/>
    <w:rsid w:val="00DE18D9"/>
    <w:rsid w:val="00E06351"/>
    <w:rsid w:val="00E0690B"/>
    <w:rsid w:val="00E11CA6"/>
    <w:rsid w:val="00E12A4B"/>
    <w:rsid w:val="00E14565"/>
    <w:rsid w:val="00E20612"/>
    <w:rsid w:val="00E22AC2"/>
    <w:rsid w:val="00E23E64"/>
    <w:rsid w:val="00E25683"/>
    <w:rsid w:val="00E27FB2"/>
    <w:rsid w:val="00E36A45"/>
    <w:rsid w:val="00E404F2"/>
    <w:rsid w:val="00E453EB"/>
    <w:rsid w:val="00E50DF3"/>
    <w:rsid w:val="00E52D63"/>
    <w:rsid w:val="00E557B9"/>
    <w:rsid w:val="00E57CCE"/>
    <w:rsid w:val="00E636D7"/>
    <w:rsid w:val="00E65419"/>
    <w:rsid w:val="00E67CF3"/>
    <w:rsid w:val="00E75165"/>
    <w:rsid w:val="00E760F8"/>
    <w:rsid w:val="00E87A4F"/>
    <w:rsid w:val="00E9410A"/>
    <w:rsid w:val="00EA5C58"/>
    <w:rsid w:val="00EB3E6F"/>
    <w:rsid w:val="00EB554A"/>
    <w:rsid w:val="00ED5560"/>
    <w:rsid w:val="00F0169F"/>
    <w:rsid w:val="00F109D2"/>
    <w:rsid w:val="00F12DC2"/>
    <w:rsid w:val="00F14038"/>
    <w:rsid w:val="00F152DF"/>
    <w:rsid w:val="00F26E86"/>
    <w:rsid w:val="00F32A3D"/>
    <w:rsid w:val="00F41092"/>
    <w:rsid w:val="00F437D2"/>
    <w:rsid w:val="00F44875"/>
    <w:rsid w:val="00F62674"/>
    <w:rsid w:val="00F65531"/>
    <w:rsid w:val="00F707CA"/>
    <w:rsid w:val="00F77257"/>
    <w:rsid w:val="00F81142"/>
    <w:rsid w:val="00F82B8E"/>
    <w:rsid w:val="00F8440A"/>
    <w:rsid w:val="00F918F6"/>
    <w:rsid w:val="00FC037A"/>
    <w:rsid w:val="00FD3669"/>
    <w:rsid w:val="00FD66F1"/>
    <w:rsid w:val="00FD71DF"/>
    <w:rsid w:val="00FF1AC3"/>
    <w:rsid w:val="00FF69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C912A1"/>
  <w15:docId w15:val="{66DF8DD4-FC53-45A2-A472-CFCF2F29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6F1"/>
  </w:style>
  <w:style w:type="paragraph" w:styleId="Footer">
    <w:name w:val="footer"/>
    <w:basedOn w:val="Normal"/>
    <w:link w:val="FooterChar"/>
    <w:uiPriority w:val="99"/>
    <w:unhideWhenUsed/>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6F1"/>
  </w:style>
  <w:style w:type="paragraph" w:styleId="BalloonText">
    <w:name w:val="Balloon Text"/>
    <w:basedOn w:val="Normal"/>
    <w:link w:val="BalloonTextChar"/>
    <w:uiPriority w:val="99"/>
    <w:semiHidden/>
    <w:unhideWhenUsed/>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6F1"/>
    <w:rPr>
      <w:rFonts w:ascii="Tahoma" w:hAnsi="Tahoma" w:cs="Tahoma"/>
      <w:sz w:val="16"/>
      <w:szCs w:val="16"/>
    </w:rPr>
  </w:style>
  <w:style w:type="paragraph" w:styleId="ListParagraph">
    <w:name w:val="List Paragraph"/>
    <w:basedOn w:val="Normal"/>
    <w:uiPriority w:val="34"/>
    <w:qFormat/>
    <w:rsid w:val="00A72E7B"/>
    <w:pPr>
      <w:ind w:left="720"/>
      <w:contextualSpacing/>
    </w:pPr>
  </w:style>
  <w:style w:type="paragraph" w:styleId="ListContinue">
    <w:name w:val="List Continue"/>
    <w:basedOn w:val="Normal"/>
    <w:rsid w:val="00D80FBD"/>
    <w:pPr>
      <w:numPr>
        <w:numId w:val="2"/>
      </w:numPr>
      <w:spacing w:after="120" w:line="480" w:lineRule="auto"/>
    </w:pPr>
    <w:rPr>
      <w:rFonts w:ascii="Times New Roman" w:eastAsia="Times New Roman" w:hAnsi="Times New Roman" w:cs="Times New Roman"/>
      <w:sz w:val="26"/>
      <w:szCs w:val="24"/>
    </w:rPr>
  </w:style>
  <w:style w:type="paragraph" w:customStyle="1" w:styleId="LegalFormat">
    <w:name w:val="Legal Format"/>
    <w:basedOn w:val="ListContinue"/>
    <w:rsid w:val="00D80FBD"/>
    <w:pPr>
      <w:spacing w:after="0"/>
      <w:ind w:left="0"/>
    </w:pPr>
    <w:rPr>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E636D7"/>
  </w:style>
  <w:style w:type="paragraph" w:styleId="FootnoteText">
    <w:name w:val="footnote text"/>
    <w:aliases w:val=" Char,Char,Footnote Text Char Char Char Char Char,Footnote Text Char Char1 Char,Footnote Text Char1 Char Char Char,Footnote Text Char1 Char Char Char Char Char Char Char,Footnote Text Char1 Char1 Char,Footnote Text Char2 Char,fn,fn1,fn3,ft"/>
    <w:basedOn w:val="Normal"/>
    <w:link w:val="FootnoteTextChar1"/>
    <w:qFormat/>
    <w:rsid w:val="00E636D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Footnote Text Char Char Char1,Footnote Text Char1 Char Char1,Footnote Text Char1 Char2,Footnote Text MRP Char,fn1 Char"/>
    <w:basedOn w:val="DefaultParagraphFont"/>
    <w:uiPriority w:val="99"/>
    <w:rsid w:val="00E636D7"/>
    <w:rPr>
      <w:sz w:val="20"/>
      <w:szCs w:val="20"/>
    </w:rPr>
  </w:style>
  <w:style w:type="character" w:customStyle="1" w:styleId="FootnoteTextChar1">
    <w:name w:val="Footnote Text Char1"/>
    <w:aliases w:val="Footnote Text Char Char Char Char Char Char,Footnote Text Char Char1 Char Char,Footnote Text Char1 Char Char Char Char,Footnote Text Char1 Char Char Char Char Char Char Char Char,Footnote Text Char2 Char Char,fn Char,fn3 Char,ft Char"/>
    <w:link w:val="FootnoteText"/>
    <w:uiPriority w:val="99"/>
    <w:rsid w:val="00E636D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7700F"/>
    <w:rPr>
      <w:sz w:val="16"/>
      <w:szCs w:val="16"/>
    </w:rPr>
  </w:style>
  <w:style w:type="paragraph" w:styleId="CommentText">
    <w:name w:val="annotation text"/>
    <w:basedOn w:val="Normal"/>
    <w:link w:val="CommentTextChar"/>
    <w:uiPriority w:val="99"/>
    <w:unhideWhenUsed/>
    <w:rsid w:val="0057700F"/>
    <w:pPr>
      <w:spacing w:line="240" w:lineRule="auto"/>
    </w:pPr>
    <w:rPr>
      <w:sz w:val="20"/>
      <w:szCs w:val="20"/>
    </w:rPr>
  </w:style>
  <w:style w:type="character" w:customStyle="1" w:styleId="CommentTextChar">
    <w:name w:val="Comment Text Char"/>
    <w:basedOn w:val="DefaultParagraphFont"/>
    <w:link w:val="CommentText"/>
    <w:uiPriority w:val="99"/>
    <w:rsid w:val="0057700F"/>
    <w:rPr>
      <w:sz w:val="20"/>
      <w:szCs w:val="20"/>
    </w:rPr>
  </w:style>
  <w:style w:type="paragraph" w:styleId="CommentSubject">
    <w:name w:val="annotation subject"/>
    <w:basedOn w:val="CommentText"/>
    <w:next w:val="CommentText"/>
    <w:link w:val="CommentSubjectChar"/>
    <w:uiPriority w:val="99"/>
    <w:semiHidden/>
    <w:unhideWhenUsed/>
    <w:rsid w:val="0057700F"/>
    <w:rPr>
      <w:b/>
      <w:bCs/>
    </w:rPr>
  </w:style>
  <w:style w:type="character" w:customStyle="1" w:styleId="CommentSubjectChar">
    <w:name w:val="Comment Subject Char"/>
    <w:basedOn w:val="CommentTextChar"/>
    <w:link w:val="CommentSubject"/>
    <w:uiPriority w:val="99"/>
    <w:semiHidden/>
    <w:rsid w:val="0057700F"/>
    <w:rPr>
      <w:b/>
      <w:bCs/>
      <w:sz w:val="20"/>
      <w:szCs w:val="20"/>
    </w:rPr>
  </w:style>
  <w:style w:type="character" w:styleId="Hyperlink">
    <w:name w:val="Hyperlink"/>
    <w:basedOn w:val="DefaultParagraphFont"/>
    <w:rsid w:val="00761A02"/>
    <w:rPr>
      <w:color w:val="0000FF"/>
      <w:u w:val="single"/>
    </w:rPr>
  </w:style>
  <w:style w:type="character" w:styleId="FollowedHyperlink">
    <w:name w:val="FollowedHyperlink"/>
    <w:basedOn w:val="DefaultParagraphFont"/>
    <w:uiPriority w:val="99"/>
    <w:semiHidden/>
    <w:unhideWhenUsed/>
    <w:rsid w:val="006B6D60"/>
    <w:rPr>
      <w:color w:val="800080" w:themeColor="followedHyperlink"/>
      <w:u w:val="single"/>
    </w:rPr>
  </w:style>
  <w:style w:type="paragraph" w:customStyle="1" w:styleId="Default">
    <w:name w:val="Default"/>
    <w:rsid w:val="00640365"/>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7B3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rc.gov/enforcement-legal/legal/information-collection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elibrary-backup.ferc.gov/idmws/common/OpenNat.asp?fileID=13606637" TargetMode="External" /><Relationship Id="rId2" Type="http://schemas.openxmlformats.org/officeDocument/2006/relationships/hyperlink" Target="http://www.nerc.com/FilingsOrders/us/RuleOfProcedureDL/NERC_ROP_Effective_20161031.pdf" TargetMode="External" /><Relationship Id="rId3" Type="http://schemas.openxmlformats.org/officeDocument/2006/relationships/hyperlink" Target="http://www.nerc.com/pa/Stand/Documents/Appendix_3A_StandardsProcessesManual.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Date xmlns="d6eefc7d-9817-4fa6-84d5-3bc009be21b8">2021-12-14T05:00:00+00:00</Date>
    <Renewal_x0020_Document_x0020_Type xmlns="d6eefc7d-9817-4fa6-84d5-3bc009be21b8">None</Renewal_x0020_Document_x0020_Type>
    <Rulemaking_x0020_Document_x0020_Type xmlns="d6eefc7d-9817-4fa6-84d5-3bc009be21b8">OMB Supporting Statement</Rulemaking_x0020_Document_x0020_Type>
    <_x0033__x002e__x0020_Docket_x0020_Number xmlns="d6eefc7d-9817-4fa6-84d5-3bc009be21b8" xsi:nil="true"/>
    <_x0031__x002e__x0020_Collection_x0020_Number xmlns="d6eefc7d-9817-4fa6-84d5-3bc009be21b8">725X</_x0031__x002e__x0020_Collection_x0020_Number>
    <Status xmlns="d6eefc7d-9817-4fa6-84d5-3bc009be21b8">Final</Status>
    <_x0032__x002e__x0020_Docket_x0020_Number xmlns="d6eefc7d-9817-4fa6-84d5-3bc009be21b8" xsi:nil="true"/>
    <_x0032__x002e__x0020_Collection_x0020_Number xmlns="d6eefc7d-9817-4fa6-84d5-3bc009be21b8" xsi:nil="true"/>
    <_x0031__x002e__x0020_Docket_x0020_Number xmlns="d6eefc7d-9817-4fa6-84d5-3bc009be21b8">IC21-12</_x0031__x002e__x0020_Docket_x0020_Number>
    <_x0033__x002e__x0020_Collection_x0020_Number xmlns="d6eefc7d-9817-4fa6-84d5-3bc009be21b8" xsi:nil="true"/>
    <TaxCatchAll xmlns="5a7c6213-c3f8-4376-93f2-dc58e5c51d54" xsi:nil="true"/>
    <lcf76f155ced4ddcb4097134ff3c332f xmlns="e029e753-062b-49ce-baa7-feb352134f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AB4819515F02041B733A30B504091D8" ma:contentTypeVersion="25" ma:contentTypeDescription="Create a new document." ma:contentTypeScope="" ma:versionID="082e90d60dd37ab01e90c34fab6c37c5">
  <xsd:schema xmlns:xsd="http://www.w3.org/2001/XMLSchema" xmlns:xs="http://www.w3.org/2001/XMLSchema" xmlns:p="http://schemas.microsoft.com/office/2006/metadata/properties" xmlns:ns2="d6eefc7d-9817-4fa6-84d5-3bc009be21b8" xmlns:ns3="e029e753-062b-49ce-baa7-feb352134f8f" xmlns:ns4="5a7c6213-c3f8-4376-93f2-dc58e5c51d54" targetNamespace="http://schemas.microsoft.com/office/2006/metadata/properties" ma:root="true" ma:fieldsID="e466ebfd94c05f1c89097b3b18a86adf" ns2:_="" ns3:_="" ns4:_="">
    <xsd:import namespace="d6eefc7d-9817-4fa6-84d5-3bc009be21b8"/>
    <xsd:import namespace="e029e753-062b-49ce-baa7-feb352134f8f"/>
    <xsd:import namespace="5a7c6213-c3f8-4376-93f2-dc58e5c51d54"/>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element ref="ns3:lcf76f155ced4ddcb4097134ff3c332f" minOccurs="0"/>
                <xsd:element ref="ns4:TaxCatchAll"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dexed="true"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dexed="true"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dexed="true"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dexed="true"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e029e753-062b-49ce-baa7-feb352134f8f"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106a42-f136-493a-9b07-5365c92b590c}" ma:internalName="TaxCatchAll" ma:showField="CatchAllData" ma:web="5a7c6213-c3f8-4376-93f2-dc58e5c51d5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3A4479-0543-455B-A152-110FB41B2830}">
  <ds:schemaRefs>
    <ds:schemaRef ds:uri="http://purl.org/dc/terms/"/>
    <ds:schemaRef ds:uri="http://schemas.openxmlformats.org/package/2006/metadata/core-properties"/>
    <ds:schemaRef ds:uri="http://schemas.microsoft.com/office/2006/documentManagement/types"/>
    <ds:schemaRef ds:uri="e029e753-062b-49ce-baa7-feb352134f8f"/>
    <ds:schemaRef ds:uri="5a7c6213-c3f8-4376-93f2-dc58e5c51d54"/>
    <ds:schemaRef ds:uri="http://purl.org/dc/elements/1.1/"/>
    <ds:schemaRef ds:uri="http://schemas.microsoft.com/office/2006/metadata/properties"/>
    <ds:schemaRef ds:uri="d6eefc7d-9817-4fa6-84d5-3bc009be21b8"/>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9C6C5CF-3CE0-47E8-B44B-CB4D7C85D04F}">
  <ds:schemaRefs>
    <ds:schemaRef ds:uri="http://schemas.microsoft.com/sharepoint/v3/contenttype/forms"/>
  </ds:schemaRefs>
</ds:datastoreItem>
</file>

<file path=customXml/itemProps3.xml><?xml version="1.0" encoding="utf-8"?>
<ds:datastoreItem xmlns:ds="http://schemas.openxmlformats.org/officeDocument/2006/customXml" ds:itemID="{49A9290A-2C5A-484C-AA23-D51AC0AF7506}">
  <ds:schemaRefs>
    <ds:schemaRef ds:uri="http://schemas.openxmlformats.org/officeDocument/2006/bibliography"/>
  </ds:schemaRefs>
</ds:datastoreItem>
</file>

<file path=customXml/itemProps4.xml><?xml version="1.0" encoding="utf-8"?>
<ds:datastoreItem xmlns:ds="http://schemas.openxmlformats.org/officeDocument/2006/customXml" ds:itemID="{F084B663-95E7-45A0-8FE6-D5E201397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e029e753-062b-49ce-baa7-feb352134f8f"/>
    <ds:schemaRef ds:uri="5a7c6213-c3f8-4376-93f2-dc58e5c51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2467</Words>
  <Characters>14064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FERC-725X supporting statement</vt:lpstr>
    </vt:vector>
  </TitlesOfParts>
  <Company>FERC</Company>
  <LinksUpToDate>false</LinksUpToDate>
  <CharactersWithSpaces>16499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FERC-725X supporting statement</dc:title>
  <dc:creator>ferc</dc:creator>
  <cp:lastModifiedBy>Kayla Williams</cp:lastModifiedBy>
  <cp:revision>4</cp:revision>
  <dcterms:created xsi:type="dcterms:W3CDTF">2024-10-23T15:12:00Z</dcterms:created>
  <dcterms:modified xsi:type="dcterms:W3CDTF">2024-10-31T15:22:00Z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0x0101006AB4819515F02041B733A30B504091D8</vt:lpwstr>
  </property>
  <property fmtid="{D5CDD505-2E9C-101B-9397-08002B2CF9AE}" pid="3" name="MediaServiceImageTags">
    <vt:lpwstr/>
  </property>
  <property fmtid="{D5CDD505-2E9C-101B-9397-08002B2CF9AE}" pid="4" name="MSIP_Label_bd24d06a-0e85-4d57-b1e0-ba34b1abc708_ActionId">
    <vt:lpwstr>7abed3cb-57f1-4a41-98f4-8d71096efa78</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2024-10-09T20:05:47Z</vt:lpwstr>
  </property>
  <property fmtid="{D5CDD505-2E9C-101B-9397-08002B2CF9AE}" pid="10" name="MSIP_Label_bd24d06a-0e85-4d57-b1e0-ba34b1abc708_SiteId">
    <vt:lpwstr>19caa9e9-04ff-43fa-885f-d77fac387903</vt:lpwstr>
  </property>
</Properties>
</file>