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0575" w14:paraId="5986C92C" w14:textId="27D4204A">
      <w:pPr>
        <w:pStyle w:val="BodyText"/>
        <w:rPr>
          <w:rFonts w:ascii="Times New Roman"/>
          <w:sz w:val="28"/>
        </w:rPr>
      </w:pPr>
    </w:p>
    <w:p w:rsidR="00D60575" w14:paraId="5986C92D" w14:textId="77777777">
      <w:pPr>
        <w:pStyle w:val="BodyText"/>
        <w:spacing w:before="309"/>
        <w:rPr>
          <w:rFonts w:ascii="Times New Roman"/>
          <w:sz w:val="28"/>
        </w:rPr>
      </w:pPr>
    </w:p>
    <w:p w:rsidR="00D60575" w14:paraId="5986C92E" w14:textId="7604C3CD">
      <w:pPr>
        <w:pStyle w:val="Title"/>
      </w:pPr>
      <w:r>
        <w:rPr>
          <w:spacing w:val="-4"/>
        </w:rPr>
        <w:t>EIA-</w:t>
      </w:r>
      <w:r w:rsidR="00A44A9B">
        <w:rPr>
          <w:spacing w:val="-5"/>
        </w:rPr>
        <w:t>112</w:t>
      </w:r>
    </w:p>
    <w:p w:rsidR="00D60575" w14:paraId="5986C92F" w14:textId="609F112C">
      <w:pPr>
        <w:spacing w:before="3"/>
        <w:ind w:left="4" w:right="4"/>
        <w:jc w:val="center"/>
        <w:rPr>
          <w:sz w:val="24"/>
        </w:rPr>
      </w:pPr>
      <w:r w:rsidRPr="00335733">
        <w:rPr>
          <w:i/>
          <w:iCs/>
          <w:sz w:val="24"/>
        </w:rPr>
        <w:t>RESIDENTIAL UTILITY DISCONNECTIONS SURVEY</w:t>
      </w:r>
      <w:r>
        <w:rPr>
          <w:sz w:val="24"/>
        </w:rPr>
        <w:t xml:space="preserve"> INSTRUCTIONS</w:t>
      </w:r>
    </w:p>
    <w:p w:rsidR="00D60575" w14:paraId="5986C930" w14:textId="77777777">
      <w:pPr>
        <w:pStyle w:val="Heading1"/>
        <w:spacing w:before="283"/>
      </w:pPr>
      <w:r>
        <w:t>YOUR</w:t>
      </w:r>
      <w:r>
        <w:rPr>
          <w:spacing w:val="-3"/>
        </w:rPr>
        <w:t xml:space="preserve"> </w:t>
      </w:r>
      <w:r>
        <w:t>RESPONSE</w:t>
      </w:r>
      <w:r>
        <w:rPr>
          <w:spacing w:val="-2"/>
        </w:rPr>
        <w:t xml:space="preserve"> </w:t>
      </w:r>
      <w:r>
        <w:t>IS</w:t>
      </w:r>
      <w:r>
        <w:rPr>
          <w:spacing w:val="-2"/>
        </w:rPr>
        <w:t xml:space="preserve"> </w:t>
      </w:r>
      <w:r>
        <w:t>REQUIRED</w:t>
      </w:r>
      <w:r>
        <w:rPr>
          <w:spacing w:val="-1"/>
        </w:rPr>
        <w:t xml:space="preserve"> </w:t>
      </w:r>
      <w:r>
        <w:t>BY</w:t>
      </w:r>
      <w:r>
        <w:rPr>
          <w:spacing w:val="-1"/>
        </w:rPr>
        <w:t xml:space="preserve"> </w:t>
      </w:r>
      <w:r>
        <w:rPr>
          <w:spacing w:val="-5"/>
        </w:rPr>
        <w:t>LAW</w:t>
      </w:r>
    </w:p>
    <w:p w:rsidR="00D60575" w14:paraId="5986C931" w14:textId="77777777">
      <w:pPr>
        <w:pStyle w:val="BodyText"/>
        <w:spacing w:before="213"/>
        <w:ind w:left="107" w:right="180"/>
      </w:pPr>
      <w:r>
        <w:t>This</w:t>
      </w:r>
      <w:r>
        <w:rPr>
          <w:spacing w:val="-2"/>
        </w:rPr>
        <w:t xml:space="preserve"> </w:t>
      </w:r>
      <w:r>
        <w:t>report</w:t>
      </w:r>
      <w:r>
        <w:rPr>
          <w:spacing w:val="-2"/>
        </w:rPr>
        <w:t xml:space="preserve"> </w:t>
      </w:r>
      <w:r>
        <w:t>is</w:t>
      </w:r>
      <w:r>
        <w:rPr>
          <w:spacing w:val="-2"/>
        </w:rPr>
        <w:t xml:space="preserve"> </w:t>
      </w:r>
      <w:r>
        <w:t>mandatory</w:t>
      </w:r>
      <w:r>
        <w:rPr>
          <w:spacing w:val="-2"/>
        </w:rPr>
        <w:t xml:space="preserve"> </w:t>
      </w:r>
      <w:r>
        <w:t>under</w:t>
      </w:r>
      <w:r>
        <w:rPr>
          <w:spacing w:val="-2"/>
        </w:rPr>
        <w:t xml:space="preserve"> </w:t>
      </w:r>
      <w:r>
        <w:t>Title</w:t>
      </w:r>
      <w:r>
        <w:rPr>
          <w:spacing w:val="-3"/>
        </w:rPr>
        <w:t xml:space="preserve"> </w:t>
      </w:r>
      <w:r>
        <w:t>15</w:t>
      </w:r>
      <w:r>
        <w:rPr>
          <w:spacing w:val="-2"/>
        </w:rPr>
        <w:t xml:space="preserve"> </w:t>
      </w:r>
      <w:r>
        <w:t>U.S.C.</w:t>
      </w:r>
      <w:r>
        <w:rPr>
          <w:spacing w:val="-2"/>
        </w:rPr>
        <w:t xml:space="preserve"> </w:t>
      </w:r>
      <w:r>
        <w:t>§772(b).</w:t>
      </w:r>
      <w:r>
        <w:rPr>
          <w:spacing w:val="-2"/>
        </w:rPr>
        <w:t xml:space="preserve"> </w:t>
      </w:r>
      <w:r>
        <w:t>Failure</w:t>
      </w:r>
      <w:r>
        <w:rPr>
          <w:spacing w:val="-3"/>
        </w:rPr>
        <w:t xml:space="preserve"> </w:t>
      </w:r>
      <w:r>
        <w:t>to</w:t>
      </w:r>
      <w:r>
        <w:rPr>
          <w:spacing w:val="-2"/>
        </w:rPr>
        <w:t xml:space="preserve"> </w:t>
      </w:r>
      <w:r>
        <w:t>comply</w:t>
      </w:r>
      <w:r>
        <w:rPr>
          <w:spacing w:val="-2"/>
        </w:rPr>
        <w:t xml:space="preserve"> </w:t>
      </w:r>
      <w:r>
        <w:t>may</w:t>
      </w:r>
      <w:r>
        <w:rPr>
          <w:spacing w:val="-1"/>
        </w:rPr>
        <w:t xml:space="preserve"> </w:t>
      </w:r>
      <w:r>
        <w:t>result</w:t>
      </w:r>
      <w:r>
        <w:rPr>
          <w:spacing w:val="-2"/>
        </w:rPr>
        <w:t xml:space="preserve"> </w:t>
      </w:r>
      <w:r>
        <w:t>in</w:t>
      </w:r>
      <w:r>
        <w:rPr>
          <w:spacing w:val="-2"/>
        </w:rPr>
        <w:t xml:space="preserve"> </w:t>
      </w:r>
      <w:r>
        <w:t>criminal</w:t>
      </w:r>
      <w:r>
        <w:rPr>
          <w:spacing w:val="-2"/>
        </w:rPr>
        <w:t xml:space="preserve"> </w:t>
      </w:r>
      <w:r>
        <w:t>fines,</w:t>
      </w:r>
      <w:r>
        <w:rPr>
          <w:spacing w:val="-2"/>
        </w:rPr>
        <w:t xml:space="preserve"> </w:t>
      </w:r>
      <w:r>
        <w:t>civil</w:t>
      </w:r>
      <w:r>
        <w:rPr>
          <w:spacing w:val="-3"/>
        </w:rPr>
        <w:t xml:space="preserve"> </w:t>
      </w:r>
      <w:r>
        <w:t>penalties</w:t>
      </w:r>
      <w:r>
        <w:rPr>
          <w:spacing w:val="-2"/>
        </w:rPr>
        <w:t xml:space="preserve"> </w:t>
      </w:r>
      <w:r>
        <w:t>and</w:t>
      </w:r>
      <w:r>
        <w:rPr>
          <w:spacing w:val="-2"/>
        </w:rPr>
        <w:t xml:space="preserve"> </w:t>
      </w:r>
      <w:r>
        <w:t>other sanctions as provided by Title 15 U.S.C. §797. Title 18 U.S.C. §1001 makes it a criminal offense for any person knowingly and willingly to make to any Agency or Department of the United States any false, fictitious, or fraudulent statements as to any matter within its jurisdiction.</w:t>
      </w:r>
    </w:p>
    <w:p w:rsidR="00D60575" w:rsidP="00DE12F9" w14:paraId="5986C933" w14:textId="01B20953">
      <w:pPr>
        <w:pStyle w:val="BodyText"/>
        <w:spacing w:before="186"/>
        <w:ind w:left="107" w:right="180"/>
      </w:pPr>
      <w:r>
        <w:t>Form EIA-112 must be completed annually by electric power entities and natural gas entities that serve residential customers. During the first collection cycle, these entities will comprise the frames of Form EIA-861 (small entities filing EIA-861S are excluded) and Form EIA-176. For the following two cycles, these entities will comprise the</w:t>
      </w:r>
      <w:r w:rsidR="1A77C76F">
        <w:t xml:space="preserve"> combined samples of</w:t>
      </w:r>
      <w:r>
        <w:t xml:space="preserve"> Form EIA-861M and Form EIA-857.</w:t>
      </w:r>
    </w:p>
    <w:p w:rsidR="00DE12F9" w:rsidP="00DE12F9" w14:paraId="12D0B72E" w14:textId="77777777">
      <w:pPr>
        <w:pStyle w:val="BodyText"/>
        <w:spacing w:before="186"/>
        <w:ind w:left="107" w:right="180"/>
      </w:pPr>
    </w:p>
    <w:p w:rsidR="00D60575" w14:paraId="5986C934" w14:textId="77777777">
      <w:pPr>
        <w:pStyle w:val="Heading1"/>
        <w:rPr>
          <w:spacing w:val="-2"/>
        </w:rPr>
      </w:pPr>
      <w:r>
        <w:rPr>
          <w:spacing w:val="-2"/>
        </w:rPr>
        <w:t>PURPOSE</w:t>
      </w:r>
    </w:p>
    <w:p w:rsidR="00894D32" w:rsidP="007E4509" w14:paraId="0C39633A" w14:textId="77777777">
      <w:pPr>
        <w:pStyle w:val="BodyText"/>
      </w:pPr>
    </w:p>
    <w:p w:rsidR="00894D32" w:rsidP="00894D32" w14:paraId="0DA1B380" w14:textId="4F9A13F9">
      <w:pPr>
        <w:pStyle w:val="BodyText"/>
        <w:ind w:left="107"/>
        <w:rPr>
          <w:b/>
          <w:bCs/>
        </w:rPr>
      </w:pPr>
      <w:r w:rsidRPr="00894D32">
        <w:t xml:space="preserve">The U.S. Energy Information Administration’s (EIA) Form EIA-112, Residential Utility Disconnections Survey, collects information on customer counts, final notices, disconnections, and reconnections in all 50 states plus the District of Columbia and Puerto Rico. Information based on the data collected from this form will be made available in EIA publications and databases. The data collected on this form are used to monitor the </w:t>
      </w:r>
      <w:r w:rsidRPr="00894D32" w:rsidR="005B2FFF">
        <w:t>status</w:t>
      </w:r>
      <w:r w:rsidRPr="00894D32">
        <w:t xml:space="preserve"> and trends of utility disconnections. The EIA-112 aims to better inform policymakers with authority over the Low-Income Home Energy Assistance Program (LIHEAP), (previously named the Low-Income Heating Energy Assistance Program). Data from the new survey will aid in setting appropriate levels of budgetary support for the LIHEAP by providing reliable metrics on the frequency of utility disconnections among commodities and between states.</w:t>
      </w:r>
    </w:p>
    <w:p w:rsidR="00D60575" w14:paraId="5986C936" w14:textId="6FE70B19">
      <w:pPr>
        <w:pStyle w:val="Heading1"/>
        <w:spacing w:before="291"/>
      </w:pPr>
      <w:r>
        <w:t>RESPONSE</w:t>
      </w:r>
      <w:r>
        <w:rPr>
          <w:spacing w:val="-5"/>
        </w:rPr>
        <w:t xml:space="preserve"> </w:t>
      </w:r>
      <w:r>
        <w:t>DUE</w:t>
      </w:r>
      <w:r>
        <w:rPr>
          <w:spacing w:val="-1"/>
        </w:rPr>
        <w:t xml:space="preserve"> </w:t>
      </w:r>
      <w:r>
        <w:rPr>
          <w:spacing w:val="-4"/>
        </w:rPr>
        <w:t>DATE</w:t>
      </w:r>
    </w:p>
    <w:p w:rsidR="007E4509" w:rsidP="007E4509" w14:paraId="40947BA6" w14:textId="77777777">
      <w:pPr>
        <w:pStyle w:val="BodyText"/>
        <w:ind w:firstLine="107"/>
      </w:pPr>
    </w:p>
    <w:p w:rsidR="00D60575" w:rsidRPr="007E4509" w:rsidP="007E4509" w14:paraId="5986C938" w14:textId="4BA97FB1">
      <w:pPr>
        <w:pStyle w:val="BodyText"/>
        <w:ind w:firstLine="107"/>
      </w:pPr>
      <w:r w:rsidRPr="007E4509">
        <w:t>Submit the completed Form EIA-112 to EIA by February 28, following the end of the calendar year.</w:t>
      </w:r>
    </w:p>
    <w:p w:rsidR="007E4509" w:rsidRPr="007E4509" w:rsidP="007E4509" w14:paraId="7FE712D0" w14:textId="77777777">
      <w:pPr>
        <w:pStyle w:val="BodyText"/>
      </w:pPr>
    </w:p>
    <w:p w:rsidR="00D60575" w14:paraId="5986C939" w14:textId="5FAC8075">
      <w:pPr>
        <w:pStyle w:val="Heading1"/>
      </w:pPr>
      <w:r>
        <w:t>HOW</w:t>
      </w:r>
      <w:r>
        <w:rPr>
          <w:spacing w:val="-3"/>
        </w:rPr>
        <w:t xml:space="preserve"> </w:t>
      </w:r>
      <w:r>
        <w:t>TO FILE A</w:t>
      </w:r>
      <w:r>
        <w:rPr>
          <w:spacing w:val="-2"/>
        </w:rPr>
        <w:t xml:space="preserve"> RESPONSE</w:t>
      </w:r>
    </w:p>
    <w:p w:rsidR="001C1CCA" w14:paraId="4CE10246" w14:textId="77777777">
      <w:pPr>
        <w:pStyle w:val="BodyText"/>
        <w:spacing w:before="124"/>
        <w:ind w:left="107" w:right="180"/>
      </w:pPr>
      <w:r>
        <w:t>Respondents</w:t>
      </w:r>
      <w:r>
        <w:rPr>
          <w:spacing w:val="-2"/>
        </w:rPr>
        <w:t xml:space="preserve"> </w:t>
      </w:r>
      <w:r>
        <w:t>should</w:t>
      </w:r>
      <w:r>
        <w:rPr>
          <w:spacing w:val="-3"/>
        </w:rPr>
        <w:t xml:space="preserve"> </w:t>
      </w:r>
      <w:r>
        <w:t>transmit</w:t>
      </w:r>
      <w:r>
        <w:t xml:space="preserve"> using one of two modes of submission.</w:t>
      </w:r>
    </w:p>
    <w:p w:rsidR="00834513" w:rsidP="00834513" w14:paraId="0B2DA521" w14:textId="4FB992BA">
      <w:pPr>
        <w:pStyle w:val="Heading2"/>
        <w:spacing w:before="201"/>
      </w:pPr>
      <w:r>
        <w:t>EIA Respondent Portal (</w:t>
      </w:r>
      <w:r w:rsidR="00B17BEE">
        <w:t>PREFERRED</w:t>
      </w:r>
      <w:r>
        <w:t>)</w:t>
      </w:r>
    </w:p>
    <w:p w:rsidR="00834513" w:rsidP="00086150" w14:paraId="24C3EB7B" w14:textId="16763D4B">
      <w:pPr>
        <w:pStyle w:val="BodyText"/>
        <w:spacing w:before="124"/>
        <w:ind w:left="107" w:right="180"/>
        <w:rPr>
          <w:bCs/>
        </w:rPr>
      </w:pPr>
      <w:r w:rsidRPr="00834513">
        <w:rPr>
          <w:bCs/>
        </w:rPr>
        <w:t>With the Internet‐based option, EIA uses security protocols to protect the informa</w:t>
      </w:r>
      <w:r>
        <w:rPr>
          <w:bCs/>
        </w:rPr>
        <w:t>tion</w:t>
      </w:r>
      <w:r w:rsidRPr="00834513">
        <w:rPr>
          <w:bCs/>
        </w:rPr>
        <w:t xml:space="preserve"> against unauthorized access during trans‐mission.</w:t>
      </w:r>
    </w:p>
    <w:p w:rsidR="00086150" w:rsidP="00B24277" w14:paraId="01F5AD57" w14:textId="7D09FB59">
      <w:pPr>
        <w:pStyle w:val="BodyText"/>
        <w:spacing w:before="124"/>
        <w:ind w:left="107" w:right="180"/>
        <w:rPr>
          <w:bCs/>
        </w:rPr>
      </w:pPr>
      <w:hyperlink r:id="rId7" w:history="1">
        <w:r w:rsidRPr="00966654">
          <w:rPr>
            <w:rStyle w:val="Hyperlink"/>
            <w:bCs/>
          </w:rPr>
          <w:t>https://survey.eia.gov</w:t>
        </w:r>
      </w:hyperlink>
    </w:p>
    <w:p w:rsidR="00E84A8B" w:rsidRPr="00B24277" w:rsidP="00B24277" w14:paraId="17F99708" w14:textId="14B6B918">
      <w:pPr>
        <w:pStyle w:val="BodyText"/>
        <w:spacing w:before="124"/>
        <w:ind w:left="107" w:right="180"/>
        <w:rPr>
          <w:bCs/>
        </w:rPr>
      </w:pPr>
      <w:r>
        <w:rPr>
          <w:bCs/>
        </w:rPr>
        <w:t>Further instructions on how to register of the EIA Respondent Portal</w:t>
      </w:r>
      <w:r w:rsidR="00E00DB6">
        <w:rPr>
          <w:bCs/>
        </w:rPr>
        <w:t>, along with more information on Form EIA-112,</w:t>
      </w:r>
      <w:r>
        <w:rPr>
          <w:bCs/>
        </w:rPr>
        <w:t xml:space="preserve"> are available </w:t>
      </w:r>
      <w:r w:rsidR="00E00DB6">
        <w:rPr>
          <w:bCs/>
        </w:rPr>
        <w:t xml:space="preserve">at </w:t>
      </w:r>
      <w:hyperlink r:id="rId8" w:anchor="eia-112" w:history="1">
        <w:r w:rsidRPr="00966654" w:rsidR="00E00DB6">
          <w:rPr>
            <w:rStyle w:val="Hyperlink"/>
            <w:bCs/>
          </w:rPr>
          <w:t>https://www.eia.gov/survey/#eia-112</w:t>
        </w:r>
      </w:hyperlink>
      <w:r w:rsidR="00E00DB6">
        <w:rPr>
          <w:bCs/>
        </w:rPr>
        <w:t xml:space="preserve">. </w:t>
      </w:r>
      <w:r w:rsidR="007034C5">
        <w:rPr>
          <w:bCs/>
        </w:rPr>
        <w:t>A PD document with d</w:t>
      </w:r>
      <w:r w:rsidR="00E00DB6">
        <w:rPr>
          <w:bCs/>
        </w:rPr>
        <w:t xml:space="preserve">etailed instructions for the EIA Respondent Portal are available </w:t>
      </w:r>
      <w:hyperlink r:id="rId9" w:history="1">
        <w:r w:rsidRPr="00E00DB6" w:rsidR="00E00DB6">
          <w:rPr>
            <w:rStyle w:val="Hyperlink"/>
            <w:bCs/>
          </w:rPr>
          <w:t>here</w:t>
        </w:r>
      </w:hyperlink>
      <w:r w:rsidR="00E00DB6">
        <w:rPr>
          <w:bCs/>
        </w:rPr>
        <w:t>.</w:t>
      </w:r>
    </w:p>
    <w:p w:rsidR="001C1CCA" w:rsidP="001C1CCA" w14:paraId="62E83281" w14:textId="0E65C675">
      <w:pPr>
        <w:pStyle w:val="Heading2"/>
      </w:pPr>
      <w:r>
        <w:t>Secure File Tra</w:t>
      </w:r>
      <w:r w:rsidR="00834513">
        <w:t>ns</w:t>
      </w:r>
      <w:r>
        <w:t>fer</w:t>
      </w:r>
    </w:p>
    <w:p w:rsidR="00D60575" w14:paraId="5986C93A" w14:textId="3D78F8BD">
      <w:pPr>
        <w:pStyle w:val="BodyText"/>
        <w:spacing w:before="124"/>
        <w:ind w:left="107" w:right="180"/>
      </w:pPr>
      <w:r>
        <w:t>Secure transmission is an industry standard method to send information over the internet using encrypted processes.</w:t>
      </w:r>
      <w:r>
        <w:rPr>
          <w:spacing w:val="40"/>
        </w:rPr>
        <w:t xml:space="preserve"> </w:t>
      </w:r>
      <w:r>
        <w:t>The secure hypertext transfer protocol (HTTPS) is a communications protocol designed to transfer encrypted information between computers over the Internet.</w:t>
      </w:r>
      <w:r w:rsidR="00DE12F9">
        <w:t xml:space="preserve"> </w:t>
      </w:r>
      <w:r w:rsidRPr="00DE12F9" w:rsidR="00DE12F9">
        <w:t>Files must be saved to your personal computer.</w:t>
      </w:r>
      <w:r w:rsidR="00DE12F9">
        <w:t xml:space="preserve"> EIA does not accept email, fax, or mailed paper forms</w:t>
      </w:r>
      <w:r w:rsidR="44727296">
        <w:t>.</w:t>
      </w:r>
    </w:p>
    <w:p w:rsidR="001C1CCA" w14:paraId="29CBF4A8" w14:textId="1075A9F9">
      <w:pPr>
        <w:pStyle w:val="BodyText"/>
        <w:spacing w:before="124"/>
        <w:ind w:left="107" w:right="180"/>
      </w:pPr>
      <w:hyperlink r:id="rId10">
        <w:r>
          <w:rPr>
            <w:color w:val="0000FF"/>
            <w:spacing w:val="-2"/>
            <w:u w:val="single" w:color="0000FF"/>
          </w:rPr>
          <w:t>https://signon.eia.doe.gov/upload/noticeoog.jsp</w:t>
        </w:r>
      </w:hyperlink>
    </w:p>
    <w:p w:rsidR="00CE3F81" w:rsidP="00CE3F81" w14:paraId="2A55FEB1" w14:textId="77419410">
      <w:pPr>
        <w:pStyle w:val="BodyText"/>
        <w:spacing w:line="518" w:lineRule="auto"/>
        <w:ind w:left="107" w:right="2339"/>
        <w:rPr>
          <w:color w:val="0000FF"/>
          <w:spacing w:val="-2"/>
        </w:rPr>
      </w:pPr>
      <w:r>
        <w:t>Copies</w:t>
      </w:r>
      <w:r>
        <w:rPr>
          <w:spacing w:val="-3"/>
        </w:rPr>
        <w:t xml:space="preserve"> </w:t>
      </w:r>
      <w:r>
        <w:t>in</w:t>
      </w:r>
      <w:r>
        <w:rPr>
          <w:spacing w:val="-7"/>
        </w:rPr>
        <w:t xml:space="preserve"> </w:t>
      </w:r>
      <w:r>
        <w:t>spreadsheet</w:t>
      </w:r>
      <w:r>
        <w:rPr>
          <w:spacing w:val="-4"/>
        </w:rPr>
        <w:t xml:space="preserve"> </w:t>
      </w:r>
      <w:r>
        <w:t>format</w:t>
      </w:r>
      <w:r>
        <w:rPr>
          <w:spacing w:val="-4"/>
        </w:rPr>
        <w:t xml:space="preserve"> </w:t>
      </w:r>
      <w:r>
        <w:t>(XLS)</w:t>
      </w:r>
      <w:r>
        <w:rPr>
          <w:spacing w:val="-5"/>
        </w:rPr>
        <w:t xml:space="preserve"> </w:t>
      </w:r>
      <w:r>
        <w:t>are</w:t>
      </w:r>
      <w:r>
        <w:rPr>
          <w:spacing w:val="-5"/>
        </w:rPr>
        <w:t xml:space="preserve"> </w:t>
      </w:r>
      <w:r>
        <w:t>available</w:t>
      </w:r>
      <w:r>
        <w:rPr>
          <w:spacing w:val="-5"/>
        </w:rPr>
        <w:t xml:space="preserve"> </w:t>
      </w:r>
      <w:r>
        <w:t>on</w:t>
      </w:r>
      <w:r>
        <w:rPr>
          <w:spacing w:val="-4"/>
        </w:rPr>
        <w:t xml:space="preserve"> </w:t>
      </w:r>
      <w:r>
        <w:t>EIA's</w:t>
      </w:r>
      <w:r>
        <w:rPr>
          <w:spacing w:val="-4"/>
        </w:rPr>
        <w:t xml:space="preserve"> </w:t>
      </w:r>
      <w:r>
        <w:t>website.</w:t>
      </w:r>
      <w:r>
        <w:rPr>
          <w:spacing w:val="-5"/>
        </w:rPr>
        <w:t xml:space="preserve"> </w:t>
      </w:r>
      <w:r>
        <w:t>You</w:t>
      </w:r>
      <w:r>
        <w:rPr>
          <w:spacing w:val="-5"/>
        </w:rPr>
        <w:t xml:space="preserve"> </w:t>
      </w:r>
      <w:r>
        <w:t>may</w:t>
      </w:r>
      <w:r>
        <w:rPr>
          <w:spacing w:val="-9"/>
        </w:rPr>
        <w:t xml:space="preserve"> </w:t>
      </w:r>
      <w:r>
        <w:t>access</w:t>
      </w:r>
      <w:r>
        <w:rPr>
          <w:spacing w:val="-9"/>
        </w:rPr>
        <w:t xml:space="preserve"> </w:t>
      </w:r>
      <w:r>
        <w:t>the</w:t>
      </w:r>
      <w:r>
        <w:rPr>
          <w:spacing w:val="-12"/>
        </w:rPr>
        <w:t xml:space="preserve"> </w:t>
      </w:r>
      <w:r>
        <w:t>materials</w:t>
      </w:r>
      <w:r w:rsidR="14DB99BC">
        <w:t xml:space="preserve"> </w:t>
      </w:r>
      <w:r>
        <w:t xml:space="preserve">here: </w:t>
      </w:r>
      <w:hyperlink r:id="rId8" w:anchor="eia-112" w:history="1">
        <w:r w:rsidRPr="00966654" w:rsidR="00834513">
          <w:rPr>
            <w:rStyle w:val="Hyperlink"/>
            <w:spacing w:val="-2"/>
          </w:rPr>
          <w:t>https://www.eia.gov/survey/#eia-112</w:t>
        </w:r>
      </w:hyperlink>
    </w:p>
    <w:p w:rsidR="00CE3F81" w:rsidP="00CE3F81" w14:paraId="14826A02" w14:textId="77777777">
      <w:pPr>
        <w:pStyle w:val="BodyText"/>
        <w:spacing w:before="223"/>
        <w:ind w:left="107"/>
      </w:pPr>
      <w:r>
        <w:t>EIA is ensuring the security of your transactions by using the latest Internet security technology. The technology being used</w:t>
      </w:r>
      <w:r>
        <w:rPr>
          <w:spacing w:val="22"/>
        </w:rPr>
        <w:t xml:space="preserve"> </w:t>
      </w:r>
      <w:r>
        <w:t>to protect your data is encryption which is the scrambling of data into a code that is unreadable to anyone who does not have the key that deciphers it. The secure hypertext transfer protocol (HTTPS) is a communications protocol designed to transfer this encrypted</w:t>
      </w:r>
      <w:r>
        <w:rPr>
          <w:spacing w:val="-3"/>
        </w:rPr>
        <w:t xml:space="preserve"> </w:t>
      </w:r>
      <w:r>
        <w:t>information</w:t>
      </w:r>
      <w:r>
        <w:rPr>
          <w:spacing w:val="-3"/>
        </w:rPr>
        <w:t xml:space="preserve"> </w:t>
      </w:r>
      <w:r>
        <w:t>between</w:t>
      </w:r>
      <w:r>
        <w:rPr>
          <w:spacing w:val="-3"/>
        </w:rPr>
        <w:t xml:space="preserve"> </w:t>
      </w:r>
      <w:r>
        <w:t>computers</w:t>
      </w:r>
      <w:r>
        <w:rPr>
          <w:spacing w:val="-3"/>
        </w:rPr>
        <w:t xml:space="preserve"> </w:t>
      </w:r>
      <w:r>
        <w:t>over</w:t>
      </w:r>
      <w:r>
        <w:rPr>
          <w:spacing w:val="-3"/>
        </w:rPr>
        <w:t xml:space="preserve"> </w:t>
      </w:r>
      <w:r>
        <w:t>the</w:t>
      </w:r>
      <w:r>
        <w:rPr>
          <w:spacing w:val="-4"/>
        </w:rPr>
        <w:t xml:space="preserve"> </w:t>
      </w:r>
      <w:r>
        <w:t>internet.</w:t>
      </w:r>
      <w:r>
        <w:rPr>
          <w:spacing w:val="40"/>
        </w:rPr>
        <w:t xml:space="preserve"> </w:t>
      </w:r>
      <w:r>
        <w:t>All</w:t>
      </w:r>
      <w:r>
        <w:rPr>
          <w:spacing w:val="-4"/>
        </w:rPr>
        <w:t xml:space="preserve"> </w:t>
      </w:r>
      <w:r>
        <w:t>information</w:t>
      </w:r>
      <w:r>
        <w:rPr>
          <w:spacing w:val="-3"/>
        </w:rPr>
        <w:t xml:space="preserve"> </w:t>
      </w:r>
      <w:r>
        <w:t>is</w:t>
      </w:r>
      <w:r>
        <w:rPr>
          <w:spacing w:val="-2"/>
        </w:rPr>
        <w:t xml:space="preserve"> </w:t>
      </w:r>
      <w:r>
        <w:t>protected</w:t>
      </w:r>
      <w:r>
        <w:rPr>
          <w:spacing w:val="-3"/>
        </w:rPr>
        <w:t xml:space="preserve"> </w:t>
      </w:r>
      <w:r>
        <w:t>by</w:t>
      </w:r>
      <w:r>
        <w:rPr>
          <w:spacing w:val="-3"/>
        </w:rPr>
        <w:t xml:space="preserve"> </w:t>
      </w:r>
      <w:r>
        <w:t>128-bit</w:t>
      </w:r>
      <w:r>
        <w:rPr>
          <w:spacing w:val="-3"/>
        </w:rPr>
        <w:t xml:space="preserve"> </w:t>
      </w:r>
      <w:r>
        <w:t>encryption</w:t>
      </w:r>
      <w:r>
        <w:rPr>
          <w:spacing w:val="-3"/>
        </w:rPr>
        <w:t xml:space="preserve"> </w:t>
      </w:r>
      <w:r>
        <w:t>to</w:t>
      </w:r>
      <w:r>
        <w:rPr>
          <w:spacing w:val="-3"/>
        </w:rPr>
        <w:t xml:space="preserve"> </w:t>
      </w:r>
      <w:r>
        <w:t>maintain</w:t>
      </w:r>
      <w:r>
        <w:rPr>
          <w:spacing w:val="-3"/>
        </w:rPr>
        <w:t xml:space="preserve"> </w:t>
      </w:r>
      <w:r>
        <w:t>the privacy and confidentiality of your data. The only thing you need to take advantage of strong encryption technology is a secure browser, one that supports 128-bit encryption.</w:t>
      </w:r>
    </w:p>
    <w:p w:rsidR="00CE3F81" w:rsidP="00CE3F81" w14:paraId="6A2999A7" w14:textId="77777777">
      <w:pPr>
        <w:pStyle w:val="BodyText"/>
        <w:spacing w:before="35"/>
      </w:pPr>
    </w:p>
    <w:p w:rsidR="00CE3F81" w:rsidP="00CE3F81" w14:paraId="58F88E15" w14:textId="77777777">
      <w:pPr>
        <w:pStyle w:val="ListParagraph"/>
        <w:numPr>
          <w:ilvl w:val="0"/>
          <w:numId w:val="4"/>
        </w:numPr>
        <w:tabs>
          <w:tab w:val="left" w:pos="828"/>
        </w:tabs>
        <w:rPr>
          <w:sz w:val="20"/>
        </w:rPr>
      </w:pPr>
      <w:r>
        <w:rPr>
          <w:sz w:val="20"/>
        </w:rPr>
        <w:t>Go</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EIA</w:t>
      </w:r>
      <w:r>
        <w:rPr>
          <w:spacing w:val="-4"/>
          <w:sz w:val="20"/>
        </w:rPr>
        <w:t xml:space="preserve"> </w:t>
      </w:r>
      <w:r>
        <w:rPr>
          <w:sz w:val="20"/>
        </w:rPr>
        <w:t>Secure</w:t>
      </w:r>
      <w:r>
        <w:rPr>
          <w:spacing w:val="-4"/>
          <w:sz w:val="20"/>
        </w:rPr>
        <w:t xml:space="preserve"> </w:t>
      </w:r>
      <w:r>
        <w:rPr>
          <w:sz w:val="20"/>
        </w:rPr>
        <w:t>File</w:t>
      </w:r>
      <w:r>
        <w:rPr>
          <w:spacing w:val="-6"/>
          <w:sz w:val="20"/>
        </w:rPr>
        <w:t xml:space="preserve"> </w:t>
      </w:r>
      <w:r>
        <w:rPr>
          <w:sz w:val="20"/>
        </w:rPr>
        <w:t>Transfer</w:t>
      </w:r>
      <w:r>
        <w:rPr>
          <w:spacing w:val="-4"/>
          <w:sz w:val="20"/>
        </w:rPr>
        <w:t xml:space="preserve"> </w:t>
      </w:r>
      <w:r>
        <w:rPr>
          <w:sz w:val="20"/>
        </w:rPr>
        <w:t>system</w:t>
      </w:r>
      <w:r>
        <w:rPr>
          <w:spacing w:val="-5"/>
          <w:sz w:val="20"/>
        </w:rPr>
        <w:t xml:space="preserve"> </w:t>
      </w:r>
      <w:r>
        <w:rPr>
          <w:sz w:val="20"/>
        </w:rPr>
        <w:t>located</w:t>
      </w:r>
      <w:r>
        <w:rPr>
          <w:spacing w:val="-4"/>
          <w:sz w:val="20"/>
        </w:rPr>
        <w:t xml:space="preserve"> </w:t>
      </w:r>
      <w:r>
        <w:rPr>
          <w:sz w:val="20"/>
        </w:rPr>
        <w:t xml:space="preserve">at </w:t>
      </w:r>
      <w:hyperlink r:id="rId10">
        <w:r>
          <w:rPr>
            <w:color w:val="0000FF"/>
            <w:spacing w:val="-2"/>
            <w:sz w:val="20"/>
            <w:u w:val="single" w:color="0000FF"/>
          </w:rPr>
          <w:t>https://signon.eia.doe.gov/upload/noticeoog.jsp</w:t>
        </w:r>
      </w:hyperlink>
    </w:p>
    <w:p w:rsidR="00CE3F81" w:rsidP="00CE3F81" w14:paraId="526FA37B" w14:textId="77777777">
      <w:pPr>
        <w:pStyle w:val="ListParagraph"/>
        <w:numPr>
          <w:ilvl w:val="0"/>
          <w:numId w:val="4"/>
        </w:numPr>
        <w:tabs>
          <w:tab w:val="left" w:pos="828"/>
        </w:tabs>
        <w:spacing w:before="140"/>
        <w:rPr>
          <w:sz w:val="20"/>
        </w:rPr>
      </w:pPr>
      <w:r>
        <w:rPr>
          <w:sz w:val="20"/>
        </w:rPr>
        <w:t>Read</w:t>
      </w:r>
      <w:r>
        <w:rPr>
          <w:spacing w:val="-4"/>
          <w:sz w:val="20"/>
        </w:rPr>
        <w:t xml:space="preserve"> </w:t>
      </w:r>
      <w:r>
        <w:rPr>
          <w:sz w:val="20"/>
        </w:rPr>
        <w:t>the</w:t>
      </w:r>
      <w:r>
        <w:rPr>
          <w:spacing w:val="-6"/>
          <w:sz w:val="20"/>
        </w:rPr>
        <w:t xml:space="preserve"> </w:t>
      </w:r>
      <w:r>
        <w:rPr>
          <w:sz w:val="20"/>
        </w:rPr>
        <w:t>Agreement</w:t>
      </w:r>
      <w:r>
        <w:rPr>
          <w:spacing w:val="-5"/>
          <w:sz w:val="20"/>
        </w:rPr>
        <w:t xml:space="preserve"> </w:t>
      </w:r>
      <w:r>
        <w:rPr>
          <w:sz w:val="20"/>
        </w:rPr>
        <w:t>and</w:t>
      </w:r>
      <w:r>
        <w:rPr>
          <w:spacing w:val="-5"/>
          <w:sz w:val="20"/>
        </w:rPr>
        <w:t xml:space="preserve"> </w:t>
      </w:r>
      <w:r>
        <w:rPr>
          <w:sz w:val="20"/>
        </w:rPr>
        <w:t>then</w:t>
      </w:r>
      <w:r>
        <w:rPr>
          <w:spacing w:val="-1"/>
          <w:sz w:val="20"/>
        </w:rPr>
        <w:t xml:space="preserve"> </w:t>
      </w:r>
      <w:r>
        <w:rPr>
          <w:sz w:val="20"/>
        </w:rPr>
        <w:t>click</w:t>
      </w:r>
      <w:r>
        <w:rPr>
          <w:spacing w:val="-5"/>
          <w:sz w:val="20"/>
        </w:rPr>
        <w:t xml:space="preserve"> </w:t>
      </w:r>
      <w:r>
        <w:rPr>
          <w:sz w:val="20"/>
        </w:rPr>
        <w:t>the</w:t>
      </w:r>
      <w:r>
        <w:rPr>
          <w:spacing w:val="-5"/>
          <w:sz w:val="20"/>
        </w:rPr>
        <w:t xml:space="preserve"> </w:t>
      </w:r>
      <w:r>
        <w:rPr>
          <w:b/>
          <w:sz w:val="20"/>
        </w:rPr>
        <w:t>Accept</w:t>
      </w:r>
      <w:r>
        <w:rPr>
          <w:b/>
          <w:spacing w:val="-4"/>
          <w:sz w:val="20"/>
        </w:rPr>
        <w:t xml:space="preserve"> </w:t>
      </w:r>
      <w:r>
        <w:rPr>
          <w:spacing w:val="-2"/>
          <w:sz w:val="20"/>
        </w:rPr>
        <w:t>button.</w:t>
      </w:r>
    </w:p>
    <w:p w:rsidR="00CE3F81" w:rsidP="00CE3F81" w14:paraId="1FDF7615" w14:textId="77777777">
      <w:pPr>
        <w:pStyle w:val="ListParagraph"/>
        <w:numPr>
          <w:ilvl w:val="0"/>
          <w:numId w:val="4"/>
        </w:numPr>
        <w:tabs>
          <w:tab w:val="left" w:pos="828"/>
        </w:tabs>
        <w:spacing w:before="141"/>
        <w:ind w:right="569"/>
        <w:rPr>
          <w:sz w:val="20"/>
        </w:rPr>
      </w:pPr>
      <w:r>
        <w:rPr>
          <w:sz w:val="20"/>
        </w:rPr>
        <w:t>Enter</w:t>
      </w:r>
      <w:r>
        <w:rPr>
          <w:spacing w:val="-4"/>
          <w:sz w:val="20"/>
        </w:rPr>
        <w:t xml:space="preserve"> </w:t>
      </w:r>
      <w:r>
        <w:rPr>
          <w:sz w:val="20"/>
        </w:rPr>
        <w:t>your</w:t>
      </w:r>
      <w:r>
        <w:rPr>
          <w:spacing w:val="-3"/>
          <w:sz w:val="20"/>
        </w:rPr>
        <w:t xml:space="preserve"> </w:t>
      </w:r>
      <w:r>
        <w:rPr>
          <w:sz w:val="20"/>
        </w:rPr>
        <w:t>name,</w:t>
      </w:r>
      <w:r>
        <w:rPr>
          <w:spacing w:val="-3"/>
          <w:sz w:val="20"/>
        </w:rPr>
        <w:t xml:space="preserve"> </w:t>
      </w:r>
      <w:r>
        <w:rPr>
          <w:sz w:val="20"/>
        </w:rPr>
        <w:t>company</w:t>
      </w:r>
      <w:r>
        <w:rPr>
          <w:spacing w:val="-3"/>
          <w:sz w:val="20"/>
        </w:rPr>
        <w:t xml:space="preserve"> </w:t>
      </w:r>
      <w:r>
        <w:rPr>
          <w:sz w:val="20"/>
        </w:rPr>
        <w:t>name,</w:t>
      </w:r>
      <w:r>
        <w:rPr>
          <w:spacing w:val="-3"/>
          <w:sz w:val="20"/>
        </w:rPr>
        <w:t xml:space="preserve"> </w:t>
      </w:r>
      <w:r>
        <w:rPr>
          <w:sz w:val="20"/>
        </w:rPr>
        <w:t>phone</w:t>
      </w:r>
      <w:r>
        <w:rPr>
          <w:spacing w:val="-4"/>
          <w:sz w:val="20"/>
        </w:rPr>
        <w:t xml:space="preserve"> </w:t>
      </w:r>
      <w:r>
        <w:rPr>
          <w:sz w:val="20"/>
        </w:rPr>
        <w:t>number</w:t>
      </w:r>
      <w:r>
        <w:rPr>
          <w:spacing w:val="-3"/>
          <w:sz w:val="20"/>
        </w:rPr>
        <w:t xml:space="preserve"> </w:t>
      </w:r>
      <w:r>
        <w:rPr>
          <w:sz w:val="20"/>
        </w:rPr>
        <w:t>and</w:t>
      </w:r>
      <w:r>
        <w:rPr>
          <w:spacing w:val="-3"/>
          <w:sz w:val="20"/>
        </w:rPr>
        <w:t xml:space="preserve"> </w:t>
      </w:r>
      <w:r>
        <w:rPr>
          <w:sz w:val="20"/>
        </w:rPr>
        <w:t>email</w:t>
      </w:r>
      <w:r>
        <w:rPr>
          <w:spacing w:val="-1"/>
          <w:sz w:val="20"/>
        </w:rPr>
        <w:t xml:space="preserve"> </w:t>
      </w:r>
      <w:r>
        <w:rPr>
          <w:sz w:val="20"/>
        </w:rPr>
        <w:t>address</w:t>
      </w:r>
      <w:r>
        <w:rPr>
          <w:spacing w:val="-3"/>
          <w:sz w:val="20"/>
        </w:rPr>
        <w:t xml:space="preserve"> </w:t>
      </w:r>
      <w:r>
        <w:rPr>
          <w:sz w:val="20"/>
        </w:rPr>
        <w:t>into</w:t>
      </w:r>
      <w:r>
        <w:rPr>
          <w:spacing w:val="-3"/>
          <w:sz w:val="20"/>
        </w:rPr>
        <w:t xml:space="preserve"> </w:t>
      </w:r>
      <w:r>
        <w:rPr>
          <w:sz w:val="20"/>
        </w:rPr>
        <w:t>the</w:t>
      </w:r>
      <w:r>
        <w:rPr>
          <w:spacing w:val="-4"/>
          <w:sz w:val="20"/>
        </w:rPr>
        <w:t xml:space="preserve"> </w:t>
      </w:r>
      <w:r>
        <w:rPr>
          <w:sz w:val="20"/>
        </w:rPr>
        <w:t>boxes</w:t>
      </w:r>
      <w:r>
        <w:rPr>
          <w:spacing w:val="-3"/>
          <w:sz w:val="20"/>
        </w:rPr>
        <w:t xml:space="preserve"> </w:t>
      </w:r>
      <w:r>
        <w:rPr>
          <w:sz w:val="20"/>
        </w:rPr>
        <w:t>provided.</w:t>
      </w:r>
      <w:r>
        <w:rPr>
          <w:spacing w:val="40"/>
          <w:sz w:val="20"/>
        </w:rPr>
        <w:t xml:space="preserve"> </w:t>
      </w:r>
      <w:r>
        <w:rPr>
          <w:sz w:val="20"/>
        </w:rPr>
        <w:t>Note</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email address is required so that we can send you a confirmation of the receipt of your data.</w:t>
      </w:r>
    </w:p>
    <w:p w:rsidR="00CE3F81" w:rsidP="00CE3F81" w14:paraId="5AC1D9A5" w14:textId="77777777">
      <w:pPr>
        <w:pStyle w:val="ListParagraph"/>
        <w:numPr>
          <w:ilvl w:val="0"/>
          <w:numId w:val="4"/>
        </w:numPr>
        <w:tabs>
          <w:tab w:val="left" w:pos="828"/>
        </w:tabs>
        <w:spacing w:before="119"/>
        <w:ind w:right="360"/>
        <w:rPr>
          <w:sz w:val="20"/>
        </w:rPr>
      </w:pPr>
      <w:r>
        <w:rPr>
          <w:sz w:val="20"/>
        </w:rPr>
        <w:t>Click</w:t>
      </w:r>
      <w:r>
        <w:rPr>
          <w:spacing w:val="-2"/>
          <w:sz w:val="20"/>
        </w:rPr>
        <w:t xml:space="preserve"> </w:t>
      </w:r>
      <w:r>
        <w:rPr>
          <w:sz w:val="20"/>
        </w:rPr>
        <w:t>on</w:t>
      </w:r>
      <w:r>
        <w:rPr>
          <w:spacing w:val="-2"/>
          <w:sz w:val="20"/>
        </w:rPr>
        <w:t xml:space="preserve"> </w:t>
      </w:r>
      <w:r>
        <w:rPr>
          <w:sz w:val="20"/>
        </w:rPr>
        <w:t>the</w:t>
      </w:r>
      <w:r>
        <w:rPr>
          <w:spacing w:val="-2"/>
          <w:sz w:val="20"/>
        </w:rPr>
        <w:t xml:space="preserve"> </w:t>
      </w:r>
      <w:r>
        <w:rPr>
          <w:b/>
          <w:sz w:val="20"/>
        </w:rPr>
        <w:t>Choose</w:t>
      </w:r>
      <w:r>
        <w:rPr>
          <w:b/>
          <w:spacing w:val="-2"/>
          <w:sz w:val="20"/>
        </w:rPr>
        <w:t xml:space="preserve"> </w:t>
      </w:r>
      <w:r>
        <w:rPr>
          <w:b/>
          <w:sz w:val="20"/>
        </w:rPr>
        <w:t>Files</w:t>
      </w:r>
      <w:r>
        <w:rPr>
          <w:b/>
          <w:spacing w:val="-2"/>
          <w:sz w:val="20"/>
        </w:rPr>
        <w:t xml:space="preserve"> </w:t>
      </w:r>
      <w:r>
        <w:rPr>
          <w:sz w:val="20"/>
        </w:rPr>
        <w:t>button</w:t>
      </w:r>
      <w:r>
        <w:rPr>
          <w:spacing w:val="-2"/>
          <w:sz w:val="20"/>
        </w:rPr>
        <w:t xml:space="preserve"> </w:t>
      </w:r>
      <w:r>
        <w:rPr>
          <w:sz w:val="20"/>
        </w:rPr>
        <w:t>to</w:t>
      </w:r>
      <w:r>
        <w:rPr>
          <w:spacing w:val="-2"/>
          <w:sz w:val="20"/>
        </w:rPr>
        <w:t xml:space="preserve"> </w:t>
      </w:r>
      <w:r>
        <w:rPr>
          <w:sz w:val="20"/>
        </w:rPr>
        <w:t>navigate</w:t>
      </w:r>
      <w:r>
        <w:rPr>
          <w:spacing w:val="-3"/>
          <w:sz w:val="20"/>
        </w:rPr>
        <w:t xml:space="preserve"> </w:t>
      </w:r>
      <w:r>
        <w:rPr>
          <w:sz w:val="20"/>
        </w:rPr>
        <w:t>to</w:t>
      </w:r>
      <w:r>
        <w:rPr>
          <w:spacing w:val="-2"/>
          <w:sz w:val="20"/>
        </w:rPr>
        <w:t xml:space="preserve"> </w:t>
      </w:r>
      <w:r>
        <w:rPr>
          <w:sz w:val="20"/>
        </w:rPr>
        <w:t>your</w:t>
      </w:r>
      <w:r>
        <w:rPr>
          <w:spacing w:val="-2"/>
          <w:sz w:val="20"/>
        </w:rPr>
        <w:t xml:space="preserve"> </w:t>
      </w:r>
      <w:r>
        <w:rPr>
          <w:sz w:val="20"/>
        </w:rPr>
        <w:t>saved</w:t>
      </w:r>
      <w:r>
        <w:rPr>
          <w:spacing w:val="-4"/>
          <w:sz w:val="20"/>
        </w:rPr>
        <w:t xml:space="preserve"> </w:t>
      </w:r>
      <w:r>
        <w:rPr>
          <w:sz w:val="20"/>
        </w:rPr>
        <w:t>Excel</w:t>
      </w:r>
      <w:r>
        <w:rPr>
          <w:spacing w:val="-3"/>
          <w:sz w:val="20"/>
        </w:rPr>
        <w:t xml:space="preserve"> </w:t>
      </w:r>
      <w:r>
        <w:rPr>
          <w:sz w:val="20"/>
        </w:rPr>
        <w:t>file</w:t>
      </w:r>
      <w:r>
        <w:rPr>
          <w:spacing w:val="-3"/>
          <w:sz w:val="20"/>
        </w:rPr>
        <w:t xml:space="preserve"> </w:t>
      </w:r>
      <w:r>
        <w:rPr>
          <w:sz w:val="20"/>
        </w:rPr>
        <w:t>submission.</w:t>
      </w:r>
      <w:r>
        <w:rPr>
          <w:spacing w:val="-2"/>
          <w:sz w:val="20"/>
        </w:rPr>
        <w:t xml:space="preserve"> </w:t>
      </w:r>
      <w:r>
        <w:rPr>
          <w:sz w:val="20"/>
        </w:rPr>
        <w:t>Select</w:t>
      </w:r>
      <w:r>
        <w:rPr>
          <w:spacing w:val="-2"/>
          <w:sz w:val="20"/>
        </w:rPr>
        <w:t xml:space="preserve"> </w:t>
      </w:r>
      <w:r>
        <w:rPr>
          <w:sz w:val="20"/>
        </w:rPr>
        <w:t>the</w:t>
      </w:r>
      <w:r>
        <w:rPr>
          <w:spacing w:val="-3"/>
          <w:sz w:val="20"/>
        </w:rPr>
        <w:t xml:space="preserve"> </w:t>
      </w:r>
      <w:r>
        <w:rPr>
          <w:sz w:val="20"/>
        </w:rPr>
        <w:t>file</w:t>
      </w:r>
      <w:r>
        <w:rPr>
          <w:spacing w:val="-3"/>
          <w:sz w:val="20"/>
        </w:rPr>
        <w:t xml:space="preserve"> </w:t>
      </w:r>
      <w:r>
        <w:rPr>
          <w:sz w:val="20"/>
        </w:rPr>
        <w:t>to</w:t>
      </w:r>
      <w:r>
        <w:rPr>
          <w:spacing w:val="-2"/>
          <w:sz w:val="20"/>
        </w:rPr>
        <w:t xml:space="preserve"> </w:t>
      </w:r>
      <w:r>
        <w:rPr>
          <w:sz w:val="20"/>
        </w:rPr>
        <w:t>upload</w:t>
      </w:r>
      <w:r>
        <w:rPr>
          <w:spacing w:val="-2"/>
          <w:sz w:val="20"/>
        </w:rPr>
        <w:t xml:space="preserve"> </w:t>
      </w:r>
      <w:r>
        <w:rPr>
          <w:sz w:val="20"/>
        </w:rPr>
        <w:t>and</w:t>
      </w:r>
      <w:r>
        <w:rPr>
          <w:spacing w:val="-2"/>
          <w:sz w:val="20"/>
        </w:rPr>
        <w:t xml:space="preserve"> </w:t>
      </w:r>
      <w:r>
        <w:rPr>
          <w:sz w:val="20"/>
        </w:rPr>
        <w:t>click</w:t>
      </w:r>
      <w:r>
        <w:rPr>
          <w:spacing w:val="-2"/>
          <w:sz w:val="20"/>
        </w:rPr>
        <w:t xml:space="preserve"> </w:t>
      </w:r>
      <w:r>
        <w:rPr>
          <w:sz w:val="20"/>
        </w:rPr>
        <w:t xml:space="preserve">on the </w:t>
      </w:r>
      <w:r>
        <w:rPr>
          <w:b/>
          <w:sz w:val="20"/>
        </w:rPr>
        <w:t xml:space="preserve">Open </w:t>
      </w:r>
      <w:r>
        <w:rPr>
          <w:sz w:val="20"/>
        </w:rPr>
        <w:t>button.</w:t>
      </w:r>
    </w:p>
    <w:p w:rsidR="00CE3F81" w:rsidP="4AA7B4E7" w14:paraId="5986C945" w14:textId="4030E9B8">
      <w:pPr>
        <w:pStyle w:val="ListParagraph"/>
        <w:numPr>
          <w:ilvl w:val="0"/>
          <w:numId w:val="4"/>
        </w:numPr>
        <w:tabs>
          <w:tab w:val="left" w:pos="828"/>
        </w:tabs>
        <w:spacing w:before="140"/>
        <w:ind w:right="183"/>
        <w:rPr>
          <w:sz w:val="20"/>
          <w:szCs w:val="20"/>
        </w:rPr>
        <w:sectPr>
          <w:headerReference w:type="default" r:id="rId11"/>
          <w:footerReference w:type="default" r:id="rId12"/>
          <w:type w:val="continuous"/>
          <w:pgSz w:w="12240" w:h="15840"/>
          <w:pgMar w:top="1360" w:right="700" w:bottom="900" w:left="900" w:header="334" w:footer="709" w:gutter="0"/>
          <w:pgNumType w:start="1"/>
          <w:cols w:space="720"/>
        </w:sectPr>
      </w:pPr>
      <w:r w:rsidRPr="4AA7B4E7">
        <w:rPr>
          <w:sz w:val="20"/>
          <w:szCs w:val="20"/>
        </w:rPr>
        <w:t xml:space="preserve">If you are ready to submit your file, click on the green </w:t>
      </w:r>
      <w:r w:rsidRPr="4AA7B4E7">
        <w:rPr>
          <w:b/>
          <w:bCs/>
          <w:sz w:val="20"/>
          <w:szCs w:val="20"/>
        </w:rPr>
        <w:t xml:space="preserve">Submit File(s) </w:t>
      </w:r>
      <w:r w:rsidRPr="4AA7B4E7">
        <w:rPr>
          <w:sz w:val="20"/>
          <w:szCs w:val="20"/>
        </w:rPr>
        <w:t>button.</w:t>
      </w:r>
      <w:r w:rsidRPr="4AA7B4E7">
        <w:rPr>
          <w:spacing w:val="40"/>
          <w:sz w:val="20"/>
          <w:szCs w:val="20"/>
        </w:rPr>
        <w:t xml:space="preserve"> </w:t>
      </w:r>
      <w:r w:rsidRPr="4AA7B4E7">
        <w:rPr>
          <w:sz w:val="20"/>
          <w:szCs w:val="20"/>
        </w:rPr>
        <w:t>Please be patient, it may take a few minutes</w:t>
      </w:r>
      <w:r w:rsidRPr="4AA7B4E7">
        <w:rPr>
          <w:spacing w:val="-2"/>
          <w:sz w:val="20"/>
          <w:szCs w:val="20"/>
        </w:rPr>
        <w:t xml:space="preserve"> </w:t>
      </w:r>
      <w:r w:rsidRPr="4AA7B4E7">
        <w:rPr>
          <w:sz w:val="20"/>
          <w:szCs w:val="20"/>
        </w:rPr>
        <w:t>to</w:t>
      </w:r>
      <w:r w:rsidRPr="4AA7B4E7">
        <w:rPr>
          <w:spacing w:val="-2"/>
          <w:sz w:val="20"/>
          <w:szCs w:val="20"/>
        </w:rPr>
        <w:t xml:space="preserve"> </w:t>
      </w:r>
      <w:r w:rsidRPr="4AA7B4E7">
        <w:rPr>
          <w:sz w:val="20"/>
          <w:szCs w:val="20"/>
        </w:rPr>
        <w:t>upload</w:t>
      </w:r>
      <w:r w:rsidRPr="4AA7B4E7">
        <w:rPr>
          <w:spacing w:val="-2"/>
          <w:sz w:val="20"/>
          <w:szCs w:val="20"/>
        </w:rPr>
        <w:t xml:space="preserve"> </w:t>
      </w:r>
      <w:r w:rsidRPr="4AA7B4E7">
        <w:rPr>
          <w:sz w:val="20"/>
          <w:szCs w:val="20"/>
        </w:rPr>
        <w:t>your</w:t>
      </w:r>
      <w:r w:rsidRPr="4AA7B4E7">
        <w:rPr>
          <w:spacing w:val="-2"/>
          <w:sz w:val="20"/>
          <w:szCs w:val="20"/>
        </w:rPr>
        <w:t xml:space="preserve"> </w:t>
      </w:r>
      <w:r w:rsidRPr="4AA7B4E7">
        <w:rPr>
          <w:sz w:val="20"/>
          <w:szCs w:val="20"/>
        </w:rPr>
        <w:t>file.</w:t>
      </w:r>
      <w:r w:rsidRPr="4AA7B4E7">
        <w:rPr>
          <w:spacing w:val="40"/>
          <w:sz w:val="20"/>
          <w:szCs w:val="20"/>
        </w:rPr>
        <w:t xml:space="preserve"> </w:t>
      </w:r>
      <w:r w:rsidRPr="4AA7B4E7">
        <w:rPr>
          <w:sz w:val="20"/>
          <w:szCs w:val="20"/>
        </w:rPr>
        <w:t>Do</w:t>
      </w:r>
      <w:r w:rsidRPr="4AA7B4E7">
        <w:rPr>
          <w:spacing w:val="-2"/>
          <w:sz w:val="20"/>
          <w:szCs w:val="20"/>
        </w:rPr>
        <w:t xml:space="preserve"> </w:t>
      </w:r>
      <w:r w:rsidRPr="4AA7B4E7">
        <w:rPr>
          <w:sz w:val="20"/>
          <w:szCs w:val="20"/>
        </w:rPr>
        <w:t>not</w:t>
      </w:r>
      <w:r w:rsidRPr="4AA7B4E7">
        <w:rPr>
          <w:spacing w:val="-2"/>
          <w:sz w:val="20"/>
          <w:szCs w:val="20"/>
        </w:rPr>
        <w:t xml:space="preserve"> </w:t>
      </w:r>
      <w:r w:rsidRPr="4AA7B4E7">
        <w:rPr>
          <w:sz w:val="20"/>
          <w:szCs w:val="20"/>
        </w:rPr>
        <w:t>close</w:t>
      </w:r>
      <w:r w:rsidRPr="4AA7B4E7">
        <w:rPr>
          <w:spacing w:val="-3"/>
          <w:sz w:val="20"/>
          <w:szCs w:val="20"/>
        </w:rPr>
        <w:t xml:space="preserve"> </w:t>
      </w:r>
      <w:r w:rsidRPr="4AA7B4E7">
        <w:rPr>
          <w:sz w:val="20"/>
          <w:szCs w:val="20"/>
        </w:rPr>
        <w:t>your</w:t>
      </w:r>
      <w:r w:rsidRPr="4AA7B4E7">
        <w:rPr>
          <w:spacing w:val="-2"/>
          <w:sz w:val="20"/>
          <w:szCs w:val="20"/>
        </w:rPr>
        <w:t xml:space="preserve"> </w:t>
      </w:r>
      <w:r w:rsidRPr="4AA7B4E7">
        <w:rPr>
          <w:sz w:val="20"/>
          <w:szCs w:val="20"/>
        </w:rPr>
        <w:t>browser</w:t>
      </w:r>
      <w:r w:rsidRPr="4AA7B4E7">
        <w:rPr>
          <w:spacing w:val="-2"/>
          <w:sz w:val="20"/>
          <w:szCs w:val="20"/>
        </w:rPr>
        <w:t xml:space="preserve"> </w:t>
      </w:r>
      <w:r w:rsidRPr="4AA7B4E7">
        <w:rPr>
          <w:sz w:val="20"/>
          <w:szCs w:val="20"/>
        </w:rPr>
        <w:t>during</w:t>
      </w:r>
      <w:r w:rsidRPr="4AA7B4E7">
        <w:rPr>
          <w:spacing w:val="-3"/>
          <w:sz w:val="20"/>
          <w:szCs w:val="20"/>
        </w:rPr>
        <w:t xml:space="preserve"> </w:t>
      </w:r>
      <w:r w:rsidRPr="4AA7B4E7">
        <w:rPr>
          <w:sz w:val="20"/>
          <w:szCs w:val="20"/>
        </w:rPr>
        <w:t>this</w:t>
      </w:r>
      <w:r w:rsidRPr="4AA7B4E7">
        <w:rPr>
          <w:spacing w:val="-2"/>
          <w:sz w:val="20"/>
          <w:szCs w:val="20"/>
        </w:rPr>
        <w:t xml:space="preserve"> </w:t>
      </w:r>
      <w:r w:rsidRPr="4AA7B4E7">
        <w:rPr>
          <w:sz w:val="20"/>
          <w:szCs w:val="20"/>
        </w:rPr>
        <w:t>upload.</w:t>
      </w:r>
      <w:r w:rsidRPr="4AA7B4E7">
        <w:rPr>
          <w:spacing w:val="80"/>
          <w:sz w:val="20"/>
          <w:szCs w:val="20"/>
        </w:rPr>
        <w:t xml:space="preserve"> </w:t>
      </w:r>
      <w:r w:rsidRPr="4AA7B4E7">
        <w:rPr>
          <w:sz w:val="20"/>
          <w:szCs w:val="20"/>
        </w:rPr>
        <w:t>A</w:t>
      </w:r>
      <w:r w:rsidRPr="4AA7B4E7">
        <w:rPr>
          <w:spacing w:val="-3"/>
          <w:sz w:val="20"/>
          <w:szCs w:val="20"/>
        </w:rPr>
        <w:t xml:space="preserve"> </w:t>
      </w:r>
      <w:r w:rsidRPr="4AA7B4E7">
        <w:rPr>
          <w:sz w:val="20"/>
          <w:szCs w:val="20"/>
        </w:rPr>
        <w:t>confirmation</w:t>
      </w:r>
      <w:r w:rsidRPr="4AA7B4E7">
        <w:rPr>
          <w:spacing w:val="-2"/>
          <w:sz w:val="20"/>
          <w:szCs w:val="20"/>
        </w:rPr>
        <w:t xml:space="preserve"> </w:t>
      </w:r>
      <w:r w:rsidRPr="4AA7B4E7">
        <w:rPr>
          <w:sz w:val="20"/>
          <w:szCs w:val="20"/>
        </w:rPr>
        <w:t>page</w:t>
      </w:r>
      <w:r w:rsidRPr="4AA7B4E7">
        <w:rPr>
          <w:spacing w:val="-3"/>
          <w:sz w:val="20"/>
          <w:szCs w:val="20"/>
        </w:rPr>
        <w:t xml:space="preserve"> </w:t>
      </w:r>
      <w:r w:rsidRPr="4AA7B4E7">
        <w:rPr>
          <w:sz w:val="20"/>
          <w:szCs w:val="20"/>
        </w:rPr>
        <w:t>will</w:t>
      </w:r>
      <w:r w:rsidRPr="4AA7B4E7">
        <w:rPr>
          <w:spacing w:val="-3"/>
          <w:sz w:val="20"/>
          <w:szCs w:val="20"/>
        </w:rPr>
        <w:t xml:space="preserve"> </w:t>
      </w:r>
      <w:r w:rsidRPr="4AA7B4E7">
        <w:rPr>
          <w:sz w:val="20"/>
          <w:szCs w:val="20"/>
        </w:rPr>
        <w:t>be</w:t>
      </w:r>
      <w:r w:rsidRPr="4AA7B4E7">
        <w:rPr>
          <w:spacing w:val="-3"/>
          <w:sz w:val="20"/>
          <w:szCs w:val="20"/>
        </w:rPr>
        <w:t xml:space="preserve"> </w:t>
      </w:r>
      <w:r w:rsidRPr="4AA7B4E7">
        <w:rPr>
          <w:sz w:val="20"/>
          <w:szCs w:val="20"/>
        </w:rPr>
        <w:t>displayed</w:t>
      </w:r>
      <w:r w:rsidRPr="4AA7B4E7">
        <w:rPr>
          <w:spacing w:val="-2"/>
          <w:sz w:val="20"/>
          <w:szCs w:val="20"/>
        </w:rPr>
        <w:t xml:space="preserve"> </w:t>
      </w:r>
      <w:r w:rsidRPr="4AA7B4E7">
        <w:rPr>
          <w:sz w:val="20"/>
          <w:szCs w:val="20"/>
        </w:rPr>
        <w:t>with a Submission Successful banner and indicate the names of the files you have transferred, a confirmation number and the date and time of the transfer.</w:t>
      </w:r>
    </w:p>
    <w:p w:rsidR="00D60575" w:rsidP="00B05129" w14:paraId="5986C952" w14:textId="77777777">
      <w:pPr>
        <w:pStyle w:val="Heading1"/>
        <w:ind w:left="0" w:firstLine="107"/>
      </w:pPr>
      <w:r>
        <w:rPr>
          <w:spacing w:val="-2"/>
        </w:rPr>
        <w:t>SANCTIONS</w:t>
      </w:r>
    </w:p>
    <w:p w:rsidR="00D60575" w:rsidP="00152655" w14:paraId="5986C954" w14:textId="61E1BF9C">
      <w:pPr>
        <w:pStyle w:val="BodyText"/>
        <w:spacing w:before="215"/>
        <w:ind w:left="107"/>
      </w:pPr>
      <w:r w:rsidRPr="00152655">
        <w:t>Form EIA-112 is mandatory under 15 U.S.C. §772(b), as amended. Failure to respond may result in a civil penalty of not more than $12,937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rsidR="00152655" w:rsidP="00152655" w14:paraId="1D929FE1" w14:textId="77777777">
      <w:pPr>
        <w:pStyle w:val="BodyText"/>
        <w:spacing w:before="215"/>
        <w:ind w:left="107"/>
      </w:pPr>
    </w:p>
    <w:p w:rsidR="00D60575" w14:paraId="5986C955" w14:textId="77777777">
      <w:pPr>
        <w:pStyle w:val="Heading1"/>
      </w:pPr>
      <w:r>
        <w:t>REPORTING</w:t>
      </w:r>
      <w:r>
        <w:rPr>
          <w:spacing w:val="-4"/>
        </w:rPr>
        <w:t xml:space="preserve"> </w:t>
      </w:r>
      <w:r>
        <w:rPr>
          <w:spacing w:val="-2"/>
        </w:rPr>
        <w:t>BURDEN</w:t>
      </w:r>
    </w:p>
    <w:p w:rsidR="00CB7C1C" w:rsidP="00CB7C1C" w14:paraId="7F049732" w14:textId="77777777">
      <w:pPr>
        <w:pStyle w:val="BodyText"/>
        <w:spacing w:before="48"/>
        <w:ind w:left="107"/>
      </w:pPr>
    </w:p>
    <w:p w:rsidR="00D60575" w:rsidP="00CB7C1C" w14:paraId="5986C957" w14:textId="54EC0EE7">
      <w:pPr>
        <w:pStyle w:val="BodyText"/>
        <w:spacing w:before="48"/>
        <w:ind w:left="107"/>
      </w:pPr>
      <w:r w:rsidRPr="00CB7C1C">
        <w:t>Public reporting burden for this collection of information is estimated to average two</w:t>
      </w:r>
      <w:r>
        <w:t xml:space="preserve"> (2)</w:t>
      </w:r>
      <w:r w:rsidRPr="00CB7C1C">
        <w:t xml:space="preserve"> hours per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U.S. Energy Information Administration, Office of Statistical Methods and Research, EI-21, 1000 Independence Avenue SW, Forrestal Building, Washington, DC 20585–0670; and to the Office of Information and Regulatory Affairs, Office of Management and Budget, Washington, DC 20503. A person is not required to respond to the collection of information unless the form displays a valid OMB number. </w:t>
      </w:r>
    </w:p>
    <w:p w:rsidR="00CB7C1C" w:rsidP="00CB7C1C" w14:paraId="4176326B" w14:textId="77777777">
      <w:pPr>
        <w:pStyle w:val="BodyText"/>
        <w:spacing w:before="48"/>
        <w:ind w:left="107"/>
      </w:pPr>
    </w:p>
    <w:p w:rsidR="00D60575" w14:paraId="5986C958" w14:textId="77777777">
      <w:pPr>
        <w:pStyle w:val="Heading1"/>
        <w:spacing w:before="1"/>
      </w:pPr>
      <w:r>
        <w:t>DISCLOSURE</w:t>
      </w:r>
      <w:r>
        <w:rPr>
          <w:spacing w:val="-4"/>
        </w:rPr>
        <w:t xml:space="preserve"> </w:t>
      </w:r>
      <w:r>
        <w:t>OF</w:t>
      </w:r>
      <w:r>
        <w:rPr>
          <w:spacing w:val="-2"/>
        </w:rPr>
        <w:t xml:space="preserve"> INFORMATION</w:t>
      </w:r>
    </w:p>
    <w:p w:rsidR="009D35F7" w:rsidP="004F1103" w14:paraId="7BA288AD" w14:textId="77777777">
      <w:pPr>
        <w:ind w:left="107"/>
        <w:rPr>
          <w:sz w:val="20"/>
          <w:szCs w:val="20"/>
        </w:rPr>
      </w:pPr>
    </w:p>
    <w:p w:rsidR="004F1103" w:rsidRPr="004F1103" w:rsidP="004F1103" w14:paraId="06F992BF" w14:textId="74B5C063">
      <w:pPr>
        <w:ind w:left="107"/>
        <w:rPr>
          <w:sz w:val="20"/>
          <w:szCs w:val="20"/>
        </w:rPr>
      </w:pPr>
      <w:r w:rsidRPr="004F1103">
        <w:rPr>
          <w:sz w:val="20"/>
          <w:szCs w:val="20"/>
        </w:rPr>
        <w:t xml:space="preserve">The following information reported on this survey will be protected and not disclosed to the public to the extent that it satisfies the criteria for exemption under the Freedom of Information Act (FOIA), 5 U.S.C. §552; the U.S. Department of Energy (DOE) regulations, 10 C.F.R. §1004.11, implementing the FOIA; and the Trade Secrets Act, 18 U.S.C. §1905:  </w:t>
      </w:r>
    </w:p>
    <w:p w:rsidR="004F1103" w:rsidRPr="004F1103" w:rsidP="004F1103" w14:paraId="2F7F6BA0" w14:textId="77777777">
      <w:pPr>
        <w:rPr>
          <w:sz w:val="20"/>
          <w:szCs w:val="20"/>
        </w:rPr>
      </w:pPr>
    </w:p>
    <w:p w:rsidR="004F1103" w:rsidRPr="004F1103" w:rsidP="4AA7B4E7" w14:paraId="34176BDD" w14:textId="521F742A">
      <w:pPr>
        <w:pStyle w:val="ListParagraph"/>
        <w:numPr>
          <w:ilvl w:val="0"/>
          <w:numId w:val="2"/>
        </w:numPr>
        <w:rPr>
          <w:sz w:val="20"/>
          <w:szCs w:val="20"/>
        </w:rPr>
      </w:pPr>
      <w:r w:rsidRPr="4AA7B4E7">
        <w:rPr>
          <w:sz w:val="20"/>
          <w:szCs w:val="20"/>
        </w:rPr>
        <w:t xml:space="preserve">All information associated with the “Survey Contact” and the “Supervisor </w:t>
      </w:r>
      <w:r w:rsidRPr="4AA7B4E7" w:rsidR="4A49786A">
        <w:rPr>
          <w:sz w:val="20"/>
          <w:szCs w:val="20"/>
        </w:rPr>
        <w:t>Information</w:t>
      </w:r>
      <w:r w:rsidRPr="4AA7B4E7">
        <w:rPr>
          <w:sz w:val="20"/>
          <w:szCs w:val="20"/>
        </w:rPr>
        <w:t xml:space="preserve">” on Schedule 1. </w:t>
      </w:r>
    </w:p>
    <w:p w:rsidR="005D1434" w:rsidP="005D1434" w14:paraId="298D638E" w14:textId="77777777">
      <w:pPr>
        <w:rPr>
          <w:sz w:val="20"/>
          <w:szCs w:val="20"/>
        </w:rPr>
      </w:pPr>
    </w:p>
    <w:p w:rsidR="00D60575" w:rsidP="005D1434" w14:paraId="5986C95C" w14:textId="4A729A11">
      <w:pPr>
        <w:ind w:left="107"/>
        <w:sectPr>
          <w:pgSz w:w="12240" w:h="15840"/>
          <w:pgMar w:top="1360" w:right="700" w:bottom="900" w:left="900" w:header="334" w:footer="709" w:gutter="0"/>
          <w:cols w:space="720"/>
        </w:sectPr>
      </w:pPr>
      <w:r w:rsidRPr="004F1103">
        <w:rPr>
          <w:sz w:val="20"/>
          <w:szCs w:val="20"/>
        </w:rPr>
        <w:t>All other information reported on Form EIA-112 is considered public information and may be publicly released in company identifiable form. The Federal Energy Administration Act requires EIA to provide company-specific data to other federal agencies when requested for official use. The information reported on this form may also be made available, upon request, to another component of DOE,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0629EB" w:rsidP="00C7574C" w14:paraId="34635A08" w14:textId="0C0003C5">
      <w:pPr>
        <w:pStyle w:val="Heading1"/>
      </w:pPr>
      <w:r>
        <w:t>DEFINITIONS</w:t>
      </w:r>
    </w:p>
    <w:p w:rsidR="000629EB" w:rsidP="000629EB" w14:paraId="651413C4" w14:textId="77777777">
      <w:pPr>
        <w:pStyle w:val="BodyText"/>
      </w:pPr>
    </w:p>
    <w:p w:rsidR="000629EB" w:rsidP="000629EB" w14:paraId="4AF247B7" w14:textId="179E1A6A">
      <w:pPr>
        <w:pStyle w:val="BodyText"/>
        <w:numPr>
          <w:ilvl w:val="0"/>
          <w:numId w:val="5"/>
        </w:numPr>
      </w:pPr>
      <w:r w:rsidRPr="4AA7B4E7">
        <w:rPr>
          <w:b/>
          <w:bCs/>
        </w:rPr>
        <w:t>CUSTOMER</w:t>
      </w:r>
      <w:r w:rsidR="00694CE6">
        <w:t xml:space="preserve">: </w:t>
      </w:r>
      <w:r w:rsidR="00B02054">
        <w:t>each utility-owned meter at a residential dwelling or building (except in cases where multiple metering is used for special services (for example, water heating, space heating, etc.) in the same dwelling/building, the customer is the dwelling/building to avoid the potential for duplicate reporting.</w:t>
      </w:r>
    </w:p>
    <w:p w:rsidR="00A11A8E" w:rsidP="000629EB" w14:paraId="49B4B18B" w14:textId="09778114">
      <w:pPr>
        <w:pStyle w:val="BodyText"/>
        <w:numPr>
          <w:ilvl w:val="0"/>
          <w:numId w:val="5"/>
        </w:numPr>
      </w:pPr>
      <w:r w:rsidRPr="4AA7B4E7">
        <w:rPr>
          <w:b/>
          <w:bCs/>
        </w:rPr>
        <w:t>TOTAL CUSTOMERS</w:t>
      </w:r>
      <w:r>
        <w:t>: grand total sum of residential, including multifamily, customers served regardless of payment status, in</w:t>
      </w:r>
      <w:r w:rsidR="002732BA">
        <w:t>cl</w:t>
      </w:r>
      <w:r>
        <w:t>uding non-delinquent customers.</w:t>
      </w:r>
    </w:p>
    <w:p w:rsidR="002732BA" w:rsidP="000629EB" w14:paraId="2CB6398F" w14:textId="2939FBB1">
      <w:pPr>
        <w:pStyle w:val="BodyText"/>
        <w:numPr>
          <w:ilvl w:val="0"/>
          <w:numId w:val="5"/>
        </w:numPr>
      </w:pPr>
      <w:r w:rsidRPr="4AA7B4E7">
        <w:rPr>
          <w:b/>
          <w:bCs/>
        </w:rPr>
        <w:t>RESIDENTIAL, INCLUDING MULTIFAMILY</w:t>
      </w:r>
      <w:r>
        <w:t>: single family dwellings, mobile homes, and individually and master-metered multifamily dwellings where energy is consumed primarily for space and water heating, air conditioning, lighting, refrigeration, cooking, and laundry.</w:t>
      </w:r>
    </w:p>
    <w:p w:rsidR="00D51417" w:rsidP="000629EB" w14:paraId="185CC15A" w14:textId="66F827E9">
      <w:pPr>
        <w:pStyle w:val="BodyText"/>
        <w:numPr>
          <w:ilvl w:val="0"/>
          <w:numId w:val="5"/>
        </w:numPr>
      </w:pPr>
      <w:r w:rsidRPr="4AA7B4E7">
        <w:rPr>
          <w:b/>
          <w:bCs/>
        </w:rPr>
        <w:t>FINAL NOTICES</w:t>
      </w:r>
      <w:r>
        <w:t>: the last notice sent to residential customers via mail, email, phone, and/or text a day or more before being disconnected (also called a final notice, disconnect notice, delinquent notice, late notice, shut-off or cut-off notice, or termination notice).</w:t>
      </w:r>
    </w:p>
    <w:p w:rsidR="005318FD" w:rsidP="000629EB" w14:paraId="04972C7A" w14:textId="3D81850E">
      <w:pPr>
        <w:pStyle w:val="BodyText"/>
        <w:numPr>
          <w:ilvl w:val="0"/>
          <w:numId w:val="5"/>
        </w:numPr>
      </w:pPr>
      <w:r w:rsidRPr="4AA7B4E7">
        <w:rPr>
          <w:b/>
          <w:bCs/>
        </w:rPr>
        <w:t>DISCONNECTIONS</w:t>
      </w:r>
      <w:r>
        <w:t>: the involuntary shut-off of a residential customer's electricity and/or natural gas service(s) (also called a service disconnect, cut-off or turn-off, or termination) due to bill nonpayment reasons; EXCLUDES voluntary disconnections.</w:t>
      </w:r>
    </w:p>
    <w:p w:rsidR="005318FD" w:rsidP="000629EB" w14:paraId="4B4D39B4" w14:textId="32B26521">
      <w:pPr>
        <w:pStyle w:val="BodyText"/>
        <w:numPr>
          <w:ilvl w:val="0"/>
          <w:numId w:val="5"/>
        </w:numPr>
      </w:pPr>
      <w:r w:rsidRPr="4AA7B4E7">
        <w:rPr>
          <w:b/>
          <w:bCs/>
        </w:rPr>
        <w:t>RECONNECTIONS</w:t>
      </w:r>
      <w:r>
        <w:t>: the turning back on of electricity and/or natural gas service to a residential customer whose service was previously involuntarily disconnected (also called a service reconnect, reactivation, or turn-on).</w:t>
      </w:r>
    </w:p>
    <w:p w:rsidR="00C7574C" w:rsidRPr="00DA7B6C" w:rsidP="000629EB" w14:paraId="71B84A93" w14:textId="2DB89A97">
      <w:pPr>
        <w:pStyle w:val="BodyText"/>
        <w:numPr>
          <w:ilvl w:val="0"/>
          <w:numId w:val="5"/>
        </w:numPr>
      </w:pPr>
      <w:r w:rsidRPr="4AA7B4E7">
        <w:rPr>
          <w:b/>
          <w:bCs/>
        </w:rPr>
        <w:t>BILL NONPAYMENT REASONS</w:t>
      </w:r>
      <w:r>
        <w:t>: situations when residential customers are unable to or fail to pay their account balance, are in arrears or debt, and their electricity and/or natural gas service will be, is, or has been disconnected as a result.</w:t>
      </w:r>
    </w:p>
    <w:p w:rsidR="00D60575" w14:paraId="5986C96E" w14:textId="77777777">
      <w:pPr>
        <w:pStyle w:val="BodyText"/>
        <w:spacing w:before="136"/>
      </w:pPr>
    </w:p>
    <w:p w:rsidR="00D60575" w14:paraId="5986C96F" w14:textId="0F4E422A">
      <w:pPr>
        <w:pStyle w:val="Heading1"/>
        <w:spacing w:before="1"/>
      </w:pPr>
      <w:r>
        <w:t>SPECIFIC</w:t>
      </w:r>
      <w:r>
        <w:rPr>
          <w:spacing w:val="-6"/>
        </w:rPr>
        <w:t xml:space="preserve"> </w:t>
      </w:r>
      <w:r>
        <w:rPr>
          <w:spacing w:val="-2"/>
        </w:rPr>
        <w:t>INSTRUCTIONS</w:t>
      </w:r>
      <w:r w:rsidR="4000BA07">
        <w:rPr>
          <w:spacing w:val="-2"/>
        </w:rPr>
        <w:t xml:space="preserve"> – SCHEDULE 1</w:t>
      </w:r>
    </w:p>
    <w:p w:rsidR="00C16719" w:rsidP="00BE1F8F" w14:paraId="25BDB3F2" w14:textId="04137ACE">
      <w:pPr>
        <w:pStyle w:val="Heading2"/>
        <w:rPr>
          <w:spacing w:val="-4"/>
        </w:rPr>
      </w:pPr>
      <w:r>
        <w:t>PART</w:t>
      </w:r>
      <w:r>
        <w:rPr>
          <w:spacing w:val="-3"/>
        </w:rPr>
        <w:t xml:space="preserve"> </w:t>
      </w:r>
      <w:r>
        <w:t>1:</w:t>
      </w:r>
      <w:r>
        <w:rPr>
          <w:spacing w:val="50"/>
        </w:rPr>
        <w:t xml:space="preserve"> </w:t>
      </w:r>
      <w:r w:rsidR="00BE1F8F">
        <w:t>IDENTIFICATION</w:t>
      </w:r>
    </w:p>
    <w:p w:rsidR="00BE1F8F" w:rsidRPr="00BE1F8F" w:rsidP="4AA7B4E7" w14:paraId="06B86F67" w14:textId="66197394">
      <w:pPr>
        <w:pStyle w:val="BodyText"/>
        <w:ind w:left="107"/>
      </w:pPr>
      <w:r>
        <w:t xml:space="preserve">For </w:t>
      </w:r>
      <w:r w:rsidR="00D64F05">
        <w:t xml:space="preserve">respondents using the Secure File Transfer option, Part 1 shall be completed in its entirety. For those using the EIA Respondent Portal option, </w:t>
      </w:r>
      <w:r w:rsidR="005035C6">
        <w:t xml:space="preserve">you may verify your contact and other information within the portal itself. </w:t>
      </w:r>
    </w:p>
    <w:p w:rsidR="00325ADD" w:rsidRPr="00325ADD" w:rsidP="00325ADD" w14:paraId="48F8D252" w14:textId="76B17BC2">
      <w:pPr>
        <w:pStyle w:val="ListParagraph"/>
        <w:numPr>
          <w:ilvl w:val="0"/>
          <w:numId w:val="3"/>
        </w:numPr>
        <w:tabs>
          <w:tab w:val="left" w:pos="828"/>
        </w:tabs>
        <w:spacing w:before="197" w:line="213" w:lineRule="auto"/>
        <w:ind w:right="117"/>
        <w:rPr>
          <w:sz w:val="20"/>
        </w:rPr>
      </w:pPr>
      <w:r>
        <w:rPr>
          <w:sz w:val="20"/>
        </w:rPr>
        <w:t xml:space="preserve">Enter </w:t>
      </w:r>
      <w:r w:rsidR="00EA7B8C">
        <w:rPr>
          <w:sz w:val="20"/>
        </w:rPr>
        <w:t>your “Entity Name” as it appears in the opening email</w:t>
      </w:r>
      <w:r>
        <w:rPr>
          <w:sz w:val="20"/>
        </w:rPr>
        <w:t>.</w:t>
      </w:r>
    </w:p>
    <w:p w:rsidR="00D60575" w14:paraId="5986C972" w14:textId="216B5B50">
      <w:pPr>
        <w:pStyle w:val="ListParagraph"/>
        <w:numPr>
          <w:ilvl w:val="0"/>
          <w:numId w:val="3"/>
        </w:numPr>
        <w:tabs>
          <w:tab w:val="left" w:pos="828"/>
        </w:tabs>
        <w:spacing w:line="216" w:lineRule="auto"/>
        <w:ind w:right="105"/>
        <w:rPr>
          <w:sz w:val="20"/>
        </w:rPr>
      </w:pPr>
      <w:r>
        <w:rPr>
          <w:sz w:val="20"/>
        </w:rPr>
        <w:t>Enter</w:t>
      </w:r>
      <w:r>
        <w:rPr>
          <w:spacing w:val="-7"/>
          <w:sz w:val="20"/>
        </w:rPr>
        <w:t xml:space="preserve"> </w:t>
      </w:r>
      <w:r>
        <w:rPr>
          <w:sz w:val="20"/>
        </w:rPr>
        <w:t>the</w:t>
      </w:r>
      <w:r>
        <w:rPr>
          <w:spacing w:val="-8"/>
          <w:sz w:val="20"/>
        </w:rPr>
        <w:t xml:space="preserve"> </w:t>
      </w:r>
      <w:r>
        <w:rPr>
          <w:sz w:val="20"/>
        </w:rPr>
        <w:t>EIA</w:t>
      </w:r>
      <w:r>
        <w:rPr>
          <w:spacing w:val="-7"/>
          <w:sz w:val="20"/>
        </w:rPr>
        <w:t xml:space="preserve"> </w:t>
      </w:r>
      <w:r>
        <w:rPr>
          <w:sz w:val="20"/>
        </w:rPr>
        <w:t>ID</w:t>
      </w:r>
      <w:r>
        <w:rPr>
          <w:spacing w:val="-7"/>
          <w:sz w:val="20"/>
        </w:rPr>
        <w:t xml:space="preserve"> </w:t>
      </w:r>
      <w:r>
        <w:rPr>
          <w:sz w:val="20"/>
        </w:rPr>
        <w:t>Number</w:t>
      </w:r>
      <w:r w:rsidR="00DA0F92">
        <w:rPr>
          <w:sz w:val="20"/>
        </w:rPr>
        <w:t>. Please refer to your emailed survey letter for your unique ID</w:t>
      </w:r>
      <w:r>
        <w:rPr>
          <w:sz w:val="20"/>
        </w:rPr>
        <w:t>.</w:t>
      </w:r>
      <w:r>
        <w:rPr>
          <w:spacing w:val="-7"/>
          <w:sz w:val="20"/>
        </w:rPr>
        <w:t xml:space="preserve"> </w:t>
      </w:r>
      <w:r>
        <w:rPr>
          <w:sz w:val="20"/>
        </w:rPr>
        <w:t>If</w:t>
      </w:r>
      <w:r>
        <w:rPr>
          <w:spacing w:val="-8"/>
          <w:sz w:val="20"/>
        </w:rPr>
        <w:t xml:space="preserve"> </w:t>
      </w:r>
      <w:r>
        <w:rPr>
          <w:sz w:val="20"/>
        </w:rPr>
        <w:t>you</w:t>
      </w:r>
      <w:r>
        <w:rPr>
          <w:spacing w:val="-6"/>
          <w:sz w:val="20"/>
        </w:rPr>
        <w:t xml:space="preserve"> </w:t>
      </w:r>
      <w:r>
        <w:rPr>
          <w:sz w:val="20"/>
        </w:rPr>
        <w:t>do</w:t>
      </w:r>
      <w:r>
        <w:rPr>
          <w:spacing w:val="-7"/>
          <w:sz w:val="20"/>
        </w:rPr>
        <w:t xml:space="preserve"> </w:t>
      </w:r>
      <w:r>
        <w:rPr>
          <w:sz w:val="20"/>
        </w:rPr>
        <w:t>not</w:t>
      </w:r>
      <w:r>
        <w:rPr>
          <w:spacing w:val="-6"/>
          <w:sz w:val="20"/>
        </w:rPr>
        <w:t xml:space="preserve"> </w:t>
      </w:r>
      <w:r>
        <w:rPr>
          <w:sz w:val="20"/>
        </w:rPr>
        <w:t>have</w:t>
      </w:r>
      <w:r>
        <w:rPr>
          <w:spacing w:val="-8"/>
          <w:sz w:val="20"/>
        </w:rPr>
        <w:t xml:space="preserve"> </w:t>
      </w:r>
      <w:r>
        <w:rPr>
          <w:sz w:val="20"/>
        </w:rPr>
        <w:t>a</w:t>
      </w:r>
      <w:r>
        <w:rPr>
          <w:spacing w:val="-6"/>
          <w:sz w:val="20"/>
        </w:rPr>
        <w:t xml:space="preserve"> </w:t>
      </w:r>
      <w:r>
        <w:rPr>
          <w:sz w:val="20"/>
        </w:rPr>
        <w:t>number,</w:t>
      </w:r>
      <w:r>
        <w:rPr>
          <w:spacing w:val="-6"/>
          <w:sz w:val="20"/>
        </w:rPr>
        <w:t xml:space="preserve"> </w:t>
      </w:r>
      <w:r w:rsidR="00DA0F92">
        <w:rPr>
          <w:sz w:val="20"/>
        </w:rPr>
        <w:t>please contact us and we</w:t>
      </w:r>
      <w:r>
        <w:rPr>
          <w:spacing w:val="-7"/>
          <w:sz w:val="20"/>
        </w:rPr>
        <w:t xml:space="preserve"> </w:t>
      </w:r>
      <w:r>
        <w:rPr>
          <w:sz w:val="20"/>
        </w:rPr>
        <w:t>will</w:t>
      </w:r>
      <w:r>
        <w:rPr>
          <w:spacing w:val="-7"/>
          <w:sz w:val="20"/>
        </w:rPr>
        <w:t xml:space="preserve"> </w:t>
      </w:r>
      <w:r>
        <w:rPr>
          <w:sz w:val="20"/>
        </w:rPr>
        <w:t>advise you of the number.</w:t>
      </w:r>
    </w:p>
    <w:p w:rsidR="00D60575" w14:paraId="5986C973" w14:textId="0BE65323">
      <w:pPr>
        <w:pStyle w:val="ListParagraph"/>
        <w:numPr>
          <w:ilvl w:val="0"/>
          <w:numId w:val="3"/>
        </w:numPr>
        <w:tabs>
          <w:tab w:val="left" w:pos="828"/>
        </w:tabs>
        <w:spacing w:line="208" w:lineRule="exact"/>
        <w:rPr>
          <w:sz w:val="20"/>
        </w:rPr>
      </w:pPr>
      <w:r>
        <w:rPr>
          <w:sz w:val="20"/>
        </w:rPr>
        <w:t>Enter the contact information for the primary survey contact</w:t>
      </w:r>
      <w:r w:rsidR="005A5DE0">
        <w:rPr>
          <w:sz w:val="20"/>
        </w:rPr>
        <w:t>, who is the person who has primary responsibility in submitting the form with accurate information. If there are any questions about the submitted data, this is the person whom EIA will contact</w:t>
      </w:r>
      <w:r w:rsidR="00D13F64">
        <w:rPr>
          <w:sz w:val="20"/>
        </w:rPr>
        <w:t xml:space="preserve"> first.</w:t>
      </w:r>
    </w:p>
    <w:p w:rsidR="00D60575" w14:paraId="5986C974" w14:textId="309F4487">
      <w:pPr>
        <w:pStyle w:val="ListParagraph"/>
        <w:numPr>
          <w:ilvl w:val="0"/>
          <w:numId w:val="3"/>
        </w:numPr>
        <w:tabs>
          <w:tab w:val="left" w:pos="828"/>
        </w:tabs>
        <w:spacing w:line="221" w:lineRule="exact"/>
        <w:rPr>
          <w:sz w:val="20"/>
        </w:rPr>
      </w:pPr>
      <w:r>
        <w:rPr>
          <w:sz w:val="20"/>
        </w:rPr>
        <w:t>Enter</w:t>
      </w:r>
      <w:r>
        <w:rPr>
          <w:spacing w:val="-5"/>
          <w:sz w:val="20"/>
        </w:rPr>
        <w:t xml:space="preserve"> </w:t>
      </w:r>
      <w:r w:rsidR="00D13F64">
        <w:rPr>
          <w:sz w:val="20"/>
        </w:rPr>
        <w:t>the contact information for the primary survey contact’s supervisor</w:t>
      </w:r>
      <w:r>
        <w:rPr>
          <w:spacing w:val="-2"/>
          <w:sz w:val="20"/>
        </w:rPr>
        <w:t>.</w:t>
      </w:r>
    </w:p>
    <w:p w:rsidR="00D60575" w:rsidRPr="005F627C" w14:paraId="5986C975" w14:textId="34C52E0A">
      <w:pPr>
        <w:pStyle w:val="ListParagraph"/>
        <w:numPr>
          <w:ilvl w:val="0"/>
          <w:numId w:val="3"/>
        </w:numPr>
        <w:tabs>
          <w:tab w:val="left" w:pos="828"/>
        </w:tabs>
        <w:spacing w:line="220" w:lineRule="exact"/>
        <w:rPr>
          <w:sz w:val="20"/>
        </w:rPr>
      </w:pPr>
      <w:r>
        <w:rPr>
          <w:sz w:val="20"/>
        </w:rPr>
        <w:t>Enter</w:t>
      </w:r>
      <w:r>
        <w:rPr>
          <w:spacing w:val="-6"/>
          <w:sz w:val="20"/>
        </w:rPr>
        <w:t xml:space="preserve"> </w:t>
      </w:r>
      <w:r>
        <w:rPr>
          <w:sz w:val="20"/>
        </w:rPr>
        <w:t>the</w:t>
      </w:r>
      <w:r>
        <w:rPr>
          <w:spacing w:val="-5"/>
          <w:sz w:val="20"/>
        </w:rPr>
        <w:t xml:space="preserve"> </w:t>
      </w:r>
      <w:r w:rsidR="00D13F64">
        <w:rPr>
          <w:sz w:val="20"/>
        </w:rPr>
        <w:t>Respondent Type</w:t>
      </w:r>
      <w:r w:rsidR="00EC7565">
        <w:rPr>
          <w:sz w:val="20"/>
        </w:rPr>
        <w:t xml:space="preserve"> that best describes your entity</w:t>
      </w:r>
      <w:r>
        <w:rPr>
          <w:spacing w:val="-2"/>
          <w:sz w:val="20"/>
        </w:rPr>
        <w:t>.</w:t>
      </w:r>
    </w:p>
    <w:p w:rsidR="005F627C" w:rsidRPr="005F627C" w:rsidP="005F627C" w14:paraId="643860FF" w14:textId="77777777">
      <w:pPr>
        <w:tabs>
          <w:tab w:val="left" w:pos="828"/>
        </w:tabs>
        <w:spacing w:line="220" w:lineRule="exact"/>
        <w:rPr>
          <w:sz w:val="20"/>
        </w:rPr>
      </w:pPr>
    </w:p>
    <w:p w:rsidR="00D60575" w14:paraId="0523573D" w14:textId="77777777">
      <w:pPr>
        <w:spacing w:line="216" w:lineRule="auto"/>
        <w:rPr>
          <w:sz w:val="20"/>
        </w:rPr>
      </w:pPr>
    </w:p>
    <w:p w:rsidR="005F627C" w:rsidP="00B246E5" w14:paraId="427AC069" w14:textId="1DD93F62">
      <w:pPr>
        <w:pStyle w:val="Heading2"/>
      </w:pPr>
      <w:r>
        <w:t>PART 2: SUBMISSION INFORMATION</w:t>
      </w:r>
    </w:p>
    <w:p w:rsidR="00B246E5" w:rsidP="005F627C" w14:paraId="5879C28F" w14:textId="77777777">
      <w:pPr>
        <w:pStyle w:val="BodyText"/>
      </w:pPr>
    </w:p>
    <w:p w:rsidR="00B246E5" w:rsidP="4AA7B4E7" w14:paraId="08D42F34" w14:textId="73EA21FE">
      <w:pPr>
        <w:pStyle w:val="BodyText"/>
      </w:pPr>
      <w:r>
        <w:t>This part contains information on suitable modes of submission. More details are found previously in these instructions.</w:t>
      </w:r>
    </w:p>
    <w:p w:rsidR="00B246E5" w:rsidP="00B246E5" w14:paraId="25AF669B" w14:textId="4BC4E2CD">
      <w:pPr>
        <w:pStyle w:val="Heading2"/>
      </w:pPr>
      <w:r>
        <w:t>PART 3: STATES AND SERVICES</w:t>
      </w:r>
    </w:p>
    <w:p w:rsidR="00B246E5" w:rsidP="00004126" w14:paraId="6ADCAA24" w14:textId="1070A3CF">
      <w:pPr>
        <w:pStyle w:val="BodyText"/>
      </w:pPr>
      <w:r>
        <w:tab/>
      </w:r>
    </w:p>
    <w:p w:rsidR="00004126" w:rsidP="4AA7B4E7" w14:paraId="3C6CE02F" w14:textId="61372411">
      <w:pPr>
        <w:pStyle w:val="BodyText"/>
      </w:pPr>
      <w:r>
        <w:t>For Question 1, “In how many states does your establishment provide electricity and/or natural gas service to residential customers</w:t>
      </w:r>
      <w:r w:rsidR="00647D8B">
        <w:t>? Please include the District of Columbia and Puerto Rico, if applicable,” please provide the total number of states for which your utility provides</w:t>
      </w:r>
      <w:r w:rsidR="274D9468">
        <w:t xml:space="preserve"> electricity OR natural gas</w:t>
      </w:r>
      <w:r w:rsidR="00647D8B">
        <w:t xml:space="preserve"> service.</w:t>
      </w:r>
      <w:r w:rsidR="001B1D87">
        <w:t xml:space="preserve"> This is a total number of states </w:t>
      </w:r>
      <w:r w:rsidR="0070793C">
        <w:t>regardless of</w:t>
      </w:r>
      <w:r w:rsidR="001B1D87">
        <w:t xml:space="preserve"> any customers </w:t>
      </w:r>
      <w:r w:rsidR="0070793C">
        <w:t>having</w:t>
      </w:r>
      <w:r w:rsidR="00320882">
        <w:t xml:space="preserve"> any disconnections. </w:t>
      </w:r>
    </w:p>
    <w:p w:rsidR="00004126" w:rsidP="00004126" w14:paraId="567BE679" w14:textId="5B8D0224">
      <w:pPr>
        <w:pStyle w:val="BodyText"/>
      </w:pPr>
    </w:p>
    <w:p w:rsidR="00004126" w:rsidP="4AA7B4E7" w14:paraId="2E7CFD50" w14:textId="4B62B896">
      <w:pPr>
        <w:pStyle w:val="BodyText"/>
      </w:pPr>
      <w:r>
        <w:t xml:space="preserve">For Question 2, “Does your establishment provide only electricity service, only natural gas service, or both electricity and natural gas services to residential customers (in any state)?” please </w:t>
      </w:r>
      <w:r w:rsidR="33DF8FE0">
        <w:t>select one and only one option. If you provide both electricity and natural gas in one</w:t>
      </w:r>
      <w:r w:rsidR="1BF43D49">
        <w:t xml:space="preserve"> or more</w:t>
      </w:r>
      <w:r w:rsidR="33DF8FE0">
        <w:t xml:space="preserve"> of your states, but only one type of utility in all others, please select “Both e</w:t>
      </w:r>
      <w:r w:rsidR="1A377DC4">
        <w:t>lectricity &amp; natural gas” as your answer.</w:t>
      </w:r>
    </w:p>
    <w:p w:rsidR="00004126" w:rsidP="4AA7B4E7" w14:paraId="3C6C75A5" w14:textId="7306E89A">
      <w:pPr>
        <w:pStyle w:val="Heading1"/>
        <w:spacing w:before="1"/>
        <w:ind w:left="0"/>
      </w:pPr>
      <w:r>
        <w:t>SPECIFIC INSTRUCTIONS – SCHEDULE 2</w:t>
      </w:r>
    </w:p>
    <w:p w:rsidR="00004126" w:rsidP="4AA7B4E7" w14:paraId="19A491EB" w14:textId="2EE188A9">
      <w:pPr>
        <w:pStyle w:val="BodyText"/>
        <w:ind w:left="100"/>
      </w:pPr>
      <w:r>
        <w:t>For each state represented in the total states in Schedule 1 – Question 1, complete one table in Schedule 2</w:t>
      </w:r>
      <w:r w:rsidR="11711639">
        <w:t xml:space="preserve"> – </w:t>
      </w:r>
      <w:r w:rsidR="5217C2B8">
        <w:t>Part</w:t>
      </w:r>
      <w:r>
        <w:t xml:space="preserve"> </w:t>
      </w:r>
      <w:r w:rsidR="11711639">
        <w:t xml:space="preserve">4 </w:t>
      </w:r>
      <w:r>
        <w:t xml:space="preserve">for each </w:t>
      </w:r>
      <w:r>
        <w:t xml:space="preserve">state. For example, for one state complete only one table in Schedule 2, for two states complete two tables, and so on. If you operate in more than three (3) states, please use the EIA Respondent Portal webform option at </w:t>
      </w:r>
      <w:hyperlink r:id="rId7">
        <w:r w:rsidRPr="4AA7B4E7">
          <w:rPr>
            <w:rStyle w:val="Hyperlink"/>
          </w:rPr>
          <w:t>https://survey.eia.gov</w:t>
        </w:r>
      </w:hyperlink>
      <w:r>
        <w:t xml:space="preserve">. </w:t>
      </w:r>
    </w:p>
    <w:p w:rsidR="00004126" w:rsidP="00004126" w14:paraId="0760D431" w14:textId="76C92217">
      <w:pPr>
        <w:pStyle w:val="BodyText"/>
      </w:pPr>
    </w:p>
    <w:p w:rsidR="00004126" w:rsidP="4AA7B4E7" w14:paraId="55883210" w14:textId="7103218E">
      <w:pPr>
        <w:pStyle w:val="BodyText"/>
        <w:ind w:left="100"/>
      </w:pPr>
      <w:r>
        <w:t>You may provide both electricity and natural gas</w:t>
      </w:r>
      <w:r w:rsidR="292626A8">
        <w:t xml:space="preserve"> services</w:t>
      </w:r>
      <w:r>
        <w:t xml:space="preserve"> in particular states. Each table in Schedule 2</w:t>
      </w:r>
      <w:r w:rsidR="3BDAC467">
        <w:t xml:space="preserve"> – Part</w:t>
      </w:r>
      <w:r>
        <w:t xml:space="preserve"> </w:t>
      </w:r>
      <w:r w:rsidR="3BDAC467">
        <w:t xml:space="preserve">4 </w:t>
      </w:r>
      <w:r>
        <w:t>represents one state by utility type (i.e. electricity OR natural gas) combination, and you shall complete as many tables as state by utility type combinations. For example, if you operate in two states and provide both electricity and natural gas in each of those states, you will need to complete four (4) tables.</w:t>
      </w:r>
    </w:p>
    <w:p w:rsidR="00004126" w:rsidP="4AA7B4E7" w14:paraId="06BCEEFB" w14:textId="27DCCA00">
      <w:pPr>
        <w:pStyle w:val="Heading2"/>
        <w:ind w:left="0"/>
      </w:pPr>
      <w:r>
        <w:t>PART 4: RESIDENTIAL UTILITY TOTAL CUSTOMERS, FINAL NOTICES, DISCONNECTIONS, AND RECONNECTIONS FOR EACH STATE IN EACH MONTH OF THE REPORTING YEAR</w:t>
      </w:r>
    </w:p>
    <w:p w:rsidR="00004126" w:rsidP="4AA7B4E7" w14:paraId="5A6CB633" w14:textId="4C6E61EB">
      <w:pPr>
        <w:pStyle w:val="Heading2"/>
        <w:ind w:left="0"/>
        <w:rPr>
          <w:b w:val="0"/>
          <w:bCs w:val="0"/>
        </w:rPr>
      </w:pPr>
      <w:r>
        <w:rPr>
          <w:b w:val="0"/>
          <w:bCs w:val="0"/>
        </w:rPr>
        <w:t>More detailed definitions of terms are provided previously in this document and on the form itself.</w:t>
      </w:r>
    </w:p>
    <w:p w:rsidR="00004126" w:rsidP="4AA7B4E7" w14:paraId="5CE5C241" w14:textId="6BFE1E26">
      <w:pPr>
        <w:pStyle w:val="BodyText"/>
      </w:pPr>
    </w:p>
    <w:p w:rsidR="00004126" w:rsidP="4AA7B4E7" w14:paraId="2AFF3D0E" w14:textId="7D719E0E">
      <w:pPr>
        <w:pStyle w:val="BodyText"/>
      </w:pPr>
      <w:r>
        <w:t>For each table in Schedule 2, select ONLY ONE of either “Electricity” or “Gas” depending on what service you provide. Do NOT combine Electricity and Natural Gas customer data in any table.</w:t>
      </w:r>
      <w:r w:rsidR="39746023">
        <w:t xml:space="preserve"> If you provide both electricity and natural gas in one state, please complete two tables.</w:t>
      </w:r>
    </w:p>
    <w:p w:rsidR="00004126" w:rsidP="4AA7B4E7" w14:paraId="7EFF917B" w14:textId="6FE430B2">
      <w:pPr>
        <w:pStyle w:val="BodyText"/>
      </w:pPr>
    </w:p>
    <w:p w:rsidR="00004126" w:rsidP="4AA7B4E7" w14:paraId="66C490E2" w14:textId="2774A8D7">
      <w:pPr>
        <w:pStyle w:val="BodyText"/>
      </w:pPr>
      <w:r>
        <w:t xml:space="preserve">For each table in Schedule 2, select ONLY ONE state in which you provide utilities, including the District of Columbia and Puerto Rico, if applicable. </w:t>
      </w:r>
    </w:p>
    <w:p w:rsidR="00004126" w:rsidP="4AA7B4E7" w14:paraId="2ED88E94" w14:textId="18F147B7">
      <w:pPr>
        <w:pStyle w:val="BodyText"/>
      </w:pPr>
    </w:p>
    <w:p w:rsidR="00004126" w:rsidP="4AA7B4E7" w14:paraId="5A0334DC" w14:textId="7B7CD2F8">
      <w:pPr>
        <w:pStyle w:val="BodyText"/>
      </w:pPr>
      <w:r>
        <w:t xml:space="preserve">For each table in Schedule 2, please provide data for each month of </w:t>
      </w:r>
      <w:r w:rsidR="68BFDD26">
        <w:t xml:space="preserve">ONLY </w:t>
      </w:r>
      <w:r>
        <w:t>the reporting year, starting with January and ending with December</w:t>
      </w:r>
      <w:r w:rsidR="4DD1B223">
        <w:t>.</w:t>
      </w:r>
      <w:r w:rsidR="62E58EAB">
        <w:t xml:space="preserve"> The reporting year is clearly displayed on the form.</w:t>
      </w:r>
    </w:p>
    <w:p w:rsidR="00004126" w:rsidP="4AA7B4E7" w14:paraId="25B81C14" w14:textId="6ABBCBB3">
      <w:pPr>
        <w:pStyle w:val="BodyText"/>
      </w:pPr>
    </w:p>
    <w:p w:rsidR="00004126" w:rsidP="4AA7B4E7" w14:paraId="1F2F7CF2" w14:textId="58C19057">
      <w:pPr>
        <w:pStyle w:val="BodyText"/>
      </w:pPr>
      <w:r>
        <w:t xml:space="preserve">In Line 1 of each table, </w:t>
      </w:r>
      <w:r w:rsidR="1AF73889">
        <w:t xml:space="preserve">enter </w:t>
      </w:r>
      <w:r>
        <w:t>the total number of residential, including multifamily, customers, regardless of delinquency status</w:t>
      </w:r>
      <w:r w:rsidR="383877C8">
        <w:t xml:space="preserve">. </w:t>
      </w:r>
    </w:p>
    <w:p w:rsidR="00004126" w:rsidP="4AA7B4E7" w14:paraId="1039FE6E" w14:textId="5D5E082F">
      <w:pPr>
        <w:pStyle w:val="BodyText"/>
      </w:pPr>
    </w:p>
    <w:p w:rsidR="00004126" w:rsidP="4AA7B4E7" w14:paraId="7AE92B84" w14:textId="1D1AE3C3">
      <w:pPr>
        <w:pStyle w:val="BodyText"/>
      </w:pPr>
      <w:r>
        <w:t xml:space="preserve">In Line 2 of each table, </w:t>
      </w:r>
      <w:r w:rsidR="7337F67F">
        <w:t>enter the total number of residential, including multifamily, final notices sent out to customers for bill nonpayment reasons.</w:t>
      </w:r>
    </w:p>
    <w:p w:rsidR="00004126" w:rsidP="4AA7B4E7" w14:paraId="2EB59A2F" w14:textId="0E56C72A">
      <w:pPr>
        <w:pStyle w:val="BodyText"/>
      </w:pPr>
    </w:p>
    <w:p w:rsidR="00004126" w:rsidP="4AA7B4E7" w14:paraId="5BDC0AD9" w14:textId="2BAA9D37">
      <w:pPr>
        <w:pStyle w:val="BodyText"/>
      </w:pPr>
      <w:r>
        <w:t>In Line 3 of each table, enter the total number of residential, including multifamily, disconnections for bill nonpayment reasons.</w:t>
      </w:r>
    </w:p>
    <w:p w:rsidR="00004126" w:rsidP="4AA7B4E7" w14:paraId="2506FC70" w14:textId="327E5D6D">
      <w:pPr>
        <w:pStyle w:val="BodyText"/>
      </w:pPr>
    </w:p>
    <w:p w:rsidR="00004126" w:rsidP="4AA7B4E7" w14:paraId="364D2B33" w14:textId="29D9AD5C">
      <w:pPr>
        <w:pStyle w:val="BodyText"/>
      </w:pPr>
      <w:r>
        <w:t>In Line 4 of each table, enter the total number of residential, including multifamily, reconnections for bill nonpayment reasons.</w:t>
      </w:r>
    </w:p>
    <w:p w:rsidR="00004126" w:rsidP="4AA7B4E7" w14:paraId="47730349" w14:textId="5749469A">
      <w:pPr>
        <w:pStyle w:val="BodyText"/>
      </w:pPr>
    </w:p>
    <w:p w:rsidR="00004126" w:rsidP="4AA7B4E7" w14:paraId="7EDE1463" w14:textId="298E8162">
      <w:pPr>
        <w:pStyle w:val="BodyText"/>
      </w:pPr>
      <w:r>
        <w:t xml:space="preserve">If you encounter any reporting issues, concerns, barriers, or limitations or if you would like to identify any unusual aspects or fluctuations in the information you provided for the reporting year, please use the </w:t>
      </w:r>
      <w:r w:rsidR="5862BE42">
        <w:t>comment area and provide a detailed explanation of your special situation. These can include disconnection moratoriums</w:t>
      </w:r>
      <w:r w:rsidR="33FBDE76">
        <w:t>, record keeping limitations,</w:t>
      </w:r>
      <w:r w:rsidR="45387884">
        <w:t xml:space="preserve"> difficulty differentiating between electricity vs. natural gas disconnections, difficult differentiating between residential and commercial customers,</w:t>
      </w:r>
      <w:r w:rsidR="33FBDE76">
        <w:t xml:space="preserve"> etc. You may also provide any comment you feel is pertinent </w:t>
      </w:r>
      <w:r w:rsidR="486C0CC7">
        <w:t xml:space="preserve">to provide context to your </w:t>
      </w:r>
      <w:r w:rsidR="12FF0554">
        <w:t xml:space="preserve">unique </w:t>
      </w:r>
      <w:r w:rsidR="486C0CC7">
        <w:t>situation</w:t>
      </w:r>
      <w:r w:rsidR="33FBDE76">
        <w:t>.</w:t>
      </w:r>
    </w:p>
    <w:p w:rsidR="00004126" w:rsidP="4AA7B4E7" w14:paraId="393984FE" w14:textId="600D1DD0">
      <w:pPr>
        <w:pStyle w:val="BodyText"/>
      </w:pPr>
    </w:p>
    <w:p w:rsidR="00004126" w:rsidP="4AA7B4E7" w14:paraId="634D23D3" w14:textId="0A63C34F">
      <w:pPr>
        <w:pStyle w:val="Heading2"/>
        <w:ind w:left="0"/>
      </w:pPr>
      <w:r>
        <w:t>ADDITIONAL INSTRUCTIONS FOR SCHEDULE 2</w:t>
      </w:r>
    </w:p>
    <w:p w:rsidR="00004126" w:rsidP="4AA7B4E7" w14:paraId="41DD2BCE" w14:textId="1465DA4B">
      <w:pPr>
        <w:pStyle w:val="BodyText"/>
      </w:pPr>
    </w:p>
    <w:p w:rsidR="00004126" w:rsidP="4AA7B4E7" w14:paraId="2AD24494" w14:textId="0B41BF2C">
      <w:pPr>
        <w:pStyle w:val="BodyText"/>
        <w:numPr>
          <w:ilvl w:val="0"/>
          <w:numId w:val="1"/>
        </w:numPr>
      </w:pPr>
      <w:r>
        <w:t>If the area for which you provide services is under a disconnection moratorium, you may enter zeroes as appropriate. Please provide a comment detailing this situation.</w:t>
      </w:r>
    </w:p>
    <w:p w:rsidR="00004126" w:rsidP="4AA7B4E7" w14:paraId="762358CF" w14:textId="1A75B703">
      <w:pPr>
        <w:pStyle w:val="BodyText"/>
        <w:numPr>
          <w:ilvl w:val="0"/>
          <w:numId w:val="1"/>
        </w:numPr>
      </w:pPr>
      <w:r w:rsidRPr="4AA7B4E7">
        <w:t>Do NOT combine electricity and natural gas final notices, disconnections, and reconnections. Different dual-fuel utilities may disconnect on</w:t>
      </w:r>
      <w:r w:rsidRPr="4AA7B4E7" w:rsidR="3BEE49C8">
        <w:t>e utility before disconnecting another utility. Each of these</w:t>
      </w:r>
      <w:r w:rsidRPr="4AA7B4E7" w:rsidR="46B21463">
        <w:t xml:space="preserve"> affected customers</w:t>
      </w:r>
      <w:r w:rsidRPr="4AA7B4E7" w:rsidR="3BEE49C8">
        <w:t xml:space="preserve"> shall only be counted once</w:t>
      </w:r>
      <w:r w:rsidRPr="4AA7B4E7" w:rsidR="3014E8B4">
        <w:t xml:space="preserve"> per disconnection type</w:t>
      </w:r>
      <w:r w:rsidRPr="4AA7B4E7" w:rsidR="3BEE49C8">
        <w:t xml:space="preserve"> (i.e. no double counting</w:t>
      </w:r>
      <w:r w:rsidRPr="4AA7B4E7" w:rsidR="056B7B52">
        <w:t xml:space="preserve"> or duplicate reporting</w:t>
      </w:r>
      <w:r w:rsidRPr="4AA7B4E7" w:rsidR="3BEE49C8">
        <w:t>.)</w:t>
      </w:r>
    </w:p>
    <w:p w:rsidR="00004126" w:rsidP="4AA7B4E7" w14:paraId="1C2DF8B9" w14:textId="26357876">
      <w:pPr>
        <w:pStyle w:val="BodyText"/>
        <w:numPr>
          <w:ilvl w:val="0"/>
          <w:numId w:val="1"/>
        </w:numPr>
      </w:pPr>
      <w:r>
        <w:t>ONLY report final notices, disconnections, and reconnections for bill nonpayment reasons. Do NOT report other involuntary reasons, such as safety concerns or storm damage. Do NOT report voluntary reasons,</w:t>
      </w:r>
      <w:r w:rsidR="528A7D4E">
        <w:t xml:space="preserve"> such as moving out of the dwelling. </w:t>
      </w:r>
    </w:p>
    <w:p w:rsidR="00004126" w:rsidP="4AA7B4E7" w14:paraId="68D173CC" w14:textId="12217BC5">
      <w:pPr>
        <w:pStyle w:val="BodyText"/>
        <w:numPr>
          <w:ilvl w:val="0"/>
          <w:numId w:val="1"/>
        </w:numPr>
      </w:pPr>
      <w:r w:rsidRPr="4AA7B4E7">
        <w:t>ONLY report for residential, including multifamily, customers. Any other customers, including commercial customers, shall not be reported.</w:t>
      </w:r>
      <w:r w:rsidRPr="4AA7B4E7" w:rsidR="132FBCD2">
        <w:t xml:space="preserve"> </w:t>
      </w:r>
      <w:r w:rsidRPr="4AA7B4E7" w:rsidR="2B2ACA6F">
        <w:t>Furthermore, your utility may recognize commercial dwellings, such as apartment buildings, as a non-residential customer. For the purposes of this survey, these types of customers shall be included in your reported data</w:t>
      </w:r>
      <w:r w:rsidRPr="4AA7B4E7" w:rsidR="765ADA31">
        <w:t xml:space="preserve">. </w:t>
      </w:r>
    </w:p>
    <w:p w:rsidR="00004126" w:rsidP="4AA7B4E7" w14:paraId="55AA397F" w14:textId="50CAD7E6">
      <w:pPr>
        <w:pStyle w:val="BodyText"/>
        <w:numPr>
          <w:ilvl w:val="0"/>
          <w:numId w:val="1"/>
        </w:numPr>
      </w:pPr>
      <w:r w:rsidRPr="4AA7B4E7">
        <w:t xml:space="preserve">If you typically respond to the EIA-861 or the EIA-857 but do not have the appropriate records to report these data, </w:t>
      </w:r>
      <w:r w:rsidRPr="4AA7B4E7" w:rsidR="4D05A453">
        <w:t xml:space="preserve">you may need to locate someone else within your entity to complete the survey. </w:t>
      </w:r>
      <w:r w:rsidRPr="4AA7B4E7" w:rsidR="23EA0906">
        <w:t xml:space="preserve">Some common departments within responding utilities that may have the disconnection data may include accounting, finance, customer billing, etc. If </w:t>
      </w:r>
      <w:r w:rsidRPr="4AA7B4E7" w:rsidR="23EA0906">
        <w:t>another department is more apt to report these data, you may notify us with their contact information, and we will send them the necessary information to complete the survey. You may contact us by email at eia4usa@eia.gov or call us at 1</w:t>
      </w:r>
      <w:r w:rsidRPr="4AA7B4E7" w:rsidR="4E3CC745">
        <w:t>-</w:t>
      </w:r>
      <w:r w:rsidRPr="4AA7B4E7" w:rsidR="23EA0906">
        <w:t xml:space="preserve">855-EIA4USA.  </w:t>
      </w:r>
    </w:p>
    <w:p w:rsidR="00004126" w:rsidP="4AA7B4E7" w14:paraId="56D9A680" w14:textId="690C2EFF">
      <w:pPr>
        <w:pStyle w:val="BodyText"/>
      </w:pPr>
    </w:p>
    <w:p w:rsidR="00004126" w:rsidP="4AA7B4E7" w14:paraId="24038197" w14:textId="77777777">
      <w:pPr>
        <w:pStyle w:val="Heading1"/>
      </w:pPr>
      <w:r>
        <w:t>QUESTIONS</w:t>
      </w:r>
    </w:p>
    <w:p w:rsidR="00004126" w:rsidP="4AA7B4E7" w14:paraId="25441868" w14:textId="77777777">
      <w:pPr>
        <w:pStyle w:val="BodyText"/>
        <w:spacing w:before="148"/>
        <w:ind w:left="107"/>
      </w:pPr>
      <w:r>
        <w:t>Please contact the EIA Survey Support Team using the following communication methods:</w:t>
      </w:r>
    </w:p>
    <w:p w:rsidR="00004126" w:rsidP="4AA7B4E7" w14:paraId="5DB46450" w14:textId="77777777">
      <w:pPr>
        <w:pStyle w:val="BodyText"/>
        <w:spacing w:before="1"/>
      </w:pPr>
    </w:p>
    <w:p w:rsidR="00004126" w:rsidP="4AA7B4E7" w14:paraId="4AC5CDA2" w14:textId="77777777">
      <w:pPr>
        <w:pStyle w:val="BodyText"/>
        <w:tabs>
          <w:tab w:val="left" w:pos="2268"/>
        </w:tabs>
        <w:spacing w:line="243" w:lineRule="exact"/>
        <w:ind w:left="828"/>
      </w:pPr>
      <w:r>
        <w:t>By email:</w:t>
      </w:r>
      <w:r>
        <w:tab/>
      </w:r>
      <w:hyperlink r:id="rId13">
        <w:r w:rsidRPr="4AA7B4E7">
          <w:rPr>
            <w:color w:val="0000FF"/>
            <w:u w:val="single"/>
          </w:rPr>
          <w:t>eia4usa@eia.gov</w:t>
        </w:r>
      </w:hyperlink>
    </w:p>
    <w:p w:rsidR="00004126" w:rsidP="4AA7B4E7" w14:paraId="12146ED7" w14:textId="60A6E053">
      <w:pPr>
        <w:pStyle w:val="BodyText"/>
        <w:tabs>
          <w:tab w:val="left" w:pos="2268"/>
        </w:tabs>
        <w:spacing w:line="243" w:lineRule="exact"/>
        <w:ind w:left="828"/>
      </w:pPr>
      <w:r>
        <w:t>By phone:</w:t>
      </w:r>
      <w:r>
        <w:tab/>
      </w:r>
      <w:r>
        <w:t>1-855-EIA-4USA (1-855-342-4872) [Monday through Friday, 8:00 AM to 6:00 PM E.T.]</w:t>
      </w:r>
    </w:p>
    <w:p w:rsidR="00004126" w:rsidP="4AA7B4E7" w14:paraId="680F00EE" w14:textId="6A1A60E1">
      <w:pPr>
        <w:pStyle w:val="Heading1"/>
      </w:pPr>
    </w:p>
    <w:p w:rsidR="00004126" w:rsidP="4AA7B4E7" w14:paraId="7BEF4BEA" w14:textId="04E710F3">
      <w:pPr>
        <w:pStyle w:val="Heading1"/>
      </w:pPr>
    </w:p>
    <w:p w:rsidR="4AA7B4E7" w:rsidP="4AA7B4E7" w14:paraId="522D0DE0" w14:textId="28CB11FD">
      <w:pPr>
        <w:pStyle w:val="BodyText"/>
        <w:sectPr>
          <w:pgSz w:w="12240" w:h="15840"/>
          <w:pgMar w:top="1360" w:right="700" w:bottom="900" w:left="900" w:header="334" w:footer="709" w:gutter="0"/>
          <w:cols w:space="720"/>
        </w:sectPr>
      </w:pPr>
    </w:p>
    <w:p w:rsidR="00D60575" w:rsidP="4AA7B4E7" w14:paraId="5986C985" w14:textId="7C7888DB">
      <w:pPr>
        <w:pStyle w:val="Heading1"/>
        <w:spacing w:before="243"/>
        <w:ind w:left="0"/>
      </w:pPr>
    </w:p>
    <w:sectPr>
      <w:pgSz w:w="12240" w:h="15840"/>
      <w:pgMar w:top="1360" w:right="700" w:bottom="900" w:left="900" w:header="334"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0575" w14:paraId="5986C9C1" w14:textId="77777777">
    <w:pPr>
      <w:pStyle w:val="BodyText"/>
      <w:spacing w:line="14" w:lineRule="auto"/>
    </w:pPr>
    <w:r>
      <w:rPr>
        <w:noProof/>
      </w:rPr>
      <mc:AlternateContent>
        <mc:Choice Requires="wps">
          <w:drawing>
            <wp:anchor distT="0" distB="0" distL="0" distR="0" simplePos="0" relativeHeight="251658240" behindDoc="1" locked="0" layoutInCell="1" allowOverlap="1">
              <wp:simplePos x="0" y="0"/>
              <wp:positionH relativeFrom="page">
                <wp:align>center</wp:align>
              </wp:positionH>
              <wp:positionV relativeFrom="bottomMargin">
                <wp:align>top</wp:align>
              </wp:positionV>
              <wp:extent cx="2733675" cy="20955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733675" cy="209550"/>
                      </a:xfrm>
                      <a:prstGeom prst="rect">
                        <a:avLst/>
                      </a:prstGeom>
                    </wps:spPr>
                    <wps:txbx>
                      <w:txbxContent>
                        <w:p w:rsidR="00D60575" w14:textId="2217AD77">
                          <w:pPr>
                            <w:spacing w:before="15"/>
                            <w:ind w:left="20"/>
                            <w:rPr>
                              <w:rFonts w:ascii="Arial"/>
                              <w:b/>
                              <w:sz w:val="16"/>
                            </w:rPr>
                          </w:pPr>
                          <w:r>
                            <w:rPr>
                              <w:rFonts w:ascii="Arial"/>
                              <w:b/>
                              <w:sz w:val="16"/>
                            </w:rPr>
                            <w:t>Form</w:t>
                          </w:r>
                          <w:r>
                            <w:rPr>
                              <w:rFonts w:ascii="Arial"/>
                              <w:b/>
                              <w:spacing w:val="-5"/>
                              <w:sz w:val="16"/>
                            </w:rPr>
                            <w:t xml:space="preserve"> </w:t>
                          </w:r>
                          <w:r>
                            <w:rPr>
                              <w:rFonts w:ascii="Arial"/>
                              <w:b/>
                              <w:sz w:val="16"/>
                            </w:rPr>
                            <w:t>EIA-</w:t>
                          </w:r>
                          <w:r w:rsidR="00834513">
                            <w:rPr>
                              <w:rFonts w:ascii="Arial"/>
                              <w:b/>
                              <w:sz w:val="16"/>
                            </w:rPr>
                            <w:t>112</w:t>
                          </w:r>
                          <w:r>
                            <w:rPr>
                              <w:rFonts w:ascii="Arial"/>
                              <w:b/>
                              <w:spacing w:val="-4"/>
                              <w:sz w:val="16"/>
                            </w:rPr>
                            <w:t xml:space="preserve"> </w:t>
                          </w:r>
                          <w:r w:rsidR="00834513">
                            <w:rPr>
                              <w:rFonts w:ascii="Arial"/>
                              <w:b/>
                              <w:sz w:val="16"/>
                            </w:rPr>
                            <w:t>Residential Utility Disconnections Survey</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4" o:spid="_x0000_s2051" type="#_x0000_t202" style="width:215.25pt;height:16.5pt;margin-top:0;margin-left:0;mso-height-percent:0;mso-height-relative:margin;mso-position-horizontal:center;mso-position-horizontal-relative:page;mso-position-vertical:top;mso-position-vertical-relative:bottom-margin-area;mso-width-percent:0;mso-width-relative:margin;mso-wrap-distance-bottom:0;mso-wrap-distance-left:0;mso-wrap-distance-right:0;mso-wrap-distance-top:0;mso-wrap-style:square;position:absolute;visibility:visible;v-text-anchor:top;z-index:-251657216" filled="f" stroked="f">
              <v:textbox inset="0,0,0,0">
                <w:txbxContent>
                  <w:p w:rsidR="00D60575" w14:paraId="5986C9D3" w14:textId="2217AD77">
                    <w:pPr>
                      <w:spacing w:before="15"/>
                      <w:ind w:left="20"/>
                      <w:rPr>
                        <w:rFonts w:ascii="Arial"/>
                        <w:b/>
                        <w:sz w:val="16"/>
                      </w:rPr>
                    </w:pPr>
                    <w:r>
                      <w:rPr>
                        <w:rFonts w:ascii="Arial"/>
                        <w:b/>
                        <w:sz w:val="16"/>
                      </w:rPr>
                      <w:t>Form</w:t>
                    </w:r>
                    <w:r>
                      <w:rPr>
                        <w:rFonts w:ascii="Arial"/>
                        <w:b/>
                        <w:spacing w:val="-5"/>
                        <w:sz w:val="16"/>
                      </w:rPr>
                      <w:t xml:space="preserve"> </w:t>
                    </w:r>
                    <w:r>
                      <w:rPr>
                        <w:rFonts w:ascii="Arial"/>
                        <w:b/>
                        <w:sz w:val="16"/>
                      </w:rPr>
                      <w:t>EIA-</w:t>
                    </w:r>
                    <w:r w:rsidR="00834513">
                      <w:rPr>
                        <w:rFonts w:ascii="Arial"/>
                        <w:b/>
                        <w:sz w:val="16"/>
                      </w:rPr>
                      <w:t>112</w:t>
                    </w:r>
                    <w:r>
                      <w:rPr>
                        <w:rFonts w:ascii="Arial"/>
                        <w:b/>
                        <w:spacing w:val="-4"/>
                        <w:sz w:val="16"/>
                      </w:rPr>
                      <w:t xml:space="preserve"> </w:t>
                    </w:r>
                    <w:r w:rsidR="00834513">
                      <w:rPr>
                        <w:rFonts w:ascii="Arial"/>
                        <w:b/>
                        <w:sz w:val="16"/>
                      </w:rPr>
                      <w:t>Residential Utility Disconnections Survey</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0575" w14:paraId="5986C9C0" w14:textId="54D9F290">
    <w:pPr>
      <w:pStyle w:val="BodyText"/>
      <w:spacing w:line="14" w:lineRule="auto"/>
    </w:pPr>
    <w:r>
      <w:rPr>
        <w:noProof/>
      </w:rPr>
      <mc:AlternateContent>
        <mc:Choice Requires="wps">
          <w:drawing>
            <wp:anchor distT="0" distB="0" distL="0" distR="0" simplePos="0" relativeHeight="251659264" behindDoc="1" locked="0" layoutInCell="1" allowOverlap="1">
              <wp:simplePos x="0" y="0"/>
              <wp:positionH relativeFrom="margin">
                <wp:align>right</wp:align>
              </wp:positionH>
              <wp:positionV relativeFrom="topMargin">
                <wp:align>bottom</wp:align>
              </wp:positionV>
              <wp:extent cx="1679575" cy="67818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9575" cy="678180"/>
                      </a:xfrm>
                      <a:prstGeom prst="rect">
                        <a:avLst/>
                      </a:prstGeom>
                    </wps:spPr>
                    <wps:txbx>
                      <w:txbxContent>
                        <w:p w:rsidR="00D60575" w14:textId="77777777">
                          <w:pPr>
                            <w:spacing w:line="245" w:lineRule="exact"/>
                            <w:ind w:right="18"/>
                            <w:jc w:val="right"/>
                          </w:pPr>
                          <w:r>
                            <w:t>Form</w:t>
                          </w:r>
                          <w:r>
                            <w:rPr>
                              <w:spacing w:val="-5"/>
                            </w:rPr>
                            <w:t xml:space="preserve"> </w:t>
                          </w:r>
                          <w:r>
                            <w:rPr>
                              <w:spacing w:val="-2"/>
                            </w:rPr>
                            <w:t>Approved</w:t>
                          </w:r>
                        </w:p>
                        <w:p w:rsidR="00D60575" w14:textId="005CD7C6">
                          <w:pPr>
                            <w:ind w:right="18"/>
                            <w:jc w:val="right"/>
                          </w:pPr>
                          <w:r>
                            <w:t>OMB</w:t>
                          </w:r>
                          <w:r>
                            <w:rPr>
                              <w:spacing w:val="-6"/>
                            </w:rPr>
                            <w:t xml:space="preserve"> </w:t>
                          </w:r>
                          <w:r>
                            <w:t>No.</w:t>
                          </w:r>
                          <w:r>
                            <w:rPr>
                              <w:spacing w:val="-4"/>
                            </w:rPr>
                            <w:t xml:space="preserve"> </w:t>
                          </w:r>
                          <w:r w:rsidR="00A44A9B">
                            <w:t>XXXX</w:t>
                          </w:r>
                          <w:r>
                            <w:t>-</w:t>
                          </w:r>
                          <w:r w:rsidR="00A44A9B">
                            <w:rPr>
                              <w:spacing w:val="-4"/>
                            </w:rPr>
                            <w:t>XXXX</w:t>
                          </w:r>
                        </w:p>
                        <w:p w:rsidR="00D60575" w14:textId="2F735F12">
                          <w:pPr>
                            <w:ind w:right="18"/>
                            <w:jc w:val="right"/>
                          </w:pPr>
                          <w:r>
                            <w:t>Expiration</w:t>
                          </w:r>
                          <w:r>
                            <w:rPr>
                              <w:spacing w:val="-6"/>
                            </w:rPr>
                            <w:t xml:space="preserve"> </w:t>
                          </w:r>
                          <w:r>
                            <w:t>Date:</w:t>
                          </w:r>
                          <w:r>
                            <w:rPr>
                              <w:spacing w:val="44"/>
                            </w:rPr>
                            <w:t xml:space="preserve"> </w:t>
                          </w:r>
                          <w:r w:rsidR="00A44A9B">
                            <w:rPr>
                              <w:spacing w:val="-2"/>
                            </w:rPr>
                            <w:t>XX</w:t>
                          </w:r>
                          <w:r>
                            <w:rPr>
                              <w:spacing w:val="-2"/>
                            </w:rPr>
                            <w:t>/</w:t>
                          </w:r>
                          <w:r w:rsidR="00A44A9B">
                            <w:rPr>
                              <w:spacing w:val="-2"/>
                            </w:rPr>
                            <w:t>XX</w:t>
                          </w:r>
                          <w:r>
                            <w:rPr>
                              <w:spacing w:val="-2"/>
                            </w:rPr>
                            <w:t>/20</w:t>
                          </w:r>
                          <w:r w:rsidR="00A44A9B">
                            <w:rPr>
                              <w:spacing w:val="-2"/>
                            </w:rPr>
                            <w:t>XX</w:t>
                          </w:r>
                        </w:p>
                        <w:p w:rsidR="00D60575" w14:textId="16147591">
                          <w:pPr>
                            <w:ind w:right="18"/>
                            <w:jc w:val="right"/>
                          </w:pPr>
                          <w:r>
                            <w:t>Burden:</w:t>
                          </w:r>
                          <w:r>
                            <w:rPr>
                              <w:spacing w:val="44"/>
                            </w:rPr>
                            <w:t xml:space="preserve"> </w:t>
                          </w:r>
                          <w:r w:rsidR="00A44A9B">
                            <w:t>2.0</w:t>
                          </w:r>
                          <w:r>
                            <w:rPr>
                              <w:spacing w:val="-1"/>
                            </w:rPr>
                            <w:t xml:space="preserve"> </w:t>
                          </w:r>
                          <w:r>
                            <w:rPr>
                              <w:spacing w:val="-4"/>
                            </w:rPr>
                            <w:t>hours</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49" type="#_x0000_t202" style="width:132.25pt;height:53.4pt;margin-top:0;margin-left:81.05pt;mso-position-horizontal:right;mso-position-horizontal-relative:margin;mso-position-vertical:bottom;mso-position-vertical-relative:top-margin-area;mso-wrap-distance-bottom:0;mso-wrap-distance-left:0;mso-wrap-distance-right:0;mso-wrap-distance-top:0;mso-wrap-style:square;position:absolute;visibility:visible;v-text-anchor:top;z-index:-251656192" filled="f" stroked="f">
              <v:textbox inset="0,0,0,0">
                <w:txbxContent>
                  <w:p w:rsidR="00D60575" w14:paraId="5986C9CD" w14:textId="77777777">
                    <w:pPr>
                      <w:spacing w:line="245" w:lineRule="exact"/>
                      <w:ind w:right="18"/>
                      <w:jc w:val="right"/>
                    </w:pPr>
                    <w:r>
                      <w:t>Form</w:t>
                    </w:r>
                    <w:r>
                      <w:rPr>
                        <w:spacing w:val="-5"/>
                      </w:rPr>
                      <w:t xml:space="preserve"> </w:t>
                    </w:r>
                    <w:r>
                      <w:rPr>
                        <w:spacing w:val="-2"/>
                      </w:rPr>
                      <w:t>Approved</w:t>
                    </w:r>
                  </w:p>
                  <w:p w:rsidR="00D60575" w14:paraId="5986C9CE" w14:textId="005CD7C6">
                    <w:pPr>
                      <w:ind w:right="18"/>
                      <w:jc w:val="right"/>
                    </w:pPr>
                    <w:r>
                      <w:t>OMB</w:t>
                    </w:r>
                    <w:r>
                      <w:rPr>
                        <w:spacing w:val="-6"/>
                      </w:rPr>
                      <w:t xml:space="preserve"> </w:t>
                    </w:r>
                    <w:r>
                      <w:t>No.</w:t>
                    </w:r>
                    <w:r>
                      <w:rPr>
                        <w:spacing w:val="-4"/>
                      </w:rPr>
                      <w:t xml:space="preserve"> </w:t>
                    </w:r>
                    <w:r w:rsidR="00A44A9B">
                      <w:t>XXXX</w:t>
                    </w:r>
                    <w:r>
                      <w:t>-</w:t>
                    </w:r>
                    <w:r w:rsidR="00A44A9B">
                      <w:rPr>
                        <w:spacing w:val="-4"/>
                      </w:rPr>
                      <w:t>XXXX</w:t>
                    </w:r>
                  </w:p>
                  <w:p w:rsidR="00D60575" w14:paraId="5986C9CF" w14:textId="2F735F12">
                    <w:pPr>
                      <w:ind w:right="18"/>
                      <w:jc w:val="right"/>
                    </w:pPr>
                    <w:r>
                      <w:t>Expiration</w:t>
                    </w:r>
                    <w:r>
                      <w:rPr>
                        <w:spacing w:val="-6"/>
                      </w:rPr>
                      <w:t xml:space="preserve"> </w:t>
                    </w:r>
                    <w:r>
                      <w:t>Date:</w:t>
                    </w:r>
                    <w:r>
                      <w:rPr>
                        <w:spacing w:val="44"/>
                      </w:rPr>
                      <w:t xml:space="preserve"> </w:t>
                    </w:r>
                    <w:r w:rsidR="00A44A9B">
                      <w:rPr>
                        <w:spacing w:val="-2"/>
                      </w:rPr>
                      <w:t>XX</w:t>
                    </w:r>
                    <w:r>
                      <w:rPr>
                        <w:spacing w:val="-2"/>
                      </w:rPr>
                      <w:t>/</w:t>
                    </w:r>
                    <w:r w:rsidR="00A44A9B">
                      <w:rPr>
                        <w:spacing w:val="-2"/>
                      </w:rPr>
                      <w:t>XX</w:t>
                    </w:r>
                    <w:r>
                      <w:rPr>
                        <w:spacing w:val="-2"/>
                      </w:rPr>
                      <w:t>/20</w:t>
                    </w:r>
                    <w:r w:rsidR="00A44A9B">
                      <w:rPr>
                        <w:spacing w:val="-2"/>
                      </w:rPr>
                      <w:t>XX</w:t>
                    </w:r>
                  </w:p>
                  <w:p w:rsidR="00D60575" w14:paraId="5986C9D0" w14:textId="16147591">
                    <w:pPr>
                      <w:ind w:right="18"/>
                      <w:jc w:val="right"/>
                    </w:pPr>
                    <w:r>
                      <w:t>Burden:</w:t>
                    </w:r>
                    <w:r>
                      <w:rPr>
                        <w:spacing w:val="44"/>
                      </w:rPr>
                      <w:t xml:space="preserve"> </w:t>
                    </w:r>
                    <w:r w:rsidR="00A44A9B">
                      <w:t>2.0</w:t>
                    </w:r>
                    <w:r>
                      <w:rPr>
                        <w:spacing w:val="-1"/>
                      </w:rPr>
                      <w:t xml:space="preserve"> </w:t>
                    </w:r>
                    <w:r>
                      <w:rPr>
                        <w:spacing w:val="-4"/>
                      </w:rPr>
                      <w:t>hours</w:t>
                    </w:r>
                  </w:p>
                </w:txbxContent>
              </v:textbox>
              <w10:wrap anchorx="margin"/>
            </v:shape>
          </w:pict>
        </mc:Fallback>
      </mc:AlternateContent>
    </w:r>
    <w:r w:rsidR="00903438">
      <w:rPr>
        <w:noProof/>
      </w:rPr>
      <w:drawing>
        <wp:anchor distT="0" distB="0" distL="0" distR="0" simplePos="0" relativeHeight="251658240" behindDoc="1" locked="0" layoutInCell="1" allowOverlap="1">
          <wp:simplePos x="0" y="0"/>
          <wp:positionH relativeFrom="page">
            <wp:posOffset>221050</wp:posOffset>
          </wp:positionH>
          <wp:positionV relativeFrom="page">
            <wp:posOffset>293569</wp:posOffset>
          </wp:positionV>
          <wp:extent cx="2100702" cy="385727"/>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1" cstate="print"/>
                  <a:stretch>
                    <a:fillRect/>
                  </a:stretch>
                </pic:blipFill>
                <pic:spPr>
                  <a:xfrm>
                    <a:off x="0" y="0"/>
                    <a:ext cx="2100702" cy="385727"/>
                  </a:xfrm>
                  <a:prstGeom prst="rect">
                    <a:avLst/>
                  </a:prstGeom>
                </pic:spPr>
              </pic:pic>
            </a:graphicData>
          </a:graphic>
        </wp:anchor>
      </w:drawing>
    </w:r>
    <w:r w:rsidR="00903438">
      <w:rPr>
        <w:noProof/>
      </w:rPr>
      <mc:AlternateContent>
        <mc:Choice Requires="wps">
          <w:drawing>
            <wp:anchor distT="0" distB="0" distL="0" distR="0" simplePos="0" relativeHeight="251661312" behindDoc="1" locked="0" layoutInCell="1" allowOverlap="1">
              <wp:simplePos x="0" y="0"/>
              <wp:positionH relativeFrom="page">
                <wp:posOffset>3106039</wp:posOffset>
              </wp:positionH>
              <wp:positionV relativeFrom="page">
                <wp:posOffset>273811</wp:posOffset>
              </wp:positionV>
              <wp:extent cx="1689100" cy="5073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689100" cy="507365"/>
                      </a:xfrm>
                      <a:prstGeom prst="rect">
                        <a:avLst/>
                      </a:prstGeom>
                    </wps:spPr>
                    <wps:txbx>
                      <w:txbxContent>
                        <w:p w:rsidR="00D60575" w14:textId="77777777">
                          <w:pPr>
                            <w:spacing w:line="245" w:lineRule="exact"/>
                            <w:ind w:left="135"/>
                          </w:pPr>
                          <w:r>
                            <w:t>U.S.</w:t>
                          </w:r>
                          <w:r>
                            <w:rPr>
                              <w:spacing w:val="-4"/>
                            </w:rPr>
                            <w:t xml:space="preserve"> </w:t>
                          </w:r>
                          <w:r>
                            <w:t>Department</w:t>
                          </w:r>
                          <w:r>
                            <w:rPr>
                              <w:spacing w:val="-5"/>
                            </w:rPr>
                            <w:t xml:space="preserve"> </w:t>
                          </w:r>
                          <w:r>
                            <w:t>of</w:t>
                          </w:r>
                          <w:r>
                            <w:rPr>
                              <w:spacing w:val="-3"/>
                            </w:rPr>
                            <w:t xml:space="preserve"> </w:t>
                          </w:r>
                          <w:r>
                            <w:rPr>
                              <w:spacing w:val="-2"/>
                            </w:rPr>
                            <w:t>Energy</w:t>
                          </w:r>
                        </w:p>
                        <w:p w:rsidR="00D60575" w14:textId="77777777">
                          <w:pPr>
                            <w:ind w:left="308" w:hanging="288"/>
                          </w:pPr>
                          <w:r>
                            <w:t>1000</w:t>
                          </w:r>
                          <w:r>
                            <w:rPr>
                              <w:spacing w:val="-13"/>
                            </w:rPr>
                            <w:t xml:space="preserve"> </w:t>
                          </w:r>
                          <w:r>
                            <w:t>Independence</w:t>
                          </w:r>
                          <w:r>
                            <w:rPr>
                              <w:spacing w:val="-12"/>
                            </w:rPr>
                            <w:t xml:space="preserve"> </w:t>
                          </w:r>
                          <w:r>
                            <w:t>Ave.,</w:t>
                          </w:r>
                          <w:r>
                            <w:rPr>
                              <w:spacing w:val="-12"/>
                            </w:rPr>
                            <w:t xml:space="preserve"> </w:t>
                          </w:r>
                          <w:r>
                            <w:t>SW Washington, DC 20585</w:t>
                          </w:r>
                        </w:p>
                      </w:txbxContent>
                    </wps:txbx>
                    <wps:bodyPr wrap="square" lIns="0" tIns="0" rIns="0" bIns="0" rtlCol="0"/>
                  </wps:wsp>
                </a:graphicData>
              </a:graphic>
            </wp:anchor>
          </w:drawing>
        </mc:Choice>
        <mc:Fallback>
          <w:pict>
            <v:shape id="Textbox 3" o:spid="_x0000_s2050" type="#_x0000_t202" style="width:133pt;height:39.95pt;margin-top:21.55pt;margin-left:244.55pt;mso-position-horizontal-relative:page;mso-position-vertical-relative:page;mso-wrap-distance-bottom:0;mso-wrap-distance-left:0;mso-wrap-distance-right:0;mso-wrap-distance-top:0;mso-wrap-style:square;position:absolute;visibility:visible;v-text-anchor:top;z-index:-251654144" filled="f" stroked="f">
              <v:textbox inset="0,0,0,0">
                <w:txbxContent>
                  <w:p w:rsidR="00D60575" w14:paraId="5986C9D1" w14:textId="77777777">
                    <w:pPr>
                      <w:spacing w:line="245" w:lineRule="exact"/>
                      <w:ind w:left="135"/>
                    </w:pPr>
                    <w:r>
                      <w:t>U.S.</w:t>
                    </w:r>
                    <w:r>
                      <w:rPr>
                        <w:spacing w:val="-4"/>
                      </w:rPr>
                      <w:t xml:space="preserve"> </w:t>
                    </w:r>
                    <w:r>
                      <w:t>Department</w:t>
                    </w:r>
                    <w:r>
                      <w:rPr>
                        <w:spacing w:val="-5"/>
                      </w:rPr>
                      <w:t xml:space="preserve"> </w:t>
                    </w:r>
                    <w:r>
                      <w:t>of</w:t>
                    </w:r>
                    <w:r>
                      <w:rPr>
                        <w:spacing w:val="-3"/>
                      </w:rPr>
                      <w:t xml:space="preserve"> </w:t>
                    </w:r>
                    <w:r>
                      <w:rPr>
                        <w:spacing w:val="-2"/>
                      </w:rPr>
                      <w:t>Energy</w:t>
                    </w:r>
                  </w:p>
                  <w:p w:rsidR="00D60575" w14:paraId="5986C9D2" w14:textId="77777777">
                    <w:pPr>
                      <w:ind w:left="308" w:hanging="288"/>
                    </w:pPr>
                    <w:r>
                      <w:t>1000</w:t>
                    </w:r>
                    <w:r>
                      <w:rPr>
                        <w:spacing w:val="-13"/>
                      </w:rPr>
                      <w:t xml:space="preserve"> </w:t>
                    </w:r>
                    <w:r>
                      <w:t>Independence</w:t>
                    </w:r>
                    <w:r>
                      <w:rPr>
                        <w:spacing w:val="-12"/>
                      </w:rPr>
                      <w:t xml:space="preserve"> </w:t>
                    </w:r>
                    <w:r>
                      <w:t>Ave.,</w:t>
                    </w:r>
                    <w:r>
                      <w:rPr>
                        <w:spacing w:val="-12"/>
                      </w:rPr>
                      <w:t xml:space="preserve"> </w:t>
                    </w:r>
                    <w:r>
                      <w:t>SW Washington, DC 20585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5CB79E"/>
    <w:multiLevelType w:val="hybridMultilevel"/>
    <w:tmpl w:val="26ACE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2E01749"/>
    <w:multiLevelType w:val="hybridMultilevel"/>
    <w:tmpl w:val="0E3A4084"/>
    <w:lvl w:ilvl="0">
      <w:start w:val="0"/>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8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766"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3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94" w:hanging="360"/>
      </w:pPr>
      <w:rPr>
        <w:rFonts w:hint="default"/>
        <w:lang w:val="en-US" w:eastAsia="en-US" w:bidi="ar-SA"/>
      </w:rPr>
    </w:lvl>
    <w:lvl w:ilvl="8">
      <w:start w:val="0"/>
      <w:numFmt w:val="bullet"/>
      <w:lvlText w:val="•"/>
      <w:lvlJc w:val="left"/>
      <w:pPr>
        <w:ind w:left="8676" w:hanging="360"/>
      </w:pPr>
      <w:rPr>
        <w:rFonts w:hint="default"/>
        <w:lang w:val="en-US" w:eastAsia="en-US" w:bidi="ar-SA"/>
      </w:rPr>
    </w:lvl>
  </w:abstractNum>
  <w:abstractNum w:abstractNumId="2">
    <w:nsid w:val="26223526"/>
    <w:multiLevelType w:val="hybridMultilevel"/>
    <w:tmpl w:val="FC4A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94F58D1"/>
    <w:multiLevelType w:val="hybridMultilevel"/>
    <w:tmpl w:val="24A2A3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93A0971"/>
    <w:multiLevelType w:val="hybridMultilevel"/>
    <w:tmpl w:val="EE9C6544"/>
    <w:lvl w:ilvl="0">
      <w:start w:val="1"/>
      <w:numFmt w:val="decimal"/>
      <w:lvlText w:val="%1."/>
      <w:lvlJc w:val="left"/>
      <w:pPr>
        <w:ind w:left="828" w:hanging="432"/>
      </w:pPr>
      <w:rPr>
        <w:rFonts w:ascii="Calibri" w:eastAsia="Calibri" w:hAnsi="Calibri" w:cs="Calibri" w:hint="default"/>
        <w:b w:val="0"/>
        <w:bCs w:val="0"/>
        <w:i w:val="0"/>
        <w:iCs w:val="0"/>
        <w:spacing w:val="-1"/>
        <w:w w:val="99"/>
        <w:sz w:val="20"/>
        <w:szCs w:val="20"/>
        <w:lang w:val="en-US" w:eastAsia="en-US" w:bidi="ar-SA"/>
      </w:rPr>
    </w:lvl>
    <w:lvl w:ilvl="1">
      <w:start w:val="0"/>
      <w:numFmt w:val="bullet"/>
      <w:lvlText w:val="•"/>
      <w:lvlJc w:val="left"/>
      <w:pPr>
        <w:ind w:left="1802" w:hanging="432"/>
      </w:pPr>
      <w:rPr>
        <w:rFonts w:hint="default"/>
        <w:lang w:val="en-US" w:eastAsia="en-US" w:bidi="ar-SA"/>
      </w:rPr>
    </w:lvl>
    <w:lvl w:ilvl="2">
      <w:start w:val="0"/>
      <w:numFmt w:val="bullet"/>
      <w:lvlText w:val="•"/>
      <w:lvlJc w:val="left"/>
      <w:pPr>
        <w:ind w:left="2784" w:hanging="432"/>
      </w:pPr>
      <w:rPr>
        <w:rFonts w:hint="default"/>
        <w:lang w:val="en-US" w:eastAsia="en-US" w:bidi="ar-SA"/>
      </w:rPr>
    </w:lvl>
    <w:lvl w:ilvl="3">
      <w:start w:val="0"/>
      <w:numFmt w:val="bullet"/>
      <w:lvlText w:val="•"/>
      <w:lvlJc w:val="left"/>
      <w:pPr>
        <w:ind w:left="3766" w:hanging="432"/>
      </w:pPr>
      <w:rPr>
        <w:rFonts w:hint="default"/>
        <w:lang w:val="en-US" w:eastAsia="en-US" w:bidi="ar-SA"/>
      </w:rPr>
    </w:lvl>
    <w:lvl w:ilvl="4">
      <w:start w:val="0"/>
      <w:numFmt w:val="bullet"/>
      <w:lvlText w:val="•"/>
      <w:lvlJc w:val="left"/>
      <w:pPr>
        <w:ind w:left="4748" w:hanging="432"/>
      </w:pPr>
      <w:rPr>
        <w:rFonts w:hint="default"/>
        <w:lang w:val="en-US" w:eastAsia="en-US" w:bidi="ar-SA"/>
      </w:rPr>
    </w:lvl>
    <w:lvl w:ilvl="5">
      <w:start w:val="0"/>
      <w:numFmt w:val="bullet"/>
      <w:lvlText w:val="•"/>
      <w:lvlJc w:val="left"/>
      <w:pPr>
        <w:ind w:left="5730" w:hanging="432"/>
      </w:pPr>
      <w:rPr>
        <w:rFonts w:hint="default"/>
        <w:lang w:val="en-US" w:eastAsia="en-US" w:bidi="ar-SA"/>
      </w:rPr>
    </w:lvl>
    <w:lvl w:ilvl="6">
      <w:start w:val="0"/>
      <w:numFmt w:val="bullet"/>
      <w:lvlText w:val="•"/>
      <w:lvlJc w:val="left"/>
      <w:pPr>
        <w:ind w:left="6712" w:hanging="432"/>
      </w:pPr>
      <w:rPr>
        <w:rFonts w:hint="default"/>
        <w:lang w:val="en-US" w:eastAsia="en-US" w:bidi="ar-SA"/>
      </w:rPr>
    </w:lvl>
    <w:lvl w:ilvl="7">
      <w:start w:val="0"/>
      <w:numFmt w:val="bullet"/>
      <w:lvlText w:val="•"/>
      <w:lvlJc w:val="left"/>
      <w:pPr>
        <w:ind w:left="7694" w:hanging="432"/>
      </w:pPr>
      <w:rPr>
        <w:rFonts w:hint="default"/>
        <w:lang w:val="en-US" w:eastAsia="en-US" w:bidi="ar-SA"/>
      </w:rPr>
    </w:lvl>
    <w:lvl w:ilvl="8">
      <w:start w:val="0"/>
      <w:numFmt w:val="bullet"/>
      <w:lvlText w:val="•"/>
      <w:lvlJc w:val="left"/>
      <w:pPr>
        <w:ind w:left="8676" w:hanging="432"/>
      </w:pPr>
      <w:rPr>
        <w:rFonts w:hint="default"/>
        <w:lang w:val="en-US" w:eastAsia="en-US" w:bidi="ar-SA"/>
      </w:rPr>
    </w:lvl>
  </w:abstractNum>
  <w:num w:numId="1" w16cid:durableId="1363096641">
    <w:abstractNumId w:val="2"/>
  </w:num>
  <w:num w:numId="2" w16cid:durableId="217014533">
    <w:abstractNumId w:val="0"/>
  </w:num>
  <w:num w:numId="3" w16cid:durableId="508643116">
    <w:abstractNumId w:val="1"/>
  </w:num>
  <w:num w:numId="4" w16cid:durableId="1402367835">
    <w:abstractNumId w:val="4"/>
  </w:num>
  <w:num w:numId="5" w16cid:durableId="96693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75"/>
    <w:rsid w:val="00004126"/>
    <w:rsid w:val="000122F2"/>
    <w:rsid w:val="000629EB"/>
    <w:rsid w:val="00086150"/>
    <w:rsid w:val="00133D8A"/>
    <w:rsid w:val="00152655"/>
    <w:rsid w:val="001A689B"/>
    <w:rsid w:val="001B1D87"/>
    <w:rsid w:val="001C1CCA"/>
    <w:rsid w:val="001C6586"/>
    <w:rsid w:val="001D319F"/>
    <w:rsid w:val="002732BA"/>
    <w:rsid w:val="002C5487"/>
    <w:rsid w:val="00320882"/>
    <w:rsid w:val="00325ADD"/>
    <w:rsid w:val="00335733"/>
    <w:rsid w:val="003C40C0"/>
    <w:rsid w:val="003D2D20"/>
    <w:rsid w:val="00442DBB"/>
    <w:rsid w:val="004F1103"/>
    <w:rsid w:val="005035C6"/>
    <w:rsid w:val="00524CD6"/>
    <w:rsid w:val="005318FD"/>
    <w:rsid w:val="005A5DE0"/>
    <w:rsid w:val="005B2FFF"/>
    <w:rsid w:val="005D1434"/>
    <w:rsid w:val="005F627C"/>
    <w:rsid w:val="00601855"/>
    <w:rsid w:val="00647D8B"/>
    <w:rsid w:val="00694CE6"/>
    <w:rsid w:val="007034C5"/>
    <w:rsid w:val="0070793C"/>
    <w:rsid w:val="00773523"/>
    <w:rsid w:val="007E4509"/>
    <w:rsid w:val="00834513"/>
    <w:rsid w:val="00894D32"/>
    <w:rsid w:val="00903438"/>
    <w:rsid w:val="009520D8"/>
    <w:rsid w:val="00966654"/>
    <w:rsid w:val="009D35F7"/>
    <w:rsid w:val="00A11A8E"/>
    <w:rsid w:val="00A44A9B"/>
    <w:rsid w:val="00AD30F0"/>
    <w:rsid w:val="00B02054"/>
    <w:rsid w:val="00B05129"/>
    <w:rsid w:val="00B17BEE"/>
    <w:rsid w:val="00B24277"/>
    <w:rsid w:val="00B246E5"/>
    <w:rsid w:val="00B266DC"/>
    <w:rsid w:val="00BE1F8F"/>
    <w:rsid w:val="00C16719"/>
    <w:rsid w:val="00C7574C"/>
    <w:rsid w:val="00CB7C1C"/>
    <w:rsid w:val="00CE3F81"/>
    <w:rsid w:val="00D13F64"/>
    <w:rsid w:val="00D51417"/>
    <w:rsid w:val="00D60575"/>
    <w:rsid w:val="00D6405F"/>
    <w:rsid w:val="00D64F05"/>
    <w:rsid w:val="00DA0F92"/>
    <w:rsid w:val="00DA7329"/>
    <w:rsid w:val="00DA7B6C"/>
    <w:rsid w:val="00DE12F9"/>
    <w:rsid w:val="00E00DB6"/>
    <w:rsid w:val="00E84A8B"/>
    <w:rsid w:val="00EA7B8C"/>
    <w:rsid w:val="00EC7565"/>
    <w:rsid w:val="00F24622"/>
    <w:rsid w:val="01163A07"/>
    <w:rsid w:val="026043FE"/>
    <w:rsid w:val="0377FF4F"/>
    <w:rsid w:val="04BFC0E9"/>
    <w:rsid w:val="056B7B52"/>
    <w:rsid w:val="0605B741"/>
    <w:rsid w:val="060BAD02"/>
    <w:rsid w:val="0919591B"/>
    <w:rsid w:val="09C3165D"/>
    <w:rsid w:val="0B7938A0"/>
    <w:rsid w:val="0BA7F128"/>
    <w:rsid w:val="0D212686"/>
    <w:rsid w:val="0DBF28DC"/>
    <w:rsid w:val="109C0F4B"/>
    <w:rsid w:val="116EE063"/>
    <w:rsid w:val="11711639"/>
    <w:rsid w:val="11BD572C"/>
    <w:rsid w:val="12681799"/>
    <w:rsid w:val="12FF0554"/>
    <w:rsid w:val="132FBCD2"/>
    <w:rsid w:val="14083E98"/>
    <w:rsid w:val="14DB99BC"/>
    <w:rsid w:val="1535E124"/>
    <w:rsid w:val="188FFEE4"/>
    <w:rsid w:val="1980F285"/>
    <w:rsid w:val="1A377DC4"/>
    <w:rsid w:val="1A77C76F"/>
    <w:rsid w:val="1AF73889"/>
    <w:rsid w:val="1B341C61"/>
    <w:rsid w:val="1B433709"/>
    <w:rsid w:val="1BF43D49"/>
    <w:rsid w:val="1D49C337"/>
    <w:rsid w:val="1DC25C15"/>
    <w:rsid w:val="1E48BCC1"/>
    <w:rsid w:val="1F6740D5"/>
    <w:rsid w:val="21A119EA"/>
    <w:rsid w:val="23339B25"/>
    <w:rsid w:val="23EA0906"/>
    <w:rsid w:val="2537E395"/>
    <w:rsid w:val="25CD20FE"/>
    <w:rsid w:val="26496D58"/>
    <w:rsid w:val="271B9E12"/>
    <w:rsid w:val="274D9468"/>
    <w:rsid w:val="27F1CC3B"/>
    <w:rsid w:val="2868067F"/>
    <w:rsid w:val="28D7B86A"/>
    <w:rsid w:val="292626A8"/>
    <w:rsid w:val="2A7CD0EB"/>
    <w:rsid w:val="2A82576E"/>
    <w:rsid w:val="2B2ACA6F"/>
    <w:rsid w:val="2D37FBCD"/>
    <w:rsid w:val="2DB60FEF"/>
    <w:rsid w:val="3014E8B4"/>
    <w:rsid w:val="3126674F"/>
    <w:rsid w:val="31D7D513"/>
    <w:rsid w:val="3245C72A"/>
    <w:rsid w:val="333B6AF5"/>
    <w:rsid w:val="33713A0D"/>
    <w:rsid w:val="33DF8FE0"/>
    <w:rsid w:val="33FBDE76"/>
    <w:rsid w:val="348C4576"/>
    <w:rsid w:val="34EE87D6"/>
    <w:rsid w:val="36B679DE"/>
    <w:rsid w:val="36E34063"/>
    <w:rsid w:val="370A2289"/>
    <w:rsid w:val="383877C8"/>
    <w:rsid w:val="39746023"/>
    <w:rsid w:val="39810F26"/>
    <w:rsid w:val="3A51F457"/>
    <w:rsid w:val="3A595C9F"/>
    <w:rsid w:val="3BDAC467"/>
    <w:rsid w:val="3BEE49C8"/>
    <w:rsid w:val="3BF13991"/>
    <w:rsid w:val="3C8505E3"/>
    <w:rsid w:val="3D0E78D6"/>
    <w:rsid w:val="3D31ACBC"/>
    <w:rsid w:val="4000BA07"/>
    <w:rsid w:val="41F6974B"/>
    <w:rsid w:val="4244AD04"/>
    <w:rsid w:val="43EEED6A"/>
    <w:rsid w:val="44727296"/>
    <w:rsid w:val="44D5DC13"/>
    <w:rsid w:val="44EAB157"/>
    <w:rsid w:val="45387884"/>
    <w:rsid w:val="4563CC54"/>
    <w:rsid w:val="463545AA"/>
    <w:rsid w:val="46B21463"/>
    <w:rsid w:val="48644913"/>
    <w:rsid w:val="486C0CC7"/>
    <w:rsid w:val="4A49786A"/>
    <w:rsid w:val="4AA7B4E7"/>
    <w:rsid w:val="4B160ABA"/>
    <w:rsid w:val="4D05A453"/>
    <w:rsid w:val="4DD1B223"/>
    <w:rsid w:val="4DE51DED"/>
    <w:rsid w:val="4E3CC745"/>
    <w:rsid w:val="4F8B60A6"/>
    <w:rsid w:val="51D758EE"/>
    <w:rsid w:val="5217C2B8"/>
    <w:rsid w:val="524031BF"/>
    <w:rsid w:val="528A7D4E"/>
    <w:rsid w:val="52B0B9D6"/>
    <w:rsid w:val="5675F780"/>
    <w:rsid w:val="56A01CF9"/>
    <w:rsid w:val="5862BE42"/>
    <w:rsid w:val="5B7DB8D6"/>
    <w:rsid w:val="5BD6C570"/>
    <w:rsid w:val="5C165085"/>
    <w:rsid w:val="5C91CC11"/>
    <w:rsid w:val="62220B6A"/>
    <w:rsid w:val="62E58EAB"/>
    <w:rsid w:val="641619AA"/>
    <w:rsid w:val="642BFA00"/>
    <w:rsid w:val="6594CDFE"/>
    <w:rsid w:val="671638C4"/>
    <w:rsid w:val="6762DE46"/>
    <w:rsid w:val="68BFDD26"/>
    <w:rsid w:val="698EEF55"/>
    <w:rsid w:val="6B107B08"/>
    <w:rsid w:val="6B42C405"/>
    <w:rsid w:val="6D7159F3"/>
    <w:rsid w:val="6EFC9AAE"/>
    <w:rsid w:val="72A7DCEC"/>
    <w:rsid w:val="7337F67F"/>
    <w:rsid w:val="73DE7A0F"/>
    <w:rsid w:val="741E314B"/>
    <w:rsid w:val="74A21059"/>
    <w:rsid w:val="765ADA31"/>
    <w:rsid w:val="7717E810"/>
    <w:rsid w:val="7876A2B5"/>
    <w:rsid w:val="7CE71179"/>
    <w:rsid w:val="7EFA2F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986C92C"/>
  <w15:docId w15:val="{B52001ED-7BB9-4F65-A737-8A3BD2C4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spacing w:before="243"/>
      <w:ind w:left="10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
      <w:jc w:val="center"/>
    </w:pPr>
    <w:rPr>
      <w:sz w:val="28"/>
      <w:szCs w:val="28"/>
    </w:rPr>
  </w:style>
  <w:style w:type="paragraph" w:styleId="ListParagraph">
    <w:name w:val="List Paragraph"/>
    <w:basedOn w:val="Normal"/>
    <w:uiPriority w:val="1"/>
    <w:qFormat/>
    <w:pPr>
      <w:ind w:left="82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44A9B"/>
    <w:pPr>
      <w:tabs>
        <w:tab w:val="center" w:pos="4680"/>
        <w:tab w:val="right" w:pos="9360"/>
      </w:tabs>
    </w:pPr>
  </w:style>
  <w:style w:type="character" w:customStyle="1" w:styleId="HeaderChar">
    <w:name w:val="Header Char"/>
    <w:basedOn w:val="DefaultParagraphFont"/>
    <w:link w:val="Header"/>
    <w:uiPriority w:val="99"/>
    <w:rsid w:val="00A44A9B"/>
    <w:rPr>
      <w:rFonts w:ascii="Calibri" w:eastAsia="Calibri" w:hAnsi="Calibri" w:cs="Calibri"/>
    </w:rPr>
  </w:style>
  <w:style w:type="paragraph" w:styleId="Footer">
    <w:name w:val="footer"/>
    <w:basedOn w:val="Normal"/>
    <w:link w:val="FooterChar"/>
    <w:uiPriority w:val="99"/>
    <w:unhideWhenUsed/>
    <w:rsid w:val="00A44A9B"/>
    <w:pPr>
      <w:tabs>
        <w:tab w:val="center" w:pos="4680"/>
        <w:tab w:val="right" w:pos="9360"/>
      </w:tabs>
    </w:pPr>
  </w:style>
  <w:style w:type="character" w:customStyle="1" w:styleId="FooterChar">
    <w:name w:val="Footer Char"/>
    <w:basedOn w:val="DefaultParagraphFont"/>
    <w:link w:val="Footer"/>
    <w:uiPriority w:val="99"/>
    <w:rsid w:val="00A44A9B"/>
    <w:rPr>
      <w:rFonts w:ascii="Calibri" w:eastAsia="Calibri" w:hAnsi="Calibri" w:cs="Calibri"/>
    </w:rPr>
  </w:style>
  <w:style w:type="character" w:styleId="Hyperlink">
    <w:name w:val="Hyperlink"/>
    <w:basedOn w:val="DefaultParagraphFont"/>
    <w:uiPriority w:val="99"/>
    <w:unhideWhenUsed/>
    <w:rsid w:val="00834513"/>
    <w:rPr>
      <w:color w:val="0000FF" w:themeColor="hyperlink"/>
      <w:u w:val="single"/>
    </w:rPr>
  </w:style>
  <w:style w:type="character" w:styleId="UnresolvedMention">
    <w:name w:val="Unresolved Mention"/>
    <w:basedOn w:val="DefaultParagraphFont"/>
    <w:uiPriority w:val="99"/>
    <w:semiHidden/>
    <w:unhideWhenUsed/>
    <w:rsid w:val="0083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ignon.eia.doe.gov/upload/noticeoog.jsp"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file://localhost/C:/Users/cs1/AppData/Local/Microsoft/Windows/INetCache/Content.Outlook/2RLP7WOF/eia4usa%40eia.gov"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survey.eia.gov" TargetMode="External" /><Relationship Id="rId8" Type="http://schemas.openxmlformats.org/officeDocument/2006/relationships/hyperlink" Target="https://www.eia.gov/survey/" TargetMode="External" /><Relationship Id="rId9" Type="http://schemas.openxmlformats.org/officeDocument/2006/relationships/hyperlink" Target="https://www.eia.gov/survey/form/eia_112/portal_instructions.pd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9" ma:contentTypeDescription="Create a new document." ma:contentTypeScope="" ma:versionID="b89edc5f96464ea45c75daf975d60bb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6fe731369042b64fe70315656c0cdddf"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EED30-898E-479B-B0EA-15700AE35213}">
  <ds:schemaRefs>
    <ds:schemaRef ds:uri="http://schemas.microsoft.com/sharepoint/v3/contenttype/forms"/>
  </ds:schemaRefs>
</ds:datastoreItem>
</file>

<file path=customXml/itemProps2.xml><?xml version="1.0" encoding="utf-8"?>
<ds:datastoreItem xmlns:ds="http://schemas.openxmlformats.org/officeDocument/2006/customXml" ds:itemID="{3F429916-9D62-41DA-9F44-93B2269EF825}">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schemas.microsoft.com/office/2006/metadata/properties"/>
    <ds:schemaRef ds:uri="d588c4e7-d2ae-4a4b-9907-42eca676916f"/>
    <ds:schemaRef ds:uri="http://www.w3.org/XML/1998/namespace"/>
    <ds:schemaRef ds:uri="http://schemas.microsoft.com/office/infopath/2007/PartnerControls"/>
    <ds:schemaRef ds:uri="0ecc70da-eab6-411d-8058-deb5dffcc27c"/>
    <ds:schemaRef ds:uri="f600328b-9bc1-49f4-ac38-a13ae9074617"/>
  </ds:schemaRefs>
</ds:datastoreItem>
</file>

<file path=customXml/itemProps3.xml><?xml version="1.0" encoding="utf-8"?>
<ds:datastoreItem xmlns:ds="http://schemas.openxmlformats.org/officeDocument/2006/customXml" ds:itemID="{807305B3-E14E-4452-AA9C-CFBD3EF87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4e7-d2ae-4a4b-9907-42eca676916f"/>
    <ds:schemaRef ds:uri="f600328b-9bc1-49f4-ac38-a13ae9074617"/>
    <ds:schemaRef ds:uri="0ecc70da-eab6-411d-8058-deb5dffcc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2416</Words>
  <Characters>13775</Characters>
  <Application>Microsoft Office Word</Application>
  <DocSecurity>0</DocSecurity>
  <Lines>114</Lines>
  <Paragraphs>32</Paragraphs>
  <ScaleCrop>false</ScaleCrop>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EIA-816 MONTHLY NATURAL GAS LIQUIDS REPORT INSTRUCTIONS</dc:title>
  <dc:creator>U.S. Energy Information Administration</dc:creator>
  <cp:lastModifiedBy>Morales, Gerson</cp:lastModifiedBy>
  <cp:revision>2</cp:revision>
  <dcterms:created xsi:type="dcterms:W3CDTF">2024-09-11T15:48:00Z</dcterms:created>
  <dcterms:modified xsi:type="dcterms:W3CDTF">2024-09-11T15:48:00Z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Created">
    <vt:filetime>2023-08-16T00:00:00Z</vt:filetime>
  </property>
  <property fmtid="{D5CDD505-2E9C-101B-9397-08002B2CF9AE}" pid="4" name="Creator">
    <vt:lpwstr>Microsoft® Word for Microsoft 365</vt:lpwstr>
  </property>
  <property fmtid="{D5CDD505-2E9C-101B-9397-08002B2CF9AE}" pid="5" name="LastSaved">
    <vt:filetime>2024-06-10T00:00:00Z</vt:filetime>
  </property>
  <property fmtid="{D5CDD505-2E9C-101B-9397-08002B2CF9AE}" pid="6" name="MediaServiceImageTags">
    <vt:lpwstr/>
  </property>
  <property fmtid="{D5CDD505-2E9C-101B-9397-08002B2CF9AE}" pid="7" name="Producer">
    <vt:lpwstr>Microsoft® Word for Microsoft 365</vt:lpwstr>
  </property>
</Properties>
</file>