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61EA" w:rsidP="009061EA" w14:paraId="054EB4A9" w14:textId="77777777">
      <w:pPr>
        <w:rPr>
          <w:noProof/>
        </w:rPr>
      </w:pPr>
    </w:p>
    <w:p w:rsidR="009061EA" w:rsidP="009061EA" w14:paraId="37755F1B"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rsidR="009061EA" w:rsidP="009061EA" w14:paraId="2CCE72FD" w14:textId="77777777"/>
    <w:p w:rsidR="009061EA" w:rsidP="009061EA" w14:paraId="071E2822" w14:textId="77777777">
      <w:r>
        <w:tab/>
      </w:r>
    </w:p>
    <w:p w:rsidR="009061EA" w:rsidP="009061EA" w14:paraId="2AF65A1F" w14:textId="77777777"/>
    <w:p w:rsidR="009061EA" w:rsidP="009061EA" w14:paraId="47EC32D3" w14:textId="77777777"/>
    <w:p w:rsidR="009061EA" w:rsidP="009061EA" w14:paraId="4B66A124" w14:textId="77777777"/>
    <w:p w:rsidR="009061EA" w:rsidP="009061EA" w14:paraId="3B40CFC6" w14:textId="77777777">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61EA" w:rsidRPr="00E054DF" w:rsidP="009061EA" w14:textId="02D6BD44">
                            <w:pPr>
                              <w:pStyle w:val="Boxtext"/>
                              <w:rPr>
                                <w:rFonts w:ascii="Times New Roman" w:hAnsi="Times New Roman"/>
                                <w:sz w:val="36"/>
                                <w:szCs w:val="36"/>
                              </w:rPr>
                            </w:pPr>
                            <w:bookmarkStart w:id="0" w:name="_Toc466046933"/>
                            <w:r w:rsidRPr="00E054DF">
                              <w:rPr>
                                <w:rStyle w:val="Heading1Char"/>
                              </w:rPr>
                              <w:t xml:space="preserve">Part </w:t>
                            </w:r>
                            <w:r w:rsidR="005E1578">
                              <w:rPr>
                                <w:rStyle w:val="Heading1Char"/>
                              </w:rPr>
                              <w:t>A</w:t>
                            </w:r>
                            <w:r w:rsidRPr="00E054DF">
                              <w:rPr>
                                <w:rStyle w:val="Heading1Char"/>
                              </w:rPr>
                              <w:t xml:space="preserve">: </w:t>
                            </w:r>
                            <w:bookmarkEnd w:id="0"/>
                            <w:r w:rsidR="005E1578">
                              <w:rPr>
                                <w:rStyle w:val="Heading1Char"/>
                              </w:rPr>
                              <w:t>Justifications</w:t>
                            </w:r>
                            <w:r>
                              <w:br/>
                            </w:r>
                            <w:r w:rsidRPr="0069014A">
                              <w:rPr>
                                <w:rFonts w:asciiTheme="minorHAnsi" w:hAnsiTheme="minorHAnsi" w:cstheme="minorHAnsi"/>
                                <w:sz w:val="36"/>
                                <w:szCs w:val="36"/>
                              </w:rPr>
                              <w:t>OMB No. 1905-0XXX</w:t>
                            </w:r>
                          </w:p>
                          <w:p w:rsidR="009061EA" w:rsidRPr="0059212D" w:rsidP="009061EA" w14:textId="77777777">
                            <w:pPr>
                              <w:rPr>
                                <w:i/>
                                <w:sz w:val="28"/>
                                <w:szCs w:val="28"/>
                              </w:rPr>
                            </w:pPr>
                            <w:r w:rsidRPr="0059212D">
                              <w:rPr>
                                <w:i/>
                                <w:sz w:val="28"/>
                                <w:szCs w:val="28"/>
                              </w:rPr>
                              <w:t>Form EIA-</w:t>
                            </w:r>
                            <w:r>
                              <w:rPr>
                                <w:i/>
                                <w:sz w:val="28"/>
                                <w:szCs w:val="28"/>
                              </w:rPr>
                              <w:t>112</w:t>
                            </w:r>
                            <w:r w:rsidRPr="0059212D">
                              <w:rPr>
                                <w:i/>
                                <w:sz w:val="28"/>
                                <w:szCs w:val="28"/>
                              </w:rPr>
                              <w:t xml:space="preserve">, </w:t>
                            </w:r>
                            <w:bookmarkStart w:id="1" w:name="_Hlk173417589"/>
                            <w:r>
                              <w:rPr>
                                <w:i/>
                                <w:sz w:val="28"/>
                                <w:szCs w:val="28"/>
                              </w:rPr>
                              <w:t>Residential Utility Disconnections Survey</w:t>
                            </w:r>
                            <w:bookmarkEnd w:id="1"/>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9061EA" w:rsidRPr="00E054DF" w:rsidP="009061EA" w14:paraId="426E0940" w14:textId="02D6BD44">
                      <w:pPr>
                        <w:pStyle w:val="Boxtext"/>
                        <w:rPr>
                          <w:rFonts w:ascii="Times New Roman" w:hAnsi="Times New Roman"/>
                          <w:sz w:val="36"/>
                          <w:szCs w:val="36"/>
                        </w:rPr>
                      </w:pPr>
                      <w:bookmarkStart w:id="0" w:name="_Toc466046933"/>
                      <w:r w:rsidRPr="00E054DF">
                        <w:rPr>
                          <w:rStyle w:val="Heading1Char"/>
                        </w:rPr>
                        <w:t xml:space="preserve">Part </w:t>
                      </w:r>
                      <w:r w:rsidR="005E1578">
                        <w:rPr>
                          <w:rStyle w:val="Heading1Char"/>
                        </w:rPr>
                        <w:t>A</w:t>
                      </w:r>
                      <w:r w:rsidRPr="00E054DF">
                        <w:rPr>
                          <w:rStyle w:val="Heading1Char"/>
                        </w:rPr>
                        <w:t xml:space="preserve">: </w:t>
                      </w:r>
                      <w:bookmarkEnd w:id="0"/>
                      <w:r w:rsidR="005E1578">
                        <w:rPr>
                          <w:rStyle w:val="Heading1Char"/>
                        </w:rPr>
                        <w:t>Justifications</w:t>
                      </w:r>
                      <w:r>
                        <w:br/>
                      </w:r>
                      <w:r w:rsidRPr="0069014A">
                        <w:rPr>
                          <w:rFonts w:asciiTheme="minorHAnsi" w:hAnsiTheme="minorHAnsi" w:cstheme="minorHAnsi"/>
                          <w:sz w:val="36"/>
                          <w:szCs w:val="36"/>
                        </w:rPr>
                        <w:t>OMB No. 1905-0XXX</w:t>
                      </w:r>
                    </w:p>
                    <w:p w:rsidR="009061EA" w:rsidRPr="0059212D" w:rsidP="009061EA" w14:paraId="1265BD96" w14:textId="77777777">
                      <w:pPr>
                        <w:rPr>
                          <w:i/>
                          <w:sz w:val="28"/>
                          <w:szCs w:val="28"/>
                        </w:rPr>
                      </w:pPr>
                      <w:r w:rsidRPr="0059212D">
                        <w:rPr>
                          <w:i/>
                          <w:sz w:val="28"/>
                          <w:szCs w:val="28"/>
                        </w:rPr>
                        <w:t>Form EIA-</w:t>
                      </w:r>
                      <w:r>
                        <w:rPr>
                          <w:i/>
                          <w:sz w:val="28"/>
                          <w:szCs w:val="28"/>
                        </w:rPr>
                        <w:t>112</w:t>
                      </w:r>
                      <w:r w:rsidRPr="0059212D">
                        <w:rPr>
                          <w:i/>
                          <w:sz w:val="28"/>
                          <w:szCs w:val="28"/>
                        </w:rPr>
                        <w:t xml:space="preserve">, </w:t>
                      </w:r>
                      <w:bookmarkStart w:id="1" w:name="_Hlk173417589"/>
                      <w:r>
                        <w:rPr>
                          <w:i/>
                          <w:sz w:val="28"/>
                          <w:szCs w:val="28"/>
                        </w:rPr>
                        <w:t>Residential Utility Disconnections Survey</w:t>
                      </w:r>
                      <w:bookmarkEnd w:id="1"/>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61EA" w:rsidRPr="009F61F7" w:rsidP="009061EA" w14:textId="7AC00E18">
                            <w:pPr>
                              <w:spacing w:line="276" w:lineRule="auto"/>
                              <w:rPr>
                                <w:b/>
                                <w:sz w:val="60"/>
                                <w:szCs w:val="60"/>
                              </w:rPr>
                            </w:pPr>
                            <w:r>
                              <w:rPr>
                                <w:rFonts w:ascii="Times New Roman" w:hAnsi="Times New Roman"/>
                                <w:b/>
                                <w:color w:val="139CD8"/>
                                <w:sz w:val="60"/>
                                <w:szCs w:val="60"/>
                              </w:rPr>
                              <w:t>Supporting Statement for Residential Utility Disconnections Survey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9061EA" w:rsidRPr="009F61F7" w:rsidP="009061EA" w14:paraId="6426E08F" w14:textId="7AC00E18">
                      <w:pPr>
                        <w:spacing w:line="276" w:lineRule="auto"/>
                        <w:rPr>
                          <w:b/>
                          <w:sz w:val="60"/>
                          <w:szCs w:val="60"/>
                        </w:rPr>
                      </w:pPr>
                      <w:r>
                        <w:rPr>
                          <w:rFonts w:ascii="Times New Roman" w:hAnsi="Times New Roman"/>
                          <w:b/>
                          <w:color w:val="139CD8"/>
                          <w:sz w:val="60"/>
                          <w:szCs w:val="60"/>
                        </w:rPr>
                        <w:t>Supporting Statement for Residential Utility Disconnections Survey</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9061EA" w:rsidRPr="00E054DF" w:rsidP="009061E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9061EA" w:rsidRPr="00E054DF" w:rsidP="009061E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9061EA" w:rsidRPr="00E054DF" w:rsidP="009061E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9061EA" w:rsidRPr="00E054DF" w:rsidP="009061EA" w14:paraId="4281A936"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9061EA" w:rsidRPr="00E054DF" w:rsidP="009061EA" w14:paraId="03455F9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9061EA" w:rsidRPr="00E054DF" w:rsidP="009061EA" w14:paraId="17714867"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9061EA" w:rsidP="009061EA" w14:textId="77777777">
                            <w:r w:rsidRPr="00583CFD">
                              <w:rPr>
                                <w:noProof/>
                              </w:rPr>
                              <w:drawing>
                                <wp:inline distT="0" distB="0" distL="0" distR="0">
                                  <wp:extent cx="2162175" cy="476250"/>
                                  <wp:effectExtent l="0" t="0" r="0" b="0"/>
                                  <wp:docPr id="269507612"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07612"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9061EA" w:rsidP="009061EA" w14:paraId="6FF34666" w14:textId="77777777">
                      <w:drawing>
                        <wp:inline distT="0" distB="0" distL="0" distR="0">
                          <wp:extent cx="2162175" cy="476250"/>
                          <wp:effectExtent l="0" t="0" r="0" b="0"/>
                          <wp:docPr id="91238760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8760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61EA" w:rsidRPr="00E054DF" w:rsidP="009061EA" w14:textId="735D86BB">
                            <w:pPr>
                              <w:rPr>
                                <w:rFonts w:ascii="Franklin Gothic Medium" w:hAnsi="Franklin Gothic Medium"/>
                                <w:color w:val="7F7F7F"/>
                                <w:sz w:val="36"/>
                              </w:rPr>
                            </w:pPr>
                            <w:r>
                              <w:rPr>
                                <w:rFonts w:ascii="Franklin Gothic Medium" w:hAnsi="Franklin Gothic Medium"/>
                                <w:color w:val="7F7F7F"/>
                                <w:sz w:val="36"/>
                              </w:rPr>
                              <w:t>October</w:t>
                            </w:r>
                            <w:r w:rsidRPr="00E054DF" w:rsidR="004244DD">
                              <w:rPr>
                                <w:rFonts w:ascii="Franklin Gothic Medium" w:hAnsi="Franklin Gothic Medium"/>
                                <w:color w:val="7F7F7F"/>
                                <w:sz w:val="36"/>
                              </w:rPr>
                              <w:t xml:space="preserve"> </w:t>
                            </w:r>
                            <w:r w:rsidRPr="00E054DF">
                              <w:rPr>
                                <w:rFonts w:ascii="Franklin Gothic Medium" w:hAnsi="Franklin Gothic Medium"/>
                                <w:color w:val="7F7F7F"/>
                                <w:sz w:val="36"/>
                              </w:rPr>
                              <w:t>202</w:t>
                            </w:r>
                            <w:r>
                              <w:rPr>
                                <w:rFonts w:ascii="Franklin Gothic Medium" w:hAnsi="Franklin Gothic Medium"/>
                                <w:color w:val="7F7F7F"/>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9061EA" w:rsidRPr="00E054DF" w:rsidP="009061EA" w14:paraId="07C0AA37" w14:textId="735D86BB">
                      <w:pPr>
                        <w:rPr>
                          <w:rFonts w:ascii="Franklin Gothic Medium" w:hAnsi="Franklin Gothic Medium"/>
                          <w:color w:val="7F7F7F"/>
                          <w:sz w:val="36"/>
                        </w:rPr>
                      </w:pPr>
                      <w:r>
                        <w:rPr>
                          <w:rFonts w:ascii="Franklin Gothic Medium" w:hAnsi="Franklin Gothic Medium"/>
                          <w:color w:val="7F7F7F"/>
                          <w:sz w:val="36"/>
                        </w:rPr>
                        <w:t>October</w:t>
                      </w:r>
                      <w:r w:rsidRPr="00E054DF" w:rsidR="004244DD">
                        <w:rPr>
                          <w:rFonts w:ascii="Franklin Gothic Medium" w:hAnsi="Franklin Gothic Medium"/>
                          <w:color w:val="7F7F7F"/>
                          <w:sz w:val="36"/>
                        </w:rPr>
                        <w:t xml:space="preserve"> </w:t>
                      </w:r>
                      <w:r w:rsidRPr="00E054DF">
                        <w:rPr>
                          <w:rFonts w:ascii="Franklin Gothic Medium" w:hAnsi="Franklin Gothic Medium"/>
                          <w:color w:val="7F7F7F"/>
                          <w:sz w:val="36"/>
                        </w:rPr>
                        <w:t>202</w:t>
                      </w:r>
                      <w:r>
                        <w:rPr>
                          <w:rFonts w:ascii="Franklin Gothic Medium" w:hAnsi="Franklin Gothic Medium"/>
                          <w:color w:val="7F7F7F"/>
                          <w:sz w:val="36"/>
                        </w:rPr>
                        <w:t>4</w:t>
                      </w:r>
                    </w:p>
                  </w:txbxContent>
                </v:textbox>
                <w10:wrap type="square"/>
              </v:shape>
            </w:pict>
          </mc:Fallback>
        </mc:AlternateContent>
      </w:r>
      <w:r>
        <w:br w:type="page"/>
      </w:r>
    </w:p>
    <w:p w:rsidR="009061EA" w:rsidP="009061EA" w14:paraId="406FB5C6" w14:textId="77777777">
      <w:pPr>
        <w:sectPr w:rsidSect="009061EA">
          <w:footerReference w:type="default" r:id="rId11"/>
          <w:footnotePr>
            <w:pos w:val="beneathText"/>
          </w:footnotePr>
          <w:pgSz w:w="12240" w:h="15840"/>
          <w:pgMar w:top="720" w:right="1440" w:bottom="720" w:left="1440" w:header="720" w:footer="720" w:gutter="0"/>
          <w:pgNumType w:fmt="lowerRoman" w:start="0"/>
          <w:cols w:space="720"/>
          <w:titlePg/>
          <w:docGrid w:linePitch="360"/>
        </w:sectPr>
      </w:pPr>
    </w:p>
    <w:p w:rsidR="009061EA" w:rsidP="009061EA" w14:paraId="189D346A" w14:textId="77777777"/>
    <w:p w:rsidR="009061EA" w:rsidP="009061EA" w14:paraId="61F084EC" w14:textId="77777777"/>
    <w:p w:rsidR="009061EA" w:rsidP="009061EA" w14:paraId="63283756" w14:textId="77777777"/>
    <w:p w:rsidR="009061EA" w:rsidP="009061EA" w14:paraId="18DFC3C6" w14:textId="77777777"/>
    <w:p w:rsidR="009061EA" w:rsidP="009061EA" w14:paraId="5B663B20" w14:textId="77777777"/>
    <w:p w:rsidR="009061EA" w:rsidP="009061EA" w14:paraId="7BF71D4D" w14:textId="77777777"/>
    <w:p w:rsidR="009061EA" w:rsidP="009061EA" w14:paraId="522C1BA4" w14:textId="77777777"/>
    <w:p w:rsidR="009061EA" w:rsidP="009061EA" w14:paraId="012D4869" w14:textId="77777777"/>
    <w:p w:rsidR="009061EA" w:rsidP="009061EA" w14:paraId="413F91DA" w14:textId="77777777"/>
    <w:p w:rsidR="009061EA" w:rsidP="009061EA" w14:paraId="3ECB2A65" w14:textId="77777777"/>
    <w:p w:rsidR="009061EA" w:rsidP="009061EA" w14:paraId="13262D9A" w14:textId="77777777"/>
    <w:p w:rsidR="009061EA" w:rsidP="009061EA" w14:paraId="3AB0164E" w14:textId="77777777"/>
    <w:p w:rsidR="009061EA" w:rsidP="009061EA" w14:paraId="1054925E" w14:textId="77777777"/>
    <w:p w:rsidR="009061EA" w:rsidP="009061EA" w14:paraId="177FE66F" w14:textId="77777777"/>
    <w:p w:rsidR="009061EA" w:rsidP="009061EA" w14:paraId="20B7F257" w14:textId="77777777"/>
    <w:p w:rsidR="009061EA" w:rsidP="009061EA" w14:paraId="4BD8A80E" w14:textId="77777777"/>
    <w:p w:rsidR="009061EA" w:rsidP="009061EA" w14:paraId="51B4009E" w14:textId="77777777"/>
    <w:p w:rsidR="009061EA" w:rsidP="009061EA" w14:paraId="01889DF2" w14:textId="77777777"/>
    <w:p w:rsidR="009061EA" w:rsidP="009061EA" w14:paraId="711FF9A5" w14:textId="77777777"/>
    <w:p w:rsidR="009061EA" w:rsidP="009061EA" w14:paraId="72B919A3" w14:textId="77777777"/>
    <w:p w:rsidR="009061EA" w:rsidP="009061EA" w14:paraId="421980C5" w14:textId="77777777"/>
    <w:p w:rsidR="009061EA" w:rsidP="009061EA" w14:paraId="676DD776" w14:textId="77777777">
      <w:pPr>
        <w:pStyle w:val="Boxtext"/>
        <w:sectPr w:rsidSect="009061EA">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9061EA" w:rsidP="009061EA" w14:paraId="7BEFB829" w14:textId="77777777">
      <w:pPr>
        <w:sectPr w:rsidSect="009061EA">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882258" w:rsidP="00132947" w14:paraId="5E6BD025" w14:textId="70C8E723">
      <w:pPr>
        <w:pStyle w:val="TOCHeading"/>
      </w:pPr>
      <w:r>
        <w:t>Table of Contents</w:t>
      </w:r>
    </w:p>
    <w:p w:rsidR="000A5F70" w14:paraId="432D594F" w14:textId="2F1F1E6B">
      <w:pPr>
        <w:pStyle w:val="TOC1"/>
        <w:rPr>
          <w:rFonts w:asciiTheme="minorHAnsi" w:eastAsiaTheme="minorEastAsia" w:hAnsiTheme="minorHAnsi" w:cstheme="minorBidi"/>
          <w:noProof/>
          <w:color w:val="auto"/>
          <w:kern w:val="2"/>
          <w:sz w:val="24"/>
          <w:szCs w:val="24"/>
          <w14:ligatures w14:val="standardContextual"/>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77374304" w:history="1">
        <w:r w:rsidRPr="00890690">
          <w:rPr>
            <w:rStyle w:val="Hyperlink"/>
            <w:rFonts w:cs="Calibri"/>
            <w:b/>
            <w:bCs/>
            <w:noProof/>
          </w:rPr>
          <w:t>Introduction</w:t>
        </w:r>
        <w:r>
          <w:rPr>
            <w:noProof/>
            <w:webHidden/>
          </w:rPr>
          <w:tab/>
        </w:r>
        <w:r>
          <w:rPr>
            <w:noProof/>
            <w:webHidden/>
          </w:rPr>
          <w:fldChar w:fldCharType="begin"/>
        </w:r>
        <w:r>
          <w:rPr>
            <w:noProof/>
            <w:webHidden/>
          </w:rPr>
          <w:instrText xml:space="preserve"> PAGEREF _Toc177374304 \h </w:instrText>
        </w:r>
        <w:r>
          <w:rPr>
            <w:noProof/>
            <w:webHidden/>
          </w:rPr>
          <w:fldChar w:fldCharType="separate"/>
        </w:r>
        <w:r>
          <w:rPr>
            <w:noProof/>
            <w:webHidden/>
          </w:rPr>
          <w:t>3</w:t>
        </w:r>
        <w:r>
          <w:rPr>
            <w:noProof/>
            <w:webHidden/>
          </w:rPr>
          <w:fldChar w:fldCharType="end"/>
        </w:r>
      </w:hyperlink>
    </w:p>
    <w:p w:rsidR="000A5F70" w14:paraId="3DC8028B" w14:textId="490B79A1">
      <w:pPr>
        <w:pStyle w:val="TOC1"/>
        <w:rPr>
          <w:rFonts w:asciiTheme="minorHAnsi" w:eastAsiaTheme="minorEastAsia" w:hAnsiTheme="minorHAnsi" w:cstheme="minorBidi"/>
          <w:noProof/>
          <w:color w:val="auto"/>
          <w:kern w:val="2"/>
          <w:sz w:val="24"/>
          <w:szCs w:val="24"/>
          <w14:ligatures w14:val="standardContextual"/>
        </w:rPr>
      </w:pPr>
      <w:hyperlink w:anchor="_Toc177374305" w:history="1">
        <w:r w:rsidRPr="00890690">
          <w:rPr>
            <w:rStyle w:val="Hyperlink"/>
            <w:rFonts w:cs="Calibri"/>
            <w:b/>
            <w:bCs/>
            <w:noProof/>
          </w:rPr>
          <w:t>A.1. Legal Justification </w:t>
        </w:r>
        <w:r>
          <w:rPr>
            <w:noProof/>
            <w:webHidden/>
          </w:rPr>
          <w:tab/>
        </w:r>
        <w:r>
          <w:rPr>
            <w:noProof/>
            <w:webHidden/>
          </w:rPr>
          <w:fldChar w:fldCharType="begin"/>
        </w:r>
        <w:r>
          <w:rPr>
            <w:noProof/>
            <w:webHidden/>
          </w:rPr>
          <w:instrText xml:space="preserve"> PAGEREF _Toc177374305 \h </w:instrText>
        </w:r>
        <w:r>
          <w:rPr>
            <w:noProof/>
            <w:webHidden/>
          </w:rPr>
          <w:fldChar w:fldCharType="separate"/>
        </w:r>
        <w:r>
          <w:rPr>
            <w:noProof/>
            <w:webHidden/>
          </w:rPr>
          <w:t>3</w:t>
        </w:r>
        <w:r>
          <w:rPr>
            <w:noProof/>
            <w:webHidden/>
          </w:rPr>
          <w:fldChar w:fldCharType="end"/>
        </w:r>
      </w:hyperlink>
    </w:p>
    <w:p w:rsidR="000A5F70" w14:paraId="3D1655FA" w14:textId="24EAFC17">
      <w:pPr>
        <w:pStyle w:val="TOC1"/>
        <w:rPr>
          <w:rFonts w:asciiTheme="minorHAnsi" w:eastAsiaTheme="minorEastAsia" w:hAnsiTheme="minorHAnsi" w:cstheme="minorBidi"/>
          <w:noProof/>
          <w:color w:val="auto"/>
          <w:kern w:val="2"/>
          <w:sz w:val="24"/>
          <w:szCs w:val="24"/>
          <w14:ligatures w14:val="standardContextual"/>
        </w:rPr>
      </w:pPr>
      <w:hyperlink w:anchor="_Toc177374306" w:history="1">
        <w:r w:rsidRPr="00890690">
          <w:rPr>
            <w:rStyle w:val="Hyperlink"/>
            <w:rFonts w:eastAsia="Times New Roman"/>
            <w:b/>
            <w:bCs/>
            <w:noProof/>
          </w:rPr>
          <w:t>A.2. Needs and Uses of Data</w:t>
        </w:r>
        <w:r>
          <w:rPr>
            <w:noProof/>
            <w:webHidden/>
          </w:rPr>
          <w:tab/>
        </w:r>
        <w:r>
          <w:rPr>
            <w:noProof/>
            <w:webHidden/>
          </w:rPr>
          <w:fldChar w:fldCharType="begin"/>
        </w:r>
        <w:r>
          <w:rPr>
            <w:noProof/>
            <w:webHidden/>
          </w:rPr>
          <w:instrText xml:space="preserve"> PAGEREF _Toc177374306 \h </w:instrText>
        </w:r>
        <w:r>
          <w:rPr>
            <w:noProof/>
            <w:webHidden/>
          </w:rPr>
          <w:fldChar w:fldCharType="separate"/>
        </w:r>
        <w:r>
          <w:rPr>
            <w:noProof/>
            <w:webHidden/>
          </w:rPr>
          <w:t>3</w:t>
        </w:r>
        <w:r>
          <w:rPr>
            <w:noProof/>
            <w:webHidden/>
          </w:rPr>
          <w:fldChar w:fldCharType="end"/>
        </w:r>
      </w:hyperlink>
    </w:p>
    <w:p w:rsidR="000A5F70" w14:paraId="1CED3C9A" w14:textId="5D9B4C52">
      <w:pPr>
        <w:pStyle w:val="TOC3"/>
        <w:tabs>
          <w:tab w:val="right" w:leader="dot" w:pos="9350"/>
        </w:tabs>
        <w:rPr>
          <w:rFonts w:eastAsiaTheme="minorEastAsia"/>
          <w:noProof/>
          <w:sz w:val="24"/>
          <w:szCs w:val="24"/>
        </w:rPr>
      </w:pPr>
      <w:hyperlink w:anchor="_Toc177374307" w:history="1">
        <w:r w:rsidRPr="00890690">
          <w:rPr>
            <w:rStyle w:val="Hyperlink"/>
            <w:b/>
            <w:bCs/>
            <w:noProof/>
          </w:rPr>
          <w:t>2.1. Overview of Data Uses</w:t>
        </w:r>
        <w:r>
          <w:rPr>
            <w:noProof/>
            <w:webHidden/>
          </w:rPr>
          <w:tab/>
        </w:r>
        <w:r>
          <w:rPr>
            <w:noProof/>
            <w:webHidden/>
          </w:rPr>
          <w:fldChar w:fldCharType="begin"/>
        </w:r>
        <w:r>
          <w:rPr>
            <w:noProof/>
            <w:webHidden/>
          </w:rPr>
          <w:instrText xml:space="preserve"> PAGEREF _Toc177374307 \h </w:instrText>
        </w:r>
        <w:r>
          <w:rPr>
            <w:noProof/>
            <w:webHidden/>
          </w:rPr>
          <w:fldChar w:fldCharType="separate"/>
        </w:r>
        <w:r>
          <w:rPr>
            <w:noProof/>
            <w:webHidden/>
          </w:rPr>
          <w:t>4</w:t>
        </w:r>
        <w:r>
          <w:rPr>
            <w:noProof/>
            <w:webHidden/>
          </w:rPr>
          <w:fldChar w:fldCharType="end"/>
        </w:r>
      </w:hyperlink>
    </w:p>
    <w:p w:rsidR="000A5F70" w14:paraId="543A9F2F" w14:textId="36DD5143">
      <w:pPr>
        <w:pStyle w:val="TOC3"/>
        <w:tabs>
          <w:tab w:val="right" w:leader="dot" w:pos="9350"/>
        </w:tabs>
        <w:rPr>
          <w:rFonts w:eastAsiaTheme="minorEastAsia"/>
          <w:noProof/>
          <w:sz w:val="24"/>
          <w:szCs w:val="24"/>
        </w:rPr>
      </w:pPr>
      <w:hyperlink w:anchor="_Toc177374308" w:history="1">
        <w:r w:rsidRPr="00890690">
          <w:rPr>
            <w:rStyle w:val="Hyperlink"/>
            <w:b/>
            <w:bCs/>
            <w:noProof/>
          </w:rPr>
          <w:t>2.2 Overview of Residential Utility Disconnection Survey Data Collection</w:t>
        </w:r>
        <w:r>
          <w:rPr>
            <w:noProof/>
            <w:webHidden/>
          </w:rPr>
          <w:tab/>
        </w:r>
        <w:r>
          <w:rPr>
            <w:noProof/>
            <w:webHidden/>
          </w:rPr>
          <w:fldChar w:fldCharType="begin"/>
        </w:r>
        <w:r>
          <w:rPr>
            <w:noProof/>
            <w:webHidden/>
          </w:rPr>
          <w:instrText xml:space="preserve"> PAGEREF _Toc177374308 \h </w:instrText>
        </w:r>
        <w:r>
          <w:rPr>
            <w:noProof/>
            <w:webHidden/>
          </w:rPr>
          <w:fldChar w:fldCharType="separate"/>
        </w:r>
        <w:r>
          <w:rPr>
            <w:noProof/>
            <w:webHidden/>
          </w:rPr>
          <w:t>4</w:t>
        </w:r>
        <w:r>
          <w:rPr>
            <w:noProof/>
            <w:webHidden/>
          </w:rPr>
          <w:fldChar w:fldCharType="end"/>
        </w:r>
      </w:hyperlink>
    </w:p>
    <w:p w:rsidR="000A5F70" w14:paraId="67F9B39A" w14:textId="1F36CCCA">
      <w:pPr>
        <w:pStyle w:val="TOC1"/>
        <w:rPr>
          <w:rFonts w:asciiTheme="minorHAnsi" w:eastAsiaTheme="minorEastAsia" w:hAnsiTheme="minorHAnsi" w:cstheme="minorBidi"/>
          <w:noProof/>
          <w:color w:val="auto"/>
          <w:kern w:val="2"/>
          <w:sz w:val="24"/>
          <w:szCs w:val="24"/>
          <w14:ligatures w14:val="standardContextual"/>
        </w:rPr>
      </w:pPr>
      <w:hyperlink w:anchor="_Toc177374309" w:history="1">
        <w:r w:rsidRPr="00890690">
          <w:rPr>
            <w:rStyle w:val="Hyperlink"/>
            <w:rFonts w:eastAsia="Times New Roman"/>
            <w:b/>
            <w:bCs/>
            <w:noProof/>
          </w:rPr>
          <w:t>A.3. Use of Technology</w:t>
        </w:r>
        <w:r>
          <w:rPr>
            <w:noProof/>
            <w:webHidden/>
          </w:rPr>
          <w:tab/>
        </w:r>
        <w:r>
          <w:rPr>
            <w:noProof/>
            <w:webHidden/>
          </w:rPr>
          <w:fldChar w:fldCharType="begin"/>
        </w:r>
        <w:r>
          <w:rPr>
            <w:noProof/>
            <w:webHidden/>
          </w:rPr>
          <w:instrText xml:space="preserve"> PAGEREF _Toc177374309 \h </w:instrText>
        </w:r>
        <w:r>
          <w:rPr>
            <w:noProof/>
            <w:webHidden/>
          </w:rPr>
          <w:fldChar w:fldCharType="separate"/>
        </w:r>
        <w:r>
          <w:rPr>
            <w:noProof/>
            <w:webHidden/>
          </w:rPr>
          <w:t>5</w:t>
        </w:r>
        <w:r>
          <w:rPr>
            <w:noProof/>
            <w:webHidden/>
          </w:rPr>
          <w:fldChar w:fldCharType="end"/>
        </w:r>
      </w:hyperlink>
    </w:p>
    <w:p w:rsidR="000A5F70" w14:paraId="716BF981" w14:textId="6534C48F">
      <w:pPr>
        <w:pStyle w:val="TOC1"/>
        <w:rPr>
          <w:rFonts w:asciiTheme="minorHAnsi" w:eastAsiaTheme="minorEastAsia" w:hAnsiTheme="minorHAnsi" w:cstheme="minorBidi"/>
          <w:noProof/>
          <w:color w:val="auto"/>
          <w:kern w:val="2"/>
          <w:sz w:val="24"/>
          <w:szCs w:val="24"/>
          <w14:ligatures w14:val="standardContextual"/>
        </w:rPr>
      </w:pPr>
      <w:hyperlink w:anchor="_Toc177374310" w:history="1">
        <w:r w:rsidRPr="00890690">
          <w:rPr>
            <w:rStyle w:val="Hyperlink"/>
            <w:b/>
            <w:bCs/>
            <w:noProof/>
          </w:rPr>
          <w:t>A.4. Efforts to Identify Duplication</w:t>
        </w:r>
        <w:r>
          <w:rPr>
            <w:noProof/>
            <w:webHidden/>
          </w:rPr>
          <w:tab/>
        </w:r>
        <w:r>
          <w:rPr>
            <w:noProof/>
            <w:webHidden/>
          </w:rPr>
          <w:fldChar w:fldCharType="begin"/>
        </w:r>
        <w:r>
          <w:rPr>
            <w:noProof/>
            <w:webHidden/>
          </w:rPr>
          <w:instrText xml:space="preserve"> PAGEREF _Toc177374310 \h </w:instrText>
        </w:r>
        <w:r>
          <w:rPr>
            <w:noProof/>
            <w:webHidden/>
          </w:rPr>
          <w:fldChar w:fldCharType="separate"/>
        </w:r>
        <w:r>
          <w:rPr>
            <w:noProof/>
            <w:webHidden/>
          </w:rPr>
          <w:t>5</w:t>
        </w:r>
        <w:r>
          <w:rPr>
            <w:noProof/>
            <w:webHidden/>
          </w:rPr>
          <w:fldChar w:fldCharType="end"/>
        </w:r>
      </w:hyperlink>
    </w:p>
    <w:p w:rsidR="000A5F70" w14:paraId="564FAC8B" w14:textId="271B8222">
      <w:pPr>
        <w:pStyle w:val="TOC1"/>
        <w:rPr>
          <w:rFonts w:asciiTheme="minorHAnsi" w:eastAsiaTheme="minorEastAsia" w:hAnsiTheme="minorHAnsi" w:cstheme="minorBidi"/>
          <w:noProof/>
          <w:color w:val="auto"/>
          <w:kern w:val="2"/>
          <w:sz w:val="24"/>
          <w:szCs w:val="24"/>
          <w14:ligatures w14:val="standardContextual"/>
        </w:rPr>
      </w:pPr>
      <w:hyperlink w:anchor="_Toc177374311" w:history="1">
        <w:r w:rsidRPr="00890690">
          <w:rPr>
            <w:rStyle w:val="Hyperlink"/>
            <w:b/>
            <w:bCs/>
            <w:noProof/>
          </w:rPr>
          <w:t>A.5. Provisions for Reducing Burden on Small Businesses</w:t>
        </w:r>
        <w:r>
          <w:rPr>
            <w:noProof/>
            <w:webHidden/>
          </w:rPr>
          <w:tab/>
        </w:r>
        <w:r>
          <w:rPr>
            <w:noProof/>
            <w:webHidden/>
          </w:rPr>
          <w:fldChar w:fldCharType="begin"/>
        </w:r>
        <w:r>
          <w:rPr>
            <w:noProof/>
            <w:webHidden/>
          </w:rPr>
          <w:instrText xml:space="preserve"> PAGEREF _Toc177374311 \h </w:instrText>
        </w:r>
        <w:r>
          <w:rPr>
            <w:noProof/>
            <w:webHidden/>
          </w:rPr>
          <w:fldChar w:fldCharType="separate"/>
        </w:r>
        <w:r>
          <w:rPr>
            <w:noProof/>
            <w:webHidden/>
          </w:rPr>
          <w:t>9</w:t>
        </w:r>
        <w:r>
          <w:rPr>
            <w:noProof/>
            <w:webHidden/>
          </w:rPr>
          <w:fldChar w:fldCharType="end"/>
        </w:r>
      </w:hyperlink>
    </w:p>
    <w:p w:rsidR="000A5F70" w14:paraId="499B32E0" w14:textId="2EEA577E">
      <w:pPr>
        <w:pStyle w:val="TOC1"/>
        <w:rPr>
          <w:rFonts w:asciiTheme="minorHAnsi" w:eastAsiaTheme="minorEastAsia" w:hAnsiTheme="minorHAnsi" w:cstheme="minorBidi"/>
          <w:noProof/>
          <w:color w:val="auto"/>
          <w:kern w:val="2"/>
          <w:sz w:val="24"/>
          <w:szCs w:val="24"/>
          <w14:ligatures w14:val="standardContextual"/>
        </w:rPr>
      </w:pPr>
      <w:hyperlink w:anchor="_Toc177374312" w:history="1">
        <w:r w:rsidRPr="00890690">
          <w:rPr>
            <w:rStyle w:val="Hyperlink"/>
            <w:b/>
            <w:bCs/>
            <w:noProof/>
          </w:rPr>
          <w:t>A.6. Consequences of Less-Frequent Reporting</w:t>
        </w:r>
        <w:r>
          <w:rPr>
            <w:noProof/>
            <w:webHidden/>
          </w:rPr>
          <w:tab/>
        </w:r>
        <w:r>
          <w:rPr>
            <w:noProof/>
            <w:webHidden/>
          </w:rPr>
          <w:fldChar w:fldCharType="begin"/>
        </w:r>
        <w:r>
          <w:rPr>
            <w:noProof/>
            <w:webHidden/>
          </w:rPr>
          <w:instrText xml:space="preserve"> PAGEREF _Toc177374312 \h </w:instrText>
        </w:r>
        <w:r>
          <w:rPr>
            <w:noProof/>
            <w:webHidden/>
          </w:rPr>
          <w:fldChar w:fldCharType="separate"/>
        </w:r>
        <w:r>
          <w:rPr>
            <w:noProof/>
            <w:webHidden/>
          </w:rPr>
          <w:t>9</w:t>
        </w:r>
        <w:r>
          <w:rPr>
            <w:noProof/>
            <w:webHidden/>
          </w:rPr>
          <w:fldChar w:fldCharType="end"/>
        </w:r>
      </w:hyperlink>
    </w:p>
    <w:p w:rsidR="000A5F70" w14:paraId="61FBA82B" w14:textId="1F7149F0">
      <w:pPr>
        <w:pStyle w:val="TOC1"/>
        <w:rPr>
          <w:rFonts w:asciiTheme="minorHAnsi" w:eastAsiaTheme="minorEastAsia" w:hAnsiTheme="minorHAnsi" w:cstheme="minorBidi"/>
          <w:noProof/>
          <w:color w:val="auto"/>
          <w:kern w:val="2"/>
          <w:sz w:val="24"/>
          <w:szCs w:val="24"/>
          <w14:ligatures w14:val="standardContextual"/>
        </w:rPr>
      </w:pPr>
      <w:hyperlink w:anchor="_Toc177374313" w:history="1">
        <w:r w:rsidRPr="00890690">
          <w:rPr>
            <w:rStyle w:val="Hyperlink"/>
            <w:b/>
            <w:bCs/>
            <w:noProof/>
          </w:rPr>
          <w:t>A.7. Compliance with 5 CFR 1320.5</w:t>
        </w:r>
        <w:r>
          <w:rPr>
            <w:noProof/>
            <w:webHidden/>
          </w:rPr>
          <w:tab/>
        </w:r>
        <w:r>
          <w:rPr>
            <w:noProof/>
            <w:webHidden/>
          </w:rPr>
          <w:fldChar w:fldCharType="begin"/>
        </w:r>
        <w:r>
          <w:rPr>
            <w:noProof/>
            <w:webHidden/>
          </w:rPr>
          <w:instrText xml:space="preserve"> PAGEREF _Toc177374313 \h </w:instrText>
        </w:r>
        <w:r>
          <w:rPr>
            <w:noProof/>
            <w:webHidden/>
          </w:rPr>
          <w:fldChar w:fldCharType="separate"/>
        </w:r>
        <w:r>
          <w:rPr>
            <w:noProof/>
            <w:webHidden/>
          </w:rPr>
          <w:t>9</w:t>
        </w:r>
        <w:r>
          <w:rPr>
            <w:noProof/>
            <w:webHidden/>
          </w:rPr>
          <w:fldChar w:fldCharType="end"/>
        </w:r>
      </w:hyperlink>
    </w:p>
    <w:p w:rsidR="000A5F70" w14:paraId="0E6F6FF0" w14:textId="2FB7DBD2">
      <w:pPr>
        <w:pStyle w:val="TOC1"/>
        <w:rPr>
          <w:rFonts w:asciiTheme="minorHAnsi" w:eastAsiaTheme="minorEastAsia" w:hAnsiTheme="minorHAnsi" w:cstheme="minorBidi"/>
          <w:noProof/>
          <w:color w:val="auto"/>
          <w:kern w:val="2"/>
          <w:sz w:val="24"/>
          <w:szCs w:val="24"/>
          <w14:ligatures w14:val="standardContextual"/>
        </w:rPr>
      </w:pPr>
      <w:hyperlink w:anchor="_Toc177374314" w:history="1">
        <w:r w:rsidRPr="00890690">
          <w:rPr>
            <w:rStyle w:val="Hyperlink"/>
            <w:b/>
            <w:bCs/>
            <w:noProof/>
          </w:rPr>
          <w:t>A.8. Summary of Consultations Outside of the Agency</w:t>
        </w:r>
        <w:r>
          <w:rPr>
            <w:noProof/>
            <w:webHidden/>
          </w:rPr>
          <w:tab/>
        </w:r>
        <w:r>
          <w:rPr>
            <w:noProof/>
            <w:webHidden/>
          </w:rPr>
          <w:fldChar w:fldCharType="begin"/>
        </w:r>
        <w:r>
          <w:rPr>
            <w:noProof/>
            <w:webHidden/>
          </w:rPr>
          <w:instrText xml:space="preserve"> PAGEREF _Toc177374314 \h </w:instrText>
        </w:r>
        <w:r>
          <w:rPr>
            <w:noProof/>
            <w:webHidden/>
          </w:rPr>
          <w:fldChar w:fldCharType="separate"/>
        </w:r>
        <w:r>
          <w:rPr>
            <w:noProof/>
            <w:webHidden/>
          </w:rPr>
          <w:t>9</w:t>
        </w:r>
        <w:r>
          <w:rPr>
            <w:noProof/>
            <w:webHidden/>
          </w:rPr>
          <w:fldChar w:fldCharType="end"/>
        </w:r>
      </w:hyperlink>
    </w:p>
    <w:p w:rsidR="000A5F70" w14:paraId="6425F665" w14:textId="179F5202">
      <w:pPr>
        <w:pStyle w:val="TOC1"/>
        <w:rPr>
          <w:rFonts w:asciiTheme="minorHAnsi" w:eastAsiaTheme="minorEastAsia" w:hAnsiTheme="minorHAnsi" w:cstheme="minorBidi"/>
          <w:noProof/>
          <w:color w:val="auto"/>
          <w:kern w:val="2"/>
          <w:sz w:val="24"/>
          <w:szCs w:val="24"/>
          <w14:ligatures w14:val="standardContextual"/>
        </w:rPr>
      </w:pPr>
      <w:hyperlink w:anchor="_Toc177374315" w:history="1">
        <w:r w:rsidRPr="00890690">
          <w:rPr>
            <w:rStyle w:val="Hyperlink"/>
            <w:b/>
            <w:bCs/>
            <w:noProof/>
          </w:rPr>
          <w:t>A.9. Payments or Gifts to Respondents</w:t>
        </w:r>
        <w:r>
          <w:rPr>
            <w:noProof/>
            <w:webHidden/>
          </w:rPr>
          <w:tab/>
        </w:r>
        <w:r>
          <w:rPr>
            <w:noProof/>
            <w:webHidden/>
          </w:rPr>
          <w:fldChar w:fldCharType="begin"/>
        </w:r>
        <w:r>
          <w:rPr>
            <w:noProof/>
            <w:webHidden/>
          </w:rPr>
          <w:instrText xml:space="preserve"> PAGEREF _Toc177374315 \h </w:instrText>
        </w:r>
        <w:r>
          <w:rPr>
            <w:noProof/>
            <w:webHidden/>
          </w:rPr>
          <w:fldChar w:fldCharType="separate"/>
        </w:r>
        <w:r>
          <w:rPr>
            <w:noProof/>
            <w:webHidden/>
          </w:rPr>
          <w:t>12</w:t>
        </w:r>
        <w:r>
          <w:rPr>
            <w:noProof/>
            <w:webHidden/>
          </w:rPr>
          <w:fldChar w:fldCharType="end"/>
        </w:r>
      </w:hyperlink>
    </w:p>
    <w:p w:rsidR="000A5F70" w14:paraId="1F6A60FA" w14:textId="1FCAD0C2">
      <w:pPr>
        <w:pStyle w:val="TOC1"/>
        <w:rPr>
          <w:rFonts w:asciiTheme="minorHAnsi" w:eastAsiaTheme="minorEastAsia" w:hAnsiTheme="minorHAnsi" w:cstheme="minorBidi"/>
          <w:noProof/>
          <w:color w:val="auto"/>
          <w:kern w:val="2"/>
          <w:sz w:val="24"/>
          <w:szCs w:val="24"/>
          <w14:ligatures w14:val="standardContextual"/>
        </w:rPr>
      </w:pPr>
      <w:hyperlink w:anchor="_Toc177374316" w:history="1">
        <w:r w:rsidRPr="00890690">
          <w:rPr>
            <w:rStyle w:val="Hyperlink"/>
            <w:rFonts w:eastAsia="Times New Roman"/>
            <w:b/>
            <w:bCs/>
            <w:noProof/>
          </w:rPr>
          <w:t>A.10. Provisions for Protection of Information</w:t>
        </w:r>
        <w:r>
          <w:rPr>
            <w:noProof/>
            <w:webHidden/>
          </w:rPr>
          <w:tab/>
        </w:r>
        <w:r>
          <w:rPr>
            <w:noProof/>
            <w:webHidden/>
          </w:rPr>
          <w:fldChar w:fldCharType="begin"/>
        </w:r>
        <w:r>
          <w:rPr>
            <w:noProof/>
            <w:webHidden/>
          </w:rPr>
          <w:instrText xml:space="preserve"> PAGEREF _Toc177374316 \h </w:instrText>
        </w:r>
        <w:r>
          <w:rPr>
            <w:noProof/>
            <w:webHidden/>
          </w:rPr>
          <w:fldChar w:fldCharType="separate"/>
        </w:r>
        <w:r>
          <w:rPr>
            <w:noProof/>
            <w:webHidden/>
          </w:rPr>
          <w:t>12</w:t>
        </w:r>
        <w:r>
          <w:rPr>
            <w:noProof/>
            <w:webHidden/>
          </w:rPr>
          <w:fldChar w:fldCharType="end"/>
        </w:r>
      </w:hyperlink>
    </w:p>
    <w:p w:rsidR="000A5F70" w14:paraId="4F1719F5" w14:textId="7CFCD9A4">
      <w:pPr>
        <w:pStyle w:val="TOC1"/>
        <w:rPr>
          <w:rFonts w:asciiTheme="minorHAnsi" w:eastAsiaTheme="minorEastAsia" w:hAnsiTheme="minorHAnsi" w:cstheme="minorBidi"/>
          <w:noProof/>
          <w:color w:val="auto"/>
          <w:kern w:val="2"/>
          <w:sz w:val="24"/>
          <w:szCs w:val="24"/>
          <w14:ligatures w14:val="standardContextual"/>
        </w:rPr>
      </w:pPr>
      <w:hyperlink w:anchor="_Toc177374317" w:history="1">
        <w:r w:rsidRPr="00890690">
          <w:rPr>
            <w:rStyle w:val="Hyperlink"/>
            <w:rFonts w:eastAsia="Times New Roman"/>
            <w:b/>
            <w:bCs/>
            <w:noProof/>
          </w:rPr>
          <w:t>A.11. Justification for Sensitive Questions</w:t>
        </w:r>
        <w:r>
          <w:rPr>
            <w:noProof/>
            <w:webHidden/>
          </w:rPr>
          <w:tab/>
        </w:r>
        <w:r>
          <w:rPr>
            <w:noProof/>
            <w:webHidden/>
          </w:rPr>
          <w:fldChar w:fldCharType="begin"/>
        </w:r>
        <w:r>
          <w:rPr>
            <w:noProof/>
            <w:webHidden/>
          </w:rPr>
          <w:instrText xml:space="preserve"> PAGEREF _Toc177374317 \h </w:instrText>
        </w:r>
        <w:r>
          <w:rPr>
            <w:noProof/>
            <w:webHidden/>
          </w:rPr>
          <w:fldChar w:fldCharType="separate"/>
        </w:r>
        <w:r>
          <w:rPr>
            <w:noProof/>
            <w:webHidden/>
          </w:rPr>
          <w:t>12</w:t>
        </w:r>
        <w:r>
          <w:rPr>
            <w:noProof/>
            <w:webHidden/>
          </w:rPr>
          <w:fldChar w:fldCharType="end"/>
        </w:r>
      </w:hyperlink>
    </w:p>
    <w:p w:rsidR="000A5F70" w14:paraId="444B9C41" w14:textId="2F31F1CB">
      <w:pPr>
        <w:pStyle w:val="TOC1"/>
        <w:rPr>
          <w:rFonts w:asciiTheme="minorHAnsi" w:eastAsiaTheme="minorEastAsia" w:hAnsiTheme="minorHAnsi" w:cstheme="minorBidi"/>
          <w:noProof/>
          <w:color w:val="auto"/>
          <w:kern w:val="2"/>
          <w:sz w:val="24"/>
          <w:szCs w:val="24"/>
          <w14:ligatures w14:val="standardContextual"/>
        </w:rPr>
      </w:pPr>
      <w:hyperlink w:anchor="_Toc177374318" w:history="1">
        <w:r w:rsidRPr="00890690">
          <w:rPr>
            <w:rStyle w:val="Hyperlink"/>
            <w:rFonts w:eastAsia="Times New Roman"/>
            <w:b/>
            <w:bCs/>
            <w:noProof/>
          </w:rPr>
          <w:t>A.12. Estimate of Respondent Burden Hours and Cost</w:t>
        </w:r>
        <w:r>
          <w:rPr>
            <w:noProof/>
            <w:webHidden/>
          </w:rPr>
          <w:tab/>
        </w:r>
        <w:r>
          <w:rPr>
            <w:noProof/>
            <w:webHidden/>
          </w:rPr>
          <w:fldChar w:fldCharType="begin"/>
        </w:r>
        <w:r>
          <w:rPr>
            <w:noProof/>
            <w:webHidden/>
          </w:rPr>
          <w:instrText xml:space="preserve"> PAGEREF _Toc177374318 \h </w:instrText>
        </w:r>
        <w:r>
          <w:rPr>
            <w:noProof/>
            <w:webHidden/>
          </w:rPr>
          <w:fldChar w:fldCharType="separate"/>
        </w:r>
        <w:r>
          <w:rPr>
            <w:noProof/>
            <w:webHidden/>
          </w:rPr>
          <w:t>12</w:t>
        </w:r>
        <w:r>
          <w:rPr>
            <w:noProof/>
            <w:webHidden/>
          </w:rPr>
          <w:fldChar w:fldCharType="end"/>
        </w:r>
      </w:hyperlink>
    </w:p>
    <w:p w:rsidR="000A5F70" w14:paraId="23B631B2" w14:textId="48E2A50B">
      <w:pPr>
        <w:pStyle w:val="TOC1"/>
        <w:rPr>
          <w:rFonts w:asciiTheme="minorHAnsi" w:eastAsiaTheme="minorEastAsia" w:hAnsiTheme="minorHAnsi" w:cstheme="minorBidi"/>
          <w:noProof/>
          <w:color w:val="auto"/>
          <w:kern w:val="2"/>
          <w:sz w:val="24"/>
          <w:szCs w:val="24"/>
          <w14:ligatures w14:val="standardContextual"/>
        </w:rPr>
      </w:pPr>
      <w:hyperlink w:anchor="_Toc177374319" w:history="1">
        <w:r w:rsidRPr="00890690">
          <w:rPr>
            <w:rStyle w:val="Hyperlink"/>
            <w:b/>
            <w:bCs/>
            <w:noProof/>
          </w:rPr>
          <w:t>A.13. Annual Cost to the Federal Government</w:t>
        </w:r>
        <w:r>
          <w:rPr>
            <w:noProof/>
            <w:webHidden/>
          </w:rPr>
          <w:tab/>
        </w:r>
        <w:r>
          <w:rPr>
            <w:noProof/>
            <w:webHidden/>
          </w:rPr>
          <w:fldChar w:fldCharType="begin"/>
        </w:r>
        <w:r>
          <w:rPr>
            <w:noProof/>
            <w:webHidden/>
          </w:rPr>
          <w:instrText xml:space="preserve"> PAGEREF _Toc177374319 \h </w:instrText>
        </w:r>
        <w:r>
          <w:rPr>
            <w:noProof/>
            <w:webHidden/>
          </w:rPr>
          <w:fldChar w:fldCharType="separate"/>
        </w:r>
        <w:r>
          <w:rPr>
            <w:noProof/>
            <w:webHidden/>
          </w:rPr>
          <w:t>13</w:t>
        </w:r>
        <w:r>
          <w:rPr>
            <w:noProof/>
            <w:webHidden/>
          </w:rPr>
          <w:fldChar w:fldCharType="end"/>
        </w:r>
      </w:hyperlink>
    </w:p>
    <w:p w:rsidR="000A5F70" w14:paraId="1F9D4977" w14:textId="731D69E1">
      <w:pPr>
        <w:pStyle w:val="TOC1"/>
        <w:rPr>
          <w:rFonts w:asciiTheme="minorHAnsi" w:eastAsiaTheme="minorEastAsia" w:hAnsiTheme="minorHAnsi" w:cstheme="minorBidi"/>
          <w:noProof/>
          <w:color w:val="auto"/>
          <w:kern w:val="2"/>
          <w:sz w:val="24"/>
          <w:szCs w:val="24"/>
          <w14:ligatures w14:val="standardContextual"/>
        </w:rPr>
      </w:pPr>
      <w:hyperlink w:anchor="_Toc177374320" w:history="1">
        <w:r w:rsidRPr="00890690">
          <w:rPr>
            <w:rStyle w:val="Hyperlink"/>
            <w:b/>
            <w:bCs/>
            <w:noProof/>
          </w:rPr>
          <w:t>A.14. Changes in Burden</w:t>
        </w:r>
        <w:r>
          <w:rPr>
            <w:noProof/>
            <w:webHidden/>
          </w:rPr>
          <w:tab/>
        </w:r>
        <w:r>
          <w:rPr>
            <w:noProof/>
            <w:webHidden/>
          </w:rPr>
          <w:fldChar w:fldCharType="begin"/>
        </w:r>
        <w:r>
          <w:rPr>
            <w:noProof/>
            <w:webHidden/>
          </w:rPr>
          <w:instrText xml:space="preserve"> PAGEREF _Toc177374320 \h </w:instrText>
        </w:r>
        <w:r>
          <w:rPr>
            <w:noProof/>
            <w:webHidden/>
          </w:rPr>
          <w:fldChar w:fldCharType="separate"/>
        </w:r>
        <w:r>
          <w:rPr>
            <w:noProof/>
            <w:webHidden/>
          </w:rPr>
          <w:t>13</w:t>
        </w:r>
        <w:r>
          <w:rPr>
            <w:noProof/>
            <w:webHidden/>
          </w:rPr>
          <w:fldChar w:fldCharType="end"/>
        </w:r>
      </w:hyperlink>
    </w:p>
    <w:p w:rsidR="000A5F70" w14:paraId="70181EDD" w14:textId="3ABA18D6">
      <w:pPr>
        <w:pStyle w:val="TOC1"/>
        <w:rPr>
          <w:rFonts w:asciiTheme="minorHAnsi" w:eastAsiaTheme="minorEastAsia" w:hAnsiTheme="minorHAnsi" w:cstheme="minorBidi"/>
          <w:noProof/>
          <w:color w:val="auto"/>
          <w:kern w:val="2"/>
          <w:sz w:val="24"/>
          <w:szCs w:val="24"/>
          <w14:ligatures w14:val="standardContextual"/>
        </w:rPr>
      </w:pPr>
      <w:hyperlink w:anchor="_Toc177374321" w:history="1">
        <w:r w:rsidRPr="00890690">
          <w:rPr>
            <w:rStyle w:val="Hyperlink"/>
            <w:b/>
            <w:bCs/>
            <w:noProof/>
          </w:rPr>
          <w:t>A.15. Reasons for Changes in Burden</w:t>
        </w:r>
        <w:r>
          <w:rPr>
            <w:noProof/>
            <w:webHidden/>
          </w:rPr>
          <w:tab/>
        </w:r>
        <w:r>
          <w:rPr>
            <w:noProof/>
            <w:webHidden/>
          </w:rPr>
          <w:fldChar w:fldCharType="begin"/>
        </w:r>
        <w:r>
          <w:rPr>
            <w:noProof/>
            <w:webHidden/>
          </w:rPr>
          <w:instrText xml:space="preserve"> PAGEREF _Toc177374321 \h </w:instrText>
        </w:r>
        <w:r>
          <w:rPr>
            <w:noProof/>
            <w:webHidden/>
          </w:rPr>
          <w:fldChar w:fldCharType="separate"/>
        </w:r>
        <w:r>
          <w:rPr>
            <w:noProof/>
            <w:webHidden/>
          </w:rPr>
          <w:t>15</w:t>
        </w:r>
        <w:r>
          <w:rPr>
            <w:noProof/>
            <w:webHidden/>
          </w:rPr>
          <w:fldChar w:fldCharType="end"/>
        </w:r>
      </w:hyperlink>
    </w:p>
    <w:p w:rsidR="000A5F70" w14:paraId="6864ECCF" w14:textId="346B0E33">
      <w:pPr>
        <w:pStyle w:val="TOC1"/>
        <w:rPr>
          <w:rFonts w:asciiTheme="minorHAnsi" w:eastAsiaTheme="minorEastAsia" w:hAnsiTheme="minorHAnsi" w:cstheme="minorBidi"/>
          <w:noProof/>
          <w:color w:val="auto"/>
          <w:kern w:val="2"/>
          <w:sz w:val="24"/>
          <w:szCs w:val="24"/>
          <w14:ligatures w14:val="standardContextual"/>
        </w:rPr>
      </w:pPr>
      <w:hyperlink w:anchor="_Toc177374322" w:history="1">
        <w:r w:rsidRPr="00890690">
          <w:rPr>
            <w:rStyle w:val="Hyperlink"/>
            <w:b/>
            <w:bCs/>
            <w:noProof/>
          </w:rPr>
          <w:t>A.16. Collection, Tabulation, and Publication Plans</w:t>
        </w:r>
        <w:r>
          <w:rPr>
            <w:noProof/>
            <w:webHidden/>
          </w:rPr>
          <w:tab/>
        </w:r>
        <w:r>
          <w:rPr>
            <w:noProof/>
            <w:webHidden/>
          </w:rPr>
          <w:fldChar w:fldCharType="begin"/>
        </w:r>
        <w:r>
          <w:rPr>
            <w:noProof/>
            <w:webHidden/>
          </w:rPr>
          <w:instrText xml:space="preserve"> PAGEREF _Toc177374322 \h </w:instrText>
        </w:r>
        <w:r>
          <w:rPr>
            <w:noProof/>
            <w:webHidden/>
          </w:rPr>
          <w:fldChar w:fldCharType="separate"/>
        </w:r>
        <w:r>
          <w:rPr>
            <w:noProof/>
            <w:webHidden/>
          </w:rPr>
          <w:t>15</w:t>
        </w:r>
        <w:r>
          <w:rPr>
            <w:noProof/>
            <w:webHidden/>
          </w:rPr>
          <w:fldChar w:fldCharType="end"/>
        </w:r>
      </w:hyperlink>
    </w:p>
    <w:p w:rsidR="000A5F70" w14:paraId="02DDAA07" w14:textId="44993559">
      <w:pPr>
        <w:pStyle w:val="TOC1"/>
        <w:rPr>
          <w:rFonts w:asciiTheme="minorHAnsi" w:eastAsiaTheme="minorEastAsia" w:hAnsiTheme="minorHAnsi" w:cstheme="minorBidi"/>
          <w:noProof/>
          <w:color w:val="auto"/>
          <w:kern w:val="2"/>
          <w:sz w:val="24"/>
          <w:szCs w:val="24"/>
          <w14:ligatures w14:val="standardContextual"/>
        </w:rPr>
      </w:pPr>
      <w:hyperlink w:anchor="_Toc177374323" w:history="1">
        <w:r w:rsidRPr="00890690">
          <w:rPr>
            <w:rStyle w:val="Hyperlink"/>
            <w:b/>
            <w:bCs/>
            <w:noProof/>
          </w:rPr>
          <w:t>A.17. OMB Number and Expiration Date</w:t>
        </w:r>
        <w:r>
          <w:rPr>
            <w:noProof/>
            <w:webHidden/>
          </w:rPr>
          <w:tab/>
        </w:r>
        <w:r>
          <w:rPr>
            <w:noProof/>
            <w:webHidden/>
          </w:rPr>
          <w:fldChar w:fldCharType="begin"/>
        </w:r>
        <w:r>
          <w:rPr>
            <w:noProof/>
            <w:webHidden/>
          </w:rPr>
          <w:instrText xml:space="preserve"> PAGEREF _Toc177374323 \h </w:instrText>
        </w:r>
        <w:r>
          <w:rPr>
            <w:noProof/>
            <w:webHidden/>
          </w:rPr>
          <w:fldChar w:fldCharType="separate"/>
        </w:r>
        <w:r>
          <w:rPr>
            <w:noProof/>
            <w:webHidden/>
          </w:rPr>
          <w:t>15</w:t>
        </w:r>
        <w:r>
          <w:rPr>
            <w:noProof/>
            <w:webHidden/>
          </w:rPr>
          <w:fldChar w:fldCharType="end"/>
        </w:r>
      </w:hyperlink>
    </w:p>
    <w:p w:rsidR="000A5F70" w14:paraId="0CD08671" w14:textId="5D7C66BC">
      <w:pPr>
        <w:pStyle w:val="TOC1"/>
        <w:rPr>
          <w:rFonts w:asciiTheme="minorHAnsi" w:eastAsiaTheme="minorEastAsia" w:hAnsiTheme="minorHAnsi" w:cstheme="minorBidi"/>
          <w:noProof/>
          <w:color w:val="auto"/>
          <w:kern w:val="2"/>
          <w:sz w:val="24"/>
          <w:szCs w:val="24"/>
          <w14:ligatures w14:val="standardContextual"/>
        </w:rPr>
      </w:pPr>
      <w:hyperlink w:anchor="_Toc177374324" w:history="1">
        <w:r w:rsidRPr="00890690">
          <w:rPr>
            <w:rStyle w:val="Hyperlink"/>
            <w:b/>
            <w:bCs/>
            <w:noProof/>
          </w:rPr>
          <w:t>A.18. Certification Statement</w:t>
        </w:r>
        <w:r>
          <w:rPr>
            <w:noProof/>
            <w:webHidden/>
          </w:rPr>
          <w:tab/>
        </w:r>
        <w:r>
          <w:rPr>
            <w:noProof/>
            <w:webHidden/>
          </w:rPr>
          <w:fldChar w:fldCharType="begin"/>
        </w:r>
        <w:r>
          <w:rPr>
            <w:noProof/>
            <w:webHidden/>
          </w:rPr>
          <w:instrText xml:space="preserve"> PAGEREF _Toc177374324 \h </w:instrText>
        </w:r>
        <w:r>
          <w:rPr>
            <w:noProof/>
            <w:webHidden/>
          </w:rPr>
          <w:fldChar w:fldCharType="separate"/>
        </w:r>
        <w:r>
          <w:rPr>
            <w:noProof/>
            <w:webHidden/>
          </w:rPr>
          <w:t>15</w:t>
        </w:r>
        <w:r>
          <w:rPr>
            <w:noProof/>
            <w:webHidden/>
          </w:rPr>
          <w:fldChar w:fldCharType="end"/>
        </w:r>
      </w:hyperlink>
    </w:p>
    <w:p w:rsidR="007D07B9" w:rsidP="00882258" w14:paraId="70D3547E" w14:textId="36C263DC">
      <w:r w:rsidRPr="00E054DF">
        <w:rPr>
          <w:b/>
          <w:bCs/>
          <w:noProof/>
          <w:color w:val="000000"/>
        </w:rPr>
        <w:fldChar w:fldCharType="end"/>
      </w:r>
      <w:r>
        <w:br w:type="page"/>
      </w:r>
    </w:p>
    <w:p w:rsidR="007D07B9" w:rsidRPr="003B612B" w:rsidP="00810664" w14:paraId="43D66BBB" w14:textId="77777777">
      <w:pPr>
        <w:pStyle w:val="paragraph"/>
        <w:spacing w:before="0" w:beforeAutospacing="0" w:after="0" w:afterAutospacing="0"/>
        <w:textAlignment w:val="baseline"/>
        <w:outlineLvl w:val="0"/>
        <w:rPr>
          <w:rStyle w:val="normaltextrun"/>
          <w:rFonts w:ascii="Calibri" w:hAnsi="Calibri" w:cs="Calibri"/>
          <w:b/>
          <w:bCs/>
          <w:color w:val="1396D8"/>
          <w:sz w:val="28"/>
          <w:szCs w:val="28"/>
        </w:rPr>
      </w:pPr>
      <w:bookmarkStart w:id="2" w:name="_Toc177374304"/>
      <w:r w:rsidRPr="003B612B">
        <w:rPr>
          <w:rStyle w:val="normaltextrun"/>
          <w:rFonts w:ascii="Calibri" w:hAnsi="Calibri" w:cs="Calibri"/>
          <w:b/>
          <w:bCs/>
          <w:color w:val="1396D8"/>
          <w:sz w:val="28"/>
          <w:szCs w:val="28"/>
        </w:rPr>
        <w:t>Introduction</w:t>
      </w:r>
      <w:bookmarkEnd w:id="2"/>
    </w:p>
    <w:p w:rsidR="007D07B9" w:rsidP="007D07B9" w14:paraId="77425880" w14:textId="013E0870">
      <w:pPr>
        <w:pStyle w:val="paragraph"/>
        <w:spacing w:before="0" w:beforeAutospacing="0" w:after="0" w:afterAutospacing="0"/>
        <w:textAlignment w:val="baseline"/>
        <w:rPr>
          <w:rFonts w:ascii="Segoe UI" w:hAnsi="Segoe UI" w:cs="Segoe UI"/>
          <w:color w:val="1396D8"/>
          <w:sz w:val="18"/>
          <w:szCs w:val="18"/>
        </w:rPr>
      </w:pPr>
      <w:r>
        <w:rPr>
          <w:rStyle w:val="normaltextrun"/>
          <w:rFonts w:ascii="Calibri" w:hAnsi="Calibri" w:cs="Calibri"/>
          <w:color w:val="1396D8"/>
          <w:sz w:val="28"/>
          <w:szCs w:val="28"/>
        </w:rPr>
        <w:t> </w:t>
      </w:r>
      <w:r>
        <w:rPr>
          <w:rStyle w:val="eop"/>
          <w:rFonts w:ascii="Calibri" w:hAnsi="Calibri" w:cs="Calibri"/>
          <w:color w:val="1396D8"/>
          <w:sz w:val="28"/>
          <w:szCs w:val="28"/>
        </w:rPr>
        <w:t> </w:t>
      </w:r>
    </w:p>
    <w:p w:rsidR="007D07B9" w:rsidP="007D07B9" w14:paraId="474A153E"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Pr>
          <w:rStyle w:val="normaltextrun"/>
          <w:rFonts w:ascii="Calibri" w:hAnsi="Calibri" w:cs="Calibri"/>
          <w:i/>
          <w:iCs/>
          <w:sz w:val="22"/>
          <w:szCs w:val="22"/>
        </w:rPr>
        <w:t xml:space="preserve"> </w:t>
      </w:r>
      <w:r>
        <w:rPr>
          <w:rStyle w:val="normaltextrun"/>
          <w:rFonts w:ascii="Calibri" w:hAnsi="Calibri" w:cs="Calibri"/>
          <w:sz w:val="22"/>
          <w:szCs w:val="22"/>
        </w:rPr>
        <w:t>EIA is required to publish and otherwise make available independent, high-quality statistical data to federal government agencies, state and local governments, the energy industry, researchers, and interested parties through the EIA website.</w:t>
      </w:r>
    </w:p>
    <w:p w:rsidR="3D89BC92" w:rsidP="3D89BC92" w14:paraId="1F534BAB" w14:textId="5195A958">
      <w:pPr>
        <w:pStyle w:val="paragraph"/>
        <w:spacing w:before="0" w:beforeAutospacing="0" w:after="0" w:afterAutospacing="0"/>
        <w:rPr>
          <w:rStyle w:val="normaltextrun"/>
          <w:rFonts w:ascii="Calibri" w:hAnsi="Calibri" w:cs="Calibri"/>
          <w:sz w:val="22"/>
          <w:szCs w:val="22"/>
        </w:rPr>
      </w:pPr>
    </w:p>
    <w:p w:rsidR="0092489D" w:rsidP="007D07B9" w14:paraId="446FB79D" w14:textId="106C40A3">
      <w:pPr>
        <w:spacing w:before="100" w:beforeAutospacing="1"/>
      </w:pPr>
      <w:r>
        <w:t>EIA reques</w:t>
      </w:r>
      <w:r w:rsidR="00D34A32">
        <w:t xml:space="preserve">ts a three-year clearance </w:t>
      </w:r>
      <w:r w:rsidR="006834EA">
        <w:t xml:space="preserve">for </w:t>
      </w:r>
      <w:r w:rsidRPr="0092489D">
        <w:t>Form EIA-112</w:t>
      </w:r>
      <w:r w:rsidR="00D93868">
        <w:t xml:space="preserve">, </w:t>
      </w:r>
      <w:r w:rsidR="00D93868">
        <w:rPr>
          <w:i/>
          <w:iCs/>
        </w:rPr>
        <w:t>Residential Utility Disconnections</w:t>
      </w:r>
      <w:r w:rsidR="00D93868">
        <w:t>. EIA-112</w:t>
      </w:r>
      <w:r w:rsidRPr="0092489D">
        <w:t xml:space="preserve"> is an annual form that will collect 12 months of data from electric and natural gas providers about final termination notices sent to residential customers due to bill nonpayment, service disconnections of residential customers due to bill nonpayment, and service reconnections of residential customers who were disconnected due to bill nonpayment</w:t>
      </w:r>
      <w:r>
        <w:t>.</w:t>
      </w:r>
    </w:p>
    <w:p w:rsidR="0092489D" w:rsidP="007D07B9" w14:paraId="73BE84A6" w14:textId="551D69B7">
      <w:pPr>
        <w:spacing w:before="100" w:beforeAutospacing="1"/>
      </w:pPr>
      <w:r>
        <w:t xml:space="preserve">Collecting this </w:t>
      </w:r>
      <w:r w:rsidR="003A3379">
        <w:t>data will m</w:t>
      </w:r>
      <w:r w:rsidRPr="003A3379" w:rsidR="003A3379">
        <w:t xml:space="preserve">eet a </w:t>
      </w:r>
      <w:r w:rsidR="2C59A4C4">
        <w:t>d</w:t>
      </w:r>
      <w:r w:rsidRPr="003A3379" w:rsidR="003A3379">
        <w:t xml:space="preserve">emand for </w:t>
      </w:r>
      <w:r w:rsidR="46183CAA">
        <w:t>n</w:t>
      </w:r>
      <w:r w:rsidRPr="003A3379" w:rsidR="003A3379">
        <w:t xml:space="preserve">ational </w:t>
      </w:r>
      <w:r w:rsidR="04FC71E8">
        <w:t>d</w:t>
      </w:r>
      <w:r w:rsidRPr="003A3379" w:rsidR="003A3379">
        <w:t xml:space="preserve">ata on </w:t>
      </w:r>
      <w:r w:rsidR="2DB015D4">
        <w:t>u</w:t>
      </w:r>
      <w:r w:rsidR="461B8119">
        <w:t xml:space="preserve">tility </w:t>
      </w:r>
      <w:r w:rsidR="057316CA">
        <w:t>d</w:t>
      </w:r>
      <w:r w:rsidR="461B8119">
        <w:t>isconnection</w:t>
      </w:r>
      <w:r w:rsidR="4B878679">
        <w:t>s</w:t>
      </w:r>
      <w:r w:rsidR="003A3379">
        <w:t xml:space="preserve">. </w:t>
      </w:r>
      <w:r w:rsidRPr="003A3379" w:rsidR="003A3379">
        <w:t>Some states collect some of the data described above, but the data is inconsistent. The survey aims to better inform state and federal policymakers on utility disconnections by providing reliable data that can help inform appropriate levels of budgetary support for various assistance programs across the United States.</w:t>
      </w:r>
    </w:p>
    <w:p w:rsidR="00964F98" w:rsidRPr="003B612B" w:rsidP="00810664" w14:paraId="009788BA" w14:textId="77777777">
      <w:pPr>
        <w:pStyle w:val="paragraph"/>
        <w:spacing w:before="0" w:beforeAutospacing="0" w:after="0" w:afterAutospacing="0"/>
        <w:textAlignment w:val="baseline"/>
        <w:outlineLvl w:val="0"/>
        <w:rPr>
          <w:rStyle w:val="eop"/>
          <w:rFonts w:ascii="Calibri" w:hAnsi="Calibri" w:cs="Calibri"/>
          <w:b/>
          <w:bCs/>
          <w:color w:val="1396D8"/>
          <w:sz w:val="28"/>
          <w:szCs w:val="28"/>
        </w:rPr>
      </w:pPr>
      <w:bookmarkStart w:id="3" w:name="_Toc177374305"/>
      <w:r w:rsidRPr="003B612B">
        <w:rPr>
          <w:rStyle w:val="normaltextrun"/>
          <w:rFonts w:ascii="Calibri" w:hAnsi="Calibri" w:cs="Calibri"/>
          <w:b/>
          <w:bCs/>
          <w:color w:val="1396D8"/>
          <w:sz w:val="28"/>
          <w:szCs w:val="28"/>
        </w:rPr>
        <w:t>A.1. Legal Justification </w:t>
      </w:r>
      <w:bookmarkEnd w:id="3"/>
      <w:r w:rsidRPr="003B612B">
        <w:rPr>
          <w:rStyle w:val="eop"/>
          <w:rFonts w:ascii="Calibri" w:hAnsi="Calibri" w:cs="Calibri"/>
          <w:b/>
          <w:bCs/>
          <w:color w:val="1396D8"/>
          <w:sz w:val="28"/>
          <w:szCs w:val="28"/>
        </w:rPr>
        <w:t> </w:t>
      </w:r>
    </w:p>
    <w:p w:rsidR="00964F98" w:rsidP="00964F98" w14:paraId="5C89618C" w14:textId="77777777">
      <w:pPr>
        <w:pStyle w:val="paragraph"/>
        <w:spacing w:before="0" w:beforeAutospacing="0" w:after="0" w:afterAutospacing="0"/>
        <w:textAlignment w:val="baseline"/>
        <w:rPr>
          <w:rFonts w:ascii="Segoe UI" w:hAnsi="Segoe UI" w:cs="Segoe UI"/>
          <w:color w:val="1396D8"/>
          <w:sz w:val="18"/>
          <w:szCs w:val="18"/>
        </w:rPr>
      </w:pPr>
    </w:p>
    <w:p w:rsidR="00964F98" w:rsidP="00964F98" w14:paraId="5064E7F0" w14:textId="77777777">
      <w:pPr>
        <w:pStyle w:val="paragraph"/>
        <w:spacing w:before="0" w:beforeAutospacing="0" w:after="0" w:afterAutospacing="0"/>
        <w:ind w:left="360" w:hanging="360"/>
        <w:textAlignment w:val="baseline"/>
        <w:rPr>
          <w:rStyle w:val="eop"/>
          <w:rFonts w:ascii="Calibri" w:hAnsi="Calibri" w:cs="Calibri"/>
          <w:sz w:val="22"/>
          <w:szCs w:val="22"/>
        </w:rPr>
      </w:pPr>
      <w:r>
        <w:rPr>
          <w:rStyle w:val="normaltextrun"/>
          <w:rFonts w:ascii="Calibri" w:hAnsi="Calibri" w:cs="Calibri"/>
          <w:sz w:val="22"/>
          <w:szCs w:val="22"/>
        </w:rPr>
        <w:t>The authority for this information collection is provided by the following general provisions: </w:t>
      </w:r>
      <w:r>
        <w:rPr>
          <w:rStyle w:val="eop"/>
          <w:rFonts w:ascii="Calibri" w:hAnsi="Calibri" w:cs="Calibri"/>
          <w:sz w:val="22"/>
          <w:szCs w:val="22"/>
        </w:rPr>
        <w:t> </w:t>
      </w:r>
    </w:p>
    <w:p w:rsidR="0040762C" w:rsidP="0040762C" w14:paraId="2078286A" w14:textId="77777777">
      <w:pPr>
        <w:numPr>
          <w:ilvl w:val="0"/>
          <w:numId w:val="5"/>
        </w:numPr>
        <w:spacing w:after="0" w:line="300" w:lineRule="atLeast"/>
      </w:pPr>
      <w:r>
        <w:t>Title 15 U.S.C. 772(b), of the Federal Energy Administration Act of 1974 (FEA Act), Public Law 93 275</w:t>
      </w:r>
      <w:r>
        <w:rPr>
          <w:color w:val="444444"/>
          <w:shd w:val="clear" w:color="auto" w:fill="FFFFFF"/>
        </w:rPr>
        <w:t xml:space="preserve"> authorizes mandatory collection of energy supply and consumption data by the Administrator</w:t>
      </w:r>
      <w:r>
        <w:t>.</w:t>
      </w:r>
    </w:p>
    <w:p w:rsidR="0040762C" w:rsidP="0040762C" w14:paraId="3CB339DB" w14:textId="77777777">
      <w:pPr>
        <w:numPr>
          <w:ilvl w:val="0"/>
          <w:numId w:val="5"/>
        </w:numPr>
        <w:spacing w:after="0" w:line="300" w:lineRule="atLeast"/>
      </w:pPr>
      <w:r>
        <w:t>Title 15 U.S.C. 764(a and b) e</w:t>
      </w:r>
      <w:r>
        <w:rPr>
          <w:color w:val="444444"/>
          <w:shd w:val="clear" w:color="auto" w:fill="FFFFFF"/>
        </w:rPr>
        <w:t>stablishes the Administrator's powers to plan, direct, and conduct mandatory and voluntary energy programs related to the production, conservation, use, control, distribution,</w:t>
      </w:r>
      <w:r>
        <w:rPr>
          <w:color w:val="444444"/>
        </w:rPr>
        <w:t xml:space="preserve"> rationing, and allocation of all forms of energy that are designed and implemented in a fair and efficient manner, including duties to collect, evaluate, assemble, and analyze energy information on reserves, production, demand, and related economic data and work with business, labor, consumer and other interests and obtain their cooperation.</w:t>
      </w:r>
    </w:p>
    <w:p w:rsidR="0040762C" w:rsidP="0040762C" w14:paraId="42BF6E1C" w14:textId="77777777">
      <w:pPr>
        <w:numPr>
          <w:ilvl w:val="0"/>
          <w:numId w:val="5"/>
        </w:numPr>
        <w:spacing w:after="0" w:line="300" w:lineRule="atLeast"/>
      </w:pPr>
      <w:r>
        <w:t xml:space="preserve">Title 15 U.S.C. 790(a) </w:t>
      </w:r>
      <w:r>
        <w:rPr>
          <w:color w:val="444444"/>
        </w:rPr>
        <w:t>establishes a National Energy Information System that is the enclave containing energy information collected by EIA as required to provide a description of and facilitate analysis of energy supply and consumption within and affecting the US on the basis of</w:t>
      </w:r>
      <w:r>
        <w:rPr>
          <w:color w:val="444444"/>
          <w:shd w:val="clear" w:color="auto" w:fill="FFFFFF"/>
        </w:rPr>
        <w:t xml:space="preserve"> such geographic areas and economic sectors to carry out the Administration's statistical and forecasting activities to meet the needs of DOE, Congress, and the States.</w:t>
      </w:r>
    </w:p>
    <w:p w:rsidR="0040762C" w:rsidP="00964F98" w14:paraId="15550E50" w14:textId="77777777">
      <w:pPr>
        <w:pStyle w:val="paragraph"/>
        <w:spacing w:before="0" w:beforeAutospacing="0" w:after="0" w:afterAutospacing="0"/>
        <w:ind w:left="360" w:hanging="360"/>
        <w:textAlignment w:val="baseline"/>
        <w:rPr>
          <w:rStyle w:val="eop"/>
          <w:rFonts w:ascii="Calibri" w:hAnsi="Calibri" w:cs="Calibri"/>
          <w:sz w:val="22"/>
          <w:szCs w:val="22"/>
        </w:rPr>
      </w:pPr>
    </w:p>
    <w:p w:rsidR="00896420" w:rsidRPr="003B612B" w:rsidP="00896420" w14:paraId="5B4E489B" w14:textId="77777777">
      <w:pPr>
        <w:pStyle w:val="Heading1"/>
        <w:rPr>
          <w:rFonts w:eastAsia="Times New Roman"/>
          <w:b/>
          <w:bCs/>
          <w:color w:val="1396D8"/>
          <w:sz w:val="28"/>
          <w:szCs w:val="28"/>
        </w:rPr>
      </w:pPr>
      <w:bookmarkStart w:id="4" w:name="_Toc165020033"/>
      <w:bookmarkStart w:id="5" w:name="_Toc177374306"/>
      <w:r w:rsidRPr="003B612B">
        <w:rPr>
          <w:rFonts w:eastAsia="Times New Roman"/>
          <w:b/>
          <w:bCs/>
          <w:color w:val="1396D8"/>
          <w:sz w:val="28"/>
          <w:szCs w:val="28"/>
        </w:rPr>
        <w:t>A.2. Needs and Uses of Data</w:t>
      </w:r>
      <w:bookmarkEnd w:id="4"/>
      <w:bookmarkEnd w:id="5"/>
      <w:r w:rsidRPr="003B612B">
        <w:rPr>
          <w:rFonts w:eastAsia="Times New Roman"/>
          <w:b/>
          <w:bCs/>
          <w:color w:val="1396D8"/>
          <w:sz w:val="28"/>
          <w:szCs w:val="28"/>
        </w:rPr>
        <w:t> </w:t>
      </w:r>
    </w:p>
    <w:p w:rsidR="00166883" w:rsidP="00166883" w14:paraId="1A23DF7C" w14:textId="77777777"/>
    <w:p w:rsidR="00315B48" w:rsidP="00315B48" w14:paraId="1759C809" w14:textId="77777777">
      <w:pPr>
        <w:pStyle w:val="Heading3"/>
        <w:rPr>
          <w:b/>
          <w:bCs/>
          <w:color w:val="auto"/>
        </w:rPr>
      </w:pPr>
      <w:bookmarkStart w:id="6" w:name="_Toc165020034"/>
      <w:bookmarkStart w:id="7" w:name="_Toc177374307"/>
      <w:r w:rsidRPr="00E52E0F">
        <w:rPr>
          <w:b/>
          <w:bCs/>
          <w:color w:val="auto"/>
        </w:rPr>
        <w:t>2.1. Overview of Data Uses</w:t>
      </w:r>
      <w:bookmarkEnd w:id="6"/>
      <w:bookmarkEnd w:id="7"/>
      <w:r w:rsidRPr="00E52E0F">
        <w:rPr>
          <w:b/>
          <w:bCs/>
          <w:color w:val="auto"/>
        </w:rPr>
        <w:t> </w:t>
      </w:r>
    </w:p>
    <w:p w:rsidR="00C45829" w:rsidP="019EC3E5" w14:paraId="54019853" w14:textId="52DBCEEC">
      <w:pPr>
        <w:rPr>
          <w:rFonts w:ascii="Calibri" w:eastAsia="Calibri" w:hAnsi="Calibri" w:cs="Calibri"/>
          <w:color w:val="000000" w:themeColor="text1"/>
        </w:rPr>
      </w:pPr>
      <w:r>
        <w:t xml:space="preserve">EIA is collecting this information in response to a direction from the Joint Explanatory </w:t>
      </w:r>
      <w:r w:rsidRPr="00A54176" w:rsidR="42CF11B6">
        <w:t>Statement</w:t>
      </w:r>
      <w:r>
        <w:t xml:space="preserve"> to the Fiscal Year 2023 budget appropriat</w:t>
      </w:r>
      <w:r w:rsidR="5981BC75">
        <w:t>ions</w:t>
      </w:r>
      <w:r>
        <w:t xml:space="preserve"> act</w:t>
      </w:r>
      <w:r>
        <w:rPr>
          <w:rStyle w:val="FootnoteReference"/>
        </w:rPr>
        <w:footnoteReference w:id="3"/>
      </w:r>
      <w:r w:rsidR="78E0A305">
        <w:t xml:space="preserve">, which directed EIA to conduct a monthly survey of electric and natural gas providers about final termination notices sent to residential customers due to bill nonpayment, </w:t>
      </w:r>
      <w:r w:rsidRPr="6B5F4B04" w:rsidR="78E0A305">
        <w:rPr>
          <w:rFonts w:ascii="Calibri" w:eastAsia="Calibri" w:hAnsi="Calibri" w:cs="Calibri"/>
          <w:color w:val="000000" w:themeColor="text1"/>
        </w:rPr>
        <w:t>service disconnections of residential customers due to bill nonpayment, and service reconnections of residential customers who were disconnected due to bill nonpayment.</w:t>
      </w:r>
      <w:r w:rsidRPr="6B5F4B04" w:rsidR="707C0A2F">
        <w:rPr>
          <w:rFonts w:ascii="Calibri" w:eastAsia="Calibri" w:hAnsi="Calibri" w:cs="Calibri"/>
          <w:color w:val="000000" w:themeColor="text1"/>
        </w:rPr>
        <w:t xml:space="preserve">  </w:t>
      </w:r>
      <w:r w:rsidRPr="4CBEC786" w:rsidR="182C7999">
        <w:rPr>
          <w:rFonts w:ascii="Calibri" w:eastAsia="Calibri" w:hAnsi="Calibri" w:cs="Calibri"/>
          <w:color w:val="000000" w:themeColor="text1"/>
        </w:rPr>
        <w:t xml:space="preserve">After iterative cognitive testing and a pilot study, EIA is proposing to being data collection for the EIA-112. </w:t>
      </w:r>
      <w:r w:rsidRPr="6B5F4B04" w:rsidR="707C0A2F">
        <w:rPr>
          <w:rFonts w:ascii="Calibri" w:eastAsia="Calibri" w:hAnsi="Calibri" w:cs="Calibri"/>
          <w:color w:val="000000" w:themeColor="text1"/>
        </w:rPr>
        <w:t>The EIA-112 aims to better inform policymakers with authority over the Low-Income Home Energy Assistance Program (LIHEAP), previously named the Low-Income Heating Energy Assistance Program. Data from the new survey will aid in setting appropriate levels</w:t>
      </w:r>
      <w:r w:rsidRPr="4CBEC786" w:rsidR="707C0A2F">
        <w:rPr>
          <w:rFonts w:ascii="Calibri" w:eastAsia="Calibri" w:hAnsi="Calibri" w:cs="Calibri"/>
          <w:color w:val="000000" w:themeColor="text1"/>
        </w:rPr>
        <w:t xml:space="preserve"> of budgetary support for LIHEAP by providing reliable metrics on the frequency of utility disconnections among energy sources and between states.</w:t>
      </w:r>
    </w:p>
    <w:p w:rsidR="003D13AC" w:rsidRPr="003D13AC" w:rsidP="003D13AC" w14:paraId="2DE8F116" w14:textId="5778FBDB">
      <w:pPr>
        <w:pStyle w:val="Heading3"/>
        <w:rPr>
          <w:b/>
          <w:bCs/>
          <w:color w:val="auto"/>
        </w:rPr>
      </w:pPr>
      <w:bookmarkStart w:id="8" w:name="_Toc177374308"/>
      <w:r w:rsidRPr="003D13AC">
        <w:rPr>
          <w:b/>
          <w:bCs/>
          <w:color w:val="auto"/>
        </w:rPr>
        <w:t>2.2</w:t>
      </w:r>
      <w:r w:rsidRPr="003D13AC">
        <w:rPr>
          <w:b/>
          <w:bCs/>
          <w:color w:val="auto"/>
        </w:rPr>
        <w:t xml:space="preserve"> </w:t>
      </w:r>
      <w:bookmarkStart w:id="9" w:name="_Toc355777378"/>
      <w:bookmarkStart w:id="10" w:name="_Toc355777704"/>
      <w:bookmarkStart w:id="11" w:name="_Toc401669357"/>
      <w:bookmarkStart w:id="12" w:name="_Toc524334488"/>
      <w:bookmarkStart w:id="13" w:name="_Toc524334570"/>
      <w:bookmarkStart w:id="14" w:name="_Toc524334718"/>
      <w:bookmarkStart w:id="15" w:name="_Toc524334911"/>
      <w:r w:rsidRPr="003D13AC">
        <w:rPr>
          <w:b/>
          <w:bCs/>
          <w:color w:val="auto"/>
        </w:rPr>
        <w:t xml:space="preserve">Overview of </w:t>
      </w:r>
      <w:r w:rsidR="00E71EB8">
        <w:rPr>
          <w:b/>
          <w:bCs/>
          <w:color w:val="auto"/>
        </w:rPr>
        <w:t xml:space="preserve">Residential </w:t>
      </w:r>
      <w:r w:rsidR="006B29D9">
        <w:rPr>
          <w:b/>
          <w:bCs/>
          <w:color w:val="auto"/>
        </w:rPr>
        <w:t>Utility Disconnection Survey</w:t>
      </w:r>
      <w:r w:rsidRPr="003D13AC">
        <w:rPr>
          <w:b/>
          <w:bCs/>
          <w:color w:val="auto"/>
        </w:rPr>
        <w:t xml:space="preserve"> Data Collection</w:t>
      </w:r>
      <w:bookmarkEnd w:id="9"/>
      <w:bookmarkEnd w:id="10"/>
      <w:bookmarkEnd w:id="11"/>
      <w:bookmarkEnd w:id="8"/>
    </w:p>
    <w:bookmarkEnd w:id="12"/>
    <w:bookmarkEnd w:id="13"/>
    <w:bookmarkEnd w:id="14"/>
    <w:bookmarkEnd w:id="15"/>
    <w:p w:rsidR="003D13AC" w:rsidP="003D13AC" w14:paraId="24C37260" w14:textId="5B807868">
      <w:pPr>
        <w:spacing w:after="0"/>
      </w:pPr>
      <w:r>
        <w:t xml:space="preserve">EIA data forms collect a wide range of information while seeking to minimize respondent burden and avoid duplicative data collection.  The proposed form will be handled in the same manner.  </w:t>
      </w:r>
      <w:r w:rsidR="00980CFF">
        <w:t>Th</w:t>
      </w:r>
      <w:r w:rsidR="001376CF">
        <w:t>is will be an annual form, but the data will be collected at the monthly level</w:t>
      </w:r>
      <w:r w:rsidR="79345E14">
        <w:t xml:space="preserve"> for the previous 12-months</w:t>
      </w:r>
      <w:r w:rsidR="319BC24D">
        <w:t>.</w:t>
      </w:r>
      <w:r w:rsidR="007D036D">
        <w:t xml:space="preserve"> </w:t>
      </w:r>
      <w:r>
        <w:t>Data will be collected from the universe of respondents</w:t>
      </w:r>
      <w:r w:rsidR="0961B0E0">
        <w:t xml:space="preserve"> that provide information on electric and natural gas service.   </w:t>
      </w:r>
    </w:p>
    <w:p w:rsidR="003D13AC" w:rsidP="003D13AC" w14:paraId="1D6B0111" w14:textId="27C7D30C">
      <w:pPr>
        <w:spacing w:after="0"/>
      </w:pPr>
    </w:p>
    <w:p w:rsidR="003D13AC" w:rsidP="003D13AC" w14:paraId="5C7595E8" w14:textId="736FDE78">
      <w:pPr>
        <w:spacing w:after="0"/>
      </w:pPr>
      <w:r>
        <w:t xml:space="preserve">To </w:t>
      </w:r>
      <w:r w:rsidR="29B7C7EA">
        <w:t xml:space="preserve">mitigate respondent burden, EIA will conduct a </w:t>
      </w:r>
      <w:r w:rsidR="3C9847D6">
        <w:t>census</w:t>
      </w:r>
      <w:r w:rsidR="003879C9">
        <w:t xml:space="preserve"> </w:t>
      </w:r>
      <w:r w:rsidR="3C9847D6">
        <w:t>of both electric and natural gas utilities’ disconnection data in the first year of collection and in the subsequent years, collect data from a sample</w:t>
      </w:r>
      <w:r w:rsidR="34151FCD">
        <w:t xml:space="preserve"> of electric and natural gas utilities. Respondents that do not provide natural gas or electric retail service to residential customers will be excluded from</w:t>
      </w:r>
      <w:r w:rsidR="7F7275F6">
        <w:t xml:space="preserve"> the frame.  In addition, small electric utilities (those </w:t>
      </w:r>
      <w:r w:rsidR="00661CC8">
        <w:t xml:space="preserve">on the </w:t>
      </w:r>
      <w:r w:rsidR="00F86CBA">
        <w:t>EIA-861S)</w:t>
      </w:r>
      <w:r w:rsidR="7F7275F6">
        <w:t xml:space="preserve"> will be excluded from the frame.  Including these companies would d</w:t>
      </w:r>
      <w:r w:rsidR="3702A1EE">
        <w:t xml:space="preserve">ramatically increase the size of the </w:t>
      </w:r>
      <w:r w:rsidR="147271A0">
        <w:t>frame</w:t>
      </w:r>
      <w:r w:rsidR="3702A1EE">
        <w:t xml:space="preserve"> but contribute to limited improvement in the estimation of aggregate </w:t>
      </w:r>
      <w:r w:rsidR="17313302">
        <w:t>totals.</w:t>
      </w:r>
      <w:r w:rsidR="3702A1EE">
        <w:t xml:space="preserve"> </w:t>
      </w:r>
      <w:r w:rsidR="0018578D">
        <w:t xml:space="preserve">This methodology will repeat every clearance cycle. </w:t>
      </w:r>
      <w:r w:rsidR="3702A1EE">
        <w:t xml:space="preserve"> </w:t>
      </w:r>
    </w:p>
    <w:p w:rsidR="6B5F4B04" w:rsidP="6B5F4B04" w14:paraId="36888DB2" w14:textId="7EF737F5">
      <w:pPr>
        <w:spacing w:after="0"/>
      </w:pPr>
    </w:p>
    <w:p w:rsidR="0031611C" w:rsidP="003D13AC" w14:paraId="03B0606D" w14:textId="685EDEE6">
      <w:pPr>
        <w:spacing w:after="0"/>
      </w:pPr>
      <w:r w:rsidRPr="00F765ED">
        <w:t xml:space="preserve">The data </w:t>
      </w:r>
      <w:r w:rsidR="00AB719F">
        <w:t>will be</w:t>
      </w:r>
      <w:r w:rsidRPr="00F765ED">
        <w:t xml:space="preserve"> reported or used in </w:t>
      </w:r>
      <w:r w:rsidR="00424D3E">
        <w:t>new</w:t>
      </w:r>
      <w:r w:rsidR="00036783">
        <w:t xml:space="preserve"> </w:t>
      </w:r>
      <w:r w:rsidRPr="00F765ED">
        <w:t>EIA products</w:t>
      </w:r>
      <w:r w:rsidR="0062773C">
        <w:t xml:space="preserve"> comparable to the official governmental statistics reported in the </w:t>
      </w:r>
      <w:r w:rsidRPr="00810664" w:rsidR="0062773C">
        <w:rPr>
          <w:i/>
          <w:iCs/>
        </w:rPr>
        <w:t>Electric Power Monthly</w:t>
      </w:r>
      <w:r w:rsidR="0062773C">
        <w:t xml:space="preserve"> and supporting utility-level web</w:t>
      </w:r>
      <w:r w:rsidR="00036783">
        <w:t xml:space="preserve"> </w:t>
      </w:r>
      <w:r w:rsidR="0062773C">
        <w:t>files</w:t>
      </w:r>
      <w:r w:rsidRPr="00F765ED">
        <w:t>, including:</w:t>
      </w:r>
    </w:p>
    <w:p w:rsidR="003E3EFE" w:rsidP="00AB719F" w14:paraId="2F04EA7D" w14:textId="62D79CDF">
      <w:pPr>
        <w:pStyle w:val="ListParagraph"/>
        <w:numPr>
          <w:ilvl w:val="0"/>
          <w:numId w:val="10"/>
        </w:numPr>
        <w:spacing w:after="0"/>
      </w:pPr>
      <w:r>
        <w:t xml:space="preserve">Web reports </w:t>
      </w:r>
      <w:r w:rsidR="00A41DF9">
        <w:t xml:space="preserve">with </w:t>
      </w:r>
      <w:r w:rsidR="009C27C3">
        <w:t xml:space="preserve">estimates of </w:t>
      </w:r>
      <w:r w:rsidR="00AB719F">
        <w:t>National and State-level Residential Utility Disconnections</w:t>
      </w:r>
      <w:r w:rsidR="00293859">
        <w:t xml:space="preserve"> for both natural gas and electricity customers</w:t>
      </w:r>
      <w:r w:rsidR="00E87C42">
        <w:t xml:space="preserve">, </w:t>
      </w:r>
    </w:p>
    <w:p w:rsidR="00E87C42" w:rsidP="00AD36C3" w14:paraId="4DEAFCA0" w14:textId="0881A91D">
      <w:pPr>
        <w:pStyle w:val="ListParagraph"/>
        <w:numPr>
          <w:ilvl w:val="0"/>
          <w:numId w:val="10"/>
        </w:numPr>
        <w:spacing w:after="0"/>
      </w:pPr>
      <w:r>
        <w:t xml:space="preserve">Excel files </w:t>
      </w:r>
      <w:r w:rsidR="00293859">
        <w:t xml:space="preserve">with </w:t>
      </w:r>
      <w:r w:rsidR="00C052FA">
        <w:t>u</w:t>
      </w:r>
      <w:r>
        <w:t>tility-level detailed reports on Residential Utility Disconnections,</w:t>
      </w:r>
    </w:p>
    <w:p w:rsidR="00E87C42" w:rsidP="00810664" w14:paraId="757E3CDC" w14:textId="5D56AD6C">
      <w:pPr>
        <w:pStyle w:val="ListParagraph"/>
        <w:numPr>
          <w:ilvl w:val="0"/>
          <w:numId w:val="10"/>
        </w:numPr>
        <w:spacing w:after="0"/>
      </w:pPr>
      <w:r>
        <w:t xml:space="preserve">Select tables added to the </w:t>
      </w:r>
      <w:r>
        <w:rPr>
          <w:i/>
          <w:iCs/>
        </w:rPr>
        <w:t xml:space="preserve">Electric Power </w:t>
      </w:r>
      <w:r w:rsidR="005B37D5">
        <w:rPr>
          <w:i/>
          <w:iCs/>
        </w:rPr>
        <w:t>Annual</w:t>
      </w:r>
      <w:r w:rsidR="00496054">
        <w:rPr>
          <w:i/>
          <w:iCs/>
        </w:rPr>
        <w:t xml:space="preserve"> </w:t>
      </w:r>
      <w:r w:rsidR="00496054">
        <w:t xml:space="preserve">and </w:t>
      </w:r>
      <w:r w:rsidR="00496054">
        <w:rPr>
          <w:i/>
          <w:iCs/>
        </w:rPr>
        <w:t xml:space="preserve">Natural Gas </w:t>
      </w:r>
      <w:r w:rsidR="005B37D5">
        <w:rPr>
          <w:i/>
          <w:iCs/>
        </w:rPr>
        <w:t>Annual</w:t>
      </w:r>
      <w:r w:rsidR="0082436C">
        <w:t>.</w:t>
      </w:r>
    </w:p>
    <w:p w:rsidR="00F1732B" w:rsidP="003D13AC" w14:paraId="6C4C76BA" w14:textId="77777777">
      <w:pPr>
        <w:spacing w:after="0"/>
      </w:pPr>
    </w:p>
    <w:p w:rsidR="00F1732B" w:rsidP="00F1732B" w14:paraId="626BB64B" w14:textId="1446108C">
      <w:pPr>
        <w:rPr>
          <w:rFonts w:ascii="Calibri" w:eastAsia="Times New Roman" w:hAnsi="Calibri" w:cs="Times New Roman"/>
          <w:szCs w:val="24"/>
        </w:rPr>
      </w:pPr>
      <w:r>
        <w:rPr>
          <w:rFonts w:ascii="Calibri" w:eastAsia="Times New Roman" w:hAnsi="Calibri" w:cs="Times New Roman"/>
          <w:szCs w:val="24"/>
        </w:rPr>
        <w:t xml:space="preserve">Federal and </w:t>
      </w:r>
      <w:r>
        <w:rPr>
          <w:rFonts w:ascii="Calibri" w:eastAsia="Times New Roman" w:hAnsi="Calibri" w:cs="Times New Roman"/>
          <w:szCs w:val="24"/>
        </w:rPr>
        <w:t>State agencies that will use this</w:t>
      </w:r>
      <w:r>
        <w:rPr>
          <w:iCs/>
        </w:rPr>
        <w:t xml:space="preserve"> survey</w:t>
      </w:r>
      <w:r>
        <w:rPr>
          <w:rFonts w:ascii="Calibri" w:eastAsia="Times New Roman" w:hAnsi="Calibri" w:cs="Times New Roman"/>
          <w:szCs w:val="24"/>
        </w:rPr>
        <w:t xml:space="preserve"> include:</w:t>
      </w:r>
    </w:p>
    <w:p w:rsidR="00F1732B" w:rsidP="00B0025B" w14:paraId="3ACA61C9" w14:textId="29A4BC24">
      <w:pPr>
        <w:pStyle w:val="ListParagraph"/>
        <w:numPr>
          <w:ilvl w:val="0"/>
          <w:numId w:val="11"/>
        </w:numPr>
        <w:spacing w:after="0"/>
      </w:pPr>
      <w:r>
        <w:t>State Public Utility Commissions</w:t>
      </w:r>
      <w:r w:rsidR="00382831">
        <w:t xml:space="preserve">, for comparing data reported from their </w:t>
      </w:r>
      <w:r w:rsidR="009B3ADB">
        <w:t>utilities to national averages</w:t>
      </w:r>
      <w:r w:rsidR="000C0944">
        <w:t>,</w:t>
      </w:r>
    </w:p>
    <w:p w:rsidR="00127037" w:rsidP="00B0025B" w14:paraId="6B9D2DEE" w14:textId="3630AB50">
      <w:pPr>
        <w:pStyle w:val="ListParagraph"/>
        <w:numPr>
          <w:ilvl w:val="0"/>
          <w:numId w:val="11"/>
        </w:numPr>
        <w:spacing w:after="0"/>
      </w:pPr>
      <w:r>
        <w:t>Low Income Home Energy Assistance Program (LIHEAP) at the Department of Health and Human Services</w:t>
      </w:r>
      <w:r w:rsidR="009B3ADB">
        <w:t xml:space="preserve">, for understanding </w:t>
      </w:r>
      <w:r w:rsidR="00C06E11">
        <w:t>funding requirements for state-level</w:t>
      </w:r>
      <w:r w:rsidR="003F1E3F">
        <w:t xml:space="preserve"> programs</w:t>
      </w:r>
      <w:r w:rsidR="000C0944">
        <w:t>.</w:t>
      </w:r>
    </w:p>
    <w:p w:rsidR="00B0025B" w:rsidP="00651C29" w14:paraId="7B31472A" w14:textId="77777777">
      <w:pPr>
        <w:spacing w:after="0"/>
      </w:pPr>
    </w:p>
    <w:p w:rsidR="0031611C" w:rsidP="0031611C" w14:paraId="757593BC" w14:textId="77777777">
      <w:pPr>
        <w:pStyle w:val="Heading1"/>
        <w:rPr>
          <w:rFonts w:eastAsia="Times New Roman"/>
          <w:b/>
          <w:bCs/>
          <w:color w:val="1396D8"/>
          <w:sz w:val="28"/>
          <w:szCs w:val="28"/>
        </w:rPr>
      </w:pPr>
      <w:bookmarkStart w:id="16" w:name="_Toc165020036"/>
      <w:bookmarkStart w:id="17" w:name="_Toc177374309"/>
      <w:r w:rsidRPr="003B612B">
        <w:rPr>
          <w:rFonts w:eastAsia="Times New Roman"/>
          <w:b/>
          <w:bCs/>
          <w:color w:val="1396D8"/>
          <w:sz w:val="28"/>
          <w:szCs w:val="28"/>
        </w:rPr>
        <w:t>A.3. Use of Technology</w:t>
      </w:r>
      <w:bookmarkEnd w:id="16"/>
      <w:bookmarkEnd w:id="17"/>
      <w:r w:rsidRPr="003B612B">
        <w:rPr>
          <w:rFonts w:eastAsia="Times New Roman"/>
          <w:b/>
          <w:bCs/>
          <w:color w:val="1396D8"/>
          <w:sz w:val="28"/>
          <w:szCs w:val="28"/>
        </w:rPr>
        <w:t> </w:t>
      </w:r>
    </w:p>
    <w:p w:rsidR="00A51A63" w:rsidRPr="009D4B69" w:rsidP="00A51A63" w14:paraId="1CA1404B" w14:textId="5A148BE6">
      <w:pPr>
        <w:pStyle w:val="paragraph"/>
        <w:spacing w:before="0" w:beforeAutospacing="0" w:after="0" w:afterAutospacing="0"/>
        <w:textAlignment w:val="baseline"/>
        <w:rPr>
          <w:rFonts w:asciiTheme="minorHAnsi" w:hAnsiTheme="minorHAnsi" w:cstheme="minorBidi"/>
          <w:sz w:val="22"/>
          <w:szCs w:val="22"/>
        </w:rPr>
      </w:pPr>
      <w:r w:rsidRPr="6B5F4B04">
        <w:rPr>
          <w:rFonts w:asciiTheme="minorHAnsi" w:hAnsiTheme="minorHAnsi" w:cstheme="minorBidi"/>
          <w:sz w:val="22"/>
          <w:szCs w:val="22"/>
        </w:rPr>
        <w:t>Form EIA-112 will u</w:t>
      </w:r>
      <w:r w:rsidRPr="6B5F4B04">
        <w:rPr>
          <w:rStyle w:val="normaltextrun"/>
          <w:rFonts w:asciiTheme="minorHAnsi" w:eastAsiaTheme="majorEastAsia" w:hAnsiTheme="minorHAnsi" w:cstheme="minorBidi"/>
          <w:sz w:val="22"/>
          <w:szCs w:val="22"/>
        </w:rPr>
        <w:t xml:space="preserve">se </w:t>
      </w:r>
      <w:r w:rsidRPr="3F17AE2B" w:rsidR="60AFF5E2">
        <w:rPr>
          <w:rStyle w:val="normaltextrun"/>
          <w:rFonts w:asciiTheme="minorHAnsi" w:eastAsiaTheme="majorEastAsia" w:hAnsiTheme="minorHAnsi" w:cstheme="minorBidi"/>
          <w:sz w:val="22"/>
          <w:szCs w:val="22"/>
        </w:rPr>
        <w:t>Computer-</w:t>
      </w:r>
      <w:r w:rsidRPr="346312FE" w:rsidR="60AFF5E2">
        <w:rPr>
          <w:rStyle w:val="normaltextrun"/>
          <w:rFonts w:asciiTheme="minorHAnsi" w:eastAsiaTheme="majorEastAsia" w:hAnsiTheme="minorHAnsi" w:cstheme="minorBidi"/>
          <w:sz w:val="22"/>
          <w:szCs w:val="22"/>
        </w:rPr>
        <w:t>Assisted Web Interviews (</w:t>
      </w:r>
      <w:r w:rsidRPr="134B4B59" w:rsidR="60AFF5E2">
        <w:rPr>
          <w:rStyle w:val="normaltextrun"/>
          <w:rFonts w:asciiTheme="minorHAnsi" w:eastAsiaTheme="majorEastAsia" w:hAnsiTheme="minorHAnsi" w:cstheme="minorBidi"/>
          <w:sz w:val="22"/>
          <w:szCs w:val="22"/>
        </w:rPr>
        <w:t>CAWI</w:t>
      </w:r>
      <w:r w:rsidRPr="7731C69B" w:rsidR="60AFF5E2">
        <w:rPr>
          <w:rStyle w:val="normaltextrun"/>
          <w:rFonts w:asciiTheme="minorHAnsi" w:eastAsiaTheme="majorEastAsia" w:hAnsiTheme="minorHAnsi" w:cstheme="minorBidi"/>
          <w:sz w:val="22"/>
          <w:szCs w:val="22"/>
        </w:rPr>
        <w:t>)</w:t>
      </w:r>
      <w:r w:rsidRPr="7731C69B" w:rsidR="2E342C39">
        <w:rPr>
          <w:rStyle w:val="normaltextrun"/>
          <w:rFonts w:asciiTheme="minorHAnsi" w:eastAsiaTheme="majorEastAsia" w:hAnsiTheme="minorHAnsi" w:cstheme="minorBidi"/>
          <w:sz w:val="22"/>
          <w:szCs w:val="22"/>
        </w:rPr>
        <w:t>,</w:t>
      </w:r>
      <w:r w:rsidRPr="2A74C92D" w:rsidR="2E342C39">
        <w:rPr>
          <w:rStyle w:val="normaltextrun"/>
          <w:rFonts w:asciiTheme="minorHAnsi" w:eastAsiaTheme="majorEastAsia" w:hAnsiTheme="minorHAnsi" w:cstheme="minorBidi"/>
          <w:sz w:val="22"/>
          <w:szCs w:val="22"/>
        </w:rPr>
        <w:t xml:space="preserve"> or web surveys,</w:t>
      </w:r>
      <w:r w:rsidRPr="6B5F4B04">
        <w:rPr>
          <w:rStyle w:val="normaltextrun"/>
          <w:rFonts w:asciiTheme="minorHAnsi" w:eastAsiaTheme="majorEastAsia" w:hAnsiTheme="minorHAnsi" w:cstheme="minorBidi"/>
          <w:sz w:val="22"/>
          <w:szCs w:val="22"/>
        </w:rPr>
        <w:t xml:space="preserve"> as the primary means of data collection. The majority of contact with respondents (e.g., notification that a survey has opened for a collection cycle) is done by email. </w:t>
      </w:r>
      <w:r w:rsidRPr="6B5F4B04">
        <w:rPr>
          <w:rStyle w:val="eop"/>
          <w:rFonts w:asciiTheme="minorHAnsi" w:hAnsiTheme="minorHAnsi" w:cstheme="minorBidi"/>
          <w:sz w:val="22"/>
          <w:szCs w:val="22"/>
        </w:rPr>
        <w:t> </w:t>
      </w:r>
    </w:p>
    <w:p w:rsidR="00A51A63" w:rsidRPr="009D4B69" w:rsidP="6B5F4B04" w14:paraId="712C3CA2" w14:textId="1F9AE955">
      <w:pPr>
        <w:pStyle w:val="paragraph"/>
        <w:spacing w:before="0" w:after="0" w:afterAutospacing="0"/>
        <w:textAlignment w:val="baseline"/>
        <w:rPr>
          <w:rStyle w:val="eop"/>
          <w:rFonts w:asciiTheme="minorHAnsi" w:hAnsiTheme="minorHAnsi" w:cstheme="minorBidi"/>
          <w:sz w:val="22"/>
          <w:szCs w:val="22"/>
        </w:rPr>
      </w:pPr>
      <w:r w:rsidRPr="2C6CA271">
        <w:rPr>
          <w:rStyle w:val="normaltextrun"/>
          <w:rFonts w:asciiTheme="minorHAnsi" w:eastAsiaTheme="majorEastAsia" w:hAnsiTheme="minorHAnsi" w:cstheme="minorBidi"/>
          <w:sz w:val="22"/>
          <w:szCs w:val="22"/>
        </w:rPr>
        <w:t>CAWI</w:t>
      </w:r>
      <w:r w:rsidRPr="6B5F4B04">
        <w:rPr>
          <w:rStyle w:val="normaltextrun"/>
          <w:rFonts w:asciiTheme="minorHAnsi" w:eastAsiaTheme="majorEastAsia" w:hAnsiTheme="minorHAnsi" w:cstheme="minorBidi"/>
          <w:sz w:val="22"/>
          <w:szCs w:val="22"/>
        </w:rPr>
        <w:t xml:space="preserve"> allow respondents to enter their data directly into the EIA survey databases, which reduces the time needed for data collection and processing. The systems identify reported data that fail edit specifications prior to submission, which allow respondents to make necessary corrections or explain unusual situations affecting the reported data. This process aids in detecting and minimizing response errors, data validation procedures are used to check current data.  It also improves the timeliness of reporting the information to the public. The only equipment and software respondents require are a connection to the Internet and a standard industry web browser. </w:t>
      </w:r>
      <w:r w:rsidRPr="6B5F4B04">
        <w:rPr>
          <w:rStyle w:val="eop"/>
          <w:rFonts w:asciiTheme="minorHAnsi" w:hAnsiTheme="minorHAnsi" w:cstheme="minorBidi"/>
          <w:sz w:val="22"/>
          <w:szCs w:val="22"/>
        </w:rPr>
        <w:t> </w:t>
      </w:r>
    </w:p>
    <w:p w:rsidR="00812EC0" w:rsidRPr="009D4B69" w:rsidP="00A51A63" w14:paraId="74750D0B" w14:textId="7591AC2F">
      <w:pPr>
        <w:pStyle w:val="paragraph"/>
        <w:spacing w:before="0" w:after="0" w:afterAutospacing="0"/>
        <w:textAlignment w:val="baseline"/>
        <w:rPr>
          <w:rFonts w:asciiTheme="minorHAnsi" w:hAnsiTheme="minorHAnsi" w:cstheme="minorBidi"/>
          <w:sz w:val="22"/>
          <w:szCs w:val="22"/>
        </w:rPr>
      </w:pPr>
      <w:r w:rsidRPr="1BDBA9DF">
        <w:rPr>
          <w:rStyle w:val="eop"/>
          <w:rFonts w:asciiTheme="minorHAnsi" w:hAnsiTheme="minorHAnsi" w:cstheme="minorBidi"/>
          <w:sz w:val="22"/>
          <w:szCs w:val="22"/>
        </w:rPr>
        <w:t xml:space="preserve">Initial </w:t>
      </w:r>
      <w:r w:rsidRPr="5E29A8D0" w:rsidR="6291E7E8">
        <w:rPr>
          <w:rStyle w:val="eop"/>
          <w:rFonts w:asciiTheme="minorHAnsi" w:hAnsiTheme="minorHAnsi" w:cstheme="minorBidi"/>
          <w:sz w:val="22"/>
          <w:szCs w:val="22"/>
        </w:rPr>
        <w:t>online</w:t>
      </w:r>
      <w:r w:rsidRPr="5E29A8D0">
        <w:rPr>
          <w:rStyle w:val="eop"/>
          <w:rFonts w:asciiTheme="minorHAnsi" w:hAnsiTheme="minorHAnsi" w:cstheme="minorBidi"/>
          <w:sz w:val="22"/>
          <w:szCs w:val="22"/>
        </w:rPr>
        <w:t xml:space="preserve"> </w:t>
      </w:r>
      <w:r w:rsidRPr="1BDBA9DF">
        <w:rPr>
          <w:rStyle w:val="eop"/>
          <w:rFonts w:asciiTheme="minorHAnsi" w:hAnsiTheme="minorHAnsi" w:cstheme="minorBidi"/>
          <w:sz w:val="22"/>
          <w:szCs w:val="22"/>
        </w:rPr>
        <w:t>edits that improve data collection accuracy and reduce follow up</w:t>
      </w:r>
      <w:r w:rsidRPr="1BDBA9DF" w:rsidR="00F067C9">
        <w:rPr>
          <w:rStyle w:val="eop"/>
          <w:rFonts w:asciiTheme="minorHAnsi" w:hAnsiTheme="minorHAnsi" w:cstheme="minorBidi"/>
          <w:sz w:val="22"/>
          <w:szCs w:val="22"/>
        </w:rPr>
        <w:t xml:space="preserve"> with </w:t>
      </w:r>
      <w:r w:rsidRPr="1BDBA9DF" w:rsidR="00503B01">
        <w:rPr>
          <w:rStyle w:val="eop"/>
          <w:rFonts w:asciiTheme="minorHAnsi" w:hAnsiTheme="minorHAnsi" w:cstheme="minorBidi"/>
          <w:sz w:val="22"/>
          <w:szCs w:val="22"/>
        </w:rPr>
        <w:t>respondents</w:t>
      </w:r>
      <w:r w:rsidRPr="1BDBA9DF" w:rsidR="00F067C9">
        <w:rPr>
          <w:rStyle w:val="eop"/>
          <w:rFonts w:asciiTheme="minorHAnsi" w:hAnsiTheme="minorHAnsi" w:cstheme="minorBidi"/>
          <w:sz w:val="22"/>
          <w:szCs w:val="22"/>
        </w:rPr>
        <w:t xml:space="preserve"> </w:t>
      </w:r>
      <w:r w:rsidRPr="1BDBA9DF" w:rsidR="00503B01">
        <w:rPr>
          <w:rStyle w:val="eop"/>
          <w:rFonts w:asciiTheme="minorHAnsi" w:hAnsiTheme="minorHAnsi" w:cstheme="minorBidi"/>
          <w:sz w:val="22"/>
          <w:szCs w:val="22"/>
        </w:rPr>
        <w:t xml:space="preserve">will also be included in the system and improved over time as </w:t>
      </w:r>
      <w:r w:rsidRPr="1BDBA9DF" w:rsidR="003C6342">
        <w:rPr>
          <w:rStyle w:val="eop"/>
          <w:rFonts w:asciiTheme="minorHAnsi" w:hAnsiTheme="minorHAnsi" w:cstheme="minorBidi"/>
          <w:sz w:val="22"/>
          <w:szCs w:val="22"/>
        </w:rPr>
        <w:t xml:space="preserve">data edits can be refined after the initial </w:t>
      </w:r>
      <w:r w:rsidRPr="1BDBA9DF" w:rsidR="00C1124D">
        <w:rPr>
          <w:rStyle w:val="eop"/>
          <w:rFonts w:asciiTheme="minorHAnsi" w:hAnsiTheme="minorHAnsi" w:cstheme="minorBidi"/>
          <w:sz w:val="22"/>
          <w:szCs w:val="22"/>
        </w:rPr>
        <w:t>collection cycle.</w:t>
      </w:r>
    </w:p>
    <w:p w:rsidR="003B612B" w:rsidP="003B612B" w14:paraId="1B32DF69" w14:textId="491F0651"/>
    <w:p w:rsidR="00416E22" w:rsidP="00A42B4D" w14:paraId="09B0E340" w14:textId="43E4816D">
      <w:pPr>
        <w:pStyle w:val="Heading1"/>
        <w:rPr>
          <w:b/>
          <w:bCs/>
          <w:noProof/>
          <w:color w:val="1396D8"/>
          <w:sz w:val="28"/>
          <w:szCs w:val="28"/>
        </w:rPr>
      </w:pPr>
      <w:bookmarkStart w:id="18" w:name="_Toc492634204"/>
      <w:bookmarkStart w:id="19" w:name="_Toc177374310"/>
      <w:r w:rsidRPr="019EC3E5">
        <w:rPr>
          <w:b/>
          <w:bCs/>
          <w:noProof/>
          <w:color w:val="1396D8"/>
          <w:sz w:val="28"/>
          <w:szCs w:val="28"/>
        </w:rPr>
        <w:t>A.4. Efforts to Identify Duplication</w:t>
      </w:r>
      <w:bookmarkEnd w:id="18"/>
      <w:bookmarkEnd w:id="19"/>
    </w:p>
    <w:p w:rsidR="005259D1" w:rsidRPr="0064396E" w:rsidP="005259D1" w14:paraId="5DEB987C" w14:textId="117FF246">
      <w:r>
        <w:t>The</w:t>
      </w:r>
      <w:r w:rsidRPr="00B636F5">
        <w:t xml:space="preserve"> collection and publication of this data is directly responsive to the current data gap in utility disconnections.</w:t>
      </w:r>
      <w:r>
        <w:t xml:space="preserve"> EIA</w:t>
      </w:r>
      <w:r w:rsidRPr="00B636F5">
        <w:t xml:space="preserve"> </w:t>
      </w:r>
      <w:r>
        <w:t>will</w:t>
      </w:r>
      <w:r w:rsidRPr="00B636F5">
        <w:t xml:space="preserve"> provide a comprehensive dataset on the frequency and intensity of utility disconnections at the state level.</w:t>
      </w:r>
      <w:r>
        <w:t xml:space="preserve"> EIA will</w:t>
      </w:r>
      <w:r w:rsidRPr="00B636F5">
        <w:t xml:space="preserve"> also plan to publish the data collected at the utility level, which can inform more granular estimates than our state-level aggregate</w:t>
      </w:r>
      <w:r>
        <w:t xml:space="preserve"> </w:t>
      </w:r>
      <w:r w:rsidRPr="00B636F5">
        <w:t>estimates. </w:t>
      </w:r>
      <w:r>
        <w:t>Currently, four sources are collecting some of this information, the Residential Energy Consumption Survey (RECS), the Census’ Current Population Survey (CPS),</w:t>
      </w:r>
      <w:r w:rsidRPr="00E83E33">
        <w:t xml:space="preserve"> </w:t>
      </w:r>
      <w:r>
        <w:t xml:space="preserve">Public Utility Commissions, and the Low-Income Home Energy Program (LIHEAP). However, these data sources are not able to produce the level of </w:t>
      </w:r>
      <w:r w:rsidRPr="006B21EC">
        <w:t xml:space="preserve">information required by the </w:t>
      </w:r>
      <w:r w:rsidR="77F8DCE5">
        <w:t>language in the</w:t>
      </w:r>
      <w:r>
        <w:t xml:space="preserve"> </w:t>
      </w:r>
      <w:r w:rsidRPr="006B21EC">
        <w:t xml:space="preserve">2023 </w:t>
      </w:r>
      <w:r>
        <w:t>A</w:t>
      </w:r>
      <w:r w:rsidRPr="006B21EC">
        <w:t xml:space="preserve">ppropriations </w:t>
      </w:r>
      <w:r>
        <w:t>A</w:t>
      </w:r>
      <w:r w:rsidRPr="006B21EC">
        <w:t>ct</w:t>
      </w:r>
      <w:r>
        <w:t>. EIA-112 data</w:t>
      </w:r>
      <w:r w:rsidRPr="006B21EC">
        <w:t xml:space="preserve"> are </w:t>
      </w:r>
      <w:r w:rsidRPr="0064396E">
        <w:t xml:space="preserve">not duplicative of existing data because </w:t>
      </w:r>
      <w:r w:rsidRPr="006B21EC">
        <w:t xml:space="preserve">there is </w:t>
      </w:r>
      <w:r w:rsidRPr="0064396E">
        <w:t xml:space="preserve">no public </w:t>
      </w:r>
      <w:r w:rsidRPr="006B21EC">
        <w:t xml:space="preserve">data </w:t>
      </w:r>
      <w:r w:rsidRPr="0064396E">
        <w:t>source of comprehensive disconnection due to nonpayment.</w:t>
      </w:r>
      <w:r w:rsidRPr="0064396E">
        <w:rPr>
          <w:b/>
          <w:bCs/>
        </w:rPr>
        <w:t>  </w:t>
      </w:r>
      <w:r w:rsidRPr="0064396E">
        <w:t> </w:t>
      </w:r>
    </w:p>
    <w:p w:rsidR="005259D1" w:rsidRPr="0064396E" w:rsidP="005259D1" w14:paraId="3245C203" w14:textId="0E035BD7">
      <w:r>
        <w:t>RECS is a quadrennial household voluntary survey that does not collect data on the number of disconnections and reconnections. The</w:t>
      </w:r>
      <w:r w:rsidRPr="00CF04FB">
        <w:t xml:space="preserve"> household survey </w:t>
      </w:r>
      <w:r>
        <w:t xml:space="preserve">is </w:t>
      </w:r>
      <w:r w:rsidRPr="00CF04FB">
        <w:t>used to inform end use estimates for energy consumption, among other things.</w:t>
      </w:r>
      <w:r>
        <w:t xml:space="preserve"> Due to the survey’s frequency in data collection, the low probability that a respondents will be disconnected at the time of the data collection, and the voluntary nature of the data collection, RECS would not provide the necessary data needed to accurately inform the public about utility disconnections and reconnections. </w:t>
      </w:r>
      <w:r w:rsidRPr="00CF04FB">
        <w:t xml:space="preserve">Similarly, the </w:t>
      </w:r>
      <w:r>
        <w:t>CPS</w:t>
      </w:r>
      <w:r w:rsidRPr="00CF04FB">
        <w:t xml:space="preserve"> is used to inform population estimates and other social and economic indicators of the population within given geographic areas.</w:t>
      </w:r>
      <w:r>
        <w:t xml:space="preserve"> The CPS is a voluntary survey using a sample of 60,000 occupied household, which will not accurately capture data on utility disconnections and reconnections on a monthly basis. </w:t>
      </w:r>
      <w:r w:rsidRPr="00B636F5">
        <w:t xml:space="preserve">We also learned from evaluating the Public Utility Commissions </w:t>
      </w:r>
      <w:r w:rsidR="06E6D1BD">
        <w:t xml:space="preserve">(PUCs) </w:t>
      </w:r>
      <w:r>
        <w:t>data</w:t>
      </w:r>
      <w:r w:rsidRPr="00B636F5">
        <w:t xml:space="preserve"> that it was inconsistent across the States and frequently included many gaps that resulted in it not being a sufficient replacement for a primary data collection. </w:t>
      </w:r>
      <w:r w:rsidRPr="0064396E">
        <w:t xml:space="preserve"> Data utilized in the </w:t>
      </w:r>
      <w:r>
        <w:t>LIHEAP</w:t>
      </w:r>
      <w:r w:rsidRPr="0064396E">
        <w:t xml:space="preserve"> is informed by </w:t>
      </w:r>
      <w:r w:rsidR="00E16DB6">
        <w:t>these</w:t>
      </w:r>
      <w:r w:rsidRPr="0064396E">
        <w:t xml:space="preserve"> data sources, none of which purport to estimate the current level of disconnections at a state or utility service area.</w:t>
      </w:r>
      <w:r w:rsidRPr="00586786" w:rsidR="00586786">
        <w:t xml:space="preserve"> </w:t>
      </w:r>
      <w:r w:rsidR="00E16DB6">
        <w:t>Additionally, d</w:t>
      </w:r>
      <w:r w:rsidRPr="00586786" w:rsidR="00586786">
        <w:t>ata from grant recipients are useful at evaluating the effectiveness of grants but are only submitted from grant recipients, not the entire population of utilities providing natural gas and electric service</w:t>
      </w:r>
      <w:r w:rsidR="00E16DB6">
        <w:t>s</w:t>
      </w:r>
      <w:r w:rsidRPr="00586786" w:rsidR="00586786">
        <w:t xml:space="preserve">. These collections are not duplicative as </w:t>
      </w:r>
      <w:r w:rsidRPr="00586786" w:rsidR="00586786">
        <w:t>they are answered by different populations of respondents and are attempting to evaluate different research questions.</w:t>
      </w:r>
    </w:p>
    <w:p w:rsidR="00CC6E7E" w:rsidP="019EC3E5" w14:paraId="1388843F" w14:textId="10D0D1F7">
      <w:pPr>
        <w:rPr>
          <w:rFonts w:ascii="Calibri" w:eastAsia="Calibri" w:hAnsi="Calibri" w:cs="Calibri"/>
          <w:color w:val="000000" w:themeColor="text1"/>
        </w:rPr>
      </w:pPr>
      <w:r w:rsidRPr="3BC256F1">
        <w:rPr>
          <w:rFonts w:ascii="Calibri" w:eastAsia="Calibri" w:hAnsi="Calibri" w:cs="Calibri"/>
          <w:color w:val="000000" w:themeColor="text1"/>
        </w:rPr>
        <w:t xml:space="preserve">As stated above, </w:t>
      </w:r>
      <w:r w:rsidRPr="7AC7D782">
        <w:rPr>
          <w:rFonts w:ascii="Calibri" w:eastAsia="Calibri" w:hAnsi="Calibri" w:cs="Calibri"/>
          <w:color w:val="000000" w:themeColor="text1"/>
        </w:rPr>
        <w:t xml:space="preserve">EIA evaluated the </w:t>
      </w:r>
      <w:r w:rsidRPr="49FE6C5A" w:rsidR="6E6C2A4B">
        <w:rPr>
          <w:rFonts w:ascii="Calibri" w:eastAsia="Calibri" w:hAnsi="Calibri" w:cs="Calibri"/>
          <w:color w:val="000000" w:themeColor="text1"/>
        </w:rPr>
        <w:t>PUCs</w:t>
      </w:r>
      <w:r w:rsidRPr="23FB29C3">
        <w:rPr>
          <w:rFonts w:ascii="Calibri" w:eastAsia="Calibri" w:hAnsi="Calibri" w:cs="Calibri"/>
          <w:color w:val="000000" w:themeColor="text1"/>
        </w:rPr>
        <w:t xml:space="preserve"> data.</w:t>
      </w:r>
      <w:r w:rsidRPr="6D044313">
        <w:rPr>
          <w:rFonts w:ascii="Calibri" w:eastAsia="Calibri" w:hAnsi="Calibri" w:cs="Calibri"/>
          <w:color w:val="000000" w:themeColor="text1"/>
        </w:rPr>
        <w:t xml:space="preserve"> </w:t>
      </w:r>
      <w:r w:rsidRPr="24E05E3E" w:rsidR="3930B76A">
        <w:rPr>
          <w:rFonts w:ascii="Calibri" w:eastAsia="Calibri" w:hAnsi="Calibri" w:cs="Calibri"/>
          <w:color w:val="000000" w:themeColor="text1"/>
        </w:rPr>
        <w:t xml:space="preserve">We found </w:t>
      </w:r>
      <w:r w:rsidRPr="7ED37730" w:rsidR="3930B76A">
        <w:rPr>
          <w:rFonts w:ascii="Calibri" w:eastAsia="Calibri" w:hAnsi="Calibri" w:cs="Calibri"/>
          <w:color w:val="000000" w:themeColor="text1"/>
        </w:rPr>
        <w:t>that s</w:t>
      </w:r>
      <w:r w:rsidRPr="6D044313" w:rsidR="5B0F292A">
        <w:rPr>
          <w:rFonts w:ascii="Calibri" w:eastAsia="Calibri" w:hAnsi="Calibri" w:cs="Calibri"/>
          <w:color w:val="000000" w:themeColor="text1"/>
        </w:rPr>
        <w:t>everal</w:t>
      </w:r>
      <w:r w:rsidRPr="019EC3E5" w:rsidR="5B0F292A">
        <w:rPr>
          <w:rFonts w:ascii="Calibri" w:eastAsia="Calibri" w:hAnsi="Calibri" w:cs="Calibri"/>
          <w:color w:val="000000" w:themeColor="text1"/>
        </w:rPr>
        <w:t xml:space="preserve"> states have </w:t>
      </w:r>
      <w:r w:rsidRPr="74B67FE8" w:rsidR="4AEAD401">
        <w:rPr>
          <w:rFonts w:ascii="Calibri" w:eastAsia="Calibri" w:hAnsi="Calibri" w:cs="Calibri"/>
          <w:color w:val="000000" w:themeColor="text1"/>
        </w:rPr>
        <w:t>PUCs</w:t>
      </w:r>
      <w:r w:rsidRPr="019EC3E5" w:rsidR="5B0F292A">
        <w:rPr>
          <w:rFonts w:ascii="Calibri" w:eastAsia="Calibri" w:hAnsi="Calibri" w:cs="Calibri"/>
          <w:color w:val="000000" w:themeColor="text1"/>
        </w:rPr>
        <w:t xml:space="preserve"> that require reports on disconnections from select utilities within the state. We compared these data with those collected </w:t>
      </w:r>
      <w:r w:rsidRPr="3549AC7C" w:rsidR="5B0F7349">
        <w:rPr>
          <w:rFonts w:ascii="Calibri" w:eastAsia="Calibri" w:hAnsi="Calibri" w:cs="Calibri"/>
          <w:color w:val="000000" w:themeColor="text1"/>
        </w:rPr>
        <w:t xml:space="preserve">from a </w:t>
      </w:r>
      <w:r w:rsidRPr="3549AC7C" w:rsidR="00490BF3">
        <w:rPr>
          <w:rFonts w:ascii="Calibri" w:eastAsia="Calibri" w:hAnsi="Calibri" w:cs="Calibri"/>
          <w:color w:val="000000" w:themeColor="text1"/>
        </w:rPr>
        <w:t>pilot</w:t>
      </w:r>
      <w:r w:rsidR="00490BF3">
        <w:rPr>
          <w:rFonts w:ascii="Calibri" w:eastAsia="Calibri" w:hAnsi="Calibri" w:cs="Calibri"/>
          <w:color w:val="000000" w:themeColor="text1"/>
        </w:rPr>
        <w:t xml:space="preserve"> study </w:t>
      </w:r>
      <w:r w:rsidRPr="161DE354" w:rsidR="689BEE34">
        <w:rPr>
          <w:rFonts w:ascii="Calibri" w:eastAsia="Calibri" w:hAnsi="Calibri" w:cs="Calibri"/>
          <w:color w:val="000000" w:themeColor="text1"/>
        </w:rPr>
        <w:t xml:space="preserve">on the topic </w:t>
      </w:r>
      <w:r w:rsidR="00BE1B94">
        <w:rPr>
          <w:rFonts w:ascii="Calibri" w:eastAsia="Calibri" w:hAnsi="Calibri" w:cs="Calibri"/>
          <w:color w:val="000000" w:themeColor="text1"/>
        </w:rPr>
        <w:t xml:space="preserve">in </w:t>
      </w:r>
      <w:r w:rsidR="00024E9C">
        <w:rPr>
          <w:rFonts w:ascii="Calibri" w:eastAsia="Calibri" w:hAnsi="Calibri" w:cs="Calibri"/>
          <w:color w:val="000000" w:themeColor="text1"/>
        </w:rPr>
        <w:t xml:space="preserve">2023 </w:t>
      </w:r>
      <w:r w:rsidRPr="019EC3E5" w:rsidR="5B0F292A">
        <w:rPr>
          <w:rFonts w:ascii="Calibri" w:eastAsia="Calibri" w:hAnsi="Calibri" w:cs="Calibri"/>
          <w:color w:val="000000" w:themeColor="text1"/>
        </w:rPr>
        <w:t xml:space="preserve">and found substantial differences in most states. Some states collect natural gas and electricity disconnections separately; some collect only the total number of accounts disconnected. Because a joint service disconnection could be counted either as a single disconnection or as two disconnections (one of natural gas and one of electricity), any state used in a blended data product must use the same convention as the federal collection. </w:t>
      </w:r>
      <w:r w:rsidR="000C0762">
        <w:rPr>
          <w:rFonts w:ascii="Calibri" w:eastAsia="Calibri" w:hAnsi="Calibri" w:cs="Calibri"/>
          <w:color w:val="000000" w:themeColor="text1"/>
        </w:rPr>
        <w:t xml:space="preserve"> Although these partial data collections exist, their inconsistent format makes direct comparison </w:t>
      </w:r>
      <w:r w:rsidR="00375F62">
        <w:rPr>
          <w:rFonts w:ascii="Calibri" w:eastAsia="Calibri" w:hAnsi="Calibri" w:cs="Calibri"/>
          <w:color w:val="000000" w:themeColor="text1"/>
        </w:rPr>
        <w:t xml:space="preserve">difficult to impossible. </w:t>
      </w:r>
    </w:p>
    <w:p w:rsidR="00FC6C1A" w:rsidP="019EC3E5" w14:paraId="6487A676" w14:textId="5FBA95ED">
      <w:pPr>
        <w:rPr>
          <w:rFonts w:ascii="Calibri" w:eastAsia="Calibri" w:hAnsi="Calibri" w:cs="Calibri"/>
          <w:color w:val="000000" w:themeColor="text1"/>
        </w:rPr>
      </w:pPr>
      <w:r w:rsidRPr="019EC3E5">
        <w:rPr>
          <w:rFonts w:ascii="Calibri" w:eastAsia="Calibri" w:hAnsi="Calibri" w:cs="Calibri"/>
          <w:color w:val="000000" w:themeColor="text1"/>
        </w:rPr>
        <w:t>Currently Iowa and the District of Columbia are the only regions that</w:t>
      </w:r>
      <w:r w:rsidR="00036783">
        <w:rPr>
          <w:rFonts w:ascii="Calibri" w:eastAsia="Calibri" w:hAnsi="Calibri" w:cs="Calibri"/>
          <w:color w:val="000000" w:themeColor="text1"/>
        </w:rPr>
        <w:t xml:space="preserve"> </w:t>
      </w:r>
      <w:r w:rsidRPr="019EC3E5">
        <w:rPr>
          <w:rFonts w:ascii="Calibri" w:eastAsia="Calibri" w:hAnsi="Calibri" w:cs="Calibri"/>
          <w:color w:val="000000" w:themeColor="text1"/>
        </w:rPr>
        <w:t>collect identical information to the EIA-112, but even in those cases, observed differences between the state data and the pilot data necessitate further investigation.</w:t>
      </w:r>
      <w:r>
        <w:rPr>
          <w:rFonts w:ascii="Calibri" w:eastAsia="Calibri" w:hAnsi="Calibri" w:cs="Calibri"/>
          <w:color w:val="000000" w:themeColor="text1"/>
        </w:rPr>
        <w:t xml:space="preserve">  Below is a table that displays the coverage and frequency of utility commission data by state.  </w:t>
      </w:r>
    </w:p>
    <w:p w:rsidR="00FC6C1A" w:rsidRPr="00FC6C1A" w:rsidP="00FC6C1A" w14:paraId="568A99E6" w14:textId="0AAAADA3">
      <w:pPr>
        <w:spacing w:after="0" w:line="240" w:lineRule="auto"/>
        <w:textAlignment w:val="baseline"/>
        <w:rPr>
          <w:rFonts w:ascii="Segoe UI" w:eastAsia="Times New Roman" w:hAnsi="Segoe UI" w:cs="Segoe UI"/>
          <w:b/>
          <w:bCs/>
          <w:color w:val="000000"/>
          <w:kern w:val="0"/>
          <w:sz w:val="18"/>
          <w:szCs w:val="18"/>
          <w14:ligatures w14:val="none"/>
        </w:rPr>
      </w:pPr>
      <w:r w:rsidRPr="00FC6C1A">
        <w:rPr>
          <w:rFonts w:ascii="Calibri" w:eastAsia="Times New Roman" w:hAnsi="Calibri" w:cs="Calibri"/>
          <w:b/>
          <w:bCs/>
          <w:color w:val="000000"/>
          <w:kern w:val="0"/>
          <w14:ligatures w14:val="none"/>
        </w:rPr>
        <w:t xml:space="preserve">Table </w:t>
      </w:r>
      <w:r>
        <w:rPr>
          <w:rFonts w:ascii="Calibri" w:eastAsia="Times New Roman" w:hAnsi="Calibri" w:cs="Calibri"/>
          <w:b/>
          <w:bCs/>
          <w:color w:val="000000"/>
          <w:kern w:val="0"/>
          <w14:ligatures w14:val="none"/>
        </w:rPr>
        <w:t>1</w:t>
      </w:r>
      <w:r w:rsidRPr="00FC6C1A">
        <w:rPr>
          <w:rFonts w:ascii="Calibri" w:eastAsia="Times New Roman" w:hAnsi="Calibri" w:cs="Calibri"/>
          <w:b/>
          <w:bCs/>
          <w:color w:val="000000"/>
          <w:kern w:val="0"/>
          <w14:ligatures w14:val="none"/>
        </w:rPr>
        <w:t>. Coverage and Frequency of PUC Data by State </w:t>
      </w:r>
    </w:p>
    <w:p w:rsidR="00BE363A" w:rsidP="019EC3E5" w14:paraId="21499282" w14:textId="1E863B8E">
      <w:pPr>
        <w:rPr>
          <w:rStyle w:val="normaltextrun"/>
          <w:rFonts w:ascii="Calibri" w:hAnsi="Calibri" w:cs="Calibri"/>
          <w:color w:val="000000"/>
          <w:shd w:val="clear" w:color="auto" w:fill="FFFFFF"/>
        </w:rPr>
      </w:pPr>
      <w:r>
        <w:rPr>
          <w:noProof/>
        </w:rPr>
        <w:drawing>
          <wp:inline distT="0" distB="0" distL="0" distR="0">
            <wp:extent cx="5691667" cy="4676775"/>
            <wp:effectExtent l="0" t="0" r="4445" b="0"/>
            <wp:docPr id="211493254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32542" name="Picture 1" descr="Table&#10;&#10;Description automatically generated"/>
                    <pic:cNvPicPr/>
                  </pic:nvPicPr>
                  <pic:blipFill>
                    <a:blip xmlns:r="http://schemas.openxmlformats.org/officeDocument/2006/relationships" r:embed="rId14"/>
                    <a:stretch>
                      <a:fillRect/>
                    </a:stretch>
                  </pic:blipFill>
                  <pic:spPr>
                    <a:xfrm>
                      <a:off x="0" y="0"/>
                      <a:ext cx="5696662" cy="4680879"/>
                    </a:xfrm>
                    <a:prstGeom prst="rect">
                      <a:avLst/>
                    </a:prstGeom>
                    <a:ln>
                      <a:noFill/>
                    </a:ln>
                  </pic:spPr>
                </pic:pic>
              </a:graphicData>
            </a:graphic>
          </wp:inline>
        </w:drawing>
      </w:r>
    </w:p>
    <w:p w:rsidR="00BE363A" w:rsidP="00BE363A" w14:paraId="186A5362" w14:textId="3FCAC0D6">
      <w:pPr>
        <w:spacing w:after="0" w:line="240" w:lineRule="auto"/>
        <w:textAlignment w:val="baseline"/>
        <w:rPr>
          <w:rStyle w:val="normaltextrun"/>
          <w:rFonts w:ascii="Calibri" w:hAnsi="Calibri" w:cs="Calibri"/>
          <w:color w:val="000000"/>
          <w:shd w:val="clear" w:color="auto" w:fill="FFFFFF"/>
        </w:rPr>
      </w:pPr>
      <w:r w:rsidRPr="00FC6C1A">
        <w:rPr>
          <w:rFonts w:ascii="Calibri" w:eastAsia="Times New Roman" w:hAnsi="Calibri" w:cs="Calibri"/>
          <w:color w:val="000000"/>
          <w:kern w:val="0"/>
          <w:sz w:val="18"/>
          <w:szCs w:val="18"/>
          <w14:ligatures w14:val="none"/>
        </w:rPr>
        <w:t>Note: Coverages are based on reports for the month of October 2023. All regions listed had current information available as of May 2024, except for Ohio, where the most recent data (May 2023) was used instead. </w:t>
      </w:r>
    </w:p>
    <w:p w:rsidR="00074026" w:rsidP="019EC3E5" w14:paraId="6ABB7E4E" w14:textId="0006D5ED">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We investigated which of these state reports, if any, could serve as an alternative to an independent federal collection designed to provide a national accounting of disconnections, reconnections, and final notices. We have discovered inconsistencies in reporting conventions, frequency, time lag, comprehensiveness, and sector specification (Table 2).</w:t>
      </w:r>
      <w:r>
        <w:rPr>
          <w:rStyle w:val="eop"/>
          <w:rFonts w:ascii="Calibri" w:hAnsi="Calibri" w:cs="Calibri"/>
          <w:color w:val="000000"/>
          <w:shd w:val="clear" w:color="auto" w:fill="FFFFFF"/>
        </w:rPr>
        <w:t> </w:t>
      </w:r>
    </w:p>
    <w:p w:rsidR="00EE54E8" w:rsidRPr="00EE54E8" w:rsidP="00EE54E8" w14:paraId="0F2CC06C" w14:textId="1D741E52">
      <w:pPr>
        <w:spacing w:after="0" w:line="240" w:lineRule="auto"/>
        <w:textAlignment w:val="baseline"/>
        <w:rPr>
          <w:rFonts w:ascii="Segoe UI" w:eastAsia="Times New Roman" w:hAnsi="Segoe UI" w:cs="Segoe UI"/>
          <w:b/>
          <w:bCs/>
          <w:color w:val="000000"/>
          <w:kern w:val="0"/>
          <w:sz w:val="18"/>
          <w:szCs w:val="18"/>
          <w14:ligatures w14:val="none"/>
        </w:rPr>
      </w:pPr>
      <w:r w:rsidRPr="00EE54E8">
        <w:rPr>
          <w:rFonts w:ascii="Calibri" w:eastAsia="Times New Roman" w:hAnsi="Calibri" w:cs="Calibri"/>
          <w:b/>
          <w:bCs/>
          <w:color w:val="000000"/>
          <w:kern w:val="0"/>
          <w14:ligatures w14:val="none"/>
        </w:rPr>
        <w:t xml:space="preserve">Table </w:t>
      </w:r>
      <w:r>
        <w:rPr>
          <w:rFonts w:ascii="Calibri" w:eastAsia="Times New Roman" w:hAnsi="Calibri" w:cs="Calibri"/>
          <w:b/>
          <w:bCs/>
          <w:color w:val="000000"/>
          <w:kern w:val="0"/>
          <w14:ligatures w14:val="none"/>
        </w:rPr>
        <w:t>2</w:t>
      </w:r>
      <w:r w:rsidRPr="00EE54E8">
        <w:rPr>
          <w:rFonts w:ascii="Calibri" w:eastAsia="Times New Roman" w:hAnsi="Calibri" w:cs="Calibri"/>
          <w:b/>
          <w:bCs/>
          <w:color w:val="000000"/>
          <w:kern w:val="0"/>
          <w14:ligatures w14:val="none"/>
        </w:rPr>
        <w:t>. Item Coverage of PUC Data by State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
        <w:gridCol w:w="1455"/>
        <w:gridCol w:w="525"/>
        <w:gridCol w:w="945"/>
        <w:gridCol w:w="240"/>
        <w:gridCol w:w="1230"/>
        <w:gridCol w:w="240"/>
        <w:gridCol w:w="1230"/>
        <w:gridCol w:w="105"/>
        <w:gridCol w:w="1365"/>
        <w:gridCol w:w="1470"/>
        <w:gridCol w:w="60"/>
        <w:gridCol w:w="424"/>
      </w:tblGrid>
      <w:tr w14:paraId="527546B9" w14:textId="77777777" w:rsidTr="00EE54E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2"/>
          <w:wAfter w:w="484" w:type="dxa"/>
          <w:trHeight w:val="300"/>
        </w:trPr>
        <w:tc>
          <w:tcPr>
            <w:tcW w:w="1470" w:type="dxa"/>
            <w:gridSpan w:val="2"/>
            <w:tcBorders>
              <w:top w:val="nil"/>
              <w:left w:val="nil"/>
              <w:bottom w:val="single" w:sz="18" w:space="0" w:color="0096D7"/>
              <w:right w:val="nil"/>
            </w:tcBorders>
            <w:shd w:val="clear" w:color="auto" w:fill="auto"/>
            <w:hideMark/>
          </w:tcPr>
          <w:p w:rsidR="00EE54E8" w:rsidRPr="00EE54E8" w:rsidP="00EE54E8" w14:paraId="42DE985F"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Region </w:t>
            </w:r>
          </w:p>
        </w:tc>
        <w:tc>
          <w:tcPr>
            <w:tcW w:w="1470" w:type="dxa"/>
            <w:gridSpan w:val="2"/>
            <w:tcBorders>
              <w:top w:val="nil"/>
              <w:left w:val="nil"/>
              <w:bottom w:val="single" w:sz="18" w:space="0" w:color="0096D7"/>
              <w:right w:val="nil"/>
            </w:tcBorders>
            <w:shd w:val="clear" w:color="auto" w:fill="auto"/>
            <w:hideMark/>
          </w:tcPr>
          <w:p w:rsidR="00EE54E8" w:rsidRPr="00EE54E8" w:rsidP="00EE54E8" w14:paraId="708843A2"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Electricity and Natural Gas Reported Separately Y/N </w:t>
            </w:r>
          </w:p>
        </w:tc>
        <w:tc>
          <w:tcPr>
            <w:tcW w:w="1470" w:type="dxa"/>
            <w:gridSpan w:val="2"/>
            <w:tcBorders>
              <w:top w:val="nil"/>
              <w:left w:val="nil"/>
              <w:bottom w:val="single" w:sz="18" w:space="0" w:color="0096D7"/>
              <w:right w:val="nil"/>
            </w:tcBorders>
            <w:shd w:val="clear" w:color="auto" w:fill="auto"/>
            <w:hideMark/>
          </w:tcPr>
          <w:p w:rsidR="00EE54E8" w:rsidRPr="00EE54E8" w:rsidP="00EE54E8" w14:paraId="369796DD"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Sector </w:t>
            </w:r>
          </w:p>
        </w:tc>
        <w:tc>
          <w:tcPr>
            <w:tcW w:w="1470" w:type="dxa"/>
            <w:gridSpan w:val="2"/>
            <w:tcBorders>
              <w:top w:val="nil"/>
              <w:left w:val="nil"/>
              <w:bottom w:val="single" w:sz="18" w:space="0" w:color="0096D7"/>
              <w:right w:val="nil"/>
            </w:tcBorders>
            <w:shd w:val="clear" w:color="auto" w:fill="auto"/>
            <w:hideMark/>
          </w:tcPr>
          <w:p w:rsidR="00EE54E8" w:rsidRPr="00EE54E8" w:rsidP="00EE54E8" w14:paraId="70835D3F"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Disconnects </w:t>
            </w:r>
          </w:p>
        </w:tc>
        <w:tc>
          <w:tcPr>
            <w:tcW w:w="1470" w:type="dxa"/>
            <w:gridSpan w:val="2"/>
            <w:tcBorders>
              <w:top w:val="nil"/>
              <w:left w:val="nil"/>
              <w:bottom w:val="single" w:sz="18" w:space="0" w:color="0096D7"/>
              <w:right w:val="nil"/>
            </w:tcBorders>
            <w:shd w:val="clear" w:color="auto" w:fill="auto"/>
            <w:hideMark/>
          </w:tcPr>
          <w:p w:rsidR="00EE54E8" w:rsidRPr="00EE54E8" w:rsidP="00EE54E8" w14:paraId="7A9D263B"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Reconnects </w:t>
            </w:r>
          </w:p>
        </w:tc>
        <w:tc>
          <w:tcPr>
            <w:tcW w:w="1470" w:type="dxa"/>
            <w:tcBorders>
              <w:top w:val="nil"/>
              <w:left w:val="nil"/>
              <w:bottom w:val="single" w:sz="18" w:space="0" w:color="0096D7"/>
              <w:right w:val="nil"/>
            </w:tcBorders>
            <w:shd w:val="clear" w:color="auto" w:fill="auto"/>
            <w:hideMark/>
          </w:tcPr>
          <w:p w:rsidR="00EE54E8" w:rsidRPr="00EE54E8" w:rsidP="00EE54E8" w14:paraId="79D09872"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EE54E8">
              <w:rPr>
                <w:rFonts w:ascii="Calibri" w:eastAsia="Times New Roman" w:hAnsi="Calibri" w:cs="Calibri"/>
                <w:b/>
                <w:bCs/>
                <w:color w:val="000000"/>
                <w:kern w:val="0"/>
                <w:sz w:val="18"/>
                <w:szCs w:val="18"/>
                <w14:ligatures w14:val="none"/>
              </w:rPr>
              <w:t>Final Notices </w:t>
            </w:r>
          </w:p>
        </w:tc>
      </w:tr>
      <w:tr w14:paraId="7C379755" w14:textId="77777777" w:rsidTr="00EE54E8">
        <w:tblPrEx>
          <w:tblW w:w="0" w:type="dxa"/>
          <w:tblCellMar>
            <w:left w:w="0" w:type="dxa"/>
            <w:right w:w="0" w:type="dxa"/>
          </w:tblCellMar>
          <w:tblLook w:val="04A0"/>
        </w:tblPrEx>
        <w:trPr>
          <w:gridBefore w:val="1"/>
          <w:wBefore w:w="15" w:type="dxa"/>
          <w:trHeight w:val="360"/>
        </w:trPr>
        <w:tc>
          <w:tcPr>
            <w:tcW w:w="1980" w:type="dxa"/>
            <w:gridSpan w:val="2"/>
            <w:tcBorders>
              <w:top w:val="single" w:sz="6" w:space="0" w:color="BFBFBF"/>
              <w:left w:val="nil"/>
              <w:bottom w:val="dashed" w:sz="6" w:space="0" w:color="BFBFBF"/>
              <w:right w:val="nil"/>
            </w:tcBorders>
            <w:shd w:val="clear" w:color="auto" w:fill="auto"/>
            <w:vAlign w:val="bottom"/>
            <w:hideMark/>
          </w:tcPr>
          <w:p w:rsidR="00EE54E8" w:rsidRPr="00EE54E8" w:rsidP="00EE54E8" w14:paraId="7827040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CA </w:t>
            </w:r>
          </w:p>
        </w:tc>
        <w:tc>
          <w:tcPr>
            <w:tcW w:w="1185" w:type="dxa"/>
            <w:gridSpan w:val="2"/>
            <w:tcBorders>
              <w:top w:val="single" w:sz="6" w:space="0" w:color="BFBFBF"/>
              <w:left w:val="nil"/>
              <w:bottom w:val="dashed" w:sz="6" w:space="0" w:color="BFBFBF"/>
              <w:right w:val="nil"/>
            </w:tcBorders>
            <w:shd w:val="clear" w:color="auto" w:fill="auto"/>
            <w:vAlign w:val="bottom"/>
            <w:hideMark/>
          </w:tcPr>
          <w:p w:rsidR="00EE54E8" w:rsidRPr="00EE54E8" w:rsidP="00EE54E8" w14:paraId="0BD2F5D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single" w:sz="6" w:space="0" w:color="BFBFBF"/>
              <w:left w:val="nil"/>
              <w:bottom w:val="dashed" w:sz="6" w:space="0" w:color="BFBFBF"/>
              <w:right w:val="nil"/>
            </w:tcBorders>
            <w:shd w:val="clear" w:color="auto" w:fill="auto"/>
            <w:vAlign w:val="bottom"/>
            <w:hideMark/>
          </w:tcPr>
          <w:p w:rsidR="00EE54E8" w:rsidRPr="00EE54E8" w:rsidP="00EE54E8" w14:paraId="372EC713"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single" w:sz="6" w:space="0" w:color="BFBFBF"/>
              <w:left w:val="nil"/>
              <w:bottom w:val="dashed" w:sz="6" w:space="0" w:color="BFBFBF"/>
              <w:right w:val="nil"/>
            </w:tcBorders>
            <w:shd w:val="clear" w:color="auto" w:fill="auto"/>
            <w:vAlign w:val="bottom"/>
            <w:hideMark/>
          </w:tcPr>
          <w:p w:rsidR="00EE54E8" w:rsidRPr="00EE54E8" w:rsidP="00EE54E8" w14:paraId="1897E8B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but may be “currently experiencing disconnection” instead of “disconnected during month” </w:t>
            </w:r>
          </w:p>
        </w:tc>
        <w:tc>
          <w:tcPr>
            <w:tcW w:w="1335" w:type="dxa"/>
            <w:tcBorders>
              <w:top w:val="single" w:sz="6" w:space="0" w:color="BFBFBF"/>
              <w:left w:val="nil"/>
              <w:bottom w:val="dashed" w:sz="6" w:space="0" w:color="BFBFBF"/>
              <w:right w:val="nil"/>
            </w:tcBorders>
            <w:shd w:val="clear" w:color="auto" w:fill="auto"/>
            <w:vAlign w:val="bottom"/>
            <w:hideMark/>
          </w:tcPr>
          <w:p w:rsidR="00EE54E8" w:rsidRPr="00EE54E8" w:rsidP="00EE54E8" w14:paraId="16C6780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single" w:sz="6" w:space="0" w:color="BFBFBF"/>
              <w:left w:val="nil"/>
              <w:bottom w:val="dashed" w:sz="6" w:space="0" w:color="BFBFBF"/>
              <w:right w:val="nil"/>
            </w:tcBorders>
            <w:shd w:val="clear" w:color="auto" w:fill="auto"/>
            <w:vAlign w:val="bottom"/>
            <w:hideMark/>
          </w:tcPr>
          <w:p w:rsidR="00EE54E8" w:rsidRPr="00EE54E8" w:rsidP="00EE54E8" w14:paraId="56F7D1C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Gives 15-day and 48-hour notices, not clear if final </w:t>
            </w:r>
          </w:p>
        </w:tc>
      </w:tr>
      <w:tr w14:paraId="4702B26D" w14:textId="77777777" w:rsidTr="00EE54E8">
        <w:tblPrEx>
          <w:tblW w:w="0" w:type="dxa"/>
          <w:tblCellMar>
            <w:left w:w="0" w:type="dxa"/>
            <w:right w:w="0" w:type="dxa"/>
          </w:tblCellMar>
          <w:tblLook w:val="04A0"/>
        </w:tblPrEx>
        <w:trPr>
          <w:gridBefore w:val="1"/>
          <w:wBefore w:w="15" w:type="dxa"/>
          <w:trHeight w:val="405"/>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BB5822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DC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D4DF55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2CA043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0B10845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13B155E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153901B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6DC6355A"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D83D23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CO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5257BC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A0A404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651E753"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5F241FB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07E16AA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746ECE16" w14:textId="77777777" w:rsidTr="00EE54E8">
        <w:tblPrEx>
          <w:tblW w:w="0" w:type="dxa"/>
          <w:tblCellMar>
            <w:left w:w="0" w:type="dxa"/>
            <w:right w:w="0" w:type="dxa"/>
          </w:tblCellMar>
          <w:tblLook w:val="04A0"/>
        </w:tblPrEx>
        <w:trPr>
          <w:gridBefore w:val="1"/>
          <w:wBefore w:w="15" w:type="dxa"/>
          <w:trHeight w:val="495"/>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7F9BAF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GA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286D744"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9FD52B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65B695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3BE4D1D3"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54524D5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r>
      <w:tr w14:paraId="29DA20AC"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9E5120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HI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3F0C5D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06E2D79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776B4A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2FFDF00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3BEDB8D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66279491"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024424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IA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A0F3E7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5DC1633"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74C7A9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2C06F6E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223BAB4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255B7F73" w14:textId="77777777" w:rsidTr="00EE54E8">
        <w:tblPrEx>
          <w:tblW w:w="0" w:type="dxa"/>
          <w:tblCellMar>
            <w:left w:w="0" w:type="dxa"/>
            <w:right w:w="0" w:type="dxa"/>
          </w:tblCellMar>
          <w:tblLook w:val="04A0"/>
        </w:tblPrEx>
        <w:trPr>
          <w:gridBefore w:val="1"/>
          <w:wBefore w:w="15" w:type="dxa"/>
          <w:trHeight w:val="30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77B789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IN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6CDDA4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23B89B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11F2D0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340FA044"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not for small companies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56841D0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not for small companies </w:t>
            </w:r>
          </w:p>
        </w:tc>
      </w:tr>
      <w:tr w14:paraId="59103A3B"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2351EB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MA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0AE743D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52188C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288608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54EC0404"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7D62F9A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r>
      <w:tr w14:paraId="06752F38"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E96DD0C"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MD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CAAF99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636D73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0EB81B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05DC4BC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6F540C9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7EE2083D"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8A129C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MI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9CC4DC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DD06B4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FB0BEDC" w14:textId="17BEBD8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w:t>
            </w:r>
            <w:r w:rsidRPr="00EE54E8" w:rsidR="004E66DD">
              <w:rPr>
                <w:rFonts w:ascii="Calibri" w:eastAsia="Times New Roman" w:hAnsi="Calibri" w:cs="Calibri"/>
                <w:b/>
                <w:bCs/>
                <w:color w:val="000000"/>
                <w:kern w:val="0"/>
                <w:sz w:val="18"/>
                <w:szCs w:val="18"/>
                <w14:ligatures w14:val="none"/>
              </w:rPr>
              <w:t>Currently</w:t>
            </w:r>
            <w:r w:rsidRPr="00EE54E8">
              <w:rPr>
                <w:rFonts w:ascii="Calibri" w:eastAsia="Times New Roman" w:hAnsi="Calibri" w:cs="Calibri"/>
                <w:b/>
                <w:bCs/>
                <w:color w:val="000000"/>
                <w:kern w:val="0"/>
                <w:sz w:val="18"/>
                <w:szCs w:val="18"/>
                <w14:ligatures w14:val="none"/>
              </w:rPr>
              <w:t xml:space="preserve"> </w:t>
            </w:r>
            <w:r w:rsidRPr="00EE54E8" w:rsidR="004E66DD">
              <w:rPr>
                <w:rFonts w:ascii="Calibri" w:eastAsia="Times New Roman" w:hAnsi="Calibri" w:cs="Calibri"/>
                <w:b/>
                <w:bCs/>
                <w:color w:val="000000"/>
                <w:kern w:val="0"/>
                <w:sz w:val="18"/>
                <w:szCs w:val="18"/>
                <w14:ligatures w14:val="none"/>
              </w:rPr>
              <w:t>experiencing” instead</w:t>
            </w:r>
            <w:r w:rsidRPr="00EE54E8">
              <w:rPr>
                <w:rFonts w:ascii="Calibri" w:eastAsia="Times New Roman" w:hAnsi="Calibri" w:cs="Calibri"/>
                <w:b/>
                <w:bCs/>
                <w:color w:val="000000"/>
                <w:kern w:val="0"/>
                <w:sz w:val="18"/>
                <w:szCs w:val="18"/>
                <w14:ligatures w14:val="none"/>
              </w:rPr>
              <w:t xml:space="preserve"> of “disconnected during month”</w:t>
            </w:r>
            <w:r w:rsidRPr="00EE54E8">
              <w:rPr>
                <w:rFonts w:ascii="Calibri" w:eastAsia="Times New Roman" w:hAnsi="Calibri" w:cs="Calibri"/>
                <w:color w:val="000000"/>
                <w:kern w:val="0"/>
                <w:sz w:val="18"/>
                <w:szCs w:val="18"/>
                <w14:ligatures w14:val="none"/>
              </w:rPr>
              <w:t>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6A96FB2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3D2CE88C"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38CD09E1"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063140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MN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403505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E2DFB9C"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51A7FF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24ACF18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19BB12C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257004E3" w14:textId="77777777" w:rsidTr="00EE54E8">
        <w:tblPrEx>
          <w:tblW w:w="0" w:type="dxa"/>
          <w:tblCellMar>
            <w:left w:w="0" w:type="dxa"/>
            <w:right w:w="0" w:type="dxa"/>
          </w:tblCellMar>
          <w:tblLook w:val="04A0"/>
        </w:tblPrEx>
        <w:trPr>
          <w:gridBefore w:val="1"/>
          <w:wBefore w:w="15" w:type="dxa"/>
          <w:trHeight w:val="30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D00DA8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NC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4CD169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AE83749"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99DA73C"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1025A01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0E7B261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63EA9B1F"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578407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ND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014E2AC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ECC5024"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F2B36D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67E4B40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4BDC77B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274B92ED"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A4DF21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NY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B4C4F0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9811CC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093AF37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3599D90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6A284E2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2916CB01"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95056A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OH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3A1831BC"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D38CB9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6E66474"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1FA8636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19FA0EC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70194B3C" w14:textId="77777777" w:rsidTr="00EE54E8">
        <w:tblPrEx>
          <w:tblW w:w="0" w:type="dxa"/>
          <w:tblCellMar>
            <w:left w:w="0" w:type="dxa"/>
            <w:right w:w="0" w:type="dxa"/>
          </w:tblCellMar>
          <w:tblLook w:val="04A0"/>
        </w:tblPrEx>
        <w:trPr>
          <w:gridBefore w:val="1"/>
          <w:wBefore w:w="15" w:type="dxa"/>
          <w:trHeight w:val="30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A76BAD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OR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7EB471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812130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8716BD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324388C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but only within 7 days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63E1FFA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14070EBB"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15682506"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SC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761242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4B3F4B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6C0959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653835D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3875A35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r>
      <w:tr w14:paraId="57FDE861"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DCCC72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UT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4018F0A"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AD96B5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Unspecified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1F7DA5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4C8057D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b/>
                <w:bCs/>
                <w:color w:val="000000"/>
                <w:kern w:val="0"/>
                <w:sz w:val="18"/>
                <w:szCs w:val="18"/>
                <w14:ligatures w14:val="none"/>
              </w:rPr>
              <w:t>No</w:t>
            </w:r>
            <w:r w:rsidRPr="00EE54E8">
              <w:rPr>
                <w:rFonts w:ascii="Calibri" w:eastAsia="Times New Roman" w:hAnsi="Calibri" w:cs="Calibri"/>
                <w:color w:val="000000"/>
                <w:kern w:val="0"/>
                <w:sz w:val="18"/>
                <w:szCs w:val="18"/>
                <w14:ligatures w14:val="none"/>
              </w:rPr>
              <w:t>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72B65593"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2BDFF039"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2C8B45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VT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28BC5FE7"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NA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5DB7EE05"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Unspecified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4330C22"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656557C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but only within 15 days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7BE56EFE"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w:t>
            </w:r>
          </w:p>
        </w:tc>
      </w:tr>
      <w:tr w14:paraId="40968DD7" w14:textId="77777777" w:rsidTr="00EE54E8">
        <w:tblPrEx>
          <w:tblW w:w="0" w:type="dxa"/>
          <w:tblCellMar>
            <w:left w:w="0" w:type="dxa"/>
            <w:right w:w="0" w:type="dxa"/>
          </w:tblCellMar>
          <w:tblLook w:val="04A0"/>
        </w:tblPrEx>
        <w:trPr>
          <w:gridBefore w:val="1"/>
          <w:wBefore w:w="15" w:type="dxa"/>
          <w:trHeight w:val="270"/>
        </w:trPr>
        <w:tc>
          <w:tcPr>
            <w:tcW w:w="198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90F8E8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WA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74DC9AE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4E2E738B"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Residential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EE54E8" w:rsidRPr="00EE54E8" w:rsidP="00EE54E8" w14:paraId="67137230"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Yes, doesn’t specify nonpayment. </w:t>
            </w:r>
          </w:p>
        </w:tc>
        <w:tc>
          <w:tcPr>
            <w:tcW w:w="1335" w:type="dxa"/>
            <w:tcBorders>
              <w:top w:val="dashed" w:sz="6" w:space="0" w:color="BFBFBF"/>
              <w:left w:val="nil"/>
              <w:bottom w:val="dashed" w:sz="6" w:space="0" w:color="BFBFBF"/>
              <w:right w:val="nil"/>
            </w:tcBorders>
            <w:shd w:val="clear" w:color="auto" w:fill="auto"/>
            <w:vAlign w:val="bottom"/>
            <w:hideMark/>
          </w:tcPr>
          <w:p w:rsidR="00EE54E8" w:rsidRPr="00EE54E8" w:rsidP="00EE54E8" w14:paraId="70107B5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c>
          <w:tcPr>
            <w:tcW w:w="1650" w:type="dxa"/>
            <w:gridSpan w:val="3"/>
            <w:tcBorders>
              <w:top w:val="dashed" w:sz="6" w:space="0" w:color="BFBFBF"/>
              <w:left w:val="nil"/>
              <w:bottom w:val="dashed" w:sz="6" w:space="0" w:color="BFBFBF"/>
              <w:right w:val="nil"/>
            </w:tcBorders>
            <w:shd w:val="clear" w:color="auto" w:fill="auto"/>
            <w:vAlign w:val="bottom"/>
            <w:hideMark/>
          </w:tcPr>
          <w:p w:rsidR="00EE54E8" w:rsidRPr="00EE54E8" w:rsidP="00EE54E8" w14:paraId="4358CBFD"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Sometimes </w:t>
            </w:r>
          </w:p>
        </w:tc>
      </w:tr>
      <w:tr w14:paraId="189D18CD" w14:textId="77777777" w:rsidTr="00EE54E8">
        <w:tblPrEx>
          <w:tblW w:w="0" w:type="dxa"/>
          <w:tblCellMar>
            <w:left w:w="0" w:type="dxa"/>
            <w:right w:w="0" w:type="dxa"/>
          </w:tblCellMar>
          <w:tblLook w:val="04A0"/>
        </w:tblPrEx>
        <w:trPr>
          <w:gridBefore w:val="1"/>
          <w:wBefore w:w="15" w:type="dxa"/>
          <w:trHeight w:val="300"/>
        </w:trPr>
        <w:tc>
          <w:tcPr>
            <w:tcW w:w="8865" w:type="dxa"/>
            <w:gridSpan w:val="11"/>
            <w:tcBorders>
              <w:top w:val="dashed" w:sz="6" w:space="0" w:color="BFBFBF"/>
              <w:left w:val="nil"/>
              <w:bottom w:val="nil"/>
              <w:right w:val="nil"/>
            </w:tcBorders>
            <w:shd w:val="clear" w:color="auto" w:fill="auto"/>
            <w:hideMark/>
          </w:tcPr>
          <w:p w:rsidR="00EE54E8" w:rsidRPr="00EE54E8" w:rsidP="00EE54E8" w14:paraId="6ACC3E48"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 </w:t>
            </w:r>
          </w:p>
          <w:p w:rsidR="00EE54E8" w:rsidRPr="00EE54E8" w:rsidP="00EE54E8" w14:paraId="387E2D71"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 </w:t>
            </w:r>
          </w:p>
          <w:p w:rsidR="00EE54E8" w:rsidRPr="00EE54E8" w:rsidP="00EE54E8" w14:paraId="5BA2276F" w14:textId="77777777">
            <w:pPr>
              <w:spacing w:after="0" w:line="240" w:lineRule="auto"/>
              <w:textAlignment w:val="baseline"/>
              <w:rPr>
                <w:rFonts w:ascii="Times New Roman" w:eastAsia="Times New Roman" w:hAnsi="Times New Roman" w:cs="Times New Roman"/>
                <w:kern w:val="0"/>
                <w:sz w:val="24"/>
                <w:szCs w:val="24"/>
                <w14:ligatures w14:val="none"/>
              </w:rPr>
            </w:pPr>
            <w:r w:rsidRPr="00EE54E8">
              <w:rPr>
                <w:rFonts w:ascii="Calibri" w:eastAsia="Times New Roman" w:hAnsi="Calibri" w:cs="Calibri"/>
                <w:color w:val="000000"/>
                <w:kern w:val="0"/>
                <w:sz w:val="18"/>
                <w:szCs w:val="18"/>
                <w14:ligatures w14:val="none"/>
              </w:rPr>
              <w:t>Note: Coverages are based on reports for the month of October 2023. All regions listed had current information available as of May 2024, except for Ohio, where the most recent data (May 2023) was used instead. NA = Not Applicable due to only single service utilities reporting. </w:t>
            </w:r>
          </w:p>
        </w:tc>
        <w:tc>
          <w:tcPr>
            <w:tcW w:w="0" w:type="auto"/>
            <w:shd w:val="clear" w:color="auto" w:fill="auto"/>
            <w:vAlign w:val="center"/>
            <w:hideMark/>
          </w:tcPr>
          <w:p w:rsidR="00EE54E8" w:rsidRPr="00EE54E8" w:rsidP="00EE54E8" w14:paraId="76CFAFED" w14:textId="77777777">
            <w:pPr>
              <w:spacing w:after="0" w:line="240" w:lineRule="auto"/>
              <w:rPr>
                <w:rFonts w:ascii="Times New Roman" w:eastAsia="Times New Roman" w:hAnsi="Times New Roman" w:cs="Times New Roman"/>
                <w:kern w:val="0"/>
                <w:sz w:val="20"/>
                <w:szCs w:val="20"/>
                <w14:ligatures w14:val="none"/>
              </w:rPr>
            </w:pPr>
          </w:p>
        </w:tc>
      </w:tr>
    </w:tbl>
    <w:p w:rsidR="44070751" w:rsidP="019EC3E5" w14:paraId="349DF8AA" w14:textId="6E6A1BB5">
      <w:pPr>
        <w:rPr>
          <w:rFonts w:ascii="Calibri" w:eastAsia="Calibri" w:hAnsi="Calibri" w:cs="Calibri"/>
          <w:color w:val="000000" w:themeColor="text1"/>
        </w:rPr>
      </w:pPr>
      <w:r w:rsidRPr="019EC3E5">
        <w:rPr>
          <w:rFonts w:ascii="Calibri" w:eastAsia="Calibri" w:hAnsi="Calibri" w:cs="Calibri"/>
          <w:color w:val="000000" w:themeColor="text1"/>
        </w:rPr>
        <w:t>Some states collect the information monthly, and others collect it quarterly or annually. Our review of state utility websites identified 11 states (and Washington, DC, for a total of 12 regions) as currently requiring monthly reports, and we found an additional 8 states that require quarterly or annual submissions. No PUC data are available for the remaining 31 states.</w:t>
      </w:r>
      <w:r w:rsidR="00B90CD0">
        <w:rPr>
          <w:rFonts w:ascii="Calibri" w:eastAsia="Calibri" w:hAnsi="Calibri" w:cs="Calibri"/>
          <w:color w:val="000000" w:themeColor="text1"/>
        </w:rPr>
        <w:t xml:space="preserve">  </w:t>
      </w:r>
      <w:r w:rsidR="00B90CD0">
        <w:rPr>
          <w:rStyle w:val="normaltextrun"/>
          <w:rFonts w:ascii="Calibri" w:hAnsi="Calibri" w:cs="Calibri"/>
          <w:color w:val="000000"/>
          <w:shd w:val="clear" w:color="auto" w:fill="FFFFFF"/>
        </w:rPr>
        <w:t>To provide further insight into the potential suitability of these data, the values reported to EIA in the pilot survey were compared to those reported to the states for the handful of entities that happened to report to both collections. After review, differences in reporting conventions did not appear to be the cause of these discrepancies. Even though many of these regions provide a joint disconnection number while the pilot split disconnections out between electricity and natural gas, the companies reporting were typically single service.</w:t>
      </w:r>
      <w:r w:rsidR="0065300A">
        <w:rPr>
          <w:rStyle w:val="normaltextrun"/>
          <w:rFonts w:ascii="Calibri" w:hAnsi="Calibri" w:cs="Calibri"/>
          <w:color w:val="000000"/>
          <w:shd w:val="clear" w:color="auto" w:fill="FFFFFF"/>
        </w:rPr>
        <w:t xml:space="preserve">  These data are displayed in Table 3.</w:t>
      </w:r>
      <w:r w:rsidR="0065300A">
        <w:rPr>
          <w:rStyle w:val="normaltextrun"/>
          <w:rFonts w:ascii="Calibri" w:hAnsi="Calibri" w:cs="Calibri"/>
          <w:color w:val="000000"/>
          <w:shd w:val="clear" w:color="auto" w:fill="FFFFFF"/>
        </w:rPr>
        <w:tab/>
      </w:r>
    </w:p>
    <w:p w:rsidR="003363AF" w:rsidRPr="003363AF" w:rsidP="003363AF" w14:paraId="78E7E1B5" w14:textId="77777777">
      <w:pPr>
        <w:spacing w:after="0" w:line="240" w:lineRule="auto"/>
        <w:textAlignment w:val="baseline"/>
        <w:rPr>
          <w:rFonts w:ascii="Segoe UI" w:eastAsia="Times New Roman" w:hAnsi="Segoe UI" w:cs="Segoe UI"/>
          <w:kern w:val="0"/>
          <w:sz w:val="18"/>
          <w:szCs w:val="18"/>
          <w14:ligatures w14:val="none"/>
        </w:rPr>
      </w:pPr>
      <w:r w:rsidRPr="003363AF">
        <w:rPr>
          <w:rFonts w:ascii="Calibri" w:eastAsia="Times New Roman" w:hAnsi="Calibri" w:cs="Calibri"/>
          <w:kern w:val="0"/>
          <w14:ligatures w14:val="none"/>
        </w:rPr>
        <w:t> </w:t>
      </w:r>
    </w:p>
    <w:p w:rsidR="003363AF" w:rsidRPr="003363AF" w:rsidP="003363AF" w14:paraId="72CAD550" w14:textId="59E7D668">
      <w:pPr>
        <w:spacing w:after="0" w:line="240" w:lineRule="auto"/>
        <w:textAlignment w:val="baseline"/>
        <w:rPr>
          <w:rFonts w:ascii="Segoe UI" w:eastAsia="Times New Roman" w:hAnsi="Segoe UI" w:cs="Segoe UI"/>
          <w:b/>
          <w:bCs/>
          <w:color w:val="000000"/>
          <w:kern w:val="0"/>
          <w:sz w:val="18"/>
          <w:szCs w:val="18"/>
          <w14:ligatures w14:val="none"/>
        </w:rPr>
      </w:pPr>
      <w:r w:rsidRPr="003363AF">
        <w:rPr>
          <w:rFonts w:ascii="Calibri" w:eastAsia="Times New Roman" w:hAnsi="Calibri" w:cs="Calibri"/>
          <w:b/>
          <w:bCs/>
          <w:color w:val="000000"/>
          <w:kern w:val="0"/>
          <w14:ligatures w14:val="none"/>
        </w:rPr>
        <w:t xml:space="preserve">Table </w:t>
      </w:r>
      <w:r>
        <w:rPr>
          <w:rFonts w:ascii="Calibri" w:eastAsia="Times New Roman" w:hAnsi="Calibri" w:cs="Calibri"/>
          <w:b/>
          <w:bCs/>
          <w:color w:val="000000"/>
          <w:kern w:val="0"/>
          <w14:ligatures w14:val="none"/>
        </w:rPr>
        <w:t>3</w:t>
      </w:r>
      <w:r w:rsidRPr="003363AF">
        <w:rPr>
          <w:rFonts w:ascii="Calibri" w:eastAsia="Times New Roman" w:hAnsi="Calibri" w:cs="Calibri"/>
          <w:b/>
          <w:bCs/>
          <w:color w:val="000000"/>
          <w:kern w:val="0"/>
          <w14:ligatures w14:val="none"/>
        </w:rPr>
        <w:t>. Discrepancies Between Pilot Survey Data and PUC Data by State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
        <w:gridCol w:w="1455"/>
        <w:gridCol w:w="540"/>
        <w:gridCol w:w="930"/>
        <w:gridCol w:w="255"/>
        <w:gridCol w:w="1215"/>
        <w:gridCol w:w="255"/>
        <w:gridCol w:w="1215"/>
        <w:gridCol w:w="120"/>
        <w:gridCol w:w="1350"/>
        <w:gridCol w:w="1425"/>
        <w:gridCol w:w="45"/>
      </w:tblGrid>
      <w:tr w14:paraId="71800568" w14:textId="77777777" w:rsidTr="003363A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470" w:type="dxa"/>
            <w:gridSpan w:val="2"/>
            <w:tcBorders>
              <w:top w:val="nil"/>
              <w:left w:val="nil"/>
              <w:bottom w:val="single" w:sz="18" w:space="0" w:color="0096D7"/>
              <w:right w:val="nil"/>
            </w:tcBorders>
            <w:shd w:val="clear" w:color="auto" w:fill="auto"/>
            <w:hideMark/>
          </w:tcPr>
          <w:p w:rsidR="003363AF" w:rsidRPr="003363AF" w:rsidP="003363AF" w14:paraId="6A6641F1"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Region </w:t>
            </w:r>
          </w:p>
        </w:tc>
        <w:tc>
          <w:tcPr>
            <w:tcW w:w="1470" w:type="dxa"/>
            <w:gridSpan w:val="2"/>
            <w:tcBorders>
              <w:top w:val="nil"/>
              <w:left w:val="nil"/>
              <w:bottom w:val="single" w:sz="18" w:space="0" w:color="0096D7"/>
              <w:right w:val="nil"/>
            </w:tcBorders>
            <w:shd w:val="clear" w:color="auto" w:fill="auto"/>
            <w:hideMark/>
          </w:tcPr>
          <w:p w:rsidR="003363AF" w:rsidRPr="003363AF" w:rsidP="003363AF" w14:paraId="6FFC9955"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Disconnections </w:t>
            </w:r>
          </w:p>
        </w:tc>
        <w:tc>
          <w:tcPr>
            <w:tcW w:w="1470" w:type="dxa"/>
            <w:gridSpan w:val="2"/>
            <w:tcBorders>
              <w:top w:val="nil"/>
              <w:left w:val="nil"/>
              <w:bottom w:val="single" w:sz="18" w:space="0" w:color="0096D7"/>
              <w:right w:val="nil"/>
            </w:tcBorders>
            <w:shd w:val="clear" w:color="auto" w:fill="auto"/>
            <w:hideMark/>
          </w:tcPr>
          <w:p w:rsidR="003363AF" w:rsidRPr="003363AF" w:rsidP="003363AF" w14:paraId="48934977"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Reconnections </w:t>
            </w:r>
          </w:p>
        </w:tc>
        <w:tc>
          <w:tcPr>
            <w:tcW w:w="1470" w:type="dxa"/>
            <w:gridSpan w:val="2"/>
            <w:tcBorders>
              <w:top w:val="nil"/>
              <w:left w:val="nil"/>
              <w:bottom w:val="single" w:sz="18" w:space="0" w:color="0096D7"/>
              <w:right w:val="nil"/>
            </w:tcBorders>
            <w:shd w:val="clear" w:color="auto" w:fill="auto"/>
            <w:hideMark/>
          </w:tcPr>
          <w:p w:rsidR="003363AF" w:rsidRPr="003363AF" w:rsidP="003363AF" w14:paraId="5576302C"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Final Notices </w:t>
            </w:r>
          </w:p>
        </w:tc>
        <w:tc>
          <w:tcPr>
            <w:tcW w:w="1470" w:type="dxa"/>
            <w:gridSpan w:val="2"/>
            <w:tcBorders>
              <w:top w:val="nil"/>
              <w:left w:val="nil"/>
              <w:bottom w:val="single" w:sz="18" w:space="0" w:color="0096D7"/>
              <w:right w:val="nil"/>
            </w:tcBorders>
            <w:shd w:val="clear" w:color="auto" w:fill="auto"/>
            <w:hideMark/>
          </w:tcPr>
          <w:p w:rsidR="003363AF" w:rsidRPr="003363AF" w:rsidP="003363AF" w14:paraId="3222EEF0"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Notes </w:t>
            </w:r>
          </w:p>
        </w:tc>
        <w:tc>
          <w:tcPr>
            <w:tcW w:w="1470" w:type="dxa"/>
            <w:gridSpan w:val="2"/>
            <w:tcBorders>
              <w:top w:val="nil"/>
              <w:left w:val="nil"/>
              <w:bottom w:val="single" w:sz="18" w:space="0" w:color="0096D7"/>
              <w:right w:val="nil"/>
            </w:tcBorders>
            <w:shd w:val="clear" w:color="auto" w:fill="auto"/>
            <w:hideMark/>
          </w:tcPr>
          <w:p w:rsidR="003363AF" w:rsidRPr="003363AF" w:rsidP="003363AF" w14:paraId="013536B2" w14:textId="77777777">
            <w:pPr>
              <w:spacing w:after="0" w:line="240" w:lineRule="auto"/>
              <w:textAlignment w:val="baseline"/>
              <w:rPr>
                <w:rFonts w:ascii="Times New Roman" w:eastAsia="Times New Roman" w:hAnsi="Times New Roman" w:cs="Times New Roman"/>
                <w:b/>
                <w:bCs/>
                <w:kern w:val="0"/>
                <w:sz w:val="24"/>
                <w:szCs w:val="24"/>
                <w14:ligatures w14:val="none"/>
              </w:rPr>
            </w:pPr>
            <w:r w:rsidRPr="003363AF">
              <w:rPr>
                <w:rFonts w:ascii="Calibri" w:eastAsia="Times New Roman" w:hAnsi="Calibri" w:cs="Calibri"/>
                <w:b/>
                <w:bCs/>
                <w:color w:val="000000"/>
                <w:kern w:val="0"/>
                <w:sz w:val="18"/>
                <w:szCs w:val="18"/>
                <w14:ligatures w14:val="none"/>
              </w:rPr>
              <w:t> </w:t>
            </w:r>
          </w:p>
        </w:tc>
      </w:tr>
      <w:tr w14:paraId="1EC62ED0" w14:textId="77777777" w:rsidTr="003363AF">
        <w:tblPrEx>
          <w:tblW w:w="0" w:type="dxa"/>
          <w:tblCellMar>
            <w:left w:w="0" w:type="dxa"/>
            <w:right w:w="0" w:type="dxa"/>
          </w:tblCellMar>
          <w:tblLook w:val="04A0"/>
        </w:tblPrEx>
        <w:trPr>
          <w:gridBefore w:val="1"/>
          <w:gridAfter w:val="1"/>
          <w:wBefore w:w="15" w:type="dxa"/>
          <w:wAfter w:w="45" w:type="dxa"/>
          <w:trHeight w:val="360"/>
        </w:trPr>
        <w:tc>
          <w:tcPr>
            <w:tcW w:w="1995" w:type="dxa"/>
            <w:gridSpan w:val="2"/>
            <w:tcBorders>
              <w:top w:val="single" w:sz="6" w:space="0" w:color="BFBFBF"/>
              <w:left w:val="nil"/>
              <w:bottom w:val="dashed" w:sz="6" w:space="0" w:color="BFBFBF"/>
              <w:right w:val="nil"/>
            </w:tcBorders>
            <w:shd w:val="clear" w:color="auto" w:fill="auto"/>
            <w:vAlign w:val="bottom"/>
            <w:hideMark/>
          </w:tcPr>
          <w:p w:rsidR="003363AF" w:rsidRPr="003363AF" w:rsidP="003363AF" w14:paraId="575C5035"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NY </w:t>
            </w:r>
          </w:p>
        </w:tc>
        <w:tc>
          <w:tcPr>
            <w:tcW w:w="1185" w:type="dxa"/>
            <w:gridSpan w:val="2"/>
            <w:tcBorders>
              <w:top w:val="single" w:sz="6" w:space="0" w:color="BFBFBF"/>
              <w:left w:val="nil"/>
              <w:bottom w:val="dashed" w:sz="6" w:space="0" w:color="BFBFBF"/>
              <w:right w:val="nil"/>
            </w:tcBorders>
            <w:shd w:val="clear" w:color="auto" w:fill="auto"/>
            <w:vAlign w:val="bottom"/>
            <w:hideMark/>
          </w:tcPr>
          <w:p w:rsidR="003363AF" w:rsidRPr="003363AF" w:rsidP="003363AF" w14:paraId="0B7DD627"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470" w:type="dxa"/>
            <w:gridSpan w:val="2"/>
            <w:tcBorders>
              <w:top w:val="single" w:sz="6" w:space="0" w:color="BFBFBF"/>
              <w:left w:val="nil"/>
              <w:bottom w:val="dashed" w:sz="6" w:space="0" w:color="BFBFBF"/>
              <w:right w:val="nil"/>
            </w:tcBorders>
            <w:shd w:val="clear" w:color="auto" w:fill="auto"/>
            <w:vAlign w:val="bottom"/>
            <w:hideMark/>
          </w:tcPr>
          <w:p w:rsidR="003363AF" w:rsidRPr="003363AF" w:rsidP="003363AF" w14:paraId="758D41EC"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335" w:type="dxa"/>
            <w:gridSpan w:val="2"/>
            <w:tcBorders>
              <w:top w:val="single" w:sz="6" w:space="0" w:color="BFBFBF"/>
              <w:left w:val="nil"/>
              <w:bottom w:val="dashed" w:sz="6" w:space="0" w:color="BFBFBF"/>
              <w:right w:val="nil"/>
            </w:tcBorders>
            <w:shd w:val="clear" w:color="auto" w:fill="auto"/>
            <w:vAlign w:val="bottom"/>
            <w:hideMark/>
          </w:tcPr>
          <w:p w:rsidR="003363AF" w:rsidRPr="003363AF" w:rsidP="003363AF" w14:paraId="4726FDEF"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2775" w:type="dxa"/>
            <w:gridSpan w:val="2"/>
            <w:tcBorders>
              <w:top w:val="single" w:sz="6" w:space="0" w:color="BFBFBF"/>
              <w:left w:val="nil"/>
              <w:bottom w:val="dashed" w:sz="6" w:space="0" w:color="BFBFBF"/>
              <w:right w:val="nil"/>
            </w:tcBorders>
            <w:shd w:val="clear" w:color="auto" w:fill="auto"/>
            <w:vAlign w:val="bottom"/>
            <w:hideMark/>
          </w:tcPr>
          <w:p w:rsidR="003363AF" w:rsidRPr="003363AF" w:rsidP="003363AF" w14:paraId="3DE895C3"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The large difference may be a reporting error by a single company. Other companies provide comparable reports. </w:t>
            </w:r>
          </w:p>
        </w:tc>
      </w:tr>
      <w:tr w14:paraId="784CAA45" w14:textId="77777777" w:rsidTr="003363AF">
        <w:tblPrEx>
          <w:tblW w:w="0" w:type="dxa"/>
          <w:tblCellMar>
            <w:left w:w="0" w:type="dxa"/>
            <w:right w:w="0" w:type="dxa"/>
          </w:tblCellMar>
          <w:tblLook w:val="04A0"/>
        </w:tblPrEx>
        <w:trPr>
          <w:gridBefore w:val="1"/>
          <w:gridAfter w:val="1"/>
          <w:wBefore w:w="15" w:type="dxa"/>
          <w:wAfter w:w="45" w:type="dxa"/>
          <w:trHeight w:val="405"/>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3FE944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DC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88BB39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275D0D2"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CD8D2C4"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2%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51A982C"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a single company. Would need follow up to understand the difference. </w:t>
            </w:r>
          </w:p>
        </w:tc>
      </w:tr>
      <w:tr w14:paraId="76668EC6"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02D148D"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MN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C7A25E3"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050C45F1"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4%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2E3E52C"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0%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BDBB2C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a single company. Would need follow up to understand the difference. </w:t>
            </w:r>
          </w:p>
        </w:tc>
      </w:tr>
      <w:tr w14:paraId="1C8FE8CE" w14:textId="77777777" w:rsidTr="003363AF">
        <w:tblPrEx>
          <w:tblW w:w="0" w:type="dxa"/>
          <w:tblCellMar>
            <w:left w:w="0" w:type="dxa"/>
            <w:right w:w="0" w:type="dxa"/>
          </w:tblCellMar>
          <w:tblLook w:val="04A0"/>
        </w:tblPrEx>
        <w:trPr>
          <w:gridBefore w:val="1"/>
          <w:gridAfter w:val="1"/>
          <w:wBefore w:w="15" w:type="dxa"/>
          <w:wAfter w:w="45" w:type="dxa"/>
          <w:trHeight w:val="495"/>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7804640"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MI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F13FD0F"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CE0134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9%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B512558"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6 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3129FF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a single company. Would need follow up to understand the difference, but likely due in part to difference in “Currently Experiencing Disconnection” versus “Disconnected in Month” report conventions. </w:t>
            </w:r>
          </w:p>
        </w:tc>
      </w:tr>
      <w:tr w14:paraId="664DEB66"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7E2D60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WA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43A281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62171E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C1C239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15%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1E8EC5F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There were three companies in common; one provided a report that didn’t match. Would need follow up to understand the difference. </w:t>
            </w:r>
          </w:p>
        </w:tc>
      </w:tr>
      <w:tr w14:paraId="5A1DF5D4"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64C9141"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IN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26D455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4%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50A6643"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B01E6A4"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&gt;20%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2F9F44C"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a single company. Would need follow up to understand the difference. </w:t>
            </w:r>
          </w:p>
        </w:tc>
      </w:tr>
      <w:tr w14:paraId="4AB6A6A3" w14:textId="77777777" w:rsidTr="003363AF">
        <w:tblPrEx>
          <w:tblW w:w="0" w:type="dxa"/>
          <w:tblCellMar>
            <w:left w:w="0" w:type="dxa"/>
            <w:right w:w="0" w:type="dxa"/>
          </w:tblCellMar>
          <w:tblLook w:val="04A0"/>
        </w:tblPrEx>
        <w:trPr>
          <w:gridBefore w:val="1"/>
          <w:gridAfter w:val="1"/>
          <w:wBefore w:w="15" w:type="dxa"/>
          <w:wAfter w:w="45" w:type="dxa"/>
          <w:trHeight w:val="30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A6CA746"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MD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559F96D"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4%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7C2B200"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2%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733376F3"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13%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18673706"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two companies; neither gave the same responses. Would need follow up to understand the difference. </w:t>
            </w:r>
          </w:p>
        </w:tc>
      </w:tr>
      <w:tr w14:paraId="4F2F11AB"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C23A3A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VT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E4A928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DE4938B"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74FD2C6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F9DAE28"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  </w:t>
            </w:r>
          </w:p>
        </w:tc>
      </w:tr>
      <w:tr w14:paraId="7604BD52"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BC59E7E"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UT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75E2BA7"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02BD8462"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3B8C477E"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1%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0F9F86D8"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  </w:t>
            </w:r>
          </w:p>
        </w:tc>
      </w:tr>
      <w:tr w14:paraId="51C5D8B6"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EDFDD1D"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IA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D3271C8"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7343F41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2%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10F8593F"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4%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2848A99"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Comparison based on two companies; notices reported differed for both of them. Would need follow up to understand the difference. </w:t>
            </w:r>
          </w:p>
        </w:tc>
      </w:tr>
      <w:tr w14:paraId="13D7315A" w14:textId="77777777" w:rsidTr="003363AF">
        <w:tblPrEx>
          <w:tblW w:w="0" w:type="dxa"/>
          <w:tblCellMar>
            <w:left w:w="0" w:type="dxa"/>
            <w:right w:w="0" w:type="dxa"/>
          </w:tblCellMar>
          <w:tblLook w:val="04A0"/>
        </w:tblPrEx>
        <w:trPr>
          <w:gridBefore w:val="1"/>
          <w:gridAfter w:val="1"/>
          <w:wBefore w:w="15" w:type="dxa"/>
          <w:wAfter w:w="45" w:type="dxa"/>
          <w:trHeight w:val="270"/>
        </w:trPr>
        <w:tc>
          <w:tcPr>
            <w:tcW w:w="199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E17A2BF"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CA </w:t>
            </w:r>
          </w:p>
        </w:tc>
        <w:tc>
          <w:tcPr>
            <w:tcW w:w="118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5BCB510D"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0% </w:t>
            </w:r>
          </w:p>
        </w:tc>
        <w:tc>
          <w:tcPr>
            <w:tcW w:w="1470"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21F14D7F"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0% </w:t>
            </w:r>
          </w:p>
        </w:tc>
        <w:tc>
          <w:tcPr>
            <w:tcW w:w="133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4136B895"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0% </w:t>
            </w:r>
          </w:p>
        </w:tc>
        <w:tc>
          <w:tcPr>
            <w:tcW w:w="2775" w:type="dxa"/>
            <w:gridSpan w:val="2"/>
            <w:tcBorders>
              <w:top w:val="dashed" w:sz="6" w:space="0" w:color="BFBFBF"/>
              <w:left w:val="nil"/>
              <w:bottom w:val="dashed" w:sz="6" w:space="0" w:color="BFBFBF"/>
              <w:right w:val="nil"/>
            </w:tcBorders>
            <w:shd w:val="clear" w:color="auto" w:fill="auto"/>
            <w:vAlign w:val="bottom"/>
            <w:hideMark/>
          </w:tcPr>
          <w:p w:rsidR="003363AF" w:rsidRPr="003363AF" w:rsidP="003363AF" w14:paraId="6B5415DA" w14:textId="77777777">
            <w:pPr>
              <w:spacing w:after="0" w:line="240" w:lineRule="auto"/>
              <w:textAlignment w:val="baseline"/>
              <w:rPr>
                <w:rFonts w:ascii="Times New Roman" w:eastAsia="Times New Roman" w:hAnsi="Times New Roman" w:cs="Times New Roman"/>
                <w:kern w:val="0"/>
                <w:sz w:val="24"/>
                <w:szCs w:val="24"/>
                <w14:ligatures w14:val="none"/>
              </w:rPr>
            </w:pPr>
            <w:r w:rsidRPr="003363AF">
              <w:rPr>
                <w:rFonts w:ascii="Calibri" w:eastAsia="Times New Roman" w:hAnsi="Calibri" w:cs="Calibri"/>
                <w:color w:val="000000"/>
                <w:kern w:val="0"/>
                <w:sz w:val="18"/>
                <w:szCs w:val="18"/>
                <w14:ligatures w14:val="none"/>
              </w:rPr>
              <w:t>  </w:t>
            </w:r>
          </w:p>
        </w:tc>
      </w:tr>
    </w:tbl>
    <w:p w:rsidR="003363AF" w:rsidP="019EC3E5" w14:paraId="3128229D" w14:textId="77777777">
      <w:pPr>
        <w:rPr>
          <w:rFonts w:ascii="Calibri" w:eastAsia="Calibri" w:hAnsi="Calibri" w:cs="Calibri"/>
        </w:rPr>
      </w:pPr>
    </w:p>
    <w:p w:rsidR="00FF04BC" w:rsidP="00A42B4D" w14:paraId="058751E6" w14:textId="77777777">
      <w:pPr>
        <w:pStyle w:val="Heading1"/>
        <w:rPr>
          <w:b/>
          <w:bCs/>
          <w:noProof/>
          <w:color w:val="1396D8"/>
          <w:sz w:val="28"/>
          <w:szCs w:val="28"/>
        </w:rPr>
      </w:pPr>
      <w:bookmarkStart w:id="20" w:name="_Toc492634205"/>
      <w:bookmarkStart w:id="21" w:name="_Toc177374311"/>
      <w:r w:rsidRPr="00FF04BC">
        <w:rPr>
          <w:b/>
          <w:bCs/>
          <w:noProof/>
          <w:color w:val="1396D8"/>
          <w:sz w:val="28"/>
          <w:szCs w:val="28"/>
        </w:rPr>
        <w:t>A.5. Provisions for Reducing Burden on Small Businesses</w:t>
      </w:r>
      <w:bookmarkEnd w:id="20"/>
      <w:bookmarkEnd w:id="21"/>
      <w:r w:rsidRPr="00FF04BC">
        <w:rPr>
          <w:b/>
          <w:bCs/>
          <w:noProof/>
          <w:color w:val="1396D8"/>
          <w:sz w:val="28"/>
          <w:szCs w:val="28"/>
        </w:rPr>
        <w:t xml:space="preserve"> </w:t>
      </w:r>
    </w:p>
    <w:p w:rsidR="003C306D" w:rsidP="003C306D" w14:paraId="47669FE1" w14:textId="55D920B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16BE9">
        <w:t xml:space="preserve">The burden on smaller entities </w:t>
      </w:r>
      <w:r>
        <w:t xml:space="preserve">across surveys </w:t>
      </w:r>
      <w:r w:rsidRPr="00A16BE9">
        <w:t xml:space="preserve">is reduced through a number of means including the use of cutoff sampling for monthly surveys, the </w:t>
      </w:r>
      <w:r w:rsidR="007666CE">
        <w:t>exclusion</w:t>
      </w:r>
      <w:r w:rsidRPr="00A16BE9" w:rsidR="007666CE">
        <w:t xml:space="preserve"> </w:t>
      </w:r>
      <w:r w:rsidRPr="00A16BE9">
        <w:t xml:space="preserve">of </w:t>
      </w:r>
      <w:r w:rsidR="00AE0870">
        <w:t>respondents on</w:t>
      </w:r>
      <w:r w:rsidR="006B3715">
        <w:t xml:space="preserve"> </w:t>
      </w:r>
      <w:r w:rsidRPr="00A16BE9">
        <w:t>Form EIA-861S</w:t>
      </w:r>
      <w:r w:rsidRPr="006B3715">
        <w:rPr>
          <w:i/>
          <w:iCs/>
        </w:rPr>
        <w:t xml:space="preserve"> </w:t>
      </w:r>
      <w:r w:rsidRPr="006B3715" w:rsidR="00905044">
        <w:rPr>
          <w:i/>
          <w:iCs/>
        </w:rPr>
        <w:t>Annual Electric Power Industry Report (Short Form</w:t>
      </w:r>
      <w:r w:rsidRPr="006B3715" w:rsidR="00641ECA">
        <w:rPr>
          <w:i/>
          <w:iCs/>
        </w:rPr>
        <w:t>)</w:t>
      </w:r>
      <w:r w:rsidRPr="00905044" w:rsidR="00641ECA">
        <w:t>,</w:t>
      </w:r>
      <w:r w:rsidRPr="00A16BE9">
        <w:t xml:space="preserve"> and the use of </w:t>
      </w:r>
      <w:r w:rsidR="2AF480EC">
        <w:t>Computer-Assisted Web Interviews (CAWI)</w:t>
      </w:r>
      <w:r w:rsidRPr="00A16BE9">
        <w:t>.  Cutoff sampling on the monthly Form</w:t>
      </w:r>
      <w:r w:rsidR="00BD3760">
        <w:t>s</w:t>
      </w:r>
      <w:r w:rsidRPr="00A16BE9">
        <w:t xml:space="preserve"> EIA-861M</w:t>
      </w:r>
      <w:r w:rsidR="008C7596">
        <w:t xml:space="preserve"> </w:t>
      </w:r>
      <w:r w:rsidRPr="006B3715" w:rsidR="008C7596">
        <w:rPr>
          <w:i/>
          <w:iCs/>
        </w:rPr>
        <w:t>Monthly Electric Power Industry Report</w:t>
      </w:r>
      <w:r w:rsidRPr="00A16BE9">
        <w:t xml:space="preserve"> </w:t>
      </w:r>
      <w:r w:rsidR="00BD3760">
        <w:t>and EIA-857</w:t>
      </w:r>
      <w:r w:rsidRPr="00214CA4" w:rsidR="00214CA4">
        <w:t xml:space="preserve"> </w:t>
      </w:r>
      <w:r w:rsidRPr="006B3715" w:rsidR="00214CA4">
        <w:rPr>
          <w:i/>
          <w:iCs/>
        </w:rPr>
        <w:t>Monthly Report of Natural Gas Purchases and Deliveries to Consumers</w:t>
      </w:r>
      <w:r w:rsidR="00E1791D">
        <w:t xml:space="preserve">, </w:t>
      </w:r>
      <w:r w:rsidRPr="00A16BE9">
        <w:t xml:space="preserve">obviates the need for many small entities to fill out </w:t>
      </w:r>
      <w:r w:rsidRPr="00074026">
        <w:t>the Form-112 outside of the initial census</w:t>
      </w:r>
      <w:r w:rsidRPr="003C306D">
        <w:t xml:space="preserve">; they need only submit one form </w:t>
      </w:r>
      <w:r w:rsidRPr="00074026">
        <w:t xml:space="preserve">in the initial </w:t>
      </w:r>
      <w:r w:rsidR="1F9A1559">
        <w:t xml:space="preserve">census </w:t>
      </w:r>
      <w:r w:rsidRPr="00074026">
        <w:t>year of the survey</w:t>
      </w:r>
      <w:r w:rsidRPr="003C306D">
        <w:t>.</w:t>
      </w:r>
    </w:p>
    <w:p w:rsidR="00143428" w:rsidRPr="00040D64" w:rsidP="00143428" w14:paraId="5F2405D4" w14:textId="3F56E7A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In addition</w:t>
      </w:r>
      <w:r w:rsidR="001C6C56">
        <w:t>,</w:t>
      </w:r>
      <w:r>
        <w:t xml:space="preserve"> t</w:t>
      </w:r>
      <w:r w:rsidRPr="00A16BE9">
        <w:t xml:space="preserve">he annual Form EIA-861S (short form) was developed for the use of </w:t>
      </w:r>
      <w:r w:rsidR="00D86B72">
        <w:t xml:space="preserve">very </w:t>
      </w:r>
      <w:r w:rsidRPr="00A16BE9">
        <w:t>small respondents that represent approximately one-</w:t>
      </w:r>
      <w:r w:rsidR="001A492C">
        <w:t>half</w:t>
      </w:r>
      <w:r w:rsidRPr="00A16BE9">
        <w:t xml:space="preserve"> of the frame of the Form EIA-861</w:t>
      </w:r>
      <w:r w:rsidR="00A17006">
        <w:t xml:space="preserve"> </w:t>
      </w:r>
      <w:r w:rsidRPr="006B3715" w:rsidR="00A17006">
        <w:rPr>
          <w:i/>
          <w:iCs/>
        </w:rPr>
        <w:t>Annual Electric Power Industry Report</w:t>
      </w:r>
      <w:r w:rsidRPr="373C392F" w:rsidR="69678917">
        <w:rPr>
          <w:i/>
          <w:iCs/>
        </w:rPr>
        <w:t>,</w:t>
      </w:r>
      <w:r w:rsidRPr="00A16BE9">
        <w:t xml:space="preserve"> but only </w:t>
      </w:r>
      <w:r w:rsidR="00DB33FD">
        <w:t>2</w:t>
      </w:r>
      <w:r w:rsidRPr="00A16BE9">
        <w:t xml:space="preserve"> percent of national retail sales.  </w:t>
      </w:r>
      <w:r w:rsidRPr="00074026" w:rsidR="00C530B5">
        <w:t>Electric utilities that file the Form-861S will be excluded from the frame of the Form EIA-112 as their inclusion significantly increases respondent burden but does little to improve the overall estimation procedure.  The pilot study also demonstrated some smaller electric utilities had differing records management practices and difficulty identifying residential only customers. </w:t>
      </w:r>
    </w:p>
    <w:p w:rsidR="00143428" w:rsidRPr="00040D64" w:rsidP="00143428" w14:paraId="04006F09" w14:textId="47639A1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040D64">
        <w:t xml:space="preserve">Through </w:t>
      </w:r>
      <w:r w:rsidR="258ED849">
        <w:t>CAWI</w:t>
      </w:r>
      <w:r w:rsidRPr="00040D64">
        <w:t xml:space="preserve">, EIA </w:t>
      </w:r>
      <w:r w:rsidR="23903C21">
        <w:t>uses dependent interviewing (</w:t>
      </w:r>
      <w:r w:rsidRPr="00040D64">
        <w:t>pre-</w:t>
      </w:r>
      <w:r w:rsidR="004E66DD">
        <w:t>population) for</w:t>
      </w:r>
      <w:r w:rsidRPr="00040D64">
        <w:t xml:space="preserve"> many data elements for items that do not frequently change.  This allows respondents (both large and small) to simply verify that the information has not changed, as opposed to entering the same information for each survey cycle.  In addition, </w:t>
      </w:r>
      <w:r w:rsidR="29C60711">
        <w:t>the CAWI system</w:t>
      </w:r>
      <w:r w:rsidRPr="00040D64">
        <w:t xml:space="preserve"> </w:t>
      </w:r>
      <w:r w:rsidR="2C9BAA8A">
        <w:t>uses</w:t>
      </w:r>
      <w:r w:rsidRPr="00040D64">
        <w:t xml:space="preserve"> built-in edits has reduced the burden on businesses by reducing the call-backs to verify or correct questionable data.</w:t>
      </w:r>
    </w:p>
    <w:p w:rsidR="00143428" w:rsidP="008A1B29" w14:paraId="133BE1E0" w14:textId="77777777"/>
    <w:p w:rsidR="001D4BAD" w:rsidP="00A42B4D" w14:paraId="3BAFE1B4" w14:textId="77777777">
      <w:pPr>
        <w:pStyle w:val="Heading1"/>
        <w:rPr>
          <w:b/>
          <w:bCs/>
          <w:noProof/>
          <w:color w:val="1396D8"/>
          <w:sz w:val="28"/>
          <w:szCs w:val="28"/>
        </w:rPr>
      </w:pPr>
      <w:bookmarkStart w:id="22" w:name="_Toc492634206"/>
      <w:bookmarkStart w:id="23" w:name="_Toc177374312"/>
      <w:r w:rsidRPr="001D4BAD">
        <w:rPr>
          <w:b/>
          <w:bCs/>
          <w:noProof/>
          <w:color w:val="1396D8"/>
          <w:sz w:val="28"/>
          <w:szCs w:val="28"/>
        </w:rPr>
        <w:t>A.6. Consequences of Less-Frequent Reporting</w:t>
      </w:r>
      <w:bookmarkEnd w:id="22"/>
      <w:bookmarkEnd w:id="23"/>
    </w:p>
    <w:p w:rsidR="009F751B" w:rsidRPr="004323EE" w:rsidP="001D4BAD" w14:paraId="4CAF18B0" w14:textId="77255A75">
      <w:r w:rsidRPr="373C392F">
        <w:t>EIA plans to collect data</w:t>
      </w:r>
      <w:r w:rsidRPr="373C392F" w:rsidR="00E4497B">
        <w:t xml:space="preserve"> annually</w:t>
      </w:r>
      <w:r w:rsidRPr="373C392F">
        <w:t xml:space="preserve">, but </w:t>
      </w:r>
      <w:r w:rsidRPr="373C392F" w:rsidR="00E4497B">
        <w:t xml:space="preserve">the </w:t>
      </w:r>
      <w:r w:rsidRPr="373C392F">
        <w:t xml:space="preserve">data will </w:t>
      </w:r>
      <w:r w:rsidRPr="373C392F" w:rsidR="00BE39CF">
        <w:t xml:space="preserve">be </w:t>
      </w:r>
      <w:r w:rsidRPr="373C392F">
        <w:t>reported at the monthly level.</w:t>
      </w:r>
      <w:r w:rsidRPr="373C392F" w:rsidR="00BE39CF">
        <w:t xml:space="preserve"> </w:t>
      </w:r>
      <w:r w:rsidRPr="373C392F">
        <w:rPr>
          <w:rStyle w:val="cf01"/>
          <w:rFonts w:asciiTheme="minorHAnsi" w:hAnsiTheme="minorHAnsi" w:cstheme="minorBidi"/>
          <w:sz w:val="22"/>
          <w:szCs w:val="22"/>
        </w:rPr>
        <w:t>EIA planned to collect data on a monthly basis as specified in the pilot study. However</w:t>
      </w:r>
      <w:r w:rsidRPr="373C392F" w:rsidR="00BE39CF">
        <w:rPr>
          <w:rStyle w:val="cf01"/>
          <w:rFonts w:asciiTheme="minorHAnsi" w:hAnsiTheme="minorHAnsi" w:cstheme="minorBidi"/>
          <w:sz w:val="22"/>
          <w:szCs w:val="22"/>
        </w:rPr>
        <w:t>,</w:t>
      </w:r>
      <w:r w:rsidRPr="373C392F">
        <w:rPr>
          <w:rStyle w:val="cf01"/>
          <w:rFonts w:asciiTheme="minorHAnsi" w:hAnsiTheme="minorHAnsi" w:cstheme="minorBidi"/>
          <w:sz w:val="22"/>
          <w:szCs w:val="22"/>
        </w:rPr>
        <w:t xml:space="preserve"> based on the results of both cognitive testing and the pilot test, EIA found conducting EIA-112 on annual basis would reduce the burden to respondents</w:t>
      </w:r>
      <w:r w:rsidRPr="373C392F" w:rsidR="7121244C">
        <w:rPr>
          <w:rStyle w:val="cf01"/>
          <w:rFonts w:asciiTheme="minorHAnsi" w:hAnsiTheme="minorHAnsi" w:cstheme="minorBidi"/>
          <w:sz w:val="22"/>
          <w:szCs w:val="22"/>
        </w:rPr>
        <w:t xml:space="preserve">, while still collecting timely and relevant information for data users. </w:t>
      </w:r>
    </w:p>
    <w:p w:rsidR="001D4BAD" w:rsidRPr="004323EE" w:rsidP="001D4BAD" w14:paraId="2EEA5606" w14:textId="593E78DA">
      <w:pPr>
        <w:rPr>
          <w:rFonts w:cstheme="minorHAnsi"/>
        </w:rPr>
      </w:pPr>
      <w:r w:rsidRPr="004323EE">
        <w:rPr>
          <w:rFonts w:cstheme="minorHAnsi"/>
        </w:rPr>
        <w:t xml:space="preserve">This balances the granular needs of the data users against the burden of more frequent reporting.  Collecting the data less frequently than once a year would significantly delay the </w:t>
      </w:r>
      <w:r w:rsidRPr="004323EE" w:rsidR="302C8F0B">
        <w:rPr>
          <w:rFonts w:cstheme="minorHAnsi"/>
        </w:rPr>
        <w:t xml:space="preserve">speed with which EIA can produce national and state-level estimates.  </w:t>
      </w:r>
    </w:p>
    <w:p w:rsidR="004323EE" w:rsidRPr="004323EE" w:rsidP="001D4BAD" w14:paraId="52FCB134" w14:textId="1BB455FC">
      <w:r w:rsidRPr="373C392F">
        <w:rPr>
          <w:rStyle w:val="cf01"/>
          <w:rFonts w:asciiTheme="minorHAnsi" w:hAnsiTheme="minorHAnsi" w:cstheme="minorBidi"/>
          <w:sz w:val="22"/>
          <w:szCs w:val="22"/>
        </w:rPr>
        <w:t>Policymakers</w:t>
      </w:r>
      <w:r w:rsidRPr="373C392F">
        <w:rPr>
          <w:rStyle w:val="cf01"/>
          <w:rFonts w:asciiTheme="minorHAnsi" w:hAnsiTheme="minorHAnsi" w:cstheme="minorBidi"/>
          <w:sz w:val="22"/>
          <w:szCs w:val="22"/>
        </w:rPr>
        <w:t xml:space="preserve"> and programs such as LIHEAP need </w:t>
      </w:r>
      <w:r w:rsidRPr="373C392F" w:rsidR="28AA7758">
        <w:rPr>
          <w:rStyle w:val="cf01"/>
          <w:rFonts w:asciiTheme="minorHAnsi" w:hAnsiTheme="minorHAnsi" w:cstheme="minorBidi"/>
          <w:sz w:val="22"/>
          <w:szCs w:val="22"/>
        </w:rPr>
        <w:t xml:space="preserve">data reported at the </w:t>
      </w:r>
      <w:r w:rsidRPr="373C392F" w:rsidR="42C298F0">
        <w:rPr>
          <w:rStyle w:val="cf01"/>
          <w:rFonts w:asciiTheme="minorHAnsi" w:hAnsiTheme="minorHAnsi" w:cstheme="minorBidi"/>
          <w:sz w:val="22"/>
          <w:szCs w:val="22"/>
        </w:rPr>
        <w:t>monthly level</w:t>
      </w:r>
      <w:r w:rsidRPr="373C392F">
        <w:rPr>
          <w:rStyle w:val="cf01"/>
          <w:rFonts w:asciiTheme="minorHAnsi" w:hAnsiTheme="minorHAnsi" w:cstheme="minorBidi"/>
          <w:sz w:val="22"/>
          <w:szCs w:val="22"/>
        </w:rPr>
        <w:t xml:space="preserve"> on a yearly basis to ensure accuracy in the program</w:t>
      </w:r>
      <w:r w:rsidRPr="373C392F" w:rsidR="6AB60E62">
        <w:rPr>
          <w:rStyle w:val="cf01"/>
          <w:rFonts w:asciiTheme="minorHAnsi" w:hAnsiTheme="minorHAnsi" w:cstheme="minorBidi"/>
          <w:sz w:val="22"/>
          <w:szCs w:val="22"/>
        </w:rPr>
        <w:t xml:space="preserve">. Data reported less frequently would be less useful for these programs. </w:t>
      </w:r>
    </w:p>
    <w:p w:rsidR="00300486" w:rsidP="00A42B4D" w14:paraId="405212B1" w14:textId="77777777">
      <w:pPr>
        <w:pStyle w:val="Heading1"/>
        <w:rPr>
          <w:b/>
          <w:bCs/>
          <w:noProof/>
          <w:color w:val="1396D8"/>
          <w:sz w:val="28"/>
          <w:szCs w:val="28"/>
        </w:rPr>
      </w:pPr>
      <w:bookmarkStart w:id="24" w:name="_Toc492634207"/>
      <w:bookmarkStart w:id="25" w:name="_Toc177374313"/>
      <w:r w:rsidRPr="00300486">
        <w:rPr>
          <w:b/>
          <w:bCs/>
          <w:noProof/>
          <w:color w:val="1396D8"/>
          <w:sz w:val="28"/>
          <w:szCs w:val="28"/>
        </w:rPr>
        <w:t>A.7. Compliance with 5 CFR 1320.5</w:t>
      </w:r>
      <w:bookmarkEnd w:id="24"/>
      <w:bookmarkEnd w:id="25"/>
    </w:p>
    <w:p w:rsidR="00CE70E6" w:rsidP="00CE70E6" w14:paraId="287E58F8" w14:textId="6DBE2B6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 xml:space="preserve">The data </w:t>
      </w:r>
      <w:r>
        <w:t xml:space="preserve">for the collection instruments in this proposal </w:t>
      </w:r>
      <w:r w:rsidRPr="000D6A2A">
        <w:t>are being collected consistent with the guidelines in 5 C.F.R. 1320.5</w:t>
      </w:r>
      <w:r>
        <w:t xml:space="preserve">. </w:t>
      </w:r>
    </w:p>
    <w:p w:rsidR="00050725" w:rsidRPr="00050725" w:rsidP="00A42B4D" w14:paraId="6D94734A" w14:textId="77777777">
      <w:pPr>
        <w:pStyle w:val="Heading1"/>
        <w:rPr>
          <w:b/>
          <w:bCs/>
          <w:noProof/>
          <w:color w:val="1396D8"/>
          <w:sz w:val="28"/>
          <w:szCs w:val="28"/>
        </w:rPr>
      </w:pPr>
      <w:bookmarkStart w:id="26" w:name="_Toc492634208"/>
      <w:bookmarkStart w:id="27" w:name="_Toc177374314"/>
      <w:r w:rsidRPr="00050725">
        <w:rPr>
          <w:b/>
          <w:bCs/>
          <w:noProof/>
          <w:color w:val="1396D8"/>
          <w:sz w:val="28"/>
          <w:szCs w:val="28"/>
        </w:rPr>
        <w:t>A.8. Summary of Consultations Outside of the Agency</w:t>
      </w:r>
      <w:bookmarkEnd w:id="26"/>
      <w:bookmarkEnd w:id="27"/>
    </w:p>
    <w:p w:rsidR="000C0E6A" w:rsidP="00300486" w14:paraId="075FF51A" w14:textId="37179B76">
      <w:r w:rsidRPr="00FD405D">
        <w:t xml:space="preserve">EIA staff conducted </w:t>
      </w:r>
      <w:r w:rsidR="75F4239F">
        <w:t>iterative cognitive testing and a pilot study</w:t>
      </w:r>
      <w:r w:rsidRPr="00FD405D">
        <w:t xml:space="preserve"> </w:t>
      </w:r>
      <w:r w:rsidR="6AA94B68">
        <w:t xml:space="preserve">in preparation for the EIA-112, and </w:t>
      </w:r>
      <w:r w:rsidRPr="00FD405D">
        <w:t xml:space="preserve">to increase their understanding </w:t>
      </w:r>
      <w:r w:rsidR="007772D4">
        <w:t xml:space="preserve">of </w:t>
      </w:r>
      <w:r w:rsidR="006F71A4">
        <w:t xml:space="preserve">the current </w:t>
      </w:r>
      <w:r w:rsidR="00536022">
        <w:t>available data</w:t>
      </w:r>
      <w:r w:rsidR="00FA7909">
        <w:t xml:space="preserve"> regarding utility disconnections</w:t>
      </w:r>
      <w:r w:rsidRPr="00FD405D">
        <w:t>.</w:t>
      </w:r>
      <w:r w:rsidR="00F564C8">
        <w:t xml:space="preserve"> </w:t>
      </w:r>
    </w:p>
    <w:p w:rsidR="00EE498C" w:rsidRPr="009D4B69" w:rsidP="00300486" w14:paraId="4438DDC0" w14:textId="1863BFFD">
      <w:pPr>
        <w:rPr>
          <w:b/>
          <w:bCs/>
          <w:u w:val="single"/>
        </w:rPr>
      </w:pPr>
      <w:r w:rsidRPr="373C392F">
        <w:rPr>
          <w:b/>
          <w:bCs/>
          <w:u w:val="single"/>
        </w:rPr>
        <w:t>First</w:t>
      </w:r>
      <w:r w:rsidRPr="373C392F" w:rsidR="0A6488BF">
        <w:rPr>
          <w:b/>
          <w:bCs/>
          <w:u w:val="single"/>
        </w:rPr>
        <w:t xml:space="preserve"> R</w:t>
      </w:r>
      <w:r w:rsidRPr="373C392F">
        <w:rPr>
          <w:b/>
          <w:bCs/>
          <w:u w:val="single"/>
        </w:rPr>
        <w:t xml:space="preserve">ound of </w:t>
      </w:r>
      <w:r w:rsidRPr="009D4B69" w:rsidR="00931FD8">
        <w:rPr>
          <w:b/>
          <w:bCs/>
          <w:u w:val="single"/>
        </w:rPr>
        <w:t>Cognitive Interviews</w:t>
      </w:r>
    </w:p>
    <w:p w:rsidR="00232389" w:rsidP="00300486" w14:paraId="4F118805" w14:textId="36B0CE9A">
      <w:pPr>
        <w:rPr>
          <w:rFonts w:ascii="Calibri" w:eastAsia="Calibri" w:hAnsi="Calibri" w:cs="Calibri"/>
          <w:color w:val="000000" w:themeColor="text1"/>
        </w:rPr>
      </w:pPr>
      <w:r w:rsidRPr="373C392F">
        <w:rPr>
          <w:rFonts w:ascii="Calibri" w:eastAsia="Calibri" w:hAnsi="Calibri" w:cs="Calibri"/>
          <w:color w:val="000000" w:themeColor="text1"/>
        </w:rPr>
        <w:t>C</w:t>
      </w:r>
      <w:r w:rsidRPr="373C392F" w:rsidR="199D5BFA">
        <w:rPr>
          <w:rFonts w:ascii="Calibri" w:eastAsia="Calibri" w:hAnsi="Calibri" w:cs="Calibri"/>
          <w:color w:val="000000" w:themeColor="text1"/>
        </w:rPr>
        <w:t>ognitive</w:t>
      </w:r>
      <w:r w:rsidRPr="009D4B69">
        <w:rPr>
          <w:rFonts w:ascii="Calibri" w:eastAsia="Calibri" w:hAnsi="Calibri" w:cs="Calibri"/>
          <w:color w:val="000000" w:themeColor="text1"/>
        </w:rPr>
        <w:t xml:space="preserve"> interviews were conducted with a sample of electric-only, natural gas-only, and dual-service utilities that are on the EIA-861M and/or EIA-857 sample frames. The interviews were </w:t>
      </w:r>
      <w:r w:rsidRPr="373C392F" w:rsidR="5DC8F8A1">
        <w:rPr>
          <w:rFonts w:ascii="Calibri" w:eastAsia="Calibri" w:hAnsi="Calibri" w:cs="Calibri"/>
          <w:color w:val="000000" w:themeColor="text1"/>
        </w:rPr>
        <w:t xml:space="preserve">both </w:t>
      </w:r>
      <w:r w:rsidRPr="009D4B69">
        <w:rPr>
          <w:rFonts w:ascii="Calibri" w:eastAsia="Calibri" w:hAnsi="Calibri" w:cs="Calibri"/>
          <w:color w:val="000000" w:themeColor="text1"/>
        </w:rPr>
        <w:t>virtual and moderated via Microsoft Teams, and the online and unmoderated via Qualtrics.</w:t>
      </w:r>
      <w:r w:rsidR="00445356">
        <w:rPr>
          <w:rFonts w:ascii="Calibri" w:eastAsia="Calibri" w:hAnsi="Calibri" w:cs="Calibri"/>
          <w:color w:val="000000" w:themeColor="text1"/>
        </w:rPr>
        <w:t xml:space="preserve"> </w:t>
      </w:r>
      <w:r w:rsidR="00E65395">
        <w:rPr>
          <w:rFonts w:ascii="Calibri" w:eastAsia="Calibri" w:hAnsi="Calibri" w:cs="Calibri"/>
          <w:color w:val="000000" w:themeColor="text1"/>
        </w:rPr>
        <w:t xml:space="preserve">The moderated cognitive interviews </w:t>
      </w:r>
      <w:r w:rsidR="00832024">
        <w:rPr>
          <w:rFonts w:ascii="Calibri" w:eastAsia="Calibri" w:hAnsi="Calibri" w:cs="Calibri"/>
          <w:color w:val="000000" w:themeColor="text1"/>
        </w:rPr>
        <w:t>were completed between April 21</w:t>
      </w:r>
      <w:r w:rsidR="000775B2">
        <w:rPr>
          <w:rFonts w:ascii="Calibri" w:eastAsia="Calibri" w:hAnsi="Calibri" w:cs="Calibri"/>
          <w:color w:val="000000" w:themeColor="text1"/>
        </w:rPr>
        <w:t xml:space="preserve"> to May 24</w:t>
      </w:r>
      <w:r w:rsidR="00474410">
        <w:rPr>
          <w:rFonts w:ascii="Calibri" w:eastAsia="Calibri" w:hAnsi="Calibri" w:cs="Calibri"/>
          <w:color w:val="000000" w:themeColor="text1"/>
        </w:rPr>
        <w:t>, 2023</w:t>
      </w:r>
      <w:r w:rsidR="00102109">
        <w:rPr>
          <w:rFonts w:ascii="Calibri" w:eastAsia="Calibri" w:hAnsi="Calibri" w:cs="Calibri"/>
          <w:color w:val="000000" w:themeColor="text1"/>
        </w:rPr>
        <w:t xml:space="preserve">. The unmoderated </w:t>
      </w:r>
      <w:r w:rsidR="002D1679">
        <w:rPr>
          <w:rFonts w:ascii="Calibri" w:eastAsia="Calibri" w:hAnsi="Calibri" w:cs="Calibri"/>
          <w:color w:val="000000" w:themeColor="text1"/>
        </w:rPr>
        <w:t>interviews w</w:t>
      </w:r>
      <w:r w:rsidR="005E3E2C">
        <w:rPr>
          <w:rFonts w:ascii="Calibri" w:eastAsia="Calibri" w:hAnsi="Calibri" w:cs="Calibri"/>
          <w:color w:val="000000" w:themeColor="text1"/>
        </w:rPr>
        <w:t>ere completed between May 31</w:t>
      </w:r>
      <w:r w:rsidRPr="009D4B69" w:rsidR="005E3E2C">
        <w:rPr>
          <w:rFonts w:ascii="Calibri" w:eastAsia="Calibri" w:hAnsi="Calibri" w:cs="Calibri"/>
          <w:color w:val="000000" w:themeColor="text1"/>
          <w:vertAlign w:val="superscript"/>
        </w:rPr>
        <w:t>st</w:t>
      </w:r>
      <w:r w:rsidR="005E3E2C">
        <w:rPr>
          <w:rFonts w:ascii="Calibri" w:eastAsia="Calibri" w:hAnsi="Calibri" w:cs="Calibri"/>
          <w:color w:val="000000" w:themeColor="text1"/>
        </w:rPr>
        <w:t xml:space="preserve"> and June 23</w:t>
      </w:r>
      <w:r w:rsidRPr="009D4B69" w:rsidR="005E3E2C">
        <w:rPr>
          <w:rFonts w:ascii="Calibri" w:eastAsia="Calibri" w:hAnsi="Calibri" w:cs="Calibri"/>
          <w:color w:val="000000" w:themeColor="text1"/>
          <w:vertAlign w:val="superscript"/>
        </w:rPr>
        <w:t>rd</w:t>
      </w:r>
      <w:r w:rsidRPr="373C392F" w:rsidR="2649ADA0">
        <w:rPr>
          <w:rFonts w:ascii="Calibri" w:eastAsia="Calibri" w:hAnsi="Calibri" w:cs="Calibri"/>
          <w:color w:val="000000" w:themeColor="text1"/>
        </w:rPr>
        <w:t>, 2023</w:t>
      </w:r>
      <w:r w:rsidRPr="373C392F" w:rsidR="5B0B2E13">
        <w:rPr>
          <w:rFonts w:ascii="Calibri" w:eastAsia="Calibri" w:hAnsi="Calibri" w:cs="Calibri"/>
          <w:color w:val="000000" w:themeColor="text1"/>
        </w:rPr>
        <w:t>.</w:t>
      </w:r>
      <w:r w:rsidRPr="009D4B69">
        <w:rPr>
          <w:rFonts w:ascii="Calibri" w:eastAsia="Calibri" w:hAnsi="Calibri" w:cs="Calibri"/>
          <w:color w:val="000000" w:themeColor="text1"/>
        </w:rPr>
        <w:t xml:space="preserve"> A total of 67 electric and natural gas utilities fully or partially participated in the interviews.</w:t>
      </w:r>
    </w:p>
    <w:p w:rsidR="00093904" w:rsidP="00F6423D" w14:paraId="6CD3E92B" w14:textId="7AC5FCDD">
      <w:pPr>
        <w:pStyle w:val="Left05Indent"/>
      </w:pPr>
      <w:r>
        <w:t>The</w:t>
      </w:r>
      <w:r>
        <w:t xml:space="preserve"> cognitive interviews</w:t>
      </w:r>
      <w:r>
        <w:t xml:space="preserve"> showed</w:t>
      </w:r>
      <w:r>
        <w:t xml:space="preserve"> that a majority of responding electric and natural gas utilities said they can report the requested information as currently specified: monthly aggregate counts of residential (including multifamily) customer final notifications, disconnections, and reconnections due to bill nonpayment.</w:t>
      </w:r>
      <w:r w:rsidR="007F6E4B">
        <w:t xml:space="preserve"> </w:t>
      </w:r>
      <w:r w:rsidR="00ED18A9">
        <w:t>A</w:t>
      </w:r>
      <w:r w:rsidR="007F6E4B">
        <w:t xml:space="preserve"> minority of the responding utilities said they cannot report or would have difficulties reporting one or more aspects of the requested information. Most of the responding utilities that cannot report or have difficulties reporting the information as requested can partially report some information, such as aggregate counts for all customers combined (not just residential), </w:t>
      </w:r>
      <w:r w:rsidRPr="2CBADFC1" w:rsidR="007F6E4B">
        <w:rPr>
          <w:rFonts w:ascii="Calibri" w:eastAsia="Calibri" w:hAnsi="Calibri" w:cs="Calibri"/>
          <w:color w:val="000000" w:themeColor="text1"/>
        </w:rPr>
        <w:t xml:space="preserve">all services combined (electric and gas instead of each separately), </w:t>
      </w:r>
      <w:r w:rsidR="007F6E4B">
        <w:t>all reasons combined (not just for bill nonpayment), and/or for only one or two of the requested records (disconnections and reconnections but not notifications, etc.). Furthermore, most of these respondents tended to be smaller in size (in terms of the number of residential customers) and many were also municipal and co-op utilities.</w:t>
      </w:r>
    </w:p>
    <w:p w:rsidR="001C52D2" w:rsidRPr="009D4B69" w:rsidP="009D4B69" w14:paraId="27D9F3F3" w14:textId="0D022F6A">
      <w:pPr>
        <w:pStyle w:val="Left05Indent"/>
        <w:rPr>
          <w:b/>
          <w:bCs/>
        </w:rPr>
      </w:pPr>
      <w:r w:rsidRPr="009D4B69">
        <w:rPr>
          <w:b/>
          <w:bCs/>
        </w:rPr>
        <w:t>Pil</w:t>
      </w:r>
      <w:r w:rsidRPr="009D4B69" w:rsidR="00E85FBD">
        <w:rPr>
          <w:b/>
          <w:bCs/>
        </w:rPr>
        <w:t xml:space="preserve">ot </w:t>
      </w:r>
      <w:r w:rsidR="00F6423D">
        <w:rPr>
          <w:b/>
          <w:bCs/>
        </w:rPr>
        <w:t xml:space="preserve">Study </w:t>
      </w:r>
    </w:p>
    <w:p w:rsidR="00A759D6" w:rsidP="00A759D6" w14:paraId="56DD1EDC" w14:textId="1D452BD8">
      <w:pPr>
        <w:rPr>
          <w:rFonts w:ascii="Calibri" w:eastAsia="Calibri" w:hAnsi="Calibri" w:cs="Calibri"/>
          <w:color w:val="000000" w:themeColor="text1"/>
        </w:rPr>
      </w:pPr>
      <w:r w:rsidRPr="373C392F">
        <w:rPr>
          <w:rFonts w:ascii="Calibri" w:eastAsia="Calibri" w:hAnsi="Calibri" w:cs="Calibri"/>
          <w:color w:val="000000" w:themeColor="text1"/>
        </w:rPr>
        <w:t>After the first round of cognitive interviews, a</w:t>
      </w:r>
      <w:r w:rsidRPr="373C392F" w:rsidR="502C4DB2">
        <w:rPr>
          <w:rFonts w:ascii="Calibri" w:eastAsia="Calibri" w:hAnsi="Calibri" w:cs="Calibri"/>
          <w:color w:val="000000" w:themeColor="text1"/>
        </w:rPr>
        <w:t xml:space="preserve"> </w:t>
      </w:r>
      <w:r w:rsidRPr="373C392F" w:rsidR="28AF3A1D">
        <w:rPr>
          <w:rFonts w:ascii="Calibri" w:eastAsia="Calibri" w:hAnsi="Calibri" w:cs="Calibri"/>
          <w:color w:val="000000" w:themeColor="text1"/>
        </w:rPr>
        <w:t>p</w:t>
      </w:r>
      <w:r w:rsidRPr="28D3EB6C">
        <w:rPr>
          <w:rFonts w:ascii="Calibri" w:eastAsia="Calibri" w:hAnsi="Calibri" w:cs="Calibri"/>
          <w:color w:val="000000" w:themeColor="text1"/>
        </w:rPr>
        <w:t>ilot study was designed to collect data related to:</w:t>
      </w:r>
    </w:p>
    <w:p w:rsidR="00A759D6" w:rsidP="00A759D6" w14:paraId="7BF5CFBC" w14:textId="67FE38E0">
      <w:pPr>
        <w:pStyle w:val="ListParagraph"/>
        <w:numPr>
          <w:ilvl w:val="0"/>
          <w:numId w:val="12"/>
        </w:numPr>
        <w:tabs>
          <w:tab w:val="clear" w:pos="360"/>
        </w:tabs>
        <w:spacing w:before="0" w:after="160" w:afterAutospacing="0" w:line="257" w:lineRule="auto"/>
        <w:jc w:val="left"/>
      </w:pPr>
      <w:r>
        <w:t>Final termination notices sent to residential customers due to bill nonpayment</w:t>
      </w:r>
      <w:r w:rsidR="005B2D0A">
        <w:t>,</w:t>
      </w:r>
    </w:p>
    <w:p w:rsidR="00A759D6" w:rsidP="00A759D6" w14:paraId="202F5C21" w14:textId="471006F9">
      <w:pPr>
        <w:pStyle w:val="ListParagraph"/>
        <w:numPr>
          <w:ilvl w:val="0"/>
          <w:numId w:val="12"/>
        </w:numPr>
        <w:tabs>
          <w:tab w:val="clear" w:pos="360"/>
        </w:tabs>
        <w:spacing w:before="0" w:after="160" w:afterAutospacing="0" w:line="257" w:lineRule="auto"/>
        <w:jc w:val="left"/>
      </w:pPr>
      <w:r>
        <w:t>Service disconnections of residential customers due to bill nonpayment</w:t>
      </w:r>
      <w:r w:rsidR="005B2D0A">
        <w:t>,</w:t>
      </w:r>
    </w:p>
    <w:p w:rsidR="00A759D6" w:rsidP="00A759D6" w14:paraId="53EE2924" w14:textId="56B66244">
      <w:pPr>
        <w:pStyle w:val="ListParagraph"/>
        <w:numPr>
          <w:ilvl w:val="0"/>
          <w:numId w:val="12"/>
        </w:numPr>
        <w:tabs>
          <w:tab w:val="clear" w:pos="360"/>
        </w:tabs>
        <w:spacing w:before="0" w:after="160" w:afterAutospacing="0" w:line="257" w:lineRule="auto"/>
        <w:jc w:val="left"/>
      </w:pPr>
      <w:r>
        <w:t>Service reconnections of residential customers who were disconnected due to bill nonpayment</w:t>
      </w:r>
      <w:r w:rsidR="005B2D0A">
        <w:t>.</w:t>
      </w:r>
    </w:p>
    <w:p w:rsidR="0095204D" w:rsidP="002B1C38" w14:paraId="18D3DCA4" w14:textId="77777777">
      <w:pPr>
        <w:spacing w:line="257" w:lineRule="auto"/>
        <w:rPr>
          <w:rFonts w:ascii="Calibri" w:eastAsia="Calibri" w:hAnsi="Calibri" w:cs="Calibri"/>
        </w:rPr>
      </w:pPr>
      <w:r>
        <w:t>The target population was electric, natural gas, and dual-service utilities that serve residential customers, including multifamily buildings. The pilot survey was designed as a webform and provided a spreadsheet submission option.</w:t>
      </w:r>
      <w:r w:rsidR="002B1C38">
        <w:t xml:space="preserve"> </w:t>
      </w:r>
      <w:r w:rsidR="002B1C38">
        <w:rPr>
          <w:rFonts w:ascii="Calibri" w:eastAsia="Calibri" w:hAnsi="Calibri" w:cs="Calibri"/>
        </w:rPr>
        <w:t>Data collection for t</w:t>
      </w:r>
      <w:r w:rsidRPr="08845949" w:rsidR="002B1C38">
        <w:rPr>
          <w:rFonts w:ascii="Calibri" w:eastAsia="Calibri" w:hAnsi="Calibri" w:cs="Calibri"/>
        </w:rPr>
        <w:t xml:space="preserve">he pilot study began on November 1, 2023. The reference period for this survey is October 2023. </w:t>
      </w:r>
    </w:p>
    <w:p w:rsidR="373C392F" w:rsidP="373C392F" w14:paraId="2CA3C40D" w14:textId="0A81ECD9">
      <w:pPr>
        <w:spacing w:line="252" w:lineRule="auto"/>
      </w:pPr>
    </w:p>
    <w:p w:rsidR="00A51209" w:rsidP="009D4B69" w14:paraId="29CEAC0B" w14:textId="64BC6082">
      <w:pPr>
        <w:spacing w:line="252" w:lineRule="auto"/>
      </w:pPr>
      <w:r>
        <w:t>The pilot study found that mo</w:t>
      </w:r>
      <w:r w:rsidRPr="009D4B69">
        <w:t>st utilities appear to be able to report this data without difficulty.</w:t>
      </w:r>
      <w:r>
        <w:t xml:space="preserve">  In terms of difficulty, over half of respondents (52%) found it “very easy” or “somewhat easy,” and 73% of respondents said that completing the survey was either easy or neutral. Even respondents that reported difficulty were able to provide some but not all data as requested. </w:t>
      </w:r>
      <w:r w:rsidR="0E2D135A">
        <w:t xml:space="preserve">For example, some dual-fuel utilities that provide both electricity and natural gas, found it difficult to separate </w:t>
      </w:r>
      <w:r w:rsidR="58B1FDEE">
        <w:t xml:space="preserve">the data by energy type. </w:t>
      </w:r>
      <w:r w:rsidR="0E2D135A">
        <w:t xml:space="preserve"> </w:t>
      </w:r>
      <w:r>
        <w:t xml:space="preserve">  </w:t>
      </w:r>
      <w:r w:rsidR="2EE6EE70">
        <w:t>In addition, some smaller utilities found it difficult to exclude</w:t>
      </w:r>
      <w:r>
        <w:t xml:space="preserve"> non-residential customers </w:t>
      </w:r>
      <w:r w:rsidR="091CED12">
        <w:t>from the data they could report</w:t>
      </w:r>
      <w:r w:rsidR="0BCD06D1">
        <w:t>.</w:t>
      </w:r>
      <w:r>
        <w:t xml:space="preserve"> </w:t>
      </w:r>
    </w:p>
    <w:p w:rsidR="00E03811" w:rsidRPr="009D4B69" w:rsidP="00E03811" w14:paraId="4BEE688C" w14:textId="095BEDA7">
      <w:pPr>
        <w:rPr>
          <w:b/>
          <w:bCs/>
          <w:u w:val="single"/>
        </w:rPr>
      </w:pPr>
      <w:r>
        <w:rPr>
          <w:b/>
          <w:bCs/>
          <w:u w:val="single"/>
        </w:rPr>
        <w:t xml:space="preserve">Second Round of </w:t>
      </w:r>
      <w:r w:rsidRPr="009D4B69">
        <w:rPr>
          <w:b/>
          <w:bCs/>
          <w:u w:val="single"/>
        </w:rPr>
        <w:t>Pretesting Initiative</w:t>
      </w:r>
      <w:r>
        <w:rPr>
          <w:b/>
          <w:bCs/>
          <w:u w:val="single"/>
        </w:rPr>
        <w:t>s</w:t>
      </w:r>
    </w:p>
    <w:p w:rsidR="003E50D1" w:rsidRPr="0012141D" w:rsidP="003E50D1" w14:paraId="08A6CF91" w14:textId="50FF9BFF">
      <w:r w:rsidRPr="0012141D">
        <w:t xml:space="preserve">EIA conducted </w:t>
      </w:r>
      <w:r w:rsidR="00D57E3B">
        <w:t xml:space="preserve">additional </w:t>
      </w:r>
      <w:r w:rsidRPr="0012141D">
        <w:t xml:space="preserve">exploratory unmoderated online interviews with a sample of utilities to </w:t>
      </w:r>
      <w:r w:rsidR="00260BA4">
        <w:t>follow-</w:t>
      </w:r>
      <w:r w:rsidR="00E21505">
        <w:t xml:space="preserve">up </w:t>
      </w:r>
      <w:r w:rsidR="00F10343">
        <w:t>on outstanding question</w:t>
      </w:r>
      <w:r w:rsidR="00560612">
        <w:t xml:space="preserve">s identified during the </w:t>
      </w:r>
      <w:r w:rsidR="00B31DCE">
        <w:t>pilot study</w:t>
      </w:r>
      <w:r w:rsidR="0057076E">
        <w:t xml:space="preserve">, such as </w:t>
      </w:r>
      <w:r w:rsidRPr="0057076E" w:rsidR="0057076E">
        <w:t>the timing of utility final notices and disconnections, disconnection moratoriums,</w:t>
      </w:r>
      <w:r w:rsidR="0057076E">
        <w:t xml:space="preserve"> and</w:t>
      </w:r>
      <w:r w:rsidRPr="0057076E" w:rsidR="0057076E">
        <w:t xml:space="preserve"> the proper question wording for asking about customer disconnections</w:t>
      </w:r>
      <w:r>
        <w:t xml:space="preserve">. </w:t>
      </w:r>
      <w:r w:rsidRPr="0012141D">
        <w:t xml:space="preserve">The exploratory unmoderated online interviews were conducted using </w:t>
      </w:r>
      <w:r w:rsidRPr="0012141D">
        <w:t>Qualtrics in the summer of 2024. A sample of 152 electric, natural gas, and dual-service utilities that responded to the 2023 pilot survey were asked to participate in an interview, and 42 utilities partially or fully completed an interview for a response rate of 29.6%</w:t>
      </w:r>
      <w:r w:rsidR="002F2651">
        <w:t xml:space="preserve"> </w:t>
      </w:r>
      <w:r w:rsidR="00941573">
        <w:t>(AAPOR RR6).</w:t>
      </w:r>
      <w:r>
        <w:rPr>
          <w:rStyle w:val="FootnoteReference"/>
        </w:rPr>
        <w:footnoteReference w:id="4"/>
      </w:r>
      <w:r w:rsidRPr="0012141D">
        <w:t xml:space="preserve"> </w:t>
      </w:r>
    </w:p>
    <w:p w:rsidR="005A0169" w:rsidP="005A0169" w14:paraId="264E5F1F" w14:textId="7CFF825B">
      <w:r>
        <w:t>The findings demonstrate that m</w:t>
      </w:r>
      <w:r w:rsidRPr="0012141D">
        <w:t xml:space="preserve">ost respondents send final notices to residential customers within a month of nonpayment, and most of these respondents send the notices within two weeks of nonpayment. </w:t>
      </w:r>
      <w:r>
        <w:t>Furthermore, t</w:t>
      </w:r>
      <w:r w:rsidRPr="0012141D">
        <w:t>he amount of time between respondents’ residential customer nonpayment and final notices, between final notices and disconnections, and between disconnections and reconnections should be sufficient for collecting information about each but they may occur in the same or different months due to the timeframes and billing cycles (e.g., a final notice, disconnection, and reconnection could occur in one month or over the course of three or more months). </w:t>
      </w:r>
      <w:r>
        <w:t>The results also showed that m</w:t>
      </w:r>
      <w:r w:rsidRPr="0012141D">
        <w:t xml:space="preserve">ost respondents have customer disconnection moratoriums, and most moratoriums are based on temperatures or occur on single days or weekends instead of a longer timeframe like winter or summer. </w:t>
      </w:r>
      <w:r>
        <w:t>Lastly, m</w:t>
      </w:r>
      <w:r w:rsidRPr="0012141D">
        <w:t xml:space="preserve">ost respondents understood the request for residential customer disconnections to include only the customers whose disconnection occurred during the month they are reporting for. </w:t>
      </w:r>
      <w:r w:rsidRPr="0012141D">
        <w:t> </w:t>
      </w:r>
    </w:p>
    <w:p w:rsidR="003A4709" w:rsidP="00300486" w14:paraId="589AF3BB" w14:textId="77777777">
      <w:pPr>
        <w:rPr>
          <w:rFonts w:ascii="Calibri" w:eastAsia="Calibri" w:hAnsi="Calibri" w:cs="Calibri"/>
          <w:color w:val="000000" w:themeColor="text1"/>
        </w:rPr>
      </w:pPr>
    </w:p>
    <w:p w:rsidR="003A4709" w:rsidP="00300486" w14:paraId="1B98F8E0" w14:textId="7626C3BF">
      <w:pPr>
        <w:rPr>
          <w:rFonts w:ascii="Calibri" w:eastAsia="Calibri" w:hAnsi="Calibri" w:cs="Calibri"/>
          <w:b/>
          <w:bCs/>
          <w:color w:val="000000" w:themeColor="text1"/>
        </w:rPr>
      </w:pPr>
      <w:r>
        <w:rPr>
          <w:rFonts w:ascii="Calibri" w:eastAsia="Calibri" w:hAnsi="Calibri" w:cs="Calibri"/>
          <w:b/>
          <w:bCs/>
          <w:color w:val="000000" w:themeColor="text1"/>
        </w:rPr>
        <w:t>60 Day Federal Register Notice</w:t>
      </w:r>
    </w:p>
    <w:p w:rsidR="005E51A3" w:rsidP="00300486" w14:paraId="74DAF9D4" w14:textId="0DC27F33">
      <w:pPr>
        <w:rPr>
          <w:rFonts w:ascii="Calibri" w:eastAsia="Calibri" w:hAnsi="Calibri" w:cs="Calibri"/>
          <w:color w:val="000000" w:themeColor="text1"/>
        </w:rPr>
      </w:pPr>
      <w:r w:rsidRPr="00830453">
        <w:rPr>
          <w:rFonts w:ascii="Calibri" w:eastAsia="Calibri" w:hAnsi="Calibri" w:cs="Calibri"/>
          <w:color w:val="000000" w:themeColor="text1"/>
        </w:rPr>
        <w:t>EIA published a 60-day Federal Register Notice at 8</w:t>
      </w:r>
      <w:r w:rsidR="001B6D24">
        <w:rPr>
          <w:rFonts w:ascii="Calibri" w:eastAsia="Calibri" w:hAnsi="Calibri" w:cs="Calibri"/>
          <w:color w:val="000000" w:themeColor="text1"/>
        </w:rPr>
        <w:t>9</w:t>
      </w:r>
      <w:r w:rsidRPr="00E03811">
        <w:rPr>
          <w:rFonts w:ascii="Calibri" w:eastAsia="Calibri" w:hAnsi="Calibri" w:cs="Calibri"/>
          <w:color w:val="000000" w:themeColor="text1"/>
        </w:rPr>
        <w:t xml:space="preserve"> Fed. Reg. </w:t>
      </w:r>
      <w:r w:rsidR="00664EC9">
        <w:rPr>
          <w:rFonts w:ascii="Calibri" w:eastAsia="Calibri" w:hAnsi="Calibri" w:cs="Calibri"/>
          <w:color w:val="000000" w:themeColor="text1"/>
        </w:rPr>
        <w:t>11</w:t>
      </w:r>
      <w:r w:rsidRPr="00E03811">
        <w:rPr>
          <w:rFonts w:ascii="Calibri" w:eastAsia="Calibri" w:hAnsi="Calibri" w:cs="Calibri"/>
          <w:color w:val="000000" w:themeColor="text1"/>
        </w:rPr>
        <w:t>9 (</w:t>
      </w:r>
      <w:r w:rsidR="00664EC9">
        <w:rPr>
          <w:rFonts w:ascii="Calibri" w:eastAsia="Calibri" w:hAnsi="Calibri" w:cs="Calibri"/>
          <w:color w:val="000000" w:themeColor="text1"/>
        </w:rPr>
        <w:t>June</w:t>
      </w:r>
      <w:r w:rsidRPr="00E03811">
        <w:rPr>
          <w:rFonts w:ascii="Calibri" w:eastAsia="Calibri" w:hAnsi="Calibri" w:cs="Calibri"/>
          <w:color w:val="000000" w:themeColor="text1"/>
        </w:rPr>
        <w:t xml:space="preserve"> </w:t>
      </w:r>
      <w:r w:rsidR="00664EC9">
        <w:rPr>
          <w:rFonts w:ascii="Calibri" w:eastAsia="Calibri" w:hAnsi="Calibri" w:cs="Calibri"/>
          <w:color w:val="000000" w:themeColor="text1"/>
        </w:rPr>
        <w:t>20</w:t>
      </w:r>
      <w:r w:rsidRPr="00E03811">
        <w:rPr>
          <w:rFonts w:ascii="Calibri" w:eastAsia="Calibri" w:hAnsi="Calibri" w:cs="Calibri"/>
          <w:color w:val="000000" w:themeColor="text1"/>
        </w:rPr>
        <w:t>, 202</w:t>
      </w:r>
      <w:r w:rsidR="00664EC9">
        <w:rPr>
          <w:rFonts w:ascii="Calibri" w:eastAsia="Calibri" w:hAnsi="Calibri" w:cs="Calibri"/>
          <w:color w:val="000000" w:themeColor="text1"/>
        </w:rPr>
        <w:t>4</w:t>
      </w:r>
      <w:r w:rsidRPr="00E03811">
        <w:rPr>
          <w:rFonts w:ascii="Calibri" w:eastAsia="Calibri" w:hAnsi="Calibri" w:cs="Calibri"/>
          <w:color w:val="000000" w:themeColor="text1"/>
        </w:rPr>
        <w:t>)</w:t>
      </w:r>
      <w:r w:rsidR="00EA635C">
        <w:rPr>
          <w:rFonts w:ascii="Calibri" w:eastAsia="Calibri" w:hAnsi="Calibri" w:cs="Calibri"/>
          <w:color w:val="000000" w:themeColor="text1"/>
        </w:rPr>
        <w:t xml:space="preserve"> announcing the </w:t>
      </w:r>
      <w:r w:rsidR="0019561C">
        <w:rPr>
          <w:rFonts w:ascii="Calibri" w:eastAsia="Calibri" w:hAnsi="Calibri" w:cs="Calibri"/>
          <w:color w:val="000000" w:themeColor="text1"/>
        </w:rPr>
        <w:t>new EIA-112 Residential Utility Disconnections Survey</w:t>
      </w:r>
      <w:r w:rsidR="00D122EB">
        <w:rPr>
          <w:rFonts w:ascii="Calibri" w:eastAsia="Calibri" w:hAnsi="Calibri" w:cs="Calibri"/>
          <w:color w:val="000000" w:themeColor="text1"/>
        </w:rPr>
        <w:t xml:space="preserve"> (RUDS)</w:t>
      </w:r>
      <w:r w:rsidR="00143272">
        <w:rPr>
          <w:rFonts w:ascii="Calibri" w:eastAsia="Calibri" w:hAnsi="Calibri" w:cs="Calibri"/>
          <w:color w:val="000000" w:themeColor="text1"/>
        </w:rPr>
        <w:t xml:space="preserve">. </w:t>
      </w:r>
      <w:r w:rsidRPr="008A5DEF" w:rsidR="008A5DEF">
        <w:rPr>
          <w:rFonts w:ascii="Calibri" w:eastAsia="Calibri" w:hAnsi="Calibri" w:cs="Calibri"/>
          <w:color w:val="000000" w:themeColor="text1"/>
        </w:rPr>
        <w:t>In response, EIA received</w:t>
      </w:r>
      <w:r w:rsidR="00FD6D62">
        <w:rPr>
          <w:rFonts w:ascii="Calibri" w:eastAsia="Calibri" w:hAnsi="Calibri" w:cs="Calibri"/>
          <w:color w:val="000000" w:themeColor="text1"/>
        </w:rPr>
        <w:t xml:space="preserve"> 70</w:t>
      </w:r>
      <w:r w:rsidRPr="008A5DEF" w:rsidR="008A5DEF">
        <w:rPr>
          <w:rFonts w:ascii="Calibri" w:eastAsia="Calibri" w:hAnsi="Calibri" w:cs="Calibri"/>
          <w:color w:val="000000" w:themeColor="text1"/>
        </w:rPr>
        <w:t xml:space="preserve"> substantive comments from </w:t>
      </w:r>
      <w:r w:rsidR="00FD6D62">
        <w:rPr>
          <w:rFonts w:ascii="Calibri" w:eastAsia="Calibri" w:hAnsi="Calibri" w:cs="Calibri"/>
          <w:color w:val="000000" w:themeColor="text1"/>
        </w:rPr>
        <w:t>the public</w:t>
      </w:r>
      <w:r w:rsidR="00B01220">
        <w:rPr>
          <w:rFonts w:ascii="Calibri" w:eastAsia="Calibri" w:hAnsi="Calibri" w:cs="Calibri"/>
          <w:color w:val="000000" w:themeColor="text1"/>
        </w:rPr>
        <w:t xml:space="preserve">, 67 supporting the survey and </w:t>
      </w:r>
      <w:r w:rsidR="003620CF">
        <w:rPr>
          <w:rFonts w:ascii="Calibri" w:eastAsia="Calibri" w:hAnsi="Calibri" w:cs="Calibri"/>
          <w:color w:val="000000" w:themeColor="text1"/>
        </w:rPr>
        <w:t xml:space="preserve">3 </w:t>
      </w:r>
      <w:r w:rsidR="00D0350A">
        <w:rPr>
          <w:rFonts w:ascii="Calibri" w:eastAsia="Calibri" w:hAnsi="Calibri" w:cs="Calibri"/>
          <w:color w:val="000000" w:themeColor="text1"/>
        </w:rPr>
        <w:t>opposed</w:t>
      </w:r>
      <w:r w:rsidR="007304AE">
        <w:rPr>
          <w:rFonts w:ascii="Calibri" w:eastAsia="Calibri" w:hAnsi="Calibri" w:cs="Calibri"/>
          <w:color w:val="000000" w:themeColor="text1"/>
        </w:rPr>
        <w:t>.</w:t>
      </w:r>
    </w:p>
    <w:p w:rsidR="00815306" w:rsidP="00300486" w14:paraId="2C8BE05E" w14:textId="542FD355">
      <w:pPr>
        <w:rPr>
          <w:rFonts w:ascii="Calibri" w:eastAsia="Calibri" w:hAnsi="Calibri" w:cs="Calibri"/>
          <w:color w:val="000000" w:themeColor="text1"/>
        </w:rPr>
      </w:pPr>
      <w:r>
        <w:rPr>
          <w:rFonts w:ascii="Calibri" w:eastAsia="Calibri" w:hAnsi="Calibri" w:cs="Calibri"/>
          <w:color w:val="000000" w:themeColor="text1"/>
        </w:rPr>
        <w:t xml:space="preserve">The supporting comments came from three </w:t>
      </w:r>
      <w:r w:rsidR="00C96204">
        <w:rPr>
          <w:rFonts w:ascii="Calibri" w:eastAsia="Calibri" w:hAnsi="Calibri" w:cs="Calibri"/>
          <w:color w:val="000000" w:themeColor="text1"/>
        </w:rPr>
        <w:t xml:space="preserve">groups, the general public, </w:t>
      </w:r>
      <w:r w:rsidR="007674C4">
        <w:rPr>
          <w:rFonts w:ascii="Calibri" w:eastAsia="Calibri" w:hAnsi="Calibri" w:cs="Calibri"/>
          <w:color w:val="000000" w:themeColor="text1"/>
        </w:rPr>
        <w:t>advoc</w:t>
      </w:r>
      <w:r w:rsidR="005B4240">
        <w:rPr>
          <w:rFonts w:ascii="Calibri" w:eastAsia="Calibri" w:hAnsi="Calibri" w:cs="Calibri"/>
          <w:color w:val="000000" w:themeColor="text1"/>
        </w:rPr>
        <w:t xml:space="preserve">acy groups </w:t>
      </w:r>
      <w:r w:rsidR="002D4C56">
        <w:rPr>
          <w:rFonts w:ascii="Calibri" w:eastAsia="Calibri" w:hAnsi="Calibri" w:cs="Calibri"/>
          <w:color w:val="000000" w:themeColor="text1"/>
        </w:rPr>
        <w:t xml:space="preserve">and </w:t>
      </w:r>
      <w:r w:rsidR="00E06A0F">
        <w:rPr>
          <w:rFonts w:ascii="Calibri" w:eastAsia="Calibri" w:hAnsi="Calibri" w:cs="Calibri"/>
          <w:color w:val="000000" w:themeColor="text1"/>
        </w:rPr>
        <w:t>state o</w:t>
      </w:r>
      <w:r w:rsidR="00DC6026">
        <w:rPr>
          <w:rFonts w:ascii="Calibri" w:eastAsia="Calibri" w:hAnsi="Calibri" w:cs="Calibri"/>
          <w:color w:val="000000" w:themeColor="text1"/>
        </w:rPr>
        <w:t>r</w:t>
      </w:r>
      <w:r w:rsidR="00E06A0F">
        <w:rPr>
          <w:rFonts w:ascii="Calibri" w:eastAsia="Calibri" w:hAnsi="Calibri" w:cs="Calibri"/>
          <w:color w:val="000000" w:themeColor="text1"/>
        </w:rPr>
        <w:t xml:space="preserve"> federal </w:t>
      </w:r>
      <w:r w:rsidR="00DD4384">
        <w:rPr>
          <w:rFonts w:ascii="Calibri" w:eastAsia="Calibri" w:hAnsi="Calibri" w:cs="Calibri"/>
          <w:color w:val="000000" w:themeColor="text1"/>
        </w:rPr>
        <w:t>officials.</w:t>
      </w:r>
      <w:r w:rsidR="00DC6026">
        <w:rPr>
          <w:rFonts w:ascii="Calibri" w:eastAsia="Calibri" w:hAnsi="Calibri" w:cs="Calibri"/>
          <w:color w:val="000000" w:themeColor="text1"/>
        </w:rPr>
        <w:t xml:space="preserve"> </w:t>
      </w:r>
      <w:r w:rsidR="003F1062">
        <w:rPr>
          <w:rFonts w:ascii="Calibri" w:eastAsia="Calibri" w:hAnsi="Calibri" w:cs="Calibri"/>
          <w:color w:val="000000" w:themeColor="text1"/>
        </w:rPr>
        <w:t xml:space="preserve">The </w:t>
      </w:r>
      <w:r w:rsidR="00B5009B">
        <w:rPr>
          <w:rFonts w:ascii="Calibri" w:eastAsia="Calibri" w:hAnsi="Calibri" w:cs="Calibri"/>
          <w:color w:val="000000" w:themeColor="text1"/>
        </w:rPr>
        <w:t>most common type of comment came from the public</w:t>
      </w:r>
      <w:r w:rsidR="007F6A50">
        <w:rPr>
          <w:rFonts w:ascii="Calibri" w:eastAsia="Calibri" w:hAnsi="Calibri" w:cs="Calibri"/>
          <w:color w:val="000000" w:themeColor="text1"/>
        </w:rPr>
        <w:t>,</w:t>
      </w:r>
      <w:r w:rsidR="00FD10D8">
        <w:rPr>
          <w:rFonts w:ascii="Calibri" w:eastAsia="Calibri" w:hAnsi="Calibri" w:cs="Calibri"/>
          <w:color w:val="000000" w:themeColor="text1"/>
        </w:rPr>
        <w:t xml:space="preserve"> they were </w:t>
      </w:r>
      <w:r w:rsidR="00491666">
        <w:rPr>
          <w:rFonts w:ascii="Calibri" w:eastAsia="Calibri" w:hAnsi="Calibri" w:cs="Calibri"/>
          <w:color w:val="000000" w:themeColor="text1"/>
        </w:rPr>
        <w:t xml:space="preserve">in favor of the </w:t>
      </w:r>
      <w:r w:rsidR="002D7657">
        <w:rPr>
          <w:rFonts w:ascii="Calibri" w:eastAsia="Calibri" w:hAnsi="Calibri" w:cs="Calibri"/>
          <w:color w:val="000000" w:themeColor="text1"/>
        </w:rPr>
        <w:t>survey and</w:t>
      </w:r>
      <w:r w:rsidR="0073482C">
        <w:rPr>
          <w:rFonts w:ascii="Calibri" w:eastAsia="Calibri" w:hAnsi="Calibri" w:cs="Calibri"/>
          <w:color w:val="000000" w:themeColor="text1"/>
        </w:rPr>
        <w:t xml:space="preserve"> </w:t>
      </w:r>
      <w:r w:rsidR="002D7657">
        <w:rPr>
          <w:rFonts w:ascii="Calibri" w:eastAsia="Calibri" w:hAnsi="Calibri" w:cs="Calibri"/>
          <w:color w:val="000000" w:themeColor="text1"/>
        </w:rPr>
        <w:t xml:space="preserve">did not </w:t>
      </w:r>
      <w:r w:rsidR="00CF1051">
        <w:rPr>
          <w:rFonts w:ascii="Calibri" w:eastAsia="Calibri" w:hAnsi="Calibri" w:cs="Calibri"/>
          <w:color w:val="000000" w:themeColor="text1"/>
        </w:rPr>
        <w:t>ask for any additional questions</w:t>
      </w:r>
      <w:r w:rsidR="00604848">
        <w:rPr>
          <w:rFonts w:ascii="Calibri" w:eastAsia="Calibri" w:hAnsi="Calibri" w:cs="Calibri"/>
          <w:color w:val="000000" w:themeColor="text1"/>
        </w:rPr>
        <w:t>, there were 35</w:t>
      </w:r>
      <w:r w:rsidR="00787647">
        <w:rPr>
          <w:rFonts w:ascii="Calibri" w:eastAsia="Calibri" w:hAnsi="Calibri" w:cs="Calibri"/>
          <w:color w:val="000000" w:themeColor="text1"/>
        </w:rPr>
        <w:t xml:space="preserve"> in t</w:t>
      </w:r>
      <w:r w:rsidR="00666A97">
        <w:rPr>
          <w:rFonts w:ascii="Calibri" w:eastAsia="Calibri" w:hAnsi="Calibri" w:cs="Calibri"/>
          <w:color w:val="000000" w:themeColor="text1"/>
        </w:rPr>
        <w:t>o</w:t>
      </w:r>
      <w:r w:rsidR="00787647">
        <w:rPr>
          <w:rFonts w:ascii="Calibri" w:eastAsia="Calibri" w:hAnsi="Calibri" w:cs="Calibri"/>
          <w:color w:val="000000" w:themeColor="text1"/>
        </w:rPr>
        <w:t>tal</w:t>
      </w:r>
      <w:r w:rsidR="00451065">
        <w:rPr>
          <w:rFonts w:ascii="Calibri" w:eastAsia="Calibri" w:hAnsi="Calibri" w:cs="Calibri"/>
          <w:color w:val="000000" w:themeColor="text1"/>
        </w:rPr>
        <w:t xml:space="preserve">. </w:t>
      </w:r>
      <w:r w:rsidR="00173B33">
        <w:rPr>
          <w:rFonts w:ascii="Calibri" w:eastAsia="Calibri" w:hAnsi="Calibri" w:cs="Calibri"/>
          <w:color w:val="000000" w:themeColor="text1"/>
        </w:rPr>
        <w:t xml:space="preserve">The remaining 32 </w:t>
      </w:r>
      <w:r w:rsidR="0059226A">
        <w:rPr>
          <w:rFonts w:ascii="Calibri" w:eastAsia="Calibri" w:hAnsi="Calibri" w:cs="Calibri"/>
          <w:color w:val="000000" w:themeColor="text1"/>
        </w:rPr>
        <w:t>co</w:t>
      </w:r>
      <w:r w:rsidR="0030163F">
        <w:rPr>
          <w:rFonts w:ascii="Calibri" w:eastAsia="Calibri" w:hAnsi="Calibri" w:cs="Calibri"/>
          <w:color w:val="000000" w:themeColor="text1"/>
        </w:rPr>
        <w:t xml:space="preserve">mments wanted </w:t>
      </w:r>
      <w:r w:rsidR="003C4DD7">
        <w:rPr>
          <w:rFonts w:ascii="Calibri" w:eastAsia="Calibri" w:hAnsi="Calibri" w:cs="Calibri"/>
          <w:color w:val="000000" w:themeColor="text1"/>
        </w:rPr>
        <w:t xml:space="preserve">more data collected from the utilities. </w:t>
      </w:r>
      <w:r w:rsidR="00A11DD0">
        <w:rPr>
          <w:rFonts w:ascii="Calibri" w:eastAsia="Calibri" w:hAnsi="Calibri" w:cs="Calibri"/>
          <w:color w:val="000000" w:themeColor="text1"/>
        </w:rPr>
        <w:t xml:space="preserve">Twenty-three </w:t>
      </w:r>
      <w:r w:rsidR="00B06F94">
        <w:rPr>
          <w:rFonts w:ascii="Calibri" w:eastAsia="Calibri" w:hAnsi="Calibri" w:cs="Calibri"/>
          <w:color w:val="000000" w:themeColor="text1"/>
        </w:rPr>
        <w:t>comment</w:t>
      </w:r>
      <w:r w:rsidR="00F05015">
        <w:rPr>
          <w:rFonts w:ascii="Calibri" w:eastAsia="Calibri" w:hAnsi="Calibri" w:cs="Calibri"/>
          <w:color w:val="000000" w:themeColor="text1"/>
        </w:rPr>
        <w:t>or</w:t>
      </w:r>
      <w:r w:rsidR="00B06F94">
        <w:rPr>
          <w:rFonts w:ascii="Calibri" w:eastAsia="Calibri" w:hAnsi="Calibri" w:cs="Calibri"/>
          <w:color w:val="000000" w:themeColor="text1"/>
        </w:rPr>
        <w:t xml:space="preserve">s </w:t>
      </w:r>
      <w:r w:rsidR="00616B53">
        <w:rPr>
          <w:rFonts w:ascii="Calibri" w:eastAsia="Calibri" w:hAnsi="Calibri" w:cs="Calibri"/>
          <w:color w:val="000000" w:themeColor="text1"/>
        </w:rPr>
        <w:t>wanted s</w:t>
      </w:r>
      <w:r w:rsidR="001C653F">
        <w:rPr>
          <w:rFonts w:ascii="Calibri" w:eastAsia="Calibri" w:hAnsi="Calibri" w:cs="Calibri"/>
          <w:color w:val="000000" w:themeColor="text1"/>
        </w:rPr>
        <w:t xml:space="preserve">maller geographic </w:t>
      </w:r>
      <w:r w:rsidR="00DC5602">
        <w:rPr>
          <w:rFonts w:ascii="Calibri" w:eastAsia="Calibri" w:hAnsi="Calibri" w:cs="Calibri"/>
          <w:color w:val="000000" w:themeColor="text1"/>
        </w:rPr>
        <w:t>data such a</w:t>
      </w:r>
      <w:r w:rsidR="00591CDD">
        <w:rPr>
          <w:rFonts w:ascii="Calibri" w:eastAsia="Calibri" w:hAnsi="Calibri" w:cs="Calibri"/>
          <w:color w:val="000000" w:themeColor="text1"/>
        </w:rPr>
        <w:t>s zip codes or census tra</w:t>
      </w:r>
      <w:r w:rsidR="00570342">
        <w:rPr>
          <w:rFonts w:ascii="Calibri" w:eastAsia="Calibri" w:hAnsi="Calibri" w:cs="Calibri"/>
          <w:color w:val="000000" w:themeColor="text1"/>
        </w:rPr>
        <w:t>c</w:t>
      </w:r>
      <w:r w:rsidR="00591CDD">
        <w:rPr>
          <w:rFonts w:ascii="Calibri" w:eastAsia="Calibri" w:hAnsi="Calibri" w:cs="Calibri"/>
          <w:color w:val="000000" w:themeColor="text1"/>
        </w:rPr>
        <w:t>t data</w:t>
      </w:r>
      <w:r w:rsidR="009361FE">
        <w:rPr>
          <w:rFonts w:ascii="Calibri" w:eastAsia="Calibri" w:hAnsi="Calibri" w:cs="Calibri"/>
          <w:color w:val="000000" w:themeColor="text1"/>
        </w:rPr>
        <w:t xml:space="preserve"> to be collected</w:t>
      </w:r>
      <w:r w:rsidR="005E52E5">
        <w:rPr>
          <w:rFonts w:ascii="Calibri" w:eastAsia="Calibri" w:hAnsi="Calibri" w:cs="Calibri"/>
          <w:color w:val="000000" w:themeColor="text1"/>
        </w:rPr>
        <w:t>.</w:t>
      </w:r>
      <w:r w:rsidR="00430176">
        <w:rPr>
          <w:rFonts w:ascii="Calibri" w:eastAsia="Calibri" w:hAnsi="Calibri" w:cs="Calibri"/>
          <w:color w:val="000000" w:themeColor="text1"/>
        </w:rPr>
        <w:t xml:space="preserve"> </w:t>
      </w:r>
      <w:r w:rsidR="00DF400B">
        <w:rPr>
          <w:rFonts w:ascii="Calibri" w:eastAsia="Calibri" w:hAnsi="Calibri" w:cs="Calibri"/>
          <w:color w:val="000000" w:themeColor="text1"/>
        </w:rPr>
        <w:t>There were also requests for more in</w:t>
      </w:r>
      <w:r w:rsidR="006466E8">
        <w:rPr>
          <w:rFonts w:ascii="Calibri" w:eastAsia="Calibri" w:hAnsi="Calibri" w:cs="Calibri"/>
          <w:color w:val="000000" w:themeColor="text1"/>
        </w:rPr>
        <w:t xml:space="preserve">formation </w:t>
      </w:r>
      <w:r w:rsidR="006201B6">
        <w:rPr>
          <w:rFonts w:ascii="Calibri" w:eastAsia="Calibri" w:hAnsi="Calibri" w:cs="Calibri"/>
          <w:color w:val="000000" w:themeColor="text1"/>
        </w:rPr>
        <w:t xml:space="preserve">on </w:t>
      </w:r>
      <w:r w:rsidR="0094161A">
        <w:rPr>
          <w:rFonts w:ascii="Calibri" w:eastAsia="Calibri" w:hAnsi="Calibri" w:cs="Calibri"/>
          <w:color w:val="000000" w:themeColor="text1"/>
        </w:rPr>
        <w:t>arrearages (debt)</w:t>
      </w:r>
      <w:r w:rsidR="00D667A8">
        <w:rPr>
          <w:rFonts w:ascii="Calibri" w:eastAsia="Calibri" w:hAnsi="Calibri" w:cs="Calibri"/>
          <w:color w:val="000000" w:themeColor="text1"/>
        </w:rPr>
        <w:t xml:space="preserve">, </w:t>
      </w:r>
      <w:r w:rsidR="006201B6">
        <w:rPr>
          <w:rFonts w:ascii="Calibri" w:eastAsia="Calibri" w:hAnsi="Calibri" w:cs="Calibri"/>
          <w:color w:val="000000" w:themeColor="text1"/>
        </w:rPr>
        <w:t xml:space="preserve">disconnection lengths, </w:t>
      </w:r>
      <w:r w:rsidR="00C2780A">
        <w:rPr>
          <w:rFonts w:ascii="Calibri" w:eastAsia="Calibri" w:hAnsi="Calibri" w:cs="Calibri"/>
          <w:color w:val="000000" w:themeColor="text1"/>
        </w:rPr>
        <w:t>alternate payment plans</w:t>
      </w:r>
      <w:r w:rsidR="00834DEC">
        <w:rPr>
          <w:rFonts w:ascii="Calibri" w:eastAsia="Calibri" w:hAnsi="Calibri" w:cs="Calibri"/>
          <w:color w:val="000000" w:themeColor="text1"/>
        </w:rPr>
        <w:t xml:space="preserve"> and more demographic and </w:t>
      </w:r>
      <w:r w:rsidR="004E078B">
        <w:rPr>
          <w:rFonts w:ascii="Calibri" w:eastAsia="Calibri" w:hAnsi="Calibri" w:cs="Calibri"/>
          <w:color w:val="000000" w:themeColor="text1"/>
        </w:rPr>
        <w:t xml:space="preserve">economic </w:t>
      </w:r>
      <w:r w:rsidR="003B79FD">
        <w:rPr>
          <w:rFonts w:ascii="Calibri" w:eastAsia="Calibri" w:hAnsi="Calibri" w:cs="Calibri"/>
          <w:color w:val="000000" w:themeColor="text1"/>
        </w:rPr>
        <w:t xml:space="preserve">data </w:t>
      </w:r>
      <w:r w:rsidR="004C39E4">
        <w:rPr>
          <w:rFonts w:ascii="Calibri" w:eastAsia="Calibri" w:hAnsi="Calibri" w:cs="Calibri"/>
          <w:color w:val="000000" w:themeColor="text1"/>
        </w:rPr>
        <w:t xml:space="preserve">about </w:t>
      </w:r>
      <w:r w:rsidR="007C7982">
        <w:rPr>
          <w:rFonts w:ascii="Calibri" w:eastAsia="Calibri" w:hAnsi="Calibri" w:cs="Calibri"/>
          <w:color w:val="000000" w:themeColor="text1"/>
        </w:rPr>
        <w:t>customers.</w:t>
      </w:r>
    </w:p>
    <w:p w:rsidR="00D0350A" w:rsidP="00300486" w14:paraId="6F71454D" w14:textId="513A8E16">
      <w:pPr>
        <w:rPr>
          <w:rFonts w:ascii="Calibri" w:eastAsia="Calibri" w:hAnsi="Calibri" w:cs="Calibri"/>
          <w:color w:val="000000" w:themeColor="text1"/>
        </w:rPr>
      </w:pPr>
      <w:r>
        <w:rPr>
          <w:rFonts w:ascii="Calibri" w:eastAsia="Calibri" w:hAnsi="Calibri" w:cs="Calibri"/>
          <w:color w:val="000000" w:themeColor="text1"/>
        </w:rPr>
        <w:t xml:space="preserve"> </w:t>
      </w:r>
      <w:r w:rsidR="000806BA">
        <w:rPr>
          <w:rFonts w:ascii="Calibri" w:eastAsia="Calibri" w:hAnsi="Calibri" w:cs="Calibri"/>
          <w:color w:val="000000" w:themeColor="text1"/>
        </w:rPr>
        <w:t xml:space="preserve">EIA addressed these </w:t>
      </w:r>
      <w:r w:rsidR="001B6297">
        <w:rPr>
          <w:rFonts w:ascii="Calibri" w:eastAsia="Calibri" w:hAnsi="Calibri" w:cs="Calibri"/>
          <w:color w:val="000000" w:themeColor="text1"/>
        </w:rPr>
        <w:t xml:space="preserve">comments </w:t>
      </w:r>
      <w:r w:rsidR="005D6A8C">
        <w:rPr>
          <w:rFonts w:ascii="Calibri" w:eastAsia="Calibri" w:hAnsi="Calibri" w:cs="Calibri"/>
          <w:color w:val="000000" w:themeColor="text1"/>
        </w:rPr>
        <w:t xml:space="preserve">and explained </w:t>
      </w:r>
      <w:r w:rsidR="00737898">
        <w:rPr>
          <w:rFonts w:ascii="Calibri" w:eastAsia="Calibri" w:hAnsi="Calibri" w:cs="Calibri"/>
          <w:color w:val="000000" w:themeColor="text1"/>
        </w:rPr>
        <w:t xml:space="preserve">why </w:t>
      </w:r>
      <w:r w:rsidR="006828F6">
        <w:rPr>
          <w:rFonts w:ascii="Calibri" w:eastAsia="Calibri" w:hAnsi="Calibri" w:cs="Calibri"/>
          <w:color w:val="000000" w:themeColor="text1"/>
        </w:rPr>
        <w:t xml:space="preserve">the current questions were the ones </w:t>
      </w:r>
      <w:r w:rsidR="002520C7">
        <w:rPr>
          <w:rFonts w:ascii="Calibri" w:eastAsia="Calibri" w:hAnsi="Calibri" w:cs="Calibri"/>
          <w:color w:val="000000" w:themeColor="text1"/>
        </w:rPr>
        <w:t>that will be used for this clearan</w:t>
      </w:r>
      <w:r w:rsidR="00823A21">
        <w:rPr>
          <w:rFonts w:ascii="Calibri" w:eastAsia="Calibri" w:hAnsi="Calibri" w:cs="Calibri"/>
          <w:color w:val="000000" w:themeColor="text1"/>
        </w:rPr>
        <w:t xml:space="preserve">ce. </w:t>
      </w:r>
      <w:r w:rsidR="00CC049D">
        <w:rPr>
          <w:rFonts w:ascii="Calibri" w:eastAsia="Calibri" w:hAnsi="Calibri" w:cs="Calibri"/>
          <w:color w:val="000000" w:themeColor="text1"/>
        </w:rPr>
        <w:t xml:space="preserve">The pretesting and pilot study </w:t>
      </w:r>
      <w:r w:rsidR="00D015E0">
        <w:rPr>
          <w:rFonts w:ascii="Calibri" w:eastAsia="Calibri" w:hAnsi="Calibri" w:cs="Calibri"/>
          <w:color w:val="000000" w:themeColor="text1"/>
        </w:rPr>
        <w:t xml:space="preserve">showed that </w:t>
      </w:r>
      <w:r w:rsidR="00394283">
        <w:rPr>
          <w:rFonts w:ascii="Calibri" w:eastAsia="Calibri" w:hAnsi="Calibri" w:cs="Calibri"/>
          <w:color w:val="000000" w:themeColor="text1"/>
        </w:rPr>
        <w:t>finer grad</w:t>
      </w:r>
      <w:r w:rsidR="00A4397E">
        <w:rPr>
          <w:rFonts w:ascii="Calibri" w:eastAsia="Calibri" w:hAnsi="Calibri" w:cs="Calibri"/>
          <w:color w:val="000000" w:themeColor="text1"/>
        </w:rPr>
        <w:t xml:space="preserve">ation of </w:t>
      </w:r>
      <w:r w:rsidR="00876DE5">
        <w:rPr>
          <w:rFonts w:ascii="Calibri" w:eastAsia="Calibri" w:hAnsi="Calibri" w:cs="Calibri"/>
          <w:color w:val="000000" w:themeColor="text1"/>
        </w:rPr>
        <w:t xml:space="preserve">geographic data would be overly burdensome </w:t>
      </w:r>
      <w:r w:rsidR="00FE6493">
        <w:rPr>
          <w:rFonts w:ascii="Calibri" w:eastAsia="Calibri" w:hAnsi="Calibri" w:cs="Calibri"/>
          <w:color w:val="000000" w:themeColor="text1"/>
        </w:rPr>
        <w:t xml:space="preserve">to many utilities. </w:t>
      </w:r>
      <w:r w:rsidR="00DF7E96">
        <w:rPr>
          <w:rFonts w:ascii="Calibri" w:eastAsia="Calibri" w:hAnsi="Calibri" w:cs="Calibri"/>
          <w:color w:val="000000" w:themeColor="text1"/>
        </w:rPr>
        <w:t xml:space="preserve">The additional </w:t>
      </w:r>
      <w:r w:rsidR="009646BF">
        <w:rPr>
          <w:rFonts w:ascii="Calibri" w:eastAsia="Calibri" w:hAnsi="Calibri" w:cs="Calibri"/>
          <w:color w:val="000000" w:themeColor="text1"/>
        </w:rPr>
        <w:t xml:space="preserve">data requested </w:t>
      </w:r>
      <w:r w:rsidR="0072473B">
        <w:rPr>
          <w:rFonts w:ascii="Calibri" w:eastAsia="Calibri" w:hAnsi="Calibri" w:cs="Calibri"/>
          <w:color w:val="000000" w:themeColor="text1"/>
        </w:rPr>
        <w:t xml:space="preserve">would also be too burdensome </w:t>
      </w:r>
      <w:r w:rsidR="006D515D">
        <w:rPr>
          <w:rFonts w:ascii="Calibri" w:eastAsia="Calibri" w:hAnsi="Calibri" w:cs="Calibri"/>
          <w:color w:val="000000" w:themeColor="text1"/>
        </w:rPr>
        <w:t>for utilities</w:t>
      </w:r>
      <w:r w:rsidR="0072473B">
        <w:rPr>
          <w:rFonts w:ascii="Calibri" w:eastAsia="Calibri" w:hAnsi="Calibri" w:cs="Calibri"/>
          <w:color w:val="000000" w:themeColor="text1"/>
        </w:rPr>
        <w:t xml:space="preserve"> or was not tested </w:t>
      </w:r>
      <w:r w:rsidR="007C7A40">
        <w:rPr>
          <w:rFonts w:ascii="Calibri" w:eastAsia="Calibri" w:hAnsi="Calibri" w:cs="Calibri"/>
          <w:color w:val="000000" w:themeColor="text1"/>
        </w:rPr>
        <w:t>during this round of pretesting.</w:t>
      </w:r>
      <w:r w:rsidR="0072473B">
        <w:rPr>
          <w:rFonts w:ascii="Calibri" w:eastAsia="Calibri" w:hAnsi="Calibri" w:cs="Calibri"/>
          <w:color w:val="000000" w:themeColor="text1"/>
        </w:rPr>
        <w:t xml:space="preserve"> </w:t>
      </w:r>
    </w:p>
    <w:p w:rsidR="001375CC" w:rsidP="00300486" w14:paraId="56061177" w14:textId="42D0A4AC">
      <w:pPr>
        <w:rPr>
          <w:rFonts w:ascii="Calibri" w:eastAsia="Calibri" w:hAnsi="Calibri" w:cs="Calibri"/>
          <w:color w:val="000000" w:themeColor="text1"/>
        </w:rPr>
      </w:pPr>
      <w:r>
        <w:rPr>
          <w:rFonts w:ascii="Calibri" w:eastAsia="Calibri" w:hAnsi="Calibri" w:cs="Calibri"/>
          <w:color w:val="000000" w:themeColor="text1"/>
        </w:rPr>
        <w:t xml:space="preserve">There were 3 comments from utility trade groups that </w:t>
      </w:r>
      <w:r w:rsidR="002C2E7C">
        <w:rPr>
          <w:rFonts w:ascii="Calibri" w:eastAsia="Calibri" w:hAnsi="Calibri" w:cs="Calibri"/>
          <w:color w:val="000000" w:themeColor="text1"/>
        </w:rPr>
        <w:t xml:space="preserve">were opposed </w:t>
      </w:r>
      <w:r w:rsidR="00AB33CD">
        <w:rPr>
          <w:rFonts w:ascii="Calibri" w:eastAsia="Calibri" w:hAnsi="Calibri" w:cs="Calibri"/>
          <w:color w:val="000000" w:themeColor="text1"/>
        </w:rPr>
        <w:t xml:space="preserve">to approving this survey. </w:t>
      </w:r>
      <w:r w:rsidR="00F94E3E">
        <w:rPr>
          <w:rFonts w:ascii="Calibri" w:eastAsia="Calibri" w:hAnsi="Calibri" w:cs="Calibri"/>
          <w:color w:val="000000" w:themeColor="text1"/>
        </w:rPr>
        <w:t xml:space="preserve">They expressed concerns over </w:t>
      </w:r>
      <w:r w:rsidR="003E4C7B">
        <w:rPr>
          <w:rFonts w:ascii="Calibri" w:eastAsia="Calibri" w:hAnsi="Calibri" w:cs="Calibri"/>
          <w:color w:val="000000" w:themeColor="text1"/>
        </w:rPr>
        <w:t>burden</w:t>
      </w:r>
      <w:r w:rsidR="007540F0">
        <w:rPr>
          <w:rFonts w:ascii="Calibri" w:eastAsia="Calibri" w:hAnsi="Calibri" w:cs="Calibri"/>
          <w:color w:val="000000" w:themeColor="text1"/>
        </w:rPr>
        <w:t xml:space="preserve">, </w:t>
      </w:r>
      <w:r w:rsidR="004658D2">
        <w:rPr>
          <w:rFonts w:ascii="Calibri" w:eastAsia="Calibri" w:hAnsi="Calibri" w:cs="Calibri"/>
          <w:color w:val="000000" w:themeColor="text1"/>
        </w:rPr>
        <w:t>duplicative data collection</w:t>
      </w:r>
      <w:r w:rsidR="00B834C8">
        <w:rPr>
          <w:rFonts w:ascii="Calibri" w:eastAsia="Calibri" w:hAnsi="Calibri" w:cs="Calibri"/>
          <w:color w:val="000000" w:themeColor="text1"/>
        </w:rPr>
        <w:t xml:space="preserve"> and </w:t>
      </w:r>
      <w:r w:rsidR="00D5182B">
        <w:rPr>
          <w:rFonts w:ascii="Calibri" w:eastAsia="Calibri" w:hAnsi="Calibri" w:cs="Calibri"/>
          <w:color w:val="000000" w:themeColor="text1"/>
        </w:rPr>
        <w:t>misin</w:t>
      </w:r>
      <w:r w:rsidR="00CE4E23">
        <w:rPr>
          <w:rFonts w:ascii="Calibri" w:eastAsia="Calibri" w:hAnsi="Calibri" w:cs="Calibri"/>
          <w:color w:val="000000" w:themeColor="text1"/>
        </w:rPr>
        <w:t>terpre</w:t>
      </w:r>
      <w:r w:rsidR="00F71750">
        <w:rPr>
          <w:rFonts w:ascii="Calibri" w:eastAsia="Calibri" w:hAnsi="Calibri" w:cs="Calibri"/>
          <w:color w:val="000000" w:themeColor="text1"/>
        </w:rPr>
        <w:t xml:space="preserve">tation </w:t>
      </w:r>
      <w:r w:rsidR="00FD54E8">
        <w:rPr>
          <w:rFonts w:ascii="Calibri" w:eastAsia="Calibri" w:hAnsi="Calibri" w:cs="Calibri"/>
          <w:color w:val="000000" w:themeColor="text1"/>
        </w:rPr>
        <w:t xml:space="preserve">of the data. </w:t>
      </w:r>
      <w:r w:rsidR="00935075">
        <w:rPr>
          <w:rFonts w:ascii="Calibri" w:eastAsia="Calibri" w:hAnsi="Calibri" w:cs="Calibri"/>
          <w:color w:val="000000" w:themeColor="text1"/>
        </w:rPr>
        <w:t xml:space="preserve">Pretesting </w:t>
      </w:r>
      <w:r w:rsidR="003B33E4">
        <w:rPr>
          <w:rFonts w:ascii="Calibri" w:eastAsia="Calibri" w:hAnsi="Calibri" w:cs="Calibri"/>
          <w:color w:val="000000" w:themeColor="text1"/>
        </w:rPr>
        <w:t>was used to hel</w:t>
      </w:r>
      <w:r w:rsidR="00DE12D3">
        <w:rPr>
          <w:rFonts w:ascii="Calibri" w:eastAsia="Calibri" w:hAnsi="Calibri" w:cs="Calibri"/>
          <w:color w:val="000000" w:themeColor="text1"/>
        </w:rPr>
        <w:t xml:space="preserve">p determine the amount of burden </w:t>
      </w:r>
      <w:r w:rsidR="00A821B7">
        <w:rPr>
          <w:rFonts w:ascii="Calibri" w:eastAsia="Calibri" w:hAnsi="Calibri" w:cs="Calibri"/>
          <w:color w:val="000000" w:themeColor="text1"/>
        </w:rPr>
        <w:t>that would be imposed on utilities</w:t>
      </w:r>
      <w:r w:rsidR="005D7108">
        <w:rPr>
          <w:rFonts w:ascii="Calibri" w:eastAsia="Calibri" w:hAnsi="Calibri" w:cs="Calibri"/>
          <w:color w:val="000000" w:themeColor="text1"/>
        </w:rPr>
        <w:t xml:space="preserve"> and</w:t>
      </w:r>
      <w:r w:rsidR="00A821B7">
        <w:rPr>
          <w:rFonts w:ascii="Calibri" w:eastAsia="Calibri" w:hAnsi="Calibri" w:cs="Calibri"/>
          <w:color w:val="000000" w:themeColor="text1"/>
        </w:rPr>
        <w:t xml:space="preserve"> </w:t>
      </w:r>
      <w:r w:rsidR="005D7108">
        <w:rPr>
          <w:rFonts w:ascii="Calibri" w:eastAsia="Calibri" w:hAnsi="Calibri" w:cs="Calibri"/>
          <w:color w:val="000000" w:themeColor="text1"/>
        </w:rPr>
        <w:t>v</w:t>
      </w:r>
      <w:r w:rsidR="004D7E3D">
        <w:rPr>
          <w:rFonts w:ascii="Calibri" w:eastAsia="Calibri" w:hAnsi="Calibri" w:cs="Calibri"/>
          <w:color w:val="000000" w:themeColor="text1"/>
        </w:rPr>
        <w:t xml:space="preserve">ery small </w:t>
      </w:r>
      <w:r w:rsidR="005D7108">
        <w:rPr>
          <w:rFonts w:ascii="Calibri" w:eastAsia="Calibri" w:hAnsi="Calibri" w:cs="Calibri"/>
          <w:color w:val="000000" w:themeColor="text1"/>
        </w:rPr>
        <w:t>electric</w:t>
      </w:r>
      <w:r w:rsidR="004D7E3D">
        <w:rPr>
          <w:rFonts w:ascii="Calibri" w:eastAsia="Calibri" w:hAnsi="Calibri" w:cs="Calibri"/>
          <w:color w:val="000000" w:themeColor="text1"/>
        </w:rPr>
        <w:t xml:space="preserve"> utilities </w:t>
      </w:r>
      <w:r w:rsidR="000B5897">
        <w:rPr>
          <w:rFonts w:ascii="Calibri" w:eastAsia="Calibri" w:hAnsi="Calibri" w:cs="Calibri"/>
          <w:color w:val="000000" w:themeColor="text1"/>
        </w:rPr>
        <w:t xml:space="preserve">that filed the </w:t>
      </w:r>
      <w:r w:rsidR="00405F72">
        <w:rPr>
          <w:rFonts w:ascii="Calibri" w:eastAsia="Calibri" w:hAnsi="Calibri" w:cs="Calibri"/>
          <w:color w:val="000000" w:themeColor="text1"/>
        </w:rPr>
        <w:t>EIA-861S</w:t>
      </w:r>
      <w:r w:rsidR="00740366">
        <w:rPr>
          <w:rFonts w:ascii="Calibri" w:eastAsia="Calibri" w:hAnsi="Calibri" w:cs="Calibri"/>
          <w:color w:val="000000" w:themeColor="text1"/>
        </w:rPr>
        <w:t xml:space="preserve"> </w:t>
      </w:r>
      <w:r w:rsidR="004D7E3D">
        <w:rPr>
          <w:rFonts w:ascii="Calibri" w:eastAsia="Calibri" w:hAnsi="Calibri" w:cs="Calibri"/>
          <w:color w:val="000000" w:themeColor="text1"/>
        </w:rPr>
        <w:t>we</w:t>
      </w:r>
      <w:r w:rsidR="009555EC">
        <w:rPr>
          <w:rFonts w:ascii="Calibri" w:eastAsia="Calibri" w:hAnsi="Calibri" w:cs="Calibri"/>
          <w:color w:val="000000" w:themeColor="text1"/>
        </w:rPr>
        <w:t>r</w:t>
      </w:r>
      <w:r w:rsidR="004D7E3D">
        <w:rPr>
          <w:rFonts w:ascii="Calibri" w:eastAsia="Calibri" w:hAnsi="Calibri" w:cs="Calibri"/>
          <w:color w:val="000000" w:themeColor="text1"/>
        </w:rPr>
        <w:t>e excluded from the frame</w:t>
      </w:r>
      <w:r w:rsidR="001D6051">
        <w:rPr>
          <w:rFonts w:ascii="Calibri" w:eastAsia="Calibri" w:hAnsi="Calibri" w:cs="Calibri"/>
          <w:color w:val="000000" w:themeColor="text1"/>
        </w:rPr>
        <w:t>.</w:t>
      </w:r>
      <w:r w:rsidR="00AE6824">
        <w:rPr>
          <w:rFonts w:ascii="Calibri" w:eastAsia="Calibri" w:hAnsi="Calibri" w:cs="Calibri"/>
          <w:color w:val="000000" w:themeColor="text1"/>
        </w:rPr>
        <w:t xml:space="preserve"> </w:t>
      </w:r>
      <w:r w:rsidR="003479D3">
        <w:rPr>
          <w:rFonts w:ascii="Calibri" w:eastAsia="Calibri" w:hAnsi="Calibri" w:cs="Calibri"/>
          <w:color w:val="000000" w:themeColor="text1"/>
        </w:rPr>
        <w:t>Currently there</w:t>
      </w:r>
      <w:r w:rsidR="00B90613">
        <w:rPr>
          <w:rFonts w:ascii="Calibri" w:eastAsia="Calibri" w:hAnsi="Calibri" w:cs="Calibri"/>
          <w:color w:val="000000" w:themeColor="text1"/>
        </w:rPr>
        <w:t xml:space="preserve"> is no repository </w:t>
      </w:r>
      <w:r w:rsidR="00A0583B">
        <w:rPr>
          <w:rFonts w:ascii="Calibri" w:eastAsia="Calibri" w:hAnsi="Calibri" w:cs="Calibri"/>
          <w:color w:val="000000" w:themeColor="text1"/>
        </w:rPr>
        <w:t>of</w:t>
      </w:r>
      <w:r w:rsidR="00F55EDC">
        <w:rPr>
          <w:rFonts w:ascii="Calibri" w:eastAsia="Calibri" w:hAnsi="Calibri" w:cs="Calibri"/>
          <w:color w:val="000000" w:themeColor="text1"/>
        </w:rPr>
        <w:t xml:space="preserve"> </w:t>
      </w:r>
      <w:r w:rsidR="00B42CAE">
        <w:rPr>
          <w:rFonts w:ascii="Calibri" w:eastAsia="Calibri" w:hAnsi="Calibri" w:cs="Calibri"/>
          <w:color w:val="000000" w:themeColor="text1"/>
        </w:rPr>
        <w:t>comprehensive</w:t>
      </w:r>
      <w:r w:rsidR="00F55EDC">
        <w:rPr>
          <w:rFonts w:ascii="Calibri" w:eastAsia="Calibri" w:hAnsi="Calibri" w:cs="Calibri"/>
          <w:color w:val="000000" w:themeColor="text1"/>
        </w:rPr>
        <w:t xml:space="preserve"> disconnection data </w:t>
      </w:r>
      <w:r w:rsidR="00D167E0">
        <w:rPr>
          <w:rFonts w:ascii="Calibri" w:eastAsia="Calibri" w:hAnsi="Calibri" w:cs="Calibri"/>
          <w:color w:val="000000" w:themeColor="text1"/>
        </w:rPr>
        <w:t>for every state</w:t>
      </w:r>
      <w:r w:rsidR="009E2DFE">
        <w:rPr>
          <w:rFonts w:ascii="Calibri" w:eastAsia="Calibri" w:hAnsi="Calibri" w:cs="Calibri"/>
          <w:color w:val="000000" w:themeColor="text1"/>
        </w:rPr>
        <w:t xml:space="preserve">, therefore </w:t>
      </w:r>
      <w:r w:rsidR="004C3F7B">
        <w:rPr>
          <w:rFonts w:ascii="Calibri" w:eastAsia="Calibri" w:hAnsi="Calibri" w:cs="Calibri"/>
          <w:color w:val="000000" w:themeColor="text1"/>
        </w:rPr>
        <w:t>there is no duplication of effort</w:t>
      </w:r>
      <w:r w:rsidR="00D167E0">
        <w:rPr>
          <w:rFonts w:ascii="Calibri" w:eastAsia="Calibri" w:hAnsi="Calibri" w:cs="Calibri"/>
          <w:color w:val="000000" w:themeColor="text1"/>
        </w:rPr>
        <w:t xml:space="preserve">. </w:t>
      </w:r>
      <w:r w:rsidR="00A11833">
        <w:rPr>
          <w:rFonts w:ascii="Calibri" w:eastAsia="Calibri" w:hAnsi="Calibri" w:cs="Calibri"/>
          <w:color w:val="000000" w:themeColor="text1"/>
        </w:rPr>
        <w:t xml:space="preserve">While additional </w:t>
      </w:r>
      <w:r w:rsidR="009814D6">
        <w:rPr>
          <w:rFonts w:ascii="Calibri" w:eastAsia="Calibri" w:hAnsi="Calibri" w:cs="Calibri"/>
          <w:color w:val="000000" w:themeColor="text1"/>
        </w:rPr>
        <w:t xml:space="preserve">questions would have enhanced the value </w:t>
      </w:r>
      <w:r w:rsidR="004705F4">
        <w:rPr>
          <w:rFonts w:ascii="Calibri" w:eastAsia="Calibri" w:hAnsi="Calibri" w:cs="Calibri"/>
          <w:color w:val="000000" w:themeColor="text1"/>
        </w:rPr>
        <w:t>of the data collected</w:t>
      </w:r>
      <w:r w:rsidR="00270AB7">
        <w:rPr>
          <w:rFonts w:ascii="Calibri" w:eastAsia="Calibri" w:hAnsi="Calibri" w:cs="Calibri"/>
          <w:color w:val="000000" w:themeColor="text1"/>
        </w:rPr>
        <w:t xml:space="preserve">, </w:t>
      </w:r>
      <w:r w:rsidR="002377E7">
        <w:rPr>
          <w:rFonts w:ascii="Calibri" w:eastAsia="Calibri" w:hAnsi="Calibri" w:cs="Calibri"/>
          <w:color w:val="000000" w:themeColor="text1"/>
        </w:rPr>
        <w:t xml:space="preserve">there needed to be a balance between too much burden on the utilities and </w:t>
      </w:r>
      <w:r w:rsidR="003479D3">
        <w:rPr>
          <w:rFonts w:ascii="Calibri" w:eastAsia="Calibri" w:hAnsi="Calibri" w:cs="Calibri"/>
          <w:color w:val="000000" w:themeColor="text1"/>
        </w:rPr>
        <w:t xml:space="preserve">the </w:t>
      </w:r>
      <w:r w:rsidR="00A46DDB">
        <w:rPr>
          <w:rFonts w:ascii="Calibri" w:eastAsia="Calibri" w:hAnsi="Calibri" w:cs="Calibri"/>
          <w:color w:val="000000" w:themeColor="text1"/>
        </w:rPr>
        <w:t xml:space="preserve">need for </w:t>
      </w:r>
      <w:r w:rsidR="005B4909">
        <w:rPr>
          <w:rFonts w:ascii="Calibri" w:eastAsia="Calibri" w:hAnsi="Calibri" w:cs="Calibri"/>
          <w:color w:val="000000" w:themeColor="text1"/>
        </w:rPr>
        <w:t>much more granular data</w:t>
      </w:r>
      <w:r w:rsidR="00674EA2">
        <w:rPr>
          <w:rFonts w:ascii="Calibri" w:eastAsia="Calibri" w:hAnsi="Calibri" w:cs="Calibri"/>
          <w:color w:val="000000" w:themeColor="text1"/>
        </w:rPr>
        <w:t>.</w:t>
      </w:r>
      <w:r w:rsidR="00D167E0">
        <w:rPr>
          <w:rFonts w:ascii="Calibri" w:eastAsia="Calibri" w:hAnsi="Calibri" w:cs="Calibri"/>
          <w:color w:val="000000" w:themeColor="text1"/>
        </w:rPr>
        <w:t xml:space="preserve"> </w:t>
      </w:r>
    </w:p>
    <w:p w:rsidR="00AC470B" w:rsidP="00A42B4D" w14:paraId="486CC6E6" w14:textId="77777777">
      <w:pPr>
        <w:pStyle w:val="Heading1"/>
        <w:rPr>
          <w:b/>
          <w:bCs/>
          <w:noProof/>
          <w:color w:val="1396D8"/>
          <w:sz w:val="28"/>
          <w:szCs w:val="28"/>
        </w:rPr>
      </w:pPr>
      <w:bookmarkStart w:id="28" w:name="_Toc492634209"/>
      <w:bookmarkStart w:id="29" w:name="_Toc177374315"/>
      <w:r w:rsidRPr="00AC470B">
        <w:rPr>
          <w:b/>
          <w:bCs/>
          <w:noProof/>
          <w:color w:val="1396D8"/>
          <w:sz w:val="28"/>
          <w:szCs w:val="28"/>
        </w:rPr>
        <w:t>A.9. Payments or Gifts to Respondents</w:t>
      </w:r>
      <w:bookmarkEnd w:id="28"/>
      <w:bookmarkEnd w:id="29"/>
      <w:r w:rsidRPr="00AC470B">
        <w:rPr>
          <w:b/>
          <w:bCs/>
          <w:noProof/>
          <w:color w:val="1396D8"/>
          <w:sz w:val="28"/>
          <w:szCs w:val="28"/>
        </w:rPr>
        <w:t xml:space="preserve"> </w:t>
      </w:r>
    </w:p>
    <w:p w:rsidR="00E20CBA" w:rsidRPr="00882D54" w:rsidP="00E20CBA" w14:paraId="65C9C920" w14:textId="77777777">
      <w:pPr>
        <w:pStyle w:val="Default"/>
        <w:jc w:val="both"/>
        <w:rPr>
          <w:rFonts w:asciiTheme="minorHAnsi" w:hAnsiTheme="minorHAnsi"/>
          <w:sz w:val="22"/>
          <w:szCs w:val="22"/>
        </w:rPr>
      </w:pPr>
      <w:r w:rsidRPr="00882D54">
        <w:rPr>
          <w:rFonts w:asciiTheme="minorHAnsi" w:hAnsiTheme="minorHAnsi"/>
          <w:sz w:val="22"/>
          <w:szCs w:val="22"/>
        </w:rPr>
        <w:t>Respondents to this proposed information collection will not receive any payments or gifts from EIA for their mandatory participation.</w:t>
      </w:r>
    </w:p>
    <w:p w:rsidR="00AC470B" w:rsidP="00AC470B" w14:paraId="5791E21F" w14:textId="77777777"/>
    <w:p w:rsidR="00390FA7" w:rsidRPr="00390FA7" w:rsidP="00390FA7" w14:paraId="1ED73F7B" w14:textId="77777777">
      <w:pPr>
        <w:pStyle w:val="Heading1"/>
        <w:rPr>
          <w:rFonts w:ascii="Segoe UI" w:eastAsia="Times New Roman" w:hAnsi="Segoe UI" w:cs="Segoe UI"/>
          <w:b/>
          <w:bCs/>
          <w:color w:val="1396D8"/>
          <w:sz w:val="28"/>
          <w:szCs w:val="28"/>
        </w:rPr>
      </w:pPr>
      <w:bookmarkStart w:id="30" w:name="_Toc165020043"/>
      <w:bookmarkStart w:id="31" w:name="_Toc177374316"/>
      <w:r w:rsidRPr="00390FA7">
        <w:rPr>
          <w:rFonts w:eastAsia="Times New Roman"/>
          <w:b/>
          <w:bCs/>
          <w:color w:val="1396D8"/>
          <w:sz w:val="28"/>
          <w:szCs w:val="28"/>
        </w:rPr>
        <w:t>A.10. Provisions for Protection of Information</w:t>
      </w:r>
      <w:bookmarkEnd w:id="30"/>
      <w:bookmarkEnd w:id="31"/>
      <w:r w:rsidRPr="00390FA7">
        <w:rPr>
          <w:rFonts w:eastAsia="Times New Roman"/>
          <w:b/>
          <w:bCs/>
          <w:color w:val="1396D8"/>
          <w:sz w:val="28"/>
          <w:szCs w:val="28"/>
        </w:rPr>
        <w:t>  </w:t>
      </w:r>
    </w:p>
    <w:p w:rsidR="00390FA7" w:rsidRPr="00175758" w:rsidP="00390FA7" w14:paraId="42AB218F" w14:textId="1C2DE958">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 information reported on Form EIA-11</w:t>
      </w:r>
      <w:r w:rsidR="00521DDB">
        <w:rPr>
          <w:rFonts w:ascii="Calibri" w:eastAsia="Times New Roman" w:hAnsi="Calibri" w:cs="Calibri"/>
        </w:rPr>
        <w:t>2</w:t>
      </w:r>
      <w:r w:rsidRPr="00175758">
        <w:rPr>
          <w:rFonts w:ascii="Calibri" w:eastAsia="Times New Roman" w:hAnsi="Calibri" w:cs="Calibri"/>
        </w:rPr>
        <w:t xml:space="preserve"> will be considered public information and may be publicly released in identifiable form.  </w:t>
      </w:r>
    </w:p>
    <w:p w:rsidR="00E20CBA" w:rsidP="00AC470B" w14:paraId="74EF501D" w14:textId="77777777"/>
    <w:p w:rsidR="00BC1CF6" w:rsidRPr="00BC1CF6" w:rsidP="00BC1CF6" w14:paraId="6D349473" w14:textId="77777777">
      <w:pPr>
        <w:pStyle w:val="Heading1"/>
        <w:rPr>
          <w:rFonts w:ascii="Segoe UI" w:eastAsia="Times New Roman" w:hAnsi="Segoe UI" w:cs="Segoe UI"/>
          <w:b/>
          <w:bCs/>
          <w:color w:val="1396D8"/>
          <w:sz w:val="28"/>
          <w:szCs w:val="28"/>
        </w:rPr>
      </w:pPr>
      <w:bookmarkStart w:id="32" w:name="_Toc165020044"/>
      <w:bookmarkStart w:id="33" w:name="_Toc177374317"/>
      <w:r w:rsidRPr="00BC1CF6">
        <w:rPr>
          <w:rFonts w:eastAsia="Times New Roman"/>
          <w:b/>
          <w:bCs/>
          <w:color w:val="1396D8"/>
          <w:sz w:val="28"/>
          <w:szCs w:val="28"/>
        </w:rPr>
        <w:t>A.11. Justification for Sensitive Questions</w:t>
      </w:r>
      <w:bookmarkEnd w:id="32"/>
      <w:bookmarkEnd w:id="33"/>
      <w:r w:rsidRPr="00BC1CF6">
        <w:rPr>
          <w:rFonts w:eastAsia="Times New Roman"/>
          <w:b/>
          <w:bCs/>
          <w:color w:val="1396D8"/>
          <w:sz w:val="28"/>
          <w:szCs w:val="28"/>
        </w:rPr>
        <w:t>  </w:t>
      </w:r>
    </w:p>
    <w:p w:rsidR="00BC1CF6" w:rsidRPr="00175758" w:rsidP="00BC1CF6" w14:paraId="152FEBAD"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There are no questions of a sensitive nature. </w:t>
      </w:r>
    </w:p>
    <w:p w:rsidR="00BC1CF6" w:rsidRPr="00175758" w:rsidP="00BC1CF6" w14:paraId="6A7114E7" w14:textId="77777777">
      <w:pPr>
        <w:spacing w:after="0" w:line="240" w:lineRule="auto"/>
        <w:textAlignment w:val="baseline"/>
        <w:rPr>
          <w:rFonts w:ascii="Segoe UI" w:eastAsia="Times New Roman" w:hAnsi="Segoe UI" w:cs="Segoe UI"/>
          <w:sz w:val="18"/>
          <w:szCs w:val="18"/>
        </w:rPr>
      </w:pPr>
      <w:r w:rsidRPr="00175758">
        <w:rPr>
          <w:rFonts w:ascii="Calibri" w:eastAsia="Times New Roman" w:hAnsi="Calibri" w:cs="Calibri"/>
        </w:rPr>
        <w:t> </w:t>
      </w:r>
    </w:p>
    <w:p w:rsidR="00BC1CF6" w:rsidP="00BC1CF6" w14:paraId="0F3BBF95" w14:textId="77777777">
      <w:pPr>
        <w:pStyle w:val="Heading1"/>
        <w:rPr>
          <w:rFonts w:eastAsia="Times New Roman"/>
          <w:b/>
          <w:bCs/>
          <w:color w:val="1396D8"/>
          <w:sz w:val="28"/>
          <w:szCs w:val="28"/>
        </w:rPr>
      </w:pPr>
      <w:bookmarkStart w:id="34" w:name="_Toc165020045"/>
      <w:bookmarkStart w:id="35" w:name="_Toc177374318"/>
      <w:r w:rsidRPr="00BC1CF6">
        <w:rPr>
          <w:rFonts w:eastAsia="Times New Roman"/>
          <w:b/>
          <w:bCs/>
          <w:color w:val="1396D8"/>
          <w:sz w:val="28"/>
          <w:szCs w:val="28"/>
        </w:rPr>
        <w:t>A.12. Estimate of Respondent Burden Hours and Cost</w:t>
      </w:r>
      <w:bookmarkEnd w:id="34"/>
      <w:bookmarkEnd w:id="35"/>
      <w:r w:rsidRPr="00BC1CF6">
        <w:rPr>
          <w:rFonts w:eastAsia="Times New Roman"/>
          <w:b/>
          <w:bCs/>
          <w:color w:val="1396D8"/>
          <w:sz w:val="28"/>
          <w:szCs w:val="28"/>
        </w:rPr>
        <w:t>  </w:t>
      </w:r>
    </w:p>
    <w:p w:rsidR="00096E85" w:rsidP="00096E85" w14:paraId="1BEFBC51" w14:textId="7E0125DD">
      <w:r>
        <w:t>The overall annual burden for this package is estimated to be</w:t>
      </w:r>
      <w:r w:rsidR="002A6B78">
        <w:t xml:space="preserve"> 2</w:t>
      </w:r>
      <w:r w:rsidR="003E64C1">
        <w:t>,260 burden hours (see Ta</w:t>
      </w:r>
      <w:r w:rsidR="00CC02A4">
        <w:t>ble A</w:t>
      </w:r>
      <w:r w:rsidR="005F6E7A">
        <w:t>1 below)</w:t>
      </w:r>
      <w:r w:rsidR="006F53A3">
        <w:t>.</w:t>
      </w:r>
      <w:r>
        <w:t xml:space="preserve"> </w:t>
      </w:r>
      <w:r w:rsidRPr="00E46392">
        <w:t xml:space="preserve">The burden estimates are annualized over the </w:t>
      </w:r>
      <w:r>
        <w:t>three year</w:t>
      </w:r>
      <w:r w:rsidR="00D46318">
        <w:t>s</w:t>
      </w:r>
      <w:r w:rsidRPr="00E46392">
        <w:t xml:space="preserve">. Table </w:t>
      </w:r>
      <w:r>
        <w:t>A</w:t>
      </w:r>
      <w:r w:rsidR="00D46318">
        <w:t>1</w:t>
      </w:r>
      <w:r w:rsidRPr="00E46392">
        <w:t xml:space="preserve"> shows an annualized estimated burden for </w:t>
      </w:r>
      <w:r w:rsidR="00D46318">
        <w:t>the survey form</w:t>
      </w:r>
      <w:r w:rsidRPr="00E46392">
        <w:t xml:space="preserve">. </w:t>
      </w:r>
    </w:p>
    <w:p w:rsidR="00BF521F" w:rsidRPr="00E46392" w:rsidP="00096E85" w14:paraId="3191B1CE" w14:textId="521BE9AF">
      <w:r>
        <w:t xml:space="preserve">Based on the pilot study and pretesting results, EIA determined that </w:t>
      </w:r>
      <w:r w:rsidR="00172551">
        <w:t xml:space="preserve">respondents </w:t>
      </w:r>
      <w:r w:rsidR="00847B0C">
        <w:t>would</w:t>
      </w:r>
      <w:r w:rsidR="00172551">
        <w:t xml:space="preserve"> take on average </w:t>
      </w:r>
      <w:r w:rsidR="00AA6A8A">
        <w:t xml:space="preserve">2 hours to complete and submit EIA-112. </w:t>
      </w:r>
    </w:p>
    <w:p w:rsidR="005A22D5" w:rsidP="005A22D5" w14:paraId="547D9B23" w14:textId="19658C37">
      <w:pPr>
        <w:jc w:val="center"/>
        <w:rPr>
          <w:rFonts w:eastAsia="Times New Roman"/>
          <w:b/>
          <w:bCs/>
          <w:color w:val="0070C0"/>
        </w:rPr>
      </w:pPr>
      <w:r>
        <w:rPr>
          <w:rFonts w:eastAsia="Times New Roman"/>
          <w:b/>
          <w:color w:val="0070C0"/>
        </w:rPr>
        <w:t>A</w:t>
      </w:r>
      <w:r w:rsidR="00941958">
        <w:rPr>
          <w:rFonts w:eastAsia="Times New Roman"/>
          <w:b/>
          <w:color w:val="0070C0"/>
        </w:rPr>
        <w:t>1</w:t>
      </w:r>
      <w:r w:rsidRPr="00C754ED">
        <w:rPr>
          <w:rFonts w:eastAsia="Times New Roman"/>
          <w:b/>
          <w:color w:val="0070C0"/>
        </w:rPr>
        <w:t>.</w:t>
      </w:r>
      <w:r w:rsidRPr="128299BD">
        <w:rPr>
          <w:rFonts w:eastAsia="Times New Roman"/>
          <w:b/>
          <w:bCs/>
          <w:color w:val="0070C0"/>
        </w:rPr>
        <w:t xml:space="preserve"> </w:t>
      </w:r>
      <w:r w:rsidR="00107745">
        <w:rPr>
          <w:rFonts w:eastAsia="Times New Roman"/>
          <w:b/>
          <w:bCs/>
          <w:color w:val="0070C0"/>
        </w:rPr>
        <w:t xml:space="preserve">Annual </w:t>
      </w:r>
      <w:r w:rsidRPr="128299BD">
        <w:rPr>
          <w:rFonts w:eastAsia="Times New Roman"/>
          <w:b/>
          <w:bCs/>
          <w:color w:val="0070C0"/>
        </w:rPr>
        <w:t>Estimated Burden</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2492"/>
        <w:gridCol w:w="1373"/>
        <w:gridCol w:w="1455"/>
        <w:gridCol w:w="1556"/>
        <w:gridCol w:w="1315"/>
        <w:gridCol w:w="1123"/>
      </w:tblGrid>
      <w:tr w14:paraId="05326C48" w14:textId="77777777" w:rsidTr="001F4008">
        <w:tblPrEx>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Ex>
        <w:trPr>
          <w:trHeight w:val="288"/>
          <w:jc w:val="center"/>
        </w:trPr>
        <w:tc>
          <w:tcPr>
            <w:tcW w:w="0" w:type="auto"/>
            <w:tcBorders>
              <w:right w:val="single" w:sz="8" w:space="0" w:color="000000"/>
            </w:tcBorders>
            <w:shd w:val="clear" w:color="auto" w:fill="00B0EF"/>
            <w:vAlign w:val="center"/>
          </w:tcPr>
          <w:p w:rsidR="005A22D5" w:rsidRPr="00053486" w:rsidP="00053486" w14:paraId="57D99E2E" w14:textId="77777777">
            <w:pPr>
              <w:pStyle w:val="TableParagraph"/>
              <w:spacing w:before="0"/>
              <w:jc w:val="center"/>
              <w:rPr>
                <w:b/>
                <w:szCs w:val="32"/>
              </w:rPr>
            </w:pPr>
            <w:r w:rsidRPr="00053486">
              <w:rPr>
                <w:b/>
                <w:szCs w:val="32"/>
              </w:rPr>
              <w:t>EIA</w:t>
            </w:r>
            <w:r w:rsidRPr="00053486">
              <w:rPr>
                <w:b/>
                <w:spacing w:val="-4"/>
                <w:szCs w:val="32"/>
              </w:rPr>
              <w:t xml:space="preserve"> </w:t>
            </w:r>
            <w:r w:rsidRPr="00053486">
              <w:rPr>
                <w:b/>
                <w:szCs w:val="32"/>
              </w:rPr>
              <w:t>Form</w:t>
            </w:r>
            <w:r w:rsidRPr="00053486">
              <w:rPr>
                <w:b/>
                <w:spacing w:val="-4"/>
                <w:szCs w:val="32"/>
              </w:rPr>
              <w:t xml:space="preserve"> </w:t>
            </w:r>
            <w:r w:rsidRPr="00053486">
              <w:rPr>
                <w:b/>
                <w:spacing w:val="-2"/>
                <w:szCs w:val="32"/>
              </w:rPr>
              <w:t>Number/Title</w:t>
            </w:r>
          </w:p>
        </w:tc>
        <w:tc>
          <w:tcPr>
            <w:tcW w:w="1373" w:type="dxa"/>
            <w:tcBorders>
              <w:left w:val="single" w:sz="8" w:space="0" w:color="000000"/>
              <w:right w:val="single" w:sz="8" w:space="0" w:color="000000"/>
            </w:tcBorders>
            <w:shd w:val="clear" w:color="auto" w:fill="00B0EF"/>
            <w:vAlign w:val="center"/>
          </w:tcPr>
          <w:p w:rsidR="005A22D5" w:rsidRPr="00053486" w:rsidP="00053486" w14:paraId="64AECAC6" w14:textId="232D2B69">
            <w:pPr>
              <w:pStyle w:val="TableParagraph"/>
              <w:spacing w:before="0"/>
              <w:jc w:val="center"/>
              <w:rPr>
                <w:b/>
                <w:szCs w:val="32"/>
              </w:rPr>
            </w:pPr>
            <w:r w:rsidRPr="00053486">
              <w:rPr>
                <w:b/>
                <w:spacing w:val="-2"/>
                <w:szCs w:val="32"/>
              </w:rPr>
              <w:t>Annual</w:t>
            </w:r>
            <w:r w:rsidR="00941958">
              <w:rPr>
                <w:b/>
                <w:spacing w:val="-2"/>
                <w:szCs w:val="32"/>
              </w:rPr>
              <w:t xml:space="preserve"> </w:t>
            </w:r>
            <w:r w:rsidRPr="00053486">
              <w:rPr>
                <w:b/>
                <w:spacing w:val="-2"/>
                <w:szCs w:val="32"/>
              </w:rPr>
              <w:t>Reporting</w:t>
            </w:r>
            <w:r w:rsidR="00941958">
              <w:rPr>
                <w:b/>
                <w:spacing w:val="-2"/>
                <w:szCs w:val="32"/>
              </w:rPr>
              <w:t xml:space="preserve"> </w:t>
            </w:r>
            <w:r w:rsidRPr="00053486">
              <w:rPr>
                <w:b/>
                <w:spacing w:val="-2"/>
                <w:szCs w:val="32"/>
              </w:rPr>
              <w:t>Frequency</w:t>
            </w:r>
          </w:p>
        </w:tc>
        <w:tc>
          <w:tcPr>
            <w:tcW w:w="1455" w:type="dxa"/>
            <w:tcBorders>
              <w:left w:val="single" w:sz="8" w:space="0" w:color="000000"/>
              <w:right w:val="single" w:sz="8" w:space="0" w:color="000000"/>
            </w:tcBorders>
            <w:shd w:val="clear" w:color="auto" w:fill="00B0EF"/>
            <w:vAlign w:val="center"/>
          </w:tcPr>
          <w:p w:rsidR="005A22D5" w:rsidRPr="00053486" w:rsidP="00053486" w14:paraId="20A5EFDD" w14:textId="4CBC418C">
            <w:pPr>
              <w:pStyle w:val="TableParagraph"/>
              <w:spacing w:before="0"/>
              <w:jc w:val="center"/>
              <w:rPr>
                <w:b/>
                <w:szCs w:val="32"/>
              </w:rPr>
            </w:pPr>
            <w:r w:rsidRPr="00053486">
              <w:rPr>
                <w:b/>
                <w:szCs w:val="32"/>
              </w:rPr>
              <w:t>Number</w:t>
            </w:r>
            <w:r w:rsidRPr="00053486">
              <w:rPr>
                <w:b/>
                <w:spacing w:val="-7"/>
                <w:szCs w:val="32"/>
              </w:rPr>
              <w:t xml:space="preserve"> </w:t>
            </w:r>
            <w:r w:rsidRPr="00053486">
              <w:rPr>
                <w:b/>
                <w:szCs w:val="32"/>
              </w:rPr>
              <w:t>of</w:t>
            </w:r>
            <w:r w:rsidR="00885C1D">
              <w:rPr>
                <w:b/>
                <w:szCs w:val="32"/>
              </w:rPr>
              <w:t xml:space="preserve"> R</w:t>
            </w:r>
            <w:r w:rsidRPr="00053486">
              <w:rPr>
                <w:b/>
                <w:spacing w:val="-2"/>
                <w:szCs w:val="32"/>
              </w:rPr>
              <w:t>espondents</w:t>
            </w:r>
          </w:p>
        </w:tc>
        <w:tc>
          <w:tcPr>
            <w:tcW w:w="0" w:type="auto"/>
            <w:tcBorders>
              <w:left w:val="single" w:sz="8" w:space="0" w:color="000000"/>
              <w:right w:val="single" w:sz="8" w:space="0" w:color="000000"/>
            </w:tcBorders>
            <w:shd w:val="clear" w:color="auto" w:fill="00B0EF"/>
            <w:vAlign w:val="center"/>
          </w:tcPr>
          <w:p w:rsidR="005A22D5" w:rsidRPr="00053486" w:rsidP="00053486" w14:paraId="3EE3A3BE" w14:textId="024E13FB">
            <w:pPr>
              <w:pStyle w:val="TableParagraph"/>
              <w:spacing w:before="0"/>
              <w:ind w:right="136"/>
              <w:jc w:val="center"/>
              <w:rPr>
                <w:b/>
                <w:szCs w:val="32"/>
              </w:rPr>
            </w:pPr>
            <w:r w:rsidRPr="00053486">
              <w:rPr>
                <w:b/>
                <w:spacing w:val="-2"/>
                <w:szCs w:val="32"/>
              </w:rPr>
              <w:t>Annual</w:t>
            </w:r>
            <w:r w:rsidR="00885C1D">
              <w:rPr>
                <w:b/>
                <w:spacing w:val="-2"/>
                <w:szCs w:val="32"/>
              </w:rPr>
              <w:t xml:space="preserve"> </w:t>
            </w:r>
            <w:r w:rsidRPr="00053486">
              <w:rPr>
                <w:b/>
                <w:szCs w:val="32"/>
              </w:rPr>
              <w:t>Number</w:t>
            </w:r>
            <w:r w:rsidRPr="00053486">
              <w:rPr>
                <w:b/>
                <w:spacing w:val="-10"/>
                <w:szCs w:val="32"/>
              </w:rPr>
              <w:t xml:space="preserve"> </w:t>
            </w:r>
            <w:r w:rsidRPr="00053486">
              <w:rPr>
                <w:b/>
                <w:szCs w:val="32"/>
              </w:rPr>
              <w:t>of</w:t>
            </w:r>
            <w:r w:rsidRPr="00053486">
              <w:rPr>
                <w:b/>
                <w:spacing w:val="40"/>
                <w:szCs w:val="32"/>
              </w:rPr>
              <w:t xml:space="preserve"> </w:t>
            </w:r>
            <w:r w:rsidRPr="00053486">
              <w:rPr>
                <w:b/>
                <w:spacing w:val="-2"/>
                <w:szCs w:val="32"/>
              </w:rPr>
              <w:t>Responses</w:t>
            </w:r>
          </w:p>
        </w:tc>
        <w:tc>
          <w:tcPr>
            <w:tcW w:w="0" w:type="auto"/>
            <w:tcBorders>
              <w:left w:val="single" w:sz="8" w:space="0" w:color="000000"/>
              <w:right w:val="single" w:sz="8" w:space="0" w:color="000000"/>
            </w:tcBorders>
            <w:shd w:val="clear" w:color="auto" w:fill="00B0EF"/>
            <w:vAlign w:val="center"/>
          </w:tcPr>
          <w:p w:rsidR="005A22D5" w:rsidRPr="00053486" w:rsidP="00053486" w14:paraId="3E0D8059" w14:textId="25533519">
            <w:pPr>
              <w:pStyle w:val="TableParagraph"/>
              <w:spacing w:before="0"/>
              <w:jc w:val="center"/>
              <w:rPr>
                <w:b/>
                <w:szCs w:val="32"/>
              </w:rPr>
            </w:pPr>
            <w:r w:rsidRPr="00053486">
              <w:rPr>
                <w:b/>
                <w:spacing w:val="-2"/>
                <w:szCs w:val="32"/>
              </w:rPr>
              <w:t>Burden</w:t>
            </w:r>
            <w:r w:rsidR="00885C1D">
              <w:rPr>
                <w:b/>
                <w:spacing w:val="-2"/>
                <w:szCs w:val="32"/>
              </w:rPr>
              <w:t xml:space="preserve"> </w:t>
            </w:r>
            <w:r w:rsidRPr="00053486">
              <w:rPr>
                <w:b/>
                <w:spacing w:val="-2"/>
                <w:szCs w:val="32"/>
              </w:rPr>
              <w:t>Hours</w:t>
            </w:r>
            <w:r w:rsidR="00885C1D">
              <w:rPr>
                <w:b/>
                <w:spacing w:val="40"/>
                <w:szCs w:val="32"/>
              </w:rPr>
              <w:t xml:space="preserve"> </w:t>
            </w:r>
            <w:r w:rsidRPr="00053486">
              <w:rPr>
                <w:b/>
                <w:szCs w:val="32"/>
              </w:rPr>
              <w:t>Per</w:t>
            </w:r>
            <w:r w:rsidR="00885C1D">
              <w:rPr>
                <w:b/>
                <w:szCs w:val="32"/>
              </w:rPr>
              <w:t xml:space="preserve"> </w:t>
            </w:r>
            <w:r w:rsidRPr="00053486">
              <w:rPr>
                <w:b/>
                <w:spacing w:val="-2"/>
                <w:szCs w:val="32"/>
              </w:rPr>
              <w:t>Response</w:t>
            </w:r>
          </w:p>
        </w:tc>
        <w:tc>
          <w:tcPr>
            <w:tcW w:w="0" w:type="auto"/>
            <w:tcBorders>
              <w:left w:val="single" w:sz="8" w:space="0" w:color="000000"/>
            </w:tcBorders>
            <w:shd w:val="clear" w:color="auto" w:fill="00B0EF"/>
            <w:vAlign w:val="center"/>
          </w:tcPr>
          <w:p w:rsidR="005A22D5" w:rsidRPr="00053486" w:rsidP="00053486" w14:paraId="2701A562" w14:textId="07957806">
            <w:pPr>
              <w:pStyle w:val="TableParagraph"/>
              <w:spacing w:before="0"/>
              <w:ind w:right="-15"/>
              <w:jc w:val="center"/>
              <w:rPr>
                <w:b/>
                <w:szCs w:val="32"/>
              </w:rPr>
            </w:pPr>
            <w:r w:rsidRPr="00053486">
              <w:rPr>
                <w:b/>
                <w:szCs w:val="32"/>
              </w:rPr>
              <w:t>Annual</w:t>
            </w:r>
            <w:r w:rsidRPr="00053486">
              <w:rPr>
                <w:b/>
                <w:spacing w:val="-10"/>
                <w:szCs w:val="32"/>
              </w:rPr>
              <w:t xml:space="preserve"> </w:t>
            </w:r>
            <w:r w:rsidRPr="00053486">
              <w:rPr>
                <w:b/>
                <w:szCs w:val="32"/>
              </w:rPr>
              <w:t>Burden</w:t>
            </w:r>
            <w:r w:rsidR="00885C1D">
              <w:rPr>
                <w:b/>
                <w:spacing w:val="40"/>
                <w:szCs w:val="32"/>
              </w:rPr>
              <w:t xml:space="preserve"> </w:t>
            </w:r>
            <w:r w:rsidRPr="00053486">
              <w:rPr>
                <w:b/>
                <w:spacing w:val="-2"/>
                <w:szCs w:val="32"/>
              </w:rPr>
              <w:t>Hours</w:t>
            </w:r>
          </w:p>
        </w:tc>
      </w:tr>
      <w:tr w14:paraId="09F2570A" w14:textId="77777777" w:rsidTr="00053486">
        <w:tblPrEx>
          <w:tblW w:w="0" w:type="auto"/>
          <w:jc w:val="center"/>
          <w:tblCellMar>
            <w:left w:w="0" w:type="dxa"/>
            <w:right w:w="0" w:type="dxa"/>
          </w:tblCellMar>
          <w:tblLook w:val="01E0"/>
        </w:tblPrEx>
        <w:trPr>
          <w:trHeight w:val="864"/>
          <w:jc w:val="center"/>
        </w:trPr>
        <w:tc>
          <w:tcPr>
            <w:tcW w:w="0" w:type="auto"/>
            <w:tcBorders>
              <w:left w:val="single" w:sz="8" w:space="0" w:color="000000"/>
              <w:bottom w:val="single" w:sz="8" w:space="0" w:color="000000"/>
              <w:right w:val="single" w:sz="8" w:space="0" w:color="000000"/>
            </w:tcBorders>
            <w:vAlign w:val="center"/>
          </w:tcPr>
          <w:p w:rsidR="005A22D5" w:rsidRPr="00053486" w:rsidP="00053486" w14:paraId="542EEF43" w14:textId="2AA723C0">
            <w:pPr>
              <w:pStyle w:val="TableParagraph"/>
              <w:spacing w:line="188" w:lineRule="exact"/>
              <w:ind w:right="409"/>
              <w:rPr>
                <w:szCs w:val="32"/>
              </w:rPr>
            </w:pPr>
            <w:r w:rsidRPr="00053486">
              <w:rPr>
                <w:spacing w:val="-5"/>
                <w:szCs w:val="32"/>
              </w:rPr>
              <w:t>EIA‐</w:t>
            </w:r>
            <w:r w:rsidRPr="00053486" w:rsidR="00941958">
              <w:rPr>
                <w:spacing w:val="-5"/>
                <w:szCs w:val="32"/>
              </w:rPr>
              <w:t>112</w:t>
            </w:r>
            <w:r w:rsidRPr="00053486">
              <w:rPr>
                <w:spacing w:val="-5"/>
                <w:szCs w:val="32"/>
              </w:rPr>
              <w:t xml:space="preserve"> </w:t>
            </w:r>
            <w:r w:rsidR="0075775A">
              <w:rPr>
                <w:spacing w:val="-5"/>
                <w:szCs w:val="32"/>
              </w:rPr>
              <w:t xml:space="preserve">– Residential Utility </w:t>
            </w:r>
            <w:r w:rsidR="00950310">
              <w:rPr>
                <w:spacing w:val="-5"/>
                <w:szCs w:val="32"/>
              </w:rPr>
              <w:t>Disconnections Survey</w:t>
            </w:r>
          </w:p>
        </w:tc>
        <w:tc>
          <w:tcPr>
            <w:tcW w:w="1373" w:type="dxa"/>
            <w:tcBorders>
              <w:left w:val="single" w:sz="8" w:space="0" w:color="000000"/>
              <w:bottom w:val="single" w:sz="8" w:space="0" w:color="000000"/>
              <w:right w:val="single" w:sz="8" w:space="0" w:color="000000"/>
            </w:tcBorders>
            <w:vAlign w:val="center"/>
          </w:tcPr>
          <w:p w:rsidR="005A22D5" w:rsidRPr="00053486" w:rsidP="00053486" w14:paraId="67AEBB36" w14:textId="56D01A5B">
            <w:pPr>
              <w:pStyle w:val="TableParagraph"/>
              <w:spacing w:line="188" w:lineRule="exact"/>
              <w:ind w:right="409"/>
              <w:jc w:val="center"/>
              <w:rPr>
                <w:szCs w:val="32"/>
              </w:rPr>
            </w:pPr>
            <w:r>
              <w:rPr>
                <w:spacing w:val="-5"/>
                <w:szCs w:val="32"/>
              </w:rPr>
              <w:t>1</w:t>
            </w:r>
          </w:p>
        </w:tc>
        <w:tc>
          <w:tcPr>
            <w:tcW w:w="1455" w:type="dxa"/>
            <w:tcBorders>
              <w:left w:val="single" w:sz="8" w:space="0" w:color="000000"/>
              <w:bottom w:val="single" w:sz="8" w:space="0" w:color="000000"/>
              <w:right w:val="single" w:sz="8" w:space="0" w:color="000000"/>
            </w:tcBorders>
            <w:vAlign w:val="center"/>
          </w:tcPr>
          <w:p w:rsidR="005A22D5" w:rsidRPr="00053486" w:rsidP="00941958" w14:paraId="7B9FF016" w14:textId="13709D1C">
            <w:pPr>
              <w:pStyle w:val="TableParagraph"/>
              <w:spacing w:line="188" w:lineRule="exact"/>
              <w:ind w:left="186" w:right="130"/>
              <w:jc w:val="center"/>
              <w:rPr>
                <w:szCs w:val="32"/>
              </w:rPr>
            </w:pPr>
            <w:r>
              <w:rPr>
                <w:spacing w:val="-5"/>
                <w:szCs w:val="32"/>
              </w:rPr>
              <w:t>1,130</w:t>
            </w:r>
          </w:p>
        </w:tc>
        <w:tc>
          <w:tcPr>
            <w:tcW w:w="0" w:type="auto"/>
            <w:tcBorders>
              <w:left w:val="single" w:sz="8" w:space="0" w:color="000000"/>
              <w:bottom w:val="single" w:sz="8" w:space="0" w:color="000000"/>
              <w:right w:val="single" w:sz="8" w:space="0" w:color="000000"/>
            </w:tcBorders>
            <w:vAlign w:val="center"/>
          </w:tcPr>
          <w:p w:rsidR="005A22D5" w:rsidRPr="00053486" w:rsidP="00941958" w14:paraId="0DCC75C8" w14:textId="4DE97A93">
            <w:pPr>
              <w:pStyle w:val="TableParagraph"/>
              <w:spacing w:line="188" w:lineRule="exact"/>
              <w:ind w:left="186" w:right="131"/>
              <w:jc w:val="center"/>
              <w:rPr>
                <w:szCs w:val="32"/>
              </w:rPr>
            </w:pPr>
            <w:r>
              <w:rPr>
                <w:spacing w:val="-5"/>
                <w:szCs w:val="32"/>
              </w:rPr>
              <w:t>1,130</w:t>
            </w:r>
          </w:p>
        </w:tc>
        <w:tc>
          <w:tcPr>
            <w:tcW w:w="0" w:type="auto"/>
            <w:tcBorders>
              <w:left w:val="single" w:sz="8" w:space="0" w:color="000000"/>
              <w:bottom w:val="single" w:sz="8" w:space="0" w:color="000000"/>
              <w:right w:val="single" w:sz="8" w:space="0" w:color="000000"/>
            </w:tcBorders>
            <w:vAlign w:val="center"/>
          </w:tcPr>
          <w:p w:rsidR="005A22D5" w:rsidRPr="00053486" w:rsidP="00053486" w14:paraId="600679EA" w14:textId="3F358FDE">
            <w:pPr>
              <w:pStyle w:val="TableParagraph"/>
              <w:spacing w:line="188" w:lineRule="exact"/>
              <w:ind w:left="186" w:right="131"/>
              <w:jc w:val="center"/>
              <w:rPr>
                <w:spacing w:val="-5"/>
                <w:szCs w:val="32"/>
              </w:rPr>
            </w:pPr>
            <w:r w:rsidRPr="00053486">
              <w:rPr>
                <w:spacing w:val="-5"/>
                <w:szCs w:val="32"/>
              </w:rPr>
              <w:t>2</w:t>
            </w:r>
            <w:r w:rsidR="001F4008">
              <w:rPr>
                <w:spacing w:val="-5"/>
                <w:szCs w:val="32"/>
              </w:rPr>
              <w:t xml:space="preserve"> hours</w:t>
            </w:r>
          </w:p>
        </w:tc>
        <w:tc>
          <w:tcPr>
            <w:tcW w:w="0" w:type="auto"/>
            <w:tcBorders>
              <w:left w:val="single" w:sz="8" w:space="0" w:color="000000"/>
              <w:bottom w:val="single" w:sz="8" w:space="0" w:color="000000"/>
              <w:right w:val="single" w:sz="8" w:space="0" w:color="000000"/>
            </w:tcBorders>
            <w:vAlign w:val="center"/>
          </w:tcPr>
          <w:p w:rsidR="005A22D5" w:rsidRPr="00053486" w:rsidP="00053486" w14:paraId="0BC11940" w14:textId="743D5E4D">
            <w:pPr>
              <w:pStyle w:val="TableParagraph"/>
              <w:spacing w:line="188" w:lineRule="exact"/>
              <w:ind w:left="186" w:right="131"/>
              <w:rPr>
                <w:spacing w:val="-5"/>
                <w:szCs w:val="32"/>
              </w:rPr>
            </w:pPr>
            <w:r w:rsidRPr="00053486">
              <w:rPr>
                <w:spacing w:val="-5"/>
                <w:szCs w:val="32"/>
              </w:rPr>
              <w:t>2,260</w:t>
            </w:r>
          </w:p>
        </w:tc>
      </w:tr>
    </w:tbl>
    <w:p w:rsidR="005A22D5" w:rsidP="00143D4B" w14:paraId="1B4105EE" w14:textId="77777777"/>
    <w:p w:rsidR="003C1FAE" w:rsidP="00143D4B" w14:paraId="5647534A" w14:textId="77777777"/>
    <w:p w:rsidR="00565CAC" w:rsidRPr="00190AA9" w:rsidP="00565CAC" w14:paraId="7EEDBD7F" w14:textId="77777777">
      <w:pPr>
        <w:rPr>
          <w:b/>
        </w:rPr>
      </w:pPr>
      <w:r w:rsidRPr="00190AA9">
        <w:rPr>
          <w:b/>
        </w:rPr>
        <w:t xml:space="preserve">Respondent </w:t>
      </w:r>
      <w:r>
        <w:rPr>
          <w:b/>
        </w:rPr>
        <w:t>cost</w:t>
      </w:r>
    </w:p>
    <w:p w:rsidR="00565CAC" w:rsidRPr="00004904" w:rsidP="00565CAC" w14:paraId="018BBEAE" w14:textId="5B3A3782">
      <w:pPr>
        <w:rPr>
          <w:bCs/>
        </w:rPr>
      </w:pPr>
      <w:r w:rsidRPr="00004904">
        <w:rPr>
          <w:bCs/>
        </w:rPr>
        <w:t xml:space="preserve">Based on the estimated rate of </w:t>
      </w:r>
      <w:r w:rsidRPr="00DB1172">
        <w:rPr>
          <w:bCs/>
        </w:rPr>
        <w:t>$91.16</w:t>
      </w:r>
      <w:r>
        <w:t xml:space="preserve"> </w:t>
      </w:r>
      <w:r w:rsidRPr="00004904">
        <w:rPr>
          <w:bCs/>
        </w:rPr>
        <w:t xml:space="preserve">per hour for </w:t>
      </w:r>
      <w:r>
        <w:rPr>
          <w:bCs/>
        </w:rPr>
        <w:t>respondents</w:t>
      </w:r>
      <w:r w:rsidRPr="00004904">
        <w:rPr>
          <w:bCs/>
        </w:rPr>
        <w:t xml:space="preserve"> who complete </w:t>
      </w:r>
      <w:r w:rsidR="00473D10">
        <w:rPr>
          <w:bCs/>
        </w:rPr>
        <w:t>EIA-112</w:t>
      </w:r>
      <w:r w:rsidRPr="00004904">
        <w:rPr>
          <w:bCs/>
        </w:rPr>
        <w:t>, the total annual respondent cost for all forms is estimated to be:</w:t>
      </w:r>
    </w:p>
    <w:p w:rsidR="00565CAC" w:rsidP="00565CAC" w14:paraId="691ED154" w14:textId="79178AEE">
      <w:pPr>
        <w:rPr>
          <w:bCs/>
        </w:rPr>
      </w:pPr>
      <w:r w:rsidRPr="00004904">
        <w:rPr>
          <w:bCs/>
        </w:rPr>
        <w:t>$</w:t>
      </w:r>
      <w:r w:rsidRPr="006B6F24">
        <w:rPr>
          <w:bCs/>
        </w:rPr>
        <w:t>9</w:t>
      </w:r>
      <w:r w:rsidRPr="006B6F24">
        <w:t>1.16</w:t>
      </w:r>
      <w:r w:rsidRPr="006B6F24">
        <w:rPr>
          <w:bCs/>
        </w:rPr>
        <w:t xml:space="preserve">/hour x </w:t>
      </w:r>
      <w:r w:rsidR="003D3A98">
        <w:rPr>
          <w:bCs/>
        </w:rPr>
        <w:t>2</w:t>
      </w:r>
      <w:r w:rsidRPr="006B6F24">
        <w:rPr>
          <w:bCs/>
        </w:rPr>
        <w:t>,</w:t>
      </w:r>
      <w:r w:rsidR="003D3A98">
        <w:t>260</w:t>
      </w:r>
      <w:r w:rsidRPr="006B6F24">
        <w:rPr>
          <w:bCs/>
        </w:rPr>
        <w:t xml:space="preserve"> hours/year = $</w:t>
      </w:r>
      <w:r w:rsidRPr="006776CE" w:rsidR="006776CE">
        <w:t xml:space="preserve"> </w:t>
      </w:r>
      <w:r w:rsidRPr="006776CE" w:rsidR="006776CE">
        <w:rPr>
          <w:bCs/>
        </w:rPr>
        <w:t>206,021.6</w:t>
      </w:r>
      <w:r w:rsidR="008270FA">
        <w:rPr>
          <w:bCs/>
        </w:rPr>
        <w:t>0</w:t>
      </w:r>
      <w:r w:rsidRPr="006B6F24">
        <w:rPr>
          <w:bCs/>
        </w:rPr>
        <w:t>/year</w:t>
      </w:r>
    </w:p>
    <w:p w:rsidR="0062674F" w:rsidP="0062674F" w14:paraId="6FA3332A" w14:textId="013BBB7A">
      <w:r>
        <w:t>The fully burdened hourly wage rate is calculated based on a weighted average of EIA management and staff full benefit salary.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1"/>
        <w:gridCol w:w="1275"/>
        <w:gridCol w:w="1317"/>
        <w:gridCol w:w="1353"/>
        <w:gridCol w:w="1303"/>
        <w:gridCol w:w="1318"/>
        <w:gridCol w:w="1303"/>
      </w:tblGrid>
      <w:tr w14:paraId="65D5FE7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gridSpan w:val="7"/>
            <w:tcBorders>
              <w:top w:val="nil"/>
              <w:left w:val="nil"/>
              <w:bottom w:val="nil"/>
              <w:right w:val="nil"/>
            </w:tcBorders>
            <w:shd w:val="clear" w:color="auto" w:fill="auto"/>
          </w:tcPr>
          <w:p w:rsidR="00F5663F" w14:paraId="643F275D" w14:textId="4498DEB3">
            <w:pPr>
              <w:jc w:val="center"/>
              <w:rPr>
                <w:color w:val="4472C4" w:themeColor="accent1"/>
                <w:sz w:val="22"/>
              </w:rPr>
            </w:pPr>
            <w:r w:rsidRPr="00CA2640">
              <w:rPr>
                <w:color w:val="4472C4" w:themeColor="accent1"/>
                <w:sz w:val="22"/>
              </w:rPr>
              <w:t>Table</w:t>
            </w:r>
            <w:r w:rsidRPr="00E266BE">
              <w:rPr>
                <w:color w:val="4472C4" w:themeColor="accent1"/>
              </w:rPr>
              <w:t xml:space="preserve"> </w:t>
            </w:r>
            <w:r>
              <w:rPr>
                <w:color w:val="4472C4" w:themeColor="accent1"/>
                <w:sz w:val="22"/>
              </w:rPr>
              <w:t>A</w:t>
            </w:r>
            <w:r w:rsidR="0062674F">
              <w:rPr>
                <w:color w:val="4472C4" w:themeColor="accent1"/>
                <w:sz w:val="22"/>
              </w:rPr>
              <w:t>2</w:t>
            </w:r>
            <w:r w:rsidRPr="00E266BE">
              <w:rPr>
                <w:color w:val="4472C4" w:themeColor="accent1"/>
              </w:rPr>
              <w:t>:</w:t>
            </w:r>
            <w:r w:rsidRPr="0EA71F3A">
              <w:rPr>
                <w:color w:val="4472C4" w:themeColor="accent1"/>
                <w:sz w:val="22"/>
              </w:rPr>
              <w:t xml:space="preserve"> Average Hourly Loaded Cost of an EIA Employee, Fiscal year 202</w:t>
            </w:r>
            <w:r w:rsidR="00E75856">
              <w:rPr>
                <w:color w:val="4472C4" w:themeColor="accent1"/>
                <w:sz w:val="22"/>
              </w:rPr>
              <w:t>4</w:t>
            </w:r>
          </w:p>
        </w:tc>
      </w:tr>
      <w:tr w14:paraId="632A3490" w14:textId="77777777">
        <w:tblPrEx>
          <w:tblW w:w="0" w:type="auto"/>
          <w:tblLook w:val="04A0"/>
        </w:tblPrEx>
        <w:tc>
          <w:tcPr>
            <w:tcW w:w="1530" w:type="dxa"/>
            <w:tcBorders>
              <w:top w:val="single" w:sz="4" w:space="0" w:color="auto"/>
              <w:bottom w:val="single" w:sz="4" w:space="0" w:color="auto"/>
            </w:tcBorders>
            <w:shd w:val="clear" w:color="auto" w:fill="00B0F0"/>
            <w:vAlign w:val="center"/>
          </w:tcPr>
          <w:p w:rsidR="00F5663F" w14:paraId="5D8EFEDB" w14:textId="31C259A1">
            <w:pPr>
              <w:jc w:val="center"/>
              <w:rPr>
                <w:b/>
              </w:rPr>
            </w:pPr>
            <w:r>
              <w:rPr>
                <w:b/>
              </w:rPr>
              <w:t xml:space="preserve">As of </w:t>
            </w:r>
            <w:r w:rsidR="00F65CB3">
              <w:rPr>
                <w:b/>
              </w:rPr>
              <w:t>2</w:t>
            </w:r>
            <w:r>
              <w:rPr>
                <w:b/>
              </w:rPr>
              <w:t>/</w:t>
            </w:r>
            <w:r w:rsidR="00F65CB3">
              <w:rPr>
                <w:b/>
              </w:rPr>
              <w:t>05</w:t>
            </w:r>
            <w:r>
              <w:rPr>
                <w:b/>
              </w:rPr>
              <w:t>/202</w:t>
            </w:r>
            <w:r w:rsidR="00F65CB3">
              <w:rPr>
                <w:b/>
              </w:rPr>
              <w:t>4</w:t>
            </w:r>
          </w:p>
        </w:tc>
        <w:tc>
          <w:tcPr>
            <w:tcW w:w="1346" w:type="dxa"/>
            <w:tcBorders>
              <w:top w:val="single" w:sz="4" w:space="0" w:color="auto"/>
              <w:bottom w:val="single" w:sz="4" w:space="0" w:color="auto"/>
            </w:tcBorders>
            <w:shd w:val="clear" w:color="auto" w:fill="00B0F0"/>
          </w:tcPr>
          <w:p w:rsidR="00F5663F" w14:paraId="51D3EE2D" w14:textId="77777777">
            <w:pPr>
              <w:jc w:val="center"/>
              <w:rPr>
                <w:b/>
              </w:rPr>
            </w:pPr>
            <w:r>
              <w:rPr>
                <w:b/>
              </w:rPr>
              <w:t>Number of Employees</w:t>
            </w:r>
          </w:p>
        </w:tc>
        <w:tc>
          <w:tcPr>
            <w:tcW w:w="1438" w:type="dxa"/>
            <w:tcBorders>
              <w:top w:val="single" w:sz="4" w:space="0" w:color="auto"/>
              <w:bottom w:val="single" w:sz="4" w:space="0" w:color="auto"/>
            </w:tcBorders>
            <w:shd w:val="clear" w:color="auto" w:fill="00B0F0"/>
          </w:tcPr>
          <w:p w:rsidR="00F5663F" w14:paraId="4A650D4A" w14:textId="77777777">
            <w:pPr>
              <w:jc w:val="center"/>
              <w:rPr>
                <w:b/>
              </w:rPr>
            </w:pPr>
            <w:r>
              <w:rPr>
                <w:b/>
              </w:rPr>
              <w:t>Average Annual Salary</w:t>
            </w:r>
          </w:p>
        </w:tc>
        <w:tc>
          <w:tcPr>
            <w:tcW w:w="1439" w:type="dxa"/>
            <w:tcBorders>
              <w:top w:val="single" w:sz="4" w:space="0" w:color="auto"/>
              <w:bottom w:val="single" w:sz="4" w:space="0" w:color="auto"/>
            </w:tcBorders>
            <w:shd w:val="clear" w:color="auto" w:fill="00B0F0"/>
          </w:tcPr>
          <w:p w:rsidR="00F5663F" w14:paraId="21BB9AAA" w14:textId="77777777">
            <w:pPr>
              <w:jc w:val="center"/>
              <w:rPr>
                <w:b/>
              </w:rPr>
            </w:pPr>
            <w:r>
              <w:rPr>
                <w:b/>
              </w:rPr>
              <w:t>Average Benefit Percentage</w:t>
            </w:r>
          </w:p>
        </w:tc>
        <w:tc>
          <w:tcPr>
            <w:tcW w:w="1439" w:type="dxa"/>
            <w:tcBorders>
              <w:top w:val="single" w:sz="4" w:space="0" w:color="auto"/>
              <w:bottom w:val="single" w:sz="4" w:space="0" w:color="auto"/>
            </w:tcBorders>
            <w:shd w:val="clear" w:color="auto" w:fill="00B0F0"/>
          </w:tcPr>
          <w:p w:rsidR="00F5663F" w14:paraId="352929E0" w14:textId="77777777">
            <w:pPr>
              <w:jc w:val="center"/>
              <w:rPr>
                <w:b/>
              </w:rPr>
            </w:pPr>
            <w:r>
              <w:rPr>
                <w:b/>
              </w:rPr>
              <w:t>Average Benefit Costs</w:t>
            </w:r>
          </w:p>
        </w:tc>
        <w:tc>
          <w:tcPr>
            <w:tcW w:w="1439" w:type="dxa"/>
            <w:tcBorders>
              <w:top w:val="single" w:sz="4" w:space="0" w:color="auto"/>
              <w:bottom w:val="single" w:sz="4" w:space="0" w:color="auto"/>
            </w:tcBorders>
            <w:shd w:val="clear" w:color="auto" w:fill="00B0F0"/>
          </w:tcPr>
          <w:p w:rsidR="00F5663F" w14:paraId="0738401C" w14:textId="77777777">
            <w:pPr>
              <w:jc w:val="center"/>
              <w:rPr>
                <w:b/>
              </w:rPr>
            </w:pPr>
            <w:r>
              <w:rPr>
                <w:b/>
              </w:rPr>
              <w:t>Total Average Salary and Benefits</w:t>
            </w:r>
          </w:p>
        </w:tc>
        <w:tc>
          <w:tcPr>
            <w:tcW w:w="1439" w:type="dxa"/>
            <w:tcBorders>
              <w:top w:val="single" w:sz="4" w:space="0" w:color="auto"/>
              <w:bottom w:val="single" w:sz="4" w:space="0" w:color="auto"/>
            </w:tcBorders>
            <w:shd w:val="clear" w:color="auto" w:fill="00B0F0"/>
          </w:tcPr>
          <w:p w:rsidR="00F5663F" w14:paraId="14001B76" w14:textId="77777777">
            <w:pPr>
              <w:jc w:val="center"/>
              <w:rPr>
                <w:b/>
              </w:rPr>
            </w:pPr>
            <w:r>
              <w:rPr>
                <w:b/>
              </w:rPr>
              <w:t>Average Hourly Loaded Cost</w:t>
            </w:r>
          </w:p>
        </w:tc>
      </w:tr>
      <w:tr w14:paraId="4C68A613" w14:textId="77777777">
        <w:tblPrEx>
          <w:tblW w:w="0" w:type="auto"/>
          <w:tblLook w:val="04A0"/>
        </w:tblPrEx>
        <w:tc>
          <w:tcPr>
            <w:tcW w:w="1530" w:type="dxa"/>
            <w:tcBorders>
              <w:bottom w:val="single" w:sz="4" w:space="0" w:color="auto"/>
            </w:tcBorders>
            <w:shd w:val="clear" w:color="auto" w:fill="auto"/>
          </w:tcPr>
          <w:p w:rsidR="00F5663F" w14:paraId="652F6914" w14:textId="77777777">
            <w:r>
              <w:t>Administrative/ Professional (GS)</w:t>
            </w:r>
          </w:p>
        </w:tc>
        <w:tc>
          <w:tcPr>
            <w:tcW w:w="1346" w:type="dxa"/>
            <w:tcBorders>
              <w:bottom w:val="single" w:sz="4" w:space="0" w:color="auto"/>
            </w:tcBorders>
            <w:shd w:val="clear" w:color="auto" w:fill="auto"/>
            <w:vAlign w:val="center"/>
          </w:tcPr>
          <w:p w:rsidR="00F5663F" w14:paraId="66DF0C44" w14:textId="01958426">
            <w:r>
              <w:rPr>
                <w:rFonts w:ascii="Calibri" w:hAnsi="Calibri" w:cs="Calibri"/>
                <w:color w:val="000000"/>
                <w:szCs w:val="18"/>
              </w:rPr>
              <w:t>31</w:t>
            </w:r>
            <w:r w:rsidR="00F65CB3">
              <w:rPr>
                <w:rFonts w:ascii="Calibri" w:hAnsi="Calibri" w:cs="Calibri"/>
                <w:color w:val="000000"/>
                <w:szCs w:val="18"/>
              </w:rPr>
              <w:t>9</w:t>
            </w:r>
          </w:p>
        </w:tc>
        <w:tc>
          <w:tcPr>
            <w:tcW w:w="1438" w:type="dxa"/>
            <w:tcBorders>
              <w:bottom w:val="single" w:sz="4" w:space="0" w:color="auto"/>
            </w:tcBorders>
            <w:shd w:val="clear" w:color="auto" w:fill="auto"/>
            <w:vAlign w:val="center"/>
          </w:tcPr>
          <w:p w:rsidR="00F5663F" w14:paraId="15E66B0A" w14:textId="7C29ED42">
            <w:r>
              <w:rPr>
                <w:rFonts w:ascii="Calibri" w:hAnsi="Calibri" w:cs="Calibri"/>
                <w:color w:val="000000"/>
                <w:szCs w:val="18"/>
              </w:rPr>
              <w:t>$</w:t>
            </w:r>
            <w:r w:rsidR="00933F29">
              <w:rPr>
                <w:rFonts w:ascii="Calibri" w:hAnsi="Calibri" w:cs="Calibri"/>
                <w:color w:val="000000"/>
                <w:szCs w:val="18"/>
              </w:rPr>
              <w:t>145,911</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43A52C69" w14:textId="234AB2F6">
            <w:r>
              <w:rPr>
                <w:rFonts w:ascii="Calibri" w:hAnsi="Calibri" w:cs="Calibri"/>
                <w:color w:val="000000"/>
                <w:szCs w:val="18"/>
              </w:rPr>
              <w:t>2</w:t>
            </w:r>
            <w:r w:rsidR="00356D96">
              <w:rPr>
                <w:rFonts w:ascii="Calibri" w:hAnsi="Calibri" w:cs="Calibri"/>
                <w:color w:val="000000"/>
                <w:szCs w:val="18"/>
              </w:rPr>
              <w:t>5</w:t>
            </w:r>
            <w:r>
              <w:rPr>
                <w:rFonts w:ascii="Calibri" w:hAnsi="Calibri" w:cs="Calibri"/>
                <w:color w:val="000000"/>
                <w:szCs w:val="18"/>
              </w:rPr>
              <w:t>.</w:t>
            </w:r>
            <w:r w:rsidR="00356D96">
              <w:rPr>
                <w:rFonts w:ascii="Calibri" w:hAnsi="Calibri" w:cs="Calibri"/>
                <w:color w:val="000000"/>
                <w:szCs w:val="18"/>
              </w:rPr>
              <w:t>98</w:t>
            </w:r>
            <w:r>
              <w:rPr>
                <w:rFonts w:ascii="Calibri" w:hAnsi="Calibri" w:cs="Calibri"/>
                <w:color w:val="000000"/>
                <w:szCs w:val="18"/>
              </w:rPr>
              <w:t>%</w:t>
            </w:r>
          </w:p>
        </w:tc>
        <w:tc>
          <w:tcPr>
            <w:tcW w:w="1439" w:type="dxa"/>
            <w:tcBorders>
              <w:bottom w:val="single" w:sz="4" w:space="0" w:color="auto"/>
            </w:tcBorders>
            <w:shd w:val="clear" w:color="auto" w:fill="auto"/>
            <w:vAlign w:val="center"/>
          </w:tcPr>
          <w:p w:rsidR="00F5663F" w14:paraId="32A58074" w14:textId="5F7C1304">
            <w:r>
              <w:rPr>
                <w:rFonts w:ascii="Calibri" w:hAnsi="Calibri" w:cs="Calibri"/>
                <w:color w:val="000000"/>
                <w:szCs w:val="18"/>
              </w:rPr>
              <w:t>$3</w:t>
            </w:r>
            <w:r w:rsidR="00C777CC">
              <w:rPr>
                <w:rFonts w:ascii="Calibri" w:hAnsi="Calibri" w:cs="Calibri"/>
                <w:color w:val="000000"/>
                <w:szCs w:val="18"/>
              </w:rPr>
              <w:t>7</w:t>
            </w:r>
            <w:r>
              <w:rPr>
                <w:rFonts w:ascii="Calibri" w:hAnsi="Calibri" w:cs="Calibri"/>
                <w:color w:val="000000"/>
                <w:szCs w:val="18"/>
              </w:rPr>
              <w:t>,</w:t>
            </w:r>
            <w:r w:rsidR="00C777CC">
              <w:rPr>
                <w:rFonts w:ascii="Calibri" w:hAnsi="Calibri" w:cs="Calibri"/>
                <w:color w:val="000000"/>
                <w:szCs w:val="18"/>
              </w:rPr>
              <w:t>908</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123DA07C" w14:textId="27E1A0F6">
            <w:r>
              <w:rPr>
                <w:rFonts w:ascii="Calibri" w:hAnsi="Calibri" w:cs="Calibri"/>
                <w:color w:val="000000"/>
                <w:szCs w:val="18"/>
              </w:rPr>
              <w:t>$1</w:t>
            </w:r>
            <w:r w:rsidR="00C777CC">
              <w:rPr>
                <w:rFonts w:ascii="Calibri" w:hAnsi="Calibri" w:cs="Calibri"/>
                <w:color w:val="000000"/>
                <w:szCs w:val="18"/>
              </w:rPr>
              <w:t>83,819</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61426D51" w14:textId="6364C38D">
            <w:r>
              <w:rPr>
                <w:rFonts w:ascii="Calibri" w:hAnsi="Calibri" w:cs="Calibri"/>
                <w:color w:val="000000"/>
                <w:szCs w:val="18"/>
              </w:rPr>
              <w:t>$8</w:t>
            </w:r>
            <w:r w:rsidR="008357B9">
              <w:rPr>
                <w:rFonts w:ascii="Calibri" w:hAnsi="Calibri" w:cs="Calibri"/>
                <w:color w:val="000000"/>
                <w:szCs w:val="18"/>
              </w:rPr>
              <w:t>8</w:t>
            </w:r>
            <w:r>
              <w:rPr>
                <w:rFonts w:ascii="Calibri" w:hAnsi="Calibri" w:cs="Calibri"/>
                <w:color w:val="000000"/>
                <w:szCs w:val="18"/>
              </w:rPr>
              <w:t>.</w:t>
            </w:r>
            <w:r w:rsidR="008357B9">
              <w:rPr>
                <w:rFonts w:ascii="Calibri" w:hAnsi="Calibri" w:cs="Calibri"/>
                <w:color w:val="000000"/>
                <w:szCs w:val="18"/>
              </w:rPr>
              <w:t>37</w:t>
            </w:r>
            <w:r>
              <w:rPr>
                <w:rFonts w:ascii="Calibri" w:hAnsi="Calibri" w:cs="Calibri"/>
                <w:color w:val="000000"/>
                <w:szCs w:val="18"/>
              </w:rPr>
              <w:t xml:space="preserve"> </w:t>
            </w:r>
          </w:p>
        </w:tc>
      </w:tr>
      <w:tr w14:paraId="48D00C88" w14:textId="77777777">
        <w:tblPrEx>
          <w:tblW w:w="0" w:type="auto"/>
          <w:tblLook w:val="04A0"/>
        </w:tblPrEx>
        <w:tc>
          <w:tcPr>
            <w:tcW w:w="1530" w:type="dxa"/>
            <w:tcBorders>
              <w:bottom w:val="single" w:sz="4" w:space="0" w:color="auto"/>
            </w:tcBorders>
            <w:shd w:val="clear" w:color="auto" w:fill="auto"/>
          </w:tcPr>
          <w:p w:rsidR="00F5663F" w:rsidRPr="005356BE" w14:paraId="65B80516" w14:textId="4A5717EF">
            <w:pPr>
              <w:rPr>
                <w:lang w:val="es-CR"/>
              </w:rPr>
            </w:pPr>
            <w:r w:rsidRPr="005356BE">
              <w:rPr>
                <w:lang w:val="es-CR"/>
              </w:rPr>
              <w:t>Executive (</w:t>
            </w:r>
            <w:r w:rsidRPr="005356BE" w:rsidR="004E66DD">
              <w:rPr>
                <w:lang w:val="es-CR"/>
              </w:rPr>
              <w:t>EJ, ES, EX, SL</w:t>
            </w:r>
            <w:r w:rsidRPr="005356BE">
              <w:rPr>
                <w:lang w:val="es-CR"/>
              </w:rPr>
              <w:t>)</w:t>
            </w:r>
          </w:p>
        </w:tc>
        <w:tc>
          <w:tcPr>
            <w:tcW w:w="1346" w:type="dxa"/>
            <w:tcBorders>
              <w:bottom w:val="single" w:sz="4" w:space="0" w:color="auto"/>
            </w:tcBorders>
            <w:shd w:val="clear" w:color="auto" w:fill="auto"/>
            <w:vAlign w:val="center"/>
          </w:tcPr>
          <w:p w:rsidR="00F5663F" w14:paraId="5FA80331" w14:textId="32145D61">
            <w:r>
              <w:rPr>
                <w:rFonts w:ascii="Calibri" w:hAnsi="Calibri" w:cs="Calibri"/>
                <w:color w:val="000000"/>
                <w:szCs w:val="18"/>
              </w:rPr>
              <w:t>2</w:t>
            </w:r>
            <w:r w:rsidR="00933F29">
              <w:rPr>
                <w:rFonts w:ascii="Calibri" w:hAnsi="Calibri" w:cs="Calibri"/>
                <w:color w:val="000000"/>
                <w:szCs w:val="18"/>
              </w:rPr>
              <w:t>5</w:t>
            </w:r>
          </w:p>
        </w:tc>
        <w:tc>
          <w:tcPr>
            <w:tcW w:w="1438" w:type="dxa"/>
            <w:tcBorders>
              <w:bottom w:val="single" w:sz="4" w:space="0" w:color="auto"/>
            </w:tcBorders>
            <w:shd w:val="clear" w:color="auto" w:fill="auto"/>
            <w:vAlign w:val="center"/>
          </w:tcPr>
          <w:p w:rsidR="00F5663F" w14:paraId="4B8F65B6" w14:textId="4E353F45">
            <w:r>
              <w:rPr>
                <w:rFonts w:ascii="Calibri" w:hAnsi="Calibri" w:cs="Calibri"/>
                <w:color w:val="000000"/>
                <w:szCs w:val="18"/>
              </w:rPr>
              <w:t>$</w:t>
            </w:r>
            <w:r w:rsidR="00933F29">
              <w:rPr>
                <w:rFonts w:ascii="Calibri" w:hAnsi="Calibri" w:cs="Calibri"/>
                <w:color w:val="000000"/>
                <w:szCs w:val="18"/>
              </w:rPr>
              <w:t>209</w:t>
            </w:r>
            <w:r w:rsidR="00356D96">
              <w:rPr>
                <w:rFonts w:ascii="Calibri" w:hAnsi="Calibri" w:cs="Calibri"/>
                <w:color w:val="000000"/>
                <w:szCs w:val="18"/>
              </w:rPr>
              <w:t>,214</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573DDB12" w14:textId="0764230E">
            <w:r>
              <w:rPr>
                <w:rFonts w:ascii="Calibri" w:hAnsi="Calibri" w:cs="Calibri"/>
                <w:color w:val="000000"/>
                <w:szCs w:val="18"/>
              </w:rPr>
              <w:t>25.98%</w:t>
            </w:r>
          </w:p>
        </w:tc>
        <w:tc>
          <w:tcPr>
            <w:tcW w:w="1439" w:type="dxa"/>
            <w:tcBorders>
              <w:bottom w:val="single" w:sz="4" w:space="0" w:color="auto"/>
            </w:tcBorders>
            <w:shd w:val="clear" w:color="auto" w:fill="auto"/>
            <w:vAlign w:val="center"/>
          </w:tcPr>
          <w:p w:rsidR="00F5663F" w14:paraId="7B0A2737" w14:textId="5D2B2EC6">
            <w:r>
              <w:rPr>
                <w:rFonts w:ascii="Calibri" w:hAnsi="Calibri" w:cs="Calibri"/>
                <w:color w:val="000000"/>
                <w:szCs w:val="18"/>
              </w:rPr>
              <w:t>$5</w:t>
            </w:r>
            <w:r w:rsidR="00C777CC">
              <w:rPr>
                <w:rFonts w:ascii="Calibri" w:hAnsi="Calibri" w:cs="Calibri"/>
                <w:color w:val="000000"/>
                <w:szCs w:val="18"/>
              </w:rPr>
              <w:t>4</w:t>
            </w:r>
            <w:r>
              <w:rPr>
                <w:rFonts w:ascii="Calibri" w:hAnsi="Calibri" w:cs="Calibri"/>
                <w:color w:val="000000"/>
                <w:szCs w:val="18"/>
              </w:rPr>
              <w:t>,</w:t>
            </w:r>
            <w:r w:rsidR="00C777CC">
              <w:rPr>
                <w:rFonts w:ascii="Calibri" w:hAnsi="Calibri" w:cs="Calibri"/>
                <w:color w:val="000000"/>
                <w:szCs w:val="18"/>
              </w:rPr>
              <w:t>354</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4F8F557A" w14:textId="62DC67A5">
            <w:r>
              <w:rPr>
                <w:rFonts w:ascii="Calibri" w:hAnsi="Calibri" w:cs="Calibri"/>
                <w:color w:val="000000"/>
                <w:szCs w:val="18"/>
              </w:rPr>
              <w:t>$2</w:t>
            </w:r>
            <w:r w:rsidR="00126E22">
              <w:rPr>
                <w:rFonts w:ascii="Calibri" w:hAnsi="Calibri" w:cs="Calibri"/>
                <w:color w:val="000000"/>
                <w:szCs w:val="18"/>
              </w:rPr>
              <w:t>63,567</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48CF03C2" w14:textId="3827391D">
            <w:r>
              <w:rPr>
                <w:rFonts w:ascii="Calibri" w:hAnsi="Calibri" w:cs="Calibri"/>
                <w:color w:val="000000"/>
                <w:szCs w:val="18"/>
              </w:rPr>
              <w:t>$1</w:t>
            </w:r>
            <w:r w:rsidR="008357B9">
              <w:rPr>
                <w:rFonts w:ascii="Calibri" w:hAnsi="Calibri" w:cs="Calibri"/>
                <w:color w:val="000000"/>
                <w:szCs w:val="18"/>
              </w:rPr>
              <w:t>26</w:t>
            </w:r>
            <w:r>
              <w:rPr>
                <w:rFonts w:ascii="Calibri" w:hAnsi="Calibri" w:cs="Calibri"/>
                <w:color w:val="000000"/>
                <w:szCs w:val="18"/>
              </w:rPr>
              <w:t>.</w:t>
            </w:r>
            <w:r w:rsidR="008357B9">
              <w:rPr>
                <w:rFonts w:ascii="Calibri" w:hAnsi="Calibri" w:cs="Calibri"/>
                <w:color w:val="000000"/>
                <w:szCs w:val="18"/>
              </w:rPr>
              <w:t>72</w:t>
            </w:r>
            <w:r>
              <w:rPr>
                <w:rFonts w:ascii="Calibri" w:hAnsi="Calibri" w:cs="Calibri"/>
                <w:color w:val="000000"/>
                <w:szCs w:val="18"/>
              </w:rPr>
              <w:t xml:space="preserve"> </w:t>
            </w:r>
          </w:p>
        </w:tc>
      </w:tr>
      <w:tr w14:paraId="66749B7F" w14:textId="77777777">
        <w:tblPrEx>
          <w:tblW w:w="0" w:type="auto"/>
          <w:tblLook w:val="04A0"/>
        </w:tblPrEx>
        <w:tc>
          <w:tcPr>
            <w:tcW w:w="1530" w:type="dxa"/>
            <w:tcBorders>
              <w:bottom w:val="single" w:sz="4" w:space="0" w:color="auto"/>
            </w:tcBorders>
            <w:shd w:val="clear" w:color="auto" w:fill="auto"/>
          </w:tcPr>
          <w:p w:rsidR="00F5663F" w14:paraId="707D9C30" w14:textId="77777777">
            <w:r>
              <w:t>All EIA Employees</w:t>
            </w:r>
          </w:p>
        </w:tc>
        <w:tc>
          <w:tcPr>
            <w:tcW w:w="1346" w:type="dxa"/>
            <w:tcBorders>
              <w:bottom w:val="single" w:sz="4" w:space="0" w:color="auto"/>
            </w:tcBorders>
            <w:shd w:val="clear" w:color="auto" w:fill="auto"/>
            <w:vAlign w:val="center"/>
          </w:tcPr>
          <w:p w:rsidR="00F5663F" w14:paraId="1DDDD507" w14:textId="44ACCF54">
            <w:r>
              <w:rPr>
                <w:rFonts w:ascii="Calibri" w:hAnsi="Calibri" w:cs="Calibri"/>
                <w:color w:val="000000"/>
                <w:szCs w:val="18"/>
              </w:rPr>
              <w:t>344</w:t>
            </w:r>
          </w:p>
        </w:tc>
        <w:tc>
          <w:tcPr>
            <w:tcW w:w="1438" w:type="dxa"/>
            <w:tcBorders>
              <w:bottom w:val="single" w:sz="4" w:space="0" w:color="auto"/>
            </w:tcBorders>
            <w:shd w:val="clear" w:color="auto" w:fill="auto"/>
            <w:vAlign w:val="center"/>
          </w:tcPr>
          <w:p w:rsidR="00F5663F" w14:paraId="62421D1F" w14:textId="011F2C8F">
            <w:r>
              <w:rPr>
                <w:rFonts w:ascii="Calibri" w:hAnsi="Calibri" w:cs="Calibri"/>
                <w:color w:val="000000"/>
                <w:szCs w:val="18"/>
              </w:rPr>
              <w:t>$</w:t>
            </w:r>
            <w:r w:rsidR="00356D96">
              <w:rPr>
                <w:rFonts w:ascii="Calibri" w:hAnsi="Calibri" w:cs="Calibri"/>
                <w:color w:val="000000"/>
                <w:szCs w:val="18"/>
              </w:rPr>
              <w:t>150,512</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1D641537" w14:textId="18A816EA">
            <w:r>
              <w:rPr>
                <w:rFonts w:ascii="Calibri" w:hAnsi="Calibri" w:cs="Calibri"/>
                <w:color w:val="000000"/>
                <w:szCs w:val="18"/>
              </w:rPr>
              <w:t>25.98%</w:t>
            </w:r>
          </w:p>
        </w:tc>
        <w:tc>
          <w:tcPr>
            <w:tcW w:w="1439" w:type="dxa"/>
            <w:tcBorders>
              <w:bottom w:val="single" w:sz="4" w:space="0" w:color="auto"/>
            </w:tcBorders>
            <w:shd w:val="clear" w:color="auto" w:fill="auto"/>
            <w:vAlign w:val="center"/>
          </w:tcPr>
          <w:p w:rsidR="00F5663F" w14:paraId="238EA87D" w14:textId="67002E9F">
            <w:r>
              <w:rPr>
                <w:rFonts w:ascii="Calibri" w:hAnsi="Calibri" w:cs="Calibri"/>
                <w:color w:val="000000"/>
                <w:szCs w:val="18"/>
              </w:rPr>
              <w:t>$39</w:t>
            </w:r>
            <w:r w:rsidR="00C777CC">
              <w:rPr>
                <w:rFonts w:ascii="Calibri" w:hAnsi="Calibri" w:cs="Calibri"/>
                <w:color w:val="000000"/>
                <w:szCs w:val="18"/>
              </w:rPr>
              <w:t>,103</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32E27E28" w14:textId="2A864187">
            <w:r>
              <w:rPr>
                <w:rFonts w:ascii="Calibri" w:hAnsi="Calibri" w:cs="Calibri"/>
                <w:color w:val="000000"/>
                <w:szCs w:val="18"/>
              </w:rPr>
              <w:t>$</w:t>
            </w:r>
            <w:r w:rsidR="00126E22">
              <w:rPr>
                <w:rFonts w:ascii="Calibri" w:hAnsi="Calibri" w:cs="Calibri"/>
                <w:color w:val="000000"/>
                <w:szCs w:val="18"/>
              </w:rPr>
              <w:t>189,615</w:t>
            </w:r>
            <w:r>
              <w:rPr>
                <w:rFonts w:ascii="Calibri" w:hAnsi="Calibri" w:cs="Calibri"/>
                <w:color w:val="000000"/>
                <w:szCs w:val="18"/>
              </w:rPr>
              <w:t xml:space="preserve"> </w:t>
            </w:r>
          </w:p>
        </w:tc>
        <w:tc>
          <w:tcPr>
            <w:tcW w:w="1439" w:type="dxa"/>
            <w:tcBorders>
              <w:bottom w:val="single" w:sz="4" w:space="0" w:color="auto"/>
            </w:tcBorders>
            <w:shd w:val="clear" w:color="auto" w:fill="auto"/>
            <w:vAlign w:val="center"/>
          </w:tcPr>
          <w:p w:rsidR="00F5663F" w14:paraId="360E8798" w14:textId="7634380C">
            <w:pPr>
              <w:rPr>
                <w:b/>
              </w:rPr>
            </w:pPr>
            <w:r>
              <w:rPr>
                <w:rFonts w:ascii="Calibri" w:hAnsi="Calibri" w:cs="Calibri"/>
                <w:b/>
                <w:bCs/>
                <w:color w:val="000000"/>
                <w:szCs w:val="18"/>
              </w:rPr>
              <w:t>$</w:t>
            </w:r>
            <w:r w:rsidR="008357B9">
              <w:rPr>
                <w:rFonts w:ascii="Calibri" w:hAnsi="Calibri" w:cs="Calibri"/>
                <w:b/>
                <w:bCs/>
                <w:color w:val="000000"/>
                <w:szCs w:val="18"/>
              </w:rPr>
              <w:t>91.16</w:t>
            </w:r>
            <w:r>
              <w:rPr>
                <w:rFonts w:ascii="Calibri" w:hAnsi="Calibri" w:cs="Calibri"/>
                <w:b/>
                <w:bCs/>
                <w:color w:val="000000"/>
                <w:szCs w:val="18"/>
              </w:rPr>
              <w:t xml:space="preserve"> </w:t>
            </w:r>
          </w:p>
        </w:tc>
      </w:tr>
    </w:tbl>
    <w:p w:rsidR="00565CAC" w:rsidP="00143D4B" w14:paraId="3EB9706F" w14:textId="77777777"/>
    <w:p w:rsidR="0045046B" w:rsidP="00A42B4D" w14:paraId="12F7686D" w14:textId="76860FA2">
      <w:pPr>
        <w:pStyle w:val="Heading1"/>
        <w:rPr>
          <w:b/>
          <w:bCs/>
          <w:noProof/>
          <w:color w:val="1396D8"/>
          <w:sz w:val="28"/>
          <w:szCs w:val="28"/>
        </w:rPr>
      </w:pPr>
      <w:bookmarkStart w:id="36" w:name="_Toc492634213"/>
      <w:bookmarkStart w:id="37" w:name="_Toc177374319"/>
      <w:r w:rsidRPr="0045046B">
        <w:rPr>
          <w:b/>
          <w:bCs/>
          <w:noProof/>
          <w:color w:val="1396D8"/>
          <w:sz w:val="28"/>
          <w:szCs w:val="28"/>
        </w:rPr>
        <w:t>A.13. Annual Cost to the Federal Government</w:t>
      </w:r>
      <w:bookmarkEnd w:id="36"/>
      <w:bookmarkEnd w:id="37"/>
    </w:p>
    <w:p w:rsidR="0045046B" w:rsidP="0045046B" w14:paraId="755BC826" w14:textId="7FD6C730">
      <w:r w:rsidRPr="00B60552">
        <w:t xml:space="preserve">The annual cost of operating </w:t>
      </w:r>
      <w:r w:rsidR="003E61F3">
        <w:t>EIA-112</w:t>
      </w:r>
      <w:r w:rsidRPr="00B60552">
        <w:t xml:space="preserve"> is estimated at $</w:t>
      </w:r>
      <w:r w:rsidR="00495DFA">
        <w:t>749,032</w:t>
      </w:r>
      <w:r w:rsidRPr="00B60552">
        <w:t xml:space="preserve"> and includes </w:t>
      </w:r>
      <w:r w:rsidR="261E961B">
        <w:t>program start</w:t>
      </w:r>
      <w:r w:rsidR="3A12B48C">
        <w:t>-up</w:t>
      </w:r>
      <w:r w:rsidR="261E961B">
        <w:t xml:space="preserve"> costs, </w:t>
      </w:r>
      <w:r w:rsidRPr="00B60552">
        <w:t xml:space="preserve">contractor </w:t>
      </w:r>
      <w:r w:rsidRPr="00B60552" w:rsidR="004E66DD">
        <w:t>costs</w:t>
      </w:r>
      <w:r w:rsidR="004E66DD">
        <w:t>,</w:t>
      </w:r>
      <w:r w:rsidRPr="00B60552">
        <w:t xml:space="preserve"> and federal staff time for survey related activities. The survey related activities include frame maintenance, </w:t>
      </w:r>
      <w:r w:rsidR="568EDA70">
        <w:t xml:space="preserve">data </w:t>
      </w:r>
      <w:r w:rsidRPr="00B60552">
        <w:t>collection</w:t>
      </w:r>
      <w:r w:rsidR="6613FEEA">
        <w:t xml:space="preserve"> and nonresponse follow-up</w:t>
      </w:r>
      <w:r w:rsidR="46E67CEF">
        <w:t>,</w:t>
      </w:r>
      <w:r w:rsidR="62FE881C">
        <w:t xml:space="preserve"> data</w:t>
      </w:r>
      <w:r w:rsidRPr="00B60552">
        <w:t xml:space="preserve"> processing</w:t>
      </w:r>
      <w:r w:rsidR="3E659041">
        <w:t xml:space="preserve"> and data quality</w:t>
      </w:r>
      <w:r w:rsidR="46E67CEF">
        <w:t xml:space="preserve">, </w:t>
      </w:r>
      <w:r w:rsidR="0274F66E">
        <w:t>data</w:t>
      </w:r>
      <w:r w:rsidRPr="00B60552">
        <w:t xml:space="preserve"> dissemination, and data systems maintenance. EIA anticipates no additional respondent costs for generating, maintaining, and providing the information required in this Information Collection Request.</w:t>
      </w:r>
    </w:p>
    <w:p w:rsidR="00CF4AAB" w:rsidP="00CF4AAB" w14:paraId="7687BC79" w14:textId="77777777"/>
    <w:p w:rsidR="00CF4AAB" w:rsidP="0045046B" w14:paraId="6539AD53" w14:textId="77777777"/>
    <w:p w:rsidR="00686A77" w:rsidRPr="00686A77" w:rsidP="00A42B4D" w14:paraId="5908ADB6" w14:textId="77777777">
      <w:pPr>
        <w:pStyle w:val="Heading1"/>
        <w:rPr>
          <w:b/>
          <w:bCs/>
          <w:noProof/>
          <w:color w:val="1396D8"/>
          <w:sz w:val="28"/>
          <w:szCs w:val="28"/>
        </w:rPr>
      </w:pPr>
      <w:bookmarkStart w:id="38" w:name="_Toc492634214"/>
      <w:bookmarkStart w:id="39" w:name="_Toc177374320"/>
      <w:r w:rsidRPr="00686A77">
        <w:rPr>
          <w:b/>
          <w:bCs/>
          <w:noProof/>
          <w:color w:val="1396D8"/>
          <w:sz w:val="28"/>
          <w:szCs w:val="28"/>
        </w:rPr>
        <w:t>A.14. Changes in Burden</w:t>
      </w:r>
      <w:bookmarkEnd w:id="38"/>
      <w:bookmarkEnd w:id="39"/>
      <w:r w:rsidRPr="00686A77">
        <w:rPr>
          <w:b/>
          <w:bCs/>
          <w:noProof/>
          <w:color w:val="1396D8"/>
          <w:sz w:val="28"/>
          <w:szCs w:val="28"/>
        </w:rPr>
        <w:t xml:space="preserve"> </w:t>
      </w:r>
    </w:p>
    <w:p w:rsidR="0045046B" w:rsidP="0045046B" w14:paraId="5366D9A7" w14:textId="7210AAC1">
      <w:r>
        <w:t>There are no changes, this is a new survey</w:t>
      </w:r>
      <w:r w:rsidR="000F26FE">
        <w:t xml:space="preserve"> (see Table A.</w:t>
      </w:r>
      <w:r w:rsidR="00ED1D6F">
        <w:t>3</w:t>
      </w:r>
      <w:r w:rsidR="000F26FE">
        <w:t>)</w:t>
      </w:r>
      <w:r w:rsidR="009D4B69">
        <w:t>.</w:t>
      </w:r>
    </w:p>
    <w:p w:rsidR="00403771" w:rsidP="00A14509" w14:paraId="0BB767AB" w14:textId="31424EEA">
      <w:pPr>
        <w:spacing w:line="240" w:lineRule="auto"/>
        <w:ind w:left="720" w:hanging="720"/>
        <w:jc w:val="center"/>
        <w:rPr>
          <w:b/>
          <w:color w:val="657C9C" w:themeColor="text2" w:themeTint="BF"/>
        </w:rPr>
        <w:sectPr w:rsidSect="000A50AF">
          <w:footerReference w:type="default" r:id="rId15"/>
          <w:footerReference w:type="first" r:id="rId16"/>
          <w:pgSz w:w="12240" w:h="15840"/>
          <w:pgMar w:top="1440" w:right="1440" w:bottom="1440" w:left="1440" w:header="720" w:footer="720" w:gutter="0"/>
          <w:cols w:space="720"/>
          <w:titlePg/>
          <w:docGrid w:linePitch="360"/>
        </w:sectPr>
      </w:pPr>
    </w:p>
    <w:p w:rsidR="00A14509" w:rsidP="00A14509" w14:paraId="630D1F4D" w14:textId="317D179A">
      <w:pPr>
        <w:spacing w:line="240" w:lineRule="auto"/>
        <w:ind w:left="720" w:hanging="720"/>
        <w:jc w:val="center"/>
        <w:rPr>
          <w:b/>
          <w:color w:val="657C9C" w:themeColor="text2" w:themeTint="BF"/>
        </w:rPr>
      </w:pPr>
      <w:r w:rsidRPr="000E7AEB">
        <w:rPr>
          <w:b/>
          <w:color w:val="657C9C" w:themeColor="text2" w:themeTint="BF"/>
        </w:rPr>
        <w:t>Table A</w:t>
      </w:r>
      <w:r w:rsidR="00ED1D6F">
        <w:rPr>
          <w:b/>
          <w:color w:val="657C9C" w:themeColor="text2" w:themeTint="BF"/>
        </w:rPr>
        <w:t>3</w:t>
      </w:r>
      <w:r w:rsidRPr="000E7AEB">
        <w:rPr>
          <w:b/>
          <w:color w:val="657C9C" w:themeColor="text2" w:themeTint="BF"/>
        </w:rPr>
        <w:t xml:space="preserve"> Changes in Burden</w:t>
      </w:r>
    </w:p>
    <w:tbl>
      <w:tblPr>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72"/>
        <w:gridCol w:w="727"/>
        <w:gridCol w:w="840"/>
        <w:gridCol w:w="727"/>
        <w:gridCol w:w="727"/>
        <w:gridCol w:w="727"/>
        <w:gridCol w:w="727"/>
        <w:gridCol w:w="727"/>
        <w:gridCol w:w="727"/>
        <w:gridCol w:w="727"/>
        <w:gridCol w:w="727"/>
        <w:gridCol w:w="727"/>
        <w:gridCol w:w="727"/>
        <w:gridCol w:w="727"/>
        <w:gridCol w:w="727"/>
        <w:gridCol w:w="727"/>
      </w:tblGrid>
      <w:tr w14:paraId="37B1863F" w14:textId="77777777" w:rsidTr="00533B4F">
        <w:tblPrEx>
          <w:tblW w:w="1349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2"/>
        </w:trPr>
        <w:tc>
          <w:tcPr>
            <w:tcW w:w="2472" w:type="dxa"/>
            <w:vMerge w:val="restart"/>
            <w:shd w:val="clear" w:color="auto" w:fill="00B0EF"/>
          </w:tcPr>
          <w:p w:rsidR="00A14509" w:rsidP="00533B4F" w14:paraId="0976C4A3" w14:textId="77777777">
            <w:pPr>
              <w:pStyle w:val="TableParagraph"/>
              <w:spacing w:before="0"/>
              <w:rPr>
                <w:rFonts w:ascii="Times New Roman"/>
                <w:sz w:val="10"/>
              </w:rPr>
            </w:pPr>
          </w:p>
          <w:p w:rsidR="00A14509" w:rsidP="00533B4F" w14:paraId="2C6257C4" w14:textId="77777777">
            <w:pPr>
              <w:pStyle w:val="TableParagraph"/>
              <w:spacing w:before="0"/>
              <w:rPr>
                <w:rFonts w:ascii="Times New Roman"/>
                <w:sz w:val="10"/>
              </w:rPr>
            </w:pPr>
          </w:p>
          <w:p w:rsidR="00A14509" w:rsidP="00533B4F" w14:paraId="53CDB6AB" w14:textId="77777777">
            <w:pPr>
              <w:pStyle w:val="TableParagraph"/>
              <w:spacing w:before="7"/>
              <w:rPr>
                <w:rFonts w:ascii="Times New Roman"/>
                <w:sz w:val="11"/>
              </w:rPr>
            </w:pPr>
          </w:p>
          <w:p w:rsidR="00A14509" w:rsidP="00533B4F" w14:paraId="15E5AE5E" w14:textId="77777777">
            <w:pPr>
              <w:pStyle w:val="TableParagraph"/>
              <w:spacing w:before="0"/>
              <w:ind w:left="707"/>
              <w:rPr>
                <w:b/>
                <w:sz w:val="11"/>
              </w:rPr>
            </w:pPr>
            <w:r>
              <w:rPr>
                <w:b/>
                <w:sz w:val="11"/>
              </w:rPr>
              <w:t xml:space="preserve">EIA Form </w:t>
            </w:r>
            <w:r>
              <w:rPr>
                <w:b/>
                <w:spacing w:val="-2"/>
                <w:sz w:val="11"/>
              </w:rPr>
              <w:t>Number/Title</w:t>
            </w:r>
          </w:p>
        </w:tc>
        <w:tc>
          <w:tcPr>
            <w:tcW w:w="727" w:type="dxa"/>
            <w:vMerge w:val="restart"/>
            <w:shd w:val="clear" w:color="auto" w:fill="00B0EF"/>
          </w:tcPr>
          <w:p w:rsidR="00A14509" w:rsidP="00533B4F" w14:paraId="275F035F" w14:textId="77777777">
            <w:pPr>
              <w:pStyle w:val="TableParagraph"/>
              <w:spacing w:before="0"/>
              <w:rPr>
                <w:rFonts w:ascii="Times New Roman"/>
                <w:sz w:val="10"/>
              </w:rPr>
            </w:pPr>
          </w:p>
          <w:p w:rsidR="00A14509" w:rsidP="00533B4F" w14:paraId="03112856" w14:textId="77777777">
            <w:pPr>
              <w:pStyle w:val="TableParagraph"/>
              <w:spacing w:before="10"/>
              <w:rPr>
                <w:rFonts w:ascii="Times New Roman"/>
                <w:sz w:val="8"/>
              </w:rPr>
            </w:pPr>
          </w:p>
          <w:p w:rsidR="00A14509" w:rsidP="00533B4F" w14:paraId="44451008" w14:textId="77777777">
            <w:pPr>
              <w:pStyle w:val="TableParagraph"/>
              <w:spacing w:before="0" w:line="261" w:lineRule="auto"/>
              <w:ind w:left="124" w:firstLine="74"/>
              <w:rPr>
                <w:b/>
                <w:sz w:val="11"/>
              </w:rPr>
            </w:pPr>
            <w:r>
              <w:rPr>
                <w:b/>
                <w:spacing w:val="-2"/>
                <w:sz w:val="11"/>
              </w:rPr>
              <w:t>Annual</w:t>
            </w:r>
            <w:r>
              <w:rPr>
                <w:b/>
                <w:spacing w:val="40"/>
                <w:sz w:val="11"/>
              </w:rPr>
              <w:t xml:space="preserve"> </w:t>
            </w:r>
            <w:r>
              <w:rPr>
                <w:b/>
                <w:spacing w:val="-2"/>
                <w:sz w:val="11"/>
              </w:rPr>
              <w:t>Reporting</w:t>
            </w:r>
            <w:r>
              <w:rPr>
                <w:b/>
                <w:spacing w:val="40"/>
                <w:sz w:val="11"/>
              </w:rPr>
              <w:t xml:space="preserve"> </w:t>
            </w:r>
            <w:r>
              <w:rPr>
                <w:b/>
                <w:spacing w:val="-2"/>
                <w:sz w:val="11"/>
              </w:rPr>
              <w:t>Frequency</w:t>
            </w:r>
          </w:p>
        </w:tc>
        <w:tc>
          <w:tcPr>
            <w:tcW w:w="840" w:type="dxa"/>
            <w:vMerge w:val="restart"/>
            <w:shd w:val="clear" w:color="auto" w:fill="00B0EF"/>
          </w:tcPr>
          <w:p w:rsidR="00A14509" w:rsidP="00533B4F" w14:paraId="2884E3DE" w14:textId="77777777">
            <w:pPr>
              <w:pStyle w:val="TableParagraph"/>
              <w:spacing w:before="5"/>
              <w:rPr>
                <w:rFonts w:ascii="Times New Roman"/>
                <w:sz w:val="12"/>
              </w:rPr>
            </w:pPr>
          </w:p>
          <w:p w:rsidR="00A14509" w:rsidP="00533B4F" w14:paraId="0D2687C7" w14:textId="77777777">
            <w:pPr>
              <w:pStyle w:val="TableParagraph"/>
              <w:spacing w:before="0" w:line="261" w:lineRule="auto"/>
              <w:ind w:left="122" w:right="104" w:firstLine="4"/>
              <w:jc w:val="center"/>
              <w:rPr>
                <w:b/>
                <w:sz w:val="11"/>
              </w:rPr>
            </w:pPr>
            <w:r>
              <w:rPr>
                <w:b/>
                <w:sz w:val="11"/>
              </w:rPr>
              <w:t>Number</w:t>
            </w:r>
            <w:r>
              <w:rPr>
                <w:b/>
                <w:spacing w:val="-7"/>
                <w:sz w:val="11"/>
              </w:rPr>
              <w:t xml:space="preserve"> </w:t>
            </w:r>
            <w:r>
              <w:rPr>
                <w:b/>
                <w:sz w:val="11"/>
              </w:rPr>
              <w:t>of</w:t>
            </w:r>
            <w:r>
              <w:rPr>
                <w:b/>
                <w:spacing w:val="40"/>
                <w:sz w:val="11"/>
              </w:rPr>
              <w:t xml:space="preserve"> </w:t>
            </w:r>
            <w:r>
              <w:rPr>
                <w:b/>
                <w:spacing w:val="-2"/>
                <w:sz w:val="11"/>
              </w:rPr>
              <w:t>Respondents</w:t>
            </w:r>
            <w:r>
              <w:rPr>
                <w:b/>
                <w:spacing w:val="40"/>
                <w:sz w:val="11"/>
              </w:rPr>
              <w:t xml:space="preserve"> </w:t>
            </w:r>
            <w:r>
              <w:rPr>
                <w:b/>
                <w:spacing w:val="-2"/>
                <w:sz w:val="11"/>
              </w:rPr>
              <w:t>(Previously</w:t>
            </w:r>
            <w:r>
              <w:rPr>
                <w:b/>
                <w:spacing w:val="40"/>
                <w:sz w:val="11"/>
              </w:rPr>
              <w:t xml:space="preserve"> </w:t>
            </w:r>
            <w:r>
              <w:rPr>
                <w:b/>
                <w:spacing w:val="-2"/>
                <w:sz w:val="11"/>
              </w:rPr>
              <w:t>Approved)</w:t>
            </w:r>
          </w:p>
        </w:tc>
        <w:tc>
          <w:tcPr>
            <w:tcW w:w="727" w:type="dxa"/>
            <w:vMerge w:val="restart"/>
            <w:shd w:val="clear" w:color="auto" w:fill="00B0EF"/>
          </w:tcPr>
          <w:p w:rsidR="00A14509" w:rsidP="00533B4F" w14:paraId="1A33A5C0" w14:textId="77777777">
            <w:pPr>
              <w:pStyle w:val="TableParagraph"/>
              <w:spacing w:before="0"/>
              <w:rPr>
                <w:rFonts w:ascii="Times New Roman"/>
                <w:sz w:val="10"/>
              </w:rPr>
            </w:pPr>
          </w:p>
          <w:p w:rsidR="00A14509" w:rsidP="00533B4F" w14:paraId="4A6A8307" w14:textId="77777777">
            <w:pPr>
              <w:pStyle w:val="TableParagraph"/>
              <w:spacing w:before="10"/>
              <w:rPr>
                <w:rFonts w:ascii="Times New Roman"/>
                <w:sz w:val="8"/>
              </w:rPr>
            </w:pPr>
          </w:p>
          <w:p w:rsidR="00A14509" w:rsidP="00533B4F" w14:paraId="733179EF" w14:textId="77777777">
            <w:pPr>
              <w:pStyle w:val="TableParagraph"/>
              <w:spacing w:before="0" w:line="261" w:lineRule="auto"/>
              <w:ind w:left="64" w:firstLine="52"/>
              <w:rPr>
                <w:b/>
                <w:sz w:val="11"/>
              </w:rPr>
            </w:pPr>
            <w:r>
              <w:rPr>
                <w:b/>
                <w:sz w:val="11"/>
              </w:rPr>
              <w:t>Number</w:t>
            </w:r>
            <w:r>
              <w:rPr>
                <w:b/>
                <w:spacing w:val="-7"/>
                <w:sz w:val="11"/>
              </w:rPr>
              <w:t xml:space="preserve"> </w:t>
            </w:r>
            <w:r>
              <w:rPr>
                <w:b/>
                <w:sz w:val="11"/>
              </w:rPr>
              <w:t>of</w:t>
            </w:r>
            <w:r>
              <w:rPr>
                <w:b/>
                <w:spacing w:val="40"/>
                <w:sz w:val="11"/>
              </w:rPr>
              <w:t xml:space="preserve"> </w:t>
            </w:r>
            <w:r>
              <w:rPr>
                <w:b/>
                <w:spacing w:val="-2"/>
                <w:sz w:val="11"/>
              </w:rPr>
              <w:t>Respondents</w:t>
            </w:r>
            <w:r>
              <w:rPr>
                <w:b/>
                <w:spacing w:val="40"/>
                <w:sz w:val="11"/>
              </w:rPr>
              <w:t xml:space="preserve"> </w:t>
            </w:r>
            <w:r>
              <w:rPr>
                <w:b/>
                <w:spacing w:val="-2"/>
                <w:sz w:val="11"/>
              </w:rPr>
              <w:t>(Requested)</w:t>
            </w:r>
          </w:p>
        </w:tc>
        <w:tc>
          <w:tcPr>
            <w:tcW w:w="727" w:type="dxa"/>
            <w:vMerge w:val="restart"/>
            <w:shd w:val="clear" w:color="auto" w:fill="00B0EF"/>
          </w:tcPr>
          <w:p w:rsidR="00A14509" w:rsidP="00533B4F" w14:paraId="4C1FB039" w14:textId="77777777">
            <w:pPr>
              <w:pStyle w:val="TableParagraph"/>
              <w:spacing w:before="71" w:line="261" w:lineRule="auto"/>
              <w:ind w:left="110" w:right="89" w:hanging="7"/>
              <w:jc w:val="center"/>
              <w:rPr>
                <w:b/>
                <w:sz w:val="11"/>
              </w:rPr>
            </w:pPr>
            <w:r>
              <w:rPr>
                <w:b/>
                <w:spacing w:val="-2"/>
                <w:sz w:val="11"/>
              </w:rPr>
              <w:t>Annual</w:t>
            </w:r>
            <w:r>
              <w:rPr>
                <w:b/>
                <w:spacing w:val="40"/>
                <w:sz w:val="11"/>
              </w:rPr>
              <w:t xml:space="preserve"> </w:t>
            </w:r>
            <w:r>
              <w:rPr>
                <w:b/>
                <w:sz w:val="11"/>
              </w:rPr>
              <w:t>Number</w:t>
            </w:r>
            <w:r>
              <w:rPr>
                <w:b/>
                <w:spacing w:val="-7"/>
                <w:sz w:val="11"/>
              </w:rPr>
              <w:t xml:space="preserve"> </w:t>
            </w:r>
            <w:r>
              <w:rPr>
                <w:b/>
                <w:sz w:val="11"/>
              </w:rPr>
              <w:t>of</w:t>
            </w:r>
            <w:r>
              <w:rPr>
                <w:b/>
                <w:spacing w:val="40"/>
                <w:sz w:val="11"/>
              </w:rPr>
              <w:t xml:space="preserve"> </w:t>
            </w:r>
            <w:r>
              <w:rPr>
                <w:b/>
                <w:spacing w:val="-2"/>
                <w:sz w:val="11"/>
              </w:rPr>
              <w:t>Responses</w:t>
            </w:r>
            <w:r>
              <w:rPr>
                <w:b/>
                <w:spacing w:val="40"/>
                <w:sz w:val="11"/>
              </w:rPr>
              <w:t xml:space="preserve"> </w:t>
            </w:r>
            <w:r>
              <w:rPr>
                <w:b/>
                <w:spacing w:val="-2"/>
                <w:sz w:val="11"/>
              </w:rPr>
              <w:t>(Previously</w:t>
            </w:r>
            <w:r>
              <w:rPr>
                <w:b/>
                <w:spacing w:val="40"/>
                <w:sz w:val="11"/>
              </w:rPr>
              <w:t xml:space="preserve"> </w:t>
            </w:r>
            <w:r>
              <w:rPr>
                <w:b/>
                <w:spacing w:val="-2"/>
                <w:sz w:val="11"/>
              </w:rPr>
              <w:t>Approved)</w:t>
            </w:r>
          </w:p>
        </w:tc>
        <w:tc>
          <w:tcPr>
            <w:tcW w:w="727" w:type="dxa"/>
            <w:vMerge w:val="restart"/>
            <w:shd w:val="clear" w:color="auto" w:fill="00B0EF"/>
          </w:tcPr>
          <w:p w:rsidR="00A14509" w:rsidP="00533B4F" w14:paraId="76B851D8" w14:textId="77777777">
            <w:pPr>
              <w:pStyle w:val="TableParagraph"/>
              <w:spacing w:before="5"/>
              <w:rPr>
                <w:rFonts w:ascii="Times New Roman"/>
                <w:sz w:val="12"/>
              </w:rPr>
            </w:pPr>
          </w:p>
          <w:p w:rsidR="00A14509" w:rsidP="00533B4F" w14:paraId="1828D531" w14:textId="77777777">
            <w:pPr>
              <w:pStyle w:val="TableParagraph"/>
              <w:spacing w:before="0" w:line="261" w:lineRule="auto"/>
              <w:ind w:left="86" w:right="64" w:hanging="2"/>
              <w:jc w:val="center"/>
              <w:rPr>
                <w:b/>
                <w:sz w:val="11"/>
              </w:rPr>
            </w:pPr>
            <w:r>
              <w:rPr>
                <w:b/>
                <w:spacing w:val="-2"/>
                <w:sz w:val="11"/>
              </w:rPr>
              <w:t>Annual</w:t>
            </w:r>
            <w:r>
              <w:rPr>
                <w:b/>
                <w:spacing w:val="40"/>
                <w:sz w:val="11"/>
              </w:rPr>
              <w:t xml:space="preserve"> </w:t>
            </w:r>
            <w:r>
              <w:rPr>
                <w:b/>
                <w:sz w:val="11"/>
              </w:rPr>
              <w:t>Number</w:t>
            </w:r>
            <w:r>
              <w:rPr>
                <w:b/>
                <w:spacing w:val="-7"/>
                <w:sz w:val="11"/>
              </w:rPr>
              <w:t xml:space="preserve"> </w:t>
            </w:r>
            <w:r>
              <w:rPr>
                <w:b/>
                <w:sz w:val="11"/>
              </w:rPr>
              <w:t>of</w:t>
            </w:r>
            <w:r>
              <w:rPr>
                <w:b/>
                <w:spacing w:val="40"/>
                <w:sz w:val="11"/>
              </w:rPr>
              <w:t xml:space="preserve"> </w:t>
            </w:r>
            <w:r>
              <w:rPr>
                <w:b/>
                <w:spacing w:val="-2"/>
                <w:sz w:val="11"/>
              </w:rPr>
              <w:t>Responses</w:t>
            </w:r>
            <w:r>
              <w:rPr>
                <w:b/>
                <w:spacing w:val="40"/>
                <w:sz w:val="11"/>
              </w:rPr>
              <w:t xml:space="preserve"> </w:t>
            </w:r>
            <w:r>
              <w:rPr>
                <w:b/>
                <w:spacing w:val="-2"/>
                <w:sz w:val="11"/>
              </w:rPr>
              <w:t>(Requested)</w:t>
            </w:r>
          </w:p>
        </w:tc>
        <w:tc>
          <w:tcPr>
            <w:tcW w:w="727" w:type="dxa"/>
            <w:vMerge w:val="restart"/>
            <w:shd w:val="clear" w:color="auto" w:fill="00B0EF"/>
          </w:tcPr>
          <w:p w:rsidR="00A14509" w:rsidP="00533B4F" w14:paraId="718766E1" w14:textId="77777777">
            <w:pPr>
              <w:pStyle w:val="TableParagraph"/>
              <w:spacing w:before="5"/>
              <w:rPr>
                <w:rFonts w:ascii="Times New Roman"/>
                <w:sz w:val="12"/>
              </w:rPr>
            </w:pPr>
          </w:p>
          <w:p w:rsidR="00A14509" w:rsidP="00533B4F" w14:paraId="7282BAC6" w14:textId="77777777">
            <w:pPr>
              <w:pStyle w:val="TableParagraph"/>
              <w:spacing w:before="0" w:line="261" w:lineRule="auto"/>
              <w:ind w:left="20" w:right="2"/>
              <w:jc w:val="center"/>
              <w:rPr>
                <w:b/>
                <w:sz w:val="11"/>
              </w:rPr>
            </w:pPr>
            <w:r>
              <w:rPr>
                <w:b/>
                <w:sz w:val="11"/>
              </w:rPr>
              <w:t>Burden</w:t>
            </w:r>
            <w:r>
              <w:rPr>
                <w:b/>
                <w:spacing w:val="-7"/>
                <w:sz w:val="11"/>
              </w:rPr>
              <w:t xml:space="preserve"> </w:t>
            </w:r>
            <w:r>
              <w:rPr>
                <w:b/>
                <w:sz w:val="11"/>
              </w:rPr>
              <w:t>Hours</w:t>
            </w:r>
            <w:r>
              <w:rPr>
                <w:b/>
                <w:spacing w:val="40"/>
                <w:sz w:val="11"/>
              </w:rPr>
              <w:t xml:space="preserve"> </w:t>
            </w:r>
            <w:r>
              <w:rPr>
                <w:b/>
                <w:sz w:val="11"/>
              </w:rPr>
              <w:t>Per</w:t>
            </w:r>
            <w:r>
              <w:rPr>
                <w:b/>
                <w:spacing w:val="-7"/>
                <w:sz w:val="11"/>
              </w:rPr>
              <w:t xml:space="preserve"> </w:t>
            </w:r>
            <w:r>
              <w:rPr>
                <w:b/>
                <w:sz w:val="11"/>
              </w:rPr>
              <w:t>Response</w:t>
            </w:r>
            <w:r>
              <w:rPr>
                <w:b/>
                <w:spacing w:val="40"/>
                <w:sz w:val="11"/>
              </w:rPr>
              <w:t xml:space="preserve"> </w:t>
            </w:r>
            <w:r>
              <w:rPr>
                <w:b/>
                <w:spacing w:val="-2"/>
                <w:sz w:val="11"/>
              </w:rPr>
              <w:t>(Previously</w:t>
            </w:r>
            <w:r>
              <w:rPr>
                <w:b/>
                <w:spacing w:val="40"/>
                <w:sz w:val="11"/>
              </w:rPr>
              <w:t xml:space="preserve"> </w:t>
            </w:r>
            <w:r>
              <w:rPr>
                <w:b/>
                <w:spacing w:val="-2"/>
                <w:sz w:val="11"/>
              </w:rPr>
              <w:t>Approved)</w:t>
            </w:r>
          </w:p>
        </w:tc>
        <w:tc>
          <w:tcPr>
            <w:tcW w:w="727" w:type="dxa"/>
            <w:vMerge w:val="restart"/>
            <w:shd w:val="clear" w:color="auto" w:fill="00B0EF"/>
          </w:tcPr>
          <w:p w:rsidR="00A14509" w:rsidP="00533B4F" w14:paraId="1C4433A5" w14:textId="77777777">
            <w:pPr>
              <w:pStyle w:val="TableParagraph"/>
              <w:spacing w:before="0"/>
              <w:rPr>
                <w:rFonts w:ascii="Times New Roman"/>
                <w:sz w:val="10"/>
              </w:rPr>
            </w:pPr>
          </w:p>
          <w:p w:rsidR="00A14509" w:rsidP="00533B4F" w14:paraId="7F7E0233" w14:textId="77777777">
            <w:pPr>
              <w:pStyle w:val="TableParagraph"/>
              <w:spacing w:before="10"/>
              <w:rPr>
                <w:rFonts w:ascii="Times New Roman"/>
                <w:sz w:val="8"/>
              </w:rPr>
            </w:pPr>
          </w:p>
          <w:p w:rsidR="00A14509" w:rsidP="00533B4F" w14:paraId="202766C0" w14:textId="77777777">
            <w:pPr>
              <w:pStyle w:val="TableParagraph"/>
              <w:spacing w:line="261" w:lineRule="auto"/>
              <w:ind w:left="58" w:right="30" w:hanging="10"/>
              <w:jc w:val="both"/>
              <w:rPr>
                <w:b/>
                <w:sz w:val="11"/>
              </w:rPr>
            </w:pPr>
            <w:r>
              <w:rPr>
                <w:b/>
                <w:sz w:val="11"/>
              </w:rPr>
              <w:t>Burden</w:t>
            </w:r>
            <w:r>
              <w:rPr>
                <w:b/>
                <w:spacing w:val="-7"/>
                <w:sz w:val="11"/>
              </w:rPr>
              <w:t xml:space="preserve"> </w:t>
            </w:r>
            <w:r>
              <w:rPr>
                <w:b/>
                <w:sz w:val="11"/>
              </w:rPr>
              <w:t>Hours</w:t>
            </w:r>
            <w:r>
              <w:rPr>
                <w:b/>
                <w:spacing w:val="40"/>
                <w:sz w:val="11"/>
              </w:rPr>
              <w:t xml:space="preserve"> </w:t>
            </w:r>
            <w:r>
              <w:rPr>
                <w:b/>
                <w:sz w:val="11"/>
              </w:rPr>
              <w:t>Per</w:t>
            </w:r>
            <w:r>
              <w:rPr>
                <w:b/>
                <w:spacing w:val="-7"/>
                <w:sz w:val="11"/>
              </w:rPr>
              <w:t xml:space="preserve"> </w:t>
            </w:r>
            <w:r>
              <w:rPr>
                <w:b/>
                <w:sz w:val="11"/>
              </w:rPr>
              <w:t>Response</w:t>
            </w:r>
            <w:r>
              <w:rPr>
                <w:b/>
                <w:spacing w:val="40"/>
                <w:sz w:val="11"/>
              </w:rPr>
              <w:t xml:space="preserve"> </w:t>
            </w:r>
            <w:r>
              <w:rPr>
                <w:b/>
                <w:spacing w:val="-2"/>
                <w:sz w:val="11"/>
              </w:rPr>
              <w:t>(Requested)</w:t>
            </w:r>
          </w:p>
        </w:tc>
        <w:tc>
          <w:tcPr>
            <w:tcW w:w="727" w:type="dxa"/>
            <w:vMerge w:val="restart"/>
            <w:shd w:val="clear" w:color="auto" w:fill="00B0EF"/>
          </w:tcPr>
          <w:p w:rsidR="00A14509" w:rsidP="00533B4F" w14:paraId="229D8FEB" w14:textId="77777777">
            <w:pPr>
              <w:pStyle w:val="TableParagraph"/>
              <w:spacing w:before="5"/>
              <w:rPr>
                <w:rFonts w:ascii="Times New Roman"/>
                <w:sz w:val="12"/>
              </w:rPr>
            </w:pPr>
          </w:p>
          <w:p w:rsidR="00A14509" w:rsidP="00533B4F" w14:paraId="11A6FEBE" w14:textId="77777777">
            <w:pPr>
              <w:pStyle w:val="TableParagraph"/>
              <w:spacing w:before="0" w:line="261" w:lineRule="auto"/>
              <w:ind w:left="20" w:right="3"/>
              <w:jc w:val="center"/>
              <w:rPr>
                <w:b/>
                <w:sz w:val="11"/>
              </w:rPr>
            </w:pPr>
            <w:r>
              <w:rPr>
                <w:b/>
                <w:sz w:val="11"/>
              </w:rPr>
              <w:t>Annual</w:t>
            </w:r>
            <w:r>
              <w:rPr>
                <w:b/>
                <w:spacing w:val="-7"/>
                <w:sz w:val="11"/>
              </w:rPr>
              <w:t xml:space="preserve"> </w:t>
            </w:r>
            <w:r>
              <w:rPr>
                <w:b/>
                <w:sz w:val="11"/>
              </w:rPr>
              <w:t>Burden</w:t>
            </w:r>
            <w:r>
              <w:rPr>
                <w:b/>
                <w:spacing w:val="40"/>
                <w:sz w:val="11"/>
              </w:rPr>
              <w:t xml:space="preserve"> </w:t>
            </w:r>
            <w:r>
              <w:rPr>
                <w:b/>
                <w:spacing w:val="-2"/>
                <w:sz w:val="11"/>
              </w:rPr>
              <w:t>Hours</w:t>
            </w:r>
            <w:r>
              <w:rPr>
                <w:b/>
                <w:spacing w:val="40"/>
                <w:sz w:val="11"/>
              </w:rPr>
              <w:t xml:space="preserve"> </w:t>
            </w:r>
            <w:r>
              <w:rPr>
                <w:b/>
                <w:spacing w:val="-2"/>
                <w:sz w:val="11"/>
              </w:rPr>
              <w:t>(Previously</w:t>
            </w:r>
            <w:r>
              <w:rPr>
                <w:b/>
                <w:spacing w:val="40"/>
                <w:sz w:val="11"/>
              </w:rPr>
              <w:t xml:space="preserve"> </w:t>
            </w:r>
            <w:r>
              <w:rPr>
                <w:b/>
                <w:spacing w:val="-2"/>
                <w:sz w:val="11"/>
              </w:rPr>
              <w:t>Approved)</w:t>
            </w:r>
          </w:p>
        </w:tc>
        <w:tc>
          <w:tcPr>
            <w:tcW w:w="727" w:type="dxa"/>
            <w:vMerge w:val="restart"/>
            <w:shd w:val="clear" w:color="auto" w:fill="00B0EF"/>
          </w:tcPr>
          <w:p w:rsidR="00A14509" w:rsidP="00533B4F" w14:paraId="4E8786BB" w14:textId="77777777">
            <w:pPr>
              <w:pStyle w:val="TableParagraph"/>
              <w:spacing w:before="0"/>
              <w:rPr>
                <w:rFonts w:ascii="Times New Roman"/>
                <w:sz w:val="10"/>
              </w:rPr>
            </w:pPr>
          </w:p>
          <w:p w:rsidR="00A14509" w:rsidP="00533B4F" w14:paraId="40488741" w14:textId="77777777">
            <w:pPr>
              <w:pStyle w:val="TableParagraph"/>
              <w:spacing w:before="10"/>
              <w:rPr>
                <w:rFonts w:ascii="Times New Roman"/>
                <w:sz w:val="8"/>
              </w:rPr>
            </w:pPr>
          </w:p>
          <w:p w:rsidR="00A14509" w:rsidP="00533B4F" w14:paraId="3979A1DB" w14:textId="77777777">
            <w:pPr>
              <w:pStyle w:val="TableParagraph"/>
              <w:spacing w:before="0" w:line="261" w:lineRule="auto"/>
              <w:ind w:left="20" w:right="3"/>
              <w:jc w:val="center"/>
              <w:rPr>
                <w:b/>
                <w:sz w:val="11"/>
              </w:rPr>
            </w:pPr>
            <w:r>
              <w:rPr>
                <w:b/>
                <w:sz w:val="11"/>
              </w:rPr>
              <w:t>Annual</w:t>
            </w:r>
            <w:r>
              <w:rPr>
                <w:b/>
                <w:spacing w:val="-7"/>
                <w:sz w:val="11"/>
              </w:rPr>
              <w:t xml:space="preserve"> </w:t>
            </w:r>
            <w:r>
              <w:rPr>
                <w:b/>
                <w:sz w:val="11"/>
              </w:rPr>
              <w:t>Burden</w:t>
            </w:r>
            <w:r>
              <w:rPr>
                <w:b/>
                <w:spacing w:val="40"/>
                <w:sz w:val="11"/>
              </w:rPr>
              <w:t xml:space="preserve"> </w:t>
            </w:r>
            <w:r>
              <w:rPr>
                <w:b/>
                <w:spacing w:val="-2"/>
                <w:sz w:val="11"/>
              </w:rPr>
              <w:t>Hours</w:t>
            </w:r>
            <w:r>
              <w:rPr>
                <w:b/>
                <w:spacing w:val="40"/>
                <w:sz w:val="11"/>
              </w:rPr>
              <w:t xml:space="preserve"> </w:t>
            </w:r>
            <w:r>
              <w:rPr>
                <w:b/>
                <w:spacing w:val="-2"/>
                <w:sz w:val="11"/>
              </w:rPr>
              <w:t>(Requested)</w:t>
            </w:r>
          </w:p>
        </w:tc>
        <w:tc>
          <w:tcPr>
            <w:tcW w:w="2181" w:type="dxa"/>
            <w:gridSpan w:val="3"/>
            <w:shd w:val="clear" w:color="auto" w:fill="00B0EF"/>
          </w:tcPr>
          <w:p w:rsidR="00A14509" w:rsidP="00533B4F" w14:paraId="0A430EDA" w14:textId="77777777">
            <w:pPr>
              <w:pStyle w:val="TableParagraph"/>
              <w:spacing w:before="13"/>
              <w:ind w:left="416"/>
              <w:rPr>
                <w:b/>
                <w:sz w:val="11"/>
              </w:rPr>
            </w:pPr>
            <w:r>
              <w:rPr>
                <w:b/>
                <w:sz w:val="11"/>
              </w:rPr>
              <w:t>Annual Number</w:t>
            </w:r>
            <w:r>
              <w:rPr>
                <w:b/>
                <w:spacing w:val="-1"/>
                <w:sz w:val="11"/>
              </w:rPr>
              <w:t xml:space="preserve"> </w:t>
            </w:r>
            <w:r>
              <w:rPr>
                <w:b/>
                <w:sz w:val="11"/>
              </w:rPr>
              <w:t xml:space="preserve">of </w:t>
            </w:r>
            <w:r>
              <w:rPr>
                <w:b/>
                <w:spacing w:val="-2"/>
                <w:sz w:val="11"/>
              </w:rPr>
              <w:t>Responses</w:t>
            </w:r>
          </w:p>
        </w:tc>
        <w:tc>
          <w:tcPr>
            <w:tcW w:w="2181" w:type="dxa"/>
            <w:gridSpan w:val="3"/>
            <w:shd w:val="clear" w:color="auto" w:fill="00B0EF"/>
          </w:tcPr>
          <w:p w:rsidR="00A14509" w:rsidP="00533B4F" w14:paraId="499D6ED4" w14:textId="77777777">
            <w:pPr>
              <w:pStyle w:val="TableParagraph"/>
              <w:spacing w:before="13"/>
              <w:ind w:left="601"/>
              <w:rPr>
                <w:b/>
                <w:sz w:val="11"/>
              </w:rPr>
            </w:pPr>
            <w:r>
              <w:rPr>
                <w:b/>
                <w:sz w:val="11"/>
              </w:rPr>
              <w:t>Annual Burden</w:t>
            </w:r>
            <w:r>
              <w:rPr>
                <w:b/>
                <w:spacing w:val="-1"/>
                <w:sz w:val="11"/>
              </w:rPr>
              <w:t xml:space="preserve"> </w:t>
            </w:r>
            <w:r>
              <w:rPr>
                <w:b/>
                <w:spacing w:val="-2"/>
                <w:sz w:val="11"/>
              </w:rPr>
              <w:t>Hours</w:t>
            </w:r>
          </w:p>
        </w:tc>
      </w:tr>
      <w:tr w14:paraId="0FD2BA58" w14:textId="77777777" w:rsidTr="00533B4F">
        <w:tblPrEx>
          <w:tblW w:w="13490" w:type="dxa"/>
          <w:tblInd w:w="120" w:type="dxa"/>
          <w:tblLayout w:type="fixed"/>
          <w:tblCellMar>
            <w:left w:w="0" w:type="dxa"/>
            <w:right w:w="0" w:type="dxa"/>
          </w:tblCellMar>
          <w:tblLook w:val="01E0"/>
        </w:tblPrEx>
        <w:trPr>
          <w:trHeight w:val="685"/>
        </w:trPr>
        <w:tc>
          <w:tcPr>
            <w:tcW w:w="2472" w:type="dxa"/>
            <w:vMerge/>
            <w:tcBorders>
              <w:top w:val="nil"/>
            </w:tcBorders>
            <w:shd w:val="clear" w:color="auto" w:fill="00B0EF"/>
          </w:tcPr>
          <w:p w:rsidR="00A14509" w:rsidP="00533B4F" w14:paraId="3077E073" w14:textId="77777777">
            <w:pPr>
              <w:rPr>
                <w:sz w:val="2"/>
                <w:szCs w:val="2"/>
              </w:rPr>
            </w:pPr>
          </w:p>
        </w:tc>
        <w:tc>
          <w:tcPr>
            <w:tcW w:w="727" w:type="dxa"/>
            <w:vMerge/>
            <w:tcBorders>
              <w:top w:val="nil"/>
            </w:tcBorders>
            <w:shd w:val="clear" w:color="auto" w:fill="00B0EF"/>
          </w:tcPr>
          <w:p w:rsidR="00A14509" w:rsidP="00533B4F" w14:paraId="01EA7326" w14:textId="77777777">
            <w:pPr>
              <w:rPr>
                <w:sz w:val="2"/>
                <w:szCs w:val="2"/>
              </w:rPr>
            </w:pPr>
          </w:p>
        </w:tc>
        <w:tc>
          <w:tcPr>
            <w:tcW w:w="840" w:type="dxa"/>
            <w:vMerge/>
            <w:tcBorders>
              <w:top w:val="nil"/>
            </w:tcBorders>
            <w:shd w:val="clear" w:color="auto" w:fill="00B0EF"/>
          </w:tcPr>
          <w:p w:rsidR="00A14509" w:rsidP="00533B4F" w14:paraId="1A502457" w14:textId="77777777">
            <w:pPr>
              <w:rPr>
                <w:sz w:val="2"/>
                <w:szCs w:val="2"/>
              </w:rPr>
            </w:pPr>
          </w:p>
        </w:tc>
        <w:tc>
          <w:tcPr>
            <w:tcW w:w="727" w:type="dxa"/>
            <w:vMerge/>
            <w:tcBorders>
              <w:top w:val="nil"/>
            </w:tcBorders>
            <w:shd w:val="clear" w:color="auto" w:fill="00B0EF"/>
          </w:tcPr>
          <w:p w:rsidR="00A14509" w:rsidP="00533B4F" w14:paraId="0F8EE58B" w14:textId="77777777">
            <w:pPr>
              <w:rPr>
                <w:sz w:val="2"/>
                <w:szCs w:val="2"/>
              </w:rPr>
            </w:pPr>
          </w:p>
        </w:tc>
        <w:tc>
          <w:tcPr>
            <w:tcW w:w="727" w:type="dxa"/>
            <w:vMerge/>
            <w:tcBorders>
              <w:top w:val="nil"/>
            </w:tcBorders>
            <w:shd w:val="clear" w:color="auto" w:fill="00B0EF"/>
          </w:tcPr>
          <w:p w:rsidR="00A14509" w:rsidP="00533B4F" w14:paraId="7808B7FF" w14:textId="77777777">
            <w:pPr>
              <w:rPr>
                <w:sz w:val="2"/>
                <w:szCs w:val="2"/>
              </w:rPr>
            </w:pPr>
          </w:p>
        </w:tc>
        <w:tc>
          <w:tcPr>
            <w:tcW w:w="727" w:type="dxa"/>
            <w:vMerge/>
            <w:tcBorders>
              <w:top w:val="nil"/>
            </w:tcBorders>
            <w:shd w:val="clear" w:color="auto" w:fill="00B0EF"/>
          </w:tcPr>
          <w:p w:rsidR="00A14509" w:rsidP="00533B4F" w14:paraId="01879BD0" w14:textId="77777777">
            <w:pPr>
              <w:rPr>
                <w:sz w:val="2"/>
                <w:szCs w:val="2"/>
              </w:rPr>
            </w:pPr>
          </w:p>
        </w:tc>
        <w:tc>
          <w:tcPr>
            <w:tcW w:w="727" w:type="dxa"/>
            <w:vMerge/>
            <w:tcBorders>
              <w:top w:val="nil"/>
            </w:tcBorders>
            <w:shd w:val="clear" w:color="auto" w:fill="00B0EF"/>
          </w:tcPr>
          <w:p w:rsidR="00A14509" w:rsidP="00533B4F" w14:paraId="4A713CE0" w14:textId="77777777">
            <w:pPr>
              <w:rPr>
                <w:sz w:val="2"/>
                <w:szCs w:val="2"/>
              </w:rPr>
            </w:pPr>
          </w:p>
        </w:tc>
        <w:tc>
          <w:tcPr>
            <w:tcW w:w="727" w:type="dxa"/>
            <w:vMerge/>
            <w:tcBorders>
              <w:top w:val="nil"/>
            </w:tcBorders>
            <w:shd w:val="clear" w:color="auto" w:fill="00B0EF"/>
          </w:tcPr>
          <w:p w:rsidR="00A14509" w:rsidP="00533B4F" w14:paraId="75392DB2" w14:textId="77777777">
            <w:pPr>
              <w:rPr>
                <w:sz w:val="2"/>
                <w:szCs w:val="2"/>
              </w:rPr>
            </w:pPr>
          </w:p>
        </w:tc>
        <w:tc>
          <w:tcPr>
            <w:tcW w:w="727" w:type="dxa"/>
            <w:vMerge/>
            <w:tcBorders>
              <w:top w:val="nil"/>
            </w:tcBorders>
            <w:shd w:val="clear" w:color="auto" w:fill="00B0EF"/>
          </w:tcPr>
          <w:p w:rsidR="00A14509" w:rsidP="00533B4F" w14:paraId="2D9B068B" w14:textId="77777777">
            <w:pPr>
              <w:rPr>
                <w:sz w:val="2"/>
                <w:szCs w:val="2"/>
              </w:rPr>
            </w:pPr>
          </w:p>
        </w:tc>
        <w:tc>
          <w:tcPr>
            <w:tcW w:w="727" w:type="dxa"/>
            <w:vMerge/>
            <w:tcBorders>
              <w:top w:val="nil"/>
            </w:tcBorders>
            <w:shd w:val="clear" w:color="auto" w:fill="00B0EF"/>
          </w:tcPr>
          <w:p w:rsidR="00A14509" w:rsidP="00533B4F" w14:paraId="2F56C628" w14:textId="77777777">
            <w:pPr>
              <w:rPr>
                <w:sz w:val="2"/>
                <w:szCs w:val="2"/>
              </w:rPr>
            </w:pPr>
          </w:p>
        </w:tc>
        <w:tc>
          <w:tcPr>
            <w:tcW w:w="727" w:type="dxa"/>
            <w:shd w:val="clear" w:color="auto" w:fill="00B0EF"/>
          </w:tcPr>
          <w:p w:rsidR="00A14509" w:rsidP="00533B4F" w14:paraId="2EFCC732" w14:textId="77777777">
            <w:pPr>
              <w:pStyle w:val="TableParagraph"/>
              <w:spacing w:before="2"/>
              <w:rPr>
                <w:rFonts w:ascii="Times New Roman"/>
                <w:sz w:val="11"/>
              </w:rPr>
            </w:pPr>
          </w:p>
          <w:p w:rsidR="00A14509" w:rsidP="00533B4F" w14:paraId="32729AC3" w14:textId="77777777">
            <w:pPr>
              <w:pStyle w:val="TableParagraph"/>
              <w:spacing w:before="0" w:line="261" w:lineRule="auto"/>
              <w:ind w:left="25" w:right="3"/>
              <w:jc w:val="center"/>
              <w:rPr>
                <w:b/>
                <w:sz w:val="11"/>
              </w:rPr>
            </w:pPr>
            <w:r>
              <w:rPr>
                <w:b/>
                <w:sz w:val="11"/>
              </w:rPr>
              <w:t>Change</w:t>
            </w:r>
            <w:r>
              <w:rPr>
                <w:b/>
                <w:spacing w:val="-7"/>
                <w:sz w:val="11"/>
              </w:rPr>
              <w:t xml:space="preserve"> </w:t>
            </w:r>
            <w:r>
              <w:rPr>
                <w:b/>
                <w:sz w:val="11"/>
              </w:rPr>
              <w:t>Due</w:t>
            </w:r>
            <w:r>
              <w:rPr>
                <w:b/>
                <w:spacing w:val="-6"/>
                <w:sz w:val="11"/>
              </w:rPr>
              <w:t xml:space="preserve"> </w:t>
            </w:r>
            <w:r>
              <w:rPr>
                <w:b/>
                <w:sz w:val="11"/>
              </w:rPr>
              <w:t>to</w:t>
            </w:r>
            <w:r>
              <w:rPr>
                <w:b/>
                <w:spacing w:val="40"/>
                <w:sz w:val="11"/>
              </w:rPr>
              <w:t xml:space="preserve"> </w:t>
            </w:r>
            <w:r>
              <w:rPr>
                <w:b/>
                <w:spacing w:val="-2"/>
                <w:sz w:val="11"/>
              </w:rPr>
              <w:t>Agency</w:t>
            </w:r>
            <w:r>
              <w:rPr>
                <w:b/>
                <w:spacing w:val="40"/>
                <w:sz w:val="11"/>
              </w:rPr>
              <w:t xml:space="preserve"> </w:t>
            </w:r>
            <w:r>
              <w:rPr>
                <w:b/>
                <w:spacing w:val="-2"/>
                <w:sz w:val="11"/>
              </w:rPr>
              <w:t>Discretion</w:t>
            </w:r>
          </w:p>
        </w:tc>
        <w:tc>
          <w:tcPr>
            <w:tcW w:w="727" w:type="dxa"/>
            <w:shd w:val="clear" w:color="auto" w:fill="00B0EF"/>
          </w:tcPr>
          <w:p w:rsidR="00A14509" w:rsidP="00533B4F" w14:paraId="71A7FD42" w14:textId="77777777">
            <w:pPr>
              <w:pStyle w:val="TableParagraph"/>
              <w:spacing w:before="57" w:line="261" w:lineRule="auto"/>
              <w:ind w:left="30" w:right="8"/>
              <w:jc w:val="center"/>
              <w:rPr>
                <w:b/>
                <w:sz w:val="11"/>
              </w:rPr>
            </w:pPr>
            <w:r>
              <w:rPr>
                <w:b/>
                <w:sz w:val="11"/>
              </w:rPr>
              <w:t>Change</w:t>
            </w:r>
            <w:r>
              <w:rPr>
                <w:b/>
                <w:spacing w:val="-7"/>
                <w:sz w:val="11"/>
              </w:rPr>
              <w:t xml:space="preserve"> </w:t>
            </w:r>
            <w:r>
              <w:rPr>
                <w:b/>
                <w:sz w:val="11"/>
              </w:rPr>
              <w:t>Due</w:t>
            </w:r>
            <w:r>
              <w:rPr>
                <w:b/>
                <w:spacing w:val="-6"/>
                <w:sz w:val="11"/>
              </w:rPr>
              <w:t xml:space="preserve"> </w:t>
            </w:r>
            <w:r>
              <w:rPr>
                <w:b/>
                <w:sz w:val="11"/>
              </w:rPr>
              <w:t>to</w:t>
            </w:r>
            <w:r>
              <w:rPr>
                <w:b/>
                <w:spacing w:val="40"/>
                <w:sz w:val="11"/>
              </w:rPr>
              <w:t xml:space="preserve"> </w:t>
            </w:r>
            <w:r>
              <w:rPr>
                <w:b/>
                <w:sz w:val="11"/>
              </w:rPr>
              <w:t>Adjustment</w:t>
            </w:r>
            <w:r>
              <w:rPr>
                <w:b/>
                <w:spacing w:val="-7"/>
                <w:sz w:val="11"/>
              </w:rPr>
              <w:t xml:space="preserve"> </w:t>
            </w:r>
            <w:r>
              <w:rPr>
                <w:b/>
                <w:sz w:val="11"/>
              </w:rPr>
              <w:t>in</w:t>
            </w:r>
            <w:r>
              <w:rPr>
                <w:b/>
                <w:spacing w:val="40"/>
                <w:sz w:val="11"/>
              </w:rPr>
              <w:t xml:space="preserve"> </w:t>
            </w:r>
            <w:r>
              <w:rPr>
                <w:b/>
                <w:spacing w:val="-2"/>
                <w:sz w:val="11"/>
              </w:rPr>
              <w:t>Agency</w:t>
            </w:r>
            <w:r>
              <w:rPr>
                <w:b/>
                <w:spacing w:val="40"/>
                <w:sz w:val="11"/>
              </w:rPr>
              <w:t xml:space="preserve"> </w:t>
            </w:r>
            <w:r>
              <w:rPr>
                <w:b/>
                <w:spacing w:val="-2"/>
                <w:sz w:val="11"/>
              </w:rPr>
              <w:t>Estimate</w:t>
            </w:r>
          </w:p>
        </w:tc>
        <w:tc>
          <w:tcPr>
            <w:tcW w:w="727" w:type="dxa"/>
            <w:shd w:val="clear" w:color="auto" w:fill="00B0EF"/>
          </w:tcPr>
          <w:p w:rsidR="00A14509" w:rsidP="00533B4F" w14:paraId="54ABC5AF" w14:textId="77777777">
            <w:pPr>
              <w:pStyle w:val="TableParagraph"/>
              <w:spacing w:before="0"/>
              <w:rPr>
                <w:rFonts w:ascii="Times New Roman"/>
                <w:sz w:val="10"/>
              </w:rPr>
            </w:pPr>
          </w:p>
          <w:p w:rsidR="00A14509" w:rsidP="00533B4F" w14:paraId="5CCBBC64" w14:textId="77777777">
            <w:pPr>
              <w:pStyle w:val="TableParagraph"/>
              <w:spacing w:before="10"/>
              <w:rPr>
                <w:rFonts w:ascii="Times New Roman"/>
                <w:sz w:val="13"/>
              </w:rPr>
            </w:pPr>
          </w:p>
          <w:p w:rsidR="00A14509" w:rsidP="00533B4F" w14:paraId="0F071ECC" w14:textId="77777777">
            <w:pPr>
              <w:pStyle w:val="TableParagraph"/>
              <w:ind w:left="30" w:right="3"/>
              <w:jc w:val="center"/>
              <w:rPr>
                <w:b/>
                <w:sz w:val="11"/>
              </w:rPr>
            </w:pPr>
            <w:r>
              <w:rPr>
                <w:b/>
                <w:spacing w:val="-2"/>
                <w:sz w:val="11"/>
              </w:rPr>
              <w:t>Adjustment</w:t>
            </w:r>
          </w:p>
        </w:tc>
        <w:tc>
          <w:tcPr>
            <w:tcW w:w="727" w:type="dxa"/>
            <w:shd w:val="clear" w:color="auto" w:fill="00B0EF"/>
          </w:tcPr>
          <w:p w:rsidR="00A14509" w:rsidP="00533B4F" w14:paraId="1F35431D" w14:textId="77777777">
            <w:pPr>
              <w:pStyle w:val="TableParagraph"/>
              <w:spacing w:before="2"/>
              <w:rPr>
                <w:rFonts w:ascii="Times New Roman"/>
                <w:sz w:val="11"/>
              </w:rPr>
            </w:pPr>
          </w:p>
          <w:p w:rsidR="00A14509" w:rsidP="00533B4F" w14:paraId="595C828E" w14:textId="77777777">
            <w:pPr>
              <w:pStyle w:val="TableParagraph"/>
              <w:spacing w:before="0" w:line="261" w:lineRule="auto"/>
              <w:ind w:left="26" w:right="3"/>
              <w:jc w:val="center"/>
              <w:rPr>
                <w:b/>
                <w:sz w:val="11"/>
              </w:rPr>
            </w:pPr>
            <w:r>
              <w:rPr>
                <w:b/>
                <w:sz w:val="11"/>
              </w:rPr>
              <w:t>Change</w:t>
            </w:r>
            <w:r>
              <w:rPr>
                <w:b/>
                <w:spacing w:val="-7"/>
                <w:sz w:val="11"/>
              </w:rPr>
              <w:t xml:space="preserve"> </w:t>
            </w:r>
            <w:r>
              <w:rPr>
                <w:b/>
                <w:sz w:val="11"/>
              </w:rPr>
              <w:t>Due</w:t>
            </w:r>
            <w:r>
              <w:rPr>
                <w:b/>
                <w:spacing w:val="-6"/>
                <w:sz w:val="11"/>
              </w:rPr>
              <w:t xml:space="preserve"> </w:t>
            </w:r>
            <w:r>
              <w:rPr>
                <w:b/>
                <w:sz w:val="11"/>
              </w:rPr>
              <w:t>to</w:t>
            </w:r>
            <w:r>
              <w:rPr>
                <w:b/>
                <w:spacing w:val="40"/>
                <w:sz w:val="11"/>
              </w:rPr>
              <w:t xml:space="preserve"> </w:t>
            </w:r>
            <w:r>
              <w:rPr>
                <w:b/>
                <w:spacing w:val="-2"/>
                <w:sz w:val="11"/>
              </w:rPr>
              <w:t>Agency</w:t>
            </w:r>
            <w:r>
              <w:rPr>
                <w:b/>
                <w:spacing w:val="40"/>
                <w:sz w:val="11"/>
              </w:rPr>
              <w:t xml:space="preserve"> </w:t>
            </w:r>
            <w:r>
              <w:rPr>
                <w:b/>
                <w:spacing w:val="-2"/>
                <w:sz w:val="11"/>
              </w:rPr>
              <w:t>Discretion</w:t>
            </w:r>
          </w:p>
        </w:tc>
        <w:tc>
          <w:tcPr>
            <w:tcW w:w="727" w:type="dxa"/>
            <w:shd w:val="clear" w:color="auto" w:fill="00B0EF"/>
          </w:tcPr>
          <w:p w:rsidR="00A14509" w:rsidP="00533B4F" w14:paraId="4D096551" w14:textId="77777777">
            <w:pPr>
              <w:pStyle w:val="TableParagraph"/>
              <w:spacing w:before="57" w:line="261" w:lineRule="auto"/>
              <w:ind w:left="30" w:right="7"/>
              <w:jc w:val="center"/>
              <w:rPr>
                <w:b/>
                <w:sz w:val="11"/>
              </w:rPr>
            </w:pPr>
            <w:r>
              <w:rPr>
                <w:b/>
                <w:sz w:val="11"/>
              </w:rPr>
              <w:t>Change</w:t>
            </w:r>
            <w:r>
              <w:rPr>
                <w:b/>
                <w:spacing w:val="-7"/>
                <w:sz w:val="11"/>
              </w:rPr>
              <w:t xml:space="preserve"> </w:t>
            </w:r>
            <w:r>
              <w:rPr>
                <w:b/>
                <w:sz w:val="11"/>
              </w:rPr>
              <w:t>Due</w:t>
            </w:r>
            <w:r>
              <w:rPr>
                <w:b/>
                <w:spacing w:val="-6"/>
                <w:sz w:val="11"/>
              </w:rPr>
              <w:t xml:space="preserve"> </w:t>
            </w:r>
            <w:r>
              <w:rPr>
                <w:b/>
                <w:sz w:val="11"/>
              </w:rPr>
              <w:t>to</w:t>
            </w:r>
            <w:r>
              <w:rPr>
                <w:b/>
                <w:spacing w:val="40"/>
                <w:sz w:val="11"/>
              </w:rPr>
              <w:t xml:space="preserve"> </w:t>
            </w:r>
            <w:r>
              <w:rPr>
                <w:b/>
                <w:sz w:val="11"/>
              </w:rPr>
              <w:t>Adjustment</w:t>
            </w:r>
            <w:r>
              <w:rPr>
                <w:b/>
                <w:spacing w:val="-7"/>
                <w:sz w:val="11"/>
              </w:rPr>
              <w:t xml:space="preserve"> </w:t>
            </w:r>
            <w:r>
              <w:rPr>
                <w:b/>
                <w:sz w:val="11"/>
              </w:rPr>
              <w:t>in</w:t>
            </w:r>
            <w:r>
              <w:rPr>
                <w:b/>
                <w:spacing w:val="40"/>
                <w:sz w:val="11"/>
              </w:rPr>
              <w:t xml:space="preserve"> </w:t>
            </w:r>
            <w:r>
              <w:rPr>
                <w:b/>
                <w:spacing w:val="-2"/>
                <w:sz w:val="11"/>
              </w:rPr>
              <w:t>Agency</w:t>
            </w:r>
            <w:r>
              <w:rPr>
                <w:b/>
                <w:spacing w:val="40"/>
                <w:sz w:val="11"/>
              </w:rPr>
              <w:t xml:space="preserve"> </w:t>
            </w:r>
            <w:r>
              <w:rPr>
                <w:b/>
                <w:spacing w:val="-2"/>
                <w:sz w:val="11"/>
              </w:rPr>
              <w:t>Estimate</w:t>
            </w:r>
          </w:p>
        </w:tc>
        <w:tc>
          <w:tcPr>
            <w:tcW w:w="727" w:type="dxa"/>
            <w:shd w:val="clear" w:color="auto" w:fill="00B0EF"/>
          </w:tcPr>
          <w:p w:rsidR="00A14509" w:rsidP="00533B4F" w14:paraId="7C80A532" w14:textId="77777777">
            <w:pPr>
              <w:pStyle w:val="TableParagraph"/>
              <w:spacing w:before="0"/>
              <w:rPr>
                <w:rFonts w:ascii="Times New Roman"/>
                <w:sz w:val="10"/>
              </w:rPr>
            </w:pPr>
          </w:p>
          <w:p w:rsidR="00A14509" w:rsidP="00533B4F" w14:paraId="6E4E6805" w14:textId="77777777">
            <w:pPr>
              <w:pStyle w:val="TableParagraph"/>
              <w:spacing w:before="10"/>
              <w:rPr>
                <w:rFonts w:ascii="Times New Roman"/>
                <w:sz w:val="13"/>
              </w:rPr>
            </w:pPr>
          </w:p>
          <w:p w:rsidR="00A14509" w:rsidP="00533B4F" w14:paraId="50F98792" w14:textId="77777777">
            <w:pPr>
              <w:pStyle w:val="TableParagraph"/>
              <w:ind w:left="30" w:right="2"/>
              <w:jc w:val="center"/>
              <w:rPr>
                <w:b/>
                <w:sz w:val="11"/>
              </w:rPr>
            </w:pPr>
            <w:r>
              <w:rPr>
                <w:b/>
                <w:spacing w:val="-2"/>
                <w:sz w:val="11"/>
              </w:rPr>
              <w:t>Adjustment</w:t>
            </w:r>
          </w:p>
        </w:tc>
      </w:tr>
      <w:tr w14:paraId="494E766E" w14:textId="77777777" w:rsidTr="00F472C4">
        <w:tblPrEx>
          <w:tblW w:w="13490" w:type="dxa"/>
          <w:tblInd w:w="120" w:type="dxa"/>
          <w:tblLayout w:type="fixed"/>
          <w:tblCellMar>
            <w:left w:w="0" w:type="dxa"/>
            <w:right w:w="0" w:type="dxa"/>
          </w:tblCellMar>
          <w:tblLook w:val="01E0"/>
        </w:tblPrEx>
        <w:trPr>
          <w:trHeight w:val="330"/>
        </w:trPr>
        <w:tc>
          <w:tcPr>
            <w:tcW w:w="2472" w:type="dxa"/>
          </w:tcPr>
          <w:p w:rsidR="00A14509" w:rsidP="00533B4F" w14:paraId="0FEC5460" w14:textId="517557FC">
            <w:pPr>
              <w:pStyle w:val="TableParagraph"/>
              <w:spacing w:before="11" w:line="131" w:lineRule="exact"/>
              <w:ind w:left="23"/>
              <w:rPr>
                <w:sz w:val="14"/>
              </w:rPr>
            </w:pPr>
            <w:r>
              <w:rPr>
                <w:sz w:val="14"/>
              </w:rPr>
              <w:t>EIA-112</w:t>
            </w:r>
            <w:r w:rsidR="00486E10">
              <w:rPr>
                <w:sz w:val="14"/>
              </w:rPr>
              <w:t xml:space="preserve"> – Residential Utility Reconnections Survey</w:t>
            </w:r>
          </w:p>
        </w:tc>
        <w:tc>
          <w:tcPr>
            <w:tcW w:w="727" w:type="dxa"/>
            <w:vAlign w:val="center"/>
          </w:tcPr>
          <w:p w:rsidR="00A14509" w:rsidP="009D4B69" w14:paraId="20E3D391" w14:textId="04E4DA75">
            <w:pPr>
              <w:pStyle w:val="TableParagraph"/>
              <w:spacing w:line="150" w:lineRule="exact"/>
              <w:jc w:val="center"/>
              <w:rPr>
                <w:sz w:val="14"/>
              </w:rPr>
            </w:pPr>
            <w:r>
              <w:rPr>
                <w:sz w:val="14"/>
              </w:rPr>
              <w:t>1</w:t>
            </w:r>
          </w:p>
        </w:tc>
        <w:tc>
          <w:tcPr>
            <w:tcW w:w="840" w:type="dxa"/>
            <w:vAlign w:val="center"/>
          </w:tcPr>
          <w:p w:rsidR="00A14509" w:rsidP="009D4B69" w14:paraId="079B734E" w14:textId="12E6652B">
            <w:pPr>
              <w:pStyle w:val="TableParagraph"/>
              <w:spacing w:line="150" w:lineRule="exact"/>
              <w:ind w:right="189"/>
              <w:jc w:val="center"/>
              <w:rPr>
                <w:sz w:val="14"/>
              </w:rPr>
            </w:pPr>
            <w:r>
              <w:rPr>
                <w:spacing w:val="-5"/>
                <w:sz w:val="14"/>
              </w:rPr>
              <w:t>New</w:t>
            </w:r>
          </w:p>
        </w:tc>
        <w:tc>
          <w:tcPr>
            <w:tcW w:w="727" w:type="dxa"/>
            <w:vAlign w:val="center"/>
          </w:tcPr>
          <w:p w:rsidR="00A14509" w:rsidP="009D4B69" w14:paraId="1E322245" w14:textId="7439A126">
            <w:pPr>
              <w:pStyle w:val="TableParagraph"/>
              <w:spacing w:line="150" w:lineRule="exact"/>
              <w:ind w:right="3"/>
              <w:jc w:val="center"/>
              <w:rPr>
                <w:sz w:val="14"/>
              </w:rPr>
            </w:pPr>
            <w:r w:rsidRPr="00486E10">
              <w:rPr>
                <w:spacing w:val="-5"/>
                <w:sz w:val="14"/>
              </w:rPr>
              <w:t>1,130</w:t>
            </w:r>
          </w:p>
        </w:tc>
        <w:tc>
          <w:tcPr>
            <w:tcW w:w="727" w:type="dxa"/>
            <w:shd w:val="clear" w:color="auto" w:fill="27B9FF"/>
            <w:vAlign w:val="center"/>
          </w:tcPr>
          <w:p w:rsidR="00A14509" w:rsidRPr="009D4B69" w:rsidP="009D4B69" w14:paraId="740B7ED2" w14:textId="3E95E784">
            <w:pPr>
              <w:pStyle w:val="TableParagraph"/>
              <w:spacing w:line="150" w:lineRule="exact"/>
              <w:ind w:right="2"/>
              <w:jc w:val="center"/>
              <w:rPr>
                <w:spacing w:val="-5"/>
                <w:sz w:val="14"/>
              </w:rPr>
            </w:pPr>
            <w:r w:rsidRPr="009D4B69">
              <w:rPr>
                <w:spacing w:val="-5"/>
                <w:sz w:val="14"/>
              </w:rPr>
              <w:t>New</w:t>
            </w:r>
          </w:p>
        </w:tc>
        <w:tc>
          <w:tcPr>
            <w:tcW w:w="727" w:type="dxa"/>
            <w:shd w:val="clear" w:color="auto" w:fill="27B9FF"/>
            <w:vAlign w:val="center"/>
          </w:tcPr>
          <w:p w:rsidR="00A14509" w:rsidRPr="009D4B69" w:rsidP="009D4B69" w14:paraId="2E4E8317" w14:textId="5FEBD7BA">
            <w:pPr>
              <w:pStyle w:val="TableParagraph"/>
              <w:spacing w:line="150" w:lineRule="exact"/>
              <w:ind w:right="2"/>
              <w:jc w:val="center"/>
              <w:rPr>
                <w:spacing w:val="-5"/>
                <w:sz w:val="14"/>
              </w:rPr>
            </w:pPr>
            <w:r w:rsidRPr="00856BFD">
              <w:rPr>
                <w:spacing w:val="-5"/>
                <w:sz w:val="14"/>
              </w:rPr>
              <w:t>1,130</w:t>
            </w:r>
          </w:p>
        </w:tc>
        <w:tc>
          <w:tcPr>
            <w:tcW w:w="727" w:type="dxa"/>
            <w:vAlign w:val="center"/>
          </w:tcPr>
          <w:p w:rsidR="00A14509" w:rsidRPr="009D4B69" w:rsidP="009D4B69" w14:paraId="6B55FED1" w14:textId="57EACA27">
            <w:pPr>
              <w:pStyle w:val="TableParagraph"/>
              <w:spacing w:line="150" w:lineRule="exact"/>
              <w:ind w:right="217"/>
              <w:jc w:val="center"/>
              <w:rPr>
                <w:spacing w:val="-5"/>
                <w:sz w:val="14"/>
              </w:rPr>
            </w:pPr>
            <w:r>
              <w:rPr>
                <w:spacing w:val="-5"/>
                <w:sz w:val="14"/>
              </w:rPr>
              <w:t>New</w:t>
            </w:r>
          </w:p>
        </w:tc>
        <w:tc>
          <w:tcPr>
            <w:tcW w:w="727" w:type="dxa"/>
            <w:vAlign w:val="center"/>
          </w:tcPr>
          <w:p w:rsidR="00A14509" w:rsidRPr="009D4B69" w:rsidP="009D4B69" w14:paraId="4F852839" w14:textId="5350FD24">
            <w:pPr>
              <w:pStyle w:val="TableParagraph"/>
              <w:spacing w:line="150" w:lineRule="exact"/>
              <w:ind w:right="3"/>
              <w:jc w:val="center"/>
              <w:rPr>
                <w:spacing w:val="-5"/>
                <w:sz w:val="14"/>
              </w:rPr>
            </w:pPr>
            <w:r w:rsidRPr="009D4B69">
              <w:rPr>
                <w:spacing w:val="-5"/>
                <w:sz w:val="14"/>
              </w:rPr>
              <w:t>2</w:t>
            </w:r>
          </w:p>
        </w:tc>
        <w:tc>
          <w:tcPr>
            <w:tcW w:w="727" w:type="dxa"/>
            <w:shd w:val="clear" w:color="auto" w:fill="27B9FF"/>
            <w:vAlign w:val="center"/>
          </w:tcPr>
          <w:p w:rsidR="00A14509" w:rsidRPr="009D4B69" w:rsidP="00F472C4" w14:paraId="3588A062" w14:textId="25B9DD3E">
            <w:pPr>
              <w:pStyle w:val="TableParagraph"/>
              <w:spacing w:line="150" w:lineRule="exact"/>
              <w:ind w:left="30"/>
              <w:jc w:val="center"/>
              <w:rPr>
                <w:spacing w:val="-5"/>
                <w:sz w:val="14"/>
              </w:rPr>
            </w:pPr>
            <w:r>
              <w:rPr>
                <w:spacing w:val="-5"/>
                <w:sz w:val="14"/>
              </w:rPr>
              <w:t>New</w:t>
            </w:r>
          </w:p>
        </w:tc>
        <w:tc>
          <w:tcPr>
            <w:tcW w:w="727" w:type="dxa"/>
            <w:shd w:val="clear" w:color="auto" w:fill="27B9FF"/>
            <w:vAlign w:val="center"/>
          </w:tcPr>
          <w:p w:rsidR="00A14509" w:rsidRPr="009D4B69" w:rsidP="009D4B69" w14:paraId="521EF71C" w14:textId="058C76ED">
            <w:pPr>
              <w:pStyle w:val="TableParagraph"/>
              <w:spacing w:line="150" w:lineRule="exact"/>
              <w:jc w:val="center"/>
              <w:rPr>
                <w:spacing w:val="-5"/>
                <w:sz w:val="14"/>
              </w:rPr>
            </w:pPr>
            <w:r w:rsidRPr="00FE65BD">
              <w:rPr>
                <w:spacing w:val="-5"/>
                <w:sz w:val="14"/>
              </w:rPr>
              <w:t>2,260</w:t>
            </w:r>
          </w:p>
        </w:tc>
        <w:tc>
          <w:tcPr>
            <w:tcW w:w="727" w:type="dxa"/>
            <w:shd w:val="clear" w:color="auto" w:fill="27B9FF"/>
            <w:vAlign w:val="center"/>
          </w:tcPr>
          <w:p w:rsidR="00A14509" w:rsidRPr="009D4B69" w:rsidP="009D4B69" w14:paraId="16D439B9" w14:textId="77777777">
            <w:pPr>
              <w:pStyle w:val="TableParagraph"/>
              <w:spacing w:line="150" w:lineRule="exact"/>
              <w:jc w:val="center"/>
              <w:rPr>
                <w:spacing w:val="-5"/>
                <w:sz w:val="14"/>
              </w:rPr>
            </w:pPr>
            <w:r w:rsidRPr="009D4B69">
              <w:rPr>
                <w:spacing w:val="-5"/>
                <w:sz w:val="14"/>
              </w:rPr>
              <w:t>0</w:t>
            </w:r>
          </w:p>
        </w:tc>
        <w:tc>
          <w:tcPr>
            <w:tcW w:w="727" w:type="dxa"/>
            <w:vAlign w:val="center"/>
          </w:tcPr>
          <w:p w:rsidR="00A14509" w:rsidRPr="009D4B69" w:rsidP="00F472C4" w14:paraId="1C12570C" w14:textId="39D2A63B">
            <w:pPr>
              <w:pStyle w:val="TableParagraph"/>
              <w:spacing w:line="150" w:lineRule="exact"/>
              <w:ind w:left="28"/>
              <w:jc w:val="center"/>
              <w:rPr>
                <w:spacing w:val="-5"/>
                <w:sz w:val="14"/>
              </w:rPr>
            </w:pPr>
            <w:r w:rsidRPr="00486E10">
              <w:rPr>
                <w:spacing w:val="-5"/>
                <w:sz w:val="14"/>
              </w:rPr>
              <w:t>1,130</w:t>
            </w:r>
          </w:p>
        </w:tc>
        <w:tc>
          <w:tcPr>
            <w:tcW w:w="727" w:type="dxa"/>
            <w:shd w:val="clear" w:color="auto" w:fill="27B9FF"/>
            <w:vAlign w:val="center"/>
          </w:tcPr>
          <w:p w:rsidR="00A14509" w:rsidRPr="009D4B69" w:rsidP="009D4B69" w14:paraId="17F446FD" w14:textId="77777777">
            <w:pPr>
              <w:pStyle w:val="TableParagraph"/>
              <w:spacing w:line="150" w:lineRule="exact"/>
              <w:jc w:val="center"/>
              <w:rPr>
                <w:spacing w:val="-5"/>
                <w:sz w:val="14"/>
              </w:rPr>
            </w:pPr>
            <w:r w:rsidRPr="009D4B69">
              <w:rPr>
                <w:spacing w:val="-5"/>
                <w:sz w:val="14"/>
              </w:rPr>
              <w:t>0</w:t>
            </w:r>
          </w:p>
        </w:tc>
        <w:tc>
          <w:tcPr>
            <w:tcW w:w="727" w:type="dxa"/>
            <w:shd w:val="clear" w:color="auto" w:fill="27B9FF"/>
            <w:vAlign w:val="center"/>
          </w:tcPr>
          <w:p w:rsidR="00A14509" w:rsidRPr="009D4B69" w:rsidP="009D4B69" w14:paraId="62B56A92" w14:textId="77777777">
            <w:pPr>
              <w:pStyle w:val="TableParagraph"/>
              <w:spacing w:line="150" w:lineRule="exact"/>
              <w:jc w:val="center"/>
              <w:rPr>
                <w:spacing w:val="-5"/>
                <w:sz w:val="14"/>
              </w:rPr>
            </w:pPr>
            <w:r w:rsidRPr="009D4B69">
              <w:rPr>
                <w:spacing w:val="-5"/>
                <w:sz w:val="14"/>
              </w:rPr>
              <w:t>0</w:t>
            </w:r>
          </w:p>
        </w:tc>
        <w:tc>
          <w:tcPr>
            <w:tcW w:w="727" w:type="dxa"/>
            <w:vAlign w:val="center"/>
          </w:tcPr>
          <w:p w:rsidR="00A14509" w:rsidRPr="009D4B69" w:rsidP="009D4B69" w14:paraId="27FFC889" w14:textId="361E5B0E">
            <w:pPr>
              <w:pStyle w:val="TableParagraph"/>
              <w:spacing w:line="150" w:lineRule="exact"/>
              <w:jc w:val="center"/>
              <w:rPr>
                <w:spacing w:val="-5"/>
                <w:sz w:val="14"/>
              </w:rPr>
            </w:pPr>
            <w:r w:rsidRPr="00FE65BD">
              <w:rPr>
                <w:spacing w:val="-5"/>
                <w:sz w:val="14"/>
              </w:rPr>
              <w:t>2,260</w:t>
            </w:r>
          </w:p>
        </w:tc>
        <w:tc>
          <w:tcPr>
            <w:tcW w:w="727" w:type="dxa"/>
            <w:shd w:val="clear" w:color="auto" w:fill="27B9FF"/>
            <w:vAlign w:val="center"/>
          </w:tcPr>
          <w:p w:rsidR="00A14509" w:rsidP="009D4B69" w14:paraId="5F7FEA5A" w14:textId="731C73C9">
            <w:pPr>
              <w:pStyle w:val="TableParagraph"/>
              <w:spacing w:line="150" w:lineRule="exact"/>
              <w:jc w:val="center"/>
              <w:rPr>
                <w:sz w:val="14"/>
              </w:rPr>
            </w:pPr>
            <w:r>
              <w:rPr>
                <w:w w:val="99"/>
                <w:sz w:val="14"/>
              </w:rPr>
              <w:t>0</w:t>
            </w:r>
          </w:p>
        </w:tc>
      </w:tr>
      <w:tr w14:paraId="2FC24687" w14:textId="77777777" w:rsidTr="00533B4F">
        <w:tblPrEx>
          <w:tblW w:w="13490" w:type="dxa"/>
          <w:tblInd w:w="120" w:type="dxa"/>
          <w:tblLayout w:type="fixed"/>
          <w:tblCellMar>
            <w:left w:w="0" w:type="dxa"/>
            <w:right w:w="0" w:type="dxa"/>
          </w:tblCellMar>
          <w:tblLook w:val="01E0"/>
        </w:tblPrEx>
        <w:trPr>
          <w:trHeight w:val="172"/>
        </w:trPr>
        <w:tc>
          <w:tcPr>
            <w:tcW w:w="2472" w:type="dxa"/>
          </w:tcPr>
          <w:p w:rsidR="00A14509" w:rsidP="00533B4F" w14:paraId="0785177E" w14:textId="77777777">
            <w:pPr>
              <w:pStyle w:val="TableParagraph"/>
              <w:spacing w:before="2" w:line="150" w:lineRule="exact"/>
              <w:ind w:left="23"/>
              <w:rPr>
                <w:b/>
                <w:sz w:val="14"/>
              </w:rPr>
            </w:pPr>
            <w:r>
              <w:rPr>
                <w:b/>
                <w:spacing w:val="-2"/>
                <w:sz w:val="14"/>
              </w:rPr>
              <w:t>TOTAL</w:t>
            </w:r>
          </w:p>
        </w:tc>
        <w:tc>
          <w:tcPr>
            <w:tcW w:w="727" w:type="dxa"/>
            <w:tcBorders>
              <w:top w:val="nil"/>
              <w:left w:val="nil"/>
              <w:bottom w:val="nil"/>
              <w:right w:val="nil"/>
            </w:tcBorders>
            <w:shd w:val="clear" w:color="auto" w:fill="000000"/>
          </w:tcPr>
          <w:p w:rsidR="00A14509" w:rsidP="00533B4F" w14:paraId="17E2FA71" w14:textId="77777777">
            <w:pPr>
              <w:pStyle w:val="TableParagraph"/>
              <w:spacing w:before="0"/>
              <w:rPr>
                <w:rFonts w:ascii="Times New Roman"/>
                <w:sz w:val="10"/>
              </w:rPr>
            </w:pPr>
          </w:p>
        </w:tc>
        <w:tc>
          <w:tcPr>
            <w:tcW w:w="840" w:type="dxa"/>
            <w:shd w:val="clear" w:color="auto" w:fill="E2A5AC"/>
          </w:tcPr>
          <w:p w:rsidR="00A14509" w:rsidP="00533B4F" w14:paraId="79AE8755" w14:textId="738C5D08">
            <w:pPr>
              <w:pStyle w:val="TableParagraph"/>
              <w:spacing w:before="2" w:line="150" w:lineRule="exact"/>
              <w:ind w:left="217" w:right="189"/>
              <w:jc w:val="center"/>
              <w:rPr>
                <w:b/>
                <w:sz w:val="14"/>
              </w:rPr>
            </w:pPr>
            <w:r>
              <w:rPr>
                <w:b/>
                <w:spacing w:val="-2"/>
                <w:sz w:val="14"/>
              </w:rPr>
              <w:t>New</w:t>
            </w:r>
          </w:p>
        </w:tc>
        <w:tc>
          <w:tcPr>
            <w:tcW w:w="727" w:type="dxa"/>
            <w:shd w:val="clear" w:color="auto" w:fill="E2A5AC"/>
          </w:tcPr>
          <w:p w:rsidR="00A14509" w:rsidP="00533B4F" w14:paraId="378AB041" w14:textId="0992A576">
            <w:pPr>
              <w:pStyle w:val="TableParagraph"/>
              <w:spacing w:before="2" w:line="150" w:lineRule="exact"/>
              <w:ind w:left="30" w:right="3"/>
              <w:jc w:val="center"/>
              <w:rPr>
                <w:b/>
                <w:sz w:val="14"/>
              </w:rPr>
            </w:pPr>
            <w:r w:rsidRPr="00486E10">
              <w:rPr>
                <w:b/>
                <w:spacing w:val="-2"/>
                <w:sz w:val="14"/>
              </w:rPr>
              <w:t>1,130</w:t>
            </w:r>
          </w:p>
        </w:tc>
        <w:tc>
          <w:tcPr>
            <w:tcW w:w="727" w:type="dxa"/>
            <w:shd w:val="clear" w:color="auto" w:fill="E2A5AC"/>
          </w:tcPr>
          <w:p w:rsidR="00A14509" w:rsidP="00533B4F" w14:paraId="5E988880" w14:textId="6AA24FE2">
            <w:pPr>
              <w:pStyle w:val="TableParagraph"/>
              <w:spacing w:before="2" w:line="150" w:lineRule="exact"/>
              <w:ind w:left="30" w:right="3"/>
              <w:jc w:val="center"/>
              <w:rPr>
                <w:b/>
                <w:sz w:val="14"/>
              </w:rPr>
            </w:pPr>
            <w:r>
              <w:rPr>
                <w:b/>
                <w:spacing w:val="-2"/>
                <w:sz w:val="14"/>
              </w:rPr>
              <w:t>New</w:t>
            </w:r>
          </w:p>
        </w:tc>
        <w:tc>
          <w:tcPr>
            <w:tcW w:w="727" w:type="dxa"/>
            <w:shd w:val="clear" w:color="auto" w:fill="E2A5AC"/>
          </w:tcPr>
          <w:p w:rsidR="00A14509" w:rsidP="00533B4F" w14:paraId="1CB97D01" w14:textId="17FF701B">
            <w:pPr>
              <w:pStyle w:val="TableParagraph"/>
              <w:spacing w:before="2" w:line="150" w:lineRule="exact"/>
              <w:ind w:left="30" w:right="2"/>
              <w:jc w:val="center"/>
              <w:rPr>
                <w:b/>
                <w:sz w:val="14"/>
              </w:rPr>
            </w:pPr>
            <w:r w:rsidRPr="00260EC1">
              <w:rPr>
                <w:b/>
                <w:spacing w:val="-2"/>
                <w:sz w:val="14"/>
              </w:rPr>
              <w:t>1,130</w:t>
            </w:r>
          </w:p>
        </w:tc>
        <w:tc>
          <w:tcPr>
            <w:tcW w:w="727" w:type="dxa"/>
            <w:tcBorders>
              <w:top w:val="nil"/>
              <w:left w:val="nil"/>
              <w:bottom w:val="nil"/>
              <w:right w:val="nil"/>
            </w:tcBorders>
            <w:shd w:val="clear" w:color="auto" w:fill="000000"/>
          </w:tcPr>
          <w:p w:rsidR="00A14509" w:rsidP="00533B4F" w14:paraId="12FD556D" w14:textId="77777777">
            <w:pPr>
              <w:pStyle w:val="TableParagraph"/>
              <w:spacing w:before="0"/>
              <w:rPr>
                <w:rFonts w:ascii="Times New Roman"/>
                <w:sz w:val="10"/>
              </w:rPr>
            </w:pPr>
          </w:p>
        </w:tc>
        <w:tc>
          <w:tcPr>
            <w:tcW w:w="727" w:type="dxa"/>
            <w:tcBorders>
              <w:top w:val="nil"/>
              <w:left w:val="nil"/>
              <w:bottom w:val="nil"/>
              <w:right w:val="nil"/>
            </w:tcBorders>
            <w:shd w:val="clear" w:color="auto" w:fill="000000"/>
          </w:tcPr>
          <w:p w:rsidR="00A14509" w:rsidP="00533B4F" w14:paraId="1BC2E3B5" w14:textId="77777777">
            <w:pPr>
              <w:pStyle w:val="TableParagraph"/>
              <w:spacing w:before="0"/>
              <w:rPr>
                <w:rFonts w:ascii="Times New Roman"/>
                <w:sz w:val="10"/>
              </w:rPr>
            </w:pPr>
          </w:p>
        </w:tc>
        <w:tc>
          <w:tcPr>
            <w:tcW w:w="727" w:type="dxa"/>
            <w:shd w:val="clear" w:color="auto" w:fill="E2A5AC"/>
          </w:tcPr>
          <w:p w:rsidR="00A14509" w:rsidP="00533B4F" w14:paraId="1EA65792" w14:textId="69F8372A">
            <w:pPr>
              <w:pStyle w:val="TableParagraph"/>
              <w:spacing w:before="2" w:line="150" w:lineRule="exact"/>
              <w:ind w:left="36" w:right="3"/>
              <w:jc w:val="center"/>
              <w:rPr>
                <w:b/>
                <w:sz w:val="14"/>
              </w:rPr>
            </w:pPr>
            <w:r>
              <w:rPr>
                <w:b/>
                <w:spacing w:val="-2"/>
                <w:sz w:val="14"/>
              </w:rPr>
              <w:t>New</w:t>
            </w:r>
          </w:p>
        </w:tc>
        <w:tc>
          <w:tcPr>
            <w:tcW w:w="727" w:type="dxa"/>
            <w:shd w:val="clear" w:color="auto" w:fill="E2A5AC"/>
          </w:tcPr>
          <w:p w:rsidR="00A14509" w:rsidP="00533B4F" w14:paraId="6E7A3415" w14:textId="751C9820">
            <w:pPr>
              <w:pStyle w:val="TableParagraph"/>
              <w:spacing w:before="2" w:line="150" w:lineRule="exact"/>
              <w:ind w:left="36" w:right="3"/>
              <w:jc w:val="center"/>
              <w:rPr>
                <w:b/>
                <w:sz w:val="14"/>
              </w:rPr>
            </w:pPr>
            <w:r w:rsidRPr="00FE65BD">
              <w:rPr>
                <w:b/>
                <w:spacing w:val="-2"/>
                <w:sz w:val="14"/>
              </w:rPr>
              <w:t>2,260</w:t>
            </w:r>
          </w:p>
        </w:tc>
        <w:tc>
          <w:tcPr>
            <w:tcW w:w="727" w:type="dxa"/>
            <w:shd w:val="clear" w:color="auto" w:fill="E2A5AC"/>
          </w:tcPr>
          <w:p w:rsidR="00A14509" w:rsidP="00533B4F" w14:paraId="612D04BC" w14:textId="77777777">
            <w:pPr>
              <w:pStyle w:val="TableParagraph"/>
              <w:spacing w:before="2" w:line="150" w:lineRule="exact"/>
              <w:ind w:left="266"/>
              <w:rPr>
                <w:b/>
                <w:sz w:val="14"/>
              </w:rPr>
            </w:pPr>
            <w:r>
              <w:rPr>
                <w:b/>
                <w:spacing w:val="-5"/>
                <w:sz w:val="14"/>
              </w:rPr>
              <w:t xml:space="preserve"> 0</w:t>
            </w:r>
          </w:p>
        </w:tc>
        <w:tc>
          <w:tcPr>
            <w:tcW w:w="727" w:type="dxa"/>
            <w:shd w:val="clear" w:color="auto" w:fill="E2A5AC"/>
          </w:tcPr>
          <w:p w:rsidR="00A14509" w:rsidP="00533B4F" w14:paraId="171B8AEC" w14:textId="4AB05457">
            <w:pPr>
              <w:pStyle w:val="TableParagraph"/>
              <w:spacing w:before="2" w:line="150" w:lineRule="exact"/>
              <w:ind w:right="178"/>
              <w:jc w:val="right"/>
              <w:rPr>
                <w:b/>
                <w:sz w:val="14"/>
              </w:rPr>
            </w:pPr>
            <w:r w:rsidRPr="00F472C4">
              <w:rPr>
                <w:b/>
                <w:spacing w:val="-2"/>
                <w:sz w:val="14"/>
              </w:rPr>
              <w:t>1,130</w:t>
            </w:r>
          </w:p>
        </w:tc>
        <w:tc>
          <w:tcPr>
            <w:tcW w:w="727" w:type="dxa"/>
            <w:shd w:val="clear" w:color="auto" w:fill="E2A5AC"/>
          </w:tcPr>
          <w:p w:rsidR="00A14509" w:rsidP="00533B4F" w14:paraId="16AD456C" w14:textId="725A1B44">
            <w:pPr>
              <w:pStyle w:val="TableParagraph"/>
              <w:spacing w:before="2" w:line="150" w:lineRule="exact"/>
              <w:ind w:left="36" w:right="3"/>
              <w:jc w:val="center"/>
              <w:rPr>
                <w:b/>
                <w:sz w:val="14"/>
              </w:rPr>
            </w:pPr>
            <w:r>
              <w:rPr>
                <w:b/>
                <w:spacing w:val="-2"/>
                <w:sz w:val="14"/>
              </w:rPr>
              <w:t>0</w:t>
            </w:r>
          </w:p>
        </w:tc>
        <w:tc>
          <w:tcPr>
            <w:tcW w:w="727" w:type="dxa"/>
            <w:shd w:val="clear" w:color="auto" w:fill="E2A5AC"/>
          </w:tcPr>
          <w:p w:rsidR="00A14509" w:rsidP="00533B4F" w14:paraId="104CF0DE" w14:textId="77777777">
            <w:pPr>
              <w:pStyle w:val="TableParagraph"/>
              <w:spacing w:before="2" w:line="150" w:lineRule="exact"/>
              <w:ind w:left="37" w:right="3"/>
              <w:jc w:val="center"/>
              <w:rPr>
                <w:b/>
                <w:sz w:val="14"/>
              </w:rPr>
            </w:pPr>
            <w:r>
              <w:rPr>
                <w:b/>
                <w:spacing w:val="-2"/>
                <w:sz w:val="14"/>
              </w:rPr>
              <w:t>0</w:t>
            </w:r>
          </w:p>
        </w:tc>
        <w:tc>
          <w:tcPr>
            <w:tcW w:w="727" w:type="dxa"/>
            <w:shd w:val="clear" w:color="auto" w:fill="E2A5AC"/>
          </w:tcPr>
          <w:p w:rsidR="00A14509" w:rsidP="00533B4F" w14:paraId="72C123B3" w14:textId="112E4A3B">
            <w:pPr>
              <w:pStyle w:val="TableParagraph"/>
              <w:spacing w:before="2" w:line="150" w:lineRule="exact"/>
              <w:ind w:left="36" w:right="3"/>
              <w:jc w:val="center"/>
              <w:rPr>
                <w:b/>
                <w:sz w:val="14"/>
              </w:rPr>
            </w:pPr>
            <w:r w:rsidRPr="00F472C4">
              <w:rPr>
                <w:b/>
                <w:spacing w:val="-2"/>
                <w:sz w:val="14"/>
              </w:rPr>
              <w:t>2,260</w:t>
            </w:r>
          </w:p>
        </w:tc>
        <w:tc>
          <w:tcPr>
            <w:tcW w:w="727" w:type="dxa"/>
            <w:shd w:val="clear" w:color="auto" w:fill="E2A5AC"/>
          </w:tcPr>
          <w:p w:rsidR="00A14509" w:rsidP="00533B4F" w14:paraId="76838CED" w14:textId="7F5CBEAB">
            <w:pPr>
              <w:pStyle w:val="TableParagraph"/>
              <w:spacing w:before="2" w:line="150" w:lineRule="exact"/>
              <w:ind w:left="37" w:right="3"/>
              <w:jc w:val="center"/>
              <w:rPr>
                <w:b/>
                <w:sz w:val="14"/>
              </w:rPr>
            </w:pPr>
            <w:r>
              <w:rPr>
                <w:b/>
                <w:spacing w:val="-2"/>
                <w:sz w:val="14"/>
              </w:rPr>
              <w:t>0</w:t>
            </w:r>
          </w:p>
        </w:tc>
      </w:tr>
    </w:tbl>
    <w:p w:rsidR="00403771" w:rsidP="00A14509" w14:paraId="588F4CBA" w14:textId="77777777">
      <w:pPr>
        <w:spacing w:line="240" w:lineRule="auto"/>
        <w:ind w:left="720" w:hanging="720"/>
        <w:jc w:val="center"/>
        <w:rPr>
          <w:b/>
          <w:color w:val="657C9C" w:themeColor="text2" w:themeTint="BF"/>
        </w:rPr>
        <w:sectPr w:rsidSect="009D4B69">
          <w:pgSz w:w="15840" w:h="12240" w:orient="landscape"/>
          <w:pgMar w:top="1440" w:right="1440" w:bottom="1440" w:left="1440" w:header="720" w:footer="720" w:gutter="0"/>
          <w:cols w:space="720"/>
          <w:titlePg/>
          <w:docGrid w:linePitch="360"/>
        </w:sectPr>
      </w:pPr>
    </w:p>
    <w:p w:rsidR="00A14509" w:rsidP="00A14509" w14:paraId="4B186835" w14:textId="77777777">
      <w:pPr>
        <w:spacing w:line="240" w:lineRule="auto"/>
        <w:ind w:left="720" w:hanging="720"/>
        <w:jc w:val="center"/>
        <w:rPr>
          <w:b/>
          <w:color w:val="657C9C" w:themeColor="text2" w:themeTint="BF"/>
        </w:rPr>
      </w:pPr>
    </w:p>
    <w:p w:rsidR="002D16AD" w:rsidP="00A42B4D" w14:paraId="477A1433" w14:textId="77777777">
      <w:pPr>
        <w:pStyle w:val="Heading1"/>
        <w:rPr>
          <w:b/>
          <w:bCs/>
          <w:noProof/>
          <w:color w:val="1396D8"/>
          <w:sz w:val="28"/>
          <w:szCs w:val="28"/>
        </w:rPr>
      </w:pPr>
      <w:bookmarkStart w:id="40" w:name="_Toc492634215"/>
      <w:bookmarkStart w:id="41" w:name="_Toc177374321"/>
      <w:r w:rsidRPr="002D16AD">
        <w:rPr>
          <w:b/>
          <w:bCs/>
          <w:noProof/>
          <w:color w:val="1396D8"/>
          <w:sz w:val="28"/>
          <w:szCs w:val="28"/>
        </w:rPr>
        <w:t>A.15. Reasons for Changes in Burden</w:t>
      </w:r>
      <w:bookmarkEnd w:id="40"/>
      <w:bookmarkEnd w:id="41"/>
    </w:p>
    <w:p w:rsidR="002D16AD" w:rsidP="002D16AD" w14:paraId="3E648FC5" w14:textId="056B0207">
      <w:r>
        <w:t>There are no changes</w:t>
      </w:r>
      <w:r w:rsidR="00A701B8">
        <w:t>, t</w:t>
      </w:r>
      <w:r w:rsidR="00AA73CE">
        <w:t xml:space="preserve">his is </w:t>
      </w:r>
      <w:r>
        <w:t xml:space="preserve">a </w:t>
      </w:r>
      <w:r w:rsidR="00AA73CE">
        <w:t xml:space="preserve">new survey </w:t>
      </w:r>
      <w:r>
        <w:t>being implemented</w:t>
      </w:r>
      <w:r w:rsidR="00A701B8">
        <w:t>.</w:t>
      </w:r>
    </w:p>
    <w:p w:rsidR="004A6383" w:rsidP="00A42B4D" w14:paraId="28D6BEA1" w14:textId="77777777">
      <w:pPr>
        <w:pStyle w:val="Heading1"/>
        <w:rPr>
          <w:b/>
          <w:bCs/>
          <w:noProof/>
          <w:color w:val="1396D8"/>
          <w:sz w:val="28"/>
          <w:szCs w:val="28"/>
        </w:rPr>
      </w:pPr>
      <w:bookmarkStart w:id="42" w:name="_Toc492634216"/>
      <w:bookmarkStart w:id="43" w:name="_Toc177374322"/>
      <w:r w:rsidRPr="004A6383">
        <w:rPr>
          <w:b/>
          <w:bCs/>
          <w:noProof/>
          <w:color w:val="1396D8"/>
          <w:sz w:val="28"/>
          <w:szCs w:val="28"/>
        </w:rPr>
        <w:t>A.16. Collection, Tabulation, and Publication Plans</w:t>
      </w:r>
      <w:bookmarkEnd w:id="42"/>
      <w:bookmarkEnd w:id="43"/>
      <w:r w:rsidRPr="004A6383">
        <w:rPr>
          <w:b/>
          <w:bCs/>
          <w:noProof/>
          <w:color w:val="1396D8"/>
          <w:sz w:val="28"/>
          <w:szCs w:val="28"/>
        </w:rPr>
        <w:t xml:space="preserve"> </w:t>
      </w:r>
    </w:p>
    <w:p w:rsidR="00753D9E" w:rsidP="00753D9E" w14:paraId="4313D9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data collected on this form will be released in EIA reports and will be made available on the EIA website. </w:t>
      </w:r>
      <w:r>
        <w:rPr>
          <w:rStyle w:val="eop"/>
          <w:rFonts w:ascii="Calibri" w:hAnsi="Calibri" w:eastAsiaTheme="majorEastAsia" w:cs="Calibri"/>
          <w:sz w:val="22"/>
          <w:szCs w:val="22"/>
        </w:rPr>
        <w:t> </w:t>
      </w:r>
    </w:p>
    <w:p w:rsidR="004A6383" w:rsidP="004A6383" w14:paraId="475846B2" w14:textId="77777777"/>
    <w:p w:rsidR="006F36B0" w:rsidP="00A42B4D" w14:paraId="7603D500" w14:textId="77777777">
      <w:pPr>
        <w:pStyle w:val="Heading1"/>
        <w:rPr>
          <w:b/>
          <w:bCs/>
          <w:noProof/>
          <w:color w:val="1396D8"/>
          <w:sz w:val="28"/>
          <w:szCs w:val="28"/>
        </w:rPr>
      </w:pPr>
      <w:bookmarkStart w:id="44" w:name="_Toc492634217"/>
      <w:bookmarkStart w:id="45" w:name="_Toc177374323"/>
      <w:r w:rsidRPr="006F36B0">
        <w:rPr>
          <w:b/>
          <w:bCs/>
          <w:noProof/>
          <w:color w:val="1396D8"/>
          <w:sz w:val="28"/>
          <w:szCs w:val="28"/>
        </w:rPr>
        <w:t>A.17. OMB Number and Expiration Date</w:t>
      </w:r>
      <w:bookmarkEnd w:id="44"/>
      <w:bookmarkEnd w:id="45"/>
      <w:r w:rsidRPr="006F36B0">
        <w:rPr>
          <w:b/>
          <w:bCs/>
          <w:noProof/>
          <w:color w:val="1396D8"/>
          <w:sz w:val="28"/>
          <w:szCs w:val="28"/>
        </w:rPr>
        <w:t xml:space="preserve"> </w:t>
      </w:r>
    </w:p>
    <w:p w:rsidR="008650B6" w:rsidP="008650B6" w14:paraId="7B80923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rsidRPr="00A8582E">
        <w:t xml:space="preserve">The OMB number and expiration date </w:t>
      </w:r>
      <w:r>
        <w:t>will be</w:t>
      </w:r>
      <w:r w:rsidRPr="00A8582E">
        <w:t xml:space="preserve"> displayed on </w:t>
      </w:r>
      <w:r>
        <w:t xml:space="preserve">each </w:t>
      </w:r>
      <w:r w:rsidRPr="00A8582E">
        <w:t>form</w:t>
      </w:r>
      <w:r>
        <w:t>.</w:t>
      </w:r>
    </w:p>
    <w:p w:rsidR="006F36B0" w:rsidP="006F36B0" w14:paraId="444953FE" w14:textId="77777777"/>
    <w:p w:rsidR="00B809E1" w:rsidRPr="00B809E1" w:rsidP="00A42B4D" w14:paraId="36FCAE48" w14:textId="77777777">
      <w:pPr>
        <w:pStyle w:val="Heading1"/>
        <w:rPr>
          <w:b/>
          <w:bCs/>
          <w:noProof/>
          <w:color w:val="1396D8"/>
          <w:sz w:val="28"/>
          <w:szCs w:val="28"/>
        </w:rPr>
      </w:pPr>
      <w:bookmarkStart w:id="46" w:name="_Toc492634218"/>
      <w:bookmarkStart w:id="47" w:name="_Toc177374324"/>
      <w:r w:rsidRPr="00B809E1">
        <w:rPr>
          <w:b/>
          <w:bCs/>
          <w:noProof/>
          <w:color w:val="1396D8"/>
          <w:sz w:val="28"/>
          <w:szCs w:val="28"/>
        </w:rPr>
        <w:t>A.18. Certification Statement</w:t>
      </w:r>
      <w:bookmarkEnd w:id="46"/>
      <w:bookmarkEnd w:id="47"/>
      <w:r w:rsidRPr="00B809E1">
        <w:rPr>
          <w:b/>
          <w:bCs/>
          <w:noProof/>
          <w:color w:val="1396D8"/>
          <w:sz w:val="28"/>
          <w:szCs w:val="28"/>
        </w:rPr>
        <w:t xml:space="preserve"> </w:t>
      </w:r>
    </w:p>
    <w:p w:rsidR="006F36B0" w:rsidRPr="006F36B0" w:rsidP="006F36B0" w14:paraId="3A86BBCA" w14:textId="043CD3A1">
      <w:r w:rsidRPr="00216444">
        <w:rPr>
          <w:rStyle w:val="normaltextrun"/>
          <w:rFonts w:ascii="Calibri" w:hAnsi="Calibri" w:cs="Calibri"/>
        </w:rPr>
        <w:t>There will be no exceptions to the Certification for Paperwork Reduction Act Submissions of OMB Form 83-I.</w:t>
      </w:r>
    </w:p>
    <w:p w:rsidR="004A6383" w:rsidRPr="004A6383" w:rsidP="004A6383" w14:paraId="415F7EE5" w14:textId="77777777"/>
    <w:p w:rsidR="004A6383" w:rsidRPr="002D16AD" w:rsidP="002D16AD" w14:paraId="065292CF" w14:textId="77777777"/>
    <w:p w:rsidR="002D16AD" w:rsidRPr="0045046B" w:rsidP="0045046B" w14:paraId="5C5517AC" w14:textId="77777777"/>
    <w:p w:rsidR="00143D4B" w:rsidRPr="00143D4B" w:rsidP="00143D4B" w14:paraId="55B4E143" w14:textId="77777777"/>
    <w:p w:rsidR="00390FA7" w:rsidRPr="00AC470B" w:rsidP="00AC470B" w14:paraId="44594FE1" w14:textId="77777777"/>
    <w:p w:rsidR="00050725" w:rsidRPr="00300486" w:rsidP="00300486" w14:paraId="660026CE" w14:textId="77777777"/>
    <w:p w:rsidR="001D4BAD" w:rsidRPr="001D4BAD" w:rsidP="001D4BAD" w14:paraId="7A94DCA8" w14:textId="77777777"/>
    <w:p w:rsidR="008A1B29" w:rsidRPr="008A1B29" w:rsidP="008A1B29" w14:paraId="4928BFFD" w14:textId="77777777"/>
    <w:p w:rsidR="00416E22" w:rsidRPr="00416E22" w:rsidP="00416E22" w14:paraId="3E09C002" w14:textId="77777777"/>
    <w:p w:rsidR="003B612B" w:rsidRPr="003B612B" w:rsidP="003B612B" w14:paraId="777B8FF3" w14:textId="77777777"/>
    <w:p w:rsidR="0031611C" w:rsidP="003D13AC" w14:paraId="02C5B320" w14:textId="77777777">
      <w:pPr>
        <w:spacing w:after="0"/>
      </w:pPr>
    </w:p>
    <w:p w:rsidR="00C45829" w:rsidRPr="00C45829" w:rsidP="00C45829" w14:paraId="4065AB4A" w14:textId="2604D8F9"/>
    <w:p w:rsidR="00166883" w:rsidRPr="00166883" w:rsidP="00166883" w14:paraId="7F486AD6" w14:textId="77777777"/>
    <w:p w:rsidR="00E4675C" w:rsidP="00896420" w14:paraId="212BB250" w14:textId="77777777">
      <w:pPr>
        <w:autoSpaceDE w:val="0"/>
        <w:autoSpaceDN w:val="0"/>
        <w:adjustRightInd w:val="0"/>
        <w:spacing w:after="0"/>
        <w:ind w:right="720"/>
      </w:pPr>
    </w:p>
    <w:p w:rsidR="00DB3797" w:rsidP="00DB3797" w14:paraId="0B6C9BA5" w14:textId="77777777">
      <w:pPr>
        <w:spacing w:after="0"/>
      </w:pPr>
    </w:p>
    <w:p w:rsidR="0055789B" w:rsidP="00964F98" w14:paraId="11A982EE" w14:textId="77777777">
      <w:pPr>
        <w:pStyle w:val="paragraph"/>
        <w:spacing w:before="0" w:beforeAutospacing="0" w:after="0" w:afterAutospacing="0"/>
        <w:ind w:left="360" w:hanging="360"/>
        <w:textAlignment w:val="baseline"/>
        <w:rPr>
          <w:rFonts w:ascii="Segoe UI" w:hAnsi="Segoe UI" w:cs="Segoe UI"/>
          <w:sz w:val="18"/>
          <w:szCs w:val="18"/>
        </w:rPr>
      </w:pPr>
    </w:p>
    <w:p w:rsidR="00102D9B" w:rsidRPr="00102D9B" w:rsidP="00102D9B" w14:paraId="2C5691AD" w14:textId="77777777">
      <w:pPr>
        <w:spacing w:before="100" w:beforeAutospacing="1"/>
        <w:rPr>
          <w:rFonts w:cstheme="minorHAnsi"/>
          <w:b/>
          <w:bCs/>
        </w:rPr>
      </w:pPr>
    </w:p>
    <w:p w:rsidR="00184F05" w14:paraId="1C449E49" w14:textId="77777777"/>
    <w:sectPr w:rsidSect="009D4B6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EA" w:rsidRPr="001F3A8F" w:rsidP="00E8382E" w14:paraId="0E9F34AB" w14:textId="00F0E069">
    <w:pPr>
      <w:pStyle w:val="Footer"/>
    </w:pPr>
    <w:r w:rsidRPr="00A42B4D">
      <w:rPr>
        <w:sz w:val="20"/>
        <w:szCs w:val="20"/>
      </w:rPr>
      <w:t xml:space="preserve">U.S. Energy Information </w:t>
    </w:r>
    <w:r w:rsidRPr="00A42B4D" w:rsidR="00A42B4D">
      <w:rPr>
        <w:sz w:val="20"/>
        <w:szCs w:val="20"/>
      </w:rPr>
      <w:t>Administration |</w:t>
    </w:r>
    <w:r w:rsidRPr="00A42B4D">
      <w:rPr>
        <w:sz w:val="20"/>
        <w:szCs w:val="20"/>
      </w:rPr>
      <w:t xml:space="preserve"> Supporting Statement for Residential Utility Disconnections Survey</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EA" w:rsidP="00E8382E" w14:paraId="397487E1" w14:textId="635E1EF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9061EA" w:rsidP="00E8382E" w14:paraId="468D82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1EA" w:rsidP="00E8382E" w14:paraId="61250CCC" w14:textId="24CE9F35">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9061EA" w:rsidP="00E8382E" w14:paraId="6568D48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AF4" w:rsidRPr="00810664" w:rsidP="00810664" w14:paraId="178252A3" w14:textId="473456B8">
    <w:pPr>
      <w:rPr>
        <w:sz w:val="20"/>
        <w:szCs w:val="20"/>
      </w:rPr>
    </w:pPr>
    <w:r w:rsidRPr="00810664">
      <w:rPr>
        <w:sz w:val="20"/>
        <w:szCs w:val="20"/>
      </w:rPr>
      <w:t xml:space="preserve">U.S. Energy Information Administration | </w:t>
    </w:r>
    <w:sdt>
      <w:sdtPr>
        <w:rPr>
          <w:sz w:val="20"/>
          <w:szCs w:val="20"/>
        </w:rPr>
        <w:alias w:val="Title"/>
        <w:id w:val="-125624906"/>
        <w:dataBinding w:prefixMappings="xmlns:ns0='http://purl.org/dc/elements/1.1/' xmlns:ns1='http://schemas.openxmlformats.org/package/2006/metadata/core-properties' " w:xpath="/ns1:coreProperties[1]/ns0:title[1]" w:storeItemID="{6C3C8BC8-F283-45AE-878A-BAB7291924A1}"/>
        <w:text/>
      </w:sdtPr>
      <w:sdtContent>
        <w:r w:rsidRPr="00716FC9" w:rsidR="000873BA">
          <w:rPr>
            <w:sz w:val="20"/>
            <w:szCs w:val="20"/>
          </w:rPr>
          <w:t>Supporting Statement for Residential Utility Disconnections Survey</w:t>
        </w:r>
      </w:sdtContent>
    </w:sdt>
    <w:r w:rsidRPr="00810664">
      <w:rPr>
        <w:sz w:val="20"/>
        <w:szCs w:val="20"/>
      </w:rPr>
      <w:t xml:space="preserve">  </w:t>
    </w:r>
    <w:r w:rsidRPr="00810664">
      <w:rPr>
        <w:sz w:val="20"/>
        <w:szCs w:val="20"/>
      </w:rPr>
      <w:fldChar w:fldCharType="begin"/>
    </w:r>
    <w:r w:rsidRPr="00810664">
      <w:rPr>
        <w:sz w:val="20"/>
        <w:szCs w:val="20"/>
      </w:rPr>
      <w:instrText xml:space="preserve"> PAGE   \* MERGEFORMAT </w:instrText>
    </w:r>
    <w:r w:rsidRPr="00810664">
      <w:rPr>
        <w:sz w:val="20"/>
        <w:szCs w:val="20"/>
      </w:rPr>
      <w:fldChar w:fldCharType="separate"/>
    </w:r>
    <w:r w:rsidRPr="00810664">
      <w:rPr>
        <w:noProof/>
        <w:sz w:val="20"/>
        <w:szCs w:val="20"/>
      </w:rPr>
      <w:t>i</w:t>
    </w:r>
    <w:r w:rsidRPr="00810664">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0AF" w:rsidRPr="00810664" w:rsidP="00810664" w14:paraId="2DA3AAA0" w14:textId="4D2E7AB8">
    <w:pPr>
      <w:rPr>
        <w:sz w:val="20"/>
        <w:szCs w:val="20"/>
      </w:rPr>
    </w:pPr>
    <w:r w:rsidRPr="003C5BA3">
      <w:rPr>
        <w:sz w:val="20"/>
        <w:szCs w:val="20"/>
      </w:rPr>
      <w:t xml:space="preserve">U.S. Energy Information Administration | </w:t>
    </w:r>
    <w:sdt>
      <w:sdtPr>
        <w:rPr>
          <w:sz w:val="20"/>
          <w:szCs w:val="20"/>
        </w:rPr>
        <w:alias w:val="Title"/>
        <w:id w:val="610404053"/>
        <w:dataBinding w:prefixMappings="xmlns:ns0='http://purl.org/dc/elements/1.1/' xmlns:ns1='http://schemas.openxmlformats.org/package/2006/metadata/core-properties' " w:xpath="/ns1:coreProperties[1]/ns0:title[1]" w:storeItemID="{6C3C8BC8-F283-45AE-878A-BAB7291924A1}"/>
        <w:text/>
      </w:sdtPr>
      <w:sdtContent>
        <w:r w:rsidRPr="00716FC9">
          <w:rPr>
            <w:sz w:val="20"/>
            <w:szCs w:val="20"/>
          </w:rPr>
          <w:t>Supporting Statement for Residential Utility Disconnections Survey</w:t>
        </w:r>
      </w:sdtContent>
    </w:sdt>
    <w:r w:rsidRPr="005A5745" w:rsidR="00306FFC">
      <w:rPr>
        <w:sz w:val="20"/>
        <w:szCs w:val="20"/>
      </w:rPr>
      <w:t xml:space="preserve">  </w:t>
    </w:r>
    <w:r w:rsidRPr="005A5745" w:rsidR="00306FFC">
      <w:rPr>
        <w:sz w:val="20"/>
        <w:szCs w:val="20"/>
      </w:rPr>
      <w:fldChar w:fldCharType="begin"/>
    </w:r>
    <w:r w:rsidRPr="005A5745" w:rsidR="00306FFC">
      <w:rPr>
        <w:sz w:val="20"/>
        <w:szCs w:val="20"/>
      </w:rPr>
      <w:instrText xml:space="preserve"> PAGE   \* MERGEFORMAT </w:instrText>
    </w:r>
    <w:r w:rsidRPr="005A5745" w:rsidR="00306FFC">
      <w:rPr>
        <w:sz w:val="20"/>
        <w:szCs w:val="20"/>
      </w:rPr>
      <w:fldChar w:fldCharType="separate"/>
    </w:r>
    <w:r w:rsidR="00306FFC">
      <w:rPr>
        <w:sz w:val="20"/>
        <w:szCs w:val="20"/>
      </w:rPr>
      <w:t>15</w:t>
    </w:r>
    <w:r w:rsidRPr="005A5745" w:rsidR="00306FF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31FA" w:rsidP="00132947" w14:paraId="6895C487" w14:textId="77777777">
      <w:pPr>
        <w:spacing w:after="0" w:line="240" w:lineRule="auto"/>
      </w:pPr>
      <w:r>
        <w:separator/>
      </w:r>
    </w:p>
  </w:footnote>
  <w:footnote w:type="continuationSeparator" w:id="1">
    <w:p w:rsidR="009F31FA" w:rsidP="00132947" w14:paraId="4F74FE39" w14:textId="77777777">
      <w:pPr>
        <w:spacing w:after="0" w:line="240" w:lineRule="auto"/>
      </w:pPr>
      <w:r>
        <w:continuationSeparator/>
      </w:r>
    </w:p>
  </w:footnote>
  <w:footnote w:type="continuationNotice" w:id="2">
    <w:p w:rsidR="009F31FA" w14:paraId="6431A23E" w14:textId="77777777">
      <w:pPr>
        <w:spacing w:after="0" w:line="240" w:lineRule="auto"/>
      </w:pPr>
    </w:p>
  </w:footnote>
  <w:footnote w:id="3">
    <w:p w:rsidR="002576DD" w14:paraId="6397A0BA" w14:textId="668D1B50">
      <w:pPr>
        <w:pStyle w:val="FootnoteText"/>
      </w:pPr>
      <w:r>
        <w:rPr>
          <w:rStyle w:val="FootnoteReference"/>
        </w:rPr>
        <w:footnoteRef/>
      </w:r>
      <w:r>
        <w:t xml:space="preserve"> </w:t>
      </w:r>
      <w:r w:rsidRPr="006B3715">
        <w:rPr>
          <w:sz w:val="18"/>
          <w:szCs w:val="18"/>
        </w:rPr>
        <w:t> </w:t>
      </w:r>
      <w:hyperlink r:id="rId1" w:tgtFrame="_blank" w:history="1">
        <w:r w:rsidRPr="006B3715">
          <w:rPr>
            <w:rStyle w:val="Hyperlink"/>
            <w:rFonts w:asciiTheme="minorHAnsi" w:hAnsiTheme="minorHAnsi"/>
            <w:sz w:val="18"/>
            <w:szCs w:val="18"/>
          </w:rPr>
          <w:t>“S.4660 - 117th Congress (2021-2022): Energy and Water Development and Related Agencies Appropriations Act, 2023.” Congress.gov, Library of Congress, 28 July 2022, page 82.</w:t>
        </w:r>
      </w:hyperlink>
    </w:p>
  </w:footnote>
  <w:footnote w:id="4">
    <w:p w:rsidR="00941573" w14:paraId="67475D06" w14:textId="0C777986">
      <w:pPr>
        <w:pStyle w:val="FootnoteText"/>
      </w:pPr>
      <w:r>
        <w:rPr>
          <w:rStyle w:val="FootnoteReference"/>
        </w:rPr>
        <w:footnoteRef/>
      </w:r>
      <w:r>
        <w:t xml:space="preserve"> </w:t>
      </w:r>
      <w:r w:rsidRPr="006B3715">
        <w:rPr>
          <w:rFonts w:cstheme="minorHAnsi"/>
          <w:sz w:val="18"/>
          <w:szCs w:val="18"/>
        </w:rPr>
        <w:t>AAPOR Response Rate 6 (RR6) = I+P/[(I+</w:t>
      </w:r>
      <w:r w:rsidRPr="006B3715" w:rsidR="004E66DD">
        <w:rPr>
          <w:rFonts w:cstheme="minorHAnsi"/>
          <w:sz w:val="18"/>
          <w:szCs w:val="18"/>
        </w:rPr>
        <w:t>P) +</w:t>
      </w:r>
      <w:r w:rsidRPr="006B3715">
        <w:rPr>
          <w:rFonts w:cstheme="minorHAnsi"/>
          <w:sz w:val="18"/>
          <w:szCs w:val="18"/>
        </w:rPr>
        <w:t>(R+NC+O)] where I = Completes, P = Partial Completes, R = Refusals, NC = Non-Contacts, and O = Other Nonresponse Reason; https://aapor.org/wp-content/uploads/2023/05/Standards-Definitions-10th-edition.pd</w:t>
      </w:r>
      <w:r>
        <w:rPr>
          <w:rFonts w:cstheme="minorHAnsi"/>
          <w:sz w:val="18"/>
          <w:szCs w:val="18"/>
        </w:rPr>
        <w:t>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96995"/>
    <w:multiLevelType w:val="hybridMultilevel"/>
    <w:tmpl w:val="782ED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289B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223D81"/>
    <w:multiLevelType w:val="hybridMultilevel"/>
    <w:tmpl w:val="5CC66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9E2838"/>
    <w:multiLevelType w:val="multilevel"/>
    <w:tmpl w:val="33744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F5D9D"/>
    <w:multiLevelType w:val="hybridMultilevel"/>
    <w:tmpl w:val="4F389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988DD5"/>
    <w:multiLevelType w:val="hybridMultilevel"/>
    <w:tmpl w:val="79CE74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7810CB8"/>
    <w:multiLevelType w:val="hybridMultilevel"/>
    <w:tmpl w:val="3022D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474E22"/>
    <w:multiLevelType w:val="multilevel"/>
    <w:tmpl w:val="77D2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F05C99"/>
    <w:multiLevelType w:val="hybridMultilevel"/>
    <w:tmpl w:val="2D8A5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290E7D"/>
    <w:multiLevelType w:val="hybridMultilevel"/>
    <w:tmpl w:val="F49CA5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901790E"/>
    <w:multiLevelType w:val="hybridMultilevel"/>
    <w:tmpl w:val="F8D6BC2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1561607">
    <w:abstractNumId w:val="7"/>
  </w:num>
  <w:num w:numId="2" w16cid:durableId="129247071">
    <w:abstractNumId w:val="10"/>
  </w:num>
  <w:num w:numId="3" w16cid:durableId="157042007">
    <w:abstractNumId w:val="3"/>
  </w:num>
  <w:num w:numId="4" w16cid:durableId="1964535930">
    <w:abstractNumId w:val="9"/>
  </w:num>
  <w:num w:numId="5" w16cid:durableId="1269851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746785">
    <w:abstractNumId w:val="5"/>
  </w:num>
  <w:num w:numId="7" w16cid:durableId="1523862841">
    <w:abstractNumId w:val="2"/>
  </w:num>
  <w:num w:numId="8" w16cid:durableId="33894566">
    <w:abstractNumId w:val="4"/>
  </w:num>
  <w:num w:numId="9" w16cid:durableId="1281112710">
    <w:abstractNumId w:val="6"/>
  </w:num>
  <w:num w:numId="10" w16cid:durableId="1658801985">
    <w:abstractNumId w:val="8"/>
  </w:num>
  <w:num w:numId="11" w16cid:durableId="1093629480">
    <w:abstractNumId w:val="0"/>
  </w:num>
  <w:num w:numId="12" w16cid:durableId="79510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B9"/>
    <w:rsid w:val="0000051E"/>
    <w:rsid w:val="00001B26"/>
    <w:rsid w:val="00002006"/>
    <w:rsid w:val="000038D5"/>
    <w:rsid w:val="00004904"/>
    <w:rsid w:val="00005DE7"/>
    <w:rsid w:val="00010DAC"/>
    <w:rsid w:val="000112F5"/>
    <w:rsid w:val="00012DAF"/>
    <w:rsid w:val="00015840"/>
    <w:rsid w:val="00015A28"/>
    <w:rsid w:val="00016A01"/>
    <w:rsid w:val="00017E3D"/>
    <w:rsid w:val="0002245A"/>
    <w:rsid w:val="00024E9C"/>
    <w:rsid w:val="00025A52"/>
    <w:rsid w:val="00026F8E"/>
    <w:rsid w:val="00034431"/>
    <w:rsid w:val="00036783"/>
    <w:rsid w:val="000371DD"/>
    <w:rsid w:val="00037B06"/>
    <w:rsid w:val="00040D64"/>
    <w:rsid w:val="000432ED"/>
    <w:rsid w:val="00050725"/>
    <w:rsid w:val="00052707"/>
    <w:rsid w:val="00053486"/>
    <w:rsid w:val="00053ADC"/>
    <w:rsid w:val="00054E99"/>
    <w:rsid w:val="0005622A"/>
    <w:rsid w:val="00056B52"/>
    <w:rsid w:val="0006100E"/>
    <w:rsid w:val="00064901"/>
    <w:rsid w:val="00065498"/>
    <w:rsid w:val="00070AB1"/>
    <w:rsid w:val="00074026"/>
    <w:rsid w:val="00077453"/>
    <w:rsid w:val="000775B2"/>
    <w:rsid w:val="000806BA"/>
    <w:rsid w:val="000873BA"/>
    <w:rsid w:val="000914AF"/>
    <w:rsid w:val="00093904"/>
    <w:rsid w:val="00096E85"/>
    <w:rsid w:val="000973DB"/>
    <w:rsid w:val="00097BA4"/>
    <w:rsid w:val="000A060E"/>
    <w:rsid w:val="000A467B"/>
    <w:rsid w:val="000A50AF"/>
    <w:rsid w:val="000A5C30"/>
    <w:rsid w:val="000A5F70"/>
    <w:rsid w:val="000B37B8"/>
    <w:rsid w:val="000B5897"/>
    <w:rsid w:val="000B71DF"/>
    <w:rsid w:val="000C02F6"/>
    <w:rsid w:val="000C0762"/>
    <w:rsid w:val="000C0944"/>
    <w:rsid w:val="000C0E6A"/>
    <w:rsid w:val="000C1919"/>
    <w:rsid w:val="000C6E82"/>
    <w:rsid w:val="000C6FBA"/>
    <w:rsid w:val="000C743B"/>
    <w:rsid w:val="000D1488"/>
    <w:rsid w:val="000D3A1C"/>
    <w:rsid w:val="000D6A2A"/>
    <w:rsid w:val="000E0680"/>
    <w:rsid w:val="000E1535"/>
    <w:rsid w:val="000E1B0E"/>
    <w:rsid w:val="000E2B20"/>
    <w:rsid w:val="000E2BD9"/>
    <w:rsid w:val="000E64C5"/>
    <w:rsid w:val="000E6791"/>
    <w:rsid w:val="000E7AEB"/>
    <w:rsid w:val="000E7B9F"/>
    <w:rsid w:val="000F17B0"/>
    <w:rsid w:val="000F26FE"/>
    <w:rsid w:val="000F3142"/>
    <w:rsid w:val="000F52FC"/>
    <w:rsid w:val="000F5DB8"/>
    <w:rsid w:val="000F6A2C"/>
    <w:rsid w:val="000F6A91"/>
    <w:rsid w:val="000F74B2"/>
    <w:rsid w:val="00102109"/>
    <w:rsid w:val="00102D9B"/>
    <w:rsid w:val="00103FD8"/>
    <w:rsid w:val="00104804"/>
    <w:rsid w:val="00104927"/>
    <w:rsid w:val="00104C21"/>
    <w:rsid w:val="0010603B"/>
    <w:rsid w:val="00107745"/>
    <w:rsid w:val="00107F2D"/>
    <w:rsid w:val="00107F88"/>
    <w:rsid w:val="00113394"/>
    <w:rsid w:val="001159A0"/>
    <w:rsid w:val="0012064A"/>
    <w:rsid w:val="00120F8C"/>
    <w:rsid w:val="0012141D"/>
    <w:rsid w:val="00123752"/>
    <w:rsid w:val="00123D89"/>
    <w:rsid w:val="00126E22"/>
    <w:rsid w:val="00127037"/>
    <w:rsid w:val="001305BC"/>
    <w:rsid w:val="00132947"/>
    <w:rsid w:val="00135E6A"/>
    <w:rsid w:val="00135EC4"/>
    <w:rsid w:val="001375CC"/>
    <w:rsid w:val="001376CF"/>
    <w:rsid w:val="00137E06"/>
    <w:rsid w:val="00142B58"/>
    <w:rsid w:val="00143272"/>
    <w:rsid w:val="00143428"/>
    <w:rsid w:val="0014352C"/>
    <w:rsid w:val="00143D4B"/>
    <w:rsid w:val="001468DC"/>
    <w:rsid w:val="00147728"/>
    <w:rsid w:val="00147AF2"/>
    <w:rsid w:val="00150333"/>
    <w:rsid w:val="00151F7C"/>
    <w:rsid w:val="0015208F"/>
    <w:rsid w:val="00152242"/>
    <w:rsid w:val="0015454A"/>
    <w:rsid w:val="00162005"/>
    <w:rsid w:val="0016410D"/>
    <w:rsid w:val="001646CA"/>
    <w:rsid w:val="00166883"/>
    <w:rsid w:val="00172551"/>
    <w:rsid w:val="001735FB"/>
    <w:rsid w:val="00173B33"/>
    <w:rsid w:val="00174958"/>
    <w:rsid w:val="0017553A"/>
    <w:rsid w:val="00175688"/>
    <w:rsid w:val="00175758"/>
    <w:rsid w:val="00175BB8"/>
    <w:rsid w:val="00180605"/>
    <w:rsid w:val="00180ADD"/>
    <w:rsid w:val="0018117F"/>
    <w:rsid w:val="00184F05"/>
    <w:rsid w:val="0018578D"/>
    <w:rsid w:val="00187818"/>
    <w:rsid w:val="001905FE"/>
    <w:rsid w:val="00190766"/>
    <w:rsid w:val="00190AA9"/>
    <w:rsid w:val="0019127F"/>
    <w:rsid w:val="001914B9"/>
    <w:rsid w:val="0019335E"/>
    <w:rsid w:val="0019561C"/>
    <w:rsid w:val="001A07AC"/>
    <w:rsid w:val="001A1655"/>
    <w:rsid w:val="001A2158"/>
    <w:rsid w:val="001A3DE3"/>
    <w:rsid w:val="001A492C"/>
    <w:rsid w:val="001A500E"/>
    <w:rsid w:val="001A5DE2"/>
    <w:rsid w:val="001A6025"/>
    <w:rsid w:val="001B480B"/>
    <w:rsid w:val="001B4DA3"/>
    <w:rsid w:val="001B6297"/>
    <w:rsid w:val="001B6D24"/>
    <w:rsid w:val="001C0446"/>
    <w:rsid w:val="001C19F6"/>
    <w:rsid w:val="001C304C"/>
    <w:rsid w:val="001C44C0"/>
    <w:rsid w:val="001C4BDF"/>
    <w:rsid w:val="001C52D2"/>
    <w:rsid w:val="001C653F"/>
    <w:rsid w:val="001C6C56"/>
    <w:rsid w:val="001D2F00"/>
    <w:rsid w:val="001D3306"/>
    <w:rsid w:val="001D3313"/>
    <w:rsid w:val="001D3433"/>
    <w:rsid w:val="001D4BAD"/>
    <w:rsid w:val="001D532D"/>
    <w:rsid w:val="001D6051"/>
    <w:rsid w:val="001D71F8"/>
    <w:rsid w:val="001E011A"/>
    <w:rsid w:val="001E0D7A"/>
    <w:rsid w:val="001E1432"/>
    <w:rsid w:val="001E6CD8"/>
    <w:rsid w:val="001F1029"/>
    <w:rsid w:val="001F3A8F"/>
    <w:rsid w:val="001F4008"/>
    <w:rsid w:val="001F6FAB"/>
    <w:rsid w:val="0020021F"/>
    <w:rsid w:val="00200867"/>
    <w:rsid w:val="00201DEC"/>
    <w:rsid w:val="00203A98"/>
    <w:rsid w:val="00205334"/>
    <w:rsid w:val="002061B5"/>
    <w:rsid w:val="00211059"/>
    <w:rsid w:val="002130ED"/>
    <w:rsid w:val="00214CA4"/>
    <w:rsid w:val="00216444"/>
    <w:rsid w:val="00220393"/>
    <w:rsid w:val="00221CC1"/>
    <w:rsid w:val="00223595"/>
    <w:rsid w:val="00227F6E"/>
    <w:rsid w:val="0023039A"/>
    <w:rsid w:val="00230841"/>
    <w:rsid w:val="002312A2"/>
    <w:rsid w:val="00232389"/>
    <w:rsid w:val="0023246D"/>
    <w:rsid w:val="00235C18"/>
    <w:rsid w:val="0023766F"/>
    <w:rsid w:val="002377E7"/>
    <w:rsid w:val="0024222D"/>
    <w:rsid w:val="002426F7"/>
    <w:rsid w:val="0024471A"/>
    <w:rsid w:val="00244970"/>
    <w:rsid w:val="00244E55"/>
    <w:rsid w:val="00244E99"/>
    <w:rsid w:val="00245893"/>
    <w:rsid w:val="00250AFF"/>
    <w:rsid w:val="0025172E"/>
    <w:rsid w:val="002520C7"/>
    <w:rsid w:val="002521E0"/>
    <w:rsid w:val="00252778"/>
    <w:rsid w:val="002531C1"/>
    <w:rsid w:val="00254059"/>
    <w:rsid w:val="00255D63"/>
    <w:rsid w:val="002576DD"/>
    <w:rsid w:val="0026099B"/>
    <w:rsid w:val="00260BA4"/>
    <w:rsid w:val="00260EC1"/>
    <w:rsid w:val="00262FAB"/>
    <w:rsid w:val="00265924"/>
    <w:rsid w:val="002667CD"/>
    <w:rsid w:val="0026769F"/>
    <w:rsid w:val="00270AB7"/>
    <w:rsid w:val="00272BCC"/>
    <w:rsid w:val="00285204"/>
    <w:rsid w:val="00287525"/>
    <w:rsid w:val="002902E3"/>
    <w:rsid w:val="00293654"/>
    <w:rsid w:val="00293859"/>
    <w:rsid w:val="00295C78"/>
    <w:rsid w:val="002A3BFC"/>
    <w:rsid w:val="002A5BBD"/>
    <w:rsid w:val="002A6B78"/>
    <w:rsid w:val="002A78E9"/>
    <w:rsid w:val="002B0677"/>
    <w:rsid w:val="002B116C"/>
    <w:rsid w:val="002B1C38"/>
    <w:rsid w:val="002B3BAA"/>
    <w:rsid w:val="002B4A22"/>
    <w:rsid w:val="002C159C"/>
    <w:rsid w:val="002C2E7C"/>
    <w:rsid w:val="002C35D5"/>
    <w:rsid w:val="002C3CC4"/>
    <w:rsid w:val="002C5156"/>
    <w:rsid w:val="002C5DEE"/>
    <w:rsid w:val="002C72FF"/>
    <w:rsid w:val="002D1679"/>
    <w:rsid w:val="002D16AD"/>
    <w:rsid w:val="002D4C56"/>
    <w:rsid w:val="002D5605"/>
    <w:rsid w:val="002D5BC4"/>
    <w:rsid w:val="002D6A60"/>
    <w:rsid w:val="002D7657"/>
    <w:rsid w:val="002D7929"/>
    <w:rsid w:val="002E5659"/>
    <w:rsid w:val="002E5AD2"/>
    <w:rsid w:val="002F2651"/>
    <w:rsid w:val="002F62BC"/>
    <w:rsid w:val="002F6B6F"/>
    <w:rsid w:val="00300486"/>
    <w:rsid w:val="003004BD"/>
    <w:rsid w:val="0030163F"/>
    <w:rsid w:val="00304B2F"/>
    <w:rsid w:val="00306FFC"/>
    <w:rsid w:val="00310EE0"/>
    <w:rsid w:val="00314F90"/>
    <w:rsid w:val="00315B48"/>
    <w:rsid w:val="00315DFA"/>
    <w:rsid w:val="0031611C"/>
    <w:rsid w:val="00316BA9"/>
    <w:rsid w:val="003224E8"/>
    <w:rsid w:val="003234EA"/>
    <w:rsid w:val="0032544D"/>
    <w:rsid w:val="003261E0"/>
    <w:rsid w:val="00331602"/>
    <w:rsid w:val="00331B00"/>
    <w:rsid w:val="00332EF0"/>
    <w:rsid w:val="003336B1"/>
    <w:rsid w:val="00334DE0"/>
    <w:rsid w:val="003352D6"/>
    <w:rsid w:val="003363AF"/>
    <w:rsid w:val="0033661D"/>
    <w:rsid w:val="0034025F"/>
    <w:rsid w:val="00340B73"/>
    <w:rsid w:val="003430CB"/>
    <w:rsid w:val="003441E7"/>
    <w:rsid w:val="00346BC3"/>
    <w:rsid w:val="003478E6"/>
    <w:rsid w:val="003479D3"/>
    <w:rsid w:val="00347C60"/>
    <w:rsid w:val="00350062"/>
    <w:rsid w:val="00350DC6"/>
    <w:rsid w:val="00352C1D"/>
    <w:rsid w:val="00356D96"/>
    <w:rsid w:val="00357990"/>
    <w:rsid w:val="003620CF"/>
    <w:rsid w:val="00367060"/>
    <w:rsid w:val="00370849"/>
    <w:rsid w:val="00370BE9"/>
    <w:rsid w:val="00375335"/>
    <w:rsid w:val="00375F62"/>
    <w:rsid w:val="003779B9"/>
    <w:rsid w:val="00381E9A"/>
    <w:rsid w:val="00382831"/>
    <w:rsid w:val="00383607"/>
    <w:rsid w:val="003879C9"/>
    <w:rsid w:val="00390D14"/>
    <w:rsid w:val="00390FA7"/>
    <w:rsid w:val="00393E13"/>
    <w:rsid w:val="00394283"/>
    <w:rsid w:val="003A3379"/>
    <w:rsid w:val="003A4709"/>
    <w:rsid w:val="003A74B1"/>
    <w:rsid w:val="003B24F2"/>
    <w:rsid w:val="003B262D"/>
    <w:rsid w:val="003B33E4"/>
    <w:rsid w:val="003B3CEF"/>
    <w:rsid w:val="003B612B"/>
    <w:rsid w:val="003B79FD"/>
    <w:rsid w:val="003C1FAE"/>
    <w:rsid w:val="003C306D"/>
    <w:rsid w:val="003C37FB"/>
    <w:rsid w:val="003C3B67"/>
    <w:rsid w:val="003C4DD7"/>
    <w:rsid w:val="003C5BA3"/>
    <w:rsid w:val="003C6342"/>
    <w:rsid w:val="003C65CB"/>
    <w:rsid w:val="003C7565"/>
    <w:rsid w:val="003D0A4D"/>
    <w:rsid w:val="003D13AC"/>
    <w:rsid w:val="003D1CB6"/>
    <w:rsid w:val="003D30C5"/>
    <w:rsid w:val="003D348B"/>
    <w:rsid w:val="003D35C6"/>
    <w:rsid w:val="003D3A98"/>
    <w:rsid w:val="003D4F25"/>
    <w:rsid w:val="003D7350"/>
    <w:rsid w:val="003E1E89"/>
    <w:rsid w:val="003E2EF2"/>
    <w:rsid w:val="003E3EFE"/>
    <w:rsid w:val="003E4C7B"/>
    <w:rsid w:val="003E50D1"/>
    <w:rsid w:val="003E5147"/>
    <w:rsid w:val="003E5523"/>
    <w:rsid w:val="003E61F3"/>
    <w:rsid w:val="003E64C1"/>
    <w:rsid w:val="003E7716"/>
    <w:rsid w:val="003E7B77"/>
    <w:rsid w:val="003E7EC7"/>
    <w:rsid w:val="003F053A"/>
    <w:rsid w:val="003F1062"/>
    <w:rsid w:val="003F1E3F"/>
    <w:rsid w:val="003F696C"/>
    <w:rsid w:val="003F7B66"/>
    <w:rsid w:val="00401340"/>
    <w:rsid w:val="00403771"/>
    <w:rsid w:val="00403BF9"/>
    <w:rsid w:val="00403F4D"/>
    <w:rsid w:val="00405042"/>
    <w:rsid w:val="00405F72"/>
    <w:rsid w:val="004073E3"/>
    <w:rsid w:val="0040762C"/>
    <w:rsid w:val="00411D78"/>
    <w:rsid w:val="00412DB4"/>
    <w:rsid w:val="00416E22"/>
    <w:rsid w:val="0042041F"/>
    <w:rsid w:val="00422182"/>
    <w:rsid w:val="004223FC"/>
    <w:rsid w:val="004237DA"/>
    <w:rsid w:val="004244DD"/>
    <w:rsid w:val="00424A48"/>
    <w:rsid w:val="00424D3E"/>
    <w:rsid w:val="00430176"/>
    <w:rsid w:val="00431FD4"/>
    <w:rsid w:val="004323EE"/>
    <w:rsid w:val="00440774"/>
    <w:rsid w:val="00440876"/>
    <w:rsid w:val="0044092A"/>
    <w:rsid w:val="00441E31"/>
    <w:rsid w:val="00442396"/>
    <w:rsid w:val="00442DBB"/>
    <w:rsid w:val="00444AF8"/>
    <w:rsid w:val="00445356"/>
    <w:rsid w:val="004468B1"/>
    <w:rsid w:val="0045046B"/>
    <w:rsid w:val="00451065"/>
    <w:rsid w:val="00452631"/>
    <w:rsid w:val="0045366B"/>
    <w:rsid w:val="004540C8"/>
    <w:rsid w:val="004541E4"/>
    <w:rsid w:val="004572B5"/>
    <w:rsid w:val="00463C67"/>
    <w:rsid w:val="004648C5"/>
    <w:rsid w:val="004658D2"/>
    <w:rsid w:val="004705F4"/>
    <w:rsid w:val="00473D10"/>
    <w:rsid w:val="0047403C"/>
    <w:rsid w:val="00474410"/>
    <w:rsid w:val="0047623F"/>
    <w:rsid w:val="004762C4"/>
    <w:rsid w:val="0047699F"/>
    <w:rsid w:val="00476EC8"/>
    <w:rsid w:val="0047753F"/>
    <w:rsid w:val="004810A6"/>
    <w:rsid w:val="00481737"/>
    <w:rsid w:val="004828A5"/>
    <w:rsid w:val="00484375"/>
    <w:rsid w:val="004845AB"/>
    <w:rsid w:val="0048472D"/>
    <w:rsid w:val="00486891"/>
    <w:rsid w:val="00486E10"/>
    <w:rsid w:val="004879AF"/>
    <w:rsid w:val="00490BF3"/>
    <w:rsid w:val="00491666"/>
    <w:rsid w:val="00492691"/>
    <w:rsid w:val="00495DFA"/>
    <w:rsid w:val="00495FAE"/>
    <w:rsid w:val="00496054"/>
    <w:rsid w:val="00496D69"/>
    <w:rsid w:val="00497BC9"/>
    <w:rsid w:val="004A1931"/>
    <w:rsid w:val="004A34E8"/>
    <w:rsid w:val="004A4B87"/>
    <w:rsid w:val="004A627C"/>
    <w:rsid w:val="004A6383"/>
    <w:rsid w:val="004A644E"/>
    <w:rsid w:val="004B19A0"/>
    <w:rsid w:val="004B26BF"/>
    <w:rsid w:val="004B509F"/>
    <w:rsid w:val="004C0060"/>
    <w:rsid w:val="004C0837"/>
    <w:rsid w:val="004C39E4"/>
    <w:rsid w:val="004C3E15"/>
    <w:rsid w:val="004C3F7B"/>
    <w:rsid w:val="004D0B06"/>
    <w:rsid w:val="004D11DD"/>
    <w:rsid w:val="004D1500"/>
    <w:rsid w:val="004D50DE"/>
    <w:rsid w:val="004D6111"/>
    <w:rsid w:val="004D7E3D"/>
    <w:rsid w:val="004E078B"/>
    <w:rsid w:val="004E0818"/>
    <w:rsid w:val="004E1984"/>
    <w:rsid w:val="004E638E"/>
    <w:rsid w:val="004E66DD"/>
    <w:rsid w:val="004F152E"/>
    <w:rsid w:val="004F4D5D"/>
    <w:rsid w:val="004F6CA8"/>
    <w:rsid w:val="004F6E94"/>
    <w:rsid w:val="00500C1C"/>
    <w:rsid w:val="00502BCC"/>
    <w:rsid w:val="00503B01"/>
    <w:rsid w:val="00507B73"/>
    <w:rsid w:val="00515411"/>
    <w:rsid w:val="00516E41"/>
    <w:rsid w:val="005178E9"/>
    <w:rsid w:val="005203CA"/>
    <w:rsid w:val="00521009"/>
    <w:rsid w:val="00521D28"/>
    <w:rsid w:val="00521DDB"/>
    <w:rsid w:val="005259D1"/>
    <w:rsid w:val="00525B24"/>
    <w:rsid w:val="005300F6"/>
    <w:rsid w:val="0053101F"/>
    <w:rsid w:val="00533B4F"/>
    <w:rsid w:val="00533EFD"/>
    <w:rsid w:val="005342D7"/>
    <w:rsid w:val="00534D52"/>
    <w:rsid w:val="00535020"/>
    <w:rsid w:val="005354F9"/>
    <w:rsid w:val="005356BE"/>
    <w:rsid w:val="00536022"/>
    <w:rsid w:val="00537D0C"/>
    <w:rsid w:val="00537FF3"/>
    <w:rsid w:val="0054139C"/>
    <w:rsid w:val="00541C20"/>
    <w:rsid w:val="00543997"/>
    <w:rsid w:val="0054651D"/>
    <w:rsid w:val="00547AE7"/>
    <w:rsid w:val="005510B7"/>
    <w:rsid w:val="0055348E"/>
    <w:rsid w:val="00553C34"/>
    <w:rsid w:val="00554314"/>
    <w:rsid w:val="0055789B"/>
    <w:rsid w:val="00560612"/>
    <w:rsid w:val="00560AC7"/>
    <w:rsid w:val="00563714"/>
    <w:rsid w:val="00565CAC"/>
    <w:rsid w:val="0056694C"/>
    <w:rsid w:val="00570342"/>
    <w:rsid w:val="0057076E"/>
    <w:rsid w:val="00577085"/>
    <w:rsid w:val="00586786"/>
    <w:rsid w:val="00590694"/>
    <w:rsid w:val="00590906"/>
    <w:rsid w:val="00591CDD"/>
    <w:rsid w:val="0059212D"/>
    <w:rsid w:val="0059226A"/>
    <w:rsid w:val="00593F8F"/>
    <w:rsid w:val="00596156"/>
    <w:rsid w:val="005A0169"/>
    <w:rsid w:val="005A22D5"/>
    <w:rsid w:val="005A5153"/>
    <w:rsid w:val="005A5745"/>
    <w:rsid w:val="005A733D"/>
    <w:rsid w:val="005A7A15"/>
    <w:rsid w:val="005B2D0A"/>
    <w:rsid w:val="005B2E9F"/>
    <w:rsid w:val="005B37D5"/>
    <w:rsid w:val="005B4240"/>
    <w:rsid w:val="005B4519"/>
    <w:rsid w:val="005B4909"/>
    <w:rsid w:val="005B566D"/>
    <w:rsid w:val="005B72B2"/>
    <w:rsid w:val="005C0873"/>
    <w:rsid w:val="005C1F74"/>
    <w:rsid w:val="005D089D"/>
    <w:rsid w:val="005D08E1"/>
    <w:rsid w:val="005D1EE4"/>
    <w:rsid w:val="005D6A8C"/>
    <w:rsid w:val="005D7108"/>
    <w:rsid w:val="005D7FC6"/>
    <w:rsid w:val="005E1578"/>
    <w:rsid w:val="005E3CDB"/>
    <w:rsid w:val="005E3E2C"/>
    <w:rsid w:val="005E51A3"/>
    <w:rsid w:val="005E52E5"/>
    <w:rsid w:val="005E7759"/>
    <w:rsid w:val="005E7FC5"/>
    <w:rsid w:val="005F0FC0"/>
    <w:rsid w:val="005F2829"/>
    <w:rsid w:val="005F2F08"/>
    <w:rsid w:val="005F6E7A"/>
    <w:rsid w:val="005F7051"/>
    <w:rsid w:val="00600FDC"/>
    <w:rsid w:val="00604848"/>
    <w:rsid w:val="00607DF5"/>
    <w:rsid w:val="00610DA6"/>
    <w:rsid w:val="006123DE"/>
    <w:rsid w:val="0061371C"/>
    <w:rsid w:val="006149F8"/>
    <w:rsid w:val="00616B53"/>
    <w:rsid w:val="006201B6"/>
    <w:rsid w:val="00622427"/>
    <w:rsid w:val="0062244A"/>
    <w:rsid w:val="00626440"/>
    <w:rsid w:val="00626581"/>
    <w:rsid w:val="0062674F"/>
    <w:rsid w:val="006272EF"/>
    <w:rsid w:val="0062749F"/>
    <w:rsid w:val="0062773C"/>
    <w:rsid w:val="0063073D"/>
    <w:rsid w:val="006353CC"/>
    <w:rsid w:val="00635CC1"/>
    <w:rsid w:val="00636A2D"/>
    <w:rsid w:val="006417EA"/>
    <w:rsid w:val="00641ECA"/>
    <w:rsid w:val="006436B2"/>
    <w:rsid w:val="0064396E"/>
    <w:rsid w:val="006466E8"/>
    <w:rsid w:val="00651C29"/>
    <w:rsid w:val="0065249B"/>
    <w:rsid w:val="0065300A"/>
    <w:rsid w:val="006541D8"/>
    <w:rsid w:val="006553ED"/>
    <w:rsid w:val="0065551D"/>
    <w:rsid w:val="00655705"/>
    <w:rsid w:val="00655B62"/>
    <w:rsid w:val="00661214"/>
    <w:rsid w:val="00661963"/>
    <w:rsid w:val="00661CC8"/>
    <w:rsid w:val="00664EC9"/>
    <w:rsid w:val="0066527C"/>
    <w:rsid w:val="00666A97"/>
    <w:rsid w:val="00674EA2"/>
    <w:rsid w:val="00675160"/>
    <w:rsid w:val="00677352"/>
    <w:rsid w:val="006776CE"/>
    <w:rsid w:val="00677D21"/>
    <w:rsid w:val="006828F6"/>
    <w:rsid w:val="006834EA"/>
    <w:rsid w:val="006841A0"/>
    <w:rsid w:val="00684817"/>
    <w:rsid w:val="0068586A"/>
    <w:rsid w:val="00686A77"/>
    <w:rsid w:val="00686C73"/>
    <w:rsid w:val="0069014A"/>
    <w:rsid w:val="00693B82"/>
    <w:rsid w:val="00696583"/>
    <w:rsid w:val="006A0616"/>
    <w:rsid w:val="006A0AD0"/>
    <w:rsid w:val="006B1715"/>
    <w:rsid w:val="006B21E2"/>
    <w:rsid w:val="006B21EC"/>
    <w:rsid w:val="006B29D9"/>
    <w:rsid w:val="006B2C00"/>
    <w:rsid w:val="006B3715"/>
    <w:rsid w:val="006B4E1A"/>
    <w:rsid w:val="006B5832"/>
    <w:rsid w:val="006B6F24"/>
    <w:rsid w:val="006C240A"/>
    <w:rsid w:val="006C6040"/>
    <w:rsid w:val="006D1019"/>
    <w:rsid w:val="006D515D"/>
    <w:rsid w:val="006E0405"/>
    <w:rsid w:val="006F1310"/>
    <w:rsid w:val="006F16E9"/>
    <w:rsid w:val="006F1E22"/>
    <w:rsid w:val="006F36B0"/>
    <w:rsid w:val="006F3F1A"/>
    <w:rsid w:val="006F53A3"/>
    <w:rsid w:val="006F71A4"/>
    <w:rsid w:val="007016B0"/>
    <w:rsid w:val="00702183"/>
    <w:rsid w:val="0070414A"/>
    <w:rsid w:val="007046A3"/>
    <w:rsid w:val="00704E68"/>
    <w:rsid w:val="00705F60"/>
    <w:rsid w:val="0071143F"/>
    <w:rsid w:val="00716FC9"/>
    <w:rsid w:val="007235E9"/>
    <w:rsid w:val="0072473B"/>
    <w:rsid w:val="00724B3F"/>
    <w:rsid w:val="00725DEA"/>
    <w:rsid w:val="007304AE"/>
    <w:rsid w:val="0073159B"/>
    <w:rsid w:val="0073482C"/>
    <w:rsid w:val="007359AB"/>
    <w:rsid w:val="00737898"/>
    <w:rsid w:val="00740366"/>
    <w:rsid w:val="007444F3"/>
    <w:rsid w:val="00745530"/>
    <w:rsid w:val="00745A1D"/>
    <w:rsid w:val="00746399"/>
    <w:rsid w:val="0074789D"/>
    <w:rsid w:val="00750740"/>
    <w:rsid w:val="00753D9E"/>
    <w:rsid w:val="007540F0"/>
    <w:rsid w:val="0075775A"/>
    <w:rsid w:val="00760677"/>
    <w:rsid w:val="00761166"/>
    <w:rsid w:val="007619C1"/>
    <w:rsid w:val="00761CD7"/>
    <w:rsid w:val="0076384F"/>
    <w:rsid w:val="007666CE"/>
    <w:rsid w:val="007674C4"/>
    <w:rsid w:val="007728D4"/>
    <w:rsid w:val="00773C90"/>
    <w:rsid w:val="00775B21"/>
    <w:rsid w:val="007772D4"/>
    <w:rsid w:val="00781A0A"/>
    <w:rsid w:val="007842AA"/>
    <w:rsid w:val="00787647"/>
    <w:rsid w:val="00792933"/>
    <w:rsid w:val="007948B2"/>
    <w:rsid w:val="00796B74"/>
    <w:rsid w:val="00797C55"/>
    <w:rsid w:val="007A0112"/>
    <w:rsid w:val="007A0C41"/>
    <w:rsid w:val="007A1125"/>
    <w:rsid w:val="007A59A7"/>
    <w:rsid w:val="007B0CE2"/>
    <w:rsid w:val="007B245B"/>
    <w:rsid w:val="007B4A89"/>
    <w:rsid w:val="007C5474"/>
    <w:rsid w:val="007C547A"/>
    <w:rsid w:val="007C7982"/>
    <w:rsid w:val="007C7A40"/>
    <w:rsid w:val="007D036D"/>
    <w:rsid w:val="007D07B9"/>
    <w:rsid w:val="007D090B"/>
    <w:rsid w:val="007D15F4"/>
    <w:rsid w:val="007D2313"/>
    <w:rsid w:val="007D2671"/>
    <w:rsid w:val="007D2FEB"/>
    <w:rsid w:val="007D4D1D"/>
    <w:rsid w:val="007D5EAC"/>
    <w:rsid w:val="007E4D3B"/>
    <w:rsid w:val="007F0A58"/>
    <w:rsid w:val="007F5DDE"/>
    <w:rsid w:val="007F6A50"/>
    <w:rsid w:val="007F6E4B"/>
    <w:rsid w:val="007F749D"/>
    <w:rsid w:val="00800918"/>
    <w:rsid w:val="00800B94"/>
    <w:rsid w:val="008024CB"/>
    <w:rsid w:val="0080486D"/>
    <w:rsid w:val="00806EDF"/>
    <w:rsid w:val="00810664"/>
    <w:rsid w:val="00810923"/>
    <w:rsid w:val="008111CB"/>
    <w:rsid w:val="00812EC0"/>
    <w:rsid w:val="008147DF"/>
    <w:rsid w:val="00814BCC"/>
    <w:rsid w:val="00814D3C"/>
    <w:rsid w:val="00814E4B"/>
    <w:rsid w:val="008152D4"/>
    <w:rsid w:val="00815306"/>
    <w:rsid w:val="00815D31"/>
    <w:rsid w:val="00817068"/>
    <w:rsid w:val="00817B20"/>
    <w:rsid w:val="00820E78"/>
    <w:rsid w:val="00823A21"/>
    <w:rsid w:val="0082436C"/>
    <w:rsid w:val="0082549B"/>
    <w:rsid w:val="008270FA"/>
    <w:rsid w:val="00827928"/>
    <w:rsid w:val="00827D37"/>
    <w:rsid w:val="00830453"/>
    <w:rsid w:val="00832024"/>
    <w:rsid w:val="00832421"/>
    <w:rsid w:val="008346C0"/>
    <w:rsid w:val="00834DEC"/>
    <w:rsid w:val="008357B9"/>
    <w:rsid w:val="00840B08"/>
    <w:rsid w:val="00841630"/>
    <w:rsid w:val="00845959"/>
    <w:rsid w:val="00847608"/>
    <w:rsid w:val="00847B0C"/>
    <w:rsid w:val="00856892"/>
    <w:rsid w:val="00856BFD"/>
    <w:rsid w:val="00861699"/>
    <w:rsid w:val="00862012"/>
    <w:rsid w:val="00863A15"/>
    <w:rsid w:val="00864082"/>
    <w:rsid w:val="008643D5"/>
    <w:rsid w:val="008650B6"/>
    <w:rsid w:val="00867B08"/>
    <w:rsid w:val="00871C64"/>
    <w:rsid w:val="00876DE5"/>
    <w:rsid w:val="00881882"/>
    <w:rsid w:val="00881EB3"/>
    <w:rsid w:val="00882258"/>
    <w:rsid w:val="00882D54"/>
    <w:rsid w:val="0088391D"/>
    <w:rsid w:val="00883B4D"/>
    <w:rsid w:val="00883F23"/>
    <w:rsid w:val="00884D61"/>
    <w:rsid w:val="00885BA5"/>
    <w:rsid w:val="00885C1D"/>
    <w:rsid w:val="00887053"/>
    <w:rsid w:val="0088725B"/>
    <w:rsid w:val="00890690"/>
    <w:rsid w:val="00892627"/>
    <w:rsid w:val="00892B6B"/>
    <w:rsid w:val="0089304A"/>
    <w:rsid w:val="00894D75"/>
    <w:rsid w:val="00896420"/>
    <w:rsid w:val="0089729D"/>
    <w:rsid w:val="0089773F"/>
    <w:rsid w:val="008A148B"/>
    <w:rsid w:val="008A1B29"/>
    <w:rsid w:val="008A2406"/>
    <w:rsid w:val="008A2E6F"/>
    <w:rsid w:val="008A5368"/>
    <w:rsid w:val="008A5DEF"/>
    <w:rsid w:val="008A6B2A"/>
    <w:rsid w:val="008B1134"/>
    <w:rsid w:val="008C008D"/>
    <w:rsid w:val="008C0911"/>
    <w:rsid w:val="008C7596"/>
    <w:rsid w:val="008D148F"/>
    <w:rsid w:val="008D2C5F"/>
    <w:rsid w:val="008D31F2"/>
    <w:rsid w:val="008E1E01"/>
    <w:rsid w:val="008F3A94"/>
    <w:rsid w:val="008F48BC"/>
    <w:rsid w:val="008F56AC"/>
    <w:rsid w:val="00901FC5"/>
    <w:rsid w:val="00902195"/>
    <w:rsid w:val="00904724"/>
    <w:rsid w:val="00905044"/>
    <w:rsid w:val="009061EA"/>
    <w:rsid w:val="0091298E"/>
    <w:rsid w:val="00912B25"/>
    <w:rsid w:val="00913D3F"/>
    <w:rsid w:val="00914C5C"/>
    <w:rsid w:val="0092489D"/>
    <w:rsid w:val="0092568C"/>
    <w:rsid w:val="00926238"/>
    <w:rsid w:val="00931FD8"/>
    <w:rsid w:val="00933CD0"/>
    <w:rsid w:val="00933F29"/>
    <w:rsid w:val="00935075"/>
    <w:rsid w:val="0093525E"/>
    <w:rsid w:val="009361FE"/>
    <w:rsid w:val="00940779"/>
    <w:rsid w:val="00941573"/>
    <w:rsid w:val="0094161A"/>
    <w:rsid w:val="00941958"/>
    <w:rsid w:val="00941FB5"/>
    <w:rsid w:val="009422C0"/>
    <w:rsid w:val="0094282A"/>
    <w:rsid w:val="009438DE"/>
    <w:rsid w:val="0094615D"/>
    <w:rsid w:val="00950310"/>
    <w:rsid w:val="00950ECD"/>
    <w:rsid w:val="0095204D"/>
    <w:rsid w:val="009555EC"/>
    <w:rsid w:val="0096264B"/>
    <w:rsid w:val="00962E35"/>
    <w:rsid w:val="009646BF"/>
    <w:rsid w:val="00964F98"/>
    <w:rsid w:val="00967A0E"/>
    <w:rsid w:val="00973216"/>
    <w:rsid w:val="0097551C"/>
    <w:rsid w:val="00980CFF"/>
    <w:rsid w:val="009814D6"/>
    <w:rsid w:val="00983740"/>
    <w:rsid w:val="009852B6"/>
    <w:rsid w:val="00994680"/>
    <w:rsid w:val="009A0549"/>
    <w:rsid w:val="009A430E"/>
    <w:rsid w:val="009A7F67"/>
    <w:rsid w:val="009B3936"/>
    <w:rsid w:val="009B3ADB"/>
    <w:rsid w:val="009B6875"/>
    <w:rsid w:val="009B773D"/>
    <w:rsid w:val="009C27C3"/>
    <w:rsid w:val="009C6972"/>
    <w:rsid w:val="009D24B2"/>
    <w:rsid w:val="009D4B69"/>
    <w:rsid w:val="009D7932"/>
    <w:rsid w:val="009E004C"/>
    <w:rsid w:val="009E10B5"/>
    <w:rsid w:val="009E2DFE"/>
    <w:rsid w:val="009E33F8"/>
    <w:rsid w:val="009E4BD1"/>
    <w:rsid w:val="009F31FA"/>
    <w:rsid w:val="009F32A9"/>
    <w:rsid w:val="009F553F"/>
    <w:rsid w:val="009F61F7"/>
    <w:rsid w:val="009F623A"/>
    <w:rsid w:val="009F6BBE"/>
    <w:rsid w:val="009F70A3"/>
    <w:rsid w:val="009F751B"/>
    <w:rsid w:val="00A0013C"/>
    <w:rsid w:val="00A004DA"/>
    <w:rsid w:val="00A024DF"/>
    <w:rsid w:val="00A0583B"/>
    <w:rsid w:val="00A11833"/>
    <w:rsid w:val="00A11DD0"/>
    <w:rsid w:val="00A124E8"/>
    <w:rsid w:val="00A14509"/>
    <w:rsid w:val="00A14A5E"/>
    <w:rsid w:val="00A14D38"/>
    <w:rsid w:val="00A16B02"/>
    <w:rsid w:val="00A16BE9"/>
    <w:rsid w:val="00A17006"/>
    <w:rsid w:val="00A20555"/>
    <w:rsid w:val="00A226B5"/>
    <w:rsid w:val="00A23682"/>
    <w:rsid w:val="00A23A38"/>
    <w:rsid w:val="00A24832"/>
    <w:rsid w:val="00A27D38"/>
    <w:rsid w:val="00A33273"/>
    <w:rsid w:val="00A33E20"/>
    <w:rsid w:val="00A40784"/>
    <w:rsid w:val="00A41DF9"/>
    <w:rsid w:val="00A42B4D"/>
    <w:rsid w:val="00A4397E"/>
    <w:rsid w:val="00A4600A"/>
    <w:rsid w:val="00A46095"/>
    <w:rsid w:val="00A46DDB"/>
    <w:rsid w:val="00A51209"/>
    <w:rsid w:val="00A51264"/>
    <w:rsid w:val="00A51A63"/>
    <w:rsid w:val="00A54176"/>
    <w:rsid w:val="00A564B4"/>
    <w:rsid w:val="00A64BFB"/>
    <w:rsid w:val="00A65488"/>
    <w:rsid w:val="00A701B8"/>
    <w:rsid w:val="00A737AB"/>
    <w:rsid w:val="00A759D6"/>
    <w:rsid w:val="00A821B7"/>
    <w:rsid w:val="00A83F10"/>
    <w:rsid w:val="00A8582E"/>
    <w:rsid w:val="00A94303"/>
    <w:rsid w:val="00A94B25"/>
    <w:rsid w:val="00A94F84"/>
    <w:rsid w:val="00A96CBF"/>
    <w:rsid w:val="00A97B28"/>
    <w:rsid w:val="00AA0C2C"/>
    <w:rsid w:val="00AA6A8A"/>
    <w:rsid w:val="00AA73CE"/>
    <w:rsid w:val="00AB04AF"/>
    <w:rsid w:val="00AB33CD"/>
    <w:rsid w:val="00AB39A7"/>
    <w:rsid w:val="00AB5F54"/>
    <w:rsid w:val="00AB63BB"/>
    <w:rsid w:val="00AB719F"/>
    <w:rsid w:val="00AC1CA8"/>
    <w:rsid w:val="00AC3F1A"/>
    <w:rsid w:val="00AC470B"/>
    <w:rsid w:val="00AD2733"/>
    <w:rsid w:val="00AD2878"/>
    <w:rsid w:val="00AD36C3"/>
    <w:rsid w:val="00AD40C3"/>
    <w:rsid w:val="00AD4EFE"/>
    <w:rsid w:val="00AD7132"/>
    <w:rsid w:val="00AE0870"/>
    <w:rsid w:val="00AE42E7"/>
    <w:rsid w:val="00AE54C4"/>
    <w:rsid w:val="00AE6824"/>
    <w:rsid w:val="00AF01B8"/>
    <w:rsid w:val="00AF0948"/>
    <w:rsid w:val="00AF18F0"/>
    <w:rsid w:val="00AF1CB3"/>
    <w:rsid w:val="00AF3CB7"/>
    <w:rsid w:val="00AF7AF4"/>
    <w:rsid w:val="00B000EA"/>
    <w:rsid w:val="00B0025B"/>
    <w:rsid w:val="00B007A7"/>
    <w:rsid w:val="00B00DDB"/>
    <w:rsid w:val="00B01220"/>
    <w:rsid w:val="00B023BA"/>
    <w:rsid w:val="00B04F6D"/>
    <w:rsid w:val="00B06F94"/>
    <w:rsid w:val="00B07895"/>
    <w:rsid w:val="00B10106"/>
    <w:rsid w:val="00B11506"/>
    <w:rsid w:val="00B15282"/>
    <w:rsid w:val="00B1660B"/>
    <w:rsid w:val="00B219E2"/>
    <w:rsid w:val="00B221F4"/>
    <w:rsid w:val="00B229EE"/>
    <w:rsid w:val="00B26991"/>
    <w:rsid w:val="00B26CDA"/>
    <w:rsid w:val="00B26DD5"/>
    <w:rsid w:val="00B273E0"/>
    <w:rsid w:val="00B31971"/>
    <w:rsid w:val="00B31DCE"/>
    <w:rsid w:val="00B33F67"/>
    <w:rsid w:val="00B35462"/>
    <w:rsid w:val="00B35676"/>
    <w:rsid w:val="00B42CAE"/>
    <w:rsid w:val="00B446BA"/>
    <w:rsid w:val="00B44B54"/>
    <w:rsid w:val="00B47A87"/>
    <w:rsid w:val="00B5009B"/>
    <w:rsid w:val="00B50402"/>
    <w:rsid w:val="00B511B3"/>
    <w:rsid w:val="00B544C1"/>
    <w:rsid w:val="00B5601A"/>
    <w:rsid w:val="00B60552"/>
    <w:rsid w:val="00B61F0B"/>
    <w:rsid w:val="00B63317"/>
    <w:rsid w:val="00B636F5"/>
    <w:rsid w:val="00B6478B"/>
    <w:rsid w:val="00B66789"/>
    <w:rsid w:val="00B70589"/>
    <w:rsid w:val="00B7386D"/>
    <w:rsid w:val="00B74E1D"/>
    <w:rsid w:val="00B750B9"/>
    <w:rsid w:val="00B809E1"/>
    <w:rsid w:val="00B80BAC"/>
    <w:rsid w:val="00B8237E"/>
    <w:rsid w:val="00B83449"/>
    <w:rsid w:val="00B834C8"/>
    <w:rsid w:val="00B835F6"/>
    <w:rsid w:val="00B83DFC"/>
    <w:rsid w:val="00B8570B"/>
    <w:rsid w:val="00B86849"/>
    <w:rsid w:val="00B86C98"/>
    <w:rsid w:val="00B87A8E"/>
    <w:rsid w:val="00B90613"/>
    <w:rsid w:val="00B90CD0"/>
    <w:rsid w:val="00B925D8"/>
    <w:rsid w:val="00B951F2"/>
    <w:rsid w:val="00B959A4"/>
    <w:rsid w:val="00B96969"/>
    <w:rsid w:val="00BA7D93"/>
    <w:rsid w:val="00BB1915"/>
    <w:rsid w:val="00BB37D9"/>
    <w:rsid w:val="00BB4C0E"/>
    <w:rsid w:val="00BC1CF6"/>
    <w:rsid w:val="00BC4DB3"/>
    <w:rsid w:val="00BC61AE"/>
    <w:rsid w:val="00BD2792"/>
    <w:rsid w:val="00BD2960"/>
    <w:rsid w:val="00BD3760"/>
    <w:rsid w:val="00BD4DE1"/>
    <w:rsid w:val="00BD7183"/>
    <w:rsid w:val="00BE03AD"/>
    <w:rsid w:val="00BE1B94"/>
    <w:rsid w:val="00BE2023"/>
    <w:rsid w:val="00BE30E6"/>
    <w:rsid w:val="00BE363A"/>
    <w:rsid w:val="00BE3996"/>
    <w:rsid w:val="00BE39CF"/>
    <w:rsid w:val="00BF521F"/>
    <w:rsid w:val="00BF5AC6"/>
    <w:rsid w:val="00BF5F6A"/>
    <w:rsid w:val="00C01149"/>
    <w:rsid w:val="00C01C16"/>
    <w:rsid w:val="00C02E38"/>
    <w:rsid w:val="00C03248"/>
    <w:rsid w:val="00C052FA"/>
    <w:rsid w:val="00C06E11"/>
    <w:rsid w:val="00C103CC"/>
    <w:rsid w:val="00C1124D"/>
    <w:rsid w:val="00C13708"/>
    <w:rsid w:val="00C15B64"/>
    <w:rsid w:val="00C2056C"/>
    <w:rsid w:val="00C22279"/>
    <w:rsid w:val="00C22E1F"/>
    <w:rsid w:val="00C246FD"/>
    <w:rsid w:val="00C25002"/>
    <w:rsid w:val="00C271A1"/>
    <w:rsid w:val="00C2780A"/>
    <w:rsid w:val="00C40C90"/>
    <w:rsid w:val="00C414AC"/>
    <w:rsid w:val="00C45829"/>
    <w:rsid w:val="00C50822"/>
    <w:rsid w:val="00C51F15"/>
    <w:rsid w:val="00C51F24"/>
    <w:rsid w:val="00C5263E"/>
    <w:rsid w:val="00C52A37"/>
    <w:rsid w:val="00C530B5"/>
    <w:rsid w:val="00C57061"/>
    <w:rsid w:val="00C57642"/>
    <w:rsid w:val="00C60DF9"/>
    <w:rsid w:val="00C6159A"/>
    <w:rsid w:val="00C63A21"/>
    <w:rsid w:val="00C67A9D"/>
    <w:rsid w:val="00C720AA"/>
    <w:rsid w:val="00C73BAA"/>
    <w:rsid w:val="00C754ED"/>
    <w:rsid w:val="00C760BD"/>
    <w:rsid w:val="00C777CC"/>
    <w:rsid w:val="00C803A8"/>
    <w:rsid w:val="00C836EB"/>
    <w:rsid w:val="00C84B2C"/>
    <w:rsid w:val="00C861DC"/>
    <w:rsid w:val="00C911BA"/>
    <w:rsid w:val="00C92103"/>
    <w:rsid w:val="00C942EA"/>
    <w:rsid w:val="00C96204"/>
    <w:rsid w:val="00C967ED"/>
    <w:rsid w:val="00C97BAD"/>
    <w:rsid w:val="00CA1224"/>
    <w:rsid w:val="00CA19F7"/>
    <w:rsid w:val="00CA2640"/>
    <w:rsid w:val="00CB180D"/>
    <w:rsid w:val="00CB3358"/>
    <w:rsid w:val="00CB4A8A"/>
    <w:rsid w:val="00CB667F"/>
    <w:rsid w:val="00CB6852"/>
    <w:rsid w:val="00CB7F06"/>
    <w:rsid w:val="00CC02A4"/>
    <w:rsid w:val="00CC049D"/>
    <w:rsid w:val="00CC2ED1"/>
    <w:rsid w:val="00CC3F44"/>
    <w:rsid w:val="00CC6E7E"/>
    <w:rsid w:val="00CD151D"/>
    <w:rsid w:val="00CD4022"/>
    <w:rsid w:val="00CD411A"/>
    <w:rsid w:val="00CD49D1"/>
    <w:rsid w:val="00CD663D"/>
    <w:rsid w:val="00CE16BE"/>
    <w:rsid w:val="00CE2865"/>
    <w:rsid w:val="00CE29FC"/>
    <w:rsid w:val="00CE4E23"/>
    <w:rsid w:val="00CE70E6"/>
    <w:rsid w:val="00CF04FB"/>
    <w:rsid w:val="00CF1051"/>
    <w:rsid w:val="00CF1BBF"/>
    <w:rsid w:val="00CF2BF5"/>
    <w:rsid w:val="00CF41BB"/>
    <w:rsid w:val="00CF4232"/>
    <w:rsid w:val="00CF4AAB"/>
    <w:rsid w:val="00CF4DAF"/>
    <w:rsid w:val="00CF5ADF"/>
    <w:rsid w:val="00CF7A87"/>
    <w:rsid w:val="00D015E0"/>
    <w:rsid w:val="00D01912"/>
    <w:rsid w:val="00D026AC"/>
    <w:rsid w:val="00D0350A"/>
    <w:rsid w:val="00D04A47"/>
    <w:rsid w:val="00D05B66"/>
    <w:rsid w:val="00D076D7"/>
    <w:rsid w:val="00D078B0"/>
    <w:rsid w:val="00D1162E"/>
    <w:rsid w:val="00D122EB"/>
    <w:rsid w:val="00D12E2C"/>
    <w:rsid w:val="00D167E0"/>
    <w:rsid w:val="00D250C8"/>
    <w:rsid w:val="00D26D60"/>
    <w:rsid w:val="00D272BE"/>
    <w:rsid w:val="00D30166"/>
    <w:rsid w:val="00D31A5B"/>
    <w:rsid w:val="00D31C15"/>
    <w:rsid w:val="00D34861"/>
    <w:rsid w:val="00D34A32"/>
    <w:rsid w:val="00D358A8"/>
    <w:rsid w:val="00D37C8A"/>
    <w:rsid w:val="00D42978"/>
    <w:rsid w:val="00D43214"/>
    <w:rsid w:val="00D4426E"/>
    <w:rsid w:val="00D44D84"/>
    <w:rsid w:val="00D4523E"/>
    <w:rsid w:val="00D46318"/>
    <w:rsid w:val="00D50C85"/>
    <w:rsid w:val="00D5182B"/>
    <w:rsid w:val="00D52576"/>
    <w:rsid w:val="00D57E3B"/>
    <w:rsid w:val="00D623DA"/>
    <w:rsid w:val="00D658AD"/>
    <w:rsid w:val="00D667A8"/>
    <w:rsid w:val="00D678FF"/>
    <w:rsid w:val="00D704E6"/>
    <w:rsid w:val="00D82E6B"/>
    <w:rsid w:val="00D85388"/>
    <w:rsid w:val="00D86B72"/>
    <w:rsid w:val="00D914F8"/>
    <w:rsid w:val="00D92300"/>
    <w:rsid w:val="00D923C4"/>
    <w:rsid w:val="00D93868"/>
    <w:rsid w:val="00D95727"/>
    <w:rsid w:val="00D96DB9"/>
    <w:rsid w:val="00D97BB3"/>
    <w:rsid w:val="00DA2735"/>
    <w:rsid w:val="00DA3136"/>
    <w:rsid w:val="00DB1172"/>
    <w:rsid w:val="00DB3152"/>
    <w:rsid w:val="00DB33FD"/>
    <w:rsid w:val="00DB3797"/>
    <w:rsid w:val="00DB6B2E"/>
    <w:rsid w:val="00DC27EC"/>
    <w:rsid w:val="00DC4559"/>
    <w:rsid w:val="00DC532E"/>
    <w:rsid w:val="00DC5602"/>
    <w:rsid w:val="00DC6026"/>
    <w:rsid w:val="00DC7C0A"/>
    <w:rsid w:val="00DD3351"/>
    <w:rsid w:val="00DD4384"/>
    <w:rsid w:val="00DD5886"/>
    <w:rsid w:val="00DD729A"/>
    <w:rsid w:val="00DE0B15"/>
    <w:rsid w:val="00DE12D3"/>
    <w:rsid w:val="00DE733D"/>
    <w:rsid w:val="00DE7A1C"/>
    <w:rsid w:val="00DF0AA5"/>
    <w:rsid w:val="00DF0CF8"/>
    <w:rsid w:val="00DF14F5"/>
    <w:rsid w:val="00DF254C"/>
    <w:rsid w:val="00DF400B"/>
    <w:rsid w:val="00DF61D5"/>
    <w:rsid w:val="00DF6617"/>
    <w:rsid w:val="00DF7E96"/>
    <w:rsid w:val="00E027B7"/>
    <w:rsid w:val="00E030DA"/>
    <w:rsid w:val="00E03510"/>
    <w:rsid w:val="00E03811"/>
    <w:rsid w:val="00E03DAE"/>
    <w:rsid w:val="00E054DF"/>
    <w:rsid w:val="00E06A0F"/>
    <w:rsid w:val="00E13CD5"/>
    <w:rsid w:val="00E15BAA"/>
    <w:rsid w:val="00E16DB6"/>
    <w:rsid w:val="00E1791D"/>
    <w:rsid w:val="00E17AED"/>
    <w:rsid w:val="00E20339"/>
    <w:rsid w:val="00E20CBA"/>
    <w:rsid w:val="00E21505"/>
    <w:rsid w:val="00E218ED"/>
    <w:rsid w:val="00E266BE"/>
    <w:rsid w:val="00E26F7A"/>
    <w:rsid w:val="00E31736"/>
    <w:rsid w:val="00E341D7"/>
    <w:rsid w:val="00E3638F"/>
    <w:rsid w:val="00E37777"/>
    <w:rsid w:val="00E43EB8"/>
    <w:rsid w:val="00E447C3"/>
    <w:rsid w:val="00E4497B"/>
    <w:rsid w:val="00E46392"/>
    <w:rsid w:val="00E4675C"/>
    <w:rsid w:val="00E47DF7"/>
    <w:rsid w:val="00E52E0F"/>
    <w:rsid w:val="00E53D48"/>
    <w:rsid w:val="00E54DAF"/>
    <w:rsid w:val="00E57A07"/>
    <w:rsid w:val="00E57EB1"/>
    <w:rsid w:val="00E600A1"/>
    <w:rsid w:val="00E60731"/>
    <w:rsid w:val="00E60782"/>
    <w:rsid w:val="00E60F5D"/>
    <w:rsid w:val="00E6377D"/>
    <w:rsid w:val="00E65395"/>
    <w:rsid w:val="00E66C44"/>
    <w:rsid w:val="00E71EB8"/>
    <w:rsid w:val="00E72A9E"/>
    <w:rsid w:val="00E75856"/>
    <w:rsid w:val="00E75E2B"/>
    <w:rsid w:val="00E7AF54"/>
    <w:rsid w:val="00E81068"/>
    <w:rsid w:val="00E82787"/>
    <w:rsid w:val="00E8382E"/>
    <w:rsid w:val="00E83935"/>
    <w:rsid w:val="00E83E33"/>
    <w:rsid w:val="00E85FBD"/>
    <w:rsid w:val="00E87C42"/>
    <w:rsid w:val="00E906AA"/>
    <w:rsid w:val="00E92A25"/>
    <w:rsid w:val="00E967BB"/>
    <w:rsid w:val="00EA0137"/>
    <w:rsid w:val="00EA02E1"/>
    <w:rsid w:val="00EA5415"/>
    <w:rsid w:val="00EA635C"/>
    <w:rsid w:val="00EB0FCE"/>
    <w:rsid w:val="00EB4249"/>
    <w:rsid w:val="00EB7D8C"/>
    <w:rsid w:val="00EC1316"/>
    <w:rsid w:val="00EC50D4"/>
    <w:rsid w:val="00ED18A9"/>
    <w:rsid w:val="00ED1D6F"/>
    <w:rsid w:val="00ED2046"/>
    <w:rsid w:val="00ED28FA"/>
    <w:rsid w:val="00ED2B51"/>
    <w:rsid w:val="00ED4160"/>
    <w:rsid w:val="00ED7232"/>
    <w:rsid w:val="00ED72F1"/>
    <w:rsid w:val="00EE14F1"/>
    <w:rsid w:val="00EE3252"/>
    <w:rsid w:val="00EE4870"/>
    <w:rsid w:val="00EE498C"/>
    <w:rsid w:val="00EE4F3B"/>
    <w:rsid w:val="00EE54E8"/>
    <w:rsid w:val="00EE59E0"/>
    <w:rsid w:val="00EE78C1"/>
    <w:rsid w:val="00EE7A76"/>
    <w:rsid w:val="00EF2D5E"/>
    <w:rsid w:val="00EF33E4"/>
    <w:rsid w:val="00F00DEA"/>
    <w:rsid w:val="00F044BD"/>
    <w:rsid w:val="00F04606"/>
    <w:rsid w:val="00F05015"/>
    <w:rsid w:val="00F067C9"/>
    <w:rsid w:val="00F07EC8"/>
    <w:rsid w:val="00F10343"/>
    <w:rsid w:val="00F11A99"/>
    <w:rsid w:val="00F13D5E"/>
    <w:rsid w:val="00F1732B"/>
    <w:rsid w:val="00F2175D"/>
    <w:rsid w:val="00F32497"/>
    <w:rsid w:val="00F327E1"/>
    <w:rsid w:val="00F330E1"/>
    <w:rsid w:val="00F36EBA"/>
    <w:rsid w:val="00F40E39"/>
    <w:rsid w:val="00F4609D"/>
    <w:rsid w:val="00F46557"/>
    <w:rsid w:val="00F472C4"/>
    <w:rsid w:val="00F542B8"/>
    <w:rsid w:val="00F55EDC"/>
    <w:rsid w:val="00F564C8"/>
    <w:rsid w:val="00F5663F"/>
    <w:rsid w:val="00F6338D"/>
    <w:rsid w:val="00F6423D"/>
    <w:rsid w:val="00F65CB3"/>
    <w:rsid w:val="00F67EFB"/>
    <w:rsid w:val="00F71750"/>
    <w:rsid w:val="00F71D08"/>
    <w:rsid w:val="00F73B75"/>
    <w:rsid w:val="00F7586E"/>
    <w:rsid w:val="00F75EAF"/>
    <w:rsid w:val="00F765ED"/>
    <w:rsid w:val="00F76886"/>
    <w:rsid w:val="00F774A2"/>
    <w:rsid w:val="00F86CBA"/>
    <w:rsid w:val="00F86CD7"/>
    <w:rsid w:val="00F91E96"/>
    <w:rsid w:val="00F937D0"/>
    <w:rsid w:val="00F94E3E"/>
    <w:rsid w:val="00F95709"/>
    <w:rsid w:val="00FA00CA"/>
    <w:rsid w:val="00FA06A1"/>
    <w:rsid w:val="00FA285F"/>
    <w:rsid w:val="00FA54BE"/>
    <w:rsid w:val="00FA7909"/>
    <w:rsid w:val="00FB0362"/>
    <w:rsid w:val="00FB74E3"/>
    <w:rsid w:val="00FC4DC7"/>
    <w:rsid w:val="00FC64B4"/>
    <w:rsid w:val="00FC6C1A"/>
    <w:rsid w:val="00FC7046"/>
    <w:rsid w:val="00FD10D8"/>
    <w:rsid w:val="00FD183E"/>
    <w:rsid w:val="00FD3CF5"/>
    <w:rsid w:val="00FD405D"/>
    <w:rsid w:val="00FD42A4"/>
    <w:rsid w:val="00FD5445"/>
    <w:rsid w:val="00FD54E8"/>
    <w:rsid w:val="00FD6D62"/>
    <w:rsid w:val="00FD7805"/>
    <w:rsid w:val="00FE0896"/>
    <w:rsid w:val="00FE0AAC"/>
    <w:rsid w:val="00FE4528"/>
    <w:rsid w:val="00FE60A4"/>
    <w:rsid w:val="00FE6493"/>
    <w:rsid w:val="00FE65BD"/>
    <w:rsid w:val="00FF04BC"/>
    <w:rsid w:val="00FF0E04"/>
    <w:rsid w:val="00FF347D"/>
    <w:rsid w:val="0194118B"/>
    <w:rsid w:val="019EC3E5"/>
    <w:rsid w:val="01C75455"/>
    <w:rsid w:val="0205F89A"/>
    <w:rsid w:val="021790B0"/>
    <w:rsid w:val="0274F66E"/>
    <w:rsid w:val="02F52BB2"/>
    <w:rsid w:val="031BEEAA"/>
    <w:rsid w:val="035A97E3"/>
    <w:rsid w:val="03B923C2"/>
    <w:rsid w:val="03F9BD6E"/>
    <w:rsid w:val="0454B112"/>
    <w:rsid w:val="04FC71E8"/>
    <w:rsid w:val="0528B18E"/>
    <w:rsid w:val="057316CA"/>
    <w:rsid w:val="057830E7"/>
    <w:rsid w:val="059D2587"/>
    <w:rsid w:val="06CE04F6"/>
    <w:rsid w:val="06E6D1BD"/>
    <w:rsid w:val="088151CF"/>
    <w:rsid w:val="08845949"/>
    <w:rsid w:val="0884B2EE"/>
    <w:rsid w:val="091CED12"/>
    <w:rsid w:val="0961B0E0"/>
    <w:rsid w:val="09BCBE36"/>
    <w:rsid w:val="09CBA279"/>
    <w:rsid w:val="0A6488BF"/>
    <w:rsid w:val="0A98F778"/>
    <w:rsid w:val="0B00698B"/>
    <w:rsid w:val="0B4BF1CD"/>
    <w:rsid w:val="0BC1F35E"/>
    <w:rsid w:val="0BCD06D1"/>
    <w:rsid w:val="0C0821B3"/>
    <w:rsid w:val="0C613C96"/>
    <w:rsid w:val="0D567E58"/>
    <w:rsid w:val="0DE50A7B"/>
    <w:rsid w:val="0E2D135A"/>
    <w:rsid w:val="0E34292E"/>
    <w:rsid w:val="0E5F7FED"/>
    <w:rsid w:val="0EA71F3A"/>
    <w:rsid w:val="0F09CD2C"/>
    <w:rsid w:val="103418E0"/>
    <w:rsid w:val="10A198F7"/>
    <w:rsid w:val="10D1BAEC"/>
    <w:rsid w:val="111D1D57"/>
    <w:rsid w:val="11A08EEF"/>
    <w:rsid w:val="11BF2E31"/>
    <w:rsid w:val="1226ACE0"/>
    <w:rsid w:val="123FC8E1"/>
    <w:rsid w:val="12566F51"/>
    <w:rsid w:val="1266D540"/>
    <w:rsid w:val="128299BD"/>
    <w:rsid w:val="12865AB6"/>
    <w:rsid w:val="12AF1BFB"/>
    <w:rsid w:val="134B4B59"/>
    <w:rsid w:val="147271A0"/>
    <w:rsid w:val="15BFE240"/>
    <w:rsid w:val="161DE354"/>
    <w:rsid w:val="16D759DC"/>
    <w:rsid w:val="16FB76C7"/>
    <w:rsid w:val="17313302"/>
    <w:rsid w:val="1764B6DD"/>
    <w:rsid w:val="17B1396B"/>
    <w:rsid w:val="182C7999"/>
    <w:rsid w:val="1963C0D4"/>
    <w:rsid w:val="199D5BFA"/>
    <w:rsid w:val="19CFC64F"/>
    <w:rsid w:val="1A8A380B"/>
    <w:rsid w:val="1BDBA9DF"/>
    <w:rsid w:val="1C643EAD"/>
    <w:rsid w:val="1CDB0AA1"/>
    <w:rsid w:val="1D520EF4"/>
    <w:rsid w:val="1F9A1559"/>
    <w:rsid w:val="20ECE17D"/>
    <w:rsid w:val="21D127AC"/>
    <w:rsid w:val="22A367D9"/>
    <w:rsid w:val="23903C21"/>
    <w:rsid w:val="23906BB8"/>
    <w:rsid w:val="23A7A463"/>
    <w:rsid w:val="23FB29C3"/>
    <w:rsid w:val="245844CD"/>
    <w:rsid w:val="249A8AF8"/>
    <w:rsid w:val="24A6F7DE"/>
    <w:rsid w:val="24E05E3E"/>
    <w:rsid w:val="258ED849"/>
    <w:rsid w:val="261E961B"/>
    <w:rsid w:val="2649ADA0"/>
    <w:rsid w:val="2855912D"/>
    <w:rsid w:val="28AA7758"/>
    <w:rsid w:val="28AF3A1D"/>
    <w:rsid w:val="28D0A45D"/>
    <w:rsid w:val="28D3EB6C"/>
    <w:rsid w:val="2909FB25"/>
    <w:rsid w:val="29B7C7EA"/>
    <w:rsid w:val="29C60711"/>
    <w:rsid w:val="29C685CA"/>
    <w:rsid w:val="2A021FC7"/>
    <w:rsid w:val="2A137285"/>
    <w:rsid w:val="2A4284AD"/>
    <w:rsid w:val="2A74C92D"/>
    <w:rsid w:val="2AF480EC"/>
    <w:rsid w:val="2B55242B"/>
    <w:rsid w:val="2B81DD78"/>
    <w:rsid w:val="2C206BCD"/>
    <w:rsid w:val="2C59A4C4"/>
    <w:rsid w:val="2C6CA271"/>
    <w:rsid w:val="2C9BAA8A"/>
    <w:rsid w:val="2CBADFC1"/>
    <w:rsid w:val="2CC5D60A"/>
    <w:rsid w:val="2D38CEA8"/>
    <w:rsid w:val="2DB015D4"/>
    <w:rsid w:val="2DBBEBCF"/>
    <w:rsid w:val="2E02340B"/>
    <w:rsid w:val="2E342C39"/>
    <w:rsid w:val="2E53950C"/>
    <w:rsid w:val="2EE6EE70"/>
    <w:rsid w:val="2F558FFD"/>
    <w:rsid w:val="2F5D2FB6"/>
    <w:rsid w:val="2FE09FB5"/>
    <w:rsid w:val="302C8F0B"/>
    <w:rsid w:val="304871BF"/>
    <w:rsid w:val="307F121F"/>
    <w:rsid w:val="30F96006"/>
    <w:rsid w:val="3164922A"/>
    <w:rsid w:val="319BC24D"/>
    <w:rsid w:val="339DA0A6"/>
    <w:rsid w:val="33E98591"/>
    <w:rsid w:val="34151FCD"/>
    <w:rsid w:val="346312FE"/>
    <w:rsid w:val="34AF7592"/>
    <w:rsid w:val="34FF029F"/>
    <w:rsid w:val="35293A3A"/>
    <w:rsid w:val="3549AC7C"/>
    <w:rsid w:val="355625C5"/>
    <w:rsid w:val="35867D75"/>
    <w:rsid w:val="35895EA4"/>
    <w:rsid w:val="362A6E1D"/>
    <w:rsid w:val="3702A1EE"/>
    <w:rsid w:val="373C392F"/>
    <w:rsid w:val="375B5B8C"/>
    <w:rsid w:val="3930B76A"/>
    <w:rsid w:val="3A12B48C"/>
    <w:rsid w:val="3A7E8EB4"/>
    <w:rsid w:val="3AC884B5"/>
    <w:rsid w:val="3ACBD749"/>
    <w:rsid w:val="3B397C42"/>
    <w:rsid w:val="3B689A69"/>
    <w:rsid w:val="3B6E62DA"/>
    <w:rsid w:val="3BC256F1"/>
    <w:rsid w:val="3BF9AB61"/>
    <w:rsid w:val="3C8D145F"/>
    <w:rsid w:val="3C9847D6"/>
    <w:rsid w:val="3D89BC92"/>
    <w:rsid w:val="3DFEC93B"/>
    <w:rsid w:val="3E659041"/>
    <w:rsid w:val="3F17AE2B"/>
    <w:rsid w:val="3F9C66AD"/>
    <w:rsid w:val="3FD4FA3B"/>
    <w:rsid w:val="40D39724"/>
    <w:rsid w:val="40E0ED63"/>
    <w:rsid w:val="429FF7BC"/>
    <w:rsid w:val="42C298F0"/>
    <w:rsid w:val="42CF11B6"/>
    <w:rsid w:val="4302F736"/>
    <w:rsid w:val="44070751"/>
    <w:rsid w:val="442461AD"/>
    <w:rsid w:val="447FFC86"/>
    <w:rsid w:val="458E8E46"/>
    <w:rsid w:val="46183CAA"/>
    <w:rsid w:val="461B8119"/>
    <w:rsid w:val="46E67CEF"/>
    <w:rsid w:val="47112E60"/>
    <w:rsid w:val="47B6DFDE"/>
    <w:rsid w:val="47FC1052"/>
    <w:rsid w:val="483BDDC6"/>
    <w:rsid w:val="48A8E51E"/>
    <w:rsid w:val="49640CA8"/>
    <w:rsid w:val="49E1A334"/>
    <w:rsid w:val="49FE6C5A"/>
    <w:rsid w:val="4A1E9E87"/>
    <w:rsid w:val="4AEAD401"/>
    <w:rsid w:val="4B8014CF"/>
    <w:rsid w:val="4B878679"/>
    <w:rsid w:val="4C015535"/>
    <w:rsid w:val="4CBEC786"/>
    <w:rsid w:val="4DA29F60"/>
    <w:rsid w:val="4DCE5C9D"/>
    <w:rsid w:val="4DD8FD10"/>
    <w:rsid w:val="4E430E03"/>
    <w:rsid w:val="4FC876B1"/>
    <w:rsid w:val="4FF3082D"/>
    <w:rsid w:val="502C4DB2"/>
    <w:rsid w:val="50D189E3"/>
    <w:rsid w:val="50D98DA0"/>
    <w:rsid w:val="50F75B45"/>
    <w:rsid w:val="5114F362"/>
    <w:rsid w:val="5146A628"/>
    <w:rsid w:val="515FF5A5"/>
    <w:rsid w:val="52472EC6"/>
    <w:rsid w:val="529B9EA9"/>
    <w:rsid w:val="53D832FC"/>
    <w:rsid w:val="54243D4D"/>
    <w:rsid w:val="5424A124"/>
    <w:rsid w:val="5598D5E8"/>
    <w:rsid w:val="55D8DEEC"/>
    <w:rsid w:val="568EDA70"/>
    <w:rsid w:val="5789ED6B"/>
    <w:rsid w:val="58B1FDEE"/>
    <w:rsid w:val="5981BC75"/>
    <w:rsid w:val="5A1061FD"/>
    <w:rsid w:val="5A108FCE"/>
    <w:rsid w:val="5A1C1297"/>
    <w:rsid w:val="5A849A15"/>
    <w:rsid w:val="5AAC7242"/>
    <w:rsid w:val="5B0B2E13"/>
    <w:rsid w:val="5B0B3256"/>
    <w:rsid w:val="5B0F292A"/>
    <w:rsid w:val="5B0F7349"/>
    <w:rsid w:val="5B255F3A"/>
    <w:rsid w:val="5D09BE10"/>
    <w:rsid w:val="5D149D28"/>
    <w:rsid w:val="5DC8F8A1"/>
    <w:rsid w:val="5E29A8D0"/>
    <w:rsid w:val="5E48301D"/>
    <w:rsid w:val="5EA7EAF6"/>
    <w:rsid w:val="5EB9A92C"/>
    <w:rsid w:val="5FA0DBBC"/>
    <w:rsid w:val="5FFF036A"/>
    <w:rsid w:val="60AFF5E2"/>
    <w:rsid w:val="6122D438"/>
    <w:rsid w:val="61CF38D5"/>
    <w:rsid w:val="6291E7E8"/>
    <w:rsid w:val="62FE881C"/>
    <w:rsid w:val="635EF128"/>
    <w:rsid w:val="64AFDC80"/>
    <w:rsid w:val="651FF45E"/>
    <w:rsid w:val="6613FEEA"/>
    <w:rsid w:val="66655015"/>
    <w:rsid w:val="67C498F2"/>
    <w:rsid w:val="68852A81"/>
    <w:rsid w:val="689BEE34"/>
    <w:rsid w:val="690D2987"/>
    <w:rsid w:val="690EA95B"/>
    <w:rsid w:val="69678917"/>
    <w:rsid w:val="6AA94B68"/>
    <w:rsid w:val="6AB60E62"/>
    <w:rsid w:val="6B1755FD"/>
    <w:rsid w:val="6B5F4B04"/>
    <w:rsid w:val="6BB5C816"/>
    <w:rsid w:val="6D044313"/>
    <w:rsid w:val="6D69FA8C"/>
    <w:rsid w:val="6E35DA2C"/>
    <w:rsid w:val="6E6C2A4B"/>
    <w:rsid w:val="6EB5C05A"/>
    <w:rsid w:val="6F181C15"/>
    <w:rsid w:val="707C0A2F"/>
    <w:rsid w:val="7121244C"/>
    <w:rsid w:val="71CE3244"/>
    <w:rsid w:val="71D8DBDD"/>
    <w:rsid w:val="7211D856"/>
    <w:rsid w:val="727E4EA1"/>
    <w:rsid w:val="72EB3334"/>
    <w:rsid w:val="73115C9F"/>
    <w:rsid w:val="7328126B"/>
    <w:rsid w:val="73281E81"/>
    <w:rsid w:val="73D299FE"/>
    <w:rsid w:val="74B67FE8"/>
    <w:rsid w:val="74D4FA5A"/>
    <w:rsid w:val="7529E3CF"/>
    <w:rsid w:val="75F4239F"/>
    <w:rsid w:val="764040B3"/>
    <w:rsid w:val="76CBE4DA"/>
    <w:rsid w:val="7731C69B"/>
    <w:rsid w:val="77F8DCE5"/>
    <w:rsid w:val="78D24F5F"/>
    <w:rsid w:val="78E0A305"/>
    <w:rsid w:val="79345E14"/>
    <w:rsid w:val="7949528F"/>
    <w:rsid w:val="7A98DDBA"/>
    <w:rsid w:val="7AC7D782"/>
    <w:rsid w:val="7AC8177D"/>
    <w:rsid w:val="7B7A7CCA"/>
    <w:rsid w:val="7C17F76D"/>
    <w:rsid w:val="7D0DA2CA"/>
    <w:rsid w:val="7D1A87C1"/>
    <w:rsid w:val="7D9AB57A"/>
    <w:rsid w:val="7E20F3F7"/>
    <w:rsid w:val="7E660017"/>
    <w:rsid w:val="7ED37730"/>
    <w:rsid w:val="7F634AEB"/>
    <w:rsid w:val="7F7275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D4C353"/>
  <w15:chartTrackingRefBased/>
  <w15:docId w15:val="{841D177B-0AEB-4BEB-AD97-916F48D8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1"/>
    <w:qFormat/>
    <w:rsid w:val="008822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5B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07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D07B9"/>
  </w:style>
  <w:style w:type="character" w:customStyle="1" w:styleId="eop">
    <w:name w:val="eop"/>
    <w:basedOn w:val="DefaultParagraphFont"/>
    <w:rsid w:val="007D07B9"/>
  </w:style>
  <w:style w:type="character" w:customStyle="1" w:styleId="Heading1Char">
    <w:name w:val="Heading 1 Char"/>
    <w:basedOn w:val="DefaultParagraphFont"/>
    <w:uiPriority w:val="1"/>
    <w:rsid w:val="007D07B9"/>
    <w:rPr>
      <w:rFonts w:eastAsiaTheme="majorEastAsia" w:cstheme="majorBidi"/>
      <w:b/>
      <w:bCs/>
      <w:sz w:val="28"/>
      <w:szCs w:val="28"/>
    </w:rPr>
  </w:style>
  <w:style w:type="paragraph" w:styleId="ListParagraph">
    <w:name w:val="List Paragraph"/>
    <w:basedOn w:val="Normal"/>
    <w:uiPriority w:val="34"/>
    <w:qFormat/>
    <w:rsid w:val="007D07B9"/>
    <w:pPr>
      <w:tabs>
        <w:tab w:val="left" w:pos="360"/>
      </w:tabs>
      <w:spacing w:before="120" w:after="100" w:afterAutospacing="1" w:line="240" w:lineRule="auto"/>
      <w:ind w:left="720"/>
      <w:contextualSpacing/>
      <w:jc w:val="both"/>
    </w:pPr>
    <w:rPr>
      <w:rFonts w:ascii="Calibri" w:eastAsia="Calibri" w:hAnsi="Calibri" w:cs="Times New Roman"/>
      <w:kern w:val="0"/>
      <w14:ligatures w14:val="none"/>
    </w:rPr>
  </w:style>
  <w:style w:type="character" w:styleId="Hyperlink">
    <w:name w:val="Hyperlink"/>
    <w:uiPriority w:val="99"/>
    <w:qFormat/>
    <w:rsid w:val="00882258"/>
    <w:rPr>
      <w:rFonts w:ascii="Calibri" w:hAnsi="Calibri"/>
      <w:color w:val="1396D8"/>
      <w:u w:val="none"/>
    </w:rPr>
  </w:style>
  <w:style w:type="character" w:customStyle="1" w:styleId="Heading1Char1">
    <w:name w:val="Heading 1 Char1"/>
    <w:basedOn w:val="DefaultParagraphFont"/>
    <w:link w:val="Heading1"/>
    <w:uiPriority w:val="1"/>
    <w:rsid w:val="0088225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autoRedefine/>
    <w:uiPriority w:val="39"/>
    <w:qFormat/>
    <w:rsid w:val="00132947"/>
    <w:pPr>
      <w:spacing w:before="480" w:after="120" w:line="240" w:lineRule="auto"/>
      <w:outlineLvl w:val="9"/>
    </w:pPr>
    <w:rPr>
      <w:rFonts w:ascii="Times New Roman" w:eastAsia="Times New Roman" w:hAnsi="Times New Roman" w:cs="Times New Roman"/>
      <w:b/>
      <w:bCs/>
      <w:color w:val="0096D7"/>
      <w:kern w:val="0"/>
      <w:sz w:val="36"/>
      <w:szCs w:val="36"/>
      <w14:ligatures w14:val="none"/>
    </w:rPr>
  </w:style>
  <w:style w:type="paragraph" w:styleId="TOC1">
    <w:name w:val="toc 1"/>
    <w:basedOn w:val="Normal"/>
    <w:next w:val="Normal"/>
    <w:autoRedefine/>
    <w:uiPriority w:val="39"/>
    <w:qFormat/>
    <w:rsid w:val="00655B62"/>
    <w:pPr>
      <w:tabs>
        <w:tab w:val="left" w:pos="400"/>
        <w:tab w:val="right" w:leader="dot" w:pos="9350"/>
      </w:tabs>
      <w:spacing w:after="100" w:line="300" w:lineRule="atLeast"/>
    </w:pPr>
    <w:rPr>
      <w:rFonts w:ascii="Calibri" w:eastAsia="Calibri" w:hAnsi="Calibri" w:cs="Times New Roman"/>
      <w:color w:val="000000"/>
      <w:kern w:val="0"/>
      <w14:ligatures w14:val="none"/>
    </w:rPr>
  </w:style>
  <w:style w:type="paragraph" w:styleId="TOC2">
    <w:name w:val="toc 2"/>
    <w:basedOn w:val="TOC1"/>
    <w:next w:val="Normal"/>
    <w:autoRedefine/>
    <w:uiPriority w:val="39"/>
    <w:qFormat/>
    <w:rsid w:val="009B773D"/>
    <w:pPr>
      <w:ind w:left="288"/>
    </w:pPr>
  </w:style>
  <w:style w:type="character" w:customStyle="1" w:styleId="Heading3Char">
    <w:name w:val="Heading 3 Char"/>
    <w:basedOn w:val="DefaultParagraphFont"/>
    <w:link w:val="Heading3"/>
    <w:uiPriority w:val="9"/>
    <w:semiHidden/>
    <w:rsid w:val="00315B4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416E22"/>
    <w:rPr>
      <w:rFonts w:asciiTheme="majorHAnsi" w:eastAsiaTheme="majorEastAsia" w:hAnsiTheme="majorHAnsi" w:cstheme="majorBidi"/>
      <w:color w:val="2F5496" w:themeColor="accent1" w:themeShade="BF"/>
      <w:sz w:val="26"/>
      <w:szCs w:val="26"/>
    </w:rPr>
  </w:style>
  <w:style w:type="paragraph" w:customStyle="1" w:styleId="Default">
    <w:name w:val="Default"/>
    <w:rsid w:val="00E20CB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7AF4"/>
    <w:pPr>
      <w:spacing w:after="0" w:line="240" w:lineRule="auto"/>
    </w:pPr>
  </w:style>
  <w:style w:type="paragraph" w:styleId="Header">
    <w:name w:val="header"/>
    <w:basedOn w:val="Normal"/>
    <w:link w:val="HeaderChar"/>
    <w:uiPriority w:val="99"/>
    <w:unhideWhenUsed/>
    <w:qFormat/>
    <w:rsid w:val="00D6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F4"/>
  </w:style>
  <w:style w:type="paragraph" w:styleId="Footer">
    <w:name w:val="footer"/>
    <w:basedOn w:val="Normal"/>
    <w:link w:val="FooterChar"/>
    <w:uiPriority w:val="99"/>
    <w:unhideWhenUsed/>
    <w:qFormat/>
    <w:rsid w:val="00D6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0AF"/>
  </w:style>
  <w:style w:type="character" w:styleId="PlaceholderText">
    <w:name w:val="Placeholder Text"/>
    <w:basedOn w:val="DefaultParagraphFont"/>
    <w:uiPriority w:val="99"/>
    <w:semiHidden/>
    <w:rsid w:val="00AF7AF4"/>
    <w:rPr>
      <w:color w:val="808080"/>
    </w:rPr>
  </w:style>
  <w:style w:type="paragraph" w:styleId="CommentSubject">
    <w:name w:val="annotation subject"/>
    <w:basedOn w:val="CommentText"/>
    <w:next w:val="CommentText"/>
    <w:link w:val="CommentSubjectChar"/>
    <w:uiPriority w:val="99"/>
    <w:semiHidden/>
    <w:unhideWhenUsed/>
    <w:rsid w:val="00E3638F"/>
    <w:rPr>
      <w:b/>
      <w:bCs/>
    </w:rPr>
  </w:style>
  <w:style w:type="character" w:customStyle="1" w:styleId="CommentSubjectChar">
    <w:name w:val="Comment Subject Char"/>
    <w:basedOn w:val="CommentTextChar"/>
    <w:link w:val="CommentSubject"/>
    <w:uiPriority w:val="99"/>
    <w:semiHidden/>
    <w:rsid w:val="00E3638F"/>
    <w:rPr>
      <w:b/>
      <w:bCs/>
      <w:sz w:val="20"/>
      <w:szCs w:val="20"/>
    </w:rPr>
  </w:style>
  <w:style w:type="character" w:styleId="UnresolvedMention">
    <w:name w:val="Unresolved Mention"/>
    <w:basedOn w:val="DefaultParagraphFont"/>
    <w:uiPriority w:val="99"/>
    <w:semiHidden/>
    <w:unhideWhenUsed/>
    <w:rsid w:val="000371DD"/>
    <w:rPr>
      <w:color w:val="605E5C"/>
      <w:shd w:val="clear" w:color="auto" w:fill="E1DFDD"/>
    </w:rPr>
  </w:style>
  <w:style w:type="character" w:styleId="Mention">
    <w:name w:val="Mention"/>
    <w:basedOn w:val="DefaultParagraphFont"/>
    <w:uiPriority w:val="99"/>
    <w:unhideWhenUsed/>
    <w:rsid w:val="00B11506"/>
    <w:rPr>
      <w:color w:val="2B579A"/>
      <w:shd w:val="clear" w:color="auto" w:fill="E1DFDD"/>
    </w:rPr>
  </w:style>
  <w:style w:type="paragraph" w:customStyle="1" w:styleId="Left05Indent">
    <w:name w:val="Left 0.5&quot; Indent"/>
    <w:basedOn w:val="BodyTextFirstIndent"/>
    <w:autoRedefine/>
    <w:semiHidden/>
    <w:qFormat/>
    <w:locked/>
    <w:rsid w:val="00F6423D"/>
    <w:pPr>
      <w:spacing w:after="200" w:line="300" w:lineRule="atLeast"/>
      <w:ind w:firstLine="0"/>
    </w:pPr>
    <w:rPr>
      <w:rFonts w:cs="Arial"/>
      <w:kern w:val="0"/>
      <w14:ligatures w14:val="none"/>
    </w:rPr>
  </w:style>
  <w:style w:type="paragraph" w:styleId="BodyText">
    <w:name w:val="Body Text"/>
    <w:basedOn w:val="Normal"/>
    <w:link w:val="BodyTextChar"/>
    <w:uiPriority w:val="99"/>
    <w:semiHidden/>
    <w:unhideWhenUsed/>
    <w:rsid w:val="007F6E4B"/>
    <w:pPr>
      <w:spacing w:after="120"/>
    </w:pPr>
  </w:style>
  <w:style w:type="character" w:customStyle="1" w:styleId="BodyTextChar">
    <w:name w:val="Body Text Char"/>
    <w:basedOn w:val="DefaultParagraphFont"/>
    <w:link w:val="BodyText"/>
    <w:uiPriority w:val="99"/>
    <w:semiHidden/>
    <w:rsid w:val="007F6E4B"/>
  </w:style>
  <w:style w:type="paragraph" w:styleId="BodyTextFirstIndent">
    <w:name w:val="Body Text First Indent"/>
    <w:basedOn w:val="BodyText"/>
    <w:link w:val="BodyTextFirstIndentChar"/>
    <w:uiPriority w:val="99"/>
    <w:semiHidden/>
    <w:unhideWhenUsed/>
    <w:rsid w:val="007F6E4B"/>
    <w:pPr>
      <w:spacing w:after="160"/>
      <w:ind w:firstLine="360"/>
    </w:pPr>
  </w:style>
  <w:style w:type="character" w:customStyle="1" w:styleId="BodyTextFirstIndentChar">
    <w:name w:val="Body Text First Indent Char"/>
    <w:basedOn w:val="BodyTextChar"/>
    <w:link w:val="BodyTextFirstIndent"/>
    <w:uiPriority w:val="99"/>
    <w:semiHidden/>
    <w:rsid w:val="007F6E4B"/>
  </w:style>
  <w:style w:type="paragraph" w:styleId="Caption">
    <w:name w:val="caption"/>
    <w:basedOn w:val="Normal"/>
    <w:next w:val="Normal"/>
    <w:autoRedefine/>
    <w:uiPriority w:val="3"/>
    <w:qFormat/>
    <w:rsid w:val="003F053A"/>
    <w:pPr>
      <w:keepNext/>
      <w:spacing w:before="140" w:after="80" w:line="240" w:lineRule="auto"/>
    </w:pPr>
    <w:rPr>
      <w:b/>
      <w:bCs/>
      <w:color w:val="000000" w:themeColor="text1"/>
      <w:kern w:val="0"/>
      <w:szCs w:val="18"/>
      <w14:ligatures w14:val="none"/>
    </w:rPr>
  </w:style>
  <w:style w:type="table" w:styleId="TableGrid">
    <w:name w:val="Table Grid"/>
    <w:basedOn w:val="TableNormal"/>
    <w:uiPriority w:val="39"/>
    <w:rsid w:val="00C92103"/>
    <w:pPr>
      <w:spacing w:after="0" w:line="240" w:lineRule="auto"/>
      <w:jc w:val="right"/>
    </w:pPr>
    <w:rPr>
      <w:kern w:val="0"/>
      <w:sz w:val="18"/>
      <w14:ligatures w14:val="none"/>
    </w:rPr>
    <w:tblPr>
      <w:tblStyleRowBandSize w:val="1"/>
      <w:tblStyleColBandSize w:val="1"/>
    </w:tblPr>
    <w:tblStylePr w:type="firstRow">
      <w:pPr>
        <w:jc w:val="right"/>
      </w:pPr>
      <w:rPr>
        <w:b/>
      </w:rPr>
      <w:tblPr/>
      <w:tcPr>
        <w:tcBorders>
          <w:bottom w:val="single" w:sz="18" w:space="0" w:color="4472C4" w:themeColor="accent1"/>
        </w:tcBorders>
        <w:vAlign w:val="bottom"/>
      </w:tcPr>
    </w:tblStylePr>
    <w:tblStylePr w:type="lastRow">
      <w:rPr>
        <w:b w:val="0"/>
      </w:rPr>
      <w:tblPr/>
      <w:tcPr>
        <w:tcBorders>
          <w:top w:val="single" w:sz="12" w:space="0" w:color="4472C4"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3F053A"/>
    <w:pPr>
      <w:spacing w:line="240" w:lineRule="atLeast"/>
      <w:contextualSpacing/>
    </w:pPr>
    <w:rPr>
      <w:kern w:val="0"/>
      <w:sz w:val="18"/>
      <w:szCs w:val="22"/>
      <w14:ligatures w14:val="none"/>
    </w:rPr>
  </w:style>
  <w:style w:type="paragraph" w:styleId="FootnoteText">
    <w:name w:val="footnote text"/>
    <w:basedOn w:val="Normal"/>
    <w:link w:val="FootnoteTextChar"/>
    <w:uiPriority w:val="99"/>
    <w:semiHidden/>
    <w:unhideWhenUsed/>
    <w:rsid w:val="003F0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53A"/>
    <w:rPr>
      <w:sz w:val="20"/>
      <w:szCs w:val="20"/>
    </w:rPr>
  </w:style>
  <w:style w:type="paragraph" w:customStyle="1" w:styleId="TableParagraph">
    <w:name w:val="Table Paragraph"/>
    <w:basedOn w:val="Normal"/>
    <w:uiPriority w:val="1"/>
    <w:qFormat/>
    <w:rsid w:val="005A22D5"/>
    <w:pPr>
      <w:widowControl w:val="0"/>
      <w:autoSpaceDE w:val="0"/>
      <w:autoSpaceDN w:val="0"/>
      <w:spacing w:before="1" w:after="0" w:line="240" w:lineRule="auto"/>
    </w:pPr>
    <w:rPr>
      <w:rFonts w:ascii="Calibri" w:eastAsia="Calibri" w:hAnsi="Calibri" w:cs="Calibri"/>
      <w:kern w:val="0"/>
      <w14:ligatures w14:val="none"/>
    </w:rPr>
  </w:style>
  <w:style w:type="character" w:customStyle="1" w:styleId="cf01">
    <w:name w:val="cf01"/>
    <w:basedOn w:val="DefaultParagraphFont"/>
    <w:rsid w:val="009F751B"/>
    <w:rPr>
      <w:rFonts w:ascii="Segoe UI" w:hAnsi="Segoe UI" w:cs="Segoe UI" w:hint="default"/>
      <w:sz w:val="18"/>
      <w:szCs w:val="18"/>
    </w:rPr>
  </w:style>
  <w:style w:type="paragraph" w:styleId="TOC3">
    <w:name w:val="toc 3"/>
    <w:basedOn w:val="Normal"/>
    <w:next w:val="Normal"/>
    <w:autoRedefine/>
    <w:uiPriority w:val="39"/>
    <w:unhideWhenUsed/>
    <w:rsid w:val="009B773D"/>
    <w:pPr>
      <w:spacing w:after="100"/>
      <w:ind w:left="440"/>
    </w:pPr>
  </w:style>
  <w:style w:type="paragraph" w:customStyle="1" w:styleId="Boxtext">
    <w:name w:val="Box text"/>
    <w:basedOn w:val="BodyText"/>
    <w:uiPriority w:val="2"/>
    <w:qFormat/>
    <w:rsid w:val="009061EA"/>
    <w:pPr>
      <w:pBdr>
        <w:top w:val="single" w:sz="4" w:space="2" w:color="auto"/>
        <w:left w:val="single" w:sz="4" w:space="4" w:color="auto"/>
        <w:bottom w:val="single" w:sz="4" w:space="4" w:color="auto"/>
        <w:right w:val="single" w:sz="4" w:space="4" w:color="auto"/>
      </w:pBdr>
      <w:spacing w:before="120" w:after="80" w:line="300" w:lineRule="atLeast"/>
    </w:pPr>
    <w:rPr>
      <w:rFonts w:ascii="Calibri" w:eastAsia="Times New Roman" w:hAnsi="Calibri" w:cs="Times New Roman"/>
      <w:kern w:val="0"/>
      <w14:ligatures w14:val="none"/>
    </w:rPr>
  </w:style>
  <w:style w:type="paragraph" w:styleId="NormalWeb">
    <w:name w:val="Normal (Web)"/>
    <w:basedOn w:val="Normal"/>
    <w:uiPriority w:val="99"/>
    <w:semiHidden/>
    <w:unhideWhenUsed/>
    <w:rsid w:val="00314F90"/>
    <w:pPr>
      <w:spacing w:after="292" w:line="292" w:lineRule="atLeast"/>
    </w:pPr>
    <w:rPr>
      <w:rFonts w:ascii="Times New Roman" w:eastAsia="Times New Roman" w:hAnsi="Times New Roman" w:cs="Times New Roman"/>
      <w:kern w:val="0"/>
      <w:sz w:val="23"/>
      <w:szCs w:val="23"/>
      <w14:ligatures w14:val="none"/>
    </w:rPr>
  </w:style>
  <w:style w:type="character" w:styleId="FollowedHyperlink">
    <w:name w:val="FollowedHyperlink"/>
    <w:basedOn w:val="DefaultParagraphFont"/>
    <w:uiPriority w:val="99"/>
    <w:semiHidden/>
    <w:unhideWhenUsed/>
    <w:rsid w:val="005203CA"/>
    <w:rPr>
      <w:color w:val="954F72" w:themeColor="followedHyperlink"/>
      <w:u w:val="single"/>
    </w:rPr>
  </w:style>
  <w:style w:type="character" w:styleId="FootnoteReference">
    <w:name w:val="footnote reference"/>
    <w:basedOn w:val="DefaultParagraphFont"/>
    <w:uiPriority w:val="99"/>
    <w:semiHidden/>
    <w:unhideWhenUsed/>
    <w:rsid w:val="00257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3.png"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appropriations.senate.gov/imo/media/doc/Division%20D%20-%20Energy%20&amp;%20Water%20Statement%20FY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SharedWithUsers xmlns="f600328b-9bc1-49f4-ac38-a13ae907461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3BD02-2678-4E58-9776-D56C89FFE4AB}">
  <ds:schemaRefs>
    <ds:schemaRef ds:uri="http://schemas.openxmlformats.org/officeDocument/2006/bibliography"/>
  </ds:schemaRefs>
</ds:datastoreItem>
</file>

<file path=customXml/itemProps2.xml><?xml version="1.0" encoding="utf-8"?>
<ds:datastoreItem xmlns:ds="http://schemas.openxmlformats.org/officeDocument/2006/customXml" ds:itemID="{2574A4DF-5412-48C0-80CA-15AC6E9D002A}">
  <ds:schemaRefs>
    <ds:schemaRef ds:uri="http://schemas.microsoft.com/office/infopath/2007/PartnerControls"/>
    <ds:schemaRef ds:uri="http://schemas.microsoft.com/office/2006/documentManagement/types"/>
    <ds:schemaRef ds:uri="0ecc70da-eab6-411d-8058-deb5dffcc27c"/>
    <ds:schemaRef ds:uri="http://www.w3.org/XML/1998/namespace"/>
    <ds:schemaRef ds:uri="d588c4e7-d2ae-4a4b-9907-42eca676916f"/>
    <ds:schemaRef ds:uri="http://purl.org/dc/elements/1.1/"/>
    <ds:schemaRef ds:uri="http://schemas.openxmlformats.org/package/2006/metadata/core-properties"/>
    <ds:schemaRef ds:uri="http://purl.org/dc/terms/"/>
    <ds:schemaRef ds:uri="f600328b-9bc1-49f4-ac38-a13ae907461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8E3546-6ECC-4B05-B706-8EFAEB35E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B3E31-1C3B-4AA6-985B-9190C1237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for Residential Utility Disconnections Survey</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Residential Utility Disconnections Survey</dc:title>
  <dc:creator>Harnish, Marc</dc:creator>
  <cp:lastModifiedBy>Morales, Gerson</cp:lastModifiedBy>
  <cp:revision>8</cp:revision>
  <dcterms:created xsi:type="dcterms:W3CDTF">2024-09-16T13:57:00Z</dcterms:created>
  <dcterms:modified xsi:type="dcterms:W3CDTF">2024-10-15T11:59:00Z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0x0101004DC269D66D48DA48A99DFDA691E9EBB5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