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7AA0" w:rsidP="00CF7AA0" w14:paraId="0C470301" w14:textId="77777777">
      <w:pPr>
        <w:rPr>
          <w:noProof/>
        </w:rPr>
      </w:pPr>
    </w:p>
    <w:p w:rsidR="00CF7AA0" w:rsidP="00CF7AA0" w14:paraId="1B4AFA0F" w14:textId="77777777">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softHyphen/>
      </w:r>
      <w:r>
        <w:rPr>
          <w:noProof/>
        </w:rPr>
        <w:softHyphen/>
      </w:r>
      <w:r>
        <w:rPr>
          <w:noProof/>
        </w:rPr>
        <w:softHyphen/>
      </w:r>
    </w:p>
    <w:p w:rsidR="00CF7AA0" w:rsidP="00CF7AA0" w14:paraId="2667C9DF" w14:textId="77777777"/>
    <w:p w:rsidR="00CF7AA0" w:rsidP="00CF7AA0" w14:paraId="76B8413B" w14:textId="77777777">
      <w:r>
        <w:tab/>
      </w:r>
    </w:p>
    <w:p w:rsidR="00CF7AA0" w:rsidP="00CF7AA0" w14:paraId="15AB70BE" w14:textId="77777777"/>
    <w:p w:rsidR="00CF7AA0" w:rsidP="00CF7AA0" w14:paraId="6D10E9AF" w14:textId="77777777"/>
    <w:p w:rsidR="00CF7AA0" w:rsidP="00CF7AA0" w14:paraId="3CE1D569" w14:textId="77777777"/>
    <w:p w:rsidR="00CF7AA0" w:rsidP="00CF7AA0" w14:paraId="3EC4FA48" w14:textId="77777777">
      <w:r>
        <w:rPr>
          <w:noProof/>
        </w:rPr>
        <mc:AlternateContent>
          <mc:Choice Requires="wps">
            <w:drawing>
              <wp:anchor distT="0" distB="0" distL="114300" distR="114300" simplePos="0" relativeHeight="251667456"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7AA0" w:rsidRPr="00E054DF" w:rsidP="00CF7AA0" w14:textId="77777777">
                            <w:pPr>
                              <w:pStyle w:val="Boxtext"/>
                              <w:rPr>
                                <w:rFonts w:ascii="Times New Roman" w:hAnsi="Times New Roman"/>
                                <w:sz w:val="36"/>
                                <w:szCs w:val="36"/>
                              </w:rPr>
                            </w:pPr>
                            <w:bookmarkStart w:id="0" w:name="_Toc466046933"/>
                            <w:r w:rsidRPr="00956C9E">
                              <w:rPr>
                                <w:rStyle w:val="Heading1Char"/>
                                <w:rFonts w:asciiTheme="minorHAnsi" w:hAnsiTheme="minorHAnsi" w:cstheme="minorHAnsi"/>
                                <w:color w:val="auto"/>
                                <w:sz w:val="28"/>
                              </w:rPr>
                              <w:t>Part B: Collections of Information Employing Statistical Methods</w:t>
                            </w:r>
                            <w:bookmarkEnd w:id="0"/>
                            <w:r>
                              <w:br/>
                            </w:r>
                            <w:r w:rsidRPr="00617E1F">
                              <w:rPr>
                                <w:rFonts w:asciiTheme="minorHAnsi" w:hAnsiTheme="minorHAnsi" w:cstheme="minorHAnsi"/>
                                <w:sz w:val="36"/>
                                <w:szCs w:val="36"/>
                              </w:rPr>
                              <w:t>OMB No. 1905-0XXX</w:t>
                            </w:r>
                          </w:p>
                          <w:p w:rsidR="00CF7AA0" w:rsidRPr="0059212D" w:rsidP="00CF7AA0" w14:textId="26216BB5">
                            <w:pPr>
                              <w:rPr>
                                <w:i/>
                                <w:sz w:val="28"/>
                                <w:szCs w:val="28"/>
                              </w:rPr>
                            </w:pPr>
                            <w:r w:rsidRPr="0059212D">
                              <w:rPr>
                                <w:i/>
                                <w:sz w:val="28"/>
                                <w:szCs w:val="28"/>
                              </w:rPr>
                              <w:t>Form EIA-</w:t>
                            </w:r>
                            <w:r w:rsidR="00285B10">
                              <w:rPr>
                                <w:i/>
                                <w:sz w:val="28"/>
                                <w:szCs w:val="28"/>
                              </w:rPr>
                              <w:t>112</w:t>
                            </w:r>
                            <w:r w:rsidRPr="0059212D">
                              <w:rPr>
                                <w:i/>
                                <w:sz w:val="28"/>
                                <w:szCs w:val="28"/>
                              </w:rPr>
                              <w:t xml:space="preserve">, </w:t>
                            </w:r>
                            <w:bookmarkStart w:id="1" w:name="_Hlk173417589"/>
                            <w:r w:rsidR="00285B10">
                              <w:rPr>
                                <w:i/>
                                <w:sz w:val="28"/>
                                <w:szCs w:val="28"/>
                              </w:rPr>
                              <w:t>Residential Utility Disconnections Survey</w:t>
                            </w:r>
                            <w:bookmarkEnd w:id="1"/>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CF7AA0" w:rsidRPr="00E054DF" w:rsidP="00CF7AA0" w14:paraId="1F572297" w14:textId="77777777">
                      <w:pPr>
                        <w:pStyle w:val="Boxtext"/>
                        <w:rPr>
                          <w:rFonts w:ascii="Times New Roman" w:hAnsi="Times New Roman"/>
                          <w:sz w:val="36"/>
                          <w:szCs w:val="36"/>
                        </w:rPr>
                      </w:pPr>
                      <w:bookmarkStart w:id="0" w:name="_Toc466046933"/>
                      <w:r w:rsidRPr="00956C9E">
                        <w:rPr>
                          <w:rStyle w:val="Heading1Char"/>
                          <w:rFonts w:asciiTheme="minorHAnsi" w:hAnsiTheme="minorHAnsi" w:cstheme="minorHAnsi"/>
                          <w:color w:val="auto"/>
                          <w:sz w:val="28"/>
                        </w:rPr>
                        <w:t>Part B: Collections of Information Employing Statistical Methods</w:t>
                      </w:r>
                      <w:bookmarkEnd w:id="0"/>
                      <w:r>
                        <w:br/>
                      </w:r>
                      <w:r w:rsidRPr="00617E1F">
                        <w:rPr>
                          <w:rFonts w:asciiTheme="minorHAnsi" w:hAnsiTheme="minorHAnsi" w:cstheme="minorHAnsi"/>
                          <w:sz w:val="36"/>
                          <w:szCs w:val="36"/>
                        </w:rPr>
                        <w:t>OMB No. 1905-0XXX</w:t>
                      </w:r>
                    </w:p>
                    <w:p w:rsidR="00CF7AA0" w:rsidRPr="0059212D" w:rsidP="00CF7AA0" w14:paraId="6CD6C542" w14:textId="26216BB5">
                      <w:pPr>
                        <w:rPr>
                          <w:i/>
                          <w:sz w:val="28"/>
                          <w:szCs w:val="28"/>
                        </w:rPr>
                      </w:pPr>
                      <w:r w:rsidRPr="0059212D">
                        <w:rPr>
                          <w:i/>
                          <w:sz w:val="28"/>
                          <w:szCs w:val="28"/>
                        </w:rPr>
                        <w:t>Form EIA-</w:t>
                      </w:r>
                      <w:r w:rsidR="00285B10">
                        <w:rPr>
                          <w:i/>
                          <w:sz w:val="28"/>
                          <w:szCs w:val="28"/>
                        </w:rPr>
                        <w:t>112</w:t>
                      </w:r>
                      <w:r w:rsidRPr="0059212D">
                        <w:rPr>
                          <w:i/>
                          <w:sz w:val="28"/>
                          <w:szCs w:val="28"/>
                        </w:rPr>
                        <w:t xml:space="preserve">, </w:t>
                      </w:r>
                      <w:bookmarkStart w:id="1" w:name="_Hlk173417589"/>
                      <w:r w:rsidR="00285B10">
                        <w:rPr>
                          <w:i/>
                          <w:sz w:val="28"/>
                          <w:szCs w:val="28"/>
                        </w:rPr>
                        <w:t>Residential Utility Disconnections Survey</w:t>
                      </w:r>
                      <w:bookmarkEnd w:id="1"/>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960755</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7AA0" w:rsidRPr="009F61F7" w:rsidP="00CF7AA0" w14:textId="1FCD5F54">
                            <w:pPr>
                              <w:spacing w:line="276" w:lineRule="auto"/>
                              <w:rPr>
                                <w:b/>
                                <w:sz w:val="60"/>
                                <w:szCs w:val="60"/>
                              </w:rPr>
                            </w:pPr>
                            <w:r>
                              <w:rPr>
                                <w:rFonts w:ascii="Times New Roman" w:hAnsi="Times New Roman"/>
                                <w:b/>
                                <w:color w:val="139CD8"/>
                                <w:sz w:val="60"/>
                                <w:szCs w:val="60"/>
                              </w:rPr>
                              <w:t xml:space="preserve">Supporting Statement for </w:t>
                            </w:r>
                            <w:r w:rsidR="00477172">
                              <w:rPr>
                                <w:rFonts w:ascii="Times New Roman" w:hAnsi="Times New Roman"/>
                                <w:b/>
                                <w:color w:val="139CD8"/>
                                <w:sz w:val="60"/>
                                <w:szCs w:val="60"/>
                              </w:rPr>
                              <w:t>Residential Utility Disconnections Survey</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6" type="#_x0000_t202" style="width:393pt;height:138pt;margin-top:75.65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CF7AA0" w:rsidRPr="009F61F7" w:rsidP="00CF7AA0" w14:paraId="53ADC127" w14:textId="1FCD5F54">
                      <w:pPr>
                        <w:spacing w:line="276" w:lineRule="auto"/>
                        <w:rPr>
                          <w:b/>
                          <w:sz w:val="60"/>
                          <w:szCs w:val="60"/>
                        </w:rPr>
                      </w:pPr>
                      <w:r>
                        <w:rPr>
                          <w:rFonts w:ascii="Times New Roman" w:hAnsi="Times New Roman"/>
                          <w:b/>
                          <w:color w:val="139CD8"/>
                          <w:sz w:val="60"/>
                          <w:szCs w:val="60"/>
                        </w:rPr>
                        <w:t xml:space="preserve">Supporting Statement for </w:t>
                      </w:r>
                      <w:r w:rsidR="00477172">
                        <w:rPr>
                          <w:rFonts w:ascii="Times New Roman" w:hAnsi="Times New Roman"/>
                          <w:b/>
                          <w:color w:val="139CD8"/>
                          <w:sz w:val="60"/>
                          <w:szCs w:val="60"/>
                        </w:rPr>
                        <w:t>Residential Utility Disconnections Survey</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CF7AA0" w:rsidRPr="00E054DF" w:rsidP="00CF7AA0"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CF7AA0" w:rsidRPr="00E054DF" w:rsidP="00CF7AA0"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CF7AA0" w:rsidRPr="00E054DF" w:rsidP="00CF7AA0"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CF7AA0" w:rsidRPr="00E054DF" w:rsidP="00CF7AA0" w14:paraId="351E4402"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CF7AA0" w:rsidRPr="00E054DF" w:rsidP="00CF7AA0" w14:paraId="6523BF11"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CF7AA0" w:rsidRPr="00E054DF" w:rsidP="00CF7AA0" w14:paraId="2765CDD0"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CF7AA0" w:rsidP="00CF7AA0" w14:textId="77777777">
                            <w:r w:rsidRPr="00583CFD">
                              <w:rPr>
                                <w:noProof/>
                              </w:rPr>
                              <w:drawing>
                                <wp:inline distT="0" distB="0" distL="0" distR="0">
                                  <wp:extent cx="2162175" cy="476250"/>
                                  <wp:effectExtent l="0" t="0" r="0" b="0"/>
                                  <wp:docPr id="941646413"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46413" name="Picture 61" descr="C:\Users\ace\AppData\Local\Microsoft\Windows\INetCache\Content.Word\eialogo_fullcolor.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CF7AA0" w:rsidP="00CF7AA0" w14:paraId="09BDCE05" w14:textId="77777777">
                      <w:drawing>
                        <wp:inline distT="0" distB="0" distL="0" distR="0">
                          <wp:extent cx="2162175" cy="476250"/>
                          <wp:effectExtent l="0" t="0" r="0" b="0"/>
                          <wp:docPr id="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descr="C:\Users\ace\AppData\Local\Microsoft\Windows\INetCache\Content.Word\eialogo_fullcolor.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7AA0" w:rsidRPr="00E054DF" w:rsidP="00CF7AA0" w14:textId="72B615DE">
                            <w:pPr>
                              <w:rPr>
                                <w:rFonts w:ascii="Franklin Gothic Medium" w:hAnsi="Franklin Gothic Medium"/>
                                <w:color w:val="7F7F7F"/>
                                <w:sz w:val="36"/>
                              </w:rPr>
                            </w:pPr>
                            <w:r>
                              <w:rPr>
                                <w:rFonts w:ascii="Franklin Gothic Medium" w:hAnsi="Franklin Gothic Medium"/>
                                <w:color w:val="7F7F7F"/>
                                <w:sz w:val="36"/>
                              </w:rPr>
                              <w:t>October</w:t>
                            </w:r>
                            <w:r w:rsidRPr="00E054DF" w:rsidR="00BC4EF6">
                              <w:rPr>
                                <w:rFonts w:ascii="Franklin Gothic Medium" w:hAnsi="Franklin Gothic Medium"/>
                                <w:color w:val="7F7F7F"/>
                                <w:sz w:val="36"/>
                              </w:rPr>
                              <w:t xml:space="preserve"> </w:t>
                            </w:r>
                            <w:r w:rsidRPr="00E054DF">
                              <w:rPr>
                                <w:rFonts w:ascii="Franklin Gothic Medium" w:hAnsi="Franklin Gothic Medium"/>
                                <w:color w:val="7F7F7F"/>
                                <w:sz w:val="36"/>
                              </w:rPr>
                              <w:t>202</w:t>
                            </w:r>
                            <w:r w:rsidR="00BC4EF6">
                              <w:rPr>
                                <w:rFonts w:ascii="Franklin Gothic Medium" w:hAnsi="Franklin Gothic Medium"/>
                                <w:color w:val="7F7F7F"/>
                                <w:sz w:val="36"/>
                              </w:rPr>
                              <w:t>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CF7AA0" w:rsidRPr="00E054DF" w:rsidP="00CF7AA0" w14:paraId="1C5AF386" w14:textId="72B615DE">
                      <w:pPr>
                        <w:rPr>
                          <w:rFonts w:ascii="Franklin Gothic Medium" w:hAnsi="Franklin Gothic Medium"/>
                          <w:color w:val="7F7F7F"/>
                          <w:sz w:val="36"/>
                        </w:rPr>
                      </w:pPr>
                      <w:r>
                        <w:rPr>
                          <w:rFonts w:ascii="Franklin Gothic Medium" w:hAnsi="Franklin Gothic Medium"/>
                          <w:color w:val="7F7F7F"/>
                          <w:sz w:val="36"/>
                        </w:rPr>
                        <w:t>October</w:t>
                      </w:r>
                      <w:r w:rsidRPr="00E054DF" w:rsidR="00BC4EF6">
                        <w:rPr>
                          <w:rFonts w:ascii="Franklin Gothic Medium" w:hAnsi="Franklin Gothic Medium"/>
                          <w:color w:val="7F7F7F"/>
                          <w:sz w:val="36"/>
                        </w:rPr>
                        <w:t xml:space="preserve"> </w:t>
                      </w:r>
                      <w:r w:rsidRPr="00E054DF">
                        <w:rPr>
                          <w:rFonts w:ascii="Franklin Gothic Medium" w:hAnsi="Franklin Gothic Medium"/>
                          <w:color w:val="7F7F7F"/>
                          <w:sz w:val="36"/>
                        </w:rPr>
                        <w:t>202</w:t>
                      </w:r>
                      <w:r w:rsidR="00BC4EF6">
                        <w:rPr>
                          <w:rFonts w:ascii="Franklin Gothic Medium" w:hAnsi="Franklin Gothic Medium"/>
                          <w:color w:val="7F7F7F"/>
                          <w:sz w:val="36"/>
                        </w:rPr>
                        <w:t>4</w:t>
                      </w:r>
                    </w:p>
                  </w:txbxContent>
                </v:textbox>
                <w10:wrap type="square"/>
              </v:shape>
            </w:pict>
          </mc:Fallback>
        </mc:AlternateContent>
      </w:r>
      <w:r>
        <w:br w:type="page"/>
      </w:r>
    </w:p>
    <w:p w:rsidR="00CF7AA0" w:rsidP="00CF7AA0" w14:paraId="25C26D88" w14:textId="77777777">
      <w:pPr>
        <w:sectPr w:rsidSect="00CF7AA0">
          <w:footerReference w:type="default" r:id="rId9"/>
          <w:footnotePr>
            <w:pos w:val="beneathText"/>
          </w:footnotePr>
          <w:pgSz w:w="12240" w:h="15840"/>
          <w:pgMar w:top="720" w:right="1440" w:bottom="720" w:left="1440" w:header="720" w:footer="720" w:gutter="0"/>
          <w:pgNumType w:fmt="lowerRoman" w:start="0"/>
          <w:cols w:space="720"/>
          <w:titlePg/>
          <w:docGrid w:linePitch="360"/>
        </w:sectPr>
      </w:pPr>
    </w:p>
    <w:p w:rsidR="00CF7AA0" w:rsidP="00CF7AA0" w14:paraId="2EF0B7EC" w14:textId="77777777"/>
    <w:p w:rsidR="00CF7AA0" w:rsidP="00CF7AA0" w14:paraId="63CCB771" w14:textId="77777777"/>
    <w:p w:rsidR="00CF7AA0" w:rsidP="00CF7AA0" w14:paraId="3FA65AAB" w14:textId="77777777"/>
    <w:p w:rsidR="00CF7AA0" w:rsidP="00CF7AA0" w14:paraId="6BF12C2F" w14:textId="77777777"/>
    <w:p w:rsidR="00CF7AA0" w:rsidP="00CF7AA0" w14:paraId="1E38EDA7" w14:textId="77777777"/>
    <w:p w:rsidR="00CF7AA0" w:rsidP="00CF7AA0" w14:paraId="0901ECC6" w14:textId="77777777"/>
    <w:p w:rsidR="00CF7AA0" w:rsidP="00CF7AA0" w14:paraId="29E517E3" w14:textId="77777777"/>
    <w:p w:rsidR="00CF7AA0" w:rsidP="00CF7AA0" w14:paraId="54D21C88" w14:textId="77777777"/>
    <w:p w:rsidR="00CF7AA0" w:rsidP="00CF7AA0" w14:paraId="1B9D68AC" w14:textId="77777777"/>
    <w:p w:rsidR="00CF7AA0" w:rsidP="00CF7AA0" w14:paraId="00C54B1B" w14:textId="77777777"/>
    <w:p w:rsidR="00CF7AA0" w:rsidP="00CF7AA0" w14:paraId="2BDEFC43" w14:textId="77777777"/>
    <w:p w:rsidR="00CF7AA0" w:rsidP="00CF7AA0" w14:paraId="24806BB0" w14:textId="77777777"/>
    <w:p w:rsidR="00CF7AA0" w:rsidP="00CF7AA0" w14:paraId="6DAFF9A4" w14:textId="77777777"/>
    <w:p w:rsidR="00CF7AA0" w:rsidP="00CF7AA0" w14:paraId="130901B4" w14:textId="77777777"/>
    <w:p w:rsidR="00CF7AA0" w:rsidP="00CF7AA0" w14:paraId="5B930EA9" w14:textId="77777777"/>
    <w:p w:rsidR="00CF7AA0" w:rsidP="00CF7AA0" w14:paraId="33A6530B" w14:textId="77777777"/>
    <w:p w:rsidR="00CF7AA0" w:rsidP="00CF7AA0" w14:paraId="0ECCAB2F" w14:textId="77777777"/>
    <w:p w:rsidR="00CF7AA0" w:rsidP="00CF7AA0" w14:paraId="5CCFE9E9" w14:textId="77777777"/>
    <w:p w:rsidR="00CF7AA0" w:rsidP="00CF7AA0" w14:paraId="2F4D868F" w14:textId="77777777"/>
    <w:p w:rsidR="00CF7AA0" w:rsidP="00CF7AA0" w14:paraId="4C2FD98A" w14:textId="77777777"/>
    <w:p w:rsidR="00CF7AA0" w:rsidP="00CF7AA0" w14:paraId="62B968CF" w14:textId="77777777"/>
    <w:p w:rsidR="00CF7AA0" w:rsidP="00CF7AA0" w14:paraId="7DF6B9B1" w14:textId="77777777">
      <w:pPr>
        <w:pStyle w:val="Boxtext"/>
        <w:sectPr w:rsidSect="001A1E3E">
          <w:footerReference w:type="first" r:id="rId10"/>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br/>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CF7AA0" w:rsidP="00CF7AA0" w14:paraId="7D3EBC19" w14:textId="77777777">
      <w:pPr>
        <w:sectPr w:rsidSect="001A1E3E">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617E1F" w:rsidP="00617E1F" w14:paraId="7F7AD6E9" w14:textId="4C1DB253">
      <w:pPr>
        <w:pStyle w:val="Heading1"/>
        <w:rPr>
          <w:rFonts w:ascii="Segoe UI" w:hAnsi="Segoe UI" w:cs="Segoe UI"/>
          <w:sz w:val="18"/>
          <w:szCs w:val="18"/>
        </w:rPr>
      </w:pPr>
      <w:bookmarkStart w:id="2" w:name="_Toc165018107"/>
      <w:r w:rsidRPr="7809BE74">
        <w:rPr>
          <w:rStyle w:val="normaltextrun"/>
          <w:rFonts w:ascii="Calibri" w:hAnsi="Calibri" w:cs="Calibri"/>
          <w:b w:val="0"/>
          <w:bCs w:val="0"/>
          <w:sz w:val="28"/>
        </w:rPr>
        <w:t>B.</w:t>
      </w:r>
      <w:r>
        <w:rPr>
          <w:rStyle w:val="normaltextrun"/>
          <w:rFonts w:ascii="Calibri" w:hAnsi="Calibri" w:cs="Calibri"/>
          <w:b w:val="0"/>
          <w:bCs w:val="0"/>
          <w:sz w:val="28"/>
        </w:rPr>
        <w:t>1</w:t>
      </w:r>
      <w:r w:rsidRPr="7809BE74">
        <w:rPr>
          <w:rStyle w:val="normaltextrun"/>
          <w:rFonts w:ascii="Calibri" w:hAnsi="Calibri" w:cs="Calibri"/>
          <w:b w:val="0"/>
          <w:bCs w:val="0"/>
          <w:sz w:val="28"/>
        </w:rPr>
        <w:t xml:space="preserve">. </w:t>
      </w:r>
      <w:r w:rsidRPr="00617E1F">
        <w:rPr>
          <w:rStyle w:val="normaltextrun"/>
          <w:rFonts w:ascii="Calibri" w:hAnsi="Calibri" w:cs="Calibri"/>
          <w:b w:val="0"/>
          <w:bCs w:val="0"/>
          <w:sz w:val="28"/>
        </w:rPr>
        <w:t xml:space="preserve">Respondent Universe </w:t>
      </w:r>
    </w:p>
    <w:bookmarkEnd w:id="2"/>
    <w:p w:rsidR="00F949B9" w:rsidP="0E95795D" w14:paraId="2589AD0E" w14:textId="5CC32BD9">
      <w:pPr>
        <w:rPr>
          <w:rStyle w:val="normaltextrun"/>
          <w:color w:val="333333"/>
          <w:shd w:val="clear" w:color="auto" w:fill="FFFFFF"/>
        </w:rPr>
      </w:pPr>
      <w:r w:rsidRPr="0E95795D">
        <w:rPr>
          <w:rStyle w:val="normaltextrun"/>
          <w:color w:val="333333"/>
        </w:rPr>
        <w:t xml:space="preserve">The </w:t>
      </w:r>
      <w:r w:rsidR="00E65C87">
        <w:rPr>
          <w:rStyle w:val="normaltextrun"/>
          <w:color w:val="333333"/>
        </w:rPr>
        <w:t xml:space="preserve">target </w:t>
      </w:r>
      <w:r w:rsidRPr="0E95795D" w:rsidR="00045B67">
        <w:rPr>
          <w:rStyle w:val="normaltextrun"/>
          <w:color w:val="333333"/>
        </w:rPr>
        <w:t>population</w:t>
      </w:r>
      <w:r w:rsidRPr="0E95795D">
        <w:rPr>
          <w:rStyle w:val="normaltextrun"/>
          <w:color w:val="333333"/>
        </w:rPr>
        <w:t xml:space="preserve"> universe for the form EIA-112 is all </w:t>
      </w:r>
      <w:r w:rsidRPr="0E95795D" w:rsidR="005A1037">
        <w:rPr>
          <w:rStyle w:val="normaltextrun"/>
          <w:color w:val="333333"/>
        </w:rPr>
        <w:t>utilities and</w:t>
      </w:r>
      <w:r w:rsidRPr="0E95795D">
        <w:rPr>
          <w:rStyle w:val="normaltextrun"/>
          <w:color w:val="333333"/>
        </w:rPr>
        <w:t xml:space="preserve"> non-utility companies that </w:t>
      </w:r>
      <w:r w:rsidRPr="0E95795D" w:rsidR="00B04804">
        <w:rPr>
          <w:rStyle w:val="normaltextrun"/>
          <w:color w:val="333333"/>
        </w:rPr>
        <w:t>provide natural gas or electricity service to</w:t>
      </w:r>
      <w:r w:rsidRPr="0E95795D">
        <w:rPr>
          <w:rStyle w:val="normaltextrun"/>
          <w:color w:val="333333"/>
        </w:rPr>
        <w:t xml:space="preserve"> residential customers and are responsible for </w:t>
      </w:r>
      <w:r w:rsidRPr="0E95795D" w:rsidR="00521636">
        <w:rPr>
          <w:rStyle w:val="normaltextrun"/>
          <w:color w:val="333333"/>
        </w:rPr>
        <w:t>service disconnection and reconnection</w:t>
      </w:r>
      <w:r w:rsidRPr="0E95795D" w:rsidR="00EC081E">
        <w:rPr>
          <w:rStyle w:val="normaltextrun"/>
          <w:color w:val="333333"/>
        </w:rPr>
        <w:t>.</w:t>
      </w:r>
      <w:r w:rsidR="00470E5E">
        <w:rPr>
          <w:rStyle w:val="normaltextrun"/>
          <w:color w:val="333333"/>
        </w:rPr>
        <w:t xml:space="preserve"> </w:t>
      </w:r>
      <w:r w:rsidRPr="0E95795D" w:rsidR="006C69F8">
        <w:rPr>
          <w:rStyle w:val="normaltextrun"/>
          <w:color w:val="333333"/>
        </w:rPr>
        <w:t>The universe excludes electric entities</w:t>
      </w:r>
      <w:r w:rsidRPr="0E95795D" w:rsidR="006E7541">
        <w:rPr>
          <w:rStyle w:val="normaltextrun"/>
          <w:color w:val="333333"/>
        </w:rPr>
        <w:t xml:space="preserve"> that</w:t>
      </w:r>
      <w:r w:rsidRPr="0E95795D" w:rsidR="006C69F8">
        <w:rPr>
          <w:rStyle w:val="normaltextrun"/>
          <w:color w:val="333333"/>
        </w:rPr>
        <w:t xml:space="preserve"> </w:t>
      </w:r>
      <w:r w:rsidRPr="0E95795D" w:rsidR="006F4BB3">
        <w:rPr>
          <w:rStyle w:val="normaltextrun"/>
          <w:color w:val="333333"/>
        </w:rPr>
        <w:t>provide</w:t>
      </w:r>
      <w:r w:rsidRPr="0E95795D" w:rsidR="006C69F8">
        <w:rPr>
          <w:rStyle w:val="normaltextrun"/>
          <w:color w:val="333333"/>
        </w:rPr>
        <w:t xml:space="preserve"> </w:t>
      </w:r>
      <w:r w:rsidRPr="0E95795D" w:rsidR="006F4BB3">
        <w:rPr>
          <w:rStyle w:val="normaltextrun"/>
          <w:color w:val="333333"/>
        </w:rPr>
        <w:t xml:space="preserve">less </w:t>
      </w:r>
      <w:r w:rsidRPr="0E95795D" w:rsidR="005A1037">
        <w:rPr>
          <w:rStyle w:val="normaltextrun"/>
          <w:color w:val="333333"/>
        </w:rPr>
        <w:t>than 200</w:t>
      </w:r>
      <w:r w:rsidRPr="0E95795D" w:rsidR="657D28F1">
        <w:rPr>
          <w:rStyle w:val="normaltextrun"/>
          <w:color w:val="333333"/>
        </w:rPr>
        <w:t xml:space="preserve"> gigawatt hours</w:t>
      </w:r>
      <w:r w:rsidRPr="0E95795D" w:rsidR="006C69F8">
        <w:rPr>
          <w:rStyle w:val="normaltextrun"/>
          <w:color w:val="333333"/>
        </w:rPr>
        <w:t xml:space="preserve"> annually</w:t>
      </w:r>
      <w:r w:rsidRPr="0E95795D" w:rsidR="006F4BB3">
        <w:rPr>
          <w:rStyle w:val="normaltextrun"/>
          <w:color w:val="333333"/>
        </w:rPr>
        <w:t xml:space="preserve">. </w:t>
      </w:r>
      <w:r w:rsidRPr="0E95795D" w:rsidR="173C7BE3">
        <w:rPr>
          <w:rStyle w:val="normaltextrun"/>
          <w:color w:val="333333"/>
        </w:rPr>
        <w:t>Information on service disconnections, reconnections, and final notices due to bill nonpayment will be collected.</w:t>
      </w:r>
      <w:r w:rsidRPr="0E95795D" w:rsidR="00834775">
        <w:rPr>
          <w:rStyle w:val="normaltextrun"/>
          <w:color w:val="333333"/>
        </w:rPr>
        <w:t xml:space="preserve"> </w:t>
      </w:r>
      <w:r w:rsidRPr="0E95795D" w:rsidR="4311FF1A">
        <w:rPr>
          <w:rStyle w:val="normaltextrun"/>
          <w:color w:val="333333"/>
        </w:rPr>
        <w:t xml:space="preserve">The first year, a census of all </w:t>
      </w:r>
      <w:r w:rsidR="003B1902">
        <w:rPr>
          <w:rStyle w:val="normaltextrun"/>
          <w:color w:val="333333"/>
        </w:rPr>
        <w:t>companies in the target population</w:t>
      </w:r>
      <w:r w:rsidRPr="0E95795D" w:rsidR="4311FF1A">
        <w:rPr>
          <w:rStyle w:val="normaltextrun"/>
          <w:color w:val="333333"/>
        </w:rPr>
        <w:t xml:space="preserve"> will be conducted. The subsequent two years</w:t>
      </w:r>
      <w:r w:rsidRPr="0E95795D" w:rsidR="47D79D7F">
        <w:rPr>
          <w:rStyle w:val="normaltextrun"/>
          <w:color w:val="333333"/>
        </w:rPr>
        <w:t xml:space="preserve"> (hereafter referred to as ‘non-census years’)</w:t>
      </w:r>
      <w:r w:rsidRPr="0E95795D" w:rsidR="4311FF1A">
        <w:rPr>
          <w:rStyle w:val="normaltextrun"/>
          <w:color w:val="333333"/>
        </w:rPr>
        <w:t xml:space="preserve">, a cutoff sample will be used. </w:t>
      </w:r>
      <w:r w:rsidRPr="0E95795D" w:rsidR="003C04E6">
        <w:rPr>
          <w:rStyle w:val="normaltextrun"/>
          <w:color w:val="333333"/>
        </w:rPr>
        <w:t xml:space="preserve"> </w:t>
      </w:r>
    </w:p>
    <w:p w:rsidR="00FA4B7D" w:rsidP="000439B9" w14:paraId="53530E9B" w14:textId="467602EA">
      <w:pPr>
        <w:rPr>
          <w:rStyle w:val="normaltextrun"/>
          <w:color w:val="333333"/>
        </w:rPr>
      </w:pPr>
      <w:r w:rsidRPr="64C5C5C1">
        <w:rPr>
          <w:rStyle w:val="normaltextrun"/>
          <w:color w:val="333333"/>
        </w:rPr>
        <w:t xml:space="preserve">The frame for the </w:t>
      </w:r>
      <w:r w:rsidRPr="64C5C5C1">
        <w:rPr>
          <w:rStyle w:val="normaltextrun"/>
          <w:color w:val="333333"/>
        </w:rPr>
        <w:t xml:space="preserve">form EIA-112 comes from </w:t>
      </w:r>
      <w:r w:rsidRPr="64C5C5C1" w:rsidR="00B87F53">
        <w:rPr>
          <w:rStyle w:val="normaltextrun"/>
          <w:color w:val="333333"/>
        </w:rPr>
        <w:t>two established</w:t>
      </w:r>
      <w:r w:rsidRPr="64C5C5C1">
        <w:rPr>
          <w:rStyle w:val="normaltextrun"/>
          <w:color w:val="333333"/>
        </w:rPr>
        <w:t xml:space="preserve"> EIA </w:t>
      </w:r>
      <w:r w:rsidRPr="64C5C5C1" w:rsidR="00A579FE">
        <w:rPr>
          <w:rStyle w:val="normaltextrun"/>
          <w:color w:val="333333"/>
        </w:rPr>
        <w:t xml:space="preserve">census </w:t>
      </w:r>
      <w:r w:rsidRPr="64C5C5C1">
        <w:rPr>
          <w:rStyle w:val="normaltextrun"/>
          <w:color w:val="333333"/>
        </w:rPr>
        <w:t>surveys: the form EIA-176</w:t>
      </w:r>
      <w:r w:rsidRPr="64C5C5C1" w:rsidR="00363045">
        <w:rPr>
          <w:rStyle w:val="normaltextrun"/>
          <w:color w:val="333333"/>
        </w:rPr>
        <w:t xml:space="preserve"> </w:t>
      </w:r>
      <w:r w:rsidRPr="64C5C5C1" w:rsidR="005E280E">
        <w:rPr>
          <w:rStyle w:val="normaltextrun"/>
          <w:i/>
          <w:iCs/>
          <w:color w:val="333333"/>
        </w:rPr>
        <w:t xml:space="preserve">Annual Report of Natural Gas and Supplemental </w:t>
      </w:r>
      <w:r w:rsidRPr="64C5C5C1" w:rsidR="00095C2B">
        <w:rPr>
          <w:rStyle w:val="normaltextrun"/>
          <w:i/>
          <w:iCs/>
          <w:color w:val="333333"/>
        </w:rPr>
        <w:t>Gas Supply and Disposition</w:t>
      </w:r>
      <w:r w:rsidRPr="64C5C5C1">
        <w:rPr>
          <w:rStyle w:val="normaltextrun"/>
          <w:color w:val="333333"/>
        </w:rPr>
        <w:t xml:space="preserve"> for natural gas and the form EIA-861 </w:t>
      </w:r>
      <w:r w:rsidRPr="64C5C5C1" w:rsidR="00363045">
        <w:rPr>
          <w:rStyle w:val="normaltextrun"/>
          <w:i/>
          <w:iCs/>
          <w:color w:val="333333"/>
        </w:rPr>
        <w:t xml:space="preserve">Annual Electric Power Industry Report </w:t>
      </w:r>
      <w:r w:rsidRPr="64C5C5C1">
        <w:rPr>
          <w:rStyle w:val="normaltextrun"/>
          <w:color w:val="333333"/>
        </w:rPr>
        <w:t xml:space="preserve">for electricity. </w:t>
      </w:r>
      <w:r w:rsidRPr="64C5C5C1" w:rsidR="0095519A">
        <w:rPr>
          <w:rStyle w:val="normaltextrun"/>
          <w:color w:val="333333"/>
        </w:rPr>
        <w:t xml:space="preserve">Both annual surveys have corresponding monthly </w:t>
      </w:r>
      <w:r w:rsidRPr="64C5C5C1" w:rsidR="00CF24F0">
        <w:rPr>
          <w:rStyle w:val="normaltextrun"/>
          <w:color w:val="333333"/>
        </w:rPr>
        <w:t>surveys, the form EIA-</w:t>
      </w:r>
      <w:r w:rsidRPr="64C5C5C1" w:rsidR="00011472">
        <w:rPr>
          <w:rStyle w:val="normaltextrun"/>
          <w:color w:val="333333"/>
        </w:rPr>
        <w:t xml:space="preserve">861M for electricity and the form EIA-857 for natural gas. </w:t>
      </w:r>
      <w:r w:rsidRPr="64C5C5C1" w:rsidR="00242248">
        <w:rPr>
          <w:rStyle w:val="normaltextrun"/>
          <w:color w:val="333333"/>
        </w:rPr>
        <w:t xml:space="preserve">Small electric entities that report on the Form EIA-861S, </w:t>
      </w:r>
      <w:r w:rsidRPr="64C5C5C1" w:rsidR="00242248">
        <w:rPr>
          <w:rStyle w:val="normaltextrun"/>
          <w:i/>
          <w:iCs/>
          <w:color w:val="333333"/>
        </w:rPr>
        <w:t xml:space="preserve">Annual Electric Power Industry Report (Short Form), </w:t>
      </w:r>
      <w:r w:rsidRPr="64C5C5C1" w:rsidR="00242248">
        <w:rPr>
          <w:rStyle w:val="normaltextrun"/>
          <w:color w:val="333333"/>
        </w:rPr>
        <w:t xml:space="preserve">will be excluded from the form EIA-112 </w:t>
      </w:r>
      <w:r w:rsidRPr="64C5C5C1" w:rsidR="00A672D6">
        <w:rPr>
          <w:rStyle w:val="normaltextrun"/>
          <w:color w:val="333333"/>
        </w:rPr>
        <w:t>to</w:t>
      </w:r>
      <w:r w:rsidRPr="64C5C5C1" w:rsidR="00242248">
        <w:rPr>
          <w:rStyle w:val="normaltextrun"/>
          <w:color w:val="333333"/>
        </w:rPr>
        <w:t xml:space="preserve"> reduce respondent burden.</w:t>
      </w:r>
    </w:p>
    <w:p w:rsidR="00A0509F" w:rsidP="64C5C5C1" w14:paraId="55D41D5A" w14:textId="699BBF12">
      <w:pPr>
        <w:rPr>
          <w:rStyle w:val="eop"/>
          <w:color w:val="333333"/>
        </w:rPr>
      </w:pPr>
      <w:r>
        <w:rPr>
          <w:rStyle w:val="normaltextrun"/>
          <w:color w:val="333333"/>
          <w:shd w:val="clear" w:color="auto" w:fill="FFFFFF"/>
        </w:rPr>
        <w:t>The form EIA-176</w:t>
      </w:r>
      <w:r w:rsidR="4CE02E6F">
        <w:rPr>
          <w:rStyle w:val="normaltextrun"/>
          <w:color w:val="333333"/>
          <w:shd w:val="clear" w:color="auto" w:fill="FFFFFF"/>
        </w:rPr>
        <w:t xml:space="preserve"> is a natural gas</w:t>
      </w:r>
      <w:r w:rsidR="22BF3167">
        <w:rPr>
          <w:rStyle w:val="normaltextrun"/>
          <w:color w:val="333333"/>
          <w:shd w:val="clear" w:color="auto" w:fill="FFFFFF"/>
        </w:rPr>
        <w:t xml:space="preserve"> survey</w:t>
      </w:r>
      <w:r w:rsidR="61A45FF4">
        <w:rPr>
          <w:rStyle w:val="normaltextrun"/>
          <w:color w:val="333333"/>
          <w:shd w:val="clear" w:color="auto" w:fill="FFFFFF"/>
        </w:rPr>
        <w:t xml:space="preserve"> of all known utilities and nonutility companies that sell and/or deliver natural gas to residential customers</w:t>
      </w:r>
      <w:r w:rsidR="1328A392">
        <w:rPr>
          <w:rStyle w:val="normaltextrun"/>
          <w:color w:val="333333"/>
          <w:shd w:val="clear" w:color="auto" w:fill="FFFFFF"/>
        </w:rPr>
        <w:t xml:space="preserve">, </w:t>
      </w:r>
      <w:r w:rsidR="0B0B835D">
        <w:rPr>
          <w:rStyle w:val="normaltextrun"/>
          <w:color w:val="333333"/>
          <w:shd w:val="clear" w:color="auto" w:fill="FFFFFF"/>
        </w:rPr>
        <w:t xml:space="preserve">as well as other kinds of natural gas companies. </w:t>
      </w:r>
      <w:r w:rsidR="0513DD86">
        <w:rPr>
          <w:rStyle w:val="normaltextrun"/>
          <w:color w:val="333333"/>
          <w:shd w:val="clear" w:color="auto" w:fill="FFFFFF"/>
        </w:rPr>
        <w:t>O</w:t>
      </w:r>
      <w:r w:rsidR="1328A392">
        <w:rPr>
          <w:rStyle w:val="normaltextrun"/>
          <w:color w:val="333333"/>
          <w:shd w:val="clear" w:color="auto" w:fill="FFFFFF"/>
        </w:rPr>
        <w:t>nly respondents that ha</w:t>
      </w:r>
      <w:r w:rsidR="72D35088">
        <w:rPr>
          <w:rStyle w:val="normaltextrun"/>
          <w:color w:val="333333"/>
          <w:shd w:val="clear" w:color="auto" w:fill="FFFFFF"/>
        </w:rPr>
        <w:t xml:space="preserve">ve residential customers </w:t>
      </w:r>
      <w:r w:rsidR="1714DD1A">
        <w:rPr>
          <w:rStyle w:val="normaltextrun"/>
          <w:color w:val="333333"/>
          <w:shd w:val="clear" w:color="auto" w:fill="FFFFFF"/>
        </w:rPr>
        <w:t xml:space="preserve">will be included on the </w:t>
      </w:r>
      <w:r w:rsidR="59FFA31E">
        <w:rPr>
          <w:rStyle w:val="normaltextrun"/>
          <w:color w:val="333333"/>
          <w:shd w:val="clear" w:color="auto" w:fill="FFFFFF"/>
        </w:rPr>
        <w:t>EIA-112</w:t>
      </w:r>
      <w:r w:rsidR="1B234632">
        <w:rPr>
          <w:rStyle w:val="normaltextrun"/>
          <w:color w:val="333333"/>
          <w:shd w:val="clear" w:color="auto" w:fill="FFFFFF"/>
        </w:rPr>
        <w:t>.</w:t>
      </w:r>
      <w:r>
        <w:rPr>
          <w:rStyle w:val="normaltextrun"/>
          <w:color w:val="333333"/>
          <w:shd w:val="clear" w:color="auto" w:fill="FFFFFF"/>
        </w:rPr>
        <w:t xml:space="preserve"> </w:t>
      </w:r>
      <w:r w:rsidR="6CF493A0">
        <w:rPr>
          <w:rStyle w:val="normaltextrun"/>
          <w:color w:val="333333"/>
          <w:shd w:val="clear" w:color="auto" w:fill="FFFFFF"/>
        </w:rPr>
        <w:t xml:space="preserve">The </w:t>
      </w:r>
      <w:r w:rsidR="228B30B0">
        <w:rPr>
          <w:rStyle w:val="normaltextrun"/>
          <w:color w:val="333333"/>
          <w:shd w:val="clear" w:color="auto" w:fill="FFFFFF"/>
        </w:rPr>
        <w:t>EIA-861</w:t>
      </w:r>
      <w:r w:rsidR="624FD813">
        <w:rPr>
          <w:rStyle w:val="normaltextrun"/>
          <w:color w:val="333333"/>
          <w:shd w:val="clear" w:color="auto" w:fill="FFFFFF"/>
        </w:rPr>
        <w:t xml:space="preserve"> is a survey for </w:t>
      </w:r>
      <w:r w:rsidR="2279AD2A">
        <w:rPr>
          <w:rStyle w:val="normaltextrun"/>
          <w:color w:val="333333"/>
          <w:shd w:val="clear" w:color="auto" w:fill="FFFFFF"/>
        </w:rPr>
        <w:t xml:space="preserve">retail power sales </w:t>
      </w:r>
      <w:r w:rsidRPr="6C6E1826" w:rsidR="4F550485">
        <w:rPr>
          <w:rStyle w:val="normaltextrun"/>
          <w:color w:val="333333"/>
        </w:rPr>
        <w:t>entities</w:t>
      </w:r>
      <w:r w:rsidRPr="6C6E1826" w:rsidR="27AD9221">
        <w:rPr>
          <w:rStyle w:val="normaltextrun"/>
          <w:color w:val="333333"/>
        </w:rPr>
        <w:t xml:space="preserve"> </w:t>
      </w:r>
      <w:r w:rsidR="1F340261">
        <w:rPr>
          <w:rStyle w:val="normaltextrun"/>
          <w:color w:val="333333"/>
          <w:shd w:val="clear" w:color="auto" w:fill="FFFFFF"/>
        </w:rPr>
        <w:t xml:space="preserve">and like the EIA-176, only </w:t>
      </w:r>
      <w:r w:rsidRPr="6C6E1826" w:rsidR="4F550485">
        <w:rPr>
          <w:rStyle w:val="normaltextrun"/>
          <w:color w:val="333333"/>
        </w:rPr>
        <w:t xml:space="preserve">entities </w:t>
      </w:r>
      <w:r w:rsidR="5EDE7A82">
        <w:rPr>
          <w:rStyle w:val="normaltextrun"/>
          <w:color w:val="333333"/>
          <w:shd w:val="clear" w:color="auto" w:fill="FFFFFF"/>
        </w:rPr>
        <w:t>with residential customers</w:t>
      </w:r>
      <w:r w:rsidR="47937CA6">
        <w:rPr>
          <w:rStyle w:val="normaltextrun"/>
          <w:color w:val="333333"/>
          <w:shd w:val="clear" w:color="auto" w:fill="FFFFFF"/>
        </w:rPr>
        <w:t xml:space="preserve"> will be included in the </w:t>
      </w:r>
      <w:r w:rsidR="20FEB353">
        <w:rPr>
          <w:rStyle w:val="normaltextrun"/>
          <w:color w:val="333333"/>
          <w:shd w:val="clear" w:color="auto" w:fill="FFFFFF"/>
        </w:rPr>
        <w:t>EIA-112 universe</w:t>
      </w:r>
      <w:r w:rsidR="09C278D8">
        <w:rPr>
          <w:rStyle w:val="normaltextrun"/>
          <w:color w:val="333333"/>
          <w:shd w:val="clear" w:color="auto" w:fill="FFFFFF"/>
        </w:rPr>
        <w:t>.</w:t>
      </w:r>
      <w:r w:rsidR="5F6134D1">
        <w:rPr>
          <w:rStyle w:val="normaltextrun"/>
          <w:color w:val="333333"/>
          <w:shd w:val="clear" w:color="auto" w:fill="FFFFFF"/>
        </w:rPr>
        <w:t xml:space="preserve"> </w:t>
      </w:r>
      <w:r w:rsidRPr="6C6E1826" w:rsidR="13486617">
        <w:rPr>
          <w:rStyle w:val="normaltextrun"/>
          <w:color w:val="333333"/>
        </w:rPr>
        <w:t xml:space="preserve">Energy only service providers that do not provide delivery service </w:t>
      </w:r>
      <w:r w:rsidRPr="64C5C5C1" w:rsidR="7434E9C5">
        <w:rPr>
          <w:rStyle w:val="normaltextrun"/>
          <w:color w:val="333333"/>
        </w:rPr>
        <w:t xml:space="preserve">and </w:t>
      </w:r>
      <w:r w:rsidRPr="6C6E1826" w:rsidR="13486617">
        <w:rPr>
          <w:rStyle w:val="normaltextrun"/>
          <w:color w:val="333333"/>
        </w:rPr>
        <w:t xml:space="preserve">do not issue disconnections </w:t>
      </w:r>
      <w:r w:rsidRPr="6C6E1826" w:rsidR="0184EDE5">
        <w:rPr>
          <w:rStyle w:val="normaltextrun"/>
          <w:color w:val="333333"/>
        </w:rPr>
        <w:t xml:space="preserve">and </w:t>
      </w:r>
      <w:r w:rsidRPr="6C6E1826" w:rsidR="13486617">
        <w:rPr>
          <w:rStyle w:val="normaltextrun"/>
          <w:color w:val="333333"/>
        </w:rPr>
        <w:t>so</w:t>
      </w:r>
      <w:r w:rsidRPr="6C6E1826" w:rsidR="730BA843">
        <w:rPr>
          <w:rStyle w:val="normaltextrun"/>
          <w:color w:val="333333"/>
        </w:rPr>
        <w:t xml:space="preserve"> will be excluded. </w:t>
      </w:r>
      <w:r w:rsidR="32C367D6">
        <w:rPr>
          <w:rStyle w:val="normaltextrun"/>
          <w:color w:val="333333"/>
          <w:shd w:val="clear" w:color="auto" w:fill="FFFFFF"/>
        </w:rPr>
        <w:t>Th</w:t>
      </w:r>
      <w:r w:rsidR="3EF28A9D">
        <w:rPr>
          <w:rStyle w:val="normaltextrun"/>
          <w:color w:val="333333"/>
          <w:shd w:val="clear" w:color="auto" w:fill="FFFFFF"/>
        </w:rPr>
        <w:t xml:space="preserve">e </w:t>
      </w:r>
      <w:r w:rsidR="19AB4BA7">
        <w:rPr>
          <w:rStyle w:val="normaltextrun"/>
          <w:color w:val="333333"/>
          <w:shd w:val="clear" w:color="auto" w:fill="FFFFFF"/>
        </w:rPr>
        <w:t>EIA-112</w:t>
      </w:r>
      <w:r w:rsidR="3EF28A9D">
        <w:rPr>
          <w:rStyle w:val="normaltextrun"/>
          <w:color w:val="333333"/>
          <w:shd w:val="clear" w:color="auto" w:fill="FFFFFF"/>
        </w:rPr>
        <w:t xml:space="preserve"> </w:t>
      </w:r>
      <w:r w:rsidR="04FA580B">
        <w:rPr>
          <w:rStyle w:val="normaltextrun"/>
          <w:color w:val="333333"/>
          <w:shd w:val="clear" w:color="auto" w:fill="FFFFFF"/>
        </w:rPr>
        <w:t>w</w:t>
      </w:r>
      <w:r w:rsidR="2E16B245">
        <w:rPr>
          <w:rStyle w:val="normaltextrun"/>
          <w:color w:val="333333"/>
          <w:shd w:val="clear" w:color="auto" w:fill="FFFFFF"/>
        </w:rPr>
        <w:t xml:space="preserve">ould </w:t>
      </w:r>
      <w:r w:rsidR="04FA580B">
        <w:rPr>
          <w:rStyle w:val="normaltextrun"/>
          <w:color w:val="333333"/>
          <w:shd w:val="clear" w:color="auto" w:fill="FFFFFF"/>
        </w:rPr>
        <w:t xml:space="preserve">have </w:t>
      </w:r>
      <w:r w:rsidR="3EF28A9D">
        <w:rPr>
          <w:rStyle w:val="normaltextrun"/>
          <w:color w:val="333333"/>
          <w:shd w:val="clear" w:color="auto" w:fill="FFFFFF"/>
        </w:rPr>
        <w:t>2,407 respondents from the</w:t>
      </w:r>
      <w:r w:rsidR="19AB4BA7">
        <w:rPr>
          <w:rStyle w:val="normaltextrun"/>
          <w:color w:val="333333"/>
          <w:shd w:val="clear" w:color="auto" w:fill="FFFFFF"/>
        </w:rPr>
        <w:t xml:space="preserve"> EIA</w:t>
      </w:r>
      <w:r w:rsidR="3FD7803B">
        <w:rPr>
          <w:rStyle w:val="normaltextrun"/>
          <w:color w:val="333333"/>
          <w:shd w:val="clear" w:color="auto" w:fill="FFFFFF"/>
        </w:rPr>
        <w:t>-176 and EIA-861</w:t>
      </w:r>
      <w:r w:rsidR="42A9F2CF">
        <w:rPr>
          <w:rStyle w:val="normaltextrun"/>
          <w:color w:val="333333"/>
          <w:shd w:val="clear" w:color="auto" w:fill="FFFFFF"/>
        </w:rPr>
        <w:t xml:space="preserve"> combined</w:t>
      </w:r>
      <w:r w:rsidR="3FD7803B">
        <w:rPr>
          <w:rStyle w:val="normaltextrun"/>
          <w:color w:val="333333"/>
          <w:shd w:val="clear" w:color="auto" w:fill="FFFFFF"/>
        </w:rPr>
        <w:t>.</w:t>
      </w:r>
      <w:r w:rsidR="32C367D6">
        <w:rPr>
          <w:rStyle w:val="normaltextrun"/>
          <w:color w:val="333333"/>
          <w:shd w:val="clear" w:color="auto" w:fill="FFFFFF"/>
        </w:rPr>
        <w:t xml:space="preserve"> </w:t>
      </w:r>
    </w:p>
    <w:p w:rsidR="00A0509F" w:rsidP="00F936A3" w14:paraId="17C48B6B" w14:textId="77777777">
      <w:pPr>
        <w:pStyle w:val="Heading1"/>
        <w:rPr>
          <w:rFonts w:ascii="Segoe UI" w:hAnsi="Segoe UI" w:cs="Segoe UI"/>
          <w:sz w:val="18"/>
          <w:szCs w:val="18"/>
        </w:rPr>
      </w:pPr>
      <w:bookmarkStart w:id="3" w:name="_Toc165018108"/>
      <w:r w:rsidRPr="7809BE74">
        <w:rPr>
          <w:rStyle w:val="normaltextrun"/>
          <w:rFonts w:ascii="Calibri" w:hAnsi="Calibri" w:cs="Calibri"/>
          <w:b w:val="0"/>
          <w:bCs w:val="0"/>
          <w:sz w:val="28"/>
        </w:rPr>
        <w:t>B.2. Statistical Methods</w:t>
      </w:r>
      <w:bookmarkEnd w:id="3"/>
      <w:r w:rsidRPr="7809BE74">
        <w:rPr>
          <w:rStyle w:val="eop"/>
          <w:rFonts w:ascii="Calibri" w:hAnsi="Calibri" w:cs="Calibri"/>
          <w:b w:val="0"/>
          <w:bCs w:val="0"/>
          <w:sz w:val="28"/>
        </w:rPr>
        <w:t> </w:t>
      </w:r>
    </w:p>
    <w:p w:rsidR="00A95861" w:rsidP="4002A3AB" w14:paraId="4E7D80B7" w14:textId="6175C305">
      <w:pPr>
        <w:rPr>
          <w:rStyle w:val="normaltextrun"/>
          <w:color w:val="333333"/>
        </w:rPr>
      </w:pPr>
      <w:r w:rsidRPr="7809BE74">
        <w:rPr>
          <w:rStyle w:val="normaltextrun"/>
          <w:color w:val="333333"/>
        </w:rPr>
        <w:t>The first year, a census of all respondents will be conducted. The subsequent two years (hereafter referred to as ‘non-census years’), a cutoff sample will be used</w:t>
      </w:r>
      <w:r w:rsidRPr="7809BE74" w:rsidR="69877B4A">
        <w:rPr>
          <w:rStyle w:val="normaltextrun"/>
          <w:color w:val="333333"/>
        </w:rPr>
        <w:t xml:space="preserve"> in order to reduce respondent burden</w:t>
      </w:r>
      <w:r w:rsidRPr="7809BE74">
        <w:rPr>
          <w:rStyle w:val="normaltextrun"/>
          <w:color w:val="333333"/>
        </w:rPr>
        <w:t xml:space="preserve">. In the census year, </w:t>
      </w:r>
      <w:r w:rsidRPr="7809BE74" w:rsidR="655AD2F8">
        <w:rPr>
          <w:rStyle w:val="normaltextrun"/>
          <w:color w:val="333333"/>
        </w:rPr>
        <w:t xml:space="preserve">the EIA-112 </w:t>
      </w:r>
      <w:r w:rsidRPr="7809BE74" w:rsidR="16369535">
        <w:rPr>
          <w:rStyle w:val="normaltextrun"/>
          <w:color w:val="333333"/>
        </w:rPr>
        <w:t>will</w:t>
      </w:r>
      <w:r w:rsidRPr="7809BE74" w:rsidR="655AD2F8">
        <w:rPr>
          <w:rStyle w:val="normaltextrun"/>
          <w:color w:val="333333"/>
        </w:rPr>
        <w:t xml:space="preserve"> </w:t>
      </w:r>
      <w:r w:rsidRPr="7809BE74" w:rsidR="16369535">
        <w:rPr>
          <w:rStyle w:val="normaltextrun"/>
          <w:color w:val="333333"/>
        </w:rPr>
        <w:t xml:space="preserve">have </w:t>
      </w:r>
      <w:r w:rsidRPr="7809BE74" w:rsidR="655AD2F8">
        <w:rPr>
          <w:rStyle w:val="normaltextrun"/>
          <w:color w:val="333333"/>
        </w:rPr>
        <w:t xml:space="preserve">2,407 respondents from the EIA-176 and EIA-861 combined. In </w:t>
      </w:r>
      <w:r w:rsidRPr="7809BE74" w:rsidR="79098C88">
        <w:rPr>
          <w:rStyle w:val="normaltextrun"/>
          <w:color w:val="333333"/>
        </w:rPr>
        <w:t>the non-census years</w:t>
      </w:r>
      <w:r w:rsidRPr="7809BE74" w:rsidR="655AD2F8">
        <w:rPr>
          <w:rStyle w:val="normaltextrun"/>
          <w:color w:val="333333"/>
        </w:rPr>
        <w:t xml:space="preserve"> EIA will use cutoff samples from Form EIA-857 and Form EIA-861M, </w:t>
      </w:r>
      <w:r w:rsidRPr="7809BE74" w:rsidR="52F27313">
        <w:rPr>
          <w:rStyle w:val="normaltextrun"/>
          <w:color w:val="333333"/>
        </w:rPr>
        <w:t xml:space="preserve">which are </w:t>
      </w:r>
      <w:r w:rsidRPr="7809BE74" w:rsidR="655AD2F8">
        <w:rPr>
          <w:rStyle w:val="normaltextrun"/>
          <w:color w:val="333333"/>
        </w:rPr>
        <w:t>based on utility size and state coverage</w:t>
      </w:r>
      <w:r w:rsidRPr="7809BE74" w:rsidR="7BC8F6B6">
        <w:rPr>
          <w:rStyle w:val="normaltextrun"/>
          <w:color w:val="333333"/>
        </w:rPr>
        <w:t xml:space="preserve"> of sales</w:t>
      </w:r>
      <w:r w:rsidRPr="7809BE74" w:rsidR="655AD2F8">
        <w:rPr>
          <w:rStyle w:val="normaltextrun"/>
          <w:color w:val="333333"/>
        </w:rPr>
        <w:t>. This reduces the number of respondents to 491 in each of the final 2 years, making an average of 1,130 respondents each year</w:t>
      </w:r>
      <w:r w:rsidRPr="7809BE74" w:rsidR="61184FC4">
        <w:rPr>
          <w:rStyle w:val="normaltextrun"/>
          <w:color w:val="333333"/>
        </w:rPr>
        <w:t>. This will allow EIA to reduce respondent burden on smaller entities, while also producing population estimates at the state-level by modeling data for the entities on the frames that were subjected to sampling but not selected.</w:t>
      </w:r>
      <w:r w:rsidR="003B3782">
        <w:rPr>
          <w:rStyle w:val="normaltextrun"/>
          <w:color w:val="333333"/>
        </w:rPr>
        <w:t xml:space="preserve"> The table below shows the numbers of </w:t>
      </w:r>
      <w:r w:rsidR="00AD5284">
        <w:rPr>
          <w:rStyle w:val="normaltextrun"/>
          <w:color w:val="333333"/>
        </w:rPr>
        <w:t>companies in the sample</w:t>
      </w:r>
      <w:r w:rsidR="003B3782">
        <w:rPr>
          <w:rStyle w:val="normaltextrun"/>
          <w:color w:val="333333"/>
        </w:rPr>
        <w:t xml:space="preserve"> for both census and non-census years for electricity and natural gas.</w:t>
      </w:r>
    </w:p>
    <w:tbl>
      <w:tblPr>
        <w:tblW w:w="9234" w:type="dxa"/>
        <w:tblLook w:val="04A0"/>
      </w:tblPr>
      <w:tblGrid>
        <w:gridCol w:w="1955"/>
        <w:gridCol w:w="1345"/>
        <w:gridCol w:w="1514"/>
        <w:gridCol w:w="824"/>
        <w:gridCol w:w="1345"/>
        <w:gridCol w:w="1428"/>
        <w:gridCol w:w="823"/>
      </w:tblGrid>
      <w:tr w14:paraId="156CF94F" w14:textId="77777777" w:rsidTr="000C2427">
        <w:tblPrEx>
          <w:tblW w:w="9234" w:type="dxa"/>
          <w:tblLook w:val="04A0"/>
        </w:tblPrEx>
        <w:trPr>
          <w:trHeight w:val="296"/>
        </w:trPr>
        <w:tc>
          <w:tcPr>
            <w:tcW w:w="195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3392B" w:rsidRPr="0093392B" w:rsidP="000C2427" w14:paraId="62750F3B" w14:textId="77777777">
            <w:pPr>
              <w:spacing w:after="0" w:line="240" w:lineRule="auto"/>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 </w:t>
            </w:r>
          </w:p>
        </w:tc>
        <w:tc>
          <w:tcPr>
            <w:tcW w:w="3683" w:type="dxa"/>
            <w:gridSpan w:val="3"/>
            <w:tcBorders>
              <w:top w:val="single" w:sz="4" w:space="0" w:color="auto"/>
              <w:left w:val="nil"/>
              <w:bottom w:val="single" w:sz="4" w:space="0" w:color="auto"/>
              <w:right w:val="single" w:sz="4" w:space="0" w:color="auto"/>
            </w:tcBorders>
            <w:shd w:val="clear" w:color="auto" w:fill="auto"/>
            <w:noWrap/>
            <w:vAlign w:val="bottom"/>
            <w:hideMark/>
          </w:tcPr>
          <w:p w:rsidR="0093392B" w:rsidRPr="0093392B" w:rsidP="0093392B" w14:paraId="3FD62A1E"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112 Census</w:t>
            </w:r>
          </w:p>
        </w:tc>
        <w:tc>
          <w:tcPr>
            <w:tcW w:w="3596" w:type="dxa"/>
            <w:gridSpan w:val="3"/>
            <w:tcBorders>
              <w:top w:val="single" w:sz="4" w:space="0" w:color="auto"/>
              <w:left w:val="nil"/>
              <w:bottom w:val="single" w:sz="4" w:space="0" w:color="auto"/>
              <w:right w:val="single" w:sz="4" w:space="0" w:color="auto"/>
            </w:tcBorders>
            <w:shd w:val="clear" w:color="auto" w:fill="auto"/>
            <w:noWrap/>
            <w:vAlign w:val="bottom"/>
            <w:hideMark/>
          </w:tcPr>
          <w:p w:rsidR="0093392B" w:rsidRPr="0093392B" w:rsidP="0093392B" w14:paraId="161A9904"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 xml:space="preserve">112 </w:t>
            </w:r>
            <w:r w:rsidRPr="0093392B">
              <w:rPr>
                <w:rFonts w:ascii="Aptos Narrow" w:eastAsia="Times New Roman" w:hAnsi="Aptos Narrow" w:cs="Times New Roman"/>
                <w:color w:val="000000"/>
                <w:kern w:val="0"/>
                <w14:ligatures w14:val="none"/>
              </w:rPr>
              <w:t>Non-Census</w:t>
            </w:r>
          </w:p>
        </w:tc>
      </w:tr>
      <w:tr w14:paraId="551BBC07" w14:textId="77777777" w:rsidTr="000C2427">
        <w:tblPrEx>
          <w:tblW w:w="9234" w:type="dxa"/>
          <w:tblLook w:val="04A0"/>
        </w:tblPrEx>
        <w:trPr>
          <w:trHeight w:val="296"/>
        </w:trPr>
        <w:tc>
          <w:tcPr>
            <w:tcW w:w="1955" w:type="dxa"/>
            <w:vMerge/>
            <w:tcBorders>
              <w:top w:val="single" w:sz="4" w:space="0" w:color="auto"/>
              <w:left w:val="single" w:sz="4" w:space="0" w:color="auto"/>
              <w:bottom w:val="single" w:sz="4" w:space="0" w:color="000000"/>
              <w:right w:val="single" w:sz="4" w:space="0" w:color="auto"/>
            </w:tcBorders>
            <w:vAlign w:val="center"/>
            <w:hideMark/>
          </w:tcPr>
          <w:p w:rsidR="0093392B" w:rsidRPr="0093392B" w:rsidP="0093392B" w14:paraId="10A510C9" w14:textId="77777777">
            <w:pPr>
              <w:spacing w:after="0" w:line="240" w:lineRule="auto"/>
              <w:rPr>
                <w:rFonts w:ascii="Aptos Narrow" w:eastAsia="Times New Roman" w:hAnsi="Aptos Narrow" w:cs="Times New Roman"/>
                <w:color w:val="000000"/>
                <w:kern w:val="0"/>
                <w14:ligatures w14:val="none"/>
              </w:rPr>
            </w:pPr>
          </w:p>
        </w:tc>
        <w:tc>
          <w:tcPr>
            <w:tcW w:w="1345"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2781B4A1"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Electricity</w:t>
            </w:r>
          </w:p>
        </w:tc>
        <w:tc>
          <w:tcPr>
            <w:tcW w:w="1514"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35FB5483"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Natural Gas</w:t>
            </w:r>
          </w:p>
        </w:tc>
        <w:tc>
          <w:tcPr>
            <w:tcW w:w="823"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05E5FF22"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Total</w:t>
            </w:r>
          </w:p>
        </w:tc>
        <w:tc>
          <w:tcPr>
            <w:tcW w:w="1345"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63797126"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Electricity</w:t>
            </w:r>
          </w:p>
        </w:tc>
        <w:tc>
          <w:tcPr>
            <w:tcW w:w="1428"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44F6A8AE"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Natural Gas</w:t>
            </w:r>
          </w:p>
        </w:tc>
        <w:tc>
          <w:tcPr>
            <w:tcW w:w="822"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45B1E7F0"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Total</w:t>
            </w:r>
          </w:p>
        </w:tc>
      </w:tr>
      <w:tr w14:paraId="0423A6ED" w14:textId="77777777" w:rsidTr="000C2427">
        <w:tblPrEx>
          <w:tblW w:w="9234" w:type="dxa"/>
          <w:tblLook w:val="04A0"/>
        </w:tblPrEx>
        <w:trPr>
          <w:trHeight w:val="296"/>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rsidR="0093392B" w:rsidRPr="0093392B" w:rsidP="0093392B" w14:paraId="24092A38"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 xml:space="preserve">Population </w:t>
            </w:r>
          </w:p>
        </w:tc>
        <w:tc>
          <w:tcPr>
            <w:tcW w:w="1345"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0EA55960"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1208</w:t>
            </w:r>
          </w:p>
        </w:tc>
        <w:tc>
          <w:tcPr>
            <w:tcW w:w="1514"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78625FBC"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1199</w:t>
            </w:r>
          </w:p>
        </w:tc>
        <w:tc>
          <w:tcPr>
            <w:tcW w:w="823"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70FFA169"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2407</w:t>
            </w:r>
          </w:p>
        </w:tc>
        <w:tc>
          <w:tcPr>
            <w:tcW w:w="1345"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19E02B90"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1208</w:t>
            </w:r>
          </w:p>
        </w:tc>
        <w:tc>
          <w:tcPr>
            <w:tcW w:w="1428"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47F3F4E0"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1199</w:t>
            </w:r>
          </w:p>
        </w:tc>
        <w:tc>
          <w:tcPr>
            <w:tcW w:w="822"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75060CBD"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2407</w:t>
            </w:r>
          </w:p>
        </w:tc>
      </w:tr>
      <w:tr w14:paraId="6673BBC4" w14:textId="77777777" w:rsidTr="000C2427">
        <w:tblPrEx>
          <w:tblW w:w="9234" w:type="dxa"/>
          <w:tblLook w:val="04A0"/>
        </w:tblPrEx>
        <w:trPr>
          <w:trHeight w:val="592"/>
        </w:trPr>
        <w:tc>
          <w:tcPr>
            <w:tcW w:w="1955" w:type="dxa"/>
            <w:tcBorders>
              <w:top w:val="nil"/>
              <w:left w:val="single" w:sz="4" w:space="0" w:color="auto"/>
              <w:bottom w:val="single" w:sz="4" w:space="0" w:color="auto"/>
              <w:right w:val="single" w:sz="4" w:space="0" w:color="auto"/>
            </w:tcBorders>
            <w:shd w:val="clear" w:color="auto" w:fill="auto"/>
            <w:vAlign w:val="bottom"/>
            <w:hideMark/>
          </w:tcPr>
          <w:p w:rsidR="0093392B" w:rsidRPr="0093392B" w:rsidP="0093392B" w14:paraId="66C773BD"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Total Number of Respondents</w:t>
            </w:r>
          </w:p>
        </w:tc>
        <w:tc>
          <w:tcPr>
            <w:tcW w:w="1345"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0CB008DB"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1208</w:t>
            </w:r>
          </w:p>
        </w:tc>
        <w:tc>
          <w:tcPr>
            <w:tcW w:w="1514"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58508250"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1199</w:t>
            </w:r>
          </w:p>
        </w:tc>
        <w:tc>
          <w:tcPr>
            <w:tcW w:w="823"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23A41F37"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2407</w:t>
            </w:r>
          </w:p>
        </w:tc>
        <w:tc>
          <w:tcPr>
            <w:tcW w:w="1345"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6A4E46E3"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340</w:t>
            </w:r>
          </w:p>
        </w:tc>
        <w:tc>
          <w:tcPr>
            <w:tcW w:w="1428"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58025E5C"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151</w:t>
            </w:r>
          </w:p>
        </w:tc>
        <w:tc>
          <w:tcPr>
            <w:tcW w:w="822"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6DEADED6"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491</w:t>
            </w:r>
          </w:p>
        </w:tc>
      </w:tr>
      <w:tr w14:paraId="6993C031" w14:textId="77777777" w:rsidTr="000C2427">
        <w:tblPrEx>
          <w:tblW w:w="9234" w:type="dxa"/>
          <w:tblLook w:val="04A0"/>
        </w:tblPrEx>
        <w:trPr>
          <w:trHeight w:val="296"/>
        </w:trPr>
        <w:tc>
          <w:tcPr>
            <w:tcW w:w="1955" w:type="dxa"/>
            <w:tcBorders>
              <w:top w:val="nil"/>
              <w:left w:val="single" w:sz="4" w:space="0" w:color="auto"/>
              <w:bottom w:val="single" w:sz="4" w:space="0" w:color="auto"/>
              <w:right w:val="single" w:sz="4" w:space="0" w:color="auto"/>
            </w:tcBorders>
            <w:shd w:val="clear" w:color="auto" w:fill="auto"/>
            <w:noWrap/>
            <w:vAlign w:val="bottom"/>
            <w:hideMark/>
          </w:tcPr>
          <w:p w:rsidR="0093392B" w:rsidRPr="0093392B" w:rsidP="0093392B" w14:paraId="00F72A25"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Coverage*  </w:t>
            </w:r>
          </w:p>
        </w:tc>
        <w:tc>
          <w:tcPr>
            <w:tcW w:w="1345"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25187C0C"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100%</w:t>
            </w:r>
          </w:p>
        </w:tc>
        <w:tc>
          <w:tcPr>
            <w:tcW w:w="1514"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375BB173"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100%</w:t>
            </w:r>
          </w:p>
        </w:tc>
        <w:tc>
          <w:tcPr>
            <w:tcW w:w="823"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53B36CFE"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 </w:t>
            </w:r>
          </w:p>
        </w:tc>
        <w:tc>
          <w:tcPr>
            <w:tcW w:w="1345"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25693720"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87%</w:t>
            </w:r>
          </w:p>
        </w:tc>
        <w:tc>
          <w:tcPr>
            <w:tcW w:w="1428"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50747AD9"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90%</w:t>
            </w:r>
          </w:p>
        </w:tc>
        <w:tc>
          <w:tcPr>
            <w:tcW w:w="822" w:type="dxa"/>
            <w:tcBorders>
              <w:top w:val="nil"/>
              <w:left w:val="nil"/>
              <w:bottom w:val="single" w:sz="4" w:space="0" w:color="auto"/>
              <w:right w:val="single" w:sz="4" w:space="0" w:color="auto"/>
            </w:tcBorders>
            <w:shd w:val="clear" w:color="auto" w:fill="auto"/>
            <w:noWrap/>
            <w:vAlign w:val="bottom"/>
            <w:hideMark/>
          </w:tcPr>
          <w:p w:rsidR="0093392B" w:rsidRPr="0093392B" w:rsidP="0093392B" w14:paraId="1F99C7D4" w14:textId="77777777">
            <w:pPr>
              <w:spacing w:after="0" w:line="240" w:lineRule="auto"/>
              <w:jc w:val="center"/>
              <w:rPr>
                <w:rFonts w:ascii="Aptos Narrow" w:eastAsia="Times New Roman" w:hAnsi="Aptos Narrow" w:cs="Times New Roman"/>
                <w:color w:val="000000"/>
                <w:kern w:val="0"/>
                <w14:ligatures w14:val="none"/>
              </w:rPr>
            </w:pPr>
            <w:r w:rsidRPr="0093392B">
              <w:rPr>
                <w:rFonts w:ascii="Aptos Narrow" w:eastAsia="Times New Roman" w:hAnsi="Aptos Narrow" w:cs="Times New Roman"/>
                <w:color w:val="000000"/>
                <w:kern w:val="0"/>
                <w14:ligatures w14:val="none"/>
              </w:rPr>
              <w:t> </w:t>
            </w:r>
          </w:p>
        </w:tc>
      </w:tr>
    </w:tbl>
    <w:p w:rsidR="00697D5C" w:rsidRPr="00DF77FB" w:rsidP="00697D5C" w14:paraId="20014122" w14:textId="77777777">
      <w:pPr>
        <w:rPr>
          <w:rStyle w:val="normaltextrun"/>
          <w:color w:val="000000" w:themeColor="text1"/>
          <w:shd w:val="clear" w:color="auto" w:fill="FFFFFF"/>
        </w:rPr>
      </w:pPr>
      <w:r w:rsidRPr="00DF77FB">
        <w:rPr>
          <w:rStyle w:val="normaltextrun"/>
          <w:color w:val="000000" w:themeColor="text1"/>
        </w:rPr>
        <w:t>*Coverage calculations exclude Form EIA-861S respondents</w:t>
      </w:r>
    </w:p>
    <w:p w:rsidR="64C5C5C1" w:rsidP="64C5C5C1" w14:paraId="15D2066B" w14:textId="209DEBEC">
      <w:pPr>
        <w:rPr>
          <w:rStyle w:val="normaltextrun"/>
          <w:color w:val="333333"/>
        </w:rPr>
      </w:pPr>
    </w:p>
    <w:p w:rsidR="64C5C5C1" w:rsidP="64C5C5C1" w14:paraId="4C30EB75" w14:textId="1C9B183A">
      <w:pPr>
        <w:rPr>
          <w:rStyle w:val="normaltextrun"/>
          <w:color w:val="333333"/>
        </w:rPr>
      </w:pPr>
    </w:p>
    <w:p w:rsidR="50042297" w:rsidP="0E95795D" w14:paraId="57EF7240" w14:textId="2A4EEE73">
      <w:r>
        <w:t xml:space="preserve">Estimation and </w:t>
      </w:r>
      <w:r w:rsidR="4197745D">
        <w:t>i</w:t>
      </w:r>
      <w:r>
        <w:t xml:space="preserve">mputation will both be performed using a weighted least squares regression model. </w:t>
      </w:r>
      <w:r w:rsidR="33D84220">
        <w:t>In the first year of collection, Form EIA-112 will collect from a census of eligible respondents. Nonrespondents and responses which fail data quality edit checks will be imputed using a</w:t>
      </w:r>
      <w:r w:rsidR="4C659A8B">
        <w:t xml:space="preserve"> weighted least squares</w:t>
      </w:r>
      <w:r w:rsidR="33D84220">
        <w:t xml:space="preserve"> regression model using </w:t>
      </w:r>
      <w:r w:rsidR="46DE566B">
        <w:t xml:space="preserve">residential </w:t>
      </w:r>
      <w:r w:rsidR="33D84220">
        <w:t>customer counts as the independent v</w:t>
      </w:r>
      <w:r w:rsidR="26CFEEF9">
        <w:t>ariabl</w:t>
      </w:r>
      <w:r w:rsidR="51CD3298">
        <w:t>e</w:t>
      </w:r>
      <w:r w:rsidR="26CFEEF9">
        <w:t>.</w:t>
      </w:r>
      <w:r w:rsidR="4DB71B5C">
        <w:t xml:space="preserve"> The weight will be calculated using residential customer counts</w:t>
      </w:r>
      <w:r w:rsidR="4BF1060C">
        <w:t>.</w:t>
      </w:r>
      <w:r w:rsidR="26CFEEF9">
        <w:t xml:space="preserve"> </w:t>
      </w:r>
      <w:r w:rsidR="26D14343">
        <w:t xml:space="preserve">In </w:t>
      </w:r>
      <w:r w:rsidR="010CB49B">
        <w:t>non-census</w:t>
      </w:r>
      <w:r w:rsidR="26CFEEF9">
        <w:t xml:space="preserve"> years, a weighted least squares regression model will also be used, but EIA will investigate using </w:t>
      </w:r>
      <w:r w:rsidR="001C21BC">
        <w:t>a company’s</w:t>
      </w:r>
      <w:r w:rsidR="26CFEEF9">
        <w:t xml:space="preserve"> prior census</w:t>
      </w:r>
      <w:r w:rsidR="157FD659">
        <w:t xml:space="preserve"> value as the independent variable and </w:t>
      </w:r>
      <w:r w:rsidR="30AA538D">
        <w:t xml:space="preserve">consequently </w:t>
      </w:r>
      <w:r w:rsidR="157FD659">
        <w:t xml:space="preserve">may use a </w:t>
      </w:r>
      <w:r w:rsidR="433EC11D">
        <w:t>model that is not the same as in the census year</w:t>
      </w:r>
      <w:r w:rsidR="77D45C59">
        <w:t xml:space="preserve">. </w:t>
      </w:r>
      <w:r w:rsidR="46E99519">
        <w:t xml:space="preserve">This </w:t>
      </w:r>
      <w:r w:rsidRPr="00617E1F" w:rsidR="277A1758">
        <w:t xml:space="preserve">estimation methodology </w:t>
      </w:r>
      <w:r w:rsidR="46E99519">
        <w:t>would be similar to the estimation methodology used in the Form EIA-861M</w:t>
      </w:r>
      <w:r w:rsidR="00F936A3">
        <w:t xml:space="preserve"> for other types of data items</w:t>
      </w:r>
      <w:r w:rsidR="46E99519">
        <w:t>.</w:t>
      </w:r>
      <w:r w:rsidR="157FD659">
        <w:t xml:space="preserve"> The model developed will be used to do both imputation for nonrespondents and edit failures, as well as estimation for </w:t>
      </w:r>
      <w:r w:rsidR="001B5474">
        <w:t>Non sampled</w:t>
      </w:r>
      <w:r w:rsidR="157FD659">
        <w:t xml:space="preserve"> companies. </w:t>
      </w:r>
    </w:p>
    <w:p w:rsidR="00A0509F" w:rsidP="00A0509F" w14:paraId="0D4C2C22" w14:textId="4751990A">
      <w:r>
        <w:t xml:space="preserve">The estimates generated will be </w:t>
      </w:r>
      <w:r w:rsidR="1BC5A5DC">
        <w:t xml:space="preserve">both national and </w:t>
      </w:r>
      <w:r>
        <w:t>state level totals of final notices, disconnections, and reconnections. Relative standard errors will also be calculated</w:t>
      </w:r>
      <w:r w:rsidR="607015CF">
        <w:t xml:space="preserve"> for the state level estimates and </w:t>
      </w:r>
      <w:r w:rsidR="00032928">
        <w:t>published with the corresponding estimates</w:t>
      </w:r>
      <w:r w:rsidR="607015CF">
        <w:t>.</w:t>
      </w:r>
    </w:p>
    <w:p w:rsidR="00A0509F" w:rsidP="00F936A3" w14:paraId="2FE0597D" w14:textId="77777777">
      <w:pPr>
        <w:pStyle w:val="Heading1"/>
        <w:rPr>
          <w:rFonts w:ascii="Segoe UI" w:hAnsi="Segoe UI" w:cs="Segoe UI"/>
          <w:sz w:val="18"/>
          <w:szCs w:val="18"/>
        </w:rPr>
      </w:pPr>
      <w:bookmarkStart w:id="4" w:name="_Toc165018109"/>
      <w:r>
        <w:rPr>
          <w:rStyle w:val="normaltextrun"/>
          <w:rFonts w:ascii="Calibri" w:hAnsi="Calibri" w:cs="Calibri"/>
          <w:b w:val="0"/>
          <w:bCs w:val="0"/>
          <w:sz w:val="28"/>
        </w:rPr>
        <w:t>B.3. Maximizing Response Rates</w:t>
      </w:r>
      <w:bookmarkEnd w:id="4"/>
      <w:r>
        <w:rPr>
          <w:rStyle w:val="eop"/>
          <w:rFonts w:ascii="Calibri" w:hAnsi="Calibri" w:cs="Calibri"/>
          <w:b w:val="0"/>
          <w:bCs w:val="0"/>
          <w:sz w:val="28"/>
        </w:rPr>
        <w:t> </w:t>
      </w:r>
    </w:p>
    <w:p w:rsidR="00A0509F" w:rsidP="00A0509F" w14:paraId="78911EA3" w14:textId="74BDC490">
      <w:pPr>
        <w:pStyle w:val="paragraph"/>
        <w:spacing w:before="0" w:beforeAutospacing="0" w:after="0" w:afterAutospacing="0"/>
        <w:textAlignment w:val="baseline"/>
        <w:rPr>
          <w:rStyle w:val="eop"/>
          <w:rFonts w:ascii="Calibri" w:hAnsi="Calibri" w:eastAsiaTheme="majorEastAsia" w:cs="Calibri"/>
          <w:sz w:val="22"/>
          <w:szCs w:val="22"/>
        </w:rPr>
      </w:pPr>
      <w:r>
        <w:rPr>
          <w:rStyle w:val="normaltextrun"/>
          <w:rFonts w:ascii="Calibri" w:hAnsi="Calibri" w:eastAsiaTheme="majorEastAsia" w:cs="Calibri"/>
          <w:sz w:val="22"/>
          <w:szCs w:val="22"/>
        </w:rPr>
        <w:t>To maximize response rates, the form has been designed and the instructions written to be clear and concise.</w:t>
      </w:r>
      <w:r>
        <w:rPr>
          <w:rStyle w:val="eop"/>
          <w:rFonts w:ascii="Calibri" w:hAnsi="Calibri" w:eastAsiaTheme="majorEastAsia" w:cs="Calibri"/>
          <w:sz w:val="22"/>
          <w:szCs w:val="22"/>
        </w:rPr>
        <w:t> </w:t>
      </w:r>
    </w:p>
    <w:p w:rsidR="00A0509F" w:rsidP="00A0509F" w14:paraId="72515570" w14:textId="77777777">
      <w:pPr>
        <w:pStyle w:val="paragraph"/>
        <w:spacing w:before="0" w:beforeAutospacing="0" w:after="0" w:afterAutospacing="0"/>
        <w:textAlignment w:val="baseline"/>
        <w:rPr>
          <w:rFonts w:ascii="Segoe UI" w:hAnsi="Segoe UI" w:cs="Segoe UI"/>
          <w:sz w:val="18"/>
          <w:szCs w:val="18"/>
        </w:rPr>
      </w:pPr>
    </w:p>
    <w:p w:rsidR="00A0509F" w:rsidP="00A0509F" w14:paraId="1917FEC6" w14:textId="311E7284">
      <w:r>
        <w:rPr>
          <w:rStyle w:val="normaltextrun"/>
          <w:rFonts w:ascii="Calibri" w:hAnsi="Calibri" w:eastAsiaTheme="majorEastAsia" w:cs="Calibri"/>
        </w:rPr>
        <w:t xml:space="preserve">Nonrespondents </w:t>
      </w:r>
      <w:r w:rsidR="0041488A">
        <w:rPr>
          <w:rStyle w:val="normaltextrun"/>
          <w:rFonts w:ascii="Calibri" w:hAnsi="Calibri" w:eastAsiaTheme="majorEastAsia" w:cs="Calibri"/>
        </w:rPr>
        <w:t>will be</w:t>
      </w:r>
      <w:r>
        <w:rPr>
          <w:rStyle w:val="normaltextrun"/>
          <w:rFonts w:ascii="Calibri" w:hAnsi="Calibri" w:eastAsiaTheme="majorEastAsia" w:cs="Calibri"/>
        </w:rPr>
        <w:t xml:space="preserve"> contacted by e-mail, telephone, and letter to request their data submission. If no response occurs, additional correspondence </w:t>
      </w:r>
      <w:r w:rsidR="0041488A">
        <w:rPr>
          <w:rStyle w:val="normaltextrun"/>
          <w:rFonts w:ascii="Calibri" w:hAnsi="Calibri" w:eastAsiaTheme="majorEastAsia" w:cs="Calibri"/>
        </w:rPr>
        <w:t>will be</w:t>
      </w:r>
      <w:r>
        <w:rPr>
          <w:rStyle w:val="normaltextrun"/>
          <w:rFonts w:ascii="Calibri" w:hAnsi="Calibri" w:eastAsiaTheme="majorEastAsia" w:cs="Calibri"/>
        </w:rPr>
        <w:t xml:space="preserve"> sent to higher</w:t>
      </w:r>
      <w:r w:rsidR="00032928">
        <w:rPr>
          <w:rStyle w:val="normaltextrun"/>
          <w:rFonts w:ascii="Calibri" w:hAnsi="Calibri" w:eastAsiaTheme="majorEastAsia" w:cs="Calibri"/>
        </w:rPr>
        <w:t>-</w:t>
      </w:r>
      <w:r>
        <w:rPr>
          <w:rStyle w:val="normaltextrun"/>
          <w:rFonts w:ascii="Calibri" w:hAnsi="Calibri" w:eastAsiaTheme="majorEastAsia" w:cs="Calibri"/>
        </w:rPr>
        <w:t>level management officials to request the submission of the data.</w:t>
      </w:r>
    </w:p>
    <w:p w:rsidR="00A0509F" w:rsidP="00A0509F" w14:paraId="152F7FF9" w14:textId="77777777"/>
    <w:p w:rsidR="00A0509F" w:rsidP="00F936A3" w14:paraId="60F78129" w14:textId="47F58A62">
      <w:pPr>
        <w:pStyle w:val="Heading1"/>
        <w:rPr>
          <w:rFonts w:ascii="Segoe UI" w:hAnsi="Segoe UI" w:cs="Segoe UI"/>
          <w:sz w:val="18"/>
          <w:szCs w:val="18"/>
        </w:rPr>
      </w:pPr>
      <w:bookmarkStart w:id="5" w:name="_Toc165018110"/>
      <w:r>
        <w:rPr>
          <w:rStyle w:val="normaltextrun"/>
          <w:rFonts w:ascii="Calibri" w:hAnsi="Calibri" w:cs="Calibri"/>
          <w:b w:val="0"/>
          <w:bCs w:val="0"/>
          <w:sz w:val="28"/>
        </w:rPr>
        <w:t>B.4. Test Procedures and Form Consultations</w:t>
      </w:r>
      <w:bookmarkEnd w:id="5"/>
      <w:r>
        <w:rPr>
          <w:rStyle w:val="eop"/>
          <w:rFonts w:ascii="Calibri" w:hAnsi="Calibri" w:cs="Calibri"/>
          <w:b w:val="0"/>
          <w:bCs w:val="0"/>
          <w:sz w:val="28"/>
        </w:rPr>
        <w:t> </w:t>
      </w:r>
    </w:p>
    <w:p w:rsidR="00A0509F" w:rsidP="3BF3F2EC" w14:paraId="7F5C4F6D" w14:textId="7DC793B8">
      <w:pPr>
        <w:spacing w:line="257" w:lineRule="auto"/>
      </w:pPr>
      <w:r>
        <w:t xml:space="preserve">EIA conducted a pilot study to support the collection of this new data series. </w:t>
      </w:r>
      <w:r w:rsidRPr="3BF3F2EC">
        <w:rPr>
          <w:rFonts w:ascii="Calibri" w:eastAsia="Calibri" w:hAnsi="Calibri" w:cs="Calibri"/>
        </w:rPr>
        <w:t xml:space="preserve">Data collection for the pilot study began on November 1, 2023. The reference period for this survey is October 2023. All reported statistics herein are only indicative of this single-month reference period. Data collection was handled through two modes: a webform and a spreadsheet form. Webforms were submitted through the EIA Respondent Portal, and spreadsheet forms were submitted through a Secure File Transfer Protocol (SFTP). </w:t>
      </w:r>
    </w:p>
    <w:p w:rsidR="00A0509F" w:rsidP="3BF3F2EC" w14:paraId="6926AA4D" w14:textId="77DA2D3B">
      <w:pPr>
        <w:spacing w:line="257" w:lineRule="auto"/>
      </w:pPr>
      <w:r w:rsidRPr="3BF3F2EC">
        <w:rPr>
          <w:rFonts w:ascii="Calibri" w:eastAsia="Calibri" w:hAnsi="Calibri" w:cs="Calibri"/>
        </w:rPr>
        <w:t>Respondents had until November 30, 2023, to complete their questionnaires. For any respondents who had not submitted, we conducted a targeted non-response phone follow-up. We stopped data collection efforts on December 15, 2023. Any late submissions were reviewed on a case-by-case basis.</w:t>
      </w:r>
    </w:p>
    <w:p w:rsidR="00A0509F" w:rsidP="3BF3F2EC" w14:paraId="694B959F" w14:textId="33FFE92F">
      <w:pPr>
        <w:spacing w:after="200"/>
      </w:pPr>
      <w:r w:rsidRPr="3BF3F2EC">
        <w:rPr>
          <w:rFonts w:ascii="Calibri" w:eastAsia="Calibri" w:hAnsi="Calibri" w:cs="Calibri"/>
          <w:color w:val="000000" w:themeColor="text1"/>
        </w:rPr>
        <w:t>For this pilot study, data were collected using Computer-Assisted Self-Interviews (CASI), also known as a web survey, from November 1, 2023, to December 15, 2023. The sample, as described below, received a survey invite email on October 25, 2023, and one reminder recruitment email on the opening day of data collection, November 1, 2023. Nonrespondents were sent two additional reminders on November 20, 2023, and November 28, 2023. Data collection stopped on December 15, 2023.</w:t>
      </w:r>
    </w:p>
    <w:p w:rsidR="00A0509F" w:rsidP="3BF3F2EC" w14:paraId="4F9365FF" w14:textId="7E059A70">
      <w:pPr>
        <w:spacing w:after="200"/>
      </w:pPr>
      <w:r w:rsidRPr="3BF3F2EC">
        <w:rPr>
          <w:rFonts w:ascii="Calibri" w:eastAsia="Calibri" w:hAnsi="Calibri" w:cs="Calibri"/>
          <w:color w:val="000000" w:themeColor="text1"/>
        </w:rPr>
        <w:t xml:space="preserve">The sample for the pilot study comprises electric and dual-service utilities from the electricity-based EIA-861M, </w:t>
      </w:r>
      <w:r w:rsidRPr="3BF3F2EC">
        <w:rPr>
          <w:rFonts w:ascii="Calibri" w:eastAsia="Calibri" w:hAnsi="Calibri" w:cs="Calibri"/>
          <w:i/>
          <w:iCs/>
          <w:color w:val="000000" w:themeColor="text1"/>
        </w:rPr>
        <w:t>Monthly Electric Power Industry Report</w:t>
      </w:r>
      <w:r w:rsidRPr="3BF3F2EC">
        <w:rPr>
          <w:rFonts w:ascii="Calibri" w:eastAsia="Calibri" w:hAnsi="Calibri" w:cs="Calibri"/>
          <w:color w:val="000000" w:themeColor="text1"/>
        </w:rPr>
        <w:t xml:space="preserve">, cutoff sample and natural gas and dual-service utilities </w:t>
      </w:r>
      <w:r w:rsidRPr="3BF3F2EC">
        <w:rPr>
          <w:rFonts w:ascii="Calibri" w:eastAsia="Calibri" w:hAnsi="Calibri" w:cs="Calibri"/>
          <w:color w:val="000000" w:themeColor="text1"/>
        </w:rPr>
        <w:t xml:space="preserve">from the natural gas-based EIA-857, </w:t>
      </w:r>
      <w:r w:rsidRPr="3BF3F2EC">
        <w:rPr>
          <w:rFonts w:ascii="Calibri" w:eastAsia="Calibri" w:hAnsi="Calibri" w:cs="Calibri"/>
          <w:i/>
          <w:iCs/>
          <w:color w:val="000000" w:themeColor="text1"/>
        </w:rPr>
        <w:t>Monthly Report of Natural Gas Purchases and Deliveries to Consumers</w:t>
      </w:r>
      <w:r w:rsidRPr="3BF3F2EC">
        <w:rPr>
          <w:rFonts w:ascii="Calibri" w:eastAsia="Calibri" w:hAnsi="Calibri" w:cs="Calibri"/>
          <w:color w:val="000000" w:themeColor="text1"/>
        </w:rPr>
        <w:t xml:space="preserve">, cutoff sample. Dual-service utilities provide both electricity and natural gas service. </w:t>
      </w:r>
    </w:p>
    <w:p w:rsidR="00A0509F" w:rsidP="3BF3F2EC" w14:paraId="7ECE3AC4" w14:textId="1BE15C1B">
      <w:pPr>
        <w:spacing w:after="200"/>
      </w:pPr>
      <w:r w:rsidRPr="3BF3F2EC">
        <w:rPr>
          <w:rFonts w:ascii="Calibri" w:eastAsia="Calibri" w:hAnsi="Calibri" w:cs="Calibri"/>
          <w:color w:val="000000" w:themeColor="text1"/>
        </w:rPr>
        <w:t xml:space="preserve">Because of state law, some utilities may not have had authority to conduct disconnections, and as such, reported zeros for the appropriate questions. Power marketers and third-party owners of rooftop solar were excluded from the sample because these respondents to the </w:t>
      </w:r>
      <w:r w:rsidRPr="3BF3F2EC">
        <w:rPr>
          <w:rFonts w:ascii="Calibri" w:eastAsia="Calibri" w:hAnsi="Calibri" w:cs="Calibri"/>
          <w:i/>
          <w:iCs/>
          <w:color w:val="000000" w:themeColor="text1"/>
        </w:rPr>
        <w:t>Monthly Electric Power Industry Report</w:t>
      </w:r>
      <w:r w:rsidRPr="3BF3F2EC">
        <w:rPr>
          <w:rFonts w:ascii="Calibri" w:eastAsia="Calibri" w:hAnsi="Calibri" w:cs="Calibri"/>
          <w:color w:val="000000" w:themeColor="text1"/>
        </w:rPr>
        <w:t xml:space="preserve"> do not provide electricity service directly.   </w:t>
      </w:r>
    </w:p>
    <w:p w:rsidR="00A0509F" w:rsidP="3BF3F2EC" w14:paraId="76BD39C5" w14:textId="1AEC5D20">
      <w:pPr>
        <w:spacing w:after="200"/>
      </w:pPr>
      <w:r w:rsidRPr="7809BE74">
        <w:rPr>
          <w:rFonts w:ascii="Calibri" w:eastAsia="Calibri" w:hAnsi="Calibri" w:cs="Calibri"/>
          <w:color w:val="000000" w:themeColor="text1"/>
        </w:rPr>
        <w:t>In total, the EIA-861M sample included 419 unique electric utilities, the EIA-857 included 157 unique natural gas utilities, and entities in both the EIA-861M and EIA-857 included 43 unique dual-service utilities. The selected sample units are located across different regions of the United States, are large utilities in terms of total sales volume, are of various sizes based on the number of residential customers (small, medium, large), and are of different types based on the ownership model (investor, municipal, public, cooperative, state, and federal).</w:t>
      </w:r>
    </w:p>
    <w:p w:rsidR="00A53BBE" w:rsidP="3BF3F2EC" w14:paraId="514E73B0" w14:textId="77777777">
      <w:pPr>
        <w:spacing w:line="257" w:lineRule="auto"/>
      </w:pPr>
      <w:r w:rsidRPr="3BF3F2EC">
        <w:rPr>
          <w:rFonts w:ascii="Calibri" w:eastAsia="Calibri" w:hAnsi="Calibri" w:cs="Calibri"/>
          <w:color w:val="000000" w:themeColor="text1"/>
        </w:rPr>
        <w:t>In total, 201 entities completed the pilot study, 16 entities partially completed the pilot study, 30 entities refused, and 415 entities did not respond. The response rate was 32.53%, excluding the partial completes from the numerator</w:t>
      </w:r>
      <w:r w:rsidRPr="3BF3F2EC" w:rsidR="32FB4D15">
        <w:rPr>
          <w:rFonts w:ascii="Calibri" w:eastAsia="Calibri" w:hAnsi="Calibri" w:cs="Calibri"/>
          <w:color w:val="000000" w:themeColor="text1"/>
        </w:rPr>
        <w:t>.</w:t>
      </w:r>
      <w:r w:rsidRPr="00A53BBE">
        <w:t xml:space="preserve"> </w:t>
      </w:r>
    </w:p>
    <w:p w:rsidR="00A0509F" w:rsidP="3BF3F2EC" w14:paraId="3D68EB36" w14:textId="6C7AF22D">
      <w:pPr>
        <w:spacing w:line="257" w:lineRule="auto"/>
        <w:rPr>
          <w:rFonts w:ascii="Calibri" w:eastAsia="Calibri" w:hAnsi="Calibri" w:cs="Calibri"/>
        </w:rPr>
      </w:pPr>
      <w:r w:rsidRPr="00A53BBE">
        <w:rPr>
          <w:rFonts w:ascii="Calibri" w:eastAsia="Calibri" w:hAnsi="Calibri" w:cs="Calibri"/>
          <w:color w:val="000000" w:themeColor="text1"/>
        </w:rPr>
        <w:t>The pilot study found that most utilities appear to be able to report this data without difficulty. In terms of difficulty, over half of respondents (52%) found it “very easy” or “somewhat easy,” and 73% of respondents said that completing the survey was either easy or neutral. Even respondents that reported difficulty were able to provide some but not all data as requested.</w:t>
      </w:r>
    </w:p>
    <w:p w:rsidR="00A0509F" w:rsidP="00A0509F" w14:paraId="552E9228" w14:textId="17DC1B74">
      <w:r w:rsidRPr="00394044">
        <w:t>For additional information on forms review, please see Part A, section A.8., “Summary of Consultations Outside of the Agency.”</w:t>
      </w:r>
      <w:r>
        <w:t xml:space="preserve"> For a summary of the comments received and EIA’s responses, see the Public Comment File submitted with this OMB package.</w:t>
      </w:r>
    </w:p>
    <w:p w:rsidR="00A0509F" w:rsidP="00F936A3" w14:paraId="782CC74F" w14:textId="77777777">
      <w:pPr>
        <w:pStyle w:val="Heading1"/>
        <w:rPr>
          <w:rFonts w:ascii="Segoe UI" w:hAnsi="Segoe UI" w:cs="Segoe UI"/>
          <w:sz w:val="18"/>
          <w:szCs w:val="18"/>
        </w:rPr>
      </w:pPr>
      <w:bookmarkStart w:id="6" w:name="_Toc165018111"/>
      <w:r>
        <w:rPr>
          <w:rStyle w:val="normaltextrun"/>
          <w:rFonts w:ascii="Calibri" w:hAnsi="Calibri" w:cs="Calibri"/>
          <w:b w:val="0"/>
          <w:bCs w:val="0"/>
          <w:sz w:val="28"/>
        </w:rPr>
        <w:t>B.5. Statistical Consultations</w:t>
      </w:r>
      <w:bookmarkEnd w:id="6"/>
      <w:r>
        <w:rPr>
          <w:rStyle w:val="eop"/>
          <w:rFonts w:ascii="Calibri" w:hAnsi="Calibri" w:cs="Calibri"/>
          <w:b w:val="0"/>
          <w:bCs w:val="0"/>
          <w:sz w:val="28"/>
        </w:rPr>
        <w:t> </w:t>
      </w:r>
    </w:p>
    <w:p w:rsidR="001A6025" w:rsidP="0E95795D" w14:paraId="13A5102B" w14:textId="07A4CB35">
      <w:pPr>
        <w:rPr>
          <w:rStyle w:val="normaltextrun"/>
        </w:rPr>
      </w:pPr>
      <w:r>
        <w:t xml:space="preserve">For additional information concerning this proposed information collection, please contact </w:t>
      </w:r>
      <w:r w:rsidRPr="00D266ED" w:rsidR="00D266ED">
        <w:t>EIA112@eia.gov</w:t>
      </w:r>
      <w:r w:rsidRPr="0E95795D" w:rsidR="00604F07">
        <w:rPr>
          <w:rStyle w:val="normaltextrun"/>
        </w:rPr>
        <w:t xml:space="preserve">. </w:t>
      </w:r>
    </w:p>
    <w:p w:rsidR="00A0509F" w14:paraId="325EE38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046" w:rsidRPr="001F3A8F" w:rsidP="003C7B00" w14:paraId="136EA6D1" w14:textId="7AF1A016">
    <w:pPr>
      <w:pStyle w:val="Footer"/>
    </w:pPr>
    <w:r w:rsidRPr="00CB180D">
      <w:t xml:space="preserve">U.S. Energy Information Administration   </w:t>
    </w:r>
    <w:r w:rsidRPr="00CB180D" w:rsidR="003C7B00">
      <w:t>| Supporting</w:t>
    </w:r>
    <w:r w:rsidR="003C7B00">
      <w:t xml:space="preserve"> Statement for</w:t>
    </w:r>
    <w:r w:rsidRPr="00CB180D">
      <w:t xml:space="preserve"> </w:t>
    </w:r>
    <w:r w:rsidRPr="00285B10" w:rsidR="00285B10">
      <w:t>Residential Utility Disconnections Survey</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046" w:rsidP="003C7B00" w14:paraId="5037DD3A"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2A6046" w:rsidP="003C7B00" w14:paraId="0A2ED2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046" w:rsidP="003C7B00" w14:paraId="4DEF81C8"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2A6046" w:rsidP="003C7B00" w14:paraId="7852C37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1">
    <w:nsid w:val="1EA8C13F"/>
    <w:multiLevelType w:val="hybridMultilevel"/>
    <w:tmpl w:val="E4C85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4EF0990"/>
    <w:multiLevelType w:val="hybridMultilevel"/>
    <w:tmpl w:val="91340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951E939"/>
    <w:multiLevelType w:val="hybridMultilevel"/>
    <w:tmpl w:val="A0F43E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7779275"/>
    <w:multiLevelType w:val="hybridMultilevel"/>
    <w:tmpl w:val="64EC47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EA77262"/>
    <w:multiLevelType w:val="hybridMultilevel"/>
    <w:tmpl w:val="4C3AB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EF3AD3E"/>
    <w:multiLevelType w:val="hybridMultilevel"/>
    <w:tmpl w:val="99D8901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F863061"/>
    <w:multiLevelType w:val="multilevel"/>
    <w:tmpl w:val="AA56594C"/>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8">
    <w:nsid w:val="750EB62B"/>
    <w:multiLevelType w:val="hybridMultilevel"/>
    <w:tmpl w:val="1BA4D19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89156E8"/>
    <w:multiLevelType w:val="hybridMultilevel"/>
    <w:tmpl w:val="14684C1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25814876">
    <w:abstractNumId w:val="1"/>
  </w:num>
  <w:num w:numId="2" w16cid:durableId="12995896">
    <w:abstractNumId w:val="2"/>
  </w:num>
  <w:num w:numId="3" w16cid:durableId="623852101">
    <w:abstractNumId w:val="5"/>
  </w:num>
  <w:num w:numId="4" w16cid:durableId="552888690">
    <w:abstractNumId w:val="7"/>
  </w:num>
  <w:num w:numId="5" w16cid:durableId="2061518478">
    <w:abstractNumId w:val="0"/>
  </w:num>
  <w:num w:numId="6" w16cid:durableId="1820072861">
    <w:abstractNumId w:val="4"/>
  </w:num>
  <w:num w:numId="7" w16cid:durableId="335108278">
    <w:abstractNumId w:val="8"/>
  </w:num>
  <w:num w:numId="8" w16cid:durableId="294219601">
    <w:abstractNumId w:val="9"/>
  </w:num>
  <w:num w:numId="9" w16cid:durableId="1473016643">
    <w:abstractNumId w:val="6"/>
  </w:num>
  <w:num w:numId="10" w16cid:durableId="833376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9F"/>
    <w:rsid w:val="00000F7A"/>
    <w:rsid w:val="00005DB8"/>
    <w:rsid w:val="00005EE6"/>
    <w:rsid w:val="000063B0"/>
    <w:rsid w:val="00011472"/>
    <w:rsid w:val="000138AC"/>
    <w:rsid w:val="000148CA"/>
    <w:rsid w:val="00023F1E"/>
    <w:rsid w:val="00030378"/>
    <w:rsid w:val="00032928"/>
    <w:rsid w:val="000406F1"/>
    <w:rsid w:val="00043284"/>
    <w:rsid w:val="000439B9"/>
    <w:rsid w:val="000448C3"/>
    <w:rsid w:val="00045B67"/>
    <w:rsid w:val="000520A4"/>
    <w:rsid w:val="000546D5"/>
    <w:rsid w:val="000546F2"/>
    <w:rsid w:val="000613E8"/>
    <w:rsid w:val="000627CF"/>
    <w:rsid w:val="00073B23"/>
    <w:rsid w:val="00090719"/>
    <w:rsid w:val="00091253"/>
    <w:rsid w:val="0009431A"/>
    <w:rsid w:val="000947A6"/>
    <w:rsid w:val="00095C2B"/>
    <w:rsid w:val="00096791"/>
    <w:rsid w:val="00096F9E"/>
    <w:rsid w:val="000A5C25"/>
    <w:rsid w:val="000B05BA"/>
    <w:rsid w:val="000C095E"/>
    <w:rsid w:val="000C0D00"/>
    <w:rsid w:val="000C2427"/>
    <w:rsid w:val="000C783A"/>
    <w:rsid w:val="000E17EF"/>
    <w:rsid w:val="000E61E1"/>
    <w:rsid w:val="000E6791"/>
    <w:rsid w:val="000E6E01"/>
    <w:rsid w:val="000F4124"/>
    <w:rsid w:val="000F6989"/>
    <w:rsid w:val="000F6A42"/>
    <w:rsid w:val="000F6EC5"/>
    <w:rsid w:val="00102418"/>
    <w:rsid w:val="001072E8"/>
    <w:rsid w:val="00107843"/>
    <w:rsid w:val="001142CF"/>
    <w:rsid w:val="00116408"/>
    <w:rsid w:val="00117AC0"/>
    <w:rsid w:val="00126E8F"/>
    <w:rsid w:val="00132F1F"/>
    <w:rsid w:val="001332E7"/>
    <w:rsid w:val="001334B9"/>
    <w:rsid w:val="00134073"/>
    <w:rsid w:val="00146F4D"/>
    <w:rsid w:val="00164FED"/>
    <w:rsid w:val="00174E81"/>
    <w:rsid w:val="00180DBD"/>
    <w:rsid w:val="001825C5"/>
    <w:rsid w:val="00182713"/>
    <w:rsid w:val="00190EE5"/>
    <w:rsid w:val="0019127F"/>
    <w:rsid w:val="00197FC1"/>
    <w:rsid w:val="001A1D3E"/>
    <w:rsid w:val="001A1E3E"/>
    <w:rsid w:val="001A5522"/>
    <w:rsid w:val="001A5BA8"/>
    <w:rsid w:val="001A5C42"/>
    <w:rsid w:val="001A6025"/>
    <w:rsid w:val="001A61B7"/>
    <w:rsid w:val="001B112C"/>
    <w:rsid w:val="001B5474"/>
    <w:rsid w:val="001B7E2A"/>
    <w:rsid w:val="001C1208"/>
    <w:rsid w:val="001C1A00"/>
    <w:rsid w:val="001C21BC"/>
    <w:rsid w:val="001C5A61"/>
    <w:rsid w:val="001E09BE"/>
    <w:rsid w:val="001E2B1B"/>
    <w:rsid w:val="001E4197"/>
    <w:rsid w:val="001F24A9"/>
    <w:rsid w:val="001F3A8F"/>
    <w:rsid w:val="001F4ABD"/>
    <w:rsid w:val="00203434"/>
    <w:rsid w:val="00224A27"/>
    <w:rsid w:val="00230C94"/>
    <w:rsid w:val="00242248"/>
    <w:rsid w:val="002502F3"/>
    <w:rsid w:val="00250A23"/>
    <w:rsid w:val="00251F5F"/>
    <w:rsid w:val="0025441D"/>
    <w:rsid w:val="00256017"/>
    <w:rsid w:val="002629A8"/>
    <w:rsid w:val="00266588"/>
    <w:rsid w:val="00274832"/>
    <w:rsid w:val="00277C84"/>
    <w:rsid w:val="002818F0"/>
    <w:rsid w:val="002828E0"/>
    <w:rsid w:val="00285B10"/>
    <w:rsid w:val="00286C14"/>
    <w:rsid w:val="00287CC9"/>
    <w:rsid w:val="00293835"/>
    <w:rsid w:val="002A3DAD"/>
    <w:rsid w:val="002A6046"/>
    <w:rsid w:val="002A6718"/>
    <w:rsid w:val="002A77D1"/>
    <w:rsid w:val="002B7958"/>
    <w:rsid w:val="002C3332"/>
    <w:rsid w:val="002E15D1"/>
    <w:rsid w:val="002E4E80"/>
    <w:rsid w:val="002F27BB"/>
    <w:rsid w:val="002F6428"/>
    <w:rsid w:val="003015B2"/>
    <w:rsid w:val="00302621"/>
    <w:rsid w:val="00310790"/>
    <w:rsid w:val="003127D3"/>
    <w:rsid w:val="00322CC2"/>
    <w:rsid w:val="00323A7C"/>
    <w:rsid w:val="0032490A"/>
    <w:rsid w:val="003349EB"/>
    <w:rsid w:val="00334DC5"/>
    <w:rsid w:val="00345AED"/>
    <w:rsid w:val="00363045"/>
    <w:rsid w:val="0036745F"/>
    <w:rsid w:val="0037298E"/>
    <w:rsid w:val="00372AF2"/>
    <w:rsid w:val="0037512B"/>
    <w:rsid w:val="00375C75"/>
    <w:rsid w:val="00377C95"/>
    <w:rsid w:val="00383F2B"/>
    <w:rsid w:val="003912F8"/>
    <w:rsid w:val="00393FB2"/>
    <w:rsid w:val="00394044"/>
    <w:rsid w:val="003943C6"/>
    <w:rsid w:val="00396917"/>
    <w:rsid w:val="003A39DE"/>
    <w:rsid w:val="003A491B"/>
    <w:rsid w:val="003A634A"/>
    <w:rsid w:val="003B0E80"/>
    <w:rsid w:val="003B1902"/>
    <w:rsid w:val="003B3782"/>
    <w:rsid w:val="003B4862"/>
    <w:rsid w:val="003C04E6"/>
    <w:rsid w:val="003C7B00"/>
    <w:rsid w:val="003C7DA7"/>
    <w:rsid w:val="003E648A"/>
    <w:rsid w:val="003F138E"/>
    <w:rsid w:val="003F1D91"/>
    <w:rsid w:val="003F2409"/>
    <w:rsid w:val="00406230"/>
    <w:rsid w:val="004075AA"/>
    <w:rsid w:val="00412C63"/>
    <w:rsid w:val="0041488A"/>
    <w:rsid w:val="00415422"/>
    <w:rsid w:val="00415874"/>
    <w:rsid w:val="00415C72"/>
    <w:rsid w:val="00416E49"/>
    <w:rsid w:val="00417704"/>
    <w:rsid w:val="00417ED8"/>
    <w:rsid w:val="00435F83"/>
    <w:rsid w:val="0044092A"/>
    <w:rsid w:val="00442056"/>
    <w:rsid w:val="0044536F"/>
    <w:rsid w:val="004520CA"/>
    <w:rsid w:val="00456ABF"/>
    <w:rsid w:val="00457A99"/>
    <w:rsid w:val="004665FB"/>
    <w:rsid w:val="00470E5E"/>
    <w:rsid w:val="00475A3D"/>
    <w:rsid w:val="00477172"/>
    <w:rsid w:val="00480673"/>
    <w:rsid w:val="00481021"/>
    <w:rsid w:val="00483849"/>
    <w:rsid w:val="00490D65"/>
    <w:rsid w:val="0049708E"/>
    <w:rsid w:val="004977F4"/>
    <w:rsid w:val="004A1341"/>
    <w:rsid w:val="004A2C2F"/>
    <w:rsid w:val="004B1860"/>
    <w:rsid w:val="004B2EF0"/>
    <w:rsid w:val="004B40D3"/>
    <w:rsid w:val="004C1000"/>
    <w:rsid w:val="004C21F8"/>
    <w:rsid w:val="004C2EF4"/>
    <w:rsid w:val="004C3758"/>
    <w:rsid w:val="004C5010"/>
    <w:rsid w:val="004C5BBC"/>
    <w:rsid w:val="004C7999"/>
    <w:rsid w:val="004D16EC"/>
    <w:rsid w:val="004D17A5"/>
    <w:rsid w:val="004D3D92"/>
    <w:rsid w:val="004D41DA"/>
    <w:rsid w:val="004D63D4"/>
    <w:rsid w:val="004E0D14"/>
    <w:rsid w:val="004E2638"/>
    <w:rsid w:val="004E53AD"/>
    <w:rsid w:val="004F09E0"/>
    <w:rsid w:val="004F16FE"/>
    <w:rsid w:val="004F33C6"/>
    <w:rsid w:val="004F3B26"/>
    <w:rsid w:val="00504938"/>
    <w:rsid w:val="00504C72"/>
    <w:rsid w:val="00507A76"/>
    <w:rsid w:val="005139EA"/>
    <w:rsid w:val="00517B64"/>
    <w:rsid w:val="00521636"/>
    <w:rsid w:val="00523A28"/>
    <w:rsid w:val="005259E9"/>
    <w:rsid w:val="00526BFC"/>
    <w:rsid w:val="00534386"/>
    <w:rsid w:val="00540FFD"/>
    <w:rsid w:val="00543591"/>
    <w:rsid w:val="005457BE"/>
    <w:rsid w:val="00553550"/>
    <w:rsid w:val="00557BE4"/>
    <w:rsid w:val="0056021E"/>
    <w:rsid w:val="00561C39"/>
    <w:rsid w:val="0056397C"/>
    <w:rsid w:val="0056669B"/>
    <w:rsid w:val="00571E60"/>
    <w:rsid w:val="00572D4D"/>
    <w:rsid w:val="00574048"/>
    <w:rsid w:val="00574919"/>
    <w:rsid w:val="005752EE"/>
    <w:rsid w:val="00575926"/>
    <w:rsid w:val="00576C5E"/>
    <w:rsid w:val="00580F3F"/>
    <w:rsid w:val="005817AD"/>
    <w:rsid w:val="00584C6B"/>
    <w:rsid w:val="0059212D"/>
    <w:rsid w:val="005A0F02"/>
    <w:rsid w:val="005A1037"/>
    <w:rsid w:val="005A15B2"/>
    <w:rsid w:val="005A1E8F"/>
    <w:rsid w:val="005A3EB9"/>
    <w:rsid w:val="005A489E"/>
    <w:rsid w:val="005A4B88"/>
    <w:rsid w:val="005A6A62"/>
    <w:rsid w:val="005C456F"/>
    <w:rsid w:val="005C48F8"/>
    <w:rsid w:val="005D229D"/>
    <w:rsid w:val="005D626E"/>
    <w:rsid w:val="005E0166"/>
    <w:rsid w:val="005E280E"/>
    <w:rsid w:val="005F1F9D"/>
    <w:rsid w:val="005F267B"/>
    <w:rsid w:val="005F3B80"/>
    <w:rsid w:val="005F3DEF"/>
    <w:rsid w:val="00604F07"/>
    <w:rsid w:val="00612323"/>
    <w:rsid w:val="00613300"/>
    <w:rsid w:val="00613DC9"/>
    <w:rsid w:val="00614086"/>
    <w:rsid w:val="00617E1F"/>
    <w:rsid w:val="00621555"/>
    <w:rsid w:val="006267E3"/>
    <w:rsid w:val="00630C4E"/>
    <w:rsid w:val="00630F43"/>
    <w:rsid w:val="0063701E"/>
    <w:rsid w:val="00637AD9"/>
    <w:rsid w:val="00643917"/>
    <w:rsid w:val="006449D4"/>
    <w:rsid w:val="006474D5"/>
    <w:rsid w:val="00652C0E"/>
    <w:rsid w:val="00661C65"/>
    <w:rsid w:val="00666C01"/>
    <w:rsid w:val="00681192"/>
    <w:rsid w:val="00683198"/>
    <w:rsid w:val="00683677"/>
    <w:rsid w:val="0068643B"/>
    <w:rsid w:val="00686A65"/>
    <w:rsid w:val="00692EC5"/>
    <w:rsid w:val="00693725"/>
    <w:rsid w:val="00697669"/>
    <w:rsid w:val="00697D5C"/>
    <w:rsid w:val="006A071E"/>
    <w:rsid w:val="006A4DB2"/>
    <w:rsid w:val="006A5ABE"/>
    <w:rsid w:val="006A6B1C"/>
    <w:rsid w:val="006B13E6"/>
    <w:rsid w:val="006B2AB9"/>
    <w:rsid w:val="006B3507"/>
    <w:rsid w:val="006B3E1E"/>
    <w:rsid w:val="006B3F6F"/>
    <w:rsid w:val="006B77B5"/>
    <w:rsid w:val="006C07D6"/>
    <w:rsid w:val="006C1171"/>
    <w:rsid w:val="006C46E8"/>
    <w:rsid w:val="006C577E"/>
    <w:rsid w:val="006C69F8"/>
    <w:rsid w:val="006D39BC"/>
    <w:rsid w:val="006D4B82"/>
    <w:rsid w:val="006D73F5"/>
    <w:rsid w:val="006E7541"/>
    <w:rsid w:val="006F0EB3"/>
    <w:rsid w:val="006F3D54"/>
    <w:rsid w:val="006F4BB3"/>
    <w:rsid w:val="007005B7"/>
    <w:rsid w:val="00711E46"/>
    <w:rsid w:val="00717DDB"/>
    <w:rsid w:val="00722598"/>
    <w:rsid w:val="007226D0"/>
    <w:rsid w:val="00724F6A"/>
    <w:rsid w:val="00731304"/>
    <w:rsid w:val="00731654"/>
    <w:rsid w:val="00731CC3"/>
    <w:rsid w:val="00742101"/>
    <w:rsid w:val="00744E8E"/>
    <w:rsid w:val="007478EC"/>
    <w:rsid w:val="007510A3"/>
    <w:rsid w:val="0075378D"/>
    <w:rsid w:val="00760677"/>
    <w:rsid w:val="00760C7A"/>
    <w:rsid w:val="0077772A"/>
    <w:rsid w:val="0078117C"/>
    <w:rsid w:val="0079254B"/>
    <w:rsid w:val="007937A4"/>
    <w:rsid w:val="007954EB"/>
    <w:rsid w:val="007A76E6"/>
    <w:rsid w:val="007B41D1"/>
    <w:rsid w:val="007C2B68"/>
    <w:rsid w:val="007C352A"/>
    <w:rsid w:val="007C4AE5"/>
    <w:rsid w:val="007D0558"/>
    <w:rsid w:val="007D11CB"/>
    <w:rsid w:val="007D3746"/>
    <w:rsid w:val="007D3CE9"/>
    <w:rsid w:val="007E1EFA"/>
    <w:rsid w:val="007E3A2D"/>
    <w:rsid w:val="007E7F53"/>
    <w:rsid w:val="007F1467"/>
    <w:rsid w:val="007F265A"/>
    <w:rsid w:val="007F73E5"/>
    <w:rsid w:val="008079D5"/>
    <w:rsid w:val="008135AE"/>
    <w:rsid w:val="00824D2E"/>
    <w:rsid w:val="0082726C"/>
    <w:rsid w:val="00827B6A"/>
    <w:rsid w:val="00827F15"/>
    <w:rsid w:val="008303BB"/>
    <w:rsid w:val="00834775"/>
    <w:rsid w:val="008369C4"/>
    <w:rsid w:val="0084081B"/>
    <w:rsid w:val="00844FF5"/>
    <w:rsid w:val="0085275C"/>
    <w:rsid w:val="008564A3"/>
    <w:rsid w:val="0086254C"/>
    <w:rsid w:val="00871E51"/>
    <w:rsid w:val="00880278"/>
    <w:rsid w:val="008818B5"/>
    <w:rsid w:val="0088244E"/>
    <w:rsid w:val="008838F6"/>
    <w:rsid w:val="008840EC"/>
    <w:rsid w:val="008908FD"/>
    <w:rsid w:val="00890964"/>
    <w:rsid w:val="008A0719"/>
    <w:rsid w:val="008A43FC"/>
    <w:rsid w:val="008B1F3B"/>
    <w:rsid w:val="008B4902"/>
    <w:rsid w:val="008C0CFB"/>
    <w:rsid w:val="008C3B87"/>
    <w:rsid w:val="008C5047"/>
    <w:rsid w:val="008E0FE4"/>
    <w:rsid w:val="008E358E"/>
    <w:rsid w:val="008F41DC"/>
    <w:rsid w:val="00900DAB"/>
    <w:rsid w:val="00902573"/>
    <w:rsid w:val="00902654"/>
    <w:rsid w:val="00903923"/>
    <w:rsid w:val="00911C89"/>
    <w:rsid w:val="00915350"/>
    <w:rsid w:val="009205E4"/>
    <w:rsid w:val="00921E7E"/>
    <w:rsid w:val="00930139"/>
    <w:rsid w:val="0093224A"/>
    <w:rsid w:val="0093392B"/>
    <w:rsid w:val="00940123"/>
    <w:rsid w:val="00940C60"/>
    <w:rsid w:val="009419DE"/>
    <w:rsid w:val="00943745"/>
    <w:rsid w:val="0095519A"/>
    <w:rsid w:val="009566B7"/>
    <w:rsid w:val="00956C9E"/>
    <w:rsid w:val="00957EDA"/>
    <w:rsid w:val="00960189"/>
    <w:rsid w:val="009616E2"/>
    <w:rsid w:val="00962F9F"/>
    <w:rsid w:val="009651F6"/>
    <w:rsid w:val="0097226F"/>
    <w:rsid w:val="009728BB"/>
    <w:rsid w:val="009740CC"/>
    <w:rsid w:val="00974F33"/>
    <w:rsid w:val="00975B53"/>
    <w:rsid w:val="0098215D"/>
    <w:rsid w:val="0099264D"/>
    <w:rsid w:val="00997ED1"/>
    <w:rsid w:val="009A187E"/>
    <w:rsid w:val="009A2DA1"/>
    <w:rsid w:val="009A509E"/>
    <w:rsid w:val="009B09F7"/>
    <w:rsid w:val="009B1D26"/>
    <w:rsid w:val="009C321C"/>
    <w:rsid w:val="009C5BCA"/>
    <w:rsid w:val="009C6FDD"/>
    <w:rsid w:val="009D2C42"/>
    <w:rsid w:val="009D34B2"/>
    <w:rsid w:val="009E443A"/>
    <w:rsid w:val="009E4537"/>
    <w:rsid w:val="009F3084"/>
    <w:rsid w:val="009F496A"/>
    <w:rsid w:val="009F61F7"/>
    <w:rsid w:val="009F64EB"/>
    <w:rsid w:val="00A0509F"/>
    <w:rsid w:val="00A10991"/>
    <w:rsid w:val="00A204E1"/>
    <w:rsid w:val="00A21E68"/>
    <w:rsid w:val="00A22FFF"/>
    <w:rsid w:val="00A2633A"/>
    <w:rsid w:val="00A3778F"/>
    <w:rsid w:val="00A40784"/>
    <w:rsid w:val="00A44351"/>
    <w:rsid w:val="00A51049"/>
    <w:rsid w:val="00A53BBE"/>
    <w:rsid w:val="00A53DE4"/>
    <w:rsid w:val="00A553D8"/>
    <w:rsid w:val="00A579FE"/>
    <w:rsid w:val="00A618F1"/>
    <w:rsid w:val="00A672D6"/>
    <w:rsid w:val="00A82D47"/>
    <w:rsid w:val="00A830EB"/>
    <w:rsid w:val="00A872C2"/>
    <w:rsid w:val="00A94C19"/>
    <w:rsid w:val="00A95861"/>
    <w:rsid w:val="00AA259E"/>
    <w:rsid w:val="00AA5B5D"/>
    <w:rsid w:val="00AA6CBA"/>
    <w:rsid w:val="00AA7BEF"/>
    <w:rsid w:val="00AB0085"/>
    <w:rsid w:val="00AB08ED"/>
    <w:rsid w:val="00AB328F"/>
    <w:rsid w:val="00AD395E"/>
    <w:rsid w:val="00AD5284"/>
    <w:rsid w:val="00AE1C20"/>
    <w:rsid w:val="00AE30D2"/>
    <w:rsid w:val="00AE32F5"/>
    <w:rsid w:val="00AE38DF"/>
    <w:rsid w:val="00AE4A6E"/>
    <w:rsid w:val="00AF09FA"/>
    <w:rsid w:val="00AF1A0E"/>
    <w:rsid w:val="00AF5AE9"/>
    <w:rsid w:val="00AF6575"/>
    <w:rsid w:val="00B00C9E"/>
    <w:rsid w:val="00B011D0"/>
    <w:rsid w:val="00B04804"/>
    <w:rsid w:val="00B06ABA"/>
    <w:rsid w:val="00B06F80"/>
    <w:rsid w:val="00B07656"/>
    <w:rsid w:val="00B16288"/>
    <w:rsid w:val="00B165E5"/>
    <w:rsid w:val="00B21F73"/>
    <w:rsid w:val="00B35B05"/>
    <w:rsid w:val="00B41253"/>
    <w:rsid w:val="00B473F1"/>
    <w:rsid w:val="00B519A1"/>
    <w:rsid w:val="00B531C9"/>
    <w:rsid w:val="00B53B99"/>
    <w:rsid w:val="00B5561B"/>
    <w:rsid w:val="00B618EC"/>
    <w:rsid w:val="00B721CF"/>
    <w:rsid w:val="00B80E93"/>
    <w:rsid w:val="00B8412B"/>
    <w:rsid w:val="00B87F53"/>
    <w:rsid w:val="00B91465"/>
    <w:rsid w:val="00B9268B"/>
    <w:rsid w:val="00B942C2"/>
    <w:rsid w:val="00B95CEE"/>
    <w:rsid w:val="00BA012B"/>
    <w:rsid w:val="00BA62A7"/>
    <w:rsid w:val="00BB4970"/>
    <w:rsid w:val="00BB7082"/>
    <w:rsid w:val="00BB74F9"/>
    <w:rsid w:val="00BB75CE"/>
    <w:rsid w:val="00BC0D24"/>
    <w:rsid w:val="00BC2815"/>
    <w:rsid w:val="00BC4EF6"/>
    <w:rsid w:val="00BC623E"/>
    <w:rsid w:val="00BC767A"/>
    <w:rsid w:val="00BD0577"/>
    <w:rsid w:val="00BD102B"/>
    <w:rsid w:val="00BE3CBC"/>
    <w:rsid w:val="00BE4F6D"/>
    <w:rsid w:val="00BF0AE4"/>
    <w:rsid w:val="00BF1D76"/>
    <w:rsid w:val="00BF1D87"/>
    <w:rsid w:val="00BF4D18"/>
    <w:rsid w:val="00BF68B6"/>
    <w:rsid w:val="00C03496"/>
    <w:rsid w:val="00C10A12"/>
    <w:rsid w:val="00C10B75"/>
    <w:rsid w:val="00C113F8"/>
    <w:rsid w:val="00C154E8"/>
    <w:rsid w:val="00C155F6"/>
    <w:rsid w:val="00C21D7A"/>
    <w:rsid w:val="00C26148"/>
    <w:rsid w:val="00C26702"/>
    <w:rsid w:val="00C67747"/>
    <w:rsid w:val="00C711EF"/>
    <w:rsid w:val="00C77D45"/>
    <w:rsid w:val="00C833B8"/>
    <w:rsid w:val="00C86F0A"/>
    <w:rsid w:val="00C879F7"/>
    <w:rsid w:val="00C9316A"/>
    <w:rsid w:val="00C9374B"/>
    <w:rsid w:val="00C93874"/>
    <w:rsid w:val="00C94184"/>
    <w:rsid w:val="00CA332D"/>
    <w:rsid w:val="00CB180D"/>
    <w:rsid w:val="00CB33A8"/>
    <w:rsid w:val="00CB4FD9"/>
    <w:rsid w:val="00CC0078"/>
    <w:rsid w:val="00CC58A1"/>
    <w:rsid w:val="00CC7841"/>
    <w:rsid w:val="00CD3380"/>
    <w:rsid w:val="00CE4535"/>
    <w:rsid w:val="00CE7376"/>
    <w:rsid w:val="00CE7A69"/>
    <w:rsid w:val="00CF2272"/>
    <w:rsid w:val="00CF24F0"/>
    <w:rsid w:val="00CF7AA0"/>
    <w:rsid w:val="00D00268"/>
    <w:rsid w:val="00D00992"/>
    <w:rsid w:val="00D03111"/>
    <w:rsid w:val="00D111D6"/>
    <w:rsid w:val="00D1170A"/>
    <w:rsid w:val="00D1207D"/>
    <w:rsid w:val="00D15B97"/>
    <w:rsid w:val="00D21699"/>
    <w:rsid w:val="00D22CDE"/>
    <w:rsid w:val="00D250FD"/>
    <w:rsid w:val="00D266ED"/>
    <w:rsid w:val="00D30095"/>
    <w:rsid w:val="00D32054"/>
    <w:rsid w:val="00D372E5"/>
    <w:rsid w:val="00D401F1"/>
    <w:rsid w:val="00D47582"/>
    <w:rsid w:val="00D53175"/>
    <w:rsid w:val="00D53584"/>
    <w:rsid w:val="00D606D4"/>
    <w:rsid w:val="00D634BA"/>
    <w:rsid w:val="00D63E4C"/>
    <w:rsid w:val="00D6444D"/>
    <w:rsid w:val="00D65E3D"/>
    <w:rsid w:val="00D6678A"/>
    <w:rsid w:val="00D67E56"/>
    <w:rsid w:val="00D75690"/>
    <w:rsid w:val="00D762CB"/>
    <w:rsid w:val="00D7691D"/>
    <w:rsid w:val="00D77534"/>
    <w:rsid w:val="00D777D8"/>
    <w:rsid w:val="00D84C54"/>
    <w:rsid w:val="00D92F99"/>
    <w:rsid w:val="00DA1411"/>
    <w:rsid w:val="00DB0200"/>
    <w:rsid w:val="00DB63A0"/>
    <w:rsid w:val="00DC093C"/>
    <w:rsid w:val="00DC23FE"/>
    <w:rsid w:val="00DC732B"/>
    <w:rsid w:val="00DD2FC3"/>
    <w:rsid w:val="00DD4B30"/>
    <w:rsid w:val="00DD5336"/>
    <w:rsid w:val="00DD7FE0"/>
    <w:rsid w:val="00DE0FA9"/>
    <w:rsid w:val="00DE16EC"/>
    <w:rsid w:val="00DE4F67"/>
    <w:rsid w:val="00DE7A1C"/>
    <w:rsid w:val="00DF28BF"/>
    <w:rsid w:val="00DF77FB"/>
    <w:rsid w:val="00E054DF"/>
    <w:rsid w:val="00E05685"/>
    <w:rsid w:val="00E12395"/>
    <w:rsid w:val="00E15EB9"/>
    <w:rsid w:val="00E21C24"/>
    <w:rsid w:val="00E251E2"/>
    <w:rsid w:val="00E25638"/>
    <w:rsid w:val="00E25771"/>
    <w:rsid w:val="00E26E7A"/>
    <w:rsid w:val="00E27B3F"/>
    <w:rsid w:val="00E312AC"/>
    <w:rsid w:val="00E3173C"/>
    <w:rsid w:val="00E349E6"/>
    <w:rsid w:val="00E35B0D"/>
    <w:rsid w:val="00E421C7"/>
    <w:rsid w:val="00E468D1"/>
    <w:rsid w:val="00E509A9"/>
    <w:rsid w:val="00E50A7F"/>
    <w:rsid w:val="00E52860"/>
    <w:rsid w:val="00E540EF"/>
    <w:rsid w:val="00E54275"/>
    <w:rsid w:val="00E55446"/>
    <w:rsid w:val="00E5739B"/>
    <w:rsid w:val="00E57CAC"/>
    <w:rsid w:val="00E65C87"/>
    <w:rsid w:val="00E77F65"/>
    <w:rsid w:val="00E80BD6"/>
    <w:rsid w:val="00E97406"/>
    <w:rsid w:val="00EA3B59"/>
    <w:rsid w:val="00EA421A"/>
    <w:rsid w:val="00EC081E"/>
    <w:rsid w:val="00EC52CD"/>
    <w:rsid w:val="00EC793B"/>
    <w:rsid w:val="00ED06EA"/>
    <w:rsid w:val="00ED7A24"/>
    <w:rsid w:val="00EF098B"/>
    <w:rsid w:val="00EF3112"/>
    <w:rsid w:val="00EF4B0A"/>
    <w:rsid w:val="00EF5C7B"/>
    <w:rsid w:val="00F01B18"/>
    <w:rsid w:val="00F07AF0"/>
    <w:rsid w:val="00F2138A"/>
    <w:rsid w:val="00F32167"/>
    <w:rsid w:val="00F351E4"/>
    <w:rsid w:val="00F424CD"/>
    <w:rsid w:val="00F5170E"/>
    <w:rsid w:val="00F51ADA"/>
    <w:rsid w:val="00F54B0B"/>
    <w:rsid w:val="00F5599D"/>
    <w:rsid w:val="00F61C78"/>
    <w:rsid w:val="00F64586"/>
    <w:rsid w:val="00F64A9E"/>
    <w:rsid w:val="00F6581B"/>
    <w:rsid w:val="00F83737"/>
    <w:rsid w:val="00F83D87"/>
    <w:rsid w:val="00F863B0"/>
    <w:rsid w:val="00F92065"/>
    <w:rsid w:val="00F936A3"/>
    <w:rsid w:val="00F949B9"/>
    <w:rsid w:val="00F95669"/>
    <w:rsid w:val="00F9702B"/>
    <w:rsid w:val="00FA4B7D"/>
    <w:rsid w:val="00FB2698"/>
    <w:rsid w:val="00FB4A9C"/>
    <w:rsid w:val="00FC0F96"/>
    <w:rsid w:val="00FC1D3B"/>
    <w:rsid w:val="00FC28FE"/>
    <w:rsid w:val="00FC4DFD"/>
    <w:rsid w:val="00FD1CE3"/>
    <w:rsid w:val="00FD3A85"/>
    <w:rsid w:val="00FD623D"/>
    <w:rsid w:val="00FE20C8"/>
    <w:rsid w:val="00FE3D43"/>
    <w:rsid w:val="00FE60FF"/>
    <w:rsid w:val="00FE62BE"/>
    <w:rsid w:val="00FF0B8C"/>
    <w:rsid w:val="00FF2686"/>
    <w:rsid w:val="00FF2FFA"/>
    <w:rsid w:val="00FF3E2B"/>
    <w:rsid w:val="00FF4D8A"/>
    <w:rsid w:val="00FF5552"/>
    <w:rsid w:val="00FF7BD4"/>
    <w:rsid w:val="010CB49B"/>
    <w:rsid w:val="0184EDE5"/>
    <w:rsid w:val="020AFF95"/>
    <w:rsid w:val="036B590F"/>
    <w:rsid w:val="04B80D2E"/>
    <w:rsid w:val="04FA580B"/>
    <w:rsid w:val="0513DD86"/>
    <w:rsid w:val="0536E641"/>
    <w:rsid w:val="06970801"/>
    <w:rsid w:val="06C4E6E4"/>
    <w:rsid w:val="07638547"/>
    <w:rsid w:val="08177AEF"/>
    <w:rsid w:val="089BCFBB"/>
    <w:rsid w:val="09C278D8"/>
    <w:rsid w:val="09D28B3A"/>
    <w:rsid w:val="09FE167A"/>
    <w:rsid w:val="0AB14055"/>
    <w:rsid w:val="0B0B835D"/>
    <w:rsid w:val="0B54A310"/>
    <w:rsid w:val="0C69911A"/>
    <w:rsid w:val="0C7B08BC"/>
    <w:rsid w:val="0E60B3A1"/>
    <w:rsid w:val="0E95795D"/>
    <w:rsid w:val="0ECC74A7"/>
    <w:rsid w:val="0EF03BB9"/>
    <w:rsid w:val="0EFC1DFF"/>
    <w:rsid w:val="0F3D530D"/>
    <w:rsid w:val="0F907DD8"/>
    <w:rsid w:val="0F98B989"/>
    <w:rsid w:val="1069C3B1"/>
    <w:rsid w:val="12E34CEF"/>
    <w:rsid w:val="12FD7965"/>
    <w:rsid w:val="131DCA1F"/>
    <w:rsid w:val="1328A392"/>
    <w:rsid w:val="1330222E"/>
    <w:rsid w:val="13486617"/>
    <w:rsid w:val="150996F3"/>
    <w:rsid w:val="1518031D"/>
    <w:rsid w:val="157FD659"/>
    <w:rsid w:val="16369535"/>
    <w:rsid w:val="1714DD1A"/>
    <w:rsid w:val="1727208F"/>
    <w:rsid w:val="173C7BE3"/>
    <w:rsid w:val="1795C406"/>
    <w:rsid w:val="1817ABDA"/>
    <w:rsid w:val="18310F9B"/>
    <w:rsid w:val="183FEC48"/>
    <w:rsid w:val="19AB4BA7"/>
    <w:rsid w:val="19BAEF39"/>
    <w:rsid w:val="19CAF5E8"/>
    <w:rsid w:val="1ADD4BD2"/>
    <w:rsid w:val="1B234632"/>
    <w:rsid w:val="1B36C894"/>
    <w:rsid w:val="1B833251"/>
    <w:rsid w:val="1B9EB49D"/>
    <w:rsid w:val="1BC5A5DC"/>
    <w:rsid w:val="1C56A18B"/>
    <w:rsid w:val="1C74D4BA"/>
    <w:rsid w:val="1D21729B"/>
    <w:rsid w:val="1D285EAA"/>
    <w:rsid w:val="1DA47652"/>
    <w:rsid w:val="1E8FA1F3"/>
    <w:rsid w:val="1EE0DF97"/>
    <w:rsid w:val="1F340261"/>
    <w:rsid w:val="1FC7B91B"/>
    <w:rsid w:val="20FEB353"/>
    <w:rsid w:val="219FC6BA"/>
    <w:rsid w:val="21D0AFB9"/>
    <w:rsid w:val="21D80826"/>
    <w:rsid w:val="2279AD2A"/>
    <w:rsid w:val="228B30B0"/>
    <w:rsid w:val="22BF3167"/>
    <w:rsid w:val="22E3D576"/>
    <w:rsid w:val="22FD0079"/>
    <w:rsid w:val="2330FEC3"/>
    <w:rsid w:val="23940F5F"/>
    <w:rsid w:val="23EB6041"/>
    <w:rsid w:val="25844C48"/>
    <w:rsid w:val="26A494B7"/>
    <w:rsid w:val="26CFEEF9"/>
    <w:rsid w:val="26D14343"/>
    <w:rsid w:val="26E31947"/>
    <w:rsid w:val="27629585"/>
    <w:rsid w:val="277A1758"/>
    <w:rsid w:val="27AD9221"/>
    <w:rsid w:val="281447E0"/>
    <w:rsid w:val="281C7B80"/>
    <w:rsid w:val="28207D89"/>
    <w:rsid w:val="282B4953"/>
    <w:rsid w:val="283A7C43"/>
    <w:rsid w:val="285EC7C5"/>
    <w:rsid w:val="289A66A0"/>
    <w:rsid w:val="2A8D39E8"/>
    <w:rsid w:val="2A9CC518"/>
    <w:rsid w:val="2BAA9216"/>
    <w:rsid w:val="2CE22AD8"/>
    <w:rsid w:val="2D57BB2D"/>
    <w:rsid w:val="2E022054"/>
    <w:rsid w:val="2E16B245"/>
    <w:rsid w:val="2FCBEF7C"/>
    <w:rsid w:val="30AA538D"/>
    <w:rsid w:val="30BFC7F7"/>
    <w:rsid w:val="32BD719F"/>
    <w:rsid w:val="32C367D6"/>
    <w:rsid w:val="32FB4D15"/>
    <w:rsid w:val="3384D6AB"/>
    <w:rsid w:val="33D84220"/>
    <w:rsid w:val="33EAB03E"/>
    <w:rsid w:val="3439AD34"/>
    <w:rsid w:val="34B22E76"/>
    <w:rsid w:val="3584495F"/>
    <w:rsid w:val="35ED6EDA"/>
    <w:rsid w:val="371EACA2"/>
    <w:rsid w:val="3884C5B7"/>
    <w:rsid w:val="389873CD"/>
    <w:rsid w:val="38BCBD1A"/>
    <w:rsid w:val="38F3C7EF"/>
    <w:rsid w:val="39C972ED"/>
    <w:rsid w:val="39E4156B"/>
    <w:rsid w:val="3AB4E4F7"/>
    <w:rsid w:val="3B217FFA"/>
    <w:rsid w:val="3B6B854A"/>
    <w:rsid w:val="3BF3F2EC"/>
    <w:rsid w:val="3C43BDC2"/>
    <w:rsid w:val="3C58E1E2"/>
    <w:rsid w:val="3CA6D657"/>
    <w:rsid w:val="3DC93873"/>
    <w:rsid w:val="3E27DF0E"/>
    <w:rsid w:val="3E81A8F1"/>
    <w:rsid w:val="3ED82FE5"/>
    <w:rsid w:val="3EF28A9D"/>
    <w:rsid w:val="3F15C7A2"/>
    <w:rsid w:val="3F44614F"/>
    <w:rsid w:val="3F61AEF0"/>
    <w:rsid w:val="3FC5FE1A"/>
    <w:rsid w:val="3FD7803B"/>
    <w:rsid w:val="4002A3AB"/>
    <w:rsid w:val="40032AD9"/>
    <w:rsid w:val="411E676B"/>
    <w:rsid w:val="4184E93D"/>
    <w:rsid w:val="4197745D"/>
    <w:rsid w:val="4268B3CA"/>
    <w:rsid w:val="42A9F2CF"/>
    <w:rsid w:val="42E571D7"/>
    <w:rsid w:val="4311FF1A"/>
    <w:rsid w:val="433EC11D"/>
    <w:rsid w:val="4429CC92"/>
    <w:rsid w:val="46366CA9"/>
    <w:rsid w:val="4661C76F"/>
    <w:rsid w:val="46DE566B"/>
    <w:rsid w:val="46E66655"/>
    <w:rsid w:val="46E99519"/>
    <w:rsid w:val="47937CA6"/>
    <w:rsid w:val="47D79D7F"/>
    <w:rsid w:val="492C4846"/>
    <w:rsid w:val="49F13102"/>
    <w:rsid w:val="4A67F402"/>
    <w:rsid w:val="4A8655BF"/>
    <w:rsid w:val="4ACEF896"/>
    <w:rsid w:val="4AD2674B"/>
    <w:rsid w:val="4B83B1B8"/>
    <w:rsid w:val="4B87FDD3"/>
    <w:rsid w:val="4BF1060C"/>
    <w:rsid w:val="4C439D45"/>
    <w:rsid w:val="4C659A8B"/>
    <w:rsid w:val="4C7EF6A9"/>
    <w:rsid w:val="4CB41B60"/>
    <w:rsid w:val="4CC4C60D"/>
    <w:rsid w:val="4CE02E6F"/>
    <w:rsid w:val="4D645CD4"/>
    <w:rsid w:val="4DB71B5C"/>
    <w:rsid w:val="4E5CFF97"/>
    <w:rsid w:val="4F0FFC94"/>
    <w:rsid w:val="4F550485"/>
    <w:rsid w:val="4F743D7D"/>
    <w:rsid w:val="50042297"/>
    <w:rsid w:val="50BD7E12"/>
    <w:rsid w:val="50E0247B"/>
    <w:rsid w:val="51049844"/>
    <w:rsid w:val="511F8233"/>
    <w:rsid w:val="51310D0B"/>
    <w:rsid w:val="51CD3298"/>
    <w:rsid w:val="52627968"/>
    <w:rsid w:val="52C35530"/>
    <w:rsid w:val="52E4752E"/>
    <w:rsid w:val="52E679C0"/>
    <w:rsid w:val="52F27313"/>
    <w:rsid w:val="563ADCDB"/>
    <w:rsid w:val="5668BD28"/>
    <w:rsid w:val="56F9C594"/>
    <w:rsid w:val="5716D646"/>
    <w:rsid w:val="573CE782"/>
    <w:rsid w:val="575D8665"/>
    <w:rsid w:val="57EB31D9"/>
    <w:rsid w:val="59807566"/>
    <w:rsid w:val="59D4BE38"/>
    <w:rsid w:val="59FFA31E"/>
    <w:rsid w:val="5A3718EC"/>
    <w:rsid w:val="5B3C2C1E"/>
    <w:rsid w:val="5B8A8081"/>
    <w:rsid w:val="5C0C4C0B"/>
    <w:rsid w:val="5CB4A497"/>
    <w:rsid w:val="5CE25DA8"/>
    <w:rsid w:val="5E819585"/>
    <w:rsid w:val="5E8B9BA0"/>
    <w:rsid w:val="5EDBB2B2"/>
    <w:rsid w:val="5EDE7A82"/>
    <w:rsid w:val="5F6134D1"/>
    <w:rsid w:val="607015CF"/>
    <w:rsid w:val="61184FC4"/>
    <w:rsid w:val="61A45FF4"/>
    <w:rsid w:val="6219730D"/>
    <w:rsid w:val="624FD813"/>
    <w:rsid w:val="6304BBA4"/>
    <w:rsid w:val="63586A79"/>
    <w:rsid w:val="63990B56"/>
    <w:rsid w:val="63F90A0C"/>
    <w:rsid w:val="647E9E48"/>
    <w:rsid w:val="64C5C5C1"/>
    <w:rsid w:val="65384512"/>
    <w:rsid w:val="655AD2F8"/>
    <w:rsid w:val="657D28F1"/>
    <w:rsid w:val="66AAC2ED"/>
    <w:rsid w:val="670A54A1"/>
    <w:rsid w:val="671E2642"/>
    <w:rsid w:val="684D811E"/>
    <w:rsid w:val="68A38528"/>
    <w:rsid w:val="68A6458C"/>
    <w:rsid w:val="68DBAD00"/>
    <w:rsid w:val="693CA5D3"/>
    <w:rsid w:val="69877B4A"/>
    <w:rsid w:val="69A4A6FC"/>
    <w:rsid w:val="69D01486"/>
    <w:rsid w:val="6A80F688"/>
    <w:rsid w:val="6BDB7D2C"/>
    <w:rsid w:val="6C24166C"/>
    <w:rsid w:val="6C6E1826"/>
    <w:rsid w:val="6CCC15E8"/>
    <w:rsid w:val="6CF493A0"/>
    <w:rsid w:val="6D1B6674"/>
    <w:rsid w:val="6D1C5707"/>
    <w:rsid w:val="6DAA7D57"/>
    <w:rsid w:val="6EC9D41C"/>
    <w:rsid w:val="6EE5A758"/>
    <w:rsid w:val="6FB3E4F3"/>
    <w:rsid w:val="704A5773"/>
    <w:rsid w:val="708F7396"/>
    <w:rsid w:val="70AC03D2"/>
    <w:rsid w:val="72D35088"/>
    <w:rsid w:val="730BA843"/>
    <w:rsid w:val="7325257F"/>
    <w:rsid w:val="73975679"/>
    <w:rsid w:val="7434E9C5"/>
    <w:rsid w:val="74B52F4D"/>
    <w:rsid w:val="7508407E"/>
    <w:rsid w:val="7540097C"/>
    <w:rsid w:val="75966506"/>
    <w:rsid w:val="75A4D16E"/>
    <w:rsid w:val="75A9525D"/>
    <w:rsid w:val="766877F7"/>
    <w:rsid w:val="76820BB6"/>
    <w:rsid w:val="76B41723"/>
    <w:rsid w:val="7777C8A8"/>
    <w:rsid w:val="77D45C59"/>
    <w:rsid w:val="7809BE74"/>
    <w:rsid w:val="78B473A6"/>
    <w:rsid w:val="79098C88"/>
    <w:rsid w:val="7934E755"/>
    <w:rsid w:val="79AEC8CA"/>
    <w:rsid w:val="7A689DE3"/>
    <w:rsid w:val="7A95636D"/>
    <w:rsid w:val="7BC8F6B6"/>
    <w:rsid w:val="7BEC43B6"/>
    <w:rsid w:val="7C96617B"/>
    <w:rsid w:val="7CA3E28D"/>
    <w:rsid w:val="7CAA8CF7"/>
    <w:rsid w:val="7D44EF49"/>
    <w:rsid w:val="7D8808B1"/>
    <w:rsid w:val="7D9C839E"/>
    <w:rsid w:val="7E293B38"/>
    <w:rsid w:val="7E37F323"/>
    <w:rsid w:val="7EBA08E8"/>
    <w:rsid w:val="7EFB526E"/>
    <w:rsid w:val="7F9643FB"/>
    <w:rsid w:val="7FDD5F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C346D2"/>
  <w15:chartTrackingRefBased/>
  <w15:docId w15:val="{D019CA55-D85A-4248-A1EA-E37A3CF4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1"/>
    <w:qFormat/>
    <w:rsid w:val="00F936A3"/>
    <w:pPr>
      <w:keepNext/>
      <w:keepLines/>
      <w:numPr>
        <w:numId w:val="4"/>
      </w:numPr>
      <w:spacing w:after="120" w:line="380" w:lineRule="atLeast"/>
      <w:outlineLvl w:val="0"/>
    </w:pPr>
    <w:rPr>
      <w:rFonts w:asciiTheme="majorHAnsi" w:eastAsiaTheme="majorEastAsia" w:hAnsiTheme="majorHAnsi" w:cstheme="majorBidi"/>
      <w:b/>
      <w:bCs/>
      <w:color w:val="1396D8"/>
      <w:kern w:val="0"/>
      <w:sz w:val="32"/>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36A3"/>
    <w:rPr>
      <w:rFonts w:asciiTheme="majorHAnsi" w:eastAsiaTheme="majorEastAsia" w:hAnsiTheme="majorHAnsi" w:cstheme="majorBidi"/>
      <w:b/>
      <w:bCs/>
      <w:color w:val="1396D8"/>
      <w:kern w:val="0"/>
      <w:sz w:val="32"/>
      <w:szCs w:val="28"/>
      <w14:ligatures w14:val="none"/>
    </w:rPr>
  </w:style>
  <w:style w:type="character" w:customStyle="1" w:styleId="normaltextrun">
    <w:name w:val="normaltextrun"/>
    <w:basedOn w:val="DefaultParagraphFont"/>
    <w:rsid w:val="00A0509F"/>
  </w:style>
  <w:style w:type="character" w:customStyle="1" w:styleId="eop">
    <w:name w:val="eop"/>
    <w:basedOn w:val="DefaultParagraphFont"/>
    <w:rsid w:val="00A0509F"/>
  </w:style>
  <w:style w:type="paragraph" w:styleId="ListNumber">
    <w:name w:val="List Number"/>
    <w:basedOn w:val="Normal"/>
    <w:uiPriority w:val="20"/>
    <w:rsid w:val="00A0509F"/>
    <w:pPr>
      <w:numPr>
        <w:numId w:val="5"/>
      </w:numPr>
      <w:spacing w:after="200" w:line="300" w:lineRule="atLeast"/>
      <w:contextualSpacing/>
    </w:pPr>
    <w:rPr>
      <w:kern w:val="0"/>
      <w14:ligatures w14:val="none"/>
    </w:rPr>
  </w:style>
  <w:style w:type="paragraph" w:customStyle="1" w:styleId="paragraph">
    <w:name w:val="paragraph"/>
    <w:basedOn w:val="Normal"/>
    <w:rsid w:val="00A050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15350"/>
    <w:pPr>
      <w:ind w:left="720"/>
      <w:contextualSpacing/>
    </w:pPr>
  </w:style>
  <w:style w:type="paragraph" w:styleId="Revision">
    <w:name w:val="Revision"/>
    <w:hidden/>
    <w:uiPriority w:val="99"/>
    <w:semiHidden/>
    <w:rsid w:val="00B95CEE"/>
    <w:pPr>
      <w:spacing w:after="0" w:line="240" w:lineRule="auto"/>
    </w:pPr>
  </w:style>
  <w:style w:type="paragraph" w:styleId="Footer">
    <w:name w:val="footer"/>
    <w:basedOn w:val="Normal"/>
    <w:link w:val="FooterChar"/>
    <w:autoRedefine/>
    <w:uiPriority w:val="99"/>
    <w:qFormat/>
    <w:rsid w:val="003C7B00"/>
    <w:pPr>
      <w:tabs>
        <w:tab w:val="center" w:pos="2160"/>
        <w:tab w:val="right" w:pos="9720"/>
      </w:tabs>
      <w:spacing w:after="0" w:line="240" w:lineRule="auto"/>
      <w:ind w:left="3600" w:hanging="3600"/>
    </w:pPr>
    <w:rPr>
      <w:rFonts w:ascii="Calibri" w:eastAsia="Calibri" w:hAnsi="Calibri" w:cs="Times New Roman"/>
      <w:kern w:val="0"/>
      <w:sz w:val="16"/>
      <w14:ligatures w14:val="none"/>
    </w:rPr>
  </w:style>
  <w:style w:type="character" w:customStyle="1" w:styleId="FooterChar">
    <w:name w:val="Footer Char"/>
    <w:basedOn w:val="DefaultParagraphFont"/>
    <w:link w:val="Footer"/>
    <w:uiPriority w:val="99"/>
    <w:rsid w:val="003C7B00"/>
    <w:rPr>
      <w:rFonts w:ascii="Calibri" w:eastAsia="Calibri" w:hAnsi="Calibri" w:cs="Times New Roman"/>
      <w:kern w:val="0"/>
      <w:sz w:val="16"/>
      <w14:ligatures w14:val="none"/>
    </w:rPr>
  </w:style>
  <w:style w:type="paragraph" w:customStyle="1" w:styleId="Boxtext">
    <w:name w:val="Box text"/>
    <w:basedOn w:val="BodyText"/>
    <w:uiPriority w:val="2"/>
    <w:qFormat/>
    <w:rsid w:val="00CF7AA0"/>
    <w:pPr>
      <w:pBdr>
        <w:top w:val="single" w:sz="4" w:space="2" w:color="auto"/>
        <w:left w:val="single" w:sz="4" w:space="4" w:color="auto"/>
        <w:bottom w:val="single" w:sz="4" w:space="4" w:color="auto"/>
        <w:right w:val="single" w:sz="4" w:space="4" w:color="auto"/>
      </w:pBdr>
      <w:spacing w:before="120" w:after="80" w:line="300" w:lineRule="atLeast"/>
    </w:pPr>
    <w:rPr>
      <w:rFonts w:ascii="Calibri" w:eastAsia="Times New Roman" w:hAnsi="Calibri" w:cs="Times New Roman"/>
      <w:kern w:val="0"/>
      <w14:ligatures w14:val="none"/>
    </w:rPr>
  </w:style>
  <w:style w:type="paragraph" w:styleId="BodyText">
    <w:name w:val="Body Text"/>
    <w:basedOn w:val="Normal"/>
    <w:link w:val="BodyTextChar"/>
    <w:uiPriority w:val="99"/>
    <w:semiHidden/>
    <w:unhideWhenUsed/>
    <w:rsid w:val="00CF7AA0"/>
    <w:pPr>
      <w:spacing w:after="120"/>
    </w:pPr>
  </w:style>
  <w:style w:type="character" w:customStyle="1" w:styleId="BodyTextChar">
    <w:name w:val="Body Text Char"/>
    <w:basedOn w:val="DefaultParagraphFont"/>
    <w:link w:val="BodyText"/>
    <w:uiPriority w:val="99"/>
    <w:semiHidden/>
    <w:rsid w:val="00CF7AA0"/>
  </w:style>
  <w:style w:type="paragraph" w:styleId="Header">
    <w:name w:val="header"/>
    <w:basedOn w:val="Normal"/>
    <w:link w:val="HeaderChar"/>
    <w:uiPriority w:val="99"/>
    <w:unhideWhenUsed/>
    <w:rsid w:val="0028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B10"/>
  </w:style>
  <w:style w:type="character" w:styleId="CommentReference">
    <w:name w:val="annotation reference"/>
    <w:basedOn w:val="DefaultParagraphFont"/>
    <w:uiPriority w:val="99"/>
    <w:semiHidden/>
    <w:unhideWhenUsed/>
    <w:rsid w:val="00C67747"/>
    <w:rPr>
      <w:sz w:val="16"/>
      <w:szCs w:val="16"/>
    </w:rPr>
  </w:style>
  <w:style w:type="paragraph" w:styleId="CommentText">
    <w:name w:val="annotation text"/>
    <w:basedOn w:val="Normal"/>
    <w:link w:val="CommentTextChar"/>
    <w:uiPriority w:val="99"/>
    <w:unhideWhenUsed/>
    <w:rsid w:val="00C67747"/>
    <w:pPr>
      <w:spacing w:line="240" w:lineRule="auto"/>
    </w:pPr>
    <w:rPr>
      <w:sz w:val="20"/>
      <w:szCs w:val="20"/>
    </w:rPr>
  </w:style>
  <w:style w:type="character" w:customStyle="1" w:styleId="CommentTextChar">
    <w:name w:val="Comment Text Char"/>
    <w:basedOn w:val="DefaultParagraphFont"/>
    <w:link w:val="CommentText"/>
    <w:uiPriority w:val="99"/>
    <w:rsid w:val="00C67747"/>
    <w:rPr>
      <w:sz w:val="20"/>
      <w:szCs w:val="20"/>
    </w:rPr>
  </w:style>
  <w:style w:type="paragraph" w:styleId="CommentSubject">
    <w:name w:val="annotation subject"/>
    <w:basedOn w:val="CommentText"/>
    <w:next w:val="CommentText"/>
    <w:link w:val="CommentSubjectChar"/>
    <w:uiPriority w:val="99"/>
    <w:semiHidden/>
    <w:unhideWhenUsed/>
    <w:rsid w:val="00C67747"/>
    <w:rPr>
      <w:b/>
      <w:bCs/>
    </w:rPr>
  </w:style>
  <w:style w:type="character" w:customStyle="1" w:styleId="CommentSubjectChar">
    <w:name w:val="Comment Subject Char"/>
    <w:basedOn w:val="CommentTextChar"/>
    <w:link w:val="CommentSubject"/>
    <w:uiPriority w:val="99"/>
    <w:semiHidden/>
    <w:rsid w:val="00C67747"/>
    <w:rPr>
      <w:b/>
      <w:bCs/>
      <w:sz w:val="20"/>
      <w:szCs w:val="20"/>
    </w:rPr>
  </w:style>
  <w:style w:type="character" w:styleId="Hyperlink">
    <w:name w:val="Hyperlink"/>
    <w:basedOn w:val="DefaultParagraphFont"/>
    <w:uiPriority w:val="99"/>
    <w:unhideWhenUsed/>
    <w:rsid w:val="00604F07"/>
    <w:rPr>
      <w:color w:val="0563C1" w:themeColor="hyperlink"/>
      <w:u w:val="single"/>
    </w:rPr>
  </w:style>
  <w:style w:type="character" w:styleId="UnresolvedMention">
    <w:name w:val="Unresolved Mention"/>
    <w:basedOn w:val="DefaultParagraphFont"/>
    <w:uiPriority w:val="99"/>
    <w:semiHidden/>
    <w:unhideWhenUsed/>
    <w:rsid w:val="00604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9" ma:contentTypeDescription="Create a new document." ma:contentTypeScope="" ma:versionID="b89edc5f96464ea45c75daf975d60bb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6fe731369042b64fe70315656c0cdddf"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SharedWithUsers xmlns="f600328b-9bc1-49f4-ac38-a13ae9074617">
      <UserInfo>
        <DisplayName/>
        <AccountId xsi:nil="true"/>
        <AccountType/>
      </UserInfo>
    </SharedWithUsers>
  </documentManagement>
</p:properties>
</file>

<file path=customXml/itemProps1.xml><?xml version="1.0" encoding="utf-8"?>
<ds:datastoreItem xmlns:ds="http://schemas.openxmlformats.org/officeDocument/2006/customXml" ds:itemID="{8E67320C-4F34-4D1E-80CD-72E9EAE89C52}">
  <ds:schemaRefs>
    <ds:schemaRef ds:uri="http://schemas.microsoft.com/sharepoint/v3/contenttype/forms"/>
  </ds:schemaRefs>
</ds:datastoreItem>
</file>

<file path=customXml/itemProps2.xml><?xml version="1.0" encoding="utf-8"?>
<ds:datastoreItem xmlns:ds="http://schemas.openxmlformats.org/officeDocument/2006/customXml" ds:itemID="{2A5BC9AC-C538-468E-AD0A-9E01E1CF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D8D52-3670-43EB-AA4D-08CE6333D0A9}">
  <ds:schemaRef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d588c4e7-d2ae-4a4b-9907-42eca676916f"/>
    <ds:schemaRef ds:uri="0ecc70da-eab6-411d-8058-deb5dffcc27c"/>
    <ds:schemaRef ds:uri="http://schemas.openxmlformats.org/package/2006/metadata/core-properties"/>
    <ds:schemaRef ds:uri="f600328b-9bc1-49f4-ac38-a13ae907461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Harnish, Marc</dc:creator>
  <cp:lastModifiedBy>Morales, Gerson</cp:lastModifiedBy>
  <cp:revision>5</cp:revision>
  <cp:lastPrinted>2024-08-29T16:47:00Z</cp:lastPrinted>
  <dcterms:created xsi:type="dcterms:W3CDTF">2024-09-16T14:21:00Z</dcterms:created>
  <dcterms:modified xsi:type="dcterms:W3CDTF">2024-10-15T11:59:00Z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0x0101004DC269D66D48DA48A99DFDA691E9EBB5</vt:lpwstr>
  </property>
  <property fmtid="{D5CDD505-2E9C-101B-9397-08002B2CF9AE}" pid="4" name="MediaServiceImageTags">
    <vt:lpwstr/>
  </property>
  <property fmtid="{D5CDD505-2E9C-101B-9397-08002B2CF9AE}" pid="5" name="Order">
    <vt:r8>5300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