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12E8" w:rsidP="00C76D5C" w14:paraId="065DDE9A" w14:textId="3D1BBFAE">
      <w:pPr>
        <w:pStyle w:val="BodyText"/>
      </w:pPr>
      <w:r>
        <w:rPr>
          <w:color w:val="000000"/>
        </w:rPr>
        <w:t>T</w:t>
      </w:r>
      <w:r>
        <w:t xml:space="preserve">wo currently approved collections – Great Lakes Antidegradation Demonstrations and Great Lakes Regulatory Relief Requests – appear in both </w:t>
      </w:r>
      <w:r w:rsidR="00C76D5C">
        <w:t>the</w:t>
      </w:r>
      <w:r>
        <w:t xml:space="preserve"> WQS Regulation ICR </w:t>
      </w:r>
      <w:r w:rsidR="00C76D5C">
        <w:t xml:space="preserve">(OMB Control Number 2040-0049) </w:t>
      </w:r>
      <w:r>
        <w:t xml:space="preserve">and in the </w:t>
      </w:r>
      <w:r>
        <w:rPr>
          <w:color w:val="000000"/>
        </w:rPr>
        <w:t>NPDES Program ICR</w:t>
      </w:r>
      <w:r w:rsidR="00C76D5C">
        <w:rPr>
          <w:color w:val="000000"/>
        </w:rPr>
        <w:t xml:space="preserve"> (</w:t>
      </w:r>
      <w:r>
        <w:rPr>
          <w:color w:val="000000"/>
        </w:rPr>
        <w:t>OMB Control Number 2040-0004</w:t>
      </w:r>
      <w:r w:rsidR="00C76D5C">
        <w:rPr>
          <w:color w:val="000000"/>
        </w:rPr>
        <w:t>)</w:t>
      </w:r>
      <w:r>
        <w:rPr>
          <w:color w:val="000000"/>
        </w:rPr>
        <w:t xml:space="preserve">. </w:t>
      </w:r>
      <w:r w:rsidRPr="00B7618A" w:rsidR="00C76D5C">
        <w:t xml:space="preserve">The information collection requirements </w:t>
      </w:r>
      <w:r w:rsidR="00C76D5C">
        <w:t>described</w:t>
      </w:r>
      <w:r w:rsidRPr="00B7618A" w:rsidR="00C76D5C">
        <w:t xml:space="preserve"> in th</w:t>
      </w:r>
      <w:r w:rsidR="00C76D5C">
        <w:t>ese</w:t>
      </w:r>
      <w:r w:rsidRPr="00B7618A" w:rsidR="00C76D5C">
        <w:t xml:space="preserve"> ICR</w:t>
      </w:r>
      <w:r w:rsidR="00C76D5C">
        <w:t>s</w:t>
      </w:r>
      <w:r w:rsidRPr="00B7618A" w:rsidR="00C76D5C">
        <w:t xml:space="preserve"> do not duplicate </w:t>
      </w:r>
      <w:r w:rsidR="00C76D5C">
        <w:t xml:space="preserve">each other, but rather </w:t>
      </w:r>
      <w:r w:rsidR="00C76D5C">
        <w:rPr>
          <w:color w:val="000000"/>
        </w:rPr>
        <w:t>each ICR</w:t>
      </w:r>
      <w:r>
        <w:rPr>
          <w:color w:val="000000"/>
        </w:rPr>
        <w:t xml:space="preserve"> cover</w:t>
      </w:r>
      <w:r w:rsidR="00C76D5C">
        <w:rPr>
          <w:color w:val="000000"/>
        </w:rPr>
        <w:t>s</w:t>
      </w:r>
      <w:r>
        <w:rPr>
          <w:color w:val="000000"/>
        </w:rPr>
        <w:t xml:space="preserve"> 50% of the burden </w:t>
      </w:r>
      <w:r w:rsidR="00C76D5C">
        <w:rPr>
          <w:color w:val="000000"/>
        </w:rPr>
        <w:t xml:space="preserve">of these </w:t>
      </w:r>
      <w:r>
        <w:rPr>
          <w:color w:val="000000"/>
        </w:rPr>
        <w:t xml:space="preserve">collection. At the </w:t>
      </w:r>
      <w:r w:rsidR="00C76D5C">
        <w:rPr>
          <w:color w:val="000000"/>
        </w:rPr>
        <w:t>recommendation</w:t>
      </w:r>
      <w:r>
        <w:rPr>
          <w:color w:val="000000"/>
        </w:rPr>
        <w:t xml:space="preserve"> of the Office of Management and Budget, EPA is removing the</w:t>
      </w:r>
      <w:r w:rsidR="00C76D5C">
        <w:rPr>
          <w:color w:val="000000"/>
        </w:rPr>
        <w:t xml:space="preserve"> burden from the</w:t>
      </w:r>
      <w:r>
        <w:rPr>
          <w:color w:val="000000"/>
        </w:rPr>
        <w:t xml:space="preserve"> WQS </w:t>
      </w:r>
      <w:r w:rsidR="00C76D5C">
        <w:rPr>
          <w:color w:val="000000"/>
        </w:rPr>
        <w:t>Regulation ICR and transferring/</w:t>
      </w:r>
      <w:r>
        <w:rPr>
          <w:color w:val="000000"/>
        </w:rPr>
        <w:t xml:space="preserve">consolidating </w:t>
      </w:r>
      <w:r w:rsidR="00C76D5C">
        <w:rPr>
          <w:color w:val="000000"/>
        </w:rPr>
        <w:t>it</w:t>
      </w:r>
      <w:r>
        <w:rPr>
          <w:color w:val="000000"/>
        </w:rPr>
        <w:t xml:space="preserve"> with the NPDES </w:t>
      </w:r>
      <w:r w:rsidR="00C76D5C">
        <w:rPr>
          <w:color w:val="000000"/>
        </w:rPr>
        <w:t>Program ICR via two non-substantive change requests</w:t>
      </w:r>
      <w:r>
        <w:rPr>
          <w:color w:val="000000"/>
        </w:rPr>
        <w:t>.</w:t>
      </w:r>
      <w:r w:rsidR="00535D1D">
        <w:rPr>
          <w:color w:val="000000"/>
        </w:rPr>
        <w:t xml:space="preserve">  The non-substantive change requests remove 172 respondents and 47,105 hours from the WQS Regulation ICR and add 172 respondents and 47.105 hours to the NPDES Program ICR, resulting in no net change.</w:t>
      </w:r>
    </w:p>
    <w:p w:rsidR="00CC467A" w14:paraId="72C9A6C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E8"/>
    <w:rsid w:val="002712E8"/>
    <w:rsid w:val="00535D1D"/>
    <w:rsid w:val="00B7618A"/>
    <w:rsid w:val="00C76D5C"/>
    <w:rsid w:val="00CC46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EDE6E1"/>
  <w15:chartTrackingRefBased/>
  <w15:docId w15:val="{2EB96678-3FB8-413B-A19C-F8C39D7A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712E8"/>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2712E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Teddy (he/him/his)</dc:creator>
  <cp:lastModifiedBy>Kerwin, Courtney</cp:lastModifiedBy>
  <cp:revision>3</cp:revision>
  <dcterms:created xsi:type="dcterms:W3CDTF">2024-10-08T13:42:00Z</dcterms:created>
  <dcterms:modified xsi:type="dcterms:W3CDTF">2024-10-08T13:44:00Z</dcterms:modified>
</cp:coreProperties>
</file>