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FA4E09" w:rsidP="11AB4B38" w14:paraId="46692DEB" w14:textId="09441F04">
      <w:pPr>
        <w:spacing w:after="0"/>
        <w:jc w:val="center"/>
        <w:rPr>
          <w:rFonts w:ascii="Calibri" w:hAnsi="Calibri" w:cs="Calibri"/>
          <w:sz w:val="32"/>
          <w:szCs w:val="32"/>
        </w:rPr>
      </w:pPr>
      <w:bookmarkStart w:id="0" w:name="_Toc49148152"/>
      <w:r w:rsidRPr="00FA4E09">
        <w:rPr>
          <w:rFonts w:ascii="Calibri" w:hAnsi="Calibri" w:cs="Calibri"/>
          <w:sz w:val="32"/>
          <w:szCs w:val="32"/>
        </w:rPr>
        <w:t>U</w:t>
      </w:r>
      <w:r w:rsidRPr="00FA4E09" w:rsidR="009D0991">
        <w:rPr>
          <w:rFonts w:ascii="Calibri" w:hAnsi="Calibri" w:cs="Calibri"/>
          <w:sz w:val="32"/>
          <w:szCs w:val="32"/>
        </w:rPr>
        <w:t>nited States</w:t>
      </w:r>
      <w:r w:rsidRPr="00FA4E09">
        <w:rPr>
          <w:rFonts w:ascii="Calibri" w:hAnsi="Calibri" w:cs="Calibri"/>
          <w:sz w:val="32"/>
          <w:szCs w:val="32"/>
        </w:rPr>
        <w:t xml:space="preserve"> Environmental Protection Agency</w:t>
      </w:r>
    </w:p>
    <w:p w:rsidR="00DE4E0C" w:rsidRPr="00FA4E09" w:rsidP="11AB4B38" w14:paraId="1A3CA841" w14:textId="4B14E2EE">
      <w:pPr>
        <w:jc w:val="center"/>
        <w:rPr>
          <w:rFonts w:ascii="Calibri" w:hAnsi="Calibri" w:cs="Calibri"/>
          <w:sz w:val="32"/>
          <w:szCs w:val="32"/>
        </w:rPr>
      </w:pPr>
      <w:r w:rsidRPr="00FA4E09">
        <w:rPr>
          <w:rFonts w:ascii="Calibri" w:hAnsi="Calibri" w:cs="Calibri"/>
          <w:sz w:val="32"/>
          <w:szCs w:val="32"/>
        </w:rPr>
        <w:t>Information Collection Request</w:t>
      </w:r>
    </w:p>
    <w:p w:rsidR="00EA0D20" w:rsidRPr="00FA4E09" w:rsidP="00BB432F" w14:paraId="77D1C27C" w14:textId="77777777">
      <w:pPr>
        <w:rPr>
          <w:rFonts w:ascii="Calibri" w:hAnsi="Calibri" w:cs="Calibri"/>
          <w:b/>
          <w:bCs/>
        </w:rPr>
      </w:pPr>
    </w:p>
    <w:p w:rsidR="00BB432F" w:rsidRPr="00FA4E09" w:rsidP="00BB432F" w14:paraId="7B82FD92" w14:textId="152E2860">
      <w:pPr>
        <w:rPr>
          <w:rFonts w:ascii="Calibri" w:hAnsi="Calibri" w:cs="Calibri"/>
        </w:rPr>
      </w:pPr>
      <w:r w:rsidRPr="00FA4E09">
        <w:rPr>
          <w:rFonts w:ascii="Calibri" w:hAnsi="Calibri" w:cs="Calibri"/>
          <w:b/>
        </w:rPr>
        <w:t>Title:</w:t>
      </w:r>
      <w:r w:rsidRPr="00FA4E09" w:rsidR="001F34A5">
        <w:rPr>
          <w:rFonts w:ascii="Calibri" w:hAnsi="Calibri" w:cs="Calibri"/>
        </w:rPr>
        <w:t xml:space="preserve"> </w:t>
      </w:r>
      <w:r w:rsidRPr="00FA4E09" w:rsidR="00A32E00">
        <w:rPr>
          <w:rFonts w:ascii="Calibri" w:hAnsi="Calibri" w:cs="Calibri"/>
        </w:rPr>
        <w:t>Publicly Owned Treatment Works (POTW) Influent Per- and Polyfluoroalkyl Substances (PFAS) Study</w:t>
      </w:r>
      <w:r w:rsidRPr="00FA4E09" w:rsidR="00A452FC">
        <w:rPr>
          <w:rFonts w:ascii="Calibri" w:hAnsi="Calibri" w:cs="Calibri"/>
        </w:rPr>
        <w:t xml:space="preserve"> and National Sewage Sludge Survey</w:t>
      </w:r>
      <w:r w:rsidRPr="00FA4E09" w:rsidR="00F92897">
        <w:rPr>
          <w:rFonts w:ascii="Calibri" w:hAnsi="Calibri" w:cs="Calibri"/>
        </w:rPr>
        <w:t xml:space="preserve"> (NSSS)</w:t>
      </w:r>
    </w:p>
    <w:p w:rsidR="00EE2403" w:rsidRPr="00FA4E09" w:rsidP="0053306E" w14:paraId="71D5121E" w14:textId="14943052">
      <w:pPr>
        <w:tabs>
          <w:tab w:val="left" w:pos="6225"/>
        </w:tabs>
        <w:spacing w:line="240" w:lineRule="auto"/>
        <w:rPr>
          <w:rFonts w:ascii="Calibri" w:hAnsi="Calibri" w:cs="Calibri"/>
        </w:rPr>
      </w:pPr>
      <w:r w:rsidRPr="00FA4E09">
        <w:rPr>
          <w:rFonts w:ascii="Calibri" w:hAnsi="Calibri" w:cs="Calibri"/>
          <w:b/>
          <w:bCs/>
        </w:rPr>
        <w:t>OMB Control Number:</w:t>
      </w:r>
      <w:r w:rsidRPr="00FA4E09" w:rsidR="00BB432F">
        <w:rPr>
          <w:rFonts w:ascii="Calibri" w:hAnsi="Calibri" w:cs="Calibri"/>
        </w:rPr>
        <w:t xml:space="preserve"> </w:t>
      </w:r>
      <w:r w:rsidRPr="00CC1979" w:rsidR="00A32E00">
        <w:rPr>
          <w:rFonts w:ascii="Calibri" w:hAnsi="Calibri" w:cs="Calibri"/>
        </w:rPr>
        <w:t>2040-NEW</w:t>
      </w:r>
    </w:p>
    <w:p w:rsidR="00EE2403" w:rsidRPr="00FA4E09" w:rsidP="00ED57A4" w14:paraId="4FB77BCA" w14:textId="20B545B0">
      <w:pPr>
        <w:spacing w:before="240" w:line="240" w:lineRule="auto"/>
        <w:rPr>
          <w:rFonts w:ascii="Calibri" w:hAnsi="Calibri" w:cs="Calibri"/>
        </w:rPr>
      </w:pPr>
      <w:r w:rsidRPr="00FA4E09">
        <w:rPr>
          <w:rFonts w:ascii="Calibri" w:hAnsi="Calibri" w:cs="Calibri"/>
          <w:b/>
          <w:bCs/>
        </w:rPr>
        <w:t>E</w:t>
      </w:r>
      <w:r w:rsidRPr="001A05C3">
        <w:rPr>
          <w:rFonts w:ascii="Calibri" w:hAnsi="Calibri" w:cs="Calibri"/>
          <w:b/>
          <w:bCs/>
        </w:rPr>
        <w:t>PA ICR Number:</w:t>
      </w:r>
      <w:r w:rsidRPr="001A05C3" w:rsidR="00BB432F">
        <w:rPr>
          <w:rFonts w:ascii="Calibri" w:hAnsi="Calibri" w:cs="Calibri"/>
        </w:rPr>
        <w:t xml:space="preserve"> </w:t>
      </w:r>
      <w:r w:rsidRPr="001A05C3" w:rsidR="00A32E00">
        <w:rPr>
          <w:rFonts w:ascii="Calibri" w:hAnsi="Calibri" w:cs="Calibri"/>
        </w:rPr>
        <w:t>2799.01</w:t>
      </w:r>
    </w:p>
    <w:p w:rsidR="00182081" w:rsidP="6DBBB7E0" w14:paraId="0B6D2DC3" w14:textId="192FD9EA">
      <w:pPr>
        <w:spacing w:before="240"/>
        <w:rPr>
          <w:rFonts w:ascii="Calibri" w:hAnsi="Calibri" w:cs="Calibri"/>
          <w:color w:val="000000" w:themeColor="text1"/>
        </w:rPr>
      </w:pPr>
      <w:r w:rsidRPr="00FA4E09">
        <w:rPr>
          <w:rFonts w:ascii="Calibri" w:hAnsi="Calibri" w:cs="Calibri"/>
          <w:b/>
          <w:bCs/>
        </w:rPr>
        <w:t>Abstract</w:t>
      </w:r>
      <w:r w:rsidR="0053306E">
        <w:rPr>
          <w:rFonts w:ascii="Calibri" w:hAnsi="Calibri" w:cs="Calibri"/>
          <w:b/>
          <w:bCs/>
        </w:rPr>
        <w:t xml:space="preserve">: </w:t>
      </w:r>
      <w:r w:rsidRPr="00182081" w:rsidR="6130DCC4">
        <w:rPr>
          <w:rFonts w:ascii="Calibri" w:hAnsi="Calibri" w:cs="Calibri"/>
          <w:color w:val="000000" w:themeColor="text1"/>
        </w:rPr>
        <w:t>This data collection</w:t>
      </w:r>
      <w:r w:rsidRPr="00182081" w:rsidR="65E8BD5F">
        <w:rPr>
          <w:rFonts w:ascii="Calibri" w:hAnsi="Calibri" w:cs="Calibri"/>
          <w:color w:val="000000" w:themeColor="text1"/>
        </w:rPr>
        <w:t xml:space="preserve"> is intended to </w:t>
      </w:r>
      <w:r w:rsidRPr="00182081" w:rsidR="6130DCC4">
        <w:rPr>
          <w:rFonts w:ascii="Calibri" w:hAnsi="Calibri" w:cs="Calibri"/>
          <w:color w:val="000000" w:themeColor="text1"/>
        </w:rPr>
        <w:t>gather data</w:t>
      </w:r>
      <w:r w:rsidR="00242896">
        <w:rPr>
          <w:rFonts w:ascii="Calibri" w:hAnsi="Calibri" w:cs="Calibri"/>
          <w:color w:val="000000" w:themeColor="text1"/>
        </w:rPr>
        <w:t xml:space="preserve"> </w:t>
      </w:r>
      <w:r w:rsidR="00A27B50">
        <w:rPr>
          <w:rFonts w:ascii="Calibri" w:hAnsi="Calibri" w:cs="Calibri"/>
          <w:color w:val="000000" w:themeColor="text1"/>
        </w:rPr>
        <w:t>necessary</w:t>
      </w:r>
      <w:r w:rsidRPr="00182081" w:rsidR="6130DCC4">
        <w:rPr>
          <w:rFonts w:ascii="Calibri" w:hAnsi="Calibri" w:cs="Calibri"/>
          <w:color w:val="000000" w:themeColor="text1"/>
        </w:rPr>
        <w:t xml:space="preserve"> to identify and quantify sources of PFAS</w:t>
      </w:r>
      <w:r w:rsidR="00A27B50">
        <w:rPr>
          <w:rFonts w:ascii="Calibri" w:hAnsi="Calibri" w:cs="Calibri"/>
          <w:color w:val="000000" w:themeColor="text1"/>
        </w:rPr>
        <w:t xml:space="preserve"> discharges</w:t>
      </w:r>
      <w:r w:rsidRPr="00182081" w:rsidR="6130DCC4">
        <w:rPr>
          <w:rFonts w:ascii="Calibri" w:hAnsi="Calibri" w:cs="Calibri"/>
          <w:color w:val="000000" w:themeColor="text1"/>
        </w:rPr>
        <w:t xml:space="preserve">, prioritize industrial categories for potential regulation, </w:t>
      </w:r>
      <w:r w:rsidR="00A27B50">
        <w:rPr>
          <w:rFonts w:ascii="Calibri" w:hAnsi="Calibri" w:cs="Calibri"/>
          <w:color w:val="000000" w:themeColor="text1"/>
        </w:rPr>
        <w:t>and</w:t>
      </w:r>
      <w:r w:rsidRPr="00182081" w:rsidR="6130DCC4">
        <w:rPr>
          <w:rFonts w:ascii="Calibri" w:hAnsi="Calibri" w:cs="Calibri"/>
          <w:color w:val="000000" w:themeColor="text1"/>
        </w:rPr>
        <w:t xml:space="preserve"> establish</w:t>
      </w:r>
      <w:r w:rsidRPr="00FA4E09" w:rsidR="6130DCC4">
        <w:rPr>
          <w:rFonts w:ascii="Calibri" w:hAnsi="Calibri" w:cs="Calibri"/>
          <w:color w:val="000000" w:themeColor="text1"/>
        </w:rPr>
        <w:t xml:space="preserve"> a current national data set of sewage sludge characteristics. </w:t>
      </w:r>
      <w:r w:rsidRPr="0024329E" w:rsidR="0024329E">
        <w:rPr>
          <w:rFonts w:ascii="Calibri" w:hAnsi="Calibri" w:cs="Calibri"/>
          <w:color w:val="000000" w:themeColor="text1"/>
        </w:rPr>
        <w:t>This data collection will support two separate</w:t>
      </w:r>
      <w:r>
        <w:rPr>
          <w:rFonts w:ascii="Calibri" w:hAnsi="Calibri" w:cs="Calibri"/>
          <w:color w:val="000000" w:themeColor="text1"/>
        </w:rPr>
        <w:t xml:space="preserve"> </w:t>
      </w:r>
      <w:r w:rsidR="007C104B">
        <w:rPr>
          <w:rFonts w:ascii="Calibri" w:hAnsi="Calibri" w:cs="Calibri"/>
          <w:color w:val="000000" w:themeColor="text1"/>
        </w:rPr>
        <w:t>United States Environmental Protection Agency (EPA)</w:t>
      </w:r>
      <w:r w:rsidRPr="0024329E" w:rsidR="0024329E">
        <w:rPr>
          <w:rFonts w:ascii="Calibri" w:hAnsi="Calibri" w:cs="Calibri"/>
          <w:color w:val="000000" w:themeColor="text1"/>
        </w:rPr>
        <w:t xml:space="preserve"> studies</w:t>
      </w:r>
      <w:r>
        <w:rPr>
          <w:rFonts w:ascii="Calibri" w:hAnsi="Calibri" w:cs="Calibri"/>
          <w:color w:val="000000" w:themeColor="text1"/>
        </w:rPr>
        <w:t>:</w:t>
      </w:r>
    </w:p>
    <w:p w:rsidR="00EB0073" w:rsidRPr="004853F7" w:rsidP="003A1630" w14:paraId="0FC2E5B1" w14:textId="47D05A8F">
      <w:pPr>
        <w:pStyle w:val="ListBulletSingle"/>
        <w:spacing w:after="80"/>
        <w:ind w:left="720" w:hanging="360"/>
        <w:rPr>
          <w:rFonts w:ascii="Calibri" w:hAnsi="Calibri" w:cs="Calibri"/>
        </w:rPr>
      </w:pPr>
      <w:r w:rsidRPr="004853F7">
        <w:rPr>
          <w:rFonts w:ascii="Calibri" w:hAnsi="Calibri" w:cs="Calibri"/>
          <w:b/>
          <w:bCs/>
        </w:rPr>
        <w:t>POTW Influent</w:t>
      </w:r>
      <w:r w:rsidRPr="004853F7" w:rsidR="00EB7D54">
        <w:rPr>
          <w:rFonts w:ascii="Calibri" w:hAnsi="Calibri" w:cs="Calibri"/>
          <w:b/>
          <w:bCs/>
        </w:rPr>
        <w:t xml:space="preserve"> PFAS</w:t>
      </w:r>
      <w:r w:rsidRPr="004853F7">
        <w:rPr>
          <w:rFonts w:ascii="Calibri" w:hAnsi="Calibri" w:cs="Calibri"/>
          <w:b/>
          <w:bCs/>
        </w:rPr>
        <w:t xml:space="preserve"> Study</w:t>
      </w:r>
      <w:r w:rsidRPr="004853F7" w:rsidR="00565076">
        <w:rPr>
          <w:rFonts w:ascii="Calibri" w:hAnsi="Calibri" w:cs="Calibri"/>
          <w:b/>
          <w:bCs/>
        </w:rPr>
        <w:t>.</w:t>
      </w:r>
      <w:r w:rsidRPr="004853F7" w:rsidR="00565076">
        <w:rPr>
          <w:rFonts w:ascii="Calibri" w:hAnsi="Calibri" w:cs="Calibri"/>
        </w:rPr>
        <w:t xml:space="preserve"> </w:t>
      </w:r>
      <w:r w:rsidRPr="004853F7" w:rsidR="039E873B">
        <w:rPr>
          <w:rFonts w:ascii="Calibri" w:hAnsi="Calibri" w:cs="Calibri"/>
        </w:rPr>
        <w:t xml:space="preserve">As announced in the </w:t>
      </w:r>
      <w:r w:rsidRPr="004853F7" w:rsidR="00B71935">
        <w:rPr>
          <w:rFonts w:ascii="Calibri" w:hAnsi="Calibri" w:cs="Calibri"/>
        </w:rPr>
        <w:t xml:space="preserve">EPA’s </w:t>
      </w:r>
      <w:hyperlink r:id="rId10" w:history="1">
        <w:r w:rsidRPr="004853F7" w:rsidR="00B71935">
          <w:rPr>
            <w:rStyle w:val="Hyperlink"/>
            <w:rFonts w:ascii="Calibri" w:hAnsi="Calibri" w:cs="Calibri"/>
            <w:i/>
            <w:iCs/>
          </w:rPr>
          <w:t>Effluent Guidelines Program Plan 15</w:t>
        </w:r>
      </w:hyperlink>
      <w:r w:rsidRPr="004853F7" w:rsidR="00B71935">
        <w:rPr>
          <w:rFonts w:ascii="Calibri" w:hAnsi="Calibri" w:cs="Calibri"/>
        </w:rPr>
        <w:t xml:space="preserve">, </w:t>
      </w:r>
      <w:r w:rsidRPr="004853F7" w:rsidR="039E873B">
        <w:rPr>
          <w:rFonts w:ascii="Calibri" w:hAnsi="Calibri" w:cs="Calibri"/>
        </w:rPr>
        <w:t xml:space="preserve">published in January 2023, the EPA </w:t>
      </w:r>
      <w:r w:rsidRPr="004853F7" w:rsidR="00C21B5A">
        <w:rPr>
          <w:rFonts w:ascii="Calibri" w:hAnsi="Calibri" w:cs="Calibri"/>
        </w:rPr>
        <w:t xml:space="preserve">will conduct </w:t>
      </w:r>
      <w:r w:rsidRPr="004853F7" w:rsidR="039E873B">
        <w:rPr>
          <w:rFonts w:ascii="Calibri" w:hAnsi="Calibri" w:cs="Calibri"/>
        </w:rPr>
        <w:t xml:space="preserve">the POTW Influent PFAS Study </w:t>
      </w:r>
      <w:r w:rsidRPr="004853F7" w:rsidR="2AE299E4">
        <w:rPr>
          <w:rFonts w:ascii="Calibri" w:hAnsi="Calibri" w:cs="Calibri"/>
        </w:rPr>
        <w:t xml:space="preserve">to gather nationwide data </w:t>
      </w:r>
      <w:r w:rsidRPr="004853F7" w:rsidR="1AB9EFAF">
        <w:rPr>
          <w:rFonts w:ascii="Calibri" w:hAnsi="Calibri" w:cs="Calibri"/>
        </w:rPr>
        <w:t>on indu</w:t>
      </w:r>
      <w:r w:rsidRPr="004853F7" w:rsidR="252504AC">
        <w:rPr>
          <w:rFonts w:ascii="Calibri" w:hAnsi="Calibri" w:cs="Calibri"/>
        </w:rPr>
        <w:t xml:space="preserve">strial </w:t>
      </w:r>
      <w:r w:rsidR="00CB70E7">
        <w:rPr>
          <w:rFonts w:ascii="Calibri" w:hAnsi="Calibri" w:cs="Calibri"/>
        </w:rPr>
        <w:t xml:space="preserve">and domestic wastewater </w:t>
      </w:r>
      <w:r w:rsidRPr="004853F7" w:rsidR="05A32790">
        <w:rPr>
          <w:rFonts w:ascii="Calibri" w:hAnsi="Calibri" w:cs="Calibri"/>
        </w:rPr>
        <w:t>discharge</w:t>
      </w:r>
      <w:r w:rsidRPr="004853F7" w:rsidR="35EE9541">
        <w:rPr>
          <w:rFonts w:ascii="Calibri" w:hAnsi="Calibri" w:cs="Calibri"/>
        </w:rPr>
        <w:t>s</w:t>
      </w:r>
      <w:r w:rsidR="00CB70E7">
        <w:rPr>
          <w:rFonts w:ascii="Calibri" w:hAnsi="Calibri" w:cs="Calibri"/>
        </w:rPr>
        <w:t xml:space="preserve"> of PFAS</w:t>
      </w:r>
      <w:r w:rsidRPr="004853F7" w:rsidR="51404F1D">
        <w:rPr>
          <w:rFonts w:ascii="Calibri" w:hAnsi="Calibri" w:cs="Calibri"/>
        </w:rPr>
        <w:t xml:space="preserve"> </w:t>
      </w:r>
      <w:r w:rsidR="00CB70E7">
        <w:rPr>
          <w:rFonts w:ascii="Calibri" w:hAnsi="Calibri" w:cs="Calibri"/>
        </w:rPr>
        <w:t>in</w:t>
      </w:r>
      <w:r w:rsidRPr="004853F7" w:rsidR="51404F1D">
        <w:rPr>
          <w:rFonts w:ascii="Calibri" w:hAnsi="Calibri" w:cs="Calibri"/>
        </w:rPr>
        <w:t xml:space="preserve">to the environment. </w:t>
      </w:r>
      <w:r w:rsidRPr="004853F7" w:rsidR="3CA47B75">
        <w:rPr>
          <w:rFonts w:ascii="Calibri" w:hAnsi="Calibri" w:cs="Calibri"/>
        </w:rPr>
        <w:t>To</w:t>
      </w:r>
      <w:r w:rsidRPr="004853F7" w:rsidR="4DB80DF8">
        <w:rPr>
          <w:rFonts w:ascii="Calibri" w:hAnsi="Calibri" w:cs="Calibri"/>
        </w:rPr>
        <w:t xml:space="preserve"> accomplish this</w:t>
      </w:r>
      <w:r w:rsidRPr="004853F7" w:rsidR="4EB0834C">
        <w:rPr>
          <w:rFonts w:ascii="Calibri" w:hAnsi="Calibri" w:cs="Calibri"/>
        </w:rPr>
        <w:t xml:space="preserve"> goal</w:t>
      </w:r>
      <w:r w:rsidRPr="004853F7" w:rsidR="6343927C">
        <w:rPr>
          <w:rFonts w:ascii="Calibri" w:hAnsi="Calibri" w:cs="Calibri"/>
        </w:rPr>
        <w:t xml:space="preserve">, the EPA will require </w:t>
      </w:r>
      <w:r w:rsidRPr="004853F7" w:rsidR="005776F6">
        <w:rPr>
          <w:rFonts w:ascii="Calibri" w:hAnsi="Calibri" w:cs="Calibri"/>
        </w:rPr>
        <w:t xml:space="preserve">a subset of </w:t>
      </w:r>
      <w:r w:rsidRPr="004853F7" w:rsidR="6343927C">
        <w:rPr>
          <w:rFonts w:ascii="Calibri" w:hAnsi="Calibri" w:cs="Calibri"/>
        </w:rPr>
        <w:t xml:space="preserve">POTWs </w:t>
      </w:r>
      <w:r w:rsidRPr="004853F7" w:rsidR="0E6F7F93">
        <w:rPr>
          <w:rFonts w:ascii="Calibri" w:hAnsi="Calibri" w:cs="Calibri"/>
        </w:rPr>
        <w:t>across the United States to complete a</w:t>
      </w:r>
      <w:r w:rsidRPr="004853F7" w:rsidR="00025318">
        <w:rPr>
          <w:rFonts w:ascii="Calibri" w:hAnsi="Calibri" w:cs="Calibri"/>
        </w:rPr>
        <w:t xml:space="preserve">n </w:t>
      </w:r>
      <w:r w:rsidRPr="004853F7" w:rsidR="00A45271">
        <w:rPr>
          <w:rFonts w:ascii="Calibri" w:hAnsi="Calibri" w:cs="Calibri"/>
        </w:rPr>
        <w:t>electronic questionnaire</w:t>
      </w:r>
      <w:r w:rsidRPr="004853F7" w:rsidR="0E6F7F93">
        <w:rPr>
          <w:rFonts w:ascii="Calibri" w:hAnsi="Calibri" w:cs="Calibri"/>
        </w:rPr>
        <w:t xml:space="preserve"> and conduct </w:t>
      </w:r>
      <w:r w:rsidRPr="004853F7" w:rsidR="00A45271">
        <w:rPr>
          <w:rFonts w:ascii="Calibri" w:hAnsi="Calibri" w:cs="Calibri"/>
        </w:rPr>
        <w:t xml:space="preserve">wastewater </w:t>
      </w:r>
      <w:r w:rsidRPr="004853F7" w:rsidR="0E6F7F93">
        <w:rPr>
          <w:rFonts w:ascii="Calibri" w:hAnsi="Calibri" w:cs="Calibri"/>
        </w:rPr>
        <w:t xml:space="preserve">sampling to obtain information on </w:t>
      </w:r>
      <w:r w:rsidR="00D77948">
        <w:rPr>
          <w:rFonts w:ascii="Calibri" w:hAnsi="Calibri" w:cs="Calibri"/>
        </w:rPr>
        <w:t>types and quantities of PFAS</w:t>
      </w:r>
      <w:r w:rsidRPr="004853F7" w:rsidR="7A466419">
        <w:rPr>
          <w:rFonts w:ascii="Calibri" w:hAnsi="Calibri" w:cs="Calibri"/>
        </w:rPr>
        <w:t xml:space="preserve"> in </w:t>
      </w:r>
      <w:r w:rsidRPr="004853F7" w:rsidR="00AA78AA">
        <w:rPr>
          <w:rFonts w:ascii="Calibri" w:hAnsi="Calibri" w:cs="Calibri"/>
        </w:rPr>
        <w:t xml:space="preserve">discharges from industrial </w:t>
      </w:r>
      <w:r w:rsidRPr="004853F7" w:rsidR="004853F7">
        <w:rPr>
          <w:rFonts w:ascii="Calibri" w:hAnsi="Calibri" w:cs="Calibri"/>
        </w:rPr>
        <w:t xml:space="preserve">facilities, </w:t>
      </w:r>
      <w:r w:rsidRPr="004853F7" w:rsidR="65F6CF3B">
        <w:rPr>
          <w:rFonts w:ascii="Calibri" w:hAnsi="Calibri" w:cs="Calibri"/>
        </w:rPr>
        <w:t xml:space="preserve">domestic </w:t>
      </w:r>
      <w:r w:rsidRPr="004853F7" w:rsidR="003620FB">
        <w:rPr>
          <w:rFonts w:ascii="Calibri" w:hAnsi="Calibri" w:cs="Calibri"/>
        </w:rPr>
        <w:t>wastewater</w:t>
      </w:r>
      <w:r w:rsidR="00A966C6">
        <w:rPr>
          <w:rFonts w:ascii="Calibri" w:hAnsi="Calibri" w:cs="Calibri"/>
        </w:rPr>
        <w:t xml:space="preserve"> or </w:t>
      </w:r>
      <w:r w:rsidRPr="004853F7" w:rsidR="003620FB">
        <w:rPr>
          <w:rFonts w:ascii="Calibri" w:hAnsi="Calibri" w:cs="Calibri"/>
        </w:rPr>
        <w:t>sewage</w:t>
      </w:r>
      <w:r w:rsidRPr="004853F7" w:rsidR="13F9D15F">
        <w:rPr>
          <w:rFonts w:ascii="Calibri" w:hAnsi="Calibri" w:cs="Calibri"/>
        </w:rPr>
        <w:t>,</w:t>
      </w:r>
      <w:r w:rsidRPr="004853F7" w:rsidR="00A31439">
        <w:rPr>
          <w:rFonts w:ascii="Calibri" w:hAnsi="Calibri" w:cs="Calibri"/>
        </w:rPr>
        <w:t xml:space="preserve"> </w:t>
      </w:r>
      <w:r w:rsidRPr="004853F7" w:rsidR="13F9D15F">
        <w:rPr>
          <w:rFonts w:ascii="Calibri" w:hAnsi="Calibri" w:cs="Calibri"/>
        </w:rPr>
        <w:t xml:space="preserve">and </w:t>
      </w:r>
      <w:r w:rsidRPr="004853F7" w:rsidR="00520D15">
        <w:rPr>
          <w:rFonts w:ascii="Calibri" w:hAnsi="Calibri" w:cs="Calibri"/>
        </w:rPr>
        <w:t xml:space="preserve">POTW </w:t>
      </w:r>
      <w:r w:rsidRPr="004853F7" w:rsidR="004853F7">
        <w:rPr>
          <w:rFonts w:ascii="Calibri" w:hAnsi="Calibri" w:cs="Calibri"/>
        </w:rPr>
        <w:t xml:space="preserve">influent and </w:t>
      </w:r>
      <w:r w:rsidRPr="004853F7" w:rsidR="13F9D15F">
        <w:rPr>
          <w:rFonts w:ascii="Calibri" w:hAnsi="Calibri" w:cs="Calibri"/>
        </w:rPr>
        <w:t>effluent</w:t>
      </w:r>
      <w:r w:rsidRPr="004853F7">
        <w:rPr>
          <w:rFonts w:ascii="Calibri" w:hAnsi="Calibri" w:cs="Calibri"/>
        </w:rPr>
        <w:t>.</w:t>
      </w:r>
      <w:r w:rsidR="004853F7">
        <w:rPr>
          <w:rFonts w:ascii="Calibri" w:hAnsi="Calibri" w:cs="Calibri"/>
        </w:rPr>
        <w:t xml:space="preserve"> The data will</w:t>
      </w:r>
      <w:r w:rsidR="00BE45F1">
        <w:rPr>
          <w:rFonts w:ascii="Calibri" w:hAnsi="Calibri" w:cs="Calibri"/>
        </w:rPr>
        <w:t xml:space="preserve"> primarily be used to </w:t>
      </w:r>
      <w:r w:rsidR="00312F1A">
        <w:rPr>
          <w:rFonts w:ascii="Calibri" w:hAnsi="Calibri" w:cs="Calibri"/>
        </w:rPr>
        <w:t>identify and prioritize industrial point source categories where additional study or regulations may be warranted to control PFAS discharges.</w:t>
      </w:r>
    </w:p>
    <w:p w:rsidR="0B842668" w:rsidRPr="00F2508C" w:rsidP="00F77A71" w14:paraId="0CB84FA1" w14:textId="40D5FAB9">
      <w:pPr>
        <w:pStyle w:val="ListBulletSingle"/>
        <w:spacing w:after="240"/>
        <w:ind w:left="720" w:hanging="360"/>
        <w:rPr>
          <w:rFonts w:ascii="Calibri" w:hAnsi="Calibri" w:cs="Calibri"/>
        </w:rPr>
      </w:pPr>
      <w:r w:rsidRPr="00565076">
        <w:rPr>
          <w:rFonts w:ascii="Calibri" w:hAnsi="Calibri" w:cs="Calibri"/>
          <w:b/>
          <w:bCs/>
        </w:rPr>
        <w:t>National Sewage Sludge Survey</w:t>
      </w:r>
      <w:r w:rsidRPr="00565076" w:rsidR="00775820">
        <w:rPr>
          <w:rFonts w:ascii="Calibri" w:hAnsi="Calibri" w:cs="Calibri"/>
          <w:b/>
          <w:bCs/>
        </w:rPr>
        <w:t xml:space="preserve"> (NSSS)</w:t>
      </w:r>
      <w:r w:rsidRPr="00565076" w:rsidR="00565076">
        <w:rPr>
          <w:rFonts w:ascii="Calibri" w:hAnsi="Calibri" w:cs="Calibri"/>
          <w:b/>
          <w:bCs/>
        </w:rPr>
        <w:t>.</w:t>
      </w:r>
      <w:r w:rsidRPr="00565076" w:rsidR="00565076">
        <w:rPr>
          <w:rFonts w:ascii="Calibri" w:hAnsi="Calibri" w:cs="Calibri"/>
        </w:rPr>
        <w:t xml:space="preserve"> </w:t>
      </w:r>
      <w:r w:rsidRPr="00565076" w:rsidR="234F8139">
        <w:rPr>
          <w:rFonts w:ascii="Calibri" w:hAnsi="Calibri" w:cs="Calibri"/>
        </w:rPr>
        <w:t xml:space="preserve">The EPA also plans to conduct </w:t>
      </w:r>
      <w:r w:rsidRPr="00565076" w:rsidR="00FE2F27">
        <w:rPr>
          <w:rFonts w:ascii="Calibri" w:hAnsi="Calibri" w:cs="Calibri"/>
        </w:rPr>
        <w:t>a</w:t>
      </w:r>
      <w:r w:rsidRPr="00565076" w:rsidR="00775820">
        <w:rPr>
          <w:rFonts w:ascii="Calibri" w:hAnsi="Calibri" w:cs="Calibri"/>
        </w:rPr>
        <w:t xml:space="preserve"> </w:t>
      </w:r>
      <w:r w:rsidRPr="00565076" w:rsidR="234F8139">
        <w:rPr>
          <w:rFonts w:ascii="Calibri" w:hAnsi="Calibri" w:cs="Calibri"/>
        </w:rPr>
        <w:t>NSSS to identify the presence</w:t>
      </w:r>
      <w:r w:rsidRPr="00565076" w:rsidR="6DD498E5">
        <w:rPr>
          <w:rFonts w:ascii="Calibri" w:hAnsi="Calibri" w:cs="Calibri"/>
        </w:rPr>
        <w:t xml:space="preserve"> of pollutants in sewage sludge using samples collected from POTWs.</w:t>
      </w:r>
      <w:r w:rsidRPr="00565076" w:rsidR="5B6ADD9D">
        <w:rPr>
          <w:rFonts w:ascii="Calibri" w:hAnsi="Calibri" w:cs="Calibri"/>
        </w:rPr>
        <w:t xml:space="preserve"> This NSSS will focus on obtaining a current national data set on PFAS </w:t>
      </w:r>
      <w:r w:rsidR="00A91FE5">
        <w:rPr>
          <w:rFonts w:ascii="Calibri" w:hAnsi="Calibri" w:cs="Calibri"/>
        </w:rPr>
        <w:t>concentrations and ancillary parameters</w:t>
      </w:r>
      <w:r w:rsidRPr="00565076" w:rsidR="5B6ADD9D">
        <w:rPr>
          <w:rFonts w:ascii="Calibri" w:hAnsi="Calibri" w:cs="Calibri"/>
        </w:rPr>
        <w:t xml:space="preserve"> found in sewage sludge. The d</w:t>
      </w:r>
      <w:r w:rsidRPr="00565076" w:rsidR="17BA813F">
        <w:rPr>
          <w:rFonts w:ascii="Calibri" w:hAnsi="Calibri" w:cs="Calibri"/>
        </w:rPr>
        <w:t xml:space="preserve">ata generated by the NSSS </w:t>
      </w:r>
      <w:r w:rsidR="00F2508C">
        <w:rPr>
          <w:rFonts w:ascii="Calibri" w:hAnsi="Calibri" w:cs="Calibri"/>
        </w:rPr>
        <w:t xml:space="preserve">will inform </w:t>
      </w:r>
      <w:r w:rsidRPr="00565076" w:rsidR="17BA813F">
        <w:rPr>
          <w:rFonts w:ascii="Calibri" w:hAnsi="Calibri" w:cs="Calibri"/>
        </w:rPr>
        <w:t>future risk assessments and risk management options</w:t>
      </w:r>
      <w:r w:rsidR="00F2508C">
        <w:rPr>
          <w:rFonts w:ascii="Calibri" w:hAnsi="Calibri" w:cs="Calibri"/>
        </w:rPr>
        <w:t xml:space="preserve"> </w:t>
      </w:r>
      <w:r w:rsidR="00092313">
        <w:rPr>
          <w:rFonts w:ascii="Calibri" w:hAnsi="Calibri" w:cs="Calibri"/>
        </w:rPr>
        <w:t>for sewage sludge</w:t>
      </w:r>
      <w:r w:rsidRPr="00565076" w:rsidR="17BA813F">
        <w:rPr>
          <w:rFonts w:ascii="Calibri" w:hAnsi="Calibri" w:cs="Calibri"/>
        </w:rPr>
        <w:t>.</w:t>
      </w:r>
    </w:p>
    <w:p w:rsidR="000C24B6" w:rsidRPr="00FA4E09" w:rsidP="6DBBB7E0" w14:paraId="1DF53415" w14:textId="253DEFF4">
      <w:pPr>
        <w:spacing w:before="240"/>
        <w:rPr>
          <w:rFonts w:ascii="Calibri" w:hAnsi="Calibri" w:cs="Calibri"/>
          <w:color w:val="000000" w:themeColor="text1"/>
        </w:rPr>
      </w:pPr>
      <w:r w:rsidRPr="008C18CA">
        <w:rPr>
          <w:rFonts w:ascii="Calibri" w:hAnsi="Calibri" w:cs="Calibri"/>
          <w:color w:val="000000" w:themeColor="text1"/>
        </w:rPr>
        <w:t xml:space="preserve">The EPA, through this </w:t>
      </w:r>
      <w:r w:rsidR="008C18CA">
        <w:rPr>
          <w:rFonts w:ascii="Calibri" w:hAnsi="Calibri" w:cs="Calibri"/>
          <w:color w:val="000000" w:themeColor="text1"/>
        </w:rPr>
        <w:t>I</w:t>
      </w:r>
      <w:r w:rsidRPr="008C18CA">
        <w:rPr>
          <w:rFonts w:ascii="Calibri" w:hAnsi="Calibri" w:cs="Calibri"/>
          <w:color w:val="000000" w:themeColor="text1"/>
        </w:rPr>
        <w:t>nformation Collection Request</w:t>
      </w:r>
      <w:r w:rsidRPr="008C18CA" w:rsidR="71759F81">
        <w:rPr>
          <w:rFonts w:ascii="Calibri" w:hAnsi="Calibri" w:cs="Calibri"/>
          <w:color w:val="000000" w:themeColor="text1"/>
        </w:rPr>
        <w:t xml:space="preserve"> (ICR) pac</w:t>
      </w:r>
      <w:r w:rsidRPr="008C18CA" w:rsidR="077B47BB">
        <w:rPr>
          <w:rFonts w:ascii="Calibri" w:hAnsi="Calibri" w:cs="Calibri"/>
          <w:color w:val="000000" w:themeColor="text1"/>
        </w:rPr>
        <w:t xml:space="preserve">kage, requests </w:t>
      </w:r>
      <w:r w:rsidRPr="008C18CA" w:rsidR="6D49B2F1">
        <w:rPr>
          <w:rFonts w:ascii="Calibri" w:hAnsi="Calibri" w:cs="Calibri"/>
          <w:color w:val="000000" w:themeColor="text1"/>
        </w:rPr>
        <w:t xml:space="preserve">that </w:t>
      </w:r>
      <w:r w:rsidRPr="008C18CA" w:rsidR="077B47BB">
        <w:rPr>
          <w:rFonts w:ascii="Calibri" w:hAnsi="Calibri" w:cs="Calibri"/>
          <w:color w:val="000000" w:themeColor="text1"/>
        </w:rPr>
        <w:t xml:space="preserve">the </w:t>
      </w:r>
      <w:r w:rsidRPr="00FA4E09" w:rsidR="00864D39">
        <w:rPr>
          <w:rFonts w:ascii="Calibri" w:hAnsi="Calibri" w:cs="Calibri"/>
          <w:color w:val="000000" w:themeColor="text1"/>
        </w:rPr>
        <w:t xml:space="preserve">White House </w:t>
      </w:r>
      <w:r w:rsidRPr="00D77948" w:rsidR="077B47BB">
        <w:rPr>
          <w:rFonts w:ascii="Calibri" w:hAnsi="Calibri" w:cs="Calibri"/>
          <w:color w:val="000000" w:themeColor="text1"/>
        </w:rPr>
        <w:t>Office of Management and Budget (OMB) review</w:t>
      </w:r>
      <w:r w:rsidRPr="00D77948" w:rsidR="6D49B2F1">
        <w:rPr>
          <w:rFonts w:ascii="Calibri" w:hAnsi="Calibri" w:cs="Calibri"/>
          <w:color w:val="000000" w:themeColor="text1"/>
        </w:rPr>
        <w:t xml:space="preserve"> and approve</w:t>
      </w:r>
      <w:r w:rsidRPr="00D77948" w:rsidR="2B4DF2F1">
        <w:rPr>
          <w:rFonts w:ascii="Calibri" w:hAnsi="Calibri" w:cs="Calibri"/>
          <w:color w:val="000000" w:themeColor="text1"/>
        </w:rPr>
        <w:t xml:space="preserve"> the ICR </w:t>
      </w:r>
      <w:r w:rsidRPr="00D77948" w:rsidR="585F8AEA">
        <w:rPr>
          <w:rFonts w:ascii="Calibri" w:hAnsi="Calibri" w:cs="Calibri"/>
          <w:color w:val="000000" w:themeColor="text1"/>
        </w:rPr>
        <w:t xml:space="preserve">to support these two studies. </w:t>
      </w:r>
    </w:p>
    <w:p w:rsidR="00CD317C" w:rsidRPr="00FA4E09" w:rsidP="4BDBF0A0" w14:paraId="4CE6D865" w14:textId="48D05499">
      <w:pPr>
        <w:spacing w:before="240"/>
        <w:rPr>
          <w:rFonts w:ascii="Calibri" w:hAnsi="Calibri" w:cs="Calibri"/>
          <w:color w:val="000000"/>
        </w:rPr>
      </w:pPr>
      <w:r w:rsidRPr="00FA4E09">
        <w:rPr>
          <w:rFonts w:ascii="Calibri" w:hAnsi="Calibri" w:cs="Calibri"/>
          <w:color w:val="000000"/>
        </w:rPr>
        <w:t xml:space="preserve">The EPA estimates that the total burden to the </w:t>
      </w:r>
      <w:r w:rsidR="00E97340">
        <w:rPr>
          <w:rFonts w:ascii="Calibri" w:hAnsi="Calibri" w:cs="Calibri"/>
          <w:color w:val="000000"/>
        </w:rPr>
        <w:t xml:space="preserve">industry for </w:t>
      </w:r>
      <w:r w:rsidRPr="00FA4E09">
        <w:rPr>
          <w:rFonts w:ascii="Calibri" w:hAnsi="Calibri" w:cs="Calibri"/>
          <w:color w:val="000000"/>
        </w:rPr>
        <w:t xml:space="preserve">approximately 400 POTWs </w:t>
      </w:r>
      <w:r w:rsidR="003F7C04">
        <w:rPr>
          <w:rFonts w:ascii="Calibri" w:hAnsi="Calibri" w:cs="Calibri"/>
          <w:color w:val="000000"/>
        </w:rPr>
        <w:t xml:space="preserve">to respond </w:t>
      </w:r>
      <w:r w:rsidRPr="00FA4E09">
        <w:rPr>
          <w:rFonts w:ascii="Calibri" w:hAnsi="Calibri" w:cs="Calibri"/>
          <w:color w:val="000000"/>
        </w:rPr>
        <w:t>to the</w:t>
      </w:r>
      <w:r w:rsidR="00A32CCE">
        <w:rPr>
          <w:rFonts w:ascii="Calibri" w:hAnsi="Calibri" w:cs="Calibri"/>
          <w:color w:val="000000"/>
        </w:rPr>
        <w:t xml:space="preserve"> electronic</w:t>
      </w:r>
      <w:r w:rsidRPr="00FA4E09">
        <w:rPr>
          <w:rFonts w:ascii="Calibri" w:hAnsi="Calibri" w:cs="Calibri"/>
          <w:color w:val="000000"/>
        </w:rPr>
        <w:t xml:space="preserve"> questionnaire and </w:t>
      </w:r>
      <w:r w:rsidR="00A32CCE">
        <w:rPr>
          <w:rFonts w:ascii="Calibri" w:hAnsi="Calibri" w:cs="Calibri"/>
          <w:color w:val="000000"/>
        </w:rPr>
        <w:t xml:space="preserve">200 – 300 POTWs to </w:t>
      </w:r>
      <w:r w:rsidRPr="00FA4E09">
        <w:rPr>
          <w:rFonts w:ascii="Calibri" w:hAnsi="Calibri" w:cs="Calibri"/>
          <w:color w:val="000000"/>
        </w:rPr>
        <w:t>conduct sampling will be approximately 25,640 hours, or $5.5 million, including labor and other direct costs. The EPA estimates that the total burden to the Agency for the questionnaire and sampling program will be approximately 5,687 hours, or $0.7 million, including labor costs and other direct costs. The data collection design represents the EPA’s efforts to gather sufficient data to perform the analyses required to accurately review</w:t>
      </w:r>
      <w:r w:rsidR="00897C06">
        <w:rPr>
          <w:rFonts w:ascii="Calibri" w:hAnsi="Calibri" w:cs="Calibri"/>
          <w:color w:val="000000"/>
        </w:rPr>
        <w:t xml:space="preserve"> and</w:t>
      </w:r>
      <w:r w:rsidRPr="00FA4E09">
        <w:rPr>
          <w:rFonts w:ascii="Calibri" w:hAnsi="Calibri" w:cs="Calibri"/>
          <w:color w:val="000000"/>
        </w:rPr>
        <w:t xml:space="preserve"> determine whether </w:t>
      </w:r>
      <w:r w:rsidRPr="007C104B" w:rsidR="007C104B">
        <w:rPr>
          <w:rFonts w:ascii="Calibri" w:hAnsi="Calibri" w:cs="Calibri"/>
          <w:color w:val="000000"/>
        </w:rPr>
        <w:t>Effluent Limitations Guidelines and Standards (ELGs)</w:t>
      </w:r>
      <w:r w:rsidRPr="00FA4E09">
        <w:rPr>
          <w:rFonts w:ascii="Calibri" w:hAnsi="Calibri" w:cs="Calibri"/>
          <w:color w:val="000000"/>
        </w:rPr>
        <w:t xml:space="preserve"> </w:t>
      </w:r>
      <w:r w:rsidR="00897C06">
        <w:rPr>
          <w:rFonts w:ascii="Calibri" w:hAnsi="Calibri" w:cs="Calibri"/>
          <w:color w:val="000000"/>
        </w:rPr>
        <w:t xml:space="preserve">are warranted to </w:t>
      </w:r>
      <w:r w:rsidR="007C104B">
        <w:rPr>
          <w:rFonts w:ascii="Calibri" w:hAnsi="Calibri" w:cs="Calibri"/>
          <w:color w:val="000000"/>
        </w:rPr>
        <w:t xml:space="preserve">address PFAS discharges from </w:t>
      </w:r>
      <w:r w:rsidRPr="00FA4E09">
        <w:rPr>
          <w:rFonts w:ascii="Calibri" w:hAnsi="Calibri" w:cs="Calibri"/>
          <w:color w:val="000000"/>
        </w:rPr>
        <w:t>for specific industries</w:t>
      </w:r>
      <w:r w:rsidR="007C104B">
        <w:rPr>
          <w:rFonts w:ascii="Calibri" w:hAnsi="Calibri" w:cs="Calibri"/>
          <w:color w:val="000000"/>
        </w:rPr>
        <w:t xml:space="preserve"> </w:t>
      </w:r>
      <w:r w:rsidRPr="00FA4E09" w:rsidR="008D72E3">
        <w:rPr>
          <w:rFonts w:ascii="Calibri" w:hAnsi="Calibri" w:cs="Calibri"/>
          <w:color w:val="000000"/>
        </w:rPr>
        <w:t>and</w:t>
      </w:r>
      <w:r w:rsidRPr="00FA4E09">
        <w:rPr>
          <w:rFonts w:ascii="Calibri" w:hAnsi="Calibri" w:cs="Calibri"/>
          <w:color w:val="000000"/>
        </w:rPr>
        <w:t xml:space="preserve"> administer an ICR that limits the burden placed on respondents.</w:t>
      </w:r>
    </w:p>
    <w:p w:rsidR="00DE4E0C" w:rsidRPr="00FA4E09" w:rsidP="007C104B" w14:paraId="12DA0580" w14:textId="3A9EBC77">
      <w:pPr>
        <w:keepNext/>
        <w:rPr>
          <w:rFonts w:ascii="Calibri" w:hAnsi="Calibri" w:cs="Calibri"/>
          <w:b/>
          <w:bCs/>
          <w:u w:val="single"/>
        </w:rPr>
      </w:pPr>
      <w:r w:rsidRPr="00FA4E09">
        <w:rPr>
          <w:rFonts w:ascii="Calibri" w:hAnsi="Calibri" w:cs="Calibri"/>
          <w:b/>
          <w:bCs/>
          <w:u w:val="single"/>
        </w:rPr>
        <w:t>Supporting Statement A</w:t>
      </w:r>
      <w:bookmarkEnd w:id="0"/>
    </w:p>
    <w:p w:rsidR="00DD1092" w:rsidRPr="00E3122D" w:rsidP="00DD1092" w14:paraId="40A6E61E" w14:textId="7777777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DD1092" w:rsidRPr="00D47CB3" w:rsidP="00DD1092" w14:paraId="5DD6DDD2" w14:textId="77777777">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782A18" w:rsidRPr="00FA4E09" w:rsidP="008F029F" w14:paraId="308A6883" w14:textId="7FFC7051">
      <w:pPr>
        <w:keepNext/>
        <w:rPr>
          <w:rFonts w:ascii="Calibri" w:hAnsi="Calibri" w:cs="Calibri"/>
        </w:rPr>
      </w:pPr>
      <w:r w:rsidRPr="00FA4E09">
        <w:rPr>
          <w:rFonts w:ascii="Calibri" w:hAnsi="Calibri" w:cs="Calibri"/>
        </w:rPr>
        <w:t xml:space="preserve">The Clean Water Act directs the EPA to develop national regulations known as ELGs to place limits on the pollutants that are discharged by categories of industry to surface waters and POTWs. </w:t>
      </w:r>
      <w:r w:rsidRPr="00FA4E09" w:rsidR="00B70318">
        <w:rPr>
          <w:rFonts w:ascii="Calibri" w:hAnsi="Calibri" w:cs="Calibri"/>
        </w:rPr>
        <w:t>Additionally, Section 405(d) of the C</w:t>
      </w:r>
      <w:r w:rsidRPr="00FA4E09" w:rsidR="0069637D">
        <w:rPr>
          <w:rFonts w:ascii="Calibri" w:hAnsi="Calibri" w:cs="Calibri"/>
        </w:rPr>
        <w:t xml:space="preserve">lean </w:t>
      </w:r>
      <w:r w:rsidRPr="00FA4E09" w:rsidR="00B70318">
        <w:rPr>
          <w:rFonts w:ascii="Calibri" w:hAnsi="Calibri" w:cs="Calibri"/>
        </w:rPr>
        <w:t>W</w:t>
      </w:r>
      <w:r w:rsidRPr="00FA4E09" w:rsidR="0069637D">
        <w:rPr>
          <w:rFonts w:ascii="Calibri" w:hAnsi="Calibri" w:cs="Calibri"/>
        </w:rPr>
        <w:t xml:space="preserve">ater </w:t>
      </w:r>
      <w:r w:rsidRPr="00FA4E09" w:rsidR="00B70318">
        <w:rPr>
          <w:rFonts w:ascii="Calibri" w:hAnsi="Calibri" w:cs="Calibri"/>
        </w:rPr>
        <w:t>A</w:t>
      </w:r>
      <w:r w:rsidRPr="00FA4E09" w:rsidR="0069637D">
        <w:rPr>
          <w:rFonts w:ascii="Calibri" w:hAnsi="Calibri" w:cs="Calibri"/>
        </w:rPr>
        <w:t>ct</w:t>
      </w:r>
      <w:r w:rsidRPr="00FA4E09" w:rsidR="00B70318">
        <w:rPr>
          <w:rFonts w:ascii="Calibri" w:hAnsi="Calibri" w:cs="Calibri"/>
        </w:rPr>
        <w:t xml:space="preserve"> requires that the EPA establish requirements for the use or disposal of sewage sludge</w:t>
      </w:r>
      <w:r w:rsidRPr="00FA4E09" w:rsidR="00E6588A">
        <w:rPr>
          <w:rFonts w:ascii="Calibri" w:hAnsi="Calibri" w:cs="Calibri"/>
        </w:rPr>
        <w:t xml:space="preserve"> and review the regulations every two years to identify additional pollutants</w:t>
      </w:r>
      <w:r w:rsidRPr="00FA4E09" w:rsidR="00FA5B44">
        <w:rPr>
          <w:rFonts w:ascii="Calibri" w:hAnsi="Calibri" w:cs="Calibri"/>
        </w:rPr>
        <w:t>.</w:t>
      </w:r>
    </w:p>
    <w:p w:rsidR="00BB432F" w:rsidRPr="00FA4E09" w:rsidP="008F029F" w14:paraId="61662F16" w14:textId="1CB8B5BF">
      <w:pPr>
        <w:keepNext/>
        <w:rPr>
          <w:rFonts w:ascii="Calibri" w:hAnsi="Calibri" w:cs="Calibri"/>
        </w:rPr>
      </w:pPr>
      <w:r w:rsidRPr="00FA4E09">
        <w:rPr>
          <w:rFonts w:ascii="Calibri" w:hAnsi="Calibri" w:cs="Calibri"/>
        </w:rPr>
        <w:t xml:space="preserve">For many decades, industrial facilities have used and discharged PFAS </w:t>
      </w:r>
      <w:r w:rsidRPr="00FA4E09" w:rsidR="00E77D2C">
        <w:rPr>
          <w:rFonts w:ascii="Calibri" w:hAnsi="Calibri" w:cs="Calibri"/>
        </w:rPr>
        <w:t xml:space="preserve">into the environment. </w:t>
      </w:r>
      <w:r w:rsidRPr="00FA4E09">
        <w:rPr>
          <w:rFonts w:ascii="Calibri" w:hAnsi="Calibri" w:cs="Calibri"/>
        </w:rPr>
        <w:t>PFAS are a class of synthetic chemicals of concern to the EPA because of their widespread use and potential to accumulate in the environment. Certain PFAS are known to cause adverse ecological and human health effects. The EPA has not established national technology-based numeric standards for PFAS in wastewater discharges and few states have developed water quality standards for PFAS. Therefore, few industrial facilities have PFAS monitoring requirements, effluent limitations, or pretreatment standards for wastewater discharges.</w:t>
      </w:r>
    </w:p>
    <w:p w:rsidR="008F029F" w:rsidRPr="00FA4E09" w:rsidP="008F029F" w14:paraId="4ED97890" w14:textId="3B9B1BAF">
      <w:pPr>
        <w:keepNext/>
        <w:rPr>
          <w:rFonts w:ascii="Calibri" w:hAnsi="Calibri" w:cs="Calibri"/>
        </w:rPr>
      </w:pPr>
      <w:r w:rsidRPr="00FA4E09">
        <w:rPr>
          <w:rFonts w:ascii="Calibri" w:hAnsi="Calibri" w:cs="Calibri"/>
        </w:rPr>
        <w:t>As part of the POTW Influent PFAS Study</w:t>
      </w:r>
      <w:r w:rsidRPr="00FA4E09" w:rsidR="00100080">
        <w:rPr>
          <w:rFonts w:ascii="Calibri" w:hAnsi="Calibri" w:cs="Calibri"/>
        </w:rPr>
        <w:t xml:space="preserve"> and NSSS</w:t>
      </w:r>
      <w:r w:rsidRPr="00FA4E09">
        <w:rPr>
          <w:rFonts w:ascii="Calibri" w:hAnsi="Calibri" w:cs="Calibri"/>
        </w:rPr>
        <w:t xml:space="preserve">, the EPA estimates that approximately </w:t>
      </w:r>
      <w:r w:rsidRPr="00012346" w:rsidR="00012346">
        <w:rPr>
          <w:rFonts w:ascii="Calibri" w:hAnsi="Calibri" w:cs="Calibri"/>
        </w:rPr>
        <w:t>400 POTWs (individual wastewater</w:t>
      </w:r>
      <w:r w:rsidR="00012346">
        <w:rPr>
          <w:rFonts w:ascii="Calibri" w:hAnsi="Calibri" w:cs="Calibri"/>
        </w:rPr>
        <w:t xml:space="preserve"> or standalone wastewater treatment plans</w:t>
      </w:r>
      <w:r w:rsidR="00151AC3">
        <w:rPr>
          <w:rFonts w:ascii="Calibri" w:hAnsi="Calibri" w:cs="Calibri"/>
        </w:rPr>
        <w:t>,</w:t>
      </w:r>
      <w:r w:rsidR="00012346">
        <w:rPr>
          <w:rFonts w:ascii="Calibri" w:hAnsi="Calibri" w:cs="Calibri"/>
        </w:rPr>
        <w:t xml:space="preserve"> as defined by S</w:t>
      </w:r>
      <w:r w:rsidR="00586C40">
        <w:rPr>
          <w:rFonts w:ascii="Calibri" w:hAnsi="Calibri" w:cs="Calibri"/>
        </w:rPr>
        <w:t>ection 212 of the Clean Water Act, which is owned by a state or municipality)</w:t>
      </w:r>
      <w:r w:rsidRPr="00012346" w:rsidR="00012346">
        <w:rPr>
          <w:rFonts w:ascii="Calibri" w:hAnsi="Calibri" w:cs="Calibri"/>
        </w:rPr>
        <w:t xml:space="preserve"> with </w:t>
      </w:r>
      <w:r w:rsidR="00586C40">
        <w:rPr>
          <w:rFonts w:ascii="Calibri" w:hAnsi="Calibri" w:cs="Calibri"/>
        </w:rPr>
        <w:t>a</w:t>
      </w:r>
      <w:r w:rsidRPr="00012346" w:rsidR="00012346">
        <w:rPr>
          <w:rFonts w:ascii="Calibri" w:hAnsi="Calibri" w:cs="Calibri"/>
        </w:rPr>
        <w:t xml:space="preserve"> daily design flow rate greater than or equal to 10 million gallons per day (MGD) and a service population greater than or equal to 50,000 people </w:t>
      </w:r>
      <w:r w:rsidR="00E855F5">
        <w:rPr>
          <w:rFonts w:ascii="Calibri" w:hAnsi="Calibri" w:cs="Calibri"/>
        </w:rPr>
        <w:t xml:space="preserve">will be required </w:t>
      </w:r>
      <w:r w:rsidRPr="00012346" w:rsidR="00012346">
        <w:rPr>
          <w:rFonts w:ascii="Calibri" w:hAnsi="Calibri" w:cs="Calibri"/>
        </w:rPr>
        <w:t>to complete a</w:t>
      </w:r>
      <w:r w:rsidR="002E085D">
        <w:rPr>
          <w:rFonts w:ascii="Calibri" w:hAnsi="Calibri" w:cs="Calibri"/>
        </w:rPr>
        <w:t>n</w:t>
      </w:r>
      <w:r w:rsidRPr="00012346" w:rsidR="00012346">
        <w:rPr>
          <w:rFonts w:ascii="Calibri" w:hAnsi="Calibri" w:cs="Calibri"/>
        </w:rPr>
        <w:t xml:space="preserve"> electronic questionnaire.</w:t>
      </w:r>
      <w:r>
        <w:rPr>
          <w:rStyle w:val="FootnoteReference"/>
          <w:rFonts w:ascii="Calibri" w:hAnsi="Calibri" w:cs="Calibri"/>
        </w:rPr>
        <w:footnoteReference w:id="3"/>
      </w:r>
      <w:r w:rsidRPr="00FA4E09">
        <w:rPr>
          <w:rFonts w:ascii="Calibri" w:hAnsi="Calibri" w:cs="Calibri"/>
        </w:rPr>
        <w:t xml:space="preserve"> </w:t>
      </w:r>
      <w:r w:rsidRPr="00AF3CC6" w:rsidR="00AF3CC6">
        <w:rPr>
          <w:rFonts w:ascii="Calibri" w:hAnsi="Calibri" w:cs="Calibri"/>
        </w:rPr>
        <w:t xml:space="preserve">The EPA will use the information and data collected in the questionnaire to select 200 to 300 of the 400 POTWs to </w:t>
      </w:r>
      <w:r w:rsidR="0038091C">
        <w:rPr>
          <w:rFonts w:ascii="Calibri" w:hAnsi="Calibri" w:cs="Calibri"/>
        </w:rPr>
        <w:t>conduct wastewater and sewage sludge sampling</w:t>
      </w:r>
      <w:r w:rsidRPr="00FA4E09">
        <w:rPr>
          <w:rFonts w:ascii="Calibri" w:hAnsi="Calibri" w:cs="Calibri"/>
        </w:rPr>
        <w:t>.</w:t>
      </w:r>
      <w:r w:rsidR="00FB67E5">
        <w:rPr>
          <w:rFonts w:ascii="Calibri" w:hAnsi="Calibri" w:cs="Calibri"/>
        </w:rPr>
        <w:t xml:space="preserve"> Each</w:t>
      </w:r>
      <w:r w:rsidRPr="00FA4E09">
        <w:rPr>
          <w:rFonts w:ascii="Calibri" w:hAnsi="Calibri" w:cs="Calibri"/>
        </w:rPr>
        <w:t xml:space="preserve"> </w:t>
      </w:r>
      <w:r w:rsidRPr="00FA4E09" w:rsidR="00CC5086">
        <w:rPr>
          <w:rFonts w:ascii="Calibri" w:hAnsi="Calibri" w:cs="Calibri"/>
        </w:rPr>
        <w:t xml:space="preserve">POTW selected for sampling </w:t>
      </w:r>
      <w:r w:rsidR="00E23772">
        <w:rPr>
          <w:rFonts w:ascii="Calibri" w:hAnsi="Calibri" w:cs="Calibri"/>
        </w:rPr>
        <w:t>will</w:t>
      </w:r>
      <w:r w:rsidRPr="00FA4E09">
        <w:rPr>
          <w:rFonts w:ascii="Calibri" w:hAnsi="Calibri" w:cs="Calibri"/>
        </w:rPr>
        <w:t xml:space="preserve"> be required to collect and analyze samples</w:t>
      </w:r>
      <w:r w:rsidR="00FB67E5">
        <w:rPr>
          <w:rFonts w:ascii="Calibri" w:hAnsi="Calibri" w:cs="Calibri"/>
        </w:rPr>
        <w:t xml:space="preserve"> of domestic </w:t>
      </w:r>
      <w:r w:rsidR="001D542C">
        <w:rPr>
          <w:rFonts w:ascii="Calibri" w:hAnsi="Calibri" w:cs="Calibri"/>
        </w:rPr>
        <w:t>wastewater or sewage</w:t>
      </w:r>
      <w:r w:rsidR="00FB67E5">
        <w:rPr>
          <w:rFonts w:ascii="Calibri" w:hAnsi="Calibri" w:cs="Calibri"/>
        </w:rPr>
        <w:t xml:space="preserve">, POTW influent, POTW effluent, </w:t>
      </w:r>
      <w:r w:rsidR="001227FC">
        <w:rPr>
          <w:rFonts w:ascii="Calibri" w:hAnsi="Calibri" w:cs="Calibri"/>
        </w:rPr>
        <w:t xml:space="preserve">POTW sewage sludge, </w:t>
      </w:r>
      <w:r w:rsidR="00FB67E5">
        <w:rPr>
          <w:rFonts w:ascii="Calibri" w:hAnsi="Calibri" w:cs="Calibri"/>
        </w:rPr>
        <w:t>and effluent from</w:t>
      </w:r>
      <w:r w:rsidR="00176634">
        <w:rPr>
          <w:rFonts w:ascii="Calibri" w:hAnsi="Calibri" w:cs="Calibri"/>
        </w:rPr>
        <w:t xml:space="preserve"> on average </w:t>
      </w:r>
      <w:r w:rsidRPr="00FA4E09">
        <w:rPr>
          <w:rFonts w:ascii="Calibri" w:hAnsi="Calibri" w:cs="Calibri"/>
        </w:rPr>
        <w:t xml:space="preserve">10 industrial users. The total number of industrial users sampled as part of the sampling program </w:t>
      </w:r>
      <w:r w:rsidRPr="00FA4E09" w:rsidR="00CC5086">
        <w:rPr>
          <w:rFonts w:ascii="Calibri" w:hAnsi="Calibri" w:cs="Calibri"/>
        </w:rPr>
        <w:t xml:space="preserve">is </w:t>
      </w:r>
      <w:r w:rsidRPr="00FA4E09" w:rsidR="00B2044D">
        <w:rPr>
          <w:rFonts w:ascii="Calibri" w:hAnsi="Calibri" w:cs="Calibri"/>
        </w:rPr>
        <w:t>approximately</w:t>
      </w:r>
      <w:r w:rsidRPr="00FA4E09">
        <w:rPr>
          <w:rFonts w:ascii="Calibri" w:hAnsi="Calibri" w:cs="Calibri"/>
        </w:rPr>
        <w:t xml:space="preserve"> 2,000 facilities.</w:t>
      </w:r>
    </w:p>
    <w:p w:rsidR="00A86741" w:rsidP="004A2386" w14:paraId="05E0935C" w14:textId="4881DFA4">
      <w:pPr>
        <w:rPr>
          <w:rFonts w:ascii="Calibri" w:hAnsi="Calibri" w:cs="Calibri"/>
        </w:rPr>
      </w:pPr>
      <w:r w:rsidRPr="00FA4E09">
        <w:rPr>
          <w:rFonts w:ascii="Calibri" w:hAnsi="Calibri" w:cs="Calibri"/>
        </w:rPr>
        <w:t xml:space="preserve">The data collection activities described in this ICR will </w:t>
      </w:r>
      <w:r w:rsidRPr="00FA4E09" w:rsidR="002E28BD">
        <w:rPr>
          <w:rFonts w:ascii="Calibri" w:hAnsi="Calibri" w:cs="Calibri"/>
        </w:rPr>
        <w:t xml:space="preserve">produce </w:t>
      </w:r>
      <w:r w:rsidRPr="00FA4E09">
        <w:rPr>
          <w:rFonts w:ascii="Calibri" w:hAnsi="Calibri" w:cs="Calibri"/>
        </w:rPr>
        <w:t xml:space="preserve">a robust data set that will </w:t>
      </w:r>
      <w:r w:rsidRPr="00FA4E09" w:rsidR="005F50BC">
        <w:rPr>
          <w:rFonts w:ascii="Calibri" w:hAnsi="Calibri" w:cs="Calibri"/>
        </w:rPr>
        <w:t xml:space="preserve">enable the EPA to </w:t>
      </w:r>
      <w:r w:rsidRPr="00FA4E09">
        <w:rPr>
          <w:rFonts w:ascii="Calibri" w:hAnsi="Calibri" w:cs="Calibri"/>
        </w:rPr>
        <w:t xml:space="preserve">characterize the type and quantity of PFAS </w:t>
      </w:r>
      <w:r w:rsidRPr="00FA4E09" w:rsidR="001D14CB">
        <w:rPr>
          <w:rFonts w:ascii="Calibri" w:hAnsi="Calibri" w:cs="Calibri"/>
        </w:rPr>
        <w:t xml:space="preserve">in </w:t>
      </w:r>
      <w:r w:rsidRPr="004853F7" w:rsidR="000C43C9">
        <w:rPr>
          <w:rFonts w:ascii="Calibri" w:hAnsi="Calibri" w:cs="Calibri"/>
        </w:rPr>
        <w:t xml:space="preserve">discharges from industrial facilities, domestic </w:t>
      </w:r>
      <w:r w:rsidR="001D542C">
        <w:rPr>
          <w:rFonts w:ascii="Calibri" w:hAnsi="Calibri" w:cs="Calibri"/>
        </w:rPr>
        <w:t>wastewater or sewage</w:t>
      </w:r>
      <w:r w:rsidRPr="004853F7" w:rsidR="000C43C9">
        <w:rPr>
          <w:rFonts w:ascii="Calibri" w:hAnsi="Calibri" w:cs="Calibri"/>
        </w:rPr>
        <w:t>, and POTW influent and effluent</w:t>
      </w:r>
      <w:r w:rsidRPr="00FA4E09" w:rsidR="001D14CB">
        <w:rPr>
          <w:rFonts w:ascii="Calibri" w:hAnsi="Calibri" w:cs="Calibri"/>
        </w:rPr>
        <w:t>. The wastewater sampling data will primarily be used to identify and prioritize industrial point source categories where additional study or regulations may be warranted to control PFAS discharges. The sewage sludge sampling will fulfill the EPA’s data needs for the NSSS by establishing a current national data set of sewage sludge characteristics which the EPA will subsequently use to inform upcoming risk assessments and the need for future regulations and guidance pertaining to the management of sewage sludge</w:t>
      </w:r>
      <w:r w:rsidRPr="00FA4E09">
        <w:rPr>
          <w:rFonts w:ascii="Calibri" w:hAnsi="Calibri" w:cs="Calibri"/>
        </w:rPr>
        <w:t xml:space="preserve">. </w:t>
      </w:r>
    </w:p>
    <w:p w:rsidR="008F029F" w:rsidRPr="00FA4E09" w:rsidP="004A2386" w14:paraId="4E6E6E71" w14:textId="396D72F7">
      <w:pPr>
        <w:rPr>
          <w:rFonts w:ascii="Calibri" w:hAnsi="Calibri" w:cs="Calibri"/>
        </w:rPr>
      </w:pPr>
      <w:r w:rsidRPr="00FA4E09">
        <w:rPr>
          <w:rFonts w:ascii="Calibri" w:hAnsi="Calibri" w:cs="Calibri"/>
        </w:rPr>
        <w:t xml:space="preserve">This collection effort is necessary because </w:t>
      </w:r>
      <w:r w:rsidRPr="008A6A09" w:rsidR="008A6A09">
        <w:rPr>
          <w:rFonts w:ascii="Calibri" w:hAnsi="Calibri" w:cs="Calibri"/>
        </w:rPr>
        <w:t>existing data on the wastewater discharged from many industrial facilities to POTWs are typically not publicly available or accessible, are incomplete or inconsistent, are difficult to combine, are limited to certain geographic regions and industrial categories, and/or were not evaluated with standard analytical methods approved for use on wastewater matrices.</w:t>
      </w:r>
      <w:r w:rsidR="008A6A09">
        <w:rPr>
          <w:rFonts w:ascii="Calibri" w:hAnsi="Calibri" w:cs="Calibri"/>
        </w:rPr>
        <w:t xml:space="preserve"> </w:t>
      </w:r>
      <w:r w:rsidR="008A6A09">
        <w:rPr>
          <w:rFonts w:ascii="Calibri" w:hAnsi="Calibri" w:cs="Calibri"/>
        </w:rPr>
        <w:t xml:space="preserve">Additionally, </w:t>
      </w:r>
      <w:r w:rsidRPr="00FA4E09">
        <w:rPr>
          <w:rFonts w:ascii="Calibri" w:hAnsi="Calibri" w:cs="Calibri"/>
        </w:rPr>
        <w:t xml:space="preserve">there </w:t>
      </w:r>
      <w:r w:rsidRPr="00FA4E09" w:rsidR="1A0BDD14">
        <w:rPr>
          <w:rFonts w:ascii="Calibri" w:hAnsi="Calibri" w:cs="Calibri"/>
        </w:rPr>
        <w:t>are</w:t>
      </w:r>
      <w:r w:rsidRPr="00FA4E09">
        <w:rPr>
          <w:rFonts w:ascii="Calibri" w:hAnsi="Calibri" w:cs="Calibri"/>
        </w:rPr>
        <w:t xml:space="preserve"> limited publicly accessible data on the relative PFAS contributions from </w:t>
      </w:r>
      <w:r w:rsidR="008A6A09">
        <w:rPr>
          <w:rFonts w:ascii="Calibri" w:hAnsi="Calibri" w:cs="Calibri"/>
        </w:rPr>
        <w:t>industrial</w:t>
      </w:r>
      <w:r w:rsidR="005076CE">
        <w:rPr>
          <w:rFonts w:ascii="Calibri" w:hAnsi="Calibri" w:cs="Calibri"/>
        </w:rPr>
        <w:t xml:space="preserve"> wastewater, domestic </w:t>
      </w:r>
      <w:r w:rsidR="001D542C">
        <w:rPr>
          <w:rFonts w:ascii="Calibri" w:hAnsi="Calibri" w:cs="Calibri"/>
        </w:rPr>
        <w:t>wastewater or sewage</w:t>
      </w:r>
      <w:r w:rsidR="005076CE">
        <w:rPr>
          <w:rFonts w:ascii="Calibri" w:hAnsi="Calibri" w:cs="Calibri"/>
        </w:rPr>
        <w:t>, and commercial</w:t>
      </w:r>
      <w:r w:rsidRPr="00FA4E09">
        <w:rPr>
          <w:rFonts w:ascii="Calibri" w:hAnsi="Calibri" w:cs="Calibri"/>
        </w:rPr>
        <w:t xml:space="preserve"> sources </w:t>
      </w:r>
      <w:r w:rsidRPr="00FA4E09" w:rsidR="00323957">
        <w:rPr>
          <w:rFonts w:ascii="Calibri" w:hAnsi="Calibri" w:cs="Calibri"/>
        </w:rPr>
        <w:t>into the environment</w:t>
      </w:r>
      <w:r w:rsidR="005D35C8">
        <w:rPr>
          <w:rFonts w:ascii="Calibri" w:hAnsi="Calibri" w:cs="Calibri"/>
        </w:rPr>
        <w:t xml:space="preserve">; </w:t>
      </w:r>
      <w:r w:rsidR="00556940">
        <w:rPr>
          <w:rFonts w:ascii="Calibri" w:hAnsi="Calibri" w:cs="Calibri"/>
        </w:rPr>
        <w:t xml:space="preserve">PFAS concentrations in sewage sludge; </w:t>
      </w:r>
      <w:r w:rsidRPr="00FA4E09">
        <w:rPr>
          <w:rFonts w:ascii="Calibri" w:hAnsi="Calibri" w:cs="Calibri"/>
        </w:rPr>
        <w:t xml:space="preserve">and the fate and transport of PFAS. The collection effort is also consistent with the </w:t>
      </w:r>
      <w:r w:rsidR="00556940">
        <w:rPr>
          <w:rFonts w:ascii="Calibri" w:hAnsi="Calibri" w:cs="Calibri"/>
        </w:rPr>
        <w:t>EPA</w:t>
      </w:r>
      <w:r w:rsidRPr="00FA4E09">
        <w:rPr>
          <w:rFonts w:ascii="Calibri" w:hAnsi="Calibri" w:cs="Calibri"/>
        </w:rPr>
        <w:t xml:space="preserve">’s October 2021 </w:t>
      </w:r>
      <w:hyperlink r:id="rId11">
        <w:r w:rsidRPr="00FA4E09">
          <w:rPr>
            <w:rStyle w:val="Hyperlink"/>
            <w:rFonts w:ascii="Calibri" w:hAnsi="Calibri" w:cs="Calibri"/>
          </w:rPr>
          <w:t>PFAS Strategic Roadmap</w:t>
        </w:r>
      </w:hyperlink>
      <w:r w:rsidRPr="00FA4E09">
        <w:rPr>
          <w:rFonts w:ascii="Calibri" w:hAnsi="Calibri" w:cs="Calibri"/>
        </w:rPr>
        <w:t xml:space="preserve"> commitments to address PFAS through investment in scientific research to fill gaps in understanding of PFAS and to prevent PFAS from entering the environment.</w:t>
      </w:r>
    </w:p>
    <w:p w:rsidR="00DD1092" w:rsidRPr="00E3122D" w:rsidP="00DD1092" w14:paraId="04032C14" w14:textId="77777777">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DD1092" w:rsidRPr="00D47CB3" w:rsidP="00DD1092" w14:paraId="08BEB08B"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A6684" w:rsidRPr="00FA4E09" w:rsidP="00BA6684" w14:paraId="4117B5D8" w14:textId="3C3E33B2">
      <w:pPr>
        <w:pBdr>
          <w:top w:val="single" w:sz="6" w:space="0" w:color="FFFFFF"/>
          <w:left w:val="single" w:sz="6" w:space="0" w:color="FFFFFF"/>
          <w:bottom w:val="single" w:sz="6" w:space="0" w:color="FFFFFF"/>
          <w:right w:val="single" w:sz="6" w:space="0" w:color="FFFFFF"/>
        </w:pBdr>
        <w:rPr>
          <w:rFonts w:ascii="Calibri" w:hAnsi="Calibri" w:cs="Calibri"/>
        </w:rPr>
      </w:pPr>
      <w:r w:rsidRPr="00FA4E09">
        <w:rPr>
          <w:rFonts w:ascii="Calibri" w:hAnsi="Calibri" w:cs="Calibri"/>
        </w:rPr>
        <w:t xml:space="preserve">The EPA’s Office of Water plans to administer the data collection, including a one-time questionnaire and two-phase sampling program, under the authority of </w:t>
      </w:r>
      <w:r w:rsidRPr="00FA4E09" w:rsidR="00EE41ED">
        <w:rPr>
          <w:rFonts w:ascii="Calibri" w:hAnsi="Calibri" w:cs="Calibri"/>
        </w:rPr>
        <w:t>Section 308 of the Clean Water Act (Federal Water Pollution Control Act, 33 USC Section 1318). Failure to respond, late filing, or failure to comply with the instructions may result in fines, civil penalties, and other sanctions, as provided by law.</w:t>
      </w:r>
      <w:r w:rsidRPr="00FA4E09">
        <w:rPr>
          <w:rFonts w:ascii="Calibri" w:hAnsi="Calibri" w:cs="Calibri"/>
        </w:rPr>
        <w:t xml:space="preserve"> The EPA first plans to administer a</w:t>
      </w:r>
      <w:r w:rsidR="00533E8A">
        <w:rPr>
          <w:rFonts w:ascii="Calibri" w:hAnsi="Calibri" w:cs="Calibri"/>
        </w:rPr>
        <w:t>n electronic</w:t>
      </w:r>
      <w:r w:rsidRPr="00FA4E09">
        <w:rPr>
          <w:rFonts w:ascii="Calibri" w:hAnsi="Calibri" w:cs="Calibri"/>
        </w:rPr>
        <w:t xml:space="preserve"> questionnaire to approximately 400 (2.7 percent) of the </w:t>
      </w:r>
      <w:r w:rsidRPr="00FA4E09" w:rsidR="00D05C4C">
        <w:rPr>
          <w:rFonts w:ascii="Calibri" w:hAnsi="Calibri" w:cs="Calibri"/>
        </w:rPr>
        <w:t>over 15,000 wastewater treatment facilities</w:t>
      </w:r>
      <w:r w:rsidRPr="00FA4E09">
        <w:rPr>
          <w:rFonts w:ascii="Calibri" w:hAnsi="Calibri" w:cs="Calibri"/>
        </w:rPr>
        <w:t xml:space="preserve"> in the United States. All active POTWs that are selected will be required to complete the questionnaire regardless of size, location, or wastewater and sewage </w:t>
      </w:r>
      <w:r w:rsidRPr="00FA4E09" w:rsidR="000077A0">
        <w:rPr>
          <w:rFonts w:ascii="Calibri" w:hAnsi="Calibri" w:cs="Calibri"/>
        </w:rPr>
        <w:t>sludge</w:t>
      </w:r>
      <w:r w:rsidRPr="00FA4E09">
        <w:rPr>
          <w:rFonts w:ascii="Calibri" w:hAnsi="Calibri" w:cs="Calibri"/>
        </w:rPr>
        <w:t xml:space="preserve"> management practices. See Section </w:t>
      </w:r>
      <w:r w:rsidRPr="00FA4E09" w:rsidR="008D72E3">
        <w:rPr>
          <w:rFonts w:ascii="Calibri" w:hAnsi="Calibri" w:cs="Calibri"/>
        </w:rPr>
        <w:t>1</w:t>
      </w:r>
      <w:r w:rsidRPr="00FA4E09">
        <w:rPr>
          <w:rFonts w:ascii="Calibri" w:hAnsi="Calibri" w:cs="Calibri"/>
        </w:rPr>
        <w:t>2(</w:t>
      </w:r>
      <w:r w:rsidRPr="00FA4E09" w:rsidR="008D72E3">
        <w:rPr>
          <w:rFonts w:ascii="Calibri" w:hAnsi="Calibri" w:cs="Calibri"/>
        </w:rPr>
        <w:t>a</w:t>
      </w:r>
      <w:r w:rsidRPr="00FA4E09">
        <w:rPr>
          <w:rFonts w:ascii="Calibri" w:hAnsi="Calibri" w:cs="Calibri"/>
        </w:rPr>
        <w:t>) of this supporting statement for discussion of the EPA’s sample size and methodology for selecting POTWs to complete the questionnaire and sampling.</w:t>
      </w:r>
    </w:p>
    <w:p w:rsidR="00BA6684" w:rsidRPr="00FA4E09" w:rsidP="00DD65A4" w14:paraId="27AD763C" w14:textId="0D33DA3A">
      <w:pPr>
        <w:pBdr>
          <w:top w:val="single" w:sz="6" w:space="0" w:color="FFFFFF"/>
          <w:left w:val="single" w:sz="6" w:space="0" w:color="FFFFFF"/>
          <w:bottom w:val="single" w:sz="6" w:space="0" w:color="FFFFFF"/>
          <w:right w:val="single" w:sz="6" w:space="0" w:color="FFFFFF"/>
        </w:pBdr>
        <w:rPr>
          <w:rFonts w:ascii="Calibri" w:hAnsi="Calibri" w:cs="Calibri"/>
        </w:rPr>
      </w:pPr>
      <w:r w:rsidRPr="00FA4E09">
        <w:rPr>
          <w:rFonts w:ascii="Calibri" w:hAnsi="Calibri" w:cs="Calibri"/>
        </w:rPr>
        <w:t xml:space="preserve">The objectives of the questionnaire will be to gather POTW-specific information and data on significant industrial users </w:t>
      </w:r>
      <w:r w:rsidR="009E627A">
        <w:rPr>
          <w:rFonts w:ascii="Calibri" w:hAnsi="Calibri" w:cs="Calibri"/>
        </w:rPr>
        <w:t xml:space="preserve">(SIUs) </w:t>
      </w:r>
      <w:r w:rsidRPr="00FA4E09">
        <w:rPr>
          <w:rFonts w:ascii="Calibri" w:hAnsi="Calibri" w:cs="Calibri"/>
        </w:rPr>
        <w:t xml:space="preserve">discharging to the POTW, known or suspected sources of PFAS discharges to the POTW, and wastewater and sewage </w:t>
      </w:r>
      <w:r w:rsidRPr="00FA4E09" w:rsidR="000077A0">
        <w:rPr>
          <w:rFonts w:ascii="Calibri" w:hAnsi="Calibri" w:cs="Calibri"/>
        </w:rPr>
        <w:t>sludge</w:t>
      </w:r>
      <w:r w:rsidRPr="00FA4E09">
        <w:rPr>
          <w:rFonts w:ascii="Calibri" w:hAnsi="Calibri" w:cs="Calibri"/>
        </w:rPr>
        <w:t xml:space="preserve"> management practices of the POTW, including:</w:t>
      </w:r>
    </w:p>
    <w:p w:rsidR="00BA6684" w:rsidRPr="00FA4E09" w:rsidP="00DD65A4" w14:paraId="449DA514" w14:textId="29C389C3">
      <w:pPr>
        <w:pStyle w:val="ListBulletSingle"/>
        <w:spacing w:after="80"/>
        <w:ind w:left="720" w:hanging="360"/>
        <w:rPr>
          <w:rFonts w:ascii="Calibri" w:hAnsi="Calibri" w:cs="Calibri"/>
        </w:rPr>
      </w:pPr>
      <w:r w:rsidRPr="00FA4E09">
        <w:rPr>
          <w:rFonts w:ascii="Calibri" w:hAnsi="Calibri" w:cs="Calibri"/>
        </w:rPr>
        <w:t>Facility name, location, municipal authority</w:t>
      </w:r>
      <w:r w:rsidRPr="00FA4E09" w:rsidR="00516E6F">
        <w:rPr>
          <w:rFonts w:ascii="Calibri" w:hAnsi="Calibri" w:cs="Calibri"/>
        </w:rPr>
        <w:t xml:space="preserve"> or</w:t>
      </w:r>
      <w:r w:rsidRPr="00FA4E09" w:rsidR="00CC09AE">
        <w:rPr>
          <w:rFonts w:ascii="Calibri" w:hAnsi="Calibri" w:cs="Calibri"/>
        </w:rPr>
        <w:t xml:space="preserve"> </w:t>
      </w:r>
      <w:r w:rsidRPr="00FA4E09" w:rsidR="003E479E">
        <w:rPr>
          <w:rFonts w:ascii="Calibri" w:hAnsi="Calibri" w:cs="Calibri"/>
        </w:rPr>
        <w:t>service agency</w:t>
      </w:r>
      <w:r w:rsidRPr="00FA4E09">
        <w:rPr>
          <w:rFonts w:ascii="Calibri" w:hAnsi="Calibri" w:cs="Calibri"/>
        </w:rPr>
        <w:t>, and contact information.</w:t>
      </w:r>
    </w:p>
    <w:p w:rsidR="00BA6684" w:rsidRPr="00FA4E09" w:rsidP="00DD65A4" w14:paraId="6ED2BC77" w14:textId="5AA0BD00">
      <w:pPr>
        <w:pStyle w:val="ListBulletSingle"/>
        <w:spacing w:after="80"/>
        <w:ind w:left="720" w:hanging="360"/>
        <w:rPr>
          <w:rFonts w:ascii="Calibri" w:hAnsi="Calibri" w:cs="Calibri"/>
        </w:rPr>
      </w:pPr>
      <w:r w:rsidRPr="00FA4E09">
        <w:rPr>
          <w:rFonts w:ascii="Calibri" w:hAnsi="Calibri" w:cs="Calibri"/>
        </w:rPr>
        <w:t>W</w:t>
      </w:r>
      <w:r w:rsidRPr="00FA4E09">
        <w:rPr>
          <w:rFonts w:ascii="Calibri" w:hAnsi="Calibri" w:cs="Calibri"/>
        </w:rPr>
        <w:t xml:space="preserve">astewater discharge and </w:t>
      </w:r>
      <w:r w:rsidRPr="00FA4E09" w:rsidR="6FEFDAE8">
        <w:rPr>
          <w:rFonts w:ascii="Calibri" w:hAnsi="Calibri" w:cs="Calibri"/>
        </w:rPr>
        <w:t>sewage sludge</w:t>
      </w:r>
      <w:r w:rsidRPr="00FA4E09">
        <w:rPr>
          <w:rFonts w:ascii="Calibri" w:hAnsi="Calibri" w:cs="Calibri"/>
        </w:rPr>
        <w:t xml:space="preserve"> permit information and requirements.</w:t>
      </w:r>
    </w:p>
    <w:p w:rsidR="00BA6684" w:rsidRPr="00FA4E09" w:rsidP="00DD65A4" w14:paraId="25951705" w14:textId="74066E83">
      <w:pPr>
        <w:pStyle w:val="ListBulletSingle"/>
        <w:spacing w:after="80"/>
        <w:ind w:left="720" w:hanging="360"/>
        <w:rPr>
          <w:rFonts w:ascii="Calibri" w:hAnsi="Calibri" w:cs="Calibri"/>
        </w:rPr>
      </w:pPr>
      <w:r w:rsidRPr="00FA4E09">
        <w:rPr>
          <w:rFonts w:ascii="Calibri" w:hAnsi="Calibri" w:cs="Calibri"/>
        </w:rPr>
        <w:t xml:space="preserve">Quantities of wastewater transferred to the POTW and relative contribution of </w:t>
      </w:r>
      <w:r w:rsidR="00D026B2">
        <w:rPr>
          <w:rFonts w:ascii="Calibri" w:hAnsi="Calibri" w:cs="Calibri"/>
        </w:rPr>
        <w:t xml:space="preserve">industrial </w:t>
      </w:r>
      <w:r w:rsidR="003B276E">
        <w:rPr>
          <w:rFonts w:ascii="Calibri" w:hAnsi="Calibri" w:cs="Calibri"/>
        </w:rPr>
        <w:t>and non-industrial wastewaters</w:t>
      </w:r>
      <w:r w:rsidRPr="00FA4E09">
        <w:rPr>
          <w:rFonts w:ascii="Calibri" w:hAnsi="Calibri" w:cs="Calibri"/>
        </w:rPr>
        <w:t>.</w:t>
      </w:r>
    </w:p>
    <w:p w:rsidR="00BA6684" w:rsidRPr="00FA4E09" w:rsidP="00DD65A4" w14:paraId="63A0E2F8" w14:textId="7133E500">
      <w:pPr>
        <w:pStyle w:val="ListBulletSingle"/>
        <w:spacing w:after="80"/>
        <w:ind w:left="720" w:hanging="360"/>
        <w:rPr>
          <w:rFonts w:ascii="Calibri" w:hAnsi="Calibri" w:cs="Calibri"/>
        </w:rPr>
      </w:pPr>
      <w:r w:rsidRPr="00FA4E09">
        <w:rPr>
          <w:rFonts w:ascii="Calibri" w:hAnsi="Calibri" w:cs="Calibri"/>
        </w:rPr>
        <w:t xml:space="preserve">Information on </w:t>
      </w:r>
      <w:r w:rsidRPr="00FA4E09" w:rsidR="00B43E15">
        <w:rPr>
          <w:rFonts w:ascii="Calibri" w:hAnsi="Calibri" w:cs="Calibri"/>
        </w:rPr>
        <w:t xml:space="preserve">all </w:t>
      </w:r>
      <w:r w:rsidRPr="00FA4E09">
        <w:rPr>
          <w:rFonts w:ascii="Calibri" w:hAnsi="Calibri" w:cs="Calibri"/>
        </w:rPr>
        <w:t xml:space="preserve">significant industrial users (SIUs) </w:t>
      </w:r>
      <w:r w:rsidRPr="00FA4E09" w:rsidR="0035006B">
        <w:rPr>
          <w:rFonts w:ascii="Calibri" w:hAnsi="Calibri" w:cs="Calibri"/>
        </w:rPr>
        <w:t>permitted to discharge to the POTW</w:t>
      </w:r>
      <w:r w:rsidRPr="00FA4E09">
        <w:rPr>
          <w:rFonts w:ascii="Calibri" w:hAnsi="Calibri" w:cs="Calibri"/>
        </w:rPr>
        <w:t xml:space="preserve"> and</w:t>
      </w:r>
      <w:r w:rsidRPr="00FA4E09" w:rsidR="00372FBB">
        <w:rPr>
          <w:rFonts w:ascii="Calibri" w:hAnsi="Calibri" w:cs="Calibri"/>
        </w:rPr>
        <w:t>, if readily available,</w:t>
      </w:r>
      <w:r w:rsidRPr="00FA4E09">
        <w:rPr>
          <w:rFonts w:ascii="Calibri" w:hAnsi="Calibri" w:cs="Calibri"/>
        </w:rPr>
        <w:t xml:space="preserve"> </w:t>
      </w:r>
      <w:r w:rsidRPr="00FA4E09" w:rsidR="0035006B">
        <w:rPr>
          <w:rFonts w:ascii="Calibri" w:hAnsi="Calibri" w:cs="Calibri"/>
        </w:rPr>
        <w:t xml:space="preserve">information on </w:t>
      </w:r>
      <w:r w:rsidRPr="00FA4E09">
        <w:rPr>
          <w:rFonts w:ascii="Calibri" w:hAnsi="Calibri" w:cs="Calibri"/>
        </w:rPr>
        <w:t>known</w:t>
      </w:r>
      <w:r w:rsidRPr="00FA4E09" w:rsidR="00C35FE7">
        <w:rPr>
          <w:rFonts w:ascii="Calibri" w:hAnsi="Calibri" w:cs="Calibri"/>
        </w:rPr>
        <w:t xml:space="preserve"> or </w:t>
      </w:r>
      <w:r w:rsidRPr="00FA4E09">
        <w:rPr>
          <w:rFonts w:ascii="Calibri" w:hAnsi="Calibri" w:cs="Calibri"/>
        </w:rPr>
        <w:t xml:space="preserve">suspected </w:t>
      </w:r>
      <w:r w:rsidRPr="00FA4E09" w:rsidR="00E47F71">
        <w:rPr>
          <w:rFonts w:ascii="Calibri" w:hAnsi="Calibri" w:cs="Calibri"/>
        </w:rPr>
        <w:t>non-SIU</w:t>
      </w:r>
      <w:r w:rsidRPr="00FA4E09">
        <w:rPr>
          <w:rFonts w:ascii="Calibri" w:hAnsi="Calibri" w:cs="Calibri"/>
        </w:rPr>
        <w:t xml:space="preserve"> sources of PFAS to the POTW.</w:t>
      </w:r>
    </w:p>
    <w:p w:rsidR="00BA6684" w:rsidRPr="00FA4E09" w:rsidP="00DD65A4" w14:paraId="2E30413A" w14:textId="5BF1039E">
      <w:pPr>
        <w:pStyle w:val="ListBulletSingle"/>
        <w:spacing w:after="80"/>
        <w:ind w:left="720" w:hanging="360"/>
        <w:rPr>
          <w:rFonts w:ascii="Calibri" w:hAnsi="Calibri" w:cs="Calibri"/>
        </w:rPr>
      </w:pPr>
      <w:r w:rsidRPr="00FA4E09">
        <w:rPr>
          <w:rFonts w:ascii="Calibri" w:hAnsi="Calibri" w:cs="Calibri"/>
        </w:rPr>
        <w:t>Wastewater treatment and management practices, including existing wastewater treatment technologies in place</w:t>
      </w:r>
      <w:r w:rsidR="00056F58">
        <w:rPr>
          <w:rFonts w:ascii="Calibri" w:hAnsi="Calibri" w:cs="Calibri"/>
        </w:rPr>
        <w:t xml:space="preserve"> and </w:t>
      </w:r>
      <w:r w:rsidRPr="00FA4E09">
        <w:rPr>
          <w:rFonts w:ascii="Calibri" w:hAnsi="Calibri" w:cs="Calibri"/>
        </w:rPr>
        <w:t>final destination of treated wastewater.</w:t>
      </w:r>
    </w:p>
    <w:p w:rsidR="00BA6684" w:rsidRPr="00FA4E09" w:rsidP="00DD65A4" w14:paraId="0C430E96" w14:textId="42E33D96">
      <w:pPr>
        <w:pStyle w:val="ListBulletSingle"/>
        <w:spacing w:after="80"/>
        <w:ind w:left="720" w:hanging="360"/>
        <w:rPr>
          <w:rFonts w:ascii="Calibri" w:hAnsi="Calibri" w:cs="Calibri"/>
        </w:rPr>
      </w:pPr>
      <w:r w:rsidRPr="00FA4E09">
        <w:rPr>
          <w:rFonts w:ascii="Calibri" w:hAnsi="Calibri" w:cs="Calibri"/>
        </w:rPr>
        <w:t xml:space="preserve">Sewage </w:t>
      </w:r>
      <w:r w:rsidRPr="00FA4E09" w:rsidR="000077A0">
        <w:rPr>
          <w:rFonts w:ascii="Calibri" w:hAnsi="Calibri" w:cs="Calibri"/>
        </w:rPr>
        <w:t>sludge</w:t>
      </w:r>
      <w:r w:rsidRPr="00FA4E09">
        <w:rPr>
          <w:rFonts w:ascii="Calibri" w:hAnsi="Calibri" w:cs="Calibri"/>
        </w:rPr>
        <w:t xml:space="preserve"> treatment and management practices, including the quantity </w:t>
      </w:r>
      <w:r w:rsidRPr="00FA4E09" w:rsidR="003E3841">
        <w:rPr>
          <w:rFonts w:ascii="Calibri" w:hAnsi="Calibri" w:cs="Calibri"/>
        </w:rPr>
        <w:t>and fi</w:t>
      </w:r>
      <w:r w:rsidRPr="00FA4E09" w:rsidR="009933C8">
        <w:rPr>
          <w:rFonts w:ascii="Calibri" w:hAnsi="Calibri" w:cs="Calibri"/>
        </w:rPr>
        <w:t>nal destinations</w:t>
      </w:r>
      <w:r w:rsidRPr="00FA4E09">
        <w:rPr>
          <w:rFonts w:ascii="Calibri" w:hAnsi="Calibri" w:cs="Calibri"/>
        </w:rPr>
        <w:t xml:space="preserve"> of </w:t>
      </w:r>
      <w:r w:rsidRPr="00FA4E09" w:rsidR="009933C8">
        <w:rPr>
          <w:rFonts w:ascii="Calibri" w:hAnsi="Calibri" w:cs="Calibri"/>
        </w:rPr>
        <w:t xml:space="preserve">sewage sludge </w:t>
      </w:r>
      <w:r w:rsidRPr="00FA4E09">
        <w:rPr>
          <w:rFonts w:ascii="Calibri" w:hAnsi="Calibri" w:cs="Calibri"/>
        </w:rPr>
        <w:t xml:space="preserve">generated and </w:t>
      </w:r>
      <w:r w:rsidRPr="00FA4E09" w:rsidR="009933C8">
        <w:rPr>
          <w:rFonts w:ascii="Calibri" w:hAnsi="Calibri" w:cs="Calibri"/>
        </w:rPr>
        <w:t xml:space="preserve">existing sewage sludge treatment and </w:t>
      </w:r>
      <w:r w:rsidRPr="00FA4E09" w:rsidR="002E7FD0">
        <w:rPr>
          <w:rFonts w:ascii="Calibri" w:hAnsi="Calibri" w:cs="Calibri"/>
        </w:rPr>
        <w:t>stabilization processes</w:t>
      </w:r>
      <w:r w:rsidRPr="00FA4E09" w:rsidR="007A3BB3">
        <w:rPr>
          <w:rFonts w:ascii="Calibri" w:hAnsi="Calibri" w:cs="Calibri"/>
        </w:rPr>
        <w:t xml:space="preserve"> and </w:t>
      </w:r>
      <w:r w:rsidRPr="00FA4E09" w:rsidR="002E7FD0">
        <w:rPr>
          <w:rFonts w:ascii="Calibri" w:hAnsi="Calibri" w:cs="Calibri"/>
        </w:rPr>
        <w:t>technologies</w:t>
      </w:r>
      <w:r w:rsidRPr="00FA4E09">
        <w:rPr>
          <w:rFonts w:ascii="Calibri" w:hAnsi="Calibri" w:cs="Calibri"/>
        </w:rPr>
        <w:t xml:space="preserve">. </w:t>
      </w:r>
    </w:p>
    <w:p w:rsidR="00BA6684" w:rsidRPr="00FA4E09" w:rsidP="00F77A71" w14:paraId="01B4E0B6" w14:textId="562FB804">
      <w:pPr>
        <w:pStyle w:val="ListBulletLast"/>
        <w:ind w:left="720" w:hanging="360"/>
        <w:rPr>
          <w:rFonts w:ascii="Calibri" w:hAnsi="Calibri" w:cs="Calibri"/>
        </w:rPr>
      </w:pPr>
      <w:r w:rsidRPr="00FA4E09">
        <w:rPr>
          <w:rFonts w:ascii="Calibri" w:hAnsi="Calibri" w:cs="Calibri"/>
        </w:rPr>
        <w:t xml:space="preserve">PFAS </w:t>
      </w:r>
      <w:r w:rsidRPr="00FA4E09" w:rsidR="002E7FD0">
        <w:rPr>
          <w:rFonts w:ascii="Calibri" w:hAnsi="Calibri" w:cs="Calibri"/>
        </w:rPr>
        <w:t xml:space="preserve">and AOF </w:t>
      </w:r>
      <w:r w:rsidRPr="00FA4E09">
        <w:rPr>
          <w:rFonts w:ascii="Calibri" w:hAnsi="Calibri" w:cs="Calibri"/>
        </w:rPr>
        <w:t xml:space="preserve">monitoring requirements and laboratory capabilities. </w:t>
      </w:r>
    </w:p>
    <w:p w:rsidR="005717D6" w:rsidP="00D62E3E" w14:paraId="3F965386" w14:textId="16EB5AB9">
      <w:pPr>
        <w:rPr>
          <w:rFonts w:ascii="Calibri" w:hAnsi="Calibri" w:cs="Calibri"/>
        </w:rPr>
      </w:pPr>
      <w:r w:rsidRPr="00C55C9A">
        <w:rPr>
          <w:rFonts w:ascii="Calibri" w:hAnsi="Calibri" w:cs="Calibri"/>
        </w:rPr>
        <w:t xml:space="preserve">Following receipt of the completed questionnaires and review of the questionnaire responses, the EPA will </w:t>
      </w:r>
      <w:r w:rsidRPr="00C55C9A" w:rsidR="00C55C9A">
        <w:rPr>
          <w:rFonts w:ascii="Calibri" w:hAnsi="Calibri" w:cs="Calibri"/>
        </w:rPr>
        <w:t>select 200 to 300 of the 400 POTWs</w:t>
      </w:r>
      <w:r w:rsidR="000941D2">
        <w:rPr>
          <w:rFonts w:ascii="Calibri" w:hAnsi="Calibri" w:cs="Calibri"/>
        </w:rPr>
        <w:t xml:space="preserve"> and approximately 2,000 of their industrial users</w:t>
      </w:r>
      <w:r w:rsidRPr="00C55C9A" w:rsidR="00C55C9A">
        <w:rPr>
          <w:rFonts w:ascii="Calibri" w:hAnsi="Calibri" w:cs="Calibri"/>
        </w:rPr>
        <w:t xml:space="preserve"> to participate </w:t>
      </w:r>
      <w:r w:rsidR="00C55C9A">
        <w:rPr>
          <w:rFonts w:ascii="Calibri" w:hAnsi="Calibri" w:cs="Calibri"/>
        </w:rPr>
        <w:t xml:space="preserve">in </w:t>
      </w:r>
      <w:r w:rsidRPr="00C55C9A">
        <w:rPr>
          <w:rFonts w:ascii="Calibri" w:hAnsi="Calibri" w:cs="Calibri"/>
        </w:rPr>
        <w:t>a two-phase sampling program</w:t>
      </w:r>
      <w:r w:rsidRPr="00F77A71" w:rsidR="00EC10AF">
        <w:rPr>
          <w:rFonts w:ascii="Calibri" w:hAnsi="Calibri" w:cs="Calibri"/>
        </w:rPr>
        <w:t>:</w:t>
      </w:r>
    </w:p>
    <w:p w:rsidR="005717D6" w:rsidRPr="004853F7" w:rsidP="005717D6" w14:paraId="38E9CB4F" w14:textId="1177AC96">
      <w:pPr>
        <w:pStyle w:val="ListBulletSingle"/>
        <w:spacing w:after="80"/>
        <w:ind w:left="720" w:hanging="360"/>
        <w:rPr>
          <w:rFonts w:ascii="Calibri" w:hAnsi="Calibri" w:cs="Calibri"/>
        </w:rPr>
      </w:pPr>
      <w:r>
        <w:rPr>
          <w:rFonts w:ascii="Calibri" w:hAnsi="Calibri" w:cs="Calibri"/>
          <w:b/>
          <w:bCs/>
        </w:rPr>
        <w:t>Phase I Was</w:t>
      </w:r>
      <w:r w:rsidR="001A6168">
        <w:rPr>
          <w:rFonts w:ascii="Calibri" w:hAnsi="Calibri" w:cs="Calibri"/>
          <w:b/>
          <w:bCs/>
        </w:rPr>
        <w:t>tewater Sampling</w:t>
      </w:r>
      <w:r w:rsidRPr="004853F7">
        <w:rPr>
          <w:rFonts w:ascii="Calibri" w:hAnsi="Calibri" w:cs="Calibri"/>
          <w:b/>
          <w:bCs/>
        </w:rPr>
        <w:t>.</w:t>
      </w:r>
      <w:r w:rsidRPr="004853F7">
        <w:rPr>
          <w:rFonts w:ascii="Calibri" w:hAnsi="Calibri" w:cs="Calibri"/>
        </w:rPr>
        <w:t xml:space="preserve"> </w:t>
      </w:r>
      <w:r w:rsidRPr="002E7408" w:rsidR="00623641">
        <w:rPr>
          <w:rFonts w:ascii="Calibri" w:hAnsi="Calibri" w:cs="Calibri"/>
          <w:bCs/>
          <w:szCs w:val="22"/>
        </w:rPr>
        <w:t xml:space="preserve">Phase I sampling will support the POTW Influent PFAS Study and will require each selected POTW to collect and analyze one-time grab samples of industrial user effluent, domestic </w:t>
      </w:r>
      <w:r w:rsidR="001D542C">
        <w:rPr>
          <w:rFonts w:ascii="Calibri" w:hAnsi="Calibri" w:cs="Calibri"/>
          <w:bCs/>
          <w:szCs w:val="22"/>
        </w:rPr>
        <w:t>wastewater or sewage</w:t>
      </w:r>
      <w:r w:rsidRPr="002E7408" w:rsidR="00623641">
        <w:rPr>
          <w:rFonts w:ascii="Calibri" w:hAnsi="Calibri" w:cs="Calibri"/>
          <w:bCs/>
          <w:szCs w:val="22"/>
        </w:rPr>
        <w:t xml:space="preserve">, POTW influent, and POTW effluent for PFAS and </w:t>
      </w:r>
      <w:r w:rsidRPr="002E7408" w:rsidR="00623641">
        <w:rPr>
          <w:rFonts w:ascii="Calibri" w:hAnsi="Calibri" w:cs="Calibri"/>
          <w:bCs/>
          <w:szCs w:val="22"/>
        </w:rPr>
        <w:t xml:space="preserve">adsorbable organic fluorine (AOF). For each POTW selected, the EPA will specify </w:t>
      </w:r>
      <w:r w:rsidR="00176634">
        <w:rPr>
          <w:rFonts w:ascii="Calibri" w:hAnsi="Calibri" w:cs="Calibri"/>
          <w:bCs/>
          <w:szCs w:val="22"/>
        </w:rPr>
        <w:t>on average</w:t>
      </w:r>
      <w:r w:rsidRPr="002E7408" w:rsidR="00176634">
        <w:rPr>
          <w:rFonts w:ascii="Calibri" w:hAnsi="Calibri" w:cs="Calibri"/>
          <w:bCs/>
          <w:szCs w:val="22"/>
        </w:rPr>
        <w:t xml:space="preserve"> </w:t>
      </w:r>
      <w:r w:rsidRPr="002E7408" w:rsidR="00623641">
        <w:rPr>
          <w:rFonts w:ascii="Calibri" w:hAnsi="Calibri" w:cs="Calibri"/>
          <w:bCs/>
          <w:szCs w:val="22"/>
        </w:rPr>
        <w:t xml:space="preserve">10 industrial users for which the POTW must collect and analyze effluent samples. The total number of industrial users sampled as part of the sampling program will </w:t>
      </w:r>
      <w:r w:rsidR="00E00B42">
        <w:rPr>
          <w:rFonts w:ascii="Calibri" w:hAnsi="Calibri" w:cs="Calibri"/>
          <w:bCs/>
          <w:szCs w:val="22"/>
        </w:rPr>
        <w:t>be approximately</w:t>
      </w:r>
      <w:r w:rsidRPr="002E7408" w:rsidR="00623641">
        <w:rPr>
          <w:rFonts w:ascii="Calibri" w:hAnsi="Calibri" w:cs="Calibri"/>
          <w:bCs/>
          <w:szCs w:val="22"/>
        </w:rPr>
        <w:t xml:space="preserve"> 2,000 facilities.</w:t>
      </w:r>
    </w:p>
    <w:p w:rsidR="005717D6" w:rsidRPr="00F2508C" w:rsidP="00F77A71" w14:paraId="7C295E27" w14:textId="56A75967">
      <w:pPr>
        <w:pStyle w:val="ListBulletSingle"/>
        <w:spacing w:after="240"/>
        <w:ind w:left="720" w:hanging="360"/>
        <w:rPr>
          <w:rFonts w:ascii="Calibri" w:hAnsi="Calibri" w:cs="Calibri"/>
        </w:rPr>
      </w:pPr>
      <w:r>
        <w:rPr>
          <w:rFonts w:ascii="Calibri" w:hAnsi="Calibri" w:cs="Calibri"/>
          <w:b/>
          <w:bCs/>
        </w:rPr>
        <w:t>Phase II Sewage Sludge Sampling</w:t>
      </w:r>
      <w:r w:rsidRPr="00565076">
        <w:rPr>
          <w:rFonts w:ascii="Calibri" w:hAnsi="Calibri" w:cs="Calibri"/>
          <w:b/>
          <w:bCs/>
        </w:rPr>
        <w:t>.</w:t>
      </w:r>
      <w:r w:rsidRPr="00565076">
        <w:rPr>
          <w:rFonts w:ascii="Calibri" w:hAnsi="Calibri" w:cs="Calibri"/>
        </w:rPr>
        <w:t xml:space="preserve"> </w:t>
      </w:r>
      <w:r w:rsidRPr="002E7408" w:rsidR="00623641">
        <w:rPr>
          <w:rFonts w:ascii="Calibri" w:hAnsi="Calibri" w:cs="Calibri"/>
          <w:bCs/>
          <w:szCs w:val="22"/>
        </w:rPr>
        <w:t xml:space="preserve">Phase II sampling will support the NSSS and will require selected POTWs to collect and analyze one-time grab samples of sewage sludge for PFAS and ancillary parameters. Phase II sampling will </w:t>
      </w:r>
      <w:r w:rsidR="00D63F2A">
        <w:rPr>
          <w:rFonts w:ascii="Calibri" w:hAnsi="Calibri" w:cs="Calibri"/>
          <w:bCs/>
          <w:szCs w:val="22"/>
        </w:rPr>
        <w:t xml:space="preserve">include the same POTWs selected for Phase I and will </w:t>
      </w:r>
      <w:r w:rsidRPr="002E7408" w:rsidR="00623641">
        <w:rPr>
          <w:rFonts w:ascii="Calibri" w:hAnsi="Calibri" w:cs="Calibri"/>
          <w:bCs/>
          <w:szCs w:val="22"/>
        </w:rPr>
        <w:t>not begin until Phase I sampling is complete.</w:t>
      </w:r>
    </w:p>
    <w:p w:rsidR="00516D3C" w:rsidRPr="00FA4E09" w:rsidP="008F4EAA" w14:paraId="62A6EB4B" w14:textId="7330F7CC">
      <w:pPr>
        <w:rPr>
          <w:rFonts w:ascii="Calibri" w:hAnsi="Calibri" w:cs="Calibri"/>
        </w:rPr>
      </w:pPr>
      <w:r w:rsidRPr="00D63F2A">
        <w:rPr>
          <w:rFonts w:ascii="Calibri" w:hAnsi="Calibri" w:cs="Calibri"/>
        </w:rPr>
        <w:t>The EPA will provide assistance to the POTWs selected for sampling prior to sample collection through virtual meetings and outreach, and during sample collection via a helpline.</w:t>
      </w:r>
      <w:r w:rsidR="008F4EAA">
        <w:rPr>
          <w:rFonts w:ascii="Calibri" w:hAnsi="Calibri" w:cs="Calibri"/>
        </w:rPr>
        <w:t xml:space="preserve"> </w:t>
      </w:r>
      <w:r w:rsidRPr="00FA4E09">
        <w:rPr>
          <w:rFonts w:ascii="Calibri" w:hAnsi="Calibri" w:cs="Calibri"/>
        </w:rPr>
        <w:t xml:space="preserve">To avoid duplicative efforts and reduce total burden to industry, the EPA may </w:t>
      </w:r>
      <w:r w:rsidRPr="00FA4E09" w:rsidR="000B4FB0">
        <w:rPr>
          <w:rFonts w:ascii="Calibri" w:hAnsi="Calibri" w:cs="Calibri"/>
        </w:rPr>
        <w:t>allow</w:t>
      </w:r>
      <w:r w:rsidRPr="00FA4E09">
        <w:rPr>
          <w:rFonts w:ascii="Calibri" w:hAnsi="Calibri" w:cs="Calibri"/>
        </w:rPr>
        <w:t xml:space="preserve"> POTWs with existing PFAS monitoring data meeting the sampling program requirements to submit these data to the EPA in the specified format instead of conducting additional sampling. </w:t>
      </w:r>
      <w:r w:rsidR="008F4EAA">
        <w:rPr>
          <w:rFonts w:ascii="Calibri" w:hAnsi="Calibri" w:cs="Calibri"/>
        </w:rPr>
        <w:t xml:space="preserve">See Section </w:t>
      </w:r>
      <w:r w:rsidR="008F4EAA">
        <w:rPr>
          <w:rFonts w:ascii="Calibri" w:hAnsi="Calibri" w:cs="Calibri"/>
        </w:rPr>
        <w:fldChar w:fldCharType="begin"/>
      </w:r>
      <w:r w:rsidR="008F4EAA">
        <w:rPr>
          <w:rFonts w:ascii="Calibri" w:hAnsi="Calibri" w:cs="Calibri"/>
        </w:rPr>
        <w:instrText xml:space="preserve"> REF _Ref172815710 \r \h </w:instrText>
      </w:r>
      <w:r w:rsidR="008F4EAA">
        <w:rPr>
          <w:rFonts w:ascii="Calibri" w:hAnsi="Calibri" w:cs="Calibri"/>
        </w:rPr>
        <w:fldChar w:fldCharType="separate"/>
      </w:r>
      <w:r w:rsidR="008F4EAA">
        <w:rPr>
          <w:rFonts w:ascii="Calibri" w:hAnsi="Calibri" w:cs="Calibri"/>
        </w:rPr>
        <w:t>4</w:t>
      </w:r>
      <w:r w:rsidR="008F4EAA">
        <w:rPr>
          <w:rFonts w:ascii="Calibri" w:hAnsi="Calibri" w:cs="Calibri"/>
        </w:rPr>
        <w:fldChar w:fldCharType="end"/>
      </w:r>
      <w:r w:rsidR="008F4EAA">
        <w:rPr>
          <w:rFonts w:ascii="Calibri" w:hAnsi="Calibri" w:cs="Calibri"/>
        </w:rPr>
        <w:t xml:space="preserve"> for additional discussion about efforts to </w:t>
      </w:r>
      <w:r w:rsidR="0045386C">
        <w:rPr>
          <w:rFonts w:ascii="Calibri" w:hAnsi="Calibri" w:cs="Calibri"/>
        </w:rPr>
        <w:t xml:space="preserve">collect existing PFAS monitoring data. </w:t>
      </w:r>
      <w:r w:rsidRPr="00FA4E09" w:rsidR="008F4EAA">
        <w:rPr>
          <w:rFonts w:ascii="Calibri" w:hAnsi="Calibri" w:cs="Calibri"/>
        </w:rPr>
        <w:t xml:space="preserve">More information on data acceptance criteria can be found in Section </w:t>
      </w:r>
      <w:r w:rsidRPr="00FA4E09" w:rsidR="008F4EAA">
        <w:rPr>
          <w:rFonts w:ascii="Calibri" w:hAnsi="Calibri" w:cs="Calibri"/>
        </w:rPr>
        <w:fldChar w:fldCharType="begin"/>
      </w:r>
      <w:r w:rsidRPr="00FA4E09" w:rsidR="008F4EAA">
        <w:rPr>
          <w:rFonts w:ascii="Calibri" w:hAnsi="Calibri" w:cs="Calibri"/>
        </w:rPr>
        <w:instrText xml:space="preserve"> REF _Ref169722333 \r \h </w:instrText>
      </w:r>
      <w:r w:rsidR="008F4EAA">
        <w:rPr>
          <w:rFonts w:ascii="Calibri" w:hAnsi="Calibri" w:cs="Calibri"/>
        </w:rPr>
        <w:instrText xml:space="preserve"> \* MERGEFORMAT </w:instrText>
      </w:r>
      <w:r w:rsidRPr="00FA4E09" w:rsidR="008F4EAA">
        <w:rPr>
          <w:rFonts w:ascii="Calibri" w:hAnsi="Calibri" w:cs="Calibri"/>
        </w:rPr>
        <w:fldChar w:fldCharType="separate"/>
      </w:r>
      <w:r w:rsidRPr="00FA4E09" w:rsidR="008F4EAA">
        <w:rPr>
          <w:rFonts w:ascii="Calibri" w:hAnsi="Calibri" w:cs="Calibri"/>
        </w:rPr>
        <w:t>12</w:t>
      </w:r>
      <w:r w:rsidRPr="00FA4E09" w:rsidR="008F4EAA">
        <w:rPr>
          <w:rFonts w:ascii="Calibri" w:hAnsi="Calibri" w:cs="Calibri"/>
        </w:rPr>
        <w:fldChar w:fldCharType="end"/>
      </w:r>
      <w:r w:rsidR="009741C8">
        <w:rPr>
          <w:rFonts w:ascii="Calibri" w:hAnsi="Calibri" w:cs="Calibri"/>
        </w:rPr>
        <w:t>(c)</w:t>
      </w:r>
      <w:r w:rsidRPr="00FA4E09" w:rsidR="008F4EAA">
        <w:rPr>
          <w:rFonts w:ascii="Calibri" w:hAnsi="Calibri" w:cs="Calibri"/>
        </w:rPr>
        <w:t>.</w:t>
      </w:r>
    </w:p>
    <w:p w:rsidR="00F55AED" w:rsidRPr="00FA4E09" w:rsidP="00961715" w14:paraId="7DF4D2DF" w14:textId="0FE1173B">
      <w:pPr>
        <w:autoSpaceDE w:val="0"/>
        <w:autoSpaceDN w:val="0"/>
        <w:adjustRightInd w:val="0"/>
        <w:rPr>
          <w:rFonts w:ascii="Calibri" w:hAnsi="Calibri" w:cs="Calibri"/>
        </w:rPr>
      </w:pPr>
      <w:r w:rsidRPr="00FA4E09">
        <w:rPr>
          <w:rFonts w:ascii="Calibri" w:hAnsi="Calibri" w:cs="Calibri"/>
        </w:rPr>
        <w:t>The EPA will use monitoring data collected through the sampling program to support the activities and goals below:</w:t>
      </w:r>
    </w:p>
    <w:p w:rsidR="00F55AED" w:rsidRPr="00FA4E09" w:rsidP="00961715" w14:paraId="344ABA63" w14:textId="7803D9AB">
      <w:pPr>
        <w:pStyle w:val="ListBulletSingle"/>
        <w:spacing w:after="80"/>
        <w:ind w:left="720" w:hanging="360"/>
        <w:rPr>
          <w:rFonts w:ascii="Calibri" w:hAnsi="Calibri" w:cs="Calibri"/>
        </w:rPr>
      </w:pPr>
      <w:r w:rsidRPr="00FA4E09">
        <w:rPr>
          <w:rFonts w:ascii="Calibri" w:hAnsi="Calibri" w:cs="Calibri"/>
        </w:rPr>
        <w:t xml:space="preserve">Industrial user monitoring data will be used to identify and quantify industrial </w:t>
      </w:r>
      <w:r w:rsidR="00A07E58">
        <w:rPr>
          <w:rFonts w:ascii="Calibri" w:hAnsi="Calibri" w:cs="Calibri"/>
        </w:rPr>
        <w:t>discharges of PFAS</w:t>
      </w:r>
      <w:r w:rsidRPr="00FA4E09">
        <w:rPr>
          <w:rFonts w:ascii="Calibri" w:hAnsi="Calibri" w:cs="Calibri"/>
        </w:rPr>
        <w:t>, allowing the EPA to determine if revisions to the current ELGs are warranted to address PFAS in industrial discharges and prioritize industrial categories for potential regulation.</w:t>
      </w:r>
    </w:p>
    <w:p w:rsidR="00F55AED" w:rsidRPr="00FA4E09" w:rsidP="00961715" w14:paraId="31DD27BB" w14:textId="178A7EE3">
      <w:pPr>
        <w:pStyle w:val="ListBulletSingle"/>
        <w:spacing w:after="80"/>
        <w:ind w:left="720" w:hanging="360"/>
        <w:rPr>
          <w:rFonts w:ascii="Calibri" w:hAnsi="Calibri" w:cs="Calibri"/>
        </w:rPr>
      </w:pPr>
      <w:r w:rsidRPr="00FA4E09">
        <w:rPr>
          <w:rFonts w:ascii="Calibri" w:hAnsi="Calibri" w:cs="Calibri"/>
        </w:rPr>
        <w:t xml:space="preserve">Industrial user effluent, domestic </w:t>
      </w:r>
      <w:r w:rsidR="001D542C">
        <w:rPr>
          <w:rFonts w:ascii="Calibri" w:hAnsi="Calibri" w:cs="Calibri"/>
        </w:rPr>
        <w:t>wastewater or sewage</w:t>
      </w:r>
      <w:r w:rsidRPr="00FA4E09">
        <w:rPr>
          <w:rFonts w:ascii="Calibri" w:hAnsi="Calibri" w:cs="Calibri"/>
        </w:rPr>
        <w:t xml:space="preserve">, and POTW influent sampling data will be used to determine the relative PFAS </w:t>
      </w:r>
      <w:r w:rsidR="007B6D0F">
        <w:rPr>
          <w:rFonts w:ascii="Calibri" w:hAnsi="Calibri" w:cs="Calibri"/>
        </w:rPr>
        <w:t>discharges</w:t>
      </w:r>
      <w:r w:rsidRPr="00FA4E09">
        <w:rPr>
          <w:rFonts w:ascii="Calibri" w:hAnsi="Calibri" w:cs="Calibri"/>
        </w:rPr>
        <w:t xml:space="preserve"> from </w:t>
      </w:r>
      <w:r w:rsidR="007B6D0F">
        <w:rPr>
          <w:rFonts w:ascii="Calibri" w:hAnsi="Calibri" w:cs="Calibri"/>
        </w:rPr>
        <w:t>domestic</w:t>
      </w:r>
      <w:r w:rsidRPr="00FA4E09">
        <w:rPr>
          <w:rFonts w:ascii="Calibri" w:hAnsi="Calibri" w:cs="Calibri"/>
        </w:rPr>
        <w:t>, commercial, and industrial sources, allowing the EPA to identify best mechanisms to control PFAS discharges.</w:t>
      </w:r>
    </w:p>
    <w:p w:rsidR="00F55AED" w:rsidRPr="00FA4E09" w:rsidP="00961715" w14:paraId="0C49FA84" w14:textId="285DECBB">
      <w:pPr>
        <w:pStyle w:val="ListBulletSingle"/>
        <w:spacing w:after="80"/>
        <w:ind w:left="720" w:hanging="360"/>
        <w:rPr>
          <w:rFonts w:ascii="Calibri" w:hAnsi="Calibri" w:cs="Calibri"/>
        </w:rPr>
      </w:pPr>
      <w:r w:rsidRPr="00FA4E09">
        <w:rPr>
          <w:rFonts w:ascii="Calibri" w:hAnsi="Calibri" w:cs="Calibri"/>
        </w:rPr>
        <w:t xml:space="preserve">POTW influent, effluent, and sewage </w:t>
      </w:r>
      <w:r w:rsidRPr="00FA4E09" w:rsidR="000077A0">
        <w:rPr>
          <w:rFonts w:ascii="Calibri" w:hAnsi="Calibri" w:cs="Calibri"/>
        </w:rPr>
        <w:t>sludge</w:t>
      </w:r>
      <w:r w:rsidRPr="00FA4E09">
        <w:rPr>
          <w:rFonts w:ascii="Calibri" w:hAnsi="Calibri" w:cs="Calibri"/>
        </w:rPr>
        <w:t xml:space="preserve"> data will be used to understand PFAS fate and transport in POTWs and efficacy of existing treatment processes.</w:t>
      </w:r>
    </w:p>
    <w:p w:rsidR="00F55AED" w:rsidRPr="00FA4E09" w:rsidP="00C17AB8" w14:paraId="0D1C5BAB" w14:textId="1BB597BC">
      <w:pPr>
        <w:pStyle w:val="ListBulletLast"/>
        <w:ind w:left="720" w:hanging="360"/>
        <w:rPr>
          <w:rFonts w:ascii="Calibri" w:hAnsi="Calibri" w:cs="Calibri"/>
        </w:rPr>
      </w:pPr>
      <w:r w:rsidRPr="00FA4E09">
        <w:rPr>
          <w:rFonts w:ascii="Calibri" w:hAnsi="Calibri" w:cs="Calibri"/>
        </w:rPr>
        <w:t xml:space="preserve">POTW sewage sludge monitoring data will be used </w:t>
      </w:r>
      <w:r w:rsidRPr="00FA4E09" w:rsidR="00AA71D4">
        <w:rPr>
          <w:rFonts w:ascii="Calibri" w:hAnsi="Calibri" w:cs="Calibri"/>
        </w:rPr>
        <w:t>to fulfill the EPA’s data need</w:t>
      </w:r>
      <w:r w:rsidRPr="00FA4E09" w:rsidR="0B620CA6">
        <w:rPr>
          <w:rFonts w:ascii="Calibri" w:hAnsi="Calibri" w:cs="Calibri"/>
        </w:rPr>
        <w:t>s</w:t>
      </w:r>
      <w:r w:rsidRPr="00FA4E09" w:rsidR="00AA71D4">
        <w:rPr>
          <w:rFonts w:ascii="Calibri" w:hAnsi="Calibri" w:cs="Calibri"/>
        </w:rPr>
        <w:t xml:space="preserve"> for</w:t>
      </w:r>
      <w:r w:rsidRPr="00FA4E09" w:rsidR="00E72FC8">
        <w:rPr>
          <w:rFonts w:ascii="Calibri" w:hAnsi="Calibri" w:cs="Calibri"/>
        </w:rPr>
        <w:t xml:space="preserve"> the NSSS</w:t>
      </w:r>
      <w:r w:rsidRPr="00FA4E09" w:rsidR="00AA71D4">
        <w:rPr>
          <w:rFonts w:ascii="Calibri" w:hAnsi="Calibri" w:cs="Calibri"/>
        </w:rPr>
        <w:t xml:space="preserve"> and</w:t>
      </w:r>
      <w:r w:rsidRPr="00FA4E09" w:rsidR="00E72FC8">
        <w:rPr>
          <w:rFonts w:ascii="Calibri" w:hAnsi="Calibri" w:cs="Calibri"/>
        </w:rPr>
        <w:t xml:space="preserve"> </w:t>
      </w:r>
      <w:r w:rsidRPr="00FA4E09">
        <w:rPr>
          <w:rFonts w:ascii="Calibri" w:hAnsi="Calibri" w:cs="Calibri"/>
        </w:rPr>
        <w:t xml:space="preserve">to inform upcoming risk assessments and risk management options, as well as potential future regulations and guidance for management of sewage sludge containing PFAS and other pollutants. </w:t>
      </w:r>
    </w:p>
    <w:p w:rsidR="00F55AED" w:rsidRPr="00FA4E09" w:rsidP="00F55AED" w14:paraId="6C4E5744" w14:textId="37080B79">
      <w:pPr>
        <w:rPr>
          <w:rFonts w:ascii="Calibri" w:hAnsi="Calibri" w:cs="Calibri"/>
        </w:rPr>
      </w:pPr>
      <w:r w:rsidRPr="00FA4E09">
        <w:rPr>
          <w:rFonts w:ascii="Calibri" w:hAnsi="Calibri" w:cs="Calibri"/>
        </w:rPr>
        <w:t>POTWs will also benefit from the information and data generated by the sampling program by identifying sources of PFAS entering POTWs, allowing them to establish controls for these point sources.</w:t>
      </w:r>
    </w:p>
    <w:p w:rsidR="00DD1092" w:rsidRPr="00E3122D" w:rsidP="00DD1092" w14:paraId="5DEF7F55" w14:textId="77777777">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D1092" w:rsidRPr="001F0834" w:rsidP="00DD1092" w14:paraId="47F4C99A"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32E00" w:rsidRPr="00FA4E09" w:rsidP="00DD1092" w14:paraId="7FAD96E8" w14:textId="586AB0F8">
      <w:pPr>
        <w:pBdr>
          <w:top w:val="single" w:sz="6" w:space="0" w:color="FFFFFF"/>
          <w:left w:val="single" w:sz="6" w:space="0" w:color="FFFFFF"/>
          <w:bottom w:val="single" w:sz="6" w:space="0" w:color="FFFFFF"/>
          <w:right w:val="single" w:sz="6" w:space="0" w:color="FFFFFF"/>
        </w:pBdr>
        <w:rPr>
          <w:rFonts w:ascii="Calibri" w:hAnsi="Calibri" w:cs="Calibri"/>
          <w:bdr w:val="none" w:sz="0" w:space="0" w:color="auto" w:frame="1"/>
          <w:shd w:val="clear" w:color="auto" w:fill="FFFFFF"/>
        </w:rPr>
      </w:pPr>
      <w:r w:rsidRPr="00FA4E09">
        <w:rPr>
          <w:rFonts w:ascii="Calibri" w:hAnsi="Calibri" w:cs="Calibri"/>
          <w:bdr w:val="none" w:sz="0" w:space="0" w:color="auto" w:frame="1"/>
          <w:shd w:val="clear" w:color="auto" w:fill="FFFFFF"/>
        </w:rPr>
        <w:t>The questionnaire will be administered as a web-based, electronic questionnaire using Qualtrics Survey Software (Qualtrics)</w:t>
      </w:r>
      <w:r w:rsidRPr="00FA4E09">
        <w:rPr>
          <w:rFonts w:ascii="Calibri" w:hAnsi="Calibri" w:cs="Calibri"/>
          <w:bdr w:val="none" w:sz="0" w:space="0" w:color="auto" w:frame="1"/>
          <w:shd w:val="clear" w:color="auto" w:fill="FFFFFF"/>
        </w:rPr>
        <w:t xml:space="preserve">. </w:t>
      </w:r>
      <w:r w:rsidRPr="00FA4E09" w:rsidR="00CF16D5">
        <w:rPr>
          <w:rFonts w:ascii="Calibri" w:hAnsi="Calibri" w:cs="Calibri"/>
          <w:bdr w:val="none" w:sz="0" w:space="0" w:color="auto" w:frame="1"/>
          <w:shd w:val="clear" w:color="auto" w:fill="FFFFFF"/>
        </w:rPr>
        <w:t xml:space="preserve">The EPA will also use Qualtrics to </w:t>
      </w:r>
      <w:r w:rsidRPr="00FA4E09" w:rsidR="00FD7E4A">
        <w:rPr>
          <w:rFonts w:ascii="Calibri" w:hAnsi="Calibri" w:cs="Calibri"/>
          <w:bdr w:val="none" w:sz="0" w:space="0" w:color="auto" w:frame="1"/>
          <w:shd w:val="clear" w:color="auto" w:fill="FFFFFF"/>
        </w:rPr>
        <w:t xml:space="preserve">allow POTWs to electronically submit sample results from the sampling program. </w:t>
      </w:r>
      <w:r w:rsidRPr="00FA4E09">
        <w:rPr>
          <w:rFonts w:ascii="Calibri" w:hAnsi="Calibri" w:cs="Calibri"/>
          <w:bdr w:val="none" w:sz="0" w:space="0" w:color="auto" w:frame="1"/>
          <w:shd w:val="clear" w:color="auto" w:fill="FFFFFF"/>
        </w:rPr>
        <w:t xml:space="preserve">The Qualtrics questionnaire </w:t>
      </w:r>
      <w:r w:rsidRPr="00FA4E09" w:rsidR="00FD7E4A">
        <w:rPr>
          <w:rFonts w:ascii="Calibri" w:hAnsi="Calibri" w:cs="Calibri"/>
          <w:bdr w:val="none" w:sz="0" w:space="0" w:color="auto" w:frame="1"/>
          <w:shd w:val="clear" w:color="auto" w:fill="FFFFFF"/>
        </w:rPr>
        <w:t xml:space="preserve">and sampling data submission tool </w:t>
      </w:r>
      <w:r w:rsidRPr="00FA4E09">
        <w:rPr>
          <w:rFonts w:ascii="Calibri" w:hAnsi="Calibri" w:cs="Calibri"/>
          <w:bdr w:val="none" w:sz="0" w:space="0" w:color="auto" w:frame="1"/>
          <w:shd w:val="clear" w:color="auto" w:fill="FFFFFF"/>
        </w:rPr>
        <w:t xml:space="preserve">will </w:t>
      </w:r>
      <w:r w:rsidRPr="00FA4E09">
        <w:rPr>
          <w:rFonts w:ascii="Calibri" w:hAnsi="Calibri" w:cs="Calibri"/>
          <w:bdr w:val="none" w:sz="0" w:space="0" w:color="auto" w:frame="1"/>
          <w:shd w:val="clear" w:color="auto" w:fill="FFFFFF"/>
        </w:rPr>
        <w:t xml:space="preserve">be developed to meet the 1998 Government Paperwork Elimination Act (GPEA). The EPA anticipates that all respondents will be familiar and comfortable with online submission forms and has received verbal feedback from industry representatives indicating this. Additionally, the Qualtrics questionnaire </w:t>
      </w:r>
      <w:r w:rsidRPr="00FA4E09" w:rsidR="00921206">
        <w:rPr>
          <w:rFonts w:ascii="Calibri" w:hAnsi="Calibri" w:cs="Calibri"/>
          <w:bdr w:val="none" w:sz="0" w:space="0" w:color="auto" w:frame="1"/>
          <w:shd w:val="clear" w:color="auto" w:fill="FFFFFF"/>
        </w:rPr>
        <w:t xml:space="preserve">and sampling </w:t>
      </w:r>
      <w:r w:rsidRPr="00FA4E09" w:rsidR="00B439D5">
        <w:rPr>
          <w:rFonts w:ascii="Calibri" w:hAnsi="Calibri" w:cs="Calibri"/>
          <w:bdr w:val="none" w:sz="0" w:space="0" w:color="auto" w:frame="1"/>
          <w:shd w:val="clear" w:color="auto" w:fill="FFFFFF"/>
        </w:rPr>
        <w:t xml:space="preserve">data submission tool </w:t>
      </w:r>
      <w:r w:rsidRPr="00FA4E09">
        <w:rPr>
          <w:rFonts w:ascii="Calibri" w:hAnsi="Calibri" w:cs="Calibri"/>
          <w:bdr w:val="none" w:sz="0" w:space="0" w:color="auto" w:frame="1"/>
          <w:shd w:val="clear" w:color="auto" w:fill="FFFFFF"/>
        </w:rPr>
        <w:t>will include automatic validation checks to minimize data entry errors and allow for automatic export of a response data set, reducing the potential for errors introduced by entry of data. The EPA’s email and phone helpline will also be available during the response period to assist facilities as needed with submitting responses.</w:t>
      </w:r>
    </w:p>
    <w:p w:rsidR="009F1E00" w:rsidRPr="00FA4E09" w:rsidP="00A32E00" w14:paraId="7B30150C" w14:textId="418346AE">
      <w:pPr>
        <w:pBdr>
          <w:top w:val="single" w:sz="6" w:space="0" w:color="FFFFFF"/>
          <w:left w:val="single" w:sz="6" w:space="0" w:color="FFFFFF"/>
          <w:bottom w:val="single" w:sz="6" w:space="0" w:color="FFFFFF"/>
          <w:right w:val="single" w:sz="6" w:space="0" w:color="FFFFFF"/>
        </w:pBdr>
        <w:rPr>
          <w:rFonts w:ascii="Calibri" w:hAnsi="Calibri" w:cs="Calibri"/>
          <w:bdr w:val="none" w:sz="0" w:space="0" w:color="auto" w:frame="1"/>
          <w:shd w:val="clear" w:color="auto" w:fill="FFFFFF"/>
        </w:rPr>
      </w:pPr>
      <w:r w:rsidRPr="00FA4E09">
        <w:rPr>
          <w:rFonts w:ascii="Calibri" w:hAnsi="Calibri" w:cs="Calibri"/>
          <w:bdr w:val="none" w:sz="0" w:space="0" w:color="auto" w:frame="1"/>
          <w:shd w:val="clear" w:color="auto" w:fill="FFFFFF"/>
        </w:rPr>
        <w:t>The EPA designed the questionnaire to include burden-reducing features. For example, the questionnaire contains applicability questions that direct respondents that do not qualify as the population of interest for a particular subset of questions to bypass this subset of questions to continue their response. The questionnaire is also designed with drop down menus and multiple-choice options to simplify and standardize responses, minimizing the number of narrative text responses.</w:t>
      </w:r>
    </w:p>
    <w:p w:rsidR="00E12D9F" w:rsidRPr="00FA4E09" w:rsidP="00E12D9F" w14:paraId="64B1D62E" w14:textId="6562A775">
      <w:pPr>
        <w:pBdr>
          <w:top w:val="single" w:sz="6" w:space="0" w:color="FFFFFF"/>
          <w:left w:val="single" w:sz="6" w:space="0" w:color="FFFFFF"/>
          <w:bottom w:val="single" w:sz="6" w:space="0" w:color="FFFFFF"/>
          <w:right w:val="single" w:sz="6" w:space="0" w:color="FFFFFF"/>
        </w:pBdr>
        <w:rPr>
          <w:rFonts w:ascii="Calibri" w:hAnsi="Calibri" w:cs="Calibri"/>
          <w:bdr w:val="none" w:sz="0" w:space="0" w:color="auto" w:frame="1"/>
          <w:shd w:val="clear" w:color="auto" w:fill="FFFFFF"/>
        </w:rPr>
      </w:pPr>
      <w:r w:rsidRPr="00FA4E09">
        <w:rPr>
          <w:rFonts w:ascii="Calibri" w:hAnsi="Calibri" w:cs="Calibri"/>
          <w:bdr w:val="none" w:sz="0" w:space="0" w:color="auto" w:frame="1"/>
          <w:shd w:val="clear" w:color="auto" w:fill="FFFFFF"/>
        </w:rPr>
        <w:t xml:space="preserve">Each of the POTWs selected to complete the questionnaire will receive a notification letter which will provide instructions, a link to an EPA webpage, and a facility-specific Questionnaire ID and entry code. The selected POTWs will access the EPA webpage, be directed via a button link to the </w:t>
      </w:r>
      <w:r w:rsidR="00047293">
        <w:rPr>
          <w:rFonts w:ascii="Calibri" w:hAnsi="Calibri" w:cs="Calibri"/>
          <w:bdr w:val="none" w:sz="0" w:space="0" w:color="auto" w:frame="1"/>
          <w:shd w:val="clear" w:color="auto" w:fill="FFFFFF"/>
        </w:rPr>
        <w:t>Qualtrics</w:t>
      </w:r>
      <w:r w:rsidRPr="00FA4E09">
        <w:rPr>
          <w:rFonts w:ascii="Calibri" w:hAnsi="Calibri" w:cs="Calibri"/>
          <w:bdr w:val="none" w:sz="0" w:space="0" w:color="auto" w:frame="1"/>
          <w:shd w:val="clear" w:color="auto" w:fill="FFFFFF"/>
        </w:rPr>
        <w:t xml:space="preserve"> login webpage, and log in using their Questionnaire ID and entry code as provided in the notification letter. The web-based questionnaire will allow for electronic review and completion of the questionnaire. This letter will be sent via a trackable mailing service (i.e., the United States Postal Service or Federal Express (FedEx)) to each facility to ensure that a facility point of contact receives and signs for it. Each facility selected for the questionnaire will be allowed </w:t>
      </w:r>
      <w:r w:rsidRPr="00FA4E09" w:rsidR="005A332E">
        <w:rPr>
          <w:rFonts w:ascii="Calibri" w:hAnsi="Calibri" w:cs="Calibri"/>
          <w:bdr w:val="none" w:sz="0" w:space="0" w:color="auto" w:frame="1"/>
          <w:shd w:val="clear" w:color="auto" w:fill="FFFFFF"/>
        </w:rPr>
        <w:t xml:space="preserve">45 </w:t>
      </w:r>
      <w:r w:rsidRPr="00FA4E09">
        <w:rPr>
          <w:rFonts w:ascii="Calibri" w:hAnsi="Calibri" w:cs="Calibri"/>
          <w:bdr w:val="none" w:sz="0" w:space="0" w:color="auto" w:frame="1"/>
          <w:shd w:val="clear" w:color="auto" w:fill="FFFFFF"/>
        </w:rPr>
        <w:t>calendar days to submit the completed questionnaire.</w:t>
      </w:r>
      <w:r w:rsidRPr="00FA4E09" w:rsidR="007C4A7D">
        <w:rPr>
          <w:rFonts w:ascii="Calibri" w:hAnsi="Calibri" w:cs="Calibri"/>
          <w:bdr w:val="none" w:sz="0" w:space="0" w:color="auto" w:frame="1"/>
          <w:shd w:val="clear" w:color="auto" w:fill="FFFFFF"/>
        </w:rPr>
        <w:t xml:space="preserve"> </w:t>
      </w:r>
    </w:p>
    <w:p w:rsidR="00E12D9F" w:rsidRPr="00FA4E09" w:rsidP="00E12D9F" w14:paraId="15728193" w14:textId="08942C95">
      <w:pPr>
        <w:pBdr>
          <w:top w:val="single" w:sz="6" w:space="0" w:color="FFFFFF"/>
          <w:left w:val="single" w:sz="6" w:space="0" w:color="FFFFFF"/>
          <w:bottom w:val="single" w:sz="6" w:space="0" w:color="FFFFFF"/>
          <w:right w:val="single" w:sz="6" w:space="0" w:color="FFFFFF"/>
        </w:pBdr>
        <w:rPr>
          <w:rFonts w:ascii="Calibri" w:hAnsi="Calibri" w:cs="Calibri"/>
          <w:bdr w:val="none" w:sz="0" w:space="0" w:color="auto" w:frame="1"/>
          <w:shd w:val="clear" w:color="auto" w:fill="FFFFFF"/>
        </w:rPr>
      </w:pPr>
      <w:r w:rsidRPr="00FA4E09">
        <w:rPr>
          <w:rFonts w:ascii="Calibri" w:hAnsi="Calibri" w:cs="Calibri"/>
          <w:bdr w:val="none" w:sz="0" w:space="0" w:color="auto" w:frame="1"/>
          <w:shd w:val="clear" w:color="auto" w:fill="FFFFFF"/>
        </w:rPr>
        <w:t>The EPA will include a helpline email address and phone number in the instructions that respondents can use to request timely technical assistance in completing the questionnaire. Email and phone communication will reduce any misinterpretations of the questionnaire</w:t>
      </w:r>
      <w:r w:rsidR="00A32D65">
        <w:rPr>
          <w:rFonts w:ascii="Calibri" w:hAnsi="Calibri" w:cs="Calibri"/>
          <w:bdr w:val="none" w:sz="0" w:space="0" w:color="auto" w:frame="1"/>
          <w:shd w:val="clear" w:color="auto" w:fill="FFFFFF"/>
        </w:rPr>
        <w:t>,</w:t>
      </w:r>
      <w:r w:rsidRPr="00FA4E09">
        <w:rPr>
          <w:rFonts w:ascii="Calibri" w:hAnsi="Calibri" w:cs="Calibri"/>
          <w:bdr w:val="none" w:sz="0" w:space="0" w:color="auto" w:frame="1"/>
          <w:shd w:val="clear" w:color="auto" w:fill="FFFFFF"/>
        </w:rPr>
        <w:t xml:space="preserve"> and the burden of follow-up phone calls and letters to respondents following the response period. </w:t>
      </w:r>
    </w:p>
    <w:p w:rsidR="00E12D9F" w:rsidRPr="00FA4E09" w:rsidP="00E12D9F" w14:paraId="78D2F90D" w14:textId="2168C193">
      <w:pPr>
        <w:pBdr>
          <w:top w:val="single" w:sz="6" w:space="0" w:color="FFFFFF"/>
          <w:left w:val="single" w:sz="6" w:space="0" w:color="FFFFFF"/>
          <w:bottom w:val="single" w:sz="6" w:space="0" w:color="FFFFFF"/>
          <w:right w:val="single" w:sz="6" w:space="0" w:color="FFFFFF"/>
        </w:pBdr>
        <w:rPr>
          <w:rFonts w:ascii="Calibri" w:hAnsi="Calibri" w:cs="Calibri"/>
          <w:bdr w:val="none" w:sz="0" w:space="0" w:color="auto" w:frame="1"/>
          <w:shd w:val="clear" w:color="auto" w:fill="FFFFFF"/>
        </w:rPr>
      </w:pPr>
      <w:r w:rsidRPr="00FA4E09">
        <w:rPr>
          <w:rFonts w:ascii="Calibri" w:hAnsi="Calibri" w:cs="Calibri"/>
          <w:bdr w:val="none" w:sz="0" w:space="0" w:color="auto" w:frame="1"/>
          <w:shd w:val="clear" w:color="auto" w:fill="FFFFFF"/>
        </w:rPr>
        <w:t xml:space="preserve">The </w:t>
      </w:r>
      <w:r w:rsidR="00C22984">
        <w:rPr>
          <w:rFonts w:ascii="Calibri" w:hAnsi="Calibri" w:cs="Calibri"/>
          <w:bdr w:val="none" w:sz="0" w:space="0" w:color="auto" w:frame="1"/>
          <w:shd w:val="clear" w:color="auto" w:fill="FFFFFF"/>
        </w:rPr>
        <w:t>notification letter</w:t>
      </w:r>
      <w:r w:rsidR="0030211D">
        <w:rPr>
          <w:rFonts w:ascii="Calibri" w:hAnsi="Calibri" w:cs="Calibri"/>
          <w:bdr w:val="none" w:sz="0" w:space="0" w:color="auto" w:frame="1"/>
          <w:shd w:val="clear" w:color="auto" w:fill="FFFFFF"/>
        </w:rPr>
        <w:t>s</w:t>
      </w:r>
      <w:r w:rsidR="00C22984">
        <w:rPr>
          <w:rFonts w:ascii="Calibri" w:hAnsi="Calibri" w:cs="Calibri"/>
          <w:bdr w:val="none" w:sz="0" w:space="0" w:color="auto" w:frame="1"/>
          <w:shd w:val="clear" w:color="auto" w:fill="FFFFFF"/>
        </w:rPr>
        <w:t xml:space="preserve"> and Qualtrics </w:t>
      </w:r>
      <w:r w:rsidRPr="00FA4E09">
        <w:rPr>
          <w:rFonts w:ascii="Calibri" w:hAnsi="Calibri" w:cs="Calibri"/>
          <w:bdr w:val="none" w:sz="0" w:space="0" w:color="auto" w:frame="1"/>
          <w:shd w:val="clear" w:color="auto" w:fill="FFFFFF"/>
        </w:rPr>
        <w:t xml:space="preserve">will include information relevant to the purpose and authority under which the EPA is conducting the </w:t>
      </w:r>
      <w:r w:rsidR="00941F27">
        <w:rPr>
          <w:rFonts w:ascii="Calibri" w:hAnsi="Calibri" w:cs="Calibri"/>
          <w:bdr w:val="none" w:sz="0" w:space="0" w:color="auto" w:frame="1"/>
          <w:shd w:val="clear" w:color="auto" w:fill="FFFFFF"/>
        </w:rPr>
        <w:t>data collection</w:t>
      </w:r>
      <w:r w:rsidRPr="00FA4E09">
        <w:rPr>
          <w:rFonts w:ascii="Calibri" w:hAnsi="Calibri" w:cs="Calibri"/>
          <w:bdr w:val="none" w:sz="0" w:space="0" w:color="auto" w:frame="1"/>
          <w:shd w:val="clear" w:color="auto" w:fill="FFFFFF"/>
        </w:rPr>
        <w:t xml:space="preserve">; instructions for accessing, completing, and submitting the questionnaire; and a glossary with all pertinent definitions, references, and </w:t>
      </w:r>
      <w:r w:rsidRPr="00FA4E09" w:rsidR="00B52987">
        <w:rPr>
          <w:rFonts w:ascii="Calibri" w:hAnsi="Calibri" w:cs="Calibri"/>
          <w:bdr w:val="none" w:sz="0" w:space="0" w:color="auto" w:frame="1"/>
          <w:shd w:val="clear" w:color="auto" w:fill="FFFFFF"/>
        </w:rPr>
        <w:t xml:space="preserve">abbreviations </w:t>
      </w:r>
      <w:r w:rsidRPr="00FA4E09">
        <w:rPr>
          <w:rFonts w:ascii="Calibri" w:hAnsi="Calibri" w:cs="Calibri"/>
          <w:bdr w:val="none" w:sz="0" w:space="0" w:color="auto" w:frame="1"/>
          <w:shd w:val="clear" w:color="auto" w:fill="FFFFFF"/>
        </w:rPr>
        <w:t>to understand and complete the questionnaire. A downloadable, watermarked PDF copy of the questionnaire will be available for respondents to print out to use as a working copy, helping them gather and organize response data before beginning data entry.</w:t>
      </w:r>
    </w:p>
    <w:p w:rsidR="00E12D9F" w:rsidRPr="00FA4E09" w:rsidP="00E12D9F" w14:paraId="4A0FEED5" w14:textId="23FB6A0B">
      <w:pPr>
        <w:pBdr>
          <w:top w:val="single" w:sz="6" w:space="0" w:color="FFFFFF"/>
          <w:left w:val="single" w:sz="6" w:space="0" w:color="FFFFFF"/>
          <w:bottom w:val="single" w:sz="6" w:space="0" w:color="FFFFFF"/>
          <w:right w:val="single" w:sz="6" w:space="0" w:color="FFFFFF"/>
        </w:pBdr>
        <w:rPr>
          <w:rFonts w:ascii="Calibri" w:hAnsi="Calibri" w:cs="Calibri"/>
          <w:bdr w:val="none" w:sz="0" w:space="0" w:color="auto" w:frame="1"/>
          <w:shd w:val="clear" w:color="auto" w:fill="FFFFFF"/>
        </w:rPr>
      </w:pPr>
      <w:r w:rsidRPr="00FA4E09">
        <w:rPr>
          <w:rFonts w:ascii="Calibri" w:hAnsi="Calibri" w:cs="Calibri"/>
          <w:bdr w:val="none" w:sz="0" w:space="0" w:color="auto" w:frame="1"/>
          <w:shd w:val="clear" w:color="auto" w:fill="FFFFFF"/>
        </w:rPr>
        <w:t xml:space="preserve">Once the </w:t>
      </w:r>
      <w:r w:rsidR="00240D30">
        <w:rPr>
          <w:rFonts w:ascii="Calibri" w:hAnsi="Calibri" w:cs="Calibri"/>
          <w:bdr w:val="none" w:sz="0" w:space="0" w:color="auto" w:frame="1"/>
          <w:shd w:val="clear" w:color="auto" w:fill="FFFFFF"/>
        </w:rPr>
        <w:t xml:space="preserve">questionnaire </w:t>
      </w:r>
      <w:r w:rsidRPr="00FA4E09">
        <w:rPr>
          <w:rFonts w:ascii="Calibri" w:hAnsi="Calibri" w:cs="Calibri"/>
          <w:bdr w:val="none" w:sz="0" w:space="0" w:color="auto" w:frame="1"/>
          <w:shd w:val="clear" w:color="auto" w:fill="FFFFFF"/>
        </w:rPr>
        <w:t xml:space="preserve">response period is complete, the EPA and its contractors will export all </w:t>
      </w:r>
      <w:r w:rsidR="00240D30">
        <w:rPr>
          <w:rFonts w:ascii="Calibri" w:hAnsi="Calibri" w:cs="Calibri"/>
          <w:bdr w:val="none" w:sz="0" w:space="0" w:color="auto" w:frame="1"/>
          <w:shd w:val="clear" w:color="auto" w:fill="FFFFFF"/>
        </w:rPr>
        <w:t xml:space="preserve">questionnaire </w:t>
      </w:r>
      <w:r w:rsidRPr="00FA4E09">
        <w:rPr>
          <w:rFonts w:ascii="Calibri" w:hAnsi="Calibri" w:cs="Calibri"/>
          <w:bdr w:val="none" w:sz="0" w:space="0" w:color="auto" w:frame="1"/>
          <w:shd w:val="clear" w:color="auto" w:fill="FFFFFF"/>
        </w:rPr>
        <w:t xml:space="preserve">responses from Qualtrics and review the </w:t>
      </w:r>
      <w:r w:rsidR="0030211D">
        <w:rPr>
          <w:rFonts w:ascii="Calibri" w:hAnsi="Calibri" w:cs="Calibri"/>
          <w:bdr w:val="none" w:sz="0" w:space="0" w:color="auto" w:frame="1"/>
          <w:shd w:val="clear" w:color="auto" w:fill="FFFFFF"/>
        </w:rPr>
        <w:t>responses</w:t>
      </w:r>
      <w:r w:rsidRPr="00FA4E09">
        <w:rPr>
          <w:rFonts w:ascii="Calibri" w:hAnsi="Calibri" w:cs="Calibri"/>
          <w:bdr w:val="none" w:sz="0" w:space="0" w:color="auto" w:frame="1"/>
          <w:shd w:val="clear" w:color="auto" w:fill="FFFFFF"/>
        </w:rPr>
        <w:t xml:space="preserve"> for completeness. Responses will also be reviewed for consistency and reasonableness and follow-up calls will be conducted as needed to clarify inconsistencies found in the responses. </w:t>
      </w:r>
      <w:r w:rsidR="0030211D">
        <w:rPr>
          <w:rFonts w:ascii="Calibri" w:hAnsi="Calibri" w:cs="Calibri"/>
          <w:bdr w:val="none" w:sz="0" w:space="0" w:color="auto" w:frame="1"/>
          <w:shd w:val="clear" w:color="auto" w:fill="FFFFFF"/>
        </w:rPr>
        <w:t>Data</w:t>
      </w:r>
      <w:r w:rsidRPr="00FA4E09">
        <w:rPr>
          <w:rFonts w:ascii="Calibri" w:hAnsi="Calibri" w:cs="Calibri"/>
          <w:bdr w:val="none" w:sz="0" w:space="0" w:color="auto" w:frame="1"/>
          <w:shd w:val="clear" w:color="auto" w:fill="FFFFFF"/>
        </w:rPr>
        <w:t xml:space="preserve"> will be imported into a questionnaire database which will be used by the EPA to perform data analysis.</w:t>
      </w:r>
    </w:p>
    <w:p w:rsidR="00E12D9F" w:rsidRPr="00FA4E09" w:rsidP="00A32E00" w14:paraId="474DA19B" w14:textId="26306292">
      <w:pPr>
        <w:pBdr>
          <w:top w:val="single" w:sz="6" w:space="0" w:color="FFFFFF"/>
          <w:left w:val="single" w:sz="6" w:space="0" w:color="FFFFFF"/>
          <w:bottom w:val="single" w:sz="6" w:space="0" w:color="FFFFFF"/>
          <w:right w:val="single" w:sz="6" w:space="0" w:color="FFFFFF"/>
        </w:pBdr>
        <w:rPr>
          <w:rFonts w:ascii="Calibri" w:hAnsi="Calibri" w:cs="Calibri"/>
        </w:rPr>
      </w:pPr>
      <w:r w:rsidRPr="00FA4E09">
        <w:rPr>
          <w:rFonts w:ascii="Calibri" w:hAnsi="Calibri" w:cs="Calibri"/>
        </w:rPr>
        <w:t xml:space="preserve">In addition to technical data provided by facilities in the questionnaire, the EPA will require a subset of the respondents to collect and analyze samples to characterize types and quantities of PFAS and other pollutants in industrial user effluent; domestic </w:t>
      </w:r>
      <w:r w:rsidR="001D542C">
        <w:rPr>
          <w:rFonts w:ascii="Calibri" w:hAnsi="Calibri" w:cs="Calibri"/>
        </w:rPr>
        <w:t>wastewater or sewage</w:t>
      </w:r>
      <w:r w:rsidRPr="00FA4E09">
        <w:rPr>
          <w:rFonts w:ascii="Calibri" w:hAnsi="Calibri" w:cs="Calibri"/>
        </w:rPr>
        <w:t xml:space="preserve">; and POTW influent, effluent, and sewage </w:t>
      </w:r>
      <w:r w:rsidRPr="00FA4E09" w:rsidR="000077A0">
        <w:rPr>
          <w:rFonts w:ascii="Calibri" w:hAnsi="Calibri" w:cs="Calibri"/>
        </w:rPr>
        <w:t>sludge</w:t>
      </w:r>
      <w:r w:rsidRPr="00FA4E09">
        <w:rPr>
          <w:rFonts w:ascii="Calibri" w:hAnsi="Calibri" w:cs="Calibri"/>
        </w:rPr>
        <w:t xml:space="preserve">. </w:t>
      </w:r>
      <w:r w:rsidRPr="00FA4E09" w:rsidR="00EC316D">
        <w:rPr>
          <w:rFonts w:ascii="Calibri" w:hAnsi="Calibri" w:cs="Calibri"/>
          <w:bdr w:val="none" w:sz="0" w:space="0" w:color="auto" w:frame="1"/>
          <w:shd w:val="clear" w:color="auto" w:fill="FFFFFF"/>
        </w:rPr>
        <w:t xml:space="preserve">Each of the POTWs selected to participate in the sampling program will receive a second notification letter with instructions and a link to an EPA webpage where they can log in using their facility-specific credentials and submit the required sampling results. </w:t>
      </w:r>
      <w:r w:rsidRPr="00FA4E09" w:rsidR="00FA1977">
        <w:rPr>
          <w:rFonts w:ascii="Calibri" w:hAnsi="Calibri" w:cs="Calibri"/>
          <w:bdr w:val="none" w:sz="0" w:space="0" w:color="auto" w:frame="1"/>
          <w:shd w:val="clear" w:color="auto" w:fill="FFFFFF"/>
        </w:rPr>
        <w:t xml:space="preserve">POTWs selected for sampling will </w:t>
      </w:r>
      <w:r w:rsidRPr="00FA4E09" w:rsidR="00FA1977">
        <w:rPr>
          <w:rFonts w:ascii="Calibri" w:hAnsi="Calibri" w:cs="Calibri"/>
          <w:bdr w:val="none" w:sz="0" w:space="0" w:color="auto" w:frame="1"/>
          <w:shd w:val="clear" w:color="auto" w:fill="FFFFFF"/>
        </w:rPr>
        <w:t>also be required to not</w:t>
      </w:r>
      <w:r w:rsidRPr="00FA4E09" w:rsidR="00EC4918">
        <w:rPr>
          <w:rFonts w:ascii="Calibri" w:hAnsi="Calibri" w:cs="Calibri"/>
          <w:bdr w:val="none" w:sz="0" w:space="0" w:color="auto" w:frame="1"/>
          <w:shd w:val="clear" w:color="auto" w:fill="FFFFFF"/>
        </w:rPr>
        <w:t xml:space="preserve">ify </w:t>
      </w:r>
      <w:r w:rsidRPr="00FA4E09" w:rsidR="00A26322">
        <w:rPr>
          <w:rFonts w:ascii="Calibri" w:hAnsi="Calibri" w:cs="Calibri"/>
          <w:bdr w:val="none" w:sz="0" w:space="0" w:color="auto" w:frame="1"/>
          <w:shd w:val="clear" w:color="auto" w:fill="FFFFFF"/>
        </w:rPr>
        <w:t>the</w:t>
      </w:r>
      <w:r w:rsidRPr="00FA4E09" w:rsidR="00EC4918">
        <w:rPr>
          <w:rFonts w:ascii="Calibri" w:hAnsi="Calibri" w:cs="Calibri"/>
          <w:bdr w:val="none" w:sz="0" w:space="0" w:color="auto" w:frame="1"/>
          <w:shd w:val="clear" w:color="auto" w:fill="FFFFFF"/>
        </w:rPr>
        <w:t xml:space="preserve"> EPA of the date of sample collection and the date samples are received by laboratories.</w:t>
      </w:r>
      <w:r w:rsidRPr="00FA4E09" w:rsidR="00EC4918">
        <w:rPr>
          <w:rFonts w:ascii="Calibri" w:hAnsi="Calibri" w:cs="Calibri"/>
        </w:rPr>
        <w:t xml:space="preserve"> </w:t>
      </w:r>
      <w:r w:rsidRPr="00FA4E09">
        <w:rPr>
          <w:rFonts w:ascii="Calibri" w:hAnsi="Calibri" w:cs="Calibri"/>
        </w:rPr>
        <w:t>Prior to conducting the sampling program, the EPA will provide POTWs with a generic sampling and analysis plan including specific requirements and procedures for sample collection, preservation/cooling, shipping, analysis, review, and submittal. The EPA will coordinate with the POTWs selected for sampling to understand the facility-specific sampling points and determine when sampling should occur.</w:t>
      </w:r>
      <w:r w:rsidRPr="00240D30" w:rsidR="00240D30">
        <w:rPr>
          <w:rFonts w:ascii="Calibri" w:hAnsi="Calibri" w:cs="Calibri"/>
          <w:bdr w:val="none" w:sz="0" w:space="0" w:color="auto" w:frame="1"/>
          <w:shd w:val="clear" w:color="auto" w:fill="FFFFFF"/>
        </w:rPr>
        <w:t xml:space="preserve"> </w:t>
      </w:r>
      <w:r w:rsidR="00240D30">
        <w:rPr>
          <w:rFonts w:ascii="Calibri" w:hAnsi="Calibri" w:cs="Calibri"/>
          <w:bdr w:val="none" w:sz="0" w:space="0" w:color="auto" w:frame="1"/>
          <w:shd w:val="clear" w:color="auto" w:fill="FFFFFF"/>
        </w:rPr>
        <w:t>Each facility selected for the sampling program will be allowed 120 calendar days to submit the required monitoring data.</w:t>
      </w:r>
    </w:p>
    <w:p w:rsidR="00DD1092" w:rsidRPr="00E3122D" w:rsidP="00DD1092" w14:paraId="233E8E9A" w14:textId="77777777">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D1092" w:rsidRPr="001F0834" w:rsidP="00DD1092" w14:paraId="31F18103"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CF08E3" w:rsidRPr="00FA4E09" w:rsidP="00CF08E3" w14:paraId="3AC68A1B" w14:textId="6E57E915">
      <w:pPr>
        <w:rPr>
          <w:rFonts w:ascii="Calibri" w:hAnsi="Calibri" w:cs="Calibri"/>
        </w:rPr>
      </w:pPr>
      <w:r w:rsidRPr="00FA4E09">
        <w:rPr>
          <w:rFonts w:ascii="Calibri" w:hAnsi="Calibri" w:cs="Calibri"/>
        </w:rPr>
        <w:t>The EPA’s Clean Watersheds Needs Survey (CWNS) is an assessment of capital investment needed nationwide for publicly-owned wastewater collection and treatment facilities to meet the water quality goals of the Clean Water Act. The EPA used information and data from the 20</w:t>
      </w:r>
      <w:r w:rsidRPr="00FA4E09" w:rsidR="003F1389">
        <w:rPr>
          <w:rFonts w:ascii="Calibri" w:hAnsi="Calibri" w:cs="Calibri"/>
        </w:rPr>
        <w:t>2</w:t>
      </w:r>
      <w:r w:rsidRPr="00FA4E09">
        <w:rPr>
          <w:rFonts w:ascii="Calibri" w:hAnsi="Calibri" w:cs="Calibri"/>
        </w:rPr>
        <w:t xml:space="preserve">2 CWNS, the most recent CWNS data set publicly available, to determine the number of POTWs in the United States and estimate daily flow rates (as reported in the </w:t>
      </w:r>
      <w:r w:rsidRPr="00FA4E09" w:rsidR="008D1A85">
        <w:rPr>
          <w:rFonts w:ascii="Calibri" w:hAnsi="Calibri" w:cs="Calibri"/>
        </w:rPr>
        <w:t>Current Design</w:t>
      </w:r>
      <w:r w:rsidRPr="00FA4E09">
        <w:rPr>
          <w:rFonts w:ascii="Calibri" w:hAnsi="Calibri" w:cs="Calibri"/>
        </w:rPr>
        <w:t xml:space="preserve"> Flow field of 20</w:t>
      </w:r>
      <w:r w:rsidRPr="00FA4E09" w:rsidR="003C7CE0">
        <w:rPr>
          <w:rFonts w:ascii="Calibri" w:hAnsi="Calibri" w:cs="Calibri"/>
        </w:rPr>
        <w:t>2</w:t>
      </w:r>
      <w:r w:rsidRPr="00FA4E09">
        <w:rPr>
          <w:rFonts w:ascii="Calibri" w:hAnsi="Calibri" w:cs="Calibri"/>
        </w:rPr>
        <w:t>2 CWNS) for each POTW. The 20</w:t>
      </w:r>
      <w:r w:rsidRPr="00FA4E09" w:rsidR="003F1389">
        <w:rPr>
          <w:rFonts w:ascii="Calibri" w:hAnsi="Calibri" w:cs="Calibri"/>
        </w:rPr>
        <w:t>2</w:t>
      </w:r>
      <w:r w:rsidRPr="00FA4E09">
        <w:rPr>
          <w:rFonts w:ascii="Calibri" w:hAnsi="Calibri" w:cs="Calibri"/>
        </w:rPr>
        <w:t>2 CWNS includes facility-specific information on POTWs such as facility name, location, design flow rate, service population, NPDES permit number, municipal authority name, and watershed; however, the 20</w:t>
      </w:r>
      <w:r w:rsidRPr="00FA4E09" w:rsidR="003F1389">
        <w:rPr>
          <w:rFonts w:ascii="Calibri" w:hAnsi="Calibri" w:cs="Calibri"/>
        </w:rPr>
        <w:t>2</w:t>
      </w:r>
      <w:r w:rsidRPr="00FA4E09">
        <w:rPr>
          <w:rFonts w:ascii="Calibri" w:hAnsi="Calibri" w:cs="Calibri"/>
        </w:rPr>
        <w:t>2 CWNS does not include information on sources of wastewater to POTWs,</w:t>
      </w:r>
      <w:r w:rsidR="00BF5EA3">
        <w:rPr>
          <w:rFonts w:ascii="Calibri" w:hAnsi="Calibri" w:cs="Calibri"/>
        </w:rPr>
        <w:t xml:space="preserve"> industrial users or potential PFAS sources,</w:t>
      </w:r>
      <w:r w:rsidRPr="00FA4E09">
        <w:rPr>
          <w:rFonts w:ascii="Calibri" w:hAnsi="Calibri" w:cs="Calibri"/>
        </w:rPr>
        <w:t xml:space="preserve"> or PFAS monitoring data for industrial user effluent; domestic </w:t>
      </w:r>
      <w:r w:rsidR="001D542C">
        <w:rPr>
          <w:rFonts w:ascii="Calibri" w:hAnsi="Calibri" w:cs="Calibri"/>
        </w:rPr>
        <w:t>wastewater or sewage</w:t>
      </w:r>
      <w:r w:rsidRPr="00FA4E09">
        <w:rPr>
          <w:rFonts w:ascii="Calibri" w:hAnsi="Calibri" w:cs="Calibri"/>
        </w:rPr>
        <w:t xml:space="preserve">; </w:t>
      </w:r>
      <w:r w:rsidR="00BF7780">
        <w:rPr>
          <w:rFonts w:ascii="Calibri" w:hAnsi="Calibri" w:cs="Calibri"/>
        </w:rPr>
        <w:t>and</w:t>
      </w:r>
      <w:r w:rsidRPr="00FA4E09">
        <w:rPr>
          <w:rFonts w:ascii="Calibri" w:hAnsi="Calibri" w:cs="Calibri"/>
        </w:rPr>
        <w:t xml:space="preserve"> POTW influent, effluent, </w:t>
      </w:r>
      <w:r w:rsidRPr="00FA4E09" w:rsidR="5BAB43FB">
        <w:rPr>
          <w:rFonts w:ascii="Calibri" w:hAnsi="Calibri" w:cs="Calibri"/>
        </w:rPr>
        <w:t xml:space="preserve">and </w:t>
      </w:r>
      <w:r w:rsidRPr="00FA4E09">
        <w:rPr>
          <w:rFonts w:ascii="Calibri" w:hAnsi="Calibri" w:cs="Calibri"/>
        </w:rPr>
        <w:t>sewage sludge.</w:t>
      </w:r>
    </w:p>
    <w:p w:rsidR="00CF08E3" w:rsidRPr="00FA4E09" w:rsidP="00CF08E3" w14:paraId="6DAD0912" w14:textId="3670A0AE">
      <w:pPr>
        <w:rPr>
          <w:rFonts w:ascii="Calibri" w:hAnsi="Calibri" w:cs="Calibri"/>
        </w:rPr>
      </w:pPr>
      <w:r w:rsidRPr="00FA4E09">
        <w:rPr>
          <w:rFonts w:ascii="Calibri" w:hAnsi="Calibri" w:cs="Calibri"/>
        </w:rPr>
        <w:t xml:space="preserve">There is not currently a national, centralized public data source that contains the information and data that will be collected via the questionnaire and sampling program. Most industrial users and POTWs are not required to sample or report PFAS in their wastewater or sewage </w:t>
      </w:r>
      <w:r w:rsidRPr="00FA4E09" w:rsidR="000077A0">
        <w:rPr>
          <w:rFonts w:ascii="Calibri" w:hAnsi="Calibri" w:cs="Calibri"/>
        </w:rPr>
        <w:t>sludge</w:t>
      </w:r>
      <w:r w:rsidRPr="00FA4E09">
        <w:rPr>
          <w:rFonts w:ascii="Calibri" w:hAnsi="Calibri" w:cs="Calibri"/>
        </w:rPr>
        <w:t xml:space="preserve">. As concerns regarding PFAS have increased over recent years, several states and regulatory agencies have begun implementing PFAS monitoring requirements for POTWs and certain industrial categories or have otherwise conducted studies characterizing PFAS in industrial user effluent; domestic </w:t>
      </w:r>
      <w:r w:rsidR="001D542C">
        <w:rPr>
          <w:rFonts w:ascii="Calibri" w:hAnsi="Calibri" w:cs="Calibri"/>
        </w:rPr>
        <w:t>wastewater or sewage</w:t>
      </w:r>
      <w:r w:rsidRPr="00FA4E09">
        <w:rPr>
          <w:rFonts w:ascii="Calibri" w:hAnsi="Calibri" w:cs="Calibri"/>
        </w:rPr>
        <w:t xml:space="preserve">; and POTW influent, effluent, and sewage </w:t>
      </w:r>
      <w:r w:rsidRPr="00FA4E09" w:rsidR="000077A0">
        <w:rPr>
          <w:rFonts w:ascii="Calibri" w:hAnsi="Calibri" w:cs="Calibri"/>
        </w:rPr>
        <w:t>sludge</w:t>
      </w:r>
      <w:r w:rsidRPr="00FA4E09">
        <w:rPr>
          <w:rFonts w:ascii="Calibri" w:hAnsi="Calibri" w:cs="Calibri"/>
        </w:rPr>
        <w:t xml:space="preserve">. The EPA issued a memo in December 2022 containing guidance and direction to states on how to implement PFAS monitoring requirements through NPDES discharge permits. States and regulatory agencies may choose how and when to implement such requirements. The EPA will review monitoring data obtained through state, regional, and independent efforts to augment the data collection. However, existing sources of POTW and industrial user PFAS monitoring data are not sufficient to fulfill the objectives of the POTW Influent PFAS Study </w:t>
      </w:r>
      <w:r w:rsidRPr="00FA4E09" w:rsidR="002E279F">
        <w:rPr>
          <w:rFonts w:ascii="Calibri" w:hAnsi="Calibri" w:cs="Calibri"/>
        </w:rPr>
        <w:t xml:space="preserve">and NSSS </w:t>
      </w:r>
      <w:r w:rsidRPr="00FA4E09">
        <w:rPr>
          <w:rFonts w:ascii="Calibri" w:hAnsi="Calibri" w:cs="Calibri"/>
        </w:rPr>
        <w:t>due to the following reasons:</w:t>
      </w:r>
    </w:p>
    <w:p w:rsidR="00F97D13" w:rsidRPr="00FA4E09" w:rsidP="00F97D13" w14:paraId="224621C3" w14:textId="2E998D89">
      <w:pPr>
        <w:pStyle w:val="ListBulletSingle"/>
        <w:spacing w:after="80"/>
        <w:ind w:left="720" w:hanging="360"/>
        <w:rPr>
          <w:rFonts w:ascii="Calibri" w:hAnsi="Calibri" w:cs="Calibri"/>
        </w:rPr>
      </w:pPr>
      <w:r w:rsidRPr="00FA4E09">
        <w:rPr>
          <w:rFonts w:ascii="Calibri" w:hAnsi="Calibri" w:cs="Calibri"/>
        </w:rPr>
        <w:t xml:space="preserve">Existing data do not </w:t>
      </w:r>
      <w:r w:rsidR="000C002E">
        <w:rPr>
          <w:rFonts w:ascii="Calibri" w:hAnsi="Calibri" w:cs="Calibri"/>
        </w:rPr>
        <w:t xml:space="preserve">capture PFAS discharge data from all </w:t>
      </w:r>
      <w:r w:rsidR="00E36F19">
        <w:rPr>
          <w:rFonts w:ascii="Calibri" w:hAnsi="Calibri" w:cs="Calibri"/>
        </w:rPr>
        <w:t>industrial categories, including some that the EPA has determined historically or currently use PFAS</w:t>
      </w:r>
      <w:r w:rsidRPr="00FA4E09">
        <w:rPr>
          <w:rFonts w:ascii="Calibri" w:hAnsi="Calibri" w:cs="Calibri"/>
        </w:rPr>
        <w:t>.</w:t>
      </w:r>
    </w:p>
    <w:p w:rsidR="00CF08E3" w:rsidRPr="00FA4E09" w:rsidP="00DD65A4" w14:paraId="48420478" w14:textId="29970922">
      <w:pPr>
        <w:pStyle w:val="ListBulletSingle"/>
        <w:spacing w:after="80"/>
        <w:ind w:left="720" w:hanging="360"/>
        <w:rPr>
          <w:rFonts w:ascii="Calibri" w:hAnsi="Calibri" w:cs="Calibri"/>
        </w:rPr>
      </w:pPr>
      <w:r w:rsidRPr="00FA4E09">
        <w:rPr>
          <w:rFonts w:ascii="Calibri" w:hAnsi="Calibri" w:cs="Calibri"/>
        </w:rPr>
        <w:t>Existing data are not reported to a centralized, national data system; rather, existing data are confined only to the geographical reach of the regulatory agency that requires the data to be reported.</w:t>
      </w:r>
    </w:p>
    <w:p w:rsidR="00CF08E3" w:rsidRPr="00FA4E09" w:rsidP="00DD65A4" w14:paraId="6C7F1B8A" w14:textId="77777777">
      <w:pPr>
        <w:pStyle w:val="ListBulletSingle"/>
        <w:spacing w:after="80"/>
        <w:ind w:left="720" w:hanging="360"/>
        <w:rPr>
          <w:rFonts w:ascii="Calibri" w:hAnsi="Calibri" w:cs="Calibri"/>
        </w:rPr>
      </w:pPr>
      <w:r w:rsidRPr="00FA4E09">
        <w:rPr>
          <w:rFonts w:ascii="Calibri" w:hAnsi="Calibri" w:cs="Calibri"/>
        </w:rPr>
        <w:t>Existing data are not publicly available in a format that would allow download or not compiled in a consistent format that would allow cross-source comparison and analysis.</w:t>
      </w:r>
    </w:p>
    <w:p w:rsidR="00CF08E3" w:rsidRPr="00FA4E09" w:rsidP="00DD65A4" w14:paraId="697F0518" w14:textId="77777777">
      <w:pPr>
        <w:pStyle w:val="ListBulletSingle"/>
        <w:spacing w:after="80"/>
        <w:ind w:left="720" w:hanging="360"/>
        <w:rPr>
          <w:rFonts w:ascii="Calibri" w:hAnsi="Calibri" w:cs="Calibri"/>
        </w:rPr>
      </w:pPr>
      <w:r w:rsidRPr="00FA4E09">
        <w:rPr>
          <w:rFonts w:ascii="Calibri" w:hAnsi="Calibri" w:cs="Calibri"/>
        </w:rPr>
        <w:t xml:space="preserve">Existing POTW monitoring data only include aqueous or solids samples and are not paired samples, which does not allow the EPA to determine the partitioning and fate of PFAS in POTW influent. </w:t>
      </w:r>
    </w:p>
    <w:p w:rsidR="00CF08E3" w:rsidRPr="00FA4E09" w:rsidP="00E36F19" w14:paraId="33E1392F" w14:textId="3BC80538">
      <w:pPr>
        <w:pStyle w:val="ListBulletLast"/>
        <w:ind w:left="720" w:hanging="360"/>
        <w:rPr>
          <w:rFonts w:ascii="Calibri" w:hAnsi="Calibri" w:cs="Calibri"/>
        </w:rPr>
      </w:pPr>
      <w:r w:rsidRPr="00FA4E09">
        <w:rPr>
          <w:rFonts w:ascii="Calibri" w:hAnsi="Calibri" w:cs="Calibri"/>
        </w:rPr>
        <w:t xml:space="preserve">Where wastewater and sewage </w:t>
      </w:r>
      <w:r w:rsidRPr="00FA4E09" w:rsidR="000077A0">
        <w:rPr>
          <w:rFonts w:ascii="Calibri" w:hAnsi="Calibri" w:cs="Calibri"/>
        </w:rPr>
        <w:t>sludge</w:t>
      </w:r>
      <w:r w:rsidRPr="00FA4E09">
        <w:rPr>
          <w:rFonts w:ascii="Calibri" w:hAnsi="Calibri" w:cs="Calibri"/>
        </w:rPr>
        <w:t xml:space="preserve"> samples have been collected and analyzed for PFAS and AOF, the analyses have not been performed using an EPA-approved standard method. EPA Method 1633 was finalized in January of 2024 and is the first analytical method validated by the EPA for analysis of PFAS in wastewater and solids matrices. EPA Method 1621 was also finalized in January 2024 and is the first analytical method validated by the EPA for analysis of AOF (a surrogate for PFAS) in aqueous matrices.</w:t>
      </w:r>
    </w:p>
    <w:p w:rsidR="00483B7B" w:rsidP="00CF08E3" w14:paraId="132545DC" w14:textId="26AD1CA6">
      <w:pPr>
        <w:rPr>
          <w:rFonts w:ascii="Calibri" w:hAnsi="Calibri" w:cs="Calibri"/>
        </w:rPr>
      </w:pPr>
      <w:r w:rsidRPr="00FA4E09">
        <w:rPr>
          <w:rFonts w:ascii="Calibri" w:hAnsi="Calibri" w:cs="Calibri"/>
        </w:rPr>
        <w:t>Although the consulted sources have provided valuable industry information, and the EPA has and will continue to use this information to understand current POTW practices, these sources do not provide the Agency with complete and up-to-date industrial PFAS discharge data that are crucial to the POTW Influent PFAS Study.</w:t>
      </w:r>
    </w:p>
    <w:p w:rsidR="004A38F8" w:rsidP="00CF08E3" w14:paraId="161E168D" w14:textId="4DF6B274">
      <w:pPr>
        <w:rPr>
          <w:rFonts w:ascii="Calibri" w:hAnsi="Calibri" w:cs="Calibri"/>
        </w:rPr>
      </w:pPr>
      <w:r w:rsidRPr="00FA4E09">
        <w:rPr>
          <w:rFonts w:ascii="Calibri" w:hAnsi="Calibri" w:cs="Calibri"/>
        </w:rPr>
        <w:t xml:space="preserve">As part of the questionnaire, the EPA will collect information and data </w:t>
      </w:r>
      <w:r>
        <w:rPr>
          <w:rFonts w:ascii="Calibri" w:hAnsi="Calibri" w:cs="Calibri"/>
        </w:rPr>
        <w:t xml:space="preserve">to identify </w:t>
      </w:r>
      <w:r w:rsidRPr="004A38F8">
        <w:rPr>
          <w:rFonts w:ascii="Calibri" w:hAnsi="Calibri" w:cs="Calibri"/>
        </w:rPr>
        <w:t xml:space="preserve">POTWs that have existing PFAS monitoring requirements and </w:t>
      </w:r>
      <w:r w:rsidR="00F61E59">
        <w:rPr>
          <w:rFonts w:ascii="Calibri" w:hAnsi="Calibri" w:cs="Calibri"/>
        </w:rPr>
        <w:t xml:space="preserve">have collected PFAS monitoring </w:t>
      </w:r>
      <w:r w:rsidRPr="004A38F8">
        <w:rPr>
          <w:rFonts w:ascii="Calibri" w:hAnsi="Calibri" w:cs="Calibri"/>
        </w:rPr>
        <w:t xml:space="preserve">data </w:t>
      </w:r>
      <w:r w:rsidRPr="004A38F8" w:rsidR="00CD2853">
        <w:rPr>
          <w:rFonts w:ascii="Calibri" w:hAnsi="Calibri" w:cs="Calibri"/>
        </w:rPr>
        <w:t>like</w:t>
      </w:r>
      <w:r w:rsidRPr="004A38F8">
        <w:rPr>
          <w:rFonts w:ascii="Calibri" w:hAnsi="Calibri" w:cs="Calibri"/>
        </w:rPr>
        <w:t xml:space="preserve"> what will be generated by the sampling program.</w:t>
      </w:r>
      <w:r w:rsidRPr="00F61E59" w:rsidR="00F61E59">
        <w:t xml:space="preserve"> </w:t>
      </w:r>
      <w:r w:rsidRPr="00F61E59" w:rsidR="00F61E59">
        <w:rPr>
          <w:rFonts w:ascii="Calibri" w:hAnsi="Calibri" w:cs="Calibri"/>
        </w:rPr>
        <w:t xml:space="preserve">To avoid duplicative efforts and reduce total burden to industry, the EPA may </w:t>
      </w:r>
      <w:r w:rsidR="00F61E59">
        <w:rPr>
          <w:rFonts w:ascii="Calibri" w:hAnsi="Calibri" w:cs="Calibri"/>
        </w:rPr>
        <w:t>allow</w:t>
      </w:r>
      <w:r w:rsidRPr="00F61E59" w:rsidR="00F61E59">
        <w:rPr>
          <w:rFonts w:ascii="Calibri" w:hAnsi="Calibri" w:cs="Calibri"/>
        </w:rPr>
        <w:t xml:space="preserve"> POTWs with existing PFAS monitoring data meeting the sampling program requirements to submit these data to the EPA instead of conducting additional sampling. </w:t>
      </w:r>
      <w:r w:rsidR="00205571">
        <w:rPr>
          <w:rFonts w:ascii="Calibri" w:hAnsi="Calibri" w:cs="Calibri"/>
        </w:rPr>
        <w:t xml:space="preserve">The EPA will coordinate with POTWs with existing data to determine whether </w:t>
      </w:r>
      <w:r w:rsidR="00C604EC">
        <w:rPr>
          <w:rFonts w:ascii="Calibri" w:hAnsi="Calibri" w:cs="Calibri"/>
        </w:rPr>
        <w:t>these data are</w:t>
      </w:r>
      <w:r w:rsidR="004A7739">
        <w:rPr>
          <w:rFonts w:ascii="Calibri" w:hAnsi="Calibri" w:cs="Calibri"/>
        </w:rPr>
        <w:t xml:space="preserve"> </w:t>
      </w:r>
      <w:r w:rsidRPr="00FA4E09" w:rsidR="004A7739">
        <w:rPr>
          <w:rFonts w:ascii="Calibri" w:hAnsi="Calibri" w:cs="Calibri"/>
        </w:rPr>
        <w:t>of acceptable quality for use in the POTW Influent PFAS Study and NSSS</w:t>
      </w:r>
      <w:r w:rsidR="00C604EC">
        <w:rPr>
          <w:rFonts w:ascii="Calibri" w:hAnsi="Calibri" w:cs="Calibri"/>
        </w:rPr>
        <w:t xml:space="preserve"> and requirements for submitting th</w:t>
      </w:r>
      <w:r w:rsidR="00B6370B">
        <w:rPr>
          <w:rFonts w:ascii="Calibri" w:hAnsi="Calibri" w:cs="Calibri"/>
        </w:rPr>
        <w:t>ese</w:t>
      </w:r>
      <w:r w:rsidR="00C604EC">
        <w:rPr>
          <w:rFonts w:ascii="Calibri" w:hAnsi="Calibri" w:cs="Calibri"/>
        </w:rPr>
        <w:t xml:space="preserve"> data</w:t>
      </w:r>
      <w:r w:rsidR="004A7739">
        <w:rPr>
          <w:rFonts w:ascii="Calibri" w:hAnsi="Calibri" w:cs="Calibri"/>
        </w:rPr>
        <w:t>.</w:t>
      </w:r>
      <w:r w:rsidRPr="00FA4E09" w:rsidR="004A7739">
        <w:rPr>
          <w:rFonts w:ascii="Calibri" w:hAnsi="Calibri" w:cs="Calibri"/>
        </w:rPr>
        <w:t xml:space="preserve"> </w:t>
      </w:r>
      <w:r w:rsidRPr="00F61E59" w:rsidR="00F61E59">
        <w:rPr>
          <w:rFonts w:ascii="Calibri" w:hAnsi="Calibri" w:cs="Calibri"/>
        </w:rPr>
        <w:t>More information on data acceptance criteria can be found in Section 12</w:t>
      </w:r>
      <w:r w:rsidR="009741C8">
        <w:rPr>
          <w:rFonts w:ascii="Calibri" w:hAnsi="Calibri" w:cs="Calibri"/>
        </w:rPr>
        <w:t>(c)</w:t>
      </w:r>
      <w:r w:rsidRPr="00F61E59" w:rsidR="00F61E59">
        <w:rPr>
          <w:rFonts w:ascii="Calibri" w:hAnsi="Calibri" w:cs="Calibri"/>
        </w:rPr>
        <w:t>.</w:t>
      </w:r>
    </w:p>
    <w:p w:rsidR="00ED57A4" w:rsidP="00CF08E3" w14:paraId="0E470EF3" w14:textId="00D24139">
      <w:pPr>
        <w:rPr>
          <w:rFonts w:ascii="Calibri" w:hAnsi="Calibri" w:cs="Calibri"/>
        </w:rPr>
      </w:pPr>
      <w:r w:rsidRPr="00FA4E09">
        <w:rPr>
          <w:rFonts w:ascii="Calibri" w:hAnsi="Calibri" w:cs="Calibri"/>
        </w:rPr>
        <w:t xml:space="preserve">The EPA will also develop a public-facing, web-based data submission </w:t>
      </w:r>
      <w:r w:rsidRPr="00FA4E09" w:rsidR="00001195">
        <w:rPr>
          <w:rFonts w:ascii="Calibri" w:hAnsi="Calibri" w:cs="Calibri"/>
        </w:rPr>
        <w:t>tool (hereafter referred to as “Voluntary Data Submission Portal”)</w:t>
      </w:r>
      <w:r w:rsidRPr="00FA4E09">
        <w:rPr>
          <w:rFonts w:ascii="Calibri" w:hAnsi="Calibri" w:cs="Calibri"/>
        </w:rPr>
        <w:t xml:space="preserve"> which will allow states, municipal authorities</w:t>
      </w:r>
      <w:r w:rsidRPr="00FA4E09" w:rsidR="00D5602E">
        <w:rPr>
          <w:rFonts w:ascii="Calibri" w:hAnsi="Calibri" w:cs="Calibri"/>
        </w:rPr>
        <w:t xml:space="preserve"> or</w:t>
      </w:r>
      <w:r w:rsidR="00656137">
        <w:rPr>
          <w:rFonts w:ascii="Calibri" w:hAnsi="Calibri" w:cs="Calibri"/>
        </w:rPr>
        <w:t xml:space="preserve"> </w:t>
      </w:r>
      <w:r w:rsidRPr="00FA4E09" w:rsidR="00110045">
        <w:rPr>
          <w:rFonts w:ascii="Calibri" w:hAnsi="Calibri" w:cs="Calibri"/>
        </w:rPr>
        <w:t>service agencies</w:t>
      </w:r>
      <w:r w:rsidRPr="00FA4E09">
        <w:rPr>
          <w:rFonts w:ascii="Calibri" w:hAnsi="Calibri" w:cs="Calibri"/>
        </w:rPr>
        <w:t>, POTWs (including those not selected to complete the questionnaire or sampling program)</w:t>
      </w:r>
      <w:r w:rsidRPr="00FA4E09" w:rsidR="00806DEB">
        <w:rPr>
          <w:rFonts w:ascii="Calibri" w:hAnsi="Calibri" w:cs="Calibri"/>
        </w:rPr>
        <w:t>, and other stakeholders</w:t>
      </w:r>
      <w:r w:rsidRPr="00FA4E09">
        <w:rPr>
          <w:rFonts w:ascii="Calibri" w:hAnsi="Calibri" w:cs="Calibri"/>
        </w:rPr>
        <w:t xml:space="preserve"> to voluntarily submit </w:t>
      </w:r>
      <w:r w:rsidRPr="00FA4E09" w:rsidR="00D51E14">
        <w:rPr>
          <w:rFonts w:ascii="Calibri" w:hAnsi="Calibri" w:cs="Calibri"/>
        </w:rPr>
        <w:t xml:space="preserve">relevant </w:t>
      </w:r>
      <w:r w:rsidRPr="00FA4E09">
        <w:rPr>
          <w:rFonts w:ascii="Calibri" w:hAnsi="Calibri" w:cs="Calibri"/>
        </w:rPr>
        <w:t xml:space="preserve">existing data characterizing PFAS </w:t>
      </w:r>
      <w:r w:rsidRPr="00FA4E09" w:rsidR="00110045">
        <w:rPr>
          <w:rFonts w:ascii="Calibri" w:hAnsi="Calibri" w:cs="Calibri"/>
        </w:rPr>
        <w:t>and AOF</w:t>
      </w:r>
      <w:r w:rsidRPr="00FA4E09">
        <w:rPr>
          <w:rFonts w:ascii="Calibri" w:hAnsi="Calibri" w:cs="Calibri"/>
        </w:rPr>
        <w:t xml:space="preserve"> in industrial user effluent; domestic </w:t>
      </w:r>
      <w:r w:rsidR="001D542C">
        <w:rPr>
          <w:rFonts w:ascii="Calibri" w:hAnsi="Calibri" w:cs="Calibri"/>
        </w:rPr>
        <w:t>wastewater or sewage</w:t>
      </w:r>
      <w:r w:rsidRPr="00FA4E09">
        <w:rPr>
          <w:rFonts w:ascii="Calibri" w:hAnsi="Calibri" w:cs="Calibri"/>
        </w:rPr>
        <w:t xml:space="preserve">; and POTW influent, effluent, </w:t>
      </w:r>
      <w:r w:rsidRPr="00FA4E09" w:rsidR="34F74F0D">
        <w:rPr>
          <w:rFonts w:ascii="Calibri" w:hAnsi="Calibri" w:cs="Calibri"/>
        </w:rPr>
        <w:t xml:space="preserve">and </w:t>
      </w:r>
      <w:r w:rsidRPr="00FA4E09">
        <w:rPr>
          <w:rFonts w:ascii="Calibri" w:hAnsi="Calibri" w:cs="Calibri"/>
        </w:rPr>
        <w:t xml:space="preserve">sewage sludge. </w:t>
      </w:r>
      <w:r w:rsidRPr="00FA4E09" w:rsidR="00C80B5C">
        <w:rPr>
          <w:rFonts w:ascii="Calibri" w:hAnsi="Calibri" w:cs="Calibri"/>
        </w:rPr>
        <w:t>Th</w:t>
      </w:r>
      <w:r w:rsidRPr="00FA4E09" w:rsidR="004A04D4">
        <w:rPr>
          <w:rFonts w:ascii="Calibri" w:hAnsi="Calibri" w:cs="Calibri"/>
        </w:rPr>
        <w:t xml:space="preserve">rough this tool, the EPA will </w:t>
      </w:r>
      <w:r w:rsidRPr="00FA4E09" w:rsidR="00BD2300">
        <w:rPr>
          <w:rFonts w:ascii="Calibri" w:hAnsi="Calibri" w:cs="Calibri"/>
        </w:rPr>
        <w:t xml:space="preserve">allow submission of </w:t>
      </w:r>
      <w:r w:rsidRPr="00FA4E09" w:rsidR="00C52E1A">
        <w:rPr>
          <w:rFonts w:ascii="Calibri" w:hAnsi="Calibri" w:cs="Calibri"/>
        </w:rPr>
        <w:t xml:space="preserve">industrial user </w:t>
      </w:r>
      <w:r w:rsidRPr="00FA4E09" w:rsidR="0095752A">
        <w:rPr>
          <w:rFonts w:ascii="Calibri" w:hAnsi="Calibri" w:cs="Calibri"/>
        </w:rPr>
        <w:t>and POTW</w:t>
      </w:r>
      <w:r w:rsidRPr="00FA4E09" w:rsidR="001A17D5">
        <w:rPr>
          <w:rFonts w:ascii="Calibri" w:hAnsi="Calibri" w:cs="Calibri"/>
        </w:rPr>
        <w:t xml:space="preserve"> PFAS or AOF monitoring data collected</w:t>
      </w:r>
      <w:r w:rsidRPr="00FA4E09" w:rsidR="004A04D4">
        <w:rPr>
          <w:rFonts w:ascii="Calibri" w:hAnsi="Calibri" w:cs="Calibri"/>
        </w:rPr>
        <w:t xml:space="preserve"> </w:t>
      </w:r>
      <w:r w:rsidRPr="00FA4E09" w:rsidR="001E1E7D">
        <w:rPr>
          <w:rFonts w:ascii="Calibri" w:hAnsi="Calibri" w:cs="Calibri"/>
        </w:rPr>
        <w:t>from any period of time</w:t>
      </w:r>
      <w:r w:rsidRPr="00FA4E09" w:rsidR="002947DD">
        <w:rPr>
          <w:rFonts w:ascii="Calibri" w:hAnsi="Calibri" w:cs="Calibri"/>
        </w:rPr>
        <w:t xml:space="preserve">, for any purpose, </w:t>
      </w:r>
      <w:r w:rsidRPr="00FA4E09" w:rsidR="00C52E1A">
        <w:rPr>
          <w:rFonts w:ascii="Calibri" w:hAnsi="Calibri" w:cs="Calibri"/>
        </w:rPr>
        <w:t xml:space="preserve">and </w:t>
      </w:r>
      <w:r w:rsidRPr="00FA4E09" w:rsidR="00E17584">
        <w:rPr>
          <w:rFonts w:ascii="Calibri" w:hAnsi="Calibri" w:cs="Calibri"/>
        </w:rPr>
        <w:t>analyzed using any analytical method</w:t>
      </w:r>
      <w:r w:rsidRPr="00FA4E09" w:rsidR="00C52E1A">
        <w:rPr>
          <w:rFonts w:ascii="Calibri" w:hAnsi="Calibri" w:cs="Calibri"/>
        </w:rPr>
        <w:t>. The EPA will require</w:t>
      </w:r>
      <w:r w:rsidRPr="00FA4E09" w:rsidR="00C80B5C">
        <w:rPr>
          <w:rFonts w:ascii="Calibri" w:hAnsi="Calibri" w:cs="Calibri"/>
        </w:rPr>
        <w:t xml:space="preserve"> all relevant PFAS and AOF monitoring data to be submitted in a standardized workbook format</w:t>
      </w:r>
      <w:r w:rsidRPr="00FA4E09" w:rsidR="00D51E14">
        <w:rPr>
          <w:rFonts w:ascii="Calibri" w:hAnsi="Calibri" w:cs="Calibri"/>
        </w:rPr>
        <w:t xml:space="preserve"> and meet </w:t>
      </w:r>
      <w:r w:rsidRPr="00FA4E09" w:rsidR="0095752A">
        <w:rPr>
          <w:rFonts w:ascii="Calibri" w:hAnsi="Calibri" w:cs="Calibri"/>
        </w:rPr>
        <w:t>general acceptance criteria</w:t>
      </w:r>
      <w:r w:rsidRPr="00FA4E09" w:rsidR="00C80B5C">
        <w:rPr>
          <w:rFonts w:ascii="Calibri" w:hAnsi="Calibri" w:cs="Calibri"/>
        </w:rPr>
        <w:t xml:space="preserve">. The template workbook may be downloaded from EPA’s POTW Influent PFAS Study </w:t>
      </w:r>
      <w:r w:rsidRPr="00FA4E09" w:rsidR="002E279F">
        <w:rPr>
          <w:rFonts w:ascii="Calibri" w:hAnsi="Calibri" w:cs="Calibri"/>
        </w:rPr>
        <w:t xml:space="preserve">and NSSS </w:t>
      </w:r>
      <w:r w:rsidRPr="00FA4E09" w:rsidR="00C80B5C">
        <w:rPr>
          <w:rFonts w:ascii="Calibri" w:hAnsi="Calibri" w:cs="Calibri"/>
        </w:rPr>
        <w:t xml:space="preserve">webpage. </w:t>
      </w:r>
      <w:r w:rsidRPr="00FA4E09" w:rsidR="00BC4F15">
        <w:rPr>
          <w:rFonts w:ascii="Calibri" w:hAnsi="Calibri" w:cs="Calibri"/>
        </w:rPr>
        <w:t xml:space="preserve">The EPA will consider relevant data collected through this </w:t>
      </w:r>
      <w:r w:rsidRPr="00FA4E09" w:rsidR="00001195">
        <w:rPr>
          <w:rFonts w:ascii="Calibri" w:hAnsi="Calibri" w:cs="Calibri"/>
        </w:rPr>
        <w:t>Voluntary Data Submission Portal</w:t>
      </w:r>
      <w:r w:rsidRPr="00FA4E09" w:rsidR="00BC4F15">
        <w:rPr>
          <w:rFonts w:ascii="Calibri" w:hAnsi="Calibri" w:cs="Calibri"/>
        </w:rPr>
        <w:t xml:space="preserve"> to augment data the EPA collects through the mandatory sampling program as part of the POTW Influent PFAS Study and NSSS. </w:t>
      </w:r>
      <w:r w:rsidRPr="00FA4E09">
        <w:rPr>
          <w:rFonts w:ascii="Calibri" w:hAnsi="Calibri" w:cs="Calibri"/>
        </w:rPr>
        <w:t xml:space="preserve">The EPA anticipates that this </w:t>
      </w:r>
      <w:r w:rsidRPr="00FA4E09" w:rsidR="00001195">
        <w:rPr>
          <w:rFonts w:ascii="Calibri" w:hAnsi="Calibri" w:cs="Calibri"/>
        </w:rPr>
        <w:t xml:space="preserve">Voluntary Data Submission Portal </w:t>
      </w:r>
      <w:r w:rsidRPr="00FA4E09">
        <w:rPr>
          <w:rFonts w:ascii="Calibri" w:hAnsi="Calibri" w:cs="Calibri"/>
        </w:rPr>
        <w:t>will increase the volume of PFAS monitoring data collected and decrease duplicative efforts of requiring POTWs currently monitoring PFAS to collect additional samples.</w:t>
      </w:r>
    </w:p>
    <w:p w:rsidR="00DD1092" w:rsidRPr="00E3122D" w:rsidP="00DD1092" w14:paraId="5D028FEF" w14:textId="77777777">
      <w:pPr>
        <w:pStyle w:val="ListParagraph"/>
        <w:numPr>
          <w:ilvl w:val="0"/>
          <w:numId w:val="25"/>
        </w:numPr>
        <w:pBdr>
          <w:bottom w:val="single" w:sz="4" w:space="1" w:color="auto"/>
        </w:pBdr>
        <w:spacing w:before="240" w:after="0"/>
        <w:rPr>
          <w:b/>
          <w:bCs/>
        </w:rPr>
      </w:pPr>
      <w:bookmarkStart w:id="5" w:name="_Toc156593372"/>
      <w:r w:rsidRPr="4BDBF0A0">
        <w:rPr>
          <w:b/>
          <w:bCs/>
        </w:rPr>
        <w:t>MINIMIZING BURDEN ON SMALL BUSINESSES AND SMALL ENTITIES</w:t>
      </w:r>
      <w:bookmarkEnd w:id="5"/>
    </w:p>
    <w:p w:rsidR="00DD1092" w:rsidRPr="001F0834" w:rsidP="00DD1092" w14:paraId="4658BC9C"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A16BC9" w:rsidRPr="00FA4E09" w:rsidP="00DD1092" w14:paraId="02F41748" w14:textId="7FDA1E57">
      <w:pPr>
        <w:rPr>
          <w:rFonts w:ascii="Calibri" w:hAnsi="Calibri" w:cs="Calibri"/>
        </w:rPr>
      </w:pPr>
      <w:r w:rsidRPr="00FA4E09">
        <w:rPr>
          <w:rFonts w:ascii="Calibri" w:hAnsi="Calibri" w:cs="Calibri"/>
        </w:rPr>
        <w:t>In accordance with the requirements of the Regulatory Flexibility Act (RFA), the EPA must assess whether actions would have “a significant impact on a substantial number of small entities” (SISNOSE). Small entities include small businesses, small organizations, and small governmental jurisdictions.</w:t>
      </w:r>
    </w:p>
    <w:p w:rsidR="00A16BC9" w:rsidRPr="00FA4E09" w:rsidP="00A16BC9" w14:paraId="692DDF86" w14:textId="59093E19">
      <w:pPr>
        <w:rPr>
          <w:rFonts w:ascii="Calibri" w:hAnsi="Calibri" w:cs="Calibri"/>
        </w:rPr>
      </w:pPr>
      <w:r w:rsidRPr="00FA4E09">
        <w:rPr>
          <w:rFonts w:ascii="Calibri" w:hAnsi="Calibri" w:cs="Calibri"/>
        </w:rPr>
        <w:t>Whether a respondent is defined as a small business depends on the size of the domestic parent and is based on the appropriate Small Business Administration (SBA) entity size criterion (codified at 13 CFR Part 121). The criteria for entity size determination vary by the organization/operation category of the parent entity and for public entities, “facilities owned by municipalities and other political units with population less than 50,000 were considered to be small.” Thus, the size criterion for public entities is based on the number of residents belonging to the applicable ownership entity. As this information is not readily available for POTWs, the EPA utilized a closely related metric—POTW service population number—as the size criterion for determining small business status. The EPA estimated that POTWs with a service population (as reported in the Total Population Receiving Treatment field of 20</w:t>
      </w:r>
      <w:r w:rsidRPr="00FA4E09" w:rsidR="00D94255">
        <w:rPr>
          <w:rFonts w:ascii="Calibri" w:hAnsi="Calibri" w:cs="Calibri"/>
        </w:rPr>
        <w:t>2</w:t>
      </w:r>
      <w:r w:rsidRPr="00FA4E09">
        <w:rPr>
          <w:rFonts w:ascii="Calibri" w:hAnsi="Calibri" w:cs="Calibri"/>
        </w:rPr>
        <w:t>2 CWNS) of fewer than 50,000 persons may be a small business. To avoid undue burden on small businesses, the EPA will not require POTWs with service populations less than 50,000 persons to complete the questionnaire or conduct sampling.</w:t>
      </w:r>
    </w:p>
    <w:p w:rsidR="00A16BC9" w:rsidRPr="00FA4E09" w:rsidP="00A16BC9" w14:paraId="1FE504A1" w14:textId="77777777">
      <w:pPr>
        <w:rPr>
          <w:rFonts w:ascii="Calibri" w:hAnsi="Calibri" w:cs="Calibri"/>
        </w:rPr>
      </w:pPr>
      <w:r w:rsidRPr="00FA4E09">
        <w:rPr>
          <w:rFonts w:ascii="Calibri" w:hAnsi="Calibri" w:cs="Calibri"/>
        </w:rPr>
        <w:t>The EPA also utilized other metrics for assessing POTW size and potential to be small organizations such as the National Pollutant Discharge Elimination System (NPDES) permit framework which defines “minor” POTWs as those with a design flow rate of 1 million gallons per day (MGD) or less. The EPA will only select POTWs with daily flow rates greater than 10 MGD to complete the questionnaire and conduct sampling; therefore, the population of POTWs impacted by this data collection will all be classified as “major” POTWs under the NPDES permit program.</w:t>
      </w:r>
    </w:p>
    <w:p w:rsidR="00ED57A4" w:rsidRPr="00FA4E09" w:rsidP="00A16BC9" w14:paraId="518B46AB" w14:textId="4FE1C9CA">
      <w:pPr>
        <w:rPr>
          <w:rFonts w:ascii="Calibri" w:hAnsi="Calibri" w:cs="Calibri"/>
        </w:rPr>
      </w:pPr>
      <w:r w:rsidRPr="00FA4E09">
        <w:rPr>
          <w:rFonts w:ascii="Calibri" w:hAnsi="Calibri" w:cs="Calibri"/>
        </w:rPr>
        <w:t>Based on available information, the EPA believes that 100 percent of POTWs that are requested to complete the questionnaire or conduct sampling would not meet the SBA entity size criterion to be small businesses or small entities. Nonetheless, the EPA has taken steps to ensure that the respondent burden is minimized for all entities, while collecting sufficient and accurate information. To minimize the burden of responding to the questionnaire, the EPA provides a standardized set of pre-populated responses (e.g., a drop</w:t>
      </w:r>
      <w:r w:rsidR="00F36209">
        <w:rPr>
          <w:rFonts w:ascii="Calibri" w:hAnsi="Calibri" w:cs="Calibri"/>
        </w:rPr>
        <w:t>-</w:t>
      </w:r>
      <w:r w:rsidRPr="00FA4E09">
        <w:rPr>
          <w:rFonts w:ascii="Calibri" w:hAnsi="Calibri" w:cs="Calibri"/>
        </w:rPr>
        <w:t>down menu or multiple-choice options) and requests similar types of information together to facilitate review of pertinent records and completion of the questionnaire. Additionally, the questions are phrased with commonly used terminology and the EPA will provide technical assistance to respondents via a helpline.</w:t>
      </w:r>
    </w:p>
    <w:p w:rsidR="00DD1092" w:rsidRPr="00E3122D" w:rsidP="00DD1092" w14:paraId="3F1BD0E4" w14:textId="77777777">
      <w:pPr>
        <w:pStyle w:val="ListParagraph"/>
        <w:numPr>
          <w:ilvl w:val="0"/>
          <w:numId w:val="25"/>
        </w:numPr>
        <w:pBdr>
          <w:bottom w:val="single" w:sz="4" w:space="1" w:color="auto"/>
        </w:pBdr>
        <w:spacing w:before="240" w:after="0"/>
        <w:rPr>
          <w:b/>
          <w:bCs/>
        </w:rPr>
      </w:pPr>
      <w:bookmarkStart w:id="6" w:name="_Toc156593373"/>
      <w:r w:rsidRPr="4BDBF0A0">
        <w:rPr>
          <w:b/>
          <w:bCs/>
        </w:rPr>
        <w:t>CONSEQUENCES OF LESS FREQUENT COLLECTION</w:t>
      </w:r>
      <w:bookmarkEnd w:id="6"/>
    </w:p>
    <w:p w:rsidR="00DD1092" w:rsidRPr="001F0834" w:rsidP="00DD1092" w14:paraId="29297FEA" w14:textId="77777777">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A16BC9" w:rsidRPr="00FA4E09" w:rsidP="00A16BC9" w14:paraId="3CD3B8A7" w14:textId="77B877B4">
      <w:pPr>
        <w:pBdr>
          <w:top w:val="single" w:sz="6" w:space="0" w:color="FFFFFF"/>
          <w:left w:val="single" w:sz="6" w:space="0" w:color="FFFFFF"/>
          <w:bottom w:val="single" w:sz="6" w:space="0" w:color="FFFFFF"/>
          <w:right w:val="single" w:sz="6" w:space="0" w:color="FFFFFF"/>
        </w:pBdr>
        <w:rPr>
          <w:rFonts w:ascii="Calibri" w:hAnsi="Calibri" w:cs="Calibri"/>
        </w:rPr>
      </w:pPr>
      <w:r w:rsidRPr="00FA4E09">
        <w:rPr>
          <w:rFonts w:ascii="Calibri" w:hAnsi="Calibri" w:cs="Calibri"/>
        </w:rPr>
        <w:t xml:space="preserve">The questionnaire and sampling program are to be administered as a one-time data collection only. If the data collection is not conducted, the EPA will not have sufficient data to identify industrial categories that may require revisions to existing ELGs or new ELGs to address industrial PFAS discharges. The currently available monitoring data for industrial categories that primarily discharge to POTWs do not include wastewater quantity and quality characteristics information, particularly for PFAS. Information on POTW pollution control practices and technologies is available in some permits and/or permit applications, but this information requires manual review of permit and permit application documents which may not be publicly available or accessible, and information would not be available for all POTWs. As described in Section </w:t>
      </w:r>
      <w:r w:rsidR="006254C8">
        <w:rPr>
          <w:rFonts w:ascii="Calibri" w:hAnsi="Calibri" w:cs="Calibri"/>
        </w:rPr>
        <w:fldChar w:fldCharType="begin"/>
      </w:r>
      <w:r w:rsidR="006254C8">
        <w:rPr>
          <w:rFonts w:ascii="Calibri" w:hAnsi="Calibri" w:cs="Calibri"/>
        </w:rPr>
        <w:instrText xml:space="preserve"> REF _Ref172819350 \r \h </w:instrText>
      </w:r>
      <w:r w:rsidR="006254C8">
        <w:rPr>
          <w:rFonts w:ascii="Calibri" w:hAnsi="Calibri" w:cs="Calibri"/>
        </w:rPr>
        <w:fldChar w:fldCharType="separate"/>
      </w:r>
      <w:r w:rsidR="006254C8">
        <w:rPr>
          <w:rFonts w:ascii="Calibri" w:hAnsi="Calibri" w:cs="Calibri"/>
        </w:rPr>
        <w:t>4</w:t>
      </w:r>
      <w:r w:rsidR="006254C8">
        <w:rPr>
          <w:rFonts w:ascii="Calibri" w:hAnsi="Calibri" w:cs="Calibri"/>
        </w:rPr>
        <w:fldChar w:fldCharType="end"/>
      </w:r>
      <w:r w:rsidRPr="00FA4E09">
        <w:rPr>
          <w:rFonts w:ascii="Calibri" w:hAnsi="Calibri" w:cs="Calibri"/>
        </w:rPr>
        <w:t xml:space="preserve">, some states and municipalities are implementing PFAS monitoring and reporting requirements for POTWs and certain industrial categories; however, in most instances these data are not publicly accessible, are incomplete or inconsistent, are difficult to combine, do not </w:t>
      </w:r>
      <w:r w:rsidRPr="00FA4E09">
        <w:rPr>
          <w:rFonts w:ascii="Calibri" w:hAnsi="Calibri" w:cs="Calibri"/>
        </w:rPr>
        <w:t>include PFAS monitoring for all industrial categories known to use PFAS, and/or were not evaluated with standard analytical methods approved for use on wastewater matrices.</w:t>
      </w:r>
    </w:p>
    <w:p w:rsidR="00A16BC9" w:rsidRPr="00FA4E09" w:rsidP="00A16BC9" w14:paraId="215FA8A0" w14:textId="774BCE66">
      <w:pPr>
        <w:pBdr>
          <w:top w:val="single" w:sz="6" w:space="0" w:color="FFFFFF"/>
          <w:left w:val="single" w:sz="6" w:space="0" w:color="FFFFFF"/>
          <w:bottom w:val="single" w:sz="6" w:space="0" w:color="FFFFFF"/>
          <w:right w:val="single" w:sz="6" w:space="0" w:color="FFFFFF"/>
        </w:pBdr>
        <w:rPr>
          <w:rFonts w:ascii="Calibri" w:hAnsi="Calibri" w:cs="Calibri"/>
        </w:rPr>
      </w:pPr>
      <w:r w:rsidRPr="00FA4E09">
        <w:rPr>
          <w:rFonts w:ascii="Calibri" w:hAnsi="Calibri" w:cs="Calibri"/>
        </w:rPr>
        <w:t xml:space="preserve">Without the information sought in this one-time data collection, the EPA will be required to rely on the publicly available data which is not sufficient to assess the characterization of POTW influent, effluent, </w:t>
      </w:r>
      <w:r w:rsidRPr="00FA4E09" w:rsidR="0950DC66">
        <w:rPr>
          <w:rFonts w:ascii="Calibri" w:hAnsi="Calibri" w:cs="Calibri"/>
        </w:rPr>
        <w:t xml:space="preserve">and </w:t>
      </w:r>
      <w:r w:rsidRPr="00FA4E09">
        <w:rPr>
          <w:rFonts w:ascii="Calibri" w:hAnsi="Calibri" w:cs="Calibri"/>
        </w:rPr>
        <w:t>sewage sludge or discharges from industrial categories that predominantly discharge to POTWs. In short, the EPA will not be able to fulfill its statutory requirements to review and revise existing ELGs to address industrial discharges of PFAS or meet the PFAS Strategic Roadmap commitments to prevent PFAS releases at the source.</w:t>
      </w:r>
    </w:p>
    <w:p w:rsidR="00ED57A4" w:rsidRPr="00FA4E09" w:rsidP="00A16BC9" w14:paraId="5934FB28" w14:textId="1D1CD15F">
      <w:pPr>
        <w:pBdr>
          <w:top w:val="single" w:sz="6" w:space="0" w:color="FFFFFF"/>
          <w:left w:val="single" w:sz="6" w:space="0" w:color="FFFFFF"/>
          <w:bottom w:val="single" w:sz="6" w:space="0" w:color="FFFFFF"/>
          <w:right w:val="single" w:sz="6" w:space="0" w:color="FFFFFF"/>
        </w:pBdr>
        <w:rPr>
          <w:rFonts w:ascii="Calibri" w:hAnsi="Calibri" w:cs="Calibri"/>
          <w:color w:val="000000"/>
        </w:rPr>
      </w:pPr>
      <w:r w:rsidRPr="00FA4E09">
        <w:rPr>
          <w:rFonts w:ascii="Calibri" w:hAnsi="Calibri" w:cs="Calibri"/>
        </w:rPr>
        <w:t>The EPA has conducted three NSSS</w:t>
      </w:r>
      <w:r w:rsidRPr="00FA4E09" w:rsidR="00FA43B6">
        <w:rPr>
          <w:rFonts w:ascii="Calibri" w:hAnsi="Calibri" w:cs="Calibri"/>
        </w:rPr>
        <w:t>s</w:t>
      </w:r>
      <w:r w:rsidRPr="00FA4E09">
        <w:rPr>
          <w:rFonts w:ascii="Calibri" w:hAnsi="Calibri" w:cs="Calibri"/>
        </w:rPr>
        <w:t xml:space="preserve">, performed in 1988-1989, 2001, and 2006-2007, to collect national concentration data on contaminants found in sewage </w:t>
      </w:r>
      <w:r w:rsidRPr="00FA4E09" w:rsidR="000077A0">
        <w:rPr>
          <w:rFonts w:ascii="Calibri" w:hAnsi="Calibri" w:cs="Calibri"/>
        </w:rPr>
        <w:t>sludge</w:t>
      </w:r>
      <w:r w:rsidRPr="00FA4E09">
        <w:rPr>
          <w:rFonts w:ascii="Calibri" w:hAnsi="Calibri" w:cs="Calibri"/>
        </w:rPr>
        <w:t xml:space="preserve">. With this upcoming fourth NSSS, the objective is to provide a national data set on PFAS concentrations found in sewage sludge. Conducting this </w:t>
      </w:r>
      <w:r w:rsidRPr="00FA4E09" w:rsidR="00D512FB">
        <w:rPr>
          <w:rFonts w:ascii="Calibri" w:hAnsi="Calibri" w:cs="Calibri"/>
        </w:rPr>
        <w:t xml:space="preserve">data collection </w:t>
      </w:r>
      <w:r w:rsidRPr="00FA4E09">
        <w:rPr>
          <w:rFonts w:ascii="Calibri" w:hAnsi="Calibri" w:cs="Calibri"/>
        </w:rPr>
        <w:t xml:space="preserve">is critical to obtain national PFAS occurrence data to help inform upcoming risk assessments and risk management options for PFAS in </w:t>
      </w:r>
      <w:r w:rsidRPr="00FA4E09" w:rsidR="64E82FF7">
        <w:rPr>
          <w:rFonts w:ascii="Calibri" w:hAnsi="Calibri" w:cs="Calibri"/>
        </w:rPr>
        <w:t>sewage sludge</w:t>
      </w:r>
      <w:r w:rsidRPr="00FA4E09">
        <w:rPr>
          <w:rFonts w:ascii="Calibri" w:hAnsi="Calibri" w:cs="Calibri"/>
        </w:rPr>
        <w:t xml:space="preserve">. This data is necessary for the scientific and economic analysis to inform the need for potential future rulemaking. This </w:t>
      </w:r>
      <w:r w:rsidRPr="00FA4E09" w:rsidR="00D512FB">
        <w:rPr>
          <w:rFonts w:ascii="Calibri" w:hAnsi="Calibri" w:cs="Calibri"/>
        </w:rPr>
        <w:t>data collection</w:t>
      </w:r>
      <w:r w:rsidRPr="00FA4E09">
        <w:rPr>
          <w:rFonts w:ascii="Calibri" w:hAnsi="Calibri" w:cs="Calibri"/>
        </w:rPr>
        <w:t xml:space="preserve"> will provide the first comprehensive national data set on PFAS industrial and domestic </w:t>
      </w:r>
      <w:r w:rsidR="001D542C">
        <w:rPr>
          <w:rFonts w:ascii="Calibri" w:hAnsi="Calibri" w:cs="Calibri"/>
        </w:rPr>
        <w:t>wastewater or sewage</w:t>
      </w:r>
      <w:r w:rsidRPr="00FA4E09" w:rsidR="002C65F9">
        <w:rPr>
          <w:rFonts w:ascii="Calibri" w:hAnsi="Calibri" w:cs="Calibri"/>
        </w:rPr>
        <w:t xml:space="preserve"> </w:t>
      </w:r>
      <w:r w:rsidRPr="00FA4E09">
        <w:rPr>
          <w:rFonts w:ascii="Calibri" w:hAnsi="Calibri" w:cs="Calibri"/>
        </w:rPr>
        <w:t xml:space="preserve">sources, pretreatment options to reduce PFAS sources, and PFAS transformation and fate throughout the wastewater and </w:t>
      </w:r>
      <w:r w:rsidRPr="00FA4E09" w:rsidR="0032C427">
        <w:rPr>
          <w:rFonts w:ascii="Calibri" w:hAnsi="Calibri" w:cs="Calibri"/>
        </w:rPr>
        <w:t>sewage sludge</w:t>
      </w:r>
      <w:r w:rsidRPr="00FA4E09">
        <w:rPr>
          <w:rFonts w:ascii="Calibri" w:hAnsi="Calibri" w:cs="Calibri"/>
        </w:rPr>
        <w:t xml:space="preserve"> treatment process.</w:t>
      </w:r>
    </w:p>
    <w:p w:rsidR="00DD1092" w:rsidRPr="00E3122D" w:rsidP="00DD1092" w14:paraId="2F05DACE" w14:textId="77777777">
      <w:pPr>
        <w:pStyle w:val="ListParagraph"/>
        <w:numPr>
          <w:ilvl w:val="0"/>
          <w:numId w:val="25"/>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DD1092" w:rsidRPr="00A233E0" w:rsidP="00DD1092" w14:paraId="0EA7E1B0" w14:textId="77777777">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FA4E09" w:rsidP="00854AAE" w14:paraId="775EDF16" w14:textId="53F2328C">
      <w:pPr>
        <w:pBdr>
          <w:top w:val="single" w:sz="6" w:space="0" w:color="FFFFFF"/>
          <w:left w:val="single" w:sz="6" w:space="0" w:color="FFFFFF"/>
          <w:bottom w:val="single" w:sz="6" w:space="0" w:color="FFFFFF"/>
          <w:right w:val="single" w:sz="6" w:space="0" w:color="FFFFFF"/>
        </w:pBdr>
        <w:rPr>
          <w:rFonts w:ascii="Calibri" w:hAnsi="Calibri" w:cs="Calibri"/>
          <w:color w:val="000000"/>
        </w:rPr>
      </w:pPr>
      <w:r w:rsidRPr="00FA4E09">
        <w:rPr>
          <w:rFonts w:ascii="Calibri" w:hAnsi="Calibri" w:cs="Calibri"/>
          <w:color w:val="000000"/>
        </w:rPr>
        <w:t>There are no special circumstances. The collection of information is conducted in a manner consistent with the guidelines in 5 CFR §1320.5(d)(2).</w:t>
      </w:r>
    </w:p>
    <w:p w:rsidR="00DD1092" w:rsidRPr="00E3122D" w:rsidP="00DD1092" w14:paraId="2C45B9B8" w14:textId="77777777">
      <w:pPr>
        <w:pStyle w:val="ListParagraph"/>
        <w:numPr>
          <w:ilvl w:val="0"/>
          <w:numId w:val="25"/>
        </w:numPr>
        <w:pBdr>
          <w:bottom w:val="single" w:sz="4" w:space="1" w:color="auto"/>
        </w:pBdr>
        <w:spacing w:before="240" w:after="0"/>
        <w:rPr>
          <w:rFonts w:cstheme="minorHAnsi"/>
          <w:b/>
          <w:bCs/>
        </w:rPr>
      </w:pPr>
      <w:bookmarkStart w:id="8" w:name="_Toc156593377"/>
      <w:bookmarkStart w:id="9" w:name="_Toc156593375"/>
      <w:r w:rsidRPr="00E3122D">
        <w:rPr>
          <w:rFonts w:cstheme="minorHAnsi"/>
          <w:b/>
          <w:bCs/>
        </w:rPr>
        <w:t>PUBLIC COMMENT AND CONSULTATIONS</w:t>
      </w:r>
      <w:bookmarkStart w:id="10" w:name="_Toc156593376"/>
      <w:bookmarkEnd w:id="9"/>
    </w:p>
    <w:p w:rsidR="00DD1092" w:rsidRPr="00E3122D" w:rsidP="00DD1092" w14:paraId="09F2A1D6" w14:textId="77777777">
      <w:pPr>
        <w:spacing w:before="120" w:after="0"/>
        <w:rPr>
          <w:rFonts w:cstheme="minorHAnsi"/>
          <w:b/>
          <w:bCs/>
        </w:rPr>
      </w:pPr>
      <w:r w:rsidRPr="00E3122D">
        <w:rPr>
          <w:rFonts w:cstheme="minorHAnsi"/>
          <w:b/>
          <w:bCs/>
        </w:rPr>
        <w:t>8a. Public Comment</w:t>
      </w:r>
      <w:bookmarkEnd w:id="10"/>
    </w:p>
    <w:p w:rsidR="00DD1092" w:rsidRPr="00A233E0" w:rsidP="00DD1092" w14:paraId="3C3747FD"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B6DD8" w:rsidRPr="00FA4E09" w:rsidP="00DD65A4" w14:paraId="382DB695" w14:textId="210DE68E">
      <w:pPr>
        <w:pBdr>
          <w:top w:val="single" w:sz="6" w:space="0" w:color="FFFFFF"/>
          <w:left w:val="single" w:sz="6" w:space="0" w:color="FFFFFF"/>
          <w:bottom w:val="single" w:sz="6" w:space="0" w:color="FFFFFF"/>
          <w:right w:val="single" w:sz="6" w:space="0" w:color="FFFFFF"/>
        </w:pBdr>
        <w:rPr>
          <w:rFonts w:ascii="Calibri" w:hAnsi="Calibri" w:cs="Calibri"/>
          <w:color w:val="000000"/>
        </w:rPr>
      </w:pPr>
      <w:r w:rsidRPr="00FA4E09">
        <w:rPr>
          <w:rFonts w:ascii="Calibri" w:hAnsi="Calibri" w:cs="Calibri"/>
          <w:color w:val="000000" w:themeColor="text1"/>
        </w:rPr>
        <w:t>The EPA publish</w:t>
      </w:r>
      <w:r w:rsidRPr="00FA4E09" w:rsidR="000334F2">
        <w:rPr>
          <w:rFonts w:ascii="Calibri" w:hAnsi="Calibri" w:cs="Calibri"/>
          <w:color w:val="000000" w:themeColor="text1"/>
        </w:rPr>
        <w:t>ed</w:t>
      </w:r>
      <w:r w:rsidRPr="00FA4E09">
        <w:rPr>
          <w:rFonts w:ascii="Calibri" w:hAnsi="Calibri" w:cs="Calibri"/>
          <w:color w:val="000000" w:themeColor="text1"/>
        </w:rPr>
        <w:t xml:space="preserve"> a notice in the </w:t>
      </w:r>
      <w:r w:rsidRPr="00FA4E09">
        <w:rPr>
          <w:rFonts w:ascii="Calibri" w:hAnsi="Calibri" w:cs="Calibri"/>
          <w:i/>
          <w:color w:val="000000" w:themeColor="text1"/>
        </w:rPr>
        <w:t>Federal Register</w:t>
      </w:r>
      <w:r w:rsidRPr="00FA4E09">
        <w:rPr>
          <w:rFonts w:ascii="Calibri" w:hAnsi="Calibri" w:cs="Calibri"/>
          <w:color w:val="000000" w:themeColor="text1"/>
        </w:rPr>
        <w:t xml:space="preserve"> </w:t>
      </w:r>
      <w:r w:rsidRPr="00FA4E09" w:rsidR="000334F2">
        <w:rPr>
          <w:rFonts w:ascii="Calibri" w:hAnsi="Calibri" w:cs="Calibri"/>
          <w:color w:val="000000" w:themeColor="text1"/>
        </w:rPr>
        <w:t xml:space="preserve">on </w:t>
      </w:r>
      <w:r w:rsidRPr="00FA4E09" w:rsidR="00C23C11">
        <w:rPr>
          <w:rFonts w:ascii="Calibri" w:hAnsi="Calibri" w:cs="Calibri"/>
          <w:color w:val="000000" w:themeColor="text1"/>
        </w:rPr>
        <w:t>March 26, 2024</w:t>
      </w:r>
      <w:r w:rsidRPr="00FA4E09" w:rsidR="014C2E9B">
        <w:rPr>
          <w:rFonts w:ascii="Calibri" w:hAnsi="Calibri" w:cs="Calibri"/>
          <w:color w:val="000000" w:themeColor="text1"/>
        </w:rPr>
        <w:t>,</w:t>
      </w:r>
      <w:r w:rsidRPr="00FA4E09" w:rsidR="00C23C11">
        <w:rPr>
          <w:rFonts w:ascii="Calibri" w:hAnsi="Calibri" w:cs="Calibri"/>
          <w:color w:val="000000" w:themeColor="text1"/>
        </w:rPr>
        <w:t xml:space="preserve"> </w:t>
      </w:r>
      <w:r w:rsidRPr="00FA4E09">
        <w:rPr>
          <w:rFonts w:ascii="Calibri" w:hAnsi="Calibri" w:cs="Calibri"/>
          <w:color w:val="000000" w:themeColor="text1"/>
        </w:rPr>
        <w:t xml:space="preserve">announcing the EPA’s intent to submit a request for a new ICR and to collect comments on the draft questionnaire and POTW Influent PFAS Study </w:t>
      </w:r>
      <w:r w:rsidRPr="00FA4E09" w:rsidR="000A1DE8">
        <w:rPr>
          <w:rFonts w:ascii="Calibri" w:hAnsi="Calibri" w:cs="Calibri"/>
          <w:color w:val="000000" w:themeColor="text1"/>
        </w:rPr>
        <w:t xml:space="preserve">and NSSS </w:t>
      </w:r>
      <w:r w:rsidRPr="00FA4E09">
        <w:rPr>
          <w:rFonts w:ascii="Calibri" w:hAnsi="Calibri" w:cs="Calibri"/>
          <w:color w:val="000000" w:themeColor="text1"/>
        </w:rPr>
        <w:t>data collection effort. The notice include</w:t>
      </w:r>
      <w:r w:rsidRPr="00FA4E09" w:rsidR="002B3F50">
        <w:rPr>
          <w:rFonts w:ascii="Calibri" w:hAnsi="Calibri" w:cs="Calibri"/>
          <w:color w:val="000000" w:themeColor="text1"/>
        </w:rPr>
        <w:t>d</w:t>
      </w:r>
      <w:r w:rsidRPr="00FA4E09">
        <w:rPr>
          <w:rFonts w:ascii="Calibri" w:hAnsi="Calibri" w:cs="Calibri"/>
          <w:color w:val="000000" w:themeColor="text1"/>
        </w:rPr>
        <w:t xml:space="preserve"> a description of the entities to be affected by the proposed data collection, a brief explanation of the need for the data collection, identification of the authority under which the data collection will be issued, an estimate of burden to be incurred by POTWs selected to complete the questionnaire and sampling program, and an estimate of burden to be incurred by the EPA to administer the data collection. </w:t>
      </w:r>
      <w:r w:rsidRPr="00FA4E09" w:rsidR="008628C6">
        <w:rPr>
          <w:rFonts w:ascii="Calibri" w:hAnsi="Calibri" w:cs="Calibri"/>
          <w:color w:val="000000" w:themeColor="text1"/>
        </w:rPr>
        <w:t>T</w:t>
      </w:r>
      <w:r w:rsidRPr="00FA4E09">
        <w:rPr>
          <w:rFonts w:ascii="Calibri" w:hAnsi="Calibri" w:cs="Calibri"/>
          <w:color w:val="000000" w:themeColor="text1"/>
        </w:rPr>
        <w:t>he Agency request</w:t>
      </w:r>
      <w:r w:rsidRPr="00FA4E09" w:rsidR="008628C6">
        <w:rPr>
          <w:rFonts w:ascii="Calibri" w:hAnsi="Calibri" w:cs="Calibri"/>
          <w:color w:val="000000" w:themeColor="text1"/>
        </w:rPr>
        <w:t>ed</w:t>
      </w:r>
      <w:r w:rsidRPr="00FA4E09">
        <w:rPr>
          <w:rFonts w:ascii="Calibri" w:hAnsi="Calibri" w:cs="Calibri"/>
          <w:color w:val="000000" w:themeColor="text1"/>
        </w:rPr>
        <w:t xml:space="preserve"> comments and suggestions regarding the questionnaire and proposed POTW Influent PFAS Study </w:t>
      </w:r>
      <w:r w:rsidRPr="00FA4E09" w:rsidR="000A1DE8">
        <w:rPr>
          <w:rFonts w:ascii="Calibri" w:hAnsi="Calibri" w:cs="Calibri"/>
          <w:color w:val="000000" w:themeColor="text1"/>
        </w:rPr>
        <w:t xml:space="preserve">and NSSS </w:t>
      </w:r>
      <w:r w:rsidRPr="00FA4E09">
        <w:rPr>
          <w:rFonts w:ascii="Calibri" w:hAnsi="Calibri" w:cs="Calibri"/>
          <w:color w:val="000000" w:themeColor="text1"/>
        </w:rPr>
        <w:t xml:space="preserve">data collection and the reduction of data collection burden. </w:t>
      </w:r>
      <w:r w:rsidRPr="00FA4E09">
        <w:rPr>
          <w:rFonts w:ascii="Calibri" w:hAnsi="Calibri" w:cs="Calibri"/>
          <w:color w:val="000000"/>
        </w:rPr>
        <w:t>Pursuant to the Paperwork Reduction Act §350</w:t>
      </w:r>
      <w:r w:rsidRPr="00FA4E09" w:rsidR="00C266B3">
        <w:rPr>
          <w:rFonts w:ascii="Calibri" w:hAnsi="Calibri" w:cs="Calibri"/>
          <w:color w:val="000000"/>
        </w:rPr>
        <w:t>6(c</w:t>
      </w:r>
      <w:r w:rsidRPr="00FA4E09">
        <w:rPr>
          <w:rFonts w:ascii="Calibri" w:hAnsi="Calibri" w:cs="Calibri"/>
          <w:color w:val="000000"/>
        </w:rPr>
        <w:t>)(2)(A), the EPA solicit</w:t>
      </w:r>
      <w:r w:rsidRPr="00FA4E09" w:rsidR="008628C6">
        <w:rPr>
          <w:rFonts w:ascii="Calibri" w:hAnsi="Calibri" w:cs="Calibri"/>
          <w:color w:val="000000"/>
        </w:rPr>
        <w:t>ed</w:t>
      </w:r>
      <w:r w:rsidRPr="00FA4E09">
        <w:rPr>
          <w:rFonts w:ascii="Calibri" w:hAnsi="Calibri" w:cs="Calibri"/>
          <w:color w:val="000000"/>
        </w:rPr>
        <w:t xml:space="preserve"> comments and information to enable it to:</w:t>
      </w:r>
    </w:p>
    <w:p w:rsidR="00EB6DD8" w:rsidRPr="00FA4E09" w:rsidP="00DD65A4" w14:paraId="466C08CF" w14:textId="77777777">
      <w:pPr>
        <w:pStyle w:val="ListBulletSingle"/>
        <w:spacing w:after="80"/>
        <w:ind w:left="720" w:hanging="360"/>
        <w:rPr>
          <w:rFonts w:ascii="Calibri" w:hAnsi="Calibri" w:cs="Calibri"/>
        </w:rPr>
      </w:pPr>
      <w:r w:rsidRPr="00FA4E09">
        <w:rPr>
          <w:rFonts w:ascii="Calibri" w:hAnsi="Calibri" w:cs="Calibri"/>
        </w:rPr>
        <w:t>Evaluate whether the proposed data collection is necessary for the proper performance of the functions of the Agency, including whether the information will have practical utility.</w:t>
      </w:r>
    </w:p>
    <w:p w:rsidR="00EB6DD8" w:rsidRPr="00FA4E09" w:rsidP="00DD65A4" w14:paraId="6439EA90" w14:textId="0C63796C">
      <w:pPr>
        <w:pStyle w:val="ListBulletSingle"/>
        <w:spacing w:after="80"/>
        <w:ind w:left="720" w:hanging="360"/>
        <w:rPr>
          <w:rFonts w:ascii="Calibri" w:hAnsi="Calibri" w:cs="Calibri"/>
        </w:rPr>
      </w:pPr>
      <w:r w:rsidRPr="00FA4E09">
        <w:rPr>
          <w:rFonts w:ascii="Calibri" w:hAnsi="Calibri" w:cs="Calibri"/>
        </w:rPr>
        <w:t>Evaluate the accuracy of the Agency’s estimate of burden of the proposed data collection, including the validity of the methodology and assumptions used.</w:t>
      </w:r>
    </w:p>
    <w:p w:rsidR="00EB6DD8" w:rsidRPr="00FA4E09" w:rsidP="00DD65A4" w14:paraId="0995CDF3" w14:textId="77777777">
      <w:pPr>
        <w:pStyle w:val="ListBulletSingle"/>
        <w:spacing w:after="80"/>
        <w:ind w:left="720" w:hanging="360"/>
        <w:rPr>
          <w:rFonts w:ascii="Calibri" w:hAnsi="Calibri" w:cs="Calibri"/>
        </w:rPr>
      </w:pPr>
      <w:r w:rsidRPr="00FA4E09">
        <w:rPr>
          <w:rFonts w:ascii="Calibri" w:hAnsi="Calibri" w:cs="Calibri"/>
        </w:rPr>
        <w:t>Enhance the quality, unity, and clarity of the information to be collected.</w:t>
      </w:r>
    </w:p>
    <w:p w:rsidR="00EB6DD8" w:rsidRPr="00FA4E09" w:rsidP="00E16BA4" w14:paraId="46389D8C" w14:textId="2EA1A077">
      <w:pPr>
        <w:pStyle w:val="ListBulletLast"/>
        <w:ind w:left="720" w:hanging="360"/>
        <w:rPr>
          <w:rFonts w:ascii="Calibri" w:hAnsi="Calibri" w:cs="Calibri"/>
        </w:rPr>
      </w:pPr>
      <w:r w:rsidRPr="00FA4E09">
        <w:rPr>
          <w:rFonts w:ascii="Calibri" w:hAnsi="Calibri" w:cs="Calibri"/>
        </w:rPr>
        <w:t xml:space="preserve">Minimize the burden of the data collection on those who are to respond. </w:t>
      </w:r>
    </w:p>
    <w:p w:rsidR="009D122C" w:rsidRPr="00FA4E09" w:rsidP="00EB6DD8" w14:paraId="4352D294" w14:textId="3B7ADC69">
      <w:pPr>
        <w:pBdr>
          <w:top w:val="single" w:sz="6" w:space="0" w:color="FFFFFF"/>
          <w:left w:val="single" w:sz="6" w:space="0" w:color="FFFFFF"/>
          <w:bottom w:val="single" w:sz="6" w:space="0" w:color="FFFFFF"/>
          <w:right w:val="single" w:sz="6" w:space="0" w:color="FFFFFF"/>
        </w:pBdr>
        <w:rPr>
          <w:rFonts w:ascii="Calibri" w:hAnsi="Calibri" w:cs="Calibri"/>
          <w:color w:val="000000"/>
        </w:rPr>
      </w:pPr>
      <w:r w:rsidRPr="00FA4E09">
        <w:rPr>
          <w:rFonts w:ascii="Calibri" w:hAnsi="Calibri" w:cs="Calibri"/>
          <w:color w:val="000000"/>
        </w:rPr>
        <w:t xml:space="preserve">The EPA received </w:t>
      </w:r>
      <w:r w:rsidRPr="00FA4E09" w:rsidR="006F2E9D">
        <w:rPr>
          <w:rFonts w:ascii="Calibri" w:hAnsi="Calibri" w:cs="Calibri"/>
          <w:color w:val="000000"/>
        </w:rPr>
        <w:t>25 comments</w:t>
      </w:r>
      <w:r w:rsidRPr="00FA4E09" w:rsidR="007636BE">
        <w:rPr>
          <w:rFonts w:ascii="Calibri" w:hAnsi="Calibri" w:cs="Calibri"/>
          <w:color w:val="000000"/>
        </w:rPr>
        <w:t xml:space="preserve"> in response to the</w:t>
      </w:r>
      <w:r w:rsidRPr="00FA4E09" w:rsidR="00C266B3">
        <w:rPr>
          <w:rFonts w:ascii="Calibri" w:hAnsi="Calibri" w:cs="Calibri"/>
          <w:color w:val="000000"/>
        </w:rPr>
        <w:t xml:space="preserve"> March 26, 2024</w:t>
      </w:r>
      <w:r w:rsidRPr="00FA4E09" w:rsidR="007636BE">
        <w:rPr>
          <w:rFonts w:ascii="Calibri" w:hAnsi="Calibri" w:cs="Calibri"/>
          <w:color w:val="000000"/>
        </w:rPr>
        <w:t xml:space="preserve"> </w:t>
      </w:r>
      <w:r w:rsidRPr="000E5A11" w:rsidR="007636BE">
        <w:rPr>
          <w:rFonts w:ascii="Calibri" w:hAnsi="Calibri" w:cs="Calibri"/>
          <w:i/>
          <w:iCs/>
          <w:color w:val="000000"/>
        </w:rPr>
        <w:t>Federal Register</w:t>
      </w:r>
      <w:r w:rsidRPr="00FA4E09" w:rsidR="007636BE">
        <w:rPr>
          <w:rFonts w:ascii="Calibri" w:hAnsi="Calibri" w:cs="Calibri"/>
          <w:color w:val="000000"/>
        </w:rPr>
        <w:t xml:space="preserve"> notice. </w:t>
      </w:r>
      <w:r w:rsidRPr="00FA4E09" w:rsidR="006C3B08">
        <w:rPr>
          <w:rFonts w:ascii="Calibri" w:hAnsi="Calibri" w:cs="Calibri"/>
          <w:color w:val="000000"/>
        </w:rPr>
        <w:t xml:space="preserve">Key </w:t>
      </w:r>
      <w:r w:rsidRPr="00FA4E09" w:rsidR="00037B3F">
        <w:rPr>
          <w:rFonts w:ascii="Calibri" w:hAnsi="Calibri" w:cs="Calibri"/>
          <w:color w:val="000000"/>
        </w:rPr>
        <w:t xml:space="preserve">issues raised in the comments </w:t>
      </w:r>
      <w:r w:rsidRPr="00FA4E09">
        <w:rPr>
          <w:rFonts w:ascii="Calibri" w:hAnsi="Calibri" w:cs="Calibri"/>
          <w:color w:val="000000"/>
        </w:rPr>
        <w:t>are summarized below.</w:t>
      </w:r>
    </w:p>
    <w:p w:rsidR="009D122C" w:rsidRPr="002F786E" w:rsidP="000E5A11" w14:paraId="33C5F914" w14:textId="7E447B5E">
      <w:pPr>
        <w:pStyle w:val="ListBulletSingle"/>
        <w:spacing w:after="80"/>
        <w:ind w:left="720" w:hanging="360"/>
        <w:rPr>
          <w:rFonts w:ascii="Calibri" w:hAnsi="Calibri" w:cs="Calibri"/>
        </w:rPr>
      </w:pPr>
      <w:r w:rsidRPr="000E5A11">
        <w:rPr>
          <w:rFonts w:ascii="Calibri" w:hAnsi="Calibri" w:cs="Calibri"/>
        </w:rPr>
        <w:t xml:space="preserve">Multiple entities </w:t>
      </w:r>
      <w:r w:rsidRPr="000E5A11" w:rsidR="00954631">
        <w:rPr>
          <w:rFonts w:ascii="Calibri" w:hAnsi="Calibri" w:cs="Calibri"/>
        </w:rPr>
        <w:t xml:space="preserve">asserted that </w:t>
      </w:r>
      <w:r w:rsidRPr="00FA4E09" w:rsidR="00C14DF0">
        <w:rPr>
          <w:rFonts w:ascii="Calibri" w:hAnsi="Calibri" w:cs="Calibri"/>
        </w:rPr>
        <w:t xml:space="preserve">the EPA </w:t>
      </w:r>
      <w:r w:rsidRPr="00FA4E09" w:rsidR="002D3D7B">
        <w:rPr>
          <w:rFonts w:ascii="Calibri" w:hAnsi="Calibri" w:cs="Calibri"/>
        </w:rPr>
        <w:t>under</w:t>
      </w:r>
      <w:r w:rsidRPr="000E5A11" w:rsidR="00954631">
        <w:rPr>
          <w:rFonts w:ascii="Calibri" w:hAnsi="Calibri" w:cs="Calibri"/>
        </w:rPr>
        <w:t xml:space="preserve">estimated </w:t>
      </w:r>
      <w:r w:rsidRPr="00FA4E09" w:rsidR="002D3D7B">
        <w:rPr>
          <w:rFonts w:ascii="Calibri" w:hAnsi="Calibri" w:cs="Calibri"/>
        </w:rPr>
        <w:t xml:space="preserve">the </w:t>
      </w:r>
      <w:r w:rsidRPr="00F13A93" w:rsidR="00954631">
        <w:rPr>
          <w:rFonts w:ascii="Calibri" w:hAnsi="Calibri" w:cs="Calibri"/>
        </w:rPr>
        <w:t xml:space="preserve">burden </w:t>
      </w:r>
      <w:r w:rsidRPr="00FA4E09" w:rsidR="00C14DF0">
        <w:rPr>
          <w:rFonts w:ascii="Calibri" w:hAnsi="Calibri" w:cs="Calibri"/>
        </w:rPr>
        <w:t>for POTWs</w:t>
      </w:r>
      <w:r w:rsidRPr="00F13A93" w:rsidR="00954631">
        <w:rPr>
          <w:rFonts w:ascii="Calibri" w:hAnsi="Calibri" w:cs="Calibri"/>
        </w:rPr>
        <w:t xml:space="preserve"> to complete the questionnaire</w:t>
      </w:r>
      <w:r w:rsidRPr="00FA4E09" w:rsidR="00C14DF0">
        <w:rPr>
          <w:rFonts w:ascii="Calibri" w:hAnsi="Calibri" w:cs="Calibri"/>
        </w:rPr>
        <w:t xml:space="preserve"> and sampling program</w:t>
      </w:r>
      <w:r w:rsidRPr="00F13A93" w:rsidR="009D1D00">
        <w:rPr>
          <w:rFonts w:ascii="Calibri" w:hAnsi="Calibri" w:cs="Calibri"/>
        </w:rPr>
        <w:t>. Commenters</w:t>
      </w:r>
      <w:r w:rsidRPr="00F13A93" w:rsidR="00DC69BD">
        <w:rPr>
          <w:rFonts w:ascii="Calibri" w:hAnsi="Calibri" w:cs="Calibri"/>
        </w:rPr>
        <w:t xml:space="preserve"> cited higher sampling analysis costs than what was </w:t>
      </w:r>
      <w:r w:rsidRPr="00F13A93" w:rsidR="0084676C">
        <w:rPr>
          <w:rFonts w:ascii="Calibri" w:hAnsi="Calibri" w:cs="Calibri"/>
        </w:rPr>
        <w:t xml:space="preserve">estimated by </w:t>
      </w:r>
      <w:r w:rsidRPr="00FA4E09" w:rsidR="005A1C6C">
        <w:rPr>
          <w:rFonts w:ascii="Calibri" w:hAnsi="Calibri" w:cs="Calibri"/>
        </w:rPr>
        <w:t xml:space="preserve">the </w:t>
      </w:r>
      <w:r w:rsidRPr="00F13A93" w:rsidR="0084676C">
        <w:rPr>
          <w:rFonts w:ascii="Calibri" w:hAnsi="Calibri" w:cs="Calibri"/>
        </w:rPr>
        <w:t>EPA and expre</w:t>
      </w:r>
      <w:r w:rsidRPr="00FA4E09" w:rsidR="0084676C">
        <w:rPr>
          <w:rFonts w:ascii="Calibri" w:hAnsi="Calibri" w:cs="Calibri"/>
        </w:rPr>
        <w:t xml:space="preserve">ssed </w:t>
      </w:r>
      <w:r w:rsidRPr="006B769C" w:rsidR="0084676C">
        <w:rPr>
          <w:rFonts w:ascii="Calibri" w:hAnsi="Calibri" w:cs="Calibri"/>
        </w:rPr>
        <w:t xml:space="preserve">concern about </w:t>
      </w:r>
      <w:r w:rsidRPr="00FA4E09" w:rsidR="005A1C6C">
        <w:rPr>
          <w:rFonts w:ascii="Calibri" w:hAnsi="Calibri" w:cs="Calibri"/>
        </w:rPr>
        <w:t>analytical laboratory capacity and turnaround time</w:t>
      </w:r>
      <w:r w:rsidRPr="006B769C" w:rsidR="0084676C">
        <w:rPr>
          <w:rFonts w:ascii="Calibri" w:hAnsi="Calibri" w:cs="Calibri"/>
        </w:rPr>
        <w:t xml:space="preserve">. </w:t>
      </w:r>
      <w:r w:rsidRPr="00FA4E09" w:rsidR="000619AB">
        <w:rPr>
          <w:rFonts w:ascii="Calibri" w:hAnsi="Calibri" w:cs="Calibri"/>
        </w:rPr>
        <w:t>The EPA acknowledges that</w:t>
      </w:r>
      <w:r w:rsidRPr="00FA4E09" w:rsidR="0031798E">
        <w:rPr>
          <w:rFonts w:ascii="Calibri" w:hAnsi="Calibri" w:cs="Calibri"/>
        </w:rPr>
        <w:t>,</w:t>
      </w:r>
      <w:r w:rsidRPr="00FA4E09" w:rsidR="000619AB">
        <w:rPr>
          <w:rFonts w:ascii="Calibri" w:hAnsi="Calibri" w:cs="Calibri"/>
        </w:rPr>
        <w:t xml:space="preserve"> </w:t>
      </w:r>
      <w:r w:rsidRPr="00FA4E09" w:rsidR="001B5CEE">
        <w:rPr>
          <w:rFonts w:ascii="Calibri" w:hAnsi="Calibri" w:cs="Calibri"/>
        </w:rPr>
        <w:t xml:space="preserve">because EPA Method 1633 and EPA Method 1621 were only finalized in </w:t>
      </w:r>
      <w:r w:rsidR="006B769C">
        <w:rPr>
          <w:rFonts w:ascii="Calibri" w:hAnsi="Calibri" w:cs="Calibri"/>
        </w:rPr>
        <w:t>January 2024</w:t>
      </w:r>
      <w:r w:rsidRPr="00FA4E09" w:rsidR="001B5CEE">
        <w:rPr>
          <w:rFonts w:ascii="Calibri" w:hAnsi="Calibri" w:cs="Calibri"/>
        </w:rPr>
        <w:t xml:space="preserve">, </w:t>
      </w:r>
      <w:r w:rsidRPr="00FA4E09" w:rsidR="00160519">
        <w:rPr>
          <w:rFonts w:ascii="Calibri" w:hAnsi="Calibri" w:cs="Calibri"/>
        </w:rPr>
        <w:t>there is limited laboratory capacity and</w:t>
      </w:r>
      <w:r w:rsidRPr="00FA4E09" w:rsidR="0031798E">
        <w:rPr>
          <w:rFonts w:ascii="Calibri" w:hAnsi="Calibri" w:cs="Calibri"/>
        </w:rPr>
        <w:t xml:space="preserve"> this </w:t>
      </w:r>
      <w:r w:rsidRPr="00FA4E09" w:rsidR="004D3BDF">
        <w:rPr>
          <w:rFonts w:ascii="Calibri" w:hAnsi="Calibri" w:cs="Calibri"/>
        </w:rPr>
        <w:t>is inflating analysis costs in some regions.</w:t>
      </w:r>
      <w:r w:rsidRPr="00FA4E09" w:rsidR="001B5CEE">
        <w:rPr>
          <w:rFonts w:ascii="Calibri" w:hAnsi="Calibri" w:cs="Calibri"/>
        </w:rPr>
        <w:t xml:space="preserve"> </w:t>
      </w:r>
      <w:r w:rsidRPr="00C319D2" w:rsidR="0084676C">
        <w:rPr>
          <w:rFonts w:ascii="Calibri" w:hAnsi="Calibri" w:cs="Calibri"/>
        </w:rPr>
        <w:t>The EPA anticipates that</w:t>
      </w:r>
      <w:r w:rsidRPr="00C319D2" w:rsidR="00BC4151">
        <w:rPr>
          <w:rFonts w:ascii="Calibri" w:hAnsi="Calibri" w:cs="Calibri"/>
        </w:rPr>
        <w:t xml:space="preserve">, by the time </w:t>
      </w:r>
      <w:r w:rsidRPr="00C319D2" w:rsidR="00C04EFC">
        <w:rPr>
          <w:rFonts w:ascii="Calibri" w:hAnsi="Calibri" w:cs="Calibri"/>
        </w:rPr>
        <w:t xml:space="preserve">the </w:t>
      </w:r>
      <w:r w:rsidRPr="00C319D2" w:rsidR="00BC4151">
        <w:rPr>
          <w:rFonts w:ascii="Calibri" w:hAnsi="Calibri" w:cs="Calibri"/>
        </w:rPr>
        <w:t>sampling program</w:t>
      </w:r>
      <w:r w:rsidRPr="00C319D2" w:rsidR="00C04EFC">
        <w:rPr>
          <w:rFonts w:ascii="Calibri" w:hAnsi="Calibri" w:cs="Calibri"/>
        </w:rPr>
        <w:t xml:space="preserve"> commences</w:t>
      </w:r>
      <w:r w:rsidR="00C319D2">
        <w:rPr>
          <w:rFonts w:ascii="Calibri" w:hAnsi="Calibri" w:cs="Calibri"/>
        </w:rPr>
        <w:t xml:space="preserve"> (calendar year 2025)</w:t>
      </w:r>
      <w:r w:rsidRPr="001F44F5" w:rsidR="00BC4151">
        <w:rPr>
          <w:rFonts w:ascii="Calibri" w:hAnsi="Calibri" w:cs="Calibri"/>
        </w:rPr>
        <w:t xml:space="preserve">, </w:t>
      </w:r>
      <w:r w:rsidRPr="001F44F5" w:rsidR="00C04EFC">
        <w:rPr>
          <w:rFonts w:ascii="Calibri" w:hAnsi="Calibri" w:cs="Calibri"/>
        </w:rPr>
        <w:t xml:space="preserve">additional </w:t>
      </w:r>
      <w:r w:rsidRPr="00FA4E09" w:rsidR="00D86FBE">
        <w:rPr>
          <w:rFonts w:ascii="Calibri" w:hAnsi="Calibri" w:cs="Calibri"/>
        </w:rPr>
        <w:t>laboratory</w:t>
      </w:r>
      <w:r w:rsidRPr="001F44F5" w:rsidR="00C04EFC">
        <w:rPr>
          <w:rFonts w:ascii="Calibri" w:hAnsi="Calibri" w:cs="Calibri"/>
        </w:rPr>
        <w:t xml:space="preserve"> capacity will exist</w:t>
      </w:r>
      <w:r w:rsidRPr="001F44F5" w:rsidR="00E41A5E">
        <w:rPr>
          <w:rFonts w:ascii="Calibri" w:hAnsi="Calibri" w:cs="Calibri"/>
        </w:rPr>
        <w:t xml:space="preserve"> which</w:t>
      </w:r>
      <w:r w:rsidRPr="001F44F5" w:rsidR="00C04EFC">
        <w:rPr>
          <w:rFonts w:ascii="Calibri" w:hAnsi="Calibri" w:cs="Calibri"/>
        </w:rPr>
        <w:t xml:space="preserve"> will reduce cost for analysis</w:t>
      </w:r>
      <w:r w:rsidRPr="001F44F5" w:rsidR="00E41A5E">
        <w:rPr>
          <w:rFonts w:ascii="Calibri" w:hAnsi="Calibri" w:cs="Calibri"/>
        </w:rPr>
        <w:t>.</w:t>
      </w:r>
      <w:r w:rsidRPr="00FA4E09" w:rsidR="00F56876">
        <w:rPr>
          <w:rFonts w:ascii="Calibri" w:hAnsi="Calibri" w:cs="Calibri"/>
        </w:rPr>
        <w:t xml:space="preserve"> </w:t>
      </w:r>
      <w:r w:rsidRPr="00FA4E09" w:rsidR="009B71C6">
        <w:rPr>
          <w:rFonts w:ascii="Calibri" w:hAnsi="Calibri" w:cs="Calibri"/>
        </w:rPr>
        <w:t xml:space="preserve">Additionally, in order to </w:t>
      </w:r>
      <w:r w:rsidRPr="00FA4E09" w:rsidR="00882072">
        <w:rPr>
          <w:rFonts w:ascii="Calibri" w:hAnsi="Calibri" w:cs="Calibri"/>
        </w:rPr>
        <w:t xml:space="preserve">distribute demand for environmental laboratories completing sample analysis, the EPA will divide the POTWs selected for wastewater sampling into four groups and stagger required </w:t>
      </w:r>
      <w:r w:rsidR="00882072">
        <w:rPr>
          <w:rFonts w:ascii="Calibri" w:hAnsi="Calibri" w:cs="Calibri"/>
        </w:rPr>
        <w:t xml:space="preserve">Phase I </w:t>
      </w:r>
      <w:r w:rsidRPr="00FA4E09" w:rsidR="00882072">
        <w:rPr>
          <w:rFonts w:ascii="Calibri" w:hAnsi="Calibri" w:cs="Calibri"/>
        </w:rPr>
        <w:t>sampling over a 16-month period</w:t>
      </w:r>
      <w:r w:rsidR="00375C91">
        <w:rPr>
          <w:rFonts w:ascii="Calibri" w:hAnsi="Calibri" w:cs="Calibri"/>
        </w:rPr>
        <w:t>.</w:t>
      </w:r>
    </w:p>
    <w:p w:rsidR="00E41A5E" w:rsidRPr="00BD4C6A" w:rsidP="000E5A11" w14:paraId="5BB65B37" w14:textId="49DB1260">
      <w:pPr>
        <w:pStyle w:val="ListBulletSingle"/>
        <w:spacing w:after="80"/>
        <w:ind w:left="720" w:hanging="360"/>
        <w:rPr>
          <w:rFonts w:ascii="Calibri" w:hAnsi="Calibri" w:cs="Calibri"/>
        </w:rPr>
      </w:pPr>
      <w:r w:rsidRPr="002F786E">
        <w:rPr>
          <w:rFonts w:ascii="Calibri" w:hAnsi="Calibri" w:cs="Calibri"/>
        </w:rPr>
        <w:t xml:space="preserve">Commenters requested </w:t>
      </w:r>
      <w:r w:rsidRPr="00FA4E09" w:rsidR="00AD359E">
        <w:rPr>
          <w:rFonts w:ascii="Calibri" w:hAnsi="Calibri" w:cs="Calibri"/>
        </w:rPr>
        <w:t xml:space="preserve">a </w:t>
      </w:r>
      <w:r w:rsidRPr="002F786E">
        <w:rPr>
          <w:rFonts w:ascii="Calibri" w:hAnsi="Calibri" w:cs="Calibri"/>
        </w:rPr>
        <w:t>120</w:t>
      </w:r>
      <w:r w:rsidRPr="002F786E" w:rsidR="006715DB">
        <w:rPr>
          <w:rFonts w:ascii="Calibri" w:hAnsi="Calibri" w:cs="Calibri"/>
        </w:rPr>
        <w:t>-</w:t>
      </w:r>
      <w:r w:rsidRPr="002F786E">
        <w:rPr>
          <w:rFonts w:ascii="Calibri" w:hAnsi="Calibri" w:cs="Calibri"/>
        </w:rPr>
        <w:t>day</w:t>
      </w:r>
      <w:r w:rsidRPr="002F786E" w:rsidR="006715DB">
        <w:rPr>
          <w:rFonts w:ascii="Calibri" w:hAnsi="Calibri" w:cs="Calibri"/>
        </w:rPr>
        <w:t xml:space="preserve"> period </w:t>
      </w:r>
      <w:r w:rsidRPr="002F786E" w:rsidR="003154FD">
        <w:rPr>
          <w:rFonts w:ascii="Calibri" w:hAnsi="Calibri" w:cs="Calibri"/>
        </w:rPr>
        <w:t>for facilities</w:t>
      </w:r>
      <w:r w:rsidRPr="002F786E">
        <w:rPr>
          <w:rFonts w:ascii="Calibri" w:hAnsi="Calibri" w:cs="Calibri"/>
        </w:rPr>
        <w:t xml:space="preserve"> to complete </w:t>
      </w:r>
      <w:r w:rsidRPr="002F786E" w:rsidR="003154FD">
        <w:rPr>
          <w:rFonts w:ascii="Calibri" w:hAnsi="Calibri" w:cs="Calibri"/>
        </w:rPr>
        <w:t xml:space="preserve">and submit their responses to </w:t>
      </w:r>
      <w:r w:rsidRPr="002F786E">
        <w:rPr>
          <w:rFonts w:ascii="Calibri" w:hAnsi="Calibri" w:cs="Calibri"/>
        </w:rPr>
        <w:t>the questionnaire and a 180</w:t>
      </w:r>
      <w:r w:rsidRPr="002F786E" w:rsidR="003154FD">
        <w:rPr>
          <w:rFonts w:ascii="Calibri" w:hAnsi="Calibri" w:cs="Calibri"/>
        </w:rPr>
        <w:t>-day period</w:t>
      </w:r>
      <w:r w:rsidRPr="002F786E">
        <w:rPr>
          <w:rFonts w:ascii="Calibri" w:hAnsi="Calibri" w:cs="Calibri"/>
        </w:rPr>
        <w:t xml:space="preserve"> </w:t>
      </w:r>
      <w:r w:rsidRPr="002F786E" w:rsidR="00270394">
        <w:rPr>
          <w:rFonts w:ascii="Calibri" w:hAnsi="Calibri" w:cs="Calibri"/>
        </w:rPr>
        <w:t>(i.e.</w:t>
      </w:r>
      <w:r w:rsidRPr="00FA4E09" w:rsidR="00CE7D59">
        <w:rPr>
          <w:rFonts w:ascii="Calibri" w:hAnsi="Calibri" w:cs="Calibri"/>
        </w:rPr>
        <w:t>,</w:t>
      </w:r>
      <w:r w:rsidRPr="00955F85" w:rsidR="00270394">
        <w:rPr>
          <w:rFonts w:ascii="Calibri" w:hAnsi="Calibri" w:cs="Calibri"/>
        </w:rPr>
        <w:t xml:space="preserve"> an additional </w:t>
      </w:r>
      <w:r w:rsidRPr="00955F85" w:rsidR="00BC61D6">
        <w:rPr>
          <w:rFonts w:ascii="Calibri" w:hAnsi="Calibri" w:cs="Calibri"/>
        </w:rPr>
        <w:t>6</w:t>
      </w:r>
      <w:r w:rsidRPr="00955F85" w:rsidR="00270394">
        <w:rPr>
          <w:rFonts w:ascii="Calibri" w:hAnsi="Calibri" w:cs="Calibri"/>
        </w:rPr>
        <w:t xml:space="preserve">0 days) for facilities </w:t>
      </w:r>
      <w:r w:rsidRPr="00955F85">
        <w:rPr>
          <w:rFonts w:ascii="Calibri" w:hAnsi="Calibri" w:cs="Calibri"/>
        </w:rPr>
        <w:t xml:space="preserve">to conduct </w:t>
      </w:r>
      <w:r w:rsidRPr="00955F85" w:rsidR="00AE10CD">
        <w:rPr>
          <w:rFonts w:ascii="Calibri" w:hAnsi="Calibri" w:cs="Calibri"/>
        </w:rPr>
        <w:t xml:space="preserve">sampling. </w:t>
      </w:r>
      <w:r w:rsidRPr="00FA4E09" w:rsidR="00E50BD4">
        <w:rPr>
          <w:rFonts w:ascii="Calibri" w:hAnsi="Calibri" w:cs="Calibri"/>
        </w:rPr>
        <w:t>Because the questionnaire is only 20 questions and only requests POTWs to provide readily available</w:t>
      </w:r>
      <w:r w:rsidRPr="00FA4E09" w:rsidR="00E64CB8">
        <w:rPr>
          <w:rFonts w:ascii="Calibri" w:hAnsi="Calibri" w:cs="Calibri"/>
        </w:rPr>
        <w:t xml:space="preserve"> data</w:t>
      </w:r>
      <w:r w:rsidRPr="00955F85" w:rsidR="00162874">
        <w:rPr>
          <w:rFonts w:ascii="Calibri" w:hAnsi="Calibri" w:cs="Calibri"/>
        </w:rPr>
        <w:t>, t</w:t>
      </w:r>
      <w:r w:rsidRPr="00955F85" w:rsidR="00BB71BB">
        <w:rPr>
          <w:rFonts w:ascii="Calibri" w:hAnsi="Calibri" w:cs="Calibri"/>
        </w:rPr>
        <w:t xml:space="preserve">he EPA </w:t>
      </w:r>
      <w:r w:rsidRPr="00955F85" w:rsidR="00BC61D6">
        <w:rPr>
          <w:rFonts w:ascii="Calibri" w:hAnsi="Calibri" w:cs="Calibri"/>
        </w:rPr>
        <w:t>believes</w:t>
      </w:r>
      <w:r w:rsidRPr="00955F85" w:rsidR="00162874">
        <w:rPr>
          <w:rFonts w:ascii="Calibri" w:hAnsi="Calibri" w:cs="Calibri"/>
        </w:rPr>
        <w:t xml:space="preserve"> </w:t>
      </w:r>
      <w:r w:rsidRPr="00955F85" w:rsidR="00AE1F7D">
        <w:rPr>
          <w:rFonts w:ascii="Calibri" w:hAnsi="Calibri" w:cs="Calibri"/>
        </w:rPr>
        <w:t xml:space="preserve">a </w:t>
      </w:r>
      <w:r w:rsidRPr="00FA4E09" w:rsidR="00997501">
        <w:rPr>
          <w:rFonts w:ascii="Calibri" w:hAnsi="Calibri" w:cs="Calibri"/>
        </w:rPr>
        <w:t>45</w:t>
      </w:r>
      <w:r w:rsidRPr="002F786E" w:rsidR="00AE1F7D">
        <w:rPr>
          <w:rFonts w:ascii="Calibri" w:hAnsi="Calibri" w:cs="Calibri"/>
        </w:rPr>
        <w:t xml:space="preserve">-day period </w:t>
      </w:r>
      <w:r w:rsidRPr="002F786E" w:rsidR="00BC61D6">
        <w:rPr>
          <w:rFonts w:ascii="Calibri" w:hAnsi="Calibri" w:cs="Calibri"/>
        </w:rPr>
        <w:t>to complete the questionnaire will be sufficient</w:t>
      </w:r>
      <w:r w:rsidRPr="002F786E" w:rsidR="001B042D">
        <w:rPr>
          <w:rFonts w:ascii="Calibri" w:hAnsi="Calibri" w:cs="Calibri"/>
        </w:rPr>
        <w:t xml:space="preserve">. </w:t>
      </w:r>
      <w:r w:rsidRPr="00FA4E09" w:rsidR="00822BBD">
        <w:rPr>
          <w:rFonts w:ascii="Calibri" w:hAnsi="Calibri" w:cs="Calibri"/>
        </w:rPr>
        <w:t xml:space="preserve">Additionally, in order to </w:t>
      </w:r>
      <w:r w:rsidRPr="00FA4E09" w:rsidR="000F5A28">
        <w:rPr>
          <w:rFonts w:ascii="Calibri" w:hAnsi="Calibri" w:cs="Calibri"/>
        </w:rPr>
        <w:t>distribute</w:t>
      </w:r>
      <w:r w:rsidRPr="00FA4E09" w:rsidR="00822BBD">
        <w:rPr>
          <w:rFonts w:ascii="Calibri" w:hAnsi="Calibri" w:cs="Calibri"/>
        </w:rPr>
        <w:t xml:space="preserve"> demand </w:t>
      </w:r>
      <w:r w:rsidRPr="00FA4E09" w:rsidR="000F5A28">
        <w:rPr>
          <w:rFonts w:ascii="Calibri" w:hAnsi="Calibri" w:cs="Calibri"/>
        </w:rPr>
        <w:t>for</w:t>
      </w:r>
      <w:r w:rsidRPr="00FA4E09" w:rsidR="00822BBD">
        <w:rPr>
          <w:rFonts w:ascii="Calibri" w:hAnsi="Calibri" w:cs="Calibri"/>
        </w:rPr>
        <w:t xml:space="preserve"> environmental laboratories</w:t>
      </w:r>
      <w:r w:rsidRPr="00FA4E09" w:rsidR="007163C2">
        <w:rPr>
          <w:rFonts w:ascii="Calibri" w:hAnsi="Calibri" w:cs="Calibri"/>
        </w:rPr>
        <w:t xml:space="preserve"> completing sample analysis</w:t>
      </w:r>
      <w:r w:rsidRPr="00FA4E09" w:rsidR="00822BBD">
        <w:rPr>
          <w:rFonts w:ascii="Calibri" w:hAnsi="Calibri" w:cs="Calibri"/>
        </w:rPr>
        <w:t xml:space="preserve">, the EPA will </w:t>
      </w:r>
      <w:r w:rsidRPr="00FA4E09" w:rsidR="001115BF">
        <w:rPr>
          <w:rFonts w:ascii="Calibri" w:hAnsi="Calibri" w:cs="Calibri"/>
        </w:rPr>
        <w:t xml:space="preserve">divide </w:t>
      </w:r>
      <w:r w:rsidRPr="00FA4E09" w:rsidR="007F751C">
        <w:rPr>
          <w:rFonts w:ascii="Calibri" w:hAnsi="Calibri" w:cs="Calibri"/>
        </w:rPr>
        <w:t xml:space="preserve">the POTWs selected for </w:t>
      </w:r>
      <w:r w:rsidRPr="00FA4E09" w:rsidR="007163C2">
        <w:rPr>
          <w:rFonts w:ascii="Calibri" w:hAnsi="Calibri" w:cs="Calibri"/>
        </w:rPr>
        <w:t xml:space="preserve">wastewater </w:t>
      </w:r>
      <w:r w:rsidRPr="00FA4E09" w:rsidR="007F751C">
        <w:rPr>
          <w:rFonts w:ascii="Calibri" w:hAnsi="Calibri" w:cs="Calibri"/>
        </w:rPr>
        <w:t xml:space="preserve">sampling into </w:t>
      </w:r>
      <w:r w:rsidRPr="00FA4E09" w:rsidR="007163C2">
        <w:rPr>
          <w:rFonts w:ascii="Calibri" w:hAnsi="Calibri" w:cs="Calibri"/>
        </w:rPr>
        <w:t>four</w:t>
      </w:r>
      <w:r w:rsidRPr="00FA4E09" w:rsidR="00817CB1">
        <w:rPr>
          <w:rFonts w:ascii="Calibri" w:hAnsi="Calibri" w:cs="Calibri"/>
        </w:rPr>
        <w:t xml:space="preserve"> groups</w:t>
      </w:r>
      <w:r w:rsidRPr="00FA4E09" w:rsidR="00220E65">
        <w:rPr>
          <w:rFonts w:ascii="Calibri" w:hAnsi="Calibri" w:cs="Calibri"/>
        </w:rPr>
        <w:t xml:space="preserve"> and stagger</w:t>
      </w:r>
      <w:r w:rsidRPr="00FA4E09" w:rsidR="00B93B8F">
        <w:rPr>
          <w:rFonts w:ascii="Calibri" w:hAnsi="Calibri" w:cs="Calibri"/>
        </w:rPr>
        <w:t xml:space="preserve"> </w:t>
      </w:r>
      <w:r w:rsidRPr="00FA4E09" w:rsidR="00F100E9">
        <w:rPr>
          <w:rFonts w:ascii="Calibri" w:hAnsi="Calibri" w:cs="Calibri"/>
        </w:rPr>
        <w:t xml:space="preserve">required </w:t>
      </w:r>
      <w:r w:rsidR="00C104AC">
        <w:rPr>
          <w:rFonts w:ascii="Calibri" w:hAnsi="Calibri" w:cs="Calibri"/>
        </w:rPr>
        <w:t xml:space="preserve">Phase I </w:t>
      </w:r>
      <w:r w:rsidRPr="00FA4E09" w:rsidR="00F100E9">
        <w:rPr>
          <w:rFonts w:ascii="Calibri" w:hAnsi="Calibri" w:cs="Calibri"/>
        </w:rPr>
        <w:t>sampling over a 16-month period.</w:t>
      </w:r>
      <w:r w:rsidRPr="00FA4E09" w:rsidR="00B40ABC">
        <w:rPr>
          <w:rFonts w:ascii="Calibri" w:hAnsi="Calibri" w:cs="Calibri"/>
        </w:rPr>
        <w:t xml:space="preserve"> </w:t>
      </w:r>
      <w:r w:rsidRPr="00FA4E09" w:rsidR="008A5EE2">
        <w:rPr>
          <w:rFonts w:ascii="Calibri" w:hAnsi="Calibri" w:cs="Calibri"/>
        </w:rPr>
        <w:t xml:space="preserve">The EPA will require all POTWs selected for sampling to </w:t>
      </w:r>
      <w:r w:rsidRPr="00FA4E09" w:rsidR="003076CB">
        <w:rPr>
          <w:rFonts w:ascii="Calibri" w:hAnsi="Calibri" w:cs="Calibri"/>
        </w:rPr>
        <w:t>collect samples within 30 calendar days from notice</w:t>
      </w:r>
      <w:r w:rsidRPr="00FA4E09" w:rsidR="00117BF2">
        <w:rPr>
          <w:rFonts w:ascii="Calibri" w:hAnsi="Calibri" w:cs="Calibri"/>
        </w:rPr>
        <w:t xml:space="preserve"> an</w:t>
      </w:r>
      <w:r w:rsidRPr="00FA4E09" w:rsidR="001A6C28">
        <w:rPr>
          <w:rFonts w:ascii="Calibri" w:hAnsi="Calibri" w:cs="Calibri"/>
        </w:rPr>
        <w:t>d will consider written requests for extensions</w:t>
      </w:r>
      <w:r w:rsidRPr="00FA4E09" w:rsidR="001C5236">
        <w:rPr>
          <w:rFonts w:ascii="Calibri" w:hAnsi="Calibri" w:cs="Calibri"/>
        </w:rPr>
        <w:t xml:space="preserve"> </w:t>
      </w:r>
      <w:r w:rsidRPr="00FA4E09" w:rsidR="00686D01">
        <w:rPr>
          <w:rFonts w:ascii="Calibri" w:hAnsi="Calibri" w:cs="Calibri"/>
        </w:rPr>
        <w:t>for submitting the sampling data to EPA i</w:t>
      </w:r>
      <w:r w:rsidRPr="00FA4E09" w:rsidR="004906A9">
        <w:rPr>
          <w:rFonts w:ascii="Calibri" w:hAnsi="Calibri" w:cs="Calibri"/>
        </w:rPr>
        <w:t xml:space="preserve">n </w:t>
      </w:r>
      <w:r w:rsidRPr="00FA4E09" w:rsidR="009A70DB">
        <w:rPr>
          <w:rFonts w:ascii="Calibri" w:hAnsi="Calibri" w:cs="Calibri"/>
        </w:rPr>
        <w:t xml:space="preserve">the event of </w:t>
      </w:r>
      <w:r w:rsidRPr="00FA4E09" w:rsidR="00896110">
        <w:rPr>
          <w:rFonts w:ascii="Calibri" w:hAnsi="Calibri" w:cs="Calibri"/>
        </w:rPr>
        <w:t>laboratory</w:t>
      </w:r>
      <w:r w:rsidRPr="00FA4E09" w:rsidR="00D8242E">
        <w:rPr>
          <w:rFonts w:ascii="Calibri" w:hAnsi="Calibri" w:cs="Calibri"/>
        </w:rPr>
        <w:t xml:space="preserve"> delays or other </w:t>
      </w:r>
      <w:r w:rsidRPr="00FA4E09" w:rsidR="00290472">
        <w:rPr>
          <w:rFonts w:ascii="Calibri" w:hAnsi="Calibri" w:cs="Calibri"/>
        </w:rPr>
        <w:t>qualifying reasons</w:t>
      </w:r>
      <w:r w:rsidRPr="00BD4C6A" w:rsidR="00F96A31">
        <w:rPr>
          <w:rFonts w:ascii="Calibri" w:hAnsi="Calibri" w:cs="Calibri"/>
        </w:rPr>
        <w:t>.</w:t>
      </w:r>
      <w:r w:rsidRPr="00BD4C6A" w:rsidR="008F4F9D">
        <w:rPr>
          <w:rFonts w:ascii="Calibri" w:hAnsi="Calibri" w:cs="Calibri"/>
        </w:rPr>
        <w:t xml:space="preserve"> </w:t>
      </w:r>
    </w:p>
    <w:p w:rsidR="00E92FB1" w:rsidRPr="00FA4E09" w:rsidP="000E5A11" w14:paraId="35E6E8A6" w14:textId="2F19FE66">
      <w:pPr>
        <w:pStyle w:val="ListBulletSingle"/>
        <w:spacing w:after="80"/>
        <w:ind w:left="720" w:hanging="360"/>
        <w:rPr>
          <w:rFonts w:ascii="Calibri" w:hAnsi="Calibri" w:cs="Calibri"/>
        </w:rPr>
      </w:pPr>
      <w:r w:rsidRPr="00BD4C6A">
        <w:rPr>
          <w:rFonts w:ascii="Calibri" w:hAnsi="Calibri" w:cs="Calibri"/>
        </w:rPr>
        <w:t xml:space="preserve">Commenters asserted that </w:t>
      </w:r>
      <w:r w:rsidRPr="00BD4C6A" w:rsidR="006A35B1">
        <w:rPr>
          <w:rFonts w:ascii="Calibri" w:hAnsi="Calibri" w:cs="Calibri"/>
        </w:rPr>
        <w:t xml:space="preserve">there is </w:t>
      </w:r>
      <w:r w:rsidRPr="00FA4E09" w:rsidR="00290472">
        <w:rPr>
          <w:rFonts w:ascii="Calibri" w:hAnsi="Calibri" w:cs="Calibri"/>
        </w:rPr>
        <w:t>sufficient</w:t>
      </w:r>
      <w:r w:rsidRPr="00BD4C6A">
        <w:rPr>
          <w:rFonts w:ascii="Calibri" w:hAnsi="Calibri" w:cs="Calibri"/>
        </w:rPr>
        <w:t xml:space="preserve"> </w:t>
      </w:r>
      <w:r w:rsidRPr="00BD4C6A" w:rsidR="006A35B1">
        <w:rPr>
          <w:rFonts w:ascii="Calibri" w:hAnsi="Calibri" w:cs="Calibri"/>
        </w:rPr>
        <w:t>existing</w:t>
      </w:r>
      <w:r w:rsidRPr="00BD4C6A">
        <w:rPr>
          <w:rFonts w:ascii="Calibri" w:hAnsi="Calibri" w:cs="Calibri"/>
        </w:rPr>
        <w:t xml:space="preserve"> data</w:t>
      </w:r>
      <w:r w:rsidRPr="00BD4C6A" w:rsidR="006A35B1">
        <w:rPr>
          <w:rFonts w:ascii="Calibri" w:hAnsi="Calibri" w:cs="Calibri"/>
        </w:rPr>
        <w:t xml:space="preserve"> on </w:t>
      </w:r>
      <w:r w:rsidRPr="00BD4C6A" w:rsidR="00A30204">
        <w:rPr>
          <w:rFonts w:ascii="Calibri" w:hAnsi="Calibri" w:cs="Calibri"/>
        </w:rPr>
        <w:t>PFAS in</w:t>
      </w:r>
      <w:r w:rsidRPr="00FA4E09" w:rsidR="00A30204">
        <w:rPr>
          <w:rFonts w:ascii="Calibri" w:hAnsi="Calibri" w:cs="Calibri"/>
        </w:rPr>
        <w:t xml:space="preserve"> </w:t>
      </w:r>
      <w:r w:rsidRPr="00FA4E09" w:rsidR="00A17602">
        <w:rPr>
          <w:rFonts w:ascii="Calibri" w:hAnsi="Calibri" w:cs="Calibri"/>
        </w:rPr>
        <w:t xml:space="preserve">industrial wastewater </w:t>
      </w:r>
      <w:r w:rsidRPr="00FA4E09" w:rsidR="001B1770">
        <w:rPr>
          <w:rFonts w:ascii="Calibri" w:hAnsi="Calibri" w:cs="Calibri"/>
        </w:rPr>
        <w:t>discharges and from POTWs</w:t>
      </w:r>
      <w:r w:rsidRPr="00FA4E09" w:rsidR="003A7DC2">
        <w:rPr>
          <w:rFonts w:ascii="Calibri" w:hAnsi="Calibri" w:cs="Calibri"/>
        </w:rPr>
        <w:t xml:space="preserve"> through state </w:t>
      </w:r>
      <w:r w:rsidRPr="00FA4E09" w:rsidR="004951DA">
        <w:rPr>
          <w:rFonts w:ascii="Calibri" w:hAnsi="Calibri" w:cs="Calibri"/>
        </w:rPr>
        <w:t>and local sampling efforts</w:t>
      </w:r>
      <w:r w:rsidRPr="00FA4E09" w:rsidR="003E51D4">
        <w:rPr>
          <w:rFonts w:ascii="Calibri" w:hAnsi="Calibri" w:cs="Calibri"/>
        </w:rPr>
        <w:t xml:space="preserve"> </w:t>
      </w:r>
      <w:r w:rsidRPr="004979B9" w:rsidR="00A30204">
        <w:rPr>
          <w:rFonts w:ascii="Calibri" w:hAnsi="Calibri" w:cs="Calibri"/>
        </w:rPr>
        <w:t xml:space="preserve">and requested that EPA collect and </w:t>
      </w:r>
      <w:r w:rsidRPr="004979B9" w:rsidR="00AB4173">
        <w:rPr>
          <w:rFonts w:ascii="Calibri" w:hAnsi="Calibri" w:cs="Calibri"/>
        </w:rPr>
        <w:t xml:space="preserve">evaluate existing data before requiring facilities to sample. The EPA </w:t>
      </w:r>
      <w:r w:rsidRPr="004979B9" w:rsidR="000611AE">
        <w:rPr>
          <w:rFonts w:ascii="Calibri" w:hAnsi="Calibri" w:cs="Calibri"/>
        </w:rPr>
        <w:t>has</w:t>
      </w:r>
      <w:r w:rsidRPr="004979B9" w:rsidR="00AE2F6A">
        <w:rPr>
          <w:rFonts w:ascii="Calibri" w:hAnsi="Calibri" w:cs="Calibri"/>
        </w:rPr>
        <w:t xml:space="preserve"> </w:t>
      </w:r>
      <w:r w:rsidRPr="004979B9" w:rsidR="00AE2F6A">
        <w:rPr>
          <w:rFonts w:ascii="Calibri" w:hAnsi="Calibri" w:cs="Calibri"/>
        </w:rPr>
        <w:t>found that existing data</w:t>
      </w:r>
      <w:r w:rsidRPr="00FA4E09" w:rsidR="00376E41">
        <w:rPr>
          <w:rFonts w:ascii="Calibri" w:hAnsi="Calibri" w:cs="Calibri"/>
        </w:rPr>
        <w:t xml:space="preserve"> is</w:t>
      </w:r>
      <w:r w:rsidRPr="00FA4E09" w:rsidR="001A738F">
        <w:rPr>
          <w:rFonts w:ascii="Calibri" w:hAnsi="Calibri" w:cs="Calibri"/>
        </w:rPr>
        <w:t xml:space="preserve"> not available in a </w:t>
      </w:r>
      <w:r w:rsidRPr="00FA4E09" w:rsidR="0063473A">
        <w:rPr>
          <w:rFonts w:ascii="Calibri" w:hAnsi="Calibri" w:cs="Calibri"/>
        </w:rPr>
        <w:t>centralized consistent format</w:t>
      </w:r>
      <w:r w:rsidRPr="00FA4E09" w:rsidR="00200FFB">
        <w:rPr>
          <w:rFonts w:ascii="Calibri" w:hAnsi="Calibri" w:cs="Calibri"/>
        </w:rPr>
        <w:t>, was analyzed using a var</w:t>
      </w:r>
      <w:r w:rsidRPr="00FA4E09" w:rsidR="00C50B8A">
        <w:rPr>
          <w:rFonts w:ascii="Calibri" w:hAnsi="Calibri" w:cs="Calibri"/>
        </w:rPr>
        <w:t>iety of analytical methods not approved for PFAS analysis of wastewater matrices,</w:t>
      </w:r>
      <w:r w:rsidRPr="00FA4E09" w:rsidR="00265294">
        <w:rPr>
          <w:rFonts w:ascii="Calibri" w:hAnsi="Calibri" w:cs="Calibri"/>
        </w:rPr>
        <w:t xml:space="preserve"> </w:t>
      </w:r>
      <w:r w:rsidRPr="004979B9" w:rsidR="006F481B">
        <w:rPr>
          <w:rFonts w:ascii="Calibri" w:hAnsi="Calibri" w:cs="Calibri"/>
        </w:rPr>
        <w:t xml:space="preserve">and </w:t>
      </w:r>
      <w:r w:rsidRPr="004979B9" w:rsidR="007F7428">
        <w:rPr>
          <w:rFonts w:ascii="Calibri" w:hAnsi="Calibri" w:cs="Calibri"/>
        </w:rPr>
        <w:t>do</w:t>
      </w:r>
      <w:r w:rsidRPr="00FA4E09" w:rsidR="00256D09">
        <w:rPr>
          <w:rFonts w:ascii="Calibri" w:hAnsi="Calibri" w:cs="Calibri"/>
        </w:rPr>
        <w:t>es</w:t>
      </w:r>
      <w:r w:rsidRPr="004979B9" w:rsidR="007F7428">
        <w:rPr>
          <w:rFonts w:ascii="Calibri" w:hAnsi="Calibri" w:cs="Calibri"/>
        </w:rPr>
        <w:t xml:space="preserve"> not </w:t>
      </w:r>
      <w:r w:rsidRPr="00FA4E09" w:rsidR="00BE70C8">
        <w:rPr>
          <w:rFonts w:ascii="Calibri" w:hAnsi="Calibri" w:cs="Calibri"/>
        </w:rPr>
        <w:t xml:space="preserve">capture </w:t>
      </w:r>
      <w:r w:rsidRPr="00FA4E09" w:rsidR="002D709D">
        <w:rPr>
          <w:rFonts w:ascii="Calibri" w:hAnsi="Calibri" w:cs="Calibri"/>
        </w:rPr>
        <w:t xml:space="preserve">all </w:t>
      </w:r>
      <w:r w:rsidRPr="00FA4E09" w:rsidR="00786B35">
        <w:rPr>
          <w:rFonts w:ascii="Calibri" w:hAnsi="Calibri" w:cs="Calibri"/>
        </w:rPr>
        <w:t>types of industry known to use and potentially discharge PFAS</w:t>
      </w:r>
      <w:r w:rsidRPr="00FA4E09" w:rsidR="009D0D54">
        <w:rPr>
          <w:rFonts w:ascii="Calibri" w:hAnsi="Calibri" w:cs="Calibri"/>
        </w:rPr>
        <w:t>.</w:t>
      </w:r>
      <w:r w:rsidRPr="00FA4E09" w:rsidR="00B6121D">
        <w:rPr>
          <w:rFonts w:ascii="Calibri" w:hAnsi="Calibri" w:cs="Calibri"/>
        </w:rPr>
        <w:t xml:space="preserve"> </w:t>
      </w:r>
      <w:r w:rsidRPr="00DF1B64" w:rsidR="00A8002D">
        <w:rPr>
          <w:rFonts w:ascii="Calibri" w:hAnsi="Calibri" w:cs="Calibri"/>
        </w:rPr>
        <w:t>There is also</w:t>
      </w:r>
      <w:r w:rsidRPr="00DF1B64" w:rsidR="00F662B4">
        <w:rPr>
          <w:rFonts w:ascii="Calibri" w:hAnsi="Calibri" w:cs="Calibri"/>
        </w:rPr>
        <w:t xml:space="preserve"> a data gap for industries that are not already </w:t>
      </w:r>
      <w:r w:rsidRPr="00DF1B64" w:rsidR="003A144E">
        <w:rPr>
          <w:rFonts w:ascii="Calibri" w:hAnsi="Calibri" w:cs="Calibri"/>
        </w:rPr>
        <w:t xml:space="preserve">suspected of having PFAS discharges. </w:t>
      </w:r>
      <w:r w:rsidRPr="00FA4E09" w:rsidR="00B6121D">
        <w:rPr>
          <w:rFonts w:ascii="Calibri" w:hAnsi="Calibri" w:cs="Calibri"/>
        </w:rPr>
        <w:t xml:space="preserve">The EPA </w:t>
      </w:r>
      <w:r w:rsidR="00517B94">
        <w:rPr>
          <w:rFonts w:ascii="Calibri" w:hAnsi="Calibri" w:cs="Calibri"/>
        </w:rPr>
        <w:t>may allow</w:t>
      </w:r>
      <w:r w:rsidRPr="00FA4E09" w:rsidR="009226BF">
        <w:rPr>
          <w:rFonts w:ascii="Calibri" w:hAnsi="Calibri" w:cs="Calibri"/>
        </w:rPr>
        <w:t xml:space="preserve"> </w:t>
      </w:r>
      <w:r w:rsidR="00517B94">
        <w:rPr>
          <w:rFonts w:ascii="Calibri" w:hAnsi="Calibri" w:cs="Calibri"/>
        </w:rPr>
        <w:t>POTWs</w:t>
      </w:r>
      <w:r w:rsidRPr="00FA4E09" w:rsidR="009226BF">
        <w:rPr>
          <w:rFonts w:ascii="Calibri" w:hAnsi="Calibri" w:cs="Calibri"/>
        </w:rPr>
        <w:t xml:space="preserve"> with existing </w:t>
      </w:r>
      <w:r w:rsidR="00517B94">
        <w:rPr>
          <w:rFonts w:ascii="Calibri" w:hAnsi="Calibri" w:cs="Calibri"/>
        </w:rPr>
        <w:t xml:space="preserve">PFAS and AOF monitoring data </w:t>
      </w:r>
      <w:r w:rsidRPr="00FA4E09" w:rsidR="009226BF">
        <w:rPr>
          <w:rFonts w:ascii="Calibri" w:hAnsi="Calibri" w:cs="Calibri"/>
        </w:rPr>
        <w:t>meeting the sampling program requirements to submit that data in lieu of collecting new samples</w:t>
      </w:r>
      <w:r w:rsidR="00DF1B64">
        <w:rPr>
          <w:rFonts w:ascii="Calibri" w:hAnsi="Calibri" w:cs="Calibri"/>
        </w:rPr>
        <w:t xml:space="preserve"> as discussed in Section </w:t>
      </w:r>
      <w:r w:rsidR="00DF1B64">
        <w:rPr>
          <w:rFonts w:ascii="Calibri" w:hAnsi="Calibri" w:cs="Calibri"/>
        </w:rPr>
        <w:fldChar w:fldCharType="begin"/>
      </w:r>
      <w:r w:rsidR="00DF1B64">
        <w:rPr>
          <w:rFonts w:ascii="Calibri" w:hAnsi="Calibri" w:cs="Calibri"/>
        </w:rPr>
        <w:instrText xml:space="preserve"> REF _Ref172820488 \r \h </w:instrText>
      </w:r>
      <w:r w:rsidR="00DF1B64">
        <w:rPr>
          <w:rFonts w:ascii="Calibri" w:hAnsi="Calibri" w:cs="Calibri"/>
        </w:rPr>
        <w:fldChar w:fldCharType="separate"/>
      </w:r>
      <w:r w:rsidR="00DF1B64">
        <w:rPr>
          <w:rFonts w:ascii="Calibri" w:hAnsi="Calibri" w:cs="Calibri"/>
        </w:rPr>
        <w:t>4</w:t>
      </w:r>
      <w:r w:rsidR="00DF1B64">
        <w:rPr>
          <w:rFonts w:ascii="Calibri" w:hAnsi="Calibri" w:cs="Calibri"/>
        </w:rPr>
        <w:fldChar w:fldCharType="end"/>
      </w:r>
      <w:r w:rsidRPr="00FA4E09" w:rsidR="009226BF">
        <w:rPr>
          <w:rFonts w:ascii="Calibri" w:hAnsi="Calibri" w:cs="Calibri"/>
        </w:rPr>
        <w:t>.</w:t>
      </w:r>
    </w:p>
    <w:p w:rsidR="003A144E" w:rsidRPr="00E3276E" w:rsidP="000E5A11" w14:paraId="4D0A3907" w14:textId="285F6A2E">
      <w:pPr>
        <w:pStyle w:val="ListBulletSingle"/>
        <w:spacing w:after="80"/>
        <w:ind w:left="720" w:hanging="360"/>
        <w:rPr>
          <w:rFonts w:ascii="Calibri" w:hAnsi="Calibri" w:cs="Calibri"/>
        </w:rPr>
      </w:pPr>
      <w:r w:rsidRPr="00E3276E">
        <w:rPr>
          <w:rFonts w:ascii="Calibri" w:hAnsi="Calibri" w:cs="Calibri"/>
        </w:rPr>
        <w:t xml:space="preserve">Commenters requested that the EPA provide training and/or guidance on </w:t>
      </w:r>
      <w:r w:rsidRPr="00E3276E" w:rsidR="00114D89">
        <w:rPr>
          <w:rFonts w:ascii="Calibri" w:hAnsi="Calibri" w:cs="Calibri"/>
        </w:rPr>
        <w:t xml:space="preserve">how to submit data to </w:t>
      </w:r>
      <w:r w:rsidRPr="00E3276E">
        <w:rPr>
          <w:rFonts w:ascii="Calibri" w:hAnsi="Calibri" w:cs="Calibri"/>
        </w:rPr>
        <w:t>the Voluntary Data Submission Portal.</w:t>
      </w:r>
      <w:r w:rsidRPr="00E3276E" w:rsidR="00114D89">
        <w:rPr>
          <w:rFonts w:ascii="Calibri" w:hAnsi="Calibri" w:cs="Calibri"/>
        </w:rPr>
        <w:t xml:space="preserve"> The EPA </w:t>
      </w:r>
      <w:r w:rsidRPr="00FA4E09" w:rsidR="00BA7775">
        <w:rPr>
          <w:rFonts w:ascii="Calibri" w:hAnsi="Calibri" w:cs="Calibri"/>
        </w:rPr>
        <w:t>will develop</w:t>
      </w:r>
      <w:r w:rsidRPr="00E3276E" w:rsidR="00114D89">
        <w:rPr>
          <w:rFonts w:ascii="Calibri" w:hAnsi="Calibri" w:cs="Calibri"/>
        </w:rPr>
        <w:t xml:space="preserve"> instruction and </w:t>
      </w:r>
      <w:r w:rsidRPr="00FA4E09" w:rsidR="00BA7775">
        <w:rPr>
          <w:rFonts w:ascii="Calibri" w:hAnsi="Calibri" w:cs="Calibri"/>
        </w:rPr>
        <w:t xml:space="preserve">conduct </w:t>
      </w:r>
      <w:r w:rsidRPr="00E3276E" w:rsidR="00114D89">
        <w:rPr>
          <w:rFonts w:ascii="Calibri" w:hAnsi="Calibri" w:cs="Calibri"/>
        </w:rPr>
        <w:t xml:space="preserve">outreach to increase awareness and understanding of the </w:t>
      </w:r>
      <w:r w:rsidRPr="00FA4E09" w:rsidR="00547A89">
        <w:rPr>
          <w:rFonts w:ascii="Calibri" w:hAnsi="Calibri" w:cs="Calibri"/>
        </w:rPr>
        <w:t>Voluntary D</w:t>
      </w:r>
      <w:r w:rsidRPr="00E3276E" w:rsidR="00114D89">
        <w:rPr>
          <w:rFonts w:ascii="Calibri" w:hAnsi="Calibri" w:cs="Calibri"/>
        </w:rPr>
        <w:t xml:space="preserve">ata </w:t>
      </w:r>
      <w:r w:rsidRPr="00FA4E09" w:rsidR="00547A89">
        <w:rPr>
          <w:rFonts w:ascii="Calibri" w:hAnsi="Calibri" w:cs="Calibri"/>
        </w:rPr>
        <w:t>Submission P</w:t>
      </w:r>
      <w:r w:rsidRPr="00E3276E" w:rsidR="00114D89">
        <w:rPr>
          <w:rFonts w:ascii="Calibri" w:hAnsi="Calibri" w:cs="Calibri"/>
        </w:rPr>
        <w:t>ortal.</w:t>
      </w:r>
    </w:p>
    <w:p w:rsidR="00015F32" w:rsidRPr="00E3276E" w:rsidP="000E5A11" w14:paraId="48FC3106" w14:textId="33F4841D">
      <w:pPr>
        <w:pStyle w:val="ListBulletSingle"/>
        <w:spacing w:after="80"/>
        <w:ind w:left="720" w:hanging="360"/>
        <w:rPr>
          <w:rFonts w:ascii="Calibri" w:hAnsi="Calibri" w:cs="Calibri"/>
        </w:rPr>
      </w:pPr>
      <w:r w:rsidRPr="00E3276E">
        <w:rPr>
          <w:rFonts w:ascii="Calibri" w:hAnsi="Calibri" w:cs="Calibri"/>
        </w:rPr>
        <w:t xml:space="preserve">Commenters provided suggestions </w:t>
      </w:r>
      <w:r w:rsidRPr="00E3276E" w:rsidR="00832609">
        <w:rPr>
          <w:rFonts w:ascii="Calibri" w:hAnsi="Calibri" w:cs="Calibri"/>
        </w:rPr>
        <w:t>for site selection criteria</w:t>
      </w:r>
      <w:r w:rsidRPr="00E3276E" w:rsidR="00064B80">
        <w:rPr>
          <w:rFonts w:ascii="Calibri" w:hAnsi="Calibri" w:cs="Calibri"/>
        </w:rPr>
        <w:t xml:space="preserve"> that concerned topics of</w:t>
      </w:r>
      <w:r w:rsidRPr="00E3276E" w:rsidR="00832609">
        <w:rPr>
          <w:rFonts w:ascii="Calibri" w:hAnsi="Calibri" w:cs="Calibri"/>
        </w:rPr>
        <w:t xml:space="preserve"> geographic distribution</w:t>
      </w:r>
      <w:r w:rsidRPr="00E3276E" w:rsidR="00CA00D9">
        <w:rPr>
          <w:rFonts w:ascii="Calibri" w:hAnsi="Calibri" w:cs="Calibri"/>
        </w:rPr>
        <w:t>,</w:t>
      </w:r>
      <w:r w:rsidRPr="00E3276E" w:rsidR="00064B80">
        <w:rPr>
          <w:rFonts w:ascii="Calibri" w:hAnsi="Calibri" w:cs="Calibri"/>
        </w:rPr>
        <w:t xml:space="preserve"> </w:t>
      </w:r>
      <w:r w:rsidRPr="00E3276E" w:rsidR="00ED7C20">
        <w:rPr>
          <w:rFonts w:ascii="Calibri" w:hAnsi="Calibri" w:cs="Calibri"/>
        </w:rPr>
        <w:t>number of facilities selected for the population</w:t>
      </w:r>
      <w:r w:rsidRPr="00E3276E" w:rsidR="00817DAF">
        <w:rPr>
          <w:rFonts w:ascii="Calibri" w:hAnsi="Calibri" w:cs="Calibri"/>
        </w:rPr>
        <w:t xml:space="preserve">, </w:t>
      </w:r>
      <w:r w:rsidRPr="00E3276E" w:rsidR="00325DA2">
        <w:rPr>
          <w:rFonts w:ascii="Calibri" w:hAnsi="Calibri" w:cs="Calibri"/>
        </w:rPr>
        <w:t xml:space="preserve">types of industrial users to include in sampling, </w:t>
      </w:r>
      <w:r w:rsidRPr="00E3276E" w:rsidR="00817DAF">
        <w:rPr>
          <w:rFonts w:ascii="Calibri" w:hAnsi="Calibri" w:cs="Calibri"/>
        </w:rPr>
        <w:t>and</w:t>
      </w:r>
      <w:r w:rsidRPr="00E3276E" w:rsidR="00064B80">
        <w:rPr>
          <w:rFonts w:ascii="Calibri" w:hAnsi="Calibri" w:cs="Calibri"/>
        </w:rPr>
        <w:t xml:space="preserve"> municipal burden</w:t>
      </w:r>
      <w:r w:rsidRPr="00E3276E" w:rsidR="0054706A">
        <w:rPr>
          <w:rFonts w:ascii="Calibri" w:hAnsi="Calibri" w:cs="Calibri"/>
        </w:rPr>
        <w:t xml:space="preserve">. The EPA </w:t>
      </w:r>
      <w:r w:rsidRPr="00E3276E" w:rsidR="00325DA2">
        <w:rPr>
          <w:rFonts w:ascii="Calibri" w:hAnsi="Calibri" w:cs="Calibri"/>
        </w:rPr>
        <w:t xml:space="preserve">is already considering </w:t>
      </w:r>
      <w:r w:rsidRPr="00E3276E" w:rsidR="00984531">
        <w:rPr>
          <w:rFonts w:ascii="Calibri" w:hAnsi="Calibri" w:cs="Calibri"/>
        </w:rPr>
        <w:t>all</w:t>
      </w:r>
      <w:r w:rsidRPr="00E3276E" w:rsidR="00325DA2">
        <w:rPr>
          <w:rFonts w:ascii="Calibri" w:hAnsi="Calibri" w:cs="Calibri"/>
        </w:rPr>
        <w:t xml:space="preserve"> these factors </w:t>
      </w:r>
      <w:r w:rsidRPr="00E3276E" w:rsidR="00DE52BF">
        <w:rPr>
          <w:rFonts w:ascii="Calibri" w:hAnsi="Calibri" w:cs="Calibri"/>
        </w:rPr>
        <w:t>and t</w:t>
      </w:r>
      <w:r w:rsidRPr="00E3276E">
        <w:rPr>
          <w:rFonts w:ascii="Calibri" w:hAnsi="Calibri" w:cs="Calibri"/>
        </w:rPr>
        <w:t>he</w:t>
      </w:r>
      <w:r w:rsidRPr="00E3276E" w:rsidR="00984531">
        <w:rPr>
          <w:rFonts w:ascii="Calibri" w:hAnsi="Calibri" w:cs="Calibri"/>
        </w:rPr>
        <w:t xml:space="preserve"> </w:t>
      </w:r>
      <w:r w:rsidRPr="00E3276E">
        <w:rPr>
          <w:rFonts w:ascii="Calibri" w:hAnsi="Calibri" w:cs="Calibri"/>
        </w:rPr>
        <w:t xml:space="preserve">methodology for </w:t>
      </w:r>
      <w:r w:rsidRPr="00E3276E" w:rsidR="00984531">
        <w:rPr>
          <w:rFonts w:ascii="Calibri" w:hAnsi="Calibri" w:cs="Calibri"/>
        </w:rPr>
        <w:t>site selection</w:t>
      </w:r>
      <w:r w:rsidRPr="00E3276E" w:rsidR="00EC53D2">
        <w:rPr>
          <w:rFonts w:ascii="Calibri" w:hAnsi="Calibri" w:cs="Calibri"/>
        </w:rPr>
        <w:t xml:space="preserve"> will be included in the final report.</w:t>
      </w:r>
      <w:r w:rsidR="00E3276E">
        <w:rPr>
          <w:rFonts w:ascii="Calibri" w:hAnsi="Calibri" w:cs="Calibri"/>
        </w:rPr>
        <w:t xml:space="preserve"> See Section </w:t>
      </w:r>
      <w:r w:rsidR="00E3276E">
        <w:rPr>
          <w:rFonts w:ascii="Calibri" w:hAnsi="Calibri" w:cs="Calibri"/>
        </w:rPr>
        <w:fldChar w:fldCharType="begin"/>
      </w:r>
      <w:r w:rsidR="00E3276E">
        <w:rPr>
          <w:rFonts w:ascii="Calibri" w:hAnsi="Calibri" w:cs="Calibri"/>
        </w:rPr>
        <w:instrText xml:space="preserve"> REF _Ref172820594 \r \h </w:instrText>
      </w:r>
      <w:r w:rsidR="00E3276E">
        <w:rPr>
          <w:rFonts w:ascii="Calibri" w:hAnsi="Calibri" w:cs="Calibri"/>
        </w:rPr>
        <w:fldChar w:fldCharType="separate"/>
      </w:r>
      <w:r w:rsidR="00E3276E">
        <w:rPr>
          <w:rFonts w:ascii="Calibri" w:hAnsi="Calibri" w:cs="Calibri"/>
        </w:rPr>
        <w:t>12</w:t>
      </w:r>
      <w:r w:rsidR="00E3276E">
        <w:rPr>
          <w:rFonts w:ascii="Calibri" w:hAnsi="Calibri" w:cs="Calibri"/>
        </w:rPr>
        <w:fldChar w:fldCharType="end"/>
      </w:r>
      <w:r w:rsidR="009741C8">
        <w:rPr>
          <w:rFonts w:ascii="Calibri" w:hAnsi="Calibri" w:cs="Calibri"/>
        </w:rPr>
        <w:t>(</w:t>
      </w:r>
      <w:r w:rsidR="00E3276E">
        <w:rPr>
          <w:rFonts w:ascii="Calibri" w:hAnsi="Calibri" w:cs="Calibri"/>
        </w:rPr>
        <w:t>a</w:t>
      </w:r>
      <w:r w:rsidR="009741C8">
        <w:rPr>
          <w:rFonts w:ascii="Calibri" w:hAnsi="Calibri" w:cs="Calibri"/>
        </w:rPr>
        <w:t>)</w:t>
      </w:r>
      <w:r w:rsidR="00E3276E">
        <w:rPr>
          <w:rFonts w:ascii="Calibri" w:hAnsi="Calibri" w:cs="Calibri"/>
        </w:rPr>
        <w:t xml:space="preserve"> for additional information about the site selection methodology and criteria.</w:t>
      </w:r>
    </w:p>
    <w:p w:rsidR="00114D89" w:rsidRPr="00E3276E" w:rsidP="000E5A11" w14:paraId="5504B086" w14:textId="72205DD5">
      <w:pPr>
        <w:pStyle w:val="ListBulletSingle"/>
        <w:spacing w:after="80"/>
        <w:ind w:left="720" w:hanging="360"/>
        <w:rPr>
          <w:rFonts w:ascii="Calibri" w:hAnsi="Calibri" w:cs="Calibri"/>
        </w:rPr>
      </w:pPr>
      <w:r w:rsidRPr="00E3276E">
        <w:rPr>
          <w:rFonts w:ascii="Calibri" w:hAnsi="Calibri" w:cs="Calibri"/>
        </w:rPr>
        <w:t xml:space="preserve">Commenters asserted that the data sources </w:t>
      </w:r>
      <w:r w:rsidRPr="00E3276E" w:rsidR="005F3C44">
        <w:rPr>
          <w:rFonts w:ascii="Calibri" w:hAnsi="Calibri" w:cs="Calibri"/>
        </w:rPr>
        <w:t xml:space="preserve">used to determine flow and service population are outdated </w:t>
      </w:r>
      <w:r w:rsidRPr="00E3276E" w:rsidR="00BA37F5">
        <w:rPr>
          <w:rFonts w:ascii="Calibri" w:hAnsi="Calibri" w:cs="Calibri"/>
        </w:rPr>
        <w:t xml:space="preserve">and that those metrics are not </w:t>
      </w:r>
      <w:r w:rsidRPr="00E3276E" w:rsidR="00AE780F">
        <w:rPr>
          <w:rFonts w:ascii="Calibri" w:hAnsi="Calibri" w:cs="Calibri"/>
        </w:rPr>
        <w:t>appropriate selection criteria</w:t>
      </w:r>
      <w:r w:rsidRPr="00E3276E" w:rsidR="00D747A3">
        <w:rPr>
          <w:rFonts w:ascii="Calibri" w:hAnsi="Calibri" w:cs="Calibri"/>
        </w:rPr>
        <w:t xml:space="preserve">. </w:t>
      </w:r>
      <w:r w:rsidRPr="00E3276E" w:rsidR="005937D4">
        <w:rPr>
          <w:rFonts w:ascii="Calibri" w:hAnsi="Calibri" w:cs="Calibri"/>
        </w:rPr>
        <w:t>The EPA updated the</w:t>
      </w:r>
      <w:r w:rsidRPr="00E3276E" w:rsidR="00FA64EF">
        <w:rPr>
          <w:rFonts w:ascii="Calibri" w:hAnsi="Calibri" w:cs="Calibri"/>
        </w:rPr>
        <w:t xml:space="preserve">ir POTW data set to reflect current data from the 2022 CWNS and ICIS-NPDES. </w:t>
      </w:r>
      <w:r w:rsidRPr="00E3276E" w:rsidR="00A52BD2">
        <w:rPr>
          <w:rFonts w:ascii="Calibri" w:hAnsi="Calibri" w:cs="Calibri"/>
        </w:rPr>
        <w:t>The EPA also be</w:t>
      </w:r>
      <w:r w:rsidRPr="00E3276E" w:rsidR="00944E93">
        <w:rPr>
          <w:rFonts w:ascii="Calibri" w:hAnsi="Calibri" w:cs="Calibri"/>
        </w:rPr>
        <w:t xml:space="preserve">lieves that facilities with high flow and service population will </w:t>
      </w:r>
      <w:r w:rsidRPr="00E3276E" w:rsidR="00741D8C">
        <w:rPr>
          <w:rFonts w:ascii="Calibri" w:hAnsi="Calibri" w:cs="Calibri"/>
        </w:rPr>
        <w:t xml:space="preserve">receive industrial wastewater from a wider variety of </w:t>
      </w:r>
      <w:r w:rsidRPr="00E3276E" w:rsidR="00862162">
        <w:rPr>
          <w:rFonts w:ascii="Calibri" w:hAnsi="Calibri" w:cs="Calibri"/>
        </w:rPr>
        <w:t xml:space="preserve">point source categories and are </w:t>
      </w:r>
      <w:r w:rsidRPr="00E3276E" w:rsidR="00944E93">
        <w:rPr>
          <w:rFonts w:ascii="Calibri" w:hAnsi="Calibri" w:cs="Calibri"/>
        </w:rPr>
        <w:t>more likely to have the resources to c</w:t>
      </w:r>
      <w:r w:rsidRPr="00E3276E" w:rsidR="00862162">
        <w:rPr>
          <w:rFonts w:ascii="Calibri" w:hAnsi="Calibri" w:cs="Calibri"/>
        </w:rPr>
        <w:t>omplete the ICR.</w:t>
      </w:r>
    </w:p>
    <w:p w:rsidR="00862162" w:rsidRPr="00693A8B" w:rsidP="000E5A11" w14:paraId="0A4B1D02" w14:textId="23E1CABD">
      <w:pPr>
        <w:pStyle w:val="ListBulletSingle"/>
        <w:spacing w:after="80"/>
        <w:ind w:left="720" w:hanging="360"/>
        <w:rPr>
          <w:rFonts w:ascii="Calibri" w:hAnsi="Calibri" w:cs="Calibri"/>
        </w:rPr>
      </w:pPr>
      <w:r w:rsidRPr="00E3276E">
        <w:rPr>
          <w:rFonts w:ascii="Calibri" w:hAnsi="Calibri" w:cs="Calibri"/>
        </w:rPr>
        <w:t>Utilities</w:t>
      </w:r>
      <w:r w:rsidRPr="00E3276E" w:rsidR="00F464B3">
        <w:rPr>
          <w:rFonts w:ascii="Calibri" w:hAnsi="Calibri" w:cs="Calibri"/>
        </w:rPr>
        <w:t xml:space="preserve"> expressed concern that </w:t>
      </w:r>
      <w:r w:rsidRPr="00E3276E">
        <w:rPr>
          <w:rFonts w:ascii="Calibri" w:hAnsi="Calibri" w:cs="Calibri"/>
        </w:rPr>
        <w:t xml:space="preserve">they will have to collect additional information on their industrial users to determine if they are </w:t>
      </w:r>
      <w:r w:rsidRPr="00E3276E" w:rsidR="00A85F6F">
        <w:rPr>
          <w:rFonts w:ascii="Calibri" w:hAnsi="Calibri" w:cs="Calibri"/>
        </w:rPr>
        <w:t xml:space="preserve">a source of PFAS. </w:t>
      </w:r>
      <w:r w:rsidRPr="00E3276E" w:rsidR="005A5DCB">
        <w:rPr>
          <w:rFonts w:ascii="Calibri" w:hAnsi="Calibri" w:cs="Calibri"/>
        </w:rPr>
        <w:t xml:space="preserve">The EPA does not </w:t>
      </w:r>
      <w:r w:rsidRPr="00E3276E" w:rsidR="00983297">
        <w:rPr>
          <w:rFonts w:ascii="Calibri" w:hAnsi="Calibri" w:cs="Calibri"/>
        </w:rPr>
        <w:t xml:space="preserve">intend for facilities to generate new data to fill out the questionnaire. </w:t>
      </w:r>
      <w:r w:rsidRPr="00E3276E" w:rsidR="008B7FDB">
        <w:rPr>
          <w:rFonts w:ascii="Calibri" w:hAnsi="Calibri" w:cs="Calibri"/>
        </w:rPr>
        <w:t>Facilities</w:t>
      </w:r>
      <w:r w:rsidRPr="00E3276E" w:rsidR="00D51A16">
        <w:rPr>
          <w:rFonts w:ascii="Calibri" w:hAnsi="Calibri" w:cs="Calibri"/>
        </w:rPr>
        <w:t xml:space="preserve"> </w:t>
      </w:r>
      <w:r w:rsidRPr="00FA4E09" w:rsidR="00084C13">
        <w:rPr>
          <w:rFonts w:ascii="Calibri" w:hAnsi="Calibri" w:cs="Calibri"/>
        </w:rPr>
        <w:t>can select</w:t>
      </w:r>
      <w:r w:rsidRPr="00693A8B" w:rsidR="00313367">
        <w:rPr>
          <w:rFonts w:ascii="Calibri" w:hAnsi="Calibri" w:cs="Calibri"/>
        </w:rPr>
        <w:t xml:space="preserve"> “unknown” </w:t>
      </w:r>
      <w:r w:rsidRPr="00693A8B" w:rsidR="00D51A16">
        <w:rPr>
          <w:rFonts w:ascii="Calibri" w:hAnsi="Calibri" w:cs="Calibri"/>
        </w:rPr>
        <w:t>if the</w:t>
      </w:r>
      <w:r w:rsidRPr="00FA4E09" w:rsidR="00084C13">
        <w:rPr>
          <w:rFonts w:ascii="Calibri" w:hAnsi="Calibri" w:cs="Calibri"/>
        </w:rPr>
        <w:t>y do not have information on</w:t>
      </w:r>
      <w:r w:rsidRPr="00693A8B" w:rsidR="00D51A16">
        <w:rPr>
          <w:rFonts w:ascii="Calibri" w:hAnsi="Calibri" w:cs="Calibri"/>
        </w:rPr>
        <w:t xml:space="preserve"> </w:t>
      </w:r>
      <w:r w:rsidRPr="00FA4E09" w:rsidR="00084C13">
        <w:rPr>
          <w:rFonts w:ascii="Calibri" w:hAnsi="Calibri" w:cs="Calibri"/>
        </w:rPr>
        <w:t xml:space="preserve">potential sources </w:t>
      </w:r>
      <w:r w:rsidRPr="00693A8B" w:rsidR="008B7FDB">
        <w:rPr>
          <w:rFonts w:ascii="Calibri" w:hAnsi="Calibri" w:cs="Calibri"/>
        </w:rPr>
        <w:t>of PFAS</w:t>
      </w:r>
      <w:r w:rsidRPr="00693A8B" w:rsidR="003A5423">
        <w:rPr>
          <w:rFonts w:ascii="Calibri" w:hAnsi="Calibri" w:cs="Calibri"/>
        </w:rPr>
        <w:t xml:space="preserve">. </w:t>
      </w:r>
    </w:p>
    <w:p w:rsidR="003A5423" w:rsidRPr="00BD5780" w:rsidP="000E5A11" w14:paraId="38751E9E" w14:textId="30D25FA8">
      <w:pPr>
        <w:pStyle w:val="ListBulletSingle"/>
        <w:spacing w:after="80"/>
        <w:ind w:left="720" w:hanging="360"/>
        <w:rPr>
          <w:rFonts w:ascii="Calibri" w:hAnsi="Calibri" w:cs="Calibri"/>
        </w:rPr>
      </w:pPr>
      <w:r w:rsidRPr="00693A8B">
        <w:rPr>
          <w:rFonts w:ascii="Calibri" w:hAnsi="Calibri" w:cs="Calibri"/>
        </w:rPr>
        <w:t xml:space="preserve">Commenters asserted that EPA Methods </w:t>
      </w:r>
      <w:r w:rsidRPr="00693A8B" w:rsidR="009A37A7">
        <w:rPr>
          <w:rFonts w:ascii="Calibri" w:hAnsi="Calibri" w:cs="Calibri"/>
        </w:rPr>
        <w:t>1633 and 1621 are not finalized or promulgated and</w:t>
      </w:r>
      <w:r w:rsidRPr="00FA4E09" w:rsidR="00714EC1">
        <w:rPr>
          <w:rFonts w:ascii="Calibri" w:hAnsi="Calibri" w:cs="Calibri"/>
        </w:rPr>
        <w:t>,</w:t>
      </w:r>
      <w:r w:rsidRPr="00BD5780" w:rsidR="009A37A7">
        <w:rPr>
          <w:rFonts w:ascii="Calibri" w:hAnsi="Calibri" w:cs="Calibri"/>
        </w:rPr>
        <w:t xml:space="preserve"> therefore, should not be used</w:t>
      </w:r>
      <w:r w:rsidRPr="00BD5780" w:rsidR="00695315">
        <w:rPr>
          <w:rFonts w:ascii="Calibri" w:hAnsi="Calibri" w:cs="Calibri"/>
        </w:rPr>
        <w:t xml:space="preserve"> for regulatory decision-making or in rulemaking analysi</w:t>
      </w:r>
      <w:r w:rsidRPr="00BD5780" w:rsidR="00C15198">
        <w:rPr>
          <w:rFonts w:ascii="Calibri" w:hAnsi="Calibri" w:cs="Calibri"/>
        </w:rPr>
        <w:t>s</w:t>
      </w:r>
      <w:r w:rsidRPr="00BD5780" w:rsidR="00695315">
        <w:rPr>
          <w:rFonts w:ascii="Calibri" w:hAnsi="Calibri" w:cs="Calibri"/>
        </w:rPr>
        <w:t xml:space="preserve">. </w:t>
      </w:r>
      <w:r w:rsidRPr="00BD5780" w:rsidR="00C15198">
        <w:rPr>
          <w:rFonts w:ascii="Calibri" w:hAnsi="Calibri" w:cs="Calibri"/>
        </w:rPr>
        <w:t xml:space="preserve">The </w:t>
      </w:r>
      <w:r w:rsidRPr="00BD5780" w:rsidR="00695315">
        <w:rPr>
          <w:rFonts w:ascii="Calibri" w:hAnsi="Calibri" w:cs="Calibri"/>
        </w:rPr>
        <w:t xml:space="preserve">EPA </w:t>
      </w:r>
      <w:r w:rsidRPr="00BD5780" w:rsidR="00C15198">
        <w:rPr>
          <w:rFonts w:ascii="Calibri" w:hAnsi="Calibri" w:cs="Calibri"/>
        </w:rPr>
        <w:t>has finalized these methods and is in the process of promulgating them as the first methods</w:t>
      </w:r>
      <w:r w:rsidRPr="00FA4E09" w:rsidR="00BC0939">
        <w:rPr>
          <w:rFonts w:ascii="Calibri" w:hAnsi="Calibri" w:cs="Calibri"/>
        </w:rPr>
        <w:t xml:space="preserve"> approved</w:t>
      </w:r>
      <w:r w:rsidRPr="00BD5780" w:rsidR="00C15198">
        <w:rPr>
          <w:rFonts w:ascii="Calibri" w:hAnsi="Calibri" w:cs="Calibri"/>
        </w:rPr>
        <w:t xml:space="preserve"> </w:t>
      </w:r>
      <w:r w:rsidRPr="00BD5780" w:rsidR="00276D8C">
        <w:rPr>
          <w:rFonts w:ascii="Calibri" w:hAnsi="Calibri" w:cs="Calibri"/>
        </w:rPr>
        <w:t>for PFAS and AOF analysis for wastewater matrices in 40 CFR Part 136</w:t>
      </w:r>
      <w:r w:rsidRPr="00BD5780" w:rsidR="00CF7667">
        <w:rPr>
          <w:rFonts w:ascii="Calibri" w:hAnsi="Calibri" w:cs="Calibri"/>
        </w:rPr>
        <w:t xml:space="preserve">. The EPA </w:t>
      </w:r>
      <w:r w:rsidRPr="00BD5780" w:rsidR="00695315">
        <w:rPr>
          <w:rFonts w:ascii="Calibri" w:hAnsi="Calibri" w:cs="Calibri"/>
        </w:rPr>
        <w:t xml:space="preserve">will proceed with </w:t>
      </w:r>
      <w:r w:rsidRPr="00FA4E09" w:rsidR="004A31EA">
        <w:rPr>
          <w:rFonts w:ascii="Calibri" w:hAnsi="Calibri" w:cs="Calibri"/>
        </w:rPr>
        <w:t>requiring use of</w:t>
      </w:r>
      <w:r w:rsidRPr="00BD5780" w:rsidR="00CF7667">
        <w:rPr>
          <w:rFonts w:ascii="Calibri" w:hAnsi="Calibri" w:cs="Calibri"/>
        </w:rPr>
        <w:t xml:space="preserve"> EPA </w:t>
      </w:r>
      <w:r w:rsidRPr="00BD5780" w:rsidR="00695315">
        <w:rPr>
          <w:rFonts w:ascii="Calibri" w:hAnsi="Calibri" w:cs="Calibri"/>
        </w:rPr>
        <w:t>Method</w:t>
      </w:r>
      <w:r w:rsidRPr="00BD5780" w:rsidR="00CF7667">
        <w:rPr>
          <w:rFonts w:ascii="Calibri" w:hAnsi="Calibri" w:cs="Calibri"/>
        </w:rPr>
        <w:t>s</w:t>
      </w:r>
      <w:r w:rsidRPr="00BD5780" w:rsidR="00695315">
        <w:rPr>
          <w:rFonts w:ascii="Calibri" w:hAnsi="Calibri" w:cs="Calibri"/>
        </w:rPr>
        <w:t xml:space="preserve"> 1633 and 1621.</w:t>
      </w:r>
      <w:r w:rsidRPr="00BD5780" w:rsidR="00276D8C">
        <w:rPr>
          <w:rFonts w:ascii="Calibri" w:hAnsi="Calibri" w:cs="Calibri"/>
        </w:rPr>
        <w:t xml:space="preserve"> </w:t>
      </w:r>
    </w:p>
    <w:p w:rsidR="00CF7667" w:rsidRPr="000B14EC" w:rsidP="000E5A11" w14:paraId="79131F0A" w14:textId="43F8DE07">
      <w:pPr>
        <w:pStyle w:val="ListBulletSingle"/>
        <w:spacing w:after="80"/>
        <w:ind w:left="720" w:hanging="360"/>
        <w:rPr>
          <w:rFonts w:ascii="Calibri" w:hAnsi="Calibri" w:cs="Calibri"/>
        </w:rPr>
      </w:pPr>
      <w:r w:rsidRPr="00BD5780">
        <w:rPr>
          <w:rFonts w:ascii="Calibri" w:hAnsi="Calibri" w:cs="Calibri"/>
        </w:rPr>
        <w:t xml:space="preserve">Commenters expressed concern that one-time grab samples are impacted by </w:t>
      </w:r>
      <w:r w:rsidRPr="00BD5780" w:rsidR="00B42803">
        <w:rPr>
          <w:rFonts w:ascii="Calibri" w:hAnsi="Calibri" w:cs="Calibri"/>
        </w:rPr>
        <w:t xml:space="preserve">environmental conditions at the time of sampling and </w:t>
      </w:r>
      <w:r w:rsidRPr="00BD5780">
        <w:rPr>
          <w:rFonts w:ascii="Calibri" w:hAnsi="Calibri" w:cs="Calibri"/>
        </w:rPr>
        <w:t xml:space="preserve">will </w:t>
      </w:r>
      <w:r w:rsidRPr="00FA4E09" w:rsidR="00932010">
        <w:rPr>
          <w:rFonts w:ascii="Calibri" w:hAnsi="Calibri" w:cs="Calibri"/>
        </w:rPr>
        <w:t>not be</w:t>
      </w:r>
      <w:r w:rsidRPr="00BD5780">
        <w:rPr>
          <w:rFonts w:ascii="Calibri" w:hAnsi="Calibri" w:cs="Calibri"/>
        </w:rPr>
        <w:t xml:space="preserve"> representative of variable </w:t>
      </w:r>
      <w:r w:rsidRPr="00BD5780" w:rsidR="00B42803">
        <w:rPr>
          <w:rFonts w:ascii="Calibri" w:hAnsi="Calibri" w:cs="Calibri"/>
        </w:rPr>
        <w:t>wastestreams.</w:t>
      </w:r>
      <w:r w:rsidRPr="00BD5780">
        <w:rPr>
          <w:rFonts w:ascii="Calibri" w:hAnsi="Calibri" w:cs="Calibri"/>
        </w:rPr>
        <w:t xml:space="preserve"> </w:t>
      </w:r>
      <w:r w:rsidRPr="00BD5780" w:rsidR="00CE453E">
        <w:rPr>
          <w:rFonts w:ascii="Calibri" w:hAnsi="Calibri" w:cs="Calibri"/>
        </w:rPr>
        <w:t xml:space="preserve">The EPA will not require additional grab samples or composite sampling </w:t>
      </w:r>
      <w:r w:rsidRPr="00FA4E09" w:rsidR="00DD1B6D">
        <w:rPr>
          <w:rFonts w:ascii="Calibri" w:hAnsi="Calibri" w:cs="Calibri"/>
        </w:rPr>
        <w:t>to minimize burden on industry</w:t>
      </w:r>
      <w:r w:rsidRPr="000B14EC" w:rsidR="00E92133">
        <w:rPr>
          <w:rFonts w:ascii="Calibri" w:hAnsi="Calibri" w:cs="Calibri"/>
        </w:rPr>
        <w:t xml:space="preserve">; however, </w:t>
      </w:r>
      <w:r w:rsidRPr="000B14EC" w:rsidR="00133ABD">
        <w:rPr>
          <w:rFonts w:ascii="Calibri" w:hAnsi="Calibri" w:cs="Calibri"/>
        </w:rPr>
        <w:t>t</w:t>
      </w:r>
      <w:r w:rsidRPr="000B14EC" w:rsidR="00E92133">
        <w:rPr>
          <w:rFonts w:ascii="Calibri" w:hAnsi="Calibri" w:cs="Calibri"/>
        </w:rPr>
        <w:t xml:space="preserve">he EPA </w:t>
      </w:r>
      <w:r w:rsidRPr="000B14EC" w:rsidR="00133ABD">
        <w:rPr>
          <w:rFonts w:ascii="Calibri" w:hAnsi="Calibri" w:cs="Calibri"/>
        </w:rPr>
        <w:t xml:space="preserve">may </w:t>
      </w:r>
      <w:r w:rsidRPr="000B14EC" w:rsidR="00E92133">
        <w:rPr>
          <w:rFonts w:ascii="Calibri" w:hAnsi="Calibri" w:cs="Calibri"/>
        </w:rPr>
        <w:t xml:space="preserve">accept </w:t>
      </w:r>
      <w:r w:rsidRPr="000B14EC" w:rsidR="00C7277D">
        <w:rPr>
          <w:rFonts w:ascii="Calibri" w:hAnsi="Calibri" w:cs="Calibri"/>
        </w:rPr>
        <w:t xml:space="preserve">existing data that consists of </w:t>
      </w:r>
      <w:r w:rsidRPr="000B14EC" w:rsidR="00E92133">
        <w:rPr>
          <w:rFonts w:ascii="Calibri" w:hAnsi="Calibri" w:cs="Calibri"/>
        </w:rPr>
        <w:t>composite samples</w:t>
      </w:r>
      <w:r w:rsidRPr="000B14EC" w:rsidR="00C7277D">
        <w:rPr>
          <w:rFonts w:ascii="Calibri" w:hAnsi="Calibri" w:cs="Calibri"/>
        </w:rPr>
        <w:t>,</w:t>
      </w:r>
      <w:r w:rsidRPr="000B14EC" w:rsidR="00133ABD">
        <w:rPr>
          <w:rFonts w:ascii="Calibri" w:hAnsi="Calibri" w:cs="Calibri"/>
        </w:rPr>
        <w:t xml:space="preserve"> provided th</w:t>
      </w:r>
      <w:r w:rsidRPr="000B14EC" w:rsidR="00C7277D">
        <w:rPr>
          <w:rFonts w:ascii="Calibri" w:hAnsi="Calibri" w:cs="Calibri"/>
        </w:rPr>
        <w:t xml:space="preserve">at the data </w:t>
      </w:r>
      <w:r w:rsidRPr="000B14EC" w:rsidR="00920C0E">
        <w:rPr>
          <w:rFonts w:ascii="Calibri" w:hAnsi="Calibri" w:cs="Calibri"/>
        </w:rPr>
        <w:t>meets the acceptance criteria.</w:t>
      </w:r>
      <w:r w:rsidRPr="000B14EC" w:rsidR="00133ABD">
        <w:rPr>
          <w:rFonts w:ascii="Calibri" w:hAnsi="Calibri" w:cs="Calibri"/>
        </w:rPr>
        <w:t xml:space="preserve"> </w:t>
      </w:r>
      <w:r w:rsidRPr="00FA4E09" w:rsidR="00E35266">
        <w:rPr>
          <w:rFonts w:ascii="Calibri" w:hAnsi="Calibri" w:cs="Calibri"/>
        </w:rPr>
        <w:t>Additionally</w:t>
      </w:r>
      <w:r w:rsidRPr="00FA4E09" w:rsidR="00AB3C71">
        <w:rPr>
          <w:rFonts w:ascii="Calibri" w:hAnsi="Calibri" w:cs="Calibri"/>
        </w:rPr>
        <w:t xml:space="preserve">, </w:t>
      </w:r>
      <w:r w:rsidRPr="00FA4E09" w:rsidR="00B813AE">
        <w:rPr>
          <w:rFonts w:ascii="Calibri" w:hAnsi="Calibri" w:cs="Calibri"/>
        </w:rPr>
        <w:t xml:space="preserve">the EPA will accept any other historical sampling data </w:t>
      </w:r>
      <w:r w:rsidRPr="00FA4E09" w:rsidR="00AC6F1A">
        <w:rPr>
          <w:rFonts w:ascii="Calibri" w:hAnsi="Calibri" w:cs="Calibri"/>
        </w:rPr>
        <w:t xml:space="preserve">via </w:t>
      </w:r>
      <w:r w:rsidRPr="00FA4E09" w:rsidR="00547A89">
        <w:rPr>
          <w:rFonts w:ascii="Calibri" w:hAnsi="Calibri" w:cs="Calibri"/>
        </w:rPr>
        <w:t>the Voluntary Data Submission Portal</w:t>
      </w:r>
      <w:r w:rsidRPr="00FA4E09" w:rsidR="00B813AE">
        <w:rPr>
          <w:rFonts w:ascii="Calibri" w:hAnsi="Calibri" w:cs="Calibri"/>
        </w:rPr>
        <w:t xml:space="preserve">. </w:t>
      </w:r>
    </w:p>
    <w:p w:rsidR="005E4CA9" w:rsidRPr="00E92827" w:rsidP="000E5A11" w14:paraId="62846777" w14:textId="2D528970">
      <w:pPr>
        <w:pStyle w:val="ListBulletSingle"/>
        <w:spacing w:after="80"/>
        <w:ind w:left="720" w:hanging="360"/>
        <w:rPr>
          <w:rFonts w:ascii="Calibri" w:hAnsi="Calibri" w:cs="Calibri"/>
        </w:rPr>
      </w:pPr>
      <w:r w:rsidRPr="000B14EC">
        <w:rPr>
          <w:rFonts w:ascii="Calibri" w:hAnsi="Calibri" w:cs="Calibri"/>
        </w:rPr>
        <w:t xml:space="preserve">Commenters expressed concern </w:t>
      </w:r>
      <w:r w:rsidRPr="000B14EC" w:rsidR="00A67989">
        <w:rPr>
          <w:rFonts w:ascii="Calibri" w:hAnsi="Calibri" w:cs="Calibri"/>
        </w:rPr>
        <w:t xml:space="preserve">regarding public reactions and potential liability </w:t>
      </w:r>
      <w:r w:rsidRPr="000B14EC" w:rsidR="0020669D">
        <w:rPr>
          <w:rFonts w:ascii="Calibri" w:hAnsi="Calibri" w:cs="Calibri"/>
        </w:rPr>
        <w:t>resulting</w:t>
      </w:r>
      <w:r w:rsidRPr="000B14EC" w:rsidR="00A67989">
        <w:rPr>
          <w:rFonts w:ascii="Calibri" w:hAnsi="Calibri" w:cs="Calibri"/>
        </w:rPr>
        <w:t xml:space="preserve"> from findings and sampling results. </w:t>
      </w:r>
      <w:r w:rsidRPr="00FA4E09" w:rsidR="00A67989">
        <w:rPr>
          <w:rFonts w:ascii="Calibri" w:hAnsi="Calibri" w:cs="Calibri"/>
        </w:rPr>
        <w:t>T</w:t>
      </w:r>
      <w:r w:rsidRPr="000B14EC" w:rsidR="00A67989">
        <w:rPr>
          <w:rFonts w:ascii="Calibri" w:hAnsi="Calibri" w:cs="Calibri"/>
        </w:rPr>
        <w:t xml:space="preserve">he EPA </w:t>
      </w:r>
      <w:r w:rsidRPr="00FA4E09" w:rsidR="00A67989">
        <w:rPr>
          <w:rFonts w:ascii="Calibri" w:hAnsi="Calibri" w:cs="Calibri"/>
        </w:rPr>
        <w:t xml:space="preserve">intends to </w:t>
      </w:r>
      <w:r w:rsidRPr="00FA4E09">
        <w:rPr>
          <w:rFonts w:ascii="Calibri" w:hAnsi="Calibri" w:cs="Calibri"/>
        </w:rPr>
        <w:t xml:space="preserve">report </w:t>
      </w:r>
      <w:r w:rsidRPr="000B14EC">
        <w:rPr>
          <w:rFonts w:ascii="Calibri" w:hAnsi="Calibri" w:cs="Calibri"/>
        </w:rPr>
        <w:t xml:space="preserve">aggregated </w:t>
      </w:r>
      <w:r w:rsidRPr="00FA4E09" w:rsidR="00BC7BA6">
        <w:rPr>
          <w:rFonts w:ascii="Calibri" w:hAnsi="Calibri" w:cs="Calibri"/>
        </w:rPr>
        <w:t xml:space="preserve">wastewater </w:t>
      </w:r>
      <w:r w:rsidRPr="000B14EC">
        <w:rPr>
          <w:rFonts w:ascii="Calibri" w:hAnsi="Calibri" w:cs="Calibri"/>
        </w:rPr>
        <w:t xml:space="preserve">results </w:t>
      </w:r>
      <w:r w:rsidRPr="00FA4E09" w:rsidR="00C74DF4">
        <w:rPr>
          <w:rFonts w:ascii="Calibri" w:hAnsi="Calibri" w:cs="Calibri"/>
        </w:rPr>
        <w:t xml:space="preserve">in the final </w:t>
      </w:r>
      <w:r w:rsidRPr="00FA4E09" w:rsidR="009316F2">
        <w:rPr>
          <w:rFonts w:ascii="Calibri" w:hAnsi="Calibri" w:cs="Calibri"/>
        </w:rPr>
        <w:t>POTW Influent PFAS Study</w:t>
      </w:r>
      <w:r w:rsidRPr="00FA4E09" w:rsidR="00C74DF4">
        <w:rPr>
          <w:rFonts w:ascii="Calibri" w:hAnsi="Calibri" w:cs="Calibri"/>
        </w:rPr>
        <w:t xml:space="preserve"> report. </w:t>
      </w:r>
    </w:p>
    <w:p w:rsidR="00C403D3" w:rsidRPr="003D6781" w:rsidP="003D6781" w14:paraId="12B9E3E9" w14:textId="36239C38">
      <w:pPr>
        <w:pStyle w:val="ListBulletSingle"/>
        <w:spacing w:after="240"/>
        <w:ind w:left="720" w:hanging="360"/>
        <w:rPr>
          <w:rFonts w:ascii="Calibri" w:hAnsi="Calibri" w:cs="Calibri"/>
        </w:rPr>
      </w:pPr>
      <w:r w:rsidRPr="00E92827">
        <w:rPr>
          <w:rFonts w:ascii="Calibri" w:hAnsi="Calibri" w:cs="Calibri"/>
        </w:rPr>
        <w:t xml:space="preserve">Commenters asserted that the </w:t>
      </w:r>
      <w:r w:rsidR="00E92827">
        <w:rPr>
          <w:rFonts w:ascii="Calibri" w:hAnsi="Calibri" w:cs="Calibri"/>
        </w:rPr>
        <w:t>collection of</w:t>
      </w:r>
      <w:r w:rsidRPr="00E92827">
        <w:rPr>
          <w:rFonts w:ascii="Calibri" w:hAnsi="Calibri" w:cs="Calibri"/>
        </w:rPr>
        <w:t xml:space="preserve"> </w:t>
      </w:r>
      <w:r w:rsidRPr="00E92827" w:rsidR="00C31900">
        <w:rPr>
          <w:rFonts w:ascii="Calibri" w:hAnsi="Calibri" w:cs="Calibri"/>
        </w:rPr>
        <w:t xml:space="preserve">sewage </w:t>
      </w:r>
      <w:r w:rsidRPr="00FA4E09" w:rsidR="000077A0">
        <w:rPr>
          <w:rFonts w:ascii="Calibri" w:hAnsi="Calibri" w:cs="Calibri"/>
        </w:rPr>
        <w:t>sludge</w:t>
      </w:r>
      <w:r w:rsidRPr="00E92827" w:rsidR="00C31900">
        <w:rPr>
          <w:rFonts w:ascii="Calibri" w:hAnsi="Calibri" w:cs="Calibri"/>
        </w:rPr>
        <w:t xml:space="preserve"> </w:t>
      </w:r>
      <w:r w:rsidRPr="00FA4E09" w:rsidR="00053D43">
        <w:rPr>
          <w:rFonts w:ascii="Calibri" w:hAnsi="Calibri" w:cs="Calibri"/>
        </w:rPr>
        <w:t xml:space="preserve">data </w:t>
      </w:r>
      <w:r w:rsidR="00E92827">
        <w:rPr>
          <w:rFonts w:ascii="Calibri" w:hAnsi="Calibri" w:cs="Calibri"/>
        </w:rPr>
        <w:t>is</w:t>
      </w:r>
      <w:r w:rsidRPr="00E92827" w:rsidR="00C31900">
        <w:rPr>
          <w:rFonts w:ascii="Calibri" w:hAnsi="Calibri" w:cs="Calibri"/>
        </w:rPr>
        <w:t xml:space="preserve"> outside the</w:t>
      </w:r>
      <w:r w:rsidR="00E92827">
        <w:rPr>
          <w:rFonts w:ascii="Calibri" w:hAnsi="Calibri" w:cs="Calibri"/>
        </w:rPr>
        <w:t xml:space="preserve"> scope of the</w:t>
      </w:r>
      <w:r w:rsidRPr="00E92827" w:rsidR="00C31900">
        <w:rPr>
          <w:rFonts w:ascii="Calibri" w:hAnsi="Calibri" w:cs="Calibri"/>
        </w:rPr>
        <w:t xml:space="preserve"> ELG</w:t>
      </w:r>
      <w:r w:rsidR="003D6781">
        <w:rPr>
          <w:rFonts w:ascii="Calibri" w:hAnsi="Calibri" w:cs="Calibri"/>
        </w:rPr>
        <w:t>s</w:t>
      </w:r>
      <w:r w:rsidRPr="00E92827" w:rsidR="00C31900">
        <w:rPr>
          <w:rFonts w:ascii="Calibri" w:hAnsi="Calibri" w:cs="Calibri"/>
        </w:rPr>
        <w:t xml:space="preserve"> program and </w:t>
      </w:r>
      <w:r w:rsidRPr="00E92827" w:rsidR="00C21D81">
        <w:rPr>
          <w:rFonts w:ascii="Calibri" w:hAnsi="Calibri" w:cs="Calibri"/>
        </w:rPr>
        <w:t xml:space="preserve">sewage </w:t>
      </w:r>
      <w:r w:rsidRPr="00FA4E09" w:rsidR="000077A0">
        <w:rPr>
          <w:rFonts w:ascii="Calibri" w:hAnsi="Calibri" w:cs="Calibri"/>
        </w:rPr>
        <w:t>sludge</w:t>
      </w:r>
      <w:r w:rsidRPr="003D6781" w:rsidR="00C21D81">
        <w:rPr>
          <w:rFonts w:ascii="Calibri" w:hAnsi="Calibri" w:cs="Calibri"/>
        </w:rPr>
        <w:t xml:space="preserve"> should be its own study. </w:t>
      </w:r>
      <w:r w:rsidRPr="003D6781" w:rsidR="00861D8C">
        <w:rPr>
          <w:rFonts w:ascii="Calibri" w:hAnsi="Calibri" w:cs="Calibri"/>
        </w:rPr>
        <w:t>Th</w:t>
      </w:r>
      <w:r w:rsidRPr="00FA4E09" w:rsidR="009408D5">
        <w:rPr>
          <w:rFonts w:ascii="Calibri" w:hAnsi="Calibri" w:cs="Calibri"/>
        </w:rPr>
        <w:t>is ICR includes the data collection for two separate studies</w:t>
      </w:r>
      <w:r w:rsidRPr="00FA4E09" w:rsidR="005947A1">
        <w:rPr>
          <w:rFonts w:ascii="Calibri" w:hAnsi="Calibri" w:cs="Calibri"/>
        </w:rPr>
        <w:t xml:space="preserve"> –</w:t>
      </w:r>
      <w:r w:rsidRPr="00FA4E09" w:rsidR="009408D5">
        <w:rPr>
          <w:rFonts w:ascii="Calibri" w:hAnsi="Calibri" w:cs="Calibri"/>
        </w:rPr>
        <w:t xml:space="preserve"> the</w:t>
      </w:r>
      <w:r w:rsidRPr="003D6781" w:rsidR="00861D8C">
        <w:rPr>
          <w:rFonts w:ascii="Calibri" w:hAnsi="Calibri" w:cs="Calibri"/>
        </w:rPr>
        <w:t xml:space="preserve"> POTW Influent PFAS Study </w:t>
      </w:r>
      <w:r w:rsidRPr="00FA4E09" w:rsidR="009408D5">
        <w:rPr>
          <w:rFonts w:ascii="Calibri" w:hAnsi="Calibri" w:cs="Calibri"/>
        </w:rPr>
        <w:t xml:space="preserve">and the </w:t>
      </w:r>
      <w:r w:rsidRPr="00FA4E09" w:rsidR="001325D4">
        <w:rPr>
          <w:rFonts w:ascii="Calibri" w:hAnsi="Calibri" w:cs="Calibri"/>
        </w:rPr>
        <w:t>NSSS</w:t>
      </w:r>
      <w:r w:rsidRPr="003D6781" w:rsidR="00861D8C">
        <w:rPr>
          <w:rFonts w:ascii="Calibri" w:hAnsi="Calibri" w:cs="Calibri"/>
        </w:rPr>
        <w:t>.</w:t>
      </w:r>
      <w:r w:rsidR="003D6781">
        <w:rPr>
          <w:rFonts w:ascii="Calibri" w:hAnsi="Calibri" w:cs="Calibri"/>
        </w:rPr>
        <w:t xml:space="preserve"> </w:t>
      </w:r>
      <w:r w:rsidRPr="00565076" w:rsidR="003D6781">
        <w:rPr>
          <w:rFonts w:ascii="Calibri" w:hAnsi="Calibri" w:cs="Calibri"/>
        </w:rPr>
        <w:t xml:space="preserve">The data generated by the NSSS </w:t>
      </w:r>
      <w:r w:rsidR="003D6781">
        <w:rPr>
          <w:rFonts w:ascii="Calibri" w:hAnsi="Calibri" w:cs="Calibri"/>
        </w:rPr>
        <w:t xml:space="preserve">will inform </w:t>
      </w:r>
      <w:r w:rsidRPr="00565076" w:rsidR="003D6781">
        <w:rPr>
          <w:rFonts w:ascii="Calibri" w:hAnsi="Calibri" w:cs="Calibri"/>
        </w:rPr>
        <w:t>future risk assessments and risk management options</w:t>
      </w:r>
      <w:r w:rsidR="003D6781">
        <w:rPr>
          <w:rFonts w:ascii="Calibri" w:hAnsi="Calibri" w:cs="Calibri"/>
        </w:rPr>
        <w:t xml:space="preserve"> for sewage sludge</w:t>
      </w:r>
      <w:r w:rsidRPr="00565076" w:rsidR="003D6781">
        <w:rPr>
          <w:rFonts w:ascii="Calibri" w:hAnsi="Calibri" w:cs="Calibri"/>
        </w:rPr>
        <w:t>.</w:t>
      </w:r>
      <w:r w:rsidRPr="00FA4E09" w:rsidR="00BB5461">
        <w:rPr>
          <w:rFonts w:ascii="Calibri" w:hAnsi="Calibri" w:cs="Calibri"/>
        </w:rPr>
        <w:t xml:space="preserve"> </w:t>
      </w:r>
    </w:p>
    <w:p w:rsidR="00ED57A4" w:rsidRPr="00FA4E09" w:rsidP="00A549E9" w14:paraId="102C4D0F" w14:textId="55183C4B">
      <w:pPr>
        <w:rPr>
          <w:rFonts w:ascii="Calibri" w:hAnsi="Calibri" w:cs="Calibri"/>
        </w:rPr>
      </w:pPr>
      <w:r w:rsidRPr="00FA4E09">
        <w:rPr>
          <w:rFonts w:ascii="Calibri" w:hAnsi="Calibri" w:cs="Calibri"/>
        </w:rPr>
        <w:t xml:space="preserve">The data collected through this ICR will allow the EPA to </w:t>
      </w:r>
      <w:r w:rsidR="00A549E9">
        <w:rPr>
          <w:rFonts w:ascii="Calibri" w:hAnsi="Calibri" w:cs="Calibri"/>
        </w:rPr>
        <w:t xml:space="preserve">collect </w:t>
      </w:r>
      <w:r w:rsidRPr="00A549E9" w:rsidR="00A549E9">
        <w:rPr>
          <w:rFonts w:ascii="Calibri" w:hAnsi="Calibri" w:cs="Calibri"/>
        </w:rPr>
        <w:t>data necessary to identify and quantify sources of PFAS discharges, prioritize industrial categories for potential regulation, and establish a current national data set of sewage sludge characteristics</w:t>
      </w:r>
      <w:r w:rsidRPr="00FA4E09" w:rsidR="00932010">
        <w:rPr>
          <w:rFonts w:ascii="Calibri" w:hAnsi="Calibri" w:cs="Calibri"/>
        </w:rPr>
        <w:t xml:space="preserve">. The </w:t>
      </w:r>
      <w:r w:rsidRPr="00FA4E09">
        <w:rPr>
          <w:rFonts w:ascii="Calibri" w:hAnsi="Calibri" w:cs="Calibri"/>
        </w:rPr>
        <w:t xml:space="preserve">EPA is continuing to pursue the POTW Influent </w:t>
      </w:r>
      <w:r w:rsidRPr="00FA4E09" w:rsidR="1B9A1912">
        <w:rPr>
          <w:rFonts w:ascii="Calibri" w:hAnsi="Calibri" w:cs="Calibri"/>
        </w:rPr>
        <w:t xml:space="preserve">PFAS Study and </w:t>
      </w:r>
      <w:r w:rsidRPr="00FA4E09" w:rsidR="001325D4">
        <w:rPr>
          <w:rFonts w:ascii="Calibri" w:hAnsi="Calibri" w:cs="Calibri"/>
        </w:rPr>
        <w:t>NSSS</w:t>
      </w:r>
      <w:r w:rsidRPr="00FA4E09" w:rsidR="1B9A1912">
        <w:rPr>
          <w:rFonts w:ascii="Calibri" w:hAnsi="Calibri" w:cs="Calibri"/>
        </w:rPr>
        <w:t xml:space="preserve"> </w:t>
      </w:r>
      <w:r w:rsidRPr="00FA4E09" w:rsidR="001325D4">
        <w:rPr>
          <w:rFonts w:ascii="Calibri" w:hAnsi="Calibri" w:cs="Calibri"/>
        </w:rPr>
        <w:t>d</w:t>
      </w:r>
      <w:r w:rsidRPr="00FA4E09">
        <w:rPr>
          <w:rFonts w:ascii="Calibri" w:hAnsi="Calibri" w:cs="Calibri"/>
        </w:rPr>
        <w:t xml:space="preserve">ata </w:t>
      </w:r>
      <w:r w:rsidRPr="00FA4E09" w:rsidR="001325D4">
        <w:rPr>
          <w:rFonts w:ascii="Calibri" w:hAnsi="Calibri" w:cs="Calibri"/>
        </w:rPr>
        <w:t>c</w:t>
      </w:r>
      <w:r w:rsidRPr="00FA4E09">
        <w:rPr>
          <w:rFonts w:ascii="Calibri" w:hAnsi="Calibri" w:cs="Calibri"/>
        </w:rPr>
        <w:t>ollection.</w:t>
      </w:r>
    </w:p>
    <w:bookmarkEnd w:id="8"/>
    <w:p w:rsidR="00DD1092" w:rsidRPr="00E3122D" w:rsidP="00DD1092" w14:paraId="2032EF52" w14:textId="77777777">
      <w:pPr>
        <w:spacing w:before="120" w:after="0"/>
        <w:rPr>
          <w:rFonts w:cstheme="minorHAnsi"/>
          <w:b/>
          <w:bCs/>
        </w:rPr>
      </w:pPr>
      <w:r w:rsidRPr="00E3122D">
        <w:rPr>
          <w:rFonts w:cstheme="minorHAnsi"/>
          <w:b/>
          <w:bCs/>
        </w:rPr>
        <w:t>8b. Consultations</w:t>
      </w:r>
    </w:p>
    <w:p w:rsidR="00DD1092" w:rsidRPr="00A233E0" w:rsidP="00DD1092" w14:paraId="5D13CEC4"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B6DD8" w:rsidRPr="00DD1092" w:rsidP="00EB6DD8" w14:paraId="2D058913" w14:textId="75D4447C">
      <w:pPr>
        <w:rPr>
          <w:rFonts w:cstheme="minorHAnsi"/>
        </w:rPr>
      </w:pPr>
      <w:r w:rsidRPr="00FA4E09">
        <w:rPr>
          <w:rFonts w:ascii="Calibri" w:hAnsi="Calibri" w:cs="Calibri"/>
        </w:rPr>
        <w:t xml:space="preserve">The EPA’s Office of Water has conducted consultation with individuals in the POTW industry and its trade associations and consultants to solicit their input on the need and use of a questionnaire and sampling program. From August 2023 through </w:t>
      </w:r>
      <w:r w:rsidR="000822B7">
        <w:rPr>
          <w:rFonts w:ascii="Calibri" w:hAnsi="Calibri" w:cs="Calibri"/>
        </w:rPr>
        <w:t>July</w:t>
      </w:r>
      <w:r w:rsidRPr="00FA4E09">
        <w:rPr>
          <w:rFonts w:ascii="Calibri" w:hAnsi="Calibri" w:cs="Calibri"/>
        </w:rPr>
        <w:t xml:space="preserve"> 2024, the EPA discussed the design and objectives of the POTW Influent PFAS Study </w:t>
      </w:r>
      <w:r w:rsidRPr="00FA4E09" w:rsidR="00677347">
        <w:rPr>
          <w:rFonts w:ascii="Calibri" w:hAnsi="Calibri" w:cs="Calibri"/>
        </w:rPr>
        <w:t xml:space="preserve">and NSSS </w:t>
      </w:r>
      <w:r w:rsidRPr="00FA4E09">
        <w:rPr>
          <w:rFonts w:ascii="Calibri" w:hAnsi="Calibri" w:cs="Calibri"/>
        </w:rPr>
        <w:t>with representatives from the National Association of Clean Water Agencies (NACWA), Association of Clean Water Administrators (ACWA), the Environmental Council of the States (ECOS), and states and EPA Regions participating in the EPA’s monthly national pretreatment meetings. The EPA plans to continue meeting and soliciting comments from these stakeholders throughout the development and administration of the questionnaire and sampling program.</w:t>
      </w:r>
    </w:p>
    <w:p w:rsidR="00EB6DD8" w:rsidRPr="00FA4E09" w:rsidP="00EB6DD8" w14:paraId="48685C9E" w14:textId="07B48BD0">
      <w:pPr>
        <w:rPr>
          <w:rFonts w:ascii="Calibri" w:hAnsi="Calibri" w:cs="Calibri"/>
        </w:rPr>
      </w:pPr>
      <w:r w:rsidRPr="00FA4E09">
        <w:rPr>
          <w:rFonts w:ascii="Calibri" w:hAnsi="Calibri" w:cs="Calibri"/>
        </w:rPr>
        <w:t xml:space="preserve">Since the EPA announced the POTW Influent PFAS Study in </w:t>
      </w:r>
      <w:r w:rsidRPr="00FA4E09">
        <w:rPr>
          <w:rFonts w:ascii="Calibri" w:hAnsi="Calibri" w:cs="Calibri"/>
          <w:i/>
          <w:iCs/>
        </w:rPr>
        <w:t>Effluent Guidelines Program Plan 15</w:t>
      </w:r>
      <w:r w:rsidRPr="00FA4E09">
        <w:rPr>
          <w:rFonts w:ascii="Calibri" w:hAnsi="Calibri" w:cs="Calibri"/>
        </w:rPr>
        <w:t xml:space="preserve"> in January 2023, the EPA has engaged with state environmental agencies, local permitting/municipal authorities, and other stakeholders to discuss the POTW Influent PFAS Study </w:t>
      </w:r>
      <w:r w:rsidRPr="00FA4E09" w:rsidR="00677347">
        <w:rPr>
          <w:rFonts w:ascii="Calibri" w:hAnsi="Calibri" w:cs="Calibri"/>
        </w:rPr>
        <w:t xml:space="preserve">and NSSS </w:t>
      </w:r>
      <w:r w:rsidRPr="00FA4E09">
        <w:rPr>
          <w:rFonts w:ascii="Calibri" w:hAnsi="Calibri" w:cs="Calibri"/>
        </w:rPr>
        <w:t>and availability of PFAS monitoring data for POTWs and industrial users:</w:t>
      </w:r>
    </w:p>
    <w:p w:rsidR="00EB6DD8" w:rsidRPr="00FA4E09" w:rsidP="00DD65A4" w14:paraId="47C9E2B7" w14:textId="77777777">
      <w:pPr>
        <w:pStyle w:val="ListBulletSingle"/>
        <w:spacing w:after="80"/>
        <w:ind w:left="720" w:hanging="360"/>
        <w:rPr>
          <w:rFonts w:ascii="Calibri" w:hAnsi="Calibri" w:cs="Calibri"/>
        </w:rPr>
      </w:pPr>
      <w:r w:rsidRPr="00FA4E09">
        <w:rPr>
          <w:rFonts w:ascii="Calibri" w:hAnsi="Calibri" w:cs="Calibri"/>
        </w:rPr>
        <w:t>California Water Boards.</w:t>
      </w:r>
    </w:p>
    <w:p w:rsidR="00EB6DD8" w:rsidRPr="00FA4E09" w:rsidP="00DD65A4" w14:paraId="1BD95051" w14:textId="77777777">
      <w:pPr>
        <w:pStyle w:val="ListBulletSingle"/>
        <w:spacing w:after="80"/>
        <w:ind w:left="720" w:hanging="360"/>
        <w:rPr>
          <w:rFonts w:ascii="Calibri" w:hAnsi="Calibri" w:cs="Calibri"/>
        </w:rPr>
      </w:pPr>
      <w:r w:rsidRPr="00FA4E09">
        <w:rPr>
          <w:rFonts w:ascii="Calibri" w:hAnsi="Calibri" w:cs="Calibri"/>
        </w:rPr>
        <w:t>Maine Department of Environmental Protection.</w:t>
      </w:r>
    </w:p>
    <w:p w:rsidR="00EB6DD8" w:rsidRPr="00FA4E09" w:rsidP="00DD65A4" w14:paraId="5E66F19F" w14:textId="77777777">
      <w:pPr>
        <w:pStyle w:val="ListBulletSingle"/>
        <w:spacing w:after="80"/>
        <w:ind w:left="720" w:hanging="360"/>
        <w:rPr>
          <w:rFonts w:ascii="Calibri" w:hAnsi="Calibri" w:cs="Calibri"/>
        </w:rPr>
      </w:pPr>
      <w:r w:rsidRPr="00FA4E09">
        <w:rPr>
          <w:rFonts w:ascii="Calibri" w:hAnsi="Calibri" w:cs="Calibri"/>
        </w:rPr>
        <w:t>Michigan Department of Environment, Great Lakes, and Energy (EGLE).</w:t>
      </w:r>
    </w:p>
    <w:p w:rsidR="00E0425D" w:rsidRPr="00FA4E09" w:rsidP="00DD65A4" w14:paraId="0D47D76F" w14:textId="16D27BFF">
      <w:pPr>
        <w:pStyle w:val="ListBulletSingle"/>
        <w:spacing w:after="80"/>
        <w:ind w:left="720" w:hanging="360"/>
        <w:rPr>
          <w:rFonts w:ascii="Calibri" w:hAnsi="Calibri" w:cs="Calibri"/>
        </w:rPr>
      </w:pPr>
      <w:r w:rsidRPr="00FA4E09">
        <w:rPr>
          <w:rFonts w:ascii="Calibri" w:hAnsi="Calibri" w:cs="Calibri"/>
        </w:rPr>
        <w:t>Rhode Island Department of Environmental Management.</w:t>
      </w:r>
    </w:p>
    <w:p w:rsidR="00EB6DD8" w:rsidRPr="00FA4E09" w:rsidP="00DD65A4" w14:paraId="384A8585" w14:textId="77777777">
      <w:pPr>
        <w:pStyle w:val="ListBulletSingle"/>
        <w:spacing w:after="80"/>
        <w:ind w:left="720" w:hanging="360"/>
        <w:rPr>
          <w:rFonts w:ascii="Calibri" w:hAnsi="Calibri" w:cs="Calibri"/>
        </w:rPr>
      </w:pPr>
      <w:r w:rsidRPr="00FA4E09">
        <w:rPr>
          <w:rFonts w:ascii="Calibri" w:hAnsi="Calibri" w:cs="Calibri"/>
        </w:rPr>
        <w:t>San Francisco Estuary Institute (SFEI).</w:t>
      </w:r>
    </w:p>
    <w:p w:rsidR="00EB6DD8" w:rsidRPr="00FA4E09" w:rsidP="00DD65A4" w14:paraId="30038CD0" w14:textId="77777777">
      <w:pPr>
        <w:pStyle w:val="ListBulletSingle"/>
        <w:spacing w:after="80"/>
        <w:ind w:left="720" w:hanging="360"/>
        <w:rPr>
          <w:rFonts w:ascii="Calibri" w:hAnsi="Calibri" w:cs="Calibri"/>
        </w:rPr>
      </w:pPr>
      <w:r w:rsidRPr="00FA4E09">
        <w:rPr>
          <w:rFonts w:ascii="Calibri" w:hAnsi="Calibri" w:cs="Calibri"/>
        </w:rPr>
        <w:t>South Carolina Department of Health and Environmental Control (DHEC).</w:t>
      </w:r>
    </w:p>
    <w:p w:rsidR="00EB6DD8" w:rsidRPr="00FA4E09" w:rsidP="00DD65A4" w14:paraId="0E3C35AC" w14:textId="473AA61D">
      <w:pPr>
        <w:pStyle w:val="ListBulletLast"/>
        <w:spacing w:after="80"/>
        <w:ind w:left="720" w:hanging="360"/>
        <w:rPr>
          <w:rFonts w:ascii="Calibri" w:hAnsi="Calibri" w:cs="Calibri"/>
        </w:rPr>
      </w:pPr>
      <w:r w:rsidRPr="00FA4E09">
        <w:rPr>
          <w:rFonts w:ascii="Calibri" w:hAnsi="Calibri" w:cs="Calibri"/>
        </w:rPr>
        <w:t xml:space="preserve">Wisconsin Department of Natural Resources (DNR). </w:t>
      </w:r>
    </w:p>
    <w:p w:rsidR="00111663" w:rsidRPr="00FA4E09" w:rsidP="00DF5366" w14:paraId="5E198479" w14:textId="36E3BC3C">
      <w:pPr>
        <w:spacing w:before="240"/>
        <w:rPr>
          <w:rFonts w:ascii="Calibri" w:hAnsi="Calibri" w:cs="Calibri"/>
        </w:rPr>
      </w:pPr>
      <w:r w:rsidRPr="00FA4E09">
        <w:rPr>
          <w:rFonts w:ascii="Calibri" w:hAnsi="Calibri" w:cs="Calibri"/>
        </w:rPr>
        <w:t>The EPA was not able to conduct outreach to every state agency, nor did every state have the same types of data or level of detail available for POTWs.</w:t>
      </w:r>
    </w:p>
    <w:p w:rsidR="00DD1092" w:rsidRPr="00E3122D" w:rsidP="00DD1092" w14:paraId="2617AD3D" w14:textId="77777777">
      <w:pPr>
        <w:pStyle w:val="ListParagraph"/>
        <w:numPr>
          <w:ilvl w:val="0"/>
          <w:numId w:val="25"/>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DD1092" w:rsidRPr="00D47CB3" w:rsidP="00DD1092" w14:paraId="755DB1FB" w14:textId="77777777">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FA4E09" w:rsidP="00854AAE" w14:paraId="0D75D3D3" w14:textId="46861C83">
      <w:pPr>
        <w:rPr>
          <w:rFonts w:ascii="Calibri" w:hAnsi="Calibri" w:cs="Calibri"/>
        </w:rPr>
      </w:pPr>
      <w:r w:rsidRPr="00FA4E09">
        <w:rPr>
          <w:rStyle w:val="normaltextrun"/>
          <w:rFonts w:ascii="Calibri" w:hAnsi="Calibri" w:cs="Calibri"/>
          <w:color w:val="000000"/>
          <w:bdr w:val="none" w:sz="0" w:space="0" w:color="auto" w:frame="1"/>
        </w:rPr>
        <w:t>No payments or gifts are provided to respondents.</w:t>
      </w:r>
    </w:p>
    <w:p w:rsidR="00DD1092" w:rsidP="00DD1092" w14:paraId="59E4B98F" w14:textId="77777777">
      <w:pPr>
        <w:pStyle w:val="ListParagraph"/>
        <w:numPr>
          <w:ilvl w:val="0"/>
          <w:numId w:val="25"/>
        </w:numPr>
        <w:pBdr>
          <w:bottom w:val="single" w:sz="4" w:space="1" w:color="auto"/>
        </w:pBdr>
        <w:spacing w:before="240" w:after="0"/>
        <w:rPr>
          <w:b/>
          <w:bCs/>
        </w:rPr>
      </w:pPr>
      <w:r w:rsidRPr="4BDBF0A0">
        <w:rPr>
          <w:b/>
          <w:bCs/>
        </w:rPr>
        <w:t>ASSURANCE OF CONFIDENTIALITY</w:t>
      </w:r>
    </w:p>
    <w:p w:rsidR="00DD1092" w:rsidRPr="00A233E0" w:rsidP="00DD1092" w14:paraId="36AF869B" w14:textId="77777777">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EB6DD8" w:rsidRPr="00FA4E09" w:rsidP="00DD65A4" w14:paraId="397A285B" w14:textId="77777777">
      <w:pPr>
        <w:pBdr>
          <w:top w:val="single" w:sz="6" w:space="0" w:color="FFFFFF"/>
          <w:left w:val="single" w:sz="6" w:space="0" w:color="FFFFFF"/>
          <w:bottom w:val="single" w:sz="6" w:space="0" w:color="FFFFFF"/>
          <w:right w:val="single" w:sz="6" w:space="0" w:color="FFFFFF"/>
        </w:pBdr>
        <w:rPr>
          <w:rFonts w:ascii="Calibri" w:hAnsi="Calibri" w:cs="Calibri"/>
          <w:color w:val="000000"/>
        </w:rPr>
      </w:pPr>
      <w:r w:rsidRPr="00FA4E09">
        <w:rPr>
          <w:rFonts w:ascii="Calibri" w:hAnsi="Calibri" w:cs="Calibri"/>
          <w:color w:val="000000"/>
        </w:rPr>
        <w:t>The EPA anticipates the information collected in the questionnaire will not be claimed as Confidential Business Information (CBI) because:</w:t>
      </w:r>
    </w:p>
    <w:p w:rsidR="00EB6DD8" w:rsidRPr="00FA4E09" w:rsidP="00DD65A4" w14:paraId="0D8CC098" w14:textId="579E1C0C">
      <w:pPr>
        <w:pStyle w:val="ListBulletSingle"/>
        <w:spacing w:after="80"/>
        <w:ind w:left="720" w:hanging="360"/>
        <w:rPr>
          <w:rFonts w:ascii="Calibri" w:hAnsi="Calibri" w:cs="Calibri"/>
        </w:rPr>
      </w:pPr>
      <w:r w:rsidRPr="00FA4E09">
        <w:rPr>
          <w:rFonts w:ascii="Calibri" w:hAnsi="Calibri" w:cs="Calibri"/>
        </w:rPr>
        <w:t>Effluent data cannot be claimed as CBI;</w:t>
      </w:r>
    </w:p>
    <w:p w:rsidR="000A5320" w:rsidRPr="00FA4E09" w:rsidP="00DD65A4" w14:paraId="32BBECA0" w14:textId="75C64DA5">
      <w:pPr>
        <w:pStyle w:val="ListBulletSingle"/>
        <w:spacing w:after="80"/>
        <w:ind w:left="720" w:hanging="360"/>
        <w:rPr>
          <w:rFonts w:ascii="Calibri" w:hAnsi="Calibri" w:cs="Calibri"/>
        </w:rPr>
      </w:pPr>
      <w:r w:rsidRPr="00FA4E09">
        <w:rPr>
          <w:rFonts w:ascii="Calibri" w:hAnsi="Calibri" w:cs="Calibri"/>
        </w:rPr>
        <w:t xml:space="preserve">All </w:t>
      </w:r>
      <w:r w:rsidRPr="00FA4E09" w:rsidR="198844C6">
        <w:rPr>
          <w:rFonts w:ascii="Calibri" w:hAnsi="Calibri" w:cs="Calibri"/>
        </w:rPr>
        <w:t xml:space="preserve">facilities required to complete the questionnaire </w:t>
      </w:r>
      <w:r w:rsidRPr="00FA4E09" w:rsidR="3E54943F">
        <w:rPr>
          <w:rFonts w:ascii="Calibri" w:hAnsi="Calibri" w:cs="Calibri"/>
        </w:rPr>
        <w:t xml:space="preserve">and sampling </w:t>
      </w:r>
      <w:r w:rsidRPr="00FA4E09" w:rsidR="42696849">
        <w:rPr>
          <w:rFonts w:ascii="Calibri" w:hAnsi="Calibri" w:cs="Calibri"/>
        </w:rPr>
        <w:t>are public entities</w:t>
      </w:r>
      <w:r w:rsidRPr="00FA4E09" w:rsidR="49F3FC57">
        <w:rPr>
          <w:rFonts w:ascii="Calibri" w:hAnsi="Calibri" w:cs="Calibri"/>
        </w:rPr>
        <w:t>;</w:t>
      </w:r>
    </w:p>
    <w:p w:rsidR="00EB6DD8" w:rsidRPr="00FA4E09" w:rsidP="00DD65A4" w14:paraId="33631D98" w14:textId="77777777">
      <w:pPr>
        <w:pStyle w:val="ListBulletSingle"/>
        <w:spacing w:after="80"/>
        <w:ind w:left="720" w:hanging="360"/>
        <w:rPr>
          <w:rFonts w:ascii="Calibri" w:hAnsi="Calibri" w:cs="Calibri"/>
        </w:rPr>
      </w:pPr>
      <w:r w:rsidRPr="00FA4E09">
        <w:rPr>
          <w:rFonts w:ascii="Calibri" w:hAnsi="Calibri" w:cs="Calibri"/>
        </w:rPr>
        <w:t>It is unlikely that POTWs will have taken measures to protect the confidentiality of the basic information solicited in this questionnaire; and</w:t>
      </w:r>
    </w:p>
    <w:p w:rsidR="00005998" w:rsidRPr="00FA4E09" w:rsidP="00571A74" w14:paraId="01902297" w14:textId="5E927D5E">
      <w:pPr>
        <w:pStyle w:val="ListBulletLast"/>
        <w:ind w:left="720" w:hanging="360"/>
        <w:rPr>
          <w:rFonts w:ascii="Calibri" w:hAnsi="Calibri" w:cs="Calibri"/>
        </w:rPr>
      </w:pPr>
      <w:r w:rsidRPr="00FA4E09">
        <w:rPr>
          <w:rFonts w:ascii="Calibri" w:hAnsi="Calibri" w:cs="Calibri"/>
        </w:rPr>
        <w:t>The information is reasonably obtainable without the business’s consent by use of legitimate means.</w:t>
      </w:r>
    </w:p>
    <w:p w:rsidR="00DD1092" w:rsidP="00DD1092" w14:paraId="371E2213" w14:textId="1A0E0733">
      <w:pPr>
        <w:pStyle w:val="Heading1"/>
      </w:pPr>
      <w:r w:rsidRPr="00DD1092">
        <w:t>JUSTIFICATION FOR SENSITIVE QUESTIONS</w:t>
      </w:r>
    </w:p>
    <w:p w:rsidR="00DD1092" w:rsidRPr="00A233E0" w:rsidP="00DD1092" w14:paraId="55B18020" w14:textId="075DDE19">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FA4E09" w:rsidP="002E7822" w14:paraId="77467D05" w14:textId="5BC29758">
      <w:pPr>
        <w:pBdr>
          <w:top w:val="single" w:sz="6" w:space="0" w:color="FFFFFF"/>
          <w:left w:val="single" w:sz="6" w:space="0" w:color="FFFFFF"/>
          <w:bottom w:val="single" w:sz="6" w:space="0" w:color="FFFFFF"/>
          <w:right w:val="single" w:sz="6" w:space="0" w:color="FFFFFF"/>
        </w:pBdr>
        <w:spacing w:after="0"/>
        <w:rPr>
          <w:rFonts w:ascii="Calibri" w:hAnsi="Calibri" w:cs="Calibri"/>
          <w:color w:val="000000"/>
        </w:rPr>
      </w:pPr>
      <w:r w:rsidRPr="00FA4E09">
        <w:rPr>
          <w:rFonts w:ascii="Calibri" w:hAnsi="Calibri" w:cs="Calibri"/>
          <w:color w:val="000000"/>
        </w:rPr>
        <w:t>No sensitive questions pertaining to private or personal information, such as sexual behavior or religious beliefs, will be asked in the questionnaire or as part of the sampling program.</w:t>
      </w:r>
    </w:p>
    <w:p w:rsidR="00DD1092" w:rsidRPr="00E3122D" w:rsidP="00DD1092" w14:paraId="701F7B86" w14:textId="77777777">
      <w:pPr>
        <w:pStyle w:val="ListParagraph"/>
        <w:numPr>
          <w:ilvl w:val="0"/>
          <w:numId w:val="25"/>
        </w:numPr>
        <w:spacing w:before="240" w:after="0"/>
        <w:rPr>
          <w:rFonts w:cstheme="minorHAnsi"/>
          <w:b/>
          <w:bCs/>
        </w:rPr>
      </w:pPr>
      <w:bookmarkStart w:id="12" w:name="_Toc156593383"/>
      <w:bookmarkStart w:id="13" w:name="_Toc156593381"/>
      <w:r w:rsidRPr="4BDBF0A0">
        <w:rPr>
          <w:b/>
          <w:bCs/>
        </w:rPr>
        <w:t>RESPONDENT BURDEN HOURS &amp; LABOR COSTS</w:t>
      </w:r>
      <w:bookmarkStart w:id="14" w:name="_Toc156593382"/>
      <w:bookmarkEnd w:id="13"/>
    </w:p>
    <w:p w:rsidR="00DD1092" w:rsidRPr="00F532D6" w:rsidP="00DD1092" w14:paraId="02D2AF6E"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DD1092" w:rsidRPr="00F532D6" w:rsidP="00DD1092" w14:paraId="67A0CA3A"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DD1092" w:rsidRPr="00F532D6" w:rsidP="00DD1092" w14:paraId="1E7B06EA"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DD1092" w:rsidRPr="00F532D6" w:rsidP="00DD1092" w14:paraId="70C50271" w14:textId="77777777">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Pr>
          <w:rFonts w:cstheme="minorHAnsi"/>
          <w:i/>
          <w:iCs/>
        </w:rPr>
        <w:t>.</w:t>
      </w:r>
    </w:p>
    <w:p w:rsidR="00DD1092" w:rsidRPr="00E3122D" w:rsidP="00DD1092" w14:paraId="50FB952C" w14:textId="77777777">
      <w:pPr>
        <w:spacing w:before="120" w:after="0"/>
        <w:rPr>
          <w:rFonts w:cstheme="minorHAnsi"/>
          <w:b/>
          <w:bCs/>
        </w:rPr>
      </w:pPr>
      <w:r w:rsidRPr="00E3122D">
        <w:rPr>
          <w:rFonts w:cstheme="minorHAnsi"/>
          <w:b/>
          <w:bCs/>
        </w:rPr>
        <w:t>12a. Respondents/NAICS Codes</w:t>
      </w:r>
      <w:bookmarkEnd w:id="14"/>
    </w:p>
    <w:p w:rsidR="0024748D" w:rsidRPr="00FA4E09" w:rsidP="0024748D" w14:paraId="323F8825" w14:textId="1F07B9EB">
      <w:pPr>
        <w:pBdr>
          <w:top w:val="single" w:sz="6" w:space="0" w:color="FFFFFF"/>
          <w:left w:val="single" w:sz="6" w:space="0" w:color="FFFFFF"/>
          <w:bottom w:val="single" w:sz="6" w:space="0" w:color="FFFFFF"/>
          <w:right w:val="single" w:sz="6" w:space="0" w:color="FFFFFF"/>
        </w:pBdr>
        <w:spacing w:before="60"/>
        <w:rPr>
          <w:rFonts w:ascii="Calibri" w:hAnsi="Calibri" w:cs="Calibri"/>
          <w:color w:val="000000"/>
        </w:rPr>
      </w:pPr>
      <w:r w:rsidRPr="00FA4E09">
        <w:rPr>
          <w:rFonts w:ascii="Calibri" w:hAnsi="Calibri" w:cs="Calibri"/>
          <w:color w:val="000000" w:themeColor="text1"/>
        </w:rPr>
        <w:t xml:space="preserve">The questionnaire will collect information from approximately 400 POTWs, representing approximately 2.7 percent of the total population located in the United States. POTWs that administer pretreatment programs for industrial users serve as a centralized data source for indirect industrial wastewater discharges. The EPA will therefore use POTWs as a proxy for </w:t>
      </w:r>
      <w:r w:rsidRPr="00FA4E09" w:rsidR="0028208A">
        <w:rPr>
          <w:rFonts w:ascii="Calibri" w:hAnsi="Calibri" w:cs="Calibri"/>
          <w:color w:val="000000" w:themeColor="text1"/>
        </w:rPr>
        <w:t xml:space="preserve">collecting </w:t>
      </w:r>
      <w:r w:rsidRPr="00FA4E09" w:rsidR="0016184A">
        <w:rPr>
          <w:rFonts w:ascii="Calibri" w:hAnsi="Calibri" w:cs="Calibri"/>
          <w:color w:val="000000" w:themeColor="text1"/>
        </w:rPr>
        <w:t>discharge data on</w:t>
      </w:r>
      <w:r w:rsidRPr="00FA4E09">
        <w:rPr>
          <w:rFonts w:ascii="Calibri" w:hAnsi="Calibri" w:cs="Calibri"/>
          <w:color w:val="000000" w:themeColor="text1"/>
        </w:rPr>
        <w:t xml:space="preserve"> industrial dischargers across industrial categories.</w:t>
      </w:r>
    </w:p>
    <w:p w:rsidR="008F52EE" w:rsidRPr="00FA4E09" w:rsidP="008F52EE" w14:paraId="2908D524" w14:textId="4244DF79">
      <w:pPr>
        <w:pBdr>
          <w:top w:val="single" w:sz="6" w:space="0" w:color="FFFFFF"/>
          <w:left w:val="single" w:sz="6" w:space="0" w:color="FFFFFF"/>
          <w:bottom w:val="single" w:sz="6" w:space="0" w:color="FFFFFF"/>
          <w:right w:val="single" w:sz="6" w:space="0" w:color="FFFFFF"/>
        </w:pBdr>
        <w:spacing w:before="60"/>
        <w:rPr>
          <w:rFonts w:ascii="Calibri" w:hAnsi="Calibri" w:cs="Calibri"/>
          <w:color w:val="000000"/>
        </w:rPr>
      </w:pPr>
      <w:r w:rsidRPr="00FA4E09">
        <w:rPr>
          <w:rFonts w:ascii="Calibri" w:hAnsi="Calibri" w:cs="Calibri"/>
          <w:color w:val="000000"/>
        </w:rPr>
        <w:t>The EPA compiled publicly available technical data on 800+ POTWs that reported a design or average daily flow rate equal to or greater than 10 MGD and a service population equal to or greater than 50,000 people based on information collected from the 2022 CWNS, 2022 Discharge Monitoring Reports (DMRs), and the EPA's Integrated Compliance Information System - National Pollutant Discharge Elimination System (ICIS-NPDES) database. The EPA established these criteria to focus the data collection on POTWs with the largest daily flow rates which will likely capture the largest number and diversity in types of industrial users and wastewater influents. These criteria are intended to select POTWs which have sufficient resources to complete the data collection and minimize burden to small businesses/entities and POTWs with minor NPDES POTWs</w:t>
      </w:r>
      <w:r w:rsidRPr="00FA4E09">
        <w:rPr>
          <w:rFonts w:ascii="Calibri" w:hAnsi="Calibri" w:cs="Calibri"/>
          <w:color w:val="000000"/>
        </w:rPr>
        <w:t>. The EPA will consider the following factors when selecting POTWs to receive the questionnaire:</w:t>
      </w:r>
    </w:p>
    <w:p w:rsidR="008F52EE" w:rsidRPr="00E038E9" w:rsidP="00E038E9" w14:paraId="4BED464C" w14:textId="5B5BBBF0">
      <w:pPr>
        <w:pStyle w:val="ListBulletSingle"/>
        <w:spacing w:after="80"/>
        <w:ind w:left="720" w:hanging="360"/>
        <w:rPr>
          <w:rFonts w:ascii="Calibri" w:hAnsi="Calibri" w:cs="Calibri"/>
        </w:rPr>
      </w:pPr>
      <w:r w:rsidRPr="008C72C1">
        <w:rPr>
          <w:rFonts w:ascii="Calibri" w:hAnsi="Calibri" w:cs="Calibri"/>
          <w:b/>
          <w:bCs/>
        </w:rPr>
        <w:t>Number of Industrial Users</w:t>
      </w:r>
      <w:r w:rsidRPr="00E038E9">
        <w:rPr>
          <w:rFonts w:ascii="Calibri" w:hAnsi="Calibri" w:cs="Calibri"/>
        </w:rPr>
        <w:t xml:space="preserve">. The EPA </w:t>
      </w:r>
      <w:r w:rsidRPr="00FA4E09" w:rsidR="00AB7C3E">
        <w:rPr>
          <w:rFonts w:ascii="Calibri" w:hAnsi="Calibri" w:cs="Calibri"/>
        </w:rPr>
        <w:t>will priorit</w:t>
      </w:r>
      <w:r w:rsidRPr="00FA4E09" w:rsidR="001E76BC">
        <w:rPr>
          <w:rFonts w:ascii="Calibri" w:hAnsi="Calibri" w:cs="Calibri"/>
        </w:rPr>
        <w:t>ize</w:t>
      </w:r>
      <w:r w:rsidRPr="00E038E9">
        <w:rPr>
          <w:rFonts w:ascii="Calibri" w:hAnsi="Calibri" w:cs="Calibri"/>
        </w:rPr>
        <w:t xml:space="preserve"> facilities that reported a higher number of significant industrial users (SIUs) and categorical industrial users (CIUs).</w:t>
      </w:r>
    </w:p>
    <w:p w:rsidR="008F52EE" w:rsidRPr="00E038E9" w:rsidP="00E038E9" w14:paraId="68AEA394" w14:textId="1F22A68F">
      <w:pPr>
        <w:pStyle w:val="ListBulletSingle"/>
        <w:spacing w:after="80"/>
        <w:ind w:left="720" w:hanging="360"/>
        <w:rPr>
          <w:rFonts w:ascii="Calibri" w:hAnsi="Calibri" w:cs="Calibri"/>
        </w:rPr>
      </w:pPr>
      <w:r w:rsidRPr="00E038E9">
        <w:rPr>
          <w:rFonts w:ascii="Calibri" w:hAnsi="Calibri" w:cs="Calibri"/>
          <w:b/>
          <w:bCs/>
        </w:rPr>
        <w:t>Flow Rates</w:t>
      </w:r>
      <w:r w:rsidRPr="00E038E9">
        <w:rPr>
          <w:rFonts w:ascii="Calibri" w:hAnsi="Calibri" w:cs="Calibri"/>
        </w:rPr>
        <w:t xml:space="preserve">. The EPA </w:t>
      </w:r>
      <w:r w:rsidRPr="00FA4E09" w:rsidR="001E76BC">
        <w:rPr>
          <w:rFonts w:ascii="Calibri" w:hAnsi="Calibri" w:cs="Calibri"/>
        </w:rPr>
        <w:t>will prioritize</w:t>
      </w:r>
      <w:r w:rsidRPr="00E038E9">
        <w:rPr>
          <w:rFonts w:ascii="Calibri" w:hAnsi="Calibri" w:cs="Calibri"/>
        </w:rPr>
        <w:t xml:space="preserve"> facilities that reported higher daily flow rates because these likely capture the largest number and diversity in types of industrial users.</w:t>
      </w:r>
    </w:p>
    <w:p w:rsidR="008F52EE" w:rsidRPr="00E038E9" w:rsidP="00E038E9" w14:paraId="0EC65A08" w14:textId="0EB9D521">
      <w:pPr>
        <w:pStyle w:val="ListBulletSingle"/>
        <w:spacing w:after="80"/>
        <w:ind w:left="720" w:hanging="360"/>
        <w:rPr>
          <w:rFonts w:ascii="Calibri" w:hAnsi="Calibri" w:cs="Calibri"/>
        </w:rPr>
      </w:pPr>
      <w:r w:rsidRPr="00E038E9">
        <w:rPr>
          <w:rFonts w:ascii="Calibri" w:hAnsi="Calibri" w:cs="Calibri"/>
          <w:b/>
          <w:bCs/>
        </w:rPr>
        <w:t>Geographic Distribution</w:t>
      </w:r>
      <w:r w:rsidRPr="00E038E9">
        <w:rPr>
          <w:rFonts w:ascii="Calibri" w:hAnsi="Calibri" w:cs="Calibri"/>
        </w:rPr>
        <w:t xml:space="preserve">. The EPA </w:t>
      </w:r>
      <w:r w:rsidRPr="00FA4E09" w:rsidR="001E76BC">
        <w:rPr>
          <w:rFonts w:ascii="Calibri" w:hAnsi="Calibri" w:cs="Calibri"/>
        </w:rPr>
        <w:t xml:space="preserve">will include POTWs from </w:t>
      </w:r>
      <w:r w:rsidRPr="00E038E9">
        <w:rPr>
          <w:rFonts w:ascii="Calibri" w:hAnsi="Calibri" w:cs="Calibri"/>
        </w:rPr>
        <w:t>all states and territories with POTWs meeting the acceptance criteria and select no more than 20 POTWs in an individual state</w:t>
      </w:r>
      <w:r w:rsidRPr="00FA4E09" w:rsidR="001E76BC">
        <w:rPr>
          <w:rFonts w:ascii="Calibri" w:hAnsi="Calibri" w:cs="Calibri"/>
        </w:rPr>
        <w:t xml:space="preserve"> or </w:t>
      </w:r>
      <w:r w:rsidRPr="00E038E9">
        <w:rPr>
          <w:rFonts w:ascii="Calibri" w:hAnsi="Calibri" w:cs="Calibri"/>
        </w:rPr>
        <w:t>territory.</w:t>
      </w:r>
    </w:p>
    <w:p w:rsidR="008F52EE" w:rsidRPr="00E038E9" w:rsidP="00E038E9" w14:paraId="6A78A2A5" w14:textId="2C892F23">
      <w:pPr>
        <w:pStyle w:val="ListBulletSingle"/>
        <w:spacing w:after="80"/>
        <w:ind w:left="720" w:hanging="360"/>
        <w:rPr>
          <w:rFonts w:ascii="Calibri" w:hAnsi="Calibri" w:cs="Calibri"/>
        </w:rPr>
      </w:pPr>
      <w:r w:rsidRPr="00E038E9">
        <w:rPr>
          <w:rFonts w:ascii="Calibri" w:hAnsi="Calibri" w:cs="Calibri"/>
          <w:b/>
          <w:bCs/>
        </w:rPr>
        <w:t>Municipal Authority Burden</w:t>
      </w:r>
      <w:r w:rsidRPr="00E038E9">
        <w:rPr>
          <w:rFonts w:ascii="Calibri" w:hAnsi="Calibri" w:cs="Calibri"/>
        </w:rPr>
        <w:t xml:space="preserve">. The EPA </w:t>
      </w:r>
      <w:r w:rsidRPr="00FA4E09" w:rsidR="001E76BC">
        <w:rPr>
          <w:rFonts w:ascii="Calibri" w:hAnsi="Calibri" w:cs="Calibri"/>
        </w:rPr>
        <w:t>intends</w:t>
      </w:r>
      <w:r w:rsidRPr="00E038E9">
        <w:rPr>
          <w:rFonts w:ascii="Calibri" w:hAnsi="Calibri" w:cs="Calibri"/>
        </w:rPr>
        <w:t xml:space="preserve"> to limit the number of selected POTWs in an individual city or operated by a single municipal authority to fewer than 5.</w:t>
      </w:r>
    </w:p>
    <w:p w:rsidR="008F52EE" w:rsidRPr="00E038E9" w:rsidP="00E038E9" w14:paraId="3104878F" w14:textId="4A8A9576">
      <w:pPr>
        <w:pStyle w:val="ListBulletSingle"/>
        <w:spacing w:after="80"/>
        <w:ind w:left="720" w:hanging="360"/>
        <w:rPr>
          <w:rFonts w:ascii="Calibri" w:hAnsi="Calibri" w:cs="Calibri"/>
        </w:rPr>
      </w:pPr>
      <w:r w:rsidRPr="00E038E9">
        <w:rPr>
          <w:rFonts w:ascii="Calibri" w:hAnsi="Calibri" w:cs="Calibri"/>
          <w:b/>
          <w:bCs/>
        </w:rPr>
        <w:t>Biosolids Programs</w:t>
      </w:r>
      <w:r w:rsidRPr="00E038E9">
        <w:rPr>
          <w:rFonts w:ascii="Calibri" w:hAnsi="Calibri" w:cs="Calibri"/>
        </w:rPr>
        <w:t xml:space="preserve">. The EPA </w:t>
      </w:r>
      <w:r w:rsidRPr="00FA4E09" w:rsidR="001E76BC">
        <w:rPr>
          <w:rFonts w:ascii="Calibri" w:hAnsi="Calibri" w:cs="Calibri"/>
        </w:rPr>
        <w:t>will prioritize</w:t>
      </w:r>
      <w:r w:rsidRPr="00E038E9">
        <w:rPr>
          <w:rFonts w:ascii="Calibri" w:hAnsi="Calibri" w:cs="Calibri"/>
        </w:rPr>
        <w:t xml:space="preserve"> facilities with biosolids NPDES permits and/or sewage sludge generation and management information.</w:t>
      </w:r>
    </w:p>
    <w:p w:rsidR="00FC2D89" w:rsidRPr="00E038E9" w:rsidP="00012199" w14:paraId="131265F5" w14:textId="0EFE3BD5">
      <w:pPr>
        <w:pStyle w:val="ListBulletSingle"/>
        <w:spacing w:after="240"/>
        <w:ind w:left="720" w:hanging="360"/>
        <w:rPr>
          <w:rFonts w:ascii="Calibri" w:hAnsi="Calibri" w:cs="Calibri"/>
        </w:rPr>
      </w:pPr>
      <w:r w:rsidRPr="00E038E9">
        <w:rPr>
          <w:rFonts w:ascii="Calibri" w:hAnsi="Calibri" w:cs="Calibri"/>
          <w:b/>
          <w:bCs/>
        </w:rPr>
        <w:t>Ownership Type</w:t>
      </w:r>
      <w:r w:rsidRPr="00E038E9">
        <w:rPr>
          <w:rFonts w:ascii="Calibri" w:hAnsi="Calibri" w:cs="Calibri"/>
        </w:rPr>
        <w:t xml:space="preserve">. The EPA </w:t>
      </w:r>
      <w:r w:rsidRPr="00FA4E09" w:rsidR="001E76BC">
        <w:rPr>
          <w:rFonts w:ascii="Calibri" w:hAnsi="Calibri" w:cs="Calibri"/>
        </w:rPr>
        <w:t>will only select</w:t>
      </w:r>
      <w:r w:rsidRPr="00E038E9">
        <w:rPr>
          <w:rFonts w:ascii="Calibri" w:hAnsi="Calibri" w:cs="Calibri"/>
        </w:rPr>
        <w:t xml:space="preserve"> publicly owned and/or operated facilities to </w:t>
      </w:r>
      <w:r w:rsidRPr="00FA4E09" w:rsidR="001E76BC">
        <w:rPr>
          <w:rFonts w:ascii="Calibri" w:hAnsi="Calibri" w:cs="Calibri"/>
        </w:rPr>
        <w:t xml:space="preserve">eliminate </w:t>
      </w:r>
      <w:r w:rsidRPr="00E038E9">
        <w:rPr>
          <w:rFonts w:ascii="Calibri" w:hAnsi="Calibri" w:cs="Calibri"/>
        </w:rPr>
        <w:t>collection of CBI.</w:t>
      </w:r>
    </w:p>
    <w:p w:rsidR="0024748D" w:rsidRPr="00FA4E09" w:rsidP="0024748D" w14:paraId="4A56B5FA" w14:textId="12614ECC">
      <w:pPr>
        <w:pBdr>
          <w:top w:val="single" w:sz="6" w:space="0" w:color="FFFFFF"/>
          <w:left w:val="single" w:sz="6" w:space="0" w:color="FFFFFF"/>
          <w:bottom w:val="single" w:sz="6" w:space="0" w:color="FFFFFF"/>
          <w:right w:val="single" w:sz="6" w:space="0" w:color="FFFFFF"/>
        </w:pBdr>
        <w:spacing w:before="60"/>
        <w:rPr>
          <w:rFonts w:ascii="Calibri" w:hAnsi="Calibri" w:cs="Calibri"/>
          <w:color w:val="000000"/>
        </w:rPr>
      </w:pPr>
      <w:r w:rsidRPr="00FA4E09">
        <w:rPr>
          <w:rFonts w:ascii="Calibri" w:hAnsi="Calibri" w:cs="Calibri"/>
          <w:color w:val="000000"/>
        </w:rPr>
        <w:t>The respondents affected by the questionnaire are primarily classified under North American Industry Classification System (NAICS) code 221320 (Sewage Treatment Facilities).</w:t>
      </w:r>
    </w:p>
    <w:p w:rsidR="00BB3410" w:rsidRPr="00FA4E09" w:rsidP="0024748D" w14:paraId="0DA69975" w14:textId="215EE1E3">
      <w:pPr>
        <w:pBdr>
          <w:top w:val="single" w:sz="6" w:space="0" w:color="FFFFFF"/>
          <w:left w:val="single" w:sz="6" w:space="0" w:color="FFFFFF"/>
          <w:bottom w:val="single" w:sz="6" w:space="0" w:color="FFFFFF"/>
          <w:right w:val="single" w:sz="6" w:space="0" w:color="FFFFFF"/>
        </w:pBdr>
        <w:spacing w:before="60"/>
        <w:rPr>
          <w:rFonts w:ascii="Calibri" w:hAnsi="Calibri" w:cs="Calibri"/>
          <w:color w:val="000000"/>
        </w:rPr>
      </w:pPr>
      <w:r w:rsidRPr="00FA4E09">
        <w:rPr>
          <w:rFonts w:ascii="Calibri" w:hAnsi="Calibri" w:cs="Calibri"/>
          <w:color w:val="000000" w:themeColor="text1"/>
        </w:rPr>
        <w:t xml:space="preserve">The subsequent sampling program will require a subset of </w:t>
      </w:r>
      <w:r w:rsidR="00E03D8B">
        <w:rPr>
          <w:rFonts w:ascii="Calibri" w:hAnsi="Calibri" w:cs="Calibri"/>
          <w:color w:val="000000" w:themeColor="text1"/>
        </w:rPr>
        <w:t xml:space="preserve">200-300 </w:t>
      </w:r>
      <w:r w:rsidRPr="00FA4E09">
        <w:rPr>
          <w:rFonts w:ascii="Calibri" w:hAnsi="Calibri" w:cs="Calibri"/>
          <w:color w:val="000000" w:themeColor="text1"/>
        </w:rPr>
        <w:t xml:space="preserve">POTWs that completed the questionnaire to also collect and analyze samples from </w:t>
      </w:r>
      <w:r w:rsidR="00B06387">
        <w:rPr>
          <w:rFonts w:ascii="Calibri" w:hAnsi="Calibri" w:cs="Calibri"/>
          <w:color w:val="000000" w:themeColor="text1"/>
        </w:rPr>
        <w:t>on average</w:t>
      </w:r>
      <w:r w:rsidRPr="00FA4E09" w:rsidR="00B06387">
        <w:rPr>
          <w:rFonts w:ascii="Calibri" w:hAnsi="Calibri" w:cs="Calibri"/>
          <w:color w:val="000000" w:themeColor="text1"/>
        </w:rPr>
        <w:t xml:space="preserve"> </w:t>
      </w:r>
      <w:r w:rsidRPr="00FA4E09">
        <w:rPr>
          <w:rFonts w:ascii="Calibri" w:hAnsi="Calibri" w:cs="Calibri"/>
          <w:color w:val="000000" w:themeColor="text1"/>
        </w:rPr>
        <w:t xml:space="preserve">10 industrial users (effluent only); domestic </w:t>
      </w:r>
      <w:r w:rsidR="001D542C">
        <w:rPr>
          <w:rFonts w:ascii="Calibri" w:hAnsi="Calibri" w:cs="Calibri"/>
          <w:color w:val="000000" w:themeColor="text1"/>
        </w:rPr>
        <w:t>wastewater or sewage</w:t>
      </w:r>
      <w:r w:rsidRPr="00FA4E09">
        <w:rPr>
          <w:rFonts w:ascii="Calibri" w:hAnsi="Calibri" w:cs="Calibri"/>
          <w:color w:val="000000" w:themeColor="text1"/>
        </w:rPr>
        <w:t xml:space="preserve">; and POTW influent, effluent, </w:t>
      </w:r>
      <w:r w:rsidRPr="00FA4E09" w:rsidR="385CC5B0">
        <w:rPr>
          <w:rFonts w:ascii="Calibri" w:hAnsi="Calibri" w:cs="Calibri"/>
          <w:color w:val="000000" w:themeColor="text1"/>
        </w:rPr>
        <w:t xml:space="preserve">and </w:t>
      </w:r>
      <w:r w:rsidRPr="00FA4E09">
        <w:rPr>
          <w:rFonts w:ascii="Calibri" w:hAnsi="Calibri" w:cs="Calibri"/>
          <w:color w:val="000000" w:themeColor="text1"/>
        </w:rPr>
        <w:t xml:space="preserve">sewage sludge. The total number of industrial users sampled as part of the sampling program will </w:t>
      </w:r>
      <w:r w:rsidR="00E00B42">
        <w:rPr>
          <w:rFonts w:ascii="Calibri" w:hAnsi="Calibri" w:cs="Calibri"/>
          <w:color w:val="000000" w:themeColor="text1"/>
        </w:rPr>
        <w:t>be approximately</w:t>
      </w:r>
      <w:r w:rsidRPr="00FA4E09">
        <w:rPr>
          <w:rFonts w:ascii="Calibri" w:hAnsi="Calibri" w:cs="Calibri"/>
          <w:color w:val="000000" w:themeColor="text1"/>
        </w:rPr>
        <w:t xml:space="preserve"> 2,000 facilities. The EPA will select which POTWs will collect and analyze samples based on location, flow rate, types of influent wastewater and industrial users, wastewater and sewage </w:t>
      </w:r>
      <w:r w:rsidRPr="00FA4E09" w:rsidR="000077A0">
        <w:rPr>
          <w:rFonts w:ascii="Calibri" w:hAnsi="Calibri" w:cs="Calibri"/>
          <w:color w:val="000000" w:themeColor="text1"/>
        </w:rPr>
        <w:t>sludge</w:t>
      </w:r>
      <w:r w:rsidRPr="00FA4E09">
        <w:rPr>
          <w:rFonts w:ascii="Calibri" w:hAnsi="Calibri" w:cs="Calibri"/>
          <w:color w:val="000000" w:themeColor="text1"/>
        </w:rPr>
        <w:t xml:space="preserve"> management practices, and other information and data collected from the questionnaire. POTWs will be responsible for completing all sampling program requirements in accordance with the generic sampling and analysis plan; therefore, the respondents affected by the sampling program are POTWs and primarily classified under NAICS code 221320 (Sewage Treatment Facilities).</w:t>
      </w:r>
    </w:p>
    <w:p w:rsidR="00ED57A4" w:rsidRPr="00FA4E09" w:rsidP="00854AAE" w14:paraId="24D360E5" w14:textId="6DF33794">
      <w:pPr>
        <w:spacing w:before="120" w:after="0"/>
        <w:rPr>
          <w:rFonts w:ascii="Calibri" w:hAnsi="Calibri" w:cs="Calibri"/>
          <w:b/>
          <w:bCs/>
        </w:rPr>
      </w:pPr>
      <w:r w:rsidRPr="00FA4E09">
        <w:rPr>
          <w:rFonts w:ascii="Calibri" w:hAnsi="Calibri" w:cs="Calibri"/>
          <w:b/>
          <w:bCs/>
        </w:rPr>
        <w:t xml:space="preserve">12b. </w:t>
      </w:r>
      <w:r w:rsidRPr="00FA4E09" w:rsidR="00BB7DA0">
        <w:rPr>
          <w:rFonts w:ascii="Calibri" w:hAnsi="Calibri" w:cs="Calibri"/>
          <w:b/>
          <w:bCs/>
        </w:rPr>
        <w:t>Information Requested</w:t>
      </w:r>
      <w:bookmarkStart w:id="15" w:name="_Toc156593384"/>
      <w:bookmarkEnd w:id="12"/>
    </w:p>
    <w:p w:rsidR="00BB3410" w:rsidRPr="00FA4E09" w:rsidP="00854AAE" w14:paraId="42074A5E" w14:textId="4096450F">
      <w:pPr>
        <w:pBdr>
          <w:top w:val="single" w:sz="6" w:space="0" w:color="FFFFFF"/>
          <w:left w:val="single" w:sz="6" w:space="0" w:color="FFFFFF"/>
          <w:bottom w:val="single" w:sz="6" w:space="0" w:color="FFFFFF"/>
          <w:right w:val="single" w:sz="6" w:space="0" w:color="FFFFFF"/>
        </w:pBdr>
        <w:spacing w:before="60"/>
        <w:rPr>
          <w:rFonts w:ascii="Calibri" w:hAnsi="Calibri" w:cs="Calibri"/>
        </w:rPr>
      </w:pPr>
      <w:r w:rsidRPr="00FA4E09">
        <w:rPr>
          <w:rFonts w:ascii="Calibri" w:hAnsi="Calibri" w:cs="Calibri"/>
          <w:color w:val="000000"/>
        </w:rPr>
        <w:t>The questionnaire consists of 2</w:t>
      </w:r>
      <w:r w:rsidRPr="00FA4E09" w:rsidR="000E7B8C">
        <w:rPr>
          <w:rFonts w:ascii="Calibri" w:hAnsi="Calibri" w:cs="Calibri"/>
          <w:color w:val="000000"/>
        </w:rPr>
        <w:t>0</w:t>
      </w:r>
      <w:r w:rsidRPr="00FA4E09">
        <w:rPr>
          <w:rFonts w:ascii="Calibri" w:hAnsi="Calibri" w:cs="Calibri"/>
          <w:color w:val="000000"/>
        </w:rPr>
        <w:t xml:space="preserve"> questions. A copy of the draft questionnaire is included in Appendix A. The EPA believes that all the information and data requested in the questionnaire is readily available to facilities; the EPA does not anticipate facilities will need to generate new information or data to complete the questionnaire</w:t>
      </w:r>
      <w:r w:rsidRPr="00FA4E09">
        <w:rPr>
          <w:rFonts w:ascii="Calibri" w:hAnsi="Calibri" w:cs="Calibri"/>
        </w:rPr>
        <w:t>. The data items requested in the questionnaire and the purpose for requesting the information are listed in</w:t>
      </w:r>
      <w:r w:rsidRPr="00FA4E09" w:rsidR="00BB6928">
        <w:rPr>
          <w:rFonts w:ascii="Calibri" w:hAnsi="Calibri" w:cs="Calibri"/>
        </w:rPr>
        <w:t xml:space="preserve"> </w:t>
      </w:r>
      <w:r w:rsidRPr="00FA4E09" w:rsidR="00BB6928">
        <w:rPr>
          <w:rFonts w:ascii="Calibri" w:hAnsi="Calibri" w:cs="Calibri"/>
        </w:rPr>
        <w:fldChar w:fldCharType="begin"/>
      </w:r>
      <w:r w:rsidRPr="00FA4E09" w:rsidR="00BB6928">
        <w:rPr>
          <w:rFonts w:ascii="Calibri" w:hAnsi="Calibri" w:cs="Calibri"/>
        </w:rPr>
        <w:instrText xml:space="preserve"> REF _Ref107329844 \h  \* MERGEFORMAT </w:instrText>
      </w:r>
      <w:r w:rsidRPr="00FA4E09" w:rsidR="00BB6928">
        <w:rPr>
          <w:rFonts w:ascii="Calibri" w:hAnsi="Calibri" w:cs="Calibri"/>
        </w:rPr>
        <w:fldChar w:fldCharType="separate"/>
      </w:r>
      <w:r w:rsidRPr="00070B01" w:rsidR="00A41D1F">
        <w:rPr>
          <w:rFonts w:ascii="Calibri" w:hAnsi="Calibri" w:cs="Calibri"/>
        </w:rPr>
        <w:t>Table 12</w:t>
      </w:r>
      <w:r w:rsidRPr="00070B01" w:rsidR="00A41D1F">
        <w:rPr>
          <w:rFonts w:ascii="Calibri" w:hAnsi="Calibri" w:cs="Calibri"/>
        </w:rPr>
        <w:noBreakHyphen/>
        <w:t>1</w:t>
      </w:r>
      <w:r w:rsidRPr="00FA4E09" w:rsidR="00BB6928">
        <w:rPr>
          <w:rFonts w:ascii="Calibri" w:hAnsi="Calibri" w:cs="Calibri"/>
        </w:rPr>
        <w:fldChar w:fldCharType="end"/>
      </w:r>
      <w:r w:rsidRPr="00FA4E09">
        <w:rPr>
          <w:rFonts w:ascii="Calibri" w:hAnsi="Calibri" w:cs="Calibri"/>
        </w:rPr>
        <w:t>.</w:t>
      </w:r>
    </w:p>
    <w:p w:rsidR="0024748D" w:rsidRPr="00FA4E09" w:rsidP="0024748D" w14:paraId="30382721" w14:textId="77777777">
      <w:pPr>
        <w:autoSpaceDE w:val="0"/>
        <w:autoSpaceDN w:val="0"/>
        <w:adjustRightInd w:val="0"/>
        <w:spacing w:after="240"/>
        <w:rPr>
          <w:rFonts w:ascii="Calibri" w:hAnsi="Calibri" w:cs="Calibri"/>
        </w:rPr>
      </w:pPr>
      <w:r w:rsidRPr="00FA4E09">
        <w:rPr>
          <w:rFonts w:ascii="Calibri" w:hAnsi="Calibri" w:cs="Calibri"/>
        </w:rPr>
        <w:t xml:space="preserve">The EPA prepared the questionnaire to be applicable to a variety of POTW operations; therefore, not all questions will apply to every respondent. The questionnaire includes instructions to note when respondents do not need to complete a section or series of questions. </w:t>
      </w:r>
    </w:p>
    <w:p w:rsidR="0024748D" w:rsidRPr="00FA4E09" w:rsidP="0024748D" w14:paraId="051931FA" w14:textId="199D6EE1">
      <w:pPr>
        <w:autoSpaceDE w:val="0"/>
        <w:autoSpaceDN w:val="0"/>
        <w:adjustRightInd w:val="0"/>
        <w:spacing w:after="240"/>
        <w:rPr>
          <w:rFonts w:ascii="Calibri" w:hAnsi="Calibri" w:cs="Calibri"/>
        </w:rPr>
        <w:sectPr w:rsidSect="007D584F">
          <w:footerReference w:type="default" r:id="rId12"/>
          <w:pgSz w:w="12240" w:h="15840"/>
          <w:pgMar w:top="1440" w:right="1440" w:bottom="1440" w:left="1440" w:header="720" w:footer="720" w:gutter="0"/>
          <w:cols w:space="720"/>
          <w:docGrid w:linePitch="360"/>
        </w:sectPr>
      </w:pPr>
      <w:r w:rsidRPr="00FA4E09">
        <w:rPr>
          <w:rFonts w:ascii="Calibri" w:hAnsi="Calibri" w:cs="Calibri"/>
        </w:rPr>
        <w:t>The questionnaire will primarily collect data for calendar year 2023, which represents the most recent year for which complete technical data will be available as the EPA expects the questionnaire will be administered in 2024.</w:t>
      </w:r>
      <w:r w:rsidRPr="00FA4E09" w:rsidR="00134DDD">
        <w:rPr>
          <w:rFonts w:ascii="Calibri" w:hAnsi="Calibri" w:cs="Calibri"/>
        </w:rPr>
        <w:t xml:space="preserve"> The questionnaire is a one-time data collection effort.</w:t>
      </w:r>
    </w:p>
    <w:tbl>
      <w:tblPr>
        <w:tblpPr w:leftFromText="180" w:rightFromText="180" w:vertAnchor="text" w:tblpY="1"/>
        <w:tblOverlap w:val="never"/>
        <w:tblW w:w="5000" w:type="pct"/>
        <w:tblLook w:val="01E0"/>
      </w:tblPr>
      <w:tblGrid>
        <w:gridCol w:w="1739"/>
        <w:gridCol w:w="1007"/>
        <w:gridCol w:w="6451"/>
        <w:gridCol w:w="3979"/>
      </w:tblGrid>
      <w:tr w14:paraId="042447DF" w14:textId="77777777" w:rsidTr="0055237E">
        <w:tblPrEx>
          <w:tblW w:w="5000" w:type="pct"/>
          <w:tblLook w:val="01E0"/>
        </w:tblPrEx>
        <w:trPr>
          <w:cantSplit/>
          <w:tblHeader/>
        </w:trPr>
        <w:tc>
          <w:tcPr>
            <w:tcW w:w="5000" w:type="pct"/>
            <w:gridSpan w:val="4"/>
            <w:tcBorders>
              <w:bottom w:val="double" w:sz="4" w:space="0" w:color="auto"/>
            </w:tcBorders>
            <w:vAlign w:val="center"/>
          </w:tcPr>
          <w:p w:rsidR="0024748D" w:rsidRPr="00FA4E09" w14:paraId="62AC396F" w14:textId="15E7BD09">
            <w:pPr>
              <w:pStyle w:val="TableTitle"/>
              <w:rPr>
                <w:rFonts w:eastAsiaTheme="minorEastAsia"/>
                <w:bCs/>
                <w:smallCaps/>
                <w:spacing w:val="6"/>
                <w:sz w:val="24"/>
                <w:szCs w:val="18"/>
              </w:rPr>
            </w:pPr>
            <w:bookmarkStart w:id="16" w:name="_Ref107329844"/>
            <w:bookmarkStart w:id="17" w:name="_Toc157787717"/>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12</w:t>
            </w:r>
            <w:r w:rsidRPr="00FA4E09">
              <w:rPr>
                <w:rFonts w:eastAsiaTheme="minorEastAsia"/>
                <w:bCs/>
                <w:smallCaps/>
                <w:spacing w:val="6"/>
                <w:sz w:val="24"/>
                <w:szCs w:val="18"/>
              </w:rPr>
              <w:fldChar w:fldCharType="end"/>
            </w:r>
            <w:r w:rsidRPr="00FA4E09">
              <w:rPr>
                <w:rFonts w:eastAsiaTheme="minorEastAsia"/>
                <w:bCs/>
                <w:smallCaps/>
                <w:spacing w:val="6"/>
                <w:sz w:val="24"/>
                <w:szCs w:val="18"/>
              </w:rPr>
              <w:noBreakHyphen/>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w:t>
            </w:r>
            <w:r w:rsidRPr="00FA4E09">
              <w:rPr>
                <w:rFonts w:eastAsiaTheme="minorEastAsia"/>
                <w:bCs/>
                <w:smallCaps/>
                <w:spacing w:val="6"/>
                <w:sz w:val="24"/>
                <w:szCs w:val="18"/>
              </w:rPr>
              <w:fldChar w:fldCharType="end"/>
            </w:r>
            <w:bookmarkEnd w:id="16"/>
            <w:r w:rsidRPr="00FA4E09">
              <w:rPr>
                <w:rFonts w:eastAsiaTheme="minorEastAsia"/>
                <w:bCs/>
                <w:smallCaps/>
                <w:spacing w:val="6"/>
                <w:sz w:val="24"/>
                <w:szCs w:val="18"/>
              </w:rPr>
              <w:t>. Questionnaire Questions and Their Purpose</w:t>
            </w:r>
            <w:bookmarkEnd w:id="17"/>
          </w:p>
        </w:tc>
      </w:tr>
      <w:tr w14:paraId="0C8D818B" w14:textId="77777777" w:rsidTr="00070B01">
        <w:tblPrEx>
          <w:tblW w:w="5000" w:type="pct"/>
          <w:tblLook w:val="01E0"/>
        </w:tblPrEx>
        <w:trPr>
          <w:cantSplit/>
          <w:tblHeader/>
        </w:trPr>
        <w:tc>
          <w:tcPr>
            <w:tcW w:w="660" w:type="pct"/>
            <w:tcBorders>
              <w:top w:val="double" w:sz="4" w:space="0" w:color="auto"/>
              <w:left w:val="double" w:sz="4" w:space="0" w:color="auto"/>
              <w:bottom w:val="single" w:sz="8" w:space="0" w:color="auto"/>
              <w:right w:val="single" w:sz="8" w:space="0" w:color="000000" w:themeColor="text1"/>
            </w:tcBorders>
            <w:shd w:val="clear" w:color="auto" w:fill="D9D9D9" w:themeFill="background1" w:themeFillShade="D9"/>
            <w:vAlign w:val="center"/>
          </w:tcPr>
          <w:p w:rsidR="0024748D" w:rsidRPr="00FA4E09" w:rsidP="00DD34B4" w14:paraId="7EE5E2BE" w14:textId="77777777">
            <w:pPr>
              <w:spacing w:after="0"/>
              <w:jc w:val="center"/>
              <w:rPr>
                <w:rFonts w:ascii="Calibri" w:hAnsi="Calibri" w:cs="Calibri"/>
                <w:sz w:val="20"/>
                <w:szCs w:val="20"/>
              </w:rPr>
            </w:pPr>
            <w:r w:rsidRPr="00FA4E09">
              <w:rPr>
                <w:rFonts w:ascii="Calibri" w:hAnsi="Calibri" w:cs="Calibri"/>
                <w:b/>
                <w:bCs/>
                <w:color w:val="000000" w:themeColor="text1"/>
                <w:sz w:val="20"/>
                <w:szCs w:val="20"/>
              </w:rPr>
              <w:t>Section</w:t>
            </w:r>
          </w:p>
        </w:tc>
        <w:tc>
          <w:tcPr>
            <w:tcW w:w="382" w:type="pct"/>
            <w:tcBorders>
              <w:top w:val="doub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rsidR="0024748D" w:rsidRPr="00FA4E09" w:rsidP="00DD34B4" w14:paraId="54387DB8" w14:textId="77777777">
            <w:pPr>
              <w:spacing w:after="0"/>
              <w:jc w:val="center"/>
              <w:rPr>
                <w:rFonts w:ascii="Calibri" w:hAnsi="Calibri" w:cs="Calibri"/>
                <w:sz w:val="20"/>
                <w:szCs w:val="20"/>
              </w:rPr>
            </w:pPr>
            <w:r w:rsidRPr="00FA4E09">
              <w:rPr>
                <w:rFonts w:ascii="Calibri" w:hAnsi="Calibri" w:cs="Calibri"/>
                <w:b/>
                <w:bCs/>
                <w:color w:val="000000" w:themeColor="text1"/>
                <w:sz w:val="20"/>
                <w:szCs w:val="20"/>
              </w:rPr>
              <w:t>Question Number</w:t>
            </w:r>
          </w:p>
        </w:tc>
        <w:tc>
          <w:tcPr>
            <w:tcW w:w="2448" w:type="pct"/>
            <w:tcBorders>
              <w:top w:val="doub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rsidR="0024748D" w:rsidRPr="00FA4E09" w:rsidP="00DD34B4" w14:paraId="163BEEDD" w14:textId="77777777">
            <w:pPr>
              <w:spacing w:after="0"/>
              <w:jc w:val="center"/>
              <w:rPr>
                <w:rFonts w:ascii="Calibri" w:hAnsi="Calibri" w:cs="Calibri"/>
                <w:sz w:val="20"/>
                <w:szCs w:val="20"/>
              </w:rPr>
            </w:pPr>
            <w:r w:rsidRPr="00FA4E09">
              <w:rPr>
                <w:rFonts w:ascii="Calibri" w:hAnsi="Calibri" w:cs="Calibri"/>
                <w:b/>
                <w:bCs/>
                <w:color w:val="000000" w:themeColor="text1"/>
                <w:sz w:val="20"/>
                <w:szCs w:val="20"/>
              </w:rPr>
              <w:t>Question Description</w:t>
            </w:r>
          </w:p>
        </w:tc>
        <w:tc>
          <w:tcPr>
            <w:tcW w:w="1510" w:type="pct"/>
            <w:tcBorders>
              <w:top w:val="double" w:sz="4" w:space="0" w:color="auto"/>
              <w:left w:val="single" w:sz="8" w:space="0" w:color="000000" w:themeColor="text1"/>
              <w:bottom w:val="single" w:sz="8" w:space="0" w:color="000000" w:themeColor="text1"/>
              <w:right w:val="double" w:sz="4" w:space="0" w:color="auto"/>
            </w:tcBorders>
            <w:shd w:val="clear" w:color="auto" w:fill="D9D9D9" w:themeFill="background1" w:themeFillShade="D9"/>
            <w:vAlign w:val="center"/>
          </w:tcPr>
          <w:p w:rsidR="0024748D" w:rsidRPr="00FA4E09" w:rsidP="00DD34B4" w14:paraId="144740CC" w14:textId="77777777">
            <w:pPr>
              <w:spacing w:after="0"/>
              <w:jc w:val="center"/>
              <w:rPr>
                <w:rFonts w:ascii="Calibri" w:hAnsi="Calibri" w:cs="Calibri"/>
                <w:sz w:val="20"/>
                <w:szCs w:val="20"/>
              </w:rPr>
            </w:pPr>
            <w:r w:rsidRPr="00FA4E09">
              <w:rPr>
                <w:rFonts w:ascii="Calibri" w:hAnsi="Calibri" w:cs="Calibri"/>
                <w:b/>
                <w:bCs/>
                <w:color w:val="000000" w:themeColor="text1"/>
                <w:sz w:val="20"/>
                <w:szCs w:val="20"/>
              </w:rPr>
              <w:t>Purpose</w:t>
            </w:r>
          </w:p>
        </w:tc>
      </w:tr>
      <w:tr w14:paraId="47EACF2B" w14:textId="77777777" w:rsidTr="00070B01">
        <w:tblPrEx>
          <w:tblW w:w="5000" w:type="pct"/>
          <w:tblLook w:val="01E0"/>
        </w:tblPrEx>
        <w:trPr>
          <w:cantSplit/>
        </w:trPr>
        <w:tc>
          <w:tcPr>
            <w:tcW w:w="660" w:type="pct"/>
            <w:vMerge w:val="restart"/>
            <w:tcBorders>
              <w:top w:val="single" w:sz="8" w:space="0" w:color="auto"/>
              <w:left w:val="double" w:sz="4" w:space="0" w:color="auto"/>
              <w:right w:val="single" w:sz="8" w:space="0" w:color="auto"/>
            </w:tcBorders>
          </w:tcPr>
          <w:p w:rsidR="0024748D" w:rsidRPr="00FA4E09" w:rsidP="00DD34B4" w14:paraId="2BAF6426" w14:textId="77777777">
            <w:pPr>
              <w:spacing w:after="0"/>
              <w:rPr>
                <w:rFonts w:ascii="Calibri" w:hAnsi="Calibri" w:cs="Calibri"/>
                <w:sz w:val="20"/>
                <w:szCs w:val="20"/>
              </w:rPr>
            </w:pPr>
            <w:r w:rsidRPr="00FA4E09">
              <w:rPr>
                <w:rFonts w:ascii="Calibri" w:hAnsi="Calibri" w:cs="Calibri"/>
                <w:color w:val="000000" w:themeColor="text1"/>
                <w:sz w:val="20"/>
                <w:szCs w:val="20"/>
              </w:rPr>
              <w:t>1 – General Facility Information</w:t>
            </w:r>
          </w:p>
          <w:p w:rsidR="0024748D" w:rsidRPr="00FA4E09" w:rsidP="00DD34B4" w14:paraId="02A1D78E" w14:textId="77777777">
            <w:pPr>
              <w:spacing w:after="0"/>
              <w:rPr>
                <w:rFonts w:ascii="Calibri" w:hAnsi="Calibri" w:cs="Calibri"/>
                <w:sz w:val="20"/>
                <w:szCs w:val="20"/>
              </w:rPr>
            </w:pPr>
          </w:p>
          <w:p w:rsidR="0024748D" w:rsidRPr="00FA4E09" w:rsidP="00DD34B4" w14:paraId="15D71C95" w14:textId="77777777">
            <w:pPr>
              <w:spacing w:after="0"/>
              <w:rPr>
                <w:rFonts w:ascii="Calibri" w:hAnsi="Calibri" w:cs="Calibri"/>
                <w:sz w:val="20"/>
                <w:szCs w:val="20"/>
              </w:rPr>
            </w:pPr>
          </w:p>
        </w:tc>
        <w:tc>
          <w:tcPr>
            <w:tcW w:w="382" w:type="pct"/>
            <w:tcBorders>
              <w:top w:val="single" w:sz="8" w:space="0" w:color="000000" w:themeColor="text1"/>
              <w:left w:val="single" w:sz="8" w:space="0" w:color="auto"/>
              <w:bottom w:val="single" w:sz="8" w:space="0" w:color="000000" w:themeColor="text1"/>
              <w:right w:val="single" w:sz="8" w:space="0" w:color="000000" w:themeColor="text1"/>
            </w:tcBorders>
          </w:tcPr>
          <w:p w:rsidR="0024748D" w:rsidRPr="00FA4E09" w:rsidP="00DD34B4" w14:paraId="78704A3B" w14:textId="77777777">
            <w:pPr>
              <w:spacing w:after="0"/>
              <w:rPr>
                <w:rFonts w:ascii="Calibri" w:hAnsi="Calibri" w:cs="Calibri"/>
                <w:sz w:val="20"/>
                <w:szCs w:val="20"/>
              </w:rPr>
            </w:pPr>
            <w:r w:rsidRPr="00FA4E09">
              <w:rPr>
                <w:rFonts w:ascii="Calibri" w:hAnsi="Calibri" w:cs="Calibri"/>
                <w:color w:val="000000" w:themeColor="text1"/>
                <w:sz w:val="20"/>
                <w:szCs w:val="20"/>
              </w:rPr>
              <w:t xml:space="preserve">1 </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06DCC2EE" w14:textId="77777777">
            <w:pPr>
              <w:spacing w:after="0"/>
              <w:rPr>
                <w:rFonts w:ascii="Calibri" w:hAnsi="Calibri" w:cs="Calibri"/>
                <w:sz w:val="20"/>
                <w:szCs w:val="20"/>
              </w:rPr>
            </w:pPr>
            <w:r w:rsidRPr="00FA4E09">
              <w:rPr>
                <w:rFonts w:ascii="Calibri" w:hAnsi="Calibri" w:cs="Calibri"/>
                <w:color w:val="000000" w:themeColor="text1"/>
                <w:sz w:val="20"/>
                <w:szCs w:val="20"/>
              </w:rPr>
              <w:t>Provide the facility name, municipal authority/service agency name, physical address, and mailing address.</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5E2EE3EC" w14:textId="74E50435">
            <w:pPr>
              <w:spacing w:after="0"/>
              <w:rPr>
                <w:rFonts w:ascii="Calibri" w:hAnsi="Calibri" w:cs="Calibri"/>
                <w:sz w:val="20"/>
                <w:szCs w:val="20"/>
              </w:rPr>
            </w:pPr>
            <w:r w:rsidRPr="00FA4E09">
              <w:rPr>
                <w:rFonts w:ascii="Calibri" w:hAnsi="Calibri" w:cs="Calibri"/>
                <w:color w:val="000000" w:themeColor="text1"/>
                <w:sz w:val="20"/>
                <w:szCs w:val="20"/>
              </w:rPr>
              <w:t xml:space="preserve">Confirm and correct errors in the POTW list, including facility name and address. </w:t>
            </w:r>
            <w:r w:rsidRPr="00FA4E09" w:rsidR="006A42E9">
              <w:rPr>
                <w:rFonts w:ascii="Calibri" w:hAnsi="Calibri" w:cs="Calibri"/>
                <w:color w:val="000000" w:themeColor="text1"/>
                <w:sz w:val="20"/>
                <w:szCs w:val="20"/>
              </w:rPr>
              <w:t xml:space="preserve">Confirm </w:t>
            </w:r>
            <w:r w:rsidRPr="00FA4E09">
              <w:rPr>
                <w:rFonts w:ascii="Calibri" w:hAnsi="Calibri" w:cs="Calibri"/>
                <w:color w:val="000000" w:themeColor="text1"/>
                <w:sz w:val="20"/>
                <w:szCs w:val="20"/>
              </w:rPr>
              <w:t xml:space="preserve">the number of </w:t>
            </w:r>
            <w:r w:rsidRPr="00FA4E09" w:rsidR="001C750A">
              <w:rPr>
                <w:rFonts w:ascii="Calibri" w:hAnsi="Calibri" w:cs="Calibri"/>
                <w:color w:val="000000" w:themeColor="text1"/>
                <w:sz w:val="20"/>
                <w:szCs w:val="20"/>
              </w:rPr>
              <w:t>P</w:t>
            </w:r>
            <w:r w:rsidRPr="00FA4E09">
              <w:rPr>
                <w:rFonts w:ascii="Calibri" w:hAnsi="Calibri" w:cs="Calibri"/>
                <w:color w:val="000000" w:themeColor="text1"/>
                <w:sz w:val="20"/>
                <w:szCs w:val="20"/>
              </w:rPr>
              <w:t>OTWs operated by each municipal authority/service agency.</w:t>
            </w:r>
          </w:p>
        </w:tc>
      </w:tr>
      <w:tr w14:paraId="4A81378C" w14:textId="77777777" w:rsidTr="00070B01">
        <w:tblPrEx>
          <w:tblW w:w="5000" w:type="pct"/>
          <w:tblLook w:val="01E0"/>
        </w:tblPrEx>
        <w:trPr>
          <w:cantSplit/>
        </w:trPr>
        <w:tc>
          <w:tcPr>
            <w:tcW w:w="660" w:type="pct"/>
            <w:vMerge/>
            <w:tcBorders>
              <w:left w:val="double" w:sz="4" w:space="0" w:color="auto"/>
            </w:tcBorders>
          </w:tcPr>
          <w:p w:rsidR="0024748D" w:rsidRPr="00FA4E09" w:rsidP="00DD34B4" w14:paraId="161A76D2" w14:textId="77777777">
            <w:pPr>
              <w:spacing w:after="0"/>
              <w:rPr>
                <w:rFonts w:ascii="Calibri" w:hAnsi="Calibri" w:cs="Calibri"/>
                <w:color w:val="000000" w:themeColor="text1"/>
                <w:sz w:val="20"/>
                <w:szCs w:val="20"/>
              </w:rPr>
            </w:pPr>
          </w:p>
        </w:tc>
        <w:tc>
          <w:tcPr>
            <w:tcW w:w="382" w:type="pct"/>
            <w:tcBorders>
              <w:top w:val="single" w:sz="8" w:space="0" w:color="000000" w:themeColor="text1"/>
              <w:left w:val="single" w:sz="8" w:space="0" w:color="auto"/>
              <w:bottom w:val="single" w:sz="8" w:space="0" w:color="000000" w:themeColor="text1"/>
              <w:right w:val="single" w:sz="8" w:space="0" w:color="000000" w:themeColor="text1"/>
            </w:tcBorders>
          </w:tcPr>
          <w:p w:rsidR="0024748D" w:rsidRPr="00FA4E09" w:rsidP="00DD34B4" w14:paraId="104D13BC" w14:textId="77777777">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2</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77FAC4AC" w14:textId="03D73887">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 xml:space="preserve">Provide </w:t>
            </w:r>
            <w:r w:rsidRPr="00FA4E09">
              <w:rPr>
                <w:rFonts w:ascii="Calibri" w:hAnsi="Calibri" w:cs="Calibri"/>
                <w:color w:val="000000" w:themeColor="text1"/>
                <w:sz w:val="20"/>
                <w:szCs w:val="20"/>
              </w:rPr>
              <w:t>contact information</w:t>
            </w:r>
            <w:r w:rsidRPr="00FA4E09">
              <w:rPr>
                <w:rFonts w:ascii="Calibri" w:hAnsi="Calibri" w:cs="Calibri"/>
                <w:color w:val="000000" w:themeColor="text1"/>
                <w:sz w:val="20"/>
                <w:szCs w:val="20"/>
              </w:rPr>
              <w:t xml:space="preserve"> (i.e., name, phone number, email) for technical information reported in the questionnaire</w:t>
            </w:r>
            <w:r w:rsidRPr="00FA4E09" w:rsidR="00BF2ED5">
              <w:rPr>
                <w:rFonts w:ascii="Calibri" w:hAnsi="Calibri" w:cs="Calibri"/>
                <w:color w:val="000000" w:themeColor="text1"/>
                <w:sz w:val="20"/>
                <w:szCs w:val="20"/>
              </w:rPr>
              <w:t xml:space="preserve"> response</w:t>
            </w:r>
            <w:r w:rsidRPr="00FA4E09">
              <w:rPr>
                <w:rFonts w:ascii="Calibri" w:hAnsi="Calibri" w:cs="Calibri"/>
                <w:b/>
                <w:color w:val="000000" w:themeColor="text1"/>
                <w:sz w:val="20"/>
                <w:szCs w:val="20"/>
              </w:rPr>
              <w:t>.</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6A57EF38" w14:textId="56442363">
            <w:pPr>
              <w:spacing w:after="0"/>
              <w:rPr>
                <w:rFonts w:ascii="Calibri" w:hAnsi="Calibri" w:cs="Calibri"/>
                <w:color w:val="000000" w:themeColor="text1"/>
                <w:sz w:val="20"/>
                <w:szCs w:val="20"/>
              </w:rPr>
            </w:pPr>
            <w:r w:rsidRPr="00FA4E09">
              <w:rPr>
                <w:rFonts w:ascii="Calibri" w:hAnsi="Calibri" w:cs="Calibri"/>
                <w:sz w:val="20"/>
                <w:szCs w:val="20"/>
              </w:rPr>
              <w:t xml:space="preserve">Use contact information reported for the facility </w:t>
            </w:r>
            <w:r w:rsidRPr="00FA4E09">
              <w:rPr>
                <w:rFonts w:ascii="Calibri" w:hAnsi="Calibri" w:cs="Calibri"/>
                <w:color w:val="000000" w:themeColor="text1"/>
                <w:sz w:val="20"/>
                <w:szCs w:val="20"/>
              </w:rPr>
              <w:t>to</w:t>
            </w:r>
            <w:r w:rsidRPr="00FA4E09" w:rsidR="008D1B52">
              <w:rPr>
                <w:rFonts w:ascii="Calibri" w:hAnsi="Calibri" w:cs="Calibri"/>
                <w:color w:val="000000" w:themeColor="text1"/>
                <w:sz w:val="20"/>
                <w:szCs w:val="20"/>
              </w:rPr>
              <w:t xml:space="preserve"> conduct follow up for questionnaire responses and contact regarding sampling</w:t>
            </w:r>
            <w:r w:rsidRPr="00FA4E09">
              <w:rPr>
                <w:rFonts w:ascii="Calibri" w:hAnsi="Calibri" w:cs="Calibri"/>
                <w:color w:val="000000" w:themeColor="text1"/>
                <w:sz w:val="20"/>
                <w:szCs w:val="20"/>
              </w:rPr>
              <w:t>, as necessary.</w:t>
            </w:r>
          </w:p>
        </w:tc>
      </w:tr>
      <w:tr w14:paraId="08EF319E" w14:textId="77777777" w:rsidTr="00070B01">
        <w:tblPrEx>
          <w:tblW w:w="5000" w:type="pct"/>
          <w:tblLook w:val="01E0"/>
        </w:tblPrEx>
        <w:trPr>
          <w:cantSplit/>
        </w:trPr>
        <w:tc>
          <w:tcPr>
            <w:tcW w:w="660" w:type="pct"/>
            <w:vMerge/>
            <w:tcBorders>
              <w:left w:val="double" w:sz="4" w:space="0" w:color="auto"/>
            </w:tcBorders>
          </w:tcPr>
          <w:p w:rsidR="0024748D" w:rsidRPr="00FA4E09" w:rsidP="00DD34B4" w14:paraId="5A3CC788" w14:textId="77777777">
            <w:pPr>
              <w:spacing w:after="0"/>
              <w:rPr>
                <w:rFonts w:ascii="Calibri" w:hAnsi="Calibri" w:cs="Calibri"/>
                <w:color w:val="000000" w:themeColor="text1"/>
                <w:sz w:val="20"/>
                <w:szCs w:val="20"/>
              </w:rPr>
            </w:pPr>
          </w:p>
        </w:tc>
        <w:tc>
          <w:tcPr>
            <w:tcW w:w="382" w:type="pct"/>
            <w:tcBorders>
              <w:top w:val="single" w:sz="8" w:space="0" w:color="000000" w:themeColor="text1"/>
              <w:left w:val="single" w:sz="8" w:space="0" w:color="auto"/>
              <w:bottom w:val="single" w:sz="8" w:space="0" w:color="000000" w:themeColor="text1"/>
              <w:right w:val="single" w:sz="8" w:space="0" w:color="000000" w:themeColor="text1"/>
            </w:tcBorders>
          </w:tcPr>
          <w:p w:rsidR="0024748D" w:rsidRPr="00FA4E09" w:rsidP="00DD34B4" w14:paraId="68BF85CB" w14:textId="77777777">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3</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167CB156" w14:textId="1CA7BBE6">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 xml:space="preserve">Provide information relevant to existing water discharge and </w:t>
            </w:r>
            <w:r w:rsidRPr="00FA4E09" w:rsidR="000D235C">
              <w:rPr>
                <w:rFonts w:ascii="Calibri" w:hAnsi="Calibri" w:cs="Calibri"/>
                <w:color w:val="000000" w:themeColor="text1"/>
                <w:sz w:val="20"/>
                <w:szCs w:val="20"/>
              </w:rPr>
              <w:t>sewage</w:t>
            </w:r>
            <w:r w:rsidRPr="00FA4E09" w:rsidR="0051621E">
              <w:rPr>
                <w:rFonts w:ascii="Calibri" w:hAnsi="Calibri" w:cs="Calibri"/>
                <w:color w:val="000000" w:themeColor="text1"/>
                <w:sz w:val="20"/>
                <w:szCs w:val="20"/>
              </w:rPr>
              <w:t xml:space="preserve"> sludge</w:t>
            </w:r>
            <w:r w:rsidRPr="00FA4E09" w:rsidR="000D235C">
              <w:rPr>
                <w:rFonts w:ascii="Calibri" w:hAnsi="Calibri" w:cs="Calibri"/>
                <w:color w:val="000000" w:themeColor="text1"/>
                <w:sz w:val="20"/>
                <w:szCs w:val="20"/>
              </w:rPr>
              <w:t xml:space="preserve"> </w:t>
            </w:r>
            <w:r w:rsidRPr="00FA4E09">
              <w:rPr>
                <w:rFonts w:ascii="Calibri" w:hAnsi="Calibri" w:cs="Calibri"/>
                <w:color w:val="000000" w:themeColor="text1"/>
                <w:sz w:val="20"/>
                <w:szCs w:val="20"/>
              </w:rPr>
              <w:t xml:space="preserve">requirements (e.g., NPDES permits, state permits for </w:t>
            </w:r>
            <w:r w:rsidRPr="00FA4E09" w:rsidR="0051621E">
              <w:rPr>
                <w:rFonts w:ascii="Calibri" w:hAnsi="Calibri" w:cs="Calibri"/>
                <w:color w:val="000000" w:themeColor="text1"/>
                <w:sz w:val="20"/>
                <w:szCs w:val="20"/>
              </w:rPr>
              <w:t xml:space="preserve">sewage sludge </w:t>
            </w:r>
            <w:r w:rsidRPr="00FA4E09">
              <w:rPr>
                <w:rFonts w:ascii="Calibri" w:hAnsi="Calibri" w:cs="Calibri"/>
                <w:color w:val="000000" w:themeColor="text1"/>
                <w:sz w:val="20"/>
                <w:szCs w:val="20"/>
              </w:rPr>
              <w:t xml:space="preserve">management, underground injection control permits, local ordinances), including identification number, type of requirement, regulatory agency, expiration date, and whether it includes PFAS monitoring requirements. </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48ABFBFF" w14:textId="3BBFA72B">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 xml:space="preserve">Understand how regulatory authorities are implementing water discharge requirements and </w:t>
            </w:r>
            <w:r w:rsidRPr="00FA4E09" w:rsidR="0051621E">
              <w:rPr>
                <w:rFonts w:ascii="Calibri" w:hAnsi="Calibri" w:cs="Calibri"/>
                <w:color w:val="000000" w:themeColor="text1"/>
                <w:sz w:val="20"/>
                <w:szCs w:val="20"/>
              </w:rPr>
              <w:t xml:space="preserve">sewage sludge </w:t>
            </w:r>
            <w:r w:rsidRPr="00FA4E09">
              <w:rPr>
                <w:rFonts w:ascii="Calibri" w:hAnsi="Calibri" w:cs="Calibri"/>
                <w:color w:val="000000" w:themeColor="text1"/>
                <w:sz w:val="20"/>
                <w:szCs w:val="20"/>
              </w:rPr>
              <w:t xml:space="preserve">management requirements. Determine facilities that are already required to conduct PFAS monitoring of water discharges or sewage </w:t>
            </w:r>
            <w:r w:rsidRPr="00FA4E09" w:rsidR="000077A0">
              <w:rPr>
                <w:rFonts w:ascii="Calibri" w:hAnsi="Calibri" w:cs="Calibri"/>
                <w:color w:val="000000" w:themeColor="text1"/>
                <w:sz w:val="20"/>
                <w:szCs w:val="20"/>
              </w:rPr>
              <w:t>sludge</w:t>
            </w:r>
            <w:r w:rsidRPr="00FA4E09">
              <w:rPr>
                <w:rFonts w:ascii="Calibri" w:hAnsi="Calibri" w:cs="Calibri"/>
                <w:color w:val="000000" w:themeColor="text1"/>
                <w:sz w:val="20"/>
                <w:szCs w:val="20"/>
              </w:rPr>
              <w:t>.</w:t>
            </w:r>
          </w:p>
        </w:tc>
      </w:tr>
      <w:tr w14:paraId="227CF743" w14:textId="77777777" w:rsidTr="00070B01">
        <w:tblPrEx>
          <w:tblW w:w="5000" w:type="pct"/>
          <w:tblLook w:val="01E0"/>
        </w:tblPrEx>
        <w:trPr>
          <w:cantSplit/>
        </w:trPr>
        <w:tc>
          <w:tcPr>
            <w:tcW w:w="660" w:type="pct"/>
            <w:vMerge/>
            <w:tcBorders>
              <w:left w:val="double" w:sz="4" w:space="0" w:color="auto"/>
            </w:tcBorders>
          </w:tcPr>
          <w:p w:rsidR="0024748D" w:rsidRPr="00FA4E09" w:rsidP="00DD34B4" w14:paraId="5B4F34EB" w14:textId="77777777">
            <w:pPr>
              <w:spacing w:after="0"/>
              <w:rPr>
                <w:rFonts w:ascii="Calibri" w:hAnsi="Calibri" w:cs="Calibri"/>
                <w:color w:val="000000" w:themeColor="text1"/>
                <w:sz w:val="20"/>
                <w:szCs w:val="20"/>
              </w:rPr>
            </w:pPr>
          </w:p>
        </w:tc>
        <w:tc>
          <w:tcPr>
            <w:tcW w:w="382" w:type="pct"/>
            <w:tcBorders>
              <w:top w:val="single" w:sz="8" w:space="0" w:color="000000" w:themeColor="text1"/>
              <w:left w:val="single" w:sz="8" w:space="0" w:color="auto"/>
              <w:bottom w:val="single" w:sz="8" w:space="0" w:color="000000" w:themeColor="text1"/>
              <w:right w:val="single" w:sz="8" w:space="0" w:color="000000" w:themeColor="text1"/>
            </w:tcBorders>
          </w:tcPr>
          <w:p w:rsidR="0024748D" w:rsidRPr="00FA4E09" w:rsidP="00DD34B4" w14:paraId="08ADEFE5" w14:textId="77777777">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4</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13D8D379" w14:textId="462C0C46">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 xml:space="preserve">Identify if facility has completed a NPDES Permitting Program Application Form 2S (New and Existing Treatment Works Treating Domestic Sewage) </w:t>
            </w:r>
            <w:r w:rsidRPr="00FA4E09" w:rsidR="006A42E9">
              <w:rPr>
                <w:rFonts w:ascii="Calibri" w:hAnsi="Calibri" w:cs="Calibri"/>
                <w:color w:val="000000" w:themeColor="text1"/>
                <w:sz w:val="20"/>
                <w:szCs w:val="20"/>
              </w:rPr>
              <w:t xml:space="preserve">or </w:t>
            </w:r>
            <w:r w:rsidRPr="00FA4E09" w:rsidR="003E1334">
              <w:rPr>
                <w:rFonts w:ascii="Calibri" w:hAnsi="Calibri" w:cs="Calibri"/>
                <w:color w:val="000000" w:themeColor="text1"/>
                <w:sz w:val="20"/>
                <w:szCs w:val="20"/>
              </w:rPr>
              <w:t xml:space="preserve">the </w:t>
            </w:r>
            <w:r w:rsidRPr="00FA4E09" w:rsidR="007C2017">
              <w:rPr>
                <w:rFonts w:ascii="Calibri" w:hAnsi="Calibri" w:cs="Calibri"/>
                <w:color w:val="000000" w:themeColor="text1"/>
                <w:sz w:val="20"/>
                <w:szCs w:val="20"/>
              </w:rPr>
              <w:t>e</w:t>
            </w:r>
            <w:r w:rsidRPr="00FA4E09" w:rsidR="006A42E9">
              <w:rPr>
                <w:rFonts w:ascii="Calibri" w:hAnsi="Calibri" w:cs="Calibri"/>
                <w:color w:val="000000" w:themeColor="text1"/>
                <w:sz w:val="20"/>
                <w:szCs w:val="20"/>
              </w:rPr>
              <w:t xml:space="preserve">quivalent </w:t>
            </w:r>
            <w:r w:rsidRPr="00FA4E09" w:rsidR="007C2017">
              <w:rPr>
                <w:rFonts w:ascii="Calibri" w:hAnsi="Calibri" w:cs="Calibri"/>
                <w:color w:val="000000" w:themeColor="text1"/>
                <w:sz w:val="20"/>
                <w:szCs w:val="20"/>
              </w:rPr>
              <w:t>state form</w:t>
            </w:r>
            <w:r w:rsidRPr="00FA4E09">
              <w:rPr>
                <w:rFonts w:ascii="Calibri" w:hAnsi="Calibri" w:cs="Calibri"/>
                <w:color w:val="000000" w:themeColor="text1"/>
                <w:sz w:val="20"/>
                <w:szCs w:val="20"/>
              </w:rPr>
              <w:t xml:space="preserve">. If so, requests the </w:t>
            </w:r>
            <w:r w:rsidRPr="00FA4E09" w:rsidR="004D3BA2">
              <w:rPr>
                <w:rFonts w:ascii="Calibri" w:hAnsi="Calibri" w:cs="Calibri"/>
                <w:color w:val="000000" w:themeColor="text1"/>
                <w:sz w:val="20"/>
                <w:szCs w:val="20"/>
              </w:rPr>
              <w:t xml:space="preserve">respondent to </w:t>
            </w:r>
            <w:r w:rsidRPr="00FA4E09" w:rsidR="00AE567F">
              <w:rPr>
                <w:rFonts w:ascii="Calibri" w:hAnsi="Calibri" w:cs="Calibri"/>
                <w:color w:val="000000" w:themeColor="text1"/>
                <w:sz w:val="20"/>
                <w:szCs w:val="20"/>
              </w:rPr>
              <w:t xml:space="preserve">upload the applicable forms and specify the </w:t>
            </w:r>
            <w:r w:rsidRPr="00FA4E09">
              <w:rPr>
                <w:rFonts w:ascii="Calibri" w:hAnsi="Calibri" w:cs="Calibri"/>
                <w:color w:val="000000" w:themeColor="text1"/>
                <w:sz w:val="20"/>
                <w:szCs w:val="20"/>
              </w:rPr>
              <w:t>regulatory agency receiving the most recent Form 2S</w:t>
            </w:r>
            <w:r w:rsidRPr="00FA4E09" w:rsidR="007C2017">
              <w:rPr>
                <w:rFonts w:ascii="Calibri" w:hAnsi="Calibri" w:cs="Calibri"/>
                <w:color w:val="000000" w:themeColor="text1"/>
                <w:sz w:val="20"/>
                <w:szCs w:val="20"/>
              </w:rPr>
              <w:t xml:space="preserve"> (or the equivalent state form)</w:t>
            </w:r>
            <w:r w:rsidRPr="00FA4E09">
              <w:rPr>
                <w:rFonts w:ascii="Calibri" w:hAnsi="Calibri" w:cs="Calibri"/>
                <w:color w:val="000000" w:themeColor="text1"/>
                <w:sz w:val="20"/>
                <w:szCs w:val="20"/>
              </w:rPr>
              <w:t xml:space="preserve"> and submission date.</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0035940A" w14:textId="7A08B16D">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 xml:space="preserve">Identify which POTWs have completed Form 2S </w:t>
            </w:r>
            <w:r w:rsidRPr="00FA4E09" w:rsidR="00AE567F">
              <w:rPr>
                <w:rFonts w:ascii="Calibri" w:hAnsi="Calibri" w:cs="Calibri"/>
                <w:color w:val="000000" w:themeColor="text1"/>
                <w:sz w:val="20"/>
                <w:szCs w:val="20"/>
              </w:rPr>
              <w:t xml:space="preserve">(or the </w:t>
            </w:r>
            <w:r w:rsidRPr="00FA4E09" w:rsidR="00E253D0">
              <w:rPr>
                <w:rFonts w:ascii="Calibri" w:hAnsi="Calibri" w:cs="Calibri"/>
                <w:color w:val="000000" w:themeColor="text1"/>
                <w:sz w:val="20"/>
                <w:szCs w:val="20"/>
              </w:rPr>
              <w:t xml:space="preserve">equivalent state form) </w:t>
            </w:r>
            <w:r w:rsidRPr="00FA4E09">
              <w:rPr>
                <w:rFonts w:ascii="Calibri" w:hAnsi="Calibri" w:cs="Calibri"/>
                <w:color w:val="000000" w:themeColor="text1"/>
                <w:sz w:val="20"/>
                <w:szCs w:val="20"/>
              </w:rPr>
              <w:t xml:space="preserve">and the regulatory agency which received it. </w:t>
            </w:r>
          </w:p>
        </w:tc>
      </w:tr>
      <w:tr w14:paraId="0FB1C4EC" w14:textId="77777777" w:rsidTr="00070B01">
        <w:tblPrEx>
          <w:tblW w:w="5000" w:type="pct"/>
          <w:tblLook w:val="01E0"/>
        </w:tblPrEx>
        <w:trPr>
          <w:cantSplit/>
        </w:trPr>
        <w:tc>
          <w:tcPr>
            <w:tcW w:w="660" w:type="pct"/>
            <w:vMerge w:val="restart"/>
            <w:tcBorders>
              <w:top w:val="single" w:sz="8" w:space="0" w:color="auto"/>
              <w:left w:val="double" w:sz="4" w:space="0" w:color="auto"/>
              <w:right w:val="single" w:sz="8" w:space="0" w:color="auto"/>
            </w:tcBorders>
          </w:tcPr>
          <w:p w:rsidR="005D1204" w:rsidRPr="00FA4E09" w:rsidP="00DD34B4" w14:paraId="2F267E96" w14:textId="77777777">
            <w:pPr>
              <w:spacing w:after="0"/>
              <w:rPr>
                <w:rFonts w:ascii="Calibri" w:hAnsi="Calibri" w:cs="Calibri"/>
                <w:sz w:val="20"/>
                <w:szCs w:val="20"/>
              </w:rPr>
            </w:pPr>
            <w:r w:rsidRPr="00FA4E09">
              <w:rPr>
                <w:rFonts w:ascii="Calibri" w:hAnsi="Calibri" w:cs="Calibri"/>
                <w:sz w:val="20"/>
                <w:szCs w:val="20"/>
              </w:rPr>
              <w:t>2 – Wastewater Influent and Industrial Sources</w:t>
            </w:r>
          </w:p>
          <w:p w:rsidR="005D1204" w:rsidRPr="00FA4E09" w:rsidP="00DD34B4" w14:paraId="72D32006" w14:textId="77777777">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 xml:space="preserve"> </w:t>
            </w:r>
          </w:p>
        </w:tc>
        <w:tc>
          <w:tcPr>
            <w:tcW w:w="382" w:type="pct"/>
            <w:tcBorders>
              <w:top w:val="single" w:sz="8" w:space="0" w:color="000000" w:themeColor="text1"/>
              <w:left w:val="single" w:sz="8" w:space="0" w:color="auto"/>
              <w:bottom w:val="single" w:sz="8" w:space="0" w:color="000000" w:themeColor="text1"/>
              <w:right w:val="single" w:sz="8" w:space="0" w:color="000000" w:themeColor="text1"/>
            </w:tcBorders>
          </w:tcPr>
          <w:p w:rsidR="005D1204" w:rsidRPr="00FA4E09" w:rsidP="00DD34B4" w14:paraId="288076B9" w14:textId="77777777">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5</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D1204" w:rsidRPr="00FA4E09" w:rsidP="00DD34B4" w14:paraId="63576A73" w14:textId="212E819B">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 xml:space="preserve">Report the facility’s </w:t>
            </w:r>
            <w:r w:rsidRPr="00B839EF">
              <w:rPr>
                <w:rFonts w:ascii="Calibri" w:hAnsi="Calibri" w:cs="Calibri"/>
                <w:color w:val="000000" w:themeColor="text1"/>
                <w:sz w:val="20"/>
                <w:szCs w:val="20"/>
              </w:rPr>
              <w:t xml:space="preserve">design maximum daily influent flow rate, annual average daily influent flow rate, and seasonal average daily influent flow rates </w:t>
            </w:r>
            <w:r w:rsidRPr="00FA4E09">
              <w:rPr>
                <w:rFonts w:ascii="Calibri" w:hAnsi="Calibri" w:cs="Calibri"/>
                <w:color w:val="000000" w:themeColor="text1"/>
                <w:sz w:val="20"/>
                <w:szCs w:val="20"/>
              </w:rPr>
              <w:t>for 2023.</w:t>
            </w:r>
          </w:p>
        </w:tc>
        <w:tc>
          <w:tcPr>
            <w:tcW w:w="1510" w:type="pct"/>
            <w:vMerge w:val="restart"/>
            <w:tcBorders>
              <w:top w:val="single" w:sz="8" w:space="0" w:color="000000" w:themeColor="text1"/>
              <w:left w:val="single" w:sz="8" w:space="0" w:color="000000" w:themeColor="text1"/>
              <w:right w:val="double" w:sz="4" w:space="0" w:color="auto"/>
            </w:tcBorders>
          </w:tcPr>
          <w:p w:rsidR="005D1204" w:rsidRPr="00FA4E09" w:rsidP="00DD34B4" w14:paraId="2B9BB66A" w14:textId="22D81280">
            <w:pPr>
              <w:spacing w:after="0"/>
              <w:rPr>
                <w:rFonts w:ascii="Calibri" w:hAnsi="Calibri" w:cs="Calibri"/>
                <w:color w:val="000000" w:themeColor="text1"/>
                <w:sz w:val="20"/>
                <w:szCs w:val="20"/>
              </w:rPr>
            </w:pPr>
            <w:r>
              <w:rPr>
                <w:rFonts w:ascii="Calibri" w:hAnsi="Calibri" w:cs="Calibri"/>
                <w:color w:val="000000" w:themeColor="text1"/>
                <w:sz w:val="20"/>
                <w:szCs w:val="20"/>
              </w:rPr>
              <w:t xml:space="preserve">Determine the quantity of water managed by the </w:t>
            </w:r>
            <w:r w:rsidRPr="00FA4E09">
              <w:rPr>
                <w:rFonts w:ascii="Calibri" w:hAnsi="Calibri" w:cs="Calibri"/>
                <w:color w:val="000000" w:themeColor="text1"/>
                <w:sz w:val="20"/>
                <w:szCs w:val="20"/>
              </w:rPr>
              <w:t xml:space="preserve">facility and seasonal variations in flow rate, which will be used to </w:t>
            </w:r>
            <w:r>
              <w:rPr>
                <w:rFonts w:ascii="Calibri" w:hAnsi="Calibri" w:cs="Calibri"/>
                <w:color w:val="000000" w:themeColor="text1"/>
                <w:sz w:val="20"/>
                <w:szCs w:val="20"/>
              </w:rPr>
              <w:t xml:space="preserve">determine relative size of the facility, </w:t>
            </w:r>
            <w:r w:rsidRPr="00FA4E09">
              <w:rPr>
                <w:rFonts w:ascii="Calibri" w:hAnsi="Calibri" w:cs="Calibri"/>
                <w:color w:val="000000" w:themeColor="text1"/>
                <w:sz w:val="20"/>
                <w:szCs w:val="20"/>
              </w:rPr>
              <w:t>determine when sampling should be conducted</w:t>
            </w:r>
            <w:r>
              <w:rPr>
                <w:rFonts w:ascii="Calibri" w:hAnsi="Calibri" w:cs="Calibri"/>
                <w:color w:val="000000" w:themeColor="text1"/>
                <w:sz w:val="20"/>
                <w:szCs w:val="20"/>
              </w:rPr>
              <w:t>,</w:t>
            </w:r>
            <w:r w:rsidRPr="00FA4E09">
              <w:rPr>
                <w:rFonts w:ascii="Calibri" w:hAnsi="Calibri" w:cs="Calibri"/>
                <w:color w:val="000000" w:themeColor="text1"/>
                <w:sz w:val="20"/>
                <w:szCs w:val="20"/>
              </w:rPr>
              <w:t xml:space="preserve"> and augment sampling data.</w:t>
            </w:r>
          </w:p>
        </w:tc>
      </w:tr>
      <w:tr w14:paraId="209BB629" w14:textId="77777777" w:rsidTr="00070B01">
        <w:tblPrEx>
          <w:tblW w:w="5000" w:type="pct"/>
          <w:tblLook w:val="01E0"/>
        </w:tblPrEx>
        <w:trPr>
          <w:cantSplit/>
        </w:trPr>
        <w:tc>
          <w:tcPr>
            <w:tcW w:w="660" w:type="pct"/>
            <w:vMerge/>
            <w:tcBorders>
              <w:left w:val="double" w:sz="4" w:space="0" w:color="auto"/>
            </w:tcBorders>
          </w:tcPr>
          <w:p w:rsidR="005D1204" w:rsidRPr="00FA4E09" w:rsidP="00DD34B4" w14:paraId="31DC3EFE" w14:textId="77777777">
            <w:pPr>
              <w:spacing w:after="0"/>
              <w:rPr>
                <w:rFonts w:ascii="Calibri" w:hAnsi="Calibri" w:cs="Calibri"/>
                <w:sz w:val="20"/>
                <w:szCs w:val="20"/>
              </w:rPr>
            </w:pPr>
          </w:p>
        </w:tc>
        <w:tc>
          <w:tcPr>
            <w:tcW w:w="382" w:type="pct"/>
            <w:tcBorders>
              <w:top w:val="single" w:sz="8" w:space="0" w:color="000000" w:themeColor="text1"/>
              <w:left w:val="single" w:sz="8" w:space="0" w:color="auto"/>
              <w:bottom w:val="single" w:sz="8" w:space="0" w:color="000000" w:themeColor="text1"/>
              <w:right w:val="single" w:sz="8" w:space="0" w:color="000000" w:themeColor="text1"/>
            </w:tcBorders>
          </w:tcPr>
          <w:p w:rsidR="005D1204" w:rsidRPr="00FA4E09" w:rsidP="00DD34B4" w14:paraId="69696505" w14:textId="77777777">
            <w:pPr>
              <w:spacing w:after="0"/>
              <w:rPr>
                <w:rFonts w:ascii="Calibri" w:hAnsi="Calibri" w:cs="Calibri"/>
                <w:sz w:val="20"/>
                <w:szCs w:val="20"/>
              </w:rPr>
            </w:pPr>
            <w:r w:rsidRPr="00FA4E09">
              <w:rPr>
                <w:rFonts w:ascii="Calibri" w:hAnsi="Calibri" w:cs="Calibri"/>
                <w:sz w:val="20"/>
                <w:szCs w:val="20"/>
              </w:rPr>
              <w:t>6</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D1204" w:rsidRPr="00FA4E09" w:rsidP="00DD34B4" w14:paraId="0B556D5A" w14:textId="77777777">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Report the total influent flow rate to the facility for 2023.</w:t>
            </w:r>
          </w:p>
        </w:tc>
        <w:tc>
          <w:tcPr>
            <w:tcW w:w="1510" w:type="pct"/>
            <w:vMerge/>
            <w:tcBorders>
              <w:left w:val="single" w:sz="8" w:space="0" w:color="000000" w:themeColor="text1"/>
              <w:bottom w:val="single" w:sz="8" w:space="0" w:color="000000" w:themeColor="text1"/>
              <w:right w:val="double" w:sz="4" w:space="0" w:color="auto"/>
            </w:tcBorders>
          </w:tcPr>
          <w:p w:rsidR="005D1204" w:rsidRPr="00FA4E09" w:rsidP="00DD34B4" w14:paraId="6750C4D3" w14:textId="37446262">
            <w:pPr>
              <w:spacing w:after="0"/>
              <w:rPr>
                <w:rFonts w:ascii="Calibri" w:hAnsi="Calibri" w:cs="Calibri"/>
                <w:color w:val="000000" w:themeColor="text1"/>
                <w:sz w:val="20"/>
                <w:szCs w:val="20"/>
              </w:rPr>
            </w:pPr>
          </w:p>
        </w:tc>
      </w:tr>
      <w:tr w14:paraId="1752E496" w14:textId="77777777" w:rsidTr="00070B01">
        <w:tblPrEx>
          <w:tblW w:w="5000" w:type="pct"/>
          <w:tblLook w:val="01E0"/>
        </w:tblPrEx>
        <w:trPr>
          <w:cantSplit/>
        </w:trPr>
        <w:tc>
          <w:tcPr>
            <w:tcW w:w="660" w:type="pct"/>
            <w:vMerge/>
            <w:tcBorders>
              <w:left w:val="double" w:sz="4" w:space="0" w:color="auto"/>
              <w:bottom w:val="single" w:sz="4" w:space="0" w:color="auto"/>
            </w:tcBorders>
          </w:tcPr>
          <w:p w:rsidR="0024748D" w:rsidRPr="00FA4E09" w:rsidP="00DD34B4" w14:paraId="10A7FEC4" w14:textId="77777777">
            <w:pPr>
              <w:spacing w:after="0"/>
              <w:rPr>
                <w:rFonts w:ascii="Calibri" w:hAnsi="Calibri" w:cs="Calibri"/>
                <w:sz w:val="20"/>
                <w:szCs w:val="20"/>
              </w:rPr>
            </w:pPr>
          </w:p>
        </w:tc>
        <w:tc>
          <w:tcPr>
            <w:tcW w:w="382" w:type="pct"/>
            <w:tcBorders>
              <w:top w:val="single" w:sz="8" w:space="0" w:color="000000" w:themeColor="text1"/>
              <w:left w:val="single" w:sz="8" w:space="0" w:color="auto"/>
              <w:bottom w:val="single" w:sz="4" w:space="0" w:color="auto"/>
              <w:right w:val="single" w:sz="8" w:space="0" w:color="000000" w:themeColor="text1"/>
            </w:tcBorders>
          </w:tcPr>
          <w:p w:rsidR="0024748D" w:rsidRPr="00FA4E09" w:rsidP="00DD34B4" w14:paraId="17E55DB4" w14:textId="77777777">
            <w:pPr>
              <w:spacing w:after="0"/>
              <w:rPr>
                <w:rFonts w:ascii="Calibri" w:hAnsi="Calibri" w:cs="Calibri"/>
                <w:sz w:val="20"/>
                <w:szCs w:val="20"/>
              </w:rPr>
            </w:pPr>
            <w:r w:rsidRPr="00FA4E09">
              <w:rPr>
                <w:rFonts w:ascii="Calibri" w:hAnsi="Calibri" w:cs="Calibri"/>
                <w:sz w:val="20"/>
                <w:szCs w:val="20"/>
              </w:rPr>
              <w:t>7</w:t>
            </w:r>
          </w:p>
        </w:tc>
        <w:tc>
          <w:tcPr>
            <w:tcW w:w="2448" w:type="pct"/>
            <w:tcBorders>
              <w:top w:val="single" w:sz="8" w:space="0" w:color="000000" w:themeColor="text1"/>
              <w:left w:val="single" w:sz="8" w:space="0" w:color="000000" w:themeColor="text1"/>
              <w:bottom w:val="single" w:sz="4" w:space="0" w:color="auto"/>
              <w:right w:val="single" w:sz="8" w:space="0" w:color="000000" w:themeColor="text1"/>
            </w:tcBorders>
          </w:tcPr>
          <w:p w:rsidR="0024748D" w:rsidRPr="00FA4E09" w:rsidP="00DD34B4" w14:paraId="55487438" w14:textId="500C72D8">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 xml:space="preserve">Estimate the </w:t>
            </w:r>
            <w:r w:rsidR="00D053D8">
              <w:rPr>
                <w:rFonts w:ascii="Calibri" w:hAnsi="Calibri" w:cs="Calibri"/>
                <w:color w:val="000000" w:themeColor="text1"/>
                <w:sz w:val="20"/>
                <w:szCs w:val="20"/>
              </w:rPr>
              <w:t xml:space="preserve">total influent flow rate or relative </w:t>
            </w:r>
            <w:r w:rsidRPr="00FA4E09">
              <w:rPr>
                <w:rFonts w:ascii="Calibri" w:hAnsi="Calibri" w:cs="Calibri"/>
                <w:color w:val="000000" w:themeColor="text1"/>
                <w:sz w:val="20"/>
                <w:szCs w:val="20"/>
              </w:rPr>
              <w:t>contribution of industrial wastewater</w:t>
            </w:r>
            <w:r w:rsidRPr="005D1204">
              <w:rPr>
                <w:rFonts w:ascii="Calibri" w:hAnsi="Calibri" w:cs="Calibri"/>
                <w:sz w:val="20"/>
                <w:szCs w:val="20"/>
              </w:rPr>
              <w:t xml:space="preserve"> and </w:t>
            </w:r>
            <w:r w:rsidRPr="00FA4E09">
              <w:rPr>
                <w:rFonts w:ascii="Calibri" w:hAnsi="Calibri" w:cs="Calibri"/>
                <w:color w:val="000000" w:themeColor="text1"/>
                <w:sz w:val="20"/>
                <w:szCs w:val="20"/>
              </w:rPr>
              <w:t>non</w:t>
            </w:r>
            <w:r w:rsidRPr="00FA4E09" w:rsidR="00C271B4">
              <w:rPr>
                <w:rFonts w:ascii="Calibri" w:hAnsi="Calibri" w:cs="Calibri"/>
                <w:color w:val="000000" w:themeColor="text1"/>
                <w:sz w:val="20"/>
                <w:szCs w:val="20"/>
              </w:rPr>
              <w:t>-</w:t>
            </w:r>
            <w:r w:rsidRPr="00FA4E09">
              <w:rPr>
                <w:rFonts w:ascii="Calibri" w:hAnsi="Calibri" w:cs="Calibri"/>
                <w:color w:val="000000" w:themeColor="text1"/>
                <w:sz w:val="20"/>
                <w:szCs w:val="20"/>
              </w:rPr>
              <w:t xml:space="preserve">industrial wastewater (e.g., </w:t>
            </w:r>
            <w:r w:rsidR="005458B2">
              <w:rPr>
                <w:rFonts w:ascii="Calibri" w:hAnsi="Calibri" w:cs="Calibri"/>
                <w:color w:val="000000" w:themeColor="text1"/>
                <w:sz w:val="20"/>
                <w:szCs w:val="20"/>
              </w:rPr>
              <w:t xml:space="preserve">domestic </w:t>
            </w:r>
            <w:r w:rsidR="001D542C">
              <w:rPr>
                <w:rFonts w:ascii="Calibri" w:hAnsi="Calibri" w:cs="Calibri"/>
                <w:color w:val="000000" w:themeColor="text1"/>
                <w:sz w:val="20"/>
                <w:szCs w:val="20"/>
              </w:rPr>
              <w:t>wastewater or sewage</w:t>
            </w:r>
            <w:r w:rsidR="005458B2">
              <w:rPr>
                <w:rFonts w:ascii="Calibri" w:hAnsi="Calibri" w:cs="Calibri"/>
                <w:color w:val="000000" w:themeColor="text1"/>
                <w:sz w:val="20"/>
                <w:szCs w:val="20"/>
              </w:rPr>
              <w:t>, commercial/institution wastewater</w:t>
            </w:r>
            <w:r w:rsidRPr="00FA4E09">
              <w:rPr>
                <w:rFonts w:ascii="Calibri" w:hAnsi="Calibri" w:cs="Calibri"/>
                <w:color w:val="000000" w:themeColor="text1"/>
                <w:sz w:val="20"/>
                <w:szCs w:val="20"/>
              </w:rPr>
              <w:t>, stormwater</w:t>
            </w:r>
            <w:r w:rsidR="005458B2">
              <w:rPr>
                <w:rFonts w:ascii="Calibri" w:hAnsi="Calibri" w:cs="Calibri"/>
                <w:color w:val="000000" w:themeColor="text1"/>
                <w:sz w:val="20"/>
                <w:szCs w:val="20"/>
              </w:rPr>
              <w:t>, groundwater</w:t>
            </w:r>
            <w:r w:rsidRPr="00FA4E09">
              <w:rPr>
                <w:rFonts w:ascii="Calibri" w:hAnsi="Calibri" w:cs="Calibri"/>
                <w:color w:val="000000" w:themeColor="text1"/>
                <w:sz w:val="20"/>
                <w:szCs w:val="20"/>
              </w:rPr>
              <w:t>) to the facility in 2023. May be reported as gross value or relative percent.</w:t>
            </w:r>
          </w:p>
        </w:tc>
        <w:tc>
          <w:tcPr>
            <w:tcW w:w="1510" w:type="pct"/>
            <w:tcBorders>
              <w:top w:val="single" w:sz="8" w:space="0" w:color="000000" w:themeColor="text1"/>
              <w:left w:val="single" w:sz="8" w:space="0" w:color="000000" w:themeColor="text1"/>
              <w:bottom w:val="single" w:sz="4" w:space="0" w:color="auto"/>
              <w:right w:val="double" w:sz="4" w:space="0" w:color="auto"/>
            </w:tcBorders>
          </w:tcPr>
          <w:p w:rsidR="0024748D" w:rsidRPr="00FA4E09" w:rsidP="00DD34B4" w14:paraId="579F5A2A" w14:textId="03088EC4">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 xml:space="preserve">Understand the relative contributions of different types of wastewater to the POTW and determine if there are trends between PFAS concentrations and </w:t>
            </w:r>
            <w:r w:rsidR="00D053D8">
              <w:rPr>
                <w:rFonts w:ascii="Calibri" w:hAnsi="Calibri" w:cs="Calibri"/>
                <w:color w:val="000000" w:themeColor="text1"/>
                <w:sz w:val="20"/>
                <w:szCs w:val="20"/>
              </w:rPr>
              <w:t xml:space="preserve">types of wastewater </w:t>
            </w:r>
            <w:r w:rsidR="003E2DDF">
              <w:rPr>
                <w:rFonts w:ascii="Calibri" w:hAnsi="Calibri" w:cs="Calibri"/>
                <w:color w:val="000000" w:themeColor="text1"/>
                <w:sz w:val="20"/>
                <w:szCs w:val="20"/>
              </w:rPr>
              <w:t>received by the POTW</w:t>
            </w:r>
            <w:r w:rsidRPr="00FA4E09">
              <w:rPr>
                <w:rFonts w:ascii="Calibri" w:hAnsi="Calibri" w:cs="Calibri"/>
                <w:color w:val="000000" w:themeColor="text1"/>
                <w:sz w:val="20"/>
                <w:szCs w:val="20"/>
              </w:rPr>
              <w:t>.</w:t>
            </w:r>
          </w:p>
        </w:tc>
      </w:tr>
      <w:tr w14:paraId="3EE87E4F" w14:textId="77777777" w:rsidTr="00070B01">
        <w:tblPrEx>
          <w:tblW w:w="5000" w:type="pct"/>
          <w:tblLook w:val="01E0"/>
        </w:tblPrEx>
        <w:trPr>
          <w:cantSplit/>
        </w:trPr>
        <w:tc>
          <w:tcPr>
            <w:tcW w:w="660" w:type="pct"/>
            <w:vMerge/>
            <w:tcBorders>
              <w:top w:val="single" w:sz="4" w:space="0" w:color="auto"/>
              <w:left w:val="double" w:sz="4" w:space="0" w:color="auto"/>
            </w:tcBorders>
          </w:tcPr>
          <w:p w:rsidR="0024748D" w:rsidRPr="00FA4E09" w:rsidP="00DD34B4" w14:paraId="62181479" w14:textId="77777777">
            <w:pPr>
              <w:spacing w:after="0"/>
              <w:rPr>
                <w:rFonts w:ascii="Calibri" w:hAnsi="Calibri" w:cs="Calibri"/>
                <w:sz w:val="20"/>
                <w:szCs w:val="20"/>
              </w:rPr>
            </w:pPr>
          </w:p>
        </w:tc>
        <w:tc>
          <w:tcPr>
            <w:tcW w:w="382" w:type="pct"/>
            <w:tcBorders>
              <w:top w:val="single" w:sz="4" w:space="0" w:color="auto"/>
              <w:left w:val="single" w:sz="8" w:space="0" w:color="auto"/>
              <w:bottom w:val="single" w:sz="8" w:space="0" w:color="000000" w:themeColor="text1"/>
              <w:right w:val="single" w:sz="8" w:space="0" w:color="000000" w:themeColor="text1"/>
            </w:tcBorders>
          </w:tcPr>
          <w:p w:rsidR="0024748D" w:rsidRPr="00FA4E09" w:rsidP="00DD34B4" w14:paraId="50D658D2" w14:textId="77777777">
            <w:pPr>
              <w:spacing w:after="0"/>
              <w:rPr>
                <w:rFonts w:ascii="Calibri" w:hAnsi="Calibri" w:cs="Calibri"/>
                <w:sz w:val="20"/>
                <w:szCs w:val="20"/>
              </w:rPr>
            </w:pPr>
            <w:r w:rsidRPr="00FA4E09">
              <w:rPr>
                <w:rFonts w:ascii="Calibri" w:hAnsi="Calibri" w:cs="Calibri"/>
                <w:sz w:val="20"/>
                <w:szCs w:val="20"/>
              </w:rPr>
              <w:t>8</w:t>
            </w:r>
          </w:p>
        </w:tc>
        <w:tc>
          <w:tcPr>
            <w:tcW w:w="2448" w:type="pct"/>
            <w:tcBorders>
              <w:top w:val="single" w:sz="4" w:space="0" w:color="auto"/>
              <w:left w:val="single" w:sz="8" w:space="0" w:color="000000" w:themeColor="text1"/>
              <w:bottom w:val="single" w:sz="8" w:space="0" w:color="000000" w:themeColor="text1"/>
              <w:right w:val="single" w:sz="8" w:space="0" w:color="000000" w:themeColor="text1"/>
            </w:tcBorders>
          </w:tcPr>
          <w:p w:rsidR="0024748D" w:rsidRPr="00FA4E09" w:rsidP="00DD34B4" w14:paraId="4A1A5B96" w14:textId="276799FD">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Identify whether the facility administer</w:t>
            </w:r>
            <w:r w:rsidR="00164DCB">
              <w:rPr>
                <w:rFonts w:ascii="Calibri" w:hAnsi="Calibri" w:cs="Calibri"/>
                <w:color w:val="000000" w:themeColor="text1"/>
                <w:sz w:val="20"/>
                <w:szCs w:val="20"/>
              </w:rPr>
              <w:t>ed</w:t>
            </w:r>
            <w:r w:rsidRPr="00FA4E09">
              <w:rPr>
                <w:rFonts w:ascii="Calibri" w:hAnsi="Calibri" w:cs="Calibri"/>
                <w:color w:val="000000" w:themeColor="text1"/>
                <w:sz w:val="20"/>
                <w:szCs w:val="20"/>
              </w:rPr>
              <w:t xml:space="preserve"> </w:t>
            </w:r>
            <w:r w:rsidR="00164DCB">
              <w:rPr>
                <w:rFonts w:ascii="Calibri" w:hAnsi="Calibri" w:cs="Calibri"/>
                <w:color w:val="000000" w:themeColor="text1"/>
                <w:sz w:val="20"/>
                <w:szCs w:val="20"/>
              </w:rPr>
              <w:t>a</w:t>
            </w:r>
            <w:r w:rsidRPr="00FA4E09">
              <w:rPr>
                <w:rFonts w:ascii="Calibri" w:hAnsi="Calibri" w:cs="Calibri"/>
                <w:color w:val="000000" w:themeColor="text1"/>
                <w:sz w:val="20"/>
                <w:szCs w:val="20"/>
              </w:rPr>
              <w:t xml:space="preserve"> local pretreatment program regulated </w:t>
            </w:r>
            <w:r w:rsidR="00164DCB">
              <w:rPr>
                <w:rFonts w:ascii="Calibri" w:hAnsi="Calibri" w:cs="Calibri"/>
                <w:color w:val="000000" w:themeColor="text1"/>
                <w:sz w:val="20"/>
                <w:szCs w:val="20"/>
              </w:rPr>
              <w:t>by</w:t>
            </w:r>
            <w:r w:rsidRPr="00FA4E09">
              <w:rPr>
                <w:rFonts w:ascii="Calibri" w:hAnsi="Calibri" w:cs="Calibri"/>
                <w:color w:val="000000" w:themeColor="text1"/>
                <w:sz w:val="20"/>
                <w:szCs w:val="20"/>
              </w:rPr>
              <w:t xml:space="preserve"> 40 CFR §403.8(a)</w:t>
            </w:r>
            <w:r w:rsidR="00164DCB">
              <w:rPr>
                <w:rFonts w:ascii="Calibri" w:hAnsi="Calibri" w:cs="Calibri"/>
                <w:color w:val="000000" w:themeColor="text1"/>
                <w:sz w:val="20"/>
                <w:szCs w:val="20"/>
              </w:rPr>
              <w:t xml:space="preserve"> in 2023</w:t>
            </w:r>
            <w:r w:rsidRPr="00FA4E09">
              <w:rPr>
                <w:rFonts w:ascii="Calibri" w:hAnsi="Calibri" w:cs="Calibri"/>
                <w:color w:val="000000" w:themeColor="text1"/>
                <w:sz w:val="20"/>
                <w:szCs w:val="20"/>
              </w:rPr>
              <w:t>.</w:t>
            </w:r>
          </w:p>
        </w:tc>
        <w:tc>
          <w:tcPr>
            <w:tcW w:w="1510" w:type="pct"/>
            <w:tcBorders>
              <w:top w:val="single" w:sz="4" w:space="0" w:color="auto"/>
              <w:left w:val="single" w:sz="8" w:space="0" w:color="000000" w:themeColor="text1"/>
              <w:bottom w:val="single" w:sz="8" w:space="0" w:color="000000" w:themeColor="text1"/>
              <w:right w:val="double" w:sz="4" w:space="0" w:color="auto"/>
            </w:tcBorders>
          </w:tcPr>
          <w:p w:rsidR="0024748D" w:rsidRPr="00FA4E09" w:rsidP="00DD34B4" w14:paraId="70386786" w14:textId="77777777">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Provides insight into the facility’s understanding and oversight of industrial wastewater discharges to the POTW, and to determine if the POTW has the authority to collect samples from industrial users.</w:t>
            </w:r>
          </w:p>
        </w:tc>
      </w:tr>
      <w:tr w14:paraId="7E33EA32" w14:textId="77777777" w:rsidTr="00CA6D2A">
        <w:tblPrEx>
          <w:tblW w:w="5000" w:type="pct"/>
          <w:tblLook w:val="01E0"/>
        </w:tblPrEx>
        <w:trPr>
          <w:cantSplit/>
          <w:trHeight w:val="690"/>
        </w:trPr>
        <w:tc>
          <w:tcPr>
            <w:tcW w:w="660" w:type="pct"/>
            <w:vMerge/>
            <w:tcBorders>
              <w:left w:val="double" w:sz="4" w:space="0" w:color="auto"/>
              <w:bottom w:val="single" w:sz="4" w:space="0" w:color="auto"/>
            </w:tcBorders>
          </w:tcPr>
          <w:p w:rsidR="0024748D" w:rsidRPr="00FA4E09" w:rsidP="00DD34B4" w14:paraId="3F8A884B" w14:textId="77777777">
            <w:pPr>
              <w:spacing w:after="0"/>
              <w:rPr>
                <w:rFonts w:ascii="Calibri" w:hAnsi="Calibri" w:cs="Calibri"/>
                <w:sz w:val="20"/>
                <w:szCs w:val="20"/>
              </w:rPr>
            </w:pPr>
          </w:p>
        </w:tc>
        <w:tc>
          <w:tcPr>
            <w:tcW w:w="382" w:type="pct"/>
            <w:tcBorders>
              <w:top w:val="single" w:sz="4" w:space="0" w:color="auto"/>
              <w:left w:val="single" w:sz="8" w:space="0" w:color="auto"/>
              <w:bottom w:val="single" w:sz="8" w:space="0" w:color="000000" w:themeColor="text1"/>
              <w:right w:val="single" w:sz="8" w:space="0" w:color="000000" w:themeColor="text1"/>
            </w:tcBorders>
          </w:tcPr>
          <w:p w:rsidR="0024748D" w:rsidRPr="00FA4E09" w:rsidP="00DD34B4" w14:paraId="409B689B" w14:textId="77D130FE">
            <w:pPr>
              <w:spacing w:after="0"/>
              <w:rPr>
                <w:rFonts w:ascii="Calibri" w:hAnsi="Calibri" w:cs="Calibri"/>
                <w:sz w:val="20"/>
                <w:szCs w:val="20"/>
              </w:rPr>
            </w:pPr>
            <w:r w:rsidRPr="00FA4E09">
              <w:rPr>
                <w:rFonts w:ascii="Calibri" w:hAnsi="Calibri" w:cs="Calibri"/>
                <w:sz w:val="20"/>
                <w:szCs w:val="20"/>
              </w:rPr>
              <w:t>9</w:t>
            </w:r>
          </w:p>
        </w:tc>
        <w:tc>
          <w:tcPr>
            <w:tcW w:w="2448" w:type="pct"/>
            <w:tcBorders>
              <w:top w:val="single" w:sz="4" w:space="0" w:color="auto"/>
              <w:left w:val="single" w:sz="8" w:space="0" w:color="000000" w:themeColor="text1"/>
              <w:bottom w:val="single" w:sz="8" w:space="0" w:color="000000" w:themeColor="text1"/>
              <w:right w:val="single" w:sz="8" w:space="0" w:color="000000" w:themeColor="text1"/>
            </w:tcBorders>
          </w:tcPr>
          <w:p w:rsidR="0024748D" w:rsidRPr="00FA4E09" w:rsidP="00DD34B4" w14:paraId="2508E777" w14:textId="1AD1196C">
            <w:pPr>
              <w:spacing w:after="0"/>
              <w:rPr>
                <w:rFonts w:ascii="Calibri" w:hAnsi="Calibri" w:cs="Calibri"/>
                <w:sz w:val="20"/>
                <w:szCs w:val="20"/>
              </w:rPr>
            </w:pPr>
            <w:r w:rsidRPr="00FA4E09">
              <w:rPr>
                <w:rFonts w:ascii="Calibri" w:hAnsi="Calibri" w:cs="Calibri"/>
                <w:color w:val="000000" w:themeColor="text1"/>
                <w:sz w:val="20"/>
                <w:szCs w:val="20"/>
              </w:rPr>
              <w:t>Report all SIUs permitted to discharge to the POTW</w:t>
            </w:r>
            <w:r w:rsidR="009003A9">
              <w:rPr>
                <w:rFonts w:ascii="Calibri" w:hAnsi="Calibri" w:cs="Calibri"/>
                <w:color w:val="000000" w:themeColor="text1"/>
                <w:sz w:val="20"/>
                <w:szCs w:val="20"/>
              </w:rPr>
              <w:t xml:space="preserve"> in </w:t>
            </w:r>
            <w:r w:rsidR="00614663">
              <w:rPr>
                <w:rFonts w:ascii="Calibri" w:hAnsi="Calibri" w:cs="Calibri"/>
                <w:color w:val="000000" w:themeColor="text1"/>
                <w:sz w:val="20"/>
                <w:szCs w:val="20"/>
              </w:rPr>
              <w:t xml:space="preserve">2023. Also, report </w:t>
            </w:r>
            <w:r w:rsidRPr="00FA4E09" w:rsidR="00E96A41">
              <w:rPr>
                <w:rFonts w:ascii="Calibri" w:hAnsi="Calibri" w:cs="Calibri"/>
                <w:color w:val="000000" w:themeColor="text1"/>
                <w:sz w:val="20"/>
                <w:szCs w:val="20"/>
              </w:rPr>
              <w:t xml:space="preserve">up to 10 </w:t>
            </w:r>
            <w:r w:rsidR="00614663">
              <w:rPr>
                <w:rFonts w:ascii="Calibri" w:hAnsi="Calibri" w:cs="Calibri"/>
                <w:color w:val="000000" w:themeColor="text1"/>
                <w:sz w:val="20"/>
                <w:szCs w:val="20"/>
              </w:rPr>
              <w:t xml:space="preserve">additional </w:t>
            </w:r>
            <w:r w:rsidRPr="00FA4E09" w:rsidR="001171C8">
              <w:rPr>
                <w:rFonts w:ascii="Calibri" w:hAnsi="Calibri" w:cs="Calibri"/>
                <w:color w:val="000000" w:themeColor="text1"/>
                <w:sz w:val="20"/>
                <w:szCs w:val="20"/>
              </w:rPr>
              <w:t>non-SIU</w:t>
            </w:r>
            <w:r w:rsidRPr="00FA4E09">
              <w:rPr>
                <w:rFonts w:ascii="Calibri" w:hAnsi="Calibri" w:cs="Calibri"/>
                <w:color w:val="000000" w:themeColor="text1"/>
                <w:sz w:val="20"/>
                <w:szCs w:val="20"/>
              </w:rPr>
              <w:t xml:space="preserve"> facilities that are known or suspected to discharge PFAS to the POTW.</w:t>
            </w:r>
            <w:r>
              <w:rPr>
                <w:rStyle w:val="FootnoteReference"/>
                <w:rFonts w:ascii="Calibri" w:hAnsi="Calibri" w:cs="Calibri"/>
                <w:color w:val="000000" w:themeColor="text1"/>
                <w:sz w:val="20"/>
                <w:szCs w:val="20"/>
              </w:rPr>
              <w:footnoteReference w:id="4"/>
            </w:r>
            <w:r w:rsidRPr="00FA4E09">
              <w:rPr>
                <w:rFonts w:ascii="Calibri" w:hAnsi="Calibri" w:cs="Calibri"/>
                <w:color w:val="000000" w:themeColor="text1"/>
                <w:sz w:val="20"/>
                <w:szCs w:val="20"/>
              </w:rPr>
              <w:t xml:space="preserve"> For each facility, report the facility name, address, city, state, whether the </w:t>
            </w:r>
            <w:r w:rsidR="0018698F">
              <w:rPr>
                <w:rFonts w:ascii="Calibri" w:hAnsi="Calibri" w:cs="Calibri"/>
                <w:color w:val="000000" w:themeColor="text1"/>
                <w:sz w:val="20"/>
                <w:szCs w:val="20"/>
              </w:rPr>
              <w:t>facility</w:t>
            </w:r>
            <w:r w:rsidRPr="00FA4E09">
              <w:rPr>
                <w:rFonts w:ascii="Calibri" w:hAnsi="Calibri" w:cs="Calibri"/>
                <w:color w:val="000000" w:themeColor="text1"/>
                <w:sz w:val="20"/>
                <w:szCs w:val="20"/>
              </w:rPr>
              <w:t xml:space="preserve"> is a SIU, </w:t>
            </w:r>
            <w:r w:rsidRPr="00FA4E09" w:rsidR="00612DED">
              <w:rPr>
                <w:rFonts w:ascii="Calibri" w:hAnsi="Calibri" w:cs="Calibri"/>
                <w:color w:val="000000" w:themeColor="text1"/>
                <w:sz w:val="20"/>
                <w:szCs w:val="20"/>
              </w:rPr>
              <w:t xml:space="preserve">point source </w:t>
            </w:r>
            <w:r w:rsidRPr="00FA4E09">
              <w:rPr>
                <w:rFonts w:ascii="Calibri" w:hAnsi="Calibri" w:cs="Calibri"/>
                <w:color w:val="000000" w:themeColor="text1"/>
                <w:sz w:val="20"/>
                <w:szCs w:val="20"/>
              </w:rPr>
              <w:t xml:space="preserve">category, </w:t>
            </w:r>
            <w:r w:rsidRPr="00FA4E09" w:rsidR="00C05A2C">
              <w:rPr>
                <w:rFonts w:ascii="Calibri" w:hAnsi="Calibri" w:cs="Calibri"/>
                <w:color w:val="000000" w:themeColor="text1"/>
                <w:sz w:val="20"/>
                <w:szCs w:val="20"/>
              </w:rPr>
              <w:t xml:space="preserve">NAICS code(s), </w:t>
            </w:r>
            <w:r w:rsidRPr="00FA4E09">
              <w:rPr>
                <w:rFonts w:ascii="Calibri" w:hAnsi="Calibri" w:cs="Calibri"/>
                <w:color w:val="000000" w:themeColor="text1"/>
                <w:sz w:val="20"/>
                <w:szCs w:val="20"/>
              </w:rPr>
              <w:t xml:space="preserve">average daily discharge flow rate, </w:t>
            </w:r>
            <w:r w:rsidR="001A206D">
              <w:rPr>
                <w:rFonts w:ascii="Calibri" w:hAnsi="Calibri" w:cs="Calibri"/>
                <w:color w:val="000000" w:themeColor="text1"/>
                <w:sz w:val="20"/>
                <w:szCs w:val="20"/>
              </w:rPr>
              <w:t xml:space="preserve">and </w:t>
            </w:r>
            <w:r w:rsidRPr="00FA4E09">
              <w:rPr>
                <w:rFonts w:ascii="Calibri" w:hAnsi="Calibri" w:cs="Calibri"/>
                <w:color w:val="000000" w:themeColor="text1"/>
                <w:sz w:val="20"/>
                <w:szCs w:val="20"/>
              </w:rPr>
              <w:t xml:space="preserve">whether the facility monitors for PFAS, </w:t>
            </w:r>
            <w:r w:rsidRPr="00FA4E09" w:rsidR="00C05A2C">
              <w:rPr>
                <w:rFonts w:ascii="Calibri" w:hAnsi="Calibri" w:cs="Calibri"/>
                <w:color w:val="000000" w:themeColor="text1"/>
                <w:sz w:val="20"/>
                <w:szCs w:val="20"/>
              </w:rPr>
              <w:t>has effluent limitations for PFAS</w:t>
            </w:r>
            <w:r w:rsidRPr="00FA4E09" w:rsidR="001C750A">
              <w:rPr>
                <w:rFonts w:ascii="Calibri" w:hAnsi="Calibri" w:cs="Calibri"/>
                <w:color w:val="000000" w:themeColor="text1"/>
                <w:sz w:val="20"/>
                <w:szCs w:val="20"/>
              </w:rPr>
              <w:t>,</w:t>
            </w:r>
            <w:r w:rsidRPr="00FA4E09" w:rsidR="00C05A2C">
              <w:rPr>
                <w:rFonts w:ascii="Calibri" w:hAnsi="Calibri" w:cs="Calibri"/>
                <w:color w:val="000000" w:themeColor="text1"/>
                <w:sz w:val="20"/>
                <w:szCs w:val="20"/>
              </w:rPr>
              <w:t xml:space="preserve"> </w:t>
            </w:r>
            <w:r w:rsidR="001A206D">
              <w:rPr>
                <w:rFonts w:ascii="Calibri" w:hAnsi="Calibri" w:cs="Calibri"/>
                <w:color w:val="000000" w:themeColor="text1"/>
                <w:sz w:val="20"/>
                <w:szCs w:val="20"/>
              </w:rPr>
              <w:t>or is</w:t>
            </w:r>
            <w:r w:rsidRPr="00FA4E09">
              <w:rPr>
                <w:rFonts w:ascii="Calibri" w:hAnsi="Calibri" w:cs="Calibri"/>
                <w:color w:val="000000" w:themeColor="text1"/>
                <w:sz w:val="20"/>
                <w:szCs w:val="20"/>
              </w:rPr>
              <w:t xml:space="preserve"> a known or suspected source of PFAS discharges. Complete response using an EPA-provided Excel template workbook.</w:t>
            </w:r>
          </w:p>
        </w:tc>
        <w:tc>
          <w:tcPr>
            <w:tcW w:w="1510" w:type="pct"/>
            <w:tcBorders>
              <w:top w:val="single" w:sz="4" w:space="0" w:color="auto"/>
              <w:left w:val="single" w:sz="8" w:space="0" w:color="000000" w:themeColor="text1"/>
              <w:bottom w:val="single" w:sz="8" w:space="0" w:color="000000" w:themeColor="text1"/>
              <w:right w:val="double" w:sz="4" w:space="0" w:color="auto"/>
            </w:tcBorders>
          </w:tcPr>
          <w:p w:rsidR="0024748D" w:rsidRPr="00FA4E09" w:rsidP="00DD34B4" w14:paraId="61A47BF2" w14:textId="60492052">
            <w:pPr>
              <w:spacing w:after="0"/>
              <w:rPr>
                <w:rFonts w:ascii="Calibri" w:hAnsi="Calibri" w:cs="Calibri"/>
                <w:sz w:val="20"/>
                <w:szCs w:val="20"/>
              </w:rPr>
            </w:pPr>
            <w:r>
              <w:rPr>
                <w:rFonts w:ascii="Calibri" w:hAnsi="Calibri" w:cs="Calibri"/>
                <w:color w:val="000000" w:themeColor="text1"/>
                <w:sz w:val="20"/>
                <w:szCs w:val="20"/>
              </w:rPr>
              <w:t>Determine</w:t>
            </w:r>
            <w:r w:rsidR="005B1D7B">
              <w:rPr>
                <w:rFonts w:ascii="Calibri" w:hAnsi="Calibri" w:cs="Calibri"/>
                <w:color w:val="000000" w:themeColor="text1"/>
                <w:sz w:val="20"/>
                <w:szCs w:val="20"/>
              </w:rPr>
              <w:t xml:space="preserve"> facilities</w:t>
            </w:r>
            <w:r w:rsidR="008D61D2">
              <w:rPr>
                <w:rFonts w:ascii="Calibri" w:hAnsi="Calibri" w:cs="Calibri"/>
                <w:color w:val="000000" w:themeColor="text1"/>
                <w:sz w:val="20"/>
                <w:szCs w:val="20"/>
              </w:rPr>
              <w:t xml:space="preserve"> and categories</w:t>
            </w:r>
            <w:r w:rsidR="005B1D7B">
              <w:rPr>
                <w:rFonts w:ascii="Calibri" w:hAnsi="Calibri" w:cs="Calibri"/>
                <w:color w:val="000000" w:themeColor="text1"/>
                <w:sz w:val="20"/>
                <w:szCs w:val="20"/>
              </w:rPr>
              <w:t xml:space="preserve"> </w:t>
            </w:r>
            <w:r w:rsidR="008D4D57">
              <w:rPr>
                <w:rFonts w:ascii="Calibri" w:hAnsi="Calibri" w:cs="Calibri"/>
                <w:color w:val="000000" w:themeColor="text1"/>
                <w:sz w:val="20"/>
                <w:szCs w:val="20"/>
              </w:rPr>
              <w:t xml:space="preserve">that monitor PFAS, have existing effluent limitations for PFAS, or are known or </w:t>
            </w:r>
            <w:r>
              <w:rPr>
                <w:rFonts w:ascii="Calibri" w:hAnsi="Calibri" w:cs="Calibri"/>
                <w:color w:val="000000" w:themeColor="text1"/>
                <w:sz w:val="20"/>
                <w:szCs w:val="20"/>
              </w:rPr>
              <w:t>suspected of PFAS discharges. Identify</w:t>
            </w:r>
            <w:r w:rsidR="008D61D2">
              <w:rPr>
                <w:rFonts w:ascii="Calibri" w:hAnsi="Calibri" w:cs="Calibri"/>
                <w:color w:val="000000" w:themeColor="text1"/>
                <w:sz w:val="20"/>
                <w:szCs w:val="20"/>
              </w:rPr>
              <w:t xml:space="preserve"> specific facilities to be included in the list </w:t>
            </w:r>
            <w:r w:rsidRPr="00FA4E09">
              <w:rPr>
                <w:rFonts w:ascii="Calibri" w:hAnsi="Calibri" w:cs="Calibri"/>
                <w:color w:val="000000" w:themeColor="text1"/>
                <w:sz w:val="20"/>
                <w:szCs w:val="20"/>
              </w:rPr>
              <w:t xml:space="preserve">of 2,000 industrial users to select for wastewater sampling as part of </w:t>
            </w:r>
            <w:r w:rsidR="00D5576E">
              <w:rPr>
                <w:rFonts w:ascii="Calibri" w:hAnsi="Calibri" w:cs="Calibri"/>
                <w:color w:val="000000" w:themeColor="text1"/>
                <w:sz w:val="20"/>
                <w:szCs w:val="20"/>
              </w:rPr>
              <w:t xml:space="preserve">Phase I of </w:t>
            </w:r>
            <w:r w:rsidRPr="00FA4E09">
              <w:rPr>
                <w:rFonts w:ascii="Calibri" w:hAnsi="Calibri" w:cs="Calibri"/>
                <w:sz w:val="20"/>
                <w:szCs w:val="20"/>
              </w:rPr>
              <w:t>the sampling program.</w:t>
            </w:r>
          </w:p>
        </w:tc>
      </w:tr>
      <w:tr w14:paraId="122B05DC" w14:textId="77777777" w:rsidTr="00CA6D2A">
        <w:tblPrEx>
          <w:tblW w:w="5000" w:type="pct"/>
          <w:tblLook w:val="01E0"/>
        </w:tblPrEx>
        <w:trPr>
          <w:cantSplit/>
          <w:trHeight w:val="690"/>
        </w:trPr>
        <w:tc>
          <w:tcPr>
            <w:tcW w:w="660" w:type="pct"/>
            <w:vMerge w:val="restart"/>
            <w:tcBorders>
              <w:top w:val="single" w:sz="4" w:space="0" w:color="auto"/>
              <w:left w:val="double" w:sz="4" w:space="0" w:color="auto"/>
              <w:bottom w:val="single" w:sz="4" w:space="0" w:color="auto"/>
              <w:right w:val="single" w:sz="4" w:space="0" w:color="auto"/>
            </w:tcBorders>
          </w:tcPr>
          <w:p w:rsidR="0024748D" w:rsidRPr="00FA4E09" w:rsidP="00DD34B4" w14:paraId="28AC86F6" w14:textId="77777777">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3 – Wastewater Management Practices</w:t>
            </w:r>
          </w:p>
        </w:tc>
        <w:tc>
          <w:tcPr>
            <w:tcW w:w="382" w:type="pct"/>
            <w:tcBorders>
              <w:top w:val="single" w:sz="8" w:space="0" w:color="000000" w:themeColor="text1"/>
              <w:left w:val="single" w:sz="4" w:space="0" w:color="auto"/>
              <w:bottom w:val="single" w:sz="8" w:space="0" w:color="000000" w:themeColor="text1"/>
              <w:right w:val="single" w:sz="8" w:space="0" w:color="000000" w:themeColor="text1"/>
            </w:tcBorders>
          </w:tcPr>
          <w:p w:rsidR="0024748D" w:rsidRPr="00FA4E09" w:rsidP="00DD34B4" w14:paraId="7DC25C83" w14:textId="58519970">
            <w:pPr>
              <w:spacing w:after="0"/>
              <w:rPr>
                <w:rFonts w:ascii="Calibri" w:hAnsi="Calibri" w:cs="Calibri"/>
                <w:sz w:val="20"/>
                <w:szCs w:val="20"/>
              </w:rPr>
            </w:pPr>
            <w:r w:rsidRPr="00FA4E09">
              <w:rPr>
                <w:rFonts w:ascii="Calibri" w:hAnsi="Calibri" w:cs="Calibri"/>
                <w:sz w:val="20"/>
                <w:szCs w:val="20"/>
              </w:rPr>
              <w:t>1</w:t>
            </w:r>
            <w:r w:rsidRPr="00FA4E09" w:rsidR="00900EA3">
              <w:rPr>
                <w:rFonts w:ascii="Calibri" w:hAnsi="Calibri" w:cs="Calibri"/>
                <w:sz w:val="20"/>
                <w:szCs w:val="20"/>
              </w:rPr>
              <w:t>0</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246402EE" w14:textId="412A6D62">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Provide wastewater treatment diagram</w:t>
            </w:r>
            <w:r w:rsidR="00327980">
              <w:rPr>
                <w:rFonts w:ascii="Calibri" w:hAnsi="Calibri" w:cs="Calibri"/>
                <w:color w:val="000000" w:themeColor="text1"/>
                <w:sz w:val="20"/>
                <w:szCs w:val="20"/>
              </w:rPr>
              <w:t>(</w:t>
            </w:r>
            <w:r w:rsidRPr="00FA4E09">
              <w:rPr>
                <w:rFonts w:ascii="Calibri" w:hAnsi="Calibri" w:cs="Calibri"/>
                <w:color w:val="000000" w:themeColor="text1"/>
                <w:sz w:val="20"/>
                <w:szCs w:val="20"/>
              </w:rPr>
              <w:t>s</w:t>
            </w:r>
            <w:r w:rsidR="00327980">
              <w:rPr>
                <w:rFonts w:ascii="Calibri" w:hAnsi="Calibri" w:cs="Calibri"/>
                <w:color w:val="000000" w:themeColor="text1"/>
                <w:sz w:val="20"/>
                <w:szCs w:val="20"/>
              </w:rPr>
              <w:t>)</w:t>
            </w:r>
            <w:r w:rsidRPr="00FA4E09">
              <w:rPr>
                <w:rFonts w:ascii="Calibri" w:hAnsi="Calibri" w:cs="Calibri"/>
                <w:color w:val="000000" w:themeColor="text1"/>
                <w:sz w:val="20"/>
                <w:szCs w:val="20"/>
              </w:rPr>
              <w:t xml:space="preserve"> depicting the</w:t>
            </w:r>
            <w:r w:rsidR="00595B97">
              <w:t xml:space="preserve"> </w:t>
            </w:r>
            <w:r w:rsidRPr="00595B97" w:rsidR="00595B97">
              <w:rPr>
                <w:rFonts w:ascii="Calibri" w:hAnsi="Calibri" w:cs="Calibri"/>
                <w:color w:val="000000" w:themeColor="text1"/>
                <w:sz w:val="20"/>
                <w:szCs w:val="20"/>
              </w:rPr>
              <w:t xml:space="preserve">source, wastewater treatment/management practices, and destination of wastewaters transferred to the wastewater treatment system in </w:t>
            </w:r>
            <w:r w:rsidRPr="00595B97" w:rsidR="009F1386">
              <w:rPr>
                <w:rFonts w:ascii="Calibri" w:hAnsi="Calibri" w:cs="Calibri"/>
                <w:color w:val="000000" w:themeColor="text1"/>
                <w:sz w:val="20"/>
                <w:szCs w:val="20"/>
              </w:rPr>
              <w:t>2023.</w:t>
            </w:r>
            <w:r w:rsidRPr="00FA4E09">
              <w:rPr>
                <w:rFonts w:ascii="Calibri" w:hAnsi="Calibri" w:cs="Calibri"/>
                <w:color w:val="000000" w:themeColor="text1"/>
                <w:sz w:val="20"/>
                <w:szCs w:val="20"/>
              </w:rPr>
              <w:t xml:space="preserve"> The diagram should include the types of wastewater</w:t>
            </w:r>
            <w:r w:rsidR="00595B97">
              <w:rPr>
                <w:rFonts w:ascii="Calibri" w:hAnsi="Calibri" w:cs="Calibri"/>
                <w:color w:val="000000" w:themeColor="text1"/>
                <w:sz w:val="20"/>
                <w:szCs w:val="20"/>
              </w:rPr>
              <w:t>s</w:t>
            </w:r>
            <w:r w:rsidRPr="00FA4E09">
              <w:rPr>
                <w:rFonts w:ascii="Calibri" w:hAnsi="Calibri" w:cs="Calibri"/>
                <w:color w:val="000000" w:themeColor="text1"/>
                <w:sz w:val="20"/>
                <w:szCs w:val="20"/>
              </w:rPr>
              <w:t xml:space="preserve"> transferred to the facility, each wastewater treatment unit and solids treatment/stabilization unit operated on site, the influent and effluent to each treatment unit, any pollutant monitoring or PFAS sample locations at the facility, and all interim and final destinations of each wastewater.</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2BD12952" w14:textId="267D242F">
            <w:pPr>
              <w:spacing w:after="0"/>
              <w:rPr>
                <w:rFonts w:ascii="Calibri" w:hAnsi="Calibri" w:cs="Calibri"/>
                <w:color w:val="000000" w:themeColor="text1"/>
                <w:sz w:val="20"/>
                <w:szCs w:val="20"/>
              </w:rPr>
            </w:pPr>
            <w:r w:rsidRPr="00FA4E09">
              <w:rPr>
                <w:rFonts w:ascii="Calibri" w:hAnsi="Calibri" w:cs="Calibri"/>
                <w:sz w:val="20"/>
                <w:szCs w:val="20"/>
              </w:rPr>
              <w:t xml:space="preserve">Understand the flow of wastewater from POTW influent to wastewater treatment to final destination. Understand the configuration of existing wastewater treatment units and current management practices. </w:t>
            </w:r>
            <w:r w:rsidRPr="00FA4E09">
              <w:rPr>
                <w:rFonts w:ascii="Calibri" w:hAnsi="Calibri" w:cs="Calibri"/>
                <w:color w:val="000000" w:themeColor="text1"/>
                <w:sz w:val="20"/>
                <w:szCs w:val="20"/>
              </w:rPr>
              <w:t xml:space="preserve">Use to identify specific sample collection locations for POTW influent, effluent, and sewage </w:t>
            </w:r>
            <w:r w:rsidRPr="00FA4E09" w:rsidR="000077A0">
              <w:rPr>
                <w:rFonts w:ascii="Calibri" w:hAnsi="Calibri" w:cs="Calibri"/>
                <w:color w:val="000000" w:themeColor="text1"/>
                <w:sz w:val="20"/>
                <w:szCs w:val="20"/>
              </w:rPr>
              <w:t>sludge</w:t>
            </w:r>
            <w:r w:rsidRPr="00FA4E09">
              <w:rPr>
                <w:rFonts w:ascii="Calibri" w:hAnsi="Calibri" w:cs="Calibri"/>
                <w:color w:val="000000" w:themeColor="text1"/>
                <w:sz w:val="20"/>
                <w:szCs w:val="20"/>
              </w:rPr>
              <w:t xml:space="preserve"> if the POTW is selected for the sampling program.</w:t>
            </w:r>
          </w:p>
        </w:tc>
      </w:tr>
      <w:tr w14:paraId="112F82AC" w14:textId="77777777" w:rsidTr="00CA6D2A">
        <w:tblPrEx>
          <w:tblW w:w="5000" w:type="pct"/>
          <w:tblLook w:val="01E0"/>
        </w:tblPrEx>
        <w:trPr>
          <w:cantSplit/>
        </w:trPr>
        <w:tc>
          <w:tcPr>
            <w:tcW w:w="660" w:type="pct"/>
            <w:vMerge/>
            <w:tcBorders>
              <w:top w:val="single" w:sz="4" w:space="0" w:color="auto"/>
              <w:left w:val="double" w:sz="4" w:space="0" w:color="auto"/>
              <w:bottom w:val="single" w:sz="4" w:space="0" w:color="auto"/>
              <w:right w:val="single" w:sz="4" w:space="0" w:color="auto"/>
            </w:tcBorders>
          </w:tcPr>
          <w:p w:rsidR="0024748D" w:rsidRPr="00FA4E09" w:rsidP="00DD34B4" w14:paraId="178C7EF3" w14:textId="77777777">
            <w:pPr>
              <w:spacing w:after="0"/>
              <w:rPr>
                <w:rFonts w:ascii="Calibri" w:hAnsi="Calibri" w:cs="Calibri"/>
                <w:sz w:val="20"/>
                <w:szCs w:val="20"/>
              </w:rPr>
            </w:pPr>
          </w:p>
        </w:tc>
        <w:tc>
          <w:tcPr>
            <w:tcW w:w="382" w:type="pct"/>
            <w:tcBorders>
              <w:top w:val="single" w:sz="8" w:space="0" w:color="000000" w:themeColor="text1"/>
              <w:left w:val="single" w:sz="4" w:space="0" w:color="auto"/>
              <w:bottom w:val="single" w:sz="8" w:space="0" w:color="000000" w:themeColor="text1"/>
              <w:right w:val="single" w:sz="8" w:space="0" w:color="000000" w:themeColor="text1"/>
            </w:tcBorders>
          </w:tcPr>
          <w:p w:rsidR="0024748D" w:rsidRPr="00FA4E09" w:rsidP="00DD34B4" w14:paraId="03EEE255" w14:textId="1D870DA6">
            <w:pPr>
              <w:spacing w:after="0"/>
              <w:rPr>
                <w:rFonts w:ascii="Calibri" w:hAnsi="Calibri" w:cs="Calibri"/>
                <w:sz w:val="20"/>
                <w:szCs w:val="20"/>
              </w:rPr>
            </w:pPr>
            <w:r w:rsidRPr="00FA4E09">
              <w:rPr>
                <w:rFonts w:ascii="Calibri" w:hAnsi="Calibri" w:cs="Calibri"/>
                <w:sz w:val="20"/>
                <w:szCs w:val="20"/>
              </w:rPr>
              <w:t>1</w:t>
            </w:r>
            <w:r w:rsidRPr="00FA4E09">
              <w:rPr>
                <w:rFonts w:ascii="Calibri" w:hAnsi="Calibri" w:cs="Calibri"/>
                <w:sz w:val="20"/>
                <w:szCs w:val="20"/>
              </w:rPr>
              <w:t>1</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7E6D973D" w14:textId="77777777">
            <w:pPr>
              <w:spacing w:after="0"/>
              <w:rPr>
                <w:rFonts w:ascii="Calibri" w:hAnsi="Calibri" w:cs="Calibri"/>
                <w:sz w:val="20"/>
                <w:szCs w:val="20"/>
              </w:rPr>
            </w:pPr>
            <w:r w:rsidRPr="00FA4E09">
              <w:rPr>
                <w:rFonts w:ascii="Calibri" w:hAnsi="Calibri" w:cs="Calibri"/>
                <w:sz w:val="20"/>
                <w:szCs w:val="20"/>
              </w:rPr>
              <w:t>Identify the wastewater treatment technologies operated at the facility during 2023. Specify the wastewater treatment technologies installed specifically to treat, remove, or destroy PFAS.</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4D50007C" w14:textId="48AD0111">
            <w:pPr>
              <w:spacing w:after="0"/>
              <w:rPr>
                <w:rFonts w:ascii="Calibri" w:hAnsi="Calibri" w:cs="Calibri"/>
                <w:sz w:val="20"/>
                <w:szCs w:val="20"/>
              </w:rPr>
            </w:pPr>
            <w:r w:rsidRPr="00FA4E09">
              <w:rPr>
                <w:rFonts w:ascii="Calibri" w:hAnsi="Calibri" w:cs="Calibri"/>
                <w:sz w:val="20"/>
                <w:szCs w:val="20"/>
              </w:rPr>
              <w:t xml:space="preserve">Understand the wastewater treatment operations currently in place at the facility and whether </w:t>
            </w:r>
            <w:r w:rsidR="00663348">
              <w:rPr>
                <w:rFonts w:ascii="Calibri" w:hAnsi="Calibri" w:cs="Calibri"/>
                <w:sz w:val="20"/>
                <w:szCs w:val="20"/>
              </w:rPr>
              <w:t>the facili</w:t>
            </w:r>
            <w:r w:rsidR="009A5FAE">
              <w:rPr>
                <w:rFonts w:ascii="Calibri" w:hAnsi="Calibri" w:cs="Calibri"/>
                <w:sz w:val="20"/>
                <w:szCs w:val="20"/>
              </w:rPr>
              <w:t>ty is effectively reducing PFAS prior to discharge.</w:t>
            </w:r>
          </w:p>
        </w:tc>
      </w:tr>
      <w:tr w14:paraId="46735075" w14:textId="77777777" w:rsidTr="00CA6D2A">
        <w:tblPrEx>
          <w:tblW w:w="5000" w:type="pct"/>
          <w:tblLook w:val="01E0"/>
        </w:tblPrEx>
        <w:trPr>
          <w:cantSplit/>
        </w:trPr>
        <w:tc>
          <w:tcPr>
            <w:tcW w:w="660" w:type="pct"/>
            <w:vMerge/>
            <w:tcBorders>
              <w:top w:val="single" w:sz="4" w:space="0" w:color="auto"/>
              <w:left w:val="double" w:sz="4" w:space="0" w:color="auto"/>
              <w:bottom w:val="single" w:sz="4" w:space="0" w:color="auto"/>
              <w:right w:val="single" w:sz="4" w:space="0" w:color="auto"/>
            </w:tcBorders>
          </w:tcPr>
          <w:p w:rsidR="0024748D" w:rsidRPr="00FA4E09" w:rsidP="00DD34B4" w14:paraId="66B4A9FE" w14:textId="77777777">
            <w:pPr>
              <w:spacing w:after="0"/>
              <w:rPr>
                <w:rFonts w:ascii="Calibri" w:hAnsi="Calibri" w:cs="Calibri"/>
                <w:sz w:val="20"/>
                <w:szCs w:val="20"/>
              </w:rPr>
            </w:pPr>
          </w:p>
        </w:tc>
        <w:tc>
          <w:tcPr>
            <w:tcW w:w="382" w:type="pct"/>
            <w:tcBorders>
              <w:top w:val="single" w:sz="8" w:space="0" w:color="000000" w:themeColor="text1"/>
              <w:left w:val="single" w:sz="4" w:space="0" w:color="auto"/>
              <w:bottom w:val="single" w:sz="8" w:space="0" w:color="000000" w:themeColor="text1"/>
              <w:right w:val="single" w:sz="8" w:space="0" w:color="000000" w:themeColor="text1"/>
            </w:tcBorders>
          </w:tcPr>
          <w:p w:rsidR="0024748D" w:rsidRPr="00FA4E09" w:rsidP="00DD34B4" w14:paraId="3BEA673D" w14:textId="3B457BB8">
            <w:pPr>
              <w:spacing w:after="0"/>
              <w:rPr>
                <w:rFonts w:ascii="Calibri" w:hAnsi="Calibri" w:cs="Calibri"/>
                <w:sz w:val="20"/>
                <w:szCs w:val="20"/>
              </w:rPr>
            </w:pPr>
            <w:r w:rsidRPr="00FA4E09">
              <w:rPr>
                <w:rFonts w:ascii="Calibri" w:hAnsi="Calibri" w:cs="Calibri"/>
                <w:sz w:val="20"/>
                <w:szCs w:val="20"/>
              </w:rPr>
              <w:t>1</w:t>
            </w:r>
            <w:r w:rsidRPr="00FA4E09" w:rsidR="00703EF4">
              <w:rPr>
                <w:rFonts w:ascii="Calibri" w:hAnsi="Calibri" w:cs="Calibri"/>
                <w:sz w:val="20"/>
                <w:szCs w:val="20"/>
              </w:rPr>
              <w:t>2</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2A877391" w14:textId="4BA276B9">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Report the total flow rate of treated wastewater to</w:t>
            </w:r>
            <w:r w:rsidR="005E72FF">
              <w:rPr>
                <w:rFonts w:ascii="Calibri" w:hAnsi="Calibri" w:cs="Calibri"/>
                <w:color w:val="000000" w:themeColor="text1"/>
                <w:sz w:val="20"/>
                <w:szCs w:val="20"/>
              </w:rPr>
              <w:t xml:space="preserve"> each final destination in 2023. Final destinations may include</w:t>
            </w:r>
            <w:r w:rsidRPr="00FA4E09">
              <w:rPr>
                <w:rFonts w:ascii="Calibri" w:hAnsi="Calibri" w:cs="Calibri"/>
                <w:color w:val="000000" w:themeColor="text1"/>
                <w:sz w:val="20"/>
                <w:szCs w:val="20"/>
              </w:rPr>
              <w:t xml:space="preserve"> surface water, land application, underground injection, recycle/reuse, evaporation, offsite treatment,</w:t>
            </w:r>
            <w:r w:rsidR="00562E19">
              <w:rPr>
                <w:rFonts w:ascii="Calibri" w:hAnsi="Calibri" w:cs="Calibri"/>
                <w:color w:val="000000" w:themeColor="text1"/>
                <w:sz w:val="20"/>
                <w:szCs w:val="20"/>
              </w:rPr>
              <w:t xml:space="preserve"> and other</w:t>
            </w:r>
            <w:r w:rsidRPr="00FA4E09">
              <w:rPr>
                <w:rFonts w:ascii="Calibri" w:hAnsi="Calibri" w:cs="Calibri"/>
                <w:color w:val="000000" w:themeColor="text1"/>
                <w:sz w:val="20"/>
                <w:szCs w:val="20"/>
              </w:rPr>
              <w:t>.</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29694470" w14:textId="77777777">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 xml:space="preserve">Determine how treated wastewater is managed by the facility. </w:t>
            </w:r>
          </w:p>
        </w:tc>
      </w:tr>
      <w:tr w14:paraId="781508B6" w14:textId="77777777" w:rsidTr="00CA6D2A">
        <w:tblPrEx>
          <w:tblW w:w="5000" w:type="pct"/>
          <w:tblLook w:val="01E0"/>
        </w:tblPrEx>
        <w:trPr>
          <w:cantSplit/>
        </w:trPr>
        <w:tc>
          <w:tcPr>
            <w:tcW w:w="660" w:type="pct"/>
            <w:vMerge w:val="restart"/>
            <w:tcBorders>
              <w:top w:val="single" w:sz="4" w:space="0" w:color="auto"/>
              <w:left w:val="double" w:sz="4" w:space="0" w:color="auto"/>
              <w:right w:val="single" w:sz="8" w:space="0" w:color="auto"/>
            </w:tcBorders>
          </w:tcPr>
          <w:p w:rsidR="0024748D" w:rsidRPr="00FA4E09" w:rsidP="00DD34B4" w14:paraId="50E27531" w14:textId="77777777">
            <w:pPr>
              <w:spacing w:after="0"/>
              <w:rPr>
                <w:rFonts w:ascii="Calibri" w:hAnsi="Calibri" w:cs="Calibri"/>
                <w:sz w:val="20"/>
                <w:szCs w:val="20"/>
              </w:rPr>
            </w:pPr>
            <w:r w:rsidRPr="00FA4E09">
              <w:rPr>
                <w:rFonts w:ascii="Calibri" w:hAnsi="Calibri" w:cs="Calibri"/>
                <w:sz w:val="20"/>
                <w:szCs w:val="20"/>
              </w:rPr>
              <w:t xml:space="preserve">4– Sewage Sludge and Biosolids Management </w:t>
            </w:r>
          </w:p>
        </w:tc>
        <w:tc>
          <w:tcPr>
            <w:tcW w:w="382" w:type="pct"/>
            <w:tcBorders>
              <w:top w:val="single" w:sz="8" w:space="0" w:color="000000" w:themeColor="text1"/>
              <w:left w:val="single" w:sz="8" w:space="0" w:color="auto"/>
              <w:bottom w:val="single" w:sz="8" w:space="0" w:color="000000" w:themeColor="text1"/>
              <w:right w:val="single" w:sz="8" w:space="0" w:color="000000" w:themeColor="text1"/>
            </w:tcBorders>
          </w:tcPr>
          <w:p w:rsidR="0024748D" w:rsidRPr="00FA4E09" w:rsidP="00DD34B4" w14:paraId="1AB6A6BB" w14:textId="28B9A24E">
            <w:pPr>
              <w:spacing w:after="0"/>
              <w:rPr>
                <w:rFonts w:ascii="Calibri" w:hAnsi="Calibri" w:cs="Calibri"/>
                <w:sz w:val="20"/>
                <w:szCs w:val="20"/>
              </w:rPr>
            </w:pPr>
            <w:r w:rsidRPr="00FA4E09">
              <w:rPr>
                <w:rFonts w:ascii="Calibri" w:hAnsi="Calibri" w:cs="Calibri"/>
                <w:sz w:val="20"/>
                <w:szCs w:val="20"/>
              </w:rPr>
              <w:t>1</w:t>
            </w:r>
            <w:r w:rsidRPr="00FA4E09" w:rsidR="00703EF4">
              <w:rPr>
                <w:rFonts w:ascii="Calibri" w:hAnsi="Calibri" w:cs="Calibri"/>
                <w:sz w:val="20"/>
                <w:szCs w:val="20"/>
              </w:rPr>
              <w:t>3</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6C2703CF" w14:textId="77A6DD89">
            <w:pPr>
              <w:spacing w:after="0"/>
              <w:rPr>
                <w:rFonts w:ascii="Calibri" w:hAnsi="Calibri" w:cs="Calibri"/>
                <w:sz w:val="20"/>
                <w:szCs w:val="20"/>
              </w:rPr>
            </w:pPr>
            <w:r w:rsidRPr="00FA4E09">
              <w:rPr>
                <w:rFonts w:ascii="Calibri" w:hAnsi="Calibri" w:cs="Calibri"/>
                <w:sz w:val="20"/>
                <w:szCs w:val="20"/>
              </w:rPr>
              <w:t xml:space="preserve">Identify if the facility </w:t>
            </w:r>
            <w:r w:rsidR="00632026">
              <w:rPr>
                <w:rFonts w:ascii="Calibri" w:hAnsi="Calibri" w:cs="Calibri"/>
                <w:sz w:val="20"/>
                <w:szCs w:val="20"/>
              </w:rPr>
              <w:t>generated any</w:t>
            </w:r>
            <w:r w:rsidRPr="00FA4E09">
              <w:rPr>
                <w:rFonts w:ascii="Calibri" w:hAnsi="Calibri" w:cs="Calibri"/>
                <w:sz w:val="20"/>
                <w:szCs w:val="20"/>
              </w:rPr>
              <w:t xml:space="preserve"> sewage sludge at any time during 2023. If so, report the total weigh</w:t>
            </w:r>
            <w:r w:rsidR="00632026">
              <w:rPr>
                <w:rFonts w:ascii="Calibri" w:hAnsi="Calibri" w:cs="Calibri"/>
                <w:sz w:val="20"/>
                <w:szCs w:val="20"/>
              </w:rPr>
              <w:t>t</w:t>
            </w:r>
            <w:r w:rsidRPr="00FA4E09">
              <w:rPr>
                <w:rFonts w:ascii="Calibri" w:hAnsi="Calibri" w:cs="Calibri"/>
                <w:sz w:val="20"/>
                <w:szCs w:val="20"/>
              </w:rPr>
              <w:t xml:space="preserve"> of sewage sludge generated during 2023.</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2FCA1F06" w14:textId="560F7A12">
            <w:pPr>
              <w:spacing w:after="0"/>
              <w:rPr>
                <w:rFonts w:ascii="Calibri" w:hAnsi="Calibri" w:cs="Calibri"/>
                <w:sz w:val="20"/>
                <w:szCs w:val="20"/>
              </w:rPr>
            </w:pPr>
            <w:r w:rsidRPr="00FA4E09">
              <w:rPr>
                <w:rFonts w:ascii="Calibri" w:hAnsi="Calibri" w:cs="Calibri"/>
                <w:sz w:val="20"/>
                <w:szCs w:val="20"/>
              </w:rPr>
              <w:t xml:space="preserve">Identify which facilities produce sewage sludge to inform selection of which POTWs to participate in the </w:t>
            </w:r>
            <w:r w:rsidR="00632026">
              <w:rPr>
                <w:rFonts w:ascii="Calibri" w:hAnsi="Calibri" w:cs="Calibri"/>
                <w:sz w:val="20"/>
                <w:szCs w:val="20"/>
              </w:rPr>
              <w:t>Pha</w:t>
            </w:r>
            <w:r w:rsidR="00A47400">
              <w:rPr>
                <w:rFonts w:ascii="Calibri" w:hAnsi="Calibri" w:cs="Calibri"/>
                <w:sz w:val="20"/>
                <w:szCs w:val="20"/>
              </w:rPr>
              <w:t>s</w:t>
            </w:r>
            <w:r w:rsidR="00632026">
              <w:rPr>
                <w:rFonts w:ascii="Calibri" w:hAnsi="Calibri" w:cs="Calibri"/>
                <w:sz w:val="20"/>
                <w:szCs w:val="20"/>
              </w:rPr>
              <w:t xml:space="preserve">e II </w:t>
            </w:r>
            <w:r w:rsidRPr="00FA4E09">
              <w:rPr>
                <w:rFonts w:ascii="Calibri" w:hAnsi="Calibri" w:cs="Calibri"/>
                <w:sz w:val="20"/>
                <w:szCs w:val="20"/>
              </w:rPr>
              <w:t>sampling program. Determine the quantity of sewage sludge generated by POTWs. Facilities that did not generate any sewage sludge during 2023 are instructed to skip the remainder of Section 4.</w:t>
            </w:r>
          </w:p>
        </w:tc>
      </w:tr>
      <w:tr w14:paraId="4E61E9EE" w14:textId="77777777" w:rsidTr="00070B01">
        <w:tblPrEx>
          <w:tblW w:w="5000" w:type="pct"/>
          <w:tblLook w:val="01E0"/>
        </w:tblPrEx>
        <w:trPr>
          <w:cantSplit/>
        </w:trPr>
        <w:tc>
          <w:tcPr>
            <w:tcW w:w="660" w:type="pct"/>
            <w:vMerge/>
            <w:tcBorders>
              <w:left w:val="double" w:sz="4" w:space="0" w:color="auto"/>
            </w:tcBorders>
          </w:tcPr>
          <w:p w:rsidR="0024748D" w:rsidRPr="00FA4E09" w:rsidP="00DD34B4" w14:paraId="59FC1EA9" w14:textId="77777777">
            <w:pPr>
              <w:spacing w:after="0"/>
              <w:rPr>
                <w:rFonts w:ascii="Calibri" w:hAnsi="Calibri" w:cs="Calibri"/>
                <w:sz w:val="20"/>
                <w:szCs w:val="20"/>
              </w:rPr>
            </w:pPr>
          </w:p>
        </w:tc>
        <w:tc>
          <w:tcPr>
            <w:tcW w:w="382" w:type="pct"/>
            <w:tcBorders>
              <w:top w:val="single" w:sz="8" w:space="0" w:color="000000" w:themeColor="text1"/>
              <w:left w:val="single" w:sz="8" w:space="0" w:color="auto"/>
              <w:bottom w:val="single" w:sz="8" w:space="0" w:color="000000" w:themeColor="text1"/>
              <w:right w:val="single" w:sz="8" w:space="0" w:color="000000" w:themeColor="text1"/>
            </w:tcBorders>
          </w:tcPr>
          <w:p w:rsidR="0024748D" w:rsidRPr="00FA4E09" w:rsidP="00DD34B4" w14:paraId="38310CA4" w14:textId="6878A668">
            <w:pPr>
              <w:spacing w:after="0"/>
              <w:rPr>
                <w:rFonts w:ascii="Calibri" w:hAnsi="Calibri" w:cs="Calibri"/>
                <w:sz w:val="20"/>
                <w:szCs w:val="20"/>
              </w:rPr>
            </w:pPr>
            <w:r w:rsidRPr="00FA4E09">
              <w:rPr>
                <w:rFonts w:ascii="Calibri" w:hAnsi="Calibri" w:cs="Calibri"/>
                <w:sz w:val="20"/>
                <w:szCs w:val="20"/>
              </w:rPr>
              <w:t>1</w:t>
            </w:r>
            <w:r w:rsidRPr="00FA4E09" w:rsidR="00703EF4">
              <w:rPr>
                <w:rFonts w:ascii="Calibri" w:hAnsi="Calibri" w:cs="Calibri"/>
                <w:sz w:val="20"/>
                <w:szCs w:val="20"/>
              </w:rPr>
              <w:t>4</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4CBEC1D9" w14:textId="1091F205">
            <w:pPr>
              <w:spacing w:after="0"/>
              <w:rPr>
                <w:rFonts w:ascii="Calibri" w:hAnsi="Calibri" w:cs="Calibri"/>
                <w:sz w:val="20"/>
                <w:szCs w:val="20"/>
              </w:rPr>
            </w:pPr>
            <w:r w:rsidRPr="00FA4E09">
              <w:rPr>
                <w:rFonts w:ascii="Calibri" w:hAnsi="Calibri" w:cs="Calibri"/>
                <w:color w:val="000000" w:themeColor="text1"/>
                <w:sz w:val="20"/>
                <w:szCs w:val="20"/>
              </w:rPr>
              <w:t>Identify whether the facility submitted a Sewage Sludge (Biosolids) Annual Report for 2023</w:t>
            </w:r>
            <w:r w:rsidR="003B584D">
              <w:rPr>
                <w:rFonts w:ascii="Calibri" w:hAnsi="Calibri" w:cs="Calibri"/>
                <w:color w:val="000000" w:themeColor="text1"/>
                <w:sz w:val="20"/>
                <w:szCs w:val="20"/>
              </w:rPr>
              <w:t>. I</w:t>
            </w:r>
            <w:r w:rsidRPr="00FA4E09">
              <w:rPr>
                <w:rFonts w:ascii="Calibri" w:hAnsi="Calibri" w:cs="Calibri"/>
                <w:color w:val="000000" w:themeColor="text1"/>
                <w:sz w:val="20"/>
                <w:szCs w:val="20"/>
              </w:rPr>
              <w:t>f so, provide the Biosolids NPDES ID and a copy of the report.</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4D1F8C9B" w14:textId="157A4040">
            <w:pPr>
              <w:spacing w:after="0"/>
              <w:rPr>
                <w:rFonts w:ascii="Calibri" w:hAnsi="Calibri" w:cs="Calibri"/>
                <w:sz w:val="20"/>
                <w:szCs w:val="20"/>
              </w:rPr>
            </w:pPr>
            <w:r w:rsidRPr="00FA4E09">
              <w:rPr>
                <w:rFonts w:ascii="Calibri" w:hAnsi="Calibri" w:cs="Calibri"/>
                <w:sz w:val="20"/>
                <w:szCs w:val="20"/>
              </w:rPr>
              <w:t xml:space="preserve">Identify sources of information for </w:t>
            </w:r>
            <w:r w:rsidRPr="00FA4E09" w:rsidR="00D030E7">
              <w:rPr>
                <w:rFonts w:ascii="Calibri" w:hAnsi="Calibri" w:cs="Calibri"/>
                <w:sz w:val="20"/>
                <w:szCs w:val="20"/>
              </w:rPr>
              <w:t xml:space="preserve">sewage sludge </w:t>
            </w:r>
            <w:r w:rsidRPr="00FA4E09">
              <w:rPr>
                <w:rFonts w:ascii="Calibri" w:hAnsi="Calibri" w:cs="Calibri"/>
                <w:sz w:val="20"/>
                <w:szCs w:val="20"/>
              </w:rPr>
              <w:t xml:space="preserve">production and collect annual report information for future review. </w:t>
            </w:r>
          </w:p>
        </w:tc>
      </w:tr>
      <w:tr w14:paraId="410F7EF3" w14:textId="77777777" w:rsidTr="00070B01">
        <w:tblPrEx>
          <w:tblW w:w="5000" w:type="pct"/>
          <w:tblLook w:val="01E0"/>
        </w:tblPrEx>
        <w:trPr>
          <w:cantSplit/>
        </w:trPr>
        <w:tc>
          <w:tcPr>
            <w:tcW w:w="660" w:type="pct"/>
            <w:vMerge/>
            <w:tcBorders>
              <w:left w:val="double" w:sz="4" w:space="0" w:color="auto"/>
            </w:tcBorders>
          </w:tcPr>
          <w:p w:rsidR="0024748D" w:rsidRPr="00FA4E09" w:rsidP="00DD34B4" w14:paraId="1D581E37" w14:textId="77777777">
            <w:pPr>
              <w:spacing w:after="0"/>
              <w:rPr>
                <w:rFonts w:ascii="Calibri" w:hAnsi="Calibri" w:cs="Calibri"/>
                <w:sz w:val="20"/>
                <w:szCs w:val="20"/>
              </w:rPr>
            </w:pPr>
          </w:p>
        </w:tc>
        <w:tc>
          <w:tcPr>
            <w:tcW w:w="382" w:type="pct"/>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tcPr>
          <w:p w:rsidR="0024748D" w:rsidRPr="00FA4E09" w:rsidP="00DD34B4" w14:paraId="588BD3C9" w14:textId="50A7A223">
            <w:pPr>
              <w:spacing w:after="0"/>
              <w:rPr>
                <w:rFonts w:ascii="Calibri" w:hAnsi="Calibri" w:cs="Calibri"/>
                <w:sz w:val="20"/>
                <w:szCs w:val="20"/>
              </w:rPr>
            </w:pPr>
            <w:r w:rsidRPr="00FA4E09">
              <w:rPr>
                <w:rFonts w:ascii="Calibri" w:hAnsi="Calibri" w:cs="Calibri"/>
                <w:color w:val="000000" w:themeColor="text1"/>
                <w:sz w:val="20"/>
                <w:szCs w:val="20"/>
              </w:rPr>
              <w:t>1</w:t>
            </w:r>
            <w:r w:rsidRPr="00FA4E09" w:rsidR="00703EF4">
              <w:rPr>
                <w:rFonts w:ascii="Calibri" w:hAnsi="Calibri" w:cs="Calibri"/>
                <w:color w:val="000000" w:themeColor="text1"/>
                <w:sz w:val="20"/>
                <w:szCs w:val="20"/>
              </w:rPr>
              <w:t>5</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07489B84" w14:textId="118DB91E">
            <w:pPr>
              <w:spacing w:after="0"/>
              <w:rPr>
                <w:rFonts w:ascii="Calibri" w:hAnsi="Calibri" w:cs="Calibri"/>
                <w:sz w:val="20"/>
                <w:szCs w:val="20"/>
              </w:rPr>
            </w:pPr>
            <w:r w:rsidRPr="00FA4E09">
              <w:rPr>
                <w:rFonts w:ascii="Calibri" w:hAnsi="Calibri" w:cs="Calibri"/>
                <w:sz w:val="20"/>
                <w:szCs w:val="20"/>
              </w:rPr>
              <w:t>Report the total weight of sewage sludge sent to each final destination during 2023.</w:t>
            </w:r>
            <w:r w:rsidR="00E00CEA">
              <w:rPr>
                <w:rFonts w:ascii="Calibri" w:hAnsi="Calibri" w:cs="Calibri"/>
                <w:sz w:val="20"/>
                <w:szCs w:val="20"/>
              </w:rPr>
              <w:t xml:space="preserve"> Final destinations include land application, offsite Class 1 sludge management facilities, surface disposal, municipal solid waste landfill, hazardous waste landfill, </w:t>
            </w:r>
            <w:r w:rsidR="00562E19">
              <w:rPr>
                <w:rFonts w:ascii="Calibri" w:hAnsi="Calibri" w:cs="Calibri"/>
                <w:sz w:val="20"/>
                <w:szCs w:val="20"/>
              </w:rPr>
              <w:t>surface impoundment, incineration, pyrolysis, gasification, supercritical water oxidation, and other.</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0782D419" w14:textId="77777777">
            <w:pPr>
              <w:spacing w:after="0"/>
              <w:rPr>
                <w:rFonts w:ascii="Calibri" w:hAnsi="Calibri" w:cs="Calibri"/>
                <w:sz w:val="20"/>
                <w:szCs w:val="20"/>
              </w:rPr>
            </w:pPr>
            <w:r w:rsidRPr="00FA4E09">
              <w:rPr>
                <w:rFonts w:ascii="Calibri" w:hAnsi="Calibri" w:cs="Calibri"/>
                <w:sz w:val="20"/>
                <w:szCs w:val="20"/>
              </w:rPr>
              <w:t>Determine sewage sludge management practices and determine potential risks associated with improper management of PFAS-containing sewage sludge.</w:t>
            </w:r>
          </w:p>
        </w:tc>
      </w:tr>
      <w:tr w14:paraId="04AD00EB" w14:textId="77777777" w:rsidTr="00070B01">
        <w:tblPrEx>
          <w:tblW w:w="5000" w:type="pct"/>
          <w:tblLook w:val="01E0"/>
        </w:tblPrEx>
        <w:trPr>
          <w:cantSplit/>
        </w:trPr>
        <w:tc>
          <w:tcPr>
            <w:tcW w:w="660" w:type="pct"/>
            <w:vMerge/>
            <w:tcBorders>
              <w:left w:val="double" w:sz="4" w:space="0" w:color="auto"/>
            </w:tcBorders>
          </w:tcPr>
          <w:p w:rsidR="0024748D" w:rsidRPr="00FA4E09" w:rsidP="00DD34B4" w14:paraId="0A860F24" w14:textId="77777777">
            <w:pPr>
              <w:spacing w:after="0"/>
              <w:rPr>
                <w:rFonts w:ascii="Calibri" w:hAnsi="Calibri" w:cs="Calibri"/>
                <w:sz w:val="20"/>
                <w:szCs w:val="20"/>
              </w:rPr>
            </w:pPr>
          </w:p>
        </w:tc>
        <w:tc>
          <w:tcPr>
            <w:tcW w:w="382" w:type="pct"/>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tcPr>
          <w:p w:rsidR="0024748D" w:rsidRPr="00FA4E09" w:rsidP="00DD34B4" w14:paraId="53FF89E8" w14:textId="2680B0D8">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1</w:t>
            </w:r>
            <w:r w:rsidRPr="00FA4E09" w:rsidR="00703EF4">
              <w:rPr>
                <w:rFonts w:ascii="Calibri" w:hAnsi="Calibri" w:cs="Calibri"/>
                <w:color w:val="000000" w:themeColor="text1"/>
                <w:sz w:val="20"/>
                <w:szCs w:val="20"/>
              </w:rPr>
              <w:t>6</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0D5A5B1B" w14:textId="77777777">
            <w:pPr>
              <w:spacing w:after="0"/>
              <w:rPr>
                <w:rFonts w:ascii="Calibri" w:hAnsi="Calibri" w:cs="Calibri"/>
                <w:color w:val="000000" w:themeColor="text1"/>
                <w:sz w:val="20"/>
                <w:szCs w:val="20"/>
              </w:rPr>
            </w:pPr>
            <w:r w:rsidRPr="00FA4E09">
              <w:rPr>
                <w:rFonts w:ascii="Calibri" w:hAnsi="Calibri" w:cs="Calibri"/>
                <w:sz w:val="20"/>
                <w:szCs w:val="20"/>
              </w:rPr>
              <w:t>Identify if the facility produced biosolids at any time during 2023 and, if so, report the total weight of each type of biosolids produced during 2023.</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5E65DBC5" w14:textId="77777777">
            <w:pPr>
              <w:spacing w:after="0"/>
              <w:rPr>
                <w:rFonts w:ascii="Calibri" w:hAnsi="Calibri" w:cs="Calibri"/>
                <w:sz w:val="20"/>
                <w:szCs w:val="20"/>
              </w:rPr>
            </w:pPr>
            <w:r w:rsidRPr="00FA4E09">
              <w:rPr>
                <w:rFonts w:ascii="Calibri" w:hAnsi="Calibri" w:cs="Calibri"/>
                <w:sz w:val="20"/>
                <w:szCs w:val="20"/>
              </w:rPr>
              <w:t>Determine the relative portion of sewage sludge that becomes biosolids at each POTW and quality of these biosolids.</w:t>
            </w:r>
          </w:p>
        </w:tc>
      </w:tr>
      <w:tr w14:paraId="7DE6790B" w14:textId="77777777" w:rsidTr="00070B01">
        <w:tblPrEx>
          <w:tblW w:w="5000" w:type="pct"/>
          <w:tblLook w:val="01E0"/>
        </w:tblPrEx>
        <w:trPr>
          <w:cantSplit/>
        </w:trPr>
        <w:tc>
          <w:tcPr>
            <w:tcW w:w="660" w:type="pct"/>
            <w:vMerge/>
            <w:tcBorders>
              <w:left w:val="double" w:sz="4" w:space="0" w:color="auto"/>
            </w:tcBorders>
          </w:tcPr>
          <w:p w:rsidR="0024748D" w:rsidRPr="00FA4E09" w:rsidP="00DD34B4" w14:paraId="7C08DD82" w14:textId="77777777">
            <w:pPr>
              <w:spacing w:after="0"/>
              <w:rPr>
                <w:rFonts w:ascii="Calibri" w:hAnsi="Calibri" w:cs="Calibri"/>
                <w:sz w:val="20"/>
                <w:szCs w:val="20"/>
              </w:rPr>
            </w:pPr>
          </w:p>
        </w:tc>
        <w:tc>
          <w:tcPr>
            <w:tcW w:w="382" w:type="pct"/>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tcPr>
          <w:p w:rsidR="0024748D" w:rsidRPr="00FA4E09" w:rsidP="00DD34B4" w14:paraId="7B26AF85" w14:textId="031EC215">
            <w:pPr>
              <w:spacing w:after="0"/>
              <w:rPr>
                <w:rFonts w:ascii="Calibri" w:hAnsi="Calibri" w:cs="Calibri"/>
                <w:color w:val="000000" w:themeColor="text1"/>
                <w:sz w:val="20"/>
                <w:szCs w:val="20"/>
              </w:rPr>
            </w:pPr>
            <w:r w:rsidRPr="00FA4E09">
              <w:rPr>
                <w:rFonts w:ascii="Calibri" w:hAnsi="Calibri" w:cs="Calibri"/>
                <w:sz w:val="20"/>
                <w:szCs w:val="20"/>
              </w:rPr>
              <w:t>1</w:t>
            </w:r>
            <w:r w:rsidRPr="00FA4E09" w:rsidR="00703EF4">
              <w:rPr>
                <w:rFonts w:ascii="Calibri" w:hAnsi="Calibri" w:cs="Calibri"/>
                <w:sz w:val="20"/>
                <w:szCs w:val="20"/>
              </w:rPr>
              <w:t>7</w:t>
            </w:r>
          </w:p>
        </w:tc>
        <w:tc>
          <w:tcPr>
            <w:tcW w:w="244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4748D" w:rsidRPr="00FA4E09" w:rsidP="00DD34B4" w14:paraId="162885B8" w14:textId="189C3E6C">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Identify the sewage sludge treatment and stabilization processes/technologies performed at the facility to produce biosolids in 2023.</w:t>
            </w:r>
          </w:p>
        </w:tc>
        <w:tc>
          <w:tcPr>
            <w:tcW w:w="1510" w:type="pct"/>
            <w:tcBorders>
              <w:top w:val="single" w:sz="8" w:space="0" w:color="000000" w:themeColor="text1"/>
              <w:left w:val="single" w:sz="8" w:space="0" w:color="000000" w:themeColor="text1"/>
              <w:bottom w:val="single" w:sz="8" w:space="0" w:color="000000" w:themeColor="text1"/>
              <w:right w:val="double" w:sz="4" w:space="0" w:color="auto"/>
            </w:tcBorders>
          </w:tcPr>
          <w:p w:rsidR="0024748D" w:rsidRPr="00FA4E09" w:rsidP="00DD34B4" w14:paraId="2B9E95D3" w14:textId="77777777">
            <w:pPr>
              <w:spacing w:after="0"/>
              <w:rPr>
                <w:rFonts w:ascii="Calibri" w:hAnsi="Calibri" w:cs="Calibri"/>
                <w:sz w:val="20"/>
                <w:szCs w:val="20"/>
              </w:rPr>
            </w:pPr>
            <w:r w:rsidRPr="00FA4E09">
              <w:rPr>
                <w:rFonts w:ascii="Calibri" w:hAnsi="Calibri" w:cs="Calibri"/>
                <w:sz w:val="20"/>
                <w:szCs w:val="20"/>
              </w:rPr>
              <w:t>Determine how POTWs treat and stabilize sewage sludge to produce biosolids. Determine whether PFAS and other pollutants present in sewage sludge may be removed or transformed during sewage sludge treatment and stabilization.</w:t>
            </w:r>
          </w:p>
        </w:tc>
      </w:tr>
      <w:tr w14:paraId="2489BC5E" w14:textId="77777777" w:rsidTr="00070B01">
        <w:tblPrEx>
          <w:tblW w:w="5000" w:type="pct"/>
          <w:tblLook w:val="01E0"/>
        </w:tblPrEx>
        <w:trPr>
          <w:cantSplit/>
        </w:trPr>
        <w:tc>
          <w:tcPr>
            <w:tcW w:w="660" w:type="pct"/>
            <w:vMerge/>
            <w:tcBorders>
              <w:left w:val="double" w:sz="4" w:space="0" w:color="auto"/>
              <w:bottom w:val="single" w:sz="4" w:space="0" w:color="auto"/>
            </w:tcBorders>
          </w:tcPr>
          <w:p w:rsidR="0024748D" w:rsidRPr="00FA4E09" w:rsidP="00DD34B4" w14:paraId="0DBEA072" w14:textId="77777777">
            <w:pPr>
              <w:spacing w:after="0"/>
              <w:rPr>
                <w:rFonts w:ascii="Calibri" w:hAnsi="Calibri" w:cs="Calibri"/>
                <w:sz w:val="20"/>
                <w:szCs w:val="20"/>
              </w:rPr>
            </w:pPr>
          </w:p>
        </w:tc>
        <w:tc>
          <w:tcPr>
            <w:tcW w:w="382" w:type="pct"/>
            <w:tcBorders>
              <w:top w:val="single" w:sz="8" w:space="0" w:color="000000" w:themeColor="text1"/>
              <w:left w:val="single" w:sz="8" w:space="0" w:color="000000" w:themeColor="text1"/>
              <w:bottom w:val="single" w:sz="4" w:space="0" w:color="auto"/>
              <w:right w:val="single" w:sz="8" w:space="0" w:color="000000" w:themeColor="text1"/>
            </w:tcBorders>
          </w:tcPr>
          <w:p w:rsidR="0024748D" w:rsidRPr="00FA4E09" w:rsidP="00DD34B4" w14:paraId="651DFC38" w14:textId="7AD8FB7E">
            <w:pPr>
              <w:spacing w:after="0"/>
              <w:rPr>
                <w:rFonts w:ascii="Calibri" w:hAnsi="Calibri" w:cs="Calibri"/>
                <w:sz w:val="20"/>
                <w:szCs w:val="20"/>
              </w:rPr>
            </w:pPr>
            <w:r w:rsidRPr="00FA4E09">
              <w:rPr>
                <w:rFonts w:ascii="Calibri" w:hAnsi="Calibri" w:cs="Calibri"/>
                <w:sz w:val="20"/>
                <w:szCs w:val="20"/>
              </w:rPr>
              <w:t>1</w:t>
            </w:r>
            <w:r w:rsidRPr="00FA4E09" w:rsidR="00703EF4">
              <w:rPr>
                <w:rFonts w:ascii="Calibri" w:hAnsi="Calibri" w:cs="Calibri"/>
                <w:sz w:val="20"/>
                <w:szCs w:val="20"/>
              </w:rPr>
              <w:t>8</w:t>
            </w:r>
          </w:p>
        </w:tc>
        <w:tc>
          <w:tcPr>
            <w:tcW w:w="2448" w:type="pct"/>
            <w:tcBorders>
              <w:top w:val="single" w:sz="8" w:space="0" w:color="000000" w:themeColor="text1"/>
              <w:left w:val="single" w:sz="8" w:space="0" w:color="000000" w:themeColor="text1"/>
              <w:bottom w:val="single" w:sz="4" w:space="0" w:color="auto"/>
              <w:right w:val="single" w:sz="8" w:space="0" w:color="000000" w:themeColor="text1"/>
            </w:tcBorders>
          </w:tcPr>
          <w:p w:rsidR="0024748D" w:rsidRPr="00FA4E09" w:rsidP="00DD34B4" w14:paraId="4A61E322" w14:textId="77777777">
            <w:pPr>
              <w:spacing w:after="0"/>
              <w:rPr>
                <w:rFonts w:ascii="Calibri" w:hAnsi="Calibri" w:cs="Calibri"/>
                <w:sz w:val="20"/>
                <w:szCs w:val="20"/>
              </w:rPr>
            </w:pPr>
            <w:r w:rsidRPr="00FA4E09">
              <w:rPr>
                <w:rFonts w:ascii="Calibri" w:hAnsi="Calibri" w:cs="Calibri"/>
                <w:sz w:val="20"/>
                <w:szCs w:val="20"/>
              </w:rPr>
              <w:t>Estimate the average onsite storage time of sewage sludge and biosolids prior to transfer to the final destination during 2023.</w:t>
            </w:r>
          </w:p>
        </w:tc>
        <w:tc>
          <w:tcPr>
            <w:tcW w:w="1510" w:type="pct"/>
            <w:tcBorders>
              <w:top w:val="single" w:sz="8" w:space="0" w:color="000000" w:themeColor="text1"/>
              <w:left w:val="single" w:sz="8" w:space="0" w:color="000000" w:themeColor="text1"/>
              <w:bottom w:val="single" w:sz="4" w:space="0" w:color="auto"/>
              <w:right w:val="double" w:sz="4" w:space="0" w:color="auto"/>
            </w:tcBorders>
          </w:tcPr>
          <w:p w:rsidR="0024748D" w:rsidRPr="00FA4E09" w:rsidP="00DD34B4" w14:paraId="285373AF" w14:textId="77777777">
            <w:pPr>
              <w:spacing w:after="0"/>
              <w:rPr>
                <w:rFonts w:ascii="Calibri" w:hAnsi="Calibri" w:cs="Calibri"/>
                <w:sz w:val="20"/>
                <w:szCs w:val="20"/>
              </w:rPr>
            </w:pPr>
            <w:r w:rsidRPr="00FA4E09">
              <w:rPr>
                <w:rFonts w:ascii="Calibri" w:hAnsi="Calibri" w:cs="Calibri"/>
                <w:sz w:val="20"/>
                <w:szCs w:val="20"/>
              </w:rPr>
              <w:t xml:space="preserve">Determine the residence time for sewage sludge and produced biosolids. </w:t>
            </w:r>
          </w:p>
        </w:tc>
      </w:tr>
      <w:tr w14:paraId="633E33A7" w14:textId="77777777" w:rsidTr="00070B01">
        <w:tblPrEx>
          <w:tblW w:w="5000" w:type="pct"/>
          <w:tblLook w:val="01E0"/>
        </w:tblPrEx>
        <w:trPr>
          <w:cantSplit/>
        </w:trPr>
        <w:tc>
          <w:tcPr>
            <w:tcW w:w="660" w:type="pct"/>
            <w:vMerge w:val="restart"/>
            <w:tcBorders>
              <w:top w:val="single" w:sz="4" w:space="0" w:color="auto"/>
              <w:left w:val="double" w:sz="4" w:space="0" w:color="auto"/>
              <w:right w:val="single" w:sz="8" w:space="0" w:color="auto"/>
            </w:tcBorders>
          </w:tcPr>
          <w:p w:rsidR="0024748D" w:rsidRPr="00FA4E09" w:rsidP="00DD34B4" w14:paraId="530C3A0A" w14:textId="77777777">
            <w:pPr>
              <w:spacing w:after="0"/>
              <w:rPr>
                <w:rFonts w:ascii="Calibri" w:hAnsi="Calibri" w:cs="Calibri"/>
                <w:sz w:val="20"/>
                <w:szCs w:val="20"/>
              </w:rPr>
            </w:pPr>
            <w:r w:rsidRPr="00FA4E09">
              <w:rPr>
                <w:rFonts w:ascii="Calibri" w:hAnsi="Calibri" w:cs="Calibri"/>
                <w:color w:val="000000" w:themeColor="text1"/>
                <w:sz w:val="20"/>
                <w:szCs w:val="20"/>
              </w:rPr>
              <w:t>5 – Monitoring and Sample Analysis</w:t>
            </w:r>
          </w:p>
        </w:tc>
        <w:tc>
          <w:tcPr>
            <w:tcW w:w="382" w:type="pct"/>
            <w:tcBorders>
              <w:top w:val="single" w:sz="4" w:space="0" w:color="auto"/>
              <w:left w:val="single" w:sz="8" w:space="0" w:color="auto"/>
              <w:bottom w:val="single" w:sz="4" w:space="0" w:color="auto"/>
              <w:right w:val="single" w:sz="8" w:space="0" w:color="000000" w:themeColor="text1"/>
            </w:tcBorders>
          </w:tcPr>
          <w:p w:rsidR="0024748D" w:rsidRPr="00FA4E09" w:rsidP="00DD34B4" w14:paraId="171B6DF3" w14:textId="6BBBD18A">
            <w:pPr>
              <w:spacing w:after="0"/>
              <w:rPr>
                <w:rFonts w:ascii="Calibri" w:hAnsi="Calibri" w:cs="Calibri"/>
                <w:sz w:val="20"/>
                <w:szCs w:val="20"/>
              </w:rPr>
            </w:pPr>
            <w:r w:rsidRPr="00FA4E09">
              <w:rPr>
                <w:rFonts w:ascii="Calibri" w:hAnsi="Calibri" w:cs="Calibri"/>
                <w:color w:val="000000" w:themeColor="text1"/>
                <w:sz w:val="20"/>
                <w:szCs w:val="20"/>
              </w:rPr>
              <w:t>19</w:t>
            </w:r>
          </w:p>
        </w:tc>
        <w:tc>
          <w:tcPr>
            <w:tcW w:w="2448" w:type="pct"/>
            <w:tcBorders>
              <w:top w:val="single" w:sz="4" w:space="0" w:color="auto"/>
              <w:left w:val="single" w:sz="8" w:space="0" w:color="000000" w:themeColor="text1"/>
              <w:bottom w:val="single" w:sz="4" w:space="0" w:color="auto"/>
              <w:right w:val="single" w:sz="8" w:space="0" w:color="000000" w:themeColor="text1"/>
            </w:tcBorders>
          </w:tcPr>
          <w:p w:rsidR="0024748D" w:rsidRPr="00FA4E09" w:rsidP="00DD34B4" w14:paraId="1255AE5D" w14:textId="741206A0">
            <w:pPr>
              <w:spacing w:after="0"/>
              <w:rPr>
                <w:rFonts w:ascii="Calibri" w:hAnsi="Calibri" w:cs="Calibri"/>
                <w:sz w:val="20"/>
                <w:szCs w:val="20"/>
              </w:rPr>
            </w:pPr>
            <w:r w:rsidRPr="00FA4E09">
              <w:rPr>
                <w:rFonts w:ascii="Calibri" w:hAnsi="Calibri" w:cs="Calibri"/>
                <w:sz w:val="20"/>
                <w:szCs w:val="20"/>
              </w:rPr>
              <w:t xml:space="preserve">Identify whether the POTW has conducted any PFAS or AOF sampling or collected PFAS monitoring data for the influent, effluent, domestic </w:t>
            </w:r>
            <w:r w:rsidR="001D542C">
              <w:rPr>
                <w:rFonts w:ascii="Calibri" w:hAnsi="Calibri" w:cs="Calibri"/>
                <w:sz w:val="20"/>
                <w:szCs w:val="20"/>
              </w:rPr>
              <w:t>wastewater or sewage</w:t>
            </w:r>
            <w:r w:rsidRPr="00FA4E09">
              <w:rPr>
                <w:rFonts w:ascii="Calibri" w:hAnsi="Calibri" w:cs="Calibri"/>
                <w:sz w:val="20"/>
                <w:szCs w:val="20"/>
              </w:rPr>
              <w:t xml:space="preserve">, </w:t>
            </w:r>
            <w:r w:rsidRPr="00FA4E09" w:rsidR="4B5E7AB4">
              <w:rPr>
                <w:rFonts w:ascii="Calibri" w:hAnsi="Calibri" w:cs="Calibri"/>
                <w:sz w:val="20"/>
                <w:szCs w:val="20"/>
              </w:rPr>
              <w:t>sewage sludge</w:t>
            </w:r>
            <w:r w:rsidRPr="00FA4E09">
              <w:rPr>
                <w:rFonts w:ascii="Calibri" w:hAnsi="Calibri" w:cs="Calibri"/>
                <w:sz w:val="20"/>
                <w:szCs w:val="20"/>
              </w:rPr>
              <w:t>, or industrial user effluent since 2022. Identify the analytical methods used to quantify PFAS or AOF.</w:t>
            </w:r>
          </w:p>
        </w:tc>
        <w:tc>
          <w:tcPr>
            <w:tcW w:w="1510" w:type="pct"/>
            <w:tcBorders>
              <w:top w:val="single" w:sz="4" w:space="0" w:color="auto"/>
              <w:left w:val="single" w:sz="8" w:space="0" w:color="000000" w:themeColor="text1"/>
              <w:bottom w:val="single" w:sz="4" w:space="0" w:color="auto"/>
              <w:right w:val="double" w:sz="4" w:space="0" w:color="auto"/>
            </w:tcBorders>
          </w:tcPr>
          <w:p w:rsidR="0024748D" w:rsidRPr="00FA4E09" w:rsidP="00DD34B4" w14:paraId="7C0EEA44" w14:textId="77777777">
            <w:pPr>
              <w:spacing w:after="0"/>
              <w:rPr>
                <w:rFonts w:ascii="Calibri" w:hAnsi="Calibri" w:cs="Calibri"/>
                <w:sz w:val="20"/>
                <w:szCs w:val="20"/>
              </w:rPr>
            </w:pPr>
            <w:r w:rsidRPr="00FA4E09">
              <w:rPr>
                <w:rFonts w:ascii="Calibri" w:hAnsi="Calibri" w:cs="Calibri"/>
                <w:sz w:val="20"/>
                <w:szCs w:val="20"/>
              </w:rPr>
              <w:t>Determine whether the facility has previously collected PFAS characterization data that can inform the study’s goals and sampling plans.</w:t>
            </w:r>
          </w:p>
        </w:tc>
      </w:tr>
      <w:tr w14:paraId="47A5CA17" w14:textId="77777777" w:rsidTr="00070B01">
        <w:tblPrEx>
          <w:tblW w:w="5000" w:type="pct"/>
          <w:tblLook w:val="01E0"/>
        </w:tblPrEx>
        <w:trPr>
          <w:cantSplit/>
        </w:trPr>
        <w:tc>
          <w:tcPr>
            <w:tcW w:w="660" w:type="pct"/>
            <w:vMerge/>
            <w:tcBorders>
              <w:left w:val="double" w:sz="4" w:space="0" w:color="auto"/>
            </w:tcBorders>
          </w:tcPr>
          <w:p w:rsidR="0024748D" w:rsidRPr="00FA4E09" w:rsidP="00DD34B4" w14:paraId="64507EBC" w14:textId="77777777">
            <w:pPr>
              <w:spacing w:after="0"/>
              <w:rPr>
                <w:rFonts w:ascii="Calibri" w:hAnsi="Calibri" w:cs="Calibri"/>
                <w:color w:val="000000" w:themeColor="text1"/>
                <w:sz w:val="20"/>
                <w:szCs w:val="20"/>
              </w:rPr>
            </w:pPr>
          </w:p>
        </w:tc>
        <w:tc>
          <w:tcPr>
            <w:tcW w:w="382" w:type="pct"/>
            <w:tcBorders>
              <w:top w:val="single" w:sz="8" w:space="0" w:color="000000" w:themeColor="text1"/>
              <w:left w:val="single" w:sz="8" w:space="0" w:color="auto"/>
              <w:bottom w:val="single" w:sz="4" w:space="0" w:color="auto"/>
              <w:right w:val="single" w:sz="8" w:space="0" w:color="000000" w:themeColor="text1"/>
            </w:tcBorders>
          </w:tcPr>
          <w:p w:rsidR="0024748D" w:rsidRPr="00FA4E09" w:rsidP="00DD34B4" w14:paraId="7F1ACFCE" w14:textId="15C097E1">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2</w:t>
            </w:r>
            <w:r w:rsidRPr="00FA4E09" w:rsidR="00703EF4">
              <w:rPr>
                <w:rFonts w:ascii="Calibri" w:hAnsi="Calibri" w:cs="Calibri"/>
                <w:color w:val="000000" w:themeColor="text1"/>
                <w:sz w:val="20"/>
                <w:szCs w:val="20"/>
              </w:rPr>
              <w:t>0</w:t>
            </w:r>
          </w:p>
        </w:tc>
        <w:tc>
          <w:tcPr>
            <w:tcW w:w="2448" w:type="pct"/>
            <w:tcBorders>
              <w:top w:val="single" w:sz="8" w:space="0" w:color="000000" w:themeColor="text1"/>
              <w:left w:val="single" w:sz="8" w:space="0" w:color="000000" w:themeColor="text1"/>
              <w:bottom w:val="single" w:sz="4" w:space="0" w:color="auto"/>
              <w:right w:val="single" w:sz="8" w:space="0" w:color="000000" w:themeColor="text1"/>
            </w:tcBorders>
          </w:tcPr>
          <w:p w:rsidR="0024748D" w:rsidRPr="00FA4E09" w:rsidP="00DD34B4" w14:paraId="42A3060D" w14:textId="11F289F9">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 xml:space="preserve">Identify whether the facility or municipality will operate an onsite laboratory for analysis of aqueous wastewater and/or sewage </w:t>
            </w:r>
            <w:r w:rsidRPr="00FA4E09" w:rsidR="000077A0">
              <w:rPr>
                <w:rFonts w:ascii="Calibri" w:hAnsi="Calibri" w:cs="Calibri"/>
                <w:color w:val="000000" w:themeColor="text1"/>
                <w:sz w:val="20"/>
                <w:szCs w:val="20"/>
              </w:rPr>
              <w:t>sludge</w:t>
            </w:r>
            <w:r w:rsidRPr="00FA4E09">
              <w:rPr>
                <w:rFonts w:ascii="Calibri" w:hAnsi="Calibri" w:cs="Calibri"/>
                <w:color w:val="000000" w:themeColor="text1"/>
                <w:sz w:val="20"/>
                <w:szCs w:val="20"/>
              </w:rPr>
              <w:t xml:space="preserve"> samples by December 31, 2024. If yes, identify if the laboratory will be capable of performing the following analytical methods: EPA Method 1633 and EPA Method 1621 for aqueous samples; EPA Method 1633, Standard Method 2540, EPA Method 6010, and EPA Method 9060 for sewage sludge samples.</w:t>
            </w:r>
          </w:p>
        </w:tc>
        <w:tc>
          <w:tcPr>
            <w:tcW w:w="1510" w:type="pct"/>
            <w:tcBorders>
              <w:top w:val="single" w:sz="8" w:space="0" w:color="000000" w:themeColor="text1"/>
              <w:left w:val="single" w:sz="8" w:space="0" w:color="000000" w:themeColor="text1"/>
              <w:bottom w:val="single" w:sz="4" w:space="0" w:color="auto"/>
              <w:right w:val="double" w:sz="4" w:space="0" w:color="auto"/>
            </w:tcBorders>
          </w:tcPr>
          <w:p w:rsidR="0024748D" w:rsidRPr="00FA4E09" w:rsidP="00DD34B4" w14:paraId="032BF013" w14:textId="77777777">
            <w:pPr>
              <w:spacing w:after="0"/>
              <w:rPr>
                <w:rFonts w:ascii="Calibri" w:hAnsi="Calibri" w:cs="Calibri"/>
                <w:color w:val="000000" w:themeColor="text1"/>
                <w:sz w:val="20"/>
                <w:szCs w:val="20"/>
              </w:rPr>
            </w:pPr>
            <w:r w:rsidRPr="00FA4E09">
              <w:rPr>
                <w:rFonts w:ascii="Calibri" w:hAnsi="Calibri" w:cs="Calibri"/>
                <w:color w:val="000000" w:themeColor="text1"/>
                <w:sz w:val="20"/>
                <w:szCs w:val="20"/>
              </w:rPr>
              <w:t>Identify facilities that can perform onsite sample analysis, and therefore may incur lower costs, for the sampling program.</w:t>
            </w:r>
          </w:p>
        </w:tc>
      </w:tr>
      <w:tr w14:paraId="48AE98EF" w14:textId="77777777" w:rsidTr="00070B01">
        <w:tblPrEx>
          <w:tblW w:w="5000" w:type="pct"/>
          <w:tblLook w:val="01E0"/>
        </w:tblPrEx>
        <w:trPr>
          <w:cantSplit/>
          <w:trHeight w:val="565"/>
        </w:trPr>
        <w:tc>
          <w:tcPr>
            <w:tcW w:w="660" w:type="pct"/>
            <w:tcBorders>
              <w:top w:val="single" w:sz="4" w:space="0" w:color="auto"/>
              <w:left w:val="double" w:sz="4" w:space="0" w:color="auto"/>
              <w:bottom w:val="double" w:sz="4" w:space="0" w:color="auto"/>
              <w:right w:val="single" w:sz="8" w:space="0" w:color="000000" w:themeColor="text1"/>
            </w:tcBorders>
          </w:tcPr>
          <w:p w:rsidR="0024748D" w:rsidRPr="00FA4E09" w:rsidP="00DD34B4" w14:paraId="3E46AF3F" w14:textId="77777777">
            <w:pPr>
              <w:spacing w:after="0"/>
              <w:rPr>
                <w:rFonts w:ascii="Calibri" w:hAnsi="Calibri" w:cs="Calibri"/>
                <w:sz w:val="20"/>
                <w:szCs w:val="20"/>
              </w:rPr>
            </w:pPr>
            <w:r w:rsidRPr="00FA4E09">
              <w:rPr>
                <w:rFonts w:ascii="Calibri" w:hAnsi="Calibri" w:cs="Calibri"/>
                <w:color w:val="000000" w:themeColor="text1"/>
                <w:sz w:val="20"/>
                <w:szCs w:val="20"/>
              </w:rPr>
              <w:t>6 – Comments</w:t>
            </w:r>
          </w:p>
        </w:tc>
        <w:tc>
          <w:tcPr>
            <w:tcW w:w="382" w:type="pct"/>
            <w:tcBorders>
              <w:top w:val="single" w:sz="8" w:space="0" w:color="auto"/>
              <w:left w:val="single" w:sz="8" w:space="0" w:color="000000" w:themeColor="text1"/>
              <w:bottom w:val="double" w:sz="4" w:space="0" w:color="auto"/>
              <w:right w:val="single" w:sz="8" w:space="0" w:color="000000" w:themeColor="text1"/>
            </w:tcBorders>
          </w:tcPr>
          <w:p w:rsidR="0024748D" w:rsidRPr="00FA4E09" w:rsidP="00DD34B4" w14:paraId="38BDDB07" w14:textId="77777777">
            <w:pPr>
              <w:spacing w:after="0"/>
              <w:rPr>
                <w:rFonts w:ascii="Calibri" w:hAnsi="Calibri" w:cs="Calibri"/>
                <w:sz w:val="20"/>
                <w:szCs w:val="20"/>
              </w:rPr>
            </w:pPr>
            <w:r w:rsidRPr="00FA4E09">
              <w:rPr>
                <w:rFonts w:ascii="Calibri" w:hAnsi="Calibri" w:cs="Calibri"/>
                <w:color w:val="000000" w:themeColor="text1"/>
                <w:sz w:val="20"/>
                <w:szCs w:val="20"/>
              </w:rPr>
              <w:t>NA</w:t>
            </w:r>
          </w:p>
        </w:tc>
        <w:tc>
          <w:tcPr>
            <w:tcW w:w="2448" w:type="pct"/>
            <w:tcBorders>
              <w:top w:val="single" w:sz="8" w:space="0" w:color="000000" w:themeColor="text1"/>
              <w:left w:val="single" w:sz="8" w:space="0" w:color="000000" w:themeColor="text1"/>
              <w:bottom w:val="double" w:sz="4" w:space="0" w:color="auto"/>
              <w:right w:val="single" w:sz="8" w:space="0" w:color="000000" w:themeColor="text1"/>
            </w:tcBorders>
          </w:tcPr>
          <w:p w:rsidR="0024748D" w:rsidRPr="00FA4E09" w:rsidP="00DD34B4" w14:paraId="66887EE5" w14:textId="77777777">
            <w:pPr>
              <w:spacing w:after="0"/>
              <w:rPr>
                <w:rFonts w:ascii="Calibri" w:hAnsi="Calibri" w:cs="Calibri"/>
                <w:sz w:val="20"/>
                <w:szCs w:val="20"/>
              </w:rPr>
            </w:pPr>
            <w:r w:rsidRPr="00FA4E09">
              <w:rPr>
                <w:rFonts w:ascii="Calibri" w:hAnsi="Calibri" w:cs="Calibri"/>
                <w:color w:val="000000" w:themeColor="text1"/>
                <w:sz w:val="20"/>
                <w:szCs w:val="20"/>
              </w:rPr>
              <w:t>Space for facility to provide additional comments or elaborate on any questions throughout the questionnaire.</w:t>
            </w:r>
          </w:p>
        </w:tc>
        <w:tc>
          <w:tcPr>
            <w:tcW w:w="1510" w:type="pct"/>
            <w:tcBorders>
              <w:top w:val="single" w:sz="8" w:space="0" w:color="000000" w:themeColor="text1"/>
              <w:left w:val="single" w:sz="8" w:space="0" w:color="000000" w:themeColor="text1"/>
              <w:bottom w:val="double" w:sz="4" w:space="0" w:color="auto"/>
              <w:right w:val="double" w:sz="4" w:space="0" w:color="auto"/>
            </w:tcBorders>
          </w:tcPr>
          <w:p w:rsidR="0024748D" w:rsidRPr="00FA4E09" w:rsidP="00DD34B4" w14:paraId="1D7911DA" w14:textId="77777777">
            <w:pPr>
              <w:spacing w:after="0"/>
              <w:rPr>
                <w:rFonts w:ascii="Calibri" w:hAnsi="Calibri" w:cs="Calibri"/>
                <w:sz w:val="20"/>
                <w:szCs w:val="20"/>
              </w:rPr>
            </w:pPr>
            <w:r w:rsidRPr="00FA4E09">
              <w:rPr>
                <w:rFonts w:ascii="Calibri" w:hAnsi="Calibri" w:cs="Calibri"/>
                <w:sz w:val="20"/>
                <w:szCs w:val="20"/>
              </w:rPr>
              <w:t>Augment questionnaire responses.</w:t>
            </w:r>
          </w:p>
        </w:tc>
      </w:tr>
    </w:tbl>
    <w:p w:rsidR="0024748D" w:rsidRPr="00FA4E09" w:rsidP="0024748D" w14:paraId="23927FF3" w14:textId="77777777">
      <w:pPr>
        <w:autoSpaceDE w:val="0"/>
        <w:autoSpaceDN w:val="0"/>
        <w:adjustRightInd w:val="0"/>
        <w:spacing w:after="240"/>
        <w:rPr>
          <w:rFonts w:ascii="Calibri" w:hAnsi="Calibri" w:cs="Calibri"/>
        </w:rPr>
        <w:sectPr w:rsidSect="007D584F">
          <w:pgSz w:w="15840" w:h="12240" w:orient="landscape"/>
          <w:pgMar w:top="1440" w:right="1440" w:bottom="1440" w:left="1440" w:header="720" w:footer="720" w:gutter="0"/>
          <w:cols w:space="720"/>
          <w:docGrid w:linePitch="360"/>
        </w:sectPr>
      </w:pPr>
    </w:p>
    <w:p w:rsidR="001172FE" w:rsidRPr="00FA4E09" w:rsidP="00854AAE" w14:paraId="7B8A0ACD" w14:textId="27119692">
      <w:pPr>
        <w:spacing w:before="120" w:after="0"/>
        <w:rPr>
          <w:rFonts w:ascii="Calibri" w:hAnsi="Calibri" w:cs="Calibri"/>
          <w:b/>
          <w:bCs/>
        </w:rPr>
      </w:pPr>
      <w:r w:rsidRPr="00FA4E09">
        <w:rPr>
          <w:rFonts w:ascii="Calibri" w:hAnsi="Calibri" w:cs="Calibri"/>
          <w:b/>
          <w:bCs/>
        </w:rPr>
        <w:t xml:space="preserve">12c. </w:t>
      </w:r>
      <w:r w:rsidRPr="00FA4E09" w:rsidR="00DD718B">
        <w:rPr>
          <w:rFonts w:ascii="Calibri" w:hAnsi="Calibri" w:cs="Calibri"/>
          <w:b/>
          <w:bCs/>
        </w:rPr>
        <w:t>Respondent Activities</w:t>
      </w:r>
      <w:bookmarkStart w:id="18" w:name="_Toc156593385"/>
      <w:bookmarkEnd w:id="15"/>
    </w:p>
    <w:p w:rsidR="00B0321C" w:rsidRPr="00FA4E09" w:rsidP="5648E275" w14:paraId="2C6234AD" w14:textId="7295301E">
      <w:pPr>
        <w:spacing w:before="60"/>
        <w:rPr>
          <w:rFonts w:ascii="Calibri" w:hAnsi="Calibri" w:cs="Calibri"/>
        </w:rPr>
      </w:pPr>
      <w:r w:rsidRPr="00FA4E09">
        <w:rPr>
          <w:rFonts w:ascii="Calibri" w:hAnsi="Calibri" w:cs="Calibri"/>
        </w:rPr>
        <w:t>Th</w:t>
      </w:r>
      <w:r w:rsidRPr="00FA4E09" w:rsidR="00C4751A">
        <w:rPr>
          <w:rFonts w:ascii="Calibri" w:hAnsi="Calibri" w:cs="Calibri"/>
        </w:rPr>
        <w:t>is ICR collects data to support two studies</w:t>
      </w:r>
      <w:r w:rsidRPr="00FA4E09" w:rsidR="004C5B35">
        <w:rPr>
          <w:rFonts w:ascii="Calibri" w:hAnsi="Calibri" w:cs="Calibri"/>
        </w:rPr>
        <w:t xml:space="preserve"> </w:t>
      </w:r>
      <w:r w:rsidR="00070B01">
        <w:rPr>
          <w:rFonts w:ascii="Calibri" w:hAnsi="Calibri" w:cs="Calibri"/>
        </w:rPr>
        <w:t xml:space="preserve">– the </w:t>
      </w:r>
      <w:r w:rsidRPr="00FA4E09">
        <w:rPr>
          <w:rFonts w:ascii="Calibri" w:hAnsi="Calibri" w:cs="Calibri"/>
        </w:rPr>
        <w:t xml:space="preserve">POTW Influent PFAS Study </w:t>
      </w:r>
      <w:r w:rsidRPr="00FA4E09" w:rsidR="00C4751A">
        <w:rPr>
          <w:rFonts w:ascii="Calibri" w:hAnsi="Calibri" w:cs="Calibri"/>
        </w:rPr>
        <w:t xml:space="preserve">and </w:t>
      </w:r>
      <w:r w:rsidR="00070B01">
        <w:rPr>
          <w:rFonts w:ascii="Calibri" w:hAnsi="Calibri" w:cs="Calibri"/>
        </w:rPr>
        <w:t xml:space="preserve">the </w:t>
      </w:r>
      <w:r w:rsidRPr="00FA4E09" w:rsidR="003459BA">
        <w:rPr>
          <w:rFonts w:ascii="Calibri" w:hAnsi="Calibri" w:cs="Calibri"/>
        </w:rPr>
        <w:t>NSSS</w:t>
      </w:r>
      <w:r w:rsidRPr="00FA4E09" w:rsidR="0019300F">
        <w:rPr>
          <w:rFonts w:ascii="Calibri" w:hAnsi="Calibri" w:cs="Calibri"/>
        </w:rPr>
        <w:t>.</w:t>
      </w:r>
      <w:r w:rsidRPr="00FA4E09" w:rsidR="00C4751A">
        <w:rPr>
          <w:rFonts w:ascii="Calibri" w:hAnsi="Calibri" w:cs="Calibri"/>
        </w:rPr>
        <w:t xml:space="preserve"> The</w:t>
      </w:r>
      <w:r w:rsidRPr="00FA4E09">
        <w:rPr>
          <w:rFonts w:ascii="Calibri" w:hAnsi="Calibri" w:cs="Calibri"/>
        </w:rPr>
        <w:t xml:space="preserve"> data collection effort will require approximately 400 POTWs to devote time and resources to produce acceptable responses to a questionnaire. A subset of 200 to 300 questionnaire respondents will be required to collect and analyze samples to characterize the types and quantity of pollutants in industrial user effluent; domestic </w:t>
      </w:r>
      <w:r w:rsidR="001D542C">
        <w:rPr>
          <w:rFonts w:ascii="Calibri" w:hAnsi="Calibri" w:cs="Calibri"/>
        </w:rPr>
        <w:t>wastewater or sewage</w:t>
      </w:r>
      <w:r w:rsidRPr="00FA4E09">
        <w:rPr>
          <w:rFonts w:ascii="Calibri" w:hAnsi="Calibri" w:cs="Calibri"/>
        </w:rPr>
        <w:t xml:space="preserve">; and POTW influent, effluent, and sewage </w:t>
      </w:r>
      <w:r w:rsidRPr="00FA4E09" w:rsidR="000077A0">
        <w:rPr>
          <w:rFonts w:ascii="Calibri" w:hAnsi="Calibri" w:cs="Calibri"/>
        </w:rPr>
        <w:t>sludge</w:t>
      </w:r>
      <w:r w:rsidRPr="00FA4E09">
        <w:rPr>
          <w:rFonts w:ascii="Calibri" w:hAnsi="Calibri" w:cs="Calibri"/>
        </w:rPr>
        <w:t xml:space="preserve">. The EPA expects that wastewater treatment plant operators, engineers, and operations managers at the facilities will devote time toward reviewing EPA instruction, gathering requested information and data, completing all sections of the questionnaire, reviewing and submitting the final responses to the questionnaire, coordinating and planning sampling with the EPA staff, collecting and shipping samples, and reviewing and compiling sampling results. The EPA estimated the costs to the respondents’ facilities associated with these time commitments by multiplying the time spent in each labor category by an appropriately loaded hourly labor rate. </w:t>
      </w:r>
    </w:p>
    <w:p w:rsidR="00B0321C" w:rsidRPr="00FA4E09" w:rsidP="00B0321C" w14:paraId="4E8B9CD3" w14:textId="4F3BECCD">
      <w:pPr>
        <w:spacing w:before="60"/>
        <w:rPr>
          <w:rFonts w:ascii="Calibri" w:hAnsi="Calibri" w:cs="Calibri"/>
        </w:rPr>
      </w:pPr>
      <w:r w:rsidRPr="00FA4E09">
        <w:rPr>
          <w:rFonts w:ascii="Calibri" w:hAnsi="Calibri" w:cs="Calibri"/>
        </w:rPr>
        <w:fldChar w:fldCharType="begin"/>
      </w:r>
      <w:r w:rsidRPr="00FA4E09">
        <w:rPr>
          <w:rFonts w:ascii="Calibri" w:hAnsi="Calibri" w:cs="Calibri"/>
        </w:rPr>
        <w:instrText xml:space="preserve"> REF _Ref85633625 \h  \* MERGEFORMAT </w:instrText>
      </w:r>
      <w:r w:rsidRPr="00FA4E09">
        <w:rPr>
          <w:rFonts w:ascii="Calibri" w:hAnsi="Calibri" w:cs="Calibri"/>
        </w:rPr>
        <w:fldChar w:fldCharType="separate"/>
      </w:r>
      <w:r w:rsidRPr="000776AC" w:rsidR="00A41D1F">
        <w:rPr>
          <w:rFonts w:ascii="Calibri" w:hAnsi="Calibri" w:cs="Calibri"/>
        </w:rPr>
        <w:t>Table 12-2</w:t>
      </w:r>
      <w:r w:rsidRPr="00FA4E09">
        <w:rPr>
          <w:rFonts w:ascii="Calibri" w:hAnsi="Calibri" w:cs="Calibri"/>
        </w:rPr>
        <w:fldChar w:fldCharType="end"/>
      </w:r>
      <w:r w:rsidRPr="00FA4E09">
        <w:rPr>
          <w:rFonts w:ascii="Calibri" w:hAnsi="Calibri" w:cs="Calibri"/>
        </w:rPr>
        <w:t xml:space="preserve"> breaks down the burden (in hours) per anticipated respondent activity and per labor category necessary to complete the questionnaire. For purposes of estimating burden associated with the questionnaire, the EPA assumes that 400 POTWs will be required to complete the electronic questionnaire and the POTW response rate will be 100 percent.</w:t>
      </w:r>
    </w:p>
    <w:p w:rsidR="00B0321C" w:rsidRPr="00FA4E09" w:rsidP="00B0321C" w14:paraId="5D2B71F7" w14:textId="3EBD9C2A">
      <w:pPr>
        <w:spacing w:before="60"/>
        <w:rPr>
          <w:rFonts w:ascii="Calibri" w:hAnsi="Calibri" w:cs="Calibri"/>
        </w:rPr>
      </w:pPr>
      <w:r w:rsidRPr="00FA4E09">
        <w:rPr>
          <w:rFonts w:ascii="Calibri" w:hAnsi="Calibri" w:cs="Calibri"/>
        </w:rPr>
        <w:t xml:space="preserve">The EPA expects that questionnaire response will be led by the operator as most questions are specific to wastewater and sewage </w:t>
      </w:r>
      <w:r w:rsidRPr="00FA4E09" w:rsidR="000077A0">
        <w:rPr>
          <w:rFonts w:ascii="Calibri" w:hAnsi="Calibri" w:cs="Calibri"/>
        </w:rPr>
        <w:t>sludge</w:t>
      </w:r>
      <w:r w:rsidRPr="00FA4E09">
        <w:rPr>
          <w:rFonts w:ascii="Calibri" w:hAnsi="Calibri" w:cs="Calibri"/>
        </w:rPr>
        <w:t xml:space="preserve"> management and treatment. The EPA included hours for engineering staff to support collecting data and entering technical data in the questionnaire. The EPA also included hours for the operations manager to review the questionnaire response and coordinate submission.</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CellMar>
          <w:top w:w="29" w:type="dxa"/>
          <w:left w:w="58" w:type="dxa"/>
          <w:bottom w:w="29" w:type="dxa"/>
          <w:right w:w="58" w:type="dxa"/>
        </w:tblCellMar>
        <w:tblLook w:val="0000"/>
      </w:tblPr>
      <w:tblGrid>
        <w:gridCol w:w="2545"/>
        <w:gridCol w:w="1734"/>
        <w:gridCol w:w="1734"/>
        <w:gridCol w:w="1809"/>
        <w:gridCol w:w="1654"/>
      </w:tblGrid>
      <w:tr w14:paraId="6D4E80EC" w14:textId="77777777">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CellMar>
            <w:top w:w="29" w:type="dxa"/>
            <w:left w:w="58" w:type="dxa"/>
            <w:bottom w:w="29" w:type="dxa"/>
            <w:right w:w="58" w:type="dxa"/>
          </w:tblCellMar>
          <w:tblLook w:val="0000"/>
        </w:tblPrEx>
        <w:trPr>
          <w:cantSplit/>
          <w:tblHeader/>
          <w:jc w:val="center"/>
        </w:trPr>
        <w:tc>
          <w:tcPr>
            <w:tcW w:w="5000" w:type="pct"/>
            <w:gridSpan w:val="5"/>
            <w:tcBorders>
              <w:top w:val="nil"/>
              <w:left w:val="nil"/>
              <w:right w:val="nil"/>
            </w:tcBorders>
          </w:tcPr>
          <w:p w:rsidR="00B0321C" w:rsidRPr="00FA4E09" w14:paraId="66BFF608" w14:textId="76FFB67E">
            <w:pPr>
              <w:pStyle w:val="TableTitle"/>
            </w:pPr>
            <w:bookmarkStart w:id="19" w:name="_Ref85633625"/>
            <w:bookmarkStart w:id="20" w:name="_Toc97891772"/>
            <w:bookmarkStart w:id="21" w:name="_Ref97892485"/>
            <w:bookmarkStart w:id="22" w:name="_Toc157787718"/>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12</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2</w:t>
            </w:r>
            <w:r w:rsidRPr="00FA4E09">
              <w:rPr>
                <w:rFonts w:eastAsiaTheme="minorEastAsia"/>
                <w:bCs/>
                <w:smallCaps/>
                <w:spacing w:val="6"/>
                <w:sz w:val="24"/>
                <w:szCs w:val="18"/>
              </w:rPr>
              <w:fldChar w:fldCharType="end"/>
            </w:r>
            <w:bookmarkEnd w:id="19"/>
            <w:r w:rsidRPr="00FA4E09">
              <w:rPr>
                <w:rFonts w:eastAsiaTheme="minorEastAsia"/>
                <w:bCs/>
                <w:smallCaps/>
                <w:spacing w:val="6"/>
                <w:sz w:val="24"/>
                <w:szCs w:val="18"/>
              </w:rPr>
              <w:t>. Estimated Questionnaire Response Burden by Activity</w:t>
            </w:r>
            <w:bookmarkEnd w:id="20"/>
            <w:bookmarkEnd w:id="21"/>
            <w:r w:rsidRPr="00FA4E09">
              <w:rPr>
                <w:rFonts w:eastAsiaTheme="minorEastAsia"/>
                <w:bCs/>
                <w:smallCaps/>
                <w:spacing w:val="6"/>
                <w:sz w:val="24"/>
                <w:szCs w:val="18"/>
              </w:rPr>
              <w:t xml:space="preserve"> and Labor Category</w:t>
            </w:r>
            <w:bookmarkEnd w:id="22"/>
          </w:p>
        </w:tc>
      </w:tr>
      <w:tr w14:paraId="7BCA052A" w14:textId="77777777" w:rsidTr="00B0321C">
        <w:tblPrEx>
          <w:tblW w:w="5000" w:type="pct"/>
          <w:jc w:val="center"/>
          <w:tblCellMar>
            <w:top w:w="29" w:type="dxa"/>
            <w:left w:w="58" w:type="dxa"/>
            <w:bottom w:w="29" w:type="dxa"/>
            <w:right w:w="58" w:type="dxa"/>
          </w:tblCellMar>
          <w:tblLook w:val="0000"/>
        </w:tblPrEx>
        <w:trPr>
          <w:cantSplit/>
          <w:trHeight w:val="20"/>
          <w:tblHeader/>
          <w:jc w:val="center"/>
        </w:trPr>
        <w:tc>
          <w:tcPr>
            <w:tcW w:w="1354" w:type="pct"/>
            <w:vMerge w:val="restart"/>
            <w:shd w:val="clear" w:color="auto" w:fill="D9D9D9" w:themeFill="background1" w:themeFillShade="D9"/>
            <w:noWrap/>
            <w:vAlign w:val="center"/>
          </w:tcPr>
          <w:p w:rsidR="00B0321C" w:rsidRPr="00FA4E09" w:rsidP="00DD34B4" w14:paraId="77B4CCC6" w14:textId="77777777">
            <w:pPr>
              <w:keepNext/>
              <w:spacing w:after="0"/>
              <w:contextualSpacing/>
              <w:jc w:val="center"/>
              <w:rPr>
                <w:rFonts w:ascii="Calibri" w:hAnsi="Calibri" w:cs="Calibri"/>
                <w:b/>
                <w:bCs/>
                <w:sz w:val="20"/>
                <w:szCs w:val="20"/>
              </w:rPr>
            </w:pPr>
            <w:r w:rsidRPr="00FA4E09">
              <w:rPr>
                <w:rFonts w:ascii="Calibri" w:hAnsi="Calibri" w:cs="Calibri"/>
                <w:b/>
                <w:bCs/>
                <w:sz w:val="20"/>
                <w:szCs w:val="20"/>
              </w:rPr>
              <w:t>Activity</w:t>
            </w:r>
          </w:p>
        </w:tc>
        <w:tc>
          <w:tcPr>
            <w:tcW w:w="3646" w:type="pct"/>
            <w:gridSpan w:val="4"/>
            <w:tcBorders>
              <w:bottom w:val="single" w:sz="4" w:space="0" w:color="auto"/>
            </w:tcBorders>
            <w:shd w:val="clear" w:color="auto" w:fill="D9D9D9" w:themeFill="background1" w:themeFillShade="D9"/>
            <w:vAlign w:val="center"/>
          </w:tcPr>
          <w:p w:rsidR="00B0321C" w:rsidRPr="00FA4E09" w:rsidP="00DD34B4" w14:paraId="6E20CF9F" w14:textId="77777777">
            <w:pPr>
              <w:keepNext/>
              <w:spacing w:after="0"/>
              <w:contextualSpacing/>
              <w:jc w:val="center"/>
              <w:rPr>
                <w:rFonts w:ascii="Calibri" w:hAnsi="Calibri" w:cs="Calibri"/>
                <w:b/>
                <w:bCs/>
                <w:sz w:val="20"/>
                <w:szCs w:val="20"/>
              </w:rPr>
            </w:pPr>
            <w:r w:rsidRPr="00FA4E09">
              <w:rPr>
                <w:rFonts w:ascii="Calibri" w:hAnsi="Calibri" w:cs="Calibri"/>
                <w:b/>
                <w:bCs/>
                <w:sz w:val="20"/>
                <w:szCs w:val="20"/>
              </w:rPr>
              <w:t>Labor Category and Burden (hours)</w:t>
            </w:r>
          </w:p>
        </w:tc>
      </w:tr>
      <w:tr w14:paraId="1F9E7CF0" w14:textId="77777777" w:rsidTr="00B0321C">
        <w:tblPrEx>
          <w:tblW w:w="5000" w:type="pct"/>
          <w:jc w:val="center"/>
          <w:tblCellMar>
            <w:top w:w="29" w:type="dxa"/>
            <w:left w:w="58" w:type="dxa"/>
            <w:bottom w:w="29" w:type="dxa"/>
            <w:right w:w="58" w:type="dxa"/>
          </w:tblCellMar>
          <w:tblLook w:val="0000"/>
        </w:tblPrEx>
        <w:trPr>
          <w:cantSplit/>
          <w:trHeight w:val="20"/>
          <w:tblHeader/>
          <w:jc w:val="center"/>
        </w:trPr>
        <w:tc>
          <w:tcPr>
            <w:tcW w:w="1354" w:type="pct"/>
            <w:vMerge/>
            <w:tcBorders>
              <w:top w:val="single" w:sz="4" w:space="0" w:color="auto"/>
              <w:bottom w:val="single" w:sz="4" w:space="0" w:color="auto"/>
            </w:tcBorders>
            <w:shd w:val="clear" w:color="auto" w:fill="D9D9D9" w:themeFill="background1" w:themeFillShade="D9"/>
            <w:noWrap/>
            <w:vAlign w:val="center"/>
          </w:tcPr>
          <w:p w:rsidR="00B0321C" w:rsidRPr="00FA4E09" w:rsidP="00DD34B4" w14:paraId="10350696" w14:textId="77777777">
            <w:pPr>
              <w:keepNext/>
              <w:spacing w:after="0"/>
              <w:contextualSpacing/>
              <w:jc w:val="center"/>
              <w:rPr>
                <w:rFonts w:ascii="Calibri" w:hAnsi="Calibri" w:cs="Calibri"/>
                <w:b/>
                <w:bCs/>
                <w:sz w:val="20"/>
                <w:szCs w:val="20"/>
              </w:rPr>
            </w:pPr>
          </w:p>
        </w:tc>
        <w:tc>
          <w:tcPr>
            <w:tcW w:w="912" w:type="pct"/>
            <w:tcBorders>
              <w:top w:val="single" w:sz="4" w:space="0" w:color="auto"/>
              <w:bottom w:val="single" w:sz="4" w:space="0" w:color="auto"/>
            </w:tcBorders>
            <w:shd w:val="clear" w:color="auto" w:fill="D9D9D9" w:themeFill="background1" w:themeFillShade="D9"/>
            <w:vAlign w:val="center"/>
          </w:tcPr>
          <w:p w:rsidR="00B0321C" w:rsidRPr="00FA4E09" w:rsidP="00DD34B4" w14:paraId="5D4A5260" w14:textId="77777777">
            <w:pPr>
              <w:keepNext/>
              <w:spacing w:after="0"/>
              <w:contextualSpacing/>
              <w:jc w:val="center"/>
              <w:rPr>
                <w:rFonts w:ascii="Calibri" w:hAnsi="Calibri" w:cs="Calibri"/>
                <w:b/>
                <w:bCs/>
                <w:sz w:val="20"/>
                <w:szCs w:val="20"/>
              </w:rPr>
            </w:pPr>
            <w:r w:rsidRPr="00FA4E09">
              <w:rPr>
                <w:rFonts w:ascii="Calibri" w:hAnsi="Calibri" w:cs="Calibri"/>
                <w:b/>
                <w:bCs/>
                <w:sz w:val="20"/>
                <w:szCs w:val="20"/>
              </w:rPr>
              <w:t>Operator</w:t>
            </w:r>
            <w:r w:rsidRPr="00FA4E09">
              <w:rPr>
                <w:rFonts w:ascii="Calibri" w:hAnsi="Calibri" w:cs="Calibri"/>
                <w:sz w:val="20"/>
                <w:szCs w:val="20"/>
                <w:vertAlign w:val="superscript"/>
              </w:rPr>
              <w:t xml:space="preserve"> a</w:t>
            </w:r>
          </w:p>
        </w:tc>
        <w:tc>
          <w:tcPr>
            <w:tcW w:w="912" w:type="pct"/>
            <w:tcBorders>
              <w:top w:val="single" w:sz="4" w:space="0" w:color="auto"/>
              <w:bottom w:val="single" w:sz="4" w:space="0" w:color="auto"/>
            </w:tcBorders>
            <w:shd w:val="clear" w:color="auto" w:fill="D9D9D9" w:themeFill="background1" w:themeFillShade="D9"/>
            <w:vAlign w:val="center"/>
          </w:tcPr>
          <w:p w:rsidR="00B0321C" w:rsidRPr="00FA4E09" w:rsidP="00DD34B4" w14:paraId="07471B53" w14:textId="77777777">
            <w:pPr>
              <w:keepNext/>
              <w:spacing w:after="0"/>
              <w:contextualSpacing/>
              <w:jc w:val="center"/>
              <w:rPr>
                <w:rFonts w:ascii="Calibri" w:hAnsi="Calibri" w:cs="Calibri"/>
                <w:b/>
                <w:bCs/>
                <w:sz w:val="20"/>
                <w:szCs w:val="20"/>
              </w:rPr>
            </w:pPr>
            <w:r w:rsidRPr="00FA4E09">
              <w:rPr>
                <w:rFonts w:ascii="Calibri" w:hAnsi="Calibri" w:cs="Calibri"/>
                <w:b/>
                <w:bCs/>
                <w:sz w:val="20"/>
                <w:szCs w:val="20"/>
              </w:rPr>
              <w:t>Engineer</w:t>
            </w:r>
          </w:p>
        </w:tc>
        <w:tc>
          <w:tcPr>
            <w:tcW w:w="953" w:type="pct"/>
            <w:tcBorders>
              <w:top w:val="single" w:sz="4" w:space="0" w:color="auto"/>
              <w:bottom w:val="single" w:sz="4" w:space="0" w:color="auto"/>
            </w:tcBorders>
            <w:shd w:val="clear" w:color="auto" w:fill="D9D9D9" w:themeFill="background1" w:themeFillShade="D9"/>
            <w:vAlign w:val="center"/>
          </w:tcPr>
          <w:p w:rsidR="00B0321C" w:rsidRPr="00FA4E09" w:rsidP="00DD34B4" w14:paraId="4DEFE896" w14:textId="77777777">
            <w:pPr>
              <w:spacing w:after="0"/>
              <w:contextualSpacing/>
              <w:jc w:val="center"/>
              <w:rPr>
                <w:rFonts w:ascii="Calibri" w:hAnsi="Calibri" w:cs="Calibri"/>
                <w:b/>
                <w:bCs/>
                <w:sz w:val="20"/>
                <w:szCs w:val="20"/>
              </w:rPr>
            </w:pPr>
            <w:r w:rsidRPr="00FA4E09">
              <w:rPr>
                <w:rFonts w:ascii="Calibri" w:hAnsi="Calibri" w:cs="Calibri"/>
                <w:b/>
                <w:bCs/>
                <w:sz w:val="20"/>
                <w:szCs w:val="20"/>
              </w:rPr>
              <w:t>Operations Manager</w:t>
            </w:r>
          </w:p>
        </w:tc>
        <w:tc>
          <w:tcPr>
            <w:tcW w:w="869" w:type="pct"/>
            <w:tcBorders>
              <w:top w:val="single" w:sz="4" w:space="0" w:color="auto"/>
              <w:bottom w:val="single" w:sz="4" w:space="0" w:color="auto"/>
            </w:tcBorders>
            <w:shd w:val="clear" w:color="auto" w:fill="D9D9D9" w:themeFill="background1" w:themeFillShade="D9"/>
            <w:vAlign w:val="center"/>
          </w:tcPr>
          <w:p w:rsidR="00B0321C" w:rsidRPr="00FA4E09" w:rsidP="00DD34B4" w14:paraId="07BAAD7E" w14:textId="77777777">
            <w:pPr>
              <w:spacing w:after="0"/>
              <w:contextualSpacing/>
              <w:jc w:val="center"/>
              <w:rPr>
                <w:rFonts w:ascii="Calibri" w:hAnsi="Calibri" w:cs="Calibri"/>
                <w:b/>
                <w:bCs/>
                <w:sz w:val="20"/>
                <w:szCs w:val="20"/>
              </w:rPr>
            </w:pPr>
            <w:r w:rsidRPr="00FA4E09">
              <w:rPr>
                <w:rFonts w:ascii="Calibri" w:hAnsi="Calibri" w:cs="Calibri"/>
                <w:b/>
                <w:bCs/>
                <w:sz w:val="20"/>
                <w:szCs w:val="20"/>
              </w:rPr>
              <w:t>Total Burden</w:t>
            </w:r>
            <w:r w:rsidRPr="00FA4E09">
              <w:rPr>
                <w:rFonts w:ascii="Calibri" w:hAnsi="Calibri" w:cs="Calibri"/>
                <w:sz w:val="20"/>
                <w:szCs w:val="20"/>
                <w:vertAlign w:val="superscript"/>
              </w:rPr>
              <w:t xml:space="preserve"> a</w:t>
            </w:r>
          </w:p>
        </w:tc>
      </w:tr>
      <w:tr w14:paraId="7F02EAC4" w14:textId="77777777" w:rsidTr="00B0321C">
        <w:tblPrEx>
          <w:tblW w:w="5000" w:type="pct"/>
          <w:jc w:val="center"/>
          <w:tblCellMar>
            <w:top w:w="29" w:type="dxa"/>
            <w:left w:w="58" w:type="dxa"/>
            <w:bottom w:w="29" w:type="dxa"/>
            <w:right w:w="58" w:type="dxa"/>
          </w:tblCellMar>
          <w:tblLook w:val="0000"/>
        </w:tblPrEx>
        <w:trPr>
          <w:cantSplit/>
          <w:trHeight w:val="20"/>
          <w:jc w:val="center"/>
        </w:trPr>
        <w:tc>
          <w:tcPr>
            <w:tcW w:w="1354" w:type="pct"/>
            <w:tcBorders>
              <w:top w:val="single" w:sz="4" w:space="0" w:color="auto"/>
              <w:bottom w:val="single" w:sz="4" w:space="0" w:color="auto"/>
            </w:tcBorders>
            <w:shd w:val="clear" w:color="auto" w:fill="auto"/>
            <w:noWrap/>
            <w:vAlign w:val="center"/>
          </w:tcPr>
          <w:p w:rsidR="00B0321C" w:rsidRPr="00FA4E09" w:rsidP="00DD34B4" w14:paraId="1E2BC594" w14:textId="77777777">
            <w:pPr>
              <w:keepNext/>
              <w:spacing w:after="0"/>
              <w:contextualSpacing/>
              <w:rPr>
                <w:rFonts w:ascii="Calibri" w:hAnsi="Calibri" w:cs="Calibri"/>
                <w:sz w:val="20"/>
                <w:szCs w:val="20"/>
              </w:rPr>
            </w:pPr>
            <w:r w:rsidRPr="00FA4E09">
              <w:rPr>
                <w:rFonts w:ascii="Calibri" w:hAnsi="Calibri" w:cs="Calibri"/>
                <w:sz w:val="20"/>
                <w:szCs w:val="20"/>
              </w:rPr>
              <w:t>Review Instructions &amp; Access Qualtrics Questionnaire</w:t>
            </w:r>
          </w:p>
        </w:tc>
        <w:tc>
          <w:tcPr>
            <w:tcW w:w="912" w:type="pct"/>
            <w:tcBorders>
              <w:top w:val="single" w:sz="4" w:space="0" w:color="auto"/>
              <w:bottom w:val="single" w:sz="4" w:space="0" w:color="auto"/>
            </w:tcBorders>
            <w:shd w:val="clear" w:color="auto" w:fill="auto"/>
            <w:vAlign w:val="center"/>
          </w:tcPr>
          <w:p w:rsidR="00B0321C" w:rsidRPr="00FA4E09" w:rsidP="00DD34B4" w14:paraId="10476FB2" w14:textId="77777777">
            <w:pPr>
              <w:keepNext/>
              <w:spacing w:after="0"/>
              <w:contextualSpacing/>
              <w:jc w:val="right"/>
              <w:rPr>
                <w:rFonts w:ascii="Calibri" w:hAnsi="Calibri" w:cs="Calibri"/>
                <w:color w:val="000000"/>
                <w:sz w:val="20"/>
                <w:szCs w:val="20"/>
              </w:rPr>
            </w:pPr>
            <w:r w:rsidRPr="00FA4E09">
              <w:rPr>
                <w:rFonts w:ascii="Calibri" w:hAnsi="Calibri" w:cs="Calibri"/>
                <w:sz w:val="20"/>
                <w:szCs w:val="20"/>
              </w:rPr>
              <w:t>1</w:t>
            </w:r>
          </w:p>
        </w:tc>
        <w:tc>
          <w:tcPr>
            <w:tcW w:w="912" w:type="pct"/>
            <w:tcBorders>
              <w:top w:val="single" w:sz="4" w:space="0" w:color="auto"/>
              <w:bottom w:val="single" w:sz="4" w:space="0" w:color="auto"/>
            </w:tcBorders>
            <w:shd w:val="clear" w:color="auto" w:fill="auto"/>
            <w:vAlign w:val="center"/>
          </w:tcPr>
          <w:p w:rsidR="00B0321C" w:rsidRPr="00FA4E09" w:rsidP="00DD34B4" w14:paraId="1F94CA98" w14:textId="77777777">
            <w:pPr>
              <w:keepNext/>
              <w:spacing w:after="0"/>
              <w:contextualSpacing/>
              <w:jc w:val="right"/>
              <w:rPr>
                <w:rFonts w:ascii="Calibri" w:hAnsi="Calibri" w:cs="Calibri"/>
                <w:color w:val="000000"/>
                <w:sz w:val="20"/>
                <w:szCs w:val="20"/>
              </w:rPr>
            </w:pPr>
            <w:r w:rsidRPr="00FA4E09">
              <w:rPr>
                <w:rFonts w:ascii="Calibri" w:hAnsi="Calibri" w:cs="Calibri"/>
                <w:sz w:val="20"/>
                <w:szCs w:val="20"/>
              </w:rPr>
              <w:t>1</w:t>
            </w:r>
          </w:p>
        </w:tc>
        <w:tc>
          <w:tcPr>
            <w:tcW w:w="953" w:type="pct"/>
            <w:tcBorders>
              <w:top w:val="single" w:sz="4" w:space="0" w:color="auto"/>
              <w:bottom w:val="single" w:sz="4" w:space="0" w:color="auto"/>
            </w:tcBorders>
            <w:shd w:val="clear" w:color="auto" w:fill="auto"/>
            <w:vAlign w:val="center"/>
          </w:tcPr>
          <w:p w:rsidR="00B0321C" w:rsidRPr="00FA4E09" w:rsidP="00DD34B4" w14:paraId="2A2CF546" w14:textId="77777777">
            <w:pPr>
              <w:keepNext/>
              <w:spacing w:after="0"/>
              <w:contextualSpacing/>
              <w:jc w:val="right"/>
              <w:rPr>
                <w:rFonts w:ascii="Calibri" w:hAnsi="Calibri" w:cs="Calibri"/>
                <w:color w:val="000000"/>
                <w:sz w:val="20"/>
                <w:szCs w:val="20"/>
              </w:rPr>
            </w:pPr>
            <w:r w:rsidRPr="00FA4E09">
              <w:rPr>
                <w:rFonts w:ascii="Calibri" w:hAnsi="Calibri" w:cs="Calibri"/>
                <w:sz w:val="20"/>
                <w:szCs w:val="20"/>
              </w:rPr>
              <w:t>1</w:t>
            </w:r>
          </w:p>
        </w:tc>
        <w:tc>
          <w:tcPr>
            <w:tcW w:w="869" w:type="pct"/>
            <w:tcBorders>
              <w:top w:val="single" w:sz="4" w:space="0" w:color="auto"/>
              <w:bottom w:val="single" w:sz="4" w:space="0" w:color="auto"/>
            </w:tcBorders>
            <w:vAlign w:val="center"/>
          </w:tcPr>
          <w:p w:rsidR="00B0321C" w:rsidRPr="00FA4E09" w:rsidP="00DD34B4" w14:paraId="19CA3FEB" w14:textId="77777777">
            <w:pPr>
              <w:keepNext/>
              <w:spacing w:after="0"/>
              <w:contextualSpacing/>
              <w:jc w:val="right"/>
              <w:rPr>
                <w:rFonts w:ascii="Calibri" w:hAnsi="Calibri" w:cs="Calibri"/>
                <w:b/>
                <w:bCs/>
                <w:color w:val="000000"/>
                <w:sz w:val="20"/>
                <w:szCs w:val="20"/>
              </w:rPr>
            </w:pPr>
            <w:r w:rsidRPr="00FA4E09">
              <w:rPr>
                <w:rFonts w:ascii="Calibri" w:hAnsi="Calibri" w:cs="Calibri"/>
                <w:b/>
                <w:bCs/>
                <w:sz w:val="20"/>
                <w:szCs w:val="20"/>
              </w:rPr>
              <w:t>3</w:t>
            </w:r>
          </w:p>
        </w:tc>
      </w:tr>
      <w:tr w14:paraId="4D602E0F" w14:textId="77777777" w:rsidTr="00B0321C">
        <w:tblPrEx>
          <w:tblW w:w="5000" w:type="pct"/>
          <w:jc w:val="center"/>
          <w:tblCellMar>
            <w:top w:w="29" w:type="dxa"/>
            <w:left w:w="58" w:type="dxa"/>
            <w:bottom w:w="29" w:type="dxa"/>
            <w:right w:w="58" w:type="dxa"/>
          </w:tblCellMar>
          <w:tblLook w:val="0000"/>
        </w:tblPrEx>
        <w:trPr>
          <w:cantSplit/>
          <w:trHeight w:val="20"/>
          <w:jc w:val="center"/>
        </w:trPr>
        <w:tc>
          <w:tcPr>
            <w:tcW w:w="1354" w:type="pct"/>
            <w:tcBorders>
              <w:top w:val="single" w:sz="4" w:space="0" w:color="auto"/>
              <w:bottom w:val="single" w:sz="4" w:space="0" w:color="auto"/>
            </w:tcBorders>
            <w:shd w:val="clear" w:color="auto" w:fill="auto"/>
            <w:noWrap/>
            <w:vAlign w:val="center"/>
          </w:tcPr>
          <w:p w:rsidR="00B0321C" w:rsidRPr="00FA4E09" w:rsidP="00DD34B4" w14:paraId="2DF55D96" w14:textId="77777777">
            <w:pPr>
              <w:keepNext/>
              <w:spacing w:after="0"/>
              <w:contextualSpacing/>
              <w:rPr>
                <w:rFonts w:ascii="Calibri" w:hAnsi="Calibri" w:cs="Calibri"/>
                <w:b/>
                <w:bCs/>
                <w:sz w:val="20"/>
                <w:szCs w:val="20"/>
              </w:rPr>
            </w:pPr>
            <w:r w:rsidRPr="00FA4E09">
              <w:rPr>
                <w:rFonts w:ascii="Calibri" w:hAnsi="Calibri" w:cs="Calibri"/>
                <w:sz w:val="20"/>
                <w:szCs w:val="20"/>
              </w:rPr>
              <w:t>Complete Questionnaire</w:t>
            </w:r>
          </w:p>
        </w:tc>
        <w:tc>
          <w:tcPr>
            <w:tcW w:w="912" w:type="pct"/>
            <w:tcBorders>
              <w:top w:val="single" w:sz="4" w:space="0" w:color="auto"/>
              <w:bottom w:val="single" w:sz="4" w:space="0" w:color="auto"/>
            </w:tcBorders>
            <w:shd w:val="clear" w:color="auto" w:fill="auto"/>
            <w:vAlign w:val="center"/>
          </w:tcPr>
          <w:p w:rsidR="00B0321C" w:rsidRPr="00FA4E09" w:rsidP="00DD34B4" w14:paraId="39140B0D" w14:textId="77777777">
            <w:pPr>
              <w:keepNext/>
              <w:spacing w:after="0"/>
              <w:contextualSpacing/>
              <w:jc w:val="right"/>
              <w:rPr>
                <w:rFonts w:ascii="Calibri" w:hAnsi="Calibri" w:cs="Calibri"/>
                <w:sz w:val="20"/>
                <w:szCs w:val="20"/>
              </w:rPr>
            </w:pPr>
            <w:r w:rsidRPr="00FA4E09">
              <w:rPr>
                <w:rFonts w:ascii="Calibri" w:hAnsi="Calibri" w:cs="Calibri"/>
                <w:sz w:val="20"/>
                <w:szCs w:val="20"/>
              </w:rPr>
              <w:t>12</w:t>
            </w:r>
          </w:p>
        </w:tc>
        <w:tc>
          <w:tcPr>
            <w:tcW w:w="912" w:type="pct"/>
            <w:tcBorders>
              <w:top w:val="single" w:sz="4" w:space="0" w:color="auto"/>
              <w:bottom w:val="single" w:sz="4" w:space="0" w:color="auto"/>
            </w:tcBorders>
            <w:shd w:val="clear" w:color="auto" w:fill="auto"/>
            <w:vAlign w:val="center"/>
          </w:tcPr>
          <w:p w:rsidR="00B0321C" w:rsidRPr="00FA4E09" w:rsidP="00DD34B4" w14:paraId="50F8B71B" w14:textId="77777777">
            <w:pPr>
              <w:keepNext/>
              <w:spacing w:after="0"/>
              <w:contextualSpacing/>
              <w:jc w:val="right"/>
              <w:rPr>
                <w:rFonts w:ascii="Calibri" w:hAnsi="Calibri" w:cs="Calibri"/>
                <w:sz w:val="20"/>
                <w:szCs w:val="20"/>
              </w:rPr>
            </w:pPr>
            <w:r w:rsidRPr="00FA4E09">
              <w:rPr>
                <w:rFonts w:ascii="Calibri" w:hAnsi="Calibri" w:cs="Calibri"/>
                <w:sz w:val="20"/>
                <w:szCs w:val="20"/>
              </w:rPr>
              <w:t>4</w:t>
            </w:r>
          </w:p>
        </w:tc>
        <w:tc>
          <w:tcPr>
            <w:tcW w:w="953" w:type="pct"/>
            <w:tcBorders>
              <w:top w:val="single" w:sz="4" w:space="0" w:color="auto"/>
              <w:bottom w:val="single" w:sz="4" w:space="0" w:color="auto"/>
            </w:tcBorders>
            <w:shd w:val="clear" w:color="auto" w:fill="auto"/>
            <w:vAlign w:val="center"/>
          </w:tcPr>
          <w:p w:rsidR="00B0321C" w:rsidRPr="00FA4E09" w:rsidP="00DD34B4" w14:paraId="7095684A" w14:textId="77777777">
            <w:pPr>
              <w:keepNext/>
              <w:spacing w:after="0"/>
              <w:contextualSpacing/>
              <w:jc w:val="right"/>
              <w:rPr>
                <w:rFonts w:ascii="Calibri" w:hAnsi="Calibri" w:cs="Calibri"/>
                <w:sz w:val="20"/>
                <w:szCs w:val="20"/>
              </w:rPr>
            </w:pPr>
            <w:r w:rsidRPr="00FA4E09">
              <w:rPr>
                <w:rFonts w:ascii="Calibri" w:hAnsi="Calibri" w:cs="Calibri"/>
                <w:sz w:val="20"/>
                <w:szCs w:val="20"/>
              </w:rPr>
              <w:t>--</w:t>
            </w:r>
          </w:p>
        </w:tc>
        <w:tc>
          <w:tcPr>
            <w:tcW w:w="869" w:type="pct"/>
            <w:tcBorders>
              <w:top w:val="single" w:sz="4" w:space="0" w:color="auto"/>
              <w:bottom w:val="single" w:sz="4" w:space="0" w:color="auto"/>
            </w:tcBorders>
            <w:vAlign w:val="center"/>
          </w:tcPr>
          <w:p w:rsidR="00B0321C" w:rsidRPr="00FA4E09" w:rsidP="00DD34B4" w14:paraId="2ECEC4C9" w14:textId="77777777">
            <w:pPr>
              <w:keepNext/>
              <w:spacing w:after="0"/>
              <w:contextualSpacing/>
              <w:jc w:val="right"/>
              <w:rPr>
                <w:rFonts w:ascii="Calibri" w:hAnsi="Calibri" w:cs="Calibri"/>
                <w:b/>
                <w:bCs/>
                <w:sz w:val="20"/>
                <w:szCs w:val="20"/>
              </w:rPr>
            </w:pPr>
            <w:r w:rsidRPr="00FA4E09">
              <w:rPr>
                <w:rFonts w:ascii="Calibri" w:hAnsi="Calibri" w:cs="Calibri"/>
                <w:b/>
                <w:bCs/>
                <w:sz w:val="20"/>
                <w:szCs w:val="20"/>
              </w:rPr>
              <w:t>16</w:t>
            </w:r>
          </w:p>
        </w:tc>
      </w:tr>
      <w:tr w14:paraId="318E7C68" w14:textId="77777777" w:rsidTr="00B0321C">
        <w:tblPrEx>
          <w:tblW w:w="5000" w:type="pct"/>
          <w:jc w:val="center"/>
          <w:tblCellMar>
            <w:top w:w="29" w:type="dxa"/>
            <w:left w:w="58" w:type="dxa"/>
            <w:bottom w:w="29" w:type="dxa"/>
            <w:right w:w="58" w:type="dxa"/>
          </w:tblCellMar>
          <w:tblLook w:val="0000"/>
        </w:tblPrEx>
        <w:trPr>
          <w:cantSplit/>
          <w:trHeight w:val="20"/>
          <w:jc w:val="center"/>
        </w:trPr>
        <w:tc>
          <w:tcPr>
            <w:tcW w:w="1354" w:type="pct"/>
            <w:tcBorders>
              <w:top w:val="single" w:sz="4" w:space="0" w:color="auto"/>
              <w:bottom w:val="single" w:sz="4" w:space="0" w:color="auto"/>
            </w:tcBorders>
            <w:shd w:val="clear" w:color="auto" w:fill="auto"/>
            <w:noWrap/>
            <w:vAlign w:val="center"/>
          </w:tcPr>
          <w:p w:rsidR="00B0321C" w:rsidRPr="00FA4E09" w:rsidP="00DD34B4" w14:paraId="7DD3C385" w14:textId="77777777">
            <w:pPr>
              <w:keepNext/>
              <w:spacing w:after="0"/>
              <w:contextualSpacing/>
              <w:rPr>
                <w:rFonts w:ascii="Calibri" w:hAnsi="Calibri" w:cs="Calibri"/>
                <w:sz w:val="20"/>
                <w:szCs w:val="20"/>
              </w:rPr>
            </w:pPr>
            <w:r w:rsidRPr="00FA4E09">
              <w:rPr>
                <w:rFonts w:ascii="Calibri" w:hAnsi="Calibri" w:cs="Calibri"/>
                <w:sz w:val="20"/>
                <w:szCs w:val="20"/>
              </w:rPr>
              <w:t>Review &amp; Submission</w:t>
            </w:r>
          </w:p>
        </w:tc>
        <w:tc>
          <w:tcPr>
            <w:tcW w:w="912" w:type="pct"/>
            <w:tcBorders>
              <w:top w:val="single" w:sz="4" w:space="0" w:color="auto"/>
              <w:bottom w:val="single" w:sz="4" w:space="0" w:color="auto"/>
            </w:tcBorders>
            <w:shd w:val="clear" w:color="auto" w:fill="auto"/>
            <w:vAlign w:val="center"/>
          </w:tcPr>
          <w:p w:rsidR="00B0321C" w:rsidRPr="00FA4E09" w:rsidP="00DD34B4" w14:paraId="4000CFDC" w14:textId="77777777">
            <w:pPr>
              <w:keepNext/>
              <w:spacing w:after="0"/>
              <w:contextualSpacing/>
              <w:jc w:val="right"/>
              <w:rPr>
                <w:rFonts w:ascii="Calibri" w:hAnsi="Calibri" w:cs="Calibri"/>
                <w:sz w:val="20"/>
                <w:szCs w:val="20"/>
              </w:rPr>
            </w:pPr>
            <w:r w:rsidRPr="00FA4E09">
              <w:rPr>
                <w:rFonts w:ascii="Calibri" w:hAnsi="Calibri" w:cs="Calibri"/>
                <w:sz w:val="20"/>
                <w:szCs w:val="20"/>
              </w:rPr>
              <w:t>--</w:t>
            </w:r>
          </w:p>
        </w:tc>
        <w:tc>
          <w:tcPr>
            <w:tcW w:w="912" w:type="pct"/>
            <w:tcBorders>
              <w:top w:val="single" w:sz="4" w:space="0" w:color="auto"/>
              <w:bottom w:val="single" w:sz="4" w:space="0" w:color="auto"/>
            </w:tcBorders>
            <w:shd w:val="clear" w:color="auto" w:fill="auto"/>
            <w:vAlign w:val="center"/>
          </w:tcPr>
          <w:p w:rsidR="00B0321C" w:rsidRPr="00FA4E09" w:rsidP="00DD34B4" w14:paraId="7A32FF37" w14:textId="77777777">
            <w:pPr>
              <w:keepNext/>
              <w:spacing w:after="0"/>
              <w:contextualSpacing/>
              <w:jc w:val="right"/>
              <w:rPr>
                <w:rFonts w:ascii="Calibri" w:hAnsi="Calibri" w:cs="Calibri"/>
                <w:sz w:val="20"/>
                <w:szCs w:val="20"/>
              </w:rPr>
            </w:pPr>
            <w:r w:rsidRPr="00FA4E09">
              <w:rPr>
                <w:rFonts w:ascii="Calibri" w:hAnsi="Calibri" w:cs="Calibri"/>
                <w:sz w:val="20"/>
                <w:szCs w:val="20"/>
              </w:rPr>
              <w:t>--</w:t>
            </w:r>
          </w:p>
        </w:tc>
        <w:tc>
          <w:tcPr>
            <w:tcW w:w="953" w:type="pct"/>
            <w:tcBorders>
              <w:top w:val="single" w:sz="4" w:space="0" w:color="auto"/>
              <w:bottom w:val="single" w:sz="4" w:space="0" w:color="auto"/>
            </w:tcBorders>
            <w:shd w:val="clear" w:color="auto" w:fill="auto"/>
            <w:vAlign w:val="center"/>
          </w:tcPr>
          <w:p w:rsidR="00B0321C" w:rsidRPr="00FA4E09" w:rsidP="00DD34B4" w14:paraId="1175C816" w14:textId="77777777">
            <w:pPr>
              <w:keepNext/>
              <w:spacing w:after="0"/>
              <w:contextualSpacing/>
              <w:jc w:val="right"/>
              <w:rPr>
                <w:rFonts w:ascii="Calibri" w:hAnsi="Calibri" w:cs="Calibri"/>
                <w:sz w:val="20"/>
                <w:szCs w:val="20"/>
              </w:rPr>
            </w:pPr>
            <w:r w:rsidRPr="00FA4E09">
              <w:rPr>
                <w:rFonts w:ascii="Calibri" w:hAnsi="Calibri" w:cs="Calibri"/>
                <w:sz w:val="20"/>
                <w:szCs w:val="20"/>
              </w:rPr>
              <w:t>4</w:t>
            </w:r>
          </w:p>
        </w:tc>
        <w:tc>
          <w:tcPr>
            <w:tcW w:w="869" w:type="pct"/>
            <w:tcBorders>
              <w:top w:val="single" w:sz="4" w:space="0" w:color="auto"/>
              <w:bottom w:val="single" w:sz="4" w:space="0" w:color="auto"/>
            </w:tcBorders>
            <w:vAlign w:val="center"/>
          </w:tcPr>
          <w:p w:rsidR="00B0321C" w:rsidRPr="00FA4E09" w:rsidP="00DD34B4" w14:paraId="6E89A511" w14:textId="77777777">
            <w:pPr>
              <w:keepNext/>
              <w:spacing w:after="0"/>
              <w:contextualSpacing/>
              <w:jc w:val="right"/>
              <w:rPr>
                <w:rFonts w:ascii="Calibri" w:hAnsi="Calibri" w:cs="Calibri"/>
                <w:b/>
                <w:bCs/>
                <w:sz w:val="20"/>
                <w:szCs w:val="20"/>
              </w:rPr>
            </w:pPr>
            <w:r w:rsidRPr="00FA4E09">
              <w:rPr>
                <w:rFonts w:ascii="Calibri" w:hAnsi="Calibri" w:cs="Calibri"/>
                <w:b/>
                <w:bCs/>
                <w:sz w:val="20"/>
                <w:szCs w:val="20"/>
              </w:rPr>
              <w:t>4</w:t>
            </w:r>
          </w:p>
        </w:tc>
      </w:tr>
      <w:tr w14:paraId="08BFDA87" w14:textId="77777777" w:rsidTr="00B0321C">
        <w:tblPrEx>
          <w:tblW w:w="5000" w:type="pct"/>
          <w:jc w:val="center"/>
          <w:tblCellMar>
            <w:top w:w="29" w:type="dxa"/>
            <w:left w:w="58" w:type="dxa"/>
            <w:bottom w:w="29" w:type="dxa"/>
            <w:right w:w="58" w:type="dxa"/>
          </w:tblCellMar>
          <w:tblLook w:val="0000"/>
        </w:tblPrEx>
        <w:trPr>
          <w:cantSplit/>
          <w:trHeight w:val="20"/>
          <w:jc w:val="center"/>
        </w:trPr>
        <w:tc>
          <w:tcPr>
            <w:tcW w:w="1354" w:type="pct"/>
            <w:tcBorders>
              <w:top w:val="single" w:sz="4" w:space="0" w:color="auto"/>
              <w:bottom w:val="double" w:sz="4" w:space="0" w:color="auto"/>
            </w:tcBorders>
            <w:shd w:val="clear" w:color="auto" w:fill="auto"/>
            <w:noWrap/>
          </w:tcPr>
          <w:p w:rsidR="00B0321C" w:rsidRPr="00FA4E09" w:rsidP="00DD34B4" w14:paraId="424765BE" w14:textId="77777777">
            <w:pPr>
              <w:spacing w:after="0"/>
              <w:contextualSpacing/>
              <w:jc w:val="right"/>
              <w:rPr>
                <w:rFonts w:ascii="Calibri" w:hAnsi="Calibri" w:cs="Calibri"/>
                <w:b/>
                <w:bCs/>
                <w:sz w:val="20"/>
                <w:szCs w:val="20"/>
              </w:rPr>
            </w:pPr>
            <w:r w:rsidRPr="00FA4E09">
              <w:rPr>
                <w:rFonts w:ascii="Calibri" w:hAnsi="Calibri" w:cs="Calibri"/>
                <w:b/>
                <w:bCs/>
                <w:sz w:val="20"/>
                <w:szCs w:val="20"/>
              </w:rPr>
              <w:t>Total</w:t>
            </w:r>
          </w:p>
        </w:tc>
        <w:tc>
          <w:tcPr>
            <w:tcW w:w="912" w:type="pct"/>
            <w:tcBorders>
              <w:top w:val="single" w:sz="4" w:space="0" w:color="auto"/>
              <w:bottom w:val="double" w:sz="4" w:space="0" w:color="auto"/>
            </w:tcBorders>
            <w:shd w:val="clear" w:color="auto" w:fill="auto"/>
            <w:vAlign w:val="center"/>
          </w:tcPr>
          <w:p w:rsidR="00B0321C" w:rsidRPr="00FA4E09" w:rsidP="00DD34B4" w14:paraId="4816FA32" w14:textId="77777777">
            <w:pPr>
              <w:keepNext/>
              <w:spacing w:after="0"/>
              <w:contextualSpacing/>
              <w:jc w:val="right"/>
              <w:rPr>
                <w:rFonts w:ascii="Calibri" w:hAnsi="Calibri" w:cs="Calibri"/>
                <w:b/>
                <w:bCs/>
                <w:sz w:val="20"/>
                <w:szCs w:val="20"/>
              </w:rPr>
            </w:pPr>
            <w:r w:rsidRPr="00FA4E09">
              <w:rPr>
                <w:rFonts w:ascii="Calibri" w:hAnsi="Calibri" w:cs="Calibri"/>
                <w:b/>
                <w:bCs/>
                <w:sz w:val="20"/>
                <w:szCs w:val="20"/>
              </w:rPr>
              <w:t>13</w:t>
            </w:r>
          </w:p>
        </w:tc>
        <w:tc>
          <w:tcPr>
            <w:tcW w:w="912" w:type="pct"/>
            <w:tcBorders>
              <w:top w:val="single" w:sz="4" w:space="0" w:color="auto"/>
              <w:bottom w:val="double" w:sz="4" w:space="0" w:color="auto"/>
            </w:tcBorders>
            <w:shd w:val="clear" w:color="auto" w:fill="auto"/>
            <w:vAlign w:val="center"/>
          </w:tcPr>
          <w:p w:rsidR="00B0321C" w:rsidRPr="00FA4E09" w:rsidP="00DD34B4" w14:paraId="348937A4" w14:textId="77777777">
            <w:pPr>
              <w:keepNext/>
              <w:spacing w:after="0"/>
              <w:contextualSpacing/>
              <w:jc w:val="right"/>
              <w:rPr>
                <w:rFonts w:ascii="Calibri" w:hAnsi="Calibri" w:cs="Calibri"/>
                <w:b/>
                <w:bCs/>
                <w:sz w:val="20"/>
                <w:szCs w:val="20"/>
              </w:rPr>
            </w:pPr>
            <w:r w:rsidRPr="00FA4E09">
              <w:rPr>
                <w:rFonts w:ascii="Calibri" w:hAnsi="Calibri" w:cs="Calibri"/>
                <w:b/>
                <w:bCs/>
                <w:sz w:val="20"/>
                <w:szCs w:val="20"/>
              </w:rPr>
              <w:t>5</w:t>
            </w:r>
          </w:p>
        </w:tc>
        <w:tc>
          <w:tcPr>
            <w:tcW w:w="953" w:type="pct"/>
            <w:tcBorders>
              <w:top w:val="single" w:sz="4" w:space="0" w:color="auto"/>
              <w:bottom w:val="double" w:sz="4" w:space="0" w:color="auto"/>
            </w:tcBorders>
            <w:shd w:val="clear" w:color="auto" w:fill="auto"/>
            <w:vAlign w:val="center"/>
          </w:tcPr>
          <w:p w:rsidR="00B0321C" w:rsidRPr="00FA4E09" w:rsidP="00DD34B4" w14:paraId="0F286280" w14:textId="77777777">
            <w:pPr>
              <w:keepNext/>
              <w:spacing w:after="0"/>
              <w:contextualSpacing/>
              <w:jc w:val="right"/>
              <w:rPr>
                <w:rFonts w:ascii="Calibri" w:hAnsi="Calibri" w:cs="Calibri"/>
                <w:b/>
                <w:bCs/>
                <w:sz w:val="20"/>
                <w:szCs w:val="20"/>
              </w:rPr>
            </w:pPr>
            <w:r w:rsidRPr="00FA4E09">
              <w:rPr>
                <w:rFonts w:ascii="Calibri" w:hAnsi="Calibri" w:cs="Calibri"/>
                <w:b/>
                <w:bCs/>
                <w:sz w:val="20"/>
                <w:szCs w:val="20"/>
              </w:rPr>
              <w:t>5</w:t>
            </w:r>
          </w:p>
        </w:tc>
        <w:tc>
          <w:tcPr>
            <w:tcW w:w="869" w:type="pct"/>
            <w:tcBorders>
              <w:top w:val="single" w:sz="4" w:space="0" w:color="auto"/>
              <w:bottom w:val="double" w:sz="4" w:space="0" w:color="auto"/>
            </w:tcBorders>
            <w:shd w:val="clear" w:color="auto" w:fill="auto"/>
            <w:vAlign w:val="center"/>
          </w:tcPr>
          <w:p w:rsidR="00B0321C" w:rsidRPr="00FA4E09" w:rsidP="00DD34B4" w14:paraId="1B578CC3" w14:textId="77777777">
            <w:pPr>
              <w:keepNext/>
              <w:spacing w:after="0"/>
              <w:contextualSpacing/>
              <w:jc w:val="right"/>
              <w:rPr>
                <w:rFonts w:ascii="Calibri" w:hAnsi="Calibri" w:cs="Calibri"/>
                <w:b/>
                <w:bCs/>
                <w:sz w:val="20"/>
                <w:szCs w:val="20"/>
              </w:rPr>
            </w:pPr>
            <w:r w:rsidRPr="00FA4E09">
              <w:rPr>
                <w:rFonts w:ascii="Calibri" w:hAnsi="Calibri" w:cs="Calibri"/>
                <w:b/>
                <w:bCs/>
                <w:sz w:val="20"/>
                <w:szCs w:val="20"/>
              </w:rPr>
              <w:t>23</w:t>
            </w:r>
          </w:p>
        </w:tc>
      </w:tr>
      <w:tr w14:paraId="019224E8" w14:textId="77777777" w:rsidTr="00BC5042">
        <w:tblPrEx>
          <w:tblW w:w="5000" w:type="pct"/>
          <w:jc w:val="center"/>
          <w:tblCellMar>
            <w:top w:w="29" w:type="dxa"/>
            <w:left w:w="58" w:type="dxa"/>
            <w:bottom w:w="29" w:type="dxa"/>
            <w:right w:w="58" w:type="dxa"/>
          </w:tblCellMar>
          <w:tblLook w:val="0000"/>
        </w:tblPrEx>
        <w:trPr>
          <w:cantSplit/>
          <w:trHeight w:val="688"/>
          <w:jc w:val="center"/>
        </w:trPr>
        <w:tc>
          <w:tcPr>
            <w:tcW w:w="5000" w:type="pct"/>
            <w:gridSpan w:val="5"/>
            <w:tcBorders>
              <w:top w:val="double" w:sz="4" w:space="0" w:color="auto"/>
              <w:left w:val="nil"/>
              <w:bottom w:val="nil"/>
              <w:right w:val="nil"/>
            </w:tcBorders>
            <w:shd w:val="clear" w:color="auto" w:fill="auto"/>
            <w:noWrap/>
          </w:tcPr>
          <w:p w:rsidR="00B0321C" w:rsidRPr="00FA4E09" w14:paraId="432F1DAC" w14:textId="650EA499">
            <w:pPr>
              <w:rPr>
                <w:rFonts w:ascii="Calibri" w:hAnsi="Calibri" w:cs="Calibri"/>
                <w:sz w:val="20"/>
                <w:szCs w:val="20"/>
              </w:rPr>
            </w:pPr>
            <w:bookmarkStart w:id="23" w:name="_Hlk111644932"/>
            <w:r w:rsidRPr="00FA4E09">
              <w:rPr>
                <w:rFonts w:ascii="Calibri" w:hAnsi="Calibri" w:cs="Calibri"/>
                <w:sz w:val="20"/>
                <w:szCs w:val="20"/>
              </w:rPr>
              <w:t>a – Total burden presented in this table does not account for coordination with the helpline. The EPA estimates that 10 percent of the questionnaire respondents will have an operator spend 1 hour coordinating with the helpline.</w:t>
            </w:r>
          </w:p>
        </w:tc>
      </w:tr>
    </w:tbl>
    <w:bookmarkEnd w:id="23"/>
    <w:p w:rsidR="00B0321C" w:rsidRPr="00FA4E09" w:rsidP="00B0321C" w14:paraId="0C3857CC" w14:textId="125C01A9">
      <w:pPr>
        <w:spacing w:before="60"/>
        <w:rPr>
          <w:rFonts w:ascii="Calibri" w:hAnsi="Calibri" w:cs="Calibri"/>
        </w:rPr>
      </w:pPr>
      <w:r w:rsidRPr="00FA4E09">
        <w:rPr>
          <w:rFonts w:ascii="Calibri" w:hAnsi="Calibri" w:cs="Calibri"/>
        </w:rPr>
        <w:t xml:space="preserve">In addition to completing the questionnaire, the EPA will require a subset of 200 to 300 POTWs to collect wastewater and sewage </w:t>
      </w:r>
      <w:r w:rsidRPr="00FA4E09" w:rsidR="000077A0">
        <w:rPr>
          <w:rFonts w:ascii="Calibri" w:hAnsi="Calibri" w:cs="Calibri"/>
        </w:rPr>
        <w:t>sludge</w:t>
      </w:r>
      <w:r w:rsidRPr="00FA4E09">
        <w:rPr>
          <w:rFonts w:ascii="Calibri" w:hAnsi="Calibri" w:cs="Calibri"/>
        </w:rPr>
        <w:t xml:space="preserve"> samples and contract laboratories to analyze the samples using the specified analytical methods. </w:t>
      </w:r>
      <w:r w:rsidRPr="00FA4E09" w:rsidR="006214F4">
        <w:rPr>
          <w:rFonts w:ascii="Calibri" w:hAnsi="Calibri" w:cs="Calibri"/>
        </w:rPr>
        <w:t xml:space="preserve">Prior to conducting the sampling program, the EPA will provide POTWs with a generic sampling and analysis plan including specific requirements and procedures for sample collection, shipping, analysis, and submittal. </w:t>
      </w:r>
      <w:r w:rsidRPr="00FA4E09">
        <w:rPr>
          <w:rFonts w:ascii="Calibri" w:hAnsi="Calibri" w:cs="Calibri"/>
        </w:rPr>
        <w:t xml:space="preserve">POTWs will spend time and resources to review the generic sampling and analysis plan and engage with the EPA on specific sampling points required for the facility. Facilities will be responsible for acquiring sampling bottles and supplies, coordinating and contracting with accredited analytical laboratories, collecting samples, preserving/cooling samples, shipping samples </w:t>
      </w:r>
      <w:r w:rsidRPr="00FA4E09">
        <w:rPr>
          <w:rFonts w:ascii="Calibri" w:hAnsi="Calibri" w:cs="Calibri"/>
        </w:rPr>
        <w:t xml:space="preserve">to laboratories, </w:t>
      </w:r>
      <w:r w:rsidRPr="00FA4E09" w:rsidR="00692DB7">
        <w:rPr>
          <w:rFonts w:ascii="Calibri" w:hAnsi="Calibri" w:cs="Calibri"/>
        </w:rPr>
        <w:t xml:space="preserve">notifying </w:t>
      </w:r>
      <w:r w:rsidRPr="00FA4E09" w:rsidR="00511F2F">
        <w:rPr>
          <w:rFonts w:ascii="Calibri" w:hAnsi="Calibri" w:cs="Calibri"/>
        </w:rPr>
        <w:t xml:space="preserve">the </w:t>
      </w:r>
      <w:r w:rsidRPr="00FA4E09" w:rsidR="00692DB7">
        <w:rPr>
          <w:rFonts w:ascii="Calibri" w:hAnsi="Calibri" w:cs="Calibri"/>
        </w:rPr>
        <w:t xml:space="preserve">EPA that samples have been received by the laboratories, </w:t>
      </w:r>
      <w:r w:rsidRPr="00FA4E09">
        <w:rPr>
          <w:rFonts w:ascii="Calibri" w:hAnsi="Calibri" w:cs="Calibri"/>
        </w:rPr>
        <w:t>reviewing sample results, and providing sample data to the EPA</w:t>
      </w:r>
      <w:r w:rsidRPr="00FA4E09" w:rsidR="004A2386">
        <w:rPr>
          <w:rFonts w:ascii="Calibri" w:hAnsi="Calibri" w:cs="Calibri"/>
        </w:rPr>
        <w:t>. POTWs will be required to complete all sampling program requirements in accordance with the generic sampling and analysis plan. The EPA will also provide assistance to the POTWs selected for sampling prior to sample collection through virtual meetings and outreach, and during sample collection via a helpline.</w:t>
      </w:r>
    </w:p>
    <w:p w:rsidR="00872668" w:rsidRPr="00FA4E09" w:rsidP="00A97401" w14:paraId="3F6FB0D6" w14:textId="2468F44D">
      <w:pPr>
        <w:rPr>
          <w:rFonts w:ascii="Calibri" w:hAnsi="Calibri" w:cs="Calibri"/>
        </w:rPr>
      </w:pPr>
      <w:r w:rsidRPr="00FA4E09">
        <w:rPr>
          <w:rFonts w:ascii="Calibri" w:hAnsi="Calibri" w:cs="Calibri"/>
        </w:rPr>
        <w:t>The sampling program will be conducted in two phases</w:t>
      </w:r>
      <w:r w:rsidR="006C2C4E">
        <w:rPr>
          <w:rFonts w:ascii="Calibri" w:hAnsi="Calibri" w:cs="Calibri"/>
        </w:rPr>
        <w:t>, as described below</w:t>
      </w:r>
      <w:r w:rsidRPr="00FA4E09">
        <w:rPr>
          <w:rFonts w:ascii="Calibri" w:hAnsi="Calibri" w:cs="Calibri"/>
        </w:rPr>
        <w:t xml:space="preserve">. </w:t>
      </w:r>
    </w:p>
    <w:p w:rsidR="0055337A" w:rsidRPr="009D22B6" w:rsidP="0055337A" w14:paraId="4FE283C3" w14:textId="3E9878CD">
      <w:pPr>
        <w:rPr>
          <w:rFonts w:ascii="Calibri" w:hAnsi="Calibri" w:cs="Calibri"/>
          <w:b/>
          <w:bCs/>
          <w:u w:val="single"/>
        </w:rPr>
      </w:pPr>
      <w:r w:rsidRPr="009D22B6">
        <w:rPr>
          <w:rFonts w:ascii="Calibri" w:hAnsi="Calibri" w:cs="Calibri"/>
          <w:b/>
          <w:bCs/>
          <w:u w:val="single"/>
        </w:rPr>
        <w:t xml:space="preserve">Phase </w:t>
      </w:r>
      <w:r w:rsidRPr="009D22B6" w:rsidR="00A720A9">
        <w:rPr>
          <w:rFonts w:ascii="Calibri" w:hAnsi="Calibri" w:cs="Calibri"/>
          <w:b/>
          <w:bCs/>
          <w:u w:val="single"/>
        </w:rPr>
        <w:t>I</w:t>
      </w:r>
      <w:r w:rsidRPr="009D22B6" w:rsidR="009D22B6">
        <w:rPr>
          <w:rFonts w:ascii="Calibri" w:hAnsi="Calibri" w:cs="Calibri"/>
          <w:b/>
          <w:bCs/>
          <w:u w:val="single"/>
        </w:rPr>
        <w:t xml:space="preserve"> Wastewater Sampling</w:t>
      </w:r>
      <w:r w:rsidRPr="009D22B6" w:rsidR="001C4B17">
        <w:rPr>
          <w:rFonts w:ascii="Calibri" w:hAnsi="Calibri" w:cs="Calibri"/>
          <w:b/>
          <w:bCs/>
          <w:u w:val="single"/>
        </w:rPr>
        <w:t xml:space="preserve"> – P</w:t>
      </w:r>
      <w:r w:rsidRPr="009D22B6" w:rsidR="00E7321B">
        <w:rPr>
          <w:rFonts w:ascii="Calibri" w:hAnsi="Calibri" w:cs="Calibri"/>
          <w:b/>
          <w:bCs/>
          <w:u w:val="single"/>
        </w:rPr>
        <w:t>OTW Influent PFAS Study</w:t>
      </w:r>
      <w:r w:rsidRPr="009D22B6">
        <w:rPr>
          <w:rFonts w:ascii="Calibri" w:hAnsi="Calibri" w:cs="Calibri"/>
          <w:b/>
          <w:bCs/>
          <w:u w:val="single"/>
        </w:rPr>
        <w:t xml:space="preserve"> </w:t>
      </w:r>
    </w:p>
    <w:p w:rsidR="0055337A" w:rsidRPr="00FA4E09" w:rsidP="004E2DBB" w14:paraId="3FE5AF86" w14:textId="73011F66">
      <w:pPr>
        <w:rPr>
          <w:rFonts w:ascii="Calibri" w:hAnsi="Calibri" w:cs="Calibri"/>
        </w:rPr>
      </w:pPr>
      <w:r w:rsidRPr="005F3975">
        <w:rPr>
          <w:rFonts w:ascii="Calibri" w:hAnsi="Calibri" w:cs="Calibri"/>
        </w:rPr>
        <w:t xml:space="preserve">Phase I sampling will support the POTW Influent PFAS Study and will require each selected POTW to collect and analyze one-time grab samples of industrial user effluent, domestic </w:t>
      </w:r>
      <w:r w:rsidR="001D542C">
        <w:rPr>
          <w:rFonts w:ascii="Calibri" w:hAnsi="Calibri" w:cs="Calibri"/>
        </w:rPr>
        <w:t>wastewater or sewage</w:t>
      </w:r>
      <w:r w:rsidRPr="005F3975">
        <w:rPr>
          <w:rFonts w:ascii="Calibri" w:hAnsi="Calibri" w:cs="Calibri"/>
        </w:rPr>
        <w:t>, POTW influent, and POTW effluent</w:t>
      </w:r>
      <w:r w:rsidR="004E2DBB">
        <w:rPr>
          <w:rFonts w:ascii="Calibri" w:hAnsi="Calibri" w:cs="Calibri"/>
        </w:rPr>
        <w:t>.</w:t>
      </w:r>
      <w:r w:rsidRPr="00FA4E09">
        <w:rPr>
          <w:rFonts w:ascii="Calibri" w:hAnsi="Calibri" w:cs="Calibri"/>
        </w:rPr>
        <w:t xml:space="preserve"> </w:t>
      </w:r>
      <w:r w:rsidRPr="000F10EB" w:rsidR="000F10EB">
        <w:rPr>
          <w:rFonts w:ascii="Calibri" w:hAnsi="Calibri" w:cs="Calibri"/>
        </w:rPr>
        <w:t xml:space="preserve">For each POTW selected, the EPA will specify </w:t>
      </w:r>
      <w:r w:rsidR="00B06387">
        <w:rPr>
          <w:rFonts w:ascii="Calibri" w:hAnsi="Calibri" w:cs="Calibri"/>
        </w:rPr>
        <w:t>on average</w:t>
      </w:r>
      <w:r w:rsidRPr="000F10EB" w:rsidR="00B06387">
        <w:rPr>
          <w:rFonts w:ascii="Calibri" w:hAnsi="Calibri" w:cs="Calibri"/>
        </w:rPr>
        <w:t xml:space="preserve"> </w:t>
      </w:r>
      <w:r w:rsidRPr="000F10EB" w:rsidR="000F10EB">
        <w:rPr>
          <w:rFonts w:ascii="Calibri" w:hAnsi="Calibri" w:cs="Calibri"/>
        </w:rPr>
        <w:t>10 industrial users for which the POTW must collect and analyze effluent samples. The total number of industrial users sampled as part of the sampling program will be approximately 2,000 facilities</w:t>
      </w:r>
      <w:r w:rsidR="000F10EB">
        <w:rPr>
          <w:rFonts w:ascii="Calibri" w:hAnsi="Calibri" w:cs="Calibri"/>
        </w:rPr>
        <w:t xml:space="preserve">. </w:t>
      </w:r>
      <w:r w:rsidRPr="00FA4E09">
        <w:rPr>
          <w:rFonts w:ascii="Calibri" w:hAnsi="Calibri" w:cs="Calibri"/>
        </w:rPr>
        <w:t>All aqueous samples collected from the POTWs and industrial users will be analyzed for the following:</w:t>
      </w:r>
    </w:p>
    <w:p w:rsidR="0055337A" w:rsidRPr="00FA4E09" w:rsidP="0055337A" w14:paraId="698B7FCB" w14:textId="77777777">
      <w:pPr>
        <w:pStyle w:val="ListBulletSingle"/>
        <w:spacing w:after="80"/>
        <w:ind w:left="720" w:hanging="360"/>
        <w:rPr>
          <w:rFonts w:ascii="Calibri" w:hAnsi="Calibri" w:cs="Calibri"/>
        </w:rPr>
      </w:pPr>
      <w:r w:rsidRPr="00FA4E09">
        <w:rPr>
          <w:rFonts w:ascii="Calibri" w:hAnsi="Calibri" w:cs="Calibri"/>
        </w:rPr>
        <w:t xml:space="preserve">PFAS using EPA Method 1633, and </w:t>
      </w:r>
    </w:p>
    <w:p w:rsidR="0055337A" w:rsidRPr="00375C91" w:rsidP="00DF0A09" w14:paraId="27B27FF7" w14:textId="77777777">
      <w:pPr>
        <w:pStyle w:val="ListBulletSingle"/>
        <w:spacing w:after="240"/>
        <w:ind w:left="720" w:hanging="360"/>
        <w:rPr>
          <w:rFonts w:ascii="Calibri" w:hAnsi="Calibri" w:cs="Calibri"/>
        </w:rPr>
      </w:pPr>
      <w:r w:rsidRPr="00FA4E09">
        <w:rPr>
          <w:rFonts w:ascii="Calibri" w:hAnsi="Calibri" w:cs="Calibri"/>
        </w:rPr>
        <w:t xml:space="preserve">adsorbable organic fluorine (AOF) using EPA Method 1621. </w:t>
      </w:r>
    </w:p>
    <w:p w:rsidR="000945D7" w:rsidRPr="006263EB" w:rsidP="00893CB1" w14:paraId="029A3836" w14:textId="5F8DBC13">
      <w:pPr>
        <w:pStyle w:val="ListBulletLast"/>
        <w:numPr>
          <w:ilvl w:val="0"/>
          <w:numId w:val="0"/>
        </w:numPr>
        <w:spacing w:after="80"/>
        <w:rPr>
          <w:rFonts w:ascii="Calibri" w:hAnsi="Calibri" w:cs="Calibri"/>
        </w:rPr>
      </w:pPr>
      <w:r w:rsidRPr="00375C91">
        <w:rPr>
          <w:rFonts w:ascii="Calibri" w:hAnsi="Calibri" w:cs="Calibri"/>
        </w:rPr>
        <w:t>Phase I sampling will be staggered</w:t>
      </w:r>
      <w:r w:rsidRPr="00375C91" w:rsidR="00700DE5">
        <w:rPr>
          <w:rFonts w:ascii="Calibri" w:hAnsi="Calibri" w:cs="Calibri"/>
        </w:rPr>
        <w:t xml:space="preserve"> in order to </w:t>
      </w:r>
      <w:r w:rsidRPr="00FA4E09" w:rsidR="00375C91">
        <w:rPr>
          <w:rFonts w:ascii="Calibri" w:hAnsi="Calibri" w:cs="Calibri"/>
        </w:rPr>
        <w:t>distribute demand for environmental laboratories completing sample analysis</w:t>
      </w:r>
      <w:r w:rsidR="00375C91">
        <w:rPr>
          <w:rFonts w:ascii="Calibri" w:hAnsi="Calibri" w:cs="Calibri"/>
        </w:rPr>
        <w:t>. T</w:t>
      </w:r>
      <w:r w:rsidRPr="00FA4E09" w:rsidR="00375C91">
        <w:rPr>
          <w:rFonts w:ascii="Calibri" w:hAnsi="Calibri" w:cs="Calibri"/>
        </w:rPr>
        <w:t xml:space="preserve">he EPA will divide the POTWs selected for wastewater sampling into four groups </w:t>
      </w:r>
      <w:r w:rsidR="00375C91">
        <w:rPr>
          <w:rFonts w:ascii="Calibri" w:hAnsi="Calibri" w:cs="Calibri"/>
        </w:rPr>
        <w:t xml:space="preserve">that contain 50-75 POTWs located across the nation. </w:t>
      </w:r>
      <w:r w:rsidRPr="006263EB" w:rsidR="0073764A">
        <w:rPr>
          <w:rFonts w:ascii="Calibri" w:hAnsi="Calibri" w:cs="Calibri"/>
        </w:rPr>
        <w:t>Groups will sample sequentially (i.e.</w:t>
      </w:r>
      <w:r w:rsidRPr="006263EB" w:rsidR="00286DA7">
        <w:rPr>
          <w:rFonts w:ascii="Calibri" w:hAnsi="Calibri" w:cs="Calibri"/>
        </w:rPr>
        <w:t>,</w:t>
      </w:r>
      <w:r w:rsidRPr="006263EB" w:rsidR="0073764A">
        <w:rPr>
          <w:rFonts w:ascii="Calibri" w:hAnsi="Calibri" w:cs="Calibri"/>
        </w:rPr>
        <w:t xml:space="preserve"> Group 1 will sampl</w:t>
      </w:r>
      <w:r w:rsidRPr="006263EB" w:rsidR="009427BF">
        <w:rPr>
          <w:rFonts w:ascii="Calibri" w:hAnsi="Calibri" w:cs="Calibri"/>
        </w:rPr>
        <w:t>e</w:t>
      </w:r>
      <w:r w:rsidRPr="006263EB" w:rsidR="0073764A">
        <w:rPr>
          <w:rFonts w:ascii="Calibri" w:hAnsi="Calibri" w:cs="Calibri"/>
        </w:rPr>
        <w:t xml:space="preserve"> </w:t>
      </w:r>
      <w:r w:rsidRPr="006263EB" w:rsidR="005807E3">
        <w:rPr>
          <w:rFonts w:ascii="Calibri" w:hAnsi="Calibri" w:cs="Calibri"/>
        </w:rPr>
        <w:t>and submit results to the EPA, then Group 2 w</w:t>
      </w:r>
      <w:r w:rsidRPr="006263EB">
        <w:rPr>
          <w:rFonts w:ascii="Calibri" w:hAnsi="Calibri" w:cs="Calibri"/>
        </w:rPr>
        <w:t>ill sample and submit results to the EPA, etc.)</w:t>
      </w:r>
      <w:r w:rsidRPr="00375C91" w:rsidR="00375C91">
        <w:t xml:space="preserve"> </w:t>
      </w:r>
      <w:r w:rsidRPr="00375C91" w:rsidR="00375C91">
        <w:rPr>
          <w:rFonts w:ascii="Calibri" w:hAnsi="Calibri" w:cs="Calibri"/>
        </w:rPr>
        <w:t>over a 16-month period</w:t>
      </w:r>
      <w:r w:rsidR="00375C91">
        <w:rPr>
          <w:rFonts w:ascii="Calibri" w:hAnsi="Calibri" w:cs="Calibri"/>
        </w:rPr>
        <w:t>.</w:t>
      </w:r>
    </w:p>
    <w:p w:rsidR="006F5617" w:rsidRPr="00DF0A09" w:rsidP="00DF0A09" w14:paraId="392F1B0F" w14:textId="0CDEC9BB">
      <w:pPr>
        <w:pStyle w:val="BodyText"/>
        <w:ind w:firstLine="0"/>
        <w:rPr>
          <w:rFonts w:ascii="Calibri" w:hAnsi="Calibri" w:cs="Calibri"/>
        </w:rPr>
      </w:pPr>
      <w:r w:rsidRPr="00DF0A09">
        <w:rPr>
          <w:rFonts w:ascii="Calibri" w:hAnsi="Calibri" w:cs="Calibri"/>
        </w:rPr>
        <w:t xml:space="preserve">Each group of POTWs will be given 120 calendar days (approximately 4 months) to collect, analyze, review, compile, and submit the required wastewater sampling results to the EPA. </w:t>
      </w:r>
      <w:r w:rsidR="009F24B6">
        <w:rPr>
          <w:rFonts w:ascii="Calibri" w:hAnsi="Calibri" w:cs="Calibri"/>
        </w:rPr>
        <w:t xml:space="preserve">As shown in </w:t>
      </w:r>
      <w:r w:rsidR="009F24B6">
        <w:rPr>
          <w:rFonts w:ascii="Calibri" w:hAnsi="Calibri" w:cs="Calibri"/>
        </w:rPr>
        <w:fldChar w:fldCharType="begin"/>
      </w:r>
      <w:r w:rsidR="009F24B6">
        <w:rPr>
          <w:rFonts w:ascii="Calibri" w:hAnsi="Calibri" w:cs="Calibri"/>
        </w:rPr>
        <w:instrText xml:space="preserve"> REF _Ref172822737 \h </w:instrText>
      </w:r>
      <w:r w:rsidR="009F24B6">
        <w:rPr>
          <w:rFonts w:ascii="Calibri" w:hAnsi="Calibri" w:cs="Calibri"/>
        </w:rPr>
        <w:fldChar w:fldCharType="separate"/>
      </w:r>
      <w:r w:rsidRPr="00840F15" w:rsidR="009F24B6">
        <w:rPr>
          <w:rFonts w:ascii="Calibri" w:hAnsi="Calibri" w:cs="Calibri"/>
        </w:rPr>
        <w:t xml:space="preserve">Figure </w:t>
      </w:r>
      <w:r w:rsidRPr="00840F15" w:rsidR="009F24B6">
        <w:rPr>
          <w:rFonts w:ascii="Calibri" w:hAnsi="Calibri" w:cs="Calibri"/>
          <w:noProof/>
        </w:rPr>
        <w:t>1</w:t>
      </w:r>
      <w:r w:rsidR="009F24B6">
        <w:rPr>
          <w:rFonts w:ascii="Calibri" w:hAnsi="Calibri" w:cs="Calibri"/>
        </w:rPr>
        <w:fldChar w:fldCharType="end"/>
      </w:r>
      <w:r w:rsidR="009F24B6">
        <w:rPr>
          <w:rFonts w:ascii="Calibri" w:hAnsi="Calibri" w:cs="Calibri"/>
        </w:rPr>
        <w:t>, t</w:t>
      </w:r>
      <w:r w:rsidRPr="00DF0A09">
        <w:rPr>
          <w:rFonts w:ascii="Calibri" w:hAnsi="Calibri" w:cs="Calibri"/>
        </w:rPr>
        <w:t>he EPA will require POTWs in each group to meet the following deadlines:</w:t>
      </w:r>
    </w:p>
    <w:p w:rsidR="006F5617" w:rsidRPr="00DF0A09" w:rsidP="00DF0A09" w14:paraId="5F2DE0CB" w14:textId="77777777">
      <w:pPr>
        <w:pStyle w:val="ListBulletSingle"/>
        <w:spacing w:after="80"/>
        <w:ind w:left="720" w:hanging="360"/>
        <w:rPr>
          <w:rFonts w:ascii="Calibri" w:hAnsi="Calibri" w:cs="Calibri"/>
        </w:rPr>
      </w:pPr>
      <w:r w:rsidRPr="00DF0A09">
        <w:rPr>
          <w:rFonts w:ascii="Calibri" w:hAnsi="Calibri" w:cs="Calibri"/>
        </w:rPr>
        <w:t>Collect and send the required wastewater samples to the contracted laboratory for analysis within 30 calendar days following notification.</w:t>
      </w:r>
    </w:p>
    <w:p w:rsidR="006F5617" w:rsidRPr="00DF0A09" w:rsidP="00DF0A09" w14:paraId="7E15BD7C" w14:textId="77777777">
      <w:pPr>
        <w:pStyle w:val="ListBulletSingle"/>
        <w:spacing w:after="80"/>
        <w:ind w:left="720" w:hanging="360"/>
        <w:rPr>
          <w:rFonts w:ascii="Calibri" w:hAnsi="Calibri" w:cs="Calibri"/>
        </w:rPr>
      </w:pPr>
      <w:r w:rsidRPr="00DF0A09">
        <w:rPr>
          <w:rFonts w:ascii="Calibri" w:hAnsi="Calibri" w:cs="Calibri"/>
        </w:rPr>
        <w:t>Notify the EPA of the date(s) of sample collection, date(s) samples are received by the analytical laboratory, and the analytical laboratory(ies) conducting PFAS and AOF analysis within 30 calendar days following notification.</w:t>
      </w:r>
    </w:p>
    <w:p w:rsidR="006F5617" w:rsidRPr="00DF0A09" w:rsidP="00DF0A09" w14:paraId="231333E9" w14:textId="77777777">
      <w:pPr>
        <w:pStyle w:val="ListBulletSingle"/>
        <w:spacing w:after="240"/>
        <w:ind w:left="720" w:hanging="360"/>
        <w:rPr>
          <w:rFonts w:ascii="Calibri" w:hAnsi="Calibri" w:cs="Calibri"/>
        </w:rPr>
      </w:pPr>
      <w:r w:rsidRPr="00DF0A09">
        <w:rPr>
          <w:rFonts w:ascii="Calibri" w:hAnsi="Calibri" w:cs="Calibri"/>
        </w:rPr>
        <w:t>Review, compile, and submit wastewater sampling results to EPA in the specified format within 120 calendar days following notification.</w:t>
      </w:r>
    </w:p>
    <w:p w:rsidR="00CE293F" w:rsidP="00893CB1" w14:paraId="51D71F9A" w14:textId="5A601492">
      <w:pPr>
        <w:pStyle w:val="ListBulletLast"/>
        <w:numPr>
          <w:ilvl w:val="0"/>
          <w:numId w:val="0"/>
        </w:numPr>
        <w:spacing w:after="80"/>
        <w:rPr>
          <w:rFonts w:ascii="Calibri" w:hAnsi="Calibri" w:cs="Calibri"/>
        </w:rPr>
      </w:pPr>
      <w:r w:rsidRPr="00DF0A09">
        <w:rPr>
          <w:rFonts w:ascii="Calibri" w:hAnsi="Calibri" w:cs="Calibri"/>
        </w:rPr>
        <w:t>POTWs are required to immediately notify the EPA in writing if there are any delays in sample collection or analysis (e.g., laboratory analysis wait times exceed 90 days). The EPA understands that these types of delays may occur and will work with individual POTWs on a case-by-case basis.</w:t>
      </w:r>
    </w:p>
    <w:p w:rsidR="009F24B6" w:rsidRPr="00FA4E09" w:rsidP="00893CB1" w14:paraId="7B74649E" w14:textId="77777777">
      <w:pPr>
        <w:pStyle w:val="ListBulletLast"/>
        <w:numPr>
          <w:ilvl w:val="0"/>
          <w:numId w:val="0"/>
        </w:numPr>
        <w:spacing w:after="80"/>
        <w:rPr>
          <w:rFonts w:ascii="Calibri" w:hAnsi="Calibri" w:cs="Calibri"/>
          <w:i/>
          <w:iCs/>
        </w:rPr>
      </w:pPr>
    </w:p>
    <w:p w:rsidR="00CE293F" w:rsidRPr="00840F15" w:rsidP="00840F15" w14:paraId="363CEC28" w14:textId="497090C7">
      <w:pPr>
        <w:pStyle w:val="Caption"/>
        <w:keepNext/>
        <w:jc w:val="center"/>
        <w:rPr>
          <w:rFonts w:ascii="Calibri" w:hAnsi="Calibri" w:cs="Calibri"/>
          <w:color w:val="auto"/>
        </w:rPr>
      </w:pPr>
      <w:bookmarkStart w:id="24" w:name="_Ref172822737"/>
      <w:r w:rsidRPr="00840F15">
        <w:rPr>
          <w:rFonts w:ascii="Calibri" w:hAnsi="Calibri" w:cs="Calibri"/>
          <w:color w:val="auto"/>
        </w:rPr>
        <w:t xml:space="preserve">Figure </w:t>
      </w:r>
      <w:r w:rsidRPr="00840F15">
        <w:rPr>
          <w:rFonts w:ascii="Calibri" w:hAnsi="Calibri" w:cs="Calibri"/>
          <w:color w:val="auto"/>
        </w:rPr>
        <w:fldChar w:fldCharType="begin"/>
      </w:r>
      <w:r w:rsidRPr="00840F15">
        <w:rPr>
          <w:rFonts w:ascii="Calibri" w:hAnsi="Calibri" w:cs="Calibri"/>
          <w:color w:val="auto"/>
        </w:rPr>
        <w:instrText xml:space="preserve"> SEQ Figure \* ARABIC </w:instrText>
      </w:r>
      <w:r w:rsidRPr="00840F15">
        <w:rPr>
          <w:rFonts w:ascii="Calibri" w:hAnsi="Calibri" w:cs="Calibri"/>
          <w:color w:val="auto"/>
        </w:rPr>
        <w:fldChar w:fldCharType="separate"/>
      </w:r>
      <w:r w:rsidRPr="00840F15" w:rsidR="00A41D1F">
        <w:rPr>
          <w:rFonts w:ascii="Calibri" w:hAnsi="Calibri" w:cs="Calibri"/>
          <w:noProof/>
          <w:color w:val="auto"/>
        </w:rPr>
        <w:t>1</w:t>
      </w:r>
      <w:r w:rsidRPr="00840F15">
        <w:rPr>
          <w:rFonts w:ascii="Calibri" w:hAnsi="Calibri" w:cs="Calibri"/>
          <w:color w:val="auto"/>
        </w:rPr>
        <w:fldChar w:fldCharType="end"/>
      </w:r>
      <w:bookmarkEnd w:id="24"/>
      <w:r w:rsidRPr="00840F15">
        <w:rPr>
          <w:rFonts w:ascii="Calibri" w:hAnsi="Calibri" w:cs="Calibri"/>
          <w:color w:val="auto"/>
        </w:rPr>
        <w:t xml:space="preserve">: Visualization of </w:t>
      </w:r>
      <w:r w:rsidRPr="00840F15" w:rsidR="002D52D7">
        <w:rPr>
          <w:rFonts w:ascii="Calibri" w:hAnsi="Calibri" w:cs="Calibri"/>
          <w:color w:val="auto"/>
        </w:rPr>
        <w:t xml:space="preserve">Phase I </w:t>
      </w:r>
      <w:r w:rsidRPr="00840F15">
        <w:rPr>
          <w:rFonts w:ascii="Calibri" w:hAnsi="Calibri" w:cs="Calibri"/>
          <w:color w:val="auto"/>
        </w:rPr>
        <w:t>Sampling Process</w:t>
      </w:r>
    </w:p>
    <w:p w:rsidR="00DF779B" w:rsidRPr="00FA4E09" w:rsidP="0055337A" w14:paraId="2BA0870D" w14:textId="77777777">
      <w:pPr>
        <w:spacing w:before="240"/>
        <w:rPr>
          <w:rFonts w:ascii="Calibri" w:hAnsi="Calibri" w:cs="Calibri"/>
          <w:i/>
          <w:iCs/>
        </w:rPr>
      </w:pPr>
      <w:r w:rsidRPr="00FA4E09">
        <w:rPr>
          <w:rFonts w:ascii="Calibri" w:hAnsi="Calibri" w:cs="Calibri"/>
          <w:i/>
          <w:iCs/>
          <w:noProof/>
        </w:rPr>
        <w:drawing>
          <wp:inline distT="0" distB="0" distL="0" distR="0">
            <wp:extent cx="5867400" cy="3200400"/>
            <wp:effectExtent l="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5337A" w:rsidRPr="000F10EB" w:rsidP="000F10EB" w14:paraId="05E3EBD1" w14:textId="6705C250">
      <w:pPr>
        <w:rPr>
          <w:rFonts w:ascii="Calibri" w:hAnsi="Calibri" w:cs="Calibri"/>
          <w:b/>
          <w:bCs/>
          <w:u w:val="single"/>
        </w:rPr>
      </w:pPr>
      <w:r w:rsidRPr="000F10EB">
        <w:rPr>
          <w:rFonts w:ascii="Calibri" w:hAnsi="Calibri" w:cs="Calibri"/>
          <w:b/>
          <w:bCs/>
          <w:u w:val="single"/>
        </w:rPr>
        <w:t>Phase II</w:t>
      </w:r>
      <w:r w:rsidRPr="000F10EB" w:rsidR="001C4B17">
        <w:rPr>
          <w:rFonts w:ascii="Calibri" w:hAnsi="Calibri" w:cs="Calibri"/>
          <w:b/>
          <w:bCs/>
          <w:u w:val="single"/>
        </w:rPr>
        <w:t xml:space="preserve"> –</w:t>
      </w:r>
      <w:r w:rsidRPr="006C2C4E" w:rsidR="00673763">
        <w:rPr>
          <w:rFonts w:ascii="Calibri" w:hAnsi="Calibri" w:cs="Calibri"/>
          <w:b/>
          <w:bCs/>
          <w:u w:val="single"/>
        </w:rPr>
        <w:t>NSSS</w:t>
      </w:r>
    </w:p>
    <w:p w:rsidR="00305482" w:rsidRPr="00FA4E09" w:rsidP="00305482" w14:paraId="32F70D6A" w14:textId="0D1E8418">
      <w:pPr>
        <w:spacing w:before="240"/>
        <w:rPr>
          <w:rFonts w:ascii="Calibri" w:hAnsi="Calibri" w:cs="Calibri"/>
        </w:rPr>
      </w:pPr>
      <w:r w:rsidRPr="006058C6">
        <w:rPr>
          <w:rFonts w:ascii="Calibri" w:hAnsi="Calibri" w:cs="Calibri"/>
        </w:rPr>
        <w:t>Phase II sampling will support the NSSS and will require selected POTWs to</w:t>
      </w:r>
      <w:r>
        <w:rPr>
          <w:rFonts w:ascii="Calibri" w:hAnsi="Calibri" w:cs="Calibri"/>
        </w:rPr>
        <w:t xml:space="preserve"> collect and analyze </w:t>
      </w:r>
      <w:r w:rsidR="00A87D8B">
        <w:rPr>
          <w:rFonts w:ascii="Calibri" w:hAnsi="Calibri" w:cs="Calibri"/>
        </w:rPr>
        <w:t xml:space="preserve">one-time grab samples </w:t>
      </w:r>
      <w:r w:rsidR="00194799">
        <w:rPr>
          <w:rFonts w:ascii="Calibri" w:hAnsi="Calibri" w:cs="Calibri"/>
        </w:rPr>
        <w:t xml:space="preserve">of sewage sludge. </w:t>
      </w:r>
      <w:r w:rsidR="006C2C4E">
        <w:rPr>
          <w:rFonts w:ascii="Calibri" w:hAnsi="Calibri" w:cs="Calibri"/>
        </w:rPr>
        <w:t>P</w:t>
      </w:r>
      <w:r w:rsidRPr="006C2C4E" w:rsidR="006C2C4E">
        <w:rPr>
          <w:rFonts w:ascii="Calibri" w:hAnsi="Calibri" w:cs="Calibri"/>
        </w:rPr>
        <w:t>hase II sampling will include the same POTWs selected for Phase I and will not begin until Phase I sampling is complete.</w:t>
      </w:r>
      <w:r w:rsidR="006C2C4E">
        <w:rPr>
          <w:rFonts w:ascii="Calibri" w:hAnsi="Calibri" w:cs="Calibri"/>
        </w:rPr>
        <w:t xml:space="preserve"> </w:t>
      </w:r>
      <w:r w:rsidR="00F46F0E">
        <w:rPr>
          <w:rFonts w:ascii="Calibri" w:hAnsi="Calibri" w:cs="Calibri"/>
        </w:rPr>
        <w:t xml:space="preserve">All POTWs will sample at the same time. </w:t>
      </w:r>
      <w:r w:rsidR="00ED2519">
        <w:rPr>
          <w:rFonts w:ascii="Calibri" w:hAnsi="Calibri" w:cs="Calibri"/>
        </w:rPr>
        <w:t xml:space="preserve">Up to </w:t>
      </w:r>
      <w:r w:rsidR="00EA5F40">
        <w:rPr>
          <w:rFonts w:ascii="Calibri" w:hAnsi="Calibri" w:cs="Calibri"/>
        </w:rPr>
        <w:t>four</w:t>
      </w:r>
      <w:r w:rsidR="00194799">
        <w:rPr>
          <w:rFonts w:ascii="Calibri" w:hAnsi="Calibri" w:cs="Calibri"/>
        </w:rPr>
        <w:t xml:space="preserve"> sewage sludge samples will be collected per POTW; two samples will be </w:t>
      </w:r>
      <w:r w:rsidR="00047118">
        <w:rPr>
          <w:rFonts w:ascii="Calibri" w:hAnsi="Calibri" w:cs="Calibri"/>
        </w:rPr>
        <w:t xml:space="preserve">shipped to the POTW’s contracted laboratory for immediate analysis and an additional </w:t>
      </w:r>
      <w:r w:rsidR="00EA5F40">
        <w:rPr>
          <w:rFonts w:ascii="Calibri" w:hAnsi="Calibri" w:cs="Calibri"/>
        </w:rPr>
        <w:t>two</w:t>
      </w:r>
      <w:r w:rsidR="00047118">
        <w:rPr>
          <w:rFonts w:ascii="Calibri" w:hAnsi="Calibri" w:cs="Calibri"/>
        </w:rPr>
        <w:t xml:space="preserve"> samples will be shipped to </w:t>
      </w:r>
      <w:r w:rsidR="006C2C4E">
        <w:rPr>
          <w:rFonts w:ascii="Calibri" w:hAnsi="Calibri" w:cs="Calibri"/>
        </w:rPr>
        <w:t xml:space="preserve">the EPA for long-term </w:t>
      </w:r>
      <w:r w:rsidR="00E20006">
        <w:rPr>
          <w:rFonts w:ascii="Calibri" w:hAnsi="Calibri" w:cs="Calibri"/>
        </w:rPr>
        <w:t xml:space="preserve">frozen </w:t>
      </w:r>
      <w:r w:rsidR="006C2C4E">
        <w:rPr>
          <w:rFonts w:ascii="Calibri" w:hAnsi="Calibri" w:cs="Calibri"/>
        </w:rPr>
        <w:t>storage.</w:t>
      </w:r>
      <w:r w:rsidRPr="00FA4E09" w:rsidR="0055337A">
        <w:rPr>
          <w:rFonts w:ascii="Calibri" w:hAnsi="Calibri" w:cs="Calibri"/>
        </w:rPr>
        <w:t xml:space="preserve"> </w:t>
      </w:r>
      <w:r>
        <w:rPr>
          <w:rFonts w:ascii="Calibri" w:hAnsi="Calibri" w:cs="Calibri"/>
        </w:rPr>
        <w:t xml:space="preserve">The two </w:t>
      </w:r>
      <w:r w:rsidRPr="00FA4E09">
        <w:rPr>
          <w:rFonts w:ascii="Calibri" w:hAnsi="Calibri" w:cs="Calibri"/>
        </w:rPr>
        <w:t xml:space="preserve">sewage sludge samples </w:t>
      </w:r>
      <w:r w:rsidR="000D4BEA">
        <w:rPr>
          <w:rFonts w:ascii="Calibri" w:hAnsi="Calibri" w:cs="Calibri"/>
        </w:rPr>
        <w:t xml:space="preserve">collected for immediate laboratory analysis </w:t>
      </w:r>
      <w:r w:rsidRPr="00FA4E09">
        <w:rPr>
          <w:rFonts w:ascii="Calibri" w:hAnsi="Calibri" w:cs="Calibri"/>
        </w:rPr>
        <w:t>will be analyzed for the following:</w:t>
      </w:r>
    </w:p>
    <w:p w:rsidR="00305482" w:rsidRPr="00FA4E09" w:rsidP="00305482" w14:paraId="4ACA6F34" w14:textId="77777777">
      <w:pPr>
        <w:pStyle w:val="ListBulletSingle"/>
        <w:spacing w:after="80"/>
        <w:ind w:left="720" w:hanging="360"/>
        <w:rPr>
          <w:rFonts w:ascii="Calibri" w:hAnsi="Calibri" w:cs="Calibri"/>
        </w:rPr>
      </w:pPr>
      <w:r w:rsidRPr="00FA4E09">
        <w:rPr>
          <w:rFonts w:ascii="Calibri" w:hAnsi="Calibri" w:cs="Calibri"/>
        </w:rPr>
        <w:t>PFAS using EPA Method 1633,</w:t>
      </w:r>
    </w:p>
    <w:p w:rsidR="00305482" w:rsidRPr="00FA4E09" w:rsidP="00305482" w14:paraId="5318F39C" w14:textId="77777777">
      <w:pPr>
        <w:pStyle w:val="ListBulletSingle"/>
        <w:spacing w:after="80"/>
        <w:ind w:left="720" w:hanging="360"/>
        <w:rPr>
          <w:rFonts w:ascii="Calibri" w:hAnsi="Calibri" w:cs="Calibri"/>
        </w:rPr>
      </w:pPr>
      <w:r w:rsidRPr="00FA4E09">
        <w:rPr>
          <w:rFonts w:ascii="Calibri" w:hAnsi="Calibri" w:cs="Calibri"/>
        </w:rPr>
        <w:t>metals using EPA Method 6010,</w:t>
      </w:r>
    </w:p>
    <w:p w:rsidR="00305482" w:rsidRPr="00FA4E09" w:rsidP="00305482" w14:paraId="7F4679B7" w14:textId="77777777">
      <w:pPr>
        <w:pStyle w:val="ListBulletSingle"/>
        <w:spacing w:after="80"/>
        <w:ind w:left="720" w:hanging="360"/>
        <w:rPr>
          <w:rFonts w:ascii="Calibri" w:hAnsi="Calibri" w:cs="Calibri"/>
        </w:rPr>
      </w:pPr>
      <w:r w:rsidRPr="00FA4E09">
        <w:rPr>
          <w:rFonts w:ascii="Calibri" w:hAnsi="Calibri" w:cs="Calibri"/>
        </w:rPr>
        <w:t>total organic carbon using EPA Method 9060, and</w:t>
      </w:r>
    </w:p>
    <w:p w:rsidR="00E15B61" w:rsidRPr="00E15B61" w:rsidP="00E15B61" w14:paraId="7C6062FD" w14:textId="5C0DC42A">
      <w:pPr>
        <w:pStyle w:val="ListBulletSingle"/>
        <w:spacing w:after="240"/>
        <w:ind w:left="720" w:hanging="360"/>
        <w:rPr>
          <w:rFonts w:ascii="Calibri" w:hAnsi="Calibri" w:cs="Calibri"/>
        </w:rPr>
      </w:pPr>
      <w:r w:rsidRPr="00FA4E09">
        <w:rPr>
          <w:rFonts w:ascii="Calibri" w:hAnsi="Calibri" w:cs="Calibri"/>
        </w:rPr>
        <w:t>total solids, volatile solids, and fixed solids using Standard Method 2540.</w:t>
      </w:r>
    </w:p>
    <w:p w:rsidR="00876C91" w:rsidRPr="00DF0A09" w:rsidP="00876C91" w14:paraId="00CB7843" w14:textId="2BCCAF10">
      <w:pPr>
        <w:pStyle w:val="BodyText"/>
        <w:ind w:firstLine="0"/>
        <w:rPr>
          <w:rFonts w:ascii="Calibri" w:hAnsi="Calibri" w:cs="Calibri"/>
        </w:rPr>
      </w:pPr>
      <w:r>
        <w:rPr>
          <w:rFonts w:ascii="Calibri" w:hAnsi="Calibri" w:cs="Calibri"/>
        </w:rPr>
        <w:t xml:space="preserve">As shown in </w:t>
      </w:r>
      <w:r>
        <w:rPr>
          <w:rFonts w:ascii="Calibri" w:hAnsi="Calibri" w:cs="Calibri"/>
        </w:rPr>
        <w:fldChar w:fldCharType="begin"/>
      </w:r>
      <w:r>
        <w:rPr>
          <w:rFonts w:ascii="Calibri" w:hAnsi="Calibri" w:cs="Calibri"/>
        </w:rPr>
        <w:instrText xml:space="preserve"> REF _Ref172822737 \h </w:instrText>
      </w:r>
      <w:r>
        <w:rPr>
          <w:rFonts w:ascii="Calibri" w:hAnsi="Calibri" w:cs="Calibri"/>
        </w:rPr>
        <w:fldChar w:fldCharType="separate"/>
      </w:r>
      <w:r w:rsidRPr="00840F15">
        <w:rPr>
          <w:rFonts w:ascii="Calibri" w:hAnsi="Calibri" w:cs="Calibri"/>
        </w:rPr>
        <w:t xml:space="preserve">Figure </w:t>
      </w:r>
      <w:r>
        <w:rPr>
          <w:rFonts w:ascii="Calibri" w:hAnsi="Calibri" w:cs="Calibri"/>
          <w:noProof/>
        </w:rPr>
        <w:t>2</w:t>
      </w:r>
      <w:r>
        <w:rPr>
          <w:rFonts w:ascii="Calibri" w:hAnsi="Calibri" w:cs="Calibri"/>
        </w:rPr>
        <w:fldChar w:fldCharType="end"/>
      </w:r>
      <w:r>
        <w:rPr>
          <w:rFonts w:ascii="Calibri" w:hAnsi="Calibri" w:cs="Calibri"/>
        </w:rPr>
        <w:t>, t</w:t>
      </w:r>
      <w:r w:rsidRPr="00DF0A09">
        <w:rPr>
          <w:rFonts w:ascii="Calibri" w:hAnsi="Calibri" w:cs="Calibri"/>
        </w:rPr>
        <w:t>he EPA will require POTWs to meet the following deadlines:</w:t>
      </w:r>
    </w:p>
    <w:p w:rsidR="00876C91" w:rsidRPr="00DF0A09" w:rsidP="00876C91" w14:paraId="18D155BE" w14:textId="586AA22B">
      <w:pPr>
        <w:pStyle w:val="ListBulletSingle"/>
        <w:spacing w:after="80"/>
        <w:ind w:left="720" w:hanging="360"/>
        <w:rPr>
          <w:rFonts w:ascii="Calibri" w:hAnsi="Calibri" w:cs="Calibri"/>
        </w:rPr>
      </w:pPr>
      <w:r w:rsidRPr="00DF0A09">
        <w:rPr>
          <w:rFonts w:ascii="Calibri" w:hAnsi="Calibri" w:cs="Calibri"/>
        </w:rPr>
        <w:t xml:space="preserve">Collect and send the required </w:t>
      </w:r>
      <w:r w:rsidR="00C519E2">
        <w:rPr>
          <w:rFonts w:ascii="Calibri" w:hAnsi="Calibri" w:cs="Calibri"/>
        </w:rPr>
        <w:t>sewage sludge</w:t>
      </w:r>
      <w:r w:rsidRPr="00DF0A09">
        <w:rPr>
          <w:rFonts w:ascii="Calibri" w:hAnsi="Calibri" w:cs="Calibri"/>
        </w:rPr>
        <w:t xml:space="preserve"> samples to the contracted laboratory for analysis </w:t>
      </w:r>
      <w:r w:rsidR="00A06A90">
        <w:rPr>
          <w:rFonts w:ascii="Calibri" w:hAnsi="Calibri" w:cs="Calibri"/>
        </w:rPr>
        <w:t xml:space="preserve">and to </w:t>
      </w:r>
      <w:r w:rsidR="005A7223">
        <w:rPr>
          <w:rFonts w:ascii="Calibri" w:hAnsi="Calibri" w:cs="Calibri"/>
        </w:rPr>
        <w:t xml:space="preserve">the </w:t>
      </w:r>
      <w:r w:rsidR="00A06A90">
        <w:rPr>
          <w:rFonts w:ascii="Calibri" w:hAnsi="Calibri" w:cs="Calibri"/>
        </w:rPr>
        <w:t xml:space="preserve">EPA for long-term frozen storage </w:t>
      </w:r>
      <w:r w:rsidRPr="00DF0A09">
        <w:rPr>
          <w:rFonts w:ascii="Calibri" w:hAnsi="Calibri" w:cs="Calibri"/>
        </w:rPr>
        <w:t>within 30 calendar days following notification.</w:t>
      </w:r>
    </w:p>
    <w:p w:rsidR="00876C91" w:rsidRPr="00DF0A09" w:rsidP="00876C91" w14:paraId="31D324BB" w14:textId="6664C46A">
      <w:pPr>
        <w:pStyle w:val="ListBulletSingle"/>
        <w:spacing w:after="80"/>
        <w:ind w:left="720" w:hanging="360"/>
        <w:rPr>
          <w:rFonts w:ascii="Calibri" w:hAnsi="Calibri" w:cs="Calibri"/>
        </w:rPr>
      </w:pPr>
      <w:r w:rsidRPr="00DF0A09">
        <w:rPr>
          <w:rFonts w:ascii="Calibri" w:hAnsi="Calibri" w:cs="Calibri"/>
        </w:rPr>
        <w:t xml:space="preserve">Notify the EPA of the date(s) of sample collection, date(s) samples are received by the analytical laboratory, and the analytical laboratory(ies) conducting </w:t>
      </w:r>
      <w:r w:rsidR="00DE1307">
        <w:rPr>
          <w:rFonts w:ascii="Calibri" w:hAnsi="Calibri" w:cs="Calibri"/>
        </w:rPr>
        <w:t xml:space="preserve">analysis of </w:t>
      </w:r>
      <w:r w:rsidRPr="00DF0A09">
        <w:rPr>
          <w:rFonts w:ascii="Calibri" w:hAnsi="Calibri" w:cs="Calibri"/>
        </w:rPr>
        <w:t>PFAS</w:t>
      </w:r>
      <w:r w:rsidR="000763E7">
        <w:rPr>
          <w:rFonts w:ascii="Calibri" w:hAnsi="Calibri" w:cs="Calibri"/>
        </w:rPr>
        <w:t xml:space="preserve"> and</w:t>
      </w:r>
      <w:r w:rsidRPr="00DF0A09">
        <w:rPr>
          <w:rFonts w:ascii="Calibri" w:hAnsi="Calibri" w:cs="Calibri"/>
        </w:rPr>
        <w:t xml:space="preserve"> </w:t>
      </w:r>
      <w:r w:rsidR="003F1AA6">
        <w:rPr>
          <w:rFonts w:ascii="Calibri" w:hAnsi="Calibri" w:cs="Calibri"/>
        </w:rPr>
        <w:t>ancillary parameters</w:t>
      </w:r>
      <w:r w:rsidRPr="00DF0A09">
        <w:rPr>
          <w:rFonts w:ascii="Calibri" w:hAnsi="Calibri" w:cs="Calibri"/>
        </w:rPr>
        <w:t xml:space="preserve"> within 30 calendar days following notification.</w:t>
      </w:r>
    </w:p>
    <w:p w:rsidR="00876C91" w:rsidRPr="00DF0A09" w:rsidP="00876C91" w14:paraId="0C34DC96" w14:textId="518AADE2">
      <w:pPr>
        <w:pStyle w:val="ListBulletSingle"/>
        <w:spacing w:after="240"/>
        <w:ind w:left="720" w:hanging="360"/>
        <w:rPr>
          <w:rFonts w:ascii="Calibri" w:hAnsi="Calibri" w:cs="Calibri"/>
        </w:rPr>
      </w:pPr>
      <w:r w:rsidRPr="00DF0A09">
        <w:rPr>
          <w:rFonts w:ascii="Calibri" w:hAnsi="Calibri" w:cs="Calibri"/>
        </w:rPr>
        <w:t xml:space="preserve">Review, compile, and submit </w:t>
      </w:r>
      <w:r w:rsidR="003F3275">
        <w:rPr>
          <w:rFonts w:ascii="Calibri" w:hAnsi="Calibri" w:cs="Calibri"/>
        </w:rPr>
        <w:t>sewage sludge</w:t>
      </w:r>
      <w:r w:rsidRPr="00DF0A09">
        <w:rPr>
          <w:rFonts w:ascii="Calibri" w:hAnsi="Calibri" w:cs="Calibri"/>
        </w:rPr>
        <w:t xml:space="preserve"> sampling results to EPA in the specified format within 120 calendar days following notification.</w:t>
      </w:r>
    </w:p>
    <w:p w:rsidR="00876C91" w:rsidP="00CA6D2A" w14:paraId="32BB16D8" w14:textId="2CFF64E4">
      <w:pPr>
        <w:pStyle w:val="ListBulletLast"/>
        <w:numPr>
          <w:ilvl w:val="0"/>
          <w:numId w:val="0"/>
        </w:numPr>
        <w:spacing w:after="80"/>
        <w:rPr>
          <w:rFonts w:ascii="Calibri" w:hAnsi="Calibri" w:cs="Calibri"/>
        </w:rPr>
      </w:pPr>
      <w:r w:rsidRPr="00DF0A09">
        <w:rPr>
          <w:rFonts w:ascii="Calibri" w:hAnsi="Calibri" w:cs="Calibri"/>
        </w:rPr>
        <w:t>POTWs are required to immediately notify the EPA in writing if there are any delays in sample collection or analysis (e.g., laboratory analysis wait times exceed 90 days). The EPA understands that these types of delays may occur and will work with individual POTWs on a case-by-case basis.</w:t>
      </w:r>
    </w:p>
    <w:p w:rsidR="00441271" w:rsidP="00F73EB6" w14:paraId="573DBBB8" w14:textId="4917D7B5">
      <w:pPr>
        <w:spacing w:before="240"/>
        <w:rPr>
          <w:rFonts w:ascii="Calibri" w:hAnsi="Calibri" w:cs="Calibri"/>
        </w:rPr>
      </w:pPr>
      <w:r w:rsidRPr="00FA4E09">
        <w:rPr>
          <w:rFonts w:ascii="Calibri" w:hAnsi="Calibri" w:cs="Calibri"/>
        </w:rPr>
        <w:t>The long-term frozen storage samples will serve as an archive of sewage sludge samples for the NSSS. These samples may be used for any of the proposed lab</w:t>
      </w:r>
      <w:r>
        <w:rPr>
          <w:rFonts w:ascii="Calibri" w:hAnsi="Calibri" w:cs="Calibri"/>
        </w:rPr>
        <w:t>oratory</w:t>
      </w:r>
      <w:r w:rsidRPr="00FA4E09">
        <w:rPr>
          <w:rFonts w:ascii="Calibri" w:hAnsi="Calibri" w:cs="Calibri"/>
        </w:rPr>
        <w:t xml:space="preserve"> analyses if extra is needed, as well as for future EPA studies, pending funding (e.g., non-targeted analysis and targeted analysis of additional PFAS analytes besides the 40 PFAS listed in EPA Method 1633). Archive samples have also been collected for past NSSSs, including the </w:t>
      </w:r>
      <w:hyperlink r:id="rId18" w:history="1">
        <w:r w:rsidRPr="00FA4E09">
          <w:rPr>
            <w:rStyle w:val="Hyperlink"/>
            <w:rFonts w:ascii="Calibri" w:hAnsi="Calibri" w:cs="Calibri"/>
          </w:rPr>
          <w:t>2001 NSSS</w:t>
        </w:r>
      </w:hyperlink>
      <w:r w:rsidRPr="00FA4E09">
        <w:rPr>
          <w:rFonts w:ascii="Calibri" w:hAnsi="Calibri" w:cs="Calibri"/>
        </w:rPr>
        <w:t xml:space="preserve"> and </w:t>
      </w:r>
      <w:hyperlink r:id="rId19" w:history="1">
        <w:r w:rsidRPr="00FA4E09">
          <w:rPr>
            <w:rStyle w:val="Hyperlink"/>
            <w:rFonts w:ascii="Calibri" w:hAnsi="Calibri" w:cs="Calibri"/>
          </w:rPr>
          <w:t>2006-2007 Targeted NSSS</w:t>
        </w:r>
      </w:hyperlink>
      <w:r w:rsidRPr="00FA4E09">
        <w:rPr>
          <w:rFonts w:ascii="Calibri" w:hAnsi="Calibri" w:cs="Calibri"/>
        </w:rPr>
        <w:t>. POTWs will not be required to analyze the long-term storage samples – only collect and ship the sample volumes to the specified EPA storage facility.</w:t>
      </w:r>
      <w:r w:rsidR="00305482">
        <w:rPr>
          <w:rFonts w:ascii="Calibri" w:hAnsi="Calibri" w:cs="Calibri"/>
        </w:rPr>
        <w:t xml:space="preserve"> </w:t>
      </w:r>
      <w:r w:rsidRPr="00FA4E09" w:rsidR="0055337A">
        <w:rPr>
          <w:rFonts w:ascii="Calibri" w:hAnsi="Calibri" w:cs="Calibri"/>
        </w:rPr>
        <w:t xml:space="preserve">The exact number, type, and collection locations of samples will vary by POTW and will be specified by the EPA prior to the sampling episode. </w:t>
      </w:r>
      <w:r w:rsidRPr="00FA4E09" w:rsidR="4925B995">
        <w:rPr>
          <w:rFonts w:ascii="Calibri" w:hAnsi="Calibri" w:cs="Calibri"/>
        </w:rPr>
        <w:t xml:space="preserve">Additionally, </w:t>
      </w:r>
      <w:r w:rsidRPr="00FA4E09" w:rsidR="00906DB5">
        <w:rPr>
          <w:rFonts w:ascii="Calibri" w:hAnsi="Calibri" w:cs="Calibri"/>
        </w:rPr>
        <w:t xml:space="preserve">POTWs will be required to collect QA/QC samples as specified by the listed methods above. </w:t>
      </w:r>
    </w:p>
    <w:p w:rsidR="005D1D6F" w:rsidRPr="00840F15" w:rsidP="005D1D6F" w14:paraId="168B4D4D" w14:textId="605EECAF">
      <w:pPr>
        <w:pStyle w:val="Caption"/>
        <w:keepNext/>
        <w:jc w:val="center"/>
        <w:rPr>
          <w:rFonts w:ascii="Calibri" w:hAnsi="Calibri" w:cs="Calibri"/>
          <w:color w:val="auto"/>
        </w:rPr>
      </w:pPr>
      <w:r w:rsidRPr="00840F15">
        <w:rPr>
          <w:rFonts w:ascii="Calibri" w:hAnsi="Calibri" w:cs="Calibri"/>
          <w:color w:val="auto"/>
        </w:rPr>
        <w:t xml:space="preserve">Figure </w:t>
      </w:r>
      <w:r>
        <w:rPr>
          <w:rFonts w:ascii="Calibri" w:hAnsi="Calibri" w:cs="Calibri"/>
          <w:color w:val="auto"/>
        </w:rPr>
        <w:t>2</w:t>
      </w:r>
      <w:r w:rsidRPr="00840F15">
        <w:rPr>
          <w:rFonts w:ascii="Calibri" w:hAnsi="Calibri" w:cs="Calibri"/>
          <w:color w:val="auto"/>
        </w:rPr>
        <w:t xml:space="preserve">: Visualization of Phase </w:t>
      </w:r>
      <w:r>
        <w:rPr>
          <w:rFonts w:ascii="Calibri" w:hAnsi="Calibri" w:cs="Calibri"/>
          <w:color w:val="auto"/>
        </w:rPr>
        <w:t>I</w:t>
      </w:r>
      <w:r w:rsidRPr="00840F15">
        <w:rPr>
          <w:rFonts w:ascii="Calibri" w:hAnsi="Calibri" w:cs="Calibri"/>
          <w:color w:val="auto"/>
        </w:rPr>
        <w:t>I Sampling Process</w:t>
      </w:r>
    </w:p>
    <w:p w:rsidR="005D1D6F" w:rsidRPr="00FA4E09" w:rsidP="005D1D6F" w14:paraId="79213DF0" w14:textId="77777777">
      <w:pPr>
        <w:spacing w:before="240"/>
        <w:rPr>
          <w:rFonts w:ascii="Calibri" w:hAnsi="Calibri" w:cs="Calibri"/>
          <w:i/>
          <w:iCs/>
        </w:rPr>
      </w:pPr>
      <w:r w:rsidRPr="00FA4E09">
        <w:rPr>
          <w:rFonts w:ascii="Calibri" w:hAnsi="Calibri" w:cs="Calibri"/>
          <w:i/>
          <w:iCs/>
          <w:noProof/>
        </w:rPr>
        <w:drawing>
          <wp:inline distT="0" distB="0" distL="0" distR="0">
            <wp:extent cx="5867400" cy="32004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D1D6F" w:rsidRPr="00FA4E09" w:rsidP="00F73EB6" w14:paraId="2A8DFED7" w14:textId="77777777">
      <w:pPr>
        <w:spacing w:before="240"/>
        <w:rPr>
          <w:rFonts w:ascii="Calibri" w:hAnsi="Calibri" w:cs="Calibri"/>
        </w:rPr>
      </w:pPr>
    </w:p>
    <w:p w:rsidR="000E6199" w:rsidRPr="00FA4E09" w:rsidP="00F73EB6" w14:paraId="5C22FC93" w14:textId="5655073B">
      <w:pPr>
        <w:spacing w:before="240"/>
        <w:rPr>
          <w:rFonts w:ascii="Calibri" w:hAnsi="Calibri" w:cs="Calibri"/>
        </w:rPr>
      </w:pPr>
      <w:r w:rsidRPr="00FA4E09">
        <w:rPr>
          <w:rFonts w:ascii="Calibri" w:hAnsi="Calibri" w:cs="Calibri"/>
        </w:rPr>
        <w:t xml:space="preserve">For the purposes of estimating burden associated with the sampling program, the EPA estimates that 200 POTWs will be required to sample and each of these POTWs will collect 16 aqueous samples (13 wastewater samples plus 3 QC/QA samples) during Phase </w:t>
      </w:r>
      <w:r w:rsidRPr="00FA4E09" w:rsidR="5C81443C">
        <w:rPr>
          <w:rFonts w:ascii="Calibri" w:hAnsi="Calibri" w:cs="Calibri"/>
        </w:rPr>
        <w:t>I</w:t>
      </w:r>
      <w:r w:rsidRPr="00FA4E09">
        <w:rPr>
          <w:rFonts w:ascii="Calibri" w:hAnsi="Calibri" w:cs="Calibri"/>
        </w:rPr>
        <w:t xml:space="preserve"> and 5 sewage </w:t>
      </w:r>
      <w:r w:rsidRPr="00FA4E09" w:rsidR="000077A0">
        <w:rPr>
          <w:rFonts w:ascii="Calibri" w:hAnsi="Calibri" w:cs="Calibri"/>
        </w:rPr>
        <w:t>sludge</w:t>
      </w:r>
      <w:r w:rsidRPr="00FA4E09">
        <w:rPr>
          <w:rFonts w:ascii="Calibri" w:hAnsi="Calibri" w:cs="Calibri"/>
        </w:rPr>
        <w:t xml:space="preserve"> samples (2 samples for immediate analysis, 2 samples for long-term </w:t>
      </w:r>
      <w:r w:rsidR="00EA5F40">
        <w:rPr>
          <w:rFonts w:ascii="Calibri" w:hAnsi="Calibri" w:cs="Calibri"/>
        </w:rPr>
        <w:t xml:space="preserve">frozen </w:t>
      </w:r>
      <w:r w:rsidRPr="00FA4E09">
        <w:rPr>
          <w:rFonts w:ascii="Calibri" w:hAnsi="Calibri" w:cs="Calibri"/>
        </w:rPr>
        <w:t xml:space="preserve">storage, and 1 QC/QA sample) during Phase </w:t>
      </w:r>
      <w:r w:rsidRPr="00FA4E09" w:rsidR="17791625">
        <w:rPr>
          <w:rFonts w:ascii="Calibri" w:hAnsi="Calibri" w:cs="Calibri"/>
        </w:rPr>
        <w:t>II</w:t>
      </w:r>
      <w:r w:rsidRPr="00FA4E09">
        <w:rPr>
          <w:rFonts w:ascii="Calibri" w:hAnsi="Calibri" w:cs="Calibri"/>
        </w:rPr>
        <w:t xml:space="preserve">. </w:t>
      </w:r>
      <w:r w:rsidRPr="00FA4E09" w:rsidR="000157CE">
        <w:rPr>
          <w:rFonts w:ascii="Calibri" w:hAnsi="Calibri" w:cs="Calibri"/>
        </w:rPr>
        <w:t xml:space="preserve">On a case-by-case basis, </w:t>
      </w:r>
      <w:r w:rsidRPr="00FA4E09" w:rsidR="00C8387F">
        <w:rPr>
          <w:rFonts w:ascii="Calibri" w:hAnsi="Calibri" w:cs="Calibri"/>
        </w:rPr>
        <w:t xml:space="preserve">POTWs </w:t>
      </w:r>
      <w:r w:rsidRPr="00FA4E09" w:rsidR="00515615">
        <w:rPr>
          <w:rFonts w:ascii="Calibri" w:hAnsi="Calibri" w:cs="Calibri"/>
        </w:rPr>
        <w:t xml:space="preserve">may be able to </w:t>
      </w:r>
      <w:r w:rsidRPr="00FA4E09" w:rsidR="0041014E">
        <w:rPr>
          <w:rFonts w:ascii="Calibri" w:hAnsi="Calibri" w:cs="Calibri"/>
        </w:rPr>
        <w:t xml:space="preserve">submit existing data in lieu of </w:t>
      </w:r>
      <w:r w:rsidRPr="00FA4E09" w:rsidR="006E1A1F">
        <w:rPr>
          <w:rFonts w:ascii="Calibri" w:hAnsi="Calibri" w:cs="Calibri"/>
        </w:rPr>
        <w:t xml:space="preserve">conducting additional </w:t>
      </w:r>
      <w:r w:rsidRPr="00FA4E09" w:rsidR="0041014E">
        <w:rPr>
          <w:rFonts w:ascii="Calibri" w:hAnsi="Calibri" w:cs="Calibri"/>
        </w:rPr>
        <w:t xml:space="preserve">sampling if the </w:t>
      </w:r>
      <w:r w:rsidRPr="00FA4E09" w:rsidR="006E1A1F">
        <w:rPr>
          <w:rFonts w:ascii="Calibri" w:hAnsi="Calibri" w:cs="Calibri"/>
        </w:rPr>
        <w:t xml:space="preserve">existing </w:t>
      </w:r>
      <w:r w:rsidRPr="00FA4E09" w:rsidR="0041014E">
        <w:rPr>
          <w:rFonts w:ascii="Calibri" w:hAnsi="Calibri" w:cs="Calibri"/>
        </w:rPr>
        <w:t xml:space="preserve">data </w:t>
      </w:r>
      <w:r w:rsidRPr="00FA4E09" w:rsidR="00E717FA">
        <w:rPr>
          <w:rFonts w:ascii="Calibri" w:hAnsi="Calibri" w:cs="Calibri"/>
        </w:rPr>
        <w:t xml:space="preserve">meets all the requirements of the EPA’s </w:t>
      </w:r>
      <w:r w:rsidRPr="00FA4E09" w:rsidR="00B17FD5">
        <w:rPr>
          <w:rFonts w:ascii="Calibri" w:hAnsi="Calibri" w:cs="Calibri"/>
        </w:rPr>
        <w:t xml:space="preserve">sampling program, </w:t>
      </w:r>
      <w:r w:rsidRPr="00FA4E09" w:rsidR="00602AFD">
        <w:rPr>
          <w:rFonts w:ascii="Calibri" w:hAnsi="Calibri" w:cs="Calibri"/>
        </w:rPr>
        <w:t xml:space="preserve">such as </w:t>
      </w:r>
      <w:r w:rsidRPr="00FA4E09" w:rsidR="00C33221">
        <w:rPr>
          <w:rFonts w:ascii="Calibri" w:hAnsi="Calibri" w:cs="Calibri"/>
        </w:rPr>
        <w:t xml:space="preserve">including </w:t>
      </w:r>
      <w:r w:rsidRPr="00FA4E09" w:rsidR="00734468">
        <w:rPr>
          <w:rFonts w:ascii="Calibri" w:hAnsi="Calibri" w:cs="Calibri"/>
        </w:rPr>
        <w:t xml:space="preserve">all required sampling locations and </w:t>
      </w:r>
      <w:r w:rsidRPr="00FA4E09" w:rsidR="00177C8C">
        <w:rPr>
          <w:rFonts w:ascii="Calibri" w:hAnsi="Calibri" w:cs="Calibri"/>
        </w:rPr>
        <w:t xml:space="preserve">PFAS and AOF sample </w:t>
      </w:r>
      <w:r w:rsidRPr="00FA4E09" w:rsidR="00734468">
        <w:rPr>
          <w:rFonts w:ascii="Calibri" w:hAnsi="Calibri" w:cs="Calibri"/>
        </w:rPr>
        <w:t>results analyzed</w:t>
      </w:r>
      <w:r w:rsidRPr="00FA4E09" w:rsidR="0018111A">
        <w:rPr>
          <w:rFonts w:ascii="Calibri" w:hAnsi="Calibri" w:cs="Calibri"/>
        </w:rPr>
        <w:t xml:space="preserve"> using </w:t>
      </w:r>
      <w:r w:rsidRPr="00FA4E09" w:rsidR="001A06DA">
        <w:rPr>
          <w:rFonts w:ascii="Calibri" w:hAnsi="Calibri" w:cs="Calibri"/>
        </w:rPr>
        <w:t xml:space="preserve">EPA </w:t>
      </w:r>
      <w:r w:rsidRPr="00FA4E09" w:rsidR="006B3FBB">
        <w:rPr>
          <w:rFonts w:ascii="Calibri" w:hAnsi="Calibri" w:cs="Calibri"/>
        </w:rPr>
        <w:t>Method</w:t>
      </w:r>
      <w:r w:rsidRPr="00FA4E09" w:rsidR="001A06DA">
        <w:rPr>
          <w:rFonts w:ascii="Calibri" w:hAnsi="Calibri" w:cs="Calibri"/>
        </w:rPr>
        <w:t>s</w:t>
      </w:r>
      <w:r w:rsidRPr="00FA4E09" w:rsidR="006B3FBB">
        <w:rPr>
          <w:rFonts w:ascii="Calibri" w:hAnsi="Calibri" w:cs="Calibri"/>
        </w:rPr>
        <w:t xml:space="preserve"> 1633 </w:t>
      </w:r>
      <w:r w:rsidRPr="00FA4E09" w:rsidR="001A06DA">
        <w:rPr>
          <w:rFonts w:ascii="Calibri" w:hAnsi="Calibri" w:cs="Calibri"/>
        </w:rPr>
        <w:t>and 16</w:t>
      </w:r>
      <w:r w:rsidRPr="00FA4E09" w:rsidR="001304F6">
        <w:rPr>
          <w:rFonts w:ascii="Calibri" w:hAnsi="Calibri" w:cs="Calibri"/>
        </w:rPr>
        <w:t>21.</w:t>
      </w:r>
    </w:p>
    <w:p w:rsidR="00B0321C" w:rsidRPr="00FA4E09" w:rsidP="00BB6928" w14:paraId="54DD01F2" w14:textId="22476133">
      <w:pPr>
        <w:rPr>
          <w:rFonts w:ascii="Calibri" w:hAnsi="Calibri" w:cs="Calibri"/>
        </w:rPr>
      </w:pPr>
      <w:r w:rsidRPr="00FA4E09">
        <w:rPr>
          <w:rFonts w:ascii="Calibri" w:hAnsi="Calibri" w:cs="Calibri"/>
        </w:rPr>
        <w:fldChar w:fldCharType="begin"/>
      </w:r>
      <w:r w:rsidRPr="00FA4E09">
        <w:rPr>
          <w:rFonts w:ascii="Calibri" w:hAnsi="Calibri" w:cs="Calibri"/>
        </w:rPr>
        <w:instrText xml:space="preserve"> REF _Ref85301742 \h  \* MERGEFORMAT </w:instrText>
      </w:r>
      <w:r w:rsidRPr="00FA4E09">
        <w:rPr>
          <w:rFonts w:ascii="Calibri" w:hAnsi="Calibri" w:cs="Calibri"/>
        </w:rPr>
        <w:fldChar w:fldCharType="separate"/>
      </w:r>
      <w:r w:rsidRPr="00766167" w:rsidR="00A41D1F">
        <w:rPr>
          <w:rFonts w:ascii="Calibri" w:hAnsi="Calibri" w:cs="Calibri"/>
        </w:rPr>
        <w:t>Table 12-3</w:t>
      </w:r>
      <w:r w:rsidRPr="00FA4E09">
        <w:rPr>
          <w:rFonts w:ascii="Calibri" w:hAnsi="Calibri" w:cs="Calibri"/>
        </w:rPr>
        <w:fldChar w:fldCharType="end"/>
      </w:r>
      <w:r w:rsidRPr="00FA4E09">
        <w:rPr>
          <w:rFonts w:ascii="Calibri" w:hAnsi="Calibri" w:cs="Calibri"/>
        </w:rPr>
        <w:t xml:space="preserve"> presents estimated burden (in hours) for the sampling episodes on a per facility basis by labor category. The EPA expects that operators and operations managers will be involved in planning and conducting the wastewater and sewage </w:t>
      </w:r>
      <w:r w:rsidRPr="00FA4E09" w:rsidR="000077A0">
        <w:rPr>
          <w:rFonts w:ascii="Calibri" w:hAnsi="Calibri" w:cs="Calibri"/>
        </w:rPr>
        <w:t>sludge</w:t>
      </w:r>
      <w:r w:rsidRPr="00FA4E09">
        <w:rPr>
          <w:rFonts w:ascii="Calibri" w:hAnsi="Calibri" w:cs="Calibri"/>
        </w:rPr>
        <w:t xml:space="preserve"> sampling.</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Layout w:type="fixed"/>
        <w:tblCellMar>
          <w:top w:w="29" w:type="dxa"/>
          <w:left w:w="58" w:type="dxa"/>
          <w:bottom w:w="29" w:type="dxa"/>
          <w:right w:w="58" w:type="dxa"/>
        </w:tblCellMar>
        <w:tblLook w:val="0000"/>
      </w:tblPr>
      <w:tblGrid>
        <w:gridCol w:w="5010"/>
        <w:gridCol w:w="1488"/>
        <w:gridCol w:w="1488"/>
        <w:gridCol w:w="1490"/>
      </w:tblGrid>
      <w:tr w14:paraId="3E2793E3" w14:textId="77777777">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Layout w:type="fixed"/>
          <w:tblCellMar>
            <w:top w:w="29" w:type="dxa"/>
            <w:left w:w="58" w:type="dxa"/>
            <w:bottom w:w="29" w:type="dxa"/>
            <w:right w:w="58" w:type="dxa"/>
          </w:tblCellMar>
          <w:tblLook w:val="0000"/>
        </w:tblPrEx>
        <w:trPr>
          <w:cantSplit/>
          <w:tblHeader/>
          <w:jc w:val="center"/>
        </w:trPr>
        <w:tc>
          <w:tcPr>
            <w:tcW w:w="5000" w:type="pct"/>
            <w:gridSpan w:val="4"/>
            <w:tcBorders>
              <w:top w:val="nil"/>
              <w:left w:val="nil"/>
              <w:right w:val="nil"/>
            </w:tcBorders>
          </w:tcPr>
          <w:p w:rsidR="00B0321C" w:rsidRPr="00FA4E09" w14:paraId="7E7DE0D7" w14:textId="5548183D">
            <w:pPr>
              <w:pStyle w:val="TableTitle"/>
              <w:rPr>
                <w:rFonts w:eastAsiaTheme="minorEastAsia"/>
                <w:bCs/>
                <w:smallCaps/>
                <w:spacing w:val="6"/>
                <w:sz w:val="24"/>
                <w:szCs w:val="18"/>
              </w:rPr>
            </w:pPr>
            <w:bookmarkStart w:id="25" w:name="_Ref85301742"/>
            <w:bookmarkStart w:id="26" w:name="_Toc97891775"/>
            <w:bookmarkStart w:id="27" w:name="_Toc157787719"/>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12</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3</w:t>
            </w:r>
            <w:r w:rsidRPr="00FA4E09">
              <w:rPr>
                <w:rFonts w:eastAsiaTheme="minorEastAsia"/>
                <w:bCs/>
                <w:smallCaps/>
                <w:spacing w:val="6"/>
                <w:sz w:val="24"/>
                <w:szCs w:val="18"/>
              </w:rPr>
              <w:fldChar w:fldCharType="end"/>
            </w:r>
            <w:bookmarkEnd w:id="25"/>
            <w:r w:rsidRPr="00FA4E09">
              <w:rPr>
                <w:rFonts w:eastAsiaTheme="minorEastAsia"/>
                <w:bCs/>
                <w:smallCaps/>
                <w:spacing w:val="6"/>
                <w:sz w:val="24"/>
                <w:szCs w:val="18"/>
              </w:rPr>
              <w:t>. Estimated Burden for the Sampling Program by Activity and Labor Category</w:t>
            </w:r>
            <w:bookmarkEnd w:id="26"/>
            <w:bookmarkEnd w:id="27"/>
          </w:p>
        </w:tc>
      </w:tr>
      <w:tr w14:paraId="7677712D" w14:textId="77777777">
        <w:tblPrEx>
          <w:tblW w:w="5000" w:type="pct"/>
          <w:jc w:val="center"/>
          <w:tblLayout w:type="fixed"/>
          <w:tblCellMar>
            <w:top w:w="29" w:type="dxa"/>
            <w:left w:w="58" w:type="dxa"/>
            <w:bottom w:w="29" w:type="dxa"/>
            <w:right w:w="58" w:type="dxa"/>
          </w:tblCellMar>
          <w:tblLook w:val="0000"/>
        </w:tblPrEx>
        <w:trPr>
          <w:cantSplit/>
          <w:tblHeader/>
          <w:jc w:val="center"/>
        </w:trPr>
        <w:tc>
          <w:tcPr>
            <w:tcW w:w="2644" w:type="pct"/>
            <w:vMerge w:val="restart"/>
            <w:shd w:val="clear" w:color="auto" w:fill="E6E6E6"/>
            <w:noWrap/>
            <w:vAlign w:val="center"/>
          </w:tcPr>
          <w:p w:rsidR="00B0321C" w:rsidRPr="00FA4E09" w:rsidP="00DD34B4" w14:paraId="0F614801" w14:textId="77777777">
            <w:pPr>
              <w:keepNext/>
              <w:spacing w:after="0"/>
              <w:jc w:val="center"/>
              <w:rPr>
                <w:rFonts w:ascii="Calibri" w:hAnsi="Calibri" w:cs="Calibri"/>
                <w:b/>
                <w:bCs/>
                <w:sz w:val="20"/>
                <w:szCs w:val="20"/>
              </w:rPr>
            </w:pPr>
            <w:r w:rsidRPr="00FA4E09">
              <w:rPr>
                <w:rFonts w:ascii="Calibri" w:hAnsi="Calibri" w:cs="Calibri"/>
                <w:b/>
                <w:bCs/>
                <w:sz w:val="20"/>
                <w:szCs w:val="20"/>
              </w:rPr>
              <w:t>Activity</w:t>
            </w:r>
          </w:p>
        </w:tc>
        <w:tc>
          <w:tcPr>
            <w:tcW w:w="2356" w:type="pct"/>
            <w:gridSpan w:val="3"/>
            <w:tcBorders>
              <w:bottom w:val="single" w:sz="4" w:space="0" w:color="auto"/>
            </w:tcBorders>
            <w:shd w:val="clear" w:color="auto" w:fill="E6E6E6"/>
            <w:vAlign w:val="center"/>
          </w:tcPr>
          <w:p w:rsidR="00B0321C" w:rsidRPr="00FA4E09" w:rsidP="00DD34B4" w14:paraId="22140E5B" w14:textId="77777777">
            <w:pPr>
              <w:keepNext/>
              <w:spacing w:after="0"/>
              <w:jc w:val="center"/>
              <w:rPr>
                <w:rFonts w:ascii="Calibri" w:hAnsi="Calibri" w:cs="Calibri"/>
                <w:b/>
                <w:bCs/>
                <w:sz w:val="20"/>
                <w:szCs w:val="20"/>
              </w:rPr>
            </w:pPr>
            <w:r w:rsidRPr="00FA4E09">
              <w:rPr>
                <w:rFonts w:ascii="Calibri" w:hAnsi="Calibri" w:cs="Calibri"/>
                <w:b/>
                <w:bCs/>
                <w:sz w:val="20"/>
                <w:szCs w:val="20"/>
              </w:rPr>
              <w:t>Labor Category and Burden (hours)</w:t>
            </w:r>
          </w:p>
        </w:tc>
      </w:tr>
      <w:tr w14:paraId="54824009" w14:textId="77777777">
        <w:tblPrEx>
          <w:tblW w:w="5000" w:type="pct"/>
          <w:jc w:val="center"/>
          <w:tblLayout w:type="fixed"/>
          <w:tblCellMar>
            <w:top w:w="29" w:type="dxa"/>
            <w:left w:w="58" w:type="dxa"/>
            <w:bottom w:w="29" w:type="dxa"/>
            <w:right w:w="58" w:type="dxa"/>
          </w:tblCellMar>
          <w:tblLook w:val="0000"/>
        </w:tblPrEx>
        <w:trPr>
          <w:cantSplit/>
          <w:tblHeader/>
          <w:jc w:val="center"/>
        </w:trPr>
        <w:tc>
          <w:tcPr>
            <w:tcW w:w="2644" w:type="pct"/>
            <w:vMerge/>
            <w:tcBorders>
              <w:top w:val="single" w:sz="4" w:space="0" w:color="auto"/>
              <w:bottom w:val="single" w:sz="4" w:space="0" w:color="auto"/>
            </w:tcBorders>
            <w:shd w:val="clear" w:color="auto" w:fill="E6E6E6"/>
            <w:noWrap/>
            <w:vAlign w:val="center"/>
          </w:tcPr>
          <w:p w:rsidR="00B0321C" w:rsidRPr="00FA4E09" w:rsidP="00DD34B4" w14:paraId="5F3DCD6C" w14:textId="77777777">
            <w:pPr>
              <w:keepNext/>
              <w:spacing w:after="0"/>
              <w:jc w:val="center"/>
              <w:rPr>
                <w:rFonts w:ascii="Calibri" w:hAnsi="Calibri" w:cs="Calibri"/>
                <w:b/>
                <w:bCs/>
                <w:sz w:val="20"/>
                <w:szCs w:val="20"/>
              </w:rPr>
            </w:pPr>
          </w:p>
        </w:tc>
        <w:tc>
          <w:tcPr>
            <w:tcW w:w="785" w:type="pct"/>
            <w:tcBorders>
              <w:top w:val="single" w:sz="4" w:space="0" w:color="auto"/>
              <w:bottom w:val="single" w:sz="4" w:space="0" w:color="auto"/>
            </w:tcBorders>
            <w:shd w:val="clear" w:color="auto" w:fill="E6E6E6"/>
            <w:vAlign w:val="center"/>
          </w:tcPr>
          <w:p w:rsidR="00B0321C" w:rsidRPr="00FA4E09" w:rsidP="00DD34B4" w14:paraId="60FE8EA9" w14:textId="77777777">
            <w:pPr>
              <w:keepNext/>
              <w:spacing w:after="0"/>
              <w:jc w:val="center"/>
              <w:rPr>
                <w:rFonts w:ascii="Calibri" w:hAnsi="Calibri" w:cs="Calibri"/>
                <w:b/>
                <w:bCs/>
                <w:sz w:val="20"/>
                <w:szCs w:val="20"/>
              </w:rPr>
            </w:pPr>
            <w:r w:rsidRPr="00FA4E09">
              <w:rPr>
                <w:rFonts w:ascii="Calibri" w:hAnsi="Calibri" w:cs="Calibri"/>
                <w:b/>
                <w:bCs/>
                <w:sz w:val="20"/>
                <w:szCs w:val="20"/>
              </w:rPr>
              <w:t>Operator</w:t>
            </w:r>
          </w:p>
        </w:tc>
        <w:tc>
          <w:tcPr>
            <w:tcW w:w="785" w:type="pct"/>
            <w:tcBorders>
              <w:top w:val="single" w:sz="4" w:space="0" w:color="auto"/>
              <w:bottom w:val="single" w:sz="4" w:space="0" w:color="auto"/>
            </w:tcBorders>
            <w:shd w:val="clear" w:color="auto" w:fill="E6E6E6"/>
            <w:vAlign w:val="center"/>
          </w:tcPr>
          <w:p w:rsidR="00B0321C" w:rsidRPr="00FA4E09" w:rsidP="00DD34B4" w14:paraId="20B3CEDA" w14:textId="77777777">
            <w:pPr>
              <w:keepNext/>
              <w:spacing w:after="0"/>
              <w:jc w:val="center"/>
              <w:rPr>
                <w:rFonts w:ascii="Calibri" w:hAnsi="Calibri" w:cs="Calibri"/>
                <w:b/>
                <w:bCs/>
                <w:sz w:val="20"/>
                <w:szCs w:val="20"/>
              </w:rPr>
            </w:pPr>
            <w:r w:rsidRPr="00FA4E09">
              <w:rPr>
                <w:rFonts w:ascii="Calibri" w:hAnsi="Calibri" w:cs="Calibri"/>
                <w:b/>
                <w:bCs/>
                <w:sz w:val="20"/>
                <w:szCs w:val="20"/>
              </w:rPr>
              <w:t>Operations Manager</w:t>
            </w:r>
          </w:p>
        </w:tc>
        <w:tc>
          <w:tcPr>
            <w:tcW w:w="785" w:type="pct"/>
            <w:tcBorders>
              <w:top w:val="single" w:sz="4" w:space="0" w:color="auto"/>
              <w:bottom w:val="single" w:sz="4" w:space="0" w:color="auto"/>
            </w:tcBorders>
            <w:shd w:val="clear" w:color="auto" w:fill="E6E6E6"/>
            <w:vAlign w:val="center"/>
          </w:tcPr>
          <w:p w:rsidR="00B0321C" w:rsidRPr="00FA4E09" w:rsidP="00DD34B4" w14:paraId="2D13326D" w14:textId="77777777">
            <w:pPr>
              <w:keepNext/>
              <w:spacing w:after="0"/>
              <w:jc w:val="center"/>
              <w:rPr>
                <w:rFonts w:ascii="Calibri" w:hAnsi="Calibri" w:cs="Calibri"/>
                <w:b/>
                <w:bCs/>
                <w:sz w:val="20"/>
                <w:szCs w:val="20"/>
              </w:rPr>
            </w:pPr>
            <w:r w:rsidRPr="00FA4E09">
              <w:rPr>
                <w:rFonts w:ascii="Calibri" w:hAnsi="Calibri" w:cs="Calibri"/>
                <w:b/>
                <w:bCs/>
                <w:sz w:val="20"/>
                <w:szCs w:val="20"/>
              </w:rPr>
              <w:t>Total Burden</w:t>
            </w:r>
          </w:p>
        </w:tc>
      </w:tr>
      <w:tr w14:paraId="2E6C6869" w14:textId="77777777">
        <w:tblPrEx>
          <w:tblW w:w="5000" w:type="pct"/>
          <w:jc w:val="center"/>
          <w:tblLayout w:type="fixed"/>
          <w:tblCellMar>
            <w:top w:w="29" w:type="dxa"/>
            <w:left w:w="58" w:type="dxa"/>
            <w:bottom w:w="29" w:type="dxa"/>
            <w:right w:w="58" w:type="dxa"/>
          </w:tblCellMar>
          <w:tblLook w:val="0000"/>
        </w:tblPrEx>
        <w:trPr>
          <w:cantSplit/>
          <w:trHeight w:val="144"/>
          <w:jc w:val="center"/>
        </w:trPr>
        <w:tc>
          <w:tcPr>
            <w:tcW w:w="2644" w:type="pct"/>
            <w:tcBorders>
              <w:top w:val="single" w:sz="4" w:space="0" w:color="auto"/>
              <w:bottom w:val="single" w:sz="4" w:space="0" w:color="auto"/>
            </w:tcBorders>
            <w:shd w:val="clear" w:color="auto" w:fill="auto"/>
            <w:noWrap/>
          </w:tcPr>
          <w:p w:rsidR="00B0321C" w:rsidRPr="00FA4E09" w:rsidP="00DD34B4" w14:paraId="23DF7B34" w14:textId="77777777">
            <w:pPr>
              <w:keepNext/>
              <w:spacing w:after="0"/>
              <w:rPr>
                <w:rFonts w:ascii="Calibri" w:hAnsi="Calibri" w:cs="Calibri"/>
                <w:sz w:val="20"/>
                <w:szCs w:val="20"/>
              </w:rPr>
            </w:pPr>
            <w:r w:rsidRPr="00FA4E09">
              <w:rPr>
                <w:rFonts w:ascii="Calibri" w:hAnsi="Calibri" w:cs="Calibri"/>
                <w:sz w:val="20"/>
                <w:szCs w:val="20"/>
              </w:rPr>
              <w:t>Pre-Sampling Episode Planning (e.g., pre-sampling coordination with the EPA, review of generic sampling and analysis plan requirements)</w:t>
            </w:r>
          </w:p>
        </w:tc>
        <w:tc>
          <w:tcPr>
            <w:tcW w:w="785" w:type="pct"/>
            <w:tcBorders>
              <w:top w:val="single" w:sz="4" w:space="0" w:color="auto"/>
              <w:bottom w:val="single" w:sz="4" w:space="0" w:color="auto"/>
            </w:tcBorders>
            <w:shd w:val="clear" w:color="auto" w:fill="auto"/>
            <w:vAlign w:val="center"/>
          </w:tcPr>
          <w:p w:rsidR="00B0321C" w:rsidRPr="00FA4E09" w:rsidP="00DD34B4" w14:paraId="4F863CE0" w14:textId="77777777">
            <w:pPr>
              <w:keepNext/>
              <w:spacing w:after="0"/>
              <w:jc w:val="right"/>
              <w:rPr>
                <w:rFonts w:ascii="Calibri" w:hAnsi="Calibri" w:cs="Calibri"/>
                <w:sz w:val="20"/>
                <w:szCs w:val="20"/>
              </w:rPr>
            </w:pPr>
            <w:r w:rsidRPr="00FA4E09">
              <w:rPr>
                <w:rFonts w:ascii="Calibri" w:hAnsi="Calibri" w:cs="Calibri"/>
                <w:sz w:val="20"/>
                <w:szCs w:val="20"/>
              </w:rPr>
              <w:t>10</w:t>
            </w:r>
          </w:p>
        </w:tc>
        <w:tc>
          <w:tcPr>
            <w:tcW w:w="785" w:type="pct"/>
            <w:tcBorders>
              <w:top w:val="single" w:sz="4" w:space="0" w:color="auto"/>
              <w:bottom w:val="single" w:sz="4" w:space="0" w:color="auto"/>
            </w:tcBorders>
            <w:shd w:val="clear" w:color="auto" w:fill="auto"/>
            <w:vAlign w:val="center"/>
          </w:tcPr>
          <w:p w:rsidR="00B0321C" w:rsidRPr="00FA4E09" w:rsidP="00DD34B4" w14:paraId="6BDA460C" w14:textId="77777777">
            <w:pPr>
              <w:keepNext/>
              <w:spacing w:after="0"/>
              <w:jc w:val="right"/>
              <w:rPr>
                <w:rFonts w:ascii="Calibri" w:hAnsi="Calibri" w:cs="Calibri"/>
                <w:sz w:val="20"/>
                <w:szCs w:val="20"/>
              </w:rPr>
            </w:pPr>
            <w:r w:rsidRPr="00FA4E09">
              <w:rPr>
                <w:rFonts w:ascii="Calibri" w:hAnsi="Calibri" w:cs="Calibri"/>
                <w:sz w:val="20"/>
                <w:szCs w:val="20"/>
              </w:rPr>
              <w:t>5</w:t>
            </w:r>
          </w:p>
        </w:tc>
        <w:tc>
          <w:tcPr>
            <w:tcW w:w="785" w:type="pct"/>
            <w:tcBorders>
              <w:top w:val="single" w:sz="4" w:space="0" w:color="auto"/>
              <w:bottom w:val="single" w:sz="4" w:space="0" w:color="auto"/>
            </w:tcBorders>
            <w:shd w:val="clear" w:color="auto" w:fill="auto"/>
            <w:vAlign w:val="center"/>
          </w:tcPr>
          <w:p w:rsidR="00B0321C" w:rsidRPr="00FA4E09" w:rsidP="00DD34B4" w14:paraId="2FBE310C" w14:textId="77777777">
            <w:pPr>
              <w:keepNext/>
              <w:spacing w:after="0"/>
              <w:jc w:val="right"/>
              <w:rPr>
                <w:rFonts w:ascii="Calibri" w:hAnsi="Calibri" w:cs="Calibri"/>
                <w:b/>
                <w:bCs/>
                <w:sz w:val="20"/>
                <w:szCs w:val="20"/>
              </w:rPr>
            </w:pPr>
            <w:r w:rsidRPr="00FA4E09">
              <w:rPr>
                <w:rFonts w:ascii="Calibri" w:hAnsi="Calibri" w:cs="Calibri"/>
                <w:b/>
                <w:bCs/>
                <w:sz w:val="20"/>
                <w:szCs w:val="20"/>
              </w:rPr>
              <w:t>15</w:t>
            </w:r>
          </w:p>
        </w:tc>
      </w:tr>
      <w:tr w14:paraId="02806CC5" w14:textId="77777777">
        <w:tblPrEx>
          <w:tblW w:w="5000" w:type="pct"/>
          <w:jc w:val="center"/>
          <w:tblLayout w:type="fixed"/>
          <w:tblCellMar>
            <w:top w:w="29" w:type="dxa"/>
            <w:left w:w="58" w:type="dxa"/>
            <w:bottom w:w="29" w:type="dxa"/>
            <w:right w:w="58" w:type="dxa"/>
          </w:tblCellMar>
          <w:tblLook w:val="0000"/>
        </w:tblPrEx>
        <w:trPr>
          <w:cantSplit/>
          <w:trHeight w:val="144"/>
          <w:jc w:val="center"/>
        </w:trPr>
        <w:tc>
          <w:tcPr>
            <w:tcW w:w="2644" w:type="pct"/>
            <w:tcBorders>
              <w:top w:val="single" w:sz="4" w:space="0" w:color="auto"/>
              <w:bottom w:val="single" w:sz="4" w:space="0" w:color="auto"/>
            </w:tcBorders>
            <w:shd w:val="clear" w:color="auto" w:fill="auto"/>
            <w:noWrap/>
          </w:tcPr>
          <w:p w:rsidR="00B0321C" w:rsidRPr="00FA4E09" w:rsidP="00DD34B4" w14:paraId="0FEE4FD3" w14:textId="77777777">
            <w:pPr>
              <w:keepNext/>
              <w:spacing w:after="0"/>
              <w:rPr>
                <w:rFonts w:ascii="Calibri" w:hAnsi="Calibri" w:cs="Calibri"/>
                <w:sz w:val="20"/>
                <w:szCs w:val="20"/>
              </w:rPr>
            </w:pPr>
            <w:r w:rsidRPr="00FA4E09">
              <w:rPr>
                <w:rFonts w:ascii="Calibri" w:hAnsi="Calibri" w:cs="Calibri"/>
                <w:sz w:val="20"/>
                <w:szCs w:val="20"/>
              </w:rPr>
              <w:t>Sampling Preparation (e.g., reviewing site-specific sampling requirements, acquiring sampling bottles and supplies, coordinating with laboratories for analysis)</w:t>
            </w:r>
          </w:p>
        </w:tc>
        <w:tc>
          <w:tcPr>
            <w:tcW w:w="785" w:type="pct"/>
            <w:tcBorders>
              <w:top w:val="single" w:sz="4" w:space="0" w:color="auto"/>
              <w:bottom w:val="single" w:sz="4" w:space="0" w:color="auto"/>
            </w:tcBorders>
            <w:shd w:val="clear" w:color="auto" w:fill="auto"/>
            <w:vAlign w:val="center"/>
          </w:tcPr>
          <w:p w:rsidR="00B0321C" w:rsidRPr="00FA4E09" w:rsidP="00DD34B4" w14:paraId="447916A9" w14:textId="77777777">
            <w:pPr>
              <w:keepNext/>
              <w:spacing w:after="0"/>
              <w:jc w:val="right"/>
              <w:rPr>
                <w:rFonts w:ascii="Calibri" w:hAnsi="Calibri" w:cs="Calibri"/>
                <w:sz w:val="20"/>
                <w:szCs w:val="20"/>
              </w:rPr>
            </w:pPr>
            <w:r w:rsidRPr="00FA4E09">
              <w:rPr>
                <w:rFonts w:ascii="Calibri" w:hAnsi="Calibri" w:cs="Calibri"/>
                <w:sz w:val="20"/>
                <w:szCs w:val="20"/>
              </w:rPr>
              <w:t>16</w:t>
            </w:r>
          </w:p>
        </w:tc>
        <w:tc>
          <w:tcPr>
            <w:tcW w:w="785" w:type="pct"/>
            <w:tcBorders>
              <w:top w:val="single" w:sz="4" w:space="0" w:color="auto"/>
              <w:bottom w:val="single" w:sz="4" w:space="0" w:color="auto"/>
            </w:tcBorders>
            <w:shd w:val="clear" w:color="auto" w:fill="auto"/>
            <w:vAlign w:val="center"/>
          </w:tcPr>
          <w:p w:rsidR="00B0321C" w:rsidRPr="00FA4E09" w:rsidP="00DD34B4" w14:paraId="74673665" w14:textId="77777777">
            <w:pPr>
              <w:keepNext/>
              <w:spacing w:after="0"/>
              <w:jc w:val="right"/>
              <w:rPr>
                <w:rFonts w:ascii="Calibri" w:hAnsi="Calibri" w:cs="Calibri"/>
                <w:sz w:val="20"/>
                <w:szCs w:val="20"/>
              </w:rPr>
            </w:pPr>
            <w:r w:rsidRPr="00FA4E09">
              <w:rPr>
                <w:rFonts w:ascii="Calibri" w:hAnsi="Calibri" w:cs="Calibri"/>
                <w:sz w:val="20"/>
                <w:szCs w:val="20"/>
              </w:rPr>
              <w:t>5</w:t>
            </w:r>
          </w:p>
        </w:tc>
        <w:tc>
          <w:tcPr>
            <w:tcW w:w="785" w:type="pct"/>
            <w:tcBorders>
              <w:top w:val="single" w:sz="4" w:space="0" w:color="auto"/>
              <w:bottom w:val="single" w:sz="4" w:space="0" w:color="auto"/>
            </w:tcBorders>
            <w:shd w:val="clear" w:color="auto" w:fill="auto"/>
            <w:vAlign w:val="center"/>
          </w:tcPr>
          <w:p w:rsidR="00B0321C" w:rsidRPr="00FA4E09" w:rsidP="00DD34B4" w14:paraId="369EBB33" w14:textId="77777777">
            <w:pPr>
              <w:keepNext/>
              <w:spacing w:after="0"/>
              <w:jc w:val="right"/>
              <w:rPr>
                <w:rFonts w:ascii="Calibri" w:hAnsi="Calibri" w:cs="Calibri"/>
                <w:b/>
                <w:bCs/>
                <w:sz w:val="20"/>
                <w:szCs w:val="20"/>
              </w:rPr>
            </w:pPr>
            <w:r w:rsidRPr="00FA4E09">
              <w:rPr>
                <w:rFonts w:ascii="Calibri" w:hAnsi="Calibri" w:cs="Calibri"/>
                <w:b/>
                <w:bCs/>
                <w:sz w:val="20"/>
                <w:szCs w:val="20"/>
              </w:rPr>
              <w:t>21</w:t>
            </w:r>
          </w:p>
        </w:tc>
      </w:tr>
      <w:tr w14:paraId="2DB52236" w14:textId="77777777">
        <w:tblPrEx>
          <w:tblW w:w="5000" w:type="pct"/>
          <w:jc w:val="center"/>
          <w:tblLayout w:type="fixed"/>
          <w:tblCellMar>
            <w:top w:w="29" w:type="dxa"/>
            <w:left w:w="58" w:type="dxa"/>
            <w:bottom w:w="29" w:type="dxa"/>
            <w:right w:w="58" w:type="dxa"/>
          </w:tblCellMar>
          <w:tblLook w:val="0000"/>
        </w:tblPrEx>
        <w:trPr>
          <w:cantSplit/>
          <w:trHeight w:val="144"/>
          <w:jc w:val="center"/>
        </w:trPr>
        <w:tc>
          <w:tcPr>
            <w:tcW w:w="2644" w:type="pct"/>
            <w:tcBorders>
              <w:top w:val="single" w:sz="4" w:space="0" w:color="auto"/>
              <w:bottom w:val="single" w:sz="4" w:space="0" w:color="auto"/>
            </w:tcBorders>
            <w:shd w:val="clear" w:color="auto" w:fill="auto"/>
            <w:noWrap/>
          </w:tcPr>
          <w:p w:rsidR="00B0321C" w:rsidRPr="00FA4E09" w:rsidP="00DD34B4" w14:paraId="13D981DC" w14:textId="5C7A883A">
            <w:pPr>
              <w:keepNext/>
              <w:spacing w:after="0"/>
              <w:rPr>
                <w:rFonts w:ascii="Calibri" w:hAnsi="Calibri" w:cs="Calibri"/>
                <w:sz w:val="20"/>
                <w:szCs w:val="20"/>
              </w:rPr>
            </w:pPr>
            <w:r w:rsidRPr="00FA4E09">
              <w:rPr>
                <w:rFonts w:ascii="Calibri" w:hAnsi="Calibri" w:cs="Calibri"/>
                <w:sz w:val="20"/>
                <w:szCs w:val="20"/>
              </w:rPr>
              <w:t xml:space="preserve">Sample Collection (assumes one full day for two POTW operators to collect required Phase </w:t>
            </w:r>
            <w:r w:rsidRPr="00FA4E09" w:rsidR="001409D5">
              <w:rPr>
                <w:rFonts w:ascii="Calibri" w:hAnsi="Calibri" w:cs="Calibri"/>
                <w:sz w:val="20"/>
                <w:szCs w:val="20"/>
              </w:rPr>
              <w:t>I</w:t>
            </w:r>
            <w:r w:rsidRPr="00FA4E09">
              <w:rPr>
                <w:rFonts w:ascii="Calibri" w:hAnsi="Calibri" w:cs="Calibri"/>
                <w:sz w:val="20"/>
                <w:szCs w:val="20"/>
              </w:rPr>
              <w:t xml:space="preserve"> wastewater samples, one half day for two POTW operators to collect required Phase </w:t>
            </w:r>
            <w:r w:rsidRPr="00FA4E09" w:rsidR="00C17F90">
              <w:rPr>
                <w:rFonts w:ascii="Calibri" w:hAnsi="Calibri" w:cs="Calibri"/>
                <w:sz w:val="20"/>
                <w:szCs w:val="20"/>
              </w:rPr>
              <w:t>II</w:t>
            </w:r>
            <w:r w:rsidRPr="00FA4E09">
              <w:rPr>
                <w:rFonts w:ascii="Calibri" w:hAnsi="Calibri" w:cs="Calibri"/>
                <w:sz w:val="20"/>
                <w:szCs w:val="20"/>
              </w:rPr>
              <w:t xml:space="preserve"> sewage </w:t>
            </w:r>
            <w:r w:rsidRPr="00FA4E09" w:rsidR="000077A0">
              <w:rPr>
                <w:rFonts w:ascii="Calibri" w:hAnsi="Calibri" w:cs="Calibri"/>
                <w:sz w:val="20"/>
                <w:szCs w:val="20"/>
              </w:rPr>
              <w:t>sludge</w:t>
            </w:r>
            <w:r w:rsidRPr="00FA4E09">
              <w:rPr>
                <w:rFonts w:ascii="Calibri" w:hAnsi="Calibri" w:cs="Calibri"/>
                <w:sz w:val="20"/>
                <w:szCs w:val="20"/>
              </w:rPr>
              <w:t xml:space="preserve"> samples, and 4 hours for manager oversight)</w:t>
            </w:r>
          </w:p>
        </w:tc>
        <w:tc>
          <w:tcPr>
            <w:tcW w:w="785" w:type="pct"/>
            <w:tcBorders>
              <w:top w:val="single" w:sz="4" w:space="0" w:color="auto"/>
              <w:bottom w:val="single" w:sz="4" w:space="0" w:color="auto"/>
            </w:tcBorders>
            <w:shd w:val="clear" w:color="auto" w:fill="auto"/>
            <w:vAlign w:val="center"/>
          </w:tcPr>
          <w:p w:rsidR="00B0321C" w:rsidRPr="00FA4E09" w:rsidP="00DD34B4" w14:paraId="1A57828F" w14:textId="77777777">
            <w:pPr>
              <w:keepNext/>
              <w:spacing w:after="0"/>
              <w:jc w:val="right"/>
              <w:rPr>
                <w:rFonts w:ascii="Calibri" w:hAnsi="Calibri" w:cs="Calibri"/>
                <w:sz w:val="20"/>
                <w:szCs w:val="20"/>
              </w:rPr>
            </w:pPr>
            <w:r w:rsidRPr="00FA4E09">
              <w:rPr>
                <w:rFonts w:ascii="Calibri" w:hAnsi="Calibri" w:cs="Calibri"/>
                <w:sz w:val="20"/>
                <w:szCs w:val="20"/>
              </w:rPr>
              <w:t>24</w:t>
            </w:r>
          </w:p>
        </w:tc>
        <w:tc>
          <w:tcPr>
            <w:tcW w:w="785" w:type="pct"/>
            <w:tcBorders>
              <w:top w:val="single" w:sz="4" w:space="0" w:color="auto"/>
              <w:bottom w:val="single" w:sz="4" w:space="0" w:color="auto"/>
            </w:tcBorders>
            <w:shd w:val="clear" w:color="auto" w:fill="auto"/>
            <w:vAlign w:val="center"/>
          </w:tcPr>
          <w:p w:rsidR="00B0321C" w:rsidRPr="00FA4E09" w:rsidP="00DD34B4" w14:paraId="2A3863D2" w14:textId="77777777">
            <w:pPr>
              <w:keepNext/>
              <w:spacing w:after="0"/>
              <w:jc w:val="right"/>
              <w:rPr>
                <w:rFonts w:ascii="Calibri" w:hAnsi="Calibri" w:cs="Calibri"/>
                <w:sz w:val="20"/>
                <w:szCs w:val="20"/>
              </w:rPr>
            </w:pPr>
            <w:r w:rsidRPr="00FA4E09">
              <w:rPr>
                <w:rFonts w:ascii="Calibri" w:hAnsi="Calibri" w:cs="Calibri"/>
                <w:color w:val="000000"/>
                <w:sz w:val="20"/>
                <w:szCs w:val="20"/>
              </w:rPr>
              <w:t>4</w:t>
            </w:r>
          </w:p>
        </w:tc>
        <w:tc>
          <w:tcPr>
            <w:tcW w:w="785" w:type="pct"/>
            <w:tcBorders>
              <w:top w:val="single" w:sz="4" w:space="0" w:color="auto"/>
              <w:bottom w:val="single" w:sz="4" w:space="0" w:color="auto"/>
            </w:tcBorders>
            <w:shd w:val="clear" w:color="auto" w:fill="auto"/>
            <w:vAlign w:val="center"/>
          </w:tcPr>
          <w:p w:rsidR="00B0321C" w:rsidRPr="00FA4E09" w:rsidP="00DD34B4" w14:paraId="505A27C9" w14:textId="77777777">
            <w:pPr>
              <w:keepNext/>
              <w:spacing w:after="0"/>
              <w:jc w:val="right"/>
              <w:rPr>
                <w:rFonts w:ascii="Calibri" w:hAnsi="Calibri" w:cs="Calibri"/>
                <w:b/>
                <w:bCs/>
                <w:sz w:val="20"/>
                <w:szCs w:val="20"/>
              </w:rPr>
            </w:pPr>
            <w:r w:rsidRPr="00FA4E09">
              <w:rPr>
                <w:rFonts w:ascii="Calibri" w:hAnsi="Calibri" w:cs="Calibri"/>
                <w:b/>
                <w:bCs/>
                <w:sz w:val="20"/>
                <w:szCs w:val="20"/>
              </w:rPr>
              <w:t>28</w:t>
            </w:r>
          </w:p>
        </w:tc>
      </w:tr>
      <w:tr w14:paraId="3721F7BC" w14:textId="77777777">
        <w:tblPrEx>
          <w:tblW w:w="5000" w:type="pct"/>
          <w:jc w:val="center"/>
          <w:tblLayout w:type="fixed"/>
          <w:tblCellMar>
            <w:top w:w="29" w:type="dxa"/>
            <w:left w:w="58" w:type="dxa"/>
            <w:bottom w:w="29" w:type="dxa"/>
            <w:right w:w="58" w:type="dxa"/>
          </w:tblCellMar>
          <w:tblLook w:val="0000"/>
        </w:tblPrEx>
        <w:trPr>
          <w:cantSplit/>
          <w:trHeight w:val="144"/>
          <w:jc w:val="center"/>
        </w:trPr>
        <w:tc>
          <w:tcPr>
            <w:tcW w:w="2644" w:type="pct"/>
            <w:tcBorders>
              <w:top w:val="single" w:sz="4" w:space="0" w:color="auto"/>
              <w:bottom w:val="single" w:sz="4" w:space="0" w:color="auto"/>
            </w:tcBorders>
            <w:shd w:val="clear" w:color="auto" w:fill="auto"/>
            <w:noWrap/>
          </w:tcPr>
          <w:p w:rsidR="00B0321C" w:rsidRPr="00FA4E09" w:rsidP="00DD34B4" w14:paraId="18EE4371" w14:textId="77777777">
            <w:pPr>
              <w:keepNext/>
              <w:spacing w:after="0"/>
              <w:rPr>
                <w:rFonts w:ascii="Calibri" w:hAnsi="Calibri" w:cs="Calibri"/>
                <w:sz w:val="20"/>
                <w:szCs w:val="20"/>
              </w:rPr>
            </w:pPr>
            <w:r w:rsidRPr="00FA4E09">
              <w:rPr>
                <w:rFonts w:ascii="Calibri" w:hAnsi="Calibri" w:cs="Calibri"/>
                <w:sz w:val="20"/>
                <w:szCs w:val="20"/>
              </w:rPr>
              <w:t>Sample Cooling and Shipment (e.g., cooling samples, packing and preparing coolers for shipment)</w:t>
            </w:r>
          </w:p>
        </w:tc>
        <w:tc>
          <w:tcPr>
            <w:tcW w:w="785" w:type="pct"/>
            <w:tcBorders>
              <w:top w:val="single" w:sz="4" w:space="0" w:color="auto"/>
              <w:bottom w:val="single" w:sz="4" w:space="0" w:color="auto"/>
            </w:tcBorders>
            <w:shd w:val="clear" w:color="auto" w:fill="auto"/>
            <w:vAlign w:val="center"/>
          </w:tcPr>
          <w:p w:rsidR="00B0321C" w:rsidRPr="00FA4E09" w:rsidP="00DD34B4" w14:paraId="079E0704" w14:textId="77777777">
            <w:pPr>
              <w:keepNext/>
              <w:spacing w:after="0"/>
              <w:jc w:val="right"/>
              <w:rPr>
                <w:rFonts w:ascii="Calibri" w:hAnsi="Calibri" w:cs="Calibri"/>
                <w:sz w:val="20"/>
                <w:szCs w:val="20"/>
              </w:rPr>
            </w:pPr>
            <w:r w:rsidRPr="00FA4E09">
              <w:rPr>
                <w:rFonts w:ascii="Calibri" w:hAnsi="Calibri" w:cs="Calibri"/>
                <w:sz w:val="20"/>
                <w:szCs w:val="20"/>
              </w:rPr>
              <w:t>6</w:t>
            </w:r>
          </w:p>
        </w:tc>
        <w:tc>
          <w:tcPr>
            <w:tcW w:w="785" w:type="pct"/>
            <w:tcBorders>
              <w:top w:val="single" w:sz="4" w:space="0" w:color="auto"/>
              <w:bottom w:val="single" w:sz="4" w:space="0" w:color="auto"/>
            </w:tcBorders>
            <w:shd w:val="clear" w:color="auto" w:fill="auto"/>
            <w:vAlign w:val="center"/>
          </w:tcPr>
          <w:p w:rsidR="00B0321C" w:rsidRPr="00FA4E09" w:rsidP="00DD34B4" w14:paraId="547FEA6F" w14:textId="77777777">
            <w:pPr>
              <w:keepNext/>
              <w:spacing w:after="0"/>
              <w:jc w:val="right"/>
              <w:rPr>
                <w:rFonts w:ascii="Calibri" w:hAnsi="Calibri" w:cs="Calibri"/>
                <w:sz w:val="20"/>
                <w:szCs w:val="20"/>
              </w:rPr>
            </w:pPr>
            <w:r w:rsidRPr="00FA4E09">
              <w:rPr>
                <w:rFonts w:ascii="Calibri" w:hAnsi="Calibri" w:cs="Calibri"/>
                <w:sz w:val="20"/>
                <w:szCs w:val="20"/>
              </w:rPr>
              <w:t>--</w:t>
            </w:r>
          </w:p>
        </w:tc>
        <w:tc>
          <w:tcPr>
            <w:tcW w:w="785" w:type="pct"/>
            <w:tcBorders>
              <w:top w:val="single" w:sz="4" w:space="0" w:color="auto"/>
              <w:bottom w:val="single" w:sz="4" w:space="0" w:color="auto"/>
            </w:tcBorders>
            <w:shd w:val="clear" w:color="auto" w:fill="auto"/>
            <w:vAlign w:val="center"/>
          </w:tcPr>
          <w:p w:rsidR="00B0321C" w:rsidRPr="00FA4E09" w:rsidP="00DD34B4" w14:paraId="4A519730" w14:textId="77777777">
            <w:pPr>
              <w:keepNext/>
              <w:spacing w:after="0"/>
              <w:jc w:val="right"/>
              <w:rPr>
                <w:rFonts w:ascii="Calibri" w:hAnsi="Calibri" w:cs="Calibri"/>
                <w:b/>
                <w:bCs/>
                <w:sz w:val="20"/>
                <w:szCs w:val="20"/>
              </w:rPr>
            </w:pPr>
            <w:r w:rsidRPr="00FA4E09">
              <w:rPr>
                <w:rFonts w:ascii="Calibri" w:hAnsi="Calibri" w:cs="Calibri"/>
                <w:b/>
                <w:bCs/>
                <w:sz w:val="20"/>
                <w:szCs w:val="20"/>
              </w:rPr>
              <w:t>6</w:t>
            </w:r>
          </w:p>
        </w:tc>
      </w:tr>
      <w:tr w14:paraId="3D2F2DF0" w14:textId="77777777">
        <w:tblPrEx>
          <w:tblW w:w="5000" w:type="pct"/>
          <w:jc w:val="center"/>
          <w:tblLayout w:type="fixed"/>
          <w:tblCellMar>
            <w:top w:w="29" w:type="dxa"/>
            <w:left w:w="58" w:type="dxa"/>
            <w:bottom w:w="29" w:type="dxa"/>
            <w:right w:w="58" w:type="dxa"/>
          </w:tblCellMar>
          <w:tblLook w:val="0000"/>
        </w:tblPrEx>
        <w:trPr>
          <w:cantSplit/>
          <w:trHeight w:val="144"/>
          <w:jc w:val="center"/>
        </w:trPr>
        <w:tc>
          <w:tcPr>
            <w:tcW w:w="2644" w:type="pct"/>
            <w:tcBorders>
              <w:top w:val="single" w:sz="4" w:space="0" w:color="auto"/>
              <w:bottom w:val="single" w:sz="4" w:space="0" w:color="auto"/>
            </w:tcBorders>
            <w:shd w:val="clear" w:color="auto" w:fill="auto"/>
            <w:noWrap/>
          </w:tcPr>
          <w:p w:rsidR="00B0321C" w:rsidRPr="00FA4E09" w:rsidP="00DD34B4" w14:paraId="2D29C555" w14:textId="77777777">
            <w:pPr>
              <w:keepNext/>
              <w:spacing w:after="0"/>
              <w:rPr>
                <w:rFonts w:ascii="Calibri" w:hAnsi="Calibri" w:cs="Calibri"/>
                <w:sz w:val="20"/>
                <w:szCs w:val="20"/>
              </w:rPr>
            </w:pPr>
            <w:r w:rsidRPr="00FA4E09">
              <w:rPr>
                <w:rFonts w:ascii="Calibri" w:hAnsi="Calibri" w:cs="Calibri"/>
                <w:sz w:val="20"/>
                <w:szCs w:val="20"/>
              </w:rPr>
              <w:t>Sample Results Review and Submission (e.g., receipt and review of laboratory results, compiling data into standardized format, submission to the EPA)</w:t>
            </w:r>
          </w:p>
        </w:tc>
        <w:tc>
          <w:tcPr>
            <w:tcW w:w="785" w:type="pct"/>
            <w:tcBorders>
              <w:top w:val="single" w:sz="4" w:space="0" w:color="auto"/>
              <w:bottom w:val="single" w:sz="4" w:space="0" w:color="auto"/>
            </w:tcBorders>
            <w:shd w:val="clear" w:color="auto" w:fill="auto"/>
            <w:vAlign w:val="center"/>
          </w:tcPr>
          <w:p w:rsidR="00B0321C" w:rsidRPr="00FA4E09" w:rsidP="00DD34B4" w14:paraId="36842625" w14:textId="77777777">
            <w:pPr>
              <w:keepNext/>
              <w:spacing w:after="0"/>
              <w:jc w:val="right"/>
              <w:rPr>
                <w:rFonts w:ascii="Calibri" w:hAnsi="Calibri" w:cs="Calibri"/>
                <w:sz w:val="20"/>
                <w:szCs w:val="20"/>
              </w:rPr>
            </w:pPr>
            <w:r w:rsidRPr="00FA4E09">
              <w:rPr>
                <w:rFonts w:ascii="Calibri" w:hAnsi="Calibri" w:cs="Calibri"/>
                <w:sz w:val="20"/>
                <w:szCs w:val="20"/>
              </w:rPr>
              <w:t>8</w:t>
            </w:r>
          </w:p>
        </w:tc>
        <w:tc>
          <w:tcPr>
            <w:tcW w:w="785" w:type="pct"/>
            <w:tcBorders>
              <w:top w:val="single" w:sz="4" w:space="0" w:color="auto"/>
              <w:bottom w:val="single" w:sz="4" w:space="0" w:color="auto"/>
            </w:tcBorders>
            <w:shd w:val="clear" w:color="auto" w:fill="auto"/>
            <w:vAlign w:val="center"/>
          </w:tcPr>
          <w:p w:rsidR="00B0321C" w:rsidRPr="00FA4E09" w:rsidP="00DD34B4" w14:paraId="06B8323C" w14:textId="77777777">
            <w:pPr>
              <w:keepNext/>
              <w:spacing w:after="0"/>
              <w:jc w:val="right"/>
              <w:rPr>
                <w:rFonts w:ascii="Calibri" w:hAnsi="Calibri" w:cs="Calibri"/>
                <w:sz w:val="20"/>
                <w:szCs w:val="20"/>
              </w:rPr>
            </w:pPr>
            <w:r w:rsidRPr="00FA4E09">
              <w:rPr>
                <w:rFonts w:ascii="Calibri" w:hAnsi="Calibri" w:cs="Calibri"/>
                <w:sz w:val="20"/>
                <w:szCs w:val="20"/>
              </w:rPr>
              <w:t>4</w:t>
            </w:r>
          </w:p>
        </w:tc>
        <w:tc>
          <w:tcPr>
            <w:tcW w:w="785" w:type="pct"/>
            <w:tcBorders>
              <w:top w:val="single" w:sz="4" w:space="0" w:color="auto"/>
              <w:bottom w:val="single" w:sz="4" w:space="0" w:color="auto"/>
            </w:tcBorders>
            <w:shd w:val="clear" w:color="auto" w:fill="auto"/>
            <w:vAlign w:val="center"/>
          </w:tcPr>
          <w:p w:rsidR="00B0321C" w:rsidRPr="00FA4E09" w:rsidP="00DD34B4" w14:paraId="636BE4A3" w14:textId="77777777">
            <w:pPr>
              <w:keepNext/>
              <w:spacing w:after="0"/>
              <w:jc w:val="right"/>
              <w:rPr>
                <w:rFonts w:ascii="Calibri" w:hAnsi="Calibri" w:cs="Calibri"/>
                <w:b/>
                <w:bCs/>
                <w:sz w:val="20"/>
                <w:szCs w:val="20"/>
              </w:rPr>
            </w:pPr>
            <w:r w:rsidRPr="00FA4E09">
              <w:rPr>
                <w:rFonts w:ascii="Calibri" w:hAnsi="Calibri" w:cs="Calibri"/>
                <w:b/>
                <w:bCs/>
                <w:sz w:val="20"/>
                <w:szCs w:val="20"/>
              </w:rPr>
              <w:t>12</w:t>
            </w:r>
          </w:p>
        </w:tc>
      </w:tr>
      <w:tr w14:paraId="50042563" w14:textId="77777777">
        <w:tblPrEx>
          <w:tblW w:w="5000" w:type="pct"/>
          <w:jc w:val="center"/>
          <w:tblLayout w:type="fixed"/>
          <w:tblCellMar>
            <w:top w:w="29" w:type="dxa"/>
            <w:left w:w="58" w:type="dxa"/>
            <w:bottom w:w="29" w:type="dxa"/>
            <w:right w:w="58" w:type="dxa"/>
          </w:tblCellMar>
          <w:tblLook w:val="0000"/>
        </w:tblPrEx>
        <w:trPr>
          <w:cantSplit/>
          <w:trHeight w:val="144"/>
          <w:jc w:val="center"/>
        </w:trPr>
        <w:tc>
          <w:tcPr>
            <w:tcW w:w="2644" w:type="pct"/>
            <w:tcBorders>
              <w:top w:val="single" w:sz="4" w:space="0" w:color="auto"/>
              <w:bottom w:val="double" w:sz="4" w:space="0" w:color="auto"/>
            </w:tcBorders>
            <w:shd w:val="clear" w:color="auto" w:fill="auto"/>
            <w:noWrap/>
            <w:vAlign w:val="center"/>
          </w:tcPr>
          <w:p w:rsidR="00B0321C" w:rsidRPr="00FA4E09" w:rsidP="00DD34B4" w14:paraId="5602192B" w14:textId="77777777">
            <w:pPr>
              <w:spacing w:after="0"/>
              <w:jc w:val="right"/>
              <w:rPr>
                <w:rFonts w:ascii="Calibri" w:hAnsi="Calibri" w:cs="Calibri"/>
                <w:b/>
                <w:bCs/>
                <w:sz w:val="20"/>
                <w:szCs w:val="20"/>
              </w:rPr>
            </w:pPr>
            <w:r w:rsidRPr="00FA4E09">
              <w:rPr>
                <w:rFonts w:ascii="Calibri" w:hAnsi="Calibri" w:cs="Calibri"/>
                <w:b/>
                <w:bCs/>
                <w:sz w:val="20"/>
                <w:szCs w:val="20"/>
              </w:rPr>
              <w:t xml:space="preserve">Total Per Facility </w:t>
            </w:r>
          </w:p>
        </w:tc>
        <w:tc>
          <w:tcPr>
            <w:tcW w:w="785" w:type="pct"/>
            <w:tcBorders>
              <w:top w:val="single" w:sz="4" w:space="0" w:color="auto"/>
              <w:bottom w:val="double" w:sz="4" w:space="0" w:color="auto"/>
            </w:tcBorders>
            <w:shd w:val="clear" w:color="auto" w:fill="auto"/>
            <w:vAlign w:val="center"/>
          </w:tcPr>
          <w:p w:rsidR="00B0321C" w:rsidRPr="00FA4E09" w:rsidP="00DD34B4" w14:paraId="298C5D51" w14:textId="77777777">
            <w:pPr>
              <w:spacing w:after="0"/>
              <w:jc w:val="right"/>
              <w:rPr>
                <w:rFonts w:ascii="Calibri" w:hAnsi="Calibri" w:cs="Calibri"/>
                <w:b/>
                <w:bCs/>
                <w:sz w:val="20"/>
                <w:szCs w:val="20"/>
              </w:rPr>
            </w:pPr>
            <w:r w:rsidRPr="00FA4E09">
              <w:rPr>
                <w:rFonts w:ascii="Calibri" w:hAnsi="Calibri" w:cs="Calibri"/>
                <w:b/>
                <w:bCs/>
                <w:sz w:val="20"/>
                <w:szCs w:val="20"/>
              </w:rPr>
              <w:t>64</w:t>
            </w:r>
          </w:p>
        </w:tc>
        <w:tc>
          <w:tcPr>
            <w:tcW w:w="785" w:type="pct"/>
            <w:tcBorders>
              <w:top w:val="single" w:sz="4" w:space="0" w:color="auto"/>
              <w:bottom w:val="double" w:sz="4" w:space="0" w:color="auto"/>
            </w:tcBorders>
            <w:shd w:val="clear" w:color="auto" w:fill="auto"/>
            <w:vAlign w:val="center"/>
          </w:tcPr>
          <w:p w:rsidR="00B0321C" w:rsidRPr="00FA4E09" w:rsidP="00DD34B4" w14:paraId="08E4A5F9" w14:textId="77777777">
            <w:pPr>
              <w:spacing w:after="0"/>
              <w:jc w:val="right"/>
              <w:rPr>
                <w:rFonts w:ascii="Calibri" w:hAnsi="Calibri" w:cs="Calibri"/>
                <w:b/>
                <w:bCs/>
                <w:sz w:val="20"/>
                <w:szCs w:val="20"/>
              </w:rPr>
            </w:pPr>
            <w:r w:rsidRPr="00FA4E09">
              <w:rPr>
                <w:rFonts w:ascii="Calibri" w:hAnsi="Calibri" w:cs="Calibri"/>
                <w:b/>
                <w:bCs/>
                <w:sz w:val="20"/>
                <w:szCs w:val="20"/>
              </w:rPr>
              <w:t>18</w:t>
            </w:r>
          </w:p>
        </w:tc>
        <w:tc>
          <w:tcPr>
            <w:tcW w:w="785" w:type="pct"/>
            <w:tcBorders>
              <w:top w:val="single" w:sz="4" w:space="0" w:color="auto"/>
              <w:bottom w:val="double" w:sz="4" w:space="0" w:color="auto"/>
            </w:tcBorders>
            <w:shd w:val="clear" w:color="auto" w:fill="auto"/>
            <w:vAlign w:val="center"/>
          </w:tcPr>
          <w:p w:rsidR="00B0321C" w:rsidRPr="00FA4E09" w:rsidP="00DD34B4" w14:paraId="46C0081D" w14:textId="77777777">
            <w:pPr>
              <w:spacing w:after="0"/>
              <w:jc w:val="right"/>
              <w:rPr>
                <w:rFonts w:ascii="Calibri" w:hAnsi="Calibri" w:cs="Calibri"/>
                <w:b/>
                <w:bCs/>
                <w:sz w:val="20"/>
                <w:szCs w:val="20"/>
              </w:rPr>
            </w:pPr>
            <w:r w:rsidRPr="00FA4E09">
              <w:rPr>
                <w:rFonts w:ascii="Calibri" w:hAnsi="Calibri" w:cs="Calibri"/>
                <w:b/>
                <w:bCs/>
                <w:sz w:val="20"/>
                <w:szCs w:val="20"/>
              </w:rPr>
              <w:t>82</w:t>
            </w:r>
          </w:p>
        </w:tc>
      </w:tr>
    </w:tbl>
    <w:p w:rsidR="00B0321C" w:rsidRPr="00FA4E09" w:rsidP="00B0321C" w14:paraId="2FAF399C" w14:textId="77777777">
      <w:pPr>
        <w:spacing w:before="60"/>
        <w:rPr>
          <w:rFonts w:ascii="Calibri" w:hAnsi="Calibri" w:cs="Calibri"/>
        </w:rPr>
      </w:pPr>
    </w:p>
    <w:p w:rsidR="00D92ED6" w:rsidRPr="00FA4E09" w:rsidP="00854AAE" w14:paraId="0B6BE1C2" w14:textId="3F49A8F0">
      <w:pPr>
        <w:spacing w:before="120" w:after="0"/>
        <w:rPr>
          <w:rFonts w:ascii="Calibri" w:hAnsi="Calibri" w:cs="Calibri"/>
          <w:b/>
          <w:bCs/>
        </w:rPr>
      </w:pPr>
      <w:r w:rsidRPr="00FA4E09">
        <w:rPr>
          <w:rFonts w:ascii="Calibri" w:hAnsi="Calibri" w:cs="Calibri"/>
          <w:b/>
          <w:bCs/>
        </w:rPr>
        <w:t xml:space="preserve">12d. </w:t>
      </w:r>
      <w:r w:rsidRPr="00FA4E09">
        <w:rPr>
          <w:rFonts w:ascii="Calibri" w:hAnsi="Calibri" w:cs="Calibri"/>
          <w:b/>
          <w:bCs/>
        </w:rPr>
        <w:t xml:space="preserve">Respondent </w:t>
      </w:r>
      <w:r w:rsidRPr="00FA4E09" w:rsidR="00BB2B15">
        <w:rPr>
          <w:rFonts w:ascii="Calibri" w:hAnsi="Calibri" w:cs="Calibri"/>
          <w:b/>
          <w:bCs/>
        </w:rPr>
        <w:t xml:space="preserve">Burden </w:t>
      </w:r>
      <w:r w:rsidRPr="00FA4E09" w:rsidR="00B666CD">
        <w:rPr>
          <w:rFonts w:ascii="Calibri" w:hAnsi="Calibri" w:cs="Calibri"/>
          <w:b/>
          <w:bCs/>
        </w:rPr>
        <w:t>Hour</w:t>
      </w:r>
      <w:r w:rsidRPr="00FA4E09" w:rsidR="00BB2B15">
        <w:rPr>
          <w:rFonts w:ascii="Calibri" w:hAnsi="Calibri" w:cs="Calibri"/>
          <w:b/>
          <w:bCs/>
        </w:rPr>
        <w:t>s</w:t>
      </w:r>
      <w:r w:rsidRPr="00FA4E09" w:rsidR="00B666CD">
        <w:rPr>
          <w:rFonts w:ascii="Calibri" w:hAnsi="Calibri" w:cs="Calibri"/>
          <w:b/>
          <w:bCs/>
        </w:rPr>
        <w:t xml:space="preserve"> and Labor </w:t>
      </w:r>
      <w:bookmarkEnd w:id="18"/>
      <w:r w:rsidRPr="00FA4E09" w:rsidR="00BB2B15">
        <w:rPr>
          <w:rFonts w:ascii="Calibri" w:hAnsi="Calibri" w:cs="Calibri"/>
          <w:b/>
          <w:bCs/>
        </w:rPr>
        <w:t>Costs</w:t>
      </w:r>
    </w:p>
    <w:p w:rsidR="00B0321C" w:rsidRPr="00FA4E09" w:rsidP="00B0321C" w14:paraId="64A0447C" w14:textId="2282F15D">
      <w:pPr>
        <w:spacing w:before="60"/>
        <w:rPr>
          <w:rFonts w:ascii="Calibri" w:hAnsi="Calibri" w:cs="Calibri"/>
          <w:color w:val="000000"/>
        </w:rPr>
      </w:pPr>
      <w:r w:rsidRPr="00FA4E09">
        <w:rPr>
          <w:rFonts w:ascii="Calibri" w:hAnsi="Calibri" w:cs="Calibri"/>
          <w:color w:val="000000"/>
        </w:rPr>
        <w:t xml:space="preserve">The EPA obtained mean labor rates from the May 2022, United States Department of Labor, Bureau of Labor Statistics website for NAICS code 221300 (Water, Sewage and Other Systems). </w:t>
      </w:r>
      <w:r w:rsidRPr="00FA4E09" w:rsidR="00BB6928">
        <w:rPr>
          <w:rFonts w:ascii="Calibri" w:hAnsi="Calibri" w:cs="Calibri"/>
          <w:color w:val="000000"/>
        </w:rPr>
        <w:fldChar w:fldCharType="begin"/>
      </w:r>
      <w:r w:rsidRPr="00FA4E09" w:rsidR="00BB6928">
        <w:rPr>
          <w:rFonts w:ascii="Calibri" w:hAnsi="Calibri" w:cs="Calibri"/>
          <w:color w:val="000000"/>
        </w:rPr>
        <w:instrText xml:space="preserve"> REF _Ref461114218 \h </w:instrText>
      </w:r>
      <w:r w:rsidRPr="00FA4E09" w:rsidR="00120593">
        <w:rPr>
          <w:rFonts w:ascii="Calibri" w:hAnsi="Calibri" w:cs="Calibri"/>
          <w:color w:val="000000"/>
        </w:rPr>
        <w:instrText xml:space="preserve"> \* MERGEFORMAT </w:instrText>
      </w:r>
      <w:r w:rsidRPr="00FA4E09" w:rsidR="00BB6928">
        <w:rPr>
          <w:rFonts w:ascii="Calibri" w:hAnsi="Calibri" w:cs="Calibri"/>
          <w:color w:val="000000"/>
        </w:rPr>
        <w:fldChar w:fldCharType="separate"/>
      </w:r>
      <w:r w:rsidRPr="00EC641E" w:rsidR="00A41D1F">
        <w:rPr>
          <w:rFonts w:ascii="Calibri" w:hAnsi="Calibri" w:cs="Calibri"/>
          <w:color w:val="000000"/>
        </w:rPr>
        <w:t>Table 12-4</w:t>
      </w:r>
      <w:r w:rsidRPr="00FA4E09" w:rsidR="00BB6928">
        <w:rPr>
          <w:rFonts w:ascii="Calibri" w:hAnsi="Calibri" w:cs="Calibri"/>
          <w:color w:val="000000"/>
        </w:rPr>
        <w:fldChar w:fldCharType="end"/>
      </w:r>
      <w:r w:rsidRPr="00FA4E09">
        <w:rPr>
          <w:rFonts w:ascii="Calibri" w:hAnsi="Calibri" w:cs="Calibri"/>
          <w:color w:val="000000"/>
        </w:rPr>
        <w:t xml:space="preserve"> presents the labor data for 2022 (the latest year for which data are available) for the labor categories representing an operator, engineer, and operations manager. To account for additional costs to the employer for benefits and overhead, the EPA calculated an 80 percent increase in the mean hourly pre-tax earnings rate for each labor category. The EPA used these calculated labor rates for the burden estimates.</w:t>
      </w:r>
    </w:p>
    <w:p w:rsidR="00B0321C" w:rsidRPr="00FA4E09" w:rsidP="00B0321C" w14:paraId="73703E75" w14:textId="6EEB56B3">
      <w:pPr>
        <w:pStyle w:val="TableTitle"/>
        <w:rPr>
          <w:rFonts w:eastAsiaTheme="minorEastAsia"/>
          <w:bCs/>
          <w:smallCaps/>
          <w:spacing w:val="6"/>
          <w:sz w:val="24"/>
          <w:szCs w:val="18"/>
        </w:rPr>
      </w:pPr>
      <w:bookmarkStart w:id="28" w:name="_Ref461114218"/>
      <w:bookmarkStart w:id="29" w:name="_Toc97891776"/>
      <w:bookmarkStart w:id="30" w:name="_Toc157787720"/>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12</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4</w:t>
      </w:r>
      <w:r w:rsidRPr="00FA4E09">
        <w:rPr>
          <w:rFonts w:eastAsiaTheme="minorEastAsia"/>
          <w:bCs/>
          <w:smallCaps/>
          <w:spacing w:val="6"/>
          <w:sz w:val="24"/>
          <w:szCs w:val="18"/>
        </w:rPr>
        <w:fldChar w:fldCharType="end"/>
      </w:r>
      <w:bookmarkEnd w:id="28"/>
      <w:r w:rsidRPr="00FA4E09">
        <w:rPr>
          <w:rFonts w:eastAsiaTheme="minorEastAsia"/>
          <w:bCs/>
          <w:smallCaps/>
          <w:spacing w:val="6"/>
          <w:sz w:val="24"/>
          <w:szCs w:val="18"/>
        </w:rPr>
        <w:t xml:space="preserve">. </w:t>
      </w:r>
      <w:bookmarkEnd w:id="29"/>
      <w:r w:rsidRPr="00FA4E09">
        <w:rPr>
          <w:rFonts w:eastAsiaTheme="minorEastAsia"/>
          <w:bCs/>
          <w:smallCaps/>
          <w:spacing w:val="6"/>
          <w:sz w:val="24"/>
          <w:szCs w:val="18"/>
        </w:rPr>
        <w:t>2022 Mean Hourly Rates by Labor Category</w:t>
      </w:r>
      <w:bookmarkEnd w:id="30"/>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
      <w:tblGrid>
        <w:gridCol w:w="3005"/>
        <w:gridCol w:w="2157"/>
        <w:gridCol w:w="2157"/>
        <w:gridCol w:w="2157"/>
      </w:tblGrid>
      <w:tr w14:paraId="08ADC323" w14:textId="77777777">
        <w:tblPrEx>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Ex>
        <w:trPr>
          <w:cantSplit/>
          <w:jc w:val="center"/>
        </w:trPr>
        <w:tc>
          <w:tcPr>
            <w:tcW w:w="1586" w:type="pct"/>
            <w:tcBorders>
              <w:top w:val="double" w:sz="6" w:space="0" w:color="auto"/>
              <w:bottom w:val="single" w:sz="6" w:space="0" w:color="auto"/>
            </w:tcBorders>
            <w:shd w:val="clear" w:color="auto" w:fill="E6E6E6"/>
            <w:noWrap/>
            <w:vAlign w:val="center"/>
          </w:tcPr>
          <w:p w:rsidR="00B0321C" w:rsidRPr="00FA4E09" w:rsidP="00DD34B4" w14:paraId="3419008C" w14:textId="77777777">
            <w:pPr>
              <w:spacing w:after="0"/>
              <w:jc w:val="center"/>
              <w:rPr>
                <w:rFonts w:ascii="Calibri" w:hAnsi="Calibri" w:cs="Calibri"/>
                <w:b/>
                <w:bCs/>
                <w:sz w:val="20"/>
                <w:szCs w:val="20"/>
              </w:rPr>
            </w:pPr>
            <w:r w:rsidRPr="00FA4E09">
              <w:rPr>
                <w:rFonts w:ascii="Calibri" w:hAnsi="Calibri" w:cs="Calibri"/>
                <w:b/>
                <w:bCs/>
                <w:sz w:val="20"/>
                <w:szCs w:val="20"/>
              </w:rPr>
              <w:t>Labor Category</w:t>
            </w:r>
          </w:p>
        </w:tc>
        <w:tc>
          <w:tcPr>
            <w:tcW w:w="1138" w:type="pct"/>
            <w:tcBorders>
              <w:top w:val="double" w:sz="6" w:space="0" w:color="auto"/>
              <w:bottom w:val="single" w:sz="6" w:space="0" w:color="auto"/>
            </w:tcBorders>
            <w:shd w:val="clear" w:color="auto" w:fill="E6E6E6"/>
            <w:vAlign w:val="center"/>
          </w:tcPr>
          <w:p w:rsidR="00B0321C" w:rsidRPr="00FA4E09" w:rsidP="00DD34B4" w14:paraId="3E36C005" w14:textId="77777777">
            <w:pPr>
              <w:spacing w:after="0"/>
              <w:jc w:val="center"/>
              <w:rPr>
                <w:rFonts w:ascii="Calibri" w:hAnsi="Calibri" w:cs="Calibri"/>
                <w:b/>
                <w:bCs/>
                <w:sz w:val="20"/>
                <w:szCs w:val="20"/>
              </w:rPr>
            </w:pPr>
            <w:r w:rsidRPr="00FA4E09">
              <w:rPr>
                <w:rFonts w:ascii="Calibri" w:hAnsi="Calibri" w:cs="Calibri"/>
                <w:b/>
                <w:bCs/>
                <w:sz w:val="20"/>
                <w:szCs w:val="20"/>
              </w:rPr>
              <w:t>Operator</w:t>
            </w:r>
            <w:r w:rsidRPr="00FA4E09">
              <w:rPr>
                <w:rFonts w:ascii="Calibri" w:hAnsi="Calibri" w:cs="Calibri"/>
                <w:sz w:val="20"/>
                <w:szCs w:val="20"/>
              </w:rPr>
              <w:t xml:space="preserve"> </w:t>
            </w:r>
            <w:r w:rsidRPr="00FA4E09">
              <w:rPr>
                <w:rFonts w:ascii="Calibri" w:hAnsi="Calibri" w:cs="Calibri"/>
                <w:sz w:val="20"/>
                <w:szCs w:val="20"/>
                <w:vertAlign w:val="superscript"/>
              </w:rPr>
              <w:t>a</w:t>
            </w:r>
          </w:p>
        </w:tc>
        <w:tc>
          <w:tcPr>
            <w:tcW w:w="1138" w:type="pct"/>
            <w:tcBorders>
              <w:top w:val="double" w:sz="6" w:space="0" w:color="auto"/>
              <w:bottom w:val="single" w:sz="6" w:space="0" w:color="auto"/>
            </w:tcBorders>
            <w:shd w:val="clear" w:color="auto" w:fill="E6E6E6"/>
            <w:vAlign w:val="center"/>
          </w:tcPr>
          <w:p w:rsidR="00B0321C" w:rsidRPr="00FA4E09" w:rsidP="00DD34B4" w14:paraId="55714C64" w14:textId="77777777">
            <w:pPr>
              <w:spacing w:after="0"/>
              <w:jc w:val="center"/>
              <w:rPr>
                <w:rFonts w:ascii="Calibri" w:hAnsi="Calibri" w:cs="Calibri"/>
                <w:b/>
                <w:bCs/>
                <w:sz w:val="20"/>
                <w:szCs w:val="20"/>
              </w:rPr>
            </w:pPr>
            <w:r w:rsidRPr="00FA4E09">
              <w:rPr>
                <w:rFonts w:ascii="Calibri" w:hAnsi="Calibri" w:cs="Calibri"/>
                <w:b/>
                <w:bCs/>
                <w:sz w:val="20"/>
                <w:szCs w:val="20"/>
              </w:rPr>
              <w:t>Engineer</w:t>
            </w:r>
            <w:r w:rsidRPr="00FA4E09">
              <w:rPr>
                <w:rFonts w:ascii="Calibri" w:hAnsi="Calibri" w:cs="Calibri"/>
                <w:sz w:val="20"/>
                <w:szCs w:val="20"/>
                <w:vertAlign w:val="superscript"/>
              </w:rPr>
              <w:t xml:space="preserve"> b</w:t>
            </w:r>
          </w:p>
        </w:tc>
        <w:tc>
          <w:tcPr>
            <w:tcW w:w="1138" w:type="pct"/>
            <w:tcBorders>
              <w:top w:val="double" w:sz="6" w:space="0" w:color="auto"/>
              <w:bottom w:val="single" w:sz="6" w:space="0" w:color="auto"/>
            </w:tcBorders>
            <w:shd w:val="clear" w:color="auto" w:fill="E6E6E6"/>
            <w:vAlign w:val="center"/>
          </w:tcPr>
          <w:p w:rsidR="00B0321C" w:rsidRPr="00FA4E09" w:rsidP="00DD34B4" w14:paraId="768C8A97" w14:textId="77777777">
            <w:pPr>
              <w:spacing w:after="0"/>
              <w:jc w:val="center"/>
              <w:rPr>
                <w:rFonts w:ascii="Calibri" w:hAnsi="Calibri" w:cs="Calibri"/>
                <w:b/>
                <w:bCs/>
                <w:sz w:val="20"/>
                <w:szCs w:val="20"/>
              </w:rPr>
            </w:pPr>
            <w:r w:rsidRPr="00FA4E09">
              <w:rPr>
                <w:rFonts w:ascii="Calibri" w:hAnsi="Calibri" w:cs="Calibri"/>
                <w:b/>
                <w:bCs/>
                <w:sz w:val="20"/>
                <w:szCs w:val="20"/>
              </w:rPr>
              <w:t>Operations Manager</w:t>
            </w:r>
            <w:r w:rsidRPr="00FA4E09">
              <w:rPr>
                <w:rFonts w:ascii="Calibri" w:hAnsi="Calibri" w:cs="Calibri"/>
                <w:sz w:val="20"/>
                <w:szCs w:val="20"/>
                <w:vertAlign w:val="superscript"/>
              </w:rPr>
              <w:t xml:space="preserve"> c</w:t>
            </w:r>
          </w:p>
        </w:tc>
      </w:tr>
      <w:tr w14:paraId="2D10D0CD" w14:textId="77777777">
        <w:tblPrEx>
          <w:tblW w:w="5000" w:type="pct"/>
          <w:jc w:val="center"/>
          <w:tblCellMar>
            <w:top w:w="29" w:type="dxa"/>
            <w:left w:w="58" w:type="dxa"/>
            <w:bottom w:w="29" w:type="dxa"/>
            <w:right w:w="58" w:type="dxa"/>
          </w:tblCellMar>
          <w:tblLook w:val="0000"/>
        </w:tblPrEx>
        <w:trPr>
          <w:cantSplit/>
          <w:trHeight w:val="288"/>
          <w:jc w:val="center"/>
        </w:trPr>
        <w:tc>
          <w:tcPr>
            <w:tcW w:w="1586" w:type="pct"/>
            <w:tcBorders>
              <w:top w:val="single" w:sz="6" w:space="0" w:color="auto"/>
              <w:bottom w:val="double" w:sz="4" w:space="0" w:color="auto"/>
            </w:tcBorders>
            <w:shd w:val="clear" w:color="auto" w:fill="auto"/>
            <w:vAlign w:val="center"/>
          </w:tcPr>
          <w:p w:rsidR="00B0321C" w:rsidRPr="00FA4E09" w:rsidP="00DD34B4" w14:paraId="0D23C7FF" w14:textId="77777777">
            <w:pPr>
              <w:spacing w:after="0"/>
              <w:jc w:val="center"/>
              <w:rPr>
                <w:rFonts w:ascii="Calibri" w:hAnsi="Calibri" w:cs="Calibri"/>
                <w:sz w:val="20"/>
                <w:szCs w:val="20"/>
              </w:rPr>
            </w:pPr>
            <w:r w:rsidRPr="00FA4E09">
              <w:rPr>
                <w:rFonts w:ascii="Calibri" w:hAnsi="Calibri" w:cs="Calibri"/>
                <w:sz w:val="20"/>
                <w:szCs w:val="20"/>
              </w:rPr>
              <w:t>Mean Hourly Rates</w:t>
            </w:r>
          </w:p>
        </w:tc>
        <w:tc>
          <w:tcPr>
            <w:tcW w:w="1138" w:type="pct"/>
            <w:tcBorders>
              <w:top w:val="single" w:sz="6" w:space="0" w:color="auto"/>
              <w:bottom w:val="double" w:sz="4" w:space="0" w:color="auto"/>
            </w:tcBorders>
            <w:shd w:val="clear" w:color="auto" w:fill="auto"/>
            <w:noWrap/>
            <w:vAlign w:val="center"/>
          </w:tcPr>
          <w:p w:rsidR="00B0321C" w:rsidRPr="00FA4E09" w:rsidP="00DD34B4" w14:paraId="30BC308B" w14:textId="77777777">
            <w:pPr>
              <w:spacing w:after="0"/>
              <w:jc w:val="right"/>
              <w:rPr>
                <w:rFonts w:ascii="Calibri" w:hAnsi="Calibri" w:cs="Calibri"/>
                <w:sz w:val="20"/>
                <w:szCs w:val="20"/>
              </w:rPr>
            </w:pPr>
            <w:r w:rsidRPr="00FA4E09">
              <w:rPr>
                <w:rFonts w:ascii="Calibri" w:hAnsi="Calibri" w:cs="Calibri"/>
                <w:color w:val="000000"/>
                <w:sz w:val="20"/>
                <w:szCs w:val="20"/>
              </w:rPr>
              <w:t>$45.88/hour</w:t>
            </w:r>
          </w:p>
        </w:tc>
        <w:tc>
          <w:tcPr>
            <w:tcW w:w="1138" w:type="pct"/>
            <w:tcBorders>
              <w:top w:val="single" w:sz="6" w:space="0" w:color="auto"/>
              <w:bottom w:val="double" w:sz="4" w:space="0" w:color="auto"/>
            </w:tcBorders>
            <w:vAlign w:val="center"/>
          </w:tcPr>
          <w:p w:rsidR="00B0321C" w:rsidRPr="00FA4E09" w:rsidP="00DD34B4" w14:paraId="3E9F1319" w14:textId="77777777">
            <w:pPr>
              <w:spacing w:after="0"/>
              <w:jc w:val="right"/>
              <w:rPr>
                <w:rFonts w:ascii="Calibri" w:hAnsi="Calibri" w:cs="Calibri"/>
                <w:sz w:val="20"/>
                <w:szCs w:val="20"/>
              </w:rPr>
            </w:pPr>
            <w:r w:rsidRPr="00FA4E09">
              <w:rPr>
                <w:rFonts w:ascii="Calibri" w:hAnsi="Calibri" w:cs="Calibri"/>
                <w:color w:val="000000"/>
                <w:sz w:val="20"/>
                <w:szCs w:val="20"/>
              </w:rPr>
              <w:t>$77.56/hour</w:t>
            </w:r>
          </w:p>
        </w:tc>
        <w:tc>
          <w:tcPr>
            <w:tcW w:w="1138" w:type="pct"/>
            <w:tcBorders>
              <w:top w:val="single" w:sz="6" w:space="0" w:color="auto"/>
              <w:bottom w:val="double" w:sz="4" w:space="0" w:color="auto"/>
            </w:tcBorders>
            <w:vAlign w:val="center"/>
          </w:tcPr>
          <w:p w:rsidR="00B0321C" w:rsidRPr="00FA4E09" w:rsidP="00DD34B4" w14:paraId="77AC6E4F" w14:textId="77777777">
            <w:pPr>
              <w:spacing w:after="0"/>
              <w:jc w:val="right"/>
              <w:rPr>
                <w:rFonts w:ascii="Calibri" w:hAnsi="Calibri" w:cs="Calibri"/>
                <w:color w:val="000000"/>
                <w:sz w:val="20"/>
                <w:szCs w:val="20"/>
              </w:rPr>
            </w:pPr>
            <w:r w:rsidRPr="00FA4E09">
              <w:rPr>
                <w:rFonts w:ascii="Calibri" w:hAnsi="Calibri" w:cs="Calibri"/>
                <w:color w:val="000000"/>
                <w:sz w:val="20"/>
                <w:szCs w:val="20"/>
              </w:rPr>
              <w:t>$109.37/hour</w:t>
            </w:r>
          </w:p>
        </w:tc>
      </w:tr>
    </w:tbl>
    <w:p w:rsidR="00B0321C" w:rsidRPr="00FA4E09" w:rsidP="00B0321C" w14:paraId="792704F0" w14:textId="212C0364">
      <w:pPr>
        <w:rPr>
          <w:rFonts w:ascii="Calibri" w:hAnsi="Calibri" w:cs="Calibri"/>
          <w:color w:val="0070C0"/>
          <w:sz w:val="20"/>
          <w:szCs w:val="20"/>
        </w:rPr>
      </w:pPr>
      <w:bookmarkStart w:id="31" w:name="_Toc455042646"/>
      <w:r w:rsidRPr="00FA4E09">
        <w:rPr>
          <w:rFonts w:ascii="Calibri" w:hAnsi="Calibri" w:cs="Calibri"/>
          <w:sz w:val="20"/>
          <w:szCs w:val="20"/>
        </w:rPr>
        <w:t xml:space="preserve">Wage Data Source: May 2022 National Occupational Employment and Wage Estimates for NAICS Code 221300 Water and Wastewater Treatment Plant and System Operator (occupation code 51-8031), Engineers (occupation code 17-2000), and General and Operations Managers (occupation code 11-1021). Available at </w:t>
      </w:r>
      <w:bookmarkEnd w:id="31"/>
      <w:hyperlink r:id="rId25" w:history="1">
        <w:r w:rsidRPr="00FA4E09">
          <w:rPr>
            <w:rStyle w:val="Hyperlink"/>
            <w:rFonts w:ascii="Calibri" w:hAnsi="Calibri" w:cs="Calibri"/>
            <w:sz w:val="20"/>
            <w:szCs w:val="20"/>
          </w:rPr>
          <w:t>https://www.bls.gov/oes/current/naics4_221300.htm</w:t>
        </w:r>
      </w:hyperlink>
      <w:r w:rsidRPr="00FA4E09">
        <w:rPr>
          <w:rFonts w:ascii="Calibri" w:hAnsi="Calibri" w:cs="Calibri"/>
          <w:color w:val="0070C0"/>
          <w:sz w:val="20"/>
          <w:szCs w:val="20"/>
        </w:rPr>
        <w:t xml:space="preserve">. </w:t>
      </w:r>
    </w:p>
    <w:p w:rsidR="00B0321C" w:rsidRPr="00FA4E09" w:rsidP="00B0321C" w14:paraId="68F55B6E" w14:textId="5D2F7E57">
      <w:pPr>
        <w:rPr>
          <w:rStyle w:val="Hyperlink"/>
          <w:rFonts w:ascii="Calibri" w:hAnsi="Calibri" w:cs="Calibri"/>
          <w:sz w:val="20"/>
          <w:szCs w:val="20"/>
        </w:rPr>
      </w:pPr>
      <w:r w:rsidRPr="00FA4E09">
        <w:rPr>
          <w:rFonts w:ascii="Calibri" w:hAnsi="Calibri" w:cs="Calibri"/>
          <w:sz w:val="20"/>
          <w:szCs w:val="20"/>
        </w:rPr>
        <w:t xml:space="preserve">Benefits/Overhead Load Rate Source: EPA 2020 Handbook on Valuing Changes in Time use Induced by Regulatory Requirements and Other EPA Actions (EPA-236-B-15-001). Available at </w:t>
      </w:r>
      <w:hyperlink r:id="rId26" w:history="1">
        <w:r w:rsidRPr="00FA4E09">
          <w:rPr>
            <w:rStyle w:val="Hyperlink"/>
            <w:rFonts w:ascii="Calibri" w:hAnsi="Calibri" w:cs="Calibri"/>
            <w:sz w:val="20"/>
            <w:szCs w:val="20"/>
          </w:rPr>
          <w:t>https://www.epa.gov/sites/default/files/2020-12/documents/epa_handbook_on_valuing_changes_in_time_use_121520_final_508.pdf</w:t>
        </w:r>
      </w:hyperlink>
      <w:r w:rsidRPr="00FA4E09">
        <w:rPr>
          <w:rFonts w:ascii="Calibri" w:hAnsi="Calibri" w:cs="Calibri"/>
          <w:sz w:val="20"/>
          <w:szCs w:val="20"/>
        </w:rPr>
        <w:t xml:space="preserve"> </w:t>
      </w:r>
      <w:r w:rsidRPr="00FA4E09">
        <w:rPr>
          <w:rFonts w:ascii="Calibri" w:hAnsi="Calibri" w:cs="Calibri"/>
          <w:sz w:val="20"/>
          <w:szCs w:val="20"/>
        </w:rPr>
        <w:fldChar w:fldCharType="begin"/>
      </w:r>
      <w:r w:rsidRPr="00FA4E09">
        <w:rPr>
          <w:rFonts w:ascii="Calibri" w:hAnsi="Calibri" w:cs="Calibri"/>
          <w:sz w:val="20"/>
          <w:szCs w:val="20"/>
        </w:rPr>
        <w:instrText>HYPERLINK "https://www.epa.gov/sites/default/files/2020-12/documents/epa_handbook_on_valuing_changes_in_time_use_121520_final_508.pdf"</w:instrText>
      </w:r>
      <w:r w:rsidRPr="00FA4E09">
        <w:rPr>
          <w:rFonts w:ascii="Calibri" w:hAnsi="Calibri" w:cs="Calibri"/>
          <w:sz w:val="20"/>
          <w:szCs w:val="20"/>
        </w:rPr>
        <w:fldChar w:fldCharType="separate"/>
      </w:r>
    </w:p>
    <w:p w:rsidR="00B0321C" w:rsidRPr="00FA4E09" w:rsidP="00B0321C" w14:paraId="27C168B3" w14:textId="77777777">
      <w:pPr>
        <w:pStyle w:val="TableNotes"/>
        <w:rPr>
          <w:rFonts w:ascii="Calibri" w:hAnsi="Calibri" w:cs="Calibri"/>
        </w:rPr>
      </w:pPr>
      <w:r w:rsidRPr="00FA4E09">
        <w:rPr>
          <w:rFonts w:ascii="Calibri" w:hAnsi="Calibri" w:cs="Calibri"/>
        </w:rPr>
        <w:fldChar w:fldCharType="end"/>
      </w:r>
      <w:r w:rsidRPr="00FA4E09">
        <w:rPr>
          <w:rFonts w:ascii="Calibri" w:hAnsi="Calibri" w:cs="Calibri"/>
        </w:rPr>
        <w:t>a – Operator unloaded mean hourly wage of $25.49/hour multiplied by 1.8 (overhead/benefits) = $45.88/hour.</w:t>
      </w:r>
    </w:p>
    <w:p w:rsidR="00B0321C" w:rsidRPr="00FA4E09" w:rsidP="00B0321C" w14:paraId="41DA576B" w14:textId="77777777">
      <w:pPr>
        <w:pStyle w:val="TableNotes"/>
        <w:rPr>
          <w:rFonts w:ascii="Calibri" w:hAnsi="Calibri" w:cs="Calibri"/>
        </w:rPr>
      </w:pPr>
      <w:r w:rsidRPr="00FA4E09">
        <w:rPr>
          <w:rFonts w:ascii="Calibri" w:hAnsi="Calibri" w:cs="Calibri"/>
        </w:rPr>
        <w:t>b –</w:t>
      </w:r>
      <w:r w:rsidRPr="00FA4E09">
        <w:rPr>
          <w:rFonts w:ascii="Calibri" w:hAnsi="Calibri" w:cs="Calibri"/>
          <w:vertAlign w:val="superscript"/>
        </w:rPr>
        <w:t xml:space="preserve"> </w:t>
      </w:r>
      <w:r w:rsidRPr="00FA4E09">
        <w:rPr>
          <w:rFonts w:ascii="Calibri" w:hAnsi="Calibri" w:cs="Calibri"/>
        </w:rPr>
        <w:t>Engineer unloaded labor rate of $43.09/hour multiplied by 1.8 (overhead/benefits) = $77.56/hour.</w:t>
      </w:r>
    </w:p>
    <w:p w:rsidR="00B0321C" w:rsidRPr="00FA4E09" w:rsidP="00194C2B" w14:paraId="05197689" w14:textId="1F3353A9">
      <w:pPr>
        <w:pStyle w:val="TableNotes"/>
        <w:spacing w:after="240"/>
        <w:rPr>
          <w:rFonts w:ascii="Calibri" w:hAnsi="Calibri" w:cs="Calibri"/>
        </w:rPr>
      </w:pPr>
      <w:r w:rsidRPr="00FA4E09">
        <w:rPr>
          <w:rFonts w:ascii="Calibri" w:hAnsi="Calibri" w:cs="Calibri"/>
        </w:rPr>
        <w:t>c – Operations manager unloaded labor rates of $60.76/hour multiplied by 1.8 (overhead/benefits) = $109.37/hour.</w:t>
      </w:r>
    </w:p>
    <w:p w:rsidR="00B0321C" w:rsidRPr="00FA4E09" w:rsidP="00854AAE" w14:paraId="5FDD29B4" w14:textId="1E70B224">
      <w:pPr>
        <w:spacing w:before="60"/>
        <w:rPr>
          <w:rFonts w:ascii="Calibri" w:hAnsi="Calibri" w:cs="Calibri"/>
        </w:rPr>
      </w:pPr>
      <w:r w:rsidRPr="00FA4E09">
        <w:rPr>
          <w:rFonts w:ascii="Calibri" w:hAnsi="Calibri" w:cs="Calibri"/>
        </w:rPr>
        <w:t xml:space="preserve">The EPA calculated the estimated respondent burden for completion of the questionnaire using the estimated total response time per activity shown in </w:t>
      </w:r>
      <w:r w:rsidRPr="00FA4E09" w:rsidR="00120593">
        <w:rPr>
          <w:rFonts w:ascii="Calibri" w:hAnsi="Calibri" w:cs="Calibri"/>
        </w:rPr>
        <w:fldChar w:fldCharType="begin"/>
      </w:r>
      <w:r w:rsidRPr="00FA4E09" w:rsidR="00120593">
        <w:rPr>
          <w:rFonts w:ascii="Calibri" w:hAnsi="Calibri" w:cs="Calibri"/>
        </w:rPr>
        <w:instrText xml:space="preserve"> REF _Ref85633625 \h  \* MERGEFORMAT </w:instrText>
      </w:r>
      <w:r w:rsidRPr="00FA4E09" w:rsidR="00120593">
        <w:rPr>
          <w:rFonts w:ascii="Calibri" w:hAnsi="Calibri" w:cs="Calibri"/>
        </w:rPr>
        <w:fldChar w:fldCharType="separate"/>
      </w:r>
      <w:r w:rsidRPr="00A158D9" w:rsidR="00A41D1F">
        <w:rPr>
          <w:rFonts w:ascii="Calibri" w:hAnsi="Calibri" w:cs="Calibri"/>
        </w:rPr>
        <w:t>Table 12-2</w:t>
      </w:r>
      <w:r w:rsidRPr="00FA4E09" w:rsidR="00120593">
        <w:rPr>
          <w:rFonts w:ascii="Calibri" w:hAnsi="Calibri" w:cs="Calibri"/>
        </w:rPr>
        <w:fldChar w:fldCharType="end"/>
      </w:r>
      <w:r w:rsidRPr="00FA4E09">
        <w:rPr>
          <w:rFonts w:ascii="Calibri" w:hAnsi="Calibri" w:cs="Calibri"/>
        </w:rPr>
        <w:t xml:space="preserve"> as well as the labor rates shown in </w:t>
      </w:r>
      <w:r w:rsidRPr="00FA4E09" w:rsidR="00120593">
        <w:rPr>
          <w:rFonts w:ascii="Calibri" w:hAnsi="Calibri" w:cs="Calibri"/>
        </w:rPr>
        <w:fldChar w:fldCharType="begin"/>
      </w:r>
      <w:r w:rsidRPr="00FA4E09" w:rsidR="00120593">
        <w:rPr>
          <w:rFonts w:ascii="Calibri" w:hAnsi="Calibri" w:cs="Calibri"/>
        </w:rPr>
        <w:instrText xml:space="preserve"> REF _Ref461114218 \h  \* MERGEFORMAT </w:instrText>
      </w:r>
      <w:r w:rsidRPr="00FA4E09" w:rsidR="00120593">
        <w:rPr>
          <w:rFonts w:ascii="Calibri" w:hAnsi="Calibri" w:cs="Calibri"/>
        </w:rPr>
        <w:fldChar w:fldCharType="separate"/>
      </w:r>
      <w:r w:rsidRPr="00A158D9" w:rsidR="00A41D1F">
        <w:rPr>
          <w:rFonts w:ascii="Calibri" w:hAnsi="Calibri" w:cs="Calibri"/>
        </w:rPr>
        <w:t>Table 12-4</w:t>
      </w:r>
      <w:r w:rsidRPr="00FA4E09" w:rsidR="00120593">
        <w:rPr>
          <w:rFonts w:ascii="Calibri" w:hAnsi="Calibri" w:cs="Calibri"/>
        </w:rPr>
        <w:fldChar w:fldCharType="end"/>
      </w:r>
      <w:r w:rsidRPr="00FA4E09">
        <w:rPr>
          <w:rFonts w:ascii="Calibri" w:hAnsi="Calibri" w:cs="Calibri"/>
        </w:rPr>
        <w:t xml:space="preserve"> to calculate a total labor cost shown in </w:t>
      </w:r>
      <w:r w:rsidRPr="00FA4E09" w:rsidR="00120593">
        <w:rPr>
          <w:rFonts w:ascii="Calibri" w:hAnsi="Calibri" w:cs="Calibri"/>
        </w:rPr>
        <w:fldChar w:fldCharType="begin"/>
      </w:r>
      <w:r w:rsidRPr="00FA4E09" w:rsidR="00120593">
        <w:rPr>
          <w:rFonts w:ascii="Calibri" w:hAnsi="Calibri" w:cs="Calibri"/>
        </w:rPr>
        <w:instrText xml:space="preserve"> REF _Ref461114243 \h  \* MERGEFORMAT </w:instrText>
      </w:r>
      <w:r w:rsidRPr="00FA4E09" w:rsidR="00120593">
        <w:rPr>
          <w:rFonts w:ascii="Calibri" w:hAnsi="Calibri" w:cs="Calibri"/>
        </w:rPr>
        <w:fldChar w:fldCharType="separate"/>
      </w:r>
      <w:r w:rsidRPr="00A158D9" w:rsidR="00A41D1F">
        <w:rPr>
          <w:rFonts w:ascii="Calibri" w:hAnsi="Calibri" w:cs="Calibri"/>
        </w:rPr>
        <w:t>Table 12-5</w:t>
      </w:r>
      <w:r w:rsidRPr="00FA4E09" w:rsidR="00120593">
        <w:rPr>
          <w:rFonts w:ascii="Calibri" w:hAnsi="Calibri" w:cs="Calibri"/>
        </w:rPr>
        <w:fldChar w:fldCharType="end"/>
      </w:r>
      <w:r w:rsidRPr="00FA4E09">
        <w:rPr>
          <w:rFonts w:ascii="Calibri" w:hAnsi="Calibri" w:cs="Calibri"/>
        </w:rPr>
        <w:t>.</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
      <w:tblGrid>
        <w:gridCol w:w="2427"/>
        <w:gridCol w:w="2426"/>
        <w:gridCol w:w="2426"/>
        <w:gridCol w:w="2197"/>
      </w:tblGrid>
      <w:tr w14:paraId="705CD873" w14:textId="77777777">
        <w:tblPrEx>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Ex>
        <w:trPr>
          <w:cantSplit/>
          <w:tblHeader/>
          <w:jc w:val="center"/>
        </w:trPr>
        <w:tc>
          <w:tcPr>
            <w:tcW w:w="5000" w:type="pct"/>
            <w:gridSpan w:val="4"/>
            <w:tcBorders>
              <w:top w:val="nil"/>
              <w:left w:val="nil"/>
              <w:bottom w:val="double" w:sz="6" w:space="0" w:color="auto"/>
              <w:right w:val="nil"/>
            </w:tcBorders>
          </w:tcPr>
          <w:p w:rsidR="00B0321C" w:rsidRPr="00FA4E09" w14:paraId="72E5AE4E" w14:textId="569CAB2D">
            <w:pPr>
              <w:pStyle w:val="TableTitle"/>
            </w:pPr>
            <w:bookmarkStart w:id="32" w:name="_Ref461114243"/>
            <w:bookmarkStart w:id="33" w:name="_Toc97891777"/>
            <w:bookmarkStart w:id="34" w:name="_Toc157787721"/>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12</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5</w:t>
            </w:r>
            <w:r w:rsidRPr="00FA4E09">
              <w:rPr>
                <w:rFonts w:eastAsiaTheme="minorEastAsia"/>
                <w:bCs/>
                <w:smallCaps/>
                <w:spacing w:val="6"/>
                <w:sz w:val="24"/>
                <w:szCs w:val="18"/>
              </w:rPr>
              <w:fldChar w:fldCharType="end"/>
            </w:r>
            <w:bookmarkEnd w:id="32"/>
            <w:r w:rsidRPr="00FA4E09">
              <w:rPr>
                <w:rFonts w:eastAsiaTheme="minorEastAsia"/>
                <w:bCs/>
                <w:smallCaps/>
                <w:spacing w:val="6"/>
                <w:sz w:val="24"/>
                <w:szCs w:val="18"/>
              </w:rPr>
              <w:t>. Total Estimated Respondent Labor Burden for the Questionnaire per Respondent</w:t>
            </w:r>
            <w:bookmarkEnd w:id="33"/>
            <w:bookmarkEnd w:id="34"/>
          </w:p>
        </w:tc>
      </w:tr>
      <w:tr w14:paraId="49B1A8F6" w14:textId="77777777" w:rsidTr="00DA5C3B">
        <w:tblPrEx>
          <w:tblW w:w="5000" w:type="pct"/>
          <w:jc w:val="center"/>
          <w:tblCellMar>
            <w:top w:w="29" w:type="dxa"/>
            <w:left w:w="58" w:type="dxa"/>
            <w:bottom w:w="29" w:type="dxa"/>
            <w:right w:w="58" w:type="dxa"/>
          </w:tblCellMar>
          <w:tblLook w:val="0000"/>
        </w:tblPrEx>
        <w:trPr>
          <w:cantSplit/>
          <w:tblHeader/>
          <w:jc w:val="center"/>
        </w:trPr>
        <w:tc>
          <w:tcPr>
            <w:tcW w:w="1281" w:type="pct"/>
            <w:tcBorders>
              <w:top w:val="double" w:sz="6" w:space="0" w:color="auto"/>
              <w:bottom w:val="single" w:sz="6" w:space="0" w:color="auto"/>
            </w:tcBorders>
            <w:shd w:val="clear" w:color="auto" w:fill="E6E6E6"/>
            <w:vAlign w:val="center"/>
          </w:tcPr>
          <w:p w:rsidR="00B0321C" w:rsidRPr="00FA4E09" w:rsidP="00DD34B4" w14:paraId="34E8A632" w14:textId="77777777">
            <w:pPr>
              <w:spacing w:after="0"/>
              <w:jc w:val="center"/>
              <w:rPr>
                <w:rFonts w:ascii="Calibri" w:hAnsi="Calibri" w:cs="Calibri"/>
                <w:b/>
                <w:bCs/>
                <w:sz w:val="20"/>
                <w:szCs w:val="20"/>
              </w:rPr>
            </w:pPr>
            <w:r w:rsidRPr="00FA4E09">
              <w:rPr>
                <w:rFonts w:ascii="Calibri" w:hAnsi="Calibri" w:cs="Calibri"/>
                <w:b/>
                <w:bCs/>
                <w:sz w:val="20"/>
                <w:szCs w:val="20"/>
              </w:rPr>
              <w:t>Operator Total Labor Costs</w:t>
            </w:r>
            <w:r w:rsidRPr="00FA4E09">
              <w:rPr>
                <w:rFonts w:ascii="Calibri" w:hAnsi="Calibri" w:cs="Calibri"/>
                <w:sz w:val="20"/>
                <w:szCs w:val="20"/>
                <w:vertAlign w:val="superscript"/>
              </w:rPr>
              <w:t xml:space="preserve"> a</w:t>
            </w:r>
          </w:p>
        </w:tc>
        <w:tc>
          <w:tcPr>
            <w:tcW w:w="1281" w:type="pct"/>
            <w:tcBorders>
              <w:top w:val="double" w:sz="6" w:space="0" w:color="auto"/>
              <w:bottom w:val="single" w:sz="6" w:space="0" w:color="auto"/>
            </w:tcBorders>
            <w:shd w:val="clear" w:color="auto" w:fill="E6E6E6"/>
            <w:vAlign w:val="center"/>
          </w:tcPr>
          <w:p w:rsidR="00B0321C" w:rsidRPr="00FA4E09" w:rsidP="00DD34B4" w14:paraId="5C3C8DBA" w14:textId="77777777">
            <w:pPr>
              <w:spacing w:after="0"/>
              <w:jc w:val="center"/>
              <w:rPr>
                <w:rFonts w:ascii="Calibri" w:hAnsi="Calibri" w:cs="Calibri"/>
                <w:b/>
                <w:bCs/>
                <w:sz w:val="20"/>
                <w:szCs w:val="20"/>
              </w:rPr>
            </w:pPr>
            <w:r w:rsidRPr="00FA4E09">
              <w:rPr>
                <w:rFonts w:ascii="Calibri" w:hAnsi="Calibri" w:cs="Calibri"/>
                <w:b/>
                <w:bCs/>
                <w:sz w:val="20"/>
                <w:szCs w:val="20"/>
              </w:rPr>
              <w:t>Engineer Total Labor Costs</w:t>
            </w:r>
          </w:p>
        </w:tc>
        <w:tc>
          <w:tcPr>
            <w:tcW w:w="1281" w:type="pct"/>
            <w:tcBorders>
              <w:top w:val="double" w:sz="6" w:space="0" w:color="auto"/>
              <w:bottom w:val="single" w:sz="6" w:space="0" w:color="auto"/>
            </w:tcBorders>
            <w:shd w:val="clear" w:color="auto" w:fill="E6E6E6"/>
            <w:vAlign w:val="center"/>
          </w:tcPr>
          <w:p w:rsidR="00B0321C" w:rsidRPr="00FA4E09" w:rsidP="00DD34B4" w14:paraId="1A15EFF0" w14:textId="77777777">
            <w:pPr>
              <w:spacing w:after="0"/>
              <w:jc w:val="center"/>
              <w:rPr>
                <w:rFonts w:ascii="Calibri" w:hAnsi="Calibri" w:cs="Calibri"/>
                <w:b/>
                <w:bCs/>
                <w:sz w:val="20"/>
                <w:szCs w:val="20"/>
              </w:rPr>
            </w:pPr>
            <w:r w:rsidRPr="00FA4E09">
              <w:rPr>
                <w:rFonts w:ascii="Calibri" w:hAnsi="Calibri" w:cs="Calibri"/>
                <w:b/>
                <w:bCs/>
                <w:sz w:val="20"/>
                <w:szCs w:val="20"/>
              </w:rPr>
              <w:t>Operations Manager</w:t>
            </w:r>
          </w:p>
          <w:p w:rsidR="00B0321C" w:rsidRPr="00FA4E09" w:rsidP="00DD34B4" w14:paraId="56A29C15" w14:textId="77777777">
            <w:pPr>
              <w:spacing w:after="0"/>
              <w:jc w:val="center"/>
              <w:rPr>
                <w:rFonts w:ascii="Calibri" w:hAnsi="Calibri" w:cs="Calibri"/>
                <w:b/>
                <w:bCs/>
                <w:sz w:val="20"/>
                <w:szCs w:val="20"/>
              </w:rPr>
            </w:pPr>
            <w:r w:rsidRPr="00FA4E09">
              <w:rPr>
                <w:rFonts w:ascii="Calibri" w:hAnsi="Calibri" w:cs="Calibri"/>
                <w:b/>
                <w:bCs/>
                <w:sz w:val="20"/>
                <w:szCs w:val="20"/>
              </w:rPr>
              <w:t>Total Labor Costs</w:t>
            </w:r>
          </w:p>
        </w:tc>
        <w:tc>
          <w:tcPr>
            <w:tcW w:w="1157" w:type="pct"/>
            <w:tcBorders>
              <w:top w:val="double" w:sz="6" w:space="0" w:color="auto"/>
              <w:bottom w:val="single" w:sz="6" w:space="0" w:color="auto"/>
            </w:tcBorders>
            <w:shd w:val="clear" w:color="auto" w:fill="E6E6E6"/>
            <w:vAlign w:val="center"/>
          </w:tcPr>
          <w:p w:rsidR="00B0321C" w:rsidRPr="00FA4E09" w:rsidP="00DD34B4" w14:paraId="374ABFED" w14:textId="77777777">
            <w:pPr>
              <w:spacing w:after="0"/>
              <w:jc w:val="center"/>
              <w:rPr>
                <w:rFonts w:ascii="Calibri" w:hAnsi="Calibri" w:cs="Calibri"/>
                <w:b/>
                <w:bCs/>
                <w:sz w:val="20"/>
                <w:szCs w:val="20"/>
              </w:rPr>
            </w:pPr>
            <w:r w:rsidRPr="00FA4E09">
              <w:rPr>
                <w:rFonts w:ascii="Calibri" w:hAnsi="Calibri" w:cs="Calibri"/>
                <w:b/>
                <w:bCs/>
                <w:sz w:val="20"/>
                <w:szCs w:val="20"/>
              </w:rPr>
              <w:t>Total Labor Burden Cost</w:t>
            </w:r>
            <w:r w:rsidRPr="00FA4E09">
              <w:rPr>
                <w:rFonts w:ascii="Calibri" w:hAnsi="Calibri" w:cs="Calibri"/>
                <w:sz w:val="20"/>
                <w:szCs w:val="20"/>
                <w:vertAlign w:val="superscript"/>
              </w:rPr>
              <w:t xml:space="preserve"> a</w:t>
            </w:r>
          </w:p>
        </w:tc>
      </w:tr>
      <w:tr w14:paraId="33E83122" w14:textId="77777777" w:rsidTr="00DA5C3B">
        <w:tblPrEx>
          <w:tblW w:w="5000" w:type="pct"/>
          <w:jc w:val="center"/>
          <w:tblCellMar>
            <w:top w:w="29" w:type="dxa"/>
            <w:left w:w="58" w:type="dxa"/>
            <w:bottom w:w="29" w:type="dxa"/>
            <w:right w:w="58" w:type="dxa"/>
          </w:tblCellMar>
          <w:tblLook w:val="0000"/>
        </w:tblPrEx>
        <w:trPr>
          <w:cantSplit/>
          <w:jc w:val="center"/>
        </w:trPr>
        <w:tc>
          <w:tcPr>
            <w:tcW w:w="1281" w:type="pct"/>
            <w:tcBorders>
              <w:top w:val="nil"/>
              <w:left w:val="single" w:sz="4" w:space="0" w:color="auto"/>
              <w:bottom w:val="single" w:sz="4" w:space="0" w:color="auto"/>
              <w:right w:val="single" w:sz="4" w:space="0" w:color="auto"/>
            </w:tcBorders>
            <w:shd w:val="clear" w:color="auto" w:fill="auto"/>
            <w:noWrap/>
            <w:vAlign w:val="center"/>
          </w:tcPr>
          <w:p w:rsidR="00B0321C" w:rsidRPr="00FA4E09" w:rsidP="00DD34B4" w14:paraId="3FABB23E" w14:textId="77777777">
            <w:pPr>
              <w:spacing w:after="0"/>
              <w:jc w:val="right"/>
              <w:rPr>
                <w:rFonts w:ascii="Calibri" w:hAnsi="Calibri" w:cs="Calibri"/>
                <w:color w:val="000000"/>
                <w:sz w:val="20"/>
                <w:szCs w:val="20"/>
              </w:rPr>
            </w:pPr>
            <w:r w:rsidRPr="00FA4E09">
              <w:rPr>
                <w:rFonts w:ascii="Calibri" w:hAnsi="Calibri" w:cs="Calibri"/>
                <w:color w:val="000000"/>
                <w:sz w:val="20"/>
                <w:szCs w:val="20"/>
              </w:rPr>
              <w:t>$550.58</w:t>
            </w:r>
          </w:p>
        </w:tc>
        <w:tc>
          <w:tcPr>
            <w:tcW w:w="1281" w:type="pct"/>
            <w:tcBorders>
              <w:top w:val="nil"/>
              <w:left w:val="nil"/>
              <w:bottom w:val="single" w:sz="4" w:space="0" w:color="auto"/>
              <w:right w:val="single" w:sz="4" w:space="0" w:color="auto"/>
            </w:tcBorders>
            <w:shd w:val="clear" w:color="auto" w:fill="auto"/>
            <w:vAlign w:val="center"/>
          </w:tcPr>
          <w:p w:rsidR="00B0321C" w:rsidRPr="00FA4E09" w:rsidP="00DD34B4" w14:paraId="38E1DC4D" w14:textId="77777777">
            <w:pPr>
              <w:spacing w:after="0"/>
              <w:jc w:val="right"/>
              <w:rPr>
                <w:rFonts w:ascii="Calibri" w:hAnsi="Calibri" w:cs="Calibri"/>
                <w:color w:val="000000"/>
                <w:sz w:val="20"/>
                <w:szCs w:val="20"/>
              </w:rPr>
            </w:pPr>
            <w:r w:rsidRPr="00FA4E09">
              <w:rPr>
                <w:rFonts w:ascii="Calibri" w:hAnsi="Calibri" w:cs="Calibri"/>
                <w:color w:val="000000"/>
                <w:sz w:val="20"/>
                <w:szCs w:val="20"/>
              </w:rPr>
              <w:t>$387.81</w:t>
            </w:r>
          </w:p>
        </w:tc>
        <w:tc>
          <w:tcPr>
            <w:tcW w:w="1281" w:type="pct"/>
            <w:tcBorders>
              <w:top w:val="nil"/>
              <w:left w:val="nil"/>
              <w:bottom w:val="single" w:sz="4" w:space="0" w:color="auto"/>
              <w:right w:val="single" w:sz="4" w:space="0" w:color="auto"/>
            </w:tcBorders>
            <w:shd w:val="clear" w:color="auto" w:fill="auto"/>
            <w:noWrap/>
            <w:vAlign w:val="center"/>
          </w:tcPr>
          <w:p w:rsidR="00B0321C" w:rsidRPr="00FA4E09" w:rsidP="00DD34B4" w14:paraId="4BCD3F67" w14:textId="77777777">
            <w:pPr>
              <w:spacing w:after="0"/>
              <w:jc w:val="right"/>
              <w:rPr>
                <w:rFonts w:ascii="Calibri" w:hAnsi="Calibri" w:cs="Calibri"/>
                <w:color w:val="000000"/>
                <w:sz w:val="20"/>
                <w:szCs w:val="20"/>
              </w:rPr>
            </w:pPr>
            <w:r w:rsidRPr="00FA4E09">
              <w:rPr>
                <w:rFonts w:ascii="Calibri" w:hAnsi="Calibri" w:cs="Calibri"/>
                <w:color w:val="000000"/>
                <w:sz w:val="20"/>
                <w:szCs w:val="20"/>
              </w:rPr>
              <w:t>$546.84</w:t>
            </w:r>
          </w:p>
        </w:tc>
        <w:tc>
          <w:tcPr>
            <w:tcW w:w="1157" w:type="pct"/>
            <w:tcBorders>
              <w:top w:val="nil"/>
              <w:left w:val="nil"/>
              <w:bottom w:val="single" w:sz="4" w:space="0" w:color="auto"/>
              <w:right w:val="double" w:sz="4" w:space="0" w:color="auto"/>
            </w:tcBorders>
            <w:shd w:val="clear" w:color="auto" w:fill="auto"/>
            <w:vAlign w:val="center"/>
          </w:tcPr>
          <w:p w:rsidR="00B0321C" w:rsidRPr="00FA4E09" w:rsidP="00DD34B4" w14:paraId="1C062C8F" w14:textId="77777777">
            <w:pPr>
              <w:spacing w:after="0"/>
              <w:jc w:val="right"/>
              <w:rPr>
                <w:rFonts w:ascii="Calibri" w:hAnsi="Calibri" w:cs="Calibri"/>
                <w:color w:val="000000"/>
                <w:sz w:val="20"/>
                <w:szCs w:val="20"/>
              </w:rPr>
            </w:pPr>
            <w:r w:rsidRPr="00FA4E09">
              <w:rPr>
                <w:rFonts w:ascii="Calibri" w:hAnsi="Calibri" w:cs="Calibri"/>
                <w:b/>
                <w:bCs/>
                <w:color w:val="000000"/>
                <w:sz w:val="20"/>
                <w:szCs w:val="20"/>
              </w:rPr>
              <w:t>$1,485.23</w:t>
            </w:r>
          </w:p>
        </w:tc>
      </w:tr>
      <w:tr w14:paraId="5476E9B3" w14:textId="77777777">
        <w:tblPrEx>
          <w:tblW w:w="5000" w:type="pct"/>
          <w:jc w:val="center"/>
          <w:tblBorders>
            <w:top w:val="double" w:sz="4" w:space="0" w:color="auto"/>
            <w:left w:val="double" w:sz="4" w:space="0" w:color="auto"/>
            <w:bottom w:val="double" w:sz="4" w:space="0" w:color="auto"/>
            <w:right w:val="double" w:sz="4" w:space="0" w:color="auto"/>
            <w:insideH w:val="double" w:sz="4" w:space="0" w:color="auto"/>
          </w:tblBorders>
          <w:tblCellMar>
            <w:top w:w="29" w:type="dxa"/>
            <w:left w:w="58" w:type="dxa"/>
            <w:bottom w:w="29" w:type="dxa"/>
            <w:right w:w="58" w:type="dxa"/>
          </w:tblCellMar>
          <w:tblLook w:val="0000"/>
        </w:tblPrEx>
        <w:trPr>
          <w:cantSplit/>
          <w:trHeight w:val="294"/>
          <w:jc w:val="center"/>
        </w:trPr>
        <w:tc>
          <w:tcPr>
            <w:tcW w:w="5000" w:type="pct"/>
            <w:gridSpan w:val="4"/>
            <w:tcBorders>
              <w:top w:val="double" w:sz="4" w:space="0" w:color="auto"/>
              <w:left w:val="nil"/>
              <w:bottom w:val="nil"/>
              <w:right w:val="nil"/>
            </w:tcBorders>
            <w:shd w:val="clear" w:color="auto" w:fill="auto"/>
            <w:noWrap/>
          </w:tcPr>
          <w:p w:rsidR="00B0321C" w:rsidRPr="00FA4E09" w14:paraId="6DB1AE41" w14:textId="7DCD7C76">
            <w:pPr>
              <w:rPr>
                <w:rFonts w:ascii="Calibri" w:hAnsi="Calibri" w:cs="Calibri"/>
                <w:sz w:val="20"/>
                <w:szCs w:val="20"/>
              </w:rPr>
            </w:pPr>
            <w:r w:rsidRPr="00FA4E09">
              <w:rPr>
                <w:rFonts w:ascii="Calibri" w:hAnsi="Calibri" w:cs="Calibri"/>
                <w:sz w:val="20"/>
                <w:szCs w:val="20"/>
              </w:rPr>
              <w:t>a – Total burden cost presented in this table does not account for coordination with the helpline. The EPA estimates that 10 percent of the questionnaire respondents will have an operator spend 1 hour (equivalent to $45.88) coordinating with the helpline.</w:t>
            </w:r>
          </w:p>
        </w:tc>
      </w:tr>
    </w:tbl>
    <w:p w:rsidR="009C7983" w:rsidRPr="00FA4E09" w:rsidP="00854AAE" w14:paraId="0AC43D46" w14:textId="502D3F99">
      <w:pPr>
        <w:spacing w:before="60"/>
        <w:rPr>
          <w:rFonts w:ascii="Calibri" w:hAnsi="Calibri" w:cs="Calibri"/>
        </w:rPr>
        <w:sectPr w:rsidSect="007D584F">
          <w:pgSz w:w="12240" w:h="15840"/>
          <w:pgMar w:top="1440" w:right="1440" w:bottom="1440" w:left="1440" w:header="720" w:footer="720" w:gutter="0"/>
          <w:cols w:space="720"/>
          <w:docGrid w:linePitch="360"/>
        </w:sectPr>
      </w:pPr>
      <w:r w:rsidRPr="00FA4E09">
        <w:rPr>
          <w:rFonts w:ascii="Calibri" w:hAnsi="Calibri" w:cs="Calibri"/>
        </w:rPr>
        <w:t xml:space="preserve">The total burden for the questionnaire is the sum of the estimated burden per facility for all facilities the EPA expects will respond. As noted previously in this supporting statement, the EPA estimates the population of POTWs selected to complete the questionnaire at 400. The EPA assumes that </w:t>
      </w:r>
      <w:r w:rsidRPr="00FA4E09" w:rsidR="00ED040F">
        <w:rPr>
          <w:rFonts w:ascii="Calibri" w:hAnsi="Calibri" w:cs="Calibri"/>
        </w:rPr>
        <w:t>all</w:t>
      </w:r>
      <w:r w:rsidRPr="00FA4E09">
        <w:rPr>
          <w:rFonts w:ascii="Calibri" w:hAnsi="Calibri" w:cs="Calibri"/>
        </w:rPr>
        <w:t xml:space="preserve"> the POTWs selected will respond to the questionnaire. </w:t>
      </w:r>
      <w:r w:rsidRPr="00FA4E09" w:rsidR="00120593">
        <w:rPr>
          <w:rFonts w:ascii="Calibri" w:hAnsi="Calibri" w:cs="Calibri"/>
        </w:rPr>
        <w:fldChar w:fldCharType="begin"/>
      </w:r>
      <w:r w:rsidRPr="00FA4E09" w:rsidR="00120593">
        <w:rPr>
          <w:rFonts w:ascii="Calibri" w:hAnsi="Calibri" w:cs="Calibri"/>
        </w:rPr>
        <w:instrText xml:space="preserve"> REF _Ref72482433 \h  \* MERGEFORMAT </w:instrText>
      </w:r>
      <w:r w:rsidRPr="00FA4E09" w:rsidR="00120593">
        <w:rPr>
          <w:rFonts w:ascii="Calibri" w:hAnsi="Calibri" w:cs="Calibri"/>
        </w:rPr>
        <w:fldChar w:fldCharType="separate"/>
      </w:r>
      <w:r w:rsidRPr="00B97ADE" w:rsidR="00A41D1F">
        <w:rPr>
          <w:rFonts w:ascii="Calibri" w:hAnsi="Calibri" w:cs="Calibri"/>
        </w:rPr>
        <w:t>Table 12-6</w:t>
      </w:r>
      <w:r w:rsidRPr="00FA4E09" w:rsidR="00120593">
        <w:rPr>
          <w:rFonts w:ascii="Calibri" w:hAnsi="Calibri" w:cs="Calibri"/>
        </w:rPr>
        <w:fldChar w:fldCharType="end"/>
      </w:r>
      <w:r w:rsidRPr="00FA4E09">
        <w:rPr>
          <w:rFonts w:ascii="Calibri" w:hAnsi="Calibri" w:cs="Calibri"/>
        </w:rPr>
        <w:t xml:space="preserve"> includes the number of respondents, total burden, and total cost for the industry to respond to the questionnaire. The values presented in </w:t>
      </w:r>
      <w:r w:rsidRPr="00FA4E09" w:rsidR="00120593">
        <w:rPr>
          <w:rFonts w:ascii="Calibri" w:hAnsi="Calibri" w:cs="Calibri"/>
        </w:rPr>
        <w:fldChar w:fldCharType="begin"/>
      </w:r>
      <w:r w:rsidRPr="00FA4E09" w:rsidR="00120593">
        <w:rPr>
          <w:rFonts w:ascii="Calibri" w:hAnsi="Calibri" w:cs="Calibri"/>
        </w:rPr>
        <w:instrText xml:space="preserve"> REF _Ref72482433 \h  \* MERGEFORMAT </w:instrText>
      </w:r>
      <w:r w:rsidRPr="00FA4E09" w:rsidR="00120593">
        <w:rPr>
          <w:rFonts w:ascii="Calibri" w:hAnsi="Calibri" w:cs="Calibri"/>
        </w:rPr>
        <w:fldChar w:fldCharType="separate"/>
      </w:r>
      <w:r w:rsidRPr="00B97ADE" w:rsidR="00A41D1F">
        <w:rPr>
          <w:rFonts w:ascii="Calibri" w:hAnsi="Calibri" w:cs="Calibri"/>
        </w:rPr>
        <w:t>Table 12-6</w:t>
      </w:r>
      <w:r w:rsidRPr="00FA4E09" w:rsidR="00120593">
        <w:rPr>
          <w:rFonts w:ascii="Calibri" w:hAnsi="Calibri" w:cs="Calibri"/>
        </w:rPr>
        <w:fldChar w:fldCharType="end"/>
      </w:r>
      <w:r w:rsidRPr="00FA4E09">
        <w:rPr>
          <w:rFonts w:ascii="Calibri" w:hAnsi="Calibri" w:cs="Calibri"/>
        </w:rPr>
        <w:t xml:space="preserve"> also include hours for a portion of the respondents to consult with the EPA’s helpline. The EPA estimates that 10 percent of the questionnaire respondents will have an operator spend 1 hour (equivalent to $45.88) coordinating with the helpline. All values presented in </w:t>
      </w:r>
      <w:r w:rsidRPr="00FA4E09" w:rsidR="00120593">
        <w:rPr>
          <w:rFonts w:ascii="Calibri" w:hAnsi="Calibri" w:cs="Calibri"/>
        </w:rPr>
        <w:fldChar w:fldCharType="begin"/>
      </w:r>
      <w:r w:rsidRPr="00FA4E09" w:rsidR="00120593">
        <w:rPr>
          <w:rFonts w:ascii="Calibri" w:hAnsi="Calibri" w:cs="Calibri"/>
        </w:rPr>
        <w:instrText xml:space="preserve"> REF _Ref72482433 \h  \* MERGEFORMAT </w:instrText>
      </w:r>
      <w:r w:rsidRPr="00FA4E09" w:rsidR="00120593">
        <w:rPr>
          <w:rFonts w:ascii="Calibri" w:hAnsi="Calibri" w:cs="Calibri"/>
        </w:rPr>
        <w:fldChar w:fldCharType="separate"/>
      </w:r>
      <w:r w:rsidRPr="00B97ADE" w:rsidR="00A41D1F">
        <w:rPr>
          <w:rFonts w:ascii="Calibri" w:hAnsi="Calibri" w:cs="Calibri"/>
        </w:rPr>
        <w:t>Table 12-6</w:t>
      </w:r>
      <w:r w:rsidRPr="00FA4E09" w:rsidR="00120593">
        <w:rPr>
          <w:rFonts w:ascii="Calibri" w:hAnsi="Calibri" w:cs="Calibri"/>
        </w:rPr>
        <w:fldChar w:fldCharType="end"/>
      </w:r>
      <w:r w:rsidRPr="00FA4E09">
        <w:rPr>
          <w:rFonts w:ascii="Calibri" w:hAnsi="Calibri" w:cs="Calibri"/>
        </w:rPr>
        <w:t xml:space="preserve"> are rounded to the nearest whole hour or dollar.</w:t>
      </w:r>
    </w:p>
    <w:tbl>
      <w:tblPr>
        <w:tblW w:w="142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000"/>
      </w:tblPr>
      <w:tblGrid>
        <w:gridCol w:w="1292"/>
        <w:gridCol w:w="1293"/>
        <w:gridCol w:w="1293"/>
        <w:gridCol w:w="1292"/>
        <w:gridCol w:w="1293"/>
        <w:gridCol w:w="1293"/>
        <w:gridCol w:w="1293"/>
        <w:gridCol w:w="1292"/>
        <w:gridCol w:w="1293"/>
        <w:gridCol w:w="1293"/>
        <w:gridCol w:w="1293"/>
      </w:tblGrid>
      <w:tr w14:paraId="2A0C20CC" w14:textId="77777777">
        <w:tblPrEx>
          <w:tblW w:w="142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000"/>
        </w:tblPrEx>
        <w:trPr>
          <w:cantSplit/>
          <w:tblHeader/>
          <w:jc w:val="center"/>
        </w:trPr>
        <w:tc>
          <w:tcPr>
            <w:tcW w:w="14220" w:type="dxa"/>
            <w:gridSpan w:val="11"/>
            <w:tcBorders>
              <w:top w:val="nil"/>
              <w:left w:val="nil"/>
              <w:bottom w:val="double" w:sz="6" w:space="0" w:color="auto"/>
              <w:right w:val="nil"/>
            </w:tcBorders>
            <w:shd w:val="clear" w:color="auto" w:fill="auto"/>
            <w:noWrap/>
            <w:vAlign w:val="bottom"/>
          </w:tcPr>
          <w:p w:rsidR="009C7983" w:rsidRPr="00FA4E09" w14:paraId="3AF6D312" w14:textId="1D67BD69">
            <w:pPr>
              <w:pStyle w:val="TableTitle"/>
            </w:pPr>
            <w:bookmarkStart w:id="35" w:name="_Ref72482433"/>
            <w:bookmarkStart w:id="36" w:name="_Toc97891778"/>
            <w:bookmarkStart w:id="37" w:name="_Toc157787722"/>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12</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6</w:t>
            </w:r>
            <w:r w:rsidRPr="00FA4E09">
              <w:rPr>
                <w:rFonts w:eastAsiaTheme="minorEastAsia"/>
                <w:bCs/>
                <w:smallCaps/>
                <w:spacing w:val="6"/>
                <w:sz w:val="24"/>
                <w:szCs w:val="18"/>
              </w:rPr>
              <w:fldChar w:fldCharType="end"/>
            </w:r>
            <w:bookmarkEnd w:id="35"/>
            <w:r w:rsidRPr="00FA4E09">
              <w:rPr>
                <w:rFonts w:eastAsiaTheme="minorEastAsia"/>
                <w:bCs/>
                <w:smallCaps/>
                <w:spacing w:val="6"/>
                <w:sz w:val="24"/>
                <w:szCs w:val="18"/>
              </w:rPr>
              <w:t>. Estimated Questionnaire Respondents by Response Category and Total Estimated Burden</w:t>
            </w:r>
            <w:bookmarkEnd w:id="36"/>
            <w:bookmarkEnd w:id="37"/>
          </w:p>
        </w:tc>
      </w:tr>
      <w:tr w14:paraId="0C78E747" w14:textId="77777777">
        <w:tblPrEx>
          <w:tblW w:w="14220" w:type="dxa"/>
          <w:jc w:val="center"/>
          <w:tblLayout w:type="fixed"/>
          <w:tblCellMar>
            <w:top w:w="29" w:type="dxa"/>
            <w:left w:w="58" w:type="dxa"/>
            <w:bottom w:w="29" w:type="dxa"/>
            <w:right w:w="58" w:type="dxa"/>
          </w:tblCellMar>
          <w:tblLook w:val="0000"/>
        </w:tblPrEx>
        <w:trPr>
          <w:cantSplit/>
          <w:tblHeader/>
          <w:jc w:val="center"/>
        </w:trPr>
        <w:tc>
          <w:tcPr>
            <w:tcW w:w="1292" w:type="dxa"/>
            <w:tcBorders>
              <w:top w:val="double" w:sz="6" w:space="0" w:color="auto"/>
              <w:bottom w:val="single" w:sz="6" w:space="0" w:color="auto"/>
            </w:tcBorders>
            <w:shd w:val="clear" w:color="auto" w:fill="D9D9D9" w:themeFill="background1" w:themeFillShade="D9"/>
            <w:noWrap/>
            <w:vAlign w:val="center"/>
          </w:tcPr>
          <w:p w:rsidR="009C7983" w:rsidRPr="00FA4E09" w:rsidP="00DD34B4" w14:paraId="2E5301FC"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Response Category</w:t>
            </w:r>
          </w:p>
        </w:tc>
        <w:tc>
          <w:tcPr>
            <w:tcW w:w="1293" w:type="dxa"/>
            <w:tcBorders>
              <w:top w:val="double" w:sz="6" w:space="0" w:color="auto"/>
              <w:bottom w:val="single" w:sz="6" w:space="0" w:color="auto"/>
            </w:tcBorders>
            <w:shd w:val="clear" w:color="auto" w:fill="D9D9D9" w:themeFill="background1" w:themeFillShade="D9"/>
            <w:vAlign w:val="center"/>
          </w:tcPr>
          <w:p w:rsidR="009C7983" w:rsidRPr="00FA4E09" w:rsidP="00DD34B4" w14:paraId="417FEC26"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Number of Responses</w:t>
            </w:r>
          </w:p>
        </w:tc>
        <w:tc>
          <w:tcPr>
            <w:tcW w:w="1293" w:type="dxa"/>
            <w:tcBorders>
              <w:top w:val="double" w:sz="6" w:space="0" w:color="auto"/>
              <w:bottom w:val="single" w:sz="6" w:space="0" w:color="auto"/>
            </w:tcBorders>
            <w:shd w:val="clear" w:color="auto" w:fill="D9D9D9" w:themeFill="background1" w:themeFillShade="D9"/>
            <w:vAlign w:val="center"/>
          </w:tcPr>
          <w:p w:rsidR="009C7983" w:rsidRPr="00FA4E09" w:rsidP="00DD34B4" w14:paraId="63935235"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Number of Respondents Contacting Helpline</w:t>
            </w:r>
          </w:p>
        </w:tc>
        <w:tc>
          <w:tcPr>
            <w:tcW w:w="1292" w:type="dxa"/>
            <w:tcBorders>
              <w:top w:val="double" w:sz="6" w:space="0" w:color="auto"/>
              <w:bottom w:val="single" w:sz="6" w:space="0" w:color="auto"/>
            </w:tcBorders>
            <w:shd w:val="clear" w:color="auto" w:fill="D9D9D9" w:themeFill="background1" w:themeFillShade="D9"/>
            <w:vAlign w:val="center"/>
          </w:tcPr>
          <w:p w:rsidR="009C7983" w:rsidRPr="00FA4E09" w:rsidP="00DD34B4" w14:paraId="25C5A461"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Total Wastewater Plant Operator Labor (hours)</w:t>
            </w:r>
          </w:p>
        </w:tc>
        <w:tc>
          <w:tcPr>
            <w:tcW w:w="1293" w:type="dxa"/>
            <w:tcBorders>
              <w:top w:val="double" w:sz="6" w:space="0" w:color="auto"/>
              <w:bottom w:val="single" w:sz="6" w:space="0" w:color="auto"/>
            </w:tcBorders>
            <w:shd w:val="clear" w:color="auto" w:fill="D9D9D9" w:themeFill="background1" w:themeFillShade="D9"/>
            <w:vAlign w:val="center"/>
          </w:tcPr>
          <w:p w:rsidR="009C7983" w:rsidRPr="00FA4E09" w:rsidP="00DD34B4" w14:paraId="2A3FF103"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Total Engineer Labor (hours)</w:t>
            </w:r>
          </w:p>
        </w:tc>
        <w:tc>
          <w:tcPr>
            <w:tcW w:w="1293" w:type="dxa"/>
            <w:tcBorders>
              <w:top w:val="double" w:sz="6" w:space="0" w:color="auto"/>
              <w:bottom w:val="single" w:sz="6" w:space="0" w:color="auto"/>
            </w:tcBorders>
            <w:shd w:val="clear" w:color="auto" w:fill="D9D9D9" w:themeFill="background1" w:themeFillShade="D9"/>
            <w:vAlign w:val="center"/>
          </w:tcPr>
          <w:p w:rsidR="009C7983" w:rsidRPr="00FA4E09" w:rsidP="00DD34B4" w14:paraId="720DB669"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Total Operations Manager Labor (hours)</w:t>
            </w:r>
          </w:p>
        </w:tc>
        <w:tc>
          <w:tcPr>
            <w:tcW w:w="1293" w:type="dxa"/>
            <w:tcBorders>
              <w:top w:val="double" w:sz="6" w:space="0" w:color="auto"/>
              <w:bottom w:val="single" w:sz="6" w:space="0" w:color="auto"/>
            </w:tcBorders>
            <w:shd w:val="clear" w:color="auto" w:fill="D9D9D9" w:themeFill="background1" w:themeFillShade="D9"/>
            <w:vAlign w:val="center"/>
          </w:tcPr>
          <w:p w:rsidR="009C7983" w:rsidRPr="00FA4E09" w:rsidP="00DD34B4" w14:paraId="131BCE70"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Total Labor (hours)</w:t>
            </w:r>
          </w:p>
        </w:tc>
        <w:tc>
          <w:tcPr>
            <w:tcW w:w="1292" w:type="dxa"/>
            <w:tcBorders>
              <w:top w:val="double" w:sz="6" w:space="0" w:color="auto"/>
              <w:bottom w:val="single" w:sz="6" w:space="0" w:color="auto"/>
            </w:tcBorders>
            <w:shd w:val="clear" w:color="auto" w:fill="D9D9D9" w:themeFill="background1" w:themeFillShade="D9"/>
            <w:vAlign w:val="center"/>
          </w:tcPr>
          <w:p w:rsidR="009C7983" w:rsidRPr="00FA4E09" w:rsidP="00DD34B4" w14:paraId="2CCB4E91"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Total Operator Labor Cost ($)</w:t>
            </w:r>
          </w:p>
        </w:tc>
        <w:tc>
          <w:tcPr>
            <w:tcW w:w="1293" w:type="dxa"/>
            <w:tcBorders>
              <w:top w:val="double" w:sz="6" w:space="0" w:color="auto"/>
              <w:bottom w:val="single" w:sz="6" w:space="0" w:color="auto"/>
            </w:tcBorders>
            <w:shd w:val="clear" w:color="auto" w:fill="D9D9D9" w:themeFill="background1" w:themeFillShade="D9"/>
            <w:vAlign w:val="center"/>
          </w:tcPr>
          <w:p w:rsidR="009C7983" w:rsidRPr="00FA4E09" w:rsidP="00DD34B4" w14:paraId="0E91ED24"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Total Engineer Labor Cost ($)</w:t>
            </w:r>
          </w:p>
        </w:tc>
        <w:tc>
          <w:tcPr>
            <w:tcW w:w="1293" w:type="dxa"/>
            <w:tcBorders>
              <w:top w:val="double" w:sz="6" w:space="0" w:color="auto"/>
              <w:bottom w:val="single" w:sz="6" w:space="0" w:color="auto"/>
            </w:tcBorders>
            <w:shd w:val="clear" w:color="auto" w:fill="D9D9D9" w:themeFill="background1" w:themeFillShade="D9"/>
            <w:vAlign w:val="center"/>
          </w:tcPr>
          <w:p w:rsidR="009C7983" w:rsidRPr="00FA4E09" w:rsidP="00DD34B4" w14:paraId="0F43371A"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Total Operations Manager Labor Cost ($)</w:t>
            </w:r>
          </w:p>
        </w:tc>
        <w:tc>
          <w:tcPr>
            <w:tcW w:w="1293" w:type="dxa"/>
            <w:tcBorders>
              <w:top w:val="double" w:sz="6" w:space="0" w:color="auto"/>
              <w:bottom w:val="single" w:sz="6" w:space="0" w:color="auto"/>
            </w:tcBorders>
            <w:shd w:val="clear" w:color="auto" w:fill="D9D9D9" w:themeFill="background1" w:themeFillShade="D9"/>
            <w:vAlign w:val="center"/>
          </w:tcPr>
          <w:p w:rsidR="009C7983" w:rsidRPr="00FA4E09" w:rsidP="00DD34B4" w14:paraId="20A59CB1"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Total Labor Cost ($)</w:t>
            </w:r>
          </w:p>
        </w:tc>
      </w:tr>
      <w:tr w14:paraId="1AE2193F" w14:textId="77777777">
        <w:tblPrEx>
          <w:tblW w:w="14220" w:type="dxa"/>
          <w:jc w:val="center"/>
          <w:tblLayout w:type="fixed"/>
          <w:tblCellMar>
            <w:top w:w="29" w:type="dxa"/>
            <w:left w:w="58" w:type="dxa"/>
            <w:bottom w:w="29" w:type="dxa"/>
            <w:right w:w="58" w:type="dxa"/>
          </w:tblCellMar>
          <w:tblLook w:val="0000"/>
        </w:tblPrEx>
        <w:trPr>
          <w:cantSplit/>
          <w:jc w:val="center"/>
        </w:trPr>
        <w:tc>
          <w:tcPr>
            <w:tcW w:w="1292" w:type="dxa"/>
            <w:tcBorders>
              <w:top w:val="single" w:sz="6" w:space="0" w:color="auto"/>
              <w:bottom w:val="single" w:sz="6" w:space="0" w:color="auto"/>
            </w:tcBorders>
            <w:shd w:val="clear" w:color="auto" w:fill="auto"/>
            <w:noWrap/>
            <w:vAlign w:val="center"/>
          </w:tcPr>
          <w:p w:rsidR="009C7983" w:rsidRPr="00FA4E09" w:rsidP="00DD34B4" w14:paraId="154D5262" w14:textId="77777777">
            <w:pPr>
              <w:spacing w:after="0"/>
              <w:rPr>
                <w:rFonts w:ascii="Calibri" w:hAnsi="Calibri" w:cs="Calibri"/>
                <w:sz w:val="20"/>
                <w:szCs w:val="20"/>
              </w:rPr>
            </w:pPr>
            <w:r w:rsidRPr="00FA4E09">
              <w:rPr>
                <w:rFonts w:ascii="Calibri" w:hAnsi="Calibri" w:cs="Calibri"/>
                <w:sz w:val="20"/>
                <w:szCs w:val="20"/>
              </w:rPr>
              <w:t>Full Response</w:t>
            </w:r>
          </w:p>
        </w:tc>
        <w:tc>
          <w:tcPr>
            <w:tcW w:w="1293" w:type="dxa"/>
            <w:tcBorders>
              <w:top w:val="single" w:sz="6" w:space="0" w:color="auto"/>
              <w:bottom w:val="single" w:sz="6" w:space="0" w:color="auto"/>
            </w:tcBorders>
            <w:shd w:val="clear" w:color="auto" w:fill="auto"/>
            <w:noWrap/>
            <w:vAlign w:val="center"/>
          </w:tcPr>
          <w:p w:rsidR="009C7983" w:rsidRPr="00FA4E09" w:rsidP="00DD34B4" w14:paraId="525E26EF" w14:textId="77777777">
            <w:pPr>
              <w:spacing w:after="0"/>
              <w:jc w:val="right"/>
              <w:rPr>
                <w:rFonts w:ascii="Calibri" w:hAnsi="Calibri" w:cs="Calibri"/>
                <w:color w:val="000000"/>
                <w:sz w:val="20"/>
                <w:szCs w:val="20"/>
              </w:rPr>
            </w:pPr>
            <w:r w:rsidRPr="00FA4E09">
              <w:rPr>
                <w:rFonts w:ascii="Calibri" w:hAnsi="Calibri" w:cs="Calibri"/>
                <w:color w:val="000000"/>
                <w:sz w:val="20"/>
                <w:szCs w:val="20"/>
              </w:rPr>
              <w:t>400</w:t>
            </w:r>
          </w:p>
        </w:tc>
        <w:tc>
          <w:tcPr>
            <w:tcW w:w="1293" w:type="dxa"/>
            <w:tcBorders>
              <w:top w:val="single" w:sz="6" w:space="0" w:color="auto"/>
              <w:bottom w:val="single" w:sz="6" w:space="0" w:color="auto"/>
            </w:tcBorders>
            <w:shd w:val="clear" w:color="auto" w:fill="auto"/>
            <w:noWrap/>
            <w:vAlign w:val="center"/>
          </w:tcPr>
          <w:p w:rsidR="009C7983" w:rsidRPr="00FA4E09" w:rsidP="00DD34B4" w14:paraId="0108748C" w14:textId="77777777">
            <w:pPr>
              <w:spacing w:after="0"/>
              <w:jc w:val="right"/>
              <w:rPr>
                <w:rFonts w:ascii="Calibri" w:hAnsi="Calibri" w:cs="Calibri"/>
                <w:color w:val="000000"/>
                <w:sz w:val="20"/>
                <w:szCs w:val="20"/>
              </w:rPr>
            </w:pPr>
            <w:r w:rsidRPr="00FA4E09">
              <w:rPr>
                <w:rFonts w:ascii="Calibri" w:hAnsi="Calibri" w:cs="Calibri"/>
                <w:color w:val="000000"/>
                <w:sz w:val="20"/>
                <w:szCs w:val="20"/>
              </w:rPr>
              <w:t>40</w:t>
            </w:r>
          </w:p>
        </w:tc>
        <w:tc>
          <w:tcPr>
            <w:tcW w:w="1292" w:type="dxa"/>
            <w:tcBorders>
              <w:top w:val="single" w:sz="6" w:space="0" w:color="auto"/>
              <w:bottom w:val="single" w:sz="6" w:space="0" w:color="auto"/>
            </w:tcBorders>
            <w:shd w:val="clear" w:color="auto" w:fill="auto"/>
            <w:noWrap/>
            <w:vAlign w:val="center"/>
          </w:tcPr>
          <w:p w:rsidR="009C7983" w:rsidRPr="00FA4E09" w:rsidP="00DD34B4" w14:paraId="3C6BCA8B" w14:textId="77777777">
            <w:pPr>
              <w:spacing w:after="0"/>
              <w:jc w:val="right"/>
              <w:rPr>
                <w:rFonts w:ascii="Calibri" w:hAnsi="Calibri" w:cs="Calibri"/>
                <w:color w:val="000000"/>
                <w:sz w:val="20"/>
                <w:szCs w:val="20"/>
              </w:rPr>
            </w:pPr>
            <w:r w:rsidRPr="00FA4E09">
              <w:rPr>
                <w:rFonts w:ascii="Calibri" w:hAnsi="Calibri" w:cs="Calibri"/>
                <w:sz w:val="20"/>
                <w:szCs w:val="20"/>
              </w:rPr>
              <w:t>5,240</w:t>
            </w:r>
          </w:p>
        </w:tc>
        <w:tc>
          <w:tcPr>
            <w:tcW w:w="1293" w:type="dxa"/>
            <w:tcBorders>
              <w:top w:val="single" w:sz="6" w:space="0" w:color="auto"/>
              <w:bottom w:val="single" w:sz="6" w:space="0" w:color="auto"/>
            </w:tcBorders>
            <w:shd w:val="clear" w:color="auto" w:fill="auto"/>
            <w:vAlign w:val="center"/>
          </w:tcPr>
          <w:p w:rsidR="009C7983" w:rsidRPr="00FA4E09" w:rsidP="00DD34B4" w14:paraId="0E460C5E" w14:textId="77777777">
            <w:pPr>
              <w:spacing w:after="0"/>
              <w:jc w:val="right"/>
              <w:rPr>
                <w:rFonts w:ascii="Calibri" w:hAnsi="Calibri" w:cs="Calibri"/>
                <w:color w:val="000000"/>
                <w:sz w:val="20"/>
                <w:szCs w:val="20"/>
              </w:rPr>
            </w:pPr>
            <w:r w:rsidRPr="00FA4E09">
              <w:rPr>
                <w:rFonts w:ascii="Calibri" w:hAnsi="Calibri" w:cs="Calibri"/>
                <w:sz w:val="20"/>
                <w:szCs w:val="20"/>
              </w:rPr>
              <w:t>2,000</w:t>
            </w:r>
          </w:p>
        </w:tc>
        <w:tc>
          <w:tcPr>
            <w:tcW w:w="1293" w:type="dxa"/>
            <w:tcBorders>
              <w:top w:val="single" w:sz="6" w:space="0" w:color="auto"/>
              <w:bottom w:val="single" w:sz="6" w:space="0" w:color="auto"/>
            </w:tcBorders>
            <w:shd w:val="clear" w:color="auto" w:fill="auto"/>
            <w:vAlign w:val="center"/>
          </w:tcPr>
          <w:p w:rsidR="009C7983" w:rsidRPr="00FA4E09" w:rsidP="00DD34B4" w14:paraId="3055373C" w14:textId="77777777">
            <w:pPr>
              <w:spacing w:after="0"/>
              <w:jc w:val="right"/>
              <w:rPr>
                <w:rFonts w:ascii="Calibri" w:hAnsi="Calibri" w:cs="Calibri"/>
                <w:color w:val="000000"/>
                <w:sz w:val="20"/>
                <w:szCs w:val="20"/>
              </w:rPr>
            </w:pPr>
            <w:r w:rsidRPr="00FA4E09">
              <w:rPr>
                <w:rFonts w:ascii="Calibri" w:hAnsi="Calibri" w:cs="Calibri"/>
                <w:sz w:val="20"/>
                <w:szCs w:val="20"/>
              </w:rPr>
              <w:t>2,000</w:t>
            </w:r>
          </w:p>
        </w:tc>
        <w:tc>
          <w:tcPr>
            <w:tcW w:w="1293" w:type="dxa"/>
            <w:tcBorders>
              <w:top w:val="single" w:sz="6" w:space="0" w:color="auto"/>
              <w:bottom w:val="single" w:sz="6" w:space="0" w:color="auto"/>
            </w:tcBorders>
            <w:shd w:val="clear" w:color="auto" w:fill="auto"/>
            <w:vAlign w:val="center"/>
          </w:tcPr>
          <w:p w:rsidR="009C7983" w:rsidRPr="00FA4E09" w:rsidP="00DD34B4" w14:paraId="5034BE68" w14:textId="77777777">
            <w:pPr>
              <w:spacing w:after="0"/>
              <w:jc w:val="right"/>
              <w:rPr>
                <w:rFonts w:ascii="Calibri" w:hAnsi="Calibri" w:cs="Calibri"/>
                <w:color w:val="000000"/>
                <w:sz w:val="20"/>
                <w:szCs w:val="20"/>
              </w:rPr>
            </w:pPr>
            <w:r w:rsidRPr="00FA4E09">
              <w:rPr>
                <w:rFonts w:ascii="Calibri" w:hAnsi="Calibri" w:cs="Calibri"/>
                <w:sz w:val="20"/>
                <w:szCs w:val="20"/>
              </w:rPr>
              <w:t>9,240</w:t>
            </w:r>
          </w:p>
        </w:tc>
        <w:tc>
          <w:tcPr>
            <w:tcW w:w="1292" w:type="dxa"/>
            <w:tcBorders>
              <w:top w:val="single" w:sz="6" w:space="0" w:color="auto"/>
              <w:bottom w:val="single" w:sz="6" w:space="0" w:color="auto"/>
            </w:tcBorders>
            <w:shd w:val="clear" w:color="auto" w:fill="auto"/>
            <w:vAlign w:val="center"/>
          </w:tcPr>
          <w:p w:rsidR="009C7983" w:rsidRPr="00FA4E09" w:rsidP="00DD34B4" w14:paraId="12796BCF" w14:textId="77777777">
            <w:pPr>
              <w:spacing w:after="0"/>
              <w:jc w:val="right"/>
              <w:rPr>
                <w:rFonts w:ascii="Calibri" w:hAnsi="Calibri" w:cs="Calibri"/>
                <w:color w:val="000000"/>
                <w:sz w:val="20"/>
                <w:szCs w:val="20"/>
              </w:rPr>
            </w:pPr>
            <w:r w:rsidRPr="00FA4E09">
              <w:rPr>
                <w:rFonts w:ascii="Calibri" w:hAnsi="Calibri" w:cs="Calibri"/>
                <w:sz w:val="20"/>
                <w:szCs w:val="20"/>
              </w:rPr>
              <w:t>$240,422</w:t>
            </w:r>
          </w:p>
        </w:tc>
        <w:tc>
          <w:tcPr>
            <w:tcW w:w="1293" w:type="dxa"/>
            <w:tcBorders>
              <w:top w:val="single" w:sz="6" w:space="0" w:color="auto"/>
              <w:bottom w:val="single" w:sz="6" w:space="0" w:color="auto"/>
            </w:tcBorders>
            <w:shd w:val="clear" w:color="auto" w:fill="auto"/>
            <w:vAlign w:val="center"/>
          </w:tcPr>
          <w:p w:rsidR="009C7983" w:rsidRPr="00FA4E09" w:rsidP="00DD34B4" w14:paraId="57299760" w14:textId="77777777">
            <w:pPr>
              <w:spacing w:after="0"/>
              <w:jc w:val="right"/>
              <w:rPr>
                <w:rFonts w:ascii="Calibri" w:hAnsi="Calibri" w:cs="Calibri"/>
                <w:color w:val="000000"/>
                <w:sz w:val="20"/>
                <w:szCs w:val="20"/>
              </w:rPr>
            </w:pPr>
            <w:r w:rsidRPr="00FA4E09">
              <w:rPr>
                <w:rFonts w:ascii="Calibri" w:hAnsi="Calibri" w:cs="Calibri"/>
                <w:sz w:val="20"/>
                <w:szCs w:val="20"/>
              </w:rPr>
              <w:t>$155,124</w:t>
            </w:r>
          </w:p>
        </w:tc>
        <w:tc>
          <w:tcPr>
            <w:tcW w:w="1293" w:type="dxa"/>
            <w:tcBorders>
              <w:top w:val="single" w:sz="6" w:space="0" w:color="auto"/>
              <w:bottom w:val="single" w:sz="6" w:space="0" w:color="auto"/>
            </w:tcBorders>
            <w:shd w:val="clear" w:color="auto" w:fill="auto"/>
            <w:vAlign w:val="center"/>
          </w:tcPr>
          <w:p w:rsidR="009C7983" w:rsidRPr="00FA4E09" w:rsidP="00DD34B4" w14:paraId="71A11A09" w14:textId="77777777">
            <w:pPr>
              <w:spacing w:after="0"/>
              <w:jc w:val="right"/>
              <w:rPr>
                <w:rFonts w:ascii="Calibri" w:hAnsi="Calibri" w:cs="Calibri"/>
                <w:color w:val="000000"/>
                <w:sz w:val="20"/>
                <w:szCs w:val="20"/>
              </w:rPr>
            </w:pPr>
            <w:r w:rsidRPr="00FA4E09">
              <w:rPr>
                <w:rFonts w:ascii="Calibri" w:hAnsi="Calibri" w:cs="Calibri"/>
                <w:sz w:val="20"/>
                <w:szCs w:val="20"/>
              </w:rPr>
              <w:t>$218,736</w:t>
            </w:r>
          </w:p>
        </w:tc>
        <w:tc>
          <w:tcPr>
            <w:tcW w:w="1293" w:type="dxa"/>
            <w:tcBorders>
              <w:top w:val="single" w:sz="6" w:space="0" w:color="auto"/>
              <w:bottom w:val="single" w:sz="6" w:space="0" w:color="auto"/>
            </w:tcBorders>
            <w:shd w:val="clear" w:color="auto" w:fill="auto"/>
            <w:vAlign w:val="center"/>
          </w:tcPr>
          <w:p w:rsidR="009C7983" w:rsidRPr="00FA4E09" w:rsidP="00DD34B4" w14:paraId="4C70B525" w14:textId="77777777">
            <w:pPr>
              <w:spacing w:after="0"/>
              <w:jc w:val="right"/>
              <w:rPr>
                <w:rFonts w:ascii="Calibri" w:hAnsi="Calibri" w:cs="Calibri"/>
                <w:b/>
                <w:color w:val="000000"/>
                <w:sz w:val="20"/>
                <w:szCs w:val="20"/>
              </w:rPr>
            </w:pPr>
            <w:r w:rsidRPr="00FA4E09">
              <w:rPr>
                <w:rFonts w:ascii="Calibri" w:hAnsi="Calibri" w:cs="Calibri"/>
                <w:b/>
                <w:sz w:val="20"/>
                <w:szCs w:val="20"/>
              </w:rPr>
              <w:t>$614,282</w:t>
            </w:r>
          </w:p>
        </w:tc>
      </w:tr>
      <w:tr w14:paraId="1BA7855B" w14:textId="77777777">
        <w:tblPrEx>
          <w:tblW w:w="14220" w:type="dxa"/>
          <w:jc w:val="center"/>
          <w:tblLayout w:type="fixed"/>
          <w:tblCellMar>
            <w:top w:w="29" w:type="dxa"/>
            <w:left w:w="58" w:type="dxa"/>
            <w:bottom w:w="29" w:type="dxa"/>
            <w:right w:w="58" w:type="dxa"/>
          </w:tblCellMar>
          <w:tblLook w:val="0000"/>
        </w:tblPrEx>
        <w:trPr>
          <w:cantSplit/>
          <w:jc w:val="center"/>
        </w:trPr>
        <w:tc>
          <w:tcPr>
            <w:tcW w:w="1292" w:type="dxa"/>
            <w:tcBorders>
              <w:top w:val="single" w:sz="6" w:space="0" w:color="auto"/>
              <w:bottom w:val="double" w:sz="4" w:space="0" w:color="auto"/>
            </w:tcBorders>
            <w:shd w:val="clear" w:color="auto" w:fill="auto"/>
            <w:noWrap/>
            <w:vAlign w:val="center"/>
          </w:tcPr>
          <w:p w:rsidR="009C7983" w:rsidRPr="00FA4E09" w:rsidP="00DD34B4" w14:paraId="6EEF4054" w14:textId="77777777">
            <w:pPr>
              <w:spacing w:after="0"/>
              <w:jc w:val="right"/>
              <w:rPr>
                <w:rFonts w:ascii="Calibri" w:hAnsi="Calibri" w:cs="Calibri"/>
                <w:b/>
                <w:bCs/>
                <w:sz w:val="20"/>
                <w:szCs w:val="20"/>
              </w:rPr>
            </w:pPr>
            <w:r w:rsidRPr="00FA4E09">
              <w:rPr>
                <w:rFonts w:ascii="Calibri" w:hAnsi="Calibri" w:cs="Calibri"/>
                <w:b/>
                <w:bCs/>
                <w:sz w:val="20"/>
                <w:szCs w:val="20"/>
              </w:rPr>
              <w:t>Total</w:t>
            </w:r>
          </w:p>
        </w:tc>
        <w:tc>
          <w:tcPr>
            <w:tcW w:w="1293" w:type="dxa"/>
            <w:tcBorders>
              <w:top w:val="single" w:sz="6" w:space="0" w:color="auto"/>
              <w:bottom w:val="double" w:sz="4" w:space="0" w:color="auto"/>
            </w:tcBorders>
            <w:shd w:val="clear" w:color="auto" w:fill="auto"/>
            <w:noWrap/>
          </w:tcPr>
          <w:p w:rsidR="009C7983" w:rsidRPr="00FA4E09" w:rsidP="00DD34B4" w14:paraId="6B83CA6D" w14:textId="77777777">
            <w:pPr>
              <w:spacing w:after="0"/>
              <w:jc w:val="right"/>
              <w:rPr>
                <w:rFonts w:ascii="Calibri" w:hAnsi="Calibri" w:cs="Calibri"/>
                <w:b/>
                <w:bCs/>
                <w:color w:val="000000"/>
                <w:sz w:val="20"/>
                <w:szCs w:val="20"/>
              </w:rPr>
            </w:pPr>
            <w:r w:rsidRPr="00FA4E09">
              <w:rPr>
                <w:rFonts w:ascii="Calibri" w:hAnsi="Calibri" w:cs="Calibri"/>
                <w:b/>
                <w:bCs/>
                <w:sz w:val="20"/>
                <w:szCs w:val="20"/>
              </w:rPr>
              <w:t>400</w:t>
            </w:r>
          </w:p>
        </w:tc>
        <w:tc>
          <w:tcPr>
            <w:tcW w:w="1293" w:type="dxa"/>
            <w:tcBorders>
              <w:top w:val="single" w:sz="6" w:space="0" w:color="auto"/>
              <w:bottom w:val="double" w:sz="4" w:space="0" w:color="auto"/>
            </w:tcBorders>
            <w:shd w:val="clear" w:color="auto" w:fill="auto"/>
            <w:noWrap/>
          </w:tcPr>
          <w:p w:rsidR="009C7983" w:rsidRPr="00FA4E09" w:rsidP="00DD34B4" w14:paraId="39F9B7CD" w14:textId="77777777">
            <w:pPr>
              <w:spacing w:after="0"/>
              <w:jc w:val="right"/>
              <w:rPr>
                <w:rFonts w:ascii="Calibri" w:hAnsi="Calibri" w:cs="Calibri"/>
                <w:b/>
                <w:bCs/>
                <w:color w:val="000000"/>
                <w:sz w:val="20"/>
                <w:szCs w:val="20"/>
              </w:rPr>
            </w:pPr>
            <w:r w:rsidRPr="00FA4E09">
              <w:rPr>
                <w:rFonts w:ascii="Calibri" w:hAnsi="Calibri" w:cs="Calibri"/>
                <w:b/>
                <w:sz w:val="20"/>
                <w:szCs w:val="20"/>
              </w:rPr>
              <w:t>40</w:t>
            </w:r>
          </w:p>
        </w:tc>
        <w:tc>
          <w:tcPr>
            <w:tcW w:w="1292" w:type="dxa"/>
            <w:tcBorders>
              <w:top w:val="single" w:sz="6" w:space="0" w:color="auto"/>
              <w:bottom w:val="double" w:sz="4" w:space="0" w:color="auto"/>
            </w:tcBorders>
            <w:shd w:val="clear" w:color="auto" w:fill="auto"/>
            <w:noWrap/>
          </w:tcPr>
          <w:p w:rsidR="009C7983" w:rsidRPr="00FA4E09" w:rsidP="00DD34B4" w14:paraId="3C0D0538" w14:textId="77777777">
            <w:pPr>
              <w:spacing w:after="0"/>
              <w:jc w:val="right"/>
              <w:rPr>
                <w:rFonts w:ascii="Calibri" w:hAnsi="Calibri" w:cs="Calibri"/>
                <w:b/>
                <w:bCs/>
                <w:sz w:val="20"/>
                <w:szCs w:val="20"/>
              </w:rPr>
            </w:pPr>
            <w:r w:rsidRPr="00FA4E09">
              <w:rPr>
                <w:rFonts w:ascii="Calibri" w:hAnsi="Calibri" w:cs="Calibri"/>
                <w:b/>
                <w:bCs/>
                <w:sz w:val="20"/>
                <w:szCs w:val="20"/>
              </w:rPr>
              <w:t>5,240</w:t>
            </w:r>
          </w:p>
        </w:tc>
        <w:tc>
          <w:tcPr>
            <w:tcW w:w="1293" w:type="dxa"/>
            <w:tcBorders>
              <w:top w:val="single" w:sz="6" w:space="0" w:color="auto"/>
              <w:bottom w:val="double" w:sz="4" w:space="0" w:color="auto"/>
            </w:tcBorders>
            <w:shd w:val="clear" w:color="auto" w:fill="auto"/>
          </w:tcPr>
          <w:p w:rsidR="009C7983" w:rsidRPr="00FA4E09" w:rsidP="00DD34B4" w14:paraId="5A8E15B3" w14:textId="77777777">
            <w:pPr>
              <w:spacing w:after="0"/>
              <w:jc w:val="right"/>
              <w:rPr>
                <w:rFonts w:ascii="Calibri" w:hAnsi="Calibri" w:cs="Calibri"/>
                <w:b/>
                <w:bCs/>
                <w:sz w:val="20"/>
                <w:szCs w:val="20"/>
              </w:rPr>
            </w:pPr>
            <w:r w:rsidRPr="00FA4E09">
              <w:rPr>
                <w:rFonts w:ascii="Calibri" w:hAnsi="Calibri" w:cs="Calibri"/>
                <w:b/>
                <w:bCs/>
                <w:sz w:val="20"/>
                <w:szCs w:val="20"/>
              </w:rPr>
              <w:t>2,000</w:t>
            </w:r>
          </w:p>
        </w:tc>
        <w:tc>
          <w:tcPr>
            <w:tcW w:w="1293" w:type="dxa"/>
            <w:tcBorders>
              <w:top w:val="single" w:sz="6" w:space="0" w:color="auto"/>
              <w:bottom w:val="double" w:sz="4" w:space="0" w:color="auto"/>
            </w:tcBorders>
            <w:shd w:val="clear" w:color="auto" w:fill="auto"/>
          </w:tcPr>
          <w:p w:rsidR="009C7983" w:rsidRPr="00FA4E09" w:rsidP="00DD34B4" w14:paraId="17E3647F" w14:textId="77777777">
            <w:pPr>
              <w:spacing w:after="0"/>
              <w:jc w:val="right"/>
              <w:rPr>
                <w:rFonts w:ascii="Calibri" w:hAnsi="Calibri" w:cs="Calibri"/>
                <w:b/>
                <w:bCs/>
                <w:sz w:val="20"/>
                <w:szCs w:val="20"/>
              </w:rPr>
            </w:pPr>
            <w:r w:rsidRPr="00FA4E09">
              <w:rPr>
                <w:rFonts w:ascii="Calibri" w:hAnsi="Calibri" w:cs="Calibri"/>
                <w:b/>
                <w:bCs/>
                <w:sz w:val="20"/>
                <w:szCs w:val="20"/>
              </w:rPr>
              <w:t>2,000</w:t>
            </w:r>
          </w:p>
        </w:tc>
        <w:tc>
          <w:tcPr>
            <w:tcW w:w="1293" w:type="dxa"/>
            <w:tcBorders>
              <w:top w:val="single" w:sz="6" w:space="0" w:color="auto"/>
              <w:bottom w:val="double" w:sz="4" w:space="0" w:color="auto"/>
            </w:tcBorders>
            <w:shd w:val="clear" w:color="auto" w:fill="auto"/>
          </w:tcPr>
          <w:p w:rsidR="009C7983" w:rsidRPr="00FA4E09" w:rsidP="00DD34B4" w14:paraId="09932844" w14:textId="77777777">
            <w:pPr>
              <w:spacing w:after="0"/>
              <w:jc w:val="right"/>
              <w:rPr>
                <w:rFonts w:ascii="Calibri" w:hAnsi="Calibri" w:cs="Calibri"/>
                <w:b/>
                <w:bCs/>
                <w:sz w:val="20"/>
                <w:szCs w:val="20"/>
              </w:rPr>
            </w:pPr>
            <w:r w:rsidRPr="00FA4E09">
              <w:rPr>
                <w:rFonts w:ascii="Calibri" w:hAnsi="Calibri" w:cs="Calibri"/>
                <w:b/>
                <w:bCs/>
                <w:sz w:val="20"/>
                <w:szCs w:val="20"/>
              </w:rPr>
              <w:t>9,240</w:t>
            </w:r>
          </w:p>
        </w:tc>
        <w:tc>
          <w:tcPr>
            <w:tcW w:w="1292" w:type="dxa"/>
            <w:tcBorders>
              <w:top w:val="single" w:sz="6" w:space="0" w:color="auto"/>
              <w:bottom w:val="double" w:sz="4" w:space="0" w:color="auto"/>
            </w:tcBorders>
            <w:shd w:val="clear" w:color="auto" w:fill="auto"/>
          </w:tcPr>
          <w:p w:rsidR="009C7983" w:rsidRPr="00FA4E09" w:rsidP="00DD34B4" w14:paraId="6D7C8128" w14:textId="77777777">
            <w:pPr>
              <w:spacing w:after="0"/>
              <w:jc w:val="right"/>
              <w:rPr>
                <w:rFonts w:ascii="Calibri" w:hAnsi="Calibri" w:cs="Calibri"/>
                <w:b/>
                <w:bCs/>
                <w:sz w:val="20"/>
                <w:szCs w:val="20"/>
              </w:rPr>
            </w:pPr>
            <w:r w:rsidRPr="00FA4E09">
              <w:rPr>
                <w:rFonts w:ascii="Calibri" w:hAnsi="Calibri" w:cs="Calibri"/>
                <w:b/>
                <w:bCs/>
                <w:sz w:val="20"/>
                <w:szCs w:val="20"/>
              </w:rPr>
              <w:t>$240,422</w:t>
            </w:r>
          </w:p>
        </w:tc>
        <w:tc>
          <w:tcPr>
            <w:tcW w:w="1293" w:type="dxa"/>
            <w:tcBorders>
              <w:top w:val="single" w:sz="6" w:space="0" w:color="auto"/>
              <w:bottom w:val="double" w:sz="4" w:space="0" w:color="auto"/>
            </w:tcBorders>
            <w:shd w:val="clear" w:color="auto" w:fill="auto"/>
          </w:tcPr>
          <w:p w:rsidR="009C7983" w:rsidRPr="00FA4E09" w:rsidP="00DD34B4" w14:paraId="5C73CE2C" w14:textId="77777777">
            <w:pPr>
              <w:spacing w:after="0"/>
              <w:jc w:val="right"/>
              <w:rPr>
                <w:rFonts w:ascii="Calibri" w:hAnsi="Calibri" w:cs="Calibri"/>
                <w:b/>
                <w:bCs/>
                <w:sz w:val="20"/>
                <w:szCs w:val="20"/>
              </w:rPr>
            </w:pPr>
            <w:r w:rsidRPr="00FA4E09">
              <w:rPr>
                <w:rFonts w:ascii="Calibri" w:hAnsi="Calibri" w:cs="Calibri"/>
                <w:b/>
                <w:bCs/>
                <w:sz w:val="20"/>
                <w:szCs w:val="20"/>
              </w:rPr>
              <w:t>$155,124</w:t>
            </w:r>
          </w:p>
        </w:tc>
        <w:tc>
          <w:tcPr>
            <w:tcW w:w="1293" w:type="dxa"/>
            <w:tcBorders>
              <w:top w:val="single" w:sz="6" w:space="0" w:color="auto"/>
              <w:bottom w:val="double" w:sz="4" w:space="0" w:color="auto"/>
            </w:tcBorders>
            <w:shd w:val="clear" w:color="auto" w:fill="auto"/>
          </w:tcPr>
          <w:p w:rsidR="009C7983" w:rsidRPr="00FA4E09" w:rsidP="00DD34B4" w14:paraId="61B94486" w14:textId="77777777">
            <w:pPr>
              <w:spacing w:after="0"/>
              <w:jc w:val="right"/>
              <w:rPr>
                <w:rFonts w:ascii="Calibri" w:hAnsi="Calibri" w:cs="Calibri"/>
                <w:b/>
                <w:bCs/>
                <w:sz w:val="20"/>
                <w:szCs w:val="20"/>
              </w:rPr>
            </w:pPr>
            <w:r w:rsidRPr="00FA4E09">
              <w:rPr>
                <w:rFonts w:ascii="Calibri" w:hAnsi="Calibri" w:cs="Calibri"/>
                <w:b/>
                <w:bCs/>
                <w:sz w:val="20"/>
                <w:szCs w:val="20"/>
              </w:rPr>
              <w:t>$218,736</w:t>
            </w:r>
          </w:p>
        </w:tc>
        <w:tc>
          <w:tcPr>
            <w:tcW w:w="1293" w:type="dxa"/>
            <w:tcBorders>
              <w:top w:val="single" w:sz="6" w:space="0" w:color="auto"/>
              <w:bottom w:val="double" w:sz="4" w:space="0" w:color="auto"/>
            </w:tcBorders>
            <w:shd w:val="clear" w:color="auto" w:fill="auto"/>
          </w:tcPr>
          <w:p w:rsidR="009C7983" w:rsidRPr="00FA4E09" w:rsidP="00DD34B4" w14:paraId="1B86C104" w14:textId="77777777">
            <w:pPr>
              <w:spacing w:after="0"/>
              <w:jc w:val="right"/>
              <w:rPr>
                <w:rFonts w:ascii="Calibri" w:hAnsi="Calibri" w:cs="Calibri"/>
                <w:b/>
                <w:bCs/>
                <w:sz w:val="20"/>
                <w:szCs w:val="20"/>
              </w:rPr>
            </w:pPr>
            <w:r w:rsidRPr="00FA4E09">
              <w:rPr>
                <w:rFonts w:ascii="Calibri" w:hAnsi="Calibri" w:cs="Calibri"/>
                <w:b/>
                <w:bCs/>
                <w:sz w:val="20"/>
                <w:szCs w:val="20"/>
              </w:rPr>
              <w:t>$614,282</w:t>
            </w:r>
          </w:p>
        </w:tc>
      </w:tr>
    </w:tbl>
    <w:p w:rsidR="00B0321C" w:rsidRPr="00FA4E09" w:rsidP="00854AAE" w14:paraId="0F441F93" w14:textId="0FC87B66">
      <w:pPr>
        <w:spacing w:before="60"/>
        <w:rPr>
          <w:rFonts w:ascii="Calibri" w:hAnsi="Calibri" w:cs="Calibri"/>
        </w:rPr>
      </w:pPr>
    </w:p>
    <w:p w:rsidR="009C7983" w:rsidRPr="00FA4E09" w:rsidP="00854AAE" w14:paraId="3880BB59" w14:textId="77777777">
      <w:pPr>
        <w:spacing w:before="60"/>
        <w:rPr>
          <w:rFonts w:ascii="Calibri" w:hAnsi="Calibri" w:cs="Calibri"/>
        </w:rPr>
        <w:sectPr w:rsidSect="007D584F">
          <w:pgSz w:w="15840" w:h="12240" w:orient="landscape"/>
          <w:pgMar w:top="1440" w:right="1440" w:bottom="1440" w:left="1440" w:header="720" w:footer="720" w:gutter="0"/>
          <w:cols w:space="720"/>
          <w:docGrid w:linePitch="360"/>
        </w:sectPr>
      </w:pPr>
    </w:p>
    <w:p w:rsidR="00B97023" w:rsidRPr="00FA4E09" w:rsidP="00B97023" w14:paraId="07836B44" w14:textId="6DB9EE9B">
      <w:pPr>
        <w:spacing w:after="240"/>
        <w:rPr>
          <w:rFonts w:ascii="Calibri" w:hAnsi="Calibri" w:cs="Calibri"/>
        </w:rPr>
      </w:pPr>
      <w:r w:rsidRPr="00FA4E09">
        <w:rPr>
          <w:rFonts w:ascii="Calibri" w:hAnsi="Calibri" w:cs="Calibri"/>
        </w:rPr>
        <w:t xml:space="preserve">For labor costs associated with the sampling program, the EPA combined the hours presented for each activity listed in </w:t>
      </w:r>
      <w:r w:rsidRPr="00FA4E09">
        <w:rPr>
          <w:rFonts w:ascii="Calibri" w:hAnsi="Calibri" w:cs="Calibri"/>
        </w:rPr>
        <w:fldChar w:fldCharType="begin"/>
      </w:r>
      <w:r w:rsidRPr="00FA4E09">
        <w:rPr>
          <w:rFonts w:ascii="Calibri" w:hAnsi="Calibri" w:cs="Calibri"/>
        </w:rPr>
        <w:instrText xml:space="preserve"> REF _Ref85301742 \h  \* MERGEFORMAT </w:instrText>
      </w:r>
      <w:r w:rsidRPr="00FA4E09">
        <w:rPr>
          <w:rFonts w:ascii="Calibri" w:hAnsi="Calibri" w:cs="Calibri"/>
        </w:rPr>
        <w:fldChar w:fldCharType="separate"/>
      </w:r>
      <w:r w:rsidRPr="00BC148F" w:rsidR="00A41D1F">
        <w:rPr>
          <w:rFonts w:ascii="Calibri" w:hAnsi="Calibri" w:cs="Calibri"/>
        </w:rPr>
        <w:t xml:space="preserve">Table </w:t>
      </w:r>
      <w:r w:rsidRPr="00BC148F" w:rsidR="00A41D1F">
        <w:rPr>
          <w:rFonts w:ascii="Calibri" w:hAnsi="Calibri" w:cs="Calibri"/>
          <w:noProof/>
        </w:rPr>
        <w:t>12-3</w:t>
      </w:r>
      <w:r w:rsidRPr="00FA4E09">
        <w:rPr>
          <w:rFonts w:ascii="Calibri" w:hAnsi="Calibri" w:cs="Calibri"/>
        </w:rPr>
        <w:fldChar w:fldCharType="end"/>
      </w:r>
      <w:r w:rsidRPr="00FA4E09">
        <w:rPr>
          <w:rFonts w:ascii="Calibri" w:hAnsi="Calibri" w:cs="Calibri"/>
        </w:rPr>
        <w:t xml:space="preserve"> with the labor rates shown in </w:t>
      </w:r>
      <w:r w:rsidRPr="00FA4E09">
        <w:rPr>
          <w:rFonts w:ascii="Calibri" w:hAnsi="Calibri" w:cs="Calibri"/>
        </w:rPr>
        <w:fldChar w:fldCharType="begin"/>
      </w:r>
      <w:r w:rsidRPr="00FA4E09">
        <w:rPr>
          <w:rFonts w:ascii="Calibri" w:hAnsi="Calibri" w:cs="Calibri"/>
        </w:rPr>
        <w:instrText xml:space="preserve"> REF _Ref461114218 \h  \* MERGEFORMAT </w:instrText>
      </w:r>
      <w:r w:rsidRPr="00FA4E09">
        <w:rPr>
          <w:rFonts w:ascii="Calibri" w:hAnsi="Calibri" w:cs="Calibri"/>
        </w:rPr>
        <w:fldChar w:fldCharType="separate"/>
      </w:r>
      <w:r w:rsidRPr="00BC148F" w:rsidR="00A41D1F">
        <w:rPr>
          <w:rFonts w:ascii="Calibri" w:hAnsi="Calibri" w:cs="Calibri"/>
        </w:rPr>
        <w:t xml:space="preserve">Table </w:t>
      </w:r>
      <w:r w:rsidRPr="00BC148F" w:rsidR="00A41D1F">
        <w:rPr>
          <w:rFonts w:ascii="Calibri" w:hAnsi="Calibri" w:cs="Calibri"/>
          <w:noProof/>
        </w:rPr>
        <w:t>12-4</w:t>
      </w:r>
      <w:r w:rsidRPr="00FA4E09">
        <w:rPr>
          <w:rFonts w:ascii="Calibri" w:hAnsi="Calibri" w:cs="Calibri"/>
        </w:rPr>
        <w:fldChar w:fldCharType="end"/>
      </w:r>
      <w:r w:rsidRPr="00FA4E09">
        <w:rPr>
          <w:rFonts w:ascii="Calibri" w:hAnsi="Calibri" w:cs="Calibri"/>
        </w:rPr>
        <w:t xml:space="preserve">. The total labor cost for sampling per facility is shown in </w:t>
      </w:r>
      <w:r w:rsidRPr="00FA4E09">
        <w:rPr>
          <w:rFonts w:ascii="Calibri" w:hAnsi="Calibri" w:cs="Calibri"/>
        </w:rPr>
        <w:fldChar w:fldCharType="begin"/>
      </w:r>
      <w:r w:rsidRPr="00FA4E09">
        <w:rPr>
          <w:rFonts w:ascii="Calibri" w:hAnsi="Calibri" w:cs="Calibri"/>
        </w:rPr>
        <w:instrText xml:space="preserve"> REF _Ref85302216 \h  \* MERGEFORMAT </w:instrText>
      </w:r>
      <w:r w:rsidRPr="00FA4E09">
        <w:rPr>
          <w:rFonts w:ascii="Calibri" w:hAnsi="Calibri" w:cs="Calibri"/>
        </w:rPr>
        <w:fldChar w:fldCharType="separate"/>
      </w:r>
      <w:r w:rsidRPr="00BC148F" w:rsidR="00A41D1F">
        <w:rPr>
          <w:rFonts w:ascii="Calibri" w:hAnsi="Calibri" w:cs="Calibri"/>
        </w:rPr>
        <w:t xml:space="preserve">Table </w:t>
      </w:r>
      <w:r w:rsidRPr="00BC148F" w:rsidR="00A41D1F">
        <w:rPr>
          <w:rFonts w:ascii="Calibri" w:hAnsi="Calibri" w:cs="Calibri"/>
          <w:noProof/>
        </w:rPr>
        <w:t>12-7</w:t>
      </w:r>
      <w:r w:rsidRPr="00FA4E09">
        <w:rPr>
          <w:rFonts w:ascii="Calibri" w:hAnsi="Calibri" w:cs="Calibri"/>
        </w:rPr>
        <w:fldChar w:fldCharType="end"/>
      </w:r>
      <w:r w:rsidRPr="00FA4E09">
        <w:rPr>
          <w:rFonts w:ascii="Calibri" w:hAnsi="Calibri" w:cs="Calibri"/>
        </w:rPr>
        <w:t xml:space="preserve">. All values presented in </w:t>
      </w:r>
      <w:r w:rsidRPr="00FA4E09">
        <w:rPr>
          <w:rFonts w:ascii="Calibri" w:hAnsi="Calibri" w:cs="Calibri"/>
        </w:rPr>
        <w:fldChar w:fldCharType="begin"/>
      </w:r>
      <w:r w:rsidRPr="00FA4E09">
        <w:rPr>
          <w:rFonts w:ascii="Calibri" w:hAnsi="Calibri" w:cs="Calibri"/>
        </w:rPr>
        <w:instrText xml:space="preserve"> REF _Ref85302216 \h  \* MERGEFORMAT </w:instrText>
      </w:r>
      <w:r w:rsidRPr="00FA4E09">
        <w:rPr>
          <w:rFonts w:ascii="Calibri" w:hAnsi="Calibri" w:cs="Calibri"/>
        </w:rPr>
        <w:fldChar w:fldCharType="separate"/>
      </w:r>
      <w:r w:rsidRPr="00BC148F" w:rsidR="00A41D1F">
        <w:rPr>
          <w:rFonts w:ascii="Calibri" w:hAnsi="Calibri" w:cs="Calibri"/>
        </w:rPr>
        <w:t xml:space="preserve">Table </w:t>
      </w:r>
      <w:r w:rsidRPr="00BC148F" w:rsidR="00A41D1F">
        <w:rPr>
          <w:rFonts w:ascii="Calibri" w:hAnsi="Calibri" w:cs="Calibri"/>
          <w:noProof/>
        </w:rPr>
        <w:t>12-7</w:t>
      </w:r>
      <w:r w:rsidRPr="00FA4E09">
        <w:rPr>
          <w:rFonts w:ascii="Calibri" w:hAnsi="Calibri" w:cs="Calibri"/>
        </w:rPr>
        <w:fldChar w:fldCharType="end"/>
      </w:r>
      <w:r w:rsidRPr="00FA4E09">
        <w:rPr>
          <w:rFonts w:ascii="Calibri" w:hAnsi="Calibri" w:cs="Calibri"/>
        </w:rPr>
        <w:t xml:space="preserve"> are rounded to the nearest dollar.</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
      <w:tblGrid>
        <w:gridCol w:w="3159"/>
        <w:gridCol w:w="3440"/>
        <w:gridCol w:w="2877"/>
      </w:tblGrid>
      <w:tr w14:paraId="116CE2EF" w14:textId="77777777">
        <w:tblPrEx>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Ex>
        <w:trPr>
          <w:cantSplit/>
          <w:tblHeader/>
          <w:jc w:val="center"/>
        </w:trPr>
        <w:tc>
          <w:tcPr>
            <w:tcW w:w="5000" w:type="pct"/>
            <w:gridSpan w:val="3"/>
            <w:tcBorders>
              <w:top w:val="nil"/>
              <w:left w:val="nil"/>
              <w:bottom w:val="double" w:sz="6" w:space="0" w:color="auto"/>
              <w:right w:val="nil"/>
            </w:tcBorders>
          </w:tcPr>
          <w:p w:rsidR="00B97023" w:rsidRPr="00FA4E09" w14:paraId="2AEE4229" w14:textId="46BE5E60">
            <w:pPr>
              <w:pStyle w:val="TableTitle"/>
            </w:pPr>
            <w:bookmarkStart w:id="38" w:name="_Ref85302216"/>
            <w:bookmarkStart w:id="39" w:name="_Toc97891779"/>
            <w:bookmarkStart w:id="40" w:name="_Toc157787723"/>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12</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7</w:t>
            </w:r>
            <w:r w:rsidRPr="00FA4E09">
              <w:rPr>
                <w:rFonts w:eastAsiaTheme="minorEastAsia"/>
                <w:bCs/>
                <w:smallCaps/>
                <w:spacing w:val="6"/>
                <w:sz w:val="24"/>
                <w:szCs w:val="18"/>
              </w:rPr>
              <w:fldChar w:fldCharType="end"/>
            </w:r>
            <w:bookmarkEnd w:id="38"/>
            <w:r w:rsidRPr="00FA4E09">
              <w:rPr>
                <w:rFonts w:eastAsiaTheme="minorEastAsia"/>
                <w:bCs/>
                <w:smallCaps/>
                <w:spacing w:val="6"/>
                <w:sz w:val="24"/>
                <w:szCs w:val="18"/>
              </w:rPr>
              <w:t>. Total Estimated Labor Burden for Sampling per Facility</w:t>
            </w:r>
            <w:bookmarkEnd w:id="39"/>
            <w:bookmarkEnd w:id="40"/>
          </w:p>
        </w:tc>
      </w:tr>
      <w:tr w14:paraId="3F0A33CE" w14:textId="77777777">
        <w:tblPrEx>
          <w:tblW w:w="5000" w:type="pct"/>
          <w:jc w:val="center"/>
          <w:tblCellMar>
            <w:top w:w="29" w:type="dxa"/>
            <w:left w:w="58" w:type="dxa"/>
            <w:bottom w:w="29" w:type="dxa"/>
            <w:right w:w="58" w:type="dxa"/>
          </w:tblCellMar>
          <w:tblLook w:val="0000"/>
        </w:tblPrEx>
        <w:trPr>
          <w:cantSplit/>
          <w:tblHeader/>
          <w:jc w:val="center"/>
        </w:trPr>
        <w:tc>
          <w:tcPr>
            <w:tcW w:w="1667" w:type="pct"/>
            <w:tcBorders>
              <w:top w:val="double" w:sz="6" w:space="0" w:color="auto"/>
              <w:bottom w:val="single" w:sz="6" w:space="0" w:color="auto"/>
            </w:tcBorders>
            <w:shd w:val="clear" w:color="auto" w:fill="D9D9D9" w:themeFill="background1" w:themeFillShade="D9"/>
            <w:vAlign w:val="center"/>
          </w:tcPr>
          <w:p w:rsidR="00B97023" w:rsidRPr="00FA4E09" w:rsidP="00DD34B4" w14:paraId="194A9B9B"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Operator Total Labor Cost ($)</w:t>
            </w:r>
          </w:p>
        </w:tc>
        <w:tc>
          <w:tcPr>
            <w:tcW w:w="1815" w:type="pct"/>
            <w:tcBorders>
              <w:top w:val="double" w:sz="6" w:space="0" w:color="auto"/>
              <w:bottom w:val="single" w:sz="6" w:space="0" w:color="auto"/>
            </w:tcBorders>
            <w:shd w:val="clear" w:color="auto" w:fill="D9D9D9" w:themeFill="background1" w:themeFillShade="D9"/>
            <w:vAlign w:val="center"/>
          </w:tcPr>
          <w:p w:rsidR="00B97023" w:rsidRPr="00FA4E09" w:rsidP="00DD34B4" w14:paraId="5E40464C"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Operations Manager Total Labor Cost ($)</w:t>
            </w:r>
          </w:p>
        </w:tc>
        <w:tc>
          <w:tcPr>
            <w:tcW w:w="1518" w:type="pct"/>
            <w:tcBorders>
              <w:top w:val="double" w:sz="6" w:space="0" w:color="auto"/>
              <w:bottom w:val="single" w:sz="6" w:space="0" w:color="auto"/>
            </w:tcBorders>
            <w:shd w:val="clear" w:color="auto" w:fill="D9D9D9" w:themeFill="background1" w:themeFillShade="D9"/>
            <w:vAlign w:val="center"/>
          </w:tcPr>
          <w:p w:rsidR="00B97023" w:rsidRPr="00FA4E09" w:rsidP="00DD34B4" w14:paraId="62D5CC44" w14:textId="77777777">
            <w:pPr>
              <w:spacing w:before="100" w:beforeAutospacing="1" w:after="0"/>
              <w:jc w:val="center"/>
              <w:rPr>
                <w:rFonts w:ascii="Calibri" w:hAnsi="Calibri" w:cs="Calibri"/>
                <w:b/>
                <w:bCs/>
                <w:sz w:val="20"/>
                <w:szCs w:val="20"/>
              </w:rPr>
            </w:pPr>
            <w:r w:rsidRPr="00FA4E09">
              <w:rPr>
                <w:rFonts w:ascii="Calibri" w:hAnsi="Calibri" w:cs="Calibri"/>
                <w:b/>
                <w:bCs/>
                <w:sz w:val="20"/>
                <w:szCs w:val="20"/>
              </w:rPr>
              <w:t>Total Labor Burden ($)</w:t>
            </w:r>
          </w:p>
        </w:tc>
      </w:tr>
      <w:tr w14:paraId="61349B7D" w14:textId="77777777" w:rsidTr="00BC148F">
        <w:tblPrEx>
          <w:tblW w:w="5000" w:type="pct"/>
          <w:jc w:val="center"/>
          <w:tblCellMar>
            <w:top w:w="29" w:type="dxa"/>
            <w:left w:w="58" w:type="dxa"/>
            <w:bottom w:w="29" w:type="dxa"/>
            <w:right w:w="58" w:type="dxa"/>
          </w:tblCellMar>
          <w:tblLook w:val="0000"/>
        </w:tblPrEx>
        <w:trPr>
          <w:cantSplit/>
          <w:trHeight w:val="393"/>
          <w:jc w:val="center"/>
        </w:trPr>
        <w:tc>
          <w:tcPr>
            <w:tcW w:w="1667" w:type="pct"/>
            <w:tcBorders>
              <w:top w:val="single" w:sz="4" w:space="0" w:color="auto"/>
              <w:bottom w:val="double" w:sz="4" w:space="0" w:color="auto"/>
            </w:tcBorders>
          </w:tcPr>
          <w:p w:rsidR="00B97023" w:rsidRPr="00FA4E09" w:rsidP="00DD34B4" w14:paraId="05723D48" w14:textId="77777777">
            <w:pPr>
              <w:spacing w:before="100" w:beforeAutospacing="1" w:after="0"/>
              <w:jc w:val="right"/>
              <w:rPr>
                <w:rFonts w:ascii="Calibri" w:hAnsi="Calibri" w:cs="Calibri"/>
                <w:color w:val="000000"/>
                <w:sz w:val="20"/>
                <w:szCs w:val="20"/>
              </w:rPr>
            </w:pPr>
            <w:r w:rsidRPr="00FA4E09">
              <w:rPr>
                <w:rFonts w:ascii="Calibri" w:hAnsi="Calibri" w:cs="Calibri"/>
                <w:sz w:val="20"/>
                <w:szCs w:val="20"/>
              </w:rPr>
              <w:t xml:space="preserve"> $</w:t>
            </w:r>
            <w:r w:rsidRPr="00FA4E09">
              <w:rPr>
                <w:rFonts w:ascii="Calibri" w:hAnsi="Calibri" w:cs="Calibri"/>
                <w:sz w:val="20"/>
                <w:szCs w:val="20"/>
              </w:rPr>
              <w:t>2,</w:t>
            </w:r>
            <w:r w:rsidRPr="00FA4E09">
              <w:rPr>
                <w:rFonts w:ascii="Calibri" w:hAnsi="Calibri" w:cs="Calibri"/>
                <w:sz w:val="20"/>
                <w:szCs w:val="20"/>
              </w:rPr>
              <w:t xml:space="preserve">936 </w:t>
            </w:r>
          </w:p>
        </w:tc>
        <w:tc>
          <w:tcPr>
            <w:tcW w:w="1815" w:type="pct"/>
            <w:tcBorders>
              <w:top w:val="single" w:sz="4" w:space="0" w:color="auto"/>
              <w:bottom w:val="double" w:sz="4" w:space="0" w:color="auto"/>
            </w:tcBorders>
            <w:shd w:val="clear" w:color="auto" w:fill="auto"/>
            <w:noWrap/>
          </w:tcPr>
          <w:p w:rsidR="00B97023" w:rsidRPr="00FA4E09" w:rsidP="00DD34B4" w14:paraId="0AA5A5A9" w14:textId="77777777">
            <w:pPr>
              <w:spacing w:before="100" w:beforeAutospacing="1" w:after="0"/>
              <w:jc w:val="right"/>
              <w:rPr>
                <w:rFonts w:ascii="Calibri" w:hAnsi="Calibri" w:cs="Calibri"/>
                <w:color w:val="000000"/>
                <w:sz w:val="20"/>
                <w:szCs w:val="20"/>
              </w:rPr>
            </w:pPr>
            <w:r w:rsidRPr="00FA4E09">
              <w:rPr>
                <w:rFonts w:ascii="Calibri" w:hAnsi="Calibri" w:cs="Calibri"/>
                <w:sz w:val="20"/>
                <w:szCs w:val="20"/>
              </w:rPr>
              <w:t xml:space="preserve"> $</w:t>
            </w:r>
            <w:r w:rsidRPr="00FA4E09">
              <w:rPr>
                <w:rFonts w:ascii="Calibri" w:hAnsi="Calibri" w:cs="Calibri"/>
                <w:sz w:val="20"/>
                <w:szCs w:val="20"/>
              </w:rPr>
              <w:t>1,</w:t>
            </w:r>
            <w:r w:rsidRPr="00FA4E09">
              <w:rPr>
                <w:rFonts w:ascii="Calibri" w:hAnsi="Calibri" w:cs="Calibri"/>
                <w:sz w:val="20"/>
                <w:szCs w:val="20"/>
              </w:rPr>
              <w:t xml:space="preserve">969 </w:t>
            </w:r>
          </w:p>
        </w:tc>
        <w:tc>
          <w:tcPr>
            <w:tcW w:w="1518" w:type="pct"/>
            <w:tcBorders>
              <w:top w:val="single" w:sz="4" w:space="0" w:color="auto"/>
              <w:bottom w:val="double" w:sz="4" w:space="0" w:color="auto"/>
            </w:tcBorders>
            <w:shd w:val="clear" w:color="auto" w:fill="auto"/>
            <w:noWrap/>
          </w:tcPr>
          <w:p w:rsidR="00B97023" w:rsidRPr="00FA4E09" w:rsidP="00DD34B4" w14:paraId="0FD10835" w14:textId="77777777">
            <w:pPr>
              <w:spacing w:before="100" w:beforeAutospacing="1" w:after="0"/>
              <w:jc w:val="right"/>
              <w:rPr>
                <w:rFonts w:ascii="Calibri" w:hAnsi="Calibri" w:cs="Calibri"/>
                <w:b/>
                <w:bCs/>
                <w:color w:val="000000"/>
                <w:sz w:val="20"/>
                <w:szCs w:val="20"/>
              </w:rPr>
            </w:pPr>
            <w:r w:rsidRPr="00FA4E09">
              <w:rPr>
                <w:rFonts w:ascii="Calibri" w:hAnsi="Calibri" w:cs="Calibri"/>
                <w:b/>
                <w:bCs/>
                <w:sz w:val="20"/>
                <w:szCs w:val="20"/>
              </w:rPr>
              <w:t xml:space="preserve"> $4,905 </w:t>
            </w:r>
          </w:p>
        </w:tc>
      </w:tr>
    </w:tbl>
    <w:p w:rsidR="00B97023" w:rsidRPr="00FA4E09" w:rsidP="00194C2B" w14:paraId="44D9B8F9" w14:textId="25DB123B">
      <w:pPr>
        <w:spacing w:before="240" w:after="240"/>
        <w:rPr>
          <w:rFonts w:ascii="Calibri" w:hAnsi="Calibri" w:cs="Calibri"/>
        </w:rPr>
      </w:pPr>
      <w:r w:rsidRPr="00FA4E09">
        <w:rPr>
          <w:rFonts w:ascii="Calibri" w:hAnsi="Calibri" w:cs="Calibri"/>
        </w:rPr>
        <w:t xml:space="preserve">Using the total industry labor cost for the questionnaire shown in </w:t>
      </w:r>
      <w:r w:rsidRPr="00FA4E09">
        <w:rPr>
          <w:rFonts w:ascii="Calibri" w:hAnsi="Calibri" w:cs="Calibri"/>
        </w:rPr>
        <w:fldChar w:fldCharType="begin"/>
      </w:r>
      <w:r w:rsidRPr="00FA4E09">
        <w:rPr>
          <w:rFonts w:ascii="Calibri" w:hAnsi="Calibri" w:cs="Calibri"/>
        </w:rPr>
        <w:instrText xml:space="preserve"> REF _Ref72482433 \h  \* MERGEFORMAT </w:instrText>
      </w:r>
      <w:r w:rsidRPr="00FA4E09">
        <w:rPr>
          <w:rFonts w:ascii="Calibri" w:hAnsi="Calibri" w:cs="Calibri"/>
        </w:rPr>
        <w:fldChar w:fldCharType="separate"/>
      </w:r>
      <w:r w:rsidRPr="00BC148F" w:rsidR="00A41D1F">
        <w:rPr>
          <w:rFonts w:ascii="Calibri" w:hAnsi="Calibri" w:cs="Calibri"/>
        </w:rPr>
        <w:t xml:space="preserve">Table </w:t>
      </w:r>
      <w:r w:rsidRPr="00BC148F" w:rsidR="00A41D1F">
        <w:rPr>
          <w:rFonts w:ascii="Calibri" w:hAnsi="Calibri" w:cs="Calibri"/>
          <w:noProof/>
        </w:rPr>
        <w:t>12-6</w:t>
      </w:r>
      <w:r w:rsidRPr="00FA4E09">
        <w:rPr>
          <w:rFonts w:ascii="Calibri" w:hAnsi="Calibri" w:cs="Calibri"/>
        </w:rPr>
        <w:fldChar w:fldCharType="end"/>
      </w:r>
      <w:r w:rsidRPr="00FA4E09">
        <w:rPr>
          <w:rFonts w:ascii="Calibri" w:hAnsi="Calibri" w:cs="Calibri"/>
        </w:rPr>
        <w:t xml:space="preserve"> and the total labor cost for sampling per facility shown in </w:t>
      </w:r>
      <w:r w:rsidRPr="00FA4E09">
        <w:rPr>
          <w:rFonts w:ascii="Calibri" w:hAnsi="Calibri" w:cs="Calibri"/>
        </w:rPr>
        <w:fldChar w:fldCharType="begin"/>
      </w:r>
      <w:r w:rsidRPr="00FA4E09">
        <w:rPr>
          <w:rFonts w:ascii="Calibri" w:hAnsi="Calibri" w:cs="Calibri"/>
        </w:rPr>
        <w:instrText xml:space="preserve"> REF _Ref85302216 \h  \* MERGEFORMAT </w:instrText>
      </w:r>
      <w:r w:rsidRPr="00FA4E09">
        <w:rPr>
          <w:rFonts w:ascii="Calibri" w:hAnsi="Calibri" w:cs="Calibri"/>
        </w:rPr>
        <w:fldChar w:fldCharType="separate"/>
      </w:r>
      <w:r w:rsidRPr="00946A29" w:rsidR="00A41D1F">
        <w:rPr>
          <w:rFonts w:ascii="Calibri" w:hAnsi="Calibri" w:cs="Calibri"/>
        </w:rPr>
        <w:t xml:space="preserve">Table </w:t>
      </w:r>
      <w:r w:rsidRPr="00946A29" w:rsidR="00A41D1F">
        <w:rPr>
          <w:rFonts w:ascii="Calibri" w:hAnsi="Calibri" w:cs="Calibri"/>
          <w:noProof/>
        </w:rPr>
        <w:t>12-7</w:t>
      </w:r>
      <w:r w:rsidRPr="00FA4E09">
        <w:rPr>
          <w:rFonts w:ascii="Calibri" w:hAnsi="Calibri" w:cs="Calibri"/>
        </w:rPr>
        <w:fldChar w:fldCharType="end"/>
      </w:r>
      <w:r w:rsidRPr="00FA4E09">
        <w:rPr>
          <w:rFonts w:ascii="Calibri" w:hAnsi="Calibri" w:cs="Calibri"/>
        </w:rPr>
        <w:t xml:space="preserve"> combined with the number of facilities participating in sampling, the EPA estimates the total labor cost associated with activities described in this ICR. The total labor cost associated with the questionnaire and the sampling program is $1.6 million, as shown in </w:t>
      </w:r>
      <w:r w:rsidRPr="00FA4E09">
        <w:rPr>
          <w:rFonts w:ascii="Calibri" w:hAnsi="Calibri" w:cs="Calibri"/>
        </w:rPr>
        <w:fldChar w:fldCharType="begin"/>
      </w:r>
      <w:r w:rsidRPr="00FA4E09">
        <w:rPr>
          <w:rFonts w:ascii="Calibri" w:hAnsi="Calibri" w:cs="Calibri"/>
        </w:rPr>
        <w:instrText xml:space="preserve"> REF _Ref72483226 \h  \* MERGEFORMAT </w:instrText>
      </w:r>
      <w:r w:rsidRPr="00FA4E09">
        <w:rPr>
          <w:rFonts w:ascii="Calibri" w:hAnsi="Calibri" w:cs="Calibri"/>
        </w:rPr>
        <w:fldChar w:fldCharType="separate"/>
      </w:r>
      <w:r w:rsidRPr="00946A29" w:rsidR="00A41D1F">
        <w:rPr>
          <w:rFonts w:ascii="Calibri" w:hAnsi="Calibri" w:cs="Calibri"/>
        </w:rPr>
        <w:t xml:space="preserve">Table </w:t>
      </w:r>
      <w:r w:rsidRPr="00946A29" w:rsidR="00A41D1F">
        <w:rPr>
          <w:rFonts w:ascii="Calibri" w:hAnsi="Calibri" w:cs="Calibri"/>
          <w:noProof/>
        </w:rPr>
        <w:t>12-8</w:t>
      </w:r>
      <w:r w:rsidRPr="00FA4E09">
        <w:rPr>
          <w:rFonts w:ascii="Calibri" w:hAnsi="Calibri" w:cs="Calibri"/>
        </w:rPr>
        <w:fldChar w:fldCharType="end"/>
      </w:r>
      <w:r w:rsidRPr="00FA4E09">
        <w:rPr>
          <w:rFonts w:ascii="Calibri" w:hAnsi="Calibri" w:cs="Calibri"/>
        </w:rPr>
        <w:t xml:space="preserve">. All values presented in </w:t>
      </w:r>
      <w:r w:rsidRPr="00FA4E09">
        <w:rPr>
          <w:rFonts w:ascii="Calibri" w:hAnsi="Calibri" w:cs="Calibri"/>
        </w:rPr>
        <w:fldChar w:fldCharType="begin"/>
      </w:r>
      <w:r w:rsidRPr="00FA4E09">
        <w:rPr>
          <w:rFonts w:ascii="Calibri" w:hAnsi="Calibri" w:cs="Calibri"/>
        </w:rPr>
        <w:instrText xml:space="preserve"> REF _Ref72483226 \h  \* MERGEFORMAT </w:instrText>
      </w:r>
      <w:r w:rsidRPr="00FA4E09">
        <w:rPr>
          <w:rFonts w:ascii="Calibri" w:hAnsi="Calibri" w:cs="Calibri"/>
        </w:rPr>
        <w:fldChar w:fldCharType="separate"/>
      </w:r>
      <w:r w:rsidRPr="00946A29" w:rsidR="00A41D1F">
        <w:rPr>
          <w:rFonts w:ascii="Calibri" w:hAnsi="Calibri" w:cs="Calibri"/>
        </w:rPr>
        <w:t xml:space="preserve">Table </w:t>
      </w:r>
      <w:r w:rsidRPr="00946A29" w:rsidR="00A41D1F">
        <w:rPr>
          <w:rFonts w:ascii="Calibri" w:hAnsi="Calibri" w:cs="Calibri"/>
          <w:noProof/>
        </w:rPr>
        <w:t>12-8</w:t>
      </w:r>
      <w:r w:rsidRPr="00FA4E09">
        <w:rPr>
          <w:rFonts w:ascii="Calibri" w:hAnsi="Calibri" w:cs="Calibri"/>
        </w:rPr>
        <w:fldChar w:fldCharType="end"/>
      </w:r>
      <w:r w:rsidRPr="00FA4E09">
        <w:rPr>
          <w:rFonts w:ascii="Calibri" w:hAnsi="Calibri" w:cs="Calibri"/>
        </w:rPr>
        <w:t xml:space="preserve"> are rounded to the nearest whole hour or dollar.</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
      <w:tblGrid>
        <w:gridCol w:w="2737"/>
        <w:gridCol w:w="3580"/>
        <w:gridCol w:w="3159"/>
      </w:tblGrid>
      <w:tr w14:paraId="58AC682D" w14:textId="77777777">
        <w:tblPrEx>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Ex>
        <w:trPr>
          <w:cantSplit/>
          <w:tblHeader/>
          <w:jc w:val="center"/>
        </w:trPr>
        <w:tc>
          <w:tcPr>
            <w:tcW w:w="5000" w:type="pct"/>
            <w:gridSpan w:val="3"/>
            <w:tcBorders>
              <w:top w:val="nil"/>
              <w:left w:val="nil"/>
              <w:bottom w:val="double" w:sz="6" w:space="0" w:color="auto"/>
              <w:right w:val="nil"/>
            </w:tcBorders>
            <w:shd w:val="clear" w:color="auto" w:fill="auto"/>
            <w:noWrap/>
            <w:vAlign w:val="bottom"/>
          </w:tcPr>
          <w:p w:rsidR="00B97023" w:rsidRPr="00FA4E09" w14:paraId="612B641C" w14:textId="40A0D51D">
            <w:pPr>
              <w:pStyle w:val="TableTitle"/>
              <w:rPr>
                <w:bCs/>
                <w:sz w:val="20"/>
                <w:szCs w:val="20"/>
              </w:rPr>
            </w:pPr>
            <w:bookmarkStart w:id="41" w:name="_Ref72483226"/>
            <w:bookmarkStart w:id="42" w:name="_Toc97891780"/>
            <w:bookmarkStart w:id="43" w:name="_Toc157787724"/>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12</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8</w:t>
            </w:r>
            <w:r w:rsidRPr="00FA4E09">
              <w:rPr>
                <w:rFonts w:eastAsiaTheme="minorEastAsia"/>
                <w:bCs/>
                <w:smallCaps/>
                <w:spacing w:val="6"/>
                <w:sz w:val="24"/>
                <w:szCs w:val="18"/>
              </w:rPr>
              <w:fldChar w:fldCharType="end"/>
            </w:r>
            <w:bookmarkEnd w:id="41"/>
            <w:r w:rsidRPr="00FA4E09">
              <w:rPr>
                <w:rFonts w:eastAsiaTheme="minorEastAsia"/>
                <w:bCs/>
                <w:smallCaps/>
                <w:spacing w:val="6"/>
                <w:sz w:val="24"/>
                <w:szCs w:val="18"/>
              </w:rPr>
              <w:t xml:space="preserve">. Total Estimated Respondent Labor Burden </w:t>
            </w:r>
            <w:bookmarkEnd w:id="42"/>
            <w:r w:rsidRPr="00FA4E09">
              <w:rPr>
                <w:rFonts w:eastAsiaTheme="minorEastAsia"/>
                <w:bCs/>
                <w:smallCaps/>
                <w:spacing w:val="6"/>
                <w:sz w:val="24"/>
                <w:szCs w:val="18"/>
              </w:rPr>
              <w:t>for Data Collection Activities</w:t>
            </w:r>
            <w:bookmarkEnd w:id="43"/>
          </w:p>
        </w:tc>
      </w:tr>
      <w:tr w14:paraId="7C0B995D" w14:textId="77777777">
        <w:tblPrEx>
          <w:tblW w:w="5000" w:type="pct"/>
          <w:jc w:val="center"/>
          <w:tblCellMar>
            <w:top w:w="29" w:type="dxa"/>
            <w:left w:w="58" w:type="dxa"/>
            <w:bottom w:w="29" w:type="dxa"/>
            <w:right w:w="58" w:type="dxa"/>
          </w:tblCellMar>
          <w:tblLook w:val="0000"/>
        </w:tblPrEx>
        <w:trPr>
          <w:cantSplit/>
          <w:tblHeader/>
          <w:jc w:val="center"/>
        </w:trPr>
        <w:tc>
          <w:tcPr>
            <w:tcW w:w="1444" w:type="pct"/>
            <w:tcBorders>
              <w:top w:val="double" w:sz="6" w:space="0" w:color="auto"/>
              <w:bottom w:val="single" w:sz="6" w:space="0" w:color="auto"/>
            </w:tcBorders>
            <w:shd w:val="clear" w:color="auto" w:fill="D9D9D9" w:themeFill="background1" w:themeFillShade="D9"/>
            <w:noWrap/>
            <w:vAlign w:val="bottom"/>
          </w:tcPr>
          <w:p w:rsidR="00B97023" w:rsidRPr="00FA4E09" w14:paraId="692576AA" w14:textId="77777777">
            <w:pPr>
              <w:spacing w:before="100" w:beforeAutospacing="1" w:after="100" w:afterAutospacing="1"/>
              <w:jc w:val="center"/>
              <w:rPr>
                <w:rFonts w:ascii="Calibri" w:hAnsi="Calibri" w:cs="Calibri"/>
                <w:b/>
                <w:bCs/>
                <w:sz w:val="20"/>
                <w:szCs w:val="20"/>
              </w:rPr>
            </w:pPr>
            <w:r w:rsidRPr="00FA4E09">
              <w:rPr>
                <w:rFonts w:ascii="Calibri" w:hAnsi="Calibri" w:cs="Calibri"/>
                <w:b/>
                <w:bCs/>
                <w:sz w:val="20"/>
                <w:szCs w:val="20"/>
              </w:rPr>
              <w:t>Activity</w:t>
            </w:r>
          </w:p>
        </w:tc>
        <w:tc>
          <w:tcPr>
            <w:tcW w:w="1889" w:type="pct"/>
            <w:tcBorders>
              <w:top w:val="double" w:sz="6" w:space="0" w:color="auto"/>
              <w:bottom w:val="single" w:sz="6" w:space="0" w:color="auto"/>
            </w:tcBorders>
            <w:shd w:val="clear" w:color="auto" w:fill="D9D9D9" w:themeFill="background1" w:themeFillShade="D9"/>
            <w:vAlign w:val="bottom"/>
          </w:tcPr>
          <w:p w:rsidR="00B97023" w:rsidRPr="00FA4E09" w14:paraId="5D463C4F" w14:textId="77777777">
            <w:pPr>
              <w:spacing w:before="100" w:beforeAutospacing="1" w:after="100" w:afterAutospacing="1"/>
              <w:jc w:val="center"/>
              <w:rPr>
                <w:rFonts w:ascii="Calibri" w:hAnsi="Calibri" w:cs="Calibri"/>
                <w:b/>
                <w:bCs/>
                <w:sz w:val="20"/>
                <w:szCs w:val="20"/>
              </w:rPr>
            </w:pPr>
            <w:r w:rsidRPr="00FA4E09">
              <w:rPr>
                <w:rFonts w:ascii="Calibri" w:hAnsi="Calibri" w:cs="Calibri"/>
                <w:b/>
                <w:bCs/>
                <w:sz w:val="20"/>
                <w:szCs w:val="20"/>
              </w:rPr>
              <w:t>Number of Facilities Participating</w:t>
            </w:r>
          </w:p>
        </w:tc>
        <w:tc>
          <w:tcPr>
            <w:tcW w:w="1667" w:type="pct"/>
            <w:tcBorders>
              <w:top w:val="double" w:sz="6" w:space="0" w:color="auto"/>
              <w:bottom w:val="single" w:sz="6" w:space="0" w:color="auto"/>
            </w:tcBorders>
            <w:shd w:val="clear" w:color="auto" w:fill="D9D9D9" w:themeFill="background1" w:themeFillShade="D9"/>
            <w:vAlign w:val="bottom"/>
          </w:tcPr>
          <w:p w:rsidR="00B97023" w:rsidRPr="00FA4E09" w14:paraId="6A8499C2" w14:textId="77777777">
            <w:pPr>
              <w:spacing w:before="100" w:beforeAutospacing="1" w:after="100" w:afterAutospacing="1"/>
              <w:jc w:val="center"/>
              <w:rPr>
                <w:rFonts w:ascii="Calibri" w:hAnsi="Calibri" w:cs="Calibri"/>
                <w:b/>
                <w:bCs/>
                <w:sz w:val="20"/>
                <w:szCs w:val="20"/>
              </w:rPr>
            </w:pPr>
            <w:r w:rsidRPr="00FA4E09">
              <w:rPr>
                <w:rFonts w:ascii="Calibri" w:hAnsi="Calibri" w:cs="Calibri"/>
                <w:b/>
                <w:bCs/>
                <w:sz w:val="20"/>
                <w:szCs w:val="20"/>
              </w:rPr>
              <w:t>Total Labor Burden (Dollars)</w:t>
            </w:r>
          </w:p>
        </w:tc>
      </w:tr>
      <w:tr w14:paraId="2F54F02B" w14:textId="77777777">
        <w:tblPrEx>
          <w:tblW w:w="5000" w:type="pct"/>
          <w:jc w:val="center"/>
          <w:tblCellMar>
            <w:top w:w="29" w:type="dxa"/>
            <w:left w:w="58" w:type="dxa"/>
            <w:bottom w:w="29" w:type="dxa"/>
            <w:right w:w="58" w:type="dxa"/>
          </w:tblCellMar>
          <w:tblLook w:val="0000"/>
        </w:tblPrEx>
        <w:trPr>
          <w:cantSplit/>
          <w:jc w:val="center"/>
        </w:trPr>
        <w:tc>
          <w:tcPr>
            <w:tcW w:w="1444" w:type="pct"/>
            <w:tcBorders>
              <w:top w:val="single" w:sz="6" w:space="0" w:color="auto"/>
              <w:bottom w:val="single" w:sz="6" w:space="0" w:color="auto"/>
            </w:tcBorders>
            <w:shd w:val="clear" w:color="auto" w:fill="FFFFFF" w:themeFill="background1"/>
            <w:noWrap/>
            <w:vAlign w:val="center"/>
          </w:tcPr>
          <w:p w:rsidR="00B97023" w:rsidRPr="00FA4E09" w14:paraId="64078895" w14:textId="77777777">
            <w:pPr>
              <w:spacing w:before="100" w:beforeAutospacing="1" w:after="100" w:afterAutospacing="1"/>
              <w:rPr>
                <w:rFonts w:ascii="Calibri" w:hAnsi="Calibri" w:cs="Calibri"/>
                <w:sz w:val="20"/>
                <w:szCs w:val="20"/>
              </w:rPr>
            </w:pPr>
            <w:r w:rsidRPr="00FA4E09">
              <w:rPr>
                <w:rFonts w:ascii="Calibri" w:hAnsi="Calibri" w:cs="Calibri"/>
                <w:sz w:val="20"/>
                <w:szCs w:val="20"/>
              </w:rPr>
              <w:t>Questionnaire</w:t>
            </w:r>
          </w:p>
        </w:tc>
        <w:tc>
          <w:tcPr>
            <w:tcW w:w="1889" w:type="pct"/>
            <w:tcBorders>
              <w:top w:val="single" w:sz="6" w:space="0" w:color="auto"/>
              <w:bottom w:val="single" w:sz="6" w:space="0" w:color="auto"/>
            </w:tcBorders>
            <w:shd w:val="clear" w:color="auto" w:fill="FFFFFF" w:themeFill="background1"/>
          </w:tcPr>
          <w:p w:rsidR="00B97023" w:rsidRPr="00FA4E09" w14:paraId="100FA974" w14:textId="77777777">
            <w:pPr>
              <w:spacing w:before="100" w:beforeAutospacing="1" w:after="100" w:afterAutospacing="1"/>
              <w:jc w:val="right"/>
              <w:rPr>
                <w:rFonts w:ascii="Calibri" w:hAnsi="Calibri" w:cs="Calibri"/>
                <w:b/>
                <w:bCs/>
                <w:sz w:val="20"/>
                <w:szCs w:val="20"/>
              </w:rPr>
            </w:pPr>
            <w:r w:rsidRPr="00FA4E09">
              <w:rPr>
                <w:rFonts w:ascii="Calibri" w:hAnsi="Calibri" w:cs="Calibri"/>
                <w:sz w:val="20"/>
                <w:szCs w:val="20"/>
              </w:rPr>
              <w:t>400</w:t>
            </w:r>
          </w:p>
        </w:tc>
        <w:tc>
          <w:tcPr>
            <w:tcW w:w="1667" w:type="pct"/>
            <w:tcBorders>
              <w:top w:val="single" w:sz="6" w:space="0" w:color="auto"/>
              <w:bottom w:val="single" w:sz="6" w:space="0" w:color="auto"/>
            </w:tcBorders>
            <w:shd w:val="clear" w:color="auto" w:fill="FFFFFF" w:themeFill="background1"/>
          </w:tcPr>
          <w:p w:rsidR="00B97023" w:rsidRPr="00FA4E09" w14:paraId="43E47B24"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$614,282</w:t>
            </w:r>
          </w:p>
        </w:tc>
      </w:tr>
      <w:tr w14:paraId="721D559F" w14:textId="77777777">
        <w:tblPrEx>
          <w:tblW w:w="5000" w:type="pct"/>
          <w:jc w:val="center"/>
          <w:tblCellMar>
            <w:top w:w="29" w:type="dxa"/>
            <w:left w:w="58" w:type="dxa"/>
            <w:bottom w:w="29" w:type="dxa"/>
            <w:right w:w="58" w:type="dxa"/>
          </w:tblCellMar>
          <w:tblLook w:val="0000"/>
        </w:tblPrEx>
        <w:trPr>
          <w:cantSplit/>
          <w:jc w:val="center"/>
        </w:trPr>
        <w:tc>
          <w:tcPr>
            <w:tcW w:w="1444" w:type="pct"/>
            <w:tcBorders>
              <w:top w:val="single" w:sz="6" w:space="0" w:color="auto"/>
              <w:bottom w:val="single" w:sz="6" w:space="0" w:color="auto"/>
            </w:tcBorders>
            <w:shd w:val="clear" w:color="auto" w:fill="FFFFFF" w:themeFill="background1"/>
            <w:noWrap/>
            <w:vAlign w:val="center"/>
          </w:tcPr>
          <w:p w:rsidR="00B97023" w:rsidRPr="00FA4E09" w14:paraId="688E5E29" w14:textId="77777777">
            <w:pPr>
              <w:spacing w:before="100" w:beforeAutospacing="1" w:after="100" w:afterAutospacing="1"/>
              <w:rPr>
                <w:rFonts w:ascii="Calibri" w:hAnsi="Calibri" w:cs="Calibri"/>
                <w:b/>
                <w:bCs/>
                <w:sz w:val="20"/>
                <w:szCs w:val="20"/>
              </w:rPr>
            </w:pPr>
            <w:r w:rsidRPr="00FA4E09">
              <w:rPr>
                <w:rFonts w:ascii="Calibri" w:hAnsi="Calibri" w:cs="Calibri"/>
                <w:sz w:val="20"/>
                <w:szCs w:val="20"/>
              </w:rPr>
              <w:t>Sampling Program</w:t>
            </w:r>
          </w:p>
        </w:tc>
        <w:tc>
          <w:tcPr>
            <w:tcW w:w="1889" w:type="pct"/>
            <w:tcBorders>
              <w:top w:val="single" w:sz="6" w:space="0" w:color="auto"/>
              <w:bottom w:val="single" w:sz="6" w:space="0" w:color="auto"/>
            </w:tcBorders>
            <w:shd w:val="clear" w:color="auto" w:fill="FFFFFF" w:themeFill="background1"/>
          </w:tcPr>
          <w:p w:rsidR="00B97023" w:rsidRPr="00FA4E09" w14:paraId="38BF421B" w14:textId="77777777">
            <w:pPr>
              <w:spacing w:before="100" w:beforeAutospacing="1" w:after="100" w:afterAutospacing="1"/>
              <w:jc w:val="right"/>
              <w:rPr>
                <w:rFonts w:ascii="Calibri" w:hAnsi="Calibri" w:cs="Calibri"/>
                <w:b/>
                <w:bCs/>
                <w:sz w:val="20"/>
                <w:szCs w:val="20"/>
              </w:rPr>
            </w:pPr>
            <w:r w:rsidRPr="00FA4E09">
              <w:rPr>
                <w:rFonts w:ascii="Calibri" w:hAnsi="Calibri" w:cs="Calibri"/>
                <w:sz w:val="20"/>
                <w:szCs w:val="20"/>
              </w:rPr>
              <w:t>200</w:t>
            </w:r>
          </w:p>
        </w:tc>
        <w:tc>
          <w:tcPr>
            <w:tcW w:w="1667" w:type="pct"/>
            <w:tcBorders>
              <w:top w:val="single" w:sz="6" w:space="0" w:color="auto"/>
              <w:bottom w:val="single" w:sz="6" w:space="0" w:color="auto"/>
            </w:tcBorders>
            <w:shd w:val="clear" w:color="auto" w:fill="FFFFFF" w:themeFill="background1"/>
          </w:tcPr>
          <w:p w:rsidR="00B97023" w:rsidRPr="00FA4E09" w14:paraId="1C57DF47"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 xml:space="preserve"> $981,014 </w:t>
            </w:r>
          </w:p>
        </w:tc>
      </w:tr>
      <w:tr w14:paraId="55A97A60" w14:textId="77777777">
        <w:tblPrEx>
          <w:tblW w:w="5000" w:type="pct"/>
          <w:jc w:val="center"/>
          <w:tblCellMar>
            <w:top w:w="29" w:type="dxa"/>
            <w:left w:w="58" w:type="dxa"/>
            <w:bottom w:w="29" w:type="dxa"/>
            <w:right w:w="58" w:type="dxa"/>
          </w:tblCellMar>
          <w:tblLook w:val="0000"/>
        </w:tblPrEx>
        <w:trPr>
          <w:cantSplit/>
          <w:jc w:val="center"/>
        </w:trPr>
        <w:tc>
          <w:tcPr>
            <w:tcW w:w="3333" w:type="pct"/>
            <w:gridSpan w:val="2"/>
            <w:tcBorders>
              <w:top w:val="single" w:sz="6" w:space="0" w:color="auto"/>
              <w:bottom w:val="double" w:sz="4" w:space="0" w:color="auto"/>
            </w:tcBorders>
            <w:shd w:val="clear" w:color="auto" w:fill="auto"/>
            <w:noWrap/>
            <w:vAlign w:val="center"/>
          </w:tcPr>
          <w:p w:rsidR="00B97023" w:rsidRPr="00FA4E09" w14:paraId="6A6AA2C1" w14:textId="77777777">
            <w:pPr>
              <w:spacing w:before="100" w:beforeAutospacing="1" w:after="100" w:afterAutospacing="1"/>
              <w:jc w:val="right"/>
              <w:rPr>
                <w:rFonts w:ascii="Calibri" w:hAnsi="Calibri" w:cs="Calibri"/>
                <w:b/>
                <w:bCs/>
                <w:sz w:val="20"/>
                <w:szCs w:val="20"/>
              </w:rPr>
            </w:pPr>
            <w:r w:rsidRPr="00FA4E09">
              <w:rPr>
                <w:rFonts w:ascii="Calibri" w:hAnsi="Calibri" w:cs="Calibri"/>
                <w:b/>
                <w:bCs/>
                <w:sz w:val="20"/>
                <w:szCs w:val="20"/>
              </w:rPr>
              <w:t>Total</w:t>
            </w:r>
          </w:p>
        </w:tc>
        <w:tc>
          <w:tcPr>
            <w:tcW w:w="1667" w:type="pct"/>
            <w:tcBorders>
              <w:top w:val="single" w:sz="6" w:space="0" w:color="auto"/>
              <w:bottom w:val="double" w:sz="4" w:space="0" w:color="auto"/>
            </w:tcBorders>
            <w:shd w:val="clear" w:color="auto" w:fill="auto"/>
            <w:vAlign w:val="center"/>
          </w:tcPr>
          <w:p w:rsidR="00B97023" w:rsidRPr="00FA4E09" w14:paraId="17F2B8D5" w14:textId="77777777">
            <w:pPr>
              <w:spacing w:before="100" w:beforeAutospacing="1" w:after="100" w:afterAutospacing="1"/>
              <w:jc w:val="right"/>
              <w:rPr>
                <w:rFonts w:ascii="Calibri" w:hAnsi="Calibri" w:cs="Calibri"/>
                <w:b/>
                <w:bCs/>
                <w:color w:val="000000"/>
                <w:sz w:val="20"/>
                <w:szCs w:val="20"/>
              </w:rPr>
            </w:pPr>
            <w:r w:rsidRPr="00FA4E09">
              <w:rPr>
                <w:rFonts w:ascii="Calibri" w:hAnsi="Calibri" w:cs="Calibri"/>
                <w:b/>
                <w:bCs/>
                <w:color w:val="000000"/>
                <w:sz w:val="20"/>
                <w:szCs w:val="20"/>
              </w:rPr>
              <w:t>$1,595,296</w:t>
            </w:r>
          </w:p>
        </w:tc>
      </w:tr>
    </w:tbl>
    <w:p w:rsidR="00DD1092" w:rsidRPr="00163C69" w:rsidP="00DD1092" w14:paraId="071E6358" w14:textId="77777777">
      <w:pPr>
        <w:pStyle w:val="ListParagraph"/>
        <w:numPr>
          <w:ilvl w:val="0"/>
          <w:numId w:val="25"/>
        </w:numPr>
        <w:spacing w:before="240" w:after="0"/>
        <w:rPr>
          <w:rFonts w:cstheme="minorHAnsi"/>
          <w:b/>
          <w:bCs/>
          <w:caps/>
        </w:rPr>
      </w:pPr>
      <w:bookmarkStart w:id="44" w:name="_Toc156593386"/>
      <w:r w:rsidRPr="4BDBF0A0">
        <w:rPr>
          <w:b/>
          <w:bCs/>
          <w:caps/>
        </w:rPr>
        <w:t>Respondent CAPITAL AND O&amp;m CostS</w:t>
      </w:r>
      <w:bookmarkEnd w:id="44"/>
      <w:r w:rsidRPr="4BDBF0A0">
        <w:rPr>
          <w:b/>
          <w:bCs/>
          <w:caps/>
        </w:rPr>
        <w:t xml:space="preserve"> </w:t>
      </w:r>
    </w:p>
    <w:p w:rsidR="00DD1092" w:rsidRPr="00F92596" w:rsidP="00DD1092" w14:paraId="33D5E276"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DD1092" w:rsidRPr="00F92596" w:rsidP="00DD1092" w14:paraId="2F5DAB40"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DD1092" w:rsidRPr="00F92596" w:rsidP="00DD1092" w14:paraId="377F7CAF"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DD1092" w:rsidRPr="00F92596" w:rsidP="00DD1092" w14:paraId="30DF1586"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DD1092" w:rsidRPr="00F92596" w:rsidP="00DD1092" w14:paraId="7949883F"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C05F0" w:rsidRPr="00DD1092" w:rsidP="00DD1092" w14:paraId="7771A38D" w14:textId="7D67BED8">
      <w:pPr>
        <w:pBdr>
          <w:top w:val="single" w:sz="6" w:space="0" w:color="FFFFFF"/>
          <w:left w:val="single" w:sz="6" w:space="0" w:color="FFFFFF"/>
          <w:bottom w:val="single" w:sz="6" w:space="0" w:color="FFFFFF"/>
          <w:right w:val="single" w:sz="6" w:space="0" w:color="FFFFFF"/>
        </w:pBdr>
        <w:rPr>
          <w:rFonts w:cstheme="minorHAnsi"/>
          <w:color w:val="000000"/>
        </w:rPr>
      </w:pPr>
      <w:r w:rsidRPr="00FA4E09">
        <w:rPr>
          <w:rFonts w:ascii="Calibri" w:hAnsi="Calibri" w:cs="Calibri"/>
          <w:b/>
          <w:bCs/>
        </w:rPr>
        <w:t>13a. Estimating Capital/Start-up Operating and Maintenance Costs</w:t>
      </w:r>
    </w:p>
    <w:p w:rsidR="00782D12" w:rsidRPr="00FA4E09" w:rsidP="00782D12" w14:paraId="3E575C9D" w14:textId="2C9F2F14">
      <w:pPr>
        <w:pBdr>
          <w:top w:val="single" w:sz="6" w:space="0" w:color="FFFFFF"/>
          <w:left w:val="single" w:sz="6" w:space="0" w:color="FFFFFF"/>
          <w:bottom w:val="single" w:sz="6" w:space="0" w:color="FFFFFF"/>
          <w:right w:val="single" w:sz="6" w:space="0" w:color="FFFFFF"/>
        </w:pBdr>
        <w:rPr>
          <w:rFonts w:ascii="Calibri" w:hAnsi="Calibri" w:cs="Calibri"/>
          <w:color w:val="000000"/>
        </w:rPr>
      </w:pPr>
      <w:r w:rsidRPr="00FA4E09">
        <w:rPr>
          <w:rFonts w:ascii="Calibri" w:hAnsi="Calibri" w:cs="Calibri"/>
          <w:color w:val="000000"/>
        </w:rPr>
        <w:t xml:space="preserve">The EPA estimates there will be minimal other direct costs associated with responding to the questionnaire. All information requested in the questionnaire should be available from existing facility records. Facilities are not required to generate any new data to respond to the questionnaire. </w:t>
      </w:r>
    </w:p>
    <w:p w:rsidR="00043989" w:rsidRPr="00FA4E09" w:rsidP="00043989" w14:paraId="3739CD10" w14:textId="3EEF301D">
      <w:pPr>
        <w:pBdr>
          <w:top w:val="single" w:sz="6" w:space="0" w:color="FFFFFF"/>
          <w:left w:val="single" w:sz="6" w:space="0" w:color="FFFFFF"/>
          <w:bottom w:val="single" w:sz="6" w:space="0" w:color="FFFFFF"/>
          <w:right w:val="single" w:sz="6" w:space="0" w:color="FFFFFF"/>
        </w:pBdr>
        <w:rPr>
          <w:rFonts w:ascii="Calibri" w:hAnsi="Calibri" w:cs="Calibri"/>
          <w:color w:val="000000"/>
        </w:rPr>
      </w:pPr>
      <w:r w:rsidRPr="00FA4E09">
        <w:rPr>
          <w:rFonts w:ascii="Calibri" w:hAnsi="Calibri" w:cs="Calibri"/>
          <w:color w:val="000000"/>
        </w:rPr>
        <w:t>The EPA included costs for all respondents to print an unofficial copy of the PDF questionnaire to collect relevant information and data before entering responses into the Qualtrics questionnaire. The EPA assumes a printing rate of $0.10 per page for a 25-page working copy. The EPA also included costs for long distance phone charges. Although, most facilities have access to cell phones or other internet-based phone mechanisms that do not charge for long distance calls, the EPA has included these costs at $0.05 per minute for calls into the helpline. Table 13-1 presents the estimated other direct costs for respondents related to the questionnaire. All values presented in Table 13-1 are rounded to the nearest dollar.</w:t>
      </w:r>
    </w:p>
    <w:p w:rsidR="00043989" w:rsidRPr="00FA4E09" w:rsidP="00043989" w14:paraId="3F7C9D01" w14:textId="19F76BAD">
      <w:pPr>
        <w:pStyle w:val="TableTitle"/>
        <w:rPr>
          <w:rFonts w:eastAsiaTheme="minorEastAsia"/>
          <w:bCs/>
          <w:smallCaps/>
          <w:spacing w:val="6"/>
          <w:sz w:val="24"/>
          <w:szCs w:val="18"/>
        </w:rPr>
      </w:pPr>
      <w:bookmarkStart w:id="45" w:name="_Ref461114281"/>
      <w:bookmarkStart w:id="46" w:name="_Toc97891781"/>
      <w:bookmarkStart w:id="47" w:name="_Toc157787725"/>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13</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w:t>
      </w:r>
      <w:r w:rsidRPr="00FA4E09">
        <w:rPr>
          <w:rFonts w:eastAsiaTheme="minorEastAsia"/>
          <w:bCs/>
          <w:smallCaps/>
          <w:spacing w:val="6"/>
          <w:sz w:val="24"/>
          <w:szCs w:val="18"/>
        </w:rPr>
        <w:fldChar w:fldCharType="end"/>
      </w:r>
      <w:bookmarkEnd w:id="45"/>
      <w:r w:rsidRPr="00FA4E09">
        <w:rPr>
          <w:rFonts w:eastAsiaTheme="minorEastAsia"/>
          <w:bCs/>
          <w:smallCaps/>
          <w:spacing w:val="6"/>
          <w:sz w:val="24"/>
          <w:szCs w:val="18"/>
        </w:rPr>
        <w:t>. Total Other Direct Costs for Respondents to the Questionnaire</w:t>
      </w:r>
      <w:bookmarkEnd w:id="46"/>
      <w:bookmarkEnd w:id="47"/>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916"/>
        <w:gridCol w:w="1915"/>
        <w:gridCol w:w="1915"/>
        <w:gridCol w:w="1915"/>
        <w:gridCol w:w="1915"/>
      </w:tblGrid>
      <w:tr w14:paraId="4EE2C78F" w14:textId="77777777">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Ex>
        <w:trPr>
          <w:cantSplit/>
          <w:jc w:val="center"/>
        </w:trPr>
        <w:tc>
          <w:tcPr>
            <w:tcW w:w="2010" w:type="dxa"/>
            <w:tcBorders>
              <w:top w:val="double" w:sz="4" w:space="0" w:color="auto"/>
              <w:bottom w:val="single" w:sz="6" w:space="0" w:color="auto"/>
            </w:tcBorders>
            <w:shd w:val="clear" w:color="auto" w:fill="D9D9D9" w:themeFill="background1" w:themeFillShade="D9"/>
            <w:vAlign w:val="center"/>
          </w:tcPr>
          <w:p w:rsidR="00043989" w:rsidRPr="00FA4E09" w14:paraId="2AA00010" w14:textId="77777777">
            <w:pPr>
              <w:spacing w:before="100" w:beforeAutospacing="1" w:after="100" w:afterAutospacing="1"/>
              <w:jc w:val="center"/>
              <w:rPr>
                <w:rFonts w:ascii="Calibri" w:hAnsi="Calibri" w:cs="Calibri"/>
                <w:b/>
                <w:bCs/>
                <w:sz w:val="20"/>
                <w:szCs w:val="20"/>
              </w:rPr>
            </w:pPr>
            <w:r w:rsidRPr="00FA4E09">
              <w:rPr>
                <w:rFonts w:ascii="Calibri" w:hAnsi="Calibri" w:cs="Calibri"/>
                <w:b/>
                <w:bCs/>
                <w:sz w:val="20"/>
                <w:szCs w:val="20"/>
              </w:rPr>
              <w:t>Activity</w:t>
            </w:r>
          </w:p>
        </w:tc>
        <w:tc>
          <w:tcPr>
            <w:tcW w:w="2010" w:type="dxa"/>
            <w:tcBorders>
              <w:top w:val="double" w:sz="4" w:space="0" w:color="auto"/>
              <w:bottom w:val="single" w:sz="6" w:space="0" w:color="auto"/>
            </w:tcBorders>
            <w:shd w:val="clear" w:color="auto" w:fill="D9D9D9" w:themeFill="background1" w:themeFillShade="D9"/>
            <w:vAlign w:val="center"/>
          </w:tcPr>
          <w:p w:rsidR="00043989" w:rsidRPr="00FA4E09" w14:paraId="572F3157" w14:textId="77777777">
            <w:pPr>
              <w:spacing w:before="100" w:beforeAutospacing="1" w:after="100" w:afterAutospacing="1"/>
              <w:jc w:val="center"/>
              <w:rPr>
                <w:rFonts w:ascii="Calibri" w:hAnsi="Calibri" w:cs="Calibri"/>
                <w:b/>
                <w:bCs/>
                <w:sz w:val="20"/>
                <w:szCs w:val="20"/>
              </w:rPr>
            </w:pPr>
            <w:r w:rsidRPr="00FA4E09">
              <w:rPr>
                <w:rFonts w:ascii="Calibri" w:hAnsi="Calibri" w:cs="Calibri"/>
                <w:b/>
                <w:bCs/>
                <w:sz w:val="20"/>
                <w:szCs w:val="20"/>
              </w:rPr>
              <w:t>Number of Respondents</w:t>
            </w:r>
          </w:p>
        </w:tc>
        <w:tc>
          <w:tcPr>
            <w:tcW w:w="2010" w:type="dxa"/>
            <w:tcBorders>
              <w:top w:val="double" w:sz="4" w:space="0" w:color="auto"/>
              <w:bottom w:val="single" w:sz="6" w:space="0" w:color="auto"/>
            </w:tcBorders>
            <w:shd w:val="clear" w:color="auto" w:fill="D9D9D9" w:themeFill="background1" w:themeFillShade="D9"/>
            <w:vAlign w:val="center"/>
          </w:tcPr>
          <w:p w:rsidR="00043989" w:rsidRPr="00FA4E09" w14:paraId="4884B40A" w14:textId="77777777">
            <w:pPr>
              <w:spacing w:before="100" w:beforeAutospacing="1" w:after="100" w:afterAutospacing="1"/>
              <w:jc w:val="center"/>
              <w:rPr>
                <w:rFonts w:ascii="Calibri" w:hAnsi="Calibri" w:cs="Calibri"/>
                <w:b/>
                <w:bCs/>
                <w:sz w:val="20"/>
                <w:szCs w:val="20"/>
              </w:rPr>
            </w:pPr>
            <w:r w:rsidRPr="00FA4E09">
              <w:rPr>
                <w:rFonts w:ascii="Calibri" w:hAnsi="Calibri" w:cs="Calibri"/>
                <w:b/>
                <w:bCs/>
                <w:sz w:val="20"/>
                <w:szCs w:val="20"/>
              </w:rPr>
              <w:t>Total Printer/ Photocopying Cost</w:t>
            </w:r>
            <w:r w:rsidRPr="00FA4E09">
              <w:rPr>
                <w:rFonts w:ascii="Calibri" w:hAnsi="Calibri" w:cs="Calibri"/>
                <w:b/>
                <w:bCs/>
                <w:sz w:val="20"/>
                <w:szCs w:val="20"/>
                <w:vertAlign w:val="superscript"/>
              </w:rPr>
              <w:t xml:space="preserve"> a</w:t>
            </w:r>
          </w:p>
        </w:tc>
        <w:tc>
          <w:tcPr>
            <w:tcW w:w="2010" w:type="dxa"/>
            <w:tcBorders>
              <w:top w:val="double" w:sz="4" w:space="0" w:color="auto"/>
              <w:bottom w:val="single" w:sz="6" w:space="0" w:color="auto"/>
            </w:tcBorders>
            <w:shd w:val="clear" w:color="auto" w:fill="D9D9D9" w:themeFill="background1" w:themeFillShade="D9"/>
            <w:vAlign w:val="center"/>
          </w:tcPr>
          <w:p w:rsidR="00043989" w:rsidRPr="00FA4E09" w14:paraId="25FBD0E1" w14:textId="77777777">
            <w:pPr>
              <w:spacing w:before="100" w:beforeAutospacing="1" w:after="100" w:afterAutospacing="1"/>
              <w:jc w:val="center"/>
              <w:rPr>
                <w:rFonts w:ascii="Calibri" w:hAnsi="Calibri" w:cs="Calibri"/>
                <w:b/>
                <w:bCs/>
                <w:sz w:val="20"/>
                <w:szCs w:val="20"/>
              </w:rPr>
            </w:pPr>
            <w:r w:rsidRPr="00FA4E09">
              <w:rPr>
                <w:rFonts w:ascii="Calibri" w:hAnsi="Calibri" w:cs="Calibri"/>
                <w:b/>
                <w:bCs/>
                <w:sz w:val="20"/>
                <w:szCs w:val="20"/>
              </w:rPr>
              <w:t>Total Phone/Calling Costs</w:t>
            </w:r>
            <w:r w:rsidRPr="00FA4E09">
              <w:rPr>
                <w:rFonts w:ascii="Calibri" w:hAnsi="Calibri" w:cs="Calibri"/>
                <w:b/>
                <w:bCs/>
                <w:sz w:val="20"/>
                <w:szCs w:val="20"/>
                <w:vertAlign w:val="superscript"/>
              </w:rPr>
              <w:t xml:space="preserve"> b</w:t>
            </w:r>
          </w:p>
        </w:tc>
        <w:tc>
          <w:tcPr>
            <w:tcW w:w="2010" w:type="dxa"/>
            <w:tcBorders>
              <w:top w:val="double" w:sz="4" w:space="0" w:color="auto"/>
              <w:bottom w:val="single" w:sz="6" w:space="0" w:color="auto"/>
            </w:tcBorders>
            <w:shd w:val="clear" w:color="auto" w:fill="D9D9D9" w:themeFill="background1" w:themeFillShade="D9"/>
            <w:vAlign w:val="center"/>
          </w:tcPr>
          <w:p w:rsidR="00043989" w:rsidRPr="00FA4E09" w14:paraId="48891B22" w14:textId="77777777">
            <w:pPr>
              <w:spacing w:before="100" w:beforeAutospacing="1" w:after="100" w:afterAutospacing="1"/>
              <w:jc w:val="center"/>
              <w:rPr>
                <w:rFonts w:ascii="Calibri" w:hAnsi="Calibri" w:cs="Calibri"/>
                <w:b/>
                <w:bCs/>
                <w:sz w:val="20"/>
                <w:szCs w:val="20"/>
              </w:rPr>
            </w:pPr>
            <w:r w:rsidRPr="00FA4E09">
              <w:rPr>
                <w:rFonts w:ascii="Calibri" w:hAnsi="Calibri" w:cs="Calibri"/>
                <w:b/>
                <w:bCs/>
                <w:sz w:val="20"/>
                <w:szCs w:val="20"/>
              </w:rPr>
              <w:t>Total</w:t>
            </w:r>
          </w:p>
        </w:tc>
      </w:tr>
      <w:tr w14:paraId="6BE12390" w14:textId="77777777">
        <w:tblPrEx>
          <w:tblW w:w="5000" w:type="pct"/>
          <w:jc w:val="center"/>
          <w:tblLayout w:type="fixed"/>
          <w:tblLook w:val="0000"/>
        </w:tblPrEx>
        <w:trPr>
          <w:cantSplit/>
          <w:jc w:val="center"/>
        </w:trPr>
        <w:tc>
          <w:tcPr>
            <w:tcW w:w="2010" w:type="dxa"/>
            <w:tcBorders>
              <w:top w:val="single" w:sz="6" w:space="0" w:color="auto"/>
              <w:bottom w:val="double" w:sz="4" w:space="0" w:color="auto"/>
            </w:tcBorders>
            <w:shd w:val="clear" w:color="auto" w:fill="FFFFFF" w:themeFill="background1"/>
            <w:vAlign w:val="center"/>
          </w:tcPr>
          <w:p w:rsidR="00043989" w:rsidRPr="00FA4E09" w14:paraId="6D0E9B7A" w14:textId="77777777">
            <w:pPr>
              <w:spacing w:before="100" w:beforeAutospacing="1" w:after="100" w:afterAutospacing="1"/>
              <w:rPr>
                <w:rFonts w:ascii="Calibri" w:hAnsi="Calibri" w:cs="Calibri"/>
                <w:b/>
                <w:bCs/>
                <w:sz w:val="20"/>
                <w:szCs w:val="20"/>
              </w:rPr>
            </w:pPr>
            <w:r w:rsidRPr="00FA4E09">
              <w:rPr>
                <w:rFonts w:ascii="Calibri" w:hAnsi="Calibri" w:cs="Calibri"/>
                <w:sz w:val="20"/>
                <w:szCs w:val="20"/>
              </w:rPr>
              <w:t>Questionnaire</w:t>
            </w:r>
          </w:p>
        </w:tc>
        <w:tc>
          <w:tcPr>
            <w:tcW w:w="2010" w:type="dxa"/>
            <w:tcBorders>
              <w:top w:val="single" w:sz="6" w:space="0" w:color="auto"/>
              <w:bottom w:val="double" w:sz="4" w:space="0" w:color="auto"/>
            </w:tcBorders>
            <w:shd w:val="clear" w:color="auto" w:fill="FFFFFF" w:themeFill="background1"/>
            <w:noWrap/>
            <w:vAlign w:val="center"/>
          </w:tcPr>
          <w:p w:rsidR="00043989" w:rsidRPr="00FA4E09" w14:paraId="646F920D"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400</w:t>
            </w:r>
          </w:p>
        </w:tc>
        <w:tc>
          <w:tcPr>
            <w:tcW w:w="2010" w:type="dxa"/>
            <w:tcBorders>
              <w:top w:val="single" w:sz="6" w:space="0" w:color="auto"/>
              <w:bottom w:val="double" w:sz="4" w:space="0" w:color="auto"/>
            </w:tcBorders>
            <w:shd w:val="clear" w:color="auto" w:fill="FFFFFF" w:themeFill="background1"/>
            <w:noWrap/>
            <w:vAlign w:val="center"/>
          </w:tcPr>
          <w:p w:rsidR="00043989" w:rsidRPr="00FA4E09" w14:paraId="2742EAF2"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$1,000</w:t>
            </w:r>
          </w:p>
        </w:tc>
        <w:tc>
          <w:tcPr>
            <w:tcW w:w="2010" w:type="dxa"/>
            <w:tcBorders>
              <w:top w:val="single" w:sz="6" w:space="0" w:color="auto"/>
              <w:bottom w:val="double" w:sz="4" w:space="0" w:color="auto"/>
            </w:tcBorders>
            <w:shd w:val="clear" w:color="auto" w:fill="FFFFFF" w:themeFill="background1"/>
            <w:vAlign w:val="center"/>
          </w:tcPr>
          <w:p w:rsidR="00043989" w:rsidRPr="00FA4E09" w14:paraId="4D3C00CF" w14:textId="77777777">
            <w:pPr>
              <w:spacing w:before="100" w:beforeAutospacing="1" w:after="100" w:afterAutospacing="1"/>
              <w:jc w:val="right"/>
              <w:rPr>
                <w:rFonts w:ascii="Calibri" w:hAnsi="Calibri" w:cs="Calibri"/>
                <w:color w:val="000000"/>
                <w:sz w:val="20"/>
                <w:szCs w:val="20"/>
              </w:rPr>
            </w:pPr>
            <w:r w:rsidRPr="00FA4E09">
              <w:rPr>
                <w:rFonts w:ascii="Calibri" w:hAnsi="Calibri" w:cs="Calibri"/>
                <w:sz w:val="20"/>
                <w:szCs w:val="20"/>
              </w:rPr>
              <w:t>$120</w:t>
            </w:r>
          </w:p>
        </w:tc>
        <w:tc>
          <w:tcPr>
            <w:tcW w:w="2010" w:type="dxa"/>
            <w:tcBorders>
              <w:top w:val="single" w:sz="6" w:space="0" w:color="auto"/>
              <w:bottom w:val="double" w:sz="4" w:space="0" w:color="auto"/>
            </w:tcBorders>
            <w:shd w:val="clear" w:color="auto" w:fill="FFFFFF" w:themeFill="background1"/>
            <w:noWrap/>
            <w:vAlign w:val="center"/>
          </w:tcPr>
          <w:p w:rsidR="00043989" w:rsidRPr="00FA4E09" w14:paraId="11F7D633" w14:textId="77777777">
            <w:pPr>
              <w:spacing w:before="100" w:beforeAutospacing="1" w:after="100" w:afterAutospacing="1"/>
              <w:jc w:val="right"/>
              <w:rPr>
                <w:rFonts w:ascii="Calibri" w:hAnsi="Calibri" w:cs="Calibri"/>
                <w:b/>
                <w:bCs/>
                <w:sz w:val="20"/>
                <w:szCs w:val="20"/>
              </w:rPr>
            </w:pPr>
            <w:r w:rsidRPr="00FA4E09">
              <w:rPr>
                <w:rFonts w:ascii="Calibri" w:hAnsi="Calibri" w:cs="Calibri"/>
                <w:b/>
                <w:bCs/>
                <w:sz w:val="20"/>
                <w:szCs w:val="20"/>
              </w:rPr>
              <w:t>$1,120</w:t>
            </w:r>
          </w:p>
        </w:tc>
      </w:tr>
    </w:tbl>
    <w:p w:rsidR="00043989" w:rsidRPr="00FA4E09" w:rsidP="00043989" w14:paraId="371E3EA1" w14:textId="77777777">
      <w:pPr>
        <w:pStyle w:val="TableNotes"/>
        <w:rPr>
          <w:rFonts w:ascii="Calibri" w:hAnsi="Calibri" w:cs="Calibri"/>
        </w:rPr>
      </w:pPr>
      <w:r w:rsidRPr="00FA4E09">
        <w:rPr>
          <w:rFonts w:ascii="Calibri" w:hAnsi="Calibri" w:cs="Calibri"/>
        </w:rPr>
        <w:t>a – Assumes printing of 25 pages for the questionnaire; $0.10/page print cost. Assumes all facilities will print the questionnaire once as a working copy.</w:t>
      </w:r>
    </w:p>
    <w:p w:rsidR="00043989" w:rsidRPr="00FA4E09" w:rsidP="00043989" w14:paraId="1E556EF2" w14:textId="795BD8D3">
      <w:pPr>
        <w:pStyle w:val="TableNotes"/>
        <w:rPr>
          <w:rFonts w:ascii="Calibri" w:hAnsi="Calibri" w:cs="Calibri"/>
        </w:rPr>
      </w:pPr>
      <w:r w:rsidRPr="00FA4E09">
        <w:rPr>
          <w:rFonts w:ascii="Calibri" w:hAnsi="Calibri" w:cs="Calibri"/>
        </w:rPr>
        <w:t>b – Assumes 10 percent of respondents will contact the helpline for 60 minutes at a rate of $0.05/minute.</w:t>
      </w:r>
    </w:p>
    <w:p w:rsidR="009E6145" w:rsidRPr="00FA4E09" w:rsidP="009E6145" w14:paraId="054968CF" w14:textId="63065794">
      <w:pPr>
        <w:pBdr>
          <w:top w:val="single" w:sz="6" w:space="0" w:color="FFFFFF"/>
          <w:left w:val="single" w:sz="6" w:space="0" w:color="FFFFFF"/>
          <w:bottom w:val="single" w:sz="6" w:space="0" w:color="FFFFFF"/>
          <w:right w:val="single" w:sz="6" w:space="0" w:color="FFFFFF"/>
        </w:pBdr>
        <w:spacing w:before="240"/>
        <w:rPr>
          <w:rFonts w:ascii="Calibri" w:hAnsi="Calibri" w:cs="Calibri"/>
          <w:color w:val="000000"/>
        </w:rPr>
      </w:pPr>
      <w:r w:rsidRPr="00FA4E09">
        <w:rPr>
          <w:rFonts w:ascii="Calibri" w:hAnsi="Calibri" w:cs="Calibri"/>
          <w:color w:val="000000"/>
        </w:rPr>
        <w:t xml:space="preserve">As described in Section </w:t>
      </w:r>
      <w:r w:rsidR="00707305">
        <w:rPr>
          <w:rFonts w:ascii="Calibri" w:hAnsi="Calibri" w:cs="Calibri"/>
          <w:color w:val="000000"/>
        </w:rPr>
        <w:fldChar w:fldCharType="begin"/>
      </w:r>
      <w:r w:rsidR="00707305">
        <w:rPr>
          <w:rFonts w:ascii="Calibri" w:hAnsi="Calibri" w:cs="Calibri"/>
          <w:color w:val="000000"/>
        </w:rPr>
        <w:instrText xml:space="preserve"> REF _Ref172823988 \r \h </w:instrText>
      </w:r>
      <w:r w:rsidR="00707305">
        <w:rPr>
          <w:rFonts w:ascii="Calibri" w:hAnsi="Calibri" w:cs="Calibri"/>
          <w:color w:val="000000"/>
        </w:rPr>
        <w:fldChar w:fldCharType="separate"/>
      </w:r>
      <w:r w:rsidR="00707305">
        <w:rPr>
          <w:rFonts w:ascii="Calibri" w:hAnsi="Calibri" w:cs="Calibri"/>
          <w:color w:val="000000"/>
        </w:rPr>
        <w:t>12</w:t>
      </w:r>
      <w:r w:rsidR="00707305">
        <w:rPr>
          <w:rFonts w:ascii="Calibri" w:hAnsi="Calibri" w:cs="Calibri"/>
          <w:color w:val="000000"/>
        </w:rPr>
        <w:fldChar w:fldCharType="end"/>
      </w:r>
      <w:r w:rsidRPr="00FA4E09">
        <w:rPr>
          <w:rFonts w:ascii="Calibri" w:hAnsi="Calibri" w:cs="Calibri"/>
          <w:color w:val="000000"/>
        </w:rPr>
        <w:t xml:space="preserve">, a subset of POTWs will be required to have facility staff collect wastewater and sewage </w:t>
      </w:r>
      <w:r w:rsidRPr="00FA4E09" w:rsidR="000077A0">
        <w:rPr>
          <w:rFonts w:ascii="Calibri" w:hAnsi="Calibri" w:cs="Calibri"/>
          <w:color w:val="000000"/>
        </w:rPr>
        <w:t>sludge</w:t>
      </w:r>
      <w:r w:rsidRPr="00FA4E09">
        <w:rPr>
          <w:rFonts w:ascii="Calibri" w:hAnsi="Calibri" w:cs="Calibri"/>
          <w:color w:val="000000"/>
        </w:rPr>
        <w:t xml:space="preserve"> samples and transfer them to an accredited laboratory for analysis. This burden estimate assumes that 200 POTWs will acquire sampling bottles and supplies, coordinate and contract with accredited analytical laboratories, collect samples, and ship coolers of iced samples to the laboratory. The sampled facilities will be responsible for collecting and shipping two sewage </w:t>
      </w:r>
      <w:r w:rsidRPr="00FA4E09" w:rsidR="000077A0">
        <w:rPr>
          <w:rFonts w:ascii="Calibri" w:hAnsi="Calibri" w:cs="Calibri"/>
          <w:color w:val="000000"/>
        </w:rPr>
        <w:t>sludge</w:t>
      </w:r>
      <w:r w:rsidRPr="00FA4E09">
        <w:rPr>
          <w:rFonts w:ascii="Calibri" w:hAnsi="Calibri" w:cs="Calibri"/>
          <w:color w:val="000000"/>
        </w:rPr>
        <w:t xml:space="preserve"> samples for long-term </w:t>
      </w:r>
      <w:r w:rsidR="00946A29">
        <w:rPr>
          <w:rFonts w:ascii="Calibri" w:hAnsi="Calibri" w:cs="Calibri"/>
          <w:color w:val="000000"/>
        </w:rPr>
        <w:t xml:space="preserve">frozen </w:t>
      </w:r>
      <w:r w:rsidRPr="00FA4E09">
        <w:rPr>
          <w:rFonts w:ascii="Calibri" w:hAnsi="Calibri" w:cs="Calibri"/>
          <w:color w:val="000000"/>
        </w:rPr>
        <w:t xml:space="preserve">storage, but the Agency will incur the cost for storage and analysis. The EPA estimates the direct costs associated with wastewater and sewage </w:t>
      </w:r>
      <w:r w:rsidRPr="00FA4E09" w:rsidR="000077A0">
        <w:rPr>
          <w:rFonts w:ascii="Calibri" w:hAnsi="Calibri" w:cs="Calibri"/>
          <w:color w:val="000000"/>
        </w:rPr>
        <w:t>sludge</w:t>
      </w:r>
      <w:r w:rsidRPr="00FA4E09">
        <w:rPr>
          <w:rFonts w:ascii="Calibri" w:hAnsi="Calibri" w:cs="Calibri"/>
          <w:color w:val="000000"/>
        </w:rPr>
        <w:t xml:space="preserve"> sampling in Table 13-2. All values presented in Table 13-2 are rounded to the nearest dollar.</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3421"/>
        <w:gridCol w:w="1710"/>
        <w:gridCol w:w="1710"/>
        <w:gridCol w:w="1111"/>
        <w:gridCol w:w="1624"/>
      </w:tblGrid>
      <w:tr w14:paraId="68B4B3A7" w14:textId="77777777">
        <w:tblPrEx>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c>
          <w:tcPr>
            <w:tcW w:w="5000" w:type="pct"/>
            <w:gridSpan w:val="5"/>
            <w:tcBorders>
              <w:top w:val="nil"/>
              <w:left w:val="nil"/>
              <w:bottom w:val="double" w:sz="4" w:space="0" w:color="auto"/>
              <w:right w:val="nil"/>
            </w:tcBorders>
          </w:tcPr>
          <w:p w:rsidR="009E6145" w:rsidRPr="00FA4E09" w14:paraId="6C4686F7" w14:textId="0A7DBF2F">
            <w:pPr>
              <w:pStyle w:val="TableTitle"/>
              <w:rPr>
                <w:sz w:val="20"/>
                <w:szCs w:val="20"/>
              </w:rPr>
            </w:pPr>
            <w:bookmarkStart w:id="48" w:name="_Ref72485594"/>
            <w:bookmarkStart w:id="49" w:name="_Toc97891782"/>
            <w:bookmarkStart w:id="50" w:name="_Toc157787726"/>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13</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2</w:t>
            </w:r>
            <w:r w:rsidRPr="00FA4E09">
              <w:rPr>
                <w:rFonts w:eastAsiaTheme="minorEastAsia"/>
                <w:bCs/>
                <w:smallCaps/>
                <w:spacing w:val="6"/>
                <w:sz w:val="24"/>
                <w:szCs w:val="18"/>
              </w:rPr>
              <w:fldChar w:fldCharType="end"/>
            </w:r>
            <w:bookmarkEnd w:id="48"/>
            <w:r w:rsidRPr="00FA4E09">
              <w:rPr>
                <w:rFonts w:eastAsiaTheme="minorEastAsia"/>
                <w:bCs/>
                <w:smallCaps/>
                <w:spacing w:val="6"/>
                <w:sz w:val="24"/>
                <w:szCs w:val="18"/>
              </w:rPr>
              <w:t xml:space="preserve">. Total Other Direct Costs for </w:t>
            </w:r>
            <w:bookmarkEnd w:id="49"/>
            <w:r w:rsidRPr="00FA4E09">
              <w:rPr>
                <w:rFonts w:eastAsiaTheme="minorEastAsia"/>
                <w:bCs/>
                <w:smallCaps/>
                <w:spacing w:val="6"/>
                <w:sz w:val="24"/>
                <w:szCs w:val="18"/>
              </w:rPr>
              <w:t>Facilities Selected for Sampling</w:t>
            </w:r>
            <w:bookmarkEnd w:id="50"/>
          </w:p>
        </w:tc>
      </w:tr>
      <w:tr w14:paraId="4178025B" w14:textId="77777777">
        <w:tblPrEx>
          <w:tblW w:w="5000" w:type="pct"/>
          <w:tblLook w:val="04A0"/>
        </w:tblPrEx>
        <w:trPr>
          <w:trHeight w:val="20"/>
        </w:trPr>
        <w:tc>
          <w:tcPr>
            <w:tcW w:w="1786" w:type="pct"/>
            <w:tcBorders>
              <w:top w:val="double" w:sz="4" w:space="0" w:color="auto"/>
            </w:tcBorders>
            <w:shd w:val="clear" w:color="auto" w:fill="D9D9D9" w:themeFill="background1" w:themeFillShade="D9"/>
            <w:vAlign w:val="center"/>
          </w:tcPr>
          <w:p w:rsidR="009E6145" w:rsidRPr="00FA4E09" w:rsidP="00DD34B4" w14:paraId="775D0CAB" w14:textId="77777777">
            <w:pPr>
              <w:keepNext/>
              <w:spacing w:before="100" w:beforeAutospacing="1" w:after="0"/>
              <w:jc w:val="center"/>
              <w:rPr>
                <w:rFonts w:ascii="Calibri" w:hAnsi="Calibri" w:cs="Calibri"/>
                <w:b/>
                <w:sz w:val="20"/>
                <w:szCs w:val="20"/>
              </w:rPr>
            </w:pPr>
            <w:r w:rsidRPr="00FA4E09">
              <w:rPr>
                <w:rFonts w:ascii="Calibri" w:hAnsi="Calibri" w:cs="Calibri"/>
                <w:b/>
                <w:sz w:val="20"/>
                <w:szCs w:val="20"/>
              </w:rPr>
              <w:t>Activity</w:t>
            </w:r>
          </w:p>
        </w:tc>
        <w:tc>
          <w:tcPr>
            <w:tcW w:w="893" w:type="pct"/>
            <w:tcBorders>
              <w:top w:val="double" w:sz="4" w:space="0" w:color="auto"/>
            </w:tcBorders>
            <w:shd w:val="clear" w:color="auto" w:fill="D9D9D9" w:themeFill="background1" w:themeFillShade="D9"/>
            <w:vAlign w:val="center"/>
          </w:tcPr>
          <w:p w:rsidR="009E6145" w:rsidRPr="00FA4E09" w:rsidP="00DD34B4" w14:paraId="47BBF7C1" w14:textId="77777777">
            <w:pPr>
              <w:keepNext/>
              <w:spacing w:before="100" w:beforeAutospacing="1" w:after="0"/>
              <w:jc w:val="center"/>
              <w:rPr>
                <w:rFonts w:ascii="Calibri" w:hAnsi="Calibri" w:cs="Calibri"/>
                <w:b/>
                <w:sz w:val="20"/>
                <w:szCs w:val="20"/>
              </w:rPr>
            </w:pPr>
            <w:r w:rsidRPr="00FA4E09">
              <w:rPr>
                <w:rFonts w:ascii="Calibri" w:hAnsi="Calibri" w:cs="Calibri"/>
                <w:b/>
                <w:sz w:val="20"/>
                <w:szCs w:val="20"/>
              </w:rPr>
              <w:t>Unit Cost</w:t>
            </w:r>
          </w:p>
        </w:tc>
        <w:tc>
          <w:tcPr>
            <w:tcW w:w="893" w:type="pct"/>
            <w:tcBorders>
              <w:top w:val="double" w:sz="4" w:space="0" w:color="auto"/>
            </w:tcBorders>
            <w:shd w:val="clear" w:color="auto" w:fill="D9D9D9" w:themeFill="background1" w:themeFillShade="D9"/>
            <w:vAlign w:val="center"/>
          </w:tcPr>
          <w:p w:rsidR="009E6145" w:rsidRPr="00FA4E09" w:rsidP="00DD34B4" w14:paraId="111C75DE" w14:textId="77777777">
            <w:pPr>
              <w:keepNext/>
              <w:spacing w:before="100" w:beforeAutospacing="1" w:after="0"/>
              <w:jc w:val="center"/>
              <w:rPr>
                <w:rFonts w:ascii="Calibri" w:hAnsi="Calibri" w:cs="Calibri"/>
                <w:b/>
                <w:sz w:val="20"/>
                <w:szCs w:val="20"/>
              </w:rPr>
            </w:pPr>
            <w:r w:rsidRPr="00FA4E09">
              <w:rPr>
                <w:rFonts w:ascii="Calibri" w:hAnsi="Calibri" w:cs="Calibri"/>
                <w:b/>
                <w:sz w:val="20"/>
                <w:szCs w:val="20"/>
              </w:rPr>
              <w:t>Units</w:t>
            </w:r>
          </w:p>
        </w:tc>
        <w:tc>
          <w:tcPr>
            <w:tcW w:w="580" w:type="pct"/>
            <w:tcBorders>
              <w:top w:val="double" w:sz="4" w:space="0" w:color="auto"/>
            </w:tcBorders>
            <w:shd w:val="clear" w:color="auto" w:fill="D9D9D9" w:themeFill="background1" w:themeFillShade="D9"/>
            <w:vAlign w:val="center"/>
          </w:tcPr>
          <w:p w:rsidR="009E6145" w:rsidRPr="00FA4E09" w:rsidP="00DD34B4" w14:paraId="0BE27575" w14:textId="77777777">
            <w:pPr>
              <w:keepNext/>
              <w:spacing w:before="100" w:beforeAutospacing="1" w:after="0"/>
              <w:jc w:val="center"/>
              <w:rPr>
                <w:rFonts w:ascii="Calibri" w:hAnsi="Calibri" w:cs="Calibri"/>
                <w:b/>
                <w:sz w:val="20"/>
                <w:szCs w:val="20"/>
              </w:rPr>
            </w:pPr>
            <w:r w:rsidRPr="00FA4E09">
              <w:rPr>
                <w:rFonts w:ascii="Calibri" w:hAnsi="Calibri" w:cs="Calibri"/>
                <w:b/>
                <w:sz w:val="20"/>
                <w:szCs w:val="20"/>
              </w:rPr>
              <w:t>Number of Units</w:t>
            </w:r>
          </w:p>
        </w:tc>
        <w:tc>
          <w:tcPr>
            <w:tcW w:w="848" w:type="pct"/>
            <w:tcBorders>
              <w:top w:val="double" w:sz="4" w:space="0" w:color="auto"/>
            </w:tcBorders>
            <w:shd w:val="clear" w:color="auto" w:fill="D9D9D9" w:themeFill="background1" w:themeFillShade="D9"/>
            <w:vAlign w:val="center"/>
          </w:tcPr>
          <w:p w:rsidR="009E6145" w:rsidRPr="00FA4E09" w:rsidP="00DD34B4" w14:paraId="09C0B8A3" w14:textId="77777777">
            <w:pPr>
              <w:keepNext/>
              <w:spacing w:before="100" w:beforeAutospacing="1" w:after="0"/>
              <w:jc w:val="center"/>
              <w:rPr>
                <w:rFonts w:ascii="Calibri" w:hAnsi="Calibri" w:cs="Calibri"/>
                <w:b/>
                <w:sz w:val="20"/>
                <w:szCs w:val="20"/>
              </w:rPr>
            </w:pPr>
            <w:r w:rsidRPr="00FA4E09">
              <w:rPr>
                <w:rFonts w:ascii="Calibri" w:hAnsi="Calibri" w:cs="Calibri"/>
                <w:b/>
                <w:sz w:val="20"/>
                <w:szCs w:val="20"/>
              </w:rPr>
              <w:t>Direct Cost ($)</w:t>
            </w:r>
          </w:p>
        </w:tc>
      </w:tr>
      <w:tr w14:paraId="5003F574" w14:textId="77777777">
        <w:tblPrEx>
          <w:tblW w:w="5000" w:type="pct"/>
          <w:tblLook w:val="04A0"/>
        </w:tblPrEx>
        <w:trPr>
          <w:trHeight w:val="20"/>
        </w:trPr>
        <w:tc>
          <w:tcPr>
            <w:tcW w:w="1786" w:type="pct"/>
            <w:tcBorders>
              <w:bottom w:val="single" w:sz="6" w:space="0" w:color="auto"/>
            </w:tcBorders>
            <w:shd w:val="clear" w:color="auto" w:fill="auto"/>
          </w:tcPr>
          <w:p w:rsidR="009E6145" w:rsidRPr="00FA4E09" w14:paraId="33FF3F4A" w14:textId="77777777">
            <w:pPr>
              <w:keepNext/>
              <w:spacing w:before="100" w:beforeAutospacing="1" w:after="100" w:afterAutospacing="1"/>
              <w:rPr>
                <w:rFonts w:ascii="Calibri" w:hAnsi="Calibri" w:cs="Calibri"/>
                <w:sz w:val="20"/>
                <w:szCs w:val="20"/>
              </w:rPr>
            </w:pPr>
            <w:r w:rsidRPr="00FA4E09">
              <w:rPr>
                <w:rFonts w:ascii="Calibri" w:hAnsi="Calibri" w:cs="Calibri"/>
                <w:sz w:val="20"/>
                <w:szCs w:val="20"/>
              </w:rPr>
              <w:t>Sample Bottles and Sampling Supplies</w:t>
            </w:r>
            <w:r w:rsidRPr="00FA4E09">
              <w:rPr>
                <w:rFonts w:ascii="Calibri" w:hAnsi="Calibri" w:cs="Calibri"/>
                <w:sz w:val="20"/>
                <w:szCs w:val="20"/>
                <w:vertAlign w:val="superscript"/>
              </w:rPr>
              <w:t xml:space="preserve"> a</w:t>
            </w:r>
          </w:p>
        </w:tc>
        <w:tc>
          <w:tcPr>
            <w:tcW w:w="893" w:type="pct"/>
            <w:tcBorders>
              <w:bottom w:val="single" w:sz="6" w:space="0" w:color="auto"/>
            </w:tcBorders>
            <w:shd w:val="clear" w:color="auto" w:fill="auto"/>
            <w:vAlign w:val="center"/>
          </w:tcPr>
          <w:p w:rsidR="009E6145" w:rsidRPr="00FA4E09" w14:paraId="622BD8BE"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$900</w:t>
            </w:r>
          </w:p>
        </w:tc>
        <w:tc>
          <w:tcPr>
            <w:tcW w:w="893" w:type="pct"/>
            <w:tcBorders>
              <w:bottom w:val="single" w:sz="6" w:space="0" w:color="auto"/>
            </w:tcBorders>
            <w:shd w:val="clear" w:color="auto" w:fill="auto"/>
            <w:vAlign w:val="center"/>
          </w:tcPr>
          <w:p w:rsidR="009E6145" w:rsidRPr="00FA4E09" w14:paraId="4726C937" w14:textId="77777777">
            <w:pPr>
              <w:keepNext/>
              <w:spacing w:before="100" w:beforeAutospacing="1" w:after="100" w:afterAutospacing="1"/>
              <w:jc w:val="center"/>
              <w:rPr>
                <w:rFonts w:ascii="Calibri" w:hAnsi="Calibri" w:cs="Calibri"/>
                <w:sz w:val="20"/>
                <w:szCs w:val="20"/>
              </w:rPr>
            </w:pPr>
            <w:r w:rsidRPr="00FA4E09">
              <w:rPr>
                <w:rFonts w:ascii="Calibri" w:hAnsi="Calibri" w:cs="Calibri"/>
                <w:sz w:val="20"/>
                <w:szCs w:val="20"/>
              </w:rPr>
              <w:t>$ per set of supplies</w:t>
            </w:r>
          </w:p>
        </w:tc>
        <w:tc>
          <w:tcPr>
            <w:tcW w:w="580" w:type="pct"/>
            <w:tcBorders>
              <w:bottom w:val="single" w:sz="6" w:space="0" w:color="auto"/>
            </w:tcBorders>
            <w:shd w:val="clear" w:color="auto" w:fill="auto"/>
            <w:vAlign w:val="center"/>
          </w:tcPr>
          <w:p w:rsidR="009E6145" w:rsidRPr="00FA4E09" w14:paraId="360214CE"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1</w:t>
            </w:r>
          </w:p>
        </w:tc>
        <w:tc>
          <w:tcPr>
            <w:tcW w:w="848" w:type="pct"/>
            <w:tcBorders>
              <w:bottom w:val="single" w:sz="6" w:space="0" w:color="auto"/>
            </w:tcBorders>
            <w:shd w:val="clear" w:color="auto" w:fill="auto"/>
            <w:vAlign w:val="center"/>
          </w:tcPr>
          <w:p w:rsidR="009E6145" w:rsidRPr="00FA4E09" w14:paraId="08E4E3CD"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$900</w:t>
            </w:r>
          </w:p>
        </w:tc>
      </w:tr>
      <w:tr w14:paraId="60247204" w14:textId="77777777">
        <w:tblPrEx>
          <w:tblW w:w="5000" w:type="pct"/>
          <w:tblLook w:val="04A0"/>
        </w:tblPrEx>
        <w:trPr>
          <w:trHeight w:val="20"/>
        </w:trPr>
        <w:tc>
          <w:tcPr>
            <w:tcW w:w="1786" w:type="pct"/>
            <w:tcBorders>
              <w:bottom w:val="single" w:sz="6" w:space="0" w:color="auto"/>
            </w:tcBorders>
            <w:shd w:val="clear" w:color="auto" w:fill="auto"/>
          </w:tcPr>
          <w:p w:rsidR="009E6145" w:rsidRPr="00FA4E09" w14:paraId="42EC5601" w14:textId="77777777">
            <w:pPr>
              <w:keepNext/>
              <w:spacing w:before="100" w:beforeAutospacing="1" w:after="100" w:afterAutospacing="1"/>
              <w:rPr>
                <w:rFonts w:ascii="Calibri" w:hAnsi="Calibri" w:cs="Calibri"/>
                <w:sz w:val="20"/>
                <w:szCs w:val="20"/>
              </w:rPr>
            </w:pPr>
            <w:r w:rsidRPr="00FA4E09">
              <w:rPr>
                <w:rFonts w:ascii="Calibri" w:hAnsi="Calibri" w:cs="Calibri"/>
                <w:sz w:val="20"/>
                <w:szCs w:val="20"/>
              </w:rPr>
              <w:t>Federal Express (coolers of iced samples to laboratories)</w:t>
            </w:r>
          </w:p>
        </w:tc>
        <w:tc>
          <w:tcPr>
            <w:tcW w:w="893" w:type="pct"/>
            <w:tcBorders>
              <w:bottom w:val="single" w:sz="6" w:space="0" w:color="auto"/>
            </w:tcBorders>
            <w:shd w:val="clear" w:color="auto" w:fill="auto"/>
            <w:vAlign w:val="center"/>
          </w:tcPr>
          <w:p w:rsidR="009E6145" w:rsidRPr="00FA4E09" w14:paraId="7FAC4FA8"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$50</w:t>
            </w:r>
          </w:p>
        </w:tc>
        <w:tc>
          <w:tcPr>
            <w:tcW w:w="893" w:type="pct"/>
            <w:tcBorders>
              <w:bottom w:val="single" w:sz="6" w:space="0" w:color="auto"/>
            </w:tcBorders>
            <w:shd w:val="clear" w:color="auto" w:fill="auto"/>
            <w:vAlign w:val="center"/>
          </w:tcPr>
          <w:p w:rsidR="009E6145" w:rsidRPr="00FA4E09" w14:paraId="1078E46F" w14:textId="77777777">
            <w:pPr>
              <w:keepNext/>
              <w:spacing w:before="100" w:beforeAutospacing="1" w:after="100" w:afterAutospacing="1"/>
              <w:jc w:val="center"/>
              <w:rPr>
                <w:rFonts w:ascii="Calibri" w:hAnsi="Calibri" w:cs="Calibri"/>
                <w:sz w:val="20"/>
                <w:szCs w:val="20"/>
              </w:rPr>
            </w:pPr>
            <w:r w:rsidRPr="00FA4E09">
              <w:rPr>
                <w:rFonts w:ascii="Calibri" w:hAnsi="Calibri" w:cs="Calibri"/>
                <w:sz w:val="20"/>
                <w:szCs w:val="20"/>
              </w:rPr>
              <w:t>$/cooler shipped</w:t>
            </w:r>
          </w:p>
        </w:tc>
        <w:tc>
          <w:tcPr>
            <w:tcW w:w="580" w:type="pct"/>
            <w:tcBorders>
              <w:bottom w:val="single" w:sz="6" w:space="0" w:color="auto"/>
            </w:tcBorders>
            <w:shd w:val="clear" w:color="auto" w:fill="auto"/>
            <w:vAlign w:val="center"/>
          </w:tcPr>
          <w:p w:rsidR="009E6145" w:rsidRPr="00FA4E09" w14:paraId="08E0284E"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10</w:t>
            </w:r>
          </w:p>
        </w:tc>
        <w:tc>
          <w:tcPr>
            <w:tcW w:w="848" w:type="pct"/>
            <w:tcBorders>
              <w:bottom w:val="single" w:sz="6" w:space="0" w:color="auto"/>
            </w:tcBorders>
            <w:shd w:val="clear" w:color="auto" w:fill="auto"/>
            <w:vAlign w:val="center"/>
          </w:tcPr>
          <w:p w:rsidR="009E6145" w:rsidRPr="00FA4E09" w14:paraId="1A76F1BC"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$500</w:t>
            </w:r>
          </w:p>
        </w:tc>
      </w:tr>
      <w:tr w14:paraId="63B716AE" w14:textId="77777777">
        <w:tblPrEx>
          <w:tblW w:w="5000" w:type="pct"/>
          <w:tblLook w:val="04A0"/>
        </w:tblPrEx>
        <w:trPr>
          <w:trHeight w:val="20"/>
        </w:trPr>
        <w:tc>
          <w:tcPr>
            <w:tcW w:w="5000" w:type="pct"/>
            <w:gridSpan w:val="5"/>
            <w:tcBorders>
              <w:bottom w:val="single" w:sz="6" w:space="0" w:color="auto"/>
            </w:tcBorders>
            <w:shd w:val="clear" w:color="auto" w:fill="F2F2F2" w:themeFill="background1" w:themeFillShade="F2"/>
            <w:vAlign w:val="center"/>
          </w:tcPr>
          <w:p w:rsidR="009E6145" w:rsidRPr="00FA4E09" w14:paraId="7136F08C" w14:textId="77777777">
            <w:pPr>
              <w:spacing w:before="100" w:beforeAutospacing="1" w:after="100" w:afterAutospacing="1"/>
              <w:rPr>
                <w:rFonts w:ascii="Calibri" w:hAnsi="Calibri" w:cs="Calibri"/>
                <w:i/>
                <w:iCs/>
                <w:sz w:val="20"/>
                <w:szCs w:val="20"/>
              </w:rPr>
            </w:pPr>
            <w:r w:rsidRPr="00FA4E09">
              <w:rPr>
                <w:rFonts w:ascii="Calibri" w:hAnsi="Calibri" w:cs="Calibri"/>
                <w:i/>
                <w:iCs/>
                <w:sz w:val="20"/>
                <w:szCs w:val="20"/>
              </w:rPr>
              <w:t>Aqueous Sample Analyses</w:t>
            </w:r>
          </w:p>
        </w:tc>
      </w:tr>
      <w:tr w14:paraId="1BCE5223" w14:textId="77777777">
        <w:tblPrEx>
          <w:tblW w:w="5000" w:type="pct"/>
          <w:tblLook w:val="04A0"/>
        </w:tblPrEx>
        <w:trPr>
          <w:trHeight w:val="20"/>
        </w:trPr>
        <w:tc>
          <w:tcPr>
            <w:tcW w:w="1786" w:type="pct"/>
            <w:tcBorders>
              <w:bottom w:val="single" w:sz="6" w:space="0" w:color="auto"/>
            </w:tcBorders>
            <w:shd w:val="clear" w:color="auto" w:fill="auto"/>
            <w:vAlign w:val="center"/>
          </w:tcPr>
          <w:p w:rsidR="009E6145" w:rsidRPr="00FA4E09" w14:paraId="01EDF9BD" w14:textId="77777777">
            <w:pPr>
              <w:keepNext/>
              <w:spacing w:before="100" w:beforeAutospacing="1" w:after="100" w:afterAutospacing="1"/>
              <w:rPr>
                <w:rFonts w:ascii="Calibri" w:hAnsi="Calibri" w:cs="Calibri"/>
                <w:sz w:val="20"/>
                <w:szCs w:val="20"/>
              </w:rPr>
            </w:pPr>
            <w:r w:rsidRPr="00FA4E09">
              <w:rPr>
                <w:rFonts w:ascii="Calibri" w:hAnsi="Calibri" w:cs="Calibri"/>
                <w:sz w:val="20"/>
                <w:szCs w:val="20"/>
              </w:rPr>
              <w:t>EPA Method 1633 (PFAS)</w:t>
            </w:r>
          </w:p>
        </w:tc>
        <w:tc>
          <w:tcPr>
            <w:tcW w:w="893" w:type="pct"/>
            <w:tcBorders>
              <w:bottom w:val="single" w:sz="6" w:space="0" w:color="auto"/>
            </w:tcBorders>
            <w:shd w:val="clear" w:color="auto" w:fill="auto"/>
            <w:vAlign w:val="center"/>
          </w:tcPr>
          <w:p w:rsidR="009E6145" w:rsidRPr="00FA4E09" w14:paraId="21928A0C"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$450</w:t>
            </w:r>
          </w:p>
        </w:tc>
        <w:tc>
          <w:tcPr>
            <w:tcW w:w="893" w:type="pct"/>
            <w:tcBorders>
              <w:bottom w:val="single" w:sz="6" w:space="0" w:color="auto"/>
            </w:tcBorders>
            <w:shd w:val="clear" w:color="auto" w:fill="auto"/>
            <w:vAlign w:val="center"/>
          </w:tcPr>
          <w:p w:rsidR="009E6145" w:rsidRPr="00FA4E09" w14:paraId="0DC6C5A8" w14:textId="77777777">
            <w:pPr>
              <w:keepNext/>
              <w:spacing w:before="100" w:beforeAutospacing="1" w:after="100" w:afterAutospacing="1"/>
              <w:jc w:val="center"/>
              <w:rPr>
                <w:rFonts w:ascii="Calibri" w:hAnsi="Calibri" w:cs="Calibri"/>
                <w:sz w:val="20"/>
                <w:szCs w:val="20"/>
              </w:rPr>
            </w:pPr>
            <w:r w:rsidRPr="00FA4E09">
              <w:rPr>
                <w:rFonts w:ascii="Calibri" w:hAnsi="Calibri" w:cs="Calibri"/>
                <w:sz w:val="20"/>
                <w:szCs w:val="20"/>
              </w:rPr>
              <w:t>$/sample analysis</w:t>
            </w:r>
          </w:p>
        </w:tc>
        <w:tc>
          <w:tcPr>
            <w:tcW w:w="580" w:type="pct"/>
            <w:tcBorders>
              <w:bottom w:val="single" w:sz="6" w:space="0" w:color="auto"/>
            </w:tcBorders>
            <w:shd w:val="clear" w:color="auto" w:fill="auto"/>
            <w:vAlign w:val="center"/>
          </w:tcPr>
          <w:p w:rsidR="009E6145" w:rsidRPr="00FA4E09" w14:paraId="1D99799A"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16</w:t>
            </w:r>
          </w:p>
        </w:tc>
        <w:tc>
          <w:tcPr>
            <w:tcW w:w="848" w:type="pct"/>
            <w:tcBorders>
              <w:bottom w:val="single" w:sz="6" w:space="0" w:color="auto"/>
            </w:tcBorders>
            <w:shd w:val="clear" w:color="auto" w:fill="auto"/>
            <w:vAlign w:val="center"/>
          </w:tcPr>
          <w:p w:rsidR="009E6145" w:rsidRPr="00FA4E09" w14:paraId="23DACBEF"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$7,200</w:t>
            </w:r>
          </w:p>
        </w:tc>
      </w:tr>
      <w:tr w14:paraId="5B409D21" w14:textId="77777777">
        <w:tblPrEx>
          <w:tblW w:w="5000" w:type="pct"/>
          <w:tblLook w:val="04A0"/>
        </w:tblPrEx>
        <w:trPr>
          <w:trHeight w:val="20"/>
        </w:trPr>
        <w:tc>
          <w:tcPr>
            <w:tcW w:w="1786" w:type="pct"/>
            <w:tcBorders>
              <w:bottom w:val="single" w:sz="6" w:space="0" w:color="auto"/>
            </w:tcBorders>
            <w:shd w:val="clear" w:color="auto" w:fill="auto"/>
            <w:vAlign w:val="center"/>
          </w:tcPr>
          <w:p w:rsidR="009E6145" w:rsidRPr="00FA4E09" w14:paraId="5531D909" w14:textId="77777777">
            <w:pPr>
              <w:keepNext/>
              <w:spacing w:before="100" w:beforeAutospacing="1" w:after="100" w:afterAutospacing="1"/>
              <w:rPr>
                <w:rFonts w:ascii="Calibri" w:hAnsi="Calibri" w:cs="Calibri"/>
                <w:sz w:val="20"/>
                <w:szCs w:val="20"/>
              </w:rPr>
            </w:pPr>
            <w:r w:rsidRPr="00FA4E09">
              <w:rPr>
                <w:rFonts w:ascii="Calibri" w:hAnsi="Calibri" w:cs="Calibri"/>
                <w:sz w:val="20"/>
                <w:szCs w:val="20"/>
              </w:rPr>
              <w:t>EPA Method 1621 (AOF)</w:t>
            </w:r>
          </w:p>
        </w:tc>
        <w:tc>
          <w:tcPr>
            <w:tcW w:w="893" w:type="pct"/>
            <w:tcBorders>
              <w:bottom w:val="single" w:sz="6" w:space="0" w:color="auto"/>
            </w:tcBorders>
            <w:shd w:val="clear" w:color="auto" w:fill="auto"/>
            <w:vAlign w:val="center"/>
          </w:tcPr>
          <w:p w:rsidR="009E6145" w:rsidRPr="00FA4E09" w14:paraId="746023AE"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$550</w:t>
            </w:r>
          </w:p>
        </w:tc>
        <w:tc>
          <w:tcPr>
            <w:tcW w:w="893" w:type="pct"/>
            <w:tcBorders>
              <w:bottom w:val="single" w:sz="6" w:space="0" w:color="auto"/>
            </w:tcBorders>
            <w:shd w:val="clear" w:color="auto" w:fill="auto"/>
            <w:vAlign w:val="center"/>
          </w:tcPr>
          <w:p w:rsidR="009E6145" w:rsidRPr="00FA4E09" w14:paraId="2745BC41" w14:textId="77777777">
            <w:pPr>
              <w:keepNext/>
              <w:spacing w:before="100" w:beforeAutospacing="1" w:after="100" w:afterAutospacing="1"/>
              <w:jc w:val="center"/>
              <w:rPr>
                <w:rFonts w:ascii="Calibri" w:hAnsi="Calibri" w:cs="Calibri"/>
                <w:sz w:val="20"/>
                <w:szCs w:val="20"/>
              </w:rPr>
            </w:pPr>
            <w:r w:rsidRPr="00FA4E09">
              <w:rPr>
                <w:rFonts w:ascii="Calibri" w:hAnsi="Calibri" w:cs="Calibri"/>
                <w:sz w:val="20"/>
                <w:szCs w:val="20"/>
              </w:rPr>
              <w:t>$/sample analysis</w:t>
            </w:r>
          </w:p>
        </w:tc>
        <w:tc>
          <w:tcPr>
            <w:tcW w:w="580" w:type="pct"/>
            <w:tcBorders>
              <w:bottom w:val="single" w:sz="6" w:space="0" w:color="auto"/>
            </w:tcBorders>
            <w:shd w:val="clear" w:color="auto" w:fill="auto"/>
            <w:vAlign w:val="center"/>
          </w:tcPr>
          <w:p w:rsidR="009E6145" w:rsidRPr="00FA4E09" w14:paraId="3953CEC6"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16</w:t>
            </w:r>
          </w:p>
        </w:tc>
        <w:tc>
          <w:tcPr>
            <w:tcW w:w="848" w:type="pct"/>
            <w:tcBorders>
              <w:bottom w:val="single" w:sz="6" w:space="0" w:color="auto"/>
            </w:tcBorders>
            <w:shd w:val="clear" w:color="auto" w:fill="auto"/>
            <w:vAlign w:val="center"/>
          </w:tcPr>
          <w:p w:rsidR="009E6145" w:rsidRPr="00FA4E09" w14:paraId="5F304E81"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$8,800</w:t>
            </w:r>
          </w:p>
        </w:tc>
      </w:tr>
      <w:tr w14:paraId="116C7A90" w14:textId="77777777">
        <w:tblPrEx>
          <w:tblW w:w="5000" w:type="pct"/>
          <w:tblLook w:val="04A0"/>
        </w:tblPrEx>
        <w:trPr>
          <w:trHeight w:val="20"/>
        </w:trPr>
        <w:tc>
          <w:tcPr>
            <w:tcW w:w="5000" w:type="pct"/>
            <w:gridSpan w:val="5"/>
            <w:tcBorders>
              <w:bottom w:val="single" w:sz="6" w:space="0" w:color="auto"/>
            </w:tcBorders>
            <w:shd w:val="clear" w:color="auto" w:fill="F2F2F2" w:themeFill="background1" w:themeFillShade="F2"/>
            <w:vAlign w:val="center"/>
          </w:tcPr>
          <w:p w:rsidR="009E6145" w:rsidRPr="00FA4E09" w14:paraId="58D8D4E7" w14:textId="391DE2D2">
            <w:pPr>
              <w:spacing w:before="100" w:beforeAutospacing="1" w:after="100" w:afterAutospacing="1"/>
              <w:rPr>
                <w:rFonts w:ascii="Calibri" w:hAnsi="Calibri" w:cs="Calibri"/>
                <w:i/>
                <w:iCs/>
                <w:sz w:val="20"/>
                <w:szCs w:val="20"/>
              </w:rPr>
            </w:pPr>
            <w:r w:rsidRPr="00FA4E09">
              <w:rPr>
                <w:rFonts w:ascii="Calibri" w:hAnsi="Calibri" w:cs="Calibri"/>
                <w:i/>
                <w:iCs/>
                <w:sz w:val="20"/>
                <w:szCs w:val="20"/>
              </w:rPr>
              <w:t xml:space="preserve">Sewage </w:t>
            </w:r>
            <w:r w:rsidRPr="00FA4E09" w:rsidR="000077A0">
              <w:rPr>
                <w:rFonts w:ascii="Calibri" w:hAnsi="Calibri" w:cs="Calibri"/>
                <w:i/>
                <w:iCs/>
                <w:sz w:val="20"/>
                <w:szCs w:val="20"/>
              </w:rPr>
              <w:t>Sludge</w:t>
            </w:r>
            <w:r w:rsidRPr="00FA4E09">
              <w:rPr>
                <w:rFonts w:ascii="Calibri" w:hAnsi="Calibri" w:cs="Calibri"/>
                <w:i/>
                <w:iCs/>
                <w:sz w:val="20"/>
                <w:szCs w:val="20"/>
              </w:rPr>
              <w:t xml:space="preserve"> Sample Analyses</w:t>
            </w:r>
          </w:p>
        </w:tc>
      </w:tr>
      <w:tr w14:paraId="3676BBB8" w14:textId="77777777">
        <w:tblPrEx>
          <w:tblW w:w="5000" w:type="pct"/>
          <w:tblLook w:val="04A0"/>
        </w:tblPrEx>
        <w:trPr>
          <w:trHeight w:val="20"/>
        </w:trPr>
        <w:tc>
          <w:tcPr>
            <w:tcW w:w="1786" w:type="pct"/>
            <w:tcBorders>
              <w:bottom w:val="single" w:sz="6" w:space="0" w:color="auto"/>
            </w:tcBorders>
            <w:shd w:val="clear" w:color="auto" w:fill="auto"/>
            <w:vAlign w:val="center"/>
          </w:tcPr>
          <w:p w:rsidR="009E6145" w:rsidRPr="00FA4E09" w14:paraId="09A69539" w14:textId="77777777">
            <w:pPr>
              <w:keepNext/>
              <w:spacing w:before="100" w:beforeAutospacing="1" w:after="100" w:afterAutospacing="1"/>
              <w:rPr>
                <w:rFonts w:ascii="Calibri" w:hAnsi="Calibri" w:cs="Calibri"/>
                <w:sz w:val="20"/>
                <w:szCs w:val="20"/>
              </w:rPr>
            </w:pPr>
            <w:r w:rsidRPr="00FA4E09">
              <w:rPr>
                <w:rFonts w:ascii="Calibri" w:hAnsi="Calibri" w:cs="Calibri"/>
                <w:sz w:val="20"/>
                <w:szCs w:val="20"/>
              </w:rPr>
              <w:t>EPA Method 1633 (PFAS)</w:t>
            </w:r>
          </w:p>
        </w:tc>
        <w:tc>
          <w:tcPr>
            <w:tcW w:w="893" w:type="pct"/>
            <w:tcBorders>
              <w:bottom w:val="single" w:sz="6" w:space="0" w:color="auto"/>
            </w:tcBorders>
            <w:shd w:val="clear" w:color="auto" w:fill="auto"/>
            <w:vAlign w:val="center"/>
          </w:tcPr>
          <w:p w:rsidR="009E6145" w:rsidRPr="00FA4E09" w14:paraId="56B753F1"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$450</w:t>
            </w:r>
          </w:p>
        </w:tc>
        <w:tc>
          <w:tcPr>
            <w:tcW w:w="893" w:type="pct"/>
            <w:tcBorders>
              <w:bottom w:val="single" w:sz="6" w:space="0" w:color="auto"/>
            </w:tcBorders>
            <w:shd w:val="clear" w:color="auto" w:fill="auto"/>
          </w:tcPr>
          <w:p w:rsidR="009E6145" w:rsidRPr="00FA4E09" w14:paraId="521C3325" w14:textId="77777777">
            <w:pPr>
              <w:keepNext/>
              <w:spacing w:before="100" w:beforeAutospacing="1" w:after="100" w:afterAutospacing="1"/>
              <w:jc w:val="center"/>
              <w:rPr>
                <w:rFonts w:ascii="Calibri" w:hAnsi="Calibri" w:cs="Calibri"/>
                <w:sz w:val="20"/>
                <w:szCs w:val="20"/>
              </w:rPr>
            </w:pPr>
            <w:r w:rsidRPr="00FA4E09">
              <w:rPr>
                <w:rFonts w:ascii="Calibri" w:hAnsi="Calibri" w:cs="Calibri"/>
                <w:sz w:val="20"/>
                <w:szCs w:val="20"/>
              </w:rPr>
              <w:t>$/sample analysis</w:t>
            </w:r>
          </w:p>
        </w:tc>
        <w:tc>
          <w:tcPr>
            <w:tcW w:w="580" w:type="pct"/>
            <w:tcBorders>
              <w:bottom w:val="single" w:sz="6" w:space="0" w:color="auto"/>
            </w:tcBorders>
            <w:shd w:val="clear" w:color="auto" w:fill="auto"/>
            <w:vAlign w:val="center"/>
          </w:tcPr>
          <w:p w:rsidR="009E6145" w:rsidRPr="00FA4E09" w14:paraId="1EE2F02E"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3</w:t>
            </w:r>
          </w:p>
        </w:tc>
        <w:tc>
          <w:tcPr>
            <w:tcW w:w="848" w:type="pct"/>
            <w:tcBorders>
              <w:bottom w:val="single" w:sz="6" w:space="0" w:color="auto"/>
            </w:tcBorders>
            <w:shd w:val="clear" w:color="auto" w:fill="auto"/>
            <w:vAlign w:val="center"/>
          </w:tcPr>
          <w:p w:rsidR="009E6145" w:rsidRPr="00FA4E09" w14:paraId="0324D11B"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$1,350</w:t>
            </w:r>
          </w:p>
        </w:tc>
      </w:tr>
      <w:tr w14:paraId="14E7118D" w14:textId="77777777">
        <w:tblPrEx>
          <w:tblW w:w="5000" w:type="pct"/>
          <w:tblLook w:val="04A0"/>
        </w:tblPrEx>
        <w:trPr>
          <w:trHeight w:val="20"/>
        </w:trPr>
        <w:tc>
          <w:tcPr>
            <w:tcW w:w="1786" w:type="pct"/>
            <w:tcBorders>
              <w:bottom w:val="single" w:sz="6" w:space="0" w:color="auto"/>
            </w:tcBorders>
            <w:shd w:val="clear" w:color="auto" w:fill="auto"/>
            <w:vAlign w:val="center"/>
          </w:tcPr>
          <w:p w:rsidR="009E6145" w:rsidRPr="00FA4E09" w14:paraId="040C638E" w14:textId="77777777">
            <w:pPr>
              <w:keepNext/>
              <w:spacing w:before="100" w:beforeAutospacing="1" w:after="100" w:afterAutospacing="1"/>
              <w:rPr>
                <w:rFonts w:ascii="Calibri" w:hAnsi="Calibri" w:cs="Calibri"/>
                <w:sz w:val="20"/>
                <w:szCs w:val="20"/>
              </w:rPr>
            </w:pPr>
            <w:r w:rsidRPr="00FA4E09">
              <w:rPr>
                <w:rFonts w:ascii="Calibri" w:hAnsi="Calibri" w:cs="Calibri"/>
                <w:sz w:val="20"/>
                <w:szCs w:val="20"/>
              </w:rPr>
              <w:t>EPA Method 6010 (Metals)</w:t>
            </w:r>
          </w:p>
        </w:tc>
        <w:tc>
          <w:tcPr>
            <w:tcW w:w="893" w:type="pct"/>
            <w:tcBorders>
              <w:bottom w:val="single" w:sz="6" w:space="0" w:color="auto"/>
            </w:tcBorders>
            <w:shd w:val="clear" w:color="auto" w:fill="auto"/>
            <w:vAlign w:val="center"/>
          </w:tcPr>
          <w:p w:rsidR="009E6145" w:rsidRPr="00FA4E09" w14:paraId="6A5403AB"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$120</w:t>
            </w:r>
          </w:p>
        </w:tc>
        <w:tc>
          <w:tcPr>
            <w:tcW w:w="893" w:type="pct"/>
            <w:tcBorders>
              <w:bottom w:val="single" w:sz="6" w:space="0" w:color="auto"/>
            </w:tcBorders>
            <w:shd w:val="clear" w:color="auto" w:fill="auto"/>
          </w:tcPr>
          <w:p w:rsidR="009E6145" w:rsidRPr="00FA4E09" w14:paraId="341DA318" w14:textId="77777777">
            <w:pPr>
              <w:keepNext/>
              <w:spacing w:before="100" w:beforeAutospacing="1" w:after="100" w:afterAutospacing="1"/>
              <w:jc w:val="center"/>
              <w:rPr>
                <w:rFonts w:ascii="Calibri" w:hAnsi="Calibri" w:cs="Calibri"/>
                <w:sz w:val="20"/>
                <w:szCs w:val="20"/>
              </w:rPr>
            </w:pPr>
            <w:r w:rsidRPr="00FA4E09">
              <w:rPr>
                <w:rFonts w:ascii="Calibri" w:hAnsi="Calibri" w:cs="Calibri"/>
                <w:sz w:val="20"/>
                <w:szCs w:val="20"/>
              </w:rPr>
              <w:t>$/sample analysis</w:t>
            </w:r>
          </w:p>
        </w:tc>
        <w:tc>
          <w:tcPr>
            <w:tcW w:w="580" w:type="pct"/>
            <w:tcBorders>
              <w:bottom w:val="single" w:sz="6" w:space="0" w:color="auto"/>
            </w:tcBorders>
            <w:shd w:val="clear" w:color="auto" w:fill="auto"/>
            <w:vAlign w:val="center"/>
          </w:tcPr>
          <w:p w:rsidR="009E6145" w:rsidRPr="00FA4E09" w14:paraId="70069FBD"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3</w:t>
            </w:r>
          </w:p>
        </w:tc>
        <w:tc>
          <w:tcPr>
            <w:tcW w:w="848" w:type="pct"/>
            <w:tcBorders>
              <w:bottom w:val="single" w:sz="6" w:space="0" w:color="auto"/>
            </w:tcBorders>
            <w:shd w:val="clear" w:color="auto" w:fill="auto"/>
            <w:vAlign w:val="center"/>
          </w:tcPr>
          <w:p w:rsidR="009E6145" w:rsidRPr="00FA4E09" w14:paraId="492B1590"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$360</w:t>
            </w:r>
          </w:p>
        </w:tc>
      </w:tr>
      <w:tr w14:paraId="4BDA8833" w14:textId="77777777">
        <w:tblPrEx>
          <w:tblW w:w="5000" w:type="pct"/>
          <w:tblLook w:val="04A0"/>
        </w:tblPrEx>
        <w:trPr>
          <w:trHeight w:val="20"/>
        </w:trPr>
        <w:tc>
          <w:tcPr>
            <w:tcW w:w="1786" w:type="pct"/>
            <w:tcBorders>
              <w:bottom w:val="single" w:sz="6" w:space="0" w:color="auto"/>
            </w:tcBorders>
            <w:shd w:val="clear" w:color="auto" w:fill="auto"/>
            <w:vAlign w:val="center"/>
          </w:tcPr>
          <w:p w:rsidR="009E6145" w:rsidRPr="00FA4E09" w14:paraId="7F9918B3" w14:textId="77777777">
            <w:pPr>
              <w:keepNext/>
              <w:spacing w:before="100" w:beforeAutospacing="1" w:after="100" w:afterAutospacing="1"/>
              <w:rPr>
                <w:rFonts w:ascii="Calibri" w:hAnsi="Calibri" w:cs="Calibri"/>
                <w:sz w:val="20"/>
                <w:szCs w:val="20"/>
              </w:rPr>
            </w:pPr>
            <w:r w:rsidRPr="00FA4E09">
              <w:rPr>
                <w:rFonts w:ascii="Calibri" w:hAnsi="Calibri" w:cs="Calibri"/>
                <w:sz w:val="20"/>
                <w:szCs w:val="20"/>
              </w:rPr>
              <w:t>EPA Method 9060 (Total Organic Carbon)</w:t>
            </w:r>
          </w:p>
        </w:tc>
        <w:tc>
          <w:tcPr>
            <w:tcW w:w="893" w:type="pct"/>
            <w:tcBorders>
              <w:bottom w:val="single" w:sz="6" w:space="0" w:color="auto"/>
            </w:tcBorders>
            <w:shd w:val="clear" w:color="auto" w:fill="auto"/>
            <w:vAlign w:val="center"/>
          </w:tcPr>
          <w:p w:rsidR="009E6145" w:rsidRPr="00FA4E09" w14:paraId="2F5579FF"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$100</w:t>
            </w:r>
          </w:p>
        </w:tc>
        <w:tc>
          <w:tcPr>
            <w:tcW w:w="893" w:type="pct"/>
            <w:tcBorders>
              <w:bottom w:val="single" w:sz="6" w:space="0" w:color="auto"/>
            </w:tcBorders>
            <w:shd w:val="clear" w:color="auto" w:fill="auto"/>
          </w:tcPr>
          <w:p w:rsidR="009E6145" w:rsidRPr="00FA4E09" w14:paraId="7D3605EC" w14:textId="77777777">
            <w:pPr>
              <w:keepNext/>
              <w:spacing w:before="100" w:beforeAutospacing="1" w:after="100" w:afterAutospacing="1"/>
              <w:jc w:val="center"/>
              <w:rPr>
                <w:rFonts w:ascii="Calibri" w:hAnsi="Calibri" w:cs="Calibri"/>
                <w:sz w:val="20"/>
                <w:szCs w:val="20"/>
              </w:rPr>
            </w:pPr>
            <w:r w:rsidRPr="00FA4E09">
              <w:rPr>
                <w:rFonts w:ascii="Calibri" w:hAnsi="Calibri" w:cs="Calibri"/>
                <w:sz w:val="20"/>
                <w:szCs w:val="20"/>
              </w:rPr>
              <w:t>$/sample analysis</w:t>
            </w:r>
          </w:p>
        </w:tc>
        <w:tc>
          <w:tcPr>
            <w:tcW w:w="580" w:type="pct"/>
            <w:tcBorders>
              <w:bottom w:val="single" w:sz="6" w:space="0" w:color="auto"/>
            </w:tcBorders>
            <w:shd w:val="clear" w:color="auto" w:fill="auto"/>
            <w:vAlign w:val="center"/>
          </w:tcPr>
          <w:p w:rsidR="009E6145" w:rsidRPr="00FA4E09" w14:paraId="1C8E2A38"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3</w:t>
            </w:r>
          </w:p>
        </w:tc>
        <w:tc>
          <w:tcPr>
            <w:tcW w:w="848" w:type="pct"/>
            <w:tcBorders>
              <w:bottom w:val="single" w:sz="6" w:space="0" w:color="auto"/>
            </w:tcBorders>
            <w:shd w:val="clear" w:color="auto" w:fill="auto"/>
            <w:vAlign w:val="center"/>
          </w:tcPr>
          <w:p w:rsidR="009E6145" w:rsidRPr="00FA4E09" w14:paraId="14F66703"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$300</w:t>
            </w:r>
          </w:p>
        </w:tc>
      </w:tr>
      <w:tr w14:paraId="3DA43C19" w14:textId="77777777">
        <w:tblPrEx>
          <w:tblW w:w="5000" w:type="pct"/>
          <w:tblLook w:val="04A0"/>
        </w:tblPrEx>
        <w:trPr>
          <w:trHeight w:val="20"/>
        </w:trPr>
        <w:tc>
          <w:tcPr>
            <w:tcW w:w="1786" w:type="pct"/>
            <w:tcBorders>
              <w:bottom w:val="single" w:sz="6" w:space="0" w:color="auto"/>
            </w:tcBorders>
            <w:shd w:val="clear" w:color="auto" w:fill="auto"/>
            <w:vAlign w:val="center"/>
          </w:tcPr>
          <w:p w:rsidR="009E6145" w:rsidRPr="00FA4E09" w14:paraId="19A7E984" w14:textId="77777777">
            <w:pPr>
              <w:keepNext/>
              <w:spacing w:before="100" w:beforeAutospacing="1" w:after="100" w:afterAutospacing="1"/>
              <w:rPr>
                <w:rFonts w:ascii="Calibri" w:hAnsi="Calibri" w:cs="Calibri"/>
                <w:sz w:val="20"/>
                <w:szCs w:val="20"/>
              </w:rPr>
            </w:pPr>
            <w:r w:rsidRPr="00FA4E09">
              <w:rPr>
                <w:rFonts w:ascii="Calibri" w:hAnsi="Calibri" w:cs="Calibri"/>
                <w:sz w:val="20"/>
                <w:szCs w:val="20"/>
              </w:rPr>
              <w:t>Standard Method 2540 (Solids)</w:t>
            </w:r>
          </w:p>
        </w:tc>
        <w:tc>
          <w:tcPr>
            <w:tcW w:w="893" w:type="pct"/>
            <w:tcBorders>
              <w:bottom w:val="single" w:sz="6" w:space="0" w:color="auto"/>
            </w:tcBorders>
            <w:shd w:val="clear" w:color="auto" w:fill="auto"/>
            <w:vAlign w:val="center"/>
          </w:tcPr>
          <w:p w:rsidR="009E6145" w:rsidRPr="00FA4E09" w14:paraId="59B63063"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$14</w:t>
            </w:r>
          </w:p>
        </w:tc>
        <w:tc>
          <w:tcPr>
            <w:tcW w:w="893" w:type="pct"/>
            <w:tcBorders>
              <w:bottom w:val="single" w:sz="6" w:space="0" w:color="auto"/>
            </w:tcBorders>
            <w:shd w:val="clear" w:color="auto" w:fill="auto"/>
          </w:tcPr>
          <w:p w:rsidR="009E6145" w:rsidRPr="00FA4E09" w14:paraId="3D6B3216" w14:textId="77777777">
            <w:pPr>
              <w:keepNext/>
              <w:spacing w:before="100" w:beforeAutospacing="1" w:after="100" w:afterAutospacing="1"/>
              <w:jc w:val="center"/>
              <w:rPr>
                <w:rFonts w:ascii="Calibri" w:hAnsi="Calibri" w:cs="Calibri"/>
                <w:sz w:val="20"/>
                <w:szCs w:val="20"/>
              </w:rPr>
            </w:pPr>
            <w:r w:rsidRPr="00FA4E09">
              <w:rPr>
                <w:rFonts w:ascii="Calibri" w:hAnsi="Calibri" w:cs="Calibri"/>
                <w:sz w:val="20"/>
                <w:szCs w:val="20"/>
              </w:rPr>
              <w:t>$/sample analysis</w:t>
            </w:r>
          </w:p>
        </w:tc>
        <w:tc>
          <w:tcPr>
            <w:tcW w:w="580" w:type="pct"/>
            <w:tcBorders>
              <w:bottom w:val="single" w:sz="6" w:space="0" w:color="auto"/>
            </w:tcBorders>
            <w:shd w:val="clear" w:color="auto" w:fill="auto"/>
            <w:vAlign w:val="center"/>
          </w:tcPr>
          <w:p w:rsidR="009E6145" w:rsidRPr="00FA4E09" w14:paraId="546D53F4" w14:textId="77777777">
            <w:pPr>
              <w:keepNext/>
              <w:spacing w:before="100" w:beforeAutospacing="1" w:after="100" w:afterAutospacing="1"/>
              <w:jc w:val="right"/>
              <w:rPr>
                <w:rFonts w:ascii="Calibri" w:hAnsi="Calibri" w:cs="Calibri"/>
                <w:sz w:val="20"/>
                <w:szCs w:val="20"/>
              </w:rPr>
            </w:pPr>
            <w:r w:rsidRPr="00FA4E09">
              <w:rPr>
                <w:rFonts w:ascii="Calibri" w:hAnsi="Calibri" w:cs="Calibri"/>
                <w:sz w:val="20"/>
                <w:szCs w:val="20"/>
              </w:rPr>
              <w:t>3</w:t>
            </w:r>
          </w:p>
        </w:tc>
        <w:tc>
          <w:tcPr>
            <w:tcW w:w="848" w:type="pct"/>
            <w:tcBorders>
              <w:bottom w:val="single" w:sz="6" w:space="0" w:color="auto"/>
            </w:tcBorders>
            <w:shd w:val="clear" w:color="auto" w:fill="auto"/>
            <w:vAlign w:val="center"/>
          </w:tcPr>
          <w:p w:rsidR="009E6145" w:rsidRPr="00FA4E09" w14:paraId="013A88F1" w14:textId="77777777">
            <w:pPr>
              <w:spacing w:before="100" w:beforeAutospacing="1" w:after="100" w:afterAutospacing="1"/>
              <w:jc w:val="right"/>
              <w:rPr>
                <w:rFonts w:ascii="Calibri" w:hAnsi="Calibri" w:cs="Calibri"/>
                <w:sz w:val="20"/>
                <w:szCs w:val="20"/>
              </w:rPr>
            </w:pPr>
            <w:r w:rsidRPr="00FA4E09">
              <w:rPr>
                <w:rFonts w:ascii="Calibri" w:hAnsi="Calibri" w:cs="Calibri"/>
                <w:sz w:val="20"/>
                <w:szCs w:val="20"/>
              </w:rPr>
              <w:t>$42</w:t>
            </w:r>
          </w:p>
        </w:tc>
      </w:tr>
      <w:tr w14:paraId="34A57544" w14:textId="77777777">
        <w:tblPrEx>
          <w:tblW w:w="5000" w:type="pct"/>
          <w:tblLook w:val="04A0"/>
        </w:tblPrEx>
        <w:trPr>
          <w:trHeight w:val="20"/>
        </w:trPr>
        <w:tc>
          <w:tcPr>
            <w:tcW w:w="4152" w:type="pct"/>
            <w:gridSpan w:val="4"/>
            <w:tcBorders>
              <w:top w:val="single" w:sz="6" w:space="0" w:color="auto"/>
              <w:bottom w:val="single" w:sz="6" w:space="0" w:color="auto"/>
            </w:tcBorders>
            <w:shd w:val="clear" w:color="auto" w:fill="auto"/>
            <w:vAlign w:val="bottom"/>
          </w:tcPr>
          <w:p w:rsidR="009E6145" w:rsidRPr="00FA4E09" w14:paraId="60A26DE9" w14:textId="77777777">
            <w:pPr>
              <w:keepNext/>
              <w:spacing w:before="100" w:beforeAutospacing="1" w:after="100" w:afterAutospacing="1"/>
              <w:jc w:val="right"/>
              <w:rPr>
                <w:rFonts w:ascii="Calibri" w:hAnsi="Calibri" w:cs="Calibri"/>
                <w:b/>
                <w:bCs/>
                <w:sz w:val="20"/>
                <w:szCs w:val="20"/>
              </w:rPr>
            </w:pPr>
            <w:r w:rsidRPr="00FA4E09">
              <w:rPr>
                <w:rFonts w:ascii="Calibri" w:hAnsi="Calibri" w:cs="Calibri"/>
                <w:b/>
                <w:bCs/>
                <w:sz w:val="20"/>
                <w:szCs w:val="20"/>
              </w:rPr>
              <w:t>Total Cost per Facility</w:t>
            </w:r>
          </w:p>
        </w:tc>
        <w:tc>
          <w:tcPr>
            <w:tcW w:w="848" w:type="pct"/>
            <w:tcBorders>
              <w:top w:val="single" w:sz="6" w:space="0" w:color="auto"/>
              <w:bottom w:val="single" w:sz="6" w:space="0" w:color="auto"/>
            </w:tcBorders>
            <w:shd w:val="clear" w:color="auto" w:fill="auto"/>
            <w:vAlign w:val="center"/>
          </w:tcPr>
          <w:p w:rsidR="009E6145" w:rsidRPr="00FA4E09" w14:paraId="525F7F5A" w14:textId="77777777">
            <w:pPr>
              <w:keepNext/>
              <w:spacing w:before="100" w:beforeAutospacing="1" w:after="100" w:afterAutospacing="1"/>
              <w:jc w:val="right"/>
              <w:rPr>
                <w:rFonts w:ascii="Calibri" w:hAnsi="Calibri" w:cs="Calibri"/>
                <w:b/>
                <w:bCs/>
                <w:sz w:val="20"/>
                <w:szCs w:val="20"/>
              </w:rPr>
            </w:pPr>
            <w:r w:rsidRPr="00FA4E09">
              <w:rPr>
                <w:rFonts w:ascii="Calibri" w:hAnsi="Calibri" w:cs="Calibri"/>
                <w:b/>
                <w:bCs/>
                <w:sz w:val="20"/>
                <w:szCs w:val="20"/>
              </w:rPr>
              <w:t>$19,452</w:t>
            </w:r>
          </w:p>
        </w:tc>
      </w:tr>
      <w:tr w14:paraId="0048C7B9" w14:textId="77777777">
        <w:tblPrEx>
          <w:tblW w:w="5000" w:type="pct"/>
          <w:tblLook w:val="04A0"/>
        </w:tblPrEx>
        <w:trPr>
          <w:trHeight w:val="20"/>
        </w:trPr>
        <w:tc>
          <w:tcPr>
            <w:tcW w:w="4152" w:type="pct"/>
            <w:gridSpan w:val="4"/>
            <w:tcBorders>
              <w:top w:val="single" w:sz="6" w:space="0" w:color="auto"/>
              <w:bottom w:val="double" w:sz="4" w:space="0" w:color="auto"/>
            </w:tcBorders>
            <w:shd w:val="clear" w:color="auto" w:fill="auto"/>
            <w:vAlign w:val="bottom"/>
          </w:tcPr>
          <w:p w:rsidR="009E6145" w:rsidRPr="00FA4E09" w14:paraId="4A9075D0" w14:textId="77777777">
            <w:pPr>
              <w:keepNext/>
              <w:spacing w:before="100" w:beforeAutospacing="1" w:after="100" w:afterAutospacing="1"/>
              <w:jc w:val="right"/>
              <w:rPr>
                <w:rFonts w:ascii="Calibri" w:hAnsi="Calibri" w:cs="Calibri"/>
                <w:b/>
                <w:sz w:val="20"/>
                <w:szCs w:val="20"/>
              </w:rPr>
            </w:pPr>
            <w:r w:rsidRPr="00FA4E09">
              <w:rPr>
                <w:rFonts w:ascii="Calibri" w:hAnsi="Calibri" w:cs="Calibri"/>
                <w:b/>
                <w:sz w:val="20"/>
                <w:szCs w:val="20"/>
              </w:rPr>
              <w:t>Total Cost for Sampling at All Facilities</w:t>
            </w:r>
          </w:p>
        </w:tc>
        <w:tc>
          <w:tcPr>
            <w:tcW w:w="848" w:type="pct"/>
            <w:tcBorders>
              <w:top w:val="single" w:sz="6" w:space="0" w:color="auto"/>
              <w:bottom w:val="double" w:sz="4" w:space="0" w:color="auto"/>
            </w:tcBorders>
            <w:shd w:val="clear" w:color="auto" w:fill="auto"/>
            <w:vAlign w:val="center"/>
          </w:tcPr>
          <w:p w:rsidR="009E6145" w:rsidRPr="00FA4E09" w14:paraId="23048AAD" w14:textId="77777777">
            <w:pPr>
              <w:keepNext/>
              <w:spacing w:before="100" w:beforeAutospacing="1" w:after="100" w:afterAutospacing="1"/>
              <w:jc w:val="right"/>
              <w:rPr>
                <w:rFonts w:ascii="Calibri" w:hAnsi="Calibri" w:cs="Calibri"/>
                <w:b/>
                <w:sz w:val="20"/>
                <w:szCs w:val="20"/>
              </w:rPr>
            </w:pPr>
            <w:r w:rsidRPr="00FA4E09">
              <w:rPr>
                <w:rFonts w:ascii="Calibri" w:hAnsi="Calibri" w:cs="Calibri"/>
                <w:b/>
                <w:color w:val="000000"/>
                <w:sz w:val="20"/>
                <w:szCs w:val="20"/>
              </w:rPr>
              <w:t>$3,890,400</w:t>
            </w:r>
          </w:p>
        </w:tc>
      </w:tr>
    </w:tbl>
    <w:p w:rsidR="009E6145" w:rsidRPr="00FA4E09" w:rsidP="00194C2B" w14:paraId="478C843B" w14:textId="3F28DD8B">
      <w:pPr>
        <w:pStyle w:val="TableNotes"/>
        <w:spacing w:after="240"/>
        <w:rPr>
          <w:rFonts w:ascii="Calibri" w:hAnsi="Calibri" w:cs="Calibri"/>
        </w:rPr>
      </w:pPr>
      <w:r w:rsidRPr="00FA4E09">
        <w:rPr>
          <w:rFonts w:ascii="Calibri" w:hAnsi="Calibri" w:cs="Calibri"/>
        </w:rPr>
        <w:t>a – Accounts for 173 sample bottles (includes 10 percent contingency), 8 liters of PFAS-free field blank water, 10 coolers, bottle labels, tape, bags, packing supplies, gloves, traffic reports, ice, and associated tax and shipping fees.</w:t>
      </w:r>
    </w:p>
    <w:p w:rsidR="008C05F0" w:rsidRPr="00FA4E09" w:rsidP="008E197A" w14:paraId="7A3523E8" w14:textId="40BA0611">
      <w:pPr>
        <w:pBdr>
          <w:top w:val="single" w:sz="6" w:space="0" w:color="FFFFFF"/>
          <w:left w:val="single" w:sz="6" w:space="0" w:color="FFFFFF"/>
          <w:bottom w:val="single" w:sz="6" w:space="0" w:color="FFFFFF"/>
          <w:right w:val="single" w:sz="6" w:space="0" w:color="FFFFFF"/>
        </w:pBdr>
        <w:spacing w:before="120" w:after="0"/>
        <w:rPr>
          <w:rFonts w:ascii="Calibri" w:hAnsi="Calibri" w:cs="Calibri"/>
          <w:b/>
          <w:bCs/>
        </w:rPr>
      </w:pPr>
      <w:r w:rsidRPr="00FA4E09">
        <w:rPr>
          <w:rFonts w:ascii="Calibri" w:hAnsi="Calibri" w:cs="Calibri"/>
          <w:b/>
          <w:bCs/>
        </w:rPr>
        <w:t>13b. Annualizing Capital Costs</w:t>
      </w:r>
    </w:p>
    <w:p w:rsidR="009E6145" w:rsidRPr="00FA4E09" w:rsidP="009E6145" w14:paraId="18E6F245" w14:textId="040D67F7">
      <w:pPr>
        <w:keepNext/>
        <w:keepLines/>
        <w:spacing w:before="60"/>
        <w:rPr>
          <w:rFonts w:ascii="Calibri" w:hAnsi="Calibri" w:cs="Calibri"/>
        </w:rPr>
      </w:pPr>
      <w:r w:rsidRPr="00FA4E09">
        <w:rPr>
          <w:rFonts w:ascii="Calibri" w:hAnsi="Calibri" w:cs="Calibri"/>
        </w:rPr>
        <w:t>The EPA estimates that there will be no recur</w:t>
      </w:r>
      <w:r w:rsidRPr="00FA4E09" w:rsidR="6D0AAB31">
        <w:rPr>
          <w:rFonts w:ascii="Calibri" w:hAnsi="Calibri" w:cs="Calibri"/>
        </w:rPr>
        <w:t>r</w:t>
      </w:r>
      <w:r w:rsidRPr="00FA4E09">
        <w:rPr>
          <w:rFonts w:ascii="Calibri" w:hAnsi="Calibri" w:cs="Calibri"/>
        </w:rPr>
        <w:t>ing capital costs associated with responding to the questionnaire or the sampling program. The one-time burden to respondents includes labor costs described in Section 12 and other direct costs described in Section 13(a). Table 13-3 presents the total burden to the industry for the questionnaire and sampling. All values presented in Table 13-3 are rounded to the nearest whole hour or dollar.</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
      <w:tblGrid>
        <w:gridCol w:w="1640"/>
        <w:gridCol w:w="1275"/>
        <w:gridCol w:w="1643"/>
        <w:gridCol w:w="1645"/>
        <w:gridCol w:w="1645"/>
        <w:gridCol w:w="1628"/>
      </w:tblGrid>
      <w:tr w14:paraId="795F1126" w14:textId="77777777">
        <w:tblPrEx>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000"/>
        </w:tblPrEx>
        <w:trPr>
          <w:cantSplit/>
          <w:jc w:val="center"/>
        </w:trPr>
        <w:tc>
          <w:tcPr>
            <w:tcW w:w="5000" w:type="pct"/>
            <w:gridSpan w:val="6"/>
            <w:tcBorders>
              <w:top w:val="nil"/>
              <w:left w:val="nil"/>
              <w:bottom w:val="double" w:sz="6" w:space="0" w:color="auto"/>
              <w:right w:val="nil"/>
            </w:tcBorders>
            <w:shd w:val="clear" w:color="auto" w:fill="auto"/>
          </w:tcPr>
          <w:p w:rsidR="009E6145" w:rsidRPr="00FA4E09" w14:paraId="6EE8F07E" w14:textId="78024FD4">
            <w:pPr>
              <w:pStyle w:val="TableTitle"/>
              <w:rPr>
                <w:bCs/>
                <w:sz w:val="20"/>
                <w:szCs w:val="20"/>
              </w:rPr>
            </w:pPr>
            <w:bookmarkStart w:id="51" w:name="_Ref461114083"/>
            <w:bookmarkStart w:id="52" w:name="_Toc97891783"/>
            <w:bookmarkStart w:id="53" w:name="_Toc157787727"/>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13</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3</w:t>
            </w:r>
            <w:r w:rsidRPr="00FA4E09">
              <w:rPr>
                <w:rFonts w:eastAsiaTheme="minorEastAsia"/>
                <w:bCs/>
                <w:smallCaps/>
                <w:spacing w:val="6"/>
                <w:sz w:val="24"/>
                <w:szCs w:val="18"/>
              </w:rPr>
              <w:fldChar w:fldCharType="end"/>
            </w:r>
            <w:bookmarkEnd w:id="51"/>
            <w:r w:rsidRPr="00FA4E09">
              <w:rPr>
                <w:rFonts w:eastAsiaTheme="minorEastAsia"/>
                <w:bCs/>
                <w:smallCaps/>
                <w:spacing w:val="6"/>
                <w:sz w:val="24"/>
                <w:szCs w:val="18"/>
              </w:rPr>
              <w:t>. Total Estimated Respondent Burden and Cost Summary</w:t>
            </w:r>
            <w:bookmarkEnd w:id="52"/>
            <w:bookmarkEnd w:id="53"/>
          </w:p>
        </w:tc>
      </w:tr>
      <w:tr w14:paraId="3B02A1AB" w14:textId="77777777">
        <w:tblPrEx>
          <w:tblW w:w="5000" w:type="pct"/>
          <w:jc w:val="center"/>
          <w:tblCellMar>
            <w:top w:w="29" w:type="dxa"/>
            <w:left w:w="58" w:type="dxa"/>
            <w:bottom w:w="29" w:type="dxa"/>
            <w:right w:w="58" w:type="dxa"/>
          </w:tblCellMar>
          <w:tblLook w:val="0000"/>
        </w:tblPrEx>
        <w:trPr>
          <w:cantSplit/>
          <w:trHeight w:val="20"/>
          <w:jc w:val="center"/>
        </w:trPr>
        <w:tc>
          <w:tcPr>
            <w:tcW w:w="865" w:type="pct"/>
            <w:tcBorders>
              <w:top w:val="double" w:sz="6" w:space="0" w:color="auto"/>
              <w:bottom w:val="single" w:sz="6" w:space="0" w:color="auto"/>
            </w:tcBorders>
            <w:shd w:val="clear" w:color="auto" w:fill="D9D9D9" w:themeFill="background1" w:themeFillShade="D9"/>
            <w:vAlign w:val="center"/>
          </w:tcPr>
          <w:p w:rsidR="009E6145" w:rsidRPr="00FA4E09" w:rsidP="00DD34B4" w14:paraId="4F21D6EA" w14:textId="77777777">
            <w:pPr>
              <w:spacing w:after="0"/>
              <w:jc w:val="center"/>
              <w:rPr>
                <w:rFonts w:ascii="Calibri" w:hAnsi="Calibri" w:cs="Calibri"/>
                <w:b/>
                <w:bCs/>
                <w:sz w:val="20"/>
                <w:szCs w:val="20"/>
              </w:rPr>
            </w:pPr>
            <w:r w:rsidRPr="00FA4E09">
              <w:rPr>
                <w:rFonts w:ascii="Calibri" w:hAnsi="Calibri" w:cs="Calibri"/>
                <w:b/>
                <w:bCs/>
                <w:sz w:val="20"/>
                <w:szCs w:val="20"/>
              </w:rPr>
              <w:t>Information Collection Activity</w:t>
            </w:r>
          </w:p>
        </w:tc>
        <w:tc>
          <w:tcPr>
            <w:tcW w:w="673" w:type="pct"/>
            <w:tcBorders>
              <w:top w:val="double" w:sz="6" w:space="0" w:color="auto"/>
              <w:bottom w:val="single" w:sz="6" w:space="0" w:color="auto"/>
            </w:tcBorders>
            <w:shd w:val="clear" w:color="auto" w:fill="D9D9D9" w:themeFill="background1" w:themeFillShade="D9"/>
            <w:vAlign w:val="center"/>
          </w:tcPr>
          <w:p w:rsidR="009E6145" w:rsidRPr="00FA4E09" w:rsidP="00DD34B4" w14:paraId="603EAF70" w14:textId="77777777">
            <w:pPr>
              <w:spacing w:after="0"/>
              <w:jc w:val="center"/>
              <w:rPr>
                <w:rFonts w:ascii="Calibri" w:hAnsi="Calibri" w:cs="Calibri"/>
                <w:b/>
                <w:bCs/>
                <w:sz w:val="20"/>
                <w:szCs w:val="20"/>
              </w:rPr>
            </w:pPr>
            <w:r w:rsidRPr="00FA4E09">
              <w:rPr>
                <w:rFonts w:ascii="Calibri" w:hAnsi="Calibri" w:cs="Calibri"/>
                <w:b/>
                <w:bCs/>
                <w:sz w:val="20"/>
                <w:szCs w:val="20"/>
              </w:rPr>
              <w:t>Number of Facilities</w:t>
            </w:r>
          </w:p>
        </w:tc>
        <w:tc>
          <w:tcPr>
            <w:tcW w:w="867" w:type="pct"/>
            <w:tcBorders>
              <w:top w:val="double" w:sz="6" w:space="0" w:color="auto"/>
              <w:bottom w:val="single" w:sz="6" w:space="0" w:color="auto"/>
            </w:tcBorders>
            <w:shd w:val="clear" w:color="auto" w:fill="D9D9D9" w:themeFill="background1" w:themeFillShade="D9"/>
            <w:vAlign w:val="center"/>
          </w:tcPr>
          <w:p w:rsidR="009E6145" w:rsidRPr="00FA4E09" w:rsidP="00DD34B4" w14:paraId="5FDD531F" w14:textId="77777777">
            <w:pPr>
              <w:spacing w:after="0"/>
              <w:jc w:val="center"/>
              <w:rPr>
                <w:rFonts w:ascii="Calibri" w:hAnsi="Calibri" w:cs="Calibri"/>
                <w:b/>
                <w:bCs/>
                <w:sz w:val="20"/>
                <w:szCs w:val="20"/>
              </w:rPr>
            </w:pPr>
            <w:r w:rsidRPr="00FA4E09">
              <w:rPr>
                <w:rFonts w:ascii="Calibri" w:hAnsi="Calibri" w:cs="Calibri"/>
                <w:b/>
                <w:bCs/>
                <w:sz w:val="20"/>
                <w:szCs w:val="20"/>
              </w:rPr>
              <w:t>Total Burden (Hours)</w:t>
            </w:r>
          </w:p>
        </w:tc>
        <w:tc>
          <w:tcPr>
            <w:tcW w:w="868" w:type="pct"/>
            <w:tcBorders>
              <w:top w:val="double" w:sz="6" w:space="0" w:color="auto"/>
              <w:bottom w:val="single" w:sz="6" w:space="0" w:color="auto"/>
            </w:tcBorders>
            <w:shd w:val="clear" w:color="auto" w:fill="D9D9D9" w:themeFill="background1" w:themeFillShade="D9"/>
            <w:vAlign w:val="center"/>
          </w:tcPr>
          <w:p w:rsidR="009E6145" w:rsidRPr="00FA4E09" w:rsidP="00DD34B4" w14:paraId="48CABAA2" w14:textId="77777777">
            <w:pPr>
              <w:spacing w:after="0"/>
              <w:jc w:val="center"/>
              <w:rPr>
                <w:rFonts w:ascii="Calibri" w:hAnsi="Calibri" w:cs="Calibri"/>
                <w:b/>
                <w:bCs/>
                <w:sz w:val="20"/>
                <w:szCs w:val="20"/>
              </w:rPr>
            </w:pPr>
            <w:r w:rsidRPr="00FA4E09">
              <w:rPr>
                <w:rFonts w:ascii="Calibri" w:hAnsi="Calibri" w:cs="Calibri"/>
                <w:b/>
                <w:bCs/>
                <w:sz w:val="20"/>
                <w:szCs w:val="20"/>
              </w:rPr>
              <w:t>Total Labor Cost ($)</w:t>
            </w:r>
          </w:p>
        </w:tc>
        <w:tc>
          <w:tcPr>
            <w:tcW w:w="868" w:type="pct"/>
            <w:tcBorders>
              <w:top w:val="double" w:sz="6" w:space="0" w:color="auto"/>
              <w:bottom w:val="single" w:sz="6" w:space="0" w:color="auto"/>
            </w:tcBorders>
            <w:shd w:val="clear" w:color="auto" w:fill="D9D9D9" w:themeFill="background1" w:themeFillShade="D9"/>
            <w:vAlign w:val="center"/>
          </w:tcPr>
          <w:p w:rsidR="009E6145" w:rsidRPr="00FA4E09" w:rsidP="00DD34B4" w14:paraId="2466A1AF" w14:textId="77777777">
            <w:pPr>
              <w:spacing w:after="0"/>
              <w:jc w:val="center"/>
              <w:rPr>
                <w:rFonts w:ascii="Calibri" w:hAnsi="Calibri" w:cs="Calibri"/>
                <w:b/>
                <w:bCs/>
                <w:sz w:val="20"/>
                <w:szCs w:val="20"/>
              </w:rPr>
            </w:pPr>
            <w:r w:rsidRPr="00FA4E09">
              <w:rPr>
                <w:rFonts w:ascii="Calibri" w:hAnsi="Calibri" w:cs="Calibri"/>
                <w:b/>
                <w:bCs/>
                <w:sz w:val="20"/>
                <w:szCs w:val="20"/>
              </w:rPr>
              <w:t>Total Other Direct Cost ($)</w:t>
            </w:r>
          </w:p>
        </w:tc>
        <w:tc>
          <w:tcPr>
            <w:tcW w:w="859" w:type="pct"/>
            <w:tcBorders>
              <w:top w:val="double" w:sz="6" w:space="0" w:color="auto"/>
              <w:bottom w:val="single" w:sz="6" w:space="0" w:color="auto"/>
            </w:tcBorders>
            <w:shd w:val="clear" w:color="auto" w:fill="D9D9D9" w:themeFill="background1" w:themeFillShade="D9"/>
            <w:vAlign w:val="center"/>
          </w:tcPr>
          <w:p w:rsidR="009E6145" w:rsidRPr="00FA4E09" w:rsidP="00DD34B4" w14:paraId="10557F55" w14:textId="77777777">
            <w:pPr>
              <w:spacing w:after="0"/>
              <w:jc w:val="center"/>
              <w:rPr>
                <w:rFonts w:ascii="Calibri" w:hAnsi="Calibri" w:cs="Calibri"/>
                <w:b/>
                <w:bCs/>
                <w:sz w:val="20"/>
                <w:szCs w:val="20"/>
              </w:rPr>
            </w:pPr>
            <w:r w:rsidRPr="00FA4E09">
              <w:rPr>
                <w:rFonts w:ascii="Calibri" w:hAnsi="Calibri" w:cs="Calibri"/>
                <w:b/>
                <w:bCs/>
                <w:sz w:val="20"/>
                <w:szCs w:val="20"/>
              </w:rPr>
              <w:t>Total Cost ($)</w:t>
            </w:r>
          </w:p>
        </w:tc>
      </w:tr>
      <w:tr w14:paraId="3DD15D2F" w14:textId="77777777">
        <w:tblPrEx>
          <w:tblW w:w="5000" w:type="pct"/>
          <w:jc w:val="center"/>
          <w:tblCellMar>
            <w:top w:w="29" w:type="dxa"/>
            <w:left w:w="58" w:type="dxa"/>
            <w:bottom w:w="29" w:type="dxa"/>
            <w:right w:w="58" w:type="dxa"/>
          </w:tblCellMar>
          <w:tblLook w:val="0000"/>
        </w:tblPrEx>
        <w:trPr>
          <w:cantSplit/>
          <w:trHeight w:val="20"/>
          <w:jc w:val="center"/>
        </w:trPr>
        <w:tc>
          <w:tcPr>
            <w:tcW w:w="865" w:type="pct"/>
            <w:tcBorders>
              <w:top w:val="single" w:sz="6" w:space="0" w:color="auto"/>
            </w:tcBorders>
            <w:vAlign w:val="center"/>
          </w:tcPr>
          <w:p w:rsidR="009E6145" w:rsidRPr="00FA4E09" w:rsidP="00DD34B4" w14:paraId="6F00E307" w14:textId="77777777">
            <w:pPr>
              <w:spacing w:after="0"/>
              <w:rPr>
                <w:rFonts w:ascii="Calibri" w:hAnsi="Calibri" w:cs="Calibri"/>
                <w:sz w:val="20"/>
                <w:szCs w:val="20"/>
              </w:rPr>
            </w:pPr>
            <w:r w:rsidRPr="00FA4E09">
              <w:rPr>
                <w:rFonts w:ascii="Calibri" w:hAnsi="Calibri" w:cs="Calibri"/>
                <w:sz w:val="20"/>
                <w:szCs w:val="20"/>
              </w:rPr>
              <w:t>Questionnaire</w:t>
            </w:r>
          </w:p>
        </w:tc>
        <w:tc>
          <w:tcPr>
            <w:tcW w:w="673" w:type="pct"/>
            <w:tcBorders>
              <w:top w:val="single" w:sz="6" w:space="0" w:color="auto"/>
            </w:tcBorders>
            <w:shd w:val="clear" w:color="auto" w:fill="auto"/>
            <w:noWrap/>
          </w:tcPr>
          <w:p w:rsidR="009E6145" w:rsidRPr="00FA4E09" w:rsidP="00DD34B4" w14:paraId="10126F71" w14:textId="77777777">
            <w:pPr>
              <w:spacing w:after="0"/>
              <w:jc w:val="right"/>
              <w:rPr>
                <w:rFonts w:ascii="Calibri" w:hAnsi="Calibri" w:cs="Calibri"/>
                <w:sz w:val="20"/>
                <w:szCs w:val="20"/>
              </w:rPr>
            </w:pPr>
            <w:r w:rsidRPr="00FA4E09">
              <w:rPr>
                <w:rFonts w:ascii="Calibri" w:hAnsi="Calibri" w:cs="Calibri"/>
                <w:sz w:val="20"/>
                <w:szCs w:val="20"/>
              </w:rPr>
              <w:t>400</w:t>
            </w:r>
          </w:p>
        </w:tc>
        <w:tc>
          <w:tcPr>
            <w:tcW w:w="867" w:type="pct"/>
            <w:tcBorders>
              <w:top w:val="single" w:sz="6" w:space="0" w:color="auto"/>
            </w:tcBorders>
            <w:shd w:val="clear" w:color="auto" w:fill="auto"/>
            <w:noWrap/>
          </w:tcPr>
          <w:p w:rsidR="009E6145" w:rsidRPr="00FA4E09" w:rsidP="00DD34B4" w14:paraId="2E4A0B1B" w14:textId="77777777">
            <w:pPr>
              <w:spacing w:after="0"/>
              <w:jc w:val="right"/>
              <w:rPr>
                <w:rFonts w:ascii="Calibri" w:hAnsi="Calibri" w:cs="Calibri"/>
                <w:sz w:val="20"/>
                <w:szCs w:val="20"/>
              </w:rPr>
            </w:pPr>
            <w:r w:rsidRPr="00FA4E09">
              <w:rPr>
                <w:rFonts w:ascii="Calibri" w:hAnsi="Calibri" w:cs="Calibri"/>
                <w:sz w:val="20"/>
                <w:szCs w:val="20"/>
              </w:rPr>
              <w:t>9,240</w:t>
            </w:r>
          </w:p>
        </w:tc>
        <w:tc>
          <w:tcPr>
            <w:tcW w:w="868" w:type="pct"/>
            <w:tcBorders>
              <w:top w:val="single" w:sz="6" w:space="0" w:color="auto"/>
            </w:tcBorders>
            <w:shd w:val="clear" w:color="auto" w:fill="auto"/>
            <w:noWrap/>
          </w:tcPr>
          <w:p w:rsidR="009E6145" w:rsidRPr="00FA4E09" w:rsidP="00DD34B4" w14:paraId="6998E877" w14:textId="77777777">
            <w:pPr>
              <w:spacing w:after="0"/>
              <w:jc w:val="right"/>
              <w:rPr>
                <w:rFonts w:ascii="Calibri" w:hAnsi="Calibri" w:cs="Calibri"/>
                <w:sz w:val="20"/>
                <w:szCs w:val="20"/>
              </w:rPr>
            </w:pPr>
            <w:r w:rsidRPr="00FA4E09">
              <w:rPr>
                <w:rFonts w:ascii="Calibri" w:hAnsi="Calibri" w:cs="Calibri"/>
                <w:sz w:val="20"/>
                <w:szCs w:val="20"/>
              </w:rPr>
              <w:t>$614,282</w:t>
            </w:r>
          </w:p>
        </w:tc>
        <w:tc>
          <w:tcPr>
            <w:tcW w:w="868" w:type="pct"/>
            <w:tcBorders>
              <w:top w:val="single" w:sz="6" w:space="0" w:color="auto"/>
            </w:tcBorders>
            <w:shd w:val="clear" w:color="auto" w:fill="auto"/>
            <w:noWrap/>
          </w:tcPr>
          <w:p w:rsidR="009E6145" w:rsidRPr="00FA4E09" w:rsidP="00DD34B4" w14:paraId="2A1B1F62" w14:textId="77777777">
            <w:pPr>
              <w:spacing w:after="0"/>
              <w:jc w:val="right"/>
              <w:rPr>
                <w:rFonts w:ascii="Calibri" w:hAnsi="Calibri" w:cs="Calibri"/>
                <w:sz w:val="20"/>
                <w:szCs w:val="20"/>
              </w:rPr>
            </w:pPr>
            <w:r w:rsidRPr="00FA4E09">
              <w:rPr>
                <w:rFonts w:ascii="Calibri" w:hAnsi="Calibri" w:cs="Calibri"/>
                <w:sz w:val="20"/>
                <w:szCs w:val="20"/>
              </w:rPr>
              <w:t>$1,120</w:t>
            </w:r>
          </w:p>
        </w:tc>
        <w:tc>
          <w:tcPr>
            <w:tcW w:w="859" w:type="pct"/>
            <w:tcBorders>
              <w:top w:val="single" w:sz="6" w:space="0" w:color="auto"/>
            </w:tcBorders>
            <w:shd w:val="clear" w:color="auto" w:fill="auto"/>
            <w:noWrap/>
          </w:tcPr>
          <w:p w:rsidR="009E6145" w:rsidRPr="00FA4E09" w:rsidP="00DD34B4" w14:paraId="6D8FB9A2" w14:textId="77777777">
            <w:pPr>
              <w:spacing w:after="0"/>
              <w:jc w:val="right"/>
              <w:rPr>
                <w:rFonts w:ascii="Calibri" w:hAnsi="Calibri" w:cs="Calibri"/>
                <w:b/>
                <w:sz w:val="20"/>
                <w:szCs w:val="20"/>
              </w:rPr>
            </w:pPr>
            <w:r w:rsidRPr="00FA4E09">
              <w:rPr>
                <w:rFonts w:ascii="Calibri" w:hAnsi="Calibri" w:cs="Calibri"/>
                <w:b/>
                <w:sz w:val="20"/>
                <w:szCs w:val="20"/>
              </w:rPr>
              <w:t>$615,402</w:t>
            </w:r>
          </w:p>
        </w:tc>
      </w:tr>
      <w:tr w14:paraId="04422065" w14:textId="77777777">
        <w:tblPrEx>
          <w:tblW w:w="5000" w:type="pct"/>
          <w:jc w:val="center"/>
          <w:tblCellMar>
            <w:top w:w="29" w:type="dxa"/>
            <w:left w:w="58" w:type="dxa"/>
            <w:bottom w:w="29" w:type="dxa"/>
            <w:right w:w="58" w:type="dxa"/>
          </w:tblCellMar>
          <w:tblLook w:val="0000"/>
        </w:tblPrEx>
        <w:trPr>
          <w:cantSplit/>
          <w:trHeight w:val="20"/>
          <w:jc w:val="center"/>
        </w:trPr>
        <w:tc>
          <w:tcPr>
            <w:tcW w:w="865" w:type="pct"/>
            <w:tcBorders>
              <w:top w:val="single" w:sz="6" w:space="0" w:color="auto"/>
            </w:tcBorders>
            <w:shd w:val="clear" w:color="auto" w:fill="auto"/>
            <w:vAlign w:val="center"/>
          </w:tcPr>
          <w:p w:rsidR="009E6145" w:rsidRPr="00FA4E09" w:rsidP="00DD34B4" w14:paraId="23F0AC1E" w14:textId="77777777">
            <w:pPr>
              <w:spacing w:after="0"/>
              <w:rPr>
                <w:rFonts w:ascii="Calibri" w:hAnsi="Calibri" w:cs="Calibri"/>
                <w:sz w:val="20"/>
                <w:szCs w:val="20"/>
              </w:rPr>
            </w:pPr>
            <w:r w:rsidRPr="00FA4E09">
              <w:rPr>
                <w:rFonts w:ascii="Calibri" w:hAnsi="Calibri" w:cs="Calibri"/>
                <w:sz w:val="20"/>
                <w:szCs w:val="20"/>
              </w:rPr>
              <w:t>Sampling</w:t>
            </w:r>
          </w:p>
        </w:tc>
        <w:tc>
          <w:tcPr>
            <w:tcW w:w="673" w:type="pct"/>
            <w:tcBorders>
              <w:top w:val="single" w:sz="6" w:space="0" w:color="auto"/>
            </w:tcBorders>
            <w:shd w:val="clear" w:color="auto" w:fill="auto"/>
            <w:noWrap/>
          </w:tcPr>
          <w:p w:rsidR="009E6145" w:rsidRPr="00FA4E09" w:rsidP="00DD34B4" w14:paraId="6307BEC8" w14:textId="77777777">
            <w:pPr>
              <w:spacing w:after="0"/>
              <w:jc w:val="right"/>
              <w:rPr>
                <w:rFonts w:ascii="Calibri" w:hAnsi="Calibri" w:cs="Calibri"/>
                <w:sz w:val="20"/>
                <w:szCs w:val="20"/>
              </w:rPr>
            </w:pPr>
            <w:r w:rsidRPr="00FA4E09">
              <w:rPr>
                <w:rFonts w:ascii="Calibri" w:hAnsi="Calibri" w:cs="Calibri"/>
                <w:sz w:val="20"/>
                <w:szCs w:val="20"/>
              </w:rPr>
              <w:t>200</w:t>
            </w:r>
          </w:p>
        </w:tc>
        <w:tc>
          <w:tcPr>
            <w:tcW w:w="867" w:type="pct"/>
            <w:tcBorders>
              <w:top w:val="single" w:sz="6" w:space="0" w:color="auto"/>
            </w:tcBorders>
            <w:shd w:val="clear" w:color="auto" w:fill="auto"/>
            <w:noWrap/>
          </w:tcPr>
          <w:p w:rsidR="009E6145" w:rsidRPr="00FA4E09" w:rsidP="00DD34B4" w14:paraId="3B2EEE3A" w14:textId="77777777">
            <w:pPr>
              <w:spacing w:after="0"/>
              <w:jc w:val="right"/>
              <w:rPr>
                <w:rFonts w:ascii="Calibri" w:hAnsi="Calibri" w:cs="Calibri"/>
                <w:sz w:val="20"/>
                <w:szCs w:val="20"/>
              </w:rPr>
            </w:pPr>
            <w:r w:rsidRPr="00FA4E09">
              <w:rPr>
                <w:rFonts w:ascii="Calibri" w:hAnsi="Calibri" w:cs="Calibri"/>
                <w:sz w:val="20"/>
                <w:szCs w:val="20"/>
              </w:rPr>
              <w:t>16,400</w:t>
            </w:r>
          </w:p>
        </w:tc>
        <w:tc>
          <w:tcPr>
            <w:tcW w:w="868" w:type="pct"/>
            <w:tcBorders>
              <w:top w:val="single" w:sz="6" w:space="0" w:color="auto"/>
            </w:tcBorders>
            <w:shd w:val="clear" w:color="auto" w:fill="auto"/>
            <w:noWrap/>
          </w:tcPr>
          <w:p w:rsidR="009E6145" w:rsidRPr="00FA4E09" w:rsidP="00DD34B4" w14:paraId="1275EC4F" w14:textId="77777777">
            <w:pPr>
              <w:spacing w:after="0"/>
              <w:jc w:val="right"/>
              <w:rPr>
                <w:rFonts w:ascii="Calibri" w:hAnsi="Calibri" w:cs="Calibri"/>
                <w:sz w:val="20"/>
                <w:szCs w:val="20"/>
              </w:rPr>
            </w:pPr>
            <w:r w:rsidRPr="00FA4E09">
              <w:rPr>
                <w:rFonts w:ascii="Calibri" w:hAnsi="Calibri" w:cs="Calibri"/>
                <w:sz w:val="20"/>
                <w:szCs w:val="20"/>
              </w:rPr>
              <w:t xml:space="preserve"> $981,014 </w:t>
            </w:r>
          </w:p>
        </w:tc>
        <w:tc>
          <w:tcPr>
            <w:tcW w:w="868" w:type="pct"/>
            <w:tcBorders>
              <w:top w:val="single" w:sz="6" w:space="0" w:color="auto"/>
            </w:tcBorders>
            <w:shd w:val="clear" w:color="auto" w:fill="auto"/>
            <w:noWrap/>
          </w:tcPr>
          <w:p w:rsidR="009E6145" w:rsidRPr="00FA4E09" w:rsidP="00DD34B4" w14:paraId="50F73FE1" w14:textId="77777777">
            <w:pPr>
              <w:spacing w:after="0"/>
              <w:jc w:val="right"/>
              <w:rPr>
                <w:rFonts w:ascii="Calibri" w:hAnsi="Calibri" w:cs="Calibri"/>
                <w:sz w:val="20"/>
                <w:szCs w:val="20"/>
              </w:rPr>
            </w:pPr>
            <w:r w:rsidRPr="00FA4E09">
              <w:rPr>
                <w:rFonts w:ascii="Calibri" w:hAnsi="Calibri" w:cs="Calibri"/>
                <w:sz w:val="20"/>
                <w:szCs w:val="20"/>
              </w:rPr>
              <w:t xml:space="preserve"> $3,890,400 </w:t>
            </w:r>
          </w:p>
        </w:tc>
        <w:tc>
          <w:tcPr>
            <w:tcW w:w="859" w:type="pct"/>
            <w:tcBorders>
              <w:top w:val="single" w:sz="6" w:space="0" w:color="auto"/>
            </w:tcBorders>
            <w:shd w:val="clear" w:color="auto" w:fill="auto"/>
            <w:noWrap/>
          </w:tcPr>
          <w:p w:rsidR="009E6145" w:rsidRPr="00FA4E09" w:rsidP="00DD34B4" w14:paraId="385A88E2" w14:textId="77777777">
            <w:pPr>
              <w:spacing w:after="0"/>
              <w:jc w:val="right"/>
              <w:rPr>
                <w:rFonts w:ascii="Calibri" w:hAnsi="Calibri" w:cs="Calibri"/>
                <w:b/>
                <w:sz w:val="20"/>
                <w:szCs w:val="20"/>
              </w:rPr>
            </w:pPr>
            <w:r w:rsidRPr="00FA4E09">
              <w:rPr>
                <w:rFonts w:ascii="Calibri" w:hAnsi="Calibri" w:cs="Calibri"/>
                <w:b/>
                <w:sz w:val="20"/>
                <w:szCs w:val="20"/>
              </w:rPr>
              <w:t xml:space="preserve"> $</w:t>
            </w:r>
            <w:r w:rsidRPr="00FA4E09">
              <w:rPr>
                <w:rFonts w:ascii="Calibri" w:hAnsi="Calibri" w:cs="Calibri"/>
                <w:b/>
                <w:sz w:val="20"/>
                <w:szCs w:val="20"/>
              </w:rPr>
              <w:t>4,</w:t>
            </w:r>
            <w:r w:rsidRPr="00FA4E09">
              <w:rPr>
                <w:rFonts w:ascii="Calibri" w:hAnsi="Calibri" w:cs="Calibri"/>
                <w:b/>
                <w:sz w:val="20"/>
                <w:szCs w:val="20"/>
              </w:rPr>
              <w:t xml:space="preserve">871,414 </w:t>
            </w:r>
          </w:p>
        </w:tc>
      </w:tr>
      <w:tr w14:paraId="5A39C7FC" w14:textId="77777777">
        <w:tblPrEx>
          <w:tblW w:w="5000" w:type="pct"/>
          <w:jc w:val="center"/>
          <w:tblCellMar>
            <w:top w:w="29" w:type="dxa"/>
            <w:left w:w="58" w:type="dxa"/>
            <w:bottom w:w="29" w:type="dxa"/>
            <w:right w:w="58" w:type="dxa"/>
          </w:tblCellMar>
          <w:tblLook w:val="0000"/>
        </w:tblPrEx>
        <w:trPr>
          <w:cantSplit/>
          <w:trHeight w:val="20"/>
          <w:jc w:val="center"/>
        </w:trPr>
        <w:tc>
          <w:tcPr>
            <w:tcW w:w="1538" w:type="pct"/>
            <w:gridSpan w:val="2"/>
            <w:tcBorders>
              <w:top w:val="single" w:sz="4" w:space="0" w:color="auto"/>
              <w:bottom w:val="double" w:sz="4" w:space="0" w:color="auto"/>
            </w:tcBorders>
            <w:shd w:val="clear" w:color="auto" w:fill="auto"/>
            <w:vAlign w:val="center"/>
          </w:tcPr>
          <w:p w:rsidR="009E6145" w:rsidRPr="00FA4E09" w:rsidP="00DD34B4" w14:paraId="77E17172" w14:textId="77777777">
            <w:pPr>
              <w:spacing w:after="0"/>
              <w:jc w:val="right"/>
              <w:rPr>
                <w:rFonts w:ascii="Calibri" w:hAnsi="Calibri" w:cs="Calibri"/>
                <w:b/>
                <w:sz w:val="20"/>
                <w:szCs w:val="20"/>
              </w:rPr>
            </w:pPr>
            <w:r w:rsidRPr="00FA4E09">
              <w:rPr>
                <w:rFonts w:ascii="Calibri" w:hAnsi="Calibri" w:cs="Calibri"/>
                <w:b/>
                <w:bCs/>
                <w:sz w:val="20"/>
                <w:szCs w:val="20"/>
              </w:rPr>
              <w:t>Total</w:t>
            </w:r>
          </w:p>
        </w:tc>
        <w:tc>
          <w:tcPr>
            <w:tcW w:w="867" w:type="pct"/>
            <w:tcBorders>
              <w:top w:val="single" w:sz="4" w:space="0" w:color="auto"/>
              <w:bottom w:val="double" w:sz="4" w:space="0" w:color="auto"/>
            </w:tcBorders>
            <w:shd w:val="clear" w:color="auto" w:fill="auto"/>
            <w:noWrap/>
          </w:tcPr>
          <w:p w:rsidR="009E6145" w:rsidRPr="00FA4E09" w:rsidP="00DD34B4" w14:paraId="1ECA0971" w14:textId="77777777">
            <w:pPr>
              <w:spacing w:after="0"/>
              <w:jc w:val="right"/>
              <w:rPr>
                <w:rFonts w:ascii="Calibri" w:hAnsi="Calibri" w:cs="Calibri"/>
                <w:b/>
                <w:bCs/>
                <w:sz w:val="20"/>
                <w:szCs w:val="20"/>
              </w:rPr>
            </w:pPr>
            <w:r w:rsidRPr="00FA4E09">
              <w:rPr>
                <w:rFonts w:ascii="Calibri" w:hAnsi="Calibri" w:cs="Calibri"/>
                <w:b/>
                <w:sz w:val="20"/>
                <w:szCs w:val="20"/>
              </w:rPr>
              <w:t>25,640</w:t>
            </w:r>
          </w:p>
        </w:tc>
        <w:tc>
          <w:tcPr>
            <w:tcW w:w="868" w:type="pct"/>
            <w:tcBorders>
              <w:top w:val="single" w:sz="4" w:space="0" w:color="auto"/>
              <w:bottom w:val="double" w:sz="4" w:space="0" w:color="auto"/>
            </w:tcBorders>
            <w:shd w:val="clear" w:color="auto" w:fill="auto"/>
            <w:noWrap/>
          </w:tcPr>
          <w:p w:rsidR="009E6145" w:rsidRPr="00FA4E09" w:rsidP="00DD34B4" w14:paraId="47D90499" w14:textId="77777777">
            <w:pPr>
              <w:spacing w:after="0"/>
              <w:jc w:val="right"/>
              <w:rPr>
                <w:rFonts w:ascii="Calibri" w:hAnsi="Calibri" w:cs="Calibri"/>
                <w:b/>
                <w:bCs/>
                <w:sz w:val="20"/>
                <w:szCs w:val="20"/>
              </w:rPr>
            </w:pPr>
            <w:r w:rsidRPr="00FA4E09">
              <w:rPr>
                <w:rFonts w:ascii="Calibri" w:hAnsi="Calibri" w:cs="Calibri"/>
                <w:b/>
                <w:sz w:val="20"/>
                <w:szCs w:val="20"/>
              </w:rPr>
              <w:t>$1,595,296</w:t>
            </w:r>
          </w:p>
        </w:tc>
        <w:tc>
          <w:tcPr>
            <w:tcW w:w="868" w:type="pct"/>
            <w:tcBorders>
              <w:top w:val="single" w:sz="4" w:space="0" w:color="auto"/>
              <w:bottom w:val="double" w:sz="4" w:space="0" w:color="auto"/>
            </w:tcBorders>
            <w:shd w:val="clear" w:color="auto" w:fill="auto"/>
            <w:noWrap/>
          </w:tcPr>
          <w:p w:rsidR="009E6145" w:rsidRPr="00FA4E09" w:rsidP="00DD34B4" w14:paraId="6B924589" w14:textId="77777777">
            <w:pPr>
              <w:spacing w:after="0"/>
              <w:jc w:val="right"/>
              <w:rPr>
                <w:rFonts w:ascii="Calibri" w:hAnsi="Calibri" w:cs="Calibri"/>
                <w:b/>
                <w:bCs/>
                <w:sz w:val="20"/>
                <w:szCs w:val="20"/>
              </w:rPr>
            </w:pPr>
            <w:r w:rsidRPr="00FA4E09">
              <w:rPr>
                <w:rFonts w:ascii="Calibri" w:hAnsi="Calibri" w:cs="Calibri"/>
                <w:b/>
                <w:sz w:val="20"/>
                <w:szCs w:val="20"/>
              </w:rPr>
              <w:t>$3,891,520</w:t>
            </w:r>
          </w:p>
        </w:tc>
        <w:tc>
          <w:tcPr>
            <w:tcW w:w="859" w:type="pct"/>
            <w:tcBorders>
              <w:top w:val="single" w:sz="4" w:space="0" w:color="auto"/>
              <w:bottom w:val="double" w:sz="4" w:space="0" w:color="auto"/>
            </w:tcBorders>
            <w:shd w:val="clear" w:color="auto" w:fill="auto"/>
            <w:noWrap/>
          </w:tcPr>
          <w:p w:rsidR="009E6145" w:rsidRPr="00FA4E09" w:rsidP="00DD34B4" w14:paraId="65827E72" w14:textId="77777777">
            <w:pPr>
              <w:spacing w:after="0"/>
              <w:jc w:val="right"/>
              <w:rPr>
                <w:rFonts w:ascii="Calibri" w:hAnsi="Calibri" w:cs="Calibri"/>
                <w:b/>
                <w:bCs/>
                <w:sz w:val="20"/>
                <w:szCs w:val="20"/>
              </w:rPr>
            </w:pPr>
            <w:r w:rsidRPr="00FA4E09">
              <w:rPr>
                <w:rFonts w:ascii="Calibri" w:hAnsi="Calibri" w:cs="Calibri"/>
                <w:b/>
                <w:sz w:val="20"/>
                <w:szCs w:val="20"/>
              </w:rPr>
              <w:t>$5,486,816</w:t>
            </w:r>
          </w:p>
        </w:tc>
      </w:tr>
    </w:tbl>
    <w:p w:rsidR="009E6145" w:rsidRPr="00FA4E09" w:rsidP="008E197A" w14:paraId="72754BB9" w14:textId="3FFAC4E0">
      <w:pPr>
        <w:keepNext/>
        <w:keepLines/>
        <w:spacing w:before="60"/>
        <w:rPr>
          <w:rFonts w:ascii="Calibri" w:hAnsi="Calibri" w:cs="Calibri"/>
        </w:rPr>
      </w:pPr>
      <w:r w:rsidRPr="00FA4E09">
        <w:rPr>
          <w:rFonts w:ascii="Calibri" w:hAnsi="Calibri" w:cs="Calibri"/>
        </w:rPr>
        <w:t>The EPA estimates that the total burden to the industry for responding to the questionnaire and sampling program will be approximately 25,640 hours, or $5.5 million, including labor and other direct costs.</w:t>
      </w:r>
    </w:p>
    <w:p w:rsidR="00DD1092" w:rsidRPr="00163C69" w:rsidP="00DD1092" w14:paraId="64F5FECA" w14:textId="77777777">
      <w:pPr>
        <w:pStyle w:val="ListParagraph"/>
        <w:numPr>
          <w:ilvl w:val="0"/>
          <w:numId w:val="25"/>
        </w:numPr>
        <w:pBdr>
          <w:bottom w:val="single" w:sz="4" w:space="1" w:color="auto"/>
        </w:pBdr>
        <w:spacing w:before="240" w:after="0"/>
        <w:rPr>
          <w:rFonts w:cstheme="minorHAnsi"/>
          <w:b/>
          <w:bCs/>
        </w:rPr>
      </w:pPr>
      <w:bookmarkStart w:id="54" w:name="_Toc156593388"/>
      <w:bookmarkStart w:id="55" w:name="_Toc156593387"/>
      <w:r w:rsidRPr="4BDBF0A0">
        <w:rPr>
          <w:b/>
          <w:bCs/>
        </w:rPr>
        <w:t xml:space="preserve">AGENCY </w:t>
      </w:r>
      <w:bookmarkEnd w:id="55"/>
      <w:r w:rsidRPr="4BDBF0A0">
        <w:rPr>
          <w:b/>
          <w:bCs/>
        </w:rPr>
        <w:t>COSTS</w:t>
      </w:r>
    </w:p>
    <w:p w:rsidR="00DD1092" w:rsidRPr="001F0834" w:rsidP="00DD1092" w14:paraId="4C3C7D6C"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D1092" w:rsidRPr="00163C69" w:rsidP="00DD1092" w14:paraId="47A4839B" w14:textId="77777777">
      <w:pPr>
        <w:spacing w:before="120" w:after="0"/>
        <w:rPr>
          <w:rFonts w:cstheme="minorHAnsi"/>
          <w:b/>
          <w:bCs/>
        </w:rPr>
      </w:pPr>
      <w:r w:rsidRPr="00163C69">
        <w:rPr>
          <w:rFonts w:eastAsiaTheme="majorEastAsia" w:cstheme="minorHAnsi"/>
          <w:b/>
          <w:bCs/>
        </w:rPr>
        <w:t>14a. Agency Activities</w:t>
      </w:r>
    </w:p>
    <w:p w:rsidR="00A028CE" w:rsidRPr="00DD1092" w:rsidP="00854AAE" w14:paraId="0FE717B6" w14:textId="17A60296">
      <w:pPr>
        <w:keepNext/>
        <w:keepLines/>
        <w:spacing w:before="60"/>
        <w:rPr>
          <w:rFonts w:cstheme="minorHAnsi"/>
        </w:rPr>
      </w:pPr>
      <w:r w:rsidRPr="00FA4E09">
        <w:rPr>
          <w:rFonts w:ascii="Calibri" w:hAnsi="Calibri" w:cs="Calibri"/>
        </w:rPr>
        <w:t>Table 14-1 presents the administration tasks to be performed by EPA employees and contractors, with the associated hours required for each grouping of related tasks.</w:t>
      </w:r>
    </w:p>
    <w:tbl>
      <w:tblPr>
        <w:tblW w:w="4824" w:type="pct"/>
        <w:jc w:val="center"/>
        <w:tblCellMar>
          <w:top w:w="29" w:type="dxa"/>
          <w:left w:w="58" w:type="dxa"/>
          <w:bottom w:w="29" w:type="dxa"/>
          <w:right w:w="58" w:type="dxa"/>
        </w:tblCellMar>
        <w:tblLook w:val="0000"/>
      </w:tblPr>
      <w:tblGrid>
        <w:gridCol w:w="4751"/>
        <w:gridCol w:w="1454"/>
        <w:gridCol w:w="1455"/>
        <w:gridCol w:w="1455"/>
        <w:gridCol w:w="27"/>
      </w:tblGrid>
      <w:tr w14:paraId="4EFFF257" w14:textId="77777777" w:rsidTr="00BC0ABD">
        <w:tblPrEx>
          <w:tblW w:w="4824" w:type="pct"/>
          <w:jc w:val="center"/>
          <w:tblCellMar>
            <w:top w:w="29" w:type="dxa"/>
            <w:left w:w="58" w:type="dxa"/>
            <w:bottom w:w="29" w:type="dxa"/>
            <w:right w:w="58" w:type="dxa"/>
          </w:tblCellMar>
          <w:tblLook w:val="0000"/>
        </w:tblPrEx>
        <w:trPr>
          <w:cantSplit/>
          <w:tblHeader/>
          <w:jc w:val="center"/>
        </w:trPr>
        <w:tc>
          <w:tcPr>
            <w:tcW w:w="5000" w:type="pct"/>
            <w:gridSpan w:val="5"/>
            <w:shd w:val="clear" w:color="auto" w:fill="auto"/>
            <w:noWrap/>
            <w:vAlign w:val="bottom"/>
          </w:tcPr>
          <w:p w:rsidR="00BC0ABD" w:rsidRPr="00FA4E09" w14:paraId="4387E243" w14:textId="420152FD">
            <w:pPr>
              <w:pStyle w:val="TableTitle"/>
              <w:rPr>
                <w:rFonts w:eastAsia="MS Mincho"/>
                <w:bCs/>
                <w:sz w:val="20"/>
                <w:szCs w:val="20"/>
                <w:lang w:eastAsia="ja-JP"/>
              </w:rPr>
            </w:pPr>
            <w:bookmarkStart w:id="56" w:name="_Ref117849448"/>
            <w:bookmarkStart w:id="57" w:name="_Toc157787728"/>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14</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w:t>
            </w:r>
            <w:r w:rsidRPr="00FA4E09">
              <w:rPr>
                <w:rFonts w:eastAsiaTheme="minorEastAsia"/>
                <w:bCs/>
                <w:smallCaps/>
                <w:spacing w:val="6"/>
                <w:sz w:val="24"/>
                <w:szCs w:val="18"/>
              </w:rPr>
              <w:fldChar w:fldCharType="end"/>
            </w:r>
            <w:bookmarkEnd w:id="56"/>
            <w:r w:rsidRPr="00FA4E09">
              <w:rPr>
                <w:rFonts w:eastAsiaTheme="minorEastAsia"/>
                <w:bCs/>
                <w:smallCaps/>
                <w:spacing w:val="6"/>
                <w:sz w:val="24"/>
                <w:szCs w:val="18"/>
              </w:rPr>
              <w:t>. Estimated Agency Burden</w:t>
            </w:r>
            <w:r w:rsidRPr="00FA4E09" w:rsidR="00952A86">
              <w:rPr>
                <w:rFonts w:eastAsiaTheme="minorEastAsia"/>
                <w:bCs/>
                <w:smallCaps/>
                <w:spacing w:val="6"/>
                <w:sz w:val="24"/>
                <w:szCs w:val="18"/>
              </w:rPr>
              <w:t xml:space="preserve"> </w:t>
            </w:r>
            <w:r w:rsidRPr="00FA4E09">
              <w:rPr>
                <w:rFonts w:eastAsiaTheme="minorEastAsia"/>
                <w:bCs/>
                <w:smallCaps/>
                <w:spacing w:val="6"/>
                <w:sz w:val="24"/>
                <w:szCs w:val="18"/>
              </w:rPr>
              <w:t>for the Questionnaire</w:t>
            </w:r>
            <w:bookmarkEnd w:id="57"/>
          </w:p>
        </w:tc>
      </w:tr>
      <w:tr w14:paraId="7E91A275" w14:textId="77777777" w:rsidTr="009C4D1F">
        <w:tblPrEx>
          <w:tblW w:w="4824" w:type="pct"/>
          <w:jc w:val="center"/>
          <w:tblCellMar>
            <w:top w:w="29" w:type="dxa"/>
            <w:left w:w="58" w:type="dxa"/>
            <w:bottom w:w="29" w:type="dxa"/>
            <w:right w:w="58" w:type="dxa"/>
          </w:tblCellMar>
          <w:tblLook w:val="0000"/>
        </w:tblPrEx>
        <w:trPr>
          <w:gridAfter w:val="1"/>
          <w:wAfter w:w="15" w:type="dxa"/>
          <w:cantSplit/>
          <w:tblHeader/>
          <w:jc w:val="center"/>
        </w:trPr>
        <w:tc>
          <w:tcPr>
            <w:tcW w:w="2598" w:type="pct"/>
            <w:vMerge w:val="restart"/>
            <w:tcBorders>
              <w:top w:val="double" w:sz="6" w:space="0" w:color="auto"/>
              <w:left w:val="double" w:sz="6" w:space="0" w:color="auto"/>
              <w:right w:val="single" w:sz="4" w:space="0" w:color="auto"/>
            </w:tcBorders>
            <w:shd w:val="clear" w:color="auto" w:fill="D9D9D9" w:themeFill="background1" w:themeFillShade="D9"/>
            <w:noWrap/>
            <w:vAlign w:val="center"/>
          </w:tcPr>
          <w:p w:rsidR="00BC0ABD" w:rsidRPr="00FA4E09" w:rsidP="003F4282" w14:paraId="4C00D0D1"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Activity</w:t>
            </w:r>
          </w:p>
        </w:tc>
        <w:tc>
          <w:tcPr>
            <w:tcW w:w="2387" w:type="pct"/>
            <w:gridSpan w:val="3"/>
            <w:tcBorders>
              <w:top w:val="double" w:sz="6" w:space="0" w:color="auto"/>
              <w:left w:val="nil"/>
              <w:bottom w:val="single" w:sz="4" w:space="0" w:color="auto"/>
              <w:right w:val="double" w:sz="6" w:space="0" w:color="auto"/>
            </w:tcBorders>
            <w:shd w:val="clear" w:color="auto" w:fill="D9D9D9" w:themeFill="background1" w:themeFillShade="D9"/>
            <w:noWrap/>
            <w:vAlign w:val="center"/>
          </w:tcPr>
          <w:p w:rsidR="00BC0ABD" w:rsidRPr="00FA4E09" w:rsidP="003F4282" w14:paraId="5657BA44"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Burden (hours)</w:t>
            </w:r>
          </w:p>
        </w:tc>
      </w:tr>
      <w:tr w14:paraId="0574EB81" w14:textId="77777777" w:rsidTr="0061798C">
        <w:tblPrEx>
          <w:tblW w:w="4824" w:type="pct"/>
          <w:jc w:val="center"/>
          <w:tblCellMar>
            <w:top w:w="29" w:type="dxa"/>
            <w:left w:w="58" w:type="dxa"/>
            <w:bottom w:w="29" w:type="dxa"/>
            <w:right w:w="58" w:type="dxa"/>
          </w:tblCellMar>
          <w:tblLook w:val="0000"/>
        </w:tblPrEx>
        <w:trPr>
          <w:gridAfter w:val="1"/>
          <w:wAfter w:w="15" w:type="dxa"/>
          <w:cantSplit/>
          <w:tblHeader/>
          <w:jc w:val="center"/>
        </w:trPr>
        <w:tc>
          <w:tcPr>
            <w:tcW w:w="2598" w:type="pct"/>
            <w:vMerge/>
            <w:tcBorders>
              <w:left w:val="double" w:sz="6" w:space="0" w:color="auto"/>
              <w:bottom w:val="single" w:sz="4" w:space="0" w:color="auto"/>
              <w:right w:val="single" w:sz="4" w:space="0" w:color="auto"/>
            </w:tcBorders>
            <w:shd w:val="clear" w:color="auto" w:fill="D9D9D9" w:themeFill="background1" w:themeFillShade="D9"/>
            <w:noWrap/>
            <w:vAlign w:val="center"/>
          </w:tcPr>
          <w:p w:rsidR="00BC0ABD" w:rsidRPr="00FA4E09" w:rsidP="003F4282" w14:paraId="341267F4" w14:textId="77777777">
            <w:pPr>
              <w:spacing w:after="0"/>
              <w:jc w:val="center"/>
              <w:rPr>
                <w:rFonts w:ascii="Calibri" w:eastAsia="MS Mincho" w:hAnsi="Calibri" w:cs="Calibri"/>
                <w:b/>
                <w:bCs/>
                <w:sz w:val="20"/>
                <w:szCs w:val="20"/>
                <w:lang w:eastAsia="ja-JP"/>
              </w:rPr>
            </w:pPr>
          </w:p>
        </w:tc>
        <w:tc>
          <w:tcPr>
            <w:tcW w:w="795" w:type="pct"/>
            <w:tcBorders>
              <w:top w:val="nil"/>
              <w:left w:val="nil"/>
              <w:bottom w:val="single" w:sz="4" w:space="0" w:color="auto"/>
              <w:right w:val="single" w:sz="4" w:space="0" w:color="auto"/>
            </w:tcBorders>
            <w:shd w:val="clear" w:color="auto" w:fill="D9D9D9" w:themeFill="background1" w:themeFillShade="D9"/>
            <w:vAlign w:val="center"/>
          </w:tcPr>
          <w:p w:rsidR="00BC0ABD" w:rsidRPr="00FA4E09" w:rsidP="003F4282" w14:paraId="412AC273"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Agency</w:t>
            </w:r>
          </w:p>
        </w:tc>
        <w:tc>
          <w:tcPr>
            <w:tcW w:w="796" w:type="pct"/>
            <w:tcBorders>
              <w:top w:val="nil"/>
              <w:left w:val="nil"/>
              <w:bottom w:val="single" w:sz="4" w:space="0" w:color="auto"/>
              <w:right w:val="single" w:sz="4" w:space="0" w:color="auto"/>
            </w:tcBorders>
            <w:shd w:val="clear" w:color="auto" w:fill="D9D9D9" w:themeFill="background1" w:themeFillShade="D9"/>
            <w:vAlign w:val="center"/>
          </w:tcPr>
          <w:p w:rsidR="00BC0ABD" w:rsidRPr="00FA4E09" w:rsidP="003F4282" w14:paraId="20728235"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Contractor</w:t>
            </w:r>
          </w:p>
        </w:tc>
        <w:tc>
          <w:tcPr>
            <w:tcW w:w="796" w:type="pct"/>
            <w:tcBorders>
              <w:top w:val="nil"/>
              <w:left w:val="nil"/>
              <w:bottom w:val="single" w:sz="4" w:space="0" w:color="auto"/>
              <w:right w:val="double" w:sz="6" w:space="0" w:color="auto"/>
            </w:tcBorders>
            <w:shd w:val="clear" w:color="auto" w:fill="D9D9D9" w:themeFill="background1" w:themeFillShade="D9"/>
            <w:vAlign w:val="center"/>
          </w:tcPr>
          <w:p w:rsidR="00BC0ABD" w:rsidRPr="00FA4E09" w:rsidP="003F4282" w14:paraId="63F9E938"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Total Hours</w:t>
            </w:r>
          </w:p>
        </w:tc>
      </w:tr>
      <w:tr w14:paraId="7EB1CE21"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186"/>
          <w:jc w:val="center"/>
        </w:trPr>
        <w:tc>
          <w:tcPr>
            <w:tcW w:w="2598" w:type="pct"/>
            <w:tcBorders>
              <w:top w:val="single" w:sz="4" w:space="0" w:color="auto"/>
              <w:left w:val="double" w:sz="6" w:space="0" w:color="auto"/>
              <w:right w:val="single" w:sz="4" w:space="0" w:color="auto"/>
            </w:tcBorders>
            <w:shd w:val="clear" w:color="auto" w:fill="auto"/>
            <w:vAlign w:val="center"/>
          </w:tcPr>
          <w:p w:rsidR="00BC0ABD" w:rsidRPr="00FA4E09" w:rsidP="009C4D1F" w14:paraId="717B6563"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Develop questionnaire instrument (PDF and Qualtrics)</w:t>
            </w:r>
          </w:p>
        </w:tc>
        <w:tc>
          <w:tcPr>
            <w:tcW w:w="795" w:type="pct"/>
            <w:tcBorders>
              <w:top w:val="single" w:sz="4" w:space="0" w:color="auto"/>
              <w:left w:val="single" w:sz="4" w:space="0" w:color="auto"/>
              <w:right w:val="single" w:sz="4" w:space="0" w:color="auto"/>
            </w:tcBorders>
            <w:shd w:val="clear" w:color="auto" w:fill="auto"/>
            <w:vAlign w:val="center"/>
          </w:tcPr>
          <w:p w:rsidR="00BC0ABD" w:rsidRPr="00FA4E09" w:rsidP="009C4D1F" w14:paraId="25ED89A4" w14:textId="77777777">
            <w:pPr>
              <w:spacing w:after="0"/>
              <w:jc w:val="right"/>
              <w:rPr>
                <w:rFonts w:ascii="Calibri" w:hAnsi="Calibri" w:cs="Calibri"/>
                <w:sz w:val="20"/>
                <w:szCs w:val="20"/>
              </w:rPr>
            </w:pPr>
            <w:r w:rsidRPr="00FA4E09">
              <w:rPr>
                <w:rFonts w:ascii="Calibri" w:hAnsi="Calibri" w:cs="Calibri"/>
                <w:sz w:val="20"/>
                <w:szCs w:val="20"/>
              </w:rPr>
              <w:t>100</w:t>
            </w:r>
          </w:p>
        </w:tc>
        <w:tc>
          <w:tcPr>
            <w:tcW w:w="796" w:type="pct"/>
            <w:tcBorders>
              <w:top w:val="single" w:sz="4" w:space="0" w:color="auto"/>
              <w:left w:val="single" w:sz="4" w:space="0" w:color="auto"/>
              <w:right w:val="single" w:sz="4" w:space="0" w:color="auto"/>
            </w:tcBorders>
            <w:shd w:val="clear" w:color="auto" w:fill="auto"/>
            <w:vAlign w:val="center"/>
          </w:tcPr>
          <w:p w:rsidR="00BC0ABD" w:rsidRPr="00FA4E09" w:rsidP="009C4D1F" w14:paraId="24C62A07" w14:textId="77777777">
            <w:pPr>
              <w:spacing w:after="0"/>
              <w:jc w:val="right"/>
              <w:rPr>
                <w:rFonts w:ascii="Calibri" w:hAnsi="Calibri" w:cs="Calibri"/>
                <w:sz w:val="20"/>
                <w:szCs w:val="20"/>
              </w:rPr>
            </w:pPr>
            <w:r w:rsidRPr="00FA4E09">
              <w:rPr>
                <w:rFonts w:ascii="Calibri" w:hAnsi="Calibri" w:cs="Calibri"/>
                <w:sz w:val="20"/>
                <w:szCs w:val="20"/>
              </w:rPr>
              <w:t>600</w:t>
            </w:r>
          </w:p>
        </w:tc>
        <w:tc>
          <w:tcPr>
            <w:tcW w:w="796" w:type="pct"/>
            <w:tcBorders>
              <w:top w:val="single" w:sz="4" w:space="0" w:color="auto"/>
              <w:left w:val="single" w:sz="4" w:space="0" w:color="auto"/>
              <w:right w:val="double" w:sz="6" w:space="0" w:color="auto"/>
            </w:tcBorders>
            <w:shd w:val="clear" w:color="auto" w:fill="auto"/>
            <w:vAlign w:val="center"/>
          </w:tcPr>
          <w:p w:rsidR="00BC0ABD" w:rsidRPr="00FA4E09" w:rsidP="009C4D1F" w14:paraId="61471307" w14:textId="77777777">
            <w:pPr>
              <w:spacing w:after="0"/>
              <w:jc w:val="right"/>
              <w:rPr>
                <w:rFonts w:ascii="Calibri" w:hAnsi="Calibri" w:cs="Calibri"/>
                <w:b/>
                <w:bCs/>
                <w:sz w:val="20"/>
                <w:szCs w:val="20"/>
              </w:rPr>
            </w:pPr>
            <w:r w:rsidRPr="00FA4E09">
              <w:rPr>
                <w:rFonts w:ascii="Calibri" w:hAnsi="Calibri" w:cs="Calibri"/>
                <w:b/>
                <w:bCs/>
                <w:sz w:val="20"/>
                <w:szCs w:val="20"/>
              </w:rPr>
              <w:t>700</w:t>
            </w:r>
          </w:p>
        </w:tc>
      </w:tr>
      <w:tr w14:paraId="0965ADCD"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249"/>
          <w:jc w:val="center"/>
        </w:trPr>
        <w:tc>
          <w:tcPr>
            <w:tcW w:w="2598" w:type="pct"/>
            <w:tcBorders>
              <w:top w:val="single" w:sz="4" w:space="0" w:color="auto"/>
              <w:left w:val="double" w:sz="6" w:space="0" w:color="auto"/>
              <w:right w:val="single" w:sz="4" w:space="0" w:color="auto"/>
            </w:tcBorders>
            <w:shd w:val="clear" w:color="auto" w:fill="auto"/>
            <w:vAlign w:val="center"/>
          </w:tcPr>
          <w:p w:rsidR="00BC0ABD" w:rsidRPr="00FA4E09" w:rsidP="009C4D1F" w14:paraId="063DB8FC"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Meet with trade association representatives and stakeholders</w:t>
            </w:r>
          </w:p>
        </w:tc>
        <w:tc>
          <w:tcPr>
            <w:tcW w:w="795" w:type="pct"/>
            <w:vMerge w:val="restart"/>
            <w:tcBorders>
              <w:top w:val="single" w:sz="4" w:space="0" w:color="auto"/>
              <w:left w:val="single" w:sz="4" w:space="0" w:color="auto"/>
              <w:right w:val="single" w:sz="4" w:space="0" w:color="auto"/>
            </w:tcBorders>
            <w:shd w:val="clear" w:color="auto" w:fill="auto"/>
            <w:vAlign w:val="center"/>
          </w:tcPr>
          <w:p w:rsidR="00BC0ABD" w:rsidRPr="00FA4E09" w:rsidP="009C4D1F" w14:paraId="08EE4BBB" w14:textId="77777777">
            <w:pPr>
              <w:spacing w:after="0"/>
              <w:jc w:val="right"/>
              <w:rPr>
                <w:rFonts w:ascii="Calibri" w:hAnsi="Calibri" w:cs="Calibri"/>
                <w:sz w:val="20"/>
                <w:szCs w:val="20"/>
              </w:rPr>
            </w:pPr>
            <w:r w:rsidRPr="00FA4E09">
              <w:rPr>
                <w:rFonts w:ascii="Calibri" w:hAnsi="Calibri" w:cs="Calibri"/>
                <w:sz w:val="20"/>
                <w:szCs w:val="20"/>
              </w:rPr>
              <w:t>100</w:t>
            </w:r>
          </w:p>
        </w:tc>
        <w:tc>
          <w:tcPr>
            <w:tcW w:w="796" w:type="pct"/>
            <w:vMerge w:val="restart"/>
            <w:tcBorders>
              <w:top w:val="single" w:sz="4" w:space="0" w:color="auto"/>
              <w:left w:val="single" w:sz="4" w:space="0" w:color="auto"/>
              <w:right w:val="single" w:sz="4" w:space="0" w:color="auto"/>
            </w:tcBorders>
            <w:shd w:val="clear" w:color="auto" w:fill="auto"/>
            <w:vAlign w:val="center"/>
          </w:tcPr>
          <w:p w:rsidR="00BC0ABD" w:rsidRPr="00FA4E09" w:rsidP="009C4D1F" w14:paraId="38DBF08B" w14:textId="77777777">
            <w:pPr>
              <w:spacing w:after="0"/>
              <w:jc w:val="right"/>
              <w:rPr>
                <w:rFonts w:ascii="Calibri" w:hAnsi="Calibri" w:cs="Calibri"/>
                <w:sz w:val="20"/>
                <w:szCs w:val="20"/>
              </w:rPr>
            </w:pPr>
            <w:r w:rsidRPr="00FA4E09">
              <w:rPr>
                <w:rFonts w:ascii="Calibri" w:hAnsi="Calibri" w:cs="Calibri"/>
                <w:sz w:val="20"/>
                <w:szCs w:val="20"/>
              </w:rPr>
              <w:t>370</w:t>
            </w:r>
          </w:p>
        </w:tc>
        <w:tc>
          <w:tcPr>
            <w:tcW w:w="796" w:type="pct"/>
            <w:vMerge w:val="restart"/>
            <w:tcBorders>
              <w:top w:val="single" w:sz="4" w:space="0" w:color="auto"/>
              <w:left w:val="single" w:sz="4" w:space="0" w:color="auto"/>
              <w:right w:val="double" w:sz="6" w:space="0" w:color="auto"/>
            </w:tcBorders>
            <w:shd w:val="clear" w:color="auto" w:fill="auto"/>
            <w:vAlign w:val="center"/>
          </w:tcPr>
          <w:p w:rsidR="00BC0ABD" w:rsidRPr="00FA4E09" w:rsidP="009C4D1F" w14:paraId="68A7D365" w14:textId="77777777">
            <w:pPr>
              <w:spacing w:after="0"/>
              <w:jc w:val="right"/>
              <w:rPr>
                <w:rFonts w:ascii="Calibri" w:hAnsi="Calibri" w:cs="Calibri"/>
                <w:b/>
                <w:bCs/>
                <w:sz w:val="20"/>
                <w:szCs w:val="20"/>
              </w:rPr>
            </w:pPr>
            <w:r w:rsidRPr="00FA4E09">
              <w:rPr>
                <w:rFonts w:ascii="Calibri" w:hAnsi="Calibri" w:cs="Calibri"/>
                <w:b/>
                <w:bCs/>
                <w:sz w:val="20"/>
                <w:szCs w:val="20"/>
              </w:rPr>
              <w:t>470</w:t>
            </w:r>
          </w:p>
        </w:tc>
      </w:tr>
      <w:tr w14:paraId="21B8E7F7"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1CC9385D"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 xml:space="preserve">Publish notice of anticipated ICR in the </w:t>
            </w:r>
            <w:r w:rsidRPr="00FA4E09">
              <w:rPr>
                <w:rFonts w:ascii="Calibri" w:hAnsi="Calibri" w:cs="Calibri"/>
                <w:i/>
                <w:iCs/>
                <w:color w:val="000000"/>
                <w:sz w:val="20"/>
                <w:szCs w:val="20"/>
              </w:rPr>
              <w:t>Federal Register</w:t>
            </w:r>
          </w:p>
        </w:tc>
        <w:tc>
          <w:tcPr>
            <w:tcW w:w="795" w:type="pct"/>
            <w:vMerge/>
            <w:tcBorders>
              <w:left w:val="single" w:sz="4" w:space="0" w:color="auto"/>
              <w:right w:val="single" w:sz="4" w:space="0" w:color="auto"/>
            </w:tcBorders>
            <w:shd w:val="clear" w:color="auto" w:fill="auto"/>
            <w:vAlign w:val="center"/>
          </w:tcPr>
          <w:p w:rsidR="00BC0ABD" w:rsidRPr="00FA4E09" w:rsidP="009C4D1F" w14:paraId="6E8405AC" w14:textId="77777777">
            <w:pPr>
              <w:spacing w:after="0"/>
              <w:jc w:val="right"/>
              <w:rPr>
                <w:rFonts w:ascii="Calibri" w:hAnsi="Calibri" w:cs="Calibri"/>
                <w:sz w:val="20"/>
                <w:szCs w:val="20"/>
              </w:rPr>
            </w:pPr>
          </w:p>
        </w:tc>
        <w:tc>
          <w:tcPr>
            <w:tcW w:w="796" w:type="pct"/>
            <w:vMerge/>
            <w:tcBorders>
              <w:left w:val="single" w:sz="4" w:space="0" w:color="auto"/>
              <w:right w:val="single" w:sz="4" w:space="0" w:color="auto"/>
            </w:tcBorders>
            <w:shd w:val="clear" w:color="auto" w:fill="auto"/>
            <w:vAlign w:val="center"/>
          </w:tcPr>
          <w:p w:rsidR="00BC0ABD" w:rsidRPr="00FA4E09" w:rsidP="009C4D1F" w14:paraId="59DA9909" w14:textId="77777777">
            <w:pPr>
              <w:spacing w:after="0"/>
              <w:jc w:val="right"/>
              <w:rPr>
                <w:rFonts w:ascii="Calibri" w:hAnsi="Calibri" w:cs="Calibri"/>
                <w:sz w:val="20"/>
                <w:szCs w:val="20"/>
              </w:rPr>
            </w:pPr>
          </w:p>
        </w:tc>
        <w:tc>
          <w:tcPr>
            <w:tcW w:w="796" w:type="pct"/>
            <w:vMerge/>
            <w:tcBorders>
              <w:left w:val="single" w:sz="4" w:space="0" w:color="auto"/>
              <w:right w:val="double" w:sz="6" w:space="0" w:color="auto"/>
            </w:tcBorders>
            <w:shd w:val="clear" w:color="auto" w:fill="auto"/>
            <w:vAlign w:val="center"/>
          </w:tcPr>
          <w:p w:rsidR="00BC0ABD" w:rsidRPr="00FA4E09" w:rsidP="009C4D1F" w14:paraId="322DCA5C" w14:textId="77777777">
            <w:pPr>
              <w:spacing w:after="0"/>
              <w:jc w:val="right"/>
              <w:rPr>
                <w:rFonts w:ascii="Calibri" w:hAnsi="Calibri" w:cs="Calibri"/>
                <w:b/>
                <w:bCs/>
                <w:sz w:val="20"/>
                <w:szCs w:val="20"/>
              </w:rPr>
            </w:pPr>
          </w:p>
        </w:tc>
      </w:tr>
      <w:tr w14:paraId="77DCD79C"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4DA7BF94"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Respond to comments received</w:t>
            </w:r>
          </w:p>
        </w:tc>
        <w:tc>
          <w:tcPr>
            <w:tcW w:w="795" w:type="pct"/>
            <w:vMerge/>
            <w:tcBorders>
              <w:left w:val="single" w:sz="4" w:space="0" w:color="auto"/>
              <w:right w:val="single" w:sz="4" w:space="0" w:color="auto"/>
            </w:tcBorders>
            <w:shd w:val="clear" w:color="auto" w:fill="auto"/>
            <w:vAlign w:val="center"/>
          </w:tcPr>
          <w:p w:rsidR="00BC0ABD" w:rsidRPr="00FA4E09" w:rsidP="009C4D1F" w14:paraId="376D6A3B" w14:textId="77777777">
            <w:pPr>
              <w:spacing w:after="0"/>
              <w:jc w:val="right"/>
              <w:rPr>
                <w:rFonts w:ascii="Calibri" w:hAnsi="Calibri" w:cs="Calibri"/>
                <w:sz w:val="20"/>
                <w:szCs w:val="20"/>
              </w:rPr>
            </w:pPr>
          </w:p>
        </w:tc>
        <w:tc>
          <w:tcPr>
            <w:tcW w:w="796" w:type="pct"/>
            <w:vMerge/>
            <w:tcBorders>
              <w:left w:val="single" w:sz="4" w:space="0" w:color="auto"/>
              <w:right w:val="single" w:sz="4" w:space="0" w:color="auto"/>
            </w:tcBorders>
            <w:shd w:val="clear" w:color="auto" w:fill="auto"/>
            <w:vAlign w:val="center"/>
          </w:tcPr>
          <w:p w:rsidR="00BC0ABD" w:rsidRPr="00FA4E09" w:rsidP="009C4D1F" w14:paraId="7B912EA0" w14:textId="77777777">
            <w:pPr>
              <w:spacing w:after="0"/>
              <w:jc w:val="right"/>
              <w:rPr>
                <w:rFonts w:ascii="Calibri" w:hAnsi="Calibri" w:cs="Calibri"/>
                <w:sz w:val="20"/>
                <w:szCs w:val="20"/>
              </w:rPr>
            </w:pPr>
          </w:p>
        </w:tc>
        <w:tc>
          <w:tcPr>
            <w:tcW w:w="796" w:type="pct"/>
            <w:vMerge/>
            <w:tcBorders>
              <w:left w:val="single" w:sz="4" w:space="0" w:color="auto"/>
              <w:right w:val="double" w:sz="6" w:space="0" w:color="auto"/>
            </w:tcBorders>
            <w:shd w:val="clear" w:color="auto" w:fill="auto"/>
            <w:vAlign w:val="center"/>
          </w:tcPr>
          <w:p w:rsidR="00BC0ABD" w:rsidRPr="00FA4E09" w:rsidP="009C4D1F" w14:paraId="0BB69E20" w14:textId="77777777">
            <w:pPr>
              <w:spacing w:after="0"/>
              <w:jc w:val="right"/>
              <w:rPr>
                <w:rFonts w:ascii="Calibri" w:hAnsi="Calibri" w:cs="Calibri"/>
                <w:b/>
                <w:bCs/>
                <w:sz w:val="20"/>
                <w:szCs w:val="20"/>
              </w:rPr>
            </w:pPr>
          </w:p>
        </w:tc>
      </w:tr>
      <w:tr w14:paraId="6BC20528"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6E487F65"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Revise questionnaire instrument based on comments</w:t>
            </w:r>
          </w:p>
        </w:tc>
        <w:tc>
          <w:tcPr>
            <w:tcW w:w="795" w:type="pct"/>
            <w:vMerge/>
            <w:tcBorders>
              <w:left w:val="single" w:sz="4" w:space="0" w:color="auto"/>
              <w:bottom w:val="single" w:sz="4" w:space="0" w:color="auto"/>
              <w:right w:val="single" w:sz="4" w:space="0" w:color="auto"/>
            </w:tcBorders>
            <w:shd w:val="clear" w:color="auto" w:fill="auto"/>
            <w:vAlign w:val="center"/>
          </w:tcPr>
          <w:p w:rsidR="00BC0ABD" w:rsidRPr="00FA4E09" w:rsidP="009C4D1F" w14:paraId="6E4C2C1E" w14:textId="77777777">
            <w:pPr>
              <w:spacing w:after="0"/>
              <w:jc w:val="right"/>
              <w:rPr>
                <w:rFonts w:ascii="Calibri" w:hAnsi="Calibri" w:cs="Calibri"/>
                <w:sz w:val="20"/>
                <w:szCs w:val="20"/>
              </w:rPr>
            </w:pPr>
          </w:p>
        </w:tc>
        <w:tc>
          <w:tcPr>
            <w:tcW w:w="796" w:type="pct"/>
            <w:vMerge/>
            <w:tcBorders>
              <w:left w:val="single" w:sz="4" w:space="0" w:color="auto"/>
              <w:bottom w:val="single" w:sz="4" w:space="0" w:color="auto"/>
              <w:right w:val="single" w:sz="4" w:space="0" w:color="auto"/>
            </w:tcBorders>
            <w:shd w:val="clear" w:color="auto" w:fill="auto"/>
            <w:vAlign w:val="center"/>
          </w:tcPr>
          <w:p w:rsidR="00BC0ABD" w:rsidRPr="00FA4E09" w:rsidP="009C4D1F" w14:paraId="7B45606C" w14:textId="77777777">
            <w:pPr>
              <w:spacing w:after="0"/>
              <w:jc w:val="right"/>
              <w:rPr>
                <w:rFonts w:ascii="Calibri" w:hAnsi="Calibri" w:cs="Calibri"/>
                <w:sz w:val="20"/>
                <w:szCs w:val="20"/>
              </w:rPr>
            </w:pPr>
          </w:p>
        </w:tc>
        <w:tc>
          <w:tcPr>
            <w:tcW w:w="796" w:type="pct"/>
            <w:vMerge/>
            <w:tcBorders>
              <w:left w:val="single" w:sz="4" w:space="0" w:color="auto"/>
              <w:bottom w:val="single" w:sz="4" w:space="0" w:color="auto"/>
              <w:right w:val="double" w:sz="6" w:space="0" w:color="auto"/>
            </w:tcBorders>
            <w:shd w:val="clear" w:color="auto" w:fill="auto"/>
            <w:vAlign w:val="center"/>
          </w:tcPr>
          <w:p w:rsidR="00BC0ABD" w:rsidRPr="00FA4E09" w:rsidP="009C4D1F" w14:paraId="2F91143C" w14:textId="77777777">
            <w:pPr>
              <w:spacing w:after="0"/>
              <w:jc w:val="right"/>
              <w:rPr>
                <w:rFonts w:ascii="Calibri" w:hAnsi="Calibri" w:cs="Calibri"/>
                <w:b/>
                <w:bCs/>
                <w:sz w:val="20"/>
                <w:szCs w:val="20"/>
              </w:rPr>
            </w:pPr>
          </w:p>
        </w:tc>
      </w:tr>
      <w:tr w14:paraId="06E77762"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0D4CB4B0"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Design distribution approach</w:t>
            </w:r>
          </w:p>
        </w:tc>
        <w:tc>
          <w:tcPr>
            <w:tcW w:w="795" w:type="pct"/>
            <w:vMerge w:val="restart"/>
            <w:tcBorders>
              <w:top w:val="single" w:sz="4" w:space="0" w:color="auto"/>
              <w:left w:val="single" w:sz="4" w:space="0" w:color="auto"/>
              <w:right w:val="single" w:sz="4" w:space="0" w:color="auto"/>
            </w:tcBorders>
            <w:shd w:val="clear" w:color="auto" w:fill="auto"/>
            <w:vAlign w:val="center"/>
          </w:tcPr>
          <w:p w:rsidR="00BC0ABD" w:rsidRPr="00FA4E09" w:rsidP="009C4D1F" w14:paraId="52BC7FCE" w14:textId="77777777">
            <w:pPr>
              <w:spacing w:after="0"/>
              <w:jc w:val="right"/>
              <w:rPr>
                <w:rFonts w:ascii="Calibri" w:hAnsi="Calibri" w:cs="Calibri"/>
                <w:sz w:val="20"/>
                <w:szCs w:val="20"/>
              </w:rPr>
            </w:pPr>
            <w:r w:rsidRPr="00FA4E09">
              <w:rPr>
                <w:rFonts w:ascii="Calibri" w:hAnsi="Calibri" w:cs="Calibri"/>
                <w:sz w:val="20"/>
                <w:szCs w:val="20"/>
              </w:rPr>
              <w:t>60</w:t>
            </w:r>
          </w:p>
        </w:tc>
        <w:tc>
          <w:tcPr>
            <w:tcW w:w="796" w:type="pct"/>
            <w:vMerge w:val="restart"/>
            <w:tcBorders>
              <w:top w:val="single" w:sz="4" w:space="0" w:color="auto"/>
              <w:left w:val="single" w:sz="4" w:space="0" w:color="auto"/>
              <w:right w:val="single" w:sz="4" w:space="0" w:color="auto"/>
            </w:tcBorders>
            <w:shd w:val="clear" w:color="auto" w:fill="auto"/>
            <w:vAlign w:val="center"/>
          </w:tcPr>
          <w:p w:rsidR="00BC0ABD" w:rsidRPr="00FA4E09" w:rsidP="009C4D1F" w14:paraId="247FE0B2" w14:textId="77777777">
            <w:pPr>
              <w:spacing w:after="0"/>
              <w:jc w:val="right"/>
              <w:rPr>
                <w:rFonts w:ascii="Calibri" w:hAnsi="Calibri" w:cs="Calibri"/>
                <w:sz w:val="20"/>
                <w:szCs w:val="20"/>
              </w:rPr>
            </w:pPr>
            <w:r w:rsidRPr="00FA4E09">
              <w:rPr>
                <w:rFonts w:ascii="Calibri" w:hAnsi="Calibri" w:cs="Calibri"/>
                <w:sz w:val="20"/>
                <w:szCs w:val="20"/>
              </w:rPr>
              <w:t>410</w:t>
            </w:r>
          </w:p>
        </w:tc>
        <w:tc>
          <w:tcPr>
            <w:tcW w:w="796" w:type="pct"/>
            <w:vMerge w:val="restart"/>
            <w:tcBorders>
              <w:top w:val="single" w:sz="4" w:space="0" w:color="auto"/>
              <w:left w:val="single" w:sz="4" w:space="0" w:color="auto"/>
              <w:right w:val="double" w:sz="6" w:space="0" w:color="auto"/>
            </w:tcBorders>
            <w:shd w:val="clear" w:color="auto" w:fill="auto"/>
            <w:vAlign w:val="center"/>
          </w:tcPr>
          <w:p w:rsidR="00BC0ABD" w:rsidRPr="00FA4E09" w:rsidP="009C4D1F" w14:paraId="58DBE4DA" w14:textId="77777777">
            <w:pPr>
              <w:spacing w:after="0"/>
              <w:jc w:val="right"/>
              <w:rPr>
                <w:rFonts w:ascii="Calibri" w:hAnsi="Calibri" w:cs="Calibri"/>
                <w:b/>
                <w:bCs/>
                <w:sz w:val="20"/>
                <w:szCs w:val="20"/>
              </w:rPr>
            </w:pPr>
            <w:r w:rsidRPr="00FA4E09">
              <w:rPr>
                <w:rFonts w:ascii="Calibri" w:hAnsi="Calibri" w:cs="Calibri"/>
                <w:b/>
                <w:bCs/>
                <w:sz w:val="20"/>
                <w:szCs w:val="20"/>
              </w:rPr>
              <w:t>470</w:t>
            </w:r>
          </w:p>
        </w:tc>
      </w:tr>
      <w:tr w14:paraId="5A5EAB3A"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78DBAB90"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Develop a mailing list database</w:t>
            </w:r>
          </w:p>
        </w:tc>
        <w:tc>
          <w:tcPr>
            <w:tcW w:w="795" w:type="pct"/>
            <w:vMerge/>
            <w:tcBorders>
              <w:left w:val="single" w:sz="4" w:space="0" w:color="auto"/>
              <w:right w:val="single" w:sz="4" w:space="0" w:color="auto"/>
            </w:tcBorders>
            <w:shd w:val="clear" w:color="auto" w:fill="auto"/>
            <w:vAlign w:val="center"/>
          </w:tcPr>
          <w:p w:rsidR="00BC0ABD" w:rsidRPr="00FA4E09" w:rsidP="009C4D1F" w14:paraId="1E519FA9" w14:textId="77777777">
            <w:pPr>
              <w:spacing w:after="0"/>
              <w:jc w:val="right"/>
              <w:rPr>
                <w:rFonts w:ascii="Calibri" w:hAnsi="Calibri" w:cs="Calibri"/>
                <w:sz w:val="20"/>
                <w:szCs w:val="20"/>
              </w:rPr>
            </w:pPr>
          </w:p>
        </w:tc>
        <w:tc>
          <w:tcPr>
            <w:tcW w:w="796" w:type="pct"/>
            <w:vMerge/>
            <w:tcBorders>
              <w:left w:val="single" w:sz="4" w:space="0" w:color="auto"/>
              <w:right w:val="single" w:sz="4" w:space="0" w:color="auto"/>
            </w:tcBorders>
            <w:shd w:val="clear" w:color="auto" w:fill="auto"/>
            <w:vAlign w:val="center"/>
          </w:tcPr>
          <w:p w:rsidR="00BC0ABD" w:rsidRPr="00FA4E09" w:rsidP="009C4D1F" w14:paraId="3C66E30C" w14:textId="77777777">
            <w:pPr>
              <w:spacing w:after="0"/>
              <w:jc w:val="right"/>
              <w:rPr>
                <w:rFonts w:ascii="Calibri" w:hAnsi="Calibri" w:cs="Calibri"/>
                <w:sz w:val="20"/>
                <w:szCs w:val="20"/>
              </w:rPr>
            </w:pPr>
          </w:p>
        </w:tc>
        <w:tc>
          <w:tcPr>
            <w:tcW w:w="796" w:type="pct"/>
            <w:vMerge/>
            <w:tcBorders>
              <w:left w:val="single" w:sz="4" w:space="0" w:color="auto"/>
              <w:right w:val="double" w:sz="6" w:space="0" w:color="auto"/>
            </w:tcBorders>
            <w:shd w:val="clear" w:color="auto" w:fill="auto"/>
            <w:vAlign w:val="center"/>
          </w:tcPr>
          <w:p w:rsidR="00BC0ABD" w:rsidRPr="00FA4E09" w:rsidP="009C4D1F" w14:paraId="5221163B" w14:textId="77777777">
            <w:pPr>
              <w:spacing w:after="0"/>
              <w:jc w:val="right"/>
              <w:rPr>
                <w:rFonts w:ascii="Calibri" w:hAnsi="Calibri" w:cs="Calibri"/>
                <w:b/>
                <w:bCs/>
                <w:sz w:val="20"/>
                <w:szCs w:val="20"/>
              </w:rPr>
            </w:pPr>
          </w:p>
        </w:tc>
      </w:tr>
      <w:tr w14:paraId="2003EDC1"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7CDBA915"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Develop a system to track mailing and receipt activities to improve mailing list</w:t>
            </w:r>
          </w:p>
        </w:tc>
        <w:tc>
          <w:tcPr>
            <w:tcW w:w="795" w:type="pct"/>
            <w:vMerge/>
            <w:tcBorders>
              <w:left w:val="single" w:sz="4" w:space="0" w:color="auto"/>
              <w:right w:val="single" w:sz="4" w:space="0" w:color="auto"/>
            </w:tcBorders>
            <w:shd w:val="clear" w:color="auto" w:fill="auto"/>
            <w:vAlign w:val="center"/>
          </w:tcPr>
          <w:p w:rsidR="00BC0ABD" w:rsidRPr="00FA4E09" w:rsidP="009C4D1F" w14:paraId="11F282BE" w14:textId="77777777">
            <w:pPr>
              <w:spacing w:after="0"/>
              <w:jc w:val="right"/>
              <w:rPr>
                <w:rFonts w:ascii="Calibri" w:hAnsi="Calibri" w:cs="Calibri"/>
                <w:sz w:val="20"/>
                <w:szCs w:val="20"/>
              </w:rPr>
            </w:pPr>
          </w:p>
        </w:tc>
        <w:tc>
          <w:tcPr>
            <w:tcW w:w="796" w:type="pct"/>
            <w:vMerge/>
            <w:tcBorders>
              <w:left w:val="single" w:sz="4" w:space="0" w:color="auto"/>
              <w:right w:val="single" w:sz="4" w:space="0" w:color="auto"/>
            </w:tcBorders>
            <w:shd w:val="clear" w:color="auto" w:fill="auto"/>
            <w:vAlign w:val="center"/>
          </w:tcPr>
          <w:p w:rsidR="00BC0ABD" w:rsidRPr="00FA4E09" w:rsidP="009C4D1F" w14:paraId="1F8E6D18" w14:textId="77777777">
            <w:pPr>
              <w:spacing w:after="0"/>
              <w:jc w:val="right"/>
              <w:rPr>
                <w:rFonts w:ascii="Calibri" w:hAnsi="Calibri" w:cs="Calibri"/>
                <w:sz w:val="20"/>
                <w:szCs w:val="20"/>
              </w:rPr>
            </w:pPr>
          </w:p>
        </w:tc>
        <w:tc>
          <w:tcPr>
            <w:tcW w:w="796" w:type="pct"/>
            <w:vMerge/>
            <w:tcBorders>
              <w:left w:val="single" w:sz="4" w:space="0" w:color="auto"/>
              <w:right w:val="double" w:sz="6" w:space="0" w:color="auto"/>
            </w:tcBorders>
            <w:shd w:val="clear" w:color="auto" w:fill="auto"/>
            <w:vAlign w:val="center"/>
          </w:tcPr>
          <w:p w:rsidR="00BC0ABD" w:rsidRPr="00FA4E09" w:rsidP="009C4D1F" w14:paraId="35FC02CB" w14:textId="77777777">
            <w:pPr>
              <w:spacing w:after="0"/>
              <w:jc w:val="right"/>
              <w:rPr>
                <w:rFonts w:ascii="Calibri" w:hAnsi="Calibri" w:cs="Calibri"/>
                <w:b/>
                <w:bCs/>
                <w:sz w:val="20"/>
                <w:szCs w:val="20"/>
              </w:rPr>
            </w:pPr>
          </w:p>
        </w:tc>
      </w:tr>
      <w:tr w14:paraId="6FA38723"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51C4CDF1"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Develop notification letters</w:t>
            </w:r>
          </w:p>
        </w:tc>
        <w:tc>
          <w:tcPr>
            <w:tcW w:w="795" w:type="pct"/>
            <w:vMerge/>
            <w:tcBorders>
              <w:left w:val="single" w:sz="4" w:space="0" w:color="auto"/>
              <w:right w:val="single" w:sz="4" w:space="0" w:color="auto"/>
            </w:tcBorders>
            <w:shd w:val="clear" w:color="auto" w:fill="auto"/>
            <w:vAlign w:val="center"/>
          </w:tcPr>
          <w:p w:rsidR="00BC0ABD" w:rsidRPr="00FA4E09" w:rsidP="009C4D1F" w14:paraId="061D85AC" w14:textId="77777777">
            <w:pPr>
              <w:spacing w:after="0"/>
              <w:jc w:val="right"/>
              <w:rPr>
                <w:rFonts w:ascii="Calibri" w:hAnsi="Calibri" w:cs="Calibri"/>
                <w:sz w:val="20"/>
                <w:szCs w:val="20"/>
              </w:rPr>
            </w:pPr>
          </w:p>
        </w:tc>
        <w:tc>
          <w:tcPr>
            <w:tcW w:w="796" w:type="pct"/>
            <w:vMerge/>
            <w:tcBorders>
              <w:left w:val="single" w:sz="4" w:space="0" w:color="auto"/>
              <w:right w:val="single" w:sz="4" w:space="0" w:color="auto"/>
            </w:tcBorders>
            <w:shd w:val="clear" w:color="auto" w:fill="auto"/>
            <w:vAlign w:val="center"/>
          </w:tcPr>
          <w:p w:rsidR="00BC0ABD" w:rsidRPr="00FA4E09" w:rsidP="009C4D1F" w14:paraId="359DD946" w14:textId="77777777">
            <w:pPr>
              <w:spacing w:after="0"/>
              <w:jc w:val="right"/>
              <w:rPr>
                <w:rFonts w:ascii="Calibri" w:hAnsi="Calibri" w:cs="Calibri"/>
                <w:sz w:val="20"/>
                <w:szCs w:val="20"/>
              </w:rPr>
            </w:pPr>
          </w:p>
        </w:tc>
        <w:tc>
          <w:tcPr>
            <w:tcW w:w="796" w:type="pct"/>
            <w:vMerge/>
            <w:tcBorders>
              <w:left w:val="single" w:sz="4" w:space="0" w:color="auto"/>
              <w:right w:val="double" w:sz="6" w:space="0" w:color="auto"/>
            </w:tcBorders>
            <w:shd w:val="clear" w:color="auto" w:fill="auto"/>
            <w:vAlign w:val="center"/>
          </w:tcPr>
          <w:p w:rsidR="00BC0ABD" w:rsidRPr="00FA4E09" w:rsidP="009C4D1F" w14:paraId="03A51857" w14:textId="77777777">
            <w:pPr>
              <w:spacing w:after="0"/>
              <w:jc w:val="right"/>
              <w:rPr>
                <w:rFonts w:ascii="Calibri" w:hAnsi="Calibri" w:cs="Calibri"/>
                <w:b/>
                <w:bCs/>
                <w:sz w:val="20"/>
                <w:szCs w:val="20"/>
              </w:rPr>
            </w:pPr>
          </w:p>
        </w:tc>
      </w:tr>
      <w:tr w14:paraId="44C87BFE"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tcPr>
          <w:p w:rsidR="00BC0ABD" w:rsidRPr="00FA4E09" w:rsidP="009C4D1F" w14:paraId="6F843921" w14:textId="77777777">
            <w:pPr>
              <w:spacing w:after="0" w:line="240" w:lineRule="auto"/>
              <w:rPr>
                <w:rFonts w:ascii="Calibri" w:hAnsi="Calibri" w:cs="Calibri"/>
                <w:color w:val="000000"/>
                <w:sz w:val="20"/>
                <w:szCs w:val="20"/>
              </w:rPr>
            </w:pPr>
            <w:r w:rsidRPr="00FA4E09">
              <w:rPr>
                <w:rFonts w:ascii="Calibri" w:hAnsi="Calibri" w:cs="Calibri"/>
                <w:color w:val="000000"/>
                <w:sz w:val="20"/>
                <w:szCs w:val="20"/>
              </w:rPr>
              <w:t>Mail questionnaire notification letters</w:t>
            </w:r>
          </w:p>
        </w:tc>
        <w:tc>
          <w:tcPr>
            <w:tcW w:w="795" w:type="pct"/>
            <w:vMerge/>
            <w:tcBorders>
              <w:left w:val="single" w:sz="4" w:space="0" w:color="auto"/>
              <w:bottom w:val="single" w:sz="4" w:space="0" w:color="auto"/>
              <w:right w:val="single" w:sz="4" w:space="0" w:color="auto"/>
            </w:tcBorders>
            <w:shd w:val="clear" w:color="auto" w:fill="auto"/>
            <w:vAlign w:val="center"/>
          </w:tcPr>
          <w:p w:rsidR="00BC0ABD" w:rsidRPr="00FA4E09" w:rsidP="009C4D1F" w14:paraId="3E90AB16" w14:textId="77777777">
            <w:pPr>
              <w:spacing w:after="0"/>
              <w:jc w:val="right"/>
              <w:rPr>
                <w:rFonts w:ascii="Calibri" w:hAnsi="Calibri" w:cs="Calibri"/>
                <w:sz w:val="20"/>
                <w:szCs w:val="20"/>
              </w:rPr>
            </w:pPr>
          </w:p>
        </w:tc>
        <w:tc>
          <w:tcPr>
            <w:tcW w:w="796" w:type="pct"/>
            <w:vMerge/>
            <w:tcBorders>
              <w:left w:val="single" w:sz="4" w:space="0" w:color="auto"/>
              <w:bottom w:val="single" w:sz="4" w:space="0" w:color="auto"/>
              <w:right w:val="single" w:sz="4" w:space="0" w:color="auto"/>
            </w:tcBorders>
            <w:shd w:val="clear" w:color="auto" w:fill="auto"/>
            <w:vAlign w:val="center"/>
          </w:tcPr>
          <w:p w:rsidR="00BC0ABD" w:rsidRPr="00FA4E09" w:rsidP="009C4D1F" w14:paraId="4F004DD2" w14:textId="77777777">
            <w:pPr>
              <w:spacing w:after="0"/>
              <w:jc w:val="right"/>
              <w:rPr>
                <w:rFonts w:ascii="Calibri" w:hAnsi="Calibri" w:cs="Calibri"/>
                <w:sz w:val="20"/>
                <w:szCs w:val="20"/>
              </w:rPr>
            </w:pPr>
          </w:p>
        </w:tc>
        <w:tc>
          <w:tcPr>
            <w:tcW w:w="796" w:type="pct"/>
            <w:vMerge/>
            <w:tcBorders>
              <w:left w:val="single" w:sz="4" w:space="0" w:color="auto"/>
              <w:bottom w:val="single" w:sz="4" w:space="0" w:color="auto"/>
              <w:right w:val="double" w:sz="6" w:space="0" w:color="auto"/>
            </w:tcBorders>
            <w:shd w:val="clear" w:color="auto" w:fill="auto"/>
            <w:vAlign w:val="center"/>
          </w:tcPr>
          <w:p w:rsidR="00BC0ABD" w:rsidRPr="00FA4E09" w:rsidP="009C4D1F" w14:paraId="59B66188" w14:textId="77777777">
            <w:pPr>
              <w:spacing w:after="0"/>
              <w:jc w:val="right"/>
              <w:rPr>
                <w:rFonts w:ascii="Calibri" w:hAnsi="Calibri" w:cs="Calibri"/>
                <w:b/>
                <w:bCs/>
                <w:sz w:val="20"/>
                <w:szCs w:val="20"/>
              </w:rPr>
            </w:pPr>
          </w:p>
        </w:tc>
      </w:tr>
      <w:tr w14:paraId="210C9CA7"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5A499417"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Develop and maintain email and phone helplines</w:t>
            </w:r>
          </w:p>
        </w:tc>
        <w:tc>
          <w:tcPr>
            <w:tcW w:w="795" w:type="pct"/>
            <w:vMerge w:val="restart"/>
            <w:tcBorders>
              <w:top w:val="single" w:sz="4" w:space="0" w:color="auto"/>
              <w:left w:val="single" w:sz="4" w:space="0" w:color="auto"/>
              <w:right w:val="single" w:sz="4" w:space="0" w:color="auto"/>
            </w:tcBorders>
            <w:shd w:val="clear" w:color="auto" w:fill="auto"/>
            <w:vAlign w:val="center"/>
          </w:tcPr>
          <w:p w:rsidR="00BC0ABD" w:rsidRPr="00FA4E09" w:rsidP="009C4D1F" w14:paraId="53C327DF" w14:textId="77777777">
            <w:pPr>
              <w:spacing w:after="0"/>
              <w:jc w:val="right"/>
              <w:rPr>
                <w:rFonts w:ascii="Calibri" w:hAnsi="Calibri" w:cs="Calibri"/>
                <w:sz w:val="20"/>
                <w:szCs w:val="20"/>
              </w:rPr>
            </w:pPr>
            <w:r w:rsidRPr="00FA4E09">
              <w:rPr>
                <w:rFonts w:ascii="Calibri" w:hAnsi="Calibri" w:cs="Calibri"/>
                <w:sz w:val="20"/>
                <w:szCs w:val="20"/>
              </w:rPr>
              <w:t>50</w:t>
            </w:r>
          </w:p>
        </w:tc>
        <w:tc>
          <w:tcPr>
            <w:tcW w:w="796" w:type="pct"/>
            <w:vMerge w:val="restart"/>
            <w:tcBorders>
              <w:top w:val="single" w:sz="4" w:space="0" w:color="auto"/>
              <w:left w:val="single" w:sz="4" w:space="0" w:color="auto"/>
              <w:right w:val="single" w:sz="4" w:space="0" w:color="auto"/>
            </w:tcBorders>
            <w:shd w:val="clear" w:color="auto" w:fill="auto"/>
            <w:vAlign w:val="center"/>
          </w:tcPr>
          <w:p w:rsidR="00BC0ABD" w:rsidRPr="00FA4E09" w:rsidP="009C4D1F" w14:paraId="00DD76F9" w14:textId="77777777">
            <w:pPr>
              <w:spacing w:after="0"/>
              <w:jc w:val="right"/>
              <w:rPr>
                <w:rFonts w:ascii="Calibri" w:hAnsi="Calibri" w:cs="Calibri"/>
                <w:sz w:val="20"/>
                <w:szCs w:val="20"/>
              </w:rPr>
            </w:pPr>
            <w:r w:rsidRPr="00FA4E09">
              <w:rPr>
                <w:rFonts w:ascii="Calibri" w:hAnsi="Calibri" w:cs="Calibri"/>
                <w:sz w:val="20"/>
                <w:szCs w:val="20"/>
              </w:rPr>
              <w:t>160</w:t>
            </w:r>
          </w:p>
        </w:tc>
        <w:tc>
          <w:tcPr>
            <w:tcW w:w="796" w:type="pct"/>
            <w:vMerge w:val="restart"/>
            <w:tcBorders>
              <w:top w:val="single" w:sz="4" w:space="0" w:color="auto"/>
              <w:left w:val="single" w:sz="4" w:space="0" w:color="auto"/>
              <w:right w:val="double" w:sz="6" w:space="0" w:color="auto"/>
            </w:tcBorders>
            <w:shd w:val="clear" w:color="auto" w:fill="auto"/>
            <w:vAlign w:val="center"/>
          </w:tcPr>
          <w:p w:rsidR="00BC0ABD" w:rsidRPr="00FA4E09" w:rsidP="009C4D1F" w14:paraId="4B29E395" w14:textId="77777777">
            <w:pPr>
              <w:spacing w:after="0"/>
              <w:jc w:val="right"/>
              <w:rPr>
                <w:rFonts w:ascii="Calibri" w:hAnsi="Calibri" w:cs="Calibri"/>
                <w:b/>
                <w:bCs/>
                <w:sz w:val="20"/>
                <w:szCs w:val="20"/>
              </w:rPr>
            </w:pPr>
            <w:r w:rsidRPr="00FA4E09">
              <w:rPr>
                <w:rFonts w:ascii="Calibri" w:hAnsi="Calibri" w:cs="Calibri"/>
                <w:b/>
                <w:bCs/>
                <w:sz w:val="20"/>
                <w:szCs w:val="20"/>
              </w:rPr>
              <w:t>210</w:t>
            </w:r>
          </w:p>
        </w:tc>
      </w:tr>
      <w:tr w14:paraId="57D6ED7B"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7BE28995"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Maintain helpline database and develop documentation</w:t>
            </w:r>
          </w:p>
        </w:tc>
        <w:tc>
          <w:tcPr>
            <w:tcW w:w="795" w:type="pct"/>
            <w:vMerge/>
            <w:tcBorders>
              <w:left w:val="single" w:sz="4" w:space="0" w:color="auto"/>
              <w:bottom w:val="single" w:sz="4" w:space="0" w:color="auto"/>
              <w:right w:val="single" w:sz="4" w:space="0" w:color="auto"/>
            </w:tcBorders>
            <w:shd w:val="clear" w:color="auto" w:fill="auto"/>
            <w:vAlign w:val="center"/>
          </w:tcPr>
          <w:p w:rsidR="00BC0ABD" w:rsidRPr="00FA4E09" w:rsidP="009C4D1F" w14:paraId="3CC50DF1" w14:textId="77777777">
            <w:pPr>
              <w:spacing w:after="0"/>
              <w:jc w:val="right"/>
              <w:rPr>
                <w:rFonts w:ascii="Calibri" w:hAnsi="Calibri" w:cs="Calibri"/>
                <w:sz w:val="20"/>
                <w:szCs w:val="20"/>
              </w:rPr>
            </w:pPr>
          </w:p>
        </w:tc>
        <w:tc>
          <w:tcPr>
            <w:tcW w:w="796" w:type="pct"/>
            <w:vMerge/>
            <w:tcBorders>
              <w:left w:val="single" w:sz="4" w:space="0" w:color="auto"/>
              <w:bottom w:val="single" w:sz="4" w:space="0" w:color="auto"/>
              <w:right w:val="single" w:sz="4" w:space="0" w:color="auto"/>
            </w:tcBorders>
            <w:shd w:val="clear" w:color="auto" w:fill="auto"/>
            <w:vAlign w:val="center"/>
          </w:tcPr>
          <w:p w:rsidR="00BC0ABD" w:rsidRPr="00FA4E09" w:rsidP="009C4D1F" w14:paraId="6EB4B748" w14:textId="77777777">
            <w:pPr>
              <w:spacing w:after="0"/>
              <w:jc w:val="right"/>
              <w:rPr>
                <w:rFonts w:ascii="Calibri" w:hAnsi="Calibri" w:cs="Calibri"/>
                <w:sz w:val="20"/>
                <w:szCs w:val="20"/>
              </w:rPr>
            </w:pPr>
          </w:p>
        </w:tc>
        <w:tc>
          <w:tcPr>
            <w:tcW w:w="796" w:type="pct"/>
            <w:vMerge/>
            <w:tcBorders>
              <w:left w:val="single" w:sz="4" w:space="0" w:color="auto"/>
              <w:bottom w:val="single" w:sz="4" w:space="0" w:color="auto"/>
              <w:right w:val="double" w:sz="6" w:space="0" w:color="auto"/>
            </w:tcBorders>
            <w:shd w:val="clear" w:color="auto" w:fill="auto"/>
            <w:vAlign w:val="center"/>
          </w:tcPr>
          <w:p w:rsidR="00BC0ABD" w:rsidRPr="00FA4E09" w:rsidP="009C4D1F" w14:paraId="25E8321B" w14:textId="77777777">
            <w:pPr>
              <w:spacing w:after="0"/>
              <w:jc w:val="right"/>
              <w:rPr>
                <w:rFonts w:ascii="Calibri" w:hAnsi="Calibri" w:cs="Calibri"/>
                <w:b/>
                <w:bCs/>
                <w:sz w:val="20"/>
                <w:szCs w:val="20"/>
              </w:rPr>
            </w:pPr>
          </w:p>
        </w:tc>
      </w:tr>
      <w:tr w14:paraId="5FE6963D"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6B615FF2"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Track questionnaire responses</w:t>
            </w:r>
          </w:p>
        </w:tc>
        <w:tc>
          <w:tcPr>
            <w:tcW w:w="795" w:type="pct"/>
            <w:vMerge w:val="restart"/>
            <w:tcBorders>
              <w:top w:val="single" w:sz="4" w:space="0" w:color="auto"/>
              <w:left w:val="single" w:sz="4" w:space="0" w:color="auto"/>
              <w:right w:val="single" w:sz="4" w:space="0" w:color="auto"/>
            </w:tcBorders>
            <w:shd w:val="clear" w:color="auto" w:fill="auto"/>
            <w:vAlign w:val="center"/>
          </w:tcPr>
          <w:p w:rsidR="00BC0ABD" w:rsidRPr="00FA4E09" w:rsidP="009C4D1F" w14:paraId="11AAC612" w14:textId="77777777">
            <w:pPr>
              <w:spacing w:after="0"/>
              <w:jc w:val="right"/>
              <w:rPr>
                <w:rFonts w:ascii="Calibri" w:hAnsi="Calibri" w:cs="Calibri"/>
                <w:sz w:val="20"/>
                <w:szCs w:val="20"/>
              </w:rPr>
            </w:pPr>
            <w:r w:rsidRPr="00FA4E09">
              <w:rPr>
                <w:rFonts w:ascii="Calibri" w:hAnsi="Calibri" w:cs="Calibri"/>
                <w:sz w:val="20"/>
                <w:szCs w:val="20"/>
              </w:rPr>
              <w:t>50</w:t>
            </w:r>
          </w:p>
        </w:tc>
        <w:tc>
          <w:tcPr>
            <w:tcW w:w="796" w:type="pct"/>
            <w:vMerge w:val="restart"/>
            <w:tcBorders>
              <w:top w:val="single" w:sz="4" w:space="0" w:color="auto"/>
              <w:left w:val="single" w:sz="4" w:space="0" w:color="auto"/>
              <w:right w:val="single" w:sz="4" w:space="0" w:color="auto"/>
            </w:tcBorders>
            <w:shd w:val="clear" w:color="auto" w:fill="auto"/>
            <w:vAlign w:val="center"/>
          </w:tcPr>
          <w:p w:rsidR="00BC0ABD" w:rsidRPr="00FA4E09" w:rsidP="009C4D1F" w14:paraId="5F7D5D74" w14:textId="77777777">
            <w:pPr>
              <w:spacing w:after="0"/>
              <w:jc w:val="right"/>
              <w:rPr>
                <w:rFonts w:ascii="Calibri" w:hAnsi="Calibri" w:cs="Calibri"/>
                <w:sz w:val="20"/>
                <w:szCs w:val="20"/>
              </w:rPr>
            </w:pPr>
            <w:r w:rsidRPr="00FA4E09">
              <w:rPr>
                <w:rFonts w:ascii="Calibri" w:hAnsi="Calibri" w:cs="Calibri"/>
                <w:sz w:val="20"/>
                <w:szCs w:val="20"/>
              </w:rPr>
              <w:t>160</w:t>
            </w:r>
          </w:p>
        </w:tc>
        <w:tc>
          <w:tcPr>
            <w:tcW w:w="796" w:type="pct"/>
            <w:vMerge w:val="restart"/>
            <w:tcBorders>
              <w:top w:val="single" w:sz="4" w:space="0" w:color="auto"/>
              <w:left w:val="single" w:sz="4" w:space="0" w:color="auto"/>
              <w:right w:val="double" w:sz="6" w:space="0" w:color="auto"/>
            </w:tcBorders>
            <w:shd w:val="clear" w:color="auto" w:fill="auto"/>
            <w:vAlign w:val="center"/>
          </w:tcPr>
          <w:p w:rsidR="00BC0ABD" w:rsidRPr="00FA4E09" w:rsidP="009C4D1F" w14:paraId="67771ED4" w14:textId="77777777">
            <w:pPr>
              <w:spacing w:after="0"/>
              <w:jc w:val="right"/>
              <w:rPr>
                <w:rFonts w:ascii="Calibri" w:hAnsi="Calibri" w:cs="Calibri"/>
                <w:b/>
                <w:bCs/>
                <w:sz w:val="20"/>
                <w:szCs w:val="20"/>
              </w:rPr>
            </w:pPr>
            <w:r w:rsidRPr="00FA4E09">
              <w:rPr>
                <w:rFonts w:ascii="Calibri" w:hAnsi="Calibri" w:cs="Calibri"/>
                <w:b/>
                <w:bCs/>
                <w:sz w:val="20"/>
                <w:szCs w:val="20"/>
              </w:rPr>
              <w:t>210</w:t>
            </w:r>
          </w:p>
        </w:tc>
      </w:tr>
      <w:tr w14:paraId="73DC6A0B"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2C1E793A"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 xml:space="preserve">Review responses </w:t>
            </w:r>
          </w:p>
        </w:tc>
        <w:tc>
          <w:tcPr>
            <w:tcW w:w="795" w:type="pct"/>
            <w:vMerge/>
            <w:tcBorders>
              <w:left w:val="single" w:sz="4" w:space="0" w:color="auto"/>
              <w:right w:val="single" w:sz="4" w:space="0" w:color="auto"/>
            </w:tcBorders>
            <w:shd w:val="clear" w:color="auto" w:fill="auto"/>
            <w:vAlign w:val="center"/>
          </w:tcPr>
          <w:p w:rsidR="00BC0ABD" w:rsidRPr="00FA4E09" w:rsidP="009C4D1F" w14:paraId="281D8275" w14:textId="77777777">
            <w:pPr>
              <w:spacing w:after="0"/>
              <w:jc w:val="right"/>
              <w:rPr>
                <w:rFonts w:ascii="Calibri" w:hAnsi="Calibri" w:cs="Calibri"/>
                <w:sz w:val="20"/>
                <w:szCs w:val="20"/>
              </w:rPr>
            </w:pPr>
          </w:p>
        </w:tc>
        <w:tc>
          <w:tcPr>
            <w:tcW w:w="796" w:type="pct"/>
            <w:vMerge/>
            <w:tcBorders>
              <w:left w:val="single" w:sz="4" w:space="0" w:color="auto"/>
              <w:right w:val="single" w:sz="4" w:space="0" w:color="auto"/>
            </w:tcBorders>
            <w:shd w:val="clear" w:color="auto" w:fill="auto"/>
            <w:vAlign w:val="center"/>
          </w:tcPr>
          <w:p w:rsidR="00BC0ABD" w:rsidRPr="00FA4E09" w:rsidP="009C4D1F" w14:paraId="0F229AEC" w14:textId="77777777">
            <w:pPr>
              <w:spacing w:after="0"/>
              <w:jc w:val="right"/>
              <w:rPr>
                <w:rFonts w:ascii="Calibri" w:hAnsi="Calibri" w:cs="Calibri"/>
                <w:sz w:val="20"/>
                <w:szCs w:val="20"/>
              </w:rPr>
            </w:pPr>
          </w:p>
        </w:tc>
        <w:tc>
          <w:tcPr>
            <w:tcW w:w="796" w:type="pct"/>
            <w:vMerge/>
            <w:tcBorders>
              <w:left w:val="single" w:sz="4" w:space="0" w:color="auto"/>
              <w:right w:val="double" w:sz="6" w:space="0" w:color="auto"/>
            </w:tcBorders>
            <w:shd w:val="clear" w:color="auto" w:fill="auto"/>
            <w:vAlign w:val="center"/>
          </w:tcPr>
          <w:p w:rsidR="00BC0ABD" w:rsidRPr="00FA4E09" w:rsidP="009C4D1F" w14:paraId="3D9E1019" w14:textId="77777777">
            <w:pPr>
              <w:spacing w:after="0"/>
              <w:jc w:val="right"/>
              <w:rPr>
                <w:rFonts w:ascii="Calibri" w:hAnsi="Calibri" w:cs="Calibri"/>
                <w:b/>
                <w:bCs/>
                <w:sz w:val="20"/>
                <w:szCs w:val="20"/>
              </w:rPr>
            </w:pPr>
          </w:p>
        </w:tc>
      </w:tr>
      <w:tr w14:paraId="7B28A349"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29"/>
          <w:jc w:val="center"/>
        </w:trPr>
        <w:tc>
          <w:tcPr>
            <w:tcW w:w="2598" w:type="pct"/>
            <w:tcBorders>
              <w:top w:val="single" w:sz="4" w:space="0" w:color="auto"/>
              <w:left w:val="double" w:sz="6" w:space="0" w:color="auto"/>
              <w:right w:val="single" w:sz="4" w:space="0" w:color="auto"/>
            </w:tcBorders>
            <w:shd w:val="clear" w:color="auto" w:fill="auto"/>
            <w:vAlign w:val="center"/>
          </w:tcPr>
          <w:p w:rsidR="00BC0ABD" w:rsidRPr="00FA4E09" w:rsidP="009C4D1F" w14:paraId="69DD1577"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Follow-up to clarify responses</w:t>
            </w:r>
          </w:p>
        </w:tc>
        <w:tc>
          <w:tcPr>
            <w:tcW w:w="795" w:type="pct"/>
            <w:vMerge/>
            <w:tcBorders>
              <w:left w:val="single" w:sz="4" w:space="0" w:color="auto"/>
              <w:right w:val="single" w:sz="4" w:space="0" w:color="auto"/>
            </w:tcBorders>
            <w:shd w:val="clear" w:color="auto" w:fill="auto"/>
            <w:vAlign w:val="center"/>
          </w:tcPr>
          <w:p w:rsidR="00BC0ABD" w:rsidRPr="00FA4E09" w:rsidP="009C4D1F" w14:paraId="618D5E9B" w14:textId="77777777">
            <w:pPr>
              <w:spacing w:after="0"/>
              <w:jc w:val="right"/>
              <w:rPr>
                <w:rFonts w:ascii="Calibri" w:hAnsi="Calibri" w:cs="Calibri"/>
                <w:sz w:val="20"/>
                <w:szCs w:val="20"/>
              </w:rPr>
            </w:pPr>
          </w:p>
        </w:tc>
        <w:tc>
          <w:tcPr>
            <w:tcW w:w="796" w:type="pct"/>
            <w:vMerge/>
            <w:tcBorders>
              <w:left w:val="single" w:sz="4" w:space="0" w:color="auto"/>
              <w:right w:val="single" w:sz="4" w:space="0" w:color="auto"/>
            </w:tcBorders>
            <w:shd w:val="clear" w:color="auto" w:fill="auto"/>
            <w:vAlign w:val="center"/>
          </w:tcPr>
          <w:p w:rsidR="00BC0ABD" w:rsidRPr="00FA4E09" w:rsidP="009C4D1F" w14:paraId="07733B20" w14:textId="77777777">
            <w:pPr>
              <w:spacing w:after="0"/>
              <w:jc w:val="right"/>
              <w:rPr>
                <w:rFonts w:ascii="Calibri" w:hAnsi="Calibri" w:cs="Calibri"/>
                <w:sz w:val="20"/>
                <w:szCs w:val="20"/>
              </w:rPr>
            </w:pPr>
          </w:p>
        </w:tc>
        <w:tc>
          <w:tcPr>
            <w:tcW w:w="796" w:type="pct"/>
            <w:vMerge/>
            <w:tcBorders>
              <w:left w:val="single" w:sz="4" w:space="0" w:color="auto"/>
              <w:right w:val="double" w:sz="6" w:space="0" w:color="auto"/>
            </w:tcBorders>
            <w:shd w:val="clear" w:color="auto" w:fill="auto"/>
            <w:vAlign w:val="center"/>
          </w:tcPr>
          <w:p w:rsidR="00BC0ABD" w:rsidRPr="00FA4E09" w:rsidP="009C4D1F" w14:paraId="6AAFF3CB" w14:textId="77777777">
            <w:pPr>
              <w:spacing w:after="0"/>
              <w:jc w:val="right"/>
              <w:rPr>
                <w:rFonts w:ascii="Calibri" w:hAnsi="Calibri" w:cs="Calibri"/>
                <w:b/>
                <w:bCs/>
                <w:sz w:val="20"/>
                <w:szCs w:val="20"/>
              </w:rPr>
            </w:pPr>
          </w:p>
        </w:tc>
      </w:tr>
      <w:tr w14:paraId="016DC4BB"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610D20FA"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Develop questionnaire database</w:t>
            </w:r>
          </w:p>
        </w:tc>
        <w:tc>
          <w:tcPr>
            <w:tcW w:w="795" w:type="pct"/>
            <w:vMerge w:val="restart"/>
            <w:tcBorders>
              <w:top w:val="single" w:sz="4" w:space="0" w:color="auto"/>
              <w:left w:val="single" w:sz="4" w:space="0" w:color="auto"/>
              <w:right w:val="single" w:sz="4" w:space="0" w:color="auto"/>
            </w:tcBorders>
            <w:shd w:val="clear" w:color="auto" w:fill="auto"/>
            <w:vAlign w:val="center"/>
          </w:tcPr>
          <w:p w:rsidR="00BC0ABD" w:rsidRPr="00FA4E09" w:rsidP="009C4D1F" w14:paraId="4FB70198" w14:textId="77777777">
            <w:pPr>
              <w:spacing w:after="0"/>
              <w:jc w:val="right"/>
              <w:rPr>
                <w:rFonts w:ascii="Calibri" w:hAnsi="Calibri" w:cs="Calibri"/>
                <w:sz w:val="20"/>
                <w:szCs w:val="20"/>
              </w:rPr>
            </w:pPr>
            <w:r w:rsidRPr="00FA4E09">
              <w:rPr>
                <w:rFonts w:ascii="Calibri" w:hAnsi="Calibri" w:cs="Calibri"/>
                <w:sz w:val="20"/>
                <w:szCs w:val="20"/>
              </w:rPr>
              <w:t>20</w:t>
            </w:r>
          </w:p>
        </w:tc>
        <w:tc>
          <w:tcPr>
            <w:tcW w:w="796" w:type="pct"/>
            <w:vMerge w:val="restart"/>
            <w:tcBorders>
              <w:top w:val="single" w:sz="4" w:space="0" w:color="auto"/>
              <w:left w:val="single" w:sz="4" w:space="0" w:color="auto"/>
              <w:right w:val="single" w:sz="4" w:space="0" w:color="auto"/>
            </w:tcBorders>
            <w:shd w:val="clear" w:color="auto" w:fill="auto"/>
            <w:vAlign w:val="center"/>
          </w:tcPr>
          <w:p w:rsidR="00BC0ABD" w:rsidRPr="00FA4E09" w:rsidP="009C4D1F" w14:paraId="3AC4F7D7" w14:textId="77777777">
            <w:pPr>
              <w:spacing w:after="0"/>
              <w:jc w:val="right"/>
              <w:rPr>
                <w:rFonts w:ascii="Calibri" w:hAnsi="Calibri" w:cs="Calibri"/>
                <w:sz w:val="20"/>
                <w:szCs w:val="20"/>
              </w:rPr>
            </w:pPr>
            <w:r w:rsidRPr="00FA4E09">
              <w:rPr>
                <w:rFonts w:ascii="Calibri" w:hAnsi="Calibri" w:cs="Calibri"/>
                <w:sz w:val="20"/>
                <w:szCs w:val="20"/>
              </w:rPr>
              <w:t>100</w:t>
            </w:r>
          </w:p>
        </w:tc>
        <w:tc>
          <w:tcPr>
            <w:tcW w:w="796" w:type="pct"/>
            <w:vMerge w:val="restart"/>
            <w:tcBorders>
              <w:top w:val="single" w:sz="4" w:space="0" w:color="auto"/>
              <w:left w:val="single" w:sz="4" w:space="0" w:color="auto"/>
              <w:right w:val="double" w:sz="6" w:space="0" w:color="auto"/>
            </w:tcBorders>
            <w:shd w:val="clear" w:color="auto" w:fill="auto"/>
            <w:vAlign w:val="center"/>
          </w:tcPr>
          <w:p w:rsidR="00BC0ABD" w:rsidRPr="00FA4E09" w:rsidP="009C4D1F" w14:paraId="3164C1DB" w14:textId="77777777">
            <w:pPr>
              <w:spacing w:after="0"/>
              <w:jc w:val="right"/>
              <w:rPr>
                <w:rFonts w:ascii="Calibri" w:hAnsi="Calibri" w:cs="Calibri"/>
                <w:b/>
                <w:bCs/>
                <w:sz w:val="20"/>
                <w:szCs w:val="20"/>
              </w:rPr>
            </w:pPr>
            <w:r w:rsidRPr="00FA4E09">
              <w:rPr>
                <w:rFonts w:ascii="Calibri" w:hAnsi="Calibri" w:cs="Calibri"/>
                <w:b/>
                <w:bCs/>
                <w:sz w:val="20"/>
                <w:szCs w:val="20"/>
              </w:rPr>
              <w:t>120</w:t>
            </w:r>
          </w:p>
        </w:tc>
      </w:tr>
      <w:tr w14:paraId="6546482E"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60"/>
          <w:jc w:val="center"/>
        </w:trPr>
        <w:tc>
          <w:tcPr>
            <w:tcW w:w="2598" w:type="pct"/>
            <w:tcBorders>
              <w:top w:val="single" w:sz="4" w:space="0" w:color="auto"/>
              <w:left w:val="double" w:sz="6" w:space="0" w:color="auto"/>
              <w:bottom w:val="single" w:sz="4" w:space="0" w:color="auto"/>
              <w:right w:val="single" w:sz="4" w:space="0" w:color="auto"/>
            </w:tcBorders>
            <w:shd w:val="clear" w:color="auto" w:fill="auto"/>
            <w:vAlign w:val="center"/>
          </w:tcPr>
          <w:p w:rsidR="00BC0ABD" w:rsidRPr="00FA4E09" w:rsidP="009C4D1F" w14:paraId="6B20E910" w14:textId="77777777">
            <w:pPr>
              <w:spacing w:after="0" w:line="240" w:lineRule="auto"/>
              <w:rPr>
                <w:rFonts w:ascii="Calibri" w:eastAsia="MS Mincho" w:hAnsi="Calibri" w:cs="Calibri"/>
                <w:sz w:val="20"/>
                <w:szCs w:val="20"/>
                <w:lang w:eastAsia="ja-JP"/>
              </w:rPr>
            </w:pPr>
            <w:r w:rsidRPr="00FA4E09">
              <w:rPr>
                <w:rFonts w:ascii="Calibri" w:hAnsi="Calibri" w:cs="Calibri"/>
                <w:color w:val="000000"/>
                <w:sz w:val="20"/>
                <w:szCs w:val="20"/>
              </w:rPr>
              <w:t>Upload and verify data</w:t>
            </w:r>
          </w:p>
        </w:tc>
        <w:tc>
          <w:tcPr>
            <w:tcW w:w="795" w:type="pct"/>
            <w:vMerge/>
            <w:tcBorders>
              <w:left w:val="single" w:sz="4" w:space="0" w:color="auto"/>
              <w:bottom w:val="single" w:sz="4" w:space="0" w:color="auto"/>
              <w:right w:val="single" w:sz="4" w:space="0" w:color="auto"/>
            </w:tcBorders>
            <w:shd w:val="clear" w:color="auto" w:fill="auto"/>
            <w:vAlign w:val="center"/>
          </w:tcPr>
          <w:p w:rsidR="00BC0ABD" w:rsidRPr="00FA4E09" w:rsidP="009C4D1F" w14:paraId="6899EE51" w14:textId="77777777">
            <w:pPr>
              <w:spacing w:after="0"/>
              <w:jc w:val="right"/>
              <w:rPr>
                <w:rFonts w:ascii="Calibri" w:hAnsi="Calibri" w:cs="Calibri"/>
                <w:sz w:val="20"/>
                <w:szCs w:val="20"/>
              </w:rPr>
            </w:pPr>
          </w:p>
        </w:tc>
        <w:tc>
          <w:tcPr>
            <w:tcW w:w="796" w:type="pct"/>
            <w:vMerge/>
            <w:tcBorders>
              <w:left w:val="single" w:sz="4" w:space="0" w:color="auto"/>
              <w:bottom w:val="single" w:sz="4" w:space="0" w:color="auto"/>
              <w:right w:val="single" w:sz="4" w:space="0" w:color="auto"/>
            </w:tcBorders>
            <w:shd w:val="clear" w:color="auto" w:fill="auto"/>
            <w:vAlign w:val="center"/>
          </w:tcPr>
          <w:p w:rsidR="00BC0ABD" w:rsidRPr="00FA4E09" w:rsidP="009C4D1F" w14:paraId="74588731" w14:textId="77777777">
            <w:pPr>
              <w:spacing w:after="0"/>
              <w:jc w:val="right"/>
              <w:rPr>
                <w:rFonts w:ascii="Calibri" w:hAnsi="Calibri" w:cs="Calibri"/>
                <w:sz w:val="20"/>
                <w:szCs w:val="20"/>
              </w:rPr>
            </w:pPr>
          </w:p>
        </w:tc>
        <w:tc>
          <w:tcPr>
            <w:tcW w:w="796" w:type="pct"/>
            <w:vMerge/>
            <w:tcBorders>
              <w:left w:val="single" w:sz="4" w:space="0" w:color="auto"/>
              <w:bottom w:val="single" w:sz="4" w:space="0" w:color="auto"/>
              <w:right w:val="double" w:sz="6" w:space="0" w:color="auto"/>
            </w:tcBorders>
            <w:shd w:val="clear" w:color="auto" w:fill="auto"/>
            <w:vAlign w:val="center"/>
          </w:tcPr>
          <w:p w:rsidR="00BC0ABD" w:rsidRPr="00FA4E09" w:rsidP="009C4D1F" w14:paraId="034766FA" w14:textId="77777777">
            <w:pPr>
              <w:spacing w:after="0"/>
              <w:jc w:val="right"/>
              <w:rPr>
                <w:rFonts w:ascii="Calibri" w:hAnsi="Calibri" w:cs="Calibri"/>
                <w:sz w:val="20"/>
                <w:szCs w:val="20"/>
              </w:rPr>
            </w:pPr>
          </w:p>
        </w:tc>
      </w:tr>
      <w:tr w14:paraId="2991853F" w14:textId="77777777" w:rsidTr="0061798C">
        <w:tblPrEx>
          <w:tblW w:w="4824" w:type="pct"/>
          <w:jc w:val="center"/>
          <w:tblCellMar>
            <w:top w:w="29" w:type="dxa"/>
            <w:left w:w="58" w:type="dxa"/>
            <w:bottom w:w="29" w:type="dxa"/>
            <w:right w:w="58" w:type="dxa"/>
          </w:tblCellMar>
          <w:tblLook w:val="0000"/>
        </w:tblPrEx>
        <w:trPr>
          <w:gridAfter w:val="1"/>
          <w:wAfter w:w="15" w:type="dxa"/>
          <w:cantSplit/>
          <w:trHeight w:val="274"/>
          <w:jc w:val="center"/>
        </w:trPr>
        <w:tc>
          <w:tcPr>
            <w:tcW w:w="2598" w:type="pct"/>
            <w:tcBorders>
              <w:top w:val="single" w:sz="8" w:space="0" w:color="auto"/>
              <w:left w:val="double" w:sz="6" w:space="0" w:color="auto"/>
              <w:bottom w:val="double" w:sz="4" w:space="0" w:color="auto"/>
              <w:right w:val="single" w:sz="8" w:space="0" w:color="auto"/>
            </w:tcBorders>
            <w:shd w:val="clear" w:color="auto" w:fill="auto"/>
            <w:vAlign w:val="center"/>
          </w:tcPr>
          <w:p w:rsidR="00BC0ABD" w:rsidRPr="00FA4E09" w:rsidP="003F4282" w14:paraId="544BF1DE" w14:textId="77777777">
            <w:pPr>
              <w:spacing w:after="0"/>
              <w:jc w:val="right"/>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Total</w:t>
            </w:r>
          </w:p>
        </w:tc>
        <w:tc>
          <w:tcPr>
            <w:tcW w:w="795" w:type="pct"/>
            <w:tcBorders>
              <w:top w:val="single" w:sz="8" w:space="0" w:color="auto"/>
              <w:left w:val="nil"/>
              <w:bottom w:val="double" w:sz="4" w:space="0" w:color="auto"/>
              <w:right w:val="single" w:sz="8" w:space="0" w:color="auto"/>
            </w:tcBorders>
            <w:shd w:val="clear" w:color="auto" w:fill="auto"/>
            <w:vAlign w:val="center"/>
          </w:tcPr>
          <w:p w:rsidR="00BC0ABD" w:rsidRPr="00FA4E09" w:rsidP="003F4282" w14:paraId="008AA460" w14:textId="77777777">
            <w:pPr>
              <w:spacing w:after="0"/>
              <w:jc w:val="right"/>
              <w:rPr>
                <w:rFonts w:ascii="Calibri" w:hAnsi="Calibri" w:cs="Calibri"/>
                <w:b/>
                <w:bCs/>
                <w:sz w:val="20"/>
                <w:szCs w:val="20"/>
              </w:rPr>
            </w:pPr>
            <w:r w:rsidRPr="00FA4E09">
              <w:rPr>
                <w:rFonts w:ascii="Calibri" w:hAnsi="Calibri" w:cs="Calibri"/>
                <w:b/>
                <w:bCs/>
                <w:sz w:val="20"/>
                <w:szCs w:val="20"/>
              </w:rPr>
              <w:t>380</w:t>
            </w:r>
          </w:p>
        </w:tc>
        <w:tc>
          <w:tcPr>
            <w:tcW w:w="796" w:type="pct"/>
            <w:tcBorders>
              <w:top w:val="single" w:sz="8" w:space="0" w:color="auto"/>
              <w:left w:val="nil"/>
              <w:bottom w:val="double" w:sz="4" w:space="0" w:color="auto"/>
              <w:right w:val="single" w:sz="8" w:space="0" w:color="auto"/>
            </w:tcBorders>
            <w:shd w:val="clear" w:color="auto" w:fill="auto"/>
            <w:vAlign w:val="center"/>
          </w:tcPr>
          <w:p w:rsidR="00BC0ABD" w:rsidRPr="00FA4E09" w:rsidP="003F4282" w14:paraId="61D0985E" w14:textId="4F2CB6DF">
            <w:pPr>
              <w:spacing w:after="0"/>
              <w:jc w:val="right"/>
              <w:rPr>
                <w:rFonts w:ascii="Calibri" w:hAnsi="Calibri" w:cs="Calibri"/>
                <w:b/>
                <w:bCs/>
                <w:sz w:val="20"/>
                <w:szCs w:val="20"/>
              </w:rPr>
            </w:pPr>
            <w:r w:rsidRPr="00FA4E09">
              <w:rPr>
                <w:rFonts w:ascii="Calibri" w:hAnsi="Calibri" w:cs="Calibri"/>
                <w:b/>
                <w:bCs/>
                <w:sz w:val="20"/>
                <w:szCs w:val="20"/>
              </w:rPr>
              <w:t>1,800</w:t>
            </w:r>
          </w:p>
        </w:tc>
        <w:tc>
          <w:tcPr>
            <w:tcW w:w="796" w:type="pct"/>
            <w:tcBorders>
              <w:top w:val="single" w:sz="8" w:space="0" w:color="auto"/>
              <w:left w:val="nil"/>
              <w:bottom w:val="double" w:sz="4" w:space="0" w:color="auto"/>
              <w:right w:val="double" w:sz="6" w:space="0" w:color="auto"/>
            </w:tcBorders>
            <w:shd w:val="clear" w:color="auto" w:fill="auto"/>
            <w:vAlign w:val="center"/>
          </w:tcPr>
          <w:p w:rsidR="00BC0ABD" w:rsidRPr="00FA4E09" w:rsidP="003F4282" w14:paraId="1A722F69" w14:textId="77777777">
            <w:pPr>
              <w:spacing w:after="0"/>
              <w:jc w:val="right"/>
              <w:rPr>
                <w:rFonts w:ascii="Calibri" w:hAnsi="Calibri" w:cs="Calibri"/>
                <w:b/>
                <w:bCs/>
                <w:sz w:val="20"/>
                <w:szCs w:val="20"/>
              </w:rPr>
            </w:pPr>
            <w:r w:rsidRPr="00FA4E09">
              <w:rPr>
                <w:rFonts w:ascii="Calibri" w:hAnsi="Calibri" w:cs="Calibri"/>
                <w:b/>
                <w:bCs/>
                <w:sz w:val="20"/>
                <w:szCs w:val="20"/>
              </w:rPr>
              <w:t>2,180</w:t>
            </w:r>
          </w:p>
        </w:tc>
      </w:tr>
    </w:tbl>
    <w:p w:rsidR="003F4282" w:rsidRPr="00FA4E09" w:rsidP="003F4282" w14:paraId="545A1063" w14:textId="111D58A2">
      <w:pPr>
        <w:spacing w:before="240"/>
        <w:rPr>
          <w:rFonts w:ascii="Calibri" w:hAnsi="Calibri" w:cs="Calibri"/>
        </w:rPr>
      </w:pPr>
      <w:r w:rsidRPr="00FA4E09">
        <w:rPr>
          <w:rFonts w:ascii="Calibri" w:hAnsi="Calibri" w:cs="Calibri"/>
        </w:rPr>
        <w:t xml:space="preserve">Table 14-2 presents a list of the tasks the EPA and its contractors will perform associated with the wastewater sampling program </w:t>
      </w:r>
      <w:r w:rsidRPr="00FA4E09" w:rsidR="00DF6946">
        <w:rPr>
          <w:rFonts w:ascii="Calibri" w:hAnsi="Calibri" w:cs="Calibri"/>
        </w:rPr>
        <w:t>and</w:t>
      </w:r>
      <w:r w:rsidRPr="00FA4E09">
        <w:rPr>
          <w:rFonts w:ascii="Calibri" w:hAnsi="Calibri" w:cs="Calibri"/>
        </w:rPr>
        <w:t xml:space="preserve"> hours required for each task. </w:t>
      </w:r>
    </w:p>
    <w:p w:rsidR="0061798C" w14:paraId="1D7738EC" w14:textId="77777777">
      <w:pPr>
        <w:rPr>
          <w:rFonts w:ascii="Calibri" w:hAnsi="Calibri" w:cs="Calibri"/>
          <w:b/>
          <w:bCs/>
          <w:smallCaps/>
          <w:spacing w:val="6"/>
          <w:sz w:val="24"/>
          <w:szCs w:val="18"/>
        </w:rPr>
      </w:pPr>
      <w:bookmarkStart w:id="58" w:name="_Ref117849516"/>
      <w:bookmarkStart w:id="59" w:name="_Toc157787730"/>
      <w:r>
        <w:rPr>
          <w:bCs/>
          <w:smallCaps/>
          <w:spacing w:val="6"/>
          <w:sz w:val="24"/>
          <w:szCs w:val="18"/>
        </w:rPr>
        <w:br w:type="page"/>
      </w:r>
    </w:p>
    <w:p w:rsidR="003F4282" w:rsidRPr="00FA4E09" w:rsidP="003F4282" w14:paraId="3A77DF26" w14:textId="46E0144A">
      <w:pPr>
        <w:pStyle w:val="TableTitle"/>
        <w:rPr>
          <w:rFonts w:eastAsiaTheme="minorEastAsia"/>
          <w:bCs/>
          <w:smallCaps/>
          <w:spacing w:val="6"/>
          <w:sz w:val="24"/>
          <w:szCs w:val="18"/>
        </w:rPr>
      </w:pPr>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14</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2</w:t>
      </w:r>
      <w:r w:rsidRPr="00FA4E09">
        <w:rPr>
          <w:rFonts w:eastAsiaTheme="minorEastAsia"/>
          <w:bCs/>
          <w:smallCaps/>
          <w:spacing w:val="6"/>
          <w:sz w:val="24"/>
          <w:szCs w:val="18"/>
        </w:rPr>
        <w:fldChar w:fldCharType="end"/>
      </w:r>
      <w:bookmarkEnd w:id="58"/>
      <w:r w:rsidRPr="00FA4E09">
        <w:rPr>
          <w:rFonts w:eastAsiaTheme="minorEastAsia"/>
          <w:bCs/>
          <w:smallCaps/>
          <w:spacing w:val="6"/>
          <w:sz w:val="24"/>
          <w:szCs w:val="18"/>
        </w:rPr>
        <w:t>. Estimated Agency Burden for the Sampling Program</w:t>
      </w:r>
      <w:bookmarkEnd w:id="59"/>
    </w:p>
    <w:tbl>
      <w:tblPr>
        <w:tblW w:w="9144" w:type="dxa"/>
        <w:jc w:val="center"/>
        <w:tblLayout w:type="fixed"/>
        <w:tblCellMar>
          <w:top w:w="29" w:type="dxa"/>
          <w:left w:w="58" w:type="dxa"/>
          <w:bottom w:w="29" w:type="dxa"/>
          <w:right w:w="58" w:type="dxa"/>
        </w:tblCellMar>
        <w:tblLook w:val="0000"/>
      </w:tblPr>
      <w:tblGrid>
        <w:gridCol w:w="4992"/>
        <w:gridCol w:w="1384"/>
        <w:gridCol w:w="1384"/>
        <w:gridCol w:w="1384"/>
      </w:tblGrid>
      <w:tr w14:paraId="02EB9CA0" w14:textId="77777777" w:rsidTr="003F4282">
        <w:tblPrEx>
          <w:tblW w:w="9144" w:type="dxa"/>
          <w:jc w:val="center"/>
          <w:tblLayout w:type="fixed"/>
          <w:tblCellMar>
            <w:top w:w="29" w:type="dxa"/>
            <w:left w:w="58" w:type="dxa"/>
            <w:bottom w:w="29" w:type="dxa"/>
            <w:right w:w="58" w:type="dxa"/>
          </w:tblCellMar>
          <w:tblLook w:val="0000"/>
        </w:tblPrEx>
        <w:trPr>
          <w:cantSplit/>
          <w:jc w:val="center"/>
        </w:trPr>
        <w:tc>
          <w:tcPr>
            <w:tcW w:w="4992" w:type="dxa"/>
            <w:vMerge w:val="restart"/>
            <w:tcBorders>
              <w:top w:val="double" w:sz="6" w:space="0" w:color="auto"/>
              <w:left w:val="double" w:sz="6" w:space="0" w:color="auto"/>
              <w:right w:val="single" w:sz="4" w:space="0" w:color="auto"/>
            </w:tcBorders>
            <w:shd w:val="clear" w:color="auto" w:fill="D9D9D9" w:themeFill="background1" w:themeFillShade="D9"/>
            <w:noWrap/>
            <w:vAlign w:val="center"/>
          </w:tcPr>
          <w:p w:rsidR="003F4282" w:rsidRPr="00FA4E09" w:rsidP="003F4282" w14:paraId="23B88E92"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Activity</w:t>
            </w:r>
          </w:p>
        </w:tc>
        <w:tc>
          <w:tcPr>
            <w:tcW w:w="4152" w:type="dxa"/>
            <w:gridSpan w:val="3"/>
            <w:tcBorders>
              <w:top w:val="double" w:sz="6" w:space="0" w:color="auto"/>
              <w:left w:val="nil"/>
              <w:bottom w:val="single" w:sz="4" w:space="0" w:color="auto"/>
              <w:right w:val="double" w:sz="6" w:space="0" w:color="auto"/>
            </w:tcBorders>
            <w:shd w:val="clear" w:color="auto" w:fill="D9D9D9" w:themeFill="background1" w:themeFillShade="D9"/>
            <w:noWrap/>
            <w:vAlign w:val="center"/>
          </w:tcPr>
          <w:p w:rsidR="003F4282" w:rsidRPr="00FA4E09" w:rsidP="003F4282" w14:paraId="7A4241BD"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Burden (hours)</w:t>
            </w:r>
          </w:p>
        </w:tc>
      </w:tr>
      <w:tr w14:paraId="35520B29" w14:textId="77777777" w:rsidTr="0061798C">
        <w:tblPrEx>
          <w:tblW w:w="9144" w:type="dxa"/>
          <w:jc w:val="center"/>
          <w:tblLayout w:type="fixed"/>
          <w:tblCellMar>
            <w:top w:w="29" w:type="dxa"/>
            <w:left w:w="58" w:type="dxa"/>
            <w:bottom w:w="29" w:type="dxa"/>
            <w:right w:w="58" w:type="dxa"/>
          </w:tblCellMar>
          <w:tblLook w:val="0000"/>
        </w:tblPrEx>
        <w:trPr>
          <w:cantSplit/>
          <w:jc w:val="center"/>
        </w:trPr>
        <w:tc>
          <w:tcPr>
            <w:tcW w:w="4992" w:type="dxa"/>
            <w:vMerge/>
            <w:tcBorders>
              <w:left w:val="double" w:sz="6" w:space="0" w:color="auto"/>
              <w:bottom w:val="single" w:sz="4" w:space="0" w:color="auto"/>
              <w:right w:val="single" w:sz="4" w:space="0" w:color="auto"/>
            </w:tcBorders>
            <w:shd w:val="clear" w:color="auto" w:fill="D9D9D9" w:themeFill="background1" w:themeFillShade="D9"/>
            <w:noWrap/>
            <w:vAlign w:val="center"/>
          </w:tcPr>
          <w:p w:rsidR="003F4282" w:rsidRPr="00FA4E09" w:rsidP="003F4282" w14:paraId="23E44F0A" w14:textId="77777777">
            <w:pPr>
              <w:spacing w:after="0"/>
              <w:jc w:val="center"/>
              <w:rPr>
                <w:rFonts w:ascii="Calibri" w:eastAsia="MS Mincho" w:hAnsi="Calibri" w:cs="Calibri"/>
                <w:b/>
                <w:bCs/>
                <w:sz w:val="20"/>
                <w:szCs w:val="20"/>
                <w:lang w:eastAsia="ja-JP"/>
              </w:rPr>
            </w:pPr>
          </w:p>
        </w:tc>
        <w:tc>
          <w:tcPr>
            <w:tcW w:w="1384" w:type="dxa"/>
            <w:tcBorders>
              <w:top w:val="nil"/>
              <w:left w:val="nil"/>
              <w:bottom w:val="single" w:sz="4" w:space="0" w:color="auto"/>
              <w:right w:val="single" w:sz="4" w:space="0" w:color="auto"/>
            </w:tcBorders>
            <w:shd w:val="clear" w:color="auto" w:fill="D9D9D9" w:themeFill="background1" w:themeFillShade="D9"/>
            <w:vAlign w:val="center"/>
          </w:tcPr>
          <w:p w:rsidR="003F4282" w:rsidRPr="00FA4E09" w:rsidP="003F4282" w14:paraId="08B8ECDC"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Agency</w:t>
            </w:r>
          </w:p>
        </w:tc>
        <w:tc>
          <w:tcPr>
            <w:tcW w:w="1384" w:type="dxa"/>
            <w:tcBorders>
              <w:top w:val="nil"/>
              <w:left w:val="nil"/>
              <w:bottom w:val="single" w:sz="4" w:space="0" w:color="auto"/>
              <w:right w:val="single" w:sz="4" w:space="0" w:color="auto"/>
            </w:tcBorders>
            <w:shd w:val="clear" w:color="auto" w:fill="D9D9D9" w:themeFill="background1" w:themeFillShade="D9"/>
            <w:vAlign w:val="center"/>
          </w:tcPr>
          <w:p w:rsidR="003F4282" w:rsidRPr="00FA4E09" w:rsidP="003F4282" w14:paraId="39635D35"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Contractor</w:t>
            </w:r>
          </w:p>
        </w:tc>
        <w:tc>
          <w:tcPr>
            <w:tcW w:w="1384" w:type="dxa"/>
            <w:tcBorders>
              <w:top w:val="nil"/>
              <w:left w:val="nil"/>
              <w:bottom w:val="single" w:sz="4" w:space="0" w:color="auto"/>
              <w:right w:val="double" w:sz="6" w:space="0" w:color="auto"/>
            </w:tcBorders>
            <w:shd w:val="clear" w:color="auto" w:fill="D9D9D9" w:themeFill="background1" w:themeFillShade="D9"/>
            <w:vAlign w:val="center"/>
          </w:tcPr>
          <w:p w:rsidR="003F4282" w:rsidRPr="00FA4E09" w:rsidP="003F4282" w14:paraId="33FB9751"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Total Hours</w:t>
            </w:r>
          </w:p>
        </w:tc>
      </w:tr>
      <w:tr w14:paraId="61A7F1D2" w14:textId="77777777" w:rsidTr="0061798C">
        <w:tblPrEx>
          <w:tblW w:w="9144" w:type="dxa"/>
          <w:jc w:val="center"/>
          <w:tblLayout w:type="fixed"/>
          <w:tblCellMar>
            <w:top w:w="29" w:type="dxa"/>
            <w:left w:w="58" w:type="dxa"/>
            <w:bottom w:w="29" w:type="dxa"/>
            <w:right w:w="58" w:type="dxa"/>
          </w:tblCellMar>
          <w:tblLook w:val="0000"/>
        </w:tblPrEx>
        <w:trPr>
          <w:cantSplit/>
          <w:trHeight w:val="259"/>
          <w:jc w:val="center"/>
        </w:trPr>
        <w:tc>
          <w:tcPr>
            <w:tcW w:w="4992" w:type="dxa"/>
            <w:tcBorders>
              <w:top w:val="single" w:sz="4" w:space="0" w:color="auto"/>
              <w:left w:val="double" w:sz="6" w:space="0" w:color="auto"/>
              <w:bottom w:val="single" w:sz="4" w:space="0" w:color="auto"/>
              <w:right w:val="single" w:sz="4" w:space="0" w:color="auto"/>
            </w:tcBorders>
            <w:shd w:val="clear" w:color="auto" w:fill="auto"/>
            <w:vAlign w:val="center"/>
          </w:tcPr>
          <w:p w:rsidR="003F4282" w:rsidRPr="00FA4E09" w:rsidP="003F4282" w14:paraId="2782EC34" w14:textId="77777777">
            <w:pPr>
              <w:spacing w:after="0"/>
              <w:rPr>
                <w:rFonts w:ascii="Calibri" w:eastAsia="MS Mincho" w:hAnsi="Calibri" w:cs="Calibri"/>
                <w:sz w:val="20"/>
                <w:szCs w:val="20"/>
                <w:lang w:eastAsia="ja-JP"/>
              </w:rPr>
            </w:pPr>
            <w:r w:rsidRPr="00FA4E09">
              <w:rPr>
                <w:rFonts w:ascii="Calibri" w:hAnsi="Calibri" w:cs="Calibri"/>
                <w:sz w:val="20"/>
                <w:szCs w:val="20"/>
              </w:rPr>
              <w:t>Select POTWs and industrial users to sample</w:t>
            </w:r>
          </w:p>
        </w:tc>
        <w:tc>
          <w:tcPr>
            <w:tcW w:w="1384" w:type="dxa"/>
            <w:tcBorders>
              <w:top w:val="single" w:sz="4" w:space="0" w:color="auto"/>
              <w:left w:val="nil"/>
              <w:bottom w:val="single" w:sz="4" w:space="0" w:color="auto"/>
              <w:right w:val="single" w:sz="4" w:space="0" w:color="auto"/>
            </w:tcBorders>
            <w:shd w:val="clear" w:color="auto" w:fill="auto"/>
            <w:vAlign w:val="center"/>
          </w:tcPr>
          <w:p w:rsidR="003F4282" w:rsidRPr="00FA4E09" w:rsidP="003F4282" w14:paraId="64AC453B" w14:textId="77777777">
            <w:pPr>
              <w:spacing w:after="0"/>
              <w:jc w:val="right"/>
              <w:rPr>
                <w:rFonts w:ascii="Calibri" w:hAnsi="Calibri" w:cs="Calibri"/>
                <w:sz w:val="20"/>
                <w:szCs w:val="20"/>
              </w:rPr>
            </w:pPr>
            <w:r w:rsidRPr="00FA4E09">
              <w:rPr>
                <w:rFonts w:ascii="Calibri" w:hAnsi="Calibri" w:cs="Calibri"/>
                <w:sz w:val="20"/>
                <w:szCs w:val="20"/>
              </w:rPr>
              <w:t>80</w:t>
            </w:r>
          </w:p>
        </w:tc>
        <w:tc>
          <w:tcPr>
            <w:tcW w:w="1384" w:type="dxa"/>
            <w:tcBorders>
              <w:top w:val="single" w:sz="4" w:space="0" w:color="auto"/>
              <w:left w:val="nil"/>
              <w:bottom w:val="single" w:sz="4" w:space="0" w:color="auto"/>
              <w:right w:val="single" w:sz="4" w:space="0" w:color="auto"/>
            </w:tcBorders>
            <w:shd w:val="clear" w:color="auto" w:fill="auto"/>
            <w:vAlign w:val="center"/>
          </w:tcPr>
          <w:p w:rsidR="003F4282" w:rsidRPr="00FA4E09" w:rsidP="003F4282" w14:paraId="3FE8C711" w14:textId="77777777">
            <w:pPr>
              <w:spacing w:after="0"/>
              <w:jc w:val="right"/>
              <w:rPr>
                <w:rFonts w:ascii="Calibri" w:hAnsi="Calibri" w:cs="Calibri"/>
                <w:sz w:val="20"/>
                <w:szCs w:val="20"/>
              </w:rPr>
            </w:pPr>
            <w:r w:rsidRPr="00FA4E09">
              <w:rPr>
                <w:rFonts w:ascii="Calibri" w:hAnsi="Calibri" w:cs="Calibri"/>
                <w:sz w:val="20"/>
                <w:szCs w:val="20"/>
              </w:rPr>
              <w:t xml:space="preserve">300 </w:t>
            </w:r>
          </w:p>
        </w:tc>
        <w:tc>
          <w:tcPr>
            <w:tcW w:w="1384" w:type="dxa"/>
            <w:tcBorders>
              <w:top w:val="single" w:sz="4" w:space="0" w:color="auto"/>
              <w:left w:val="nil"/>
              <w:bottom w:val="single" w:sz="4" w:space="0" w:color="auto"/>
              <w:right w:val="double" w:sz="6" w:space="0" w:color="auto"/>
            </w:tcBorders>
            <w:shd w:val="clear" w:color="auto" w:fill="auto"/>
            <w:vAlign w:val="center"/>
          </w:tcPr>
          <w:p w:rsidR="003F4282" w:rsidRPr="00FA4E09" w:rsidP="003F4282" w14:paraId="6029C0D3" w14:textId="77777777">
            <w:pPr>
              <w:spacing w:after="0"/>
              <w:jc w:val="right"/>
              <w:rPr>
                <w:rFonts w:ascii="Calibri" w:hAnsi="Calibri" w:cs="Calibri"/>
                <w:b/>
                <w:bCs/>
                <w:sz w:val="20"/>
                <w:szCs w:val="20"/>
              </w:rPr>
            </w:pPr>
            <w:r w:rsidRPr="00FA4E09">
              <w:rPr>
                <w:rFonts w:ascii="Calibri" w:hAnsi="Calibri" w:cs="Calibri"/>
                <w:b/>
                <w:bCs/>
                <w:sz w:val="20"/>
                <w:szCs w:val="20"/>
              </w:rPr>
              <w:t>380</w:t>
            </w:r>
          </w:p>
        </w:tc>
      </w:tr>
      <w:tr w14:paraId="3884A96A" w14:textId="77777777" w:rsidTr="0061798C">
        <w:tblPrEx>
          <w:tblW w:w="9144" w:type="dxa"/>
          <w:jc w:val="center"/>
          <w:tblLayout w:type="fixed"/>
          <w:tblCellMar>
            <w:top w:w="29" w:type="dxa"/>
            <w:left w:w="58" w:type="dxa"/>
            <w:bottom w:w="29" w:type="dxa"/>
            <w:right w:w="58" w:type="dxa"/>
          </w:tblCellMar>
          <w:tblLook w:val="0000"/>
        </w:tblPrEx>
        <w:trPr>
          <w:cantSplit/>
          <w:trHeight w:val="241"/>
          <w:jc w:val="center"/>
        </w:trPr>
        <w:tc>
          <w:tcPr>
            <w:tcW w:w="4992" w:type="dxa"/>
            <w:tcBorders>
              <w:top w:val="nil"/>
              <w:left w:val="double" w:sz="6" w:space="0" w:color="auto"/>
              <w:bottom w:val="single" w:sz="4" w:space="0" w:color="auto"/>
              <w:right w:val="single" w:sz="4" w:space="0" w:color="auto"/>
            </w:tcBorders>
            <w:shd w:val="clear" w:color="auto" w:fill="auto"/>
            <w:vAlign w:val="center"/>
          </w:tcPr>
          <w:p w:rsidR="003F4282" w:rsidRPr="00FA4E09" w:rsidP="003F4282" w14:paraId="02F4EAF9" w14:textId="77777777">
            <w:pPr>
              <w:spacing w:after="0"/>
              <w:rPr>
                <w:rFonts w:ascii="Calibri" w:eastAsia="MS Mincho" w:hAnsi="Calibri" w:cs="Calibri"/>
                <w:sz w:val="20"/>
                <w:szCs w:val="20"/>
                <w:lang w:eastAsia="ja-JP"/>
              </w:rPr>
            </w:pPr>
            <w:r w:rsidRPr="00FA4E09">
              <w:rPr>
                <w:rFonts w:ascii="Calibri" w:hAnsi="Calibri" w:cs="Calibri"/>
                <w:sz w:val="20"/>
                <w:szCs w:val="20"/>
              </w:rPr>
              <w:t>Pre-sampling coordination (e.g., develop generic sampling and analysis plans, site-specific requirements, and guidance to industry)</w:t>
            </w:r>
          </w:p>
        </w:tc>
        <w:tc>
          <w:tcPr>
            <w:tcW w:w="1384" w:type="dxa"/>
            <w:tcBorders>
              <w:top w:val="nil"/>
              <w:left w:val="nil"/>
              <w:bottom w:val="single" w:sz="4" w:space="0" w:color="auto"/>
              <w:right w:val="single" w:sz="4" w:space="0" w:color="auto"/>
            </w:tcBorders>
            <w:shd w:val="clear" w:color="auto" w:fill="auto"/>
            <w:vAlign w:val="center"/>
          </w:tcPr>
          <w:p w:rsidR="003F4282" w:rsidRPr="00FA4E09" w:rsidP="003F4282" w14:paraId="08E6F23B" w14:textId="77777777">
            <w:pPr>
              <w:spacing w:after="0"/>
              <w:jc w:val="right"/>
              <w:rPr>
                <w:rFonts w:ascii="Calibri" w:hAnsi="Calibri" w:cs="Calibri"/>
                <w:sz w:val="20"/>
                <w:szCs w:val="20"/>
              </w:rPr>
            </w:pPr>
            <w:r w:rsidRPr="00FA4E09">
              <w:rPr>
                <w:rFonts w:ascii="Calibri" w:hAnsi="Calibri" w:cs="Calibri"/>
                <w:sz w:val="20"/>
                <w:szCs w:val="20"/>
              </w:rPr>
              <w:t xml:space="preserve"> 200 </w:t>
            </w:r>
          </w:p>
        </w:tc>
        <w:tc>
          <w:tcPr>
            <w:tcW w:w="1384" w:type="dxa"/>
            <w:tcBorders>
              <w:top w:val="nil"/>
              <w:left w:val="nil"/>
              <w:bottom w:val="single" w:sz="4" w:space="0" w:color="auto"/>
              <w:right w:val="single" w:sz="4" w:space="0" w:color="auto"/>
            </w:tcBorders>
            <w:shd w:val="clear" w:color="auto" w:fill="auto"/>
            <w:vAlign w:val="center"/>
          </w:tcPr>
          <w:p w:rsidR="003F4282" w:rsidRPr="00FA4E09" w:rsidP="003F4282" w14:paraId="1EE77583" w14:textId="77777777">
            <w:pPr>
              <w:spacing w:after="0"/>
              <w:jc w:val="right"/>
              <w:rPr>
                <w:rFonts w:ascii="Calibri" w:hAnsi="Calibri" w:cs="Calibri"/>
                <w:sz w:val="20"/>
                <w:szCs w:val="20"/>
              </w:rPr>
            </w:pPr>
            <w:r w:rsidRPr="00FA4E09">
              <w:rPr>
                <w:rFonts w:ascii="Calibri" w:hAnsi="Calibri" w:cs="Calibri"/>
                <w:sz w:val="20"/>
                <w:szCs w:val="20"/>
              </w:rPr>
              <w:t xml:space="preserve">1,000 </w:t>
            </w:r>
          </w:p>
        </w:tc>
        <w:tc>
          <w:tcPr>
            <w:tcW w:w="1384" w:type="dxa"/>
            <w:tcBorders>
              <w:top w:val="nil"/>
              <w:left w:val="nil"/>
              <w:bottom w:val="single" w:sz="4" w:space="0" w:color="auto"/>
              <w:right w:val="double" w:sz="6" w:space="0" w:color="auto"/>
            </w:tcBorders>
            <w:shd w:val="clear" w:color="auto" w:fill="auto"/>
            <w:vAlign w:val="center"/>
          </w:tcPr>
          <w:p w:rsidR="003F4282" w:rsidRPr="00FA4E09" w:rsidP="003F4282" w14:paraId="3093F647" w14:textId="77777777">
            <w:pPr>
              <w:spacing w:after="0"/>
              <w:jc w:val="right"/>
              <w:rPr>
                <w:rFonts w:ascii="Calibri" w:hAnsi="Calibri" w:cs="Calibri"/>
                <w:b/>
                <w:bCs/>
                <w:sz w:val="20"/>
                <w:szCs w:val="20"/>
              </w:rPr>
            </w:pPr>
            <w:r w:rsidRPr="00FA4E09">
              <w:rPr>
                <w:rFonts w:ascii="Calibri" w:hAnsi="Calibri" w:cs="Calibri"/>
                <w:b/>
                <w:bCs/>
                <w:sz w:val="20"/>
                <w:szCs w:val="20"/>
              </w:rPr>
              <w:t xml:space="preserve"> </w:t>
            </w:r>
            <w:r w:rsidRPr="00FA4E09">
              <w:rPr>
                <w:rFonts w:ascii="Calibri" w:hAnsi="Calibri" w:cs="Calibri"/>
                <w:b/>
                <w:bCs/>
                <w:sz w:val="20"/>
                <w:szCs w:val="20"/>
              </w:rPr>
              <w:t>1,</w:t>
            </w:r>
            <w:r w:rsidRPr="00FA4E09">
              <w:rPr>
                <w:rFonts w:ascii="Calibri" w:hAnsi="Calibri" w:cs="Calibri"/>
                <w:b/>
                <w:bCs/>
                <w:sz w:val="20"/>
                <w:szCs w:val="20"/>
              </w:rPr>
              <w:t xml:space="preserve">200 </w:t>
            </w:r>
          </w:p>
        </w:tc>
      </w:tr>
      <w:tr w14:paraId="7E4F5502" w14:textId="77777777" w:rsidTr="0061798C">
        <w:tblPrEx>
          <w:tblW w:w="9144" w:type="dxa"/>
          <w:jc w:val="center"/>
          <w:tblLayout w:type="fixed"/>
          <w:tblCellMar>
            <w:top w:w="29" w:type="dxa"/>
            <w:left w:w="58" w:type="dxa"/>
            <w:bottom w:w="29" w:type="dxa"/>
            <w:right w:w="58" w:type="dxa"/>
          </w:tblCellMar>
          <w:tblLook w:val="0000"/>
        </w:tblPrEx>
        <w:trPr>
          <w:cantSplit/>
          <w:trHeight w:val="304"/>
          <w:jc w:val="center"/>
        </w:trPr>
        <w:tc>
          <w:tcPr>
            <w:tcW w:w="4992" w:type="dxa"/>
            <w:tcBorders>
              <w:top w:val="nil"/>
              <w:left w:val="double" w:sz="6" w:space="0" w:color="auto"/>
              <w:bottom w:val="single" w:sz="4" w:space="0" w:color="auto"/>
              <w:right w:val="single" w:sz="4" w:space="0" w:color="auto"/>
            </w:tcBorders>
            <w:shd w:val="clear" w:color="auto" w:fill="auto"/>
            <w:vAlign w:val="center"/>
          </w:tcPr>
          <w:p w:rsidR="003F4282" w:rsidRPr="00FA4E09" w:rsidP="003F4282" w14:paraId="54641E20" w14:textId="77777777">
            <w:pPr>
              <w:spacing w:after="0"/>
              <w:rPr>
                <w:rFonts w:ascii="Calibri" w:hAnsi="Calibri" w:cs="Calibri"/>
                <w:sz w:val="20"/>
                <w:szCs w:val="20"/>
              </w:rPr>
            </w:pPr>
            <w:r w:rsidRPr="00FA4E09">
              <w:rPr>
                <w:rFonts w:ascii="Calibri" w:hAnsi="Calibri" w:cs="Calibri"/>
                <w:sz w:val="20"/>
                <w:szCs w:val="20"/>
              </w:rPr>
              <w:t>Laboratory and analytical support</w:t>
            </w:r>
          </w:p>
        </w:tc>
        <w:tc>
          <w:tcPr>
            <w:tcW w:w="1384" w:type="dxa"/>
            <w:tcBorders>
              <w:top w:val="nil"/>
              <w:left w:val="nil"/>
              <w:bottom w:val="single" w:sz="4" w:space="0" w:color="auto"/>
              <w:right w:val="single" w:sz="4" w:space="0" w:color="auto"/>
            </w:tcBorders>
            <w:shd w:val="clear" w:color="auto" w:fill="auto"/>
            <w:vAlign w:val="center"/>
          </w:tcPr>
          <w:p w:rsidR="003F4282" w:rsidRPr="00FA4E09" w:rsidP="003F4282" w14:paraId="1FE48A91" w14:textId="77777777">
            <w:pPr>
              <w:spacing w:after="0"/>
              <w:jc w:val="right"/>
              <w:rPr>
                <w:rFonts w:ascii="Calibri" w:hAnsi="Calibri" w:cs="Calibri"/>
                <w:sz w:val="20"/>
                <w:szCs w:val="20"/>
              </w:rPr>
            </w:pPr>
            <w:r w:rsidRPr="00FA4E09">
              <w:rPr>
                <w:rFonts w:ascii="Calibri" w:hAnsi="Calibri" w:cs="Calibri"/>
                <w:sz w:val="20"/>
                <w:szCs w:val="20"/>
              </w:rPr>
              <w:t xml:space="preserve"> 80 </w:t>
            </w:r>
          </w:p>
        </w:tc>
        <w:tc>
          <w:tcPr>
            <w:tcW w:w="1384" w:type="dxa"/>
            <w:tcBorders>
              <w:top w:val="nil"/>
              <w:left w:val="nil"/>
              <w:bottom w:val="single" w:sz="4" w:space="0" w:color="auto"/>
              <w:right w:val="single" w:sz="4" w:space="0" w:color="auto"/>
            </w:tcBorders>
            <w:shd w:val="clear" w:color="auto" w:fill="auto"/>
            <w:vAlign w:val="center"/>
          </w:tcPr>
          <w:p w:rsidR="003F4282" w:rsidRPr="00FA4E09" w:rsidP="003F4282" w14:paraId="1DA4A775" w14:textId="77777777">
            <w:pPr>
              <w:spacing w:after="0"/>
              <w:jc w:val="right"/>
              <w:rPr>
                <w:rFonts w:ascii="Calibri" w:hAnsi="Calibri" w:cs="Calibri"/>
                <w:sz w:val="20"/>
                <w:szCs w:val="20"/>
              </w:rPr>
            </w:pPr>
            <w:r w:rsidRPr="00FA4E09">
              <w:rPr>
                <w:rFonts w:ascii="Calibri" w:hAnsi="Calibri" w:cs="Calibri"/>
                <w:sz w:val="20"/>
                <w:szCs w:val="20"/>
              </w:rPr>
              <w:t xml:space="preserve"> 847 </w:t>
            </w:r>
          </w:p>
        </w:tc>
        <w:tc>
          <w:tcPr>
            <w:tcW w:w="1384" w:type="dxa"/>
            <w:tcBorders>
              <w:top w:val="nil"/>
              <w:left w:val="nil"/>
              <w:bottom w:val="single" w:sz="4" w:space="0" w:color="auto"/>
              <w:right w:val="double" w:sz="6" w:space="0" w:color="auto"/>
            </w:tcBorders>
            <w:shd w:val="clear" w:color="auto" w:fill="auto"/>
            <w:vAlign w:val="center"/>
          </w:tcPr>
          <w:p w:rsidR="003F4282" w:rsidRPr="00FA4E09" w:rsidP="003F4282" w14:paraId="50B8F19E" w14:textId="77777777">
            <w:pPr>
              <w:spacing w:after="0"/>
              <w:jc w:val="right"/>
              <w:rPr>
                <w:rFonts w:ascii="Calibri" w:hAnsi="Calibri" w:cs="Calibri"/>
                <w:b/>
                <w:bCs/>
                <w:sz w:val="20"/>
                <w:szCs w:val="20"/>
              </w:rPr>
            </w:pPr>
            <w:r w:rsidRPr="00FA4E09">
              <w:rPr>
                <w:rFonts w:ascii="Calibri" w:hAnsi="Calibri" w:cs="Calibri"/>
                <w:b/>
                <w:bCs/>
                <w:sz w:val="20"/>
                <w:szCs w:val="20"/>
              </w:rPr>
              <w:t xml:space="preserve"> 927 </w:t>
            </w:r>
          </w:p>
        </w:tc>
      </w:tr>
      <w:tr w14:paraId="18F40E66" w14:textId="77777777" w:rsidTr="0061798C">
        <w:tblPrEx>
          <w:tblW w:w="9144" w:type="dxa"/>
          <w:jc w:val="center"/>
          <w:tblLayout w:type="fixed"/>
          <w:tblCellMar>
            <w:top w:w="29" w:type="dxa"/>
            <w:left w:w="58" w:type="dxa"/>
            <w:bottom w:w="29" w:type="dxa"/>
            <w:right w:w="58" w:type="dxa"/>
          </w:tblCellMar>
          <w:tblLook w:val="0000"/>
        </w:tblPrEx>
        <w:trPr>
          <w:cantSplit/>
          <w:jc w:val="center"/>
        </w:trPr>
        <w:tc>
          <w:tcPr>
            <w:tcW w:w="4992" w:type="dxa"/>
            <w:tcBorders>
              <w:top w:val="nil"/>
              <w:left w:val="double" w:sz="6" w:space="0" w:color="auto"/>
              <w:bottom w:val="single" w:sz="4" w:space="0" w:color="auto"/>
              <w:right w:val="single" w:sz="4" w:space="0" w:color="auto"/>
            </w:tcBorders>
            <w:shd w:val="clear" w:color="auto" w:fill="auto"/>
            <w:vAlign w:val="center"/>
          </w:tcPr>
          <w:p w:rsidR="003F4282" w:rsidRPr="00FA4E09" w:rsidP="003F4282" w14:paraId="447D3C17" w14:textId="77777777">
            <w:pPr>
              <w:spacing w:after="0"/>
              <w:rPr>
                <w:rFonts w:ascii="Calibri" w:eastAsia="MS Mincho" w:hAnsi="Calibri" w:cs="Calibri"/>
                <w:sz w:val="20"/>
                <w:szCs w:val="20"/>
                <w:lang w:eastAsia="ja-JP"/>
              </w:rPr>
            </w:pPr>
            <w:r w:rsidRPr="00FA4E09">
              <w:rPr>
                <w:rFonts w:ascii="Calibri" w:hAnsi="Calibri" w:cs="Calibri"/>
                <w:sz w:val="20"/>
                <w:szCs w:val="20"/>
              </w:rPr>
              <w:t>Review and analyze sampling results (process and compile sampling results into database, analyze data)</w:t>
            </w:r>
          </w:p>
        </w:tc>
        <w:tc>
          <w:tcPr>
            <w:tcW w:w="1384" w:type="dxa"/>
            <w:tcBorders>
              <w:top w:val="nil"/>
              <w:left w:val="nil"/>
              <w:bottom w:val="single" w:sz="4" w:space="0" w:color="auto"/>
              <w:right w:val="single" w:sz="4" w:space="0" w:color="auto"/>
            </w:tcBorders>
            <w:shd w:val="clear" w:color="auto" w:fill="auto"/>
            <w:vAlign w:val="center"/>
          </w:tcPr>
          <w:p w:rsidR="003F4282" w:rsidRPr="00FA4E09" w:rsidP="003F4282" w14:paraId="13771CB1" w14:textId="77777777">
            <w:pPr>
              <w:spacing w:after="0"/>
              <w:jc w:val="right"/>
              <w:rPr>
                <w:rFonts w:ascii="Calibri" w:hAnsi="Calibri" w:cs="Calibri"/>
                <w:sz w:val="20"/>
                <w:szCs w:val="20"/>
              </w:rPr>
            </w:pPr>
            <w:r w:rsidRPr="00FA4E09">
              <w:rPr>
                <w:rFonts w:ascii="Calibri" w:hAnsi="Calibri" w:cs="Calibri"/>
                <w:sz w:val="20"/>
                <w:szCs w:val="20"/>
              </w:rPr>
              <w:t xml:space="preserve"> </w:t>
            </w:r>
            <w:r w:rsidRPr="00FA4E09">
              <w:rPr>
                <w:rFonts w:ascii="Calibri" w:hAnsi="Calibri" w:cs="Calibri"/>
                <w:sz w:val="20"/>
                <w:szCs w:val="20"/>
              </w:rPr>
              <w:t xml:space="preserve">200 </w:t>
            </w:r>
          </w:p>
        </w:tc>
        <w:tc>
          <w:tcPr>
            <w:tcW w:w="1384" w:type="dxa"/>
            <w:tcBorders>
              <w:top w:val="nil"/>
              <w:left w:val="nil"/>
              <w:bottom w:val="single" w:sz="4" w:space="0" w:color="auto"/>
              <w:right w:val="single" w:sz="4" w:space="0" w:color="auto"/>
            </w:tcBorders>
            <w:shd w:val="clear" w:color="auto" w:fill="auto"/>
            <w:vAlign w:val="center"/>
          </w:tcPr>
          <w:p w:rsidR="003F4282" w:rsidRPr="00FA4E09" w:rsidP="003F4282" w14:paraId="5B948013" w14:textId="77777777">
            <w:pPr>
              <w:spacing w:after="0"/>
              <w:jc w:val="right"/>
              <w:rPr>
                <w:rFonts w:ascii="Calibri" w:hAnsi="Calibri" w:cs="Calibri"/>
                <w:sz w:val="20"/>
                <w:szCs w:val="20"/>
              </w:rPr>
            </w:pPr>
            <w:r w:rsidRPr="00FA4E09">
              <w:rPr>
                <w:rFonts w:ascii="Calibri" w:hAnsi="Calibri" w:cs="Calibri"/>
                <w:sz w:val="20"/>
                <w:szCs w:val="20"/>
              </w:rPr>
              <w:t xml:space="preserve"> </w:t>
            </w:r>
            <w:r w:rsidRPr="00FA4E09">
              <w:rPr>
                <w:rFonts w:ascii="Calibri" w:hAnsi="Calibri" w:cs="Calibri"/>
                <w:sz w:val="20"/>
                <w:szCs w:val="20"/>
              </w:rPr>
              <w:t xml:space="preserve">800 </w:t>
            </w:r>
          </w:p>
        </w:tc>
        <w:tc>
          <w:tcPr>
            <w:tcW w:w="1384" w:type="dxa"/>
            <w:tcBorders>
              <w:top w:val="nil"/>
              <w:left w:val="nil"/>
              <w:bottom w:val="single" w:sz="4" w:space="0" w:color="auto"/>
              <w:right w:val="double" w:sz="6" w:space="0" w:color="auto"/>
            </w:tcBorders>
            <w:shd w:val="clear" w:color="auto" w:fill="auto"/>
            <w:vAlign w:val="center"/>
          </w:tcPr>
          <w:p w:rsidR="003F4282" w:rsidRPr="00FA4E09" w:rsidP="003F4282" w14:paraId="6B024792" w14:textId="77777777">
            <w:pPr>
              <w:spacing w:after="0"/>
              <w:jc w:val="right"/>
              <w:rPr>
                <w:rFonts w:ascii="Calibri" w:hAnsi="Calibri" w:cs="Calibri"/>
                <w:b/>
                <w:bCs/>
                <w:sz w:val="20"/>
                <w:szCs w:val="20"/>
              </w:rPr>
            </w:pPr>
            <w:r w:rsidRPr="00FA4E09">
              <w:rPr>
                <w:rFonts w:ascii="Calibri" w:hAnsi="Calibri" w:cs="Calibri"/>
                <w:b/>
                <w:bCs/>
                <w:sz w:val="20"/>
                <w:szCs w:val="20"/>
              </w:rPr>
              <w:t xml:space="preserve">1,000 </w:t>
            </w:r>
          </w:p>
        </w:tc>
      </w:tr>
      <w:tr w14:paraId="69A0CBCC" w14:textId="77777777" w:rsidTr="0061798C">
        <w:tblPrEx>
          <w:tblW w:w="9144" w:type="dxa"/>
          <w:jc w:val="center"/>
          <w:tblLayout w:type="fixed"/>
          <w:tblCellMar>
            <w:top w:w="29" w:type="dxa"/>
            <w:left w:w="58" w:type="dxa"/>
            <w:bottom w:w="29" w:type="dxa"/>
            <w:right w:w="58" w:type="dxa"/>
          </w:tblCellMar>
          <w:tblLook w:val="0000"/>
        </w:tblPrEx>
        <w:trPr>
          <w:cantSplit/>
          <w:trHeight w:val="124"/>
          <w:jc w:val="center"/>
        </w:trPr>
        <w:tc>
          <w:tcPr>
            <w:tcW w:w="4992" w:type="dxa"/>
            <w:tcBorders>
              <w:top w:val="nil"/>
              <w:left w:val="double" w:sz="6" w:space="0" w:color="auto"/>
              <w:bottom w:val="double" w:sz="4" w:space="0" w:color="auto"/>
              <w:right w:val="single" w:sz="4" w:space="0" w:color="auto"/>
            </w:tcBorders>
            <w:shd w:val="clear" w:color="auto" w:fill="auto"/>
            <w:vAlign w:val="center"/>
          </w:tcPr>
          <w:p w:rsidR="003F4282" w:rsidRPr="00FA4E09" w:rsidP="003F4282" w14:paraId="65D91EF7" w14:textId="77777777">
            <w:pPr>
              <w:spacing w:after="0"/>
              <w:jc w:val="right"/>
              <w:rPr>
                <w:rFonts w:ascii="Calibri" w:eastAsia="MS Mincho" w:hAnsi="Calibri" w:cs="Calibri"/>
                <w:b/>
                <w:bCs/>
                <w:sz w:val="20"/>
                <w:szCs w:val="20"/>
                <w:lang w:eastAsia="ja-JP"/>
              </w:rPr>
            </w:pPr>
            <w:r w:rsidRPr="00FA4E09">
              <w:rPr>
                <w:rFonts w:ascii="Calibri" w:hAnsi="Calibri" w:cs="Calibri"/>
                <w:b/>
                <w:bCs/>
                <w:sz w:val="20"/>
                <w:szCs w:val="20"/>
              </w:rPr>
              <w:t>Total for All Facilities</w:t>
            </w:r>
          </w:p>
        </w:tc>
        <w:tc>
          <w:tcPr>
            <w:tcW w:w="1384" w:type="dxa"/>
            <w:tcBorders>
              <w:top w:val="nil"/>
              <w:left w:val="nil"/>
              <w:bottom w:val="double" w:sz="4" w:space="0" w:color="auto"/>
              <w:right w:val="single" w:sz="4" w:space="0" w:color="auto"/>
            </w:tcBorders>
            <w:shd w:val="clear" w:color="auto" w:fill="auto"/>
            <w:vAlign w:val="center"/>
          </w:tcPr>
          <w:p w:rsidR="003F4282" w:rsidRPr="00FA4E09" w:rsidP="003F4282" w14:paraId="5585E79C" w14:textId="77777777">
            <w:pPr>
              <w:spacing w:after="0"/>
              <w:jc w:val="right"/>
              <w:rPr>
                <w:rFonts w:ascii="Calibri" w:hAnsi="Calibri" w:cs="Calibri"/>
                <w:b/>
                <w:bCs/>
                <w:sz w:val="20"/>
                <w:szCs w:val="20"/>
              </w:rPr>
            </w:pPr>
            <w:r w:rsidRPr="00FA4E09">
              <w:rPr>
                <w:rFonts w:ascii="Calibri" w:hAnsi="Calibri" w:cs="Calibri"/>
                <w:b/>
                <w:bCs/>
                <w:sz w:val="20"/>
                <w:szCs w:val="20"/>
              </w:rPr>
              <w:t>560</w:t>
            </w:r>
          </w:p>
        </w:tc>
        <w:tc>
          <w:tcPr>
            <w:tcW w:w="1384" w:type="dxa"/>
            <w:tcBorders>
              <w:top w:val="nil"/>
              <w:left w:val="nil"/>
              <w:bottom w:val="double" w:sz="4" w:space="0" w:color="auto"/>
              <w:right w:val="single" w:sz="4" w:space="0" w:color="auto"/>
            </w:tcBorders>
            <w:shd w:val="clear" w:color="auto" w:fill="auto"/>
            <w:vAlign w:val="center"/>
          </w:tcPr>
          <w:p w:rsidR="003F4282" w:rsidRPr="00FA4E09" w:rsidP="003F4282" w14:paraId="0D132B82" w14:textId="77777777">
            <w:pPr>
              <w:spacing w:after="0"/>
              <w:jc w:val="right"/>
              <w:rPr>
                <w:rFonts w:ascii="Calibri" w:hAnsi="Calibri" w:cs="Calibri"/>
                <w:b/>
                <w:bCs/>
                <w:sz w:val="20"/>
                <w:szCs w:val="20"/>
              </w:rPr>
            </w:pPr>
            <w:r w:rsidRPr="00FA4E09">
              <w:rPr>
                <w:rFonts w:ascii="Calibri" w:hAnsi="Calibri" w:cs="Calibri"/>
                <w:b/>
                <w:bCs/>
                <w:sz w:val="20"/>
                <w:szCs w:val="20"/>
              </w:rPr>
              <w:t xml:space="preserve"> </w:t>
            </w:r>
            <w:r w:rsidRPr="00FA4E09">
              <w:rPr>
                <w:rFonts w:ascii="Calibri" w:hAnsi="Calibri" w:cs="Calibri"/>
                <w:b/>
                <w:bCs/>
                <w:sz w:val="20"/>
                <w:szCs w:val="20"/>
              </w:rPr>
              <w:t>2,</w:t>
            </w:r>
            <w:r w:rsidRPr="00FA4E09">
              <w:rPr>
                <w:rFonts w:ascii="Calibri" w:hAnsi="Calibri" w:cs="Calibri"/>
                <w:b/>
                <w:bCs/>
                <w:sz w:val="20"/>
                <w:szCs w:val="20"/>
              </w:rPr>
              <w:t xml:space="preserve">947 </w:t>
            </w:r>
          </w:p>
        </w:tc>
        <w:tc>
          <w:tcPr>
            <w:tcW w:w="1384" w:type="dxa"/>
            <w:tcBorders>
              <w:top w:val="nil"/>
              <w:left w:val="nil"/>
              <w:bottom w:val="double" w:sz="4" w:space="0" w:color="auto"/>
              <w:right w:val="double" w:sz="6" w:space="0" w:color="auto"/>
            </w:tcBorders>
            <w:shd w:val="clear" w:color="auto" w:fill="auto"/>
            <w:vAlign w:val="center"/>
          </w:tcPr>
          <w:p w:rsidR="003F4282" w:rsidRPr="00FA4E09" w:rsidP="003F4282" w14:paraId="3378D9EB" w14:textId="77777777">
            <w:pPr>
              <w:spacing w:after="0"/>
              <w:jc w:val="right"/>
              <w:rPr>
                <w:rFonts w:ascii="Calibri" w:hAnsi="Calibri" w:cs="Calibri"/>
                <w:b/>
                <w:bCs/>
                <w:sz w:val="20"/>
                <w:szCs w:val="20"/>
              </w:rPr>
            </w:pPr>
            <w:r w:rsidRPr="00FA4E09">
              <w:rPr>
                <w:rFonts w:ascii="Calibri" w:hAnsi="Calibri" w:cs="Calibri"/>
                <w:b/>
                <w:bCs/>
                <w:sz w:val="20"/>
                <w:szCs w:val="20"/>
              </w:rPr>
              <w:t>3,</w:t>
            </w:r>
            <w:r w:rsidRPr="00FA4E09">
              <w:rPr>
                <w:rFonts w:ascii="Calibri" w:hAnsi="Calibri" w:cs="Calibri"/>
                <w:b/>
                <w:bCs/>
                <w:sz w:val="20"/>
                <w:szCs w:val="20"/>
              </w:rPr>
              <w:t>507</w:t>
            </w:r>
          </w:p>
        </w:tc>
      </w:tr>
    </w:tbl>
    <w:p w:rsidR="00023EFE" w:rsidRPr="00FA4E09" w:rsidP="00194C2B" w14:paraId="30F74537" w14:textId="3975E491">
      <w:pPr>
        <w:spacing w:before="240" w:after="0"/>
        <w:rPr>
          <w:rFonts w:ascii="Calibri" w:hAnsi="Calibri" w:cs="Calibri"/>
          <w:b/>
          <w:bCs/>
        </w:rPr>
      </w:pPr>
      <w:r w:rsidRPr="00FA4E09">
        <w:rPr>
          <w:rFonts w:ascii="Calibri" w:hAnsi="Calibri" w:eastAsiaTheme="majorEastAsia" w:cs="Calibri"/>
          <w:b/>
          <w:bCs/>
        </w:rPr>
        <w:t xml:space="preserve">14b. </w:t>
      </w:r>
      <w:r w:rsidRPr="00FA4E09" w:rsidR="00BB2B15">
        <w:rPr>
          <w:rFonts w:ascii="Calibri" w:hAnsi="Calibri" w:eastAsiaTheme="majorEastAsia" w:cs="Calibri"/>
          <w:b/>
          <w:bCs/>
        </w:rPr>
        <w:t>Agency Labor Cost</w:t>
      </w:r>
    </w:p>
    <w:p w:rsidR="00BB3410" w:rsidRPr="00FA4E09" w:rsidP="00854AAE" w14:paraId="5BA12778" w14:textId="15230BE5">
      <w:pPr>
        <w:pBdr>
          <w:top w:val="single" w:sz="6" w:space="0" w:color="FFFFFF"/>
          <w:left w:val="single" w:sz="6" w:space="0" w:color="FFFFFF"/>
          <w:bottom w:val="single" w:sz="6" w:space="0" w:color="FFFFFF"/>
          <w:right w:val="single" w:sz="6" w:space="0" w:color="FFFFFF"/>
        </w:pBdr>
        <w:spacing w:before="60"/>
        <w:rPr>
          <w:rFonts w:ascii="Calibri" w:hAnsi="Calibri" w:cs="Calibri"/>
          <w:color w:val="000000"/>
        </w:rPr>
      </w:pPr>
      <w:r w:rsidRPr="00FA4E09">
        <w:rPr>
          <w:rFonts w:ascii="Calibri" w:hAnsi="Calibri" w:cs="Calibri"/>
          <w:color w:val="000000"/>
        </w:rPr>
        <w:t>The EPA estimated the average hourly Agency labor rate ($64.14/hour) for technical and managerial support using the Salary Table 2023-GS from the United States Office of Personal Management. The government employee labor rates for the Washington-Baltimore-Arlington locality are $53.67 per hour for technical roles (GS-13, Step 1) and $74.60 per hour for managerial roles (GS 15, Step 1). To account for additional costs to the federal government for benefits and overhead, the EPA also calculated an 80 percent increase in the mean hourly Agency wage rate. The EPA determined Agency labor costs by multiplying Agency burden figures by an average hourly Agency labor rate ($115.44/hour). The EPA determined contractor labor costs by multiplying contractor burden figures by an average contract labor rate of $123.07 per hour. This rate accounts for employer costs associated with benefits and overhead and is consistent with current Agency contracts.</w:t>
      </w:r>
      <w:r w:rsidRPr="00FA4E09" w:rsidR="00952A86">
        <w:rPr>
          <w:rFonts w:ascii="Calibri" w:hAnsi="Calibri" w:cs="Calibri"/>
          <w:color w:val="000000"/>
        </w:rPr>
        <w:t xml:space="preserve"> Table 14-3 includes an estimate of the Agency labor costs for each task associated with the questionnaire and the total labor cost.</w:t>
      </w:r>
    </w:p>
    <w:p w:rsidR="0061798C" w14:paraId="6AB7A8CC" w14:textId="77777777">
      <w:r>
        <w:rPr>
          <w:b/>
        </w:rPr>
        <w:br w:type="page"/>
      </w:r>
    </w:p>
    <w:tbl>
      <w:tblPr>
        <w:tblW w:w="5000" w:type="pct"/>
        <w:jc w:val="center"/>
        <w:tblCellMar>
          <w:top w:w="29" w:type="dxa"/>
          <w:left w:w="58" w:type="dxa"/>
          <w:bottom w:w="29" w:type="dxa"/>
          <w:right w:w="58" w:type="dxa"/>
        </w:tblCellMar>
        <w:tblLook w:val="0000"/>
      </w:tblPr>
      <w:tblGrid>
        <w:gridCol w:w="5024"/>
        <w:gridCol w:w="2564"/>
        <w:gridCol w:w="1008"/>
        <w:gridCol w:w="880"/>
      </w:tblGrid>
      <w:tr w14:paraId="22C0A030" w14:textId="77777777" w:rsidTr="00E02E56">
        <w:tblPrEx>
          <w:tblW w:w="5000" w:type="pct"/>
          <w:jc w:val="center"/>
          <w:tblCellMar>
            <w:top w:w="29" w:type="dxa"/>
            <w:left w:w="58" w:type="dxa"/>
            <w:bottom w:w="29" w:type="dxa"/>
            <w:right w:w="58" w:type="dxa"/>
          </w:tblCellMar>
          <w:tblLook w:val="0000"/>
        </w:tblPrEx>
        <w:trPr>
          <w:cantSplit/>
          <w:tblHeader/>
          <w:jc w:val="center"/>
        </w:trPr>
        <w:tc>
          <w:tcPr>
            <w:tcW w:w="5000" w:type="pct"/>
            <w:gridSpan w:val="4"/>
            <w:shd w:val="clear" w:color="auto" w:fill="auto"/>
            <w:noWrap/>
            <w:vAlign w:val="bottom"/>
          </w:tcPr>
          <w:p w:rsidR="00E02E56" w:rsidRPr="00FA4E09" w14:paraId="5E9C06E0" w14:textId="16A59E54">
            <w:pPr>
              <w:pStyle w:val="TableTitle"/>
              <w:rPr>
                <w:rFonts w:eastAsia="MS Mincho"/>
                <w:bCs/>
                <w:sz w:val="20"/>
                <w:szCs w:val="20"/>
                <w:highlight w:val="yellow"/>
                <w:lang w:eastAsia="ja-JP"/>
              </w:rPr>
            </w:pPr>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14</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3</w:t>
            </w:r>
            <w:r w:rsidRPr="00FA4E09">
              <w:rPr>
                <w:rFonts w:eastAsiaTheme="minorEastAsia"/>
                <w:bCs/>
                <w:smallCaps/>
                <w:spacing w:val="6"/>
                <w:sz w:val="24"/>
                <w:szCs w:val="18"/>
              </w:rPr>
              <w:fldChar w:fldCharType="end"/>
            </w:r>
            <w:r w:rsidRPr="00FA4E09">
              <w:rPr>
                <w:rFonts w:eastAsiaTheme="minorEastAsia"/>
                <w:bCs/>
                <w:smallCaps/>
                <w:spacing w:val="6"/>
                <w:sz w:val="24"/>
                <w:szCs w:val="18"/>
              </w:rPr>
              <w:t>. Estimated Agency Labor Costs for the Questionnaire</w:t>
            </w:r>
          </w:p>
        </w:tc>
      </w:tr>
      <w:tr w14:paraId="48A0B1F1" w14:textId="77777777" w:rsidTr="00E02E56">
        <w:tblPrEx>
          <w:tblW w:w="5000" w:type="pct"/>
          <w:jc w:val="center"/>
          <w:tblCellMar>
            <w:top w:w="29" w:type="dxa"/>
            <w:left w:w="58" w:type="dxa"/>
            <w:bottom w:w="29" w:type="dxa"/>
            <w:right w:w="58" w:type="dxa"/>
          </w:tblCellMar>
          <w:tblLook w:val="0000"/>
        </w:tblPrEx>
        <w:trPr>
          <w:cantSplit/>
          <w:tblHeader/>
          <w:jc w:val="center"/>
        </w:trPr>
        <w:tc>
          <w:tcPr>
            <w:tcW w:w="2651" w:type="pct"/>
            <w:vMerge w:val="restart"/>
            <w:tcBorders>
              <w:top w:val="double" w:sz="6" w:space="0" w:color="auto"/>
              <w:left w:val="double" w:sz="6" w:space="0" w:color="auto"/>
              <w:right w:val="single" w:sz="4" w:space="0" w:color="auto"/>
            </w:tcBorders>
            <w:shd w:val="clear" w:color="auto" w:fill="D9D9D9" w:themeFill="background1" w:themeFillShade="D9"/>
            <w:noWrap/>
            <w:vAlign w:val="center"/>
          </w:tcPr>
          <w:p w:rsidR="00E02E56" w:rsidRPr="00FA4E09" w:rsidP="00E02E56" w14:paraId="52CE0417"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Activity</w:t>
            </w:r>
          </w:p>
        </w:tc>
        <w:tc>
          <w:tcPr>
            <w:tcW w:w="2349" w:type="pct"/>
            <w:gridSpan w:val="3"/>
            <w:tcBorders>
              <w:top w:val="double" w:sz="6" w:space="0" w:color="auto"/>
              <w:left w:val="nil"/>
              <w:bottom w:val="single" w:sz="4" w:space="0" w:color="auto"/>
              <w:right w:val="double" w:sz="6" w:space="0" w:color="auto"/>
            </w:tcBorders>
            <w:shd w:val="clear" w:color="auto" w:fill="D9D9D9" w:themeFill="background1" w:themeFillShade="D9"/>
            <w:noWrap/>
            <w:vAlign w:val="center"/>
          </w:tcPr>
          <w:p w:rsidR="00E02E56" w:rsidRPr="00FA4E09" w:rsidP="00E02E56" w14:paraId="72C69DCD"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Labor Cost</w:t>
            </w:r>
          </w:p>
        </w:tc>
      </w:tr>
      <w:tr w14:paraId="38BC60C1" w14:textId="77777777" w:rsidTr="00E02E56">
        <w:tblPrEx>
          <w:tblW w:w="5000" w:type="pct"/>
          <w:jc w:val="center"/>
          <w:tblCellMar>
            <w:top w:w="29" w:type="dxa"/>
            <w:left w:w="58" w:type="dxa"/>
            <w:bottom w:w="29" w:type="dxa"/>
            <w:right w:w="58" w:type="dxa"/>
          </w:tblCellMar>
          <w:tblLook w:val="0000"/>
        </w:tblPrEx>
        <w:trPr>
          <w:cantSplit/>
          <w:tblHeader/>
          <w:jc w:val="center"/>
        </w:trPr>
        <w:tc>
          <w:tcPr>
            <w:tcW w:w="2651" w:type="pct"/>
            <w:vMerge/>
            <w:tcBorders>
              <w:left w:val="double" w:sz="6" w:space="0" w:color="auto"/>
              <w:bottom w:val="single" w:sz="4" w:space="0" w:color="auto"/>
              <w:right w:val="single" w:sz="4" w:space="0" w:color="auto"/>
            </w:tcBorders>
            <w:shd w:val="clear" w:color="auto" w:fill="D9D9D9" w:themeFill="background1" w:themeFillShade="D9"/>
            <w:noWrap/>
            <w:vAlign w:val="center"/>
          </w:tcPr>
          <w:p w:rsidR="00E02E56" w:rsidRPr="00FA4E09" w:rsidP="00E02E56" w14:paraId="57D736C0" w14:textId="77777777">
            <w:pPr>
              <w:spacing w:after="0"/>
              <w:jc w:val="center"/>
              <w:rPr>
                <w:rFonts w:ascii="Calibri" w:eastAsia="MS Mincho" w:hAnsi="Calibri" w:cs="Calibri"/>
                <w:b/>
                <w:bCs/>
                <w:sz w:val="20"/>
                <w:szCs w:val="20"/>
                <w:lang w:eastAsia="ja-JP"/>
              </w:rPr>
            </w:pPr>
          </w:p>
        </w:tc>
        <w:tc>
          <w:tcPr>
            <w:tcW w:w="1353" w:type="pct"/>
            <w:tcBorders>
              <w:top w:val="nil"/>
              <w:left w:val="nil"/>
              <w:bottom w:val="single" w:sz="4" w:space="0" w:color="auto"/>
              <w:right w:val="single" w:sz="4" w:space="0" w:color="auto"/>
            </w:tcBorders>
            <w:shd w:val="clear" w:color="auto" w:fill="D9D9D9" w:themeFill="background1" w:themeFillShade="D9"/>
            <w:vAlign w:val="center"/>
          </w:tcPr>
          <w:p w:rsidR="00E02E56" w:rsidRPr="00FA4E09" w:rsidP="00E02E56" w14:paraId="5BC1230D"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 xml:space="preserve">Agency </w:t>
            </w:r>
          </w:p>
        </w:tc>
        <w:tc>
          <w:tcPr>
            <w:tcW w:w="532" w:type="pct"/>
            <w:tcBorders>
              <w:top w:val="nil"/>
              <w:left w:val="nil"/>
              <w:bottom w:val="single" w:sz="4" w:space="0" w:color="auto"/>
              <w:right w:val="single" w:sz="4" w:space="0" w:color="auto"/>
            </w:tcBorders>
            <w:shd w:val="clear" w:color="auto" w:fill="D9D9D9" w:themeFill="background1" w:themeFillShade="D9"/>
            <w:vAlign w:val="center"/>
          </w:tcPr>
          <w:p w:rsidR="00E02E56" w:rsidRPr="00FA4E09" w:rsidP="00E02E56" w14:paraId="1B6A8EA7"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 xml:space="preserve">Contractor </w:t>
            </w:r>
          </w:p>
        </w:tc>
        <w:tc>
          <w:tcPr>
            <w:tcW w:w="464" w:type="pct"/>
            <w:tcBorders>
              <w:top w:val="nil"/>
              <w:left w:val="nil"/>
              <w:bottom w:val="single" w:sz="4" w:space="0" w:color="auto"/>
              <w:right w:val="double" w:sz="6" w:space="0" w:color="auto"/>
            </w:tcBorders>
            <w:shd w:val="clear" w:color="auto" w:fill="D9D9D9" w:themeFill="background1" w:themeFillShade="D9"/>
            <w:vAlign w:val="center"/>
          </w:tcPr>
          <w:p w:rsidR="00E02E56" w:rsidRPr="00FA4E09" w:rsidP="00E02E56" w14:paraId="61EF69D8"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Total Cost</w:t>
            </w:r>
          </w:p>
        </w:tc>
      </w:tr>
      <w:tr w14:paraId="7AA6148B" w14:textId="77777777" w:rsidTr="00E02E56">
        <w:tblPrEx>
          <w:tblW w:w="5000" w:type="pct"/>
          <w:jc w:val="center"/>
          <w:tblCellMar>
            <w:top w:w="29" w:type="dxa"/>
            <w:left w:w="58" w:type="dxa"/>
            <w:bottom w:w="29" w:type="dxa"/>
            <w:right w:w="58" w:type="dxa"/>
          </w:tblCellMar>
          <w:tblLook w:val="0000"/>
        </w:tblPrEx>
        <w:trPr>
          <w:cantSplit/>
          <w:trHeight w:val="186"/>
          <w:jc w:val="center"/>
        </w:trPr>
        <w:tc>
          <w:tcPr>
            <w:tcW w:w="2651" w:type="pct"/>
            <w:tcBorders>
              <w:top w:val="single" w:sz="4" w:space="0" w:color="auto"/>
              <w:left w:val="double" w:sz="6" w:space="0" w:color="auto"/>
              <w:right w:val="single" w:sz="4" w:space="0" w:color="auto"/>
            </w:tcBorders>
            <w:shd w:val="clear" w:color="auto" w:fill="auto"/>
            <w:vAlign w:val="center"/>
          </w:tcPr>
          <w:p w:rsidR="00E02E56" w:rsidRPr="00FA4E09" w:rsidP="00E02E56" w14:paraId="2DD8AB6C"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Develop questionnaire instrument (PDF and Qualtrics)</w:t>
            </w:r>
          </w:p>
        </w:tc>
        <w:tc>
          <w:tcPr>
            <w:tcW w:w="1353" w:type="pct"/>
            <w:tcBorders>
              <w:top w:val="single" w:sz="4" w:space="0" w:color="auto"/>
              <w:left w:val="single" w:sz="4" w:space="0" w:color="auto"/>
              <w:right w:val="single" w:sz="4" w:space="0" w:color="auto"/>
            </w:tcBorders>
            <w:shd w:val="clear" w:color="auto" w:fill="auto"/>
            <w:vAlign w:val="center"/>
          </w:tcPr>
          <w:p w:rsidR="00E02E56" w:rsidRPr="00FA4E09" w:rsidP="00E02E56" w14:paraId="355C2094" w14:textId="77777777">
            <w:pPr>
              <w:spacing w:after="0"/>
              <w:jc w:val="right"/>
              <w:rPr>
                <w:rFonts w:ascii="Calibri" w:hAnsi="Calibri" w:cs="Calibri"/>
                <w:sz w:val="20"/>
                <w:szCs w:val="20"/>
              </w:rPr>
            </w:pPr>
            <w:r w:rsidRPr="00FA4E09">
              <w:rPr>
                <w:rFonts w:ascii="Calibri" w:hAnsi="Calibri" w:cs="Calibri"/>
                <w:sz w:val="20"/>
                <w:szCs w:val="20"/>
              </w:rPr>
              <w:t>$11,544</w:t>
            </w:r>
          </w:p>
        </w:tc>
        <w:tc>
          <w:tcPr>
            <w:tcW w:w="532" w:type="pct"/>
            <w:tcBorders>
              <w:top w:val="single" w:sz="4" w:space="0" w:color="auto"/>
              <w:left w:val="single" w:sz="4" w:space="0" w:color="auto"/>
              <w:right w:val="single" w:sz="4" w:space="0" w:color="auto"/>
            </w:tcBorders>
            <w:shd w:val="clear" w:color="auto" w:fill="auto"/>
            <w:vAlign w:val="center"/>
          </w:tcPr>
          <w:p w:rsidR="00E02E56" w:rsidRPr="00FA4E09" w:rsidP="00E02E56" w14:paraId="2A5AAFD9" w14:textId="77777777">
            <w:pPr>
              <w:spacing w:after="0"/>
              <w:jc w:val="right"/>
              <w:rPr>
                <w:rFonts w:ascii="Calibri" w:hAnsi="Calibri" w:cs="Calibri"/>
                <w:sz w:val="20"/>
                <w:szCs w:val="20"/>
              </w:rPr>
            </w:pPr>
            <w:r w:rsidRPr="00FA4E09">
              <w:rPr>
                <w:rFonts w:ascii="Calibri" w:hAnsi="Calibri" w:cs="Calibri"/>
                <w:sz w:val="20"/>
                <w:szCs w:val="20"/>
              </w:rPr>
              <w:t xml:space="preserve"> $73,842 </w:t>
            </w:r>
          </w:p>
        </w:tc>
        <w:tc>
          <w:tcPr>
            <w:tcW w:w="464" w:type="pct"/>
            <w:tcBorders>
              <w:top w:val="single" w:sz="4" w:space="0" w:color="auto"/>
              <w:left w:val="single" w:sz="4" w:space="0" w:color="auto"/>
              <w:right w:val="double" w:sz="6" w:space="0" w:color="auto"/>
            </w:tcBorders>
            <w:shd w:val="clear" w:color="auto" w:fill="auto"/>
            <w:vAlign w:val="center"/>
          </w:tcPr>
          <w:p w:rsidR="00E02E56" w:rsidRPr="00FA4E09" w:rsidP="00E02E56" w14:paraId="7418E8C0" w14:textId="77777777">
            <w:pPr>
              <w:spacing w:after="0"/>
              <w:jc w:val="right"/>
              <w:rPr>
                <w:rFonts w:ascii="Calibri" w:hAnsi="Calibri" w:cs="Calibri"/>
                <w:b/>
                <w:bCs/>
                <w:sz w:val="20"/>
                <w:szCs w:val="20"/>
              </w:rPr>
            </w:pPr>
            <w:r w:rsidRPr="00FA4E09">
              <w:rPr>
                <w:rFonts w:ascii="Calibri" w:hAnsi="Calibri" w:cs="Calibri"/>
                <w:b/>
                <w:bCs/>
                <w:sz w:val="20"/>
                <w:szCs w:val="20"/>
              </w:rPr>
              <w:t>$85,386</w:t>
            </w:r>
          </w:p>
        </w:tc>
      </w:tr>
      <w:tr w14:paraId="3B73265E" w14:textId="77777777" w:rsidTr="00E02E56">
        <w:tblPrEx>
          <w:tblW w:w="5000" w:type="pct"/>
          <w:jc w:val="center"/>
          <w:tblCellMar>
            <w:top w:w="29" w:type="dxa"/>
            <w:left w:w="58" w:type="dxa"/>
            <w:bottom w:w="29" w:type="dxa"/>
            <w:right w:w="58" w:type="dxa"/>
          </w:tblCellMar>
          <w:tblLook w:val="0000"/>
        </w:tblPrEx>
        <w:trPr>
          <w:cantSplit/>
          <w:trHeight w:val="249"/>
          <w:jc w:val="center"/>
        </w:trPr>
        <w:tc>
          <w:tcPr>
            <w:tcW w:w="2651" w:type="pct"/>
            <w:tcBorders>
              <w:top w:val="single" w:sz="4" w:space="0" w:color="auto"/>
              <w:left w:val="double" w:sz="6" w:space="0" w:color="auto"/>
              <w:right w:val="single" w:sz="4" w:space="0" w:color="auto"/>
            </w:tcBorders>
            <w:shd w:val="clear" w:color="auto" w:fill="auto"/>
            <w:vAlign w:val="center"/>
          </w:tcPr>
          <w:p w:rsidR="00E02E56" w:rsidRPr="00FA4E09" w:rsidP="00E02E56" w14:paraId="506F1002"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Meet with trade association representatives and stakeholders</w:t>
            </w:r>
          </w:p>
        </w:tc>
        <w:tc>
          <w:tcPr>
            <w:tcW w:w="1353" w:type="pct"/>
            <w:vMerge w:val="restart"/>
            <w:tcBorders>
              <w:top w:val="single" w:sz="4" w:space="0" w:color="auto"/>
              <w:left w:val="single" w:sz="4" w:space="0" w:color="auto"/>
              <w:right w:val="single" w:sz="4" w:space="0" w:color="auto"/>
            </w:tcBorders>
            <w:shd w:val="clear" w:color="auto" w:fill="auto"/>
            <w:vAlign w:val="center"/>
          </w:tcPr>
          <w:p w:rsidR="00E02E56" w:rsidRPr="00FA4E09" w:rsidP="00E02E56" w14:paraId="3842374F" w14:textId="77777777">
            <w:pPr>
              <w:spacing w:after="0"/>
              <w:jc w:val="right"/>
              <w:rPr>
                <w:rFonts w:ascii="Calibri" w:hAnsi="Calibri" w:cs="Calibri"/>
                <w:sz w:val="20"/>
                <w:szCs w:val="20"/>
              </w:rPr>
            </w:pPr>
            <w:r w:rsidRPr="00FA4E09">
              <w:rPr>
                <w:rFonts w:ascii="Calibri" w:hAnsi="Calibri" w:cs="Calibri"/>
                <w:sz w:val="20"/>
                <w:szCs w:val="20"/>
              </w:rPr>
              <w:t xml:space="preserve">$11,544 </w:t>
            </w:r>
          </w:p>
        </w:tc>
        <w:tc>
          <w:tcPr>
            <w:tcW w:w="532" w:type="pct"/>
            <w:vMerge w:val="restart"/>
            <w:tcBorders>
              <w:top w:val="single" w:sz="4" w:space="0" w:color="auto"/>
              <w:left w:val="single" w:sz="4" w:space="0" w:color="auto"/>
              <w:right w:val="single" w:sz="4" w:space="0" w:color="auto"/>
            </w:tcBorders>
            <w:shd w:val="clear" w:color="auto" w:fill="auto"/>
            <w:vAlign w:val="center"/>
          </w:tcPr>
          <w:p w:rsidR="00E02E56" w:rsidRPr="00FA4E09" w:rsidP="00E02E56" w14:paraId="5F50ACCF" w14:textId="77777777">
            <w:pPr>
              <w:spacing w:after="0"/>
              <w:jc w:val="right"/>
              <w:rPr>
                <w:rFonts w:ascii="Calibri" w:hAnsi="Calibri" w:cs="Calibri"/>
                <w:sz w:val="20"/>
                <w:szCs w:val="20"/>
              </w:rPr>
            </w:pPr>
            <w:r w:rsidRPr="00FA4E09">
              <w:rPr>
                <w:rFonts w:ascii="Calibri" w:hAnsi="Calibri" w:cs="Calibri"/>
                <w:sz w:val="20"/>
                <w:szCs w:val="20"/>
              </w:rPr>
              <w:t xml:space="preserve"> $45,536 </w:t>
            </w:r>
          </w:p>
        </w:tc>
        <w:tc>
          <w:tcPr>
            <w:tcW w:w="464" w:type="pct"/>
            <w:vMerge w:val="restart"/>
            <w:tcBorders>
              <w:top w:val="single" w:sz="4" w:space="0" w:color="auto"/>
              <w:left w:val="single" w:sz="4" w:space="0" w:color="auto"/>
              <w:right w:val="double" w:sz="6" w:space="0" w:color="auto"/>
            </w:tcBorders>
            <w:shd w:val="clear" w:color="auto" w:fill="auto"/>
            <w:vAlign w:val="center"/>
          </w:tcPr>
          <w:p w:rsidR="00E02E56" w:rsidRPr="00FA4E09" w:rsidP="00E02E56" w14:paraId="35027C9B" w14:textId="77777777">
            <w:pPr>
              <w:spacing w:after="0"/>
              <w:jc w:val="right"/>
              <w:rPr>
                <w:rFonts w:ascii="Calibri" w:hAnsi="Calibri" w:cs="Calibri"/>
                <w:b/>
                <w:bCs/>
                <w:sz w:val="20"/>
                <w:szCs w:val="20"/>
              </w:rPr>
            </w:pPr>
            <w:r w:rsidRPr="00FA4E09">
              <w:rPr>
                <w:rFonts w:ascii="Calibri" w:hAnsi="Calibri" w:cs="Calibri"/>
                <w:b/>
                <w:bCs/>
                <w:sz w:val="20"/>
                <w:szCs w:val="20"/>
              </w:rPr>
              <w:t xml:space="preserve">$57,080 </w:t>
            </w:r>
          </w:p>
        </w:tc>
      </w:tr>
      <w:tr w14:paraId="288A44C9"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4B93B8BE"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 xml:space="preserve">Publish notice of anticipated ICR in the </w:t>
            </w:r>
            <w:r w:rsidRPr="00FA4E09">
              <w:rPr>
                <w:rFonts w:ascii="Calibri" w:hAnsi="Calibri" w:cs="Calibri"/>
                <w:i/>
                <w:iCs/>
                <w:color w:val="000000"/>
                <w:sz w:val="20"/>
                <w:szCs w:val="20"/>
              </w:rPr>
              <w:t>Federal Register</w:t>
            </w:r>
          </w:p>
        </w:tc>
        <w:tc>
          <w:tcPr>
            <w:tcW w:w="1353" w:type="pct"/>
            <w:vMerge/>
            <w:tcBorders>
              <w:left w:val="single" w:sz="4" w:space="0" w:color="auto"/>
              <w:right w:val="single" w:sz="4" w:space="0" w:color="auto"/>
            </w:tcBorders>
            <w:shd w:val="clear" w:color="auto" w:fill="auto"/>
            <w:vAlign w:val="center"/>
          </w:tcPr>
          <w:p w:rsidR="00E02E56" w:rsidRPr="00FA4E09" w:rsidP="00E02E56" w14:paraId="6B8B314A" w14:textId="77777777">
            <w:pPr>
              <w:spacing w:after="0"/>
              <w:jc w:val="right"/>
              <w:rPr>
                <w:rFonts w:ascii="Calibri" w:hAnsi="Calibri" w:cs="Calibri"/>
                <w:sz w:val="20"/>
                <w:szCs w:val="20"/>
              </w:rPr>
            </w:pPr>
          </w:p>
        </w:tc>
        <w:tc>
          <w:tcPr>
            <w:tcW w:w="532" w:type="pct"/>
            <w:vMerge/>
            <w:tcBorders>
              <w:left w:val="single" w:sz="4" w:space="0" w:color="auto"/>
              <w:right w:val="single" w:sz="4" w:space="0" w:color="auto"/>
            </w:tcBorders>
            <w:shd w:val="clear" w:color="auto" w:fill="auto"/>
            <w:vAlign w:val="center"/>
          </w:tcPr>
          <w:p w:rsidR="00E02E56" w:rsidRPr="00FA4E09" w:rsidP="00E02E56" w14:paraId="55EEC2AB" w14:textId="77777777">
            <w:pPr>
              <w:spacing w:after="0"/>
              <w:jc w:val="right"/>
              <w:rPr>
                <w:rFonts w:ascii="Calibri" w:hAnsi="Calibri" w:cs="Calibri"/>
                <w:sz w:val="20"/>
                <w:szCs w:val="20"/>
              </w:rPr>
            </w:pPr>
          </w:p>
        </w:tc>
        <w:tc>
          <w:tcPr>
            <w:tcW w:w="464" w:type="pct"/>
            <w:vMerge/>
            <w:tcBorders>
              <w:left w:val="single" w:sz="4" w:space="0" w:color="auto"/>
              <w:right w:val="double" w:sz="6" w:space="0" w:color="auto"/>
            </w:tcBorders>
            <w:shd w:val="clear" w:color="auto" w:fill="auto"/>
            <w:vAlign w:val="center"/>
          </w:tcPr>
          <w:p w:rsidR="00E02E56" w:rsidRPr="00FA4E09" w:rsidP="00E02E56" w14:paraId="43AEEB6B" w14:textId="77777777">
            <w:pPr>
              <w:spacing w:after="0"/>
              <w:jc w:val="right"/>
              <w:rPr>
                <w:rFonts w:ascii="Calibri" w:hAnsi="Calibri" w:cs="Calibri"/>
                <w:b/>
                <w:bCs/>
                <w:sz w:val="20"/>
                <w:szCs w:val="20"/>
              </w:rPr>
            </w:pPr>
          </w:p>
        </w:tc>
      </w:tr>
      <w:tr w14:paraId="64374CF7"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5B7D8F7C"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Respond to comments received</w:t>
            </w:r>
          </w:p>
        </w:tc>
        <w:tc>
          <w:tcPr>
            <w:tcW w:w="1353" w:type="pct"/>
            <w:vMerge/>
            <w:tcBorders>
              <w:left w:val="single" w:sz="4" w:space="0" w:color="auto"/>
              <w:right w:val="single" w:sz="4" w:space="0" w:color="auto"/>
            </w:tcBorders>
            <w:shd w:val="clear" w:color="auto" w:fill="auto"/>
            <w:vAlign w:val="center"/>
          </w:tcPr>
          <w:p w:rsidR="00E02E56" w:rsidRPr="00FA4E09" w:rsidP="00E02E56" w14:paraId="65B40988" w14:textId="77777777">
            <w:pPr>
              <w:spacing w:after="0"/>
              <w:jc w:val="right"/>
              <w:rPr>
                <w:rFonts w:ascii="Calibri" w:hAnsi="Calibri" w:cs="Calibri"/>
                <w:sz w:val="20"/>
                <w:szCs w:val="20"/>
              </w:rPr>
            </w:pPr>
          </w:p>
        </w:tc>
        <w:tc>
          <w:tcPr>
            <w:tcW w:w="532" w:type="pct"/>
            <w:vMerge/>
            <w:tcBorders>
              <w:left w:val="single" w:sz="4" w:space="0" w:color="auto"/>
              <w:right w:val="single" w:sz="4" w:space="0" w:color="auto"/>
            </w:tcBorders>
            <w:shd w:val="clear" w:color="auto" w:fill="auto"/>
            <w:vAlign w:val="center"/>
          </w:tcPr>
          <w:p w:rsidR="00E02E56" w:rsidRPr="00FA4E09" w:rsidP="00E02E56" w14:paraId="46DE833E" w14:textId="77777777">
            <w:pPr>
              <w:spacing w:after="0"/>
              <w:jc w:val="right"/>
              <w:rPr>
                <w:rFonts w:ascii="Calibri" w:hAnsi="Calibri" w:cs="Calibri"/>
                <w:sz w:val="20"/>
                <w:szCs w:val="20"/>
              </w:rPr>
            </w:pPr>
          </w:p>
        </w:tc>
        <w:tc>
          <w:tcPr>
            <w:tcW w:w="464" w:type="pct"/>
            <w:vMerge/>
            <w:tcBorders>
              <w:left w:val="single" w:sz="4" w:space="0" w:color="auto"/>
              <w:right w:val="double" w:sz="6" w:space="0" w:color="auto"/>
            </w:tcBorders>
            <w:shd w:val="clear" w:color="auto" w:fill="auto"/>
            <w:vAlign w:val="center"/>
          </w:tcPr>
          <w:p w:rsidR="00E02E56" w:rsidRPr="00FA4E09" w:rsidP="00E02E56" w14:paraId="615DBD62" w14:textId="77777777">
            <w:pPr>
              <w:spacing w:after="0"/>
              <w:jc w:val="right"/>
              <w:rPr>
                <w:rFonts w:ascii="Calibri" w:hAnsi="Calibri" w:cs="Calibri"/>
                <w:b/>
                <w:bCs/>
                <w:sz w:val="20"/>
                <w:szCs w:val="20"/>
              </w:rPr>
            </w:pPr>
          </w:p>
        </w:tc>
      </w:tr>
      <w:tr w14:paraId="700F99EB"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38907CF1"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Revise questionnaire instrument based on comments</w:t>
            </w:r>
          </w:p>
        </w:tc>
        <w:tc>
          <w:tcPr>
            <w:tcW w:w="1353" w:type="pct"/>
            <w:vMerge/>
            <w:tcBorders>
              <w:left w:val="single" w:sz="4" w:space="0" w:color="auto"/>
              <w:bottom w:val="single" w:sz="4" w:space="0" w:color="auto"/>
              <w:right w:val="single" w:sz="4" w:space="0" w:color="auto"/>
            </w:tcBorders>
            <w:shd w:val="clear" w:color="auto" w:fill="auto"/>
            <w:vAlign w:val="center"/>
          </w:tcPr>
          <w:p w:rsidR="00E02E56" w:rsidRPr="00FA4E09" w:rsidP="00E02E56" w14:paraId="44B7287F" w14:textId="77777777">
            <w:pPr>
              <w:spacing w:after="0"/>
              <w:jc w:val="right"/>
              <w:rPr>
                <w:rFonts w:ascii="Calibri" w:hAnsi="Calibri" w:cs="Calibri"/>
                <w:sz w:val="20"/>
                <w:szCs w:val="20"/>
              </w:rPr>
            </w:pPr>
          </w:p>
        </w:tc>
        <w:tc>
          <w:tcPr>
            <w:tcW w:w="532" w:type="pct"/>
            <w:vMerge/>
            <w:tcBorders>
              <w:left w:val="single" w:sz="4" w:space="0" w:color="auto"/>
              <w:bottom w:val="single" w:sz="4" w:space="0" w:color="auto"/>
              <w:right w:val="single" w:sz="4" w:space="0" w:color="auto"/>
            </w:tcBorders>
            <w:shd w:val="clear" w:color="auto" w:fill="auto"/>
            <w:vAlign w:val="center"/>
          </w:tcPr>
          <w:p w:rsidR="00E02E56" w:rsidRPr="00FA4E09" w:rsidP="00E02E56" w14:paraId="41997BF5" w14:textId="77777777">
            <w:pPr>
              <w:spacing w:after="0"/>
              <w:jc w:val="right"/>
              <w:rPr>
                <w:rFonts w:ascii="Calibri" w:hAnsi="Calibri" w:cs="Calibri"/>
                <w:sz w:val="20"/>
                <w:szCs w:val="20"/>
              </w:rPr>
            </w:pPr>
          </w:p>
        </w:tc>
        <w:tc>
          <w:tcPr>
            <w:tcW w:w="464" w:type="pct"/>
            <w:vMerge/>
            <w:tcBorders>
              <w:left w:val="single" w:sz="4" w:space="0" w:color="auto"/>
              <w:bottom w:val="single" w:sz="4" w:space="0" w:color="auto"/>
              <w:right w:val="double" w:sz="6" w:space="0" w:color="auto"/>
            </w:tcBorders>
            <w:shd w:val="clear" w:color="auto" w:fill="auto"/>
            <w:vAlign w:val="center"/>
          </w:tcPr>
          <w:p w:rsidR="00E02E56" w:rsidRPr="00FA4E09" w:rsidP="00E02E56" w14:paraId="38354E74" w14:textId="77777777">
            <w:pPr>
              <w:spacing w:after="0"/>
              <w:jc w:val="right"/>
              <w:rPr>
                <w:rFonts w:ascii="Calibri" w:hAnsi="Calibri" w:cs="Calibri"/>
                <w:b/>
                <w:bCs/>
                <w:sz w:val="20"/>
                <w:szCs w:val="20"/>
              </w:rPr>
            </w:pPr>
          </w:p>
        </w:tc>
      </w:tr>
      <w:tr w14:paraId="46BE61B8"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2190CE26"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Design distribution approach</w:t>
            </w:r>
          </w:p>
        </w:tc>
        <w:tc>
          <w:tcPr>
            <w:tcW w:w="1353" w:type="pct"/>
            <w:vMerge w:val="restart"/>
            <w:tcBorders>
              <w:top w:val="single" w:sz="4" w:space="0" w:color="auto"/>
              <w:left w:val="single" w:sz="4" w:space="0" w:color="auto"/>
              <w:right w:val="single" w:sz="4" w:space="0" w:color="auto"/>
            </w:tcBorders>
            <w:shd w:val="clear" w:color="auto" w:fill="auto"/>
            <w:vAlign w:val="center"/>
          </w:tcPr>
          <w:p w:rsidR="00E02E56" w:rsidRPr="00FA4E09" w:rsidP="00E02E56" w14:paraId="78EC2275" w14:textId="77777777">
            <w:pPr>
              <w:spacing w:after="0"/>
              <w:jc w:val="right"/>
              <w:rPr>
                <w:rFonts w:ascii="Calibri" w:hAnsi="Calibri" w:cs="Calibri"/>
                <w:sz w:val="20"/>
                <w:szCs w:val="20"/>
              </w:rPr>
            </w:pPr>
            <w:r w:rsidRPr="00FA4E09">
              <w:rPr>
                <w:rFonts w:ascii="Calibri" w:hAnsi="Calibri" w:cs="Calibri"/>
                <w:sz w:val="20"/>
                <w:szCs w:val="20"/>
              </w:rPr>
              <w:t xml:space="preserve">$6,927 </w:t>
            </w:r>
          </w:p>
        </w:tc>
        <w:tc>
          <w:tcPr>
            <w:tcW w:w="532" w:type="pct"/>
            <w:vMerge w:val="restart"/>
            <w:tcBorders>
              <w:top w:val="single" w:sz="4" w:space="0" w:color="auto"/>
              <w:left w:val="single" w:sz="4" w:space="0" w:color="auto"/>
              <w:right w:val="single" w:sz="4" w:space="0" w:color="auto"/>
            </w:tcBorders>
            <w:shd w:val="clear" w:color="auto" w:fill="auto"/>
            <w:vAlign w:val="center"/>
          </w:tcPr>
          <w:p w:rsidR="00E02E56" w:rsidRPr="00FA4E09" w:rsidP="00E02E56" w14:paraId="15F2CA22" w14:textId="77777777">
            <w:pPr>
              <w:spacing w:after="0"/>
              <w:jc w:val="right"/>
              <w:rPr>
                <w:rFonts w:ascii="Calibri" w:hAnsi="Calibri" w:cs="Calibri"/>
                <w:sz w:val="20"/>
                <w:szCs w:val="20"/>
              </w:rPr>
            </w:pPr>
            <w:r w:rsidRPr="00FA4E09">
              <w:rPr>
                <w:rFonts w:ascii="Calibri" w:hAnsi="Calibri" w:cs="Calibri"/>
                <w:sz w:val="20"/>
                <w:szCs w:val="20"/>
              </w:rPr>
              <w:t xml:space="preserve"> $50,459 </w:t>
            </w:r>
          </w:p>
        </w:tc>
        <w:tc>
          <w:tcPr>
            <w:tcW w:w="464" w:type="pct"/>
            <w:vMerge w:val="restart"/>
            <w:tcBorders>
              <w:top w:val="single" w:sz="4" w:space="0" w:color="auto"/>
              <w:left w:val="single" w:sz="4" w:space="0" w:color="auto"/>
              <w:right w:val="double" w:sz="6" w:space="0" w:color="auto"/>
            </w:tcBorders>
            <w:shd w:val="clear" w:color="auto" w:fill="auto"/>
            <w:vAlign w:val="center"/>
          </w:tcPr>
          <w:p w:rsidR="00E02E56" w:rsidRPr="00FA4E09" w:rsidP="00E02E56" w14:paraId="1E4135EC" w14:textId="77777777">
            <w:pPr>
              <w:spacing w:after="0"/>
              <w:jc w:val="right"/>
              <w:rPr>
                <w:rFonts w:ascii="Calibri" w:hAnsi="Calibri" w:cs="Calibri"/>
                <w:b/>
                <w:bCs/>
                <w:sz w:val="20"/>
                <w:szCs w:val="20"/>
              </w:rPr>
            </w:pPr>
            <w:r w:rsidRPr="00FA4E09">
              <w:rPr>
                <w:rFonts w:ascii="Calibri" w:hAnsi="Calibri" w:cs="Calibri"/>
                <w:b/>
                <w:bCs/>
                <w:sz w:val="20"/>
                <w:szCs w:val="20"/>
              </w:rPr>
              <w:t xml:space="preserve">$57,385 </w:t>
            </w:r>
          </w:p>
        </w:tc>
      </w:tr>
      <w:tr w14:paraId="599EAFE7"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10B7B886"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Develop a mailing list database</w:t>
            </w:r>
          </w:p>
        </w:tc>
        <w:tc>
          <w:tcPr>
            <w:tcW w:w="1353" w:type="pct"/>
            <w:vMerge/>
            <w:tcBorders>
              <w:left w:val="single" w:sz="4" w:space="0" w:color="auto"/>
              <w:right w:val="single" w:sz="4" w:space="0" w:color="auto"/>
            </w:tcBorders>
            <w:shd w:val="clear" w:color="auto" w:fill="auto"/>
            <w:vAlign w:val="center"/>
          </w:tcPr>
          <w:p w:rsidR="00E02E56" w:rsidRPr="00FA4E09" w:rsidP="00E02E56" w14:paraId="4154B280" w14:textId="77777777">
            <w:pPr>
              <w:spacing w:after="0"/>
              <w:jc w:val="right"/>
              <w:rPr>
                <w:rFonts w:ascii="Calibri" w:hAnsi="Calibri" w:cs="Calibri"/>
                <w:sz w:val="20"/>
                <w:szCs w:val="20"/>
              </w:rPr>
            </w:pPr>
          </w:p>
        </w:tc>
        <w:tc>
          <w:tcPr>
            <w:tcW w:w="532" w:type="pct"/>
            <w:vMerge/>
            <w:tcBorders>
              <w:left w:val="single" w:sz="4" w:space="0" w:color="auto"/>
              <w:right w:val="single" w:sz="4" w:space="0" w:color="auto"/>
            </w:tcBorders>
            <w:shd w:val="clear" w:color="auto" w:fill="auto"/>
            <w:vAlign w:val="center"/>
          </w:tcPr>
          <w:p w:rsidR="00E02E56" w:rsidRPr="00FA4E09" w:rsidP="00E02E56" w14:paraId="6950B961" w14:textId="77777777">
            <w:pPr>
              <w:spacing w:after="0"/>
              <w:jc w:val="right"/>
              <w:rPr>
                <w:rFonts w:ascii="Calibri" w:hAnsi="Calibri" w:cs="Calibri"/>
                <w:sz w:val="20"/>
                <w:szCs w:val="20"/>
              </w:rPr>
            </w:pPr>
          </w:p>
        </w:tc>
        <w:tc>
          <w:tcPr>
            <w:tcW w:w="464" w:type="pct"/>
            <w:vMerge/>
            <w:tcBorders>
              <w:left w:val="single" w:sz="4" w:space="0" w:color="auto"/>
              <w:right w:val="double" w:sz="6" w:space="0" w:color="auto"/>
            </w:tcBorders>
            <w:shd w:val="clear" w:color="auto" w:fill="auto"/>
            <w:vAlign w:val="center"/>
          </w:tcPr>
          <w:p w:rsidR="00E02E56" w:rsidRPr="00FA4E09" w:rsidP="00E02E56" w14:paraId="58E4B91F" w14:textId="77777777">
            <w:pPr>
              <w:spacing w:after="0"/>
              <w:jc w:val="right"/>
              <w:rPr>
                <w:rFonts w:ascii="Calibri" w:hAnsi="Calibri" w:cs="Calibri"/>
                <w:b/>
                <w:bCs/>
                <w:sz w:val="20"/>
                <w:szCs w:val="20"/>
              </w:rPr>
            </w:pPr>
          </w:p>
        </w:tc>
      </w:tr>
      <w:tr w14:paraId="2187B41A"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37CF225C"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Develop a system to track mailing and receipt activities to improve mailing list</w:t>
            </w:r>
          </w:p>
        </w:tc>
        <w:tc>
          <w:tcPr>
            <w:tcW w:w="1353" w:type="pct"/>
            <w:vMerge/>
            <w:tcBorders>
              <w:left w:val="single" w:sz="4" w:space="0" w:color="auto"/>
              <w:right w:val="single" w:sz="4" w:space="0" w:color="auto"/>
            </w:tcBorders>
            <w:shd w:val="clear" w:color="auto" w:fill="auto"/>
            <w:vAlign w:val="center"/>
          </w:tcPr>
          <w:p w:rsidR="00E02E56" w:rsidRPr="00FA4E09" w:rsidP="00E02E56" w14:paraId="0ED92651" w14:textId="77777777">
            <w:pPr>
              <w:spacing w:after="0"/>
              <w:jc w:val="right"/>
              <w:rPr>
                <w:rFonts w:ascii="Calibri" w:hAnsi="Calibri" w:cs="Calibri"/>
                <w:sz w:val="20"/>
                <w:szCs w:val="20"/>
              </w:rPr>
            </w:pPr>
          </w:p>
        </w:tc>
        <w:tc>
          <w:tcPr>
            <w:tcW w:w="532" w:type="pct"/>
            <w:vMerge/>
            <w:tcBorders>
              <w:left w:val="single" w:sz="4" w:space="0" w:color="auto"/>
              <w:right w:val="single" w:sz="4" w:space="0" w:color="auto"/>
            </w:tcBorders>
            <w:shd w:val="clear" w:color="auto" w:fill="auto"/>
            <w:vAlign w:val="center"/>
          </w:tcPr>
          <w:p w:rsidR="00E02E56" w:rsidRPr="00FA4E09" w:rsidP="00E02E56" w14:paraId="3B9FB623" w14:textId="77777777">
            <w:pPr>
              <w:spacing w:after="0"/>
              <w:jc w:val="right"/>
              <w:rPr>
                <w:rFonts w:ascii="Calibri" w:hAnsi="Calibri" w:cs="Calibri"/>
                <w:sz w:val="20"/>
                <w:szCs w:val="20"/>
              </w:rPr>
            </w:pPr>
          </w:p>
        </w:tc>
        <w:tc>
          <w:tcPr>
            <w:tcW w:w="464" w:type="pct"/>
            <w:vMerge/>
            <w:tcBorders>
              <w:left w:val="single" w:sz="4" w:space="0" w:color="auto"/>
              <w:right w:val="double" w:sz="6" w:space="0" w:color="auto"/>
            </w:tcBorders>
            <w:shd w:val="clear" w:color="auto" w:fill="auto"/>
            <w:vAlign w:val="center"/>
          </w:tcPr>
          <w:p w:rsidR="00E02E56" w:rsidRPr="00FA4E09" w:rsidP="00E02E56" w14:paraId="791B25D7" w14:textId="77777777">
            <w:pPr>
              <w:spacing w:after="0"/>
              <w:jc w:val="right"/>
              <w:rPr>
                <w:rFonts w:ascii="Calibri" w:hAnsi="Calibri" w:cs="Calibri"/>
                <w:b/>
                <w:bCs/>
                <w:sz w:val="20"/>
                <w:szCs w:val="20"/>
              </w:rPr>
            </w:pPr>
          </w:p>
        </w:tc>
      </w:tr>
      <w:tr w14:paraId="78CB5CBA"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6E14FAD2"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Develop notification letters</w:t>
            </w:r>
          </w:p>
        </w:tc>
        <w:tc>
          <w:tcPr>
            <w:tcW w:w="1353" w:type="pct"/>
            <w:vMerge/>
            <w:tcBorders>
              <w:left w:val="single" w:sz="4" w:space="0" w:color="auto"/>
              <w:right w:val="single" w:sz="4" w:space="0" w:color="auto"/>
            </w:tcBorders>
            <w:shd w:val="clear" w:color="auto" w:fill="auto"/>
            <w:vAlign w:val="center"/>
          </w:tcPr>
          <w:p w:rsidR="00E02E56" w:rsidRPr="00FA4E09" w:rsidP="00E02E56" w14:paraId="47AF04D2" w14:textId="77777777">
            <w:pPr>
              <w:spacing w:after="0"/>
              <w:jc w:val="right"/>
              <w:rPr>
                <w:rFonts w:ascii="Calibri" w:hAnsi="Calibri" w:cs="Calibri"/>
                <w:sz w:val="20"/>
                <w:szCs w:val="20"/>
              </w:rPr>
            </w:pPr>
          </w:p>
        </w:tc>
        <w:tc>
          <w:tcPr>
            <w:tcW w:w="532" w:type="pct"/>
            <w:vMerge/>
            <w:tcBorders>
              <w:left w:val="single" w:sz="4" w:space="0" w:color="auto"/>
              <w:right w:val="single" w:sz="4" w:space="0" w:color="auto"/>
            </w:tcBorders>
            <w:shd w:val="clear" w:color="auto" w:fill="auto"/>
            <w:vAlign w:val="center"/>
          </w:tcPr>
          <w:p w:rsidR="00E02E56" w:rsidRPr="00FA4E09" w:rsidP="00E02E56" w14:paraId="2058BA84" w14:textId="77777777">
            <w:pPr>
              <w:spacing w:after="0"/>
              <w:jc w:val="right"/>
              <w:rPr>
                <w:rFonts w:ascii="Calibri" w:hAnsi="Calibri" w:cs="Calibri"/>
                <w:sz w:val="20"/>
                <w:szCs w:val="20"/>
              </w:rPr>
            </w:pPr>
          </w:p>
        </w:tc>
        <w:tc>
          <w:tcPr>
            <w:tcW w:w="464" w:type="pct"/>
            <w:vMerge/>
            <w:tcBorders>
              <w:left w:val="single" w:sz="4" w:space="0" w:color="auto"/>
              <w:right w:val="double" w:sz="6" w:space="0" w:color="auto"/>
            </w:tcBorders>
            <w:shd w:val="clear" w:color="auto" w:fill="auto"/>
            <w:vAlign w:val="center"/>
          </w:tcPr>
          <w:p w:rsidR="00E02E56" w:rsidRPr="00FA4E09" w:rsidP="00E02E56" w14:paraId="06F825B6" w14:textId="77777777">
            <w:pPr>
              <w:spacing w:after="0"/>
              <w:jc w:val="right"/>
              <w:rPr>
                <w:rFonts w:ascii="Calibri" w:hAnsi="Calibri" w:cs="Calibri"/>
                <w:b/>
                <w:bCs/>
                <w:sz w:val="20"/>
                <w:szCs w:val="20"/>
              </w:rPr>
            </w:pPr>
          </w:p>
        </w:tc>
      </w:tr>
      <w:tr w14:paraId="5EB3BD93"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tcPr>
          <w:p w:rsidR="00E02E56" w:rsidRPr="00FA4E09" w:rsidP="00E02E56" w14:paraId="2CB152D1" w14:textId="77777777">
            <w:pPr>
              <w:spacing w:after="0"/>
              <w:rPr>
                <w:rFonts w:ascii="Calibri" w:hAnsi="Calibri" w:cs="Calibri"/>
                <w:color w:val="000000"/>
                <w:sz w:val="20"/>
                <w:szCs w:val="20"/>
              </w:rPr>
            </w:pPr>
            <w:r w:rsidRPr="00FA4E09">
              <w:rPr>
                <w:rFonts w:ascii="Calibri" w:hAnsi="Calibri" w:cs="Calibri"/>
                <w:color w:val="000000"/>
                <w:sz w:val="20"/>
                <w:szCs w:val="20"/>
              </w:rPr>
              <w:t>Mail questionnaire notification letters</w:t>
            </w:r>
          </w:p>
        </w:tc>
        <w:tc>
          <w:tcPr>
            <w:tcW w:w="1353" w:type="pct"/>
            <w:vMerge/>
            <w:tcBorders>
              <w:left w:val="single" w:sz="4" w:space="0" w:color="auto"/>
              <w:bottom w:val="single" w:sz="4" w:space="0" w:color="auto"/>
              <w:right w:val="single" w:sz="4" w:space="0" w:color="auto"/>
            </w:tcBorders>
            <w:shd w:val="clear" w:color="auto" w:fill="auto"/>
            <w:vAlign w:val="center"/>
          </w:tcPr>
          <w:p w:rsidR="00E02E56" w:rsidRPr="00FA4E09" w:rsidP="00E02E56" w14:paraId="50AB3A3C" w14:textId="77777777">
            <w:pPr>
              <w:spacing w:after="0"/>
              <w:jc w:val="right"/>
              <w:rPr>
                <w:rFonts w:ascii="Calibri" w:hAnsi="Calibri" w:cs="Calibri"/>
                <w:sz w:val="20"/>
                <w:szCs w:val="20"/>
              </w:rPr>
            </w:pPr>
          </w:p>
        </w:tc>
        <w:tc>
          <w:tcPr>
            <w:tcW w:w="532" w:type="pct"/>
            <w:vMerge/>
            <w:tcBorders>
              <w:left w:val="single" w:sz="4" w:space="0" w:color="auto"/>
              <w:bottom w:val="single" w:sz="4" w:space="0" w:color="auto"/>
              <w:right w:val="single" w:sz="4" w:space="0" w:color="auto"/>
            </w:tcBorders>
            <w:shd w:val="clear" w:color="auto" w:fill="auto"/>
            <w:vAlign w:val="center"/>
          </w:tcPr>
          <w:p w:rsidR="00E02E56" w:rsidRPr="00FA4E09" w:rsidP="00E02E56" w14:paraId="53E5EBE2" w14:textId="77777777">
            <w:pPr>
              <w:spacing w:after="0"/>
              <w:jc w:val="right"/>
              <w:rPr>
                <w:rFonts w:ascii="Calibri" w:hAnsi="Calibri" w:cs="Calibri"/>
                <w:sz w:val="20"/>
                <w:szCs w:val="20"/>
              </w:rPr>
            </w:pPr>
          </w:p>
        </w:tc>
        <w:tc>
          <w:tcPr>
            <w:tcW w:w="464" w:type="pct"/>
            <w:vMerge/>
            <w:tcBorders>
              <w:left w:val="single" w:sz="4" w:space="0" w:color="auto"/>
              <w:bottom w:val="single" w:sz="4" w:space="0" w:color="auto"/>
              <w:right w:val="double" w:sz="6" w:space="0" w:color="auto"/>
            </w:tcBorders>
            <w:shd w:val="clear" w:color="auto" w:fill="auto"/>
            <w:vAlign w:val="center"/>
          </w:tcPr>
          <w:p w:rsidR="00E02E56" w:rsidRPr="00FA4E09" w:rsidP="00E02E56" w14:paraId="36972002" w14:textId="77777777">
            <w:pPr>
              <w:spacing w:after="0"/>
              <w:jc w:val="right"/>
              <w:rPr>
                <w:rFonts w:ascii="Calibri" w:hAnsi="Calibri" w:cs="Calibri"/>
                <w:b/>
                <w:bCs/>
                <w:sz w:val="20"/>
                <w:szCs w:val="20"/>
              </w:rPr>
            </w:pPr>
          </w:p>
        </w:tc>
      </w:tr>
      <w:tr w14:paraId="588245E0"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307C89DE"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Develop and maintain email and phone helplines</w:t>
            </w:r>
          </w:p>
        </w:tc>
        <w:tc>
          <w:tcPr>
            <w:tcW w:w="1353" w:type="pct"/>
            <w:vMerge w:val="restart"/>
            <w:tcBorders>
              <w:top w:val="single" w:sz="4" w:space="0" w:color="auto"/>
              <w:left w:val="single" w:sz="4" w:space="0" w:color="auto"/>
              <w:right w:val="single" w:sz="4" w:space="0" w:color="auto"/>
            </w:tcBorders>
            <w:shd w:val="clear" w:color="auto" w:fill="auto"/>
            <w:vAlign w:val="center"/>
          </w:tcPr>
          <w:p w:rsidR="00E02E56" w:rsidRPr="00FA4E09" w:rsidP="00E02E56" w14:paraId="673BE878" w14:textId="77777777">
            <w:pPr>
              <w:spacing w:after="0"/>
              <w:jc w:val="right"/>
              <w:rPr>
                <w:rFonts w:ascii="Calibri" w:hAnsi="Calibri" w:cs="Calibri"/>
                <w:sz w:val="20"/>
                <w:szCs w:val="20"/>
              </w:rPr>
            </w:pPr>
            <w:r w:rsidRPr="00FA4E09">
              <w:rPr>
                <w:rFonts w:ascii="Calibri" w:hAnsi="Calibri" w:cs="Calibri"/>
                <w:sz w:val="20"/>
                <w:szCs w:val="20"/>
              </w:rPr>
              <w:t xml:space="preserve">$5,772 </w:t>
            </w:r>
          </w:p>
        </w:tc>
        <w:tc>
          <w:tcPr>
            <w:tcW w:w="532" w:type="pct"/>
            <w:vMerge w:val="restart"/>
            <w:tcBorders>
              <w:top w:val="single" w:sz="4" w:space="0" w:color="auto"/>
              <w:left w:val="single" w:sz="4" w:space="0" w:color="auto"/>
              <w:right w:val="single" w:sz="4" w:space="0" w:color="auto"/>
            </w:tcBorders>
            <w:shd w:val="clear" w:color="auto" w:fill="auto"/>
            <w:vAlign w:val="center"/>
          </w:tcPr>
          <w:p w:rsidR="00E02E56" w:rsidRPr="00FA4E09" w:rsidP="00E02E56" w14:paraId="005229E0" w14:textId="77777777">
            <w:pPr>
              <w:spacing w:after="0"/>
              <w:jc w:val="right"/>
              <w:rPr>
                <w:rFonts w:ascii="Calibri" w:hAnsi="Calibri" w:cs="Calibri"/>
                <w:sz w:val="20"/>
                <w:szCs w:val="20"/>
              </w:rPr>
            </w:pPr>
            <w:r w:rsidRPr="00FA4E09">
              <w:rPr>
                <w:rFonts w:ascii="Calibri" w:hAnsi="Calibri" w:cs="Calibri"/>
                <w:sz w:val="20"/>
                <w:szCs w:val="20"/>
              </w:rPr>
              <w:t xml:space="preserve">$19,691 </w:t>
            </w:r>
          </w:p>
        </w:tc>
        <w:tc>
          <w:tcPr>
            <w:tcW w:w="464" w:type="pct"/>
            <w:vMerge w:val="restart"/>
            <w:tcBorders>
              <w:top w:val="single" w:sz="4" w:space="0" w:color="auto"/>
              <w:left w:val="single" w:sz="4" w:space="0" w:color="auto"/>
              <w:right w:val="double" w:sz="6" w:space="0" w:color="auto"/>
            </w:tcBorders>
            <w:shd w:val="clear" w:color="auto" w:fill="auto"/>
            <w:vAlign w:val="center"/>
          </w:tcPr>
          <w:p w:rsidR="00E02E56" w:rsidRPr="00FA4E09" w:rsidP="00E02E56" w14:paraId="6B1D2787" w14:textId="77777777">
            <w:pPr>
              <w:spacing w:after="0"/>
              <w:jc w:val="right"/>
              <w:rPr>
                <w:rFonts w:ascii="Calibri" w:hAnsi="Calibri" w:cs="Calibri"/>
                <w:b/>
                <w:bCs/>
                <w:sz w:val="20"/>
                <w:szCs w:val="20"/>
              </w:rPr>
            </w:pPr>
            <w:r w:rsidRPr="00FA4E09">
              <w:rPr>
                <w:rFonts w:ascii="Calibri" w:hAnsi="Calibri" w:cs="Calibri"/>
                <w:b/>
                <w:bCs/>
                <w:sz w:val="20"/>
                <w:szCs w:val="20"/>
              </w:rPr>
              <w:t xml:space="preserve">$25,463 </w:t>
            </w:r>
          </w:p>
        </w:tc>
      </w:tr>
      <w:tr w14:paraId="338D3995"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18BF96E4"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Maintain helpline database and develop documentation</w:t>
            </w:r>
          </w:p>
        </w:tc>
        <w:tc>
          <w:tcPr>
            <w:tcW w:w="1353" w:type="pct"/>
            <w:vMerge/>
            <w:tcBorders>
              <w:left w:val="single" w:sz="4" w:space="0" w:color="auto"/>
              <w:bottom w:val="single" w:sz="4" w:space="0" w:color="auto"/>
              <w:right w:val="single" w:sz="4" w:space="0" w:color="auto"/>
            </w:tcBorders>
            <w:shd w:val="clear" w:color="auto" w:fill="auto"/>
            <w:vAlign w:val="center"/>
          </w:tcPr>
          <w:p w:rsidR="00E02E56" w:rsidRPr="00FA4E09" w:rsidP="00E02E56" w14:paraId="61AE57F6" w14:textId="77777777">
            <w:pPr>
              <w:spacing w:after="0"/>
              <w:jc w:val="right"/>
              <w:rPr>
                <w:rFonts w:ascii="Calibri" w:hAnsi="Calibri" w:cs="Calibri"/>
                <w:sz w:val="20"/>
                <w:szCs w:val="20"/>
              </w:rPr>
            </w:pPr>
          </w:p>
        </w:tc>
        <w:tc>
          <w:tcPr>
            <w:tcW w:w="532" w:type="pct"/>
            <w:vMerge/>
            <w:tcBorders>
              <w:left w:val="single" w:sz="4" w:space="0" w:color="auto"/>
              <w:bottom w:val="single" w:sz="4" w:space="0" w:color="auto"/>
              <w:right w:val="single" w:sz="4" w:space="0" w:color="auto"/>
            </w:tcBorders>
            <w:shd w:val="clear" w:color="auto" w:fill="auto"/>
            <w:vAlign w:val="center"/>
          </w:tcPr>
          <w:p w:rsidR="00E02E56" w:rsidRPr="00FA4E09" w:rsidP="00E02E56" w14:paraId="787162B0" w14:textId="77777777">
            <w:pPr>
              <w:spacing w:after="0"/>
              <w:jc w:val="right"/>
              <w:rPr>
                <w:rFonts w:ascii="Calibri" w:hAnsi="Calibri" w:cs="Calibri"/>
                <w:sz w:val="20"/>
                <w:szCs w:val="20"/>
              </w:rPr>
            </w:pPr>
          </w:p>
        </w:tc>
        <w:tc>
          <w:tcPr>
            <w:tcW w:w="464" w:type="pct"/>
            <w:vMerge/>
            <w:tcBorders>
              <w:left w:val="single" w:sz="4" w:space="0" w:color="auto"/>
              <w:bottom w:val="single" w:sz="4" w:space="0" w:color="auto"/>
              <w:right w:val="double" w:sz="6" w:space="0" w:color="auto"/>
            </w:tcBorders>
            <w:shd w:val="clear" w:color="auto" w:fill="auto"/>
            <w:vAlign w:val="center"/>
          </w:tcPr>
          <w:p w:rsidR="00E02E56" w:rsidRPr="00FA4E09" w:rsidP="00E02E56" w14:paraId="30E3F07A" w14:textId="77777777">
            <w:pPr>
              <w:spacing w:after="0"/>
              <w:jc w:val="right"/>
              <w:rPr>
                <w:rFonts w:ascii="Calibri" w:hAnsi="Calibri" w:cs="Calibri"/>
                <w:b/>
                <w:bCs/>
                <w:sz w:val="20"/>
                <w:szCs w:val="20"/>
              </w:rPr>
            </w:pPr>
          </w:p>
        </w:tc>
      </w:tr>
      <w:tr w14:paraId="67789A85"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4BE6EAFC"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Track questionnaire responses</w:t>
            </w:r>
          </w:p>
        </w:tc>
        <w:tc>
          <w:tcPr>
            <w:tcW w:w="1353" w:type="pct"/>
            <w:vMerge w:val="restart"/>
            <w:tcBorders>
              <w:top w:val="single" w:sz="4" w:space="0" w:color="auto"/>
              <w:left w:val="single" w:sz="4" w:space="0" w:color="auto"/>
              <w:right w:val="single" w:sz="4" w:space="0" w:color="auto"/>
            </w:tcBorders>
            <w:shd w:val="clear" w:color="auto" w:fill="auto"/>
            <w:vAlign w:val="center"/>
          </w:tcPr>
          <w:p w:rsidR="00E02E56" w:rsidRPr="00FA4E09" w:rsidP="00E02E56" w14:paraId="5D5F67A6" w14:textId="77777777">
            <w:pPr>
              <w:spacing w:after="0"/>
              <w:jc w:val="right"/>
              <w:rPr>
                <w:rFonts w:ascii="Calibri" w:hAnsi="Calibri" w:cs="Calibri"/>
                <w:sz w:val="20"/>
                <w:szCs w:val="20"/>
              </w:rPr>
            </w:pPr>
            <w:r w:rsidRPr="00FA4E09">
              <w:rPr>
                <w:rFonts w:ascii="Calibri" w:hAnsi="Calibri" w:cs="Calibri"/>
                <w:sz w:val="20"/>
                <w:szCs w:val="20"/>
              </w:rPr>
              <w:t xml:space="preserve">$5,772 </w:t>
            </w:r>
          </w:p>
        </w:tc>
        <w:tc>
          <w:tcPr>
            <w:tcW w:w="532" w:type="pct"/>
            <w:vMerge w:val="restart"/>
            <w:tcBorders>
              <w:top w:val="single" w:sz="4" w:space="0" w:color="auto"/>
              <w:left w:val="single" w:sz="4" w:space="0" w:color="auto"/>
              <w:right w:val="single" w:sz="4" w:space="0" w:color="auto"/>
            </w:tcBorders>
            <w:shd w:val="clear" w:color="auto" w:fill="auto"/>
            <w:vAlign w:val="center"/>
          </w:tcPr>
          <w:p w:rsidR="00E02E56" w:rsidRPr="00FA4E09" w:rsidP="00E02E56" w14:paraId="30182B97" w14:textId="77777777">
            <w:pPr>
              <w:spacing w:after="0"/>
              <w:jc w:val="right"/>
              <w:rPr>
                <w:rFonts w:ascii="Calibri" w:hAnsi="Calibri" w:cs="Calibri"/>
                <w:sz w:val="20"/>
                <w:szCs w:val="20"/>
              </w:rPr>
            </w:pPr>
            <w:r w:rsidRPr="00FA4E09">
              <w:rPr>
                <w:rFonts w:ascii="Calibri" w:hAnsi="Calibri" w:cs="Calibri"/>
                <w:sz w:val="20"/>
                <w:szCs w:val="20"/>
              </w:rPr>
              <w:t xml:space="preserve">$19,691 </w:t>
            </w:r>
          </w:p>
        </w:tc>
        <w:tc>
          <w:tcPr>
            <w:tcW w:w="464" w:type="pct"/>
            <w:vMerge w:val="restart"/>
            <w:tcBorders>
              <w:top w:val="single" w:sz="4" w:space="0" w:color="auto"/>
              <w:left w:val="single" w:sz="4" w:space="0" w:color="auto"/>
              <w:right w:val="double" w:sz="6" w:space="0" w:color="auto"/>
            </w:tcBorders>
            <w:shd w:val="clear" w:color="auto" w:fill="auto"/>
            <w:vAlign w:val="center"/>
          </w:tcPr>
          <w:p w:rsidR="00E02E56" w:rsidRPr="00FA4E09" w:rsidP="00E02E56" w14:paraId="2A4D02FE" w14:textId="77777777">
            <w:pPr>
              <w:spacing w:after="0"/>
              <w:jc w:val="right"/>
              <w:rPr>
                <w:rFonts w:ascii="Calibri" w:hAnsi="Calibri" w:cs="Calibri"/>
                <w:b/>
                <w:bCs/>
                <w:sz w:val="20"/>
                <w:szCs w:val="20"/>
              </w:rPr>
            </w:pPr>
            <w:r w:rsidRPr="00FA4E09">
              <w:rPr>
                <w:rFonts w:ascii="Calibri" w:hAnsi="Calibri" w:cs="Calibri"/>
                <w:b/>
                <w:bCs/>
                <w:sz w:val="20"/>
                <w:szCs w:val="20"/>
              </w:rPr>
              <w:t xml:space="preserve">$25,463 </w:t>
            </w:r>
          </w:p>
        </w:tc>
      </w:tr>
      <w:tr w14:paraId="2E076C6A"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18CCCEC3"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 xml:space="preserve">Review responses </w:t>
            </w:r>
          </w:p>
        </w:tc>
        <w:tc>
          <w:tcPr>
            <w:tcW w:w="1353" w:type="pct"/>
            <w:vMerge/>
            <w:tcBorders>
              <w:left w:val="single" w:sz="4" w:space="0" w:color="auto"/>
              <w:right w:val="single" w:sz="4" w:space="0" w:color="auto"/>
            </w:tcBorders>
            <w:shd w:val="clear" w:color="auto" w:fill="auto"/>
            <w:vAlign w:val="center"/>
          </w:tcPr>
          <w:p w:rsidR="00E02E56" w:rsidRPr="00FA4E09" w:rsidP="00E02E56" w14:paraId="7625BBD3" w14:textId="77777777">
            <w:pPr>
              <w:spacing w:after="0"/>
              <w:jc w:val="right"/>
              <w:rPr>
                <w:rFonts w:ascii="Calibri" w:hAnsi="Calibri" w:cs="Calibri"/>
                <w:sz w:val="20"/>
                <w:szCs w:val="20"/>
              </w:rPr>
            </w:pPr>
          </w:p>
        </w:tc>
        <w:tc>
          <w:tcPr>
            <w:tcW w:w="532" w:type="pct"/>
            <w:vMerge/>
            <w:tcBorders>
              <w:left w:val="single" w:sz="4" w:space="0" w:color="auto"/>
              <w:right w:val="single" w:sz="4" w:space="0" w:color="auto"/>
            </w:tcBorders>
            <w:shd w:val="clear" w:color="auto" w:fill="auto"/>
            <w:vAlign w:val="center"/>
          </w:tcPr>
          <w:p w:rsidR="00E02E56" w:rsidRPr="00FA4E09" w:rsidP="00E02E56" w14:paraId="20A38B4F" w14:textId="77777777">
            <w:pPr>
              <w:spacing w:after="0"/>
              <w:jc w:val="right"/>
              <w:rPr>
                <w:rFonts w:ascii="Calibri" w:hAnsi="Calibri" w:cs="Calibri"/>
                <w:sz w:val="20"/>
                <w:szCs w:val="20"/>
              </w:rPr>
            </w:pPr>
          </w:p>
        </w:tc>
        <w:tc>
          <w:tcPr>
            <w:tcW w:w="464" w:type="pct"/>
            <w:vMerge/>
            <w:tcBorders>
              <w:left w:val="single" w:sz="4" w:space="0" w:color="auto"/>
              <w:right w:val="double" w:sz="6" w:space="0" w:color="auto"/>
            </w:tcBorders>
            <w:shd w:val="clear" w:color="auto" w:fill="auto"/>
            <w:vAlign w:val="center"/>
          </w:tcPr>
          <w:p w:rsidR="00E02E56" w:rsidRPr="00FA4E09" w:rsidP="00E02E56" w14:paraId="3D2420B4" w14:textId="77777777">
            <w:pPr>
              <w:spacing w:after="0"/>
              <w:jc w:val="right"/>
              <w:rPr>
                <w:rFonts w:ascii="Calibri" w:hAnsi="Calibri" w:cs="Calibri"/>
                <w:b/>
                <w:bCs/>
                <w:sz w:val="20"/>
                <w:szCs w:val="20"/>
              </w:rPr>
            </w:pPr>
          </w:p>
        </w:tc>
      </w:tr>
      <w:tr w14:paraId="463DDABD" w14:textId="77777777" w:rsidTr="00E02E56">
        <w:tblPrEx>
          <w:tblW w:w="5000" w:type="pct"/>
          <w:jc w:val="center"/>
          <w:tblCellMar>
            <w:top w:w="29" w:type="dxa"/>
            <w:left w:w="58" w:type="dxa"/>
            <w:bottom w:w="29" w:type="dxa"/>
            <w:right w:w="58" w:type="dxa"/>
          </w:tblCellMar>
          <w:tblLook w:val="0000"/>
        </w:tblPrEx>
        <w:trPr>
          <w:cantSplit/>
          <w:trHeight w:val="29"/>
          <w:jc w:val="center"/>
        </w:trPr>
        <w:tc>
          <w:tcPr>
            <w:tcW w:w="2651" w:type="pct"/>
            <w:tcBorders>
              <w:top w:val="single" w:sz="4" w:space="0" w:color="auto"/>
              <w:left w:val="double" w:sz="6" w:space="0" w:color="auto"/>
              <w:right w:val="single" w:sz="4" w:space="0" w:color="auto"/>
            </w:tcBorders>
            <w:shd w:val="clear" w:color="auto" w:fill="auto"/>
            <w:vAlign w:val="center"/>
          </w:tcPr>
          <w:p w:rsidR="00E02E56" w:rsidRPr="00FA4E09" w:rsidP="00E02E56" w14:paraId="6DD6DBDF"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Follow-up to clarify responses</w:t>
            </w:r>
          </w:p>
        </w:tc>
        <w:tc>
          <w:tcPr>
            <w:tcW w:w="1353" w:type="pct"/>
            <w:vMerge/>
            <w:tcBorders>
              <w:left w:val="single" w:sz="4" w:space="0" w:color="auto"/>
              <w:right w:val="single" w:sz="4" w:space="0" w:color="auto"/>
            </w:tcBorders>
            <w:shd w:val="clear" w:color="auto" w:fill="auto"/>
            <w:vAlign w:val="center"/>
          </w:tcPr>
          <w:p w:rsidR="00E02E56" w:rsidRPr="00FA4E09" w:rsidP="00E02E56" w14:paraId="602E01EB" w14:textId="77777777">
            <w:pPr>
              <w:spacing w:after="0"/>
              <w:jc w:val="right"/>
              <w:rPr>
                <w:rFonts w:ascii="Calibri" w:hAnsi="Calibri" w:cs="Calibri"/>
                <w:sz w:val="20"/>
                <w:szCs w:val="20"/>
              </w:rPr>
            </w:pPr>
          </w:p>
        </w:tc>
        <w:tc>
          <w:tcPr>
            <w:tcW w:w="532" w:type="pct"/>
            <w:vMerge/>
            <w:tcBorders>
              <w:left w:val="single" w:sz="4" w:space="0" w:color="auto"/>
              <w:right w:val="single" w:sz="4" w:space="0" w:color="auto"/>
            </w:tcBorders>
            <w:shd w:val="clear" w:color="auto" w:fill="auto"/>
            <w:vAlign w:val="center"/>
          </w:tcPr>
          <w:p w:rsidR="00E02E56" w:rsidRPr="00FA4E09" w:rsidP="00E02E56" w14:paraId="600C8B5B" w14:textId="77777777">
            <w:pPr>
              <w:spacing w:after="0"/>
              <w:jc w:val="right"/>
              <w:rPr>
                <w:rFonts w:ascii="Calibri" w:hAnsi="Calibri" w:cs="Calibri"/>
                <w:sz w:val="20"/>
                <w:szCs w:val="20"/>
              </w:rPr>
            </w:pPr>
          </w:p>
        </w:tc>
        <w:tc>
          <w:tcPr>
            <w:tcW w:w="464" w:type="pct"/>
            <w:vMerge/>
            <w:tcBorders>
              <w:left w:val="single" w:sz="4" w:space="0" w:color="auto"/>
              <w:right w:val="double" w:sz="6" w:space="0" w:color="auto"/>
            </w:tcBorders>
            <w:shd w:val="clear" w:color="auto" w:fill="auto"/>
            <w:vAlign w:val="center"/>
          </w:tcPr>
          <w:p w:rsidR="00E02E56" w:rsidRPr="00FA4E09" w:rsidP="00E02E56" w14:paraId="5C4B0CFB" w14:textId="77777777">
            <w:pPr>
              <w:spacing w:after="0"/>
              <w:jc w:val="right"/>
              <w:rPr>
                <w:rFonts w:ascii="Calibri" w:hAnsi="Calibri" w:cs="Calibri"/>
                <w:b/>
                <w:bCs/>
                <w:sz w:val="20"/>
                <w:szCs w:val="20"/>
              </w:rPr>
            </w:pPr>
          </w:p>
        </w:tc>
      </w:tr>
      <w:tr w14:paraId="17B66A44"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4DFD7188"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Develop questionnaire database</w:t>
            </w:r>
          </w:p>
        </w:tc>
        <w:tc>
          <w:tcPr>
            <w:tcW w:w="1353" w:type="pct"/>
            <w:vMerge w:val="restart"/>
            <w:tcBorders>
              <w:top w:val="single" w:sz="4" w:space="0" w:color="auto"/>
              <w:left w:val="single" w:sz="4" w:space="0" w:color="auto"/>
              <w:right w:val="single" w:sz="4" w:space="0" w:color="auto"/>
            </w:tcBorders>
            <w:shd w:val="clear" w:color="auto" w:fill="auto"/>
            <w:vAlign w:val="center"/>
          </w:tcPr>
          <w:p w:rsidR="00E02E56" w:rsidRPr="00FA4E09" w:rsidP="00E02E56" w14:paraId="60C9A4EC" w14:textId="77777777">
            <w:pPr>
              <w:spacing w:after="0"/>
              <w:jc w:val="right"/>
              <w:rPr>
                <w:rFonts w:ascii="Calibri" w:hAnsi="Calibri" w:cs="Calibri"/>
                <w:sz w:val="20"/>
                <w:szCs w:val="20"/>
              </w:rPr>
            </w:pPr>
            <w:r w:rsidRPr="00FA4E09">
              <w:rPr>
                <w:rFonts w:ascii="Calibri" w:hAnsi="Calibri" w:cs="Calibri"/>
                <w:sz w:val="20"/>
                <w:szCs w:val="20"/>
              </w:rPr>
              <w:t xml:space="preserve"> $2,309 </w:t>
            </w:r>
          </w:p>
        </w:tc>
        <w:tc>
          <w:tcPr>
            <w:tcW w:w="532" w:type="pct"/>
            <w:vMerge w:val="restart"/>
            <w:tcBorders>
              <w:top w:val="single" w:sz="4" w:space="0" w:color="auto"/>
              <w:left w:val="single" w:sz="4" w:space="0" w:color="auto"/>
              <w:right w:val="single" w:sz="4" w:space="0" w:color="auto"/>
            </w:tcBorders>
            <w:shd w:val="clear" w:color="auto" w:fill="auto"/>
            <w:vAlign w:val="center"/>
          </w:tcPr>
          <w:p w:rsidR="00E02E56" w:rsidRPr="00FA4E09" w:rsidP="00E02E56" w14:paraId="32C8D3D1" w14:textId="77777777">
            <w:pPr>
              <w:spacing w:after="0"/>
              <w:jc w:val="right"/>
              <w:rPr>
                <w:rFonts w:ascii="Calibri" w:hAnsi="Calibri" w:cs="Calibri"/>
                <w:sz w:val="20"/>
                <w:szCs w:val="20"/>
              </w:rPr>
            </w:pPr>
            <w:r w:rsidRPr="00FA4E09">
              <w:rPr>
                <w:rFonts w:ascii="Calibri" w:hAnsi="Calibri" w:cs="Calibri"/>
                <w:sz w:val="20"/>
                <w:szCs w:val="20"/>
              </w:rPr>
              <w:t xml:space="preserve"> $12,307 </w:t>
            </w:r>
          </w:p>
        </w:tc>
        <w:tc>
          <w:tcPr>
            <w:tcW w:w="464" w:type="pct"/>
            <w:vMerge w:val="restart"/>
            <w:tcBorders>
              <w:top w:val="single" w:sz="4" w:space="0" w:color="auto"/>
              <w:left w:val="single" w:sz="4" w:space="0" w:color="auto"/>
              <w:right w:val="double" w:sz="6" w:space="0" w:color="auto"/>
            </w:tcBorders>
            <w:shd w:val="clear" w:color="auto" w:fill="auto"/>
            <w:vAlign w:val="center"/>
          </w:tcPr>
          <w:p w:rsidR="00E02E56" w:rsidRPr="00FA4E09" w:rsidP="00E02E56" w14:paraId="5D72C9D9" w14:textId="77777777">
            <w:pPr>
              <w:spacing w:after="0"/>
              <w:jc w:val="right"/>
              <w:rPr>
                <w:rFonts w:ascii="Calibri" w:hAnsi="Calibri" w:cs="Calibri"/>
                <w:b/>
                <w:bCs/>
                <w:sz w:val="20"/>
                <w:szCs w:val="20"/>
              </w:rPr>
            </w:pPr>
            <w:r w:rsidRPr="00FA4E09">
              <w:rPr>
                <w:rFonts w:ascii="Calibri" w:hAnsi="Calibri" w:cs="Calibri"/>
                <w:b/>
                <w:bCs/>
                <w:sz w:val="20"/>
                <w:szCs w:val="20"/>
              </w:rPr>
              <w:t xml:space="preserve"> $14,616 </w:t>
            </w:r>
          </w:p>
        </w:tc>
      </w:tr>
      <w:tr w14:paraId="169391CF" w14:textId="77777777" w:rsidTr="00E02E56">
        <w:tblPrEx>
          <w:tblW w:w="5000" w:type="pct"/>
          <w:jc w:val="center"/>
          <w:tblCellMar>
            <w:top w:w="29" w:type="dxa"/>
            <w:left w:w="58" w:type="dxa"/>
            <w:bottom w:w="29" w:type="dxa"/>
            <w:right w:w="58" w:type="dxa"/>
          </w:tblCellMar>
          <w:tblLook w:val="0000"/>
        </w:tblPrEx>
        <w:trPr>
          <w:cantSplit/>
          <w:trHeight w:val="60"/>
          <w:jc w:val="center"/>
        </w:trPr>
        <w:tc>
          <w:tcPr>
            <w:tcW w:w="2651" w:type="pct"/>
            <w:tcBorders>
              <w:top w:val="single" w:sz="4" w:space="0" w:color="auto"/>
              <w:left w:val="double" w:sz="6" w:space="0" w:color="auto"/>
              <w:bottom w:val="single" w:sz="4" w:space="0" w:color="auto"/>
              <w:right w:val="single" w:sz="4" w:space="0" w:color="auto"/>
            </w:tcBorders>
            <w:shd w:val="clear" w:color="auto" w:fill="auto"/>
            <w:vAlign w:val="center"/>
          </w:tcPr>
          <w:p w:rsidR="00E02E56" w:rsidRPr="00FA4E09" w:rsidP="00E02E56" w14:paraId="4C1783C6" w14:textId="77777777">
            <w:pPr>
              <w:spacing w:after="0"/>
              <w:rPr>
                <w:rFonts w:ascii="Calibri" w:eastAsia="MS Mincho" w:hAnsi="Calibri" w:cs="Calibri"/>
                <w:sz w:val="20"/>
                <w:szCs w:val="20"/>
                <w:lang w:eastAsia="ja-JP"/>
              </w:rPr>
            </w:pPr>
            <w:r w:rsidRPr="00FA4E09">
              <w:rPr>
                <w:rFonts w:ascii="Calibri" w:hAnsi="Calibri" w:cs="Calibri"/>
                <w:color w:val="000000"/>
                <w:sz w:val="20"/>
                <w:szCs w:val="20"/>
              </w:rPr>
              <w:t>Upload and verify data</w:t>
            </w:r>
          </w:p>
        </w:tc>
        <w:tc>
          <w:tcPr>
            <w:tcW w:w="1353" w:type="pct"/>
            <w:vMerge/>
            <w:tcBorders>
              <w:left w:val="single" w:sz="4" w:space="0" w:color="auto"/>
              <w:bottom w:val="single" w:sz="4" w:space="0" w:color="auto"/>
              <w:right w:val="single" w:sz="4" w:space="0" w:color="auto"/>
            </w:tcBorders>
            <w:shd w:val="clear" w:color="auto" w:fill="auto"/>
            <w:vAlign w:val="center"/>
          </w:tcPr>
          <w:p w:rsidR="00E02E56" w:rsidRPr="00FA4E09" w:rsidP="00E02E56" w14:paraId="10778B02" w14:textId="77777777">
            <w:pPr>
              <w:spacing w:after="0"/>
              <w:jc w:val="right"/>
              <w:rPr>
                <w:rFonts w:ascii="Calibri" w:hAnsi="Calibri" w:cs="Calibri"/>
                <w:sz w:val="20"/>
                <w:szCs w:val="20"/>
              </w:rPr>
            </w:pPr>
          </w:p>
        </w:tc>
        <w:tc>
          <w:tcPr>
            <w:tcW w:w="532" w:type="pct"/>
            <w:vMerge/>
            <w:tcBorders>
              <w:left w:val="single" w:sz="4" w:space="0" w:color="auto"/>
              <w:bottom w:val="single" w:sz="4" w:space="0" w:color="auto"/>
              <w:right w:val="single" w:sz="4" w:space="0" w:color="auto"/>
            </w:tcBorders>
            <w:shd w:val="clear" w:color="auto" w:fill="auto"/>
            <w:vAlign w:val="center"/>
          </w:tcPr>
          <w:p w:rsidR="00E02E56" w:rsidRPr="00FA4E09" w:rsidP="00E02E56" w14:paraId="551C91A2" w14:textId="77777777">
            <w:pPr>
              <w:spacing w:after="0"/>
              <w:jc w:val="right"/>
              <w:rPr>
                <w:rFonts w:ascii="Calibri" w:hAnsi="Calibri" w:cs="Calibri"/>
                <w:sz w:val="20"/>
                <w:szCs w:val="20"/>
              </w:rPr>
            </w:pPr>
          </w:p>
        </w:tc>
        <w:tc>
          <w:tcPr>
            <w:tcW w:w="464" w:type="pct"/>
            <w:vMerge/>
            <w:tcBorders>
              <w:left w:val="single" w:sz="4" w:space="0" w:color="auto"/>
              <w:bottom w:val="single" w:sz="4" w:space="0" w:color="auto"/>
              <w:right w:val="double" w:sz="6" w:space="0" w:color="auto"/>
            </w:tcBorders>
            <w:shd w:val="clear" w:color="auto" w:fill="auto"/>
            <w:vAlign w:val="center"/>
          </w:tcPr>
          <w:p w:rsidR="00E02E56" w:rsidRPr="00FA4E09" w:rsidP="00E02E56" w14:paraId="440BDFC0" w14:textId="77777777">
            <w:pPr>
              <w:spacing w:after="0"/>
              <w:jc w:val="right"/>
              <w:rPr>
                <w:rFonts w:ascii="Calibri" w:hAnsi="Calibri" w:cs="Calibri"/>
                <w:sz w:val="20"/>
                <w:szCs w:val="20"/>
              </w:rPr>
            </w:pPr>
          </w:p>
        </w:tc>
      </w:tr>
      <w:tr w14:paraId="0CD62E9C" w14:textId="77777777" w:rsidTr="00E02E56">
        <w:tblPrEx>
          <w:tblW w:w="5000" w:type="pct"/>
          <w:jc w:val="center"/>
          <w:tblCellMar>
            <w:top w:w="29" w:type="dxa"/>
            <w:left w:w="58" w:type="dxa"/>
            <w:bottom w:w="29" w:type="dxa"/>
            <w:right w:w="58" w:type="dxa"/>
          </w:tblCellMar>
          <w:tblLook w:val="0000"/>
        </w:tblPrEx>
        <w:trPr>
          <w:cantSplit/>
          <w:trHeight w:val="274"/>
          <w:jc w:val="center"/>
        </w:trPr>
        <w:tc>
          <w:tcPr>
            <w:tcW w:w="2651" w:type="pct"/>
            <w:tcBorders>
              <w:top w:val="single" w:sz="8" w:space="0" w:color="auto"/>
              <w:left w:val="double" w:sz="6" w:space="0" w:color="auto"/>
              <w:bottom w:val="double" w:sz="4" w:space="0" w:color="auto"/>
              <w:right w:val="single" w:sz="8" w:space="0" w:color="auto"/>
            </w:tcBorders>
            <w:shd w:val="clear" w:color="auto" w:fill="auto"/>
            <w:vAlign w:val="center"/>
          </w:tcPr>
          <w:p w:rsidR="00E02E56" w:rsidRPr="00FA4E09" w:rsidP="00E02E56" w14:paraId="364D697F" w14:textId="77777777">
            <w:pPr>
              <w:spacing w:after="0"/>
              <w:jc w:val="right"/>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Total</w:t>
            </w:r>
          </w:p>
        </w:tc>
        <w:tc>
          <w:tcPr>
            <w:tcW w:w="1353" w:type="pct"/>
            <w:tcBorders>
              <w:top w:val="single" w:sz="8" w:space="0" w:color="auto"/>
              <w:left w:val="nil"/>
              <w:bottom w:val="double" w:sz="4" w:space="0" w:color="auto"/>
              <w:right w:val="single" w:sz="8" w:space="0" w:color="auto"/>
            </w:tcBorders>
            <w:shd w:val="clear" w:color="auto" w:fill="auto"/>
            <w:vAlign w:val="center"/>
          </w:tcPr>
          <w:p w:rsidR="00E02E56" w:rsidRPr="00FA4E09" w:rsidP="00E02E56" w14:paraId="2F97D3C2" w14:textId="77777777">
            <w:pPr>
              <w:spacing w:after="0"/>
              <w:jc w:val="right"/>
              <w:rPr>
                <w:rFonts w:ascii="Calibri" w:hAnsi="Calibri" w:cs="Calibri"/>
                <w:b/>
                <w:bCs/>
                <w:sz w:val="20"/>
                <w:szCs w:val="20"/>
              </w:rPr>
            </w:pPr>
            <w:r w:rsidRPr="00FA4E09">
              <w:rPr>
                <w:rFonts w:ascii="Calibri" w:hAnsi="Calibri" w:cs="Calibri"/>
                <w:b/>
                <w:bCs/>
                <w:sz w:val="20"/>
                <w:szCs w:val="20"/>
              </w:rPr>
              <w:t>$43,868</w:t>
            </w:r>
          </w:p>
        </w:tc>
        <w:tc>
          <w:tcPr>
            <w:tcW w:w="532" w:type="pct"/>
            <w:tcBorders>
              <w:top w:val="single" w:sz="8" w:space="0" w:color="auto"/>
              <w:left w:val="nil"/>
              <w:bottom w:val="double" w:sz="4" w:space="0" w:color="auto"/>
              <w:right w:val="single" w:sz="8" w:space="0" w:color="auto"/>
            </w:tcBorders>
            <w:shd w:val="clear" w:color="auto" w:fill="auto"/>
            <w:vAlign w:val="center"/>
          </w:tcPr>
          <w:p w:rsidR="00E02E56" w:rsidRPr="00FA4E09" w:rsidP="00E02E56" w14:paraId="6EA3768A" w14:textId="77777777">
            <w:pPr>
              <w:spacing w:after="0"/>
              <w:jc w:val="right"/>
              <w:rPr>
                <w:rFonts w:ascii="Calibri" w:hAnsi="Calibri" w:cs="Calibri"/>
                <w:b/>
                <w:bCs/>
                <w:sz w:val="20"/>
                <w:szCs w:val="20"/>
              </w:rPr>
            </w:pPr>
            <w:r w:rsidRPr="00FA4E09">
              <w:rPr>
                <w:rFonts w:ascii="Calibri" w:hAnsi="Calibri" w:cs="Calibri"/>
                <w:b/>
                <w:bCs/>
                <w:sz w:val="20"/>
                <w:szCs w:val="20"/>
              </w:rPr>
              <w:t xml:space="preserve">$221,526 </w:t>
            </w:r>
          </w:p>
        </w:tc>
        <w:tc>
          <w:tcPr>
            <w:tcW w:w="464" w:type="pct"/>
            <w:tcBorders>
              <w:top w:val="single" w:sz="8" w:space="0" w:color="auto"/>
              <w:left w:val="nil"/>
              <w:bottom w:val="double" w:sz="4" w:space="0" w:color="auto"/>
              <w:right w:val="double" w:sz="6" w:space="0" w:color="auto"/>
            </w:tcBorders>
            <w:shd w:val="clear" w:color="auto" w:fill="auto"/>
            <w:vAlign w:val="center"/>
          </w:tcPr>
          <w:p w:rsidR="00E02E56" w:rsidRPr="00FA4E09" w:rsidP="00E02E56" w14:paraId="10078DC3" w14:textId="77777777">
            <w:pPr>
              <w:spacing w:after="0"/>
              <w:jc w:val="right"/>
              <w:rPr>
                <w:rFonts w:ascii="Calibri" w:hAnsi="Calibri" w:cs="Calibri"/>
                <w:b/>
                <w:bCs/>
                <w:sz w:val="20"/>
                <w:szCs w:val="20"/>
              </w:rPr>
            </w:pPr>
            <w:r w:rsidRPr="00FA4E09">
              <w:rPr>
                <w:rFonts w:ascii="Calibri" w:hAnsi="Calibri" w:cs="Calibri"/>
                <w:b/>
                <w:bCs/>
                <w:sz w:val="20"/>
                <w:szCs w:val="20"/>
              </w:rPr>
              <w:t xml:space="preserve">$265,394 </w:t>
            </w:r>
          </w:p>
        </w:tc>
      </w:tr>
    </w:tbl>
    <w:p w:rsidR="00D7135F" w:rsidRPr="00FA4E09" w:rsidP="00194C2B" w14:paraId="62062E1D" w14:textId="2A9C189B">
      <w:pPr>
        <w:pBdr>
          <w:top w:val="single" w:sz="6" w:space="0" w:color="FFFFFF"/>
          <w:left w:val="single" w:sz="6" w:space="0" w:color="FFFFFF"/>
          <w:bottom w:val="single" w:sz="6" w:space="0" w:color="FFFFFF"/>
          <w:right w:val="single" w:sz="6" w:space="0" w:color="FFFFFF"/>
        </w:pBdr>
        <w:spacing w:before="240"/>
        <w:rPr>
          <w:rFonts w:ascii="Calibri" w:hAnsi="Calibri" w:cs="Calibri"/>
          <w:color w:val="000000"/>
        </w:rPr>
      </w:pPr>
      <w:r w:rsidRPr="00FA4E09">
        <w:rPr>
          <w:rFonts w:ascii="Calibri" w:hAnsi="Calibri" w:cs="Calibri"/>
          <w:color w:val="000000"/>
        </w:rPr>
        <w:fldChar w:fldCharType="begin"/>
      </w:r>
      <w:r w:rsidRPr="00FA4E09">
        <w:rPr>
          <w:rFonts w:ascii="Calibri" w:hAnsi="Calibri" w:cs="Calibri"/>
          <w:color w:val="000000"/>
        </w:rPr>
        <w:instrText xml:space="preserve"> REF _Ref166081040 \h  \* MERGEFORMAT </w:instrText>
      </w:r>
      <w:r w:rsidRPr="00FA4E09">
        <w:rPr>
          <w:rFonts w:ascii="Calibri" w:hAnsi="Calibri" w:cs="Calibri"/>
          <w:color w:val="000000"/>
        </w:rPr>
        <w:fldChar w:fldCharType="separate"/>
      </w:r>
      <w:r w:rsidRPr="0061798C" w:rsidR="00A41D1F">
        <w:rPr>
          <w:rFonts w:ascii="Calibri" w:hAnsi="Calibri" w:cs="Calibri"/>
          <w:color w:val="000000"/>
        </w:rPr>
        <w:t>Table 14-4</w:t>
      </w:r>
      <w:r w:rsidRPr="00FA4E09">
        <w:rPr>
          <w:rFonts w:ascii="Calibri" w:hAnsi="Calibri" w:cs="Calibri"/>
          <w:color w:val="000000"/>
        </w:rPr>
        <w:fldChar w:fldCharType="end"/>
      </w:r>
      <w:r w:rsidRPr="00FA4E09">
        <w:rPr>
          <w:rFonts w:ascii="Calibri" w:hAnsi="Calibri" w:cs="Calibri"/>
          <w:color w:val="000000"/>
        </w:rPr>
        <w:t xml:space="preserve"> </w:t>
      </w:r>
      <w:r w:rsidRPr="00FA4E09">
        <w:rPr>
          <w:rFonts w:ascii="Calibri" w:hAnsi="Calibri" w:cs="Calibri"/>
          <w:color w:val="000000"/>
        </w:rPr>
        <w:t xml:space="preserve">includes an estimate of the </w:t>
      </w:r>
      <w:r w:rsidRPr="00FA4E09">
        <w:rPr>
          <w:rFonts w:ascii="Calibri" w:hAnsi="Calibri" w:cs="Calibri"/>
          <w:color w:val="000000"/>
        </w:rPr>
        <w:t xml:space="preserve">Agency </w:t>
      </w:r>
      <w:r w:rsidRPr="00FA4E09">
        <w:rPr>
          <w:rFonts w:ascii="Calibri" w:hAnsi="Calibri" w:cs="Calibri"/>
          <w:color w:val="000000"/>
        </w:rPr>
        <w:t xml:space="preserve">labor costs for each task </w:t>
      </w:r>
      <w:r w:rsidRPr="00FA4E09">
        <w:rPr>
          <w:rFonts w:ascii="Calibri" w:hAnsi="Calibri" w:cs="Calibri"/>
          <w:color w:val="000000"/>
        </w:rPr>
        <w:t xml:space="preserve">associated with the sampling program </w:t>
      </w:r>
      <w:r w:rsidRPr="00FA4E09">
        <w:rPr>
          <w:rFonts w:ascii="Calibri" w:hAnsi="Calibri" w:cs="Calibri"/>
          <w:color w:val="000000"/>
        </w:rPr>
        <w:t>and the total labor cost.</w:t>
      </w:r>
    </w:p>
    <w:p w:rsidR="00D7135F" w:rsidRPr="00FA4E09" w:rsidP="00D7135F" w14:paraId="66C5186A" w14:textId="3F1C4659">
      <w:pPr>
        <w:pStyle w:val="TableTitle"/>
        <w:rPr>
          <w:rFonts w:eastAsiaTheme="minorEastAsia"/>
          <w:bCs/>
          <w:smallCaps/>
          <w:spacing w:val="6"/>
          <w:sz w:val="24"/>
          <w:szCs w:val="18"/>
        </w:rPr>
      </w:pPr>
      <w:bookmarkStart w:id="60" w:name="_Ref166081040"/>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14</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4</w:t>
      </w:r>
      <w:r w:rsidRPr="00FA4E09">
        <w:rPr>
          <w:rFonts w:eastAsiaTheme="minorEastAsia"/>
          <w:bCs/>
          <w:smallCaps/>
          <w:spacing w:val="6"/>
          <w:sz w:val="24"/>
          <w:szCs w:val="18"/>
        </w:rPr>
        <w:fldChar w:fldCharType="end"/>
      </w:r>
      <w:bookmarkEnd w:id="60"/>
      <w:r w:rsidRPr="00FA4E09">
        <w:rPr>
          <w:rFonts w:eastAsiaTheme="minorEastAsia"/>
          <w:bCs/>
          <w:smallCaps/>
          <w:spacing w:val="6"/>
          <w:sz w:val="24"/>
          <w:szCs w:val="18"/>
        </w:rPr>
        <w:t>. Estimated Agency</w:t>
      </w:r>
      <w:r w:rsidRPr="00FA4E09" w:rsidR="00952A86">
        <w:rPr>
          <w:rFonts w:eastAsiaTheme="minorEastAsia"/>
          <w:bCs/>
          <w:smallCaps/>
          <w:spacing w:val="6"/>
          <w:sz w:val="24"/>
          <w:szCs w:val="18"/>
        </w:rPr>
        <w:t xml:space="preserve"> </w:t>
      </w:r>
      <w:r w:rsidRPr="00FA4E09">
        <w:rPr>
          <w:rFonts w:eastAsiaTheme="minorEastAsia"/>
          <w:bCs/>
          <w:smallCaps/>
          <w:spacing w:val="6"/>
          <w:sz w:val="24"/>
          <w:szCs w:val="18"/>
        </w:rPr>
        <w:t>Labor Costs for the Sampling Program</w:t>
      </w:r>
    </w:p>
    <w:tbl>
      <w:tblPr>
        <w:tblW w:w="9427" w:type="dxa"/>
        <w:jc w:val="center"/>
        <w:tblLayout w:type="fixed"/>
        <w:tblCellMar>
          <w:top w:w="29" w:type="dxa"/>
          <w:left w:w="58" w:type="dxa"/>
          <w:bottom w:w="29" w:type="dxa"/>
          <w:right w:w="58" w:type="dxa"/>
        </w:tblCellMar>
        <w:tblLook w:val="0000"/>
      </w:tblPr>
      <w:tblGrid>
        <w:gridCol w:w="4859"/>
        <w:gridCol w:w="1447"/>
        <w:gridCol w:w="1448"/>
        <w:gridCol w:w="1673"/>
      </w:tblGrid>
      <w:tr w14:paraId="048DC96F" w14:textId="77777777" w:rsidTr="00D7135F">
        <w:tblPrEx>
          <w:tblW w:w="9427" w:type="dxa"/>
          <w:jc w:val="center"/>
          <w:tblLayout w:type="fixed"/>
          <w:tblCellMar>
            <w:top w:w="29" w:type="dxa"/>
            <w:left w:w="58" w:type="dxa"/>
            <w:bottom w:w="29" w:type="dxa"/>
            <w:right w:w="58" w:type="dxa"/>
          </w:tblCellMar>
          <w:tblLook w:val="0000"/>
        </w:tblPrEx>
        <w:trPr>
          <w:cantSplit/>
          <w:jc w:val="center"/>
        </w:trPr>
        <w:tc>
          <w:tcPr>
            <w:tcW w:w="4859" w:type="dxa"/>
            <w:vMerge w:val="restart"/>
            <w:tcBorders>
              <w:top w:val="double" w:sz="6" w:space="0" w:color="auto"/>
              <w:left w:val="double" w:sz="6" w:space="0" w:color="auto"/>
              <w:right w:val="single" w:sz="4" w:space="0" w:color="auto"/>
            </w:tcBorders>
            <w:shd w:val="clear" w:color="auto" w:fill="D9D9D9" w:themeFill="background1" w:themeFillShade="D9"/>
            <w:noWrap/>
            <w:vAlign w:val="center"/>
          </w:tcPr>
          <w:p w:rsidR="00D7135F" w:rsidRPr="00FA4E09" w:rsidP="00E86E68" w14:paraId="324691F2"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Activity</w:t>
            </w:r>
          </w:p>
        </w:tc>
        <w:tc>
          <w:tcPr>
            <w:tcW w:w="4568" w:type="dxa"/>
            <w:gridSpan w:val="3"/>
            <w:tcBorders>
              <w:top w:val="double" w:sz="6" w:space="0" w:color="auto"/>
              <w:left w:val="nil"/>
              <w:bottom w:val="single" w:sz="4" w:space="0" w:color="auto"/>
              <w:right w:val="double" w:sz="6" w:space="0" w:color="auto"/>
            </w:tcBorders>
            <w:shd w:val="clear" w:color="auto" w:fill="D9D9D9" w:themeFill="background1" w:themeFillShade="D9"/>
            <w:noWrap/>
            <w:vAlign w:val="center"/>
          </w:tcPr>
          <w:p w:rsidR="00D7135F" w:rsidRPr="00FA4E09" w:rsidP="00E86E68" w14:paraId="0517FE92"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Labor Cost</w:t>
            </w:r>
          </w:p>
        </w:tc>
      </w:tr>
      <w:tr w14:paraId="1954BB78" w14:textId="77777777" w:rsidTr="00D7135F">
        <w:tblPrEx>
          <w:tblW w:w="9427" w:type="dxa"/>
          <w:jc w:val="center"/>
          <w:tblLayout w:type="fixed"/>
          <w:tblCellMar>
            <w:top w:w="29" w:type="dxa"/>
            <w:left w:w="58" w:type="dxa"/>
            <w:bottom w:w="29" w:type="dxa"/>
            <w:right w:w="58" w:type="dxa"/>
          </w:tblCellMar>
          <w:tblLook w:val="0000"/>
        </w:tblPrEx>
        <w:trPr>
          <w:cantSplit/>
          <w:jc w:val="center"/>
        </w:trPr>
        <w:tc>
          <w:tcPr>
            <w:tcW w:w="4859" w:type="dxa"/>
            <w:vMerge/>
            <w:tcBorders>
              <w:left w:val="double" w:sz="6" w:space="0" w:color="auto"/>
              <w:bottom w:val="single" w:sz="4" w:space="0" w:color="auto"/>
              <w:right w:val="single" w:sz="4" w:space="0" w:color="auto"/>
            </w:tcBorders>
            <w:shd w:val="clear" w:color="auto" w:fill="D9D9D9" w:themeFill="background1" w:themeFillShade="D9"/>
            <w:noWrap/>
            <w:vAlign w:val="center"/>
          </w:tcPr>
          <w:p w:rsidR="00D7135F" w:rsidRPr="00FA4E09" w:rsidP="00E86E68" w14:paraId="4E75691C" w14:textId="77777777">
            <w:pPr>
              <w:spacing w:after="0"/>
              <w:jc w:val="center"/>
              <w:rPr>
                <w:rFonts w:ascii="Calibri" w:eastAsia="MS Mincho" w:hAnsi="Calibri" w:cs="Calibri"/>
                <w:b/>
                <w:bCs/>
                <w:sz w:val="20"/>
                <w:szCs w:val="20"/>
                <w:lang w:eastAsia="ja-JP"/>
              </w:rPr>
            </w:pPr>
          </w:p>
        </w:tc>
        <w:tc>
          <w:tcPr>
            <w:tcW w:w="1447" w:type="dxa"/>
            <w:tcBorders>
              <w:top w:val="nil"/>
              <w:left w:val="nil"/>
              <w:bottom w:val="single" w:sz="4" w:space="0" w:color="auto"/>
              <w:right w:val="single" w:sz="4" w:space="0" w:color="auto"/>
            </w:tcBorders>
            <w:shd w:val="clear" w:color="auto" w:fill="D9D9D9" w:themeFill="background1" w:themeFillShade="D9"/>
            <w:vAlign w:val="center"/>
          </w:tcPr>
          <w:p w:rsidR="00D7135F" w:rsidRPr="00FA4E09" w:rsidP="00E86E68" w14:paraId="4FCC9A8A"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 xml:space="preserve">Agency </w:t>
            </w:r>
          </w:p>
        </w:tc>
        <w:tc>
          <w:tcPr>
            <w:tcW w:w="1448" w:type="dxa"/>
            <w:tcBorders>
              <w:top w:val="nil"/>
              <w:left w:val="nil"/>
              <w:bottom w:val="single" w:sz="4" w:space="0" w:color="auto"/>
              <w:right w:val="single" w:sz="4" w:space="0" w:color="auto"/>
            </w:tcBorders>
            <w:shd w:val="clear" w:color="auto" w:fill="D9D9D9" w:themeFill="background1" w:themeFillShade="D9"/>
            <w:vAlign w:val="center"/>
          </w:tcPr>
          <w:p w:rsidR="00D7135F" w:rsidRPr="00FA4E09" w:rsidP="00E86E68" w14:paraId="77517C11"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 xml:space="preserve">Contractor </w:t>
            </w:r>
          </w:p>
        </w:tc>
        <w:tc>
          <w:tcPr>
            <w:tcW w:w="1673" w:type="dxa"/>
            <w:tcBorders>
              <w:top w:val="nil"/>
              <w:left w:val="nil"/>
              <w:bottom w:val="single" w:sz="4" w:space="0" w:color="auto"/>
              <w:right w:val="double" w:sz="4" w:space="0" w:color="auto"/>
            </w:tcBorders>
            <w:shd w:val="clear" w:color="auto" w:fill="D9D9D9" w:themeFill="background1" w:themeFillShade="D9"/>
            <w:vAlign w:val="center"/>
          </w:tcPr>
          <w:p w:rsidR="00D7135F" w:rsidRPr="00FA4E09" w:rsidP="00E86E68" w14:paraId="0C119383"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Total Cost</w:t>
            </w:r>
          </w:p>
        </w:tc>
      </w:tr>
      <w:tr w14:paraId="0908149B" w14:textId="77777777" w:rsidTr="00D7135F">
        <w:tblPrEx>
          <w:tblW w:w="9427" w:type="dxa"/>
          <w:jc w:val="center"/>
          <w:tblLayout w:type="fixed"/>
          <w:tblCellMar>
            <w:top w:w="29" w:type="dxa"/>
            <w:left w:w="58" w:type="dxa"/>
            <w:bottom w:w="29" w:type="dxa"/>
            <w:right w:w="58" w:type="dxa"/>
          </w:tblCellMar>
          <w:tblLook w:val="0000"/>
        </w:tblPrEx>
        <w:trPr>
          <w:cantSplit/>
          <w:trHeight w:val="259"/>
          <w:jc w:val="center"/>
        </w:trPr>
        <w:tc>
          <w:tcPr>
            <w:tcW w:w="4859" w:type="dxa"/>
            <w:tcBorders>
              <w:top w:val="single" w:sz="4" w:space="0" w:color="auto"/>
              <w:left w:val="double" w:sz="4" w:space="0" w:color="auto"/>
              <w:bottom w:val="single" w:sz="4" w:space="0" w:color="auto"/>
              <w:right w:val="single" w:sz="4" w:space="0" w:color="auto"/>
            </w:tcBorders>
            <w:shd w:val="clear" w:color="auto" w:fill="auto"/>
            <w:vAlign w:val="center"/>
          </w:tcPr>
          <w:p w:rsidR="00D7135F" w:rsidRPr="00FA4E09" w:rsidP="00E86E68" w14:paraId="62A8AAE1" w14:textId="77777777">
            <w:pPr>
              <w:spacing w:after="0"/>
              <w:rPr>
                <w:rFonts w:ascii="Calibri" w:eastAsia="MS Mincho" w:hAnsi="Calibri" w:cs="Calibri"/>
                <w:sz w:val="20"/>
                <w:szCs w:val="20"/>
                <w:lang w:eastAsia="ja-JP"/>
              </w:rPr>
            </w:pPr>
            <w:r w:rsidRPr="00FA4E09">
              <w:rPr>
                <w:rFonts w:ascii="Calibri" w:hAnsi="Calibri" w:cs="Calibri"/>
                <w:sz w:val="20"/>
                <w:szCs w:val="20"/>
              </w:rPr>
              <w:t>Select POTWs and industrial users to sample</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D7135F" w:rsidRPr="00FA4E09" w:rsidP="00E86E68" w14:paraId="6C46757D" w14:textId="77777777">
            <w:pPr>
              <w:spacing w:after="0"/>
              <w:jc w:val="right"/>
              <w:rPr>
                <w:rFonts w:ascii="Calibri" w:hAnsi="Calibri" w:cs="Calibri"/>
                <w:sz w:val="20"/>
                <w:szCs w:val="20"/>
              </w:rPr>
            </w:pPr>
            <w:r w:rsidRPr="00FA4E09">
              <w:rPr>
                <w:rFonts w:ascii="Calibri" w:hAnsi="Calibri" w:cs="Calibri"/>
                <w:sz w:val="20"/>
                <w:szCs w:val="20"/>
              </w:rPr>
              <w:t xml:space="preserve"> $9,235 </w:t>
            </w:r>
          </w:p>
        </w:tc>
        <w:tc>
          <w:tcPr>
            <w:tcW w:w="1448" w:type="dxa"/>
            <w:tcBorders>
              <w:top w:val="single" w:sz="4" w:space="0" w:color="auto"/>
              <w:left w:val="nil"/>
              <w:bottom w:val="single" w:sz="4" w:space="0" w:color="auto"/>
              <w:right w:val="single" w:sz="4" w:space="0" w:color="auto"/>
            </w:tcBorders>
            <w:shd w:val="clear" w:color="auto" w:fill="auto"/>
            <w:vAlign w:val="center"/>
          </w:tcPr>
          <w:p w:rsidR="00D7135F" w:rsidRPr="00FA4E09" w:rsidP="00E86E68" w14:paraId="661634AB" w14:textId="77777777">
            <w:pPr>
              <w:spacing w:after="0"/>
              <w:jc w:val="right"/>
              <w:rPr>
                <w:rFonts w:ascii="Calibri" w:hAnsi="Calibri" w:cs="Calibri"/>
                <w:sz w:val="20"/>
                <w:szCs w:val="20"/>
              </w:rPr>
            </w:pPr>
            <w:r w:rsidRPr="00FA4E09">
              <w:rPr>
                <w:rFonts w:ascii="Calibri" w:hAnsi="Calibri" w:cs="Calibri"/>
                <w:sz w:val="20"/>
                <w:szCs w:val="20"/>
              </w:rPr>
              <w:t xml:space="preserve"> $36,921 </w:t>
            </w:r>
          </w:p>
        </w:tc>
        <w:tc>
          <w:tcPr>
            <w:tcW w:w="1673" w:type="dxa"/>
            <w:tcBorders>
              <w:top w:val="single" w:sz="4" w:space="0" w:color="auto"/>
              <w:left w:val="nil"/>
              <w:bottom w:val="single" w:sz="4" w:space="0" w:color="auto"/>
              <w:right w:val="double" w:sz="4" w:space="0" w:color="auto"/>
            </w:tcBorders>
            <w:shd w:val="clear" w:color="auto" w:fill="auto"/>
            <w:noWrap/>
            <w:vAlign w:val="center"/>
          </w:tcPr>
          <w:p w:rsidR="00D7135F" w:rsidRPr="00FA4E09" w:rsidP="00E86E68" w14:paraId="7CEF727D" w14:textId="77777777">
            <w:pPr>
              <w:spacing w:after="0"/>
              <w:jc w:val="right"/>
              <w:rPr>
                <w:rFonts w:ascii="Calibri" w:hAnsi="Calibri" w:cs="Calibri"/>
                <w:b/>
                <w:bCs/>
                <w:sz w:val="20"/>
                <w:szCs w:val="20"/>
              </w:rPr>
            </w:pPr>
            <w:r w:rsidRPr="00FA4E09">
              <w:rPr>
                <w:rFonts w:ascii="Calibri" w:hAnsi="Calibri" w:cs="Calibri"/>
                <w:b/>
                <w:bCs/>
                <w:sz w:val="20"/>
                <w:szCs w:val="20"/>
              </w:rPr>
              <w:t>$46,156</w:t>
            </w:r>
          </w:p>
        </w:tc>
      </w:tr>
      <w:tr w14:paraId="7821DFCB" w14:textId="77777777" w:rsidTr="00D7135F">
        <w:tblPrEx>
          <w:tblW w:w="9427" w:type="dxa"/>
          <w:jc w:val="center"/>
          <w:tblLayout w:type="fixed"/>
          <w:tblCellMar>
            <w:top w:w="29" w:type="dxa"/>
            <w:left w:w="58" w:type="dxa"/>
            <w:bottom w:w="29" w:type="dxa"/>
            <w:right w:w="58" w:type="dxa"/>
          </w:tblCellMar>
          <w:tblLook w:val="0000"/>
        </w:tblPrEx>
        <w:trPr>
          <w:cantSplit/>
          <w:trHeight w:val="241"/>
          <w:jc w:val="center"/>
        </w:trPr>
        <w:tc>
          <w:tcPr>
            <w:tcW w:w="4859" w:type="dxa"/>
            <w:tcBorders>
              <w:top w:val="nil"/>
              <w:left w:val="double" w:sz="4" w:space="0" w:color="auto"/>
              <w:bottom w:val="single" w:sz="4" w:space="0" w:color="auto"/>
              <w:right w:val="single" w:sz="4" w:space="0" w:color="auto"/>
            </w:tcBorders>
            <w:shd w:val="clear" w:color="auto" w:fill="auto"/>
            <w:vAlign w:val="center"/>
          </w:tcPr>
          <w:p w:rsidR="00D7135F" w:rsidRPr="00FA4E09" w:rsidP="00E86E68" w14:paraId="160B4711" w14:textId="77777777">
            <w:pPr>
              <w:spacing w:after="0"/>
              <w:rPr>
                <w:rFonts w:ascii="Calibri" w:eastAsia="MS Mincho" w:hAnsi="Calibri" w:cs="Calibri"/>
                <w:sz w:val="20"/>
                <w:szCs w:val="20"/>
                <w:lang w:eastAsia="ja-JP"/>
              </w:rPr>
            </w:pPr>
            <w:r w:rsidRPr="00FA4E09">
              <w:rPr>
                <w:rFonts w:ascii="Calibri" w:hAnsi="Calibri" w:cs="Calibri"/>
                <w:sz w:val="20"/>
                <w:szCs w:val="20"/>
              </w:rPr>
              <w:t>Pre-sampling coordination (e.g., develop generic sampling and analysis plans, site-specific requirements, and guidance to industry)</w:t>
            </w:r>
          </w:p>
        </w:tc>
        <w:tc>
          <w:tcPr>
            <w:tcW w:w="1447" w:type="dxa"/>
            <w:tcBorders>
              <w:top w:val="nil"/>
              <w:left w:val="single" w:sz="4" w:space="0" w:color="auto"/>
              <w:bottom w:val="single" w:sz="4" w:space="0" w:color="auto"/>
              <w:right w:val="single" w:sz="4" w:space="0" w:color="auto"/>
            </w:tcBorders>
            <w:shd w:val="clear" w:color="auto" w:fill="auto"/>
            <w:vAlign w:val="center"/>
          </w:tcPr>
          <w:p w:rsidR="00D7135F" w:rsidRPr="00FA4E09" w:rsidP="00E86E68" w14:paraId="708EBF96" w14:textId="77777777">
            <w:pPr>
              <w:spacing w:after="0"/>
              <w:jc w:val="right"/>
              <w:rPr>
                <w:rFonts w:ascii="Calibri" w:hAnsi="Calibri" w:cs="Calibri"/>
                <w:sz w:val="20"/>
                <w:szCs w:val="20"/>
              </w:rPr>
            </w:pPr>
            <w:r w:rsidRPr="00FA4E09">
              <w:rPr>
                <w:rFonts w:ascii="Calibri" w:hAnsi="Calibri" w:cs="Calibri"/>
                <w:sz w:val="20"/>
                <w:szCs w:val="20"/>
              </w:rPr>
              <w:t>$23,089</w:t>
            </w:r>
          </w:p>
        </w:tc>
        <w:tc>
          <w:tcPr>
            <w:tcW w:w="1448" w:type="dxa"/>
            <w:tcBorders>
              <w:top w:val="nil"/>
              <w:left w:val="nil"/>
              <w:bottom w:val="single" w:sz="4" w:space="0" w:color="auto"/>
              <w:right w:val="single" w:sz="4" w:space="0" w:color="auto"/>
            </w:tcBorders>
            <w:shd w:val="clear" w:color="auto" w:fill="auto"/>
            <w:vAlign w:val="center"/>
          </w:tcPr>
          <w:p w:rsidR="00D7135F" w:rsidRPr="00FA4E09" w:rsidP="00E86E68" w14:paraId="2F58E184" w14:textId="77777777">
            <w:pPr>
              <w:spacing w:after="0"/>
              <w:jc w:val="right"/>
              <w:rPr>
                <w:rFonts w:ascii="Calibri" w:hAnsi="Calibri" w:cs="Calibri"/>
                <w:sz w:val="20"/>
                <w:szCs w:val="20"/>
              </w:rPr>
            </w:pPr>
            <w:r w:rsidRPr="00FA4E09">
              <w:rPr>
                <w:rFonts w:ascii="Calibri" w:hAnsi="Calibri" w:cs="Calibri"/>
                <w:sz w:val="20"/>
                <w:szCs w:val="20"/>
              </w:rPr>
              <w:t xml:space="preserve"> $123,070 </w:t>
            </w:r>
          </w:p>
        </w:tc>
        <w:tc>
          <w:tcPr>
            <w:tcW w:w="1673" w:type="dxa"/>
            <w:tcBorders>
              <w:top w:val="nil"/>
              <w:left w:val="nil"/>
              <w:bottom w:val="single" w:sz="4" w:space="0" w:color="auto"/>
              <w:right w:val="double" w:sz="4" w:space="0" w:color="auto"/>
            </w:tcBorders>
            <w:shd w:val="clear" w:color="auto" w:fill="auto"/>
            <w:noWrap/>
            <w:vAlign w:val="center"/>
          </w:tcPr>
          <w:p w:rsidR="00D7135F" w:rsidRPr="00FA4E09" w:rsidP="00E86E68" w14:paraId="7FD060E3" w14:textId="77777777">
            <w:pPr>
              <w:spacing w:after="0"/>
              <w:jc w:val="right"/>
              <w:rPr>
                <w:rFonts w:ascii="Calibri" w:hAnsi="Calibri" w:cs="Calibri"/>
                <w:b/>
                <w:bCs/>
                <w:sz w:val="20"/>
                <w:szCs w:val="20"/>
              </w:rPr>
            </w:pPr>
            <w:r w:rsidRPr="00FA4E09">
              <w:rPr>
                <w:rFonts w:ascii="Calibri" w:hAnsi="Calibri" w:cs="Calibri"/>
                <w:b/>
                <w:bCs/>
                <w:sz w:val="20"/>
                <w:szCs w:val="20"/>
              </w:rPr>
              <w:t>$146,159</w:t>
            </w:r>
          </w:p>
        </w:tc>
      </w:tr>
      <w:tr w14:paraId="2A5F7CFB" w14:textId="77777777" w:rsidTr="00D7135F">
        <w:tblPrEx>
          <w:tblW w:w="9427" w:type="dxa"/>
          <w:jc w:val="center"/>
          <w:tblLayout w:type="fixed"/>
          <w:tblCellMar>
            <w:top w:w="29" w:type="dxa"/>
            <w:left w:w="58" w:type="dxa"/>
            <w:bottom w:w="29" w:type="dxa"/>
            <w:right w:w="58" w:type="dxa"/>
          </w:tblCellMar>
          <w:tblLook w:val="0000"/>
        </w:tblPrEx>
        <w:trPr>
          <w:cantSplit/>
          <w:trHeight w:val="304"/>
          <w:jc w:val="center"/>
        </w:trPr>
        <w:tc>
          <w:tcPr>
            <w:tcW w:w="4859" w:type="dxa"/>
            <w:tcBorders>
              <w:top w:val="nil"/>
              <w:left w:val="double" w:sz="4" w:space="0" w:color="auto"/>
              <w:bottom w:val="single" w:sz="4" w:space="0" w:color="auto"/>
              <w:right w:val="single" w:sz="4" w:space="0" w:color="auto"/>
            </w:tcBorders>
            <w:shd w:val="clear" w:color="auto" w:fill="auto"/>
            <w:vAlign w:val="center"/>
          </w:tcPr>
          <w:p w:rsidR="00D7135F" w:rsidRPr="00FA4E09" w:rsidP="00E86E68" w14:paraId="46936E59" w14:textId="77777777">
            <w:pPr>
              <w:spacing w:after="0"/>
              <w:rPr>
                <w:rFonts w:ascii="Calibri" w:hAnsi="Calibri" w:cs="Calibri"/>
                <w:sz w:val="20"/>
                <w:szCs w:val="20"/>
              </w:rPr>
            </w:pPr>
            <w:r w:rsidRPr="00FA4E09">
              <w:rPr>
                <w:rFonts w:ascii="Calibri" w:hAnsi="Calibri" w:cs="Calibri"/>
                <w:sz w:val="20"/>
                <w:szCs w:val="20"/>
              </w:rPr>
              <w:t>Laboratory and analytical support</w:t>
            </w:r>
          </w:p>
        </w:tc>
        <w:tc>
          <w:tcPr>
            <w:tcW w:w="1447" w:type="dxa"/>
            <w:tcBorders>
              <w:top w:val="nil"/>
              <w:left w:val="single" w:sz="4" w:space="0" w:color="auto"/>
              <w:bottom w:val="single" w:sz="4" w:space="0" w:color="auto"/>
              <w:right w:val="single" w:sz="4" w:space="0" w:color="auto"/>
            </w:tcBorders>
            <w:shd w:val="clear" w:color="auto" w:fill="auto"/>
            <w:vAlign w:val="center"/>
          </w:tcPr>
          <w:p w:rsidR="00D7135F" w:rsidRPr="00FA4E09" w:rsidP="00E86E68" w14:paraId="7E7B3D55" w14:textId="77777777">
            <w:pPr>
              <w:spacing w:after="0"/>
              <w:jc w:val="right"/>
              <w:rPr>
                <w:rFonts w:ascii="Calibri" w:hAnsi="Calibri" w:cs="Calibri"/>
                <w:sz w:val="20"/>
                <w:szCs w:val="20"/>
              </w:rPr>
            </w:pPr>
            <w:r w:rsidRPr="00FA4E09">
              <w:rPr>
                <w:rFonts w:ascii="Calibri" w:hAnsi="Calibri" w:cs="Calibri"/>
                <w:sz w:val="20"/>
                <w:szCs w:val="20"/>
              </w:rPr>
              <w:t>$9,235</w:t>
            </w:r>
          </w:p>
        </w:tc>
        <w:tc>
          <w:tcPr>
            <w:tcW w:w="1448" w:type="dxa"/>
            <w:tcBorders>
              <w:top w:val="nil"/>
              <w:left w:val="nil"/>
              <w:bottom w:val="single" w:sz="4" w:space="0" w:color="auto"/>
              <w:right w:val="single" w:sz="4" w:space="0" w:color="auto"/>
            </w:tcBorders>
            <w:shd w:val="clear" w:color="auto" w:fill="auto"/>
            <w:vAlign w:val="center"/>
          </w:tcPr>
          <w:p w:rsidR="00D7135F" w:rsidRPr="00FA4E09" w:rsidP="00E86E68" w14:paraId="58ECE016" w14:textId="77777777">
            <w:pPr>
              <w:spacing w:after="0"/>
              <w:jc w:val="right"/>
              <w:rPr>
                <w:rFonts w:ascii="Calibri" w:hAnsi="Calibri" w:cs="Calibri"/>
                <w:sz w:val="20"/>
                <w:szCs w:val="20"/>
              </w:rPr>
            </w:pPr>
            <w:r w:rsidRPr="00FA4E09">
              <w:rPr>
                <w:rFonts w:ascii="Calibri" w:hAnsi="Calibri" w:cs="Calibri"/>
                <w:sz w:val="20"/>
                <w:szCs w:val="20"/>
              </w:rPr>
              <w:t xml:space="preserve"> $105,000 </w:t>
            </w:r>
          </w:p>
        </w:tc>
        <w:tc>
          <w:tcPr>
            <w:tcW w:w="1673" w:type="dxa"/>
            <w:tcBorders>
              <w:top w:val="nil"/>
              <w:left w:val="nil"/>
              <w:bottom w:val="single" w:sz="4" w:space="0" w:color="auto"/>
              <w:right w:val="double" w:sz="4" w:space="0" w:color="auto"/>
            </w:tcBorders>
            <w:shd w:val="clear" w:color="auto" w:fill="auto"/>
            <w:noWrap/>
            <w:vAlign w:val="center"/>
          </w:tcPr>
          <w:p w:rsidR="00D7135F" w:rsidRPr="00FA4E09" w:rsidP="00E86E68" w14:paraId="125D8FBA" w14:textId="77777777">
            <w:pPr>
              <w:spacing w:after="0"/>
              <w:jc w:val="right"/>
              <w:rPr>
                <w:rFonts w:ascii="Calibri" w:hAnsi="Calibri" w:cs="Calibri"/>
                <w:b/>
                <w:bCs/>
                <w:sz w:val="20"/>
                <w:szCs w:val="20"/>
              </w:rPr>
            </w:pPr>
            <w:r w:rsidRPr="00FA4E09">
              <w:rPr>
                <w:rFonts w:ascii="Calibri" w:hAnsi="Calibri" w:cs="Calibri"/>
                <w:b/>
                <w:bCs/>
                <w:sz w:val="20"/>
                <w:szCs w:val="20"/>
              </w:rPr>
              <w:t>$114,235</w:t>
            </w:r>
          </w:p>
        </w:tc>
      </w:tr>
      <w:tr w14:paraId="25C1FE54" w14:textId="77777777" w:rsidTr="00D7135F">
        <w:tblPrEx>
          <w:tblW w:w="9427" w:type="dxa"/>
          <w:jc w:val="center"/>
          <w:tblLayout w:type="fixed"/>
          <w:tblCellMar>
            <w:top w:w="29" w:type="dxa"/>
            <w:left w:w="58" w:type="dxa"/>
            <w:bottom w:w="29" w:type="dxa"/>
            <w:right w:w="58" w:type="dxa"/>
          </w:tblCellMar>
          <w:tblLook w:val="0000"/>
        </w:tblPrEx>
        <w:trPr>
          <w:cantSplit/>
          <w:jc w:val="center"/>
        </w:trPr>
        <w:tc>
          <w:tcPr>
            <w:tcW w:w="4859" w:type="dxa"/>
            <w:tcBorders>
              <w:top w:val="nil"/>
              <w:left w:val="double" w:sz="4" w:space="0" w:color="auto"/>
              <w:bottom w:val="single" w:sz="4" w:space="0" w:color="auto"/>
              <w:right w:val="single" w:sz="4" w:space="0" w:color="auto"/>
            </w:tcBorders>
            <w:shd w:val="clear" w:color="auto" w:fill="auto"/>
            <w:vAlign w:val="center"/>
          </w:tcPr>
          <w:p w:rsidR="00D7135F" w:rsidRPr="00FA4E09" w:rsidP="00E86E68" w14:paraId="2C4A7BAE" w14:textId="77777777">
            <w:pPr>
              <w:spacing w:after="0"/>
              <w:rPr>
                <w:rFonts w:ascii="Calibri" w:eastAsia="MS Mincho" w:hAnsi="Calibri" w:cs="Calibri"/>
                <w:sz w:val="20"/>
                <w:szCs w:val="20"/>
                <w:lang w:eastAsia="ja-JP"/>
              </w:rPr>
            </w:pPr>
            <w:r w:rsidRPr="00FA4E09">
              <w:rPr>
                <w:rFonts w:ascii="Calibri" w:hAnsi="Calibri" w:cs="Calibri"/>
                <w:sz w:val="20"/>
                <w:szCs w:val="20"/>
              </w:rPr>
              <w:t>Review and analyze sampling results (process and compile sampling results into database, analyze data)</w:t>
            </w:r>
          </w:p>
        </w:tc>
        <w:tc>
          <w:tcPr>
            <w:tcW w:w="1447" w:type="dxa"/>
            <w:tcBorders>
              <w:top w:val="nil"/>
              <w:left w:val="single" w:sz="4" w:space="0" w:color="auto"/>
              <w:bottom w:val="single" w:sz="4" w:space="0" w:color="auto"/>
              <w:right w:val="single" w:sz="4" w:space="0" w:color="auto"/>
            </w:tcBorders>
            <w:shd w:val="clear" w:color="auto" w:fill="auto"/>
            <w:vAlign w:val="center"/>
          </w:tcPr>
          <w:p w:rsidR="00D7135F" w:rsidRPr="00FA4E09" w:rsidP="00E86E68" w14:paraId="2E0E3E70" w14:textId="77777777">
            <w:pPr>
              <w:spacing w:after="0"/>
              <w:jc w:val="right"/>
              <w:rPr>
                <w:rFonts w:ascii="Calibri" w:hAnsi="Calibri" w:cs="Calibri"/>
                <w:sz w:val="20"/>
                <w:szCs w:val="20"/>
              </w:rPr>
            </w:pPr>
            <w:r w:rsidRPr="00FA4E09">
              <w:rPr>
                <w:rFonts w:ascii="Calibri" w:hAnsi="Calibri" w:cs="Calibri"/>
                <w:sz w:val="20"/>
                <w:szCs w:val="20"/>
              </w:rPr>
              <w:t>$23,089</w:t>
            </w:r>
          </w:p>
        </w:tc>
        <w:tc>
          <w:tcPr>
            <w:tcW w:w="1448" w:type="dxa"/>
            <w:tcBorders>
              <w:top w:val="nil"/>
              <w:left w:val="nil"/>
              <w:bottom w:val="single" w:sz="4" w:space="0" w:color="auto"/>
              <w:right w:val="single" w:sz="4" w:space="0" w:color="auto"/>
            </w:tcBorders>
            <w:shd w:val="clear" w:color="auto" w:fill="auto"/>
            <w:vAlign w:val="center"/>
          </w:tcPr>
          <w:p w:rsidR="00D7135F" w:rsidRPr="00FA4E09" w:rsidP="00E86E68" w14:paraId="737E0CCD" w14:textId="77777777">
            <w:pPr>
              <w:spacing w:after="0"/>
              <w:jc w:val="right"/>
              <w:rPr>
                <w:rFonts w:ascii="Calibri" w:hAnsi="Calibri" w:cs="Calibri"/>
                <w:sz w:val="20"/>
                <w:szCs w:val="20"/>
              </w:rPr>
            </w:pPr>
            <w:r w:rsidRPr="00FA4E09">
              <w:rPr>
                <w:rFonts w:ascii="Calibri" w:hAnsi="Calibri" w:cs="Calibri"/>
                <w:sz w:val="20"/>
                <w:szCs w:val="20"/>
              </w:rPr>
              <w:t xml:space="preserve"> $98,456 </w:t>
            </w:r>
          </w:p>
        </w:tc>
        <w:tc>
          <w:tcPr>
            <w:tcW w:w="1673" w:type="dxa"/>
            <w:tcBorders>
              <w:top w:val="nil"/>
              <w:left w:val="nil"/>
              <w:bottom w:val="single" w:sz="4" w:space="0" w:color="auto"/>
              <w:right w:val="double" w:sz="4" w:space="0" w:color="auto"/>
            </w:tcBorders>
            <w:shd w:val="clear" w:color="auto" w:fill="auto"/>
            <w:vAlign w:val="center"/>
          </w:tcPr>
          <w:p w:rsidR="00D7135F" w:rsidRPr="00FA4E09" w:rsidP="00E86E68" w14:paraId="45BE0491" w14:textId="77777777">
            <w:pPr>
              <w:spacing w:after="0"/>
              <w:jc w:val="right"/>
              <w:rPr>
                <w:rFonts w:ascii="Calibri" w:hAnsi="Calibri" w:cs="Calibri"/>
                <w:b/>
                <w:bCs/>
                <w:sz w:val="20"/>
                <w:szCs w:val="20"/>
              </w:rPr>
            </w:pPr>
            <w:r w:rsidRPr="00FA4E09">
              <w:rPr>
                <w:rFonts w:ascii="Calibri" w:hAnsi="Calibri" w:cs="Calibri"/>
                <w:b/>
                <w:bCs/>
                <w:sz w:val="20"/>
                <w:szCs w:val="20"/>
              </w:rPr>
              <w:t>$121,545</w:t>
            </w:r>
          </w:p>
        </w:tc>
      </w:tr>
      <w:tr w14:paraId="64CB6AEF" w14:textId="77777777" w:rsidTr="00D7135F">
        <w:tblPrEx>
          <w:tblW w:w="9427" w:type="dxa"/>
          <w:jc w:val="center"/>
          <w:tblLayout w:type="fixed"/>
          <w:tblCellMar>
            <w:top w:w="29" w:type="dxa"/>
            <w:left w:w="58" w:type="dxa"/>
            <w:bottom w:w="29" w:type="dxa"/>
            <w:right w:w="58" w:type="dxa"/>
          </w:tblCellMar>
          <w:tblLook w:val="0000"/>
        </w:tblPrEx>
        <w:trPr>
          <w:cantSplit/>
          <w:trHeight w:val="124"/>
          <w:jc w:val="center"/>
        </w:trPr>
        <w:tc>
          <w:tcPr>
            <w:tcW w:w="4859" w:type="dxa"/>
            <w:tcBorders>
              <w:top w:val="nil"/>
              <w:left w:val="double" w:sz="4" w:space="0" w:color="auto"/>
              <w:bottom w:val="double" w:sz="4" w:space="0" w:color="auto"/>
              <w:right w:val="single" w:sz="4" w:space="0" w:color="auto"/>
            </w:tcBorders>
            <w:shd w:val="clear" w:color="auto" w:fill="auto"/>
            <w:vAlign w:val="center"/>
          </w:tcPr>
          <w:p w:rsidR="00D7135F" w:rsidRPr="00FA4E09" w:rsidP="00E86E68" w14:paraId="1E469337" w14:textId="77777777">
            <w:pPr>
              <w:spacing w:after="0"/>
              <w:jc w:val="right"/>
              <w:rPr>
                <w:rFonts w:ascii="Calibri" w:eastAsia="MS Mincho" w:hAnsi="Calibri" w:cs="Calibri"/>
                <w:b/>
                <w:bCs/>
                <w:sz w:val="20"/>
                <w:szCs w:val="20"/>
                <w:lang w:eastAsia="ja-JP"/>
              </w:rPr>
            </w:pPr>
            <w:r w:rsidRPr="00FA4E09">
              <w:rPr>
                <w:rFonts w:ascii="Calibri" w:hAnsi="Calibri" w:cs="Calibri"/>
                <w:b/>
                <w:bCs/>
                <w:sz w:val="20"/>
                <w:szCs w:val="20"/>
              </w:rPr>
              <w:t>Total for All Facilities</w:t>
            </w:r>
          </w:p>
        </w:tc>
        <w:tc>
          <w:tcPr>
            <w:tcW w:w="1447" w:type="dxa"/>
            <w:tcBorders>
              <w:top w:val="nil"/>
              <w:left w:val="single" w:sz="4" w:space="0" w:color="auto"/>
              <w:bottom w:val="double" w:sz="4" w:space="0" w:color="auto"/>
              <w:right w:val="single" w:sz="4" w:space="0" w:color="auto"/>
            </w:tcBorders>
            <w:shd w:val="clear" w:color="auto" w:fill="auto"/>
            <w:vAlign w:val="center"/>
          </w:tcPr>
          <w:p w:rsidR="00D7135F" w:rsidRPr="00FA4E09" w:rsidP="00E86E68" w14:paraId="27A33BEF" w14:textId="77777777">
            <w:pPr>
              <w:spacing w:after="0"/>
              <w:jc w:val="right"/>
              <w:rPr>
                <w:rFonts w:ascii="Calibri" w:hAnsi="Calibri" w:cs="Calibri"/>
                <w:b/>
                <w:bCs/>
                <w:sz w:val="20"/>
                <w:szCs w:val="20"/>
              </w:rPr>
            </w:pPr>
            <w:r w:rsidRPr="00FA4E09">
              <w:rPr>
                <w:rFonts w:ascii="Calibri" w:hAnsi="Calibri" w:cs="Calibri"/>
                <w:b/>
                <w:bCs/>
                <w:sz w:val="20"/>
                <w:szCs w:val="20"/>
              </w:rPr>
              <w:t>$64,648</w:t>
            </w:r>
          </w:p>
        </w:tc>
        <w:tc>
          <w:tcPr>
            <w:tcW w:w="1448" w:type="dxa"/>
            <w:tcBorders>
              <w:top w:val="nil"/>
              <w:left w:val="nil"/>
              <w:bottom w:val="double" w:sz="4" w:space="0" w:color="auto"/>
              <w:right w:val="single" w:sz="4" w:space="0" w:color="auto"/>
            </w:tcBorders>
            <w:shd w:val="clear" w:color="auto" w:fill="auto"/>
            <w:vAlign w:val="center"/>
          </w:tcPr>
          <w:p w:rsidR="00D7135F" w:rsidRPr="00FA4E09" w:rsidP="00E86E68" w14:paraId="3C3F0821" w14:textId="77777777">
            <w:pPr>
              <w:spacing w:after="0"/>
              <w:jc w:val="right"/>
              <w:rPr>
                <w:rFonts w:ascii="Calibri" w:hAnsi="Calibri" w:cs="Calibri"/>
                <w:b/>
                <w:bCs/>
                <w:sz w:val="20"/>
                <w:szCs w:val="20"/>
              </w:rPr>
            </w:pPr>
            <w:r w:rsidRPr="00FA4E09">
              <w:rPr>
                <w:rFonts w:ascii="Calibri" w:hAnsi="Calibri" w:cs="Calibri"/>
                <w:b/>
                <w:bCs/>
                <w:sz w:val="20"/>
                <w:szCs w:val="20"/>
              </w:rPr>
              <w:t xml:space="preserve"> $363,447 </w:t>
            </w:r>
          </w:p>
        </w:tc>
        <w:tc>
          <w:tcPr>
            <w:tcW w:w="1673" w:type="dxa"/>
            <w:tcBorders>
              <w:top w:val="nil"/>
              <w:left w:val="nil"/>
              <w:bottom w:val="double" w:sz="4" w:space="0" w:color="auto"/>
              <w:right w:val="double" w:sz="4" w:space="0" w:color="auto"/>
            </w:tcBorders>
            <w:shd w:val="clear" w:color="auto" w:fill="auto"/>
            <w:vAlign w:val="center"/>
          </w:tcPr>
          <w:p w:rsidR="00D7135F" w:rsidRPr="00FA4E09" w:rsidP="00E86E68" w14:paraId="5927BEB1" w14:textId="77777777">
            <w:pPr>
              <w:spacing w:after="0"/>
              <w:jc w:val="right"/>
              <w:rPr>
                <w:rFonts w:ascii="Calibri" w:hAnsi="Calibri" w:cs="Calibri"/>
                <w:b/>
                <w:bCs/>
                <w:sz w:val="20"/>
                <w:szCs w:val="20"/>
              </w:rPr>
            </w:pPr>
            <w:r w:rsidRPr="00FA4E09">
              <w:rPr>
                <w:rFonts w:ascii="Calibri" w:hAnsi="Calibri" w:cs="Calibri"/>
                <w:b/>
                <w:bCs/>
                <w:sz w:val="20"/>
                <w:szCs w:val="20"/>
              </w:rPr>
              <w:t>$428,095</w:t>
            </w:r>
          </w:p>
        </w:tc>
      </w:tr>
    </w:tbl>
    <w:p w:rsidR="00D17BB9" w:rsidRPr="00FA4E09" w:rsidP="0061798C" w14:paraId="164B7E2B" w14:textId="2BCAACF4">
      <w:pPr>
        <w:keepNext/>
        <w:spacing w:before="240" w:after="0"/>
        <w:rPr>
          <w:rFonts w:ascii="Calibri" w:hAnsi="Calibri" w:cs="Calibri"/>
          <w:b/>
          <w:bCs/>
        </w:rPr>
      </w:pPr>
      <w:r w:rsidRPr="00FA4E09">
        <w:rPr>
          <w:rFonts w:ascii="Calibri" w:hAnsi="Calibri" w:eastAsiaTheme="majorEastAsia" w:cs="Calibri"/>
          <w:b/>
          <w:bCs/>
        </w:rPr>
        <w:t xml:space="preserve">14c. </w:t>
      </w:r>
      <w:r w:rsidRPr="00FA4E09">
        <w:rPr>
          <w:rFonts w:ascii="Calibri" w:hAnsi="Calibri" w:eastAsiaTheme="majorEastAsia" w:cs="Calibri"/>
          <w:b/>
          <w:bCs/>
        </w:rPr>
        <w:t>Agency Non-Labor Costs</w:t>
      </w:r>
    </w:p>
    <w:p w:rsidR="00CF477B" w:rsidRPr="00FA4E09" w:rsidP="00854AAE" w14:paraId="7FD22F96" w14:textId="5609BA3D">
      <w:pPr>
        <w:spacing w:before="60"/>
        <w:rPr>
          <w:rFonts w:ascii="Calibri" w:hAnsi="Calibri" w:cs="Calibri"/>
        </w:rPr>
      </w:pPr>
      <w:r w:rsidRPr="00FA4E09">
        <w:rPr>
          <w:rFonts w:ascii="Calibri" w:hAnsi="Calibri" w:cs="Calibri"/>
        </w:rPr>
        <w:fldChar w:fldCharType="begin"/>
      </w:r>
      <w:r w:rsidRPr="00FA4E09">
        <w:rPr>
          <w:rFonts w:ascii="Calibri" w:hAnsi="Calibri" w:cs="Calibri"/>
        </w:rPr>
        <w:instrText xml:space="preserve"> REF _Ref117849486 \h  \* MERGEFORMAT </w:instrText>
      </w:r>
      <w:r w:rsidRPr="00FA4E09">
        <w:rPr>
          <w:rFonts w:ascii="Calibri" w:hAnsi="Calibri" w:cs="Calibri"/>
        </w:rPr>
        <w:fldChar w:fldCharType="separate"/>
      </w:r>
      <w:r w:rsidRPr="009801B6" w:rsidR="00A41D1F">
        <w:rPr>
          <w:rFonts w:ascii="Calibri" w:hAnsi="Calibri" w:cs="Calibri"/>
        </w:rPr>
        <w:t>Table 14-5</w:t>
      </w:r>
      <w:r w:rsidRPr="00FA4E09">
        <w:rPr>
          <w:rFonts w:ascii="Calibri" w:hAnsi="Calibri" w:cs="Calibri"/>
        </w:rPr>
        <w:fldChar w:fldCharType="end"/>
      </w:r>
      <w:r w:rsidRPr="00FA4E09">
        <w:rPr>
          <w:rFonts w:ascii="Calibri" w:hAnsi="Calibri" w:cs="Calibri"/>
        </w:rPr>
        <w:t xml:space="preserve"> presents the other direct costs associated with administering the questionnaire that will be incurred by the EPA. For the EPA and contractor other direct costs, the EPA assumed mailing a notification letter announcing the questionnaire effort to all facilities.</w:t>
      </w:r>
    </w:p>
    <w:p w:rsidR="00CF477B" w:rsidRPr="00FA4E09" w:rsidP="00CF477B" w14:paraId="205DE69A" w14:textId="33EABDD1">
      <w:pPr>
        <w:pStyle w:val="TableTitle"/>
        <w:rPr>
          <w:rFonts w:eastAsiaTheme="minorEastAsia"/>
          <w:bCs/>
          <w:smallCaps/>
          <w:spacing w:val="6"/>
          <w:sz w:val="24"/>
          <w:szCs w:val="18"/>
        </w:rPr>
      </w:pPr>
      <w:bookmarkStart w:id="61" w:name="_Ref117849486"/>
      <w:bookmarkStart w:id="62" w:name="_Toc157787729"/>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14</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5</w:t>
      </w:r>
      <w:r w:rsidRPr="00FA4E09">
        <w:rPr>
          <w:rFonts w:eastAsiaTheme="minorEastAsia"/>
          <w:bCs/>
          <w:smallCaps/>
          <w:spacing w:val="6"/>
          <w:sz w:val="24"/>
          <w:szCs w:val="18"/>
        </w:rPr>
        <w:fldChar w:fldCharType="end"/>
      </w:r>
      <w:bookmarkEnd w:id="61"/>
      <w:r w:rsidRPr="00FA4E09">
        <w:rPr>
          <w:rFonts w:eastAsiaTheme="minorEastAsia"/>
          <w:bCs/>
          <w:smallCaps/>
          <w:spacing w:val="6"/>
          <w:sz w:val="24"/>
          <w:szCs w:val="18"/>
        </w:rPr>
        <w:t>. Estimated Other Direct Costs for the Agency to Administer the Questionnaire</w:t>
      </w:r>
      <w:bookmarkEnd w:id="62"/>
    </w:p>
    <w:tbl>
      <w:tblPr>
        <w:tblW w:w="5000" w:type="pct"/>
        <w:jc w:val="center"/>
        <w:tblCellMar>
          <w:top w:w="29" w:type="dxa"/>
          <w:left w:w="58" w:type="dxa"/>
          <w:bottom w:w="29" w:type="dxa"/>
          <w:right w:w="58" w:type="dxa"/>
        </w:tblCellMar>
        <w:tblLook w:val="0000"/>
      </w:tblPr>
      <w:tblGrid>
        <w:gridCol w:w="3029"/>
        <w:gridCol w:w="1281"/>
        <w:gridCol w:w="1283"/>
        <w:gridCol w:w="1283"/>
        <w:gridCol w:w="1283"/>
        <w:gridCol w:w="1317"/>
      </w:tblGrid>
      <w:tr w14:paraId="07DC3018" w14:textId="77777777" w:rsidTr="009801B6">
        <w:tblPrEx>
          <w:tblW w:w="5000" w:type="pct"/>
          <w:jc w:val="center"/>
          <w:tblCellMar>
            <w:top w:w="29" w:type="dxa"/>
            <w:left w:w="58" w:type="dxa"/>
            <w:bottom w:w="29" w:type="dxa"/>
            <w:right w:w="58" w:type="dxa"/>
          </w:tblCellMar>
          <w:tblLook w:val="0000"/>
        </w:tblPrEx>
        <w:trPr>
          <w:cantSplit/>
          <w:jc w:val="center"/>
        </w:trPr>
        <w:tc>
          <w:tcPr>
            <w:tcW w:w="1598" w:type="pct"/>
            <w:tcBorders>
              <w:top w:val="double" w:sz="6" w:space="0" w:color="auto"/>
              <w:left w:val="double" w:sz="6" w:space="0" w:color="auto"/>
              <w:bottom w:val="single" w:sz="4" w:space="0" w:color="auto"/>
              <w:right w:val="single" w:sz="4" w:space="0" w:color="auto"/>
            </w:tcBorders>
            <w:shd w:val="clear" w:color="auto" w:fill="D9D9D9" w:themeFill="background1" w:themeFillShade="D9"/>
            <w:noWrap/>
            <w:vAlign w:val="bottom"/>
          </w:tcPr>
          <w:p w:rsidR="00CF477B" w:rsidRPr="00FA4E09" w:rsidP="00E86E68" w14:paraId="4D6471E5" w14:textId="77777777">
            <w:pPr>
              <w:keepNext/>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Activity</w:t>
            </w:r>
          </w:p>
        </w:tc>
        <w:tc>
          <w:tcPr>
            <w:tcW w:w="1353" w:type="pct"/>
            <w:gridSpan w:val="2"/>
            <w:tcBorders>
              <w:top w:val="double" w:sz="6"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F477B" w:rsidRPr="00FA4E09" w:rsidP="00E86E68" w14:paraId="217230C4" w14:textId="77777777">
            <w:pPr>
              <w:keepNext/>
              <w:spacing w:after="0"/>
              <w:jc w:val="center"/>
              <w:rPr>
                <w:rFonts w:ascii="Calibri" w:eastAsia="MS Mincho" w:hAnsi="Calibri" w:cs="Calibri"/>
                <w:b/>
                <w:bCs/>
                <w:sz w:val="20"/>
                <w:szCs w:val="20"/>
                <w:vertAlign w:val="superscript"/>
                <w:lang w:eastAsia="ja-JP"/>
              </w:rPr>
            </w:pPr>
            <w:r w:rsidRPr="00FA4E09">
              <w:rPr>
                <w:rFonts w:ascii="Calibri" w:eastAsia="MS Mincho" w:hAnsi="Calibri" w:cs="Calibri"/>
                <w:b/>
                <w:bCs/>
                <w:sz w:val="20"/>
                <w:szCs w:val="20"/>
                <w:lang w:eastAsia="ja-JP"/>
              </w:rPr>
              <w:t>Unit Cost</w:t>
            </w:r>
            <w:r w:rsidRPr="00FA4E09">
              <w:rPr>
                <w:rFonts w:ascii="Calibri" w:eastAsia="MS Mincho" w:hAnsi="Calibri" w:cs="Calibri"/>
                <w:b/>
                <w:bCs/>
                <w:sz w:val="20"/>
                <w:szCs w:val="20"/>
                <w:vertAlign w:val="superscript"/>
                <w:lang w:eastAsia="ja-JP"/>
              </w:rPr>
              <w:t xml:space="preserve"> a</w:t>
            </w:r>
          </w:p>
        </w:tc>
        <w:tc>
          <w:tcPr>
            <w:tcW w:w="1354" w:type="pct"/>
            <w:gridSpan w:val="2"/>
            <w:tcBorders>
              <w:top w:val="double" w:sz="6"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F477B" w:rsidRPr="00FA4E09" w:rsidP="00E86E68" w14:paraId="34C58920" w14:textId="77777777">
            <w:pPr>
              <w:keepNext/>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Number of Units</w:t>
            </w:r>
          </w:p>
        </w:tc>
        <w:tc>
          <w:tcPr>
            <w:tcW w:w="695" w:type="pct"/>
            <w:tcBorders>
              <w:top w:val="double" w:sz="6" w:space="0" w:color="auto"/>
              <w:left w:val="single" w:sz="4" w:space="0" w:color="auto"/>
              <w:bottom w:val="single" w:sz="4" w:space="0" w:color="auto"/>
              <w:right w:val="double" w:sz="6" w:space="0" w:color="auto"/>
            </w:tcBorders>
            <w:shd w:val="clear" w:color="auto" w:fill="D9D9D9" w:themeFill="background1" w:themeFillShade="D9"/>
          </w:tcPr>
          <w:p w:rsidR="00CF477B" w:rsidRPr="00FA4E09" w:rsidP="00E86E68" w14:paraId="192A53C3" w14:textId="77777777">
            <w:pPr>
              <w:keepNext/>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Total Cost ($)</w:t>
            </w:r>
          </w:p>
        </w:tc>
      </w:tr>
      <w:tr w14:paraId="21F72486" w14:textId="77777777" w:rsidTr="009801B6">
        <w:tblPrEx>
          <w:tblW w:w="5000" w:type="pct"/>
          <w:jc w:val="center"/>
          <w:tblCellMar>
            <w:top w:w="29" w:type="dxa"/>
            <w:left w:w="58" w:type="dxa"/>
            <w:bottom w:w="29" w:type="dxa"/>
            <w:right w:w="58" w:type="dxa"/>
          </w:tblCellMar>
          <w:tblLook w:val="0000"/>
        </w:tblPrEx>
        <w:trPr>
          <w:cantSplit/>
          <w:trHeight w:val="259"/>
          <w:jc w:val="center"/>
        </w:trPr>
        <w:tc>
          <w:tcPr>
            <w:tcW w:w="1598" w:type="pct"/>
            <w:tcBorders>
              <w:top w:val="single" w:sz="4" w:space="0" w:color="auto"/>
              <w:left w:val="double" w:sz="6" w:space="0" w:color="auto"/>
              <w:bottom w:val="single" w:sz="4" w:space="0" w:color="auto"/>
              <w:right w:val="single" w:sz="4" w:space="0" w:color="auto"/>
            </w:tcBorders>
            <w:shd w:val="clear" w:color="auto" w:fill="auto"/>
          </w:tcPr>
          <w:p w:rsidR="00CF477B" w:rsidRPr="00FA4E09" w:rsidP="00E86E68" w14:paraId="252DAA70" w14:textId="77777777">
            <w:pPr>
              <w:keepNext/>
              <w:spacing w:after="0"/>
              <w:rPr>
                <w:rFonts w:ascii="Calibri" w:eastAsia="MS Mincho" w:hAnsi="Calibri" w:cs="Calibri"/>
                <w:sz w:val="20"/>
                <w:szCs w:val="20"/>
                <w:lang w:eastAsia="ja-JP"/>
              </w:rPr>
            </w:pPr>
            <w:r w:rsidRPr="00FA4E09">
              <w:rPr>
                <w:rFonts w:ascii="Calibri" w:eastAsia="MS Mincho" w:hAnsi="Calibri" w:cs="Calibri"/>
                <w:sz w:val="20"/>
                <w:szCs w:val="20"/>
                <w:lang w:eastAsia="ja-JP"/>
              </w:rPr>
              <w:t>Questionnaire Notification Mailout</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CF477B" w:rsidRPr="00FA4E09" w:rsidP="00E86E68" w14:paraId="63F05A7C" w14:textId="77777777">
            <w:pPr>
              <w:keepNext/>
              <w:spacing w:after="0"/>
              <w:jc w:val="right"/>
              <w:rPr>
                <w:rFonts w:ascii="Calibri" w:eastAsia="MS Mincho" w:hAnsi="Calibri" w:cs="Calibri"/>
                <w:sz w:val="20"/>
                <w:szCs w:val="20"/>
                <w:lang w:eastAsia="ja-JP"/>
              </w:rPr>
            </w:pPr>
            <w:r w:rsidRPr="00FA4E09">
              <w:rPr>
                <w:rFonts w:ascii="Calibri" w:hAnsi="Calibri" w:cs="Calibri"/>
                <w:sz w:val="20"/>
                <w:szCs w:val="20"/>
              </w:rPr>
              <w:t>$10</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CF477B" w:rsidRPr="00FA4E09" w:rsidP="00E86E68" w14:paraId="16CC320C" w14:textId="77777777">
            <w:pPr>
              <w:keepNext/>
              <w:spacing w:after="0"/>
              <w:rPr>
                <w:rFonts w:ascii="Calibri" w:eastAsia="MS Mincho" w:hAnsi="Calibri" w:cs="Calibri"/>
                <w:sz w:val="20"/>
                <w:szCs w:val="20"/>
                <w:lang w:eastAsia="ja-JP"/>
              </w:rPr>
            </w:pPr>
            <w:r w:rsidRPr="00FA4E09">
              <w:rPr>
                <w:rFonts w:ascii="Calibri" w:hAnsi="Calibri" w:cs="Calibri"/>
                <w:color w:val="000000"/>
                <w:sz w:val="20"/>
                <w:szCs w:val="20"/>
              </w:rPr>
              <w:t>per letter</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rsidR="00CF477B" w:rsidRPr="00FA4E09" w:rsidP="00E86E68" w14:paraId="32A8B886" w14:textId="77777777">
            <w:pPr>
              <w:keepNext/>
              <w:spacing w:after="0"/>
              <w:jc w:val="right"/>
              <w:rPr>
                <w:rFonts w:ascii="Calibri" w:eastAsia="MS Mincho" w:hAnsi="Calibri" w:cs="Calibri"/>
                <w:sz w:val="20"/>
                <w:szCs w:val="20"/>
                <w:lang w:eastAsia="ja-JP"/>
              </w:rPr>
            </w:pPr>
            <w:r w:rsidRPr="00FA4E09">
              <w:rPr>
                <w:rFonts w:ascii="Calibri" w:hAnsi="Calibri" w:cs="Calibri"/>
                <w:color w:val="000000"/>
                <w:sz w:val="20"/>
                <w:szCs w:val="20"/>
              </w:rPr>
              <w:t>400</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CF477B" w:rsidRPr="00FA4E09" w:rsidP="00E86E68" w14:paraId="0DBBAF12" w14:textId="77777777">
            <w:pPr>
              <w:keepNext/>
              <w:spacing w:after="0"/>
              <w:rPr>
                <w:rFonts w:ascii="Calibri" w:eastAsia="MS Mincho" w:hAnsi="Calibri" w:cs="Calibri"/>
                <w:sz w:val="20"/>
                <w:szCs w:val="20"/>
                <w:lang w:eastAsia="ja-JP"/>
              </w:rPr>
            </w:pPr>
            <w:r w:rsidRPr="00FA4E09">
              <w:rPr>
                <w:rFonts w:ascii="Calibri" w:hAnsi="Calibri" w:cs="Calibri"/>
                <w:color w:val="000000"/>
                <w:sz w:val="20"/>
                <w:szCs w:val="20"/>
              </w:rPr>
              <w:t>letters</w:t>
            </w:r>
          </w:p>
        </w:tc>
        <w:tc>
          <w:tcPr>
            <w:tcW w:w="695" w:type="pct"/>
            <w:tcBorders>
              <w:top w:val="single" w:sz="4" w:space="0" w:color="auto"/>
              <w:left w:val="single" w:sz="4" w:space="0" w:color="auto"/>
              <w:bottom w:val="single" w:sz="4" w:space="0" w:color="auto"/>
              <w:right w:val="double" w:sz="6" w:space="0" w:color="auto"/>
            </w:tcBorders>
            <w:vAlign w:val="bottom"/>
          </w:tcPr>
          <w:p w:rsidR="00CF477B" w:rsidRPr="00FA4E09" w:rsidP="00E86E68" w14:paraId="7437F677" w14:textId="77777777">
            <w:pPr>
              <w:keepNext/>
              <w:spacing w:after="0"/>
              <w:jc w:val="right"/>
              <w:rPr>
                <w:rFonts w:ascii="Calibri" w:eastAsia="MS Mincho" w:hAnsi="Calibri" w:cs="Calibri"/>
                <w:b/>
                <w:bCs/>
                <w:sz w:val="20"/>
                <w:szCs w:val="20"/>
                <w:lang w:eastAsia="ja-JP"/>
              </w:rPr>
            </w:pPr>
            <w:r w:rsidRPr="00FA4E09">
              <w:rPr>
                <w:rFonts w:ascii="Calibri" w:hAnsi="Calibri" w:cs="Calibri"/>
                <w:b/>
                <w:bCs/>
                <w:color w:val="000000"/>
                <w:sz w:val="20"/>
                <w:szCs w:val="20"/>
              </w:rPr>
              <w:t>$4,000</w:t>
            </w:r>
          </w:p>
        </w:tc>
      </w:tr>
      <w:tr w14:paraId="285A9C6B" w14:textId="77777777" w:rsidTr="009801B6">
        <w:tblPrEx>
          <w:tblW w:w="5000" w:type="pct"/>
          <w:jc w:val="center"/>
          <w:tblCellMar>
            <w:top w:w="29" w:type="dxa"/>
            <w:left w:w="58" w:type="dxa"/>
            <w:bottom w:w="29" w:type="dxa"/>
            <w:right w:w="58" w:type="dxa"/>
          </w:tblCellMar>
          <w:tblLook w:val="0000"/>
        </w:tblPrEx>
        <w:trPr>
          <w:cantSplit/>
          <w:trHeight w:val="229"/>
          <w:jc w:val="center"/>
        </w:trPr>
        <w:tc>
          <w:tcPr>
            <w:tcW w:w="4305" w:type="pct"/>
            <w:gridSpan w:val="5"/>
            <w:tcBorders>
              <w:top w:val="single" w:sz="4" w:space="0" w:color="auto"/>
              <w:left w:val="double" w:sz="6" w:space="0" w:color="auto"/>
              <w:bottom w:val="double" w:sz="4" w:space="0" w:color="auto"/>
              <w:right w:val="single" w:sz="4" w:space="0" w:color="auto"/>
            </w:tcBorders>
            <w:shd w:val="clear" w:color="auto" w:fill="auto"/>
            <w:vAlign w:val="center"/>
          </w:tcPr>
          <w:p w:rsidR="00CF477B" w:rsidRPr="00FA4E09" w:rsidP="00E86E68" w14:paraId="2140F4BC" w14:textId="77777777">
            <w:pPr>
              <w:keepNext/>
              <w:spacing w:after="0"/>
              <w:jc w:val="right"/>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Total</w:t>
            </w:r>
          </w:p>
        </w:tc>
        <w:tc>
          <w:tcPr>
            <w:tcW w:w="695" w:type="pct"/>
            <w:tcBorders>
              <w:top w:val="single" w:sz="4" w:space="0" w:color="auto"/>
              <w:left w:val="single" w:sz="4" w:space="0" w:color="auto"/>
              <w:bottom w:val="double" w:sz="4" w:space="0" w:color="auto"/>
              <w:right w:val="double" w:sz="6" w:space="0" w:color="auto"/>
            </w:tcBorders>
            <w:shd w:val="clear" w:color="auto" w:fill="auto"/>
          </w:tcPr>
          <w:p w:rsidR="00CF477B" w:rsidRPr="00FA4E09" w:rsidP="00E86E68" w14:paraId="53F991C9" w14:textId="77777777">
            <w:pPr>
              <w:keepNext/>
              <w:spacing w:after="0"/>
              <w:jc w:val="right"/>
              <w:rPr>
                <w:rFonts w:ascii="Calibri" w:hAnsi="Calibri" w:cs="Calibri"/>
                <w:b/>
                <w:bCs/>
                <w:color w:val="000000"/>
                <w:sz w:val="20"/>
                <w:szCs w:val="20"/>
              </w:rPr>
            </w:pPr>
            <w:r w:rsidRPr="00FA4E09">
              <w:rPr>
                <w:rFonts w:ascii="Calibri" w:hAnsi="Calibri" w:cs="Calibri"/>
                <w:b/>
                <w:bCs/>
                <w:color w:val="000000"/>
                <w:sz w:val="20"/>
                <w:szCs w:val="20"/>
              </w:rPr>
              <w:t>$4,000</w:t>
            </w:r>
          </w:p>
        </w:tc>
      </w:tr>
      <w:tr w14:paraId="35F01463" w14:textId="77777777">
        <w:tblPrEx>
          <w:tblW w:w="5000" w:type="pct"/>
          <w:jc w:val="center"/>
          <w:tblCellMar>
            <w:top w:w="29" w:type="dxa"/>
            <w:left w:w="58" w:type="dxa"/>
            <w:bottom w:w="29" w:type="dxa"/>
            <w:right w:w="58" w:type="dxa"/>
          </w:tblCellMar>
          <w:tblLook w:val="0000"/>
        </w:tblPrEx>
        <w:trPr>
          <w:cantSplit/>
          <w:trHeight w:val="229"/>
          <w:jc w:val="center"/>
        </w:trPr>
        <w:tc>
          <w:tcPr>
            <w:tcW w:w="5000" w:type="pct"/>
            <w:gridSpan w:val="6"/>
            <w:tcBorders>
              <w:top w:val="double" w:sz="4" w:space="0" w:color="auto"/>
            </w:tcBorders>
            <w:shd w:val="clear" w:color="auto" w:fill="auto"/>
            <w:vAlign w:val="center"/>
          </w:tcPr>
          <w:p w:rsidR="00CF477B" w:rsidRPr="00FA4E09" w14:paraId="372F8AE4" w14:textId="77777777">
            <w:pPr>
              <w:pStyle w:val="TableNotes"/>
              <w:rPr>
                <w:rFonts w:ascii="Calibri" w:hAnsi="Calibri" w:cs="Calibri"/>
              </w:rPr>
            </w:pPr>
            <w:r w:rsidRPr="00FA4E09">
              <w:rPr>
                <w:rFonts w:ascii="Calibri" w:hAnsi="Calibri" w:cs="Calibri"/>
              </w:rPr>
              <w:t>a – Questionnaire notification letters will be sent via Federal Express (or another shipper with tracking) at $10.00 shipping fee/package.</w:t>
            </w:r>
          </w:p>
        </w:tc>
      </w:tr>
    </w:tbl>
    <w:p w:rsidR="00CF477B" w:rsidRPr="00FA4E09" w:rsidP="00194C2B" w14:paraId="087616FB" w14:textId="01A83FF2">
      <w:pPr>
        <w:spacing w:before="240"/>
        <w:rPr>
          <w:rFonts w:ascii="Calibri" w:hAnsi="Calibri" w:cs="Calibri"/>
        </w:rPr>
      </w:pPr>
      <w:r w:rsidRPr="00FA4E09">
        <w:rPr>
          <w:rFonts w:ascii="Calibri" w:hAnsi="Calibri" w:cs="Calibri"/>
        </w:rPr>
        <w:fldChar w:fldCharType="begin"/>
      </w:r>
      <w:r w:rsidRPr="00FA4E09">
        <w:rPr>
          <w:rFonts w:ascii="Calibri" w:hAnsi="Calibri" w:cs="Calibri"/>
        </w:rPr>
        <w:instrText xml:space="preserve"> REF _Ref117849583 \h  \* MERGEFORMAT </w:instrText>
      </w:r>
      <w:r w:rsidRPr="00FA4E09">
        <w:rPr>
          <w:rFonts w:ascii="Calibri" w:hAnsi="Calibri" w:cs="Calibri"/>
        </w:rPr>
        <w:fldChar w:fldCharType="separate"/>
      </w:r>
      <w:r w:rsidRPr="009801B6" w:rsidR="00A41D1F">
        <w:rPr>
          <w:rFonts w:ascii="Calibri" w:hAnsi="Calibri" w:cs="Calibri"/>
        </w:rPr>
        <w:t>Table 14-6</w:t>
      </w:r>
      <w:r w:rsidRPr="00FA4E09">
        <w:rPr>
          <w:rFonts w:ascii="Calibri" w:hAnsi="Calibri" w:cs="Calibri"/>
        </w:rPr>
        <w:fldChar w:fldCharType="end"/>
      </w:r>
      <w:r w:rsidRPr="00FA4E09">
        <w:rPr>
          <w:rFonts w:ascii="Calibri" w:hAnsi="Calibri" w:cs="Calibri"/>
        </w:rPr>
        <w:t xml:space="preserve"> shows the other direct costs incurred by the EPA per sampled facility and the total cost for a sampling program of 200 POTWs. Other direct costs associated with sampling include costs associated with planning calls and long-term storage for sewage </w:t>
      </w:r>
      <w:r w:rsidRPr="00FA4E09" w:rsidR="000077A0">
        <w:rPr>
          <w:rFonts w:ascii="Calibri" w:hAnsi="Calibri" w:cs="Calibri"/>
        </w:rPr>
        <w:t>sludge</w:t>
      </w:r>
      <w:r w:rsidRPr="00FA4E09">
        <w:rPr>
          <w:rFonts w:ascii="Calibri" w:hAnsi="Calibri" w:cs="Calibri"/>
        </w:rPr>
        <w:t xml:space="preserve"> samples.</w:t>
      </w:r>
    </w:p>
    <w:p w:rsidR="00CF477B" w:rsidRPr="00FA4E09" w:rsidP="00CF477B" w14:paraId="2F335BA3" w14:textId="0B56C6EB">
      <w:pPr>
        <w:pStyle w:val="TableTitle"/>
        <w:rPr>
          <w:rFonts w:eastAsiaTheme="minorEastAsia"/>
          <w:bCs/>
          <w:smallCaps/>
          <w:spacing w:val="6"/>
          <w:sz w:val="24"/>
          <w:szCs w:val="18"/>
        </w:rPr>
      </w:pPr>
      <w:bookmarkStart w:id="63" w:name="_Ref117849583"/>
      <w:bookmarkStart w:id="64" w:name="_Toc157787731"/>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14</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6</w:t>
      </w:r>
      <w:r w:rsidRPr="00FA4E09">
        <w:rPr>
          <w:rFonts w:eastAsiaTheme="minorEastAsia"/>
          <w:bCs/>
          <w:smallCaps/>
          <w:spacing w:val="6"/>
          <w:sz w:val="24"/>
          <w:szCs w:val="18"/>
        </w:rPr>
        <w:fldChar w:fldCharType="end"/>
      </w:r>
      <w:bookmarkEnd w:id="63"/>
      <w:r w:rsidRPr="00FA4E09">
        <w:rPr>
          <w:rFonts w:eastAsiaTheme="minorEastAsia"/>
          <w:bCs/>
          <w:smallCaps/>
          <w:spacing w:val="6"/>
          <w:sz w:val="24"/>
          <w:szCs w:val="18"/>
        </w:rPr>
        <w:t>. Estimated Other Direct Costs for the Agency for Sampling</w:t>
      </w:r>
      <w:bookmarkEnd w:id="64"/>
    </w:p>
    <w:tbl>
      <w:tblPr>
        <w:tblW w:w="5000" w:type="pct"/>
        <w:jc w:val="center"/>
        <w:tblCellMar>
          <w:top w:w="29" w:type="dxa"/>
          <w:left w:w="58" w:type="dxa"/>
          <w:bottom w:w="29" w:type="dxa"/>
          <w:right w:w="58" w:type="dxa"/>
        </w:tblCellMar>
        <w:tblLook w:val="0000"/>
      </w:tblPr>
      <w:tblGrid>
        <w:gridCol w:w="3029"/>
        <w:gridCol w:w="809"/>
        <w:gridCol w:w="1755"/>
        <w:gridCol w:w="855"/>
        <w:gridCol w:w="1711"/>
        <w:gridCol w:w="1317"/>
      </w:tblGrid>
      <w:tr w14:paraId="17841A06" w14:textId="77777777" w:rsidTr="009801B6">
        <w:tblPrEx>
          <w:tblW w:w="5000" w:type="pct"/>
          <w:jc w:val="center"/>
          <w:tblCellMar>
            <w:top w:w="29" w:type="dxa"/>
            <w:left w:w="58" w:type="dxa"/>
            <w:bottom w:w="29" w:type="dxa"/>
            <w:right w:w="58" w:type="dxa"/>
          </w:tblCellMar>
          <w:tblLook w:val="0000"/>
        </w:tblPrEx>
        <w:trPr>
          <w:cantSplit/>
          <w:jc w:val="center"/>
        </w:trPr>
        <w:tc>
          <w:tcPr>
            <w:tcW w:w="1598" w:type="pct"/>
            <w:tcBorders>
              <w:top w:val="double" w:sz="6" w:space="0" w:color="auto"/>
              <w:left w:val="double" w:sz="6" w:space="0" w:color="auto"/>
              <w:bottom w:val="single" w:sz="4" w:space="0" w:color="auto"/>
              <w:right w:val="single" w:sz="4" w:space="0" w:color="auto"/>
            </w:tcBorders>
            <w:shd w:val="clear" w:color="auto" w:fill="D9D9D9" w:themeFill="background1" w:themeFillShade="D9"/>
            <w:noWrap/>
            <w:vAlign w:val="center"/>
          </w:tcPr>
          <w:p w:rsidR="00CF477B" w:rsidRPr="00FA4E09" w:rsidP="00CF477B" w14:paraId="604F59E0"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Activity</w:t>
            </w:r>
          </w:p>
        </w:tc>
        <w:tc>
          <w:tcPr>
            <w:tcW w:w="1353" w:type="pct"/>
            <w:gridSpan w:val="2"/>
            <w:tcBorders>
              <w:top w:val="double" w:sz="6"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F477B" w:rsidRPr="00FA4E09" w:rsidP="00CF477B" w14:paraId="5F37C229" w14:textId="77777777">
            <w:pPr>
              <w:spacing w:after="0"/>
              <w:jc w:val="center"/>
              <w:rPr>
                <w:rFonts w:ascii="Calibri" w:eastAsia="MS Mincho" w:hAnsi="Calibri" w:cs="Calibri"/>
                <w:b/>
                <w:bCs/>
                <w:sz w:val="20"/>
                <w:szCs w:val="20"/>
                <w:vertAlign w:val="superscript"/>
                <w:lang w:eastAsia="ja-JP"/>
              </w:rPr>
            </w:pPr>
            <w:r w:rsidRPr="00FA4E09">
              <w:rPr>
                <w:rFonts w:ascii="Calibri" w:eastAsia="MS Mincho" w:hAnsi="Calibri" w:cs="Calibri"/>
                <w:b/>
                <w:bCs/>
                <w:sz w:val="20"/>
                <w:szCs w:val="20"/>
                <w:lang w:eastAsia="ja-JP"/>
              </w:rPr>
              <w:t>Unit Cost</w:t>
            </w:r>
          </w:p>
        </w:tc>
        <w:tc>
          <w:tcPr>
            <w:tcW w:w="1354" w:type="pct"/>
            <w:gridSpan w:val="2"/>
            <w:tcBorders>
              <w:top w:val="double" w:sz="6"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F477B" w:rsidRPr="00FA4E09" w:rsidP="00CF477B" w14:paraId="79208C49"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Number of Units</w:t>
            </w:r>
          </w:p>
        </w:tc>
        <w:tc>
          <w:tcPr>
            <w:tcW w:w="695" w:type="pct"/>
            <w:tcBorders>
              <w:top w:val="double" w:sz="6" w:space="0" w:color="auto"/>
              <w:left w:val="single" w:sz="4" w:space="0" w:color="auto"/>
              <w:bottom w:val="single" w:sz="4" w:space="0" w:color="auto"/>
              <w:right w:val="double" w:sz="6" w:space="0" w:color="auto"/>
            </w:tcBorders>
            <w:shd w:val="clear" w:color="auto" w:fill="D9D9D9" w:themeFill="background1" w:themeFillShade="D9"/>
            <w:vAlign w:val="center"/>
          </w:tcPr>
          <w:p w:rsidR="00CF477B" w:rsidRPr="00FA4E09" w:rsidP="00CF477B" w14:paraId="70B2D436" w14:textId="77777777">
            <w:pPr>
              <w:spacing w:after="0"/>
              <w:jc w:val="center"/>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Total Cost ($)</w:t>
            </w:r>
          </w:p>
        </w:tc>
      </w:tr>
      <w:tr w14:paraId="08FBAD82" w14:textId="77777777" w:rsidTr="009801B6">
        <w:tblPrEx>
          <w:tblW w:w="5000" w:type="pct"/>
          <w:jc w:val="center"/>
          <w:tblCellMar>
            <w:top w:w="29" w:type="dxa"/>
            <w:left w:w="58" w:type="dxa"/>
            <w:bottom w:w="29" w:type="dxa"/>
            <w:right w:w="58" w:type="dxa"/>
          </w:tblCellMar>
          <w:tblLook w:val="0000"/>
        </w:tblPrEx>
        <w:trPr>
          <w:cantSplit/>
          <w:trHeight w:val="259"/>
          <w:jc w:val="center"/>
        </w:trPr>
        <w:tc>
          <w:tcPr>
            <w:tcW w:w="1598" w:type="pct"/>
            <w:tcBorders>
              <w:top w:val="single" w:sz="4" w:space="0" w:color="auto"/>
              <w:left w:val="double" w:sz="4" w:space="0" w:color="auto"/>
              <w:bottom w:val="single" w:sz="4" w:space="0" w:color="auto"/>
              <w:right w:val="single" w:sz="4" w:space="0" w:color="auto"/>
            </w:tcBorders>
            <w:shd w:val="clear" w:color="auto" w:fill="auto"/>
            <w:vAlign w:val="center"/>
          </w:tcPr>
          <w:p w:rsidR="00CF477B" w:rsidRPr="00FA4E09" w:rsidP="00CF477B" w14:paraId="41E71C24" w14:textId="77777777">
            <w:pPr>
              <w:spacing w:after="0"/>
              <w:rPr>
                <w:rFonts w:ascii="Calibri" w:eastAsia="MS Mincho" w:hAnsi="Calibri" w:cs="Calibri"/>
                <w:sz w:val="20"/>
                <w:szCs w:val="20"/>
                <w:lang w:eastAsia="ja-JP"/>
              </w:rPr>
            </w:pPr>
            <w:r w:rsidRPr="00FA4E09">
              <w:rPr>
                <w:rFonts w:ascii="Calibri" w:hAnsi="Calibri" w:cs="Calibri"/>
                <w:sz w:val="20"/>
                <w:szCs w:val="20"/>
              </w:rPr>
              <w:t>Planning Calls (phone charges)</w:t>
            </w:r>
          </w:p>
        </w:tc>
        <w:tc>
          <w:tcPr>
            <w:tcW w:w="427" w:type="pct"/>
            <w:tcBorders>
              <w:top w:val="single" w:sz="4" w:space="0" w:color="auto"/>
              <w:left w:val="nil"/>
              <w:bottom w:val="single" w:sz="4" w:space="0" w:color="auto"/>
              <w:right w:val="single" w:sz="4" w:space="0" w:color="auto"/>
            </w:tcBorders>
            <w:shd w:val="clear" w:color="auto" w:fill="auto"/>
            <w:vAlign w:val="center"/>
          </w:tcPr>
          <w:p w:rsidR="00CF477B" w:rsidRPr="00FA4E09" w:rsidP="00CF477B" w14:paraId="5A2F6140" w14:textId="77777777">
            <w:pPr>
              <w:spacing w:after="0"/>
              <w:jc w:val="right"/>
              <w:rPr>
                <w:rFonts w:ascii="Calibri" w:eastAsia="MS Mincho" w:hAnsi="Calibri" w:cs="Calibri"/>
                <w:sz w:val="20"/>
                <w:szCs w:val="20"/>
                <w:lang w:eastAsia="ja-JP"/>
              </w:rPr>
            </w:pPr>
            <w:r w:rsidRPr="00FA4E09">
              <w:rPr>
                <w:rFonts w:ascii="Calibri" w:hAnsi="Calibri" w:cs="Calibri"/>
                <w:sz w:val="20"/>
                <w:szCs w:val="20"/>
              </w:rPr>
              <w:t>$3</w:t>
            </w:r>
          </w:p>
        </w:tc>
        <w:tc>
          <w:tcPr>
            <w:tcW w:w="926" w:type="pct"/>
            <w:tcBorders>
              <w:top w:val="single" w:sz="4" w:space="0" w:color="auto"/>
              <w:left w:val="nil"/>
              <w:bottom w:val="single" w:sz="4" w:space="0" w:color="auto"/>
              <w:right w:val="single" w:sz="4" w:space="0" w:color="auto"/>
            </w:tcBorders>
            <w:shd w:val="clear" w:color="auto" w:fill="auto"/>
            <w:vAlign w:val="center"/>
          </w:tcPr>
          <w:p w:rsidR="00CF477B" w:rsidRPr="00FA4E09" w:rsidP="00CF477B" w14:paraId="66B2BBB9" w14:textId="77777777">
            <w:pPr>
              <w:spacing w:after="0"/>
              <w:rPr>
                <w:rFonts w:ascii="Calibri" w:eastAsia="MS Mincho" w:hAnsi="Calibri" w:cs="Calibri"/>
                <w:sz w:val="20"/>
                <w:szCs w:val="20"/>
                <w:lang w:eastAsia="ja-JP"/>
              </w:rPr>
            </w:pPr>
            <w:r w:rsidRPr="00FA4E09">
              <w:rPr>
                <w:rFonts w:ascii="Calibri" w:hAnsi="Calibri" w:cs="Calibri"/>
                <w:sz w:val="20"/>
                <w:szCs w:val="20"/>
              </w:rPr>
              <w:t>per hour</w:t>
            </w:r>
          </w:p>
        </w:tc>
        <w:tc>
          <w:tcPr>
            <w:tcW w:w="451" w:type="pct"/>
            <w:tcBorders>
              <w:top w:val="single" w:sz="4" w:space="0" w:color="auto"/>
              <w:left w:val="nil"/>
              <w:bottom w:val="single" w:sz="4" w:space="0" w:color="auto"/>
              <w:right w:val="single" w:sz="4" w:space="0" w:color="auto"/>
            </w:tcBorders>
            <w:shd w:val="clear" w:color="auto" w:fill="auto"/>
            <w:vAlign w:val="center"/>
          </w:tcPr>
          <w:p w:rsidR="00CF477B" w:rsidRPr="00FA4E09" w:rsidP="00CF477B" w14:paraId="71D8A27D" w14:textId="77777777">
            <w:pPr>
              <w:spacing w:after="0"/>
              <w:jc w:val="right"/>
              <w:rPr>
                <w:rFonts w:ascii="Calibri" w:eastAsia="MS Mincho" w:hAnsi="Calibri" w:cs="Calibri"/>
                <w:sz w:val="20"/>
                <w:szCs w:val="20"/>
                <w:lang w:eastAsia="ja-JP"/>
              </w:rPr>
            </w:pPr>
            <w:r w:rsidRPr="00FA4E09">
              <w:rPr>
                <w:rFonts w:ascii="Calibri" w:eastAsia="MS Mincho" w:hAnsi="Calibri" w:cs="Calibri"/>
                <w:sz w:val="20"/>
                <w:szCs w:val="20"/>
                <w:lang w:eastAsia="ja-JP"/>
              </w:rPr>
              <w:t>10</w:t>
            </w:r>
          </w:p>
        </w:tc>
        <w:tc>
          <w:tcPr>
            <w:tcW w:w="903" w:type="pct"/>
            <w:tcBorders>
              <w:top w:val="single" w:sz="4" w:space="0" w:color="auto"/>
              <w:left w:val="nil"/>
              <w:bottom w:val="single" w:sz="4" w:space="0" w:color="auto"/>
              <w:right w:val="single" w:sz="4" w:space="0" w:color="auto"/>
            </w:tcBorders>
            <w:shd w:val="clear" w:color="auto" w:fill="auto"/>
            <w:vAlign w:val="center"/>
          </w:tcPr>
          <w:p w:rsidR="00CF477B" w:rsidRPr="00FA4E09" w:rsidP="00CF477B" w14:paraId="1EDE8009" w14:textId="77777777">
            <w:pPr>
              <w:spacing w:after="0"/>
              <w:rPr>
                <w:rFonts w:ascii="Calibri" w:eastAsia="MS Mincho" w:hAnsi="Calibri" w:cs="Calibri"/>
                <w:sz w:val="20"/>
                <w:szCs w:val="20"/>
                <w:lang w:eastAsia="ja-JP"/>
              </w:rPr>
            </w:pPr>
            <w:r w:rsidRPr="00FA4E09">
              <w:rPr>
                <w:rFonts w:ascii="Calibri" w:hAnsi="Calibri" w:cs="Calibri"/>
                <w:sz w:val="20"/>
                <w:szCs w:val="20"/>
              </w:rPr>
              <w:t xml:space="preserve">1-hour calls </w:t>
            </w:r>
          </w:p>
        </w:tc>
        <w:tc>
          <w:tcPr>
            <w:tcW w:w="695" w:type="pct"/>
            <w:tcBorders>
              <w:top w:val="single" w:sz="4" w:space="0" w:color="auto"/>
              <w:left w:val="nil"/>
              <w:bottom w:val="single" w:sz="4" w:space="0" w:color="auto"/>
              <w:right w:val="double" w:sz="4" w:space="0" w:color="auto"/>
            </w:tcBorders>
            <w:shd w:val="clear" w:color="auto" w:fill="auto"/>
            <w:vAlign w:val="center"/>
          </w:tcPr>
          <w:p w:rsidR="00CF477B" w:rsidRPr="00FA4E09" w:rsidP="00CF477B" w14:paraId="58E29F07" w14:textId="77777777">
            <w:pPr>
              <w:spacing w:after="0"/>
              <w:jc w:val="right"/>
              <w:rPr>
                <w:rFonts w:ascii="Calibri" w:eastAsia="MS Mincho" w:hAnsi="Calibri" w:cs="Calibri"/>
                <w:b/>
                <w:bCs/>
                <w:sz w:val="20"/>
                <w:szCs w:val="20"/>
                <w:lang w:eastAsia="ja-JP"/>
              </w:rPr>
            </w:pPr>
            <w:r w:rsidRPr="00FA4E09">
              <w:rPr>
                <w:rFonts w:ascii="Calibri" w:hAnsi="Calibri" w:cs="Calibri"/>
                <w:b/>
                <w:bCs/>
                <w:sz w:val="20"/>
                <w:szCs w:val="20"/>
              </w:rPr>
              <w:t xml:space="preserve">$30 </w:t>
            </w:r>
          </w:p>
        </w:tc>
      </w:tr>
      <w:tr w14:paraId="43387737" w14:textId="77777777" w:rsidTr="009801B6">
        <w:tblPrEx>
          <w:tblW w:w="5000" w:type="pct"/>
          <w:jc w:val="center"/>
          <w:tblCellMar>
            <w:top w:w="29" w:type="dxa"/>
            <w:left w:w="58" w:type="dxa"/>
            <w:bottom w:w="29" w:type="dxa"/>
            <w:right w:w="58" w:type="dxa"/>
          </w:tblCellMar>
          <w:tblLook w:val="0000"/>
        </w:tblPrEx>
        <w:trPr>
          <w:cantSplit/>
          <w:trHeight w:val="304"/>
          <w:jc w:val="center"/>
        </w:trPr>
        <w:tc>
          <w:tcPr>
            <w:tcW w:w="1598" w:type="pct"/>
            <w:tcBorders>
              <w:top w:val="nil"/>
              <w:left w:val="double" w:sz="4" w:space="0" w:color="auto"/>
              <w:bottom w:val="single" w:sz="4" w:space="0" w:color="auto"/>
              <w:right w:val="single" w:sz="4" w:space="0" w:color="auto"/>
            </w:tcBorders>
            <w:shd w:val="clear" w:color="auto" w:fill="auto"/>
            <w:vAlign w:val="center"/>
          </w:tcPr>
          <w:p w:rsidR="00CF477B" w:rsidRPr="00FA4E09" w:rsidP="00CF477B" w14:paraId="3A3BFF29" w14:textId="710B5546">
            <w:pPr>
              <w:spacing w:after="0"/>
              <w:rPr>
                <w:rFonts w:ascii="Calibri" w:eastAsia="MS Mincho" w:hAnsi="Calibri" w:cs="Calibri"/>
                <w:sz w:val="20"/>
                <w:szCs w:val="20"/>
                <w:lang w:eastAsia="ja-JP"/>
              </w:rPr>
            </w:pPr>
            <w:r w:rsidRPr="00FA4E09">
              <w:rPr>
                <w:rFonts w:ascii="Calibri" w:hAnsi="Calibri" w:cs="Calibri"/>
                <w:sz w:val="20"/>
                <w:szCs w:val="20"/>
              </w:rPr>
              <w:t xml:space="preserve">Long-Term Sewage </w:t>
            </w:r>
            <w:r w:rsidRPr="00FA4E09" w:rsidR="000077A0">
              <w:rPr>
                <w:rFonts w:ascii="Calibri" w:hAnsi="Calibri" w:cs="Calibri"/>
                <w:sz w:val="20"/>
                <w:szCs w:val="20"/>
              </w:rPr>
              <w:t>Sludge</w:t>
            </w:r>
            <w:r w:rsidRPr="00FA4E09">
              <w:rPr>
                <w:rFonts w:ascii="Calibri" w:hAnsi="Calibri" w:cs="Calibri"/>
                <w:sz w:val="20"/>
                <w:szCs w:val="20"/>
              </w:rPr>
              <w:t xml:space="preserve"> Sample Storage</w:t>
            </w:r>
          </w:p>
        </w:tc>
        <w:tc>
          <w:tcPr>
            <w:tcW w:w="427" w:type="pct"/>
            <w:tcBorders>
              <w:top w:val="nil"/>
              <w:left w:val="nil"/>
              <w:bottom w:val="single" w:sz="4" w:space="0" w:color="auto"/>
              <w:right w:val="single" w:sz="4" w:space="0" w:color="auto"/>
            </w:tcBorders>
            <w:shd w:val="clear" w:color="auto" w:fill="auto"/>
            <w:vAlign w:val="center"/>
          </w:tcPr>
          <w:p w:rsidR="00CF477B" w:rsidRPr="00FA4E09" w:rsidP="00CF477B" w14:paraId="2AB8A4CF" w14:textId="77777777">
            <w:pPr>
              <w:spacing w:after="0"/>
              <w:jc w:val="right"/>
              <w:rPr>
                <w:rFonts w:ascii="Calibri" w:eastAsia="MS Mincho" w:hAnsi="Calibri" w:cs="Calibri"/>
                <w:sz w:val="20"/>
                <w:szCs w:val="20"/>
                <w:lang w:eastAsia="ja-JP"/>
              </w:rPr>
            </w:pPr>
            <w:r w:rsidRPr="00FA4E09">
              <w:rPr>
                <w:rFonts w:ascii="Calibri" w:hAnsi="Calibri" w:cs="Calibri"/>
                <w:sz w:val="20"/>
                <w:szCs w:val="20"/>
              </w:rPr>
              <w:t>$10</w:t>
            </w:r>
          </w:p>
        </w:tc>
        <w:tc>
          <w:tcPr>
            <w:tcW w:w="926" w:type="pct"/>
            <w:tcBorders>
              <w:top w:val="nil"/>
              <w:left w:val="nil"/>
              <w:bottom w:val="single" w:sz="4" w:space="0" w:color="auto"/>
              <w:right w:val="single" w:sz="4" w:space="0" w:color="auto"/>
            </w:tcBorders>
            <w:shd w:val="clear" w:color="auto" w:fill="auto"/>
            <w:vAlign w:val="center"/>
          </w:tcPr>
          <w:p w:rsidR="00CF477B" w:rsidRPr="00FA4E09" w:rsidP="00CF477B" w14:paraId="089755AC" w14:textId="77777777">
            <w:pPr>
              <w:spacing w:after="0"/>
              <w:rPr>
                <w:rFonts w:ascii="Calibri" w:eastAsia="MS Mincho" w:hAnsi="Calibri" w:cs="Calibri"/>
                <w:sz w:val="20"/>
                <w:szCs w:val="20"/>
                <w:lang w:eastAsia="ja-JP"/>
              </w:rPr>
            </w:pPr>
            <w:r w:rsidRPr="00FA4E09">
              <w:rPr>
                <w:rFonts w:ascii="Calibri" w:hAnsi="Calibri" w:cs="Calibri"/>
                <w:sz w:val="20"/>
                <w:szCs w:val="20"/>
              </w:rPr>
              <w:t xml:space="preserve">2-year storage per </w:t>
            </w:r>
            <w:r w:rsidRPr="00FA4E09">
              <w:rPr>
                <w:rFonts w:ascii="Calibri" w:hAnsi="Calibri" w:cs="Calibri"/>
                <w:sz w:val="20"/>
                <w:szCs w:val="20"/>
              </w:rPr>
              <w:t>sample</w:t>
            </w:r>
            <w:r w:rsidRPr="00FA4E09">
              <w:rPr>
                <w:rFonts w:ascii="Calibri" w:hAnsi="Calibri" w:cs="Calibri"/>
                <w:sz w:val="20"/>
                <w:szCs w:val="20"/>
              </w:rPr>
              <w:t>, including supplies and travel</w:t>
            </w:r>
          </w:p>
        </w:tc>
        <w:tc>
          <w:tcPr>
            <w:tcW w:w="451" w:type="pct"/>
            <w:tcBorders>
              <w:top w:val="nil"/>
              <w:left w:val="nil"/>
              <w:bottom w:val="single" w:sz="4" w:space="0" w:color="auto"/>
              <w:right w:val="single" w:sz="4" w:space="0" w:color="auto"/>
            </w:tcBorders>
            <w:shd w:val="clear" w:color="auto" w:fill="auto"/>
            <w:vAlign w:val="center"/>
          </w:tcPr>
          <w:p w:rsidR="00CF477B" w:rsidRPr="00FA4E09" w:rsidP="00CF477B" w14:paraId="30BE4B00" w14:textId="77777777">
            <w:pPr>
              <w:spacing w:after="0"/>
              <w:jc w:val="right"/>
              <w:rPr>
                <w:rFonts w:ascii="Calibri" w:eastAsia="MS Mincho" w:hAnsi="Calibri" w:cs="Calibri"/>
                <w:sz w:val="20"/>
                <w:szCs w:val="20"/>
                <w:lang w:eastAsia="ja-JP"/>
              </w:rPr>
            </w:pPr>
            <w:r w:rsidRPr="00FA4E09">
              <w:rPr>
                <w:rFonts w:ascii="Calibri" w:eastAsia="MS Mincho" w:hAnsi="Calibri" w:cs="Calibri"/>
                <w:sz w:val="20"/>
                <w:szCs w:val="20"/>
                <w:lang w:eastAsia="ja-JP"/>
              </w:rPr>
              <w:t>550</w:t>
            </w:r>
          </w:p>
        </w:tc>
        <w:tc>
          <w:tcPr>
            <w:tcW w:w="903" w:type="pct"/>
            <w:tcBorders>
              <w:top w:val="nil"/>
              <w:left w:val="nil"/>
              <w:bottom w:val="single" w:sz="4" w:space="0" w:color="auto"/>
              <w:right w:val="single" w:sz="4" w:space="0" w:color="auto"/>
            </w:tcBorders>
            <w:shd w:val="clear" w:color="auto" w:fill="auto"/>
            <w:vAlign w:val="center"/>
          </w:tcPr>
          <w:p w:rsidR="00CF477B" w:rsidRPr="00FA4E09" w:rsidP="00CF477B" w14:paraId="0F501C97" w14:textId="77777777">
            <w:pPr>
              <w:spacing w:after="0"/>
              <w:rPr>
                <w:rFonts w:ascii="Calibri" w:eastAsia="MS Mincho" w:hAnsi="Calibri" w:cs="Calibri"/>
                <w:sz w:val="20"/>
                <w:szCs w:val="20"/>
                <w:lang w:eastAsia="ja-JP"/>
              </w:rPr>
            </w:pPr>
            <w:r w:rsidRPr="00FA4E09">
              <w:rPr>
                <w:rFonts w:ascii="Calibri" w:hAnsi="Calibri" w:cs="Calibri"/>
                <w:sz w:val="20"/>
                <w:szCs w:val="20"/>
              </w:rPr>
              <w:t xml:space="preserve">samples </w:t>
            </w:r>
          </w:p>
        </w:tc>
        <w:tc>
          <w:tcPr>
            <w:tcW w:w="695" w:type="pct"/>
            <w:tcBorders>
              <w:top w:val="nil"/>
              <w:left w:val="nil"/>
              <w:bottom w:val="single" w:sz="4" w:space="0" w:color="auto"/>
              <w:right w:val="double" w:sz="4" w:space="0" w:color="auto"/>
            </w:tcBorders>
            <w:shd w:val="clear" w:color="auto" w:fill="auto"/>
            <w:vAlign w:val="center"/>
          </w:tcPr>
          <w:p w:rsidR="00CF477B" w:rsidRPr="00FA4E09" w:rsidP="00CF477B" w14:paraId="0F657B50" w14:textId="77777777">
            <w:pPr>
              <w:spacing w:after="0"/>
              <w:jc w:val="right"/>
              <w:rPr>
                <w:rFonts w:ascii="Calibri" w:eastAsia="MS Mincho" w:hAnsi="Calibri" w:cs="Calibri"/>
                <w:b/>
                <w:bCs/>
                <w:sz w:val="20"/>
                <w:szCs w:val="20"/>
                <w:lang w:eastAsia="ja-JP"/>
              </w:rPr>
            </w:pPr>
            <w:r w:rsidRPr="00FA4E09">
              <w:rPr>
                <w:rFonts w:ascii="Calibri" w:hAnsi="Calibri" w:cs="Calibri"/>
                <w:b/>
                <w:bCs/>
                <w:sz w:val="20"/>
                <w:szCs w:val="20"/>
              </w:rPr>
              <w:t>$5,500</w:t>
            </w:r>
          </w:p>
        </w:tc>
      </w:tr>
      <w:tr w14:paraId="79DBE95E" w14:textId="77777777" w:rsidTr="009801B6">
        <w:tblPrEx>
          <w:tblW w:w="5000" w:type="pct"/>
          <w:jc w:val="center"/>
          <w:tblCellMar>
            <w:top w:w="29" w:type="dxa"/>
            <w:left w:w="58" w:type="dxa"/>
            <w:bottom w:w="29" w:type="dxa"/>
            <w:right w:w="58" w:type="dxa"/>
          </w:tblCellMar>
          <w:tblLook w:val="0000"/>
        </w:tblPrEx>
        <w:trPr>
          <w:cantSplit/>
          <w:trHeight w:val="229"/>
          <w:jc w:val="center"/>
        </w:trPr>
        <w:tc>
          <w:tcPr>
            <w:tcW w:w="4305" w:type="pct"/>
            <w:gridSpan w:val="5"/>
            <w:tcBorders>
              <w:top w:val="single" w:sz="4" w:space="0" w:color="auto"/>
              <w:left w:val="double" w:sz="4" w:space="0" w:color="auto"/>
              <w:bottom w:val="single" w:sz="4" w:space="0" w:color="auto"/>
              <w:right w:val="single" w:sz="4" w:space="0" w:color="auto"/>
            </w:tcBorders>
            <w:shd w:val="clear" w:color="auto" w:fill="auto"/>
            <w:vAlign w:val="center"/>
          </w:tcPr>
          <w:p w:rsidR="00CF477B" w:rsidRPr="00FA4E09" w:rsidP="00CF477B" w14:paraId="684259EF" w14:textId="77777777">
            <w:pPr>
              <w:spacing w:after="0"/>
              <w:jc w:val="right"/>
              <w:rPr>
                <w:rFonts w:ascii="Calibri" w:eastAsia="MS Mincho" w:hAnsi="Calibri" w:cs="Calibri"/>
                <w:sz w:val="20"/>
                <w:szCs w:val="20"/>
                <w:lang w:eastAsia="ja-JP"/>
              </w:rPr>
            </w:pPr>
            <w:r w:rsidRPr="00FA4E09">
              <w:rPr>
                <w:rFonts w:ascii="Calibri" w:eastAsia="MS Mincho" w:hAnsi="Calibri" w:cs="Calibri"/>
                <w:b/>
                <w:bCs/>
                <w:sz w:val="20"/>
                <w:szCs w:val="20"/>
                <w:lang w:eastAsia="ja-JP"/>
              </w:rPr>
              <w:t>Total Cost per Facility</w:t>
            </w:r>
          </w:p>
        </w:tc>
        <w:tc>
          <w:tcPr>
            <w:tcW w:w="695" w:type="pct"/>
            <w:tcBorders>
              <w:top w:val="single" w:sz="4" w:space="0" w:color="auto"/>
              <w:left w:val="single" w:sz="4" w:space="0" w:color="auto"/>
              <w:bottom w:val="single" w:sz="4" w:space="0" w:color="auto"/>
              <w:right w:val="double" w:sz="6" w:space="0" w:color="auto"/>
            </w:tcBorders>
            <w:shd w:val="clear" w:color="auto" w:fill="auto"/>
            <w:vAlign w:val="bottom"/>
          </w:tcPr>
          <w:p w:rsidR="00CF477B" w:rsidRPr="00FA4E09" w:rsidP="00CF477B" w14:paraId="548127AD" w14:textId="77777777">
            <w:pPr>
              <w:spacing w:after="0"/>
              <w:jc w:val="right"/>
              <w:rPr>
                <w:rFonts w:ascii="Calibri" w:hAnsi="Calibri" w:cs="Calibri"/>
                <w:color w:val="000000"/>
                <w:sz w:val="20"/>
                <w:szCs w:val="20"/>
              </w:rPr>
            </w:pPr>
            <w:r w:rsidRPr="00FA4E09">
              <w:rPr>
                <w:rFonts w:ascii="Calibri" w:hAnsi="Calibri" w:cs="Calibri"/>
                <w:b/>
                <w:bCs/>
                <w:sz w:val="20"/>
                <w:szCs w:val="20"/>
              </w:rPr>
              <w:t>$28</w:t>
            </w:r>
          </w:p>
        </w:tc>
      </w:tr>
      <w:tr w14:paraId="12468D68" w14:textId="77777777" w:rsidTr="009801B6">
        <w:tblPrEx>
          <w:tblW w:w="5000" w:type="pct"/>
          <w:jc w:val="center"/>
          <w:tblCellMar>
            <w:top w:w="29" w:type="dxa"/>
            <w:left w:w="58" w:type="dxa"/>
            <w:bottom w:w="29" w:type="dxa"/>
            <w:right w:w="58" w:type="dxa"/>
          </w:tblCellMar>
          <w:tblLook w:val="0000"/>
        </w:tblPrEx>
        <w:trPr>
          <w:cantSplit/>
          <w:trHeight w:val="229"/>
          <w:jc w:val="center"/>
        </w:trPr>
        <w:tc>
          <w:tcPr>
            <w:tcW w:w="4305" w:type="pct"/>
            <w:gridSpan w:val="5"/>
            <w:tcBorders>
              <w:top w:val="single" w:sz="4" w:space="0" w:color="auto"/>
              <w:left w:val="double" w:sz="4" w:space="0" w:color="auto"/>
              <w:bottom w:val="double" w:sz="4" w:space="0" w:color="auto"/>
              <w:right w:val="single" w:sz="4" w:space="0" w:color="auto"/>
            </w:tcBorders>
            <w:shd w:val="clear" w:color="auto" w:fill="auto"/>
            <w:vAlign w:val="center"/>
          </w:tcPr>
          <w:p w:rsidR="00CF477B" w:rsidRPr="00FA4E09" w:rsidP="00CF477B" w14:paraId="0494ACF8" w14:textId="77777777">
            <w:pPr>
              <w:spacing w:after="0"/>
              <w:jc w:val="right"/>
              <w:rPr>
                <w:rFonts w:ascii="Calibri" w:eastAsia="MS Mincho" w:hAnsi="Calibri" w:cs="Calibri"/>
                <w:b/>
                <w:bCs/>
                <w:sz w:val="20"/>
                <w:szCs w:val="20"/>
                <w:lang w:eastAsia="ja-JP"/>
              </w:rPr>
            </w:pPr>
            <w:r w:rsidRPr="00FA4E09">
              <w:rPr>
                <w:rFonts w:ascii="Calibri" w:eastAsia="MS Mincho" w:hAnsi="Calibri" w:cs="Calibri"/>
                <w:b/>
                <w:bCs/>
                <w:sz w:val="20"/>
                <w:szCs w:val="20"/>
                <w:lang w:eastAsia="ja-JP"/>
              </w:rPr>
              <w:t>Total Cost for All Facilities</w:t>
            </w:r>
          </w:p>
        </w:tc>
        <w:tc>
          <w:tcPr>
            <w:tcW w:w="695" w:type="pct"/>
            <w:tcBorders>
              <w:top w:val="single" w:sz="4" w:space="0" w:color="auto"/>
              <w:left w:val="single" w:sz="4" w:space="0" w:color="auto"/>
              <w:bottom w:val="double" w:sz="4" w:space="0" w:color="auto"/>
              <w:right w:val="double" w:sz="6" w:space="0" w:color="auto"/>
            </w:tcBorders>
            <w:shd w:val="clear" w:color="auto" w:fill="auto"/>
            <w:vAlign w:val="bottom"/>
          </w:tcPr>
          <w:p w:rsidR="00CF477B" w:rsidRPr="00FA4E09" w:rsidP="00CF477B" w14:paraId="56BC5646" w14:textId="77777777">
            <w:pPr>
              <w:spacing w:after="0"/>
              <w:jc w:val="right"/>
              <w:rPr>
                <w:rFonts w:ascii="Calibri" w:hAnsi="Calibri" w:cs="Calibri"/>
                <w:b/>
                <w:bCs/>
                <w:color w:val="000000"/>
                <w:sz w:val="20"/>
                <w:szCs w:val="20"/>
              </w:rPr>
            </w:pPr>
            <w:r w:rsidRPr="00FA4E09">
              <w:rPr>
                <w:rFonts w:ascii="Calibri" w:hAnsi="Calibri" w:cs="Calibri"/>
                <w:b/>
                <w:bCs/>
                <w:sz w:val="20"/>
                <w:szCs w:val="20"/>
              </w:rPr>
              <w:t>$5,530</w:t>
            </w:r>
          </w:p>
        </w:tc>
      </w:tr>
    </w:tbl>
    <w:p w:rsidR="00D65FAE" w:rsidRPr="00FA4E09" w:rsidP="00194C2B" w14:paraId="33C5AD9C" w14:textId="06F483D8">
      <w:pPr>
        <w:spacing w:before="240"/>
        <w:rPr>
          <w:rFonts w:ascii="Calibri" w:hAnsi="Calibri" w:cs="Calibri"/>
        </w:rPr>
      </w:pPr>
      <w:r w:rsidRPr="00FA4E09">
        <w:rPr>
          <w:rFonts w:ascii="Calibri" w:hAnsi="Calibri" w:cs="Calibri"/>
        </w:rPr>
        <w:fldChar w:fldCharType="begin"/>
      </w:r>
      <w:r w:rsidRPr="00FA4E09">
        <w:rPr>
          <w:rFonts w:ascii="Calibri" w:hAnsi="Calibri" w:cs="Calibri"/>
        </w:rPr>
        <w:instrText xml:space="preserve"> REF _Ref117849590 \h  \* MERGEFORMAT </w:instrText>
      </w:r>
      <w:r w:rsidRPr="00FA4E09">
        <w:rPr>
          <w:rFonts w:ascii="Calibri" w:hAnsi="Calibri" w:cs="Calibri"/>
        </w:rPr>
        <w:fldChar w:fldCharType="separate"/>
      </w:r>
      <w:r w:rsidRPr="009801B6" w:rsidR="00A41D1F">
        <w:rPr>
          <w:rFonts w:ascii="Calibri" w:hAnsi="Calibri" w:cs="Calibri"/>
        </w:rPr>
        <w:t>Table 14-7</w:t>
      </w:r>
      <w:r w:rsidRPr="00FA4E09">
        <w:rPr>
          <w:rFonts w:ascii="Calibri" w:hAnsi="Calibri" w:cs="Calibri"/>
        </w:rPr>
        <w:fldChar w:fldCharType="end"/>
      </w:r>
      <w:r w:rsidRPr="00FA4E09">
        <w:rPr>
          <w:rFonts w:ascii="Calibri" w:hAnsi="Calibri" w:cs="Calibri"/>
        </w:rPr>
        <w:t xml:space="preserve"> summarizes the total costs that the Agency will incur as a result of the ICR. All values presented in these tables are rounded to the nearest whole hour or dollar.</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000"/>
      </w:tblPr>
      <w:tblGrid>
        <w:gridCol w:w="1693"/>
        <w:gridCol w:w="1946"/>
        <w:gridCol w:w="1946"/>
        <w:gridCol w:w="2198"/>
        <w:gridCol w:w="1693"/>
      </w:tblGrid>
      <w:tr w14:paraId="2305E8F0" w14:textId="77777777">
        <w:tblPrEx>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000"/>
        </w:tblPrEx>
        <w:trPr>
          <w:cantSplit/>
          <w:tblHeader/>
          <w:jc w:val="center"/>
        </w:trPr>
        <w:tc>
          <w:tcPr>
            <w:tcW w:w="10080" w:type="dxa"/>
            <w:gridSpan w:val="5"/>
            <w:tcBorders>
              <w:top w:val="nil"/>
              <w:left w:val="nil"/>
              <w:bottom w:val="double" w:sz="6" w:space="0" w:color="auto"/>
              <w:right w:val="nil"/>
            </w:tcBorders>
          </w:tcPr>
          <w:p w:rsidR="00D65FAE" w:rsidRPr="00FA4E09" w14:paraId="3489BC34" w14:textId="1C925E7C">
            <w:pPr>
              <w:pStyle w:val="TableTitle"/>
              <w:rPr>
                <w:bCs/>
                <w:sz w:val="20"/>
                <w:szCs w:val="20"/>
              </w:rPr>
            </w:pPr>
            <w:bookmarkStart w:id="65" w:name="_Ref117849590"/>
            <w:bookmarkStart w:id="66" w:name="_Toc157787732"/>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14</w:t>
            </w:r>
            <w:r w:rsidRPr="00FA4E09">
              <w:rPr>
                <w:rFonts w:eastAsiaTheme="minorEastAsia"/>
                <w:bCs/>
                <w:smallCaps/>
                <w:spacing w:val="6"/>
                <w:sz w:val="24"/>
                <w:szCs w:val="18"/>
              </w:rPr>
              <w:fldChar w:fldCharType="end"/>
            </w:r>
            <w:r w:rsidRPr="00FA4E09">
              <w:rPr>
                <w:rFonts w:eastAsiaTheme="minorEastAsia"/>
                <w:bCs/>
                <w:smallCaps/>
                <w:spacing w:val="6"/>
                <w:sz w:val="24"/>
                <w:szCs w:val="18"/>
              </w:rPr>
              <w:t>-</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7</w:t>
            </w:r>
            <w:r w:rsidRPr="00FA4E09">
              <w:rPr>
                <w:rFonts w:eastAsiaTheme="minorEastAsia"/>
                <w:bCs/>
                <w:smallCaps/>
                <w:spacing w:val="6"/>
                <w:sz w:val="24"/>
                <w:szCs w:val="18"/>
              </w:rPr>
              <w:fldChar w:fldCharType="end"/>
            </w:r>
            <w:bookmarkEnd w:id="65"/>
            <w:r w:rsidRPr="00FA4E09">
              <w:rPr>
                <w:rFonts w:eastAsiaTheme="minorEastAsia"/>
                <w:bCs/>
                <w:smallCaps/>
                <w:spacing w:val="6"/>
                <w:sz w:val="24"/>
                <w:szCs w:val="18"/>
              </w:rPr>
              <w:t>. Total Estimated Agency Burden and Cost Summary</w:t>
            </w:r>
            <w:bookmarkEnd w:id="66"/>
          </w:p>
        </w:tc>
      </w:tr>
      <w:tr w14:paraId="7FB875E7" w14:textId="77777777">
        <w:tblPrEx>
          <w:tblW w:w="5000" w:type="pct"/>
          <w:jc w:val="center"/>
          <w:tblLayout w:type="fixed"/>
          <w:tblCellMar>
            <w:top w:w="29" w:type="dxa"/>
            <w:left w:w="58" w:type="dxa"/>
            <w:bottom w:w="29" w:type="dxa"/>
            <w:right w:w="58" w:type="dxa"/>
          </w:tblCellMar>
          <w:tblLook w:val="0000"/>
        </w:tblPrEx>
        <w:trPr>
          <w:cantSplit/>
          <w:tblHeader/>
          <w:jc w:val="center"/>
        </w:trPr>
        <w:tc>
          <w:tcPr>
            <w:tcW w:w="1800" w:type="dxa"/>
            <w:tcBorders>
              <w:top w:val="double" w:sz="6" w:space="0" w:color="auto"/>
              <w:bottom w:val="single" w:sz="6" w:space="0" w:color="auto"/>
            </w:tcBorders>
            <w:shd w:val="clear" w:color="auto" w:fill="E6E6E6"/>
          </w:tcPr>
          <w:p w:rsidR="00D65FAE" w:rsidRPr="00FA4E09" w:rsidP="002C18CC" w14:paraId="34C6150E" w14:textId="77777777">
            <w:pPr>
              <w:spacing w:after="0"/>
              <w:jc w:val="center"/>
              <w:rPr>
                <w:rFonts w:ascii="Calibri" w:hAnsi="Calibri" w:cs="Calibri"/>
                <w:b/>
                <w:bCs/>
                <w:sz w:val="20"/>
                <w:szCs w:val="20"/>
              </w:rPr>
            </w:pPr>
          </w:p>
        </w:tc>
        <w:tc>
          <w:tcPr>
            <w:tcW w:w="2070" w:type="dxa"/>
            <w:tcBorders>
              <w:top w:val="double" w:sz="6" w:space="0" w:color="auto"/>
              <w:bottom w:val="single" w:sz="6" w:space="0" w:color="auto"/>
            </w:tcBorders>
            <w:shd w:val="clear" w:color="auto" w:fill="E6E6E6"/>
            <w:vAlign w:val="bottom"/>
          </w:tcPr>
          <w:p w:rsidR="00D65FAE" w:rsidRPr="00FA4E09" w:rsidP="002C18CC" w14:paraId="2E229A12" w14:textId="77777777">
            <w:pPr>
              <w:spacing w:after="0"/>
              <w:jc w:val="center"/>
              <w:rPr>
                <w:rFonts w:ascii="Calibri" w:hAnsi="Calibri" w:cs="Calibri"/>
                <w:b/>
                <w:bCs/>
                <w:sz w:val="20"/>
                <w:szCs w:val="20"/>
              </w:rPr>
            </w:pPr>
            <w:r w:rsidRPr="00FA4E09">
              <w:rPr>
                <w:rFonts w:ascii="Calibri" w:hAnsi="Calibri" w:cs="Calibri"/>
                <w:b/>
                <w:bCs/>
                <w:sz w:val="20"/>
                <w:szCs w:val="20"/>
              </w:rPr>
              <w:t>Total Burden (hours)</w:t>
            </w:r>
          </w:p>
        </w:tc>
        <w:tc>
          <w:tcPr>
            <w:tcW w:w="2070" w:type="dxa"/>
            <w:tcBorders>
              <w:top w:val="double" w:sz="6" w:space="0" w:color="auto"/>
              <w:bottom w:val="single" w:sz="6" w:space="0" w:color="auto"/>
            </w:tcBorders>
            <w:shd w:val="clear" w:color="auto" w:fill="E6E6E6"/>
            <w:vAlign w:val="bottom"/>
          </w:tcPr>
          <w:p w:rsidR="00D65FAE" w:rsidRPr="00FA4E09" w:rsidP="002C18CC" w14:paraId="007D722B" w14:textId="77777777">
            <w:pPr>
              <w:spacing w:after="0"/>
              <w:jc w:val="center"/>
              <w:rPr>
                <w:rFonts w:ascii="Calibri" w:hAnsi="Calibri" w:cs="Calibri"/>
                <w:b/>
                <w:bCs/>
                <w:sz w:val="20"/>
                <w:szCs w:val="20"/>
              </w:rPr>
            </w:pPr>
            <w:r w:rsidRPr="00FA4E09">
              <w:rPr>
                <w:rFonts w:ascii="Calibri" w:hAnsi="Calibri" w:cs="Calibri"/>
                <w:b/>
                <w:bCs/>
                <w:sz w:val="20"/>
                <w:szCs w:val="20"/>
              </w:rPr>
              <w:t>Total Labor Cost ($)</w:t>
            </w:r>
          </w:p>
        </w:tc>
        <w:tc>
          <w:tcPr>
            <w:tcW w:w="2340" w:type="dxa"/>
            <w:tcBorders>
              <w:top w:val="double" w:sz="6" w:space="0" w:color="auto"/>
              <w:bottom w:val="single" w:sz="6" w:space="0" w:color="auto"/>
            </w:tcBorders>
            <w:shd w:val="clear" w:color="auto" w:fill="E6E6E6"/>
            <w:vAlign w:val="bottom"/>
          </w:tcPr>
          <w:p w:rsidR="00D65FAE" w:rsidRPr="00FA4E09" w:rsidP="002C18CC" w14:paraId="679195FD" w14:textId="77777777">
            <w:pPr>
              <w:spacing w:after="0"/>
              <w:jc w:val="center"/>
              <w:rPr>
                <w:rFonts w:ascii="Calibri" w:hAnsi="Calibri" w:cs="Calibri"/>
                <w:b/>
                <w:bCs/>
                <w:sz w:val="20"/>
                <w:szCs w:val="20"/>
              </w:rPr>
            </w:pPr>
            <w:r w:rsidRPr="00FA4E09">
              <w:rPr>
                <w:rFonts w:ascii="Calibri" w:hAnsi="Calibri" w:cs="Calibri"/>
                <w:b/>
                <w:bCs/>
                <w:sz w:val="20"/>
                <w:szCs w:val="20"/>
              </w:rPr>
              <w:t>Total Other Direct Cost ($)</w:t>
            </w:r>
          </w:p>
        </w:tc>
        <w:tc>
          <w:tcPr>
            <w:tcW w:w="1800" w:type="dxa"/>
            <w:tcBorders>
              <w:top w:val="double" w:sz="6" w:space="0" w:color="auto"/>
              <w:bottom w:val="single" w:sz="6" w:space="0" w:color="auto"/>
            </w:tcBorders>
            <w:shd w:val="clear" w:color="auto" w:fill="E6E6E6"/>
            <w:vAlign w:val="bottom"/>
          </w:tcPr>
          <w:p w:rsidR="00D65FAE" w:rsidRPr="00FA4E09" w:rsidP="002C18CC" w14:paraId="5733F7DB" w14:textId="77777777">
            <w:pPr>
              <w:spacing w:after="0"/>
              <w:jc w:val="center"/>
              <w:rPr>
                <w:rFonts w:ascii="Calibri" w:hAnsi="Calibri" w:cs="Calibri"/>
                <w:b/>
                <w:bCs/>
                <w:sz w:val="20"/>
                <w:szCs w:val="20"/>
              </w:rPr>
            </w:pPr>
            <w:r w:rsidRPr="00FA4E09">
              <w:rPr>
                <w:rFonts w:ascii="Calibri" w:hAnsi="Calibri" w:cs="Calibri"/>
                <w:b/>
                <w:bCs/>
                <w:sz w:val="20"/>
                <w:szCs w:val="20"/>
              </w:rPr>
              <w:t>Total Cost ($)</w:t>
            </w:r>
          </w:p>
        </w:tc>
      </w:tr>
      <w:tr w14:paraId="7F6E1FB2" w14:textId="77777777">
        <w:tblPrEx>
          <w:tblW w:w="5000" w:type="pct"/>
          <w:jc w:val="center"/>
          <w:tblLayout w:type="fixed"/>
          <w:tblCellMar>
            <w:top w:w="29" w:type="dxa"/>
            <w:left w:w="58" w:type="dxa"/>
            <w:bottom w:w="29" w:type="dxa"/>
            <w:right w:w="58" w:type="dxa"/>
          </w:tblCellMar>
          <w:tblLook w:val="0000"/>
        </w:tblPrEx>
        <w:trPr>
          <w:cantSplit/>
          <w:trHeight w:val="24"/>
          <w:jc w:val="center"/>
        </w:trPr>
        <w:tc>
          <w:tcPr>
            <w:tcW w:w="1800" w:type="dxa"/>
            <w:tcBorders>
              <w:top w:val="single" w:sz="6" w:space="0" w:color="auto"/>
              <w:bottom w:val="single" w:sz="6" w:space="0" w:color="auto"/>
            </w:tcBorders>
          </w:tcPr>
          <w:p w:rsidR="00D65FAE" w:rsidRPr="00FA4E09" w:rsidP="002C18CC" w14:paraId="62902DF4" w14:textId="77777777">
            <w:pPr>
              <w:spacing w:after="0"/>
              <w:jc w:val="right"/>
              <w:rPr>
                <w:rFonts w:ascii="Calibri" w:hAnsi="Calibri" w:cs="Calibri"/>
                <w:sz w:val="20"/>
                <w:szCs w:val="20"/>
              </w:rPr>
            </w:pPr>
            <w:r w:rsidRPr="00FA4E09">
              <w:rPr>
                <w:rFonts w:ascii="Calibri" w:hAnsi="Calibri" w:cs="Calibri"/>
                <w:sz w:val="20"/>
                <w:szCs w:val="20"/>
              </w:rPr>
              <w:t>Questionnaire</w:t>
            </w:r>
          </w:p>
        </w:tc>
        <w:tc>
          <w:tcPr>
            <w:tcW w:w="2070" w:type="dxa"/>
            <w:tcBorders>
              <w:top w:val="single" w:sz="6" w:space="0" w:color="auto"/>
              <w:bottom w:val="single" w:sz="6" w:space="0" w:color="auto"/>
            </w:tcBorders>
            <w:shd w:val="clear" w:color="auto" w:fill="auto"/>
            <w:noWrap/>
          </w:tcPr>
          <w:p w:rsidR="00D65FAE" w:rsidRPr="00FA4E09" w:rsidP="002C18CC" w14:paraId="503FE067" w14:textId="77777777">
            <w:pPr>
              <w:spacing w:after="0"/>
              <w:jc w:val="right"/>
              <w:rPr>
                <w:rFonts w:ascii="Calibri" w:hAnsi="Calibri" w:cs="Calibri"/>
                <w:sz w:val="20"/>
                <w:szCs w:val="20"/>
              </w:rPr>
            </w:pPr>
            <w:r w:rsidRPr="00FA4E09">
              <w:rPr>
                <w:rFonts w:ascii="Calibri" w:hAnsi="Calibri" w:cs="Calibri"/>
                <w:sz w:val="20"/>
                <w:szCs w:val="20"/>
              </w:rPr>
              <w:t>2,180</w:t>
            </w:r>
          </w:p>
        </w:tc>
        <w:tc>
          <w:tcPr>
            <w:tcW w:w="2070" w:type="dxa"/>
            <w:tcBorders>
              <w:top w:val="single" w:sz="6" w:space="0" w:color="auto"/>
              <w:bottom w:val="single" w:sz="6" w:space="0" w:color="auto"/>
            </w:tcBorders>
            <w:shd w:val="clear" w:color="auto" w:fill="auto"/>
            <w:noWrap/>
          </w:tcPr>
          <w:p w:rsidR="00D65FAE" w:rsidRPr="00FA4E09" w:rsidP="002C18CC" w14:paraId="3D90A570" w14:textId="77777777">
            <w:pPr>
              <w:spacing w:after="0"/>
              <w:jc w:val="right"/>
              <w:rPr>
                <w:rFonts w:ascii="Calibri" w:hAnsi="Calibri" w:cs="Calibri"/>
                <w:sz w:val="20"/>
                <w:szCs w:val="20"/>
              </w:rPr>
            </w:pPr>
            <w:r w:rsidRPr="00FA4E09">
              <w:rPr>
                <w:rFonts w:ascii="Calibri" w:hAnsi="Calibri" w:cs="Calibri"/>
                <w:sz w:val="20"/>
                <w:szCs w:val="20"/>
              </w:rPr>
              <w:t xml:space="preserve"> $265,394 </w:t>
            </w:r>
          </w:p>
        </w:tc>
        <w:tc>
          <w:tcPr>
            <w:tcW w:w="2340" w:type="dxa"/>
            <w:tcBorders>
              <w:top w:val="single" w:sz="6" w:space="0" w:color="auto"/>
              <w:bottom w:val="single" w:sz="6" w:space="0" w:color="auto"/>
            </w:tcBorders>
            <w:shd w:val="clear" w:color="auto" w:fill="auto"/>
            <w:noWrap/>
          </w:tcPr>
          <w:p w:rsidR="00D65FAE" w:rsidRPr="00FA4E09" w:rsidP="002C18CC" w14:paraId="7127813E" w14:textId="77777777">
            <w:pPr>
              <w:spacing w:after="0"/>
              <w:jc w:val="right"/>
              <w:rPr>
                <w:rFonts w:ascii="Calibri" w:hAnsi="Calibri" w:cs="Calibri"/>
                <w:sz w:val="20"/>
                <w:szCs w:val="20"/>
              </w:rPr>
            </w:pPr>
            <w:r w:rsidRPr="00FA4E09">
              <w:rPr>
                <w:rFonts w:ascii="Calibri" w:hAnsi="Calibri" w:cs="Calibri"/>
                <w:sz w:val="20"/>
                <w:szCs w:val="20"/>
              </w:rPr>
              <w:t xml:space="preserve">$4,000 </w:t>
            </w:r>
          </w:p>
        </w:tc>
        <w:tc>
          <w:tcPr>
            <w:tcW w:w="1800" w:type="dxa"/>
            <w:tcBorders>
              <w:top w:val="single" w:sz="6" w:space="0" w:color="auto"/>
              <w:bottom w:val="single" w:sz="6" w:space="0" w:color="auto"/>
            </w:tcBorders>
            <w:shd w:val="clear" w:color="auto" w:fill="auto"/>
            <w:noWrap/>
          </w:tcPr>
          <w:p w:rsidR="00D65FAE" w:rsidRPr="00FA4E09" w:rsidP="002C18CC" w14:paraId="13961346" w14:textId="77777777">
            <w:pPr>
              <w:spacing w:after="0"/>
              <w:jc w:val="right"/>
              <w:rPr>
                <w:rFonts w:ascii="Calibri" w:hAnsi="Calibri" w:cs="Calibri"/>
                <w:b/>
                <w:bCs/>
                <w:sz w:val="20"/>
                <w:szCs w:val="20"/>
              </w:rPr>
            </w:pPr>
            <w:r w:rsidRPr="00FA4E09">
              <w:rPr>
                <w:rFonts w:ascii="Calibri" w:hAnsi="Calibri" w:cs="Calibri"/>
                <w:b/>
                <w:bCs/>
                <w:sz w:val="20"/>
                <w:szCs w:val="20"/>
              </w:rPr>
              <w:t xml:space="preserve"> $269,394</w:t>
            </w:r>
          </w:p>
        </w:tc>
      </w:tr>
      <w:tr w14:paraId="6A379CB3" w14:textId="77777777">
        <w:tblPrEx>
          <w:tblW w:w="5000" w:type="pct"/>
          <w:jc w:val="center"/>
          <w:tblLayout w:type="fixed"/>
          <w:tblCellMar>
            <w:top w:w="29" w:type="dxa"/>
            <w:left w:w="58" w:type="dxa"/>
            <w:bottom w:w="29" w:type="dxa"/>
            <w:right w:w="58" w:type="dxa"/>
          </w:tblCellMar>
          <w:tblLook w:val="0000"/>
        </w:tblPrEx>
        <w:trPr>
          <w:cantSplit/>
          <w:trHeight w:val="24"/>
          <w:jc w:val="center"/>
        </w:trPr>
        <w:tc>
          <w:tcPr>
            <w:tcW w:w="1800" w:type="dxa"/>
            <w:tcBorders>
              <w:top w:val="single" w:sz="6" w:space="0" w:color="auto"/>
              <w:bottom w:val="single" w:sz="6" w:space="0" w:color="auto"/>
            </w:tcBorders>
          </w:tcPr>
          <w:p w:rsidR="00D65FAE" w:rsidRPr="00FA4E09" w:rsidP="002C18CC" w14:paraId="3EC2E381" w14:textId="77777777">
            <w:pPr>
              <w:spacing w:after="0"/>
              <w:jc w:val="right"/>
              <w:rPr>
                <w:rFonts w:ascii="Calibri" w:hAnsi="Calibri" w:cs="Calibri"/>
                <w:sz w:val="20"/>
                <w:szCs w:val="20"/>
              </w:rPr>
            </w:pPr>
            <w:r w:rsidRPr="00FA4E09">
              <w:rPr>
                <w:rFonts w:ascii="Calibri" w:hAnsi="Calibri" w:cs="Calibri"/>
                <w:sz w:val="20"/>
                <w:szCs w:val="20"/>
              </w:rPr>
              <w:t>Sampling Program</w:t>
            </w:r>
          </w:p>
        </w:tc>
        <w:tc>
          <w:tcPr>
            <w:tcW w:w="2070" w:type="dxa"/>
            <w:tcBorders>
              <w:top w:val="single" w:sz="6" w:space="0" w:color="auto"/>
              <w:bottom w:val="single" w:sz="6" w:space="0" w:color="auto"/>
            </w:tcBorders>
            <w:shd w:val="clear" w:color="auto" w:fill="auto"/>
            <w:noWrap/>
          </w:tcPr>
          <w:p w:rsidR="00D65FAE" w:rsidRPr="00FA4E09" w:rsidP="002C18CC" w14:paraId="559E9ECF" w14:textId="77777777">
            <w:pPr>
              <w:spacing w:after="0"/>
              <w:jc w:val="right"/>
              <w:rPr>
                <w:rFonts w:ascii="Calibri" w:hAnsi="Calibri" w:cs="Calibri"/>
                <w:sz w:val="20"/>
                <w:szCs w:val="20"/>
              </w:rPr>
            </w:pPr>
            <w:r w:rsidRPr="00FA4E09">
              <w:rPr>
                <w:rFonts w:ascii="Calibri" w:hAnsi="Calibri" w:cs="Calibri"/>
                <w:sz w:val="20"/>
                <w:szCs w:val="20"/>
              </w:rPr>
              <w:t>3,</w:t>
            </w:r>
            <w:r w:rsidRPr="00FA4E09">
              <w:rPr>
                <w:rFonts w:ascii="Calibri" w:hAnsi="Calibri" w:cs="Calibri"/>
                <w:sz w:val="20"/>
                <w:szCs w:val="20"/>
              </w:rPr>
              <w:t>507</w:t>
            </w:r>
          </w:p>
        </w:tc>
        <w:tc>
          <w:tcPr>
            <w:tcW w:w="2070" w:type="dxa"/>
            <w:tcBorders>
              <w:top w:val="single" w:sz="6" w:space="0" w:color="auto"/>
              <w:bottom w:val="single" w:sz="6" w:space="0" w:color="auto"/>
            </w:tcBorders>
            <w:shd w:val="clear" w:color="auto" w:fill="auto"/>
            <w:noWrap/>
          </w:tcPr>
          <w:p w:rsidR="00D65FAE" w:rsidRPr="00FA4E09" w:rsidP="002C18CC" w14:paraId="413F47F6" w14:textId="77777777">
            <w:pPr>
              <w:spacing w:after="0"/>
              <w:jc w:val="right"/>
              <w:rPr>
                <w:rFonts w:ascii="Calibri" w:hAnsi="Calibri" w:cs="Calibri"/>
                <w:sz w:val="20"/>
                <w:szCs w:val="20"/>
              </w:rPr>
            </w:pPr>
            <w:r w:rsidRPr="00FA4E09">
              <w:rPr>
                <w:rFonts w:ascii="Calibri" w:hAnsi="Calibri" w:cs="Calibri"/>
                <w:sz w:val="20"/>
                <w:szCs w:val="20"/>
              </w:rPr>
              <w:t>$428,095</w:t>
            </w:r>
          </w:p>
        </w:tc>
        <w:tc>
          <w:tcPr>
            <w:tcW w:w="2340" w:type="dxa"/>
            <w:tcBorders>
              <w:top w:val="single" w:sz="6" w:space="0" w:color="auto"/>
              <w:bottom w:val="single" w:sz="6" w:space="0" w:color="auto"/>
            </w:tcBorders>
            <w:shd w:val="clear" w:color="auto" w:fill="auto"/>
            <w:noWrap/>
          </w:tcPr>
          <w:p w:rsidR="00D65FAE" w:rsidRPr="00FA4E09" w:rsidP="002C18CC" w14:paraId="33B87D43" w14:textId="77777777">
            <w:pPr>
              <w:spacing w:after="0"/>
              <w:jc w:val="right"/>
              <w:rPr>
                <w:rFonts w:ascii="Calibri" w:hAnsi="Calibri" w:cs="Calibri"/>
                <w:sz w:val="20"/>
                <w:szCs w:val="20"/>
              </w:rPr>
            </w:pPr>
            <w:r w:rsidRPr="00FA4E09">
              <w:rPr>
                <w:rFonts w:ascii="Calibri" w:hAnsi="Calibri" w:cs="Calibri"/>
                <w:sz w:val="20"/>
                <w:szCs w:val="20"/>
              </w:rPr>
              <w:t>$5,530</w:t>
            </w:r>
          </w:p>
        </w:tc>
        <w:tc>
          <w:tcPr>
            <w:tcW w:w="1800" w:type="dxa"/>
            <w:tcBorders>
              <w:top w:val="single" w:sz="6" w:space="0" w:color="auto"/>
              <w:bottom w:val="single" w:sz="6" w:space="0" w:color="auto"/>
            </w:tcBorders>
            <w:shd w:val="clear" w:color="auto" w:fill="auto"/>
            <w:noWrap/>
          </w:tcPr>
          <w:p w:rsidR="00D65FAE" w:rsidRPr="00FA4E09" w:rsidP="002C18CC" w14:paraId="47AA4576" w14:textId="77777777">
            <w:pPr>
              <w:spacing w:after="0"/>
              <w:jc w:val="right"/>
              <w:rPr>
                <w:rFonts w:ascii="Calibri" w:hAnsi="Calibri" w:cs="Calibri"/>
                <w:b/>
                <w:bCs/>
                <w:sz w:val="20"/>
                <w:szCs w:val="20"/>
              </w:rPr>
            </w:pPr>
            <w:r w:rsidRPr="00FA4E09">
              <w:rPr>
                <w:rFonts w:ascii="Calibri" w:hAnsi="Calibri" w:cs="Calibri"/>
                <w:b/>
                <w:bCs/>
                <w:sz w:val="20"/>
                <w:szCs w:val="20"/>
              </w:rPr>
              <w:t>$433,625</w:t>
            </w:r>
          </w:p>
        </w:tc>
      </w:tr>
      <w:tr w14:paraId="0DB7714E" w14:textId="77777777">
        <w:tblPrEx>
          <w:tblW w:w="5000" w:type="pct"/>
          <w:jc w:val="center"/>
          <w:tblLayout w:type="fixed"/>
          <w:tblCellMar>
            <w:top w:w="29" w:type="dxa"/>
            <w:left w:w="58" w:type="dxa"/>
            <w:bottom w:w="29" w:type="dxa"/>
            <w:right w:w="58" w:type="dxa"/>
          </w:tblCellMar>
          <w:tblLook w:val="0000"/>
        </w:tblPrEx>
        <w:trPr>
          <w:cantSplit/>
          <w:trHeight w:val="24"/>
          <w:jc w:val="center"/>
        </w:trPr>
        <w:tc>
          <w:tcPr>
            <w:tcW w:w="1800" w:type="dxa"/>
            <w:tcBorders>
              <w:top w:val="single" w:sz="6" w:space="0" w:color="auto"/>
              <w:bottom w:val="double" w:sz="6" w:space="0" w:color="auto"/>
            </w:tcBorders>
          </w:tcPr>
          <w:p w:rsidR="00D65FAE" w:rsidRPr="00FA4E09" w:rsidP="002C18CC" w14:paraId="72838140" w14:textId="77777777">
            <w:pPr>
              <w:spacing w:after="0"/>
              <w:jc w:val="right"/>
              <w:rPr>
                <w:rFonts w:ascii="Calibri" w:hAnsi="Calibri" w:cs="Calibri"/>
                <w:b/>
                <w:bCs/>
                <w:sz w:val="20"/>
                <w:szCs w:val="20"/>
              </w:rPr>
            </w:pPr>
            <w:r w:rsidRPr="00FA4E09">
              <w:rPr>
                <w:rFonts w:ascii="Calibri" w:hAnsi="Calibri" w:cs="Calibri"/>
                <w:b/>
                <w:bCs/>
                <w:sz w:val="20"/>
                <w:szCs w:val="20"/>
              </w:rPr>
              <w:t>Total</w:t>
            </w:r>
          </w:p>
        </w:tc>
        <w:tc>
          <w:tcPr>
            <w:tcW w:w="2070" w:type="dxa"/>
            <w:tcBorders>
              <w:top w:val="single" w:sz="6" w:space="0" w:color="auto"/>
              <w:bottom w:val="double" w:sz="6" w:space="0" w:color="auto"/>
            </w:tcBorders>
            <w:shd w:val="clear" w:color="auto" w:fill="auto"/>
            <w:noWrap/>
          </w:tcPr>
          <w:p w:rsidR="00D65FAE" w:rsidRPr="00FA4E09" w:rsidP="002C18CC" w14:paraId="3A02689D" w14:textId="77777777">
            <w:pPr>
              <w:spacing w:after="0"/>
              <w:jc w:val="right"/>
              <w:rPr>
                <w:rFonts w:ascii="Calibri" w:hAnsi="Calibri" w:cs="Calibri"/>
                <w:b/>
                <w:bCs/>
                <w:sz w:val="20"/>
                <w:szCs w:val="20"/>
              </w:rPr>
            </w:pPr>
            <w:r w:rsidRPr="00FA4E09">
              <w:rPr>
                <w:rFonts w:ascii="Calibri" w:hAnsi="Calibri" w:cs="Calibri"/>
                <w:b/>
                <w:bCs/>
                <w:sz w:val="20"/>
                <w:szCs w:val="20"/>
              </w:rPr>
              <w:t>5,</w:t>
            </w:r>
            <w:r w:rsidRPr="00FA4E09">
              <w:rPr>
                <w:rFonts w:ascii="Calibri" w:hAnsi="Calibri" w:cs="Calibri"/>
                <w:b/>
                <w:bCs/>
                <w:sz w:val="20"/>
                <w:szCs w:val="20"/>
              </w:rPr>
              <w:t>687</w:t>
            </w:r>
          </w:p>
        </w:tc>
        <w:tc>
          <w:tcPr>
            <w:tcW w:w="2070" w:type="dxa"/>
            <w:tcBorders>
              <w:top w:val="single" w:sz="6" w:space="0" w:color="auto"/>
              <w:bottom w:val="double" w:sz="6" w:space="0" w:color="auto"/>
            </w:tcBorders>
            <w:shd w:val="clear" w:color="auto" w:fill="auto"/>
            <w:noWrap/>
          </w:tcPr>
          <w:p w:rsidR="00D65FAE" w:rsidRPr="00FA4E09" w:rsidP="002C18CC" w14:paraId="09742C53" w14:textId="77777777">
            <w:pPr>
              <w:spacing w:after="0"/>
              <w:jc w:val="right"/>
              <w:rPr>
                <w:rFonts w:ascii="Calibri" w:hAnsi="Calibri" w:cs="Calibri"/>
                <w:b/>
                <w:bCs/>
                <w:sz w:val="20"/>
                <w:szCs w:val="20"/>
              </w:rPr>
            </w:pPr>
            <w:r w:rsidRPr="00FA4E09">
              <w:rPr>
                <w:rFonts w:ascii="Calibri" w:hAnsi="Calibri" w:cs="Calibri"/>
                <w:b/>
                <w:bCs/>
                <w:sz w:val="20"/>
                <w:szCs w:val="20"/>
              </w:rPr>
              <w:t>$693,489</w:t>
            </w:r>
          </w:p>
        </w:tc>
        <w:tc>
          <w:tcPr>
            <w:tcW w:w="2340" w:type="dxa"/>
            <w:tcBorders>
              <w:top w:val="single" w:sz="6" w:space="0" w:color="auto"/>
              <w:bottom w:val="double" w:sz="6" w:space="0" w:color="auto"/>
            </w:tcBorders>
            <w:shd w:val="clear" w:color="auto" w:fill="auto"/>
            <w:noWrap/>
          </w:tcPr>
          <w:p w:rsidR="00D65FAE" w:rsidRPr="00FA4E09" w:rsidP="002C18CC" w14:paraId="48D52519" w14:textId="77777777">
            <w:pPr>
              <w:spacing w:after="0"/>
              <w:jc w:val="right"/>
              <w:rPr>
                <w:rFonts w:ascii="Calibri" w:hAnsi="Calibri" w:cs="Calibri"/>
                <w:b/>
                <w:bCs/>
                <w:sz w:val="20"/>
                <w:szCs w:val="20"/>
              </w:rPr>
            </w:pPr>
            <w:r w:rsidRPr="00FA4E09">
              <w:rPr>
                <w:rFonts w:ascii="Calibri" w:hAnsi="Calibri" w:cs="Calibri"/>
                <w:b/>
                <w:bCs/>
                <w:sz w:val="20"/>
                <w:szCs w:val="20"/>
              </w:rPr>
              <w:t>$9,530</w:t>
            </w:r>
          </w:p>
        </w:tc>
        <w:tc>
          <w:tcPr>
            <w:tcW w:w="1800" w:type="dxa"/>
            <w:tcBorders>
              <w:top w:val="single" w:sz="6" w:space="0" w:color="auto"/>
              <w:bottom w:val="double" w:sz="6" w:space="0" w:color="auto"/>
            </w:tcBorders>
            <w:shd w:val="clear" w:color="auto" w:fill="auto"/>
            <w:noWrap/>
          </w:tcPr>
          <w:p w:rsidR="00D65FAE" w:rsidRPr="00FA4E09" w:rsidP="002C18CC" w14:paraId="33FD0BB8" w14:textId="77777777">
            <w:pPr>
              <w:spacing w:after="0"/>
              <w:jc w:val="right"/>
              <w:rPr>
                <w:rFonts w:ascii="Calibri" w:hAnsi="Calibri" w:cs="Calibri"/>
                <w:b/>
                <w:bCs/>
                <w:sz w:val="20"/>
                <w:szCs w:val="20"/>
              </w:rPr>
            </w:pPr>
            <w:r w:rsidRPr="00FA4E09">
              <w:rPr>
                <w:rFonts w:ascii="Calibri" w:hAnsi="Calibri" w:cs="Calibri"/>
                <w:b/>
                <w:bCs/>
                <w:sz w:val="20"/>
                <w:szCs w:val="20"/>
              </w:rPr>
              <w:t>$703,019</w:t>
            </w:r>
          </w:p>
        </w:tc>
      </w:tr>
    </w:tbl>
    <w:p w:rsidR="00D65FAE" w:rsidRPr="00FA4E09" w:rsidP="00D65FAE" w14:paraId="5182808C" w14:textId="77777777">
      <w:pPr>
        <w:pStyle w:val="BodyText"/>
        <w:spacing w:after="0"/>
        <w:ind w:firstLine="0"/>
        <w:rPr>
          <w:rFonts w:ascii="Calibri" w:hAnsi="Calibri" w:cs="Calibri"/>
        </w:rPr>
      </w:pPr>
    </w:p>
    <w:p w:rsidR="00CF477B" w:rsidRPr="00FA4E09" w:rsidP="00194C2B" w14:paraId="67B14845" w14:textId="7DFCC5AD">
      <w:pPr>
        <w:spacing w:before="60" w:after="0"/>
        <w:rPr>
          <w:rFonts w:ascii="Calibri" w:hAnsi="Calibri" w:cs="Calibri"/>
        </w:rPr>
      </w:pPr>
      <w:r w:rsidRPr="00FA4E09">
        <w:rPr>
          <w:rFonts w:ascii="Calibri" w:hAnsi="Calibri" w:cs="Calibri"/>
        </w:rPr>
        <w:t>The EPA estimates that the total burden to the Agency for the questionnaire and the sampling program will be approximately 5,687 hours, or $0.7 million, including labor costs and other direct costs. The EPA estimates that there will be no start-up or capital costs associated with completing the questionnaire.</w:t>
      </w:r>
    </w:p>
    <w:bookmarkEnd w:id="54"/>
    <w:p w:rsidR="00450441" w:rsidRPr="00163C69" w:rsidP="00450441" w14:paraId="35E83BF3" w14:textId="77777777">
      <w:pPr>
        <w:pStyle w:val="ListParagraph"/>
        <w:numPr>
          <w:ilvl w:val="0"/>
          <w:numId w:val="27"/>
        </w:numPr>
        <w:spacing w:before="240" w:after="0"/>
        <w:rPr>
          <w:b/>
          <w:bCs/>
        </w:rPr>
      </w:pPr>
      <w:r w:rsidRPr="4BDBF0A0">
        <w:rPr>
          <w:b/>
          <w:bCs/>
        </w:rPr>
        <w:t>REASONS FOR CHANGE IN BURDEN</w:t>
      </w:r>
    </w:p>
    <w:p w:rsidR="00450441" w:rsidRPr="001F0834" w:rsidP="00450441" w14:paraId="2950A8A1"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FA4E09" w:rsidP="00854AAE" w14:paraId="18F76AB6" w14:textId="0F540FA6">
      <w:pPr>
        <w:pBdr>
          <w:top w:val="single" w:sz="6" w:space="0" w:color="FFFFFF"/>
          <w:left w:val="single" w:sz="6" w:space="0" w:color="FFFFFF"/>
          <w:bottom w:val="single" w:sz="6" w:space="0" w:color="FFFFFF"/>
          <w:right w:val="single" w:sz="6" w:space="0" w:color="FFFFFF"/>
        </w:pBdr>
        <w:rPr>
          <w:rFonts w:ascii="Calibri" w:hAnsi="Calibri" w:cs="Calibri"/>
          <w:color w:val="FF0000"/>
        </w:rPr>
      </w:pPr>
      <w:r w:rsidRPr="00FA4E09">
        <w:rPr>
          <w:rFonts w:ascii="Calibri" w:hAnsi="Calibri" w:cs="Calibri"/>
        </w:rPr>
        <w:t>Since this is a one-time information collection, there are no changes to the information collection since the last OMB approval.</w:t>
      </w:r>
    </w:p>
    <w:p w:rsidR="00B1623F" w:rsidRPr="00163C69" w:rsidP="00B1623F" w14:paraId="453FF811" w14:textId="77777777">
      <w:pPr>
        <w:pStyle w:val="ListParagraph"/>
        <w:numPr>
          <w:ilvl w:val="0"/>
          <w:numId w:val="27"/>
        </w:numPr>
        <w:spacing w:before="240" w:after="0"/>
        <w:rPr>
          <w:b/>
          <w:bCs/>
        </w:rPr>
      </w:pPr>
      <w:bookmarkStart w:id="67" w:name="_Toc156593390"/>
      <w:bookmarkStart w:id="68" w:name="_Toc156593389"/>
      <w:r w:rsidRPr="4BDBF0A0">
        <w:rPr>
          <w:b/>
          <w:bCs/>
        </w:rPr>
        <w:t xml:space="preserve">PUBLICATION OF </w:t>
      </w:r>
      <w:bookmarkEnd w:id="68"/>
      <w:r>
        <w:rPr>
          <w:b/>
          <w:bCs/>
        </w:rPr>
        <w:t>DATA</w:t>
      </w:r>
    </w:p>
    <w:p w:rsidR="00B1623F" w:rsidRPr="001F0834" w:rsidP="00B1623F" w14:paraId="421C79E5"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84108" w:rsidRPr="00FA4E09" w:rsidP="00F84108" w14:paraId="20771D27" w14:textId="1375EDDC">
      <w:pPr>
        <w:pBdr>
          <w:top w:val="single" w:sz="6" w:space="0" w:color="FFFFFF"/>
          <w:left w:val="single" w:sz="6" w:space="0" w:color="FFFFFF"/>
          <w:bottom w:val="single" w:sz="6" w:space="0" w:color="FFFFFF"/>
          <w:right w:val="single" w:sz="6" w:space="0" w:color="FFFFFF"/>
        </w:pBdr>
        <w:rPr>
          <w:rFonts w:ascii="Calibri" w:hAnsi="Calibri" w:cs="Calibri"/>
        </w:rPr>
      </w:pPr>
      <w:r w:rsidRPr="00FA4E09">
        <w:rPr>
          <w:rFonts w:ascii="Calibri" w:hAnsi="Calibri" w:cs="Calibri"/>
        </w:rPr>
        <w:t xml:space="preserve">The EPA will use information and data generated by the questionnaire and the sampling program to identify and quantify sources of PFAS to POTWs and prioritize industrial categories for further study and potential regulation. POTW sewage </w:t>
      </w:r>
      <w:r w:rsidRPr="00FA4E09" w:rsidR="000077A0">
        <w:rPr>
          <w:rFonts w:ascii="Calibri" w:hAnsi="Calibri" w:cs="Calibri"/>
        </w:rPr>
        <w:t>sludge</w:t>
      </w:r>
      <w:r w:rsidRPr="00FA4E09">
        <w:rPr>
          <w:rFonts w:ascii="Calibri" w:hAnsi="Calibri" w:cs="Calibri"/>
        </w:rPr>
        <w:t xml:space="preserve"> monitoring data generated through the sampling program will fulfill data needs for the NSSS and will be used to develop regulations and guidance for management of sewage sludge containing PFAS and other pollutants.</w:t>
      </w:r>
    </w:p>
    <w:p w:rsidR="00F84108" w:rsidRPr="00FA4E09" w:rsidP="00F84108" w14:paraId="12053B20" w14:textId="77777777">
      <w:pPr>
        <w:pBdr>
          <w:top w:val="single" w:sz="6" w:space="0" w:color="FFFFFF"/>
          <w:left w:val="single" w:sz="6" w:space="0" w:color="FFFFFF"/>
          <w:bottom w:val="single" w:sz="6" w:space="0" w:color="FFFFFF"/>
          <w:right w:val="single" w:sz="6" w:space="0" w:color="FFFFFF"/>
        </w:pBdr>
        <w:rPr>
          <w:rFonts w:ascii="Calibri" w:hAnsi="Calibri" w:cs="Calibri"/>
        </w:rPr>
      </w:pPr>
      <w:r w:rsidRPr="00FA4E09">
        <w:rPr>
          <w:rFonts w:ascii="Calibri" w:hAnsi="Calibri" w:cs="Calibri"/>
        </w:rPr>
        <w:t>To complete these objectives, the EPA will use the data collected through the questionnaire and the sampling program in the following types of analyses:</w:t>
      </w:r>
    </w:p>
    <w:p w:rsidR="00F84108" w:rsidRPr="00FA4E09" w:rsidP="00A97401" w14:paraId="31B6B325" w14:textId="1FB9ED1B">
      <w:pPr>
        <w:pStyle w:val="ListBulletSingle"/>
        <w:spacing w:after="80"/>
        <w:ind w:left="720" w:hanging="360"/>
        <w:rPr>
          <w:rFonts w:ascii="Calibri" w:hAnsi="Calibri" w:cs="Calibri"/>
        </w:rPr>
      </w:pPr>
      <w:r w:rsidRPr="00FA4E09">
        <w:rPr>
          <w:rFonts w:ascii="Calibri" w:hAnsi="Calibri" w:cs="Calibri"/>
          <w:b/>
          <w:bCs/>
        </w:rPr>
        <w:t>Profile of Industrial Users.</w:t>
      </w:r>
      <w:r w:rsidRPr="00FA4E09">
        <w:rPr>
          <w:rFonts w:ascii="Calibri" w:hAnsi="Calibri" w:cs="Calibri"/>
        </w:rPr>
        <w:t xml:space="preserve"> Information on industrial users will be used to identify the type of industrial facilities that discharge wastewater to POTWs and the relative wastewater flow rates. </w:t>
      </w:r>
      <w:r w:rsidRPr="00FA4E09" w:rsidR="23B76505">
        <w:rPr>
          <w:rFonts w:ascii="Calibri" w:hAnsi="Calibri" w:cs="Calibri"/>
        </w:rPr>
        <w:t>In addit</w:t>
      </w:r>
      <w:r w:rsidRPr="00FA4E09" w:rsidR="54779CCC">
        <w:rPr>
          <w:rFonts w:ascii="Calibri" w:hAnsi="Calibri" w:cs="Calibri"/>
        </w:rPr>
        <w:t>i</w:t>
      </w:r>
      <w:r w:rsidRPr="00FA4E09" w:rsidR="23B76505">
        <w:rPr>
          <w:rFonts w:ascii="Calibri" w:hAnsi="Calibri" w:cs="Calibri"/>
        </w:rPr>
        <w:t>on, t</w:t>
      </w:r>
      <w:r w:rsidRPr="00FA4E09">
        <w:rPr>
          <w:rFonts w:ascii="Calibri" w:hAnsi="Calibri" w:cs="Calibri"/>
        </w:rPr>
        <w:t xml:space="preserve">he EPA will request POTWs to identify suspected or known </w:t>
      </w:r>
      <w:r w:rsidR="00692E59">
        <w:rPr>
          <w:rFonts w:ascii="Calibri" w:hAnsi="Calibri" w:cs="Calibri"/>
        </w:rPr>
        <w:t xml:space="preserve">non-SIU </w:t>
      </w:r>
      <w:r w:rsidRPr="00FA4E09">
        <w:rPr>
          <w:rFonts w:ascii="Calibri" w:hAnsi="Calibri" w:cs="Calibri"/>
        </w:rPr>
        <w:t>sources of PFAS to POTW influent</w:t>
      </w:r>
      <w:r w:rsidRPr="00FA4E09" w:rsidR="23B76505">
        <w:rPr>
          <w:rFonts w:ascii="Calibri" w:hAnsi="Calibri" w:cs="Calibri"/>
        </w:rPr>
        <w:t>, if readily available</w:t>
      </w:r>
      <w:r w:rsidRPr="00FA4E09">
        <w:rPr>
          <w:rFonts w:ascii="Calibri" w:hAnsi="Calibri" w:cs="Calibri"/>
        </w:rPr>
        <w:t>. These data will allow the EPA to determine which industrial users should be selected for sampling based on existing understanding of PFAS contributions and potential impact on POTW operations.</w:t>
      </w:r>
    </w:p>
    <w:p w:rsidR="00F84108" w:rsidRPr="00FA4E09" w:rsidP="00A97401" w14:paraId="027FABA7" w14:textId="77777777">
      <w:pPr>
        <w:pStyle w:val="ListBulletSingle"/>
        <w:spacing w:after="80"/>
        <w:ind w:left="720" w:hanging="360"/>
        <w:rPr>
          <w:rFonts w:ascii="Calibri" w:hAnsi="Calibri" w:cs="Calibri"/>
        </w:rPr>
      </w:pPr>
      <w:r w:rsidRPr="00FA4E09">
        <w:rPr>
          <w:rFonts w:ascii="Calibri" w:hAnsi="Calibri" w:cs="Calibri"/>
          <w:b/>
          <w:bCs/>
        </w:rPr>
        <w:t>Characterization of Industrial User Wastewaters.</w:t>
      </w:r>
      <w:r w:rsidRPr="00FA4E09">
        <w:rPr>
          <w:rFonts w:ascii="Calibri" w:hAnsi="Calibri" w:cs="Calibri"/>
        </w:rPr>
        <w:t xml:space="preserve"> Wastewater sampling results will be used to estimate the types and quantities of PFAS discharged by various categories of industry. The EPA may use the PFAS sampling results in combination with wastewater flow rates (collected via the questionnaire) to estimate mass loads of PFAS discharged by different types of industrial facilities and determine which types of PFAS are commonly associated with different types of industrial facilities. These analyses will inform the EPA’s decisions to revise existing ELGs and may also be used by POTWs to understand sources of PFAS discharges to POTWs and establish point source controls.</w:t>
      </w:r>
    </w:p>
    <w:p w:rsidR="00F84108" w:rsidRPr="00FA4E09" w:rsidP="00A97401" w14:paraId="051E370D" w14:textId="732D742B">
      <w:pPr>
        <w:pStyle w:val="ListBulletSingle"/>
        <w:spacing w:after="80"/>
        <w:ind w:left="720" w:hanging="360"/>
        <w:rPr>
          <w:rFonts w:ascii="Calibri" w:hAnsi="Calibri" w:cs="Calibri"/>
        </w:rPr>
      </w:pPr>
      <w:r w:rsidRPr="00FA4E09">
        <w:rPr>
          <w:rFonts w:ascii="Calibri" w:hAnsi="Calibri" w:cs="Calibri"/>
          <w:b/>
          <w:bCs/>
        </w:rPr>
        <w:t xml:space="preserve">Characterization of Sewage </w:t>
      </w:r>
      <w:r w:rsidRPr="00FA4E09" w:rsidR="0AAF61B7">
        <w:rPr>
          <w:rFonts w:ascii="Calibri" w:hAnsi="Calibri" w:cs="Calibri"/>
          <w:b/>
          <w:bCs/>
        </w:rPr>
        <w:t>Sludge</w:t>
      </w:r>
      <w:r w:rsidRPr="00FA4E09">
        <w:rPr>
          <w:rFonts w:ascii="Calibri" w:hAnsi="Calibri" w:cs="Calibri"/>
          <w:b/>
          <w:bCs/>
        </w:rPr>
        <w:t>.</w:t>
      </w:r>
      <w:r w:rsidRPr="00FA4E09">
        <w:rPr>
          <w:rFonts w:ascii="Calibri" w:hAnsi="Calibri" w:cs="Calibri"/>
        </w:rPr>
        <w:t xml:space="preserve"> The ancillary parameters assessed for the POTW sewage </w:t>
      </w:r>
      <w:r w:rsidRPr="00FA4E09" w:rsidR="0AAF61B7">
        <w:rPr>
          <w:rFonts w:ascii="Calibri" w:hAnsi="Calibri" w:cs="Calibri"/>
        </w:rPr>
        <w:t>sludge</w:t>
      </w:r>
      <w:r w:rsidRPr="00FA4E09">
        <w:rPr>
          <w:rFonts w:ascii="Calibri" w:hAnsi="Calibri" w:cs="Calibri"/>
        </w:rPr>
        <w:t xml:space="preserve"> will be used to better understand the PFAS results (e.g., potential influences on PFAS partitioning behavior) and provide a more comprehensive sample characterization, similar to past NSSSs.</w:t>
      </w:r>
    </w:p>
    <w:p w:rsidR="0073767D" w:rsidRPr="00FA4E09" w:rsidP="00A97401" w14:paraId="5CBE5491" w14:textId="3232E519">
      <w:pPr>
        <w:pStyle w:val="ListBulletLast"/>
        <w:spacing w:after="80"/>
        <w:ind w:left="720" w:hanging="360"/>
        <w:rPr>
          <w:rFonts w:ascii="Calibri" w:hAnsi="Calibri" w:cs="Calibri"/>
        </w:rPr>
      </w:pPr>
      <w:r w:rsidRPr="00FA4E09">
        <w:rPr>
          <w:rFonts w:ascii="Calibri" w:hAnsi="Calibri" w:cs="Calibri"/>
          <w:b/>
          <w:bCs/>
        </w:rPr>
        <w:t>PFAS Fate and Transport.</w:t>
      </w:r>
      <w:r w:rsidRPr="00FA4E09">
        <w:rPr>
          <w:rFonts w:ascii="Calibri" w:hAnsi="Calibri" w:cs="Calibri"/>
        </w:rPr>
        <w:t xml:space="preserve"> POTW influent, effluent, and sewage </w:t>
      </w:r>
      <w:r w:rsidRPr="00FA4E09" w:rsidR="0AAF61B7">
        <w:rPr>
          <w:rFonts w:ascii="Calibri" w:hAnsi="Calibri" w:cs="Calibri"/>
        </w:rPr>
        <w:t>sludge</w:t>
      </w:r>
      <w:r w:rsidRPr="00FA4E09">
        <w:rPr>
          <w:rFonts w:ascii="Calibri" w:hAnsi="Calibri" w:cs="Calibri"/>
        </w:rPr>
        <w:t xml:space="preserve"> PFAS sampling results will be used to develop a fundamental understanding of PFAS fate and transport in POTWs. The EPA will use sampling results to assess efficacy of existing POTW pollution controls to reduce or eliminate PFAS in POTW influent. The EPA will also use effluent and sewage </w:t>
      </w:r>
      <w:r w:rsidRPr="00FA4E09" w:rsidR="0AAF61B7">
        <w:rPr>
          <w:rFonts w:ascii="Calibri" w:hAnsi="Calibri" w:cs="Calibri"/>
        </w:rPr>
        <w:t>sludge</w:t>
      </w:r>
      <w:r w:rsidRPr="00FA4E09">
        <w:rPr>
          <w:rFonts w:ascii="Calibri" w:hAnsi="Calibri" w:cs="Calibri"/>
        </w:rPr>
        <w:t xml:space="preserve"> sampling results to determine the extent that current management practices (e.g., land application) may result in release of and exposure to PFAS.</w:t>
      </w:r>
    </w:p>
    <w:p w:rsidR="00F84108" w:rsidRPr="00FA4E09" w:rsidP="00194C2B" w14:paraId="720854FD" w14:textId="1EBAAF5E">
      <w:pPr>
        <w:spacing w:before="240"/>
        <w:rPr>
          <w:rFonts w:ascii="Calibri" w:hAnsi="Calibri" w:cs="Calibri"/>
        </w:rPr>
      </w:pPr>
      <w:r w:rsidRPr="00FA4E09">
        <w:rPr>
          <w:rFonts w:ascii="Calibri" w:hAnsi="Calibri" w:cs="Calibri"/>
        </w:rPr>
        <w:t xml:space="preserve">The specific dates for distribution, response receipt, and data collection activities for the questionnaire have not yet been established but will include the activities in </w:t>
      </w:r>
      <w:r w:rsidRPr="00FA4E09">
        <w:rPr>
          <w:rFonts w:ascii="Calibri" w:hAnsi="Calibri" w:cs="Calibri"/>
        </w:rPr>
        <w:fldChar w:fldCharType="begin"/>
      </w:r>
      <w:r w:rsidRPr="00FA4E09">
        <w:rPr>
          <w:rFonts w:ascii="Calibri" w:hAnsi="Calibri" w:cs="Calibri"/>
        </w:rPr>
        <w:instrText xml:space="preserve"> REF _Ref461114112 \h  \* MERGEFORMAT </w:instrText>
      </w:r>
      <w:r w:rsidRPr="00FA4E09">
        <w:rPr>
          <w:rFonts w:ascii="Calibri" w:hAnsi="Calibri" w:cs="Calibri"/>
        </w:rPr>
        <w:fldChar w:fldCharType="separate"/>
      </w:r>
      <w:r w:rsidRPr="00031D45" w:rsidR="00A41D1F">
        <w:rPr>
          <w:rFonts w:ascii="Calibri" w:hAnsi="Calibri" w:cs="Calibri"/>
        </w:rPr>
        <w:t>Table 16</w:t>
      </w:r>
      <w:r w:rsidRPr="00031D45" w:rsidR="00A41D1F">
        <w:rPr>
          <w:rFonts w:ascii="Calibri" w:hAnsi="Calibri" w:cs="Calibri"/>
        </w:rPr>
        <w:noBreakHyphen/>
        <w:t>1</w:t>
      </w:r>
      <w:r w:rsidRPr="00FA4E09">
        <w:rPr>
          <w:rFonts w:ascii="Calibri" w:hAnsi="Calibri" w:cs="Calibri"/>
        </w:rPr>
        <w:fldChar w:fldCharType="end"/>
      </w:r>
      <w:r w:rsidRPr="00FA4E09">
        <w:rPr>
          <w:rFonts w:ascii="Calibri" w:hAnsi="Calibri" w:cs="Calibri"/>
        </w:rPr>
        <w:t xml:space="preserve">. The EPA’s intention is to ensure that facilities have </w:t>
      </w:r>
      <w:r w:rsidRPr="00FA4E09" w:rsidR="00E37177">
        <w:rPr>
          <w:rFonts w:ascii="Calibri" w:hAnsi="Calibri" w:cs="Calibri"/>
        </w:rPr>
        <w:t xml:space="preserve">45 </w:t>
      </w:r>
      <w:r w:rsidRPr="00FA4E09">
        <w:rPr>
          <w:rFonts w:ascii="Calibri" w:hAnsi="Calibri" w:cs="Calibri"/>
        </w:rPr>
        <w:t>days to prepare and submit their response to the questionnaire.</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1E0"/>
      </w:tblPr>
      <w:tblGrid>
        <w:gridCol w:w="6008"/>
        <w:gridCol w:w="3468"/>
      </w:tblGrid>
      <w:tr w14:paraId="6239A9FA" w14:textId="77777777">
        <w:tblPrEx>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29" w:type="dxa"/>
            <w:left w:w="58" w:type="dxa"/>
            <w:bottom w:w="29" w:type="dxa"/>
            <w:right w:w="58" w:type="dxa"/>
          </w:tblCellMar>
          <w:tblLook w:val="01E0"/>
        </w:tblPrEx>
        <w:trPr>
          <w:jc w:val="center"/>
        </w:trPr>
        <w:tc>
          <w:tcPr>
            <w:tcW w:w="5000" w:type="pct"/>
            <w:gridSpan w:val="2"/>
            <w:tcBorders>
              <w:top w:val="nil"/>
              <w:left w:val="nil"/>
              <w:bottom w:val="double" w:sz="6" w:space="0" w:color="auto"/>
              <w:right w:val="nil"/>
            </w:tcBorders>
            <w:shd w:val="clear" w:color="auto" w:fill="auto"/>
            <w:vAlign w:val="center"/>
          </w:tcPr>
          <w:p w:rsidR="00F84108" w:rsidRPr="00FA4E09" w14:paraId="44B155E9" w14:textId="294FEE43">
            <w:pPr>
              <w:pStyle w:val="TableTitle"/>
              <w:rPr>
                <w:sz w:val="20"/>
              </w:rPr>
            </w:pPr>
            <w:bookmarkStart w:id="69" w:name="_Ref461114112"/>
            <w:bookmarkStart w:id="70" w:name="_Toc157787733"/>
            <w:r w:rsidRPr="00FA4E09">
              <w:rPr>
                <w:rFonts w:eastAsiaTheme="minorEastAsia"/>
                <w:bCs/>
                <w:smallCaps/>
                <w:spacing w:val="6"/>
                <w:sz w:val="24"/>
                <w:szCs w:val="18"/>
              </w:rPr>
              <w:t xml:space="preserve">Table </w:t>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STYLEREF 1 \s</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16</w:t>
            </w:r>
            <w:r w:rsidRPr="00FA4E09">
              <w:rPr>
                <w:rFonts w:eastAsiaTheme="minorEastAsia"/>
                <w:bCs/>
                <w:smallCaps/>
                <w:spacing w:val="6"/>
                <w:sz w:val="24"/>
                <w:szCs w:val="18"/>
              </w:rPr>
              <w:fldChar w:fldCharType="end"/>
            </w:r>
            <w:r w:rsidRPr="00FA4E09">
              <w:rPr>
                <w:rFonts w:eastAsiaTheme="minorEastAsia"/>
                <w:bCs/>
                <w:smallCaps/>
                <w:spacing w:val="6"/>
                <w:sz w:val="24"/>
                <w:szCs w:val="18"/>
              </w:rPr>
              <w:noBreakHyphen/>
            </w:r>
            <w:r w:rsidRPr="00FA4E09">
              <w:rPr>
                <w:rFonts w:eastAsiaTheme="minorEastAsia"/>
                <w:bCs/>
                <w:smallCaps/>
                <w:spacing w:val="6"/>
                <w:sz w:val="24"/>
                <w:szCs w:val="18"/>
              </w:rPr>
              <w:fldChar w:fldCharType="begin"/>
            </w:r>
            <w:r w:rsidRPr="00FA4E09">
              <w:rPr>
                <w:rFonts w:eastAsiaTheme="minorEastAsia"/>
                <w:bCs/>
                <w:smallCaps/>
                <w:spacing w:val="6"/>
                <w:sz w:val="24"/>
                <w:szCs w:val="18"/>
              </w:rPr>
              <w:instrText>SEQ Table \* ARABIC \s 1</w:instrText>
            </w:r>
            <w:r w:rsidRPr="00FA4E09">
              <w:rPr>
                <w:rFonts w:eastAsiaTheme="minorEastAsia"/>
                <w:bCs/>
                <w:smallCaps/>
                <w:spacing w:val="6"/>
                <w:sz w:val="24"/>
                <w:szCs w:val="18"/>
              </w:rPr>
              <w:fldChar w:fldCharType="separate"/>
            </w:r>
            <w:r w:rsidRPr="00FA4E09" w:rsidR="00A41D1F">
              <w:rPr>
                <w:rFonts w:eastAsiaTheme="minorEastAsia"/>
                <w:bCs/>
                <w:smallCaps/>
                <w:noProof/>
                <w:spacing w:val="6"/>
                <w:sz w:val="24"/>
                <w:szCs w:val="18"/>
              </w:rPr>
              <w:t>1</w:t>
            </w:r>
            <w:r w:rsidRPr="00FA4E09">
              <w:rPr>
                <w:rFonts w:eastAsiaTheme="minorEastAsia"/>
                <w:bCs/>
                <w:smallCaps/>
                <w:spacing w:val="6"/>
                <w:sz w:val="24"/>
                <w:szCs w:val="18"/>
              </w:rPr>
              <w:fldChar w:fldCharType="end"/>
            </w:r>
            <w:bookmarkEnd w:id="69"/>
            <w:r w:rsidRPr="00FA4E09">
              <w:rPr>
                <w:rFonts w:eastAsiaTheme="minorEastAsia"/>
                <w:bCs/>
                <w:smallCaps/>
                <w:spacing w:val="6"/>
                <w:sz w:val="24"/>
                <w:szCs w:val="18"/>
              </w:rPr>
              <w:t>. Collection Schedule</w:t>
            </w:r>
            <w:bookmarkEnd w:id="70"/>
          </w:p>
        </w:tc>
      </w:tr>
      <w:tr w14:paraId="45AD2330" w14:textId="77777777">
        <w:tblPrEx>
          <w:tblW w:w="5000" w:type="pct"/>
          <w:jc w:val="center"/>
          <w:tblCellMar>
            <w:top w:w="29" w:type="dxa"/>
            <w:left w:w="58" w:type="dxa"/>
            <w:bottom w:w="29" w:type="dxa"/>
            <w:right w:w="58" w:type="dxa"/>
          </w:tblCellMar>
          <w:tblLook w:val="01E0"/>
        </w:tblPrEx>
        <w:trPr>
          <w:jc w:val="center"/>
        </w:trPr>
        <w:tc>
          <w:tcPr>
            <w:tcW w:w="3170" w:type="pct"/>
            <w:tcBorders>
              <w:top w:val="double" w:sz="6" w:space="0" w:color="auto"/>
              <w:bottom w:val="single" w:sz="6" w:space="0" w:color="auto"/>
            </w:tcBorders>
            <w:shd w:val="clear" w:color="auto" w:fill="D9D9D9" w:themeFill="background1" w:themeFillShade="D9"/>
          </w:tcPr>
          <w:p w:rsidR="00F84108" w:rsidRPr="00FA4E09" w:rsidP="00DD34B4" w14:paraId="593ACFF5" w14:textId="77777777">
            <w:pPr>
              <w:keepNext/>
              <w:spacing w:after="0"/>
              <w:jc w:val="center"/>
              <w:rPr>
                <w:rFonts w:ascii="Calibri" w:hAnsi="Calibri" w:cs="Calibri"/>
                <w:b/>
                <w:sz w:val="20"/>
              </w:rPr>
            </w:pPr>
            <w:r w:rsidRPr="00FA4E09">
              <w:rPr>
                <w:rFonts w:ascii="Calibri" w:hAnsi="Calibri" w:cs="Calibri"/>
                <w:b/>
                <w:sz w:val="20"/>
              </w:rPr>
              <w:t>Activity</w:t>
            </w:r>
          </w:p>
        </w:tc>
        <w:tc>
          <w:tcPr>
            <w:tcW w:w="1830" w:type="pct"/>
            <w:tcBorders>
              <w:top w:val="double" w:sz="6" w:space="0" w:color="auto"/>
              <w:bottom w:val="single" w:sz="6" w:space="0" w:color="auto"/>
            </w:tcBorders>
            <w:shd w:val="clear" w:color="auto" w:fill="D9D9D9" w:themeFill="background1" w:themeFillShade="D9"/>
          </w:tcPr>
          <w:p w:rsidR="00F84108" w:rsidRPr="00FA4E09" w:rsidP="00DD34B4" w14:paraId="4048D8AC" w14:textId="77777777">
            <w:pPr>
              <w:keepNext/>
              <w:spacing w:after="0"/>
              <w:jc w:val="center"/>
              <w:rPr>
                <w:rFonts w:ascii="Calibri" w:hAnsi="Calibri" w:cs="Calibri"/>
                <w:b/>
                <w:sz w:val="20"/>
              </w:rPr>
            </w:pPr>
            <w:r w:rsidRPr="00FA4E09">
              <w:rPr>
                <w:rFonts w:ascii="Calibri" w:hAnsi="Calibri" w:cs="Calibri"/>
                <w:b/>
                <w:sz w:val="20"/>
              </w:rPr>
              <w:t>Estimate of Schedule</w:t>
            </w:r>
          </w:p>
        </w:tc>
      </w:tr>
      <w:tr w14:paraId="3C31FA9F" w14:textId="77777777">
        <w:tblPrEx>
          <w:tblW w:w="5000" w:type="pct"/>
          <w:jc w:val="center"/>
          <w:tblCellMar>
            <w:top w:w="29" w:type="dxa"/>
            <w:left w:w="58" w:type="dxa"/>
            <w:bottom w:w="29" w:type="dxa"/>
            <w:right w:w="58" w:type="dxa"/>
          </w:tblCellMar>
          <w:tblLook w:val="01E0"/>
        </w:tblPrEx>
        <w:trPr>
          <w:jc w:val="center"/>
        </w:trPr>
        <w:tc>
          <w:tcPr>
            <w:tcW w:w="3170" w:type="pct"/>
            <w:tcBorders>
              <w:top w:val="single" w:sz="6" w:space="0" w:color="auto"/>
            </w:tcBorders>
          </w:tcPr>
          <w:p w:rsidR="00F84108" w:rsidRPr="00FA4E09" w:rsidP="00DD34B4" w14:paraId="1E2BC713" w14:textId="77777777">
            <w:pPr>
              <w:keepNext/>
              <w:spacing w:after="0"/>
              <w:rPr>
                <w:rFonts w:ascii="Calibri" w:hAnsi="Calibri" w:cs="Calibri"/>
                <w:sz w:val="20"/>
              </w:rPr>
            </w:pPr>
            <w:r w:rsidRPr="00FA4E09">
              <w:rPr>
                <w:rFonts w:ascii="Calibri" w:hAnsi="Calibri" w:cs="Calibri"/>
                <w:sz w:val="20"/>
              </w:rPr>
              <w:t xml:space="preserve">The EPA sends notification to </w:t>
            </w:r>
            <w:r w:rsidRPr="00FA4E09">
              <w:rPr>
                <w:rFonts w:ascii="Calibri" w:hAnsi="Calibri" w:cs="Calibri"/>
                <w:sz w:val="20"/>
                <w:szCs w:val="20"/>
              </w:rPr>
              <w:t>questionnaire</w:t>
            </w:r>
            <w:r w:rsidRPr="00FA4E09">
              <w:rPr>
                <w:rFonts w:ascii="Calibri" w:hAnsi="Calibri" w:cs="Calibri"/>
                <w:sz w:val="20"/>
              </w:rPr>
              <w:t xml:space="preserve"> recipients</w:t>
            </w:r>
          </w:p>
        </w:tc>
        <w:tc>
          <w:tcPr>
            <w:tcW w:w="1830" w:type="pct"/>
            <w:tcBorders>
              <w:top w:val="single" w:sz="6" w:space="0" w:color="auto"/>
            </w:tcBorders>
            <w:vAlign w:val="center"/>
          </w:tcPr>
          <w:p w:rsidR="00F84108" w:rsidRPr="00FA4E09" w:rsidP="00DD34B4" w14:paraId="1080E731" w14:textId="53F0FAE4">
            <w:pPr>
              <w:keepNext/>
              <w:spacing w:after="0"/>
              <w:rPr>
                <w:rFonts w:ascii="Calibri" w:hAnsi="Calibri" w:cs="Calibri"/>
                <w:sz w:val="20"/>
                <w:szCs w:val="20"/>
              </w:rPr>
            </w:pPr>
            <w:r w:rsidRPr="00FA4E09">
              <w:rPr>
                <w:rFonts w:ascii="Calibri" w:hAnsi="Calibri" w:cs="Calibri"/>
                <w:sz w:val="20"/>
                <w:szCs w:val="20"/>
              </w:rPr>
              <w:t xml:space="preserve">Within 30 </w:t>
            </w:r>
            <w:r w:rsidRPr="00FA4E09" w:rsidR="00BC30A4">
              <w:rPr>
                <w:rFonts w:ascii="Calibri" w:hAnsi="Calibri" w:cs="Calibri"/>
                <w:sz w:val="20"/>
                <w:szCs w:val="20"/>
              </w:rPr>
              <w:t xml:space="preserve">calendar </w:t>
            </w:r>
            <w:r w:rsidRPr="00FA4E09">
              <w:rPr>
                <w:rFonts w:ascii="Calibri" w:hAnsi="Calibri" w:cs="Calibri"/>
                <w:sz w:val="20"/>
                <w:szCs w:val="20"/>
              </w:rPr>
              <w:t>days following OMB approval</w:t>
            </w:r>
          </w:p>
        </w:tc>
      </w:tr>
      <w:tr w14:paraId="1B5DAEC0" w14:textId="77777777">
        <w:tblPrEx>
          <w:tblW w:w="5000" w:type="pct"/>
          <w:jc w:val="center"/>
          <w:tblCellMar>
            <w:top w:w="29" w:type="dxa"/>
            <w:left w:w="58" w:type="dxa"/>
            <w:bottom w:w="29" w:type="dxa"/>
            <w:right w:w="58" w:type="dxa"/>
          </w:tblCellMar>
          <w:tblLook w:val="01E0"/>
        </w:tblPrEx>
        <w:trPr>
          <w:jc w:val="center"/>
        </w:trPr>
        <w:tc>
          <w:tcPr>
            <w:tcW w:w="3170" w:type="pct"/>
          </w:tcPr>
          <w:p w:rsidR="00F84108" w:rsidRPr="00FA4E09" w:rsidP="00DD34B4" w14:paraId="64688BF6" w14:textId="77777777">
            <w:pPr>
              <w:keepNext/>
              <w:spacing w:after="0"/>
              <w:rPr>
                <w:rFonts w:ascii="Calibri" w:hAnsi="Calibri" w:cs="Calibri"/>
                <w:sz w:val="20"/>
              </w:rPr>
            </w:pPr>
            <w:r w:rsidRPr="00FA4E09">
              <w:rPr>
                <w:rFonts w:ascii="Calibri" w:hAnsi="Calibri" w:cs="Calibri"/>
                <w:sz w:val="20"/>
              </w:rPr>
              <w:t>Deadline for submission of complete questionnaires to the EPA</w:t>
            </w:r>
          </w:p>
        </w:tc>
        <w:tc>
          <w:tcPr>
            <w:tcW w:w="1830" w:type="pct"/>
            <w:vAlign w:val="center"/>
          </w:tcPr>
          <w:p w:rsidR="00F84108" w:rsidRPr="00FA4E09" w:rsidP="00DD34B4" w14:paraId="19CE5348" w14:textId="2D80DF20">
            <w:pPr>
              <w:keepNext/>
              <w:spacing w:after="0"/>
              <w:rPr>
                <w:rFonts w:ascii="Calibri" w:hAnsi="Calibri" w:cs="Calibri"/>
                <w:sz w:val="20"/>
                <w:szCs w:val="20"/>
              </w:rPr>
            </w:pPr>
            <w:r w:rsidRPr="00FA4E09">
              <w:rPr>
                <w:rFonts w:ascii="Calibri" w:hAnsi="Calibri" w:cs="Calibri"/>
                <w:sz w:val="20"/>
                <w:szCs w:val="20"/>
              </w:rPr>
              <w:t>Within</w:t>
            </w:r>
            <w:r w:rsidRPr="00FA4E09">
              <w:rPr>
                <w:rFonts w:ascii="Calibri" w:hAnsi="Calibri" w:cs="Calibri"/>
                <w:sz w:val="20"/>
                <w:szCs w:val="20"/>
              </w:rPr>
              <w:t xml:space="preserve"> </w:t>
            </w:r>
            <w:r w:rsidRPr="00FA4E09" w:rsidR="00E37177">
              <w:rPr>
                <w:rFonts w:ascii="Calibri" w:hAnsi="Calibri" w:cs="Calibri"/>
                <w:sz w:val="20"/>
                <w:szCs w:val="20"/>
              </w:rPr>
              <w:t>45</w:t>
            </w:r>
            <w:r w:rsidRPr="00FA4E09">
              <w:rPr>
                <w:rFonts w:ascii="Calibri" w:hAnsi="Calibri" w:cs="Calibri"/>
                <w:sz w:val="20"/>
                <w:szCs w:val="20"/>
              </w:rPr>
              <w:t xml:space="preserve"> </w:t>
            </w:r>
            <w:r w:rsidRPr="00FA4E09" w:rsidR="00BC30A4">
              <w:rPr>
                <w:rFonts w:ascii="Calibri" w:hAnsi="Calibri" w:cs="Calibri"/>
                <w:sz w:val="20"/>
                <w:szCs w:val="20"/>
              </w:rPr>
              <w:t xml:space="preserve">calendar </w:t>
            </w:r>
            <w:r w:rsidRPr="00FA4E09">
              <w:rPr>
                <w:rFonts w:ascii="Calibri" w:hAnsi="Calibri" w:cs="Calibri"/>
                <w:sz w:val="20"/>
                <w:szCs w:val="20"/>
              </w:rPr>
              <w:t>days following notification</w:t>
            </w:r>
          </w:p>
        </w:tc>
      </w:tr>
      <w:tr w14:paraId="0E644E24" w14:textId="77777777">
        <w:tblPrEx>
          <w:tblW w:w="5000" w:type="pct"/>
          <w:jc w:val="center"/>
          <w:tblCellMar>
            <w:top w:w="29" w:type="dxa"/>
            <w:left w:w="58" w:type="dxa"/>
            <w:bottom w:w="29" w:type="dxa"/>
            <w:right w:w="58" w:type="dxa"/>
          </w:tblCellMar>
          <w:tblLook w:val="01E0"/>
        </w:tblPrEx>
        <w:trPr>
          <w:jc w:val="center"/>
        </w:trPr>
        <w:tc>
          <w:tcPr>
            <w:tcW w:w="3170" w:type="pct"/>
          </w:tcPr>
          <w:p w:rsidR="00F84108" w:rsidRPr="00FA4E09" w:rsidP="00DD34B4" w14:paraId="7405BB10" w14:textId="220A2387">
            <w:pPr>
              <w:spacing w:after="0"/>
              <w:rPr>
                <w:rFonts w:ascii="Calibri" w:hAnsi="Calibri" w:cs="Calibri"/>
                <w:sz w:val="20"/>
              </w:rPr>
            </w:pPr>
            <w:r w:rsidRPr="00FA4E09">
              <w:rPr>
                <w:rFonts w:ascii="Calibri" w:hAnsi="Calibri" w:cs="Calibri"/>
                <w:sz w:val="20"/>
              </w:rPr>
              <w:t xml:space="preserve">The EPA begins sending notification to facilities participating in Phase </w:t>
            </w:r>
            <w:r w:rsidRPr="00FA4E09" w:rsidR="001409D5">
              <w:rPr>
                <w:rFonts w:ascii="Calibri" w:hAnsi="Calibri" w:cs="Calibri"/>
                <w:sz w:val="20"/>
              </w:rPr>
              <w:t xml:space="preserve">I </w:t>
            </w:r>
            <w:r w:rsidRPr="00FA4E09">
              <w:rPr>
                <w:rFonts w:ascii="Calibri" w:hAnsi="Calibri" w:cs="Calibri"/>
                <w:sz w:val="20"/>
              </w:rPr>
              <w:t xml:space="preserve">of the sampling program </w:t>
            </w:r>
          </w:p>
        </w:tc>
        <w:tc>
          <w:tcPr>
            <w:tcW w:w="1830" w:type="pct"/>
            <w:vAlign w:val="center"/>
          </w:tcPr>
          <w:p w:rsidR="00F84108" w:rsidRPr="00FA4E09" w:rsidP="00DD34B4" w14:paraId="1AE64150" w14:textId="20216AC5">
            <w:pPr>
              <w:spacing w:after="0"/>
              <w:rPr>
                <w:rFonts w:ascii="Calibri" w:hAnsi="Calibri" w:cs="Calibri"/>
                <w:sz w:val="20"/>
                <w:szCs w:val="20"/>
              </w:rPr>
            </w:pPr>
            <w:r w:rsidRPr="00FA4E09">
              <w:rPr>
                <w:rFonts w:ascii="Calibri" w:hAnsi="Calibri" w:cs="Calibri"/>
                <w:sz w:val="20"/>
                <w:szCs w:val="20"/>
              </w:rPr>
              <w:t xml:space="preserve">Within </w:t>
            </w:r>
            <w:r w:rsidRPr="00FA4E09" w:rsidR="00BC30A4">
              <w:rPr>
                <w:rFonts w:ascii="Calibri" w:hAnsi="Calibri" w:cs="Calibri"/>
                <w:sz w:val="20"/>
                <w:szCs w:val="20"/>
              </w:rPr>
              <w:t xml:space="preserve">calendar </w:t>
            </w:r>
            <w:r w:rsidRPr="00FA4E09">
              <w:rPr>
                <w:rFonts w:ascii="Calibri" w:hAnsi="Calibri" w:cs="Calibri"/>
                <w:sz w:val="20"/>
                <w:szCs w:val="20"/>
              </w:rPr>
              <w:t>120 days following questionnaire response period</w:t>
            </w:r>
          </w:p>
        </w:tc>
      </w:tr>
      <w:tr w14:paraId="49A0CBA6" w14:textId="77777777">
        <w:tblPrEx>
          <w:tblW w:w="5000" w:type="pct"/>
          <w:jc w:val="center"/>
          <w:tblCellMar>
            <w:top w:w="29" w:type="dxa"/>
            <w:left w:w="58" w:type="dxa"/>
            <w:bottom w:w="29" w:type="dxa"/>
            <w:right w:w="58" w:type="dxa"/>
          </w:tblCellMar>
          <w:tblLook w:val="01E0"/>
        </w:tblPrEx>
        <w:trPr>
          <w:jc w:val="center"/>
        </w:trPr>
        <w:tc>
          <w:tcPr>
            <w:tcW w:w="3170" w:type="pct"/>
          </w:tcPr>
          <w:p w:rsidR="004D47E5" w:rsidRPr="00FA4E09" w:rsidP="00DD34B4" w14:paraId="70A2298E" w14:textId="2CF68D74">
            <w:pPr>
              <w:spacing w:after="0"/>
              <w:rPr>
                <w:rFonts w:ascii="Calibri" w:hAnsi="Calibri" w:cs="Calibri"/>
                <w:sz w:val="20"/>
              </w:rPr>
            </w:pPr>
            <w:r w:rsidRPr="00FA4E09">
              <w:rPr>
                <w:rFonts w:ascii="Calibri" w:hAnsi="Calibri" w:cs="Calibri"/>
                <w:sz w:val="20"/>
              </w:rPr>
              <w:t>Facilities collect and send the required was</w:t>
            </w:r>
            <w:r w:rsidRPr="00FA4E09" w:rsidR="00357665">
              <w:rPr>
                <w:rFonts w:ascii="Calibri" w:hAnsi="Calibri" w:cs="Calibri"/>
                <w:sz w:val="20"/>
              </w:rPr>
              <w:t xml:space="preserve">tewater </w:t>
            </w:r>
            <w:r w:rsidRPr="00FA4E09" w:rsidR="004A2034">
              <w:rPr>
                <w:rFonts w:ascii="Calibri" w:hAnsi="Calibri" w:cs="Calibri"/>
                <w:sz w:val="20"/>
              </w:rPr>
              <w:t>samples</w:t>
            </w:r>
            <w:r w:rsidRPr="00FA4E09" w:rsidR="009B70DD">
              <w:rPr>
                <w:rFonts w:ascii="Calibri" w:hAnsi="Calibri" w:cs="Calibri"/>
                <w:sz w:val="20"/>
              </w:rPr>
              <w:t xml:space="preserve"> to the </w:t>
            </w:r>
            <w:r w:rsidRPr="00FA4E09" w:rsidR="00E94973">
              <w:rPr>
                <w:rFonts w:ascii="Calibri" w:hAnsi="Calibri" w:cs="Calibri"/>
                <w:sz w:val="20"/>
              </w:rPr>
              <w:t>contracted laboratory for analysis</w:t>
            </w:r>
          </w:p>
        </w:tc>
        <w:tc>
          <w:tcPr>
            <w:tcW w:w="1830" w:type="pct"/>
            <w:vAlign w:val="center"/>
          </w:tcPr>
          <w:p w:rsidR="004D47E5" w:rsidRPr="00FA4E09" w:rsidP="00DD34B4" w14:paraId="18211EA1" w14:textId="00AB207F">
            <w:pPr>
              <w:spacing w:after="0"/>
              <w:rPr>
                <w:rFonts w:ascii="Calibri" w:hAnsi="Calibri" w:cs="Calibri"/>
                <w:sz w:val="20"/>
                <w:szCs w:val="20"/>
              </w:rPr>
            </w:pPr>
            <w:r w:rsidRPr="00FA4E09">
              <w:rPr>
                <w:rFonts w:ascii="Calibri" w:hAnsi="Calibri" w:cs="Calibri"/>
                <w:sz w:val="20"/>
                <w:szCs w:val="20"/>
              </w:rPr>
              <w:t xml:space="preserve">Within 30 </w:t>
            </w:r>
            <w:r w:rsidRPr="00FA4E09" w:rsidR="00BC30A4">
              <w:rPr>
                <w:rFonts w:ascii="Calibri" w:hAnsi="Calibri" w:cs="Calibri"/>
                <w:sz w:val="20"/>
                <w:szCs w:val="20"/>
              </w:rPr>
              <w:t xml:space="preserve">calendar </w:t>
            </w:r>
            <w:r w:rsidRPr="00FA4E09">
              <w:rPr>
                <w:rFonts w:ascii="Calibri" w:hAnsi="Calibri" w:cs="Calibri"/>
                <w:sz w:val="20"/>
                <w:szCs w:val="20"/>
              </w:rPr>
              <w:t>days following notification</w:t>
            </w:r>
          </w:p>
        </w:tc>
      </w:tr>
      <w:tr w14:paraId="739175A7" w14:textId="77777777">
        <w:tblPrEx>
          <w:tblW w:w="5000" w:type="pct"/>
          <w:jc w:val="center"/>
          <w:tblCellMar>
            <w:top w:w="29" w:type="dxa"/>
            <w:left w:w="58" w:type="dxa"/>
            <w:bottom w:w="29" w:type="dxa"/>
            <w:right w:w="58" w:type="dxa"/>
          </w:tblCellMar>
          <w:tblLook w:val="01E0"/>
        </w:tblPrEx>
        <w:trPr>
          <w:jc w:val="center"/>
        </w:trPr>
        <w:tc>
          <w:tcPr>
            <w:tcW w:w="3170" w:type="pct"/>
          </w:tcPr>
          <w:p w:rsidR="003545B8" w:rsidRPr="00FA4E09" w:rsidP="00DD34B4" w14:paraId="78B28E45" w14:textId="23658825">
            <w:pPr>
              <w:spacing w:after="0"/>
              <w:rPr>
                <w:rFonts w:ascii="Calibri" w:hAnsi="Calibri" w:cs="Calibri"/>
                <w:sz w:val="20"/>
              </w:rPr>
            </w:pPr>
            <w:r w:rsidRPr="00FA4E09">
              <w:rPr>
                <w:rFonts w:ascii="Calibri" w:hAnsi="Calibri" w:cs="Calibri"/>
                <w:sz w:val="20"/>
              </w:rPr>
              <w:t>Facilities n</w:t>
            </w:r>
            <w:r w:rsidRPr="00FA4E09" w:rsidR="00684D2C">
              <w:rPr>
                <w:rFonts w:ascii="Calibri" w:hAnsi="Calibri" w:cs="Calibri"/>
                <w:sz w:val="20"/>
              </w:rPr>
              <w:t xml:space="preserve">otify </w:t>
            </w:r>
            <w:r w:rsidRPr="00FA4E09">
              <w:rPr>
                <w:rFonts w:ascii="Calibri" w:hAnsi="Calibri" w:cs="Calibri"/>
                <w:sz w:val="20"/>
              </w:rPr>
              <w:t xml:space="preserve">the </w:t>
            </w:r>
            <w:r w:rsidRPr="00FA4E09" w:rsidR="00684D2C">
              <w:rPr>
                <w:rFonts w:ascii="Calibri" w:hAnsi="Calibri" w:cs="Calibri"/>
                <w:sz w:val="20"/>
              </w:rPr>
              <w:t xml:space="preserve">EPA </w:t>
            </w:r>
            <w:r w:rsidRPr="00FA4E09" w:rsidR="00EF4E5E">
              <w:rPr>
                <w:rFonts w:ascii="Calibri" w:hAnsi="Calibri" w:cs="Calibri"/>
                <w:sz w:val="20"/>
              </w:rPr>
              <w:t xml:space="preserve">of </w:t>
            </w:r>
            <w:r w:rsidRPr="00FA4E09" w:rsidR="00F177DC">
              <w:rPr>
                <w:rFonts w:ascii="Calibri" w:hAnsi="Calibri" w:cs="Calibri"/>
                <w:sz w:val="20"/>
              </w:rPr>
              <w:t xml:space="preserve">the date of </w:t>
            </w:r>
            <w:r w:rsidRPr="00FA4E09" w:rsidR="00EF4E5E">
              <w:rPr>
                <w:rFonts w:ascii="Calibri" w:hAnsi="Calibri" w:cs="Calibri"/>
                <w:sz w:val="20"/>
              </w:rPr>
              <w:t>sample collection</w:t>
            </w:r>
            <w:r w:rsidRPr="00FA4E09" w:rsidR="00B75446">
              <w:rPr>
                <w:rFonts w:ascii="Calibri" w:hAnsi="Calibri" w:cs="Calibri"/>
                <w:sz w:val="20"/>
              </w:rPr>
              <w:t xml:space="preserve">, the name of the </w:t>
            </w:r>
            <w:r w:rsidRPr="00FA4E09" w:rsidR="00C323F5">
              <w:rPr>
                <w:rFonts w:ascii="Calibri" w:hAnsi="Calibri" w:cs="Calibri"/>
                <w:sz w:val="20"/>
              </w:rPr>
              <w:t xml:space="preserve">analytical laboratory conducting analysis, </w:t>
            </w:r>
            <w:r w:rsidRPr="00FA4E09" w:rsidR="00DB39E4">
              <w:rPr>
                <w:rFonts w:ascii="Calibri" w:hAnsi="Calibri" w:cs="Calibri"/>
                <w:sz w:val="20"/>
              </w:rPr>
              <w:t>and</w:t>
            </w:r>
            <w:r w:rsidRPr="00FA4E09" w:rsidR="00EF4E5E">
              <w:rPr>
                <w:rFonts w:ascii="Calibri" w:hAnsi="Calibri" w:cs="Calibri"/>
                <w:sz w:val="20"/>
              </w:rPr>
              <w:t xml:space="preserve"> the date </w:t>
            </w:r>
            <w:r w:rsidRPr="00FA4E09" w:rsidR="00BA2424">
              <w:rPr>
                <w:rFonts w:ascii="Calibri" w:hAnsi="Calibri" w:cs="Calibri"/>
                <w:sz w:val="20"/>
              </w:rPr>
              <w:t xml:space="preserve">that samples </w:t>
            </w:r>
            <w:r w:rsidRPr="00FA4E09" w:rsidR="00EF4E5E">
              <w:rPr>
                <w:rFonts w:ascii="Calibri" w:hAnsi="Calibri" w:cs="Calibri"/>
                <w:sz w:val="20"/>
              </w:rPr>
              <w:t>are</w:t>
            </w:r>
            <w:r w:rsidRPr="00FA4E09" w:rsidR="00BA2424">
              <w:rPr>
                <w:rFonts w:ascii="Calibri" w:hAnsi="Calibri" w:cs="Calibri"/>
                <w:sz w:val="20"/>
              </w:rPr>
              <w:t xml:space="preserve"> </w:t>
            </w:r>
            <w:r w:rsidRPr="00FA4E09" w:rsidR="00241334">
              <w:rPr>
                <w:rFonts w:ascii="Calibri" w:hAnsi="Calibri" w:cs="Calibri"/>
                <w:sz w:val="20"/>
              </w:rPr>
              <w:t>received by</w:t>
            </w:r>
            <w:r w:rsidRPr="00FA4E09" w:rsidR="00BA2424">
              <w:rPr>
                <w:rFonts w:ascii="Calibri" w:hAnsi="Calibri" w:cs="Calibri"/>
                <w:sz w:val="20"/>
              </w:rPr>
              <w:t xml:space="preserve"> </w:t>
            </w:r>
            <w:r w:rsidRPr="00FA4E09" w:rsidR="008C35F8">
              <w:rPr>
                <w:rFonts w:ascii="Calibri" w:hAnsi="Calibri" w:cs="Calibri"/>
                <w:sz w:val="20"/>
              </w:rPr>
              <w:t xml:space="preserve">the </w:t>
            </w:r>
            <w:r w:rsidRPr="00FA4E09" w:rsidR="00BA2424">
              <w:rPr>
                <w:rFonts w:ascii="Calibri" w:hAnsi="Calibri" w:cs="Calibri"/>
                <w:sz w:val="20"/>
              </w:rPr>
              <w:t>analytical laboratory</w:t>
            </w:r>
          </w:p>
        </w:tc>
        <w:tc>
          <w:tcPr>
            <w:tcW w:w="1830" w:type="pct"/>
            <w:vAlign w:val="center"/>
          </w:tcPr>
          <w:p w:rsidR="003545B8" w:rsidRPr="00FA4E09" w:rsidP="00DD34B4" w14:paraId="7508F44F" w14:textId="41E98AB6">
            <w:pPr>
              <w:spacing w:after="0"/>
              <w:rPr>
                <w:rFonts w:ascii="Calibri" w:hAnsi="Calibri" w:cs="Calibri"/>
                <w:sz w:val="20"/>
                <w:szCs w:val="20"/>
              </w:rPr>
            </w:pPr>
            <w:r w:rsidRPr="00FA4E09">
              <w:rPr>
                <w:rFonts w:ascii="Calibri" w:hAnsi="Calibri" w:cs="Calibri"/>
                <w:sz w:val="20"/>
                <w:szCs w:val="20"/>
              </w:rPr>
              <w:t xml:space="preserve">Within </w:t>
            </w:r>
            <w:r w:rsidRPr="00FA4E09" w:rsidR="00684D2C">
              <w:rPr>
                <w:rFonts w:ascii="Calibri" w:hAnsi="Calibri" w:cs="Calibri"/>
                <w:sz w:val="20"/>
                <w:szCs w:val="20"/>
              </w:rPr>
              <w:t xml:space="preserve">30 </w:t>
            </w:r>
            <w:r w:rsidRPr="00FA4E09" w:rsidR="00BC30A4">
              <w:rPr>
                <w:rFonts w:ascii="Calibri" w:hAnsi="Calibri" w:cs="Calibri"/>
                <w:sz w:val="20"/>
                <w:szCs w:val="20"/>
              </w:rPr>
              <w:t xml:space="preserve">calendar </w:t>
            </w:r>
            <w:r w:rsidRPr="00FA4E09" w:rsidR="00684D2C">
              <w:rPr>
                <w:rFonts w:ascii="Calibri" w:hAnsi="Calibri" w:cs="Calibri"/>
                <w:sz w:val="20"/>
                <w:szCs w:val="20"/>
              </w:rPr>
              <w:t>days</w:t>
            </w:r>
            <w:r w:rsidRPr="00FA4E09">
              <w:rPr>
                <w:rFonts w:ascii="Calibri" w:hAnsi="Calibri" w:cs="Calibri"/>
                <w:sz w:val="20"/>
                <w:szCs w:val="20"/>
              </w:rPr>
              <w:t xml:space="preserve"> following notification</w:t>
            </w:r>
          </w:p>
        </w:tc>
      </w:tr>
      <w:tr w14:paraId="75D710EA" w14:textId="77777777">
        <w:tblPrEx>
          <w:tblW w:w="5000" w:type="pct"/>
          <w:jc w:val="center"/>
          <w:tblCellMar>
            <w:top w:w="29" w:type="dxa"/>
            <w:left w:w="58" w:type="dxa"/>
            <w:bottom w:w="29" w:type="dxa"/>
            <w:right w:w="58" w:type="dxa"/>
          </w:tblCellMar>
          <w:tblLook w:val="01E0"/>
        </w:tblPrEx>
        <w:trPr>
          <w:jc w:val="center"/>
        </w:trPr>
        <w:tc>
          <w:tcPr>
            <w:tcW w:w="3170" w:type="pct"/>
          </w:tcPr>
          <w:p w:rsidR="00F84108" w:rsidRPr="00FA4E09" w:rsidP="00DD34B4" w14:paraId="391677C5" w14:textId="29E93276">
            <w:pPr>
              <w:spacing w:after="0"/>
              <w:rPr>
                <w:rFonts w:ascii="Calibri" w:hAnsi="Calibri" w:cs="Calibri"/>
                <w:sz w:val="20"/>
              </w:rPr>
            </w:pPr>
            <w:r w:rsidRPr="00FA4E09">
              <w:rPr>
                <w:rFonts w:ascii="Calibri" w:hAnsi="Calibri" w:cs="Calibri"/>
                <w:sz w:val="20"/>
              </w:rPr>
              <w:t>Deadline for submission of compiled wastewater sampling results</w:t>
            </w:r>
            <w:r w:rsidRPr="00DC4A60">
              <w:rPr>
                <w:rFonts w:ascii="Calibri" w:hAnsi="Calibri" w:cs="Calibri"/>
                <w:sz w:val="20"/>
                <w:vertAlign w:val="superscript"/>
              </w:rPr>
              <w:t xml:space="preserve"> </w:t>
            </w:r>
            <w:r w:rsidRPr="00DC4A60" w:rsidR="00DB39E4">
              <w:rPr>
                <w:rFonts w:ascii="Calibri" w:hAnsi="Calibri" w:cs="Calibri"/>
                <w:sz w:val="20"/>
                <w:vertAlign w:val="superscript"/>
              </w:rPr>
              <w:t>a</w:t>
            </w:r>
          </w:p>
        </w:tc>
        <w:tc>
          <w:tcPr>
            <w:tcW w:w="1830" w:type="pct"/>
            <w:vAlign w:val="center"/>
          </w:tcPr>
          <w:p w:rsidR="00F84108" w:rsidRPr="00FA4E09" w:rsidP="00DD34B4" w14:paraId="2DFD9F5A" w14:textId="22850287">
            <w:pPr>
              <w:spacing w:after="0"/>
              <w:rPr>
                <w:rFonts w:ascii="Calibri" w:hAnsi="Calibri" w:cs="Calibri"/>
                <w:sz w:val="20"/>
                <w:szCs w:val="20"/>
              </w:rPr>
            </w:pPr>
            <w:r w:rsidRPr="00FA4E09">
              <w:rPr>
                <w:rFonts w:ascii="Calibri" w:hAnsi="Calibri" w:cs="Calibri"/>
                <w:sz w:val="20"/>
                <w:szCs w:val="20"/>
              </w:rPr>
              <w:t xml:space="preserve">Within 120 </w:t>
            </w:r>
            <w:r w:rsidRPr="00FA4E09" w:rsidR="00BC30A4">
              <w:rPr>
                <w:rFonts w:ascii="Calibri" w:hAnsi="Calibri" w:cs="Calibri"/>
                <w:sz w:val="20"/>
                <w:szCs w:val="20"/>
              </w:rPr>
              <w:t xml:space="preserve">calendar </w:t>
            </w:r>
            <w:r w:rsidRPr="00FA4E09">
              <w:rPr>
                <w:rFonts w:ascii="Calibri" w:hAnsi="Calibri" w:cs="Calibri"/>
                <w:sz w:val="20"/>
                <w:szCs w:val="20"/>
              </w:rPr>
              <w:t>days following notification</w:t>
            </w:r>
          </w:p>
        </w:tc>
      </w:tr>
      <w:tr w14:paraId="2BF99BD4" w14:textId="77777777">
        <w:tblPrEx>
          <w:tblW w:w="5000" w:type="pct"/>
          <w:jc w:val="center"/>
          <w:tblCellMar>
            <w:top w:w="29" w:type="dxa"/>
            <w:left w:w="58" w:type="dxa"/>
            <w:bottom w:w="29" w:type="dxa"/>
            <w:right w:w="58" w:type="dxa"/>
          </w:tblCellMar>
          <w:tblLook w:val="01E0"/>
        </w:tblPrEx>
        <w:trPr>
          <w:jc w:val="center"/>
        </w:trPr>
        <w:tc>
          <w:tcPr>
            <w:tcW w:w="3170" w:type="pct"/>
          </w:tcPr>
          <w:p w:rsidR="00F84108" w:rsidRPr="00FA4E09" w:rsidP="00DD34B4" w14:paraId="56B0DD50" w14:textId="3EEB55C4">
            <w:pPr>
              <w:spacing w:after="0"/>
              <w:rPr>
                <w:rFonts w:ascii="Calibri" w:hAnsi="Calibri" w:cs="Calibri"/>
                <w:sz w:val="20"/>
              </w:rPr>
            </w:pPr>
            <w:r w:rsidRPr="00FA4E09">
              <w:rPr>
                <w:rFonts w:ascii="Calibri" w:hAnsi="Calibri" w:cs="Calibri"/>
                <w:sz w:val="20"/>
              </w:rPr>
              <w:t xml:space="preserve">The EPA begins sending notification to facilities participating in Phase </w:t>
            </w:r>
            <w:r w:rsidRPr="00FA4E09" w:rsidR="00C17F90">
              <w:rPr>
                <w:rFonts w:ascii="Calibri" w:hAnsi="Calibri" w:cs="Calibri"/>
                <w:sz w:val="20"/>
              </w:rPr>
              <w:t>II</w:t>
            </w:r>
            <w:r w:rsidRPr="00FA4E09">
              <w:rPr>
                <w:rFonts w:ascii="Calibri" w:hAnsi="Calibri" w:cs="Calibri"/>
                <w:sz w:val="20"/>
              </w:rPr>
              <w:t xml:space="preserve"> of the sampling program</w:t>
            </w:r>
          </w:p>
        </w:tc>
        <w:tc>
          <w:tcPr>
            <w:tcW w:w="1830" w:type="pct"/>
            <w:vAlign w:val="center"/>
          </w:tcPr>
          <w:p w:rsidR="00F84108" w:rsidRPr="00FA4E09" w:rsidP="00DD34B4" w14:paraId="5A272D16" w14:textId="33468208">
            <w:pPr>
              <w:spacing w:after="0"/>
              <w:rPr>
                <w:rFonts w:ascii="Calibri" w:hAnsi="Calibri" w:cs="Calibri"/>
                <w:sz w:val="20"/>
                <w:szCs w:val="20"/>
              </w:rPr>
            </w:pPr>
            <w:r w:rsidRPr="00FA4E09">
              <w:rPr>
                <w:rFonts w:ascii="Calibri" w:hAnsi="Calibri" w:cs="Calibri"/>
                <w:sz w:val="20"/>
                <w:szCs w:val="20"/>
              </w:rPr>
              <w:t xml:space="preserve">Within 120 </w:t>
            </w:r>
            <w:r w:rsidRPr="00FA4E09" w:rsidR="00BC30A4">
              <w:rPr>
                <w:rFonts w:ascii="Calibri" w:hAnsi="Calibri" w:cs="Calibri"/>
                <w:sz w:val="20"/>
                <w:szCs w:val="20"/>
              </w:rPr>
              <w:t xml:space="preserve">calendar </w:t>
            </w:r>
            <w:r w:rsidRPr="00FA4E09">
              <w:rPr>
                <w:rFonts w:ascii="Calibri" w:hAnsi="Calibri" w:cs="Calibri"/>
                <w:sz w:val="20"/>
                <w:szCs w:val="20"/>
              </w:rPr>
              <w:t>days following Phase I</w:t>
            </w:r>
          </w:p>
        </w:tc>
      </w:tr>
      <w:tr w14:paraId="57460B37" w14:textId="77777777">
        <w:tblPrEx>
          <w:tblW w:w="5000" w:type="pct"/>
          <w:jc w:val="center"/>
          <w:tblCellMar>
            <w:top w:w="29" w:type="dxa"/>
            <w:left w:w="58" w:type="dxa"/>
            <w:bottom w:w="29" w:type="dxa"/>
            <w:right w:w="58" w:type="dxa"/>
          </w:tblCellMar>
          <w:tblLook w:val="01E0"/>
        </w:tblPrEx>
        <w:trPr>
          <w:jc w:val="center"/>
        </w:trPr>
        <w:tc>
          <w:tcPr>
            <w:tcW w:w="3170" w:type="pct"/>
          </w:tcPr>
          <w:p w:rsidR="00211C7D" w:rsidRPr="00FA4E09" w:rsidP="00211C7D" w14:paraId="6055592A" w14:textId="3FA6E382">
            <w:pPr>
              <w:spacing w:after="0"/>
              <w:rPr>
                <w:rFonts w:ascii="Calibri" w:hAnsi="Calibri" w:cs="Calibri"/>
                <w:sz w:val="20"/>
              </w:rPr>
            </w:pPr>
            <w:r w:rsidRPr="00FA4E09">
              <w:rPr>
                <w:rFonts w:ascii="Calibri" w:hAnsi="Calibri" w:cs="Calibri"/>
                <w:sz w:val="20"/>
              </w:rPr>
              <w:t>Facilities collect and send the required sewage sludge samples to the contracted laboratory for analysis</w:t>
            </w:r>
            <w:r w:rsidR="008B10F0">
              <w:rPr>
                <w:rFonts w:ascii="Calibri" w:hAnsi="Calibri" w:cs="Calibri"/>
                <w:sz w:val="20"/>
              </w:rPr>
              <w:t xml:space="preserve"> and to long-term storage</w:t>
            </w:r>
          </w:p>
        </w:tc>
        <w:tc>
          <w:tcPr>
            <w:tcW w:w="1830" w:type="pct"/>
            <w:vAlign w:val="center"/>
          </w:tcPr>
          <w:p w:rsidR="00211C7D" w:rsidRPr="00FA4E09" w:rsidP="00211C7D" w14:paraId="454A87BC" w14:textId="6D9F0FB6">
            <w:pPr>
              <w:spacing w:after="0"/>
              <w:rPr>
                <w:rFonts w:ascii="Calibri" w:hAnsi="Calibri" w:cs="Calibri"/>
                <w:sz w:val="20"/>
                <w:szCs w:val="20"/>
              </w:rPr>
            </w:pPr>
            <w:r w:rsidRPr="00FA4E09">
              <w:rPr>
                <w:rFonts w:ascii="Calibri" w:hAnsi="Calibri" w:cs="Calibri"/>
                <w:sz w:val="20"/>
                <w:szCs w:val="20"/>
              </w:rPr>
              <w:t xml:space="preserve">Within 30 </w:t>
            </w:r>
            <w:r w:rsidRPr="00FA4E09" w:rsidR="00BC30A4">
              <w:rPr>
                <w:rFonts w:ascii="Calibri" w:hAnsi="Calibri" w:cs="Calibri"/>
                <w:sz w:val="20"/>
                <w:szCs w:val="20"/>
              </w:rPr>
              <w:t xml:space="preserve">calendar </w:t>
            </w:r>
            <w:r w:rsidRPr="00FA4E09">
              <w:rPr>
                <w:rFonts w:ascii="Calibri" w:hAnsi="Calibri" w:cs="Calibri"/>
                <w:sz w:val="20"/>
                <w:szCs w:val="20"/>
              </w:rPr>
              <w:t>days following notification</w:t>
            </w:r>
          </w:p>
        </w:tc>
      </w:tr>
      <w:tr w14:paraId="3D0E0427" w14:textId="77777777" w:rsidTr="009801B6">
        <w:tblPrEx>
          <w:tblW w:w="5000" w:type="pct"/>
          <w:jc w:val="center"/>
          <w:tblCellMar>
            <w:top w:w="29" w:type="dxa"/>
            <w:left w:w="58" w:type="dxa"/>
            <w:bottom w:w="29" w:type="dxa"/>
            <w:right w:w="58" w:type="dxa"/>
          </w:tblCellMar>
          <w:tblLook w:val="01E0"/>
        </w:tblPrEx>
        <w:trPr>
          <w:jc w:val="center"/>
        </w:trPr>
        <w:tc>
          <w:tcPr>
            <w:tcW w:w="3170" w:type="pct"/>
          </w:tcPr>
          <w:p w:rsidR="00C1150F" w:rsidRPr="00FA4E09" w:rsidP="009801B6" w14:paraId="74B95037" w14:textId="7B8EE165">
            <w:pPr>
              <w:spacing w:after="0"/>
              <w:rPr>
                <w:rFonts w:ascii="Calibri" w:hAnsi="Calibri" w:cs="Calibri"/>
                <w:sz w:val="20"/>
              </w:rPr>
            </w:pPr>
            <w:r w:rsidRPr="00FA4E09">
              <w:rPr>
                <w:rFonts w:ascii="Calibri" w:hAnsi="Calibri" w:cs="Calibri"/>
                <w:sz w:val="20"/>
              </w:rPr>
              <w:t>Facilities notify the EPA of the date of sample collection, the name of the analytical laboratory conducting analysis, and the date that samples are received by the analytical laboratory</w:t>
            </w:r>
          </w:p>
        </w:tc>
        <w:tc>
          <w:tcPr>
            <w:tcW w:w="1830" w:type="pct"/>
            <w:vAlign w:val="center"/>
          </w:tcPr>
          <w:p w:rsidR="00C1150F" w:rsidRPr="00FA4E09" w:rsidP="00C1150F" w14:paraId="04474425" w14:textId="422A2689">
            <w:pPr>
              <w:spacing w:after="0"/>
              <w:rPr>
                <w:rFonts w:ascii="Calibri" w:hAnsi="Calibri" w:cs="Calibri"/>
                <w:sz w:val="20"/>
                <w:szCs w:val="20"/>
              </w:rPr>
            </w:pPr>
            <w:r w:rsidRPr="00FA4E09">
              <w:rPr>
                <w:rFonts w:ascii="Calibri" w:hAnsi="Calibri" w:cs="Calibri"/>
                <w:sz w:val="20"/>
                <w:szCs w:val="20"/>
              </w:rPr>
              <w:t xml:space="preserve">Within 30 </w:t>
            </w:r>
            <w:r w:rsidRPr="00FA4E09" w:rsidR="00BC30A4">
              <w:rPr>
                <w:rFonts w:ascii="Calibri" w:hAnsi="Calibri" w:cs="Calibri"/>
                <w:sz w:val="20"/>
                <w:szCs w:val="20"/>
              </w:rPr>
              <w:t xml:space="preserve">calendar </w:t>
            </w:r>
            <w:r w:rsidRPr="00FA4E09">
              <w:rPr>
                <w:rFonts w:ascii="Calibri" w:hAnsi="Calibri" w:cs="Calibri"/>
                <w:sz w:val="20"/>
                <w:szCs w:val="20"/>
              </w:rPr>
              <w:t>days following notification</w:t>
            </w:r>
          </w:p>
        </w:tc>
      </w:tr>
      <w:tr w14:paraId="1F0F5C3C" w14:textId="77777777">
        <w:tblPrEx>
          <w:tblW w:w="5000" w:type="pct"/>
          <w:jc w:val="center"/>
          <w:tblCellMar>
            <w:top w:w="29" w:type="dxa"/>
            <w:left w:w="58" w:type="dxa"/>
            <w:bottom w:w="29" w:type="dxa"/>
            <w:right w:w="58" w:type="dxa"/>
          </w:tblCellMar>
          <w:tblLook w:val="01E0"/>
        </w:tblPrEx>
        <w:trPr>
          <w:jc w:val="center"/>
        </w:trPr>
        <w:tc>
          <w:tcPr>
            <w:tcW w:w="3170" w:type="pct"/>
          </w:tcPr>
          <w:p w:rsidR="00F84108" w:rsidRPr="00FA4E09" w:rsidP="00DD34B4" w14:paraId="21DBF101" w14:textId="1F9AA3B2">
            <w:pPr>
              <w:spacing w:after="0"/>
              <w:rPr>
                <w:rFonts w:ascii="Calibri" w:hAnsi="Calibri" w:cs="Calibri"/>
                <w:sz w:val="20"/>
              </w:rPr>
            </w:pPr>
            <w:r w:rsidRPr="00FA4E09">
              <w:rPr>
                <w:rFonts w:ascii="Calibri" w:hAnsi="Calibri" w:cs="Calibri"/>
                <w:sz w:val="20"/>
              </w:rPr>
              <w:t xml:space="preserve">Deadline for submission of compiled sewage </w:t>
            </w:r>
            <w:r w:rsidRPr="00FA4E09" w:rsidR="000077A0">
              <w:rPr>
                <w:rFonts w:ascii="Calibri" w:hAnsi="Calibri" w:cs="Calibri"/>
                <w:sz w:val="20"/>
              </w:rPr>
              <w:t>sludge</w:t>
            </w:r>
            <w:r w:rsidRPr="00FA4E09">
              <w:rPr>
                <w:rFonts w:ascii="Calibri" w:hAnsi="Calibri" w:cs="Calibri"/>
                <w:sz w:val="20"/>
              </w:rPr>
              <w:t xml:space="preserve"> sampling results</w:t>
            </w:r>
            <w:r w:rsidRPr="00DC4A60">
              <w:rPr>
                <w:rFonts w:ascii="Calibri" w:hAnsi="Calibri" w:cs="Calibri"/>
                <w:sz w:val="20"/>
                <w:vertAlign w:val="superscript"/>
              </w:rPr>
              <w:t xml:space="preserve"> </w:t>
            </w:r>
            <w:r w:rsidRPr="00DC4A60" w:rsidR="009D6A21">
              <w:rPr>
                <w:rFonts w:ascii="Calibri" w:hAnsi="Calibri" w:cs="Calibri"/>
                <w:sz w:val="20"/>
                <w:vertAlign w:val="superscript"/>
              </w:rPr>
              <w:t>a</w:t>
            </w:r>
          </w:p>
        </w:tc>
        <w:tc>
          <w:tcPr>
            <w:tcW w:w="1830" w:type="pct"/>
            <w:vAlign w:val="center"/>
          </w:tcPr>
          <w:p w:rsidR="00F84108" w:rsidRPr="00FA4E09" w:rsidP="00DD34B4" w14:paraId="0DB976CD" w14:textId="684F24F1">
            <w:pPr>
              <w:spacing w:after="0"/>
              <w:rPr>
                <w:rFonts w:ascii="Calibri" w:hAnsi="Calibri" w:cs="Calibri"/>
                <w:sz w:val="20"/>
                <w:szCs w:val="20"/>
              </w:rPr>
            </w:pPr>
            <w:r w:rsidRPr="00FA4E09">
              <w:rPr>
                <w:rFonts w:ascii="Calibri" w:hAnsi="Calibri" w:cs="Calibri"/>
                <w:sz w:val="20"/>
                <w:szCs w:val="20"/>
              </w:rPr>
              <w:t xml:space="preserve">Within 120 </w:t>
            </w:r>
            <w:r w:rsidRPr="00FA4E09" w:rsidR="00BC30A4">
              <w:rPr>
                <w:rFonts w:ascii="Calibri" w:hAnsi="Calibri" w:cs="Calibri"/>
                <w:sz w:val="20"/>
                <w:szCs w:val="20"/>
              </w:rPr>
              <w:t xml:space="preserve">calendar </w:t>
            </w:r>
            <w:r w:rsidRPr="00FA4E09">
              <w:rPr>
                <w:rFonts w:ascii="Calibri" w:hAnsi="Calibri" w:cs="Calibri"/>
                <w:sz w:val="20"/>
                <w:szCs w:val="20"/>
              </w:rPr>
              <w:t>days following notification</w:t>
            </w:r>
          </w:p>
        </w:tc>
      </w:tr>
    </w:tbl>
    <w:p w:rsidR="00DB39E4" w:rsidRPr="00DC4A60" w:rsidP="00DC4A60" w14:paraId="75B0DB3A" w14:textId="69E48FCA">
      <w:pPr>
        <w:rPr>
          <w:rFonts w:ascii="Calibri" w:hAnsi="Calibri" w:cs="Calibri"/>
          <w:sz w:val="20"/>
          <w:szCs w:val="20"/>
        </w:rPr>
      </w:pPr>
      <w:r w:rsidRPr="00DC4A60">
        <w:rPr>
          <w:rFonts w:ascii="Calibri" w:hAnsi="Calibri" w:cs="Calibri"/>
          <w:sz w:val="20"/>
          <w:szCs w:val="20"/>
        </w:rPr>
        <w:t>a</w:t>
      </w:r>
      <w:r w:rsidRPr="00DC4A60">
        <w:rPr>
          <w:rFonts w:ascii="Calibri" w:hAnsi="Calibri" w:cs="Calibri"/>
          <w:sz w:val="20"/>
          <w:szCs w:val="20"/>
        </w:rPr>
        <w:t xml:space="preserve"> – </w:t>
      </w:r>
      <w:r w:rsidRPr="00DC4A60">
        <w:rPr>
          <w:rFonts w:ascii="Calibri" w:hAnsi="Calibri" w:cs="Calibri"/>
          <w:sz w:val="20"/>
          <w:szCs w:val="20"/>
        </w:rPr>
        <w:t xml:space="preserve">POTWs are required to immediately notify the EPA in writing if there are any delays in sample collection or analysis (e.g., laboratory analysis wait times exceed 90 </w:t>
      </w:r>
      <w:r w:rsidRPr="00FA4E09" w:rsidR="00BC30A4">
        <w:rPr>
          <w:rFonts w:ascii="Calibri" w:hAnsi="Calibri" w:cs="Calibri"/>
          <w:sz w:val="20"/>
          <w:szCs w:val="20"/>
        </w:rPr>
        <w:t xml:space="preserve">calendar </w:t>
      </w:r>
      <w:r w:rsidRPr="00DC4A60">
        <w:rPr>
          <w:rFonts w:ascii="Calibri" w:hAnsi="Calibri" w:cs="Calibri"/>
          <w:sz w:val="20"/>
          <w:szCs w:val="20"/>
        </w:rPr>
        <w:t>days). The EPA understands that these types of delays may occur and will work with individual POTWs on a case-by-case basis.</w:t>
      </w:r>
    </w:p>
    <w:p w:rsidR="00F84108" w:rsidRPr="00FA4E09" w:rsidP="00DD34B4" w14:paraId="5F9ED0CC" w14:textId="1EB32510">
      <w:pPr>
        <w:spacing w:before="240"/>
        <w:rPr>
          <w:rFonts w:ascii="Calibri" w:hAnsi="Calibri" w:cs="Calibri"/>
        </w:rPr>
      </w:pPr>
      <w:r w:rsidRPr="00FA4E09">
        <w:rPr>
          <w:rFonts w:ascii="Calibri" w:hAnsi="Calibri" w:cs="Calibri"/>
        </w:rPr>
        <w:t xml:space="preserve">The EPA intends to prepare publicly available summaries of information and data collected via the questionnaire and sampling program. </w:t>
      </w:r>
    </w:p>
    <w:p w:rsidR="00F84108" w:rsidRPr="00FA4E09" w:rsidP="00F84108" w14:paraId="0A759B11" w14:textId="4C05B2C8">
      <w:pPr>
        <w:rPr>
          <w:rFonts w:ascii="Calibri" w:hAnsi="Calibri" w:cs="Calibri"/>
        </w:rPr>
      </w:pPr>
      <w:r w:rsidRPr="00FA4E09">
        <w:rPr>
          <w:rFonts w:ascii="Calibri" w:hAnsi="Calibri" w:cs="Calibri"/>
        </w:rPr>
        <w:t xml:space="preserve">All responses containing or consisting of information claimed as CBI will be so identified in the questionnaire and sampling database. The EPA regulations governing CBI appear at 40 CFR Part 2 Subpart B. Information that has not been claimed as CBI may be shared with any interested parties. Nonexempt information is not protected from disclosure under the Freedom of Information Act (FOIA). Results of the EPA's analyses become publicly available most often in three ways: (1) within materials placed in the public docket supporting the study, (2) within development and supporting documents otherwise published in support of the study, and (3) within any subsequent proposed and final rules published in the </w:t>
      </w:r>
      <w:r w:rsidRPr="00FA4E09">
        <w:rPr>
          <w:rFonts w:ascii="Calibri" w:hAnsi="Calibri" w:cs="Calibri"/>
          <w:i/>
        </w:rPr>
        <w:t>Federal Register</w:t>
      </w:r>
      <w:r w:rsidRPr="00FA4E09">
        <w:rPr>
          <w:rFonts w:ascii="Calibri" w:hAnsi="Calibri" w:cs="Calibri"/>
        </w:rPr>
        <w:t xml:space="preserve"> if the data are to be used in any subsequent rulemaking effort. These documents are available through the EPA’s website and on </w:t>
      </w:r>
      <w:hyperlink r:id="rId27" w:history="1">
        <w:r w:rsidRPr="00FA4E09">
          <w:rPr>
            <w:rStyle w:val="Hyperlink"/>
            <w:rFonts w:ascii="Calibri" w:hAnsi="Calibri" w:cs="Calibri"/>
          </w:rPr>
          <w:t>www.regulations.gov</w:t>
        </w:r>
      </w:hyperlink>
      <w:r w:rsidRPr="00FA4E09">
        <w:rPr>
          <w:rFonts w:ascii="Calibri" w:hAnsi="Calibri" w:cs="Calibri"/>
        </w:rPr>
        <w:t xml:space="preserve">. </w:t>
      </w:r>
    </w:p>
    <w:bookmarkEnd w:id="67"/>
    <w:p w:rsidR="00C80240" w:rsidRPr="00163C69" w:rsidP="00C80240" w14:paraId="3669C030" w14:textId="77777777">
      <w:pPr>
        <w:pStyle w:val="ListParagraph"/>
        <w:numPr>
          <w:ilvl w:val="0"/>
          <w:numId w:val="27"/>
        </w:numPr>
        <w:spacing w:before="240" w:after="0"/>
        <w:rPr>
          <w:b/>
          <w:bCs/>
        </w:rPr>
      </w:pPr>
      <w:r w:rsidRPr="4BDBF0A0">
        <w:rPr>
          <w:b/>
          <w:bCs/>
        </w:rPr>
        <w:t xml:space="preserve">DISPLAY OF EXPIRATION DATE </w:t>
      </w:r>
    </w:p>
    <w:p w:rsidR="00C80240" w:rsidRPr="00F532D6" w:rsidP="00C80240" w14:paraId="11FEC85C"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FA4E09" w:rsidP="00854AAE" w14:paraId="38543EA2" w14:textId="3E522652">
      <w:pPr>
        <w:pBdr>
          <w:top w:val="single" w:sz="6" w:space="0" w:color="FFFFFF"/>
          <w:left w:val="single" w:sz="6" w:space="0" w:color="FFFFFF"/>
          <w:bottom w:val="single" w:sz="6" w:space="0" w:color="FFFFFF"/>
          <w:right w:val="single" w:sz="6" w:space="0" w:color="FFFFFF"/>
        </w:pBdr>
        <w:rPr>
          <w:rFonts w:ascii="Calibri" w:hAnsi="Calibri" w:cs="Calibri"/>
        </w:rPr>
      </w:pPr>
      <w:r w:rsidRPr="00FA4E09">
        <w:rPr>
          <w:rFonts w:ascii="Calibri" w:hAnsi="Calibri" w:cs="Calibri"/>
        </w:rPr>
        <w:t>The EPA plans to display the expiration date for OMB approval of the information collection on all instruments.</w:t>
      </w:r>
    </w:p>
    <w:p w:rsidR="00FC37AB" w:rsidRPr="00163C69" w:rsidP="00FC37AB" w14:paraId="37CE7BB3" w14:textId="77777777">
      <w:pPr>
        <w:pStyle w:val="ListParagraph"/>
        <w:numPr>
          <w:ilvl w:val="0"/>
          <w:numId w:val="27"/>
        </w:numPr>
        <w:spacing w:before="240" w:after="0"/>
        <w:rPr>
          <w:rFonts w:cstheme="minorHAnsi"/>
          <w:b/>
          <w:bCs/>
        </w:rPr>
      </w:pPr>
      <w:bookmarkStart w:id="71" w:name="_Toc156593391"/>
      <w:r w:rsidRPr="00163C69">
        <w:rPr>
          <w:rFonts w:cstheme="minorHAnsi"/>
          <w:b/>
          <w:bCs/>
        </w:rPr>
        <w:t>CERTIFICATION STATEMENT</w:t>
      </w:r>
      <w:bookmarkEnd w:id="71"/>
    </w:p>
    <w:p w:rsidR="00FC37AB" w:rsidRPr="001F0834" w:rsidP="00FC37AB" w14:paraId="076C5C52"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F84108" w:rsidRPr="00FA4E09" w:rsidP="00F84108" w14:paraId="48A9F87E" w14:textId="2E2771E6">
      <w:pPr>
        <w:rPr>
          <w:rFonts w:ascii="Calibri" w:hAnsi="Calibri" w:cs="Calibri"/>
        </w:rPr>
      </w:pPr>
      <w:r w:rsidRPr="00FA4E09">
        <w:rPr>
          <w:rFonts w:ascii="Calibri" w:hAnsi="Calibri" w:cs="Calibri"/>
        </w:rPr>
        <w:t>The EPA can comply with all provisions of the Certification for Paperwork Reduction Act Submissions.</w:t>
      </w:r>
    </w:p>
    <w:p w:rsidR="00F84108" w:rsidRPr="00FA4E09" w:rsidP="00F84108" w14:paraId="3BAED363" w14:textId="77777777">
      <w:pPr>
        <w:rPr>
          <w:rFonts w:ascii="Calibri" w:hAnsi="Calibri" w:cs="Calibri"/>
        </w:rPr>
      </w:pPr>
      <w:r w:rsidRPr="00FA4E09">
        <w:rPr>
          <w:rFonts w:ascii="Calibri" w:hAnsi="Calibri" w:cs="Calibri"/>
        </w:rPr>
        <w:t xml:space="preserve">Burden means the total time, effort, and financial resources expended by persons to generate, maintain, retain, and disclose or provide information to or for a federal agency. This includes the time needed to review instructions; develop, acquire, install, and utilize technology and systems to collect, validate, and verify information; adjust the existing ways to comply with any previously applicable instructions and requirements; train personnel to respond to a collection of information; search data sources; complete and review the collection of information; and transmit or otherwise disclose information. An agency may not conduct or sponsor, and a person is not required to respond to, a collection of information unless it displays a currently valid OMB control number. The OMB control number for the EPA’s regulations are listed in 40 CFR Part 9 and 48 CFR Part 15. </w:t>
      </w:r>
    </w:p>
    <w:p w:rsidR="00BB3410" w:rsidRPr="00FA4E09" w:rsidP="00BB3410" w14:paraId="662241F3" w14:textId="1A4E854C">
      <w:pPr>
        <w:rPr>
          <w:rFonts w:ascii="Calibri" w:hAnsi="Calibri" w:cs="Calibri"/>
        </w:rPr>
      </w:pPr>
      <w:r w:rsidRPr="00FA4E09">
        <w:rPr>
          <w:rFonts w:ascii="Calibri" w:hAnsi="Calibri" w:cs="Calibri"/>
        </w:rPr>
        <w:t xml:space="preserve">To comment on the Agency’s need for this information, the accuracy of the provided burden estimates, or any suggested methods for minimizing respondent burden, including the use of automated collection techniques, the EPA has established a public docket for this ICR under Docket ID No. EPA-HQ-OW-2023-0580, which is available for public viewing at the Water Docket in the EPA Docket Center (EPA/DC), EPA West, Room 3334, 1301 Constitution Ave., NW, Washington, DC. An electronic version of the public docket is available through the Federal Data Management System (FDMS) at </w:t>
      </w:r>
      <w:hyperlink r:id="rId27" w:history="1">
        <w:r w:rsidRPr="00FA4E09">
          <w:rPr>
            <w:rStyle w:val="Hyperlink"/>
            <w:rFonts w:ascii="Calibri" w:hAnsi="Calibri" w:cs="Calibri"/>
            <w:color w:val="0070C0"/>
          </w:rPr>
          <w:t>http://www.regulations.gov</w:t>
        </w:r>
      </w:hyperlink>
      <w:r w:rsidRPr="00FA4E09">
        <w:rPr>
          <w:rFonts w:ascii="Calibri" w:hAnsi="Calibri" w:cs="Calibri"/>
        </w:rPr>
        <w:t>. Use the FDMS to view and submit public comments, access the index listing of the contents of the public docket, and to access those documents in the public docket that are available electronically. Once in the system, select “Advanced Search” then key in the Docket ID number identified above. Also, you can send comments to the Office of Information and Regulatory Affairs, Office of Management and Budget, 725 17</w:t>
      </w:r>
      <w:r w:rsidRPr="00FA4E09">
        <w:rPr>
          <w:rFonts w:ascii="Calibri" w:hAnsi="Calibri" w:cs="Calibri"/>
          <w:vertAlign w:val="superscript"/>
        </w:rPr>
        <w:t>th</w:t>
      </w:r>
      <w:r w:rsidRPr="00FA4E09">
        <w:rPr>
          <w:rFonts w:ascii="Calibri" w:hAnsi="Calibri" w:cs="Calibri"/>
        </w:rPr>
        <w:t xml:space="preserve"> Street, NW, Washington, DC. 20503, Attention: Desk Officer for the EPA. Please include the EPA Docket ID No. (EPA-HQ-OW-2023-0580) in any correspondenc</w:t>
      </w:r>
      <w:r w:rsidRPr="00FA4E09" w:rsidR="00194C2B">
        <w:rPr>
          <w:rFonts w:ascii="Calibri" w:hAnsi="Calibri" w:cs="Calibri"/>
        </w:rPr>
        <w:t>e</w:t>
      </w:r>
    </w:p>
    <w:p w:rsidR="00194C2B" w:rsidRPr="00FA4E09" w:rsidP="00BB3410" w14:paraId="47050128" w14:textId="77777777">
      <w:pPr>
        <w:rPr>
          <w:rFonts w:ascii="Calibri" w:hAnsi="Calibri" w:cs="Calibri"/>
        </w:rPr>
      </w:pPr>
    </w:p>
    <w:sectPr w:rsidSect="007D5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53EEC" w:rsidP="002335AB" w14:paraId="2531A65A" w14:textId="77777777">
      <w:pPr>
        <w:spacing w:after="0" w:line="240" w:lineRule="auto"/>
      </w:pPr>
      <w:r>
        <w:separator/>
      </w:r>
    </w:p>
  </w:footnote>
  <w:footnote w:type="continuationSeparator" w:id="1">
    <w:p w:rsidR="00C53EEC" w:rsidP="002335AB" w14:paraId="0CBBCA19" w14:textId="77777777">
      <w:pPr>
        <w:spacing w:after="0" w:line="240" w:lineRule="auto"/>
      </w:pPr>
      <w:r>
        <w:continuationSeparator/>
      </w:r>
    </w:p>
  </w:footnote>
  <w:footnote w:type="continuationNotice" w:id="2">
    <w:p w:rsidR="00C53EEC" w14:paraId="3CBD6B0D" w14:textId="77777777">
      <w:pPr>
        <w:spacing w:after="0" w:line="240" w:lineRule="auto"/>
      </w:pPr>
    </w:p>
  </w:footnote>
  <w:footnote w:id="3">
    <w:p w:rsidR="00410F98" w:rsidRPr="00831260" w:rsidP="00410F98" w14:paraId="57572D13" w14:textId="04D0294A">
      <w:pPr>
        <w:pStyle w:val="FootnoteText"/>
        <w:rPr>
          <w:rFonts w:ascii="Calibri" w:hAnsi="Calibri" w:cs="Calibri"/>
        </w:rPr>
      </w:pPr>
      <w:r w:rsidRPr="00831260">
        <w:rPr>
          <w:rStyle w:val="FootnoteReference"/>
          <w:rFonts w:ascii="Calibri" w:hAnsi="Calibri" w:cs="Calibri"/>
        </w:rPr>
        <w:footnoteRef/>
      </w:r>
      <w:r w:rsidRPr="00831260">
        <w:rPr>
          <w:rFonts w:ascii="Calibri" w:hAnsi="Calibri" w:cs="Calibri"/>
        </w:rPr>
        <w:t xml:space="preserve"> To simplify and provide clarity throughout this supporting statement, the population of interest includes </w:t>
      </w:r>
      <w:r w:rsidRPr="00223C4C">
        <w:rPr>
          <w:rFonts w:ascii="Calibri" w:hAnsi="Calibri" w:cs="Calibri"/>
        </w:rPr>
        <w:t>wastewater treatment plants which store, treat, recycle, or reclaim municipal sewage or liquid industrial wastes and are owned or operated by a state, local government, municipality, or Tribal group. The population of interest does not include federally-owned or privately-owned facilities, and does not include dedicated flow control entities such as Combined Sewer Overflows (CSOs) and Sanitary Sewer Overflows (SSOs).</w:t>
      </w:r>
    </w:p>
  </w:footnote>
  <w:footnote w:id="4">
    <w:p w:rsidR="00831260" w:rsidRPr="00831260" w14:paraId="4962EAC3" w14:textId="05152508">
      <w:pPr>
        <w:pStyle w:val="FootnoteText"/>
        <w:rPr>
          <w:rFonts w:ascii="Calibri" w:hAnsi="Calibri" w:cs="Calibri"/>
        </w:rPr>
      </w:pPr>
      <w:r w:rsidRPr="00831260">
        <w:rPr>
          <w:rStyle w:val="FootnoteReference"/>
          <w:rFonts w:ascii="Calibri" w:hAnsi="Calibri" w:cs="Calibri"/>
        </w:rPr>
        <w:footnoteRef/>
      </w:r>
      <w:r w:rsidRPr="00831260">
        <w:rPr>
          <w:rFonts w:ascii="Calibri" w:hAnsi="Calibri" w:cs="Calibri"/>
        </w:rPr>
        <w:t xml:space="preserve"> Only SIUs are </w:t>
      </w:r>
      <w:r w:rsidRPr="002275C4">
        <w:rPr>
          <w:rFonts w:ascii="Calibri" w:hAnsi="Calibri" w:cs="Calibri"/>
          <w:u w:val="single"/>
        </w:rPr>
        <w:t>required</w:t>
      </w:r>
      <w:r w:rsidRPr="00831260">
        <w:rPr>
          <w:rFonts w:ascii="Calibri" w:hAnsi="Calibri" w:cs="Calibri"/>
        </w:rPr>
        <w:t xml:space="preserve"> to be reported</w:t>
      </w:r>
      <w:r w:rsidR="002275C4">
        <w:rPr>
          <w:rFonts w:ascii="Calibri" w:hAnsi="Calibri" w:cs="Calibri"/>
        </w:rPr>
        <w:t>. N</w:t>
      </w:r>
      <w:r w:rsidRPr="00831260">
        <w:rPr>
          <w:rFonts w:ascii="Calibri" w:hAnsi="Calibri" w:cs="Calibri"/>
        </w:rPr>
        <w:t xml:space="preserve">on-SIU facilities may be reported as known or suspected sources of PFAS to the POTW </w:t>
      </w:r>
      <w:r w:rsidRPr="002275C4">
        <w:rPr>
          <w:rFonts w:ascii="Calibri" w:hAnsi="Calibri" w:cs="Calibri"/>
          <w:u w:val="single"/>
        </w:rPr>
        <w:t>if the information requested is readily available or the respondent has reasonable cause</w:t>
      </w:r>
      <w:r w:rsidRPr="00831260">
        <w:rPr>
          <w:rFonts w:ascii="Calibri" w:hAnsi="Calibri" w:cs="Calibri"/>
        </w:rPr>
        <w:t xml:space="preserve">. However, submission of information on known or suspected sources of PFAS to the </w:t>
      </w:r>
      <w:r w:rsidR="002275C4">
        <w:rPr>
          <w:rFonts w:ascii="Calibri" w:hAnsi="Calibri" w:cs="Calibri"/>
        </w:rPr>
        <w:t>POTW</w:t>
      </w:r>
      <w:r w:rsidRPr="00831260">
        <w:rPr>
          <w:rFonts w:ascii="Calibri" w:hAnsi="Calibri" w:cs="Calibri"/>
        </w:rPr>
        <w:t xml:space="preserve"> is </w:t>
      </w:r>
      <w:r w:rsidRPr="002275C4">
        <w:rPr>
          <w:rFonts w:ascii="Calibri" w:hAnsi="Calibri" w:cs="Calibri"/>
          <w:u w:val="single"/>
        </w:rPr>
        <w:t>not required and is provided at the discretion of the respondent</w:t>
      </w:r>
      <w:r w:rsidRPr="00831260">
        <w:rPr>
          <w:rFonts w:ascii="Calibri" w:hAnsi="Calibri" w:cs="Calibri"/>
        </w:rPr>
        <w:t xml:space="preserve">. The respondent is not required to generate or collect new data to complete this question. If there is uncertainty or inadequate available data to identify a discharger as a known or suspected PFAS source, </w:t>
      </w:r>
      <w:r w:rsidR="00FB5966">
        <w:rPr>
          <w:rFonts w:ascii="Calibri" w:hAnsi="Calibri" w:cs="Calibri"/>
        </w:rPr>
        <w:t xml:space="preserve">the respondent will </w:t>
      </w:r>
      <w:r w:rsidRPr="00831260">
        <w:rPr>
          <w:rFonts w:ascii="Calibri" w:hAnsi="Calibri" w:cs="Calibri"/>
        </w:rPr>
        <w:t>select “Unknown</w:t>
      </w:r>
      <w:r w:rsidRPr="00831260" w:rsidR="00834812">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B22CA2"/>
    <w:multiLevelType w:val="hybridMultilevel"/>
    <w:tmpl w:val="D83C29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47954"/>
    <w:multiLevelType w:val="hybridMultilevel"/>
    <w:tmpl w:val="9DCC04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8E24B6"/>
    <w:multiLevelType w:val="hybridMultilevel"/>
    <w:tmpl w:val="3398B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8B0D01"/>
    <w:multiLevelType w:val="hybridMultilevel"/>
    <w:tmpl w:val="0DCA5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39152AC"/>
    <w:multiLevelType w:val="hybridMultilevel"/>
    <w:tmpl w:val="8B583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BFA0529"/>
    <w:multiLevelType w:val="hybridMultilevel"/>
    <w:tmpl w:val="4A7014BC"/>
    <w:lvl w:ilvl="0">
      <w:start w:val="1"/>
      <w:numFmt w:val="decimal"/>
      <w:pStyle w:val="Heading1"/>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CB44AE6"/>
    <w:multiLevelType w:val="hybridMultilevel"/>
    <w:tmpl w:val="64E408C6"/>
    <w:lvl w:ilvl="0">
      <w:start w:val="1"/>
      <w:numFmt w:val="bullet"/>
      <w:pStyle w:val="ListBullet"/>
      <w:lvlText w:val=""/>
      <w:lvlJc w:val="left"/>
      <w:pPr>
        <w:tabs>
          <w:tab w:val="num" w:pos="720"/>
        </w:tabs>
        <w:ind w:left="1440" w:hanging="720"/>
      </w:pPr>
      <w:rPr>
        <w:rFonts w:ascii="Symbol" w:hAnsi="Symbol" w:cs="Times New Roman" w:hint="default"/>
        <w:sz w:val="22"/>
        <w:szCs w:val="24"/>
      </w:rPr>
    </w:lvl>
    <w:lvl w:ilvl="1">
      <w:start w:val="1"/>
      <w:numFmt w:val="decimal"/>
      <w:lvlText w:val="%2."/>
      <w:lvlJc w:val="left"/>
      <w:pPr>
        <w:tabs>
          <w:tab w:val="num" w:pos="1440"/>
        </w:tabs>
        <w:ind w:left="1440" w:hanging="360"/>
      </w:pPr>
      <w:rPr>
        <w:rFonts w:hint="default"/>
      </w:rPr>
    </w:lvl>
    <w:lvl w:ilvl="2">
      <w:start w:val="0"/>
      <w:numFmt w:val="bullet"/>
      <w:lvlText w:val="•"/>
      <w:lvlJc w:val="left"/>
      <w:pPr>
        <w:ind w:left="2180" w:hanging="380"/>
      </w:pPr>
      <w:rPr>
        <w:rFonts w:ascii="Times New Roman" w:eastAsia="Times New Roman" w:hAnsi="Times New Roman" w:cs="Times New Roman" w:hint="default"/>
      </w:rPr>
    </w:lvl>
    <w:lvl w:ilvl="3">
      <w:start w:val="0"/>
      <w:numFmt w:val="bullet"/>
      <w:lvlText w:val="-"/>
      <w:lvlJc w:val="left"/>
      <w:pPr>
        <w:ind w:left="2880" w:hanging="360"/>
      </w:pPr>
      <w:rPr>
        <w:rFonts w:ascii="Calibri" w:hAnsi="Calibri" w:eastAsiaTheme="minorEastAsia" w:cs="Calibri"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E01300"/>
    <w:multiLevelType w:val="hybridMultilevel"/>
    <w:tmpl w:val="B3F432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C30E5D"/>
    <w:multiLevelType w:val="hybridMultilevel"/>
    <w:tmpl w:val="3C502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9">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5"/>
  </w:num>
  <w:num w:numId="2" w16cid:durableId="1032609060">
    <w:abstractNumId w:val="8"/>
  </w:num>
  <w:num w:numId="3" w16cid:durableId="1158494831">
    <w:abstractNumId w:val="2"/>
  </w:num>
  <w:num w:numId="4" w16cid:durableId="493573829">
    <w:abstractNumId w:val="33"/>
  </w:num>
  <w:num w:numId="5" w16cid:durableId="2055687918">
    <w:abstractNumId w:val="22"/>
  </w:num>
  <w:num w:numId="6" w16cid:durableId="1603025219">
    <w:abstractNumId w:val="31"/>
  </w:num>
  <w:num w:numId="7" w16cid:durableId="423957196">
    <w:abstractNumId w:val="19"/>
  </w:num>
  <w:num w:numId="8" w16cid:durableId="2031829208">
    <w:abstractNumId w:val="27"/>
  </w:num>
  <w:num w:numId="9" w16cid:durableId="218439549">
    <w:abstractNumId w:val="11"/>
  </w:num>
  <w:num w:numId="10" w16cid:durableId="1285231924">
    <w:abstractNumId w:val="5"/>
  </w:num>
  <w:num w:numId="11" w16cid:durableId="327370686">
    <w:abstractNumId w:val="10"/>
  </w:num>
  <w:num w:numId="12" w16cid:durableId="1802993385">
    <w:abstractNumId w:val="13"/>
  </w:num>
  <w:num w:numId="13" w16cid:durableId="1792938267">
    <w:abstractNumId w:val="34"/>
  </w:num>
  <w:num w:numId="14" w16cid:durableId="239490726">
    <w:abstractNumId w:val="9"/>
  </w:num>
  <w:num w:numId="15" w16cid:durableId="1395350314">
    <w:abstractNumId w:val="12"/>
  </w:num>
  <w:num w:numId="16" w16cid:durableId="441535906">
    <w:abstractNumId w:val="16"/>
  </w:num>
  <w:num w:numId="17" w16cid:durableId="2008243381">
    <w:abstractNumId w:val="28"/>
  </w:num>
  <w:num w:numId="18" w16cid:durableId="840463183">
    <w:abstractNumId w:val="25"/>
  </w:num>
  <w:num w:numId="19" w16cid:durableId="469980091">
    <w:abstractNumId w:val="30"/>
  </w:num>
  <w:num w:numId="20" w16cid:durableId="2126730031">
    <w:abstractNumId w:val="14"/>
  </w:num>
  <w:num w:numId="21" w16cid:durableId="106124704">
    <w:abstractNumId w:val="1"/>
  </w:num>
  <w:num w:numId="22" w16cid:durableId="1552418013">
    <w:abstractNumId w:val="17"/>
  </w:num>
  <w:num w:numId="23" w16cid:durableId="1598828334">
    <w:abstractNumId w:val="32"/>
  </w:num>
  <w:num w:numId="24" w16cid:durableId="2051031068">
    <w:abstractNumId w:val="0"/>
  </w:num>
  <w:num w:numId="25" w16cid:durableId="258569098">
    <w:abstractNumId w:val="20"/>
  </w:num>
  <w:num w:numId="26" w16cid:durableId="331181582">
    <w:abstractNumId w:val="24"/>
  </w:num>
  <w:num w:numId="27" w16cid:durableId="1015961391">
    <w:abstractNumId w:val="29"/>
  </w:num>
  <w:num w:numId="28" w16cid:durableId="1194532857">
    <w:abstractNumId w:val="23"/>
  </w:num>
  <w:num w:numId="29" w16cid:durableId="1974753846">
    <w:abstractNumId w:val="4"/>
  </w:num>
  <w:num w:numId="30" w16cid:durableId="1628464125">
    <w:abstractNumId w:val="26"/>
  </w:num>
  <w:num w:numId="31" w16cid:durableId="610743830">
    <w:abstractNumId w:val="21"/>
  </w:num>
  <w:num w:numId="32" w16cid:durableId="951715669">
    <w:abstractNumId w:val="21"/>
  </w:num>
  <w:num w:numId="33" w16cid:durableId="120538398">
    <w:abstractNumId w:val="21"/>
  </w:num>
  <w:num w:numId="34" w16cid:durableId="1416779713">
    <w:abstractNumId w:val="21"/>
  </w:num>
  <w:num w:numId="35" w16cid:durableId="845633790">
    <w:abstractNumId w:val="21"/>
  </w:num>
  <w:num w:numId="36" w16cid:durableId="1434933886">
    <w:abstractNumId w:val="21"/>
  </w:num>
  <w:num w:numId="37" w16cid:durableId="2049336282">
    <w:abstractNumId w:val="21"/>
  </w:num>
  <w:num w:numId="38" w16cid:durableId="414010044">
    <w:abstractNumId w:val="21"/>
  </w:num>
  <w:num w:numId="39" w16cid:durableId="2045052515">
    <w:abstractNumId w:val="21"/>
  </w:num>
  <w:num w:numId="40" w16cid:durableId="1510291732">
    <w:abstractNumId w:val="21"/>
  </w:num>
  <w:num w:numId="41" w16cid:durableId="496192167">
    <w:abstractNumId w:val="21"/>
  </w:num>
  <w:num w:numId="42" w16cid:durableId="1937133147">
    <w:abstractNumId w:val="21"/>
  </w:num>
  <w:num w:numId="43" w16cid:durableId="1403984574">
    <w:abstractNumId w:val="21"/>
  </w:num>
  <w:num w:numId="44" w16cid:durableId="1250969067">
    <w:abstractNumId w:val="21"/>
  </w:num>
  <w:num w:numId="45" w16cid:durableId="1159737623">
    <w:abstractNumId w:val="21"/>
  </w:num>
  <w:num w:numId="46" w16cid:durableId="219438190">
    <w:abstractNumId w:val="7"/>
  </w:num>
  <w:num w:numId="47" w16cid:durableId="237326074">
    <w:abstractNumId w:val="6"/>
  </w:num>
  <w:num w:numId="48" w16cid:durableId="375130842">
    <w:abstractNumId w:val="21"/>
  </w:num>
  <w:num w:numId="49" w16cid:durableId="2101828291">
    <w:abstractNumId w:val="18"/>
  </w:num>
  <w:num w:numId="50" w16cid:durableId="2016422414">
    <w:abstractNumId w:val="3"/>
  </w:num>
  <w:num w:numId="51" w16cid:durableId="562375861">
    <w:abstractNumId w:val="21"/>
  </w:num>
  <w:num w:numId="52" w16cid:durableId="712388022">
    <w:abstractNumId w:val="21"/>
  </w:num>
  <w:num w:numId="53" w16cid:durableId="1718551350">
    <w:abstractNumId w:val="21"/>
  </w:num>
  <w:num w:numId="54" w16cid:durableId="128695903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07F5"/>
    <w:rsid w:val="00001195"/>
    <w:rsid w:val="00001D07"/>
    <w:rsid w:val="0000295E"/>
    <w:rsid w:val="0000329D"/>
    <w:rsid w:val="000034AE"/>
    <w:rsid w:val="00003A9D"/>
    <w:rsid w:val="00003D64"/>
    <w:rsid w:val="00004678"/>
    <w:rsid w:val="00005998"/>
    <w:rsid w:val="000069C3"/>
    <w:rsid w:val="00006C95"/>
    <w:rsid w:val="000077A0"/>
    <w:rsid w:val="00007C46"/>
    <w:rsid w:val="00007FB5"/>
    <w:rsid w:val="00010117"/>
    <w:rsid w:val="0001050A"/>
    <w:rsid w:val="000108C0"/>
    <w:rsid w:val="00010EEE"/>
    <w:rsid w:val="00012199"/>
    <w:rsid w:val="00012346"/>
    <w:rsid w:val="000129E1"/>
    <w:rsid w:val="00013852"/>
    <w:rsid w:val="00013CE8"/>
    <w:rsid w:val="00013CF9"/>
    <w:rsid w:val="00014938"/>
    <w:rsid w:val="00014B10"/>
    <w:rsid w:val="000157CE"/>
    <w:rsid w:val="00015F32"/>
    <w:rsid w:val="00015FF6"/>
    <w:rsid w:val="000162BC"/>
    <w:rsid w:val="0001637F"/>
    <w:rsid w:val="00016CF9"/>
    <w:rsid w:val="00017B90"/>
    <w:rsid w:val="00017F63"/>
    <w:rsid w:val="00020791"/>
    <w:rsid w:val="00020C18"/>
    <w:rsid w:val="00020FD0"/>
    <w:rsid w:val="00021FE0"/>
    <w:rsid w:val="00022021"/>
    <w:rsid w:val="00023276"/>
    <w:rsid w:val="00023EFE"/>
    <w:rsid w:val="000240FC"/>
    <w:rsid w:val="00024164"/>
    <w:rsid w:val="00024446"/>
    <w:rsid w:val="00025144"/>
    <w:rsid w:val="00025318"/>
    <w:rsid w:val="000267E1"/>
    <w:rsid w:val="000274A3"/>
    <w:rsid w:val="00030484"/>
    <w:rsid w:val="00030670"/>
    <w:rsid w:val="0003166C"/>
    <w:rsid w:val="00031D45"/>
    <w:rsid w:val="00031E19"/>
    <w:rsid w:val="00032552"/>
    <w:rsid w:val="00033219"/>
    <w:rsid w:val="000334F2"/>
    <w:rsid w:val="00033D2B"/>
    <w:rsid w:val="00036CF2"/>
    <w:rsid w:val="00037107"/>
    <w:rsid w:val="00037B3F"/>
    <w:rsid w:val="00037FA8"/>
    <w:rsid w:val="00042F77"/>
    <w:rsid w:val="00043989"/>
    <w:rsid w:val="00043C08"/>
    <w:rsid w:val="00043CA7"/>
    <w:rsid w:val="00043D2D"/>
    <w:rsid w:val="000444EC"/>
    <w:rsid w:val="0004467E"/>
    <w:rsid w:val="000452DC"/>
    <w:rsid w:val="000461BA"/>
    <w:rsid w:val="0004659F"/>
    <w:rsid w:val="00047118"/>
    <w:rsid w:val="00047160"/>
    <w:rsid w:val="00047293"/>
    <w:rsid w:val="00047B27"/>
    <w:rsid w:val="00050BB4"/>
    <w:rsid w:val="00051020"/>
    <w:rsid w:val="00051045"/>
    <w:rsid w:val="0005169C"/>
    <w:rsid w:val="00051CEF"/>
    <w:rsid w:val="000527E2"/>
    <w:rsid w:val="00053570"/>
    <w:rsid w:val="00053630"/>
    <w:rsid w:val="00053D43"/>
    <w:rsid w:val="000544D0"/>
    <w:rsid w:val="000544F9"/>
    <w:rsid w:val="0005572E"/>
    <w:rsid w:val="0005584F"/>
    <w:rsid w:val="00055AD8"/>
    <w:rsid w:val="00055B50"/>
    <w:rsid w:val="0005629D"/>
    <w:rsid w:val="00056F58"/>
    <w:rsid w:val="0005783D"/>
    <w:rsid w:val="00060163"/>
    <w:rsid w:val="00060851"/>
    <w:rsid w:val="0006085E"/>
    <w:rsid w:val="00060FEA"/>
    <w:rsid w:val="000611AE"/>
    <w:rsid w:val="0006128A"/>
    <w:rsid w:val="000619AB"/>
    <w:rsid w:val="00061A77"/>
    <w:rsid w:val="00061BCE"/>
    <w:rsid w:val="00061C8C"/>
    <w:rsid w:val="00063A8E"/>
    <w:rsid w:val="00063CA7"/>
    <w:rsid w:val="00063CAE"/>
    <w:rsid w:val="00064B80"/>
    <w:rsid w:val="00065167"/>
    <w:rsid w:val="00065411"/>
    <w:rsid w:val="00065785"/>
    <w:rsid w:val="00065D4A"/>
    <w:rsid w:val="00066059"/>
    <w:rsid w:val="00066EA0"/>
    <w:rsid w:val="00067C9E"/>
    <w:rsid w:val="00070074"/>
    <w:rsid w:val="00070B01"/>
    <w:rsid w:val="0007251D"/>
    <w:rsid w:val="000728E0"/>
    <w:rsid w:val="00073357"/>
    <w:rsid w:val="00073C3D"/>
    <w:rsid w:val="00074917"/>
    <w:rsid w:val="00074E51"/>
    <w:rsid w:val="00075C7A"/>
    <w:rsid w:val="00075FA5"/>
    <w:rsid w:val="000762A8"/>
    <w:rsid w:val="000763E7"/>
    <w:rsid w:val="00076439"/>
    <w:rsid w:val="00076DA9"/>
    <w:rsid w:val="00076F0F"/>
    <w:rsid w:val="00077072"/>
    <w:rsid w:val="000776AC"/>
    <w:rsid w:val="00077D8A"/>
    <w:rsid w:val="00077EF0"/>
    <w:rsid w:val="000801CD"/>
    <w:rsid w:val="000822B7"/>
    <w:rsid w:val="00082A72"/>
    <w:rsid w:val="00082E30"/>
    <w:rsid w:val="00083208"/>
    <w:rsid w:val="00083D4A"/>
    <w:rsid w:val="00084BF3"/>
    <w:rsid w:val="00084C13"/>
    <w:rsid w:val="00086E0C"/>
    <w:rsid w:val="00087F7B"/>
    <w:rsid w:val="00090627"/>
    <w:rsid w:val="00090750"/>
    <w:rsid w:val="000911D6"/>
    <w:rsid w:val="00091EB4"/>
    <w:rsid w:val="0009219E"/>
    <w:rsid w:val="00092313"/>
    <w:rsid w:val="000925BD"/>
    <w:rsid w:val="00092B3D"/>
    <w:rsid w:val="00093C6D"/>
    <w:rsid w:val="00093DC2"/>
    <w:rsid w:val="00094023"/>
    <w:rsid w:val="00094106"/>
    <w:rsid w:val="000941D2"/>
    <w:rsid w:val="000945D7"/>
    <w:rsid w:val="0009492C"/>
    <w:rsid w:val="00095182"/>
    <w:rsid w:val="00095F01"/>
    <w:rsid w:val="000978FD"/>
    <w:rsid w:val="00097905"/>
    <w:rsid w:val="000A0561"/>
    <w:rsid w:val="000A085C"/>
    <w:rsid w:val="000A1198"/>
    <w:rsid w:val="000A11F1"/>
    <w:rsid w:val="000A170A"/>
    <w:rsid w:val="000A1DE8"/>
    <w:rsid w:val="000A34F1"/>
    <w:rsid w:val="000A397C"/>
    <w:rsid w:val="000A4527"/>
    <w:rsid w:val="000A5320"/>
    <w:rsid w:val="000A5C5B"/>
    <w:rsid w:val="000A5D6D"/>
    <w:rsid w:val="000B14EC"/>
    <w:rsid w:val="000B16D6"/>
    <w:rsid w:val="000B3576"/>
    <w:rsid w:val="000B461B"/>
    <w:rsid w:val="000B4ED0"/>
    <w:rsid w:val="000B4FB0"/>
    <w:rsid w:val="000B53A4"/>
    <w:rsid w:val="000B7AC1"/>
    <w:rsid w:val="000B7BBA"/>
    <w:rsid w:val="000C002E"/>
    <w:rsid w:val="000C144C"/>
    <w:rsid w:val="000C1700"/>
    <w:rsid w:val="000C1E9A"/>
    <w:rsid w:val="000C24B6"/>
    <w:rsid w:val="000C41A7"/>
    <w:rsid w:val="000C43C6"/>
    <w:rsid w:val="000C43C8"/>
    <w:rsid w:val="000C43C9"/>
    <w:rsid w:val="000C4FFB"/>
    <w:rsid w:val="000C608D"/>
    <w:rsid w:val="000C7EE3"/>
    <w:rsid w:val="000C7F0D"/>
    <w:rsid w:val="000D0919"/>
    <w:rsid w:val="000D202A"/>
    <w:rsid w:val="000D224E"/>
    <w:rsid w:val="000D235C"/>
    <w:rsid w:val="000D251E"/>
    <w:rsid w:val="000D271F"/>
    <w:rsid w:val="000D2D5D"/>
    <w:rsid w:val="000D3C22"/>
    <w:rsid w:val="000D3DDF"/>
    <w:rsid w:val="000D45B2"/>
    <w:rsid w:val="000D4BEA"/>
    <w:rsid w:val="000D516A"/>
    <w:rsid w:val="000D5863"/>
    <w:rsid w:val="000D6FA4"/>
    <w:rsid w:val="000E0358"/>
    <w:rsid w:val="000E10AB"/>
    <w:rsid w:val="000E1158"/>
    <w:rsid w:val="000E137A"/>
    <w:rsid w:val="000E184B"/>
    <w:rsid w:val="000E19CB"/>
    <w:rsid w:val="000E1FE8"/>
    <w:rsid w:val="000E23EF"/>
    <w:rsid w:val="000E2443"/>
    <w:rsid w:val="000E2DCC"/>
    <w:rsid w:val="000E3298"/>
    <w:rsid w:val="000E348B"/>
    <w:rsid w:val="000E4D43"/>
    <w:rsid w:val="000E5609"/>
    <w:rsid w:val="000E5A11"/>
    <w:rsid w:val="000E6199"/>
    <w:rsid w:val="000E6E91"/>
    <w:rsid w:val="000E7B8C"/>
    <w:rsid w:val="000E7DBF"/>
    <w:rsid w:val="000E7DC1"/>
    <w:rsid w:val="000F0186"/>
    <w:rsid w:val="000F0206"/>
    <w:rsid w:val="000F0336"/>
    <w:rsid w:val="000F0DE4"/>
    <w:rsid w:val="000F10EB"/>
    <w:rsid w:val="000F1D29"/>
    <w:rsid w:val="000F289F"/>
    <w:rsid w:val="000F29EE"/>
    <w:rsid w:val="000F338A"/>
    <w:rsid w:val="000F38AB"/>
    <w:rsid w:val="000F3AC3"/>
    <w:rsid w:val="000F4460"/>
    <w:rsid w:val="000F4DBB"/>
    <w:rsid w:val="000F5A28"/>
    <w:rsid w:val="000F5AE4"/>
    <w:rsid w:val="000F60E8"/>
    <w:rsid w:val="000F6146"/>
    <w:rsid w:val="000F617B"/>
    <w:rsid w:val="000F6D04"/>
    <w:rsid w:val="00100080"/>
    <w:rsid w:val="00100139"/>
    <w:rsid w:val="00100432"/>
    <w:rsid w:val="00100499"/>
    <w:rsid w:val="00100BF7"/>
    <w:rsid w:val="00100FA6"/>
    <w:rsid w:val="00101362"/>
    <w:rsid w:val="0010158E"/>
    <w:rsid w:val="0010258D"/>
    <w:rsid w:val="00102EE5"/>
    <w:rsid w:val="0010312F"/>
    <w:rsid w:val="00103402"/>
    <w:rsid w:val="001037EF"/>
    <w:rsid w:val="00103DD8"/>
    <w:rsid w:val="00104D43"/>
    <w:rsid w:val="00105598"/>
    <w:rsid w:val="00105F52"/>
    <w:rsid w:val="00106C2C"/>
    <w:rsid w:val="00107505"/>
    <w:rsid w:val="001079AE"/>
    <w:rsid w:val="00110045"/>
    <w:rsid w:val="001115BF"/>
    <w:rsid w:val="00111663"/>
    <w:rsid w:val="00112360"/>
    <w:rsid w:val="00112362"/>
    <w:rsid w:val="00112675"/>
    <w:rsid w:val="00112A5B"/>
    <w:rsid w:val="0011339B"/>
    <w:rsid w:val="00113F90"/>
    <w:rsid w:val="001141DA"/>
    <w:rsid w:val="00114D89"/>
    <w:rsid w:val="00114EB8"/>
    <w:rsid w:val="0011544A"/>
    <w:rsid w:val="00116064"/>
    <w:rsid w:val="0011666B"/>
    <w:rsid w:val="00116E3D"/>
    <w:rsid w:val="00116FF8"/>
    <w:rsid w:val="001171C8"/>
    <w:rsid w:val="001172BE"/>
    <w:rsid w:val="001172FE"/>
    <w:rsid w:val="00117BF2"/>
    <w:rsid w:val="00117FE1"/>
    <w:rsid w:val="00120593"/>
    <w:rsid w:val="00122335"/>
    <w:rsid w:val="001224BB"/>
    <w:rsid w:val="001227FC"/>
    <w:rsid w:val="00124317"/>
    <w:rsid w:val="00126832"/>
    <w:rsid w:val="00127D8E"/>
    <w:rsid w:val="0013006A"/>
    <w:rsid w:val="001302A5"/>
    <w:rsid w:val="001304F6"/>
    <w:rsid w:val="00130CF9"/>
    <w:rsid w:val="001310E0"/>
    <w:rsid w:val="0013212E"/>
    <w:rsid w:val="00132356"/>
    <w:rsid w:val="001325CF"/>
    <w:rsid w:val="001325D4"/>
    <w:rsid w:val="00132921"/>
    <w:rsid w:val="001329B3"/>
    <w:rsid w:val="00133ABD"/>
    <w:rsid w:val="001342C5"/>
    <w:rsid w:val="00134DDD"/>
    <w:rsid w:val="001355FD"/>
    <w:rsid w:val="00135CAE"/>
    <w:rsid w:val="00135EAD"/>
    <w:rsid w:val="0013618D"/>
    <w:rsid w:val="00136237"/>
    <w:rsid w:val="00137BB3"/>
    <w:rsid w:val="00137EB8"/>
    <w:rsid w:val="00140014"/>
    <w:rsid w:val="001409D5"/>
    <w:rsid w:val="00143F9B"/>
    <w:rsid w:val="00145DAE"/>
    <w:rsid w:val="0014746F"/>
    <w:rsid w:val="001474D5"/>
    <w:rsid w:val="00147808"/>
    <w:rsid w:val="00147B68"/>
    <w:rsid w:val="0015084F"/>
    <w:rsid w:val="00150E7F"/>
    <w:rsid w:val="00151AC3"/>
    <w:rsid w:val="00152A80"/>
    <w:rsid w:val="00153977"/>
    <w:rsid w:val="001540FD"/>
    <w:rsid w:val="00155373"/>
    <w:rsid w:val="0015628E"/>
    <w:rsid w:val="00157460"/>
    <w:rsid w:val="00160461"/>
    <w:rsid w:val="00160519"/>
    <w:rsid w:val="00161846"/>
    <w:rsid w:val="0016184A"/>
    <w:rsid w:val="00162874"/>
    <w:rsid w:val="00162F69"/>
    <w:rsid w:val="001636DA"/>
    <w:rsid w:val="00163C69"/>
    <w:rsid w:val="00164169"/>
    <w:rsid w:val="0016465F"/>
    <w:rsid w:val="00164C5B"/>
    <w:rsid w:val="00164DCB"/>
    <w:rsid w:val="00165AAF"/>
    <w:rsid w:val="00165ED6"/>
    <w:rsid w:val="001660B8"/>
    <w:rsid w:val="00166B27"/>
    <w:rsid w:val="00167A8D"/>
    <w:rsid w:val="00170329"/>
    <w:rsid w:val="001704BE"/>
    <w:rsid w:val="00170689"/>
    <w:rsid w:val="00170EB8"/>
    <w:rsid w:val="00171DC0"/>
    <w:rsid w:val="00172C69"/>
    <w:rsid w:val="00173422"/>
    <w:rsid w:val="00173BBF"/>
    <w:rsid w:val="00173E50"/>
    <w:rsid w:val="00176634"/>
    <w:rsid w:val="00176BA8"/>
    <w:rsid w:val="001775F3"/>
    <w:rsid w:val="00177765"/>
    <w:rsid w:val="00177C8C"/>
    <w:rsid w:val="00180511"/>
    <w:rsid w:val="0018111A"/>
    <w:rsid w:val="0018173D"/>
    <w:rsid w:val="00181D9D"/>
    <w:rsid w:val="00182081"/>
    <w:rsid w:val="00184011"/>
    <w:rsid w:val="00185251"/>
    <w:rsid w:val="0018698F"/>
    <w:rsid w:val="00187714"/>
    <w:rsid w:val="0019149E"/>
    <w:rsid w:val="0019182F"/>
    <w:rsid w:val="00191C72"/>
    <w:rsid w:val="00192160"/>
    <w:rsid w:val="0019221C"/>
    <w:rsid w:val="001925B3"/>
    <w:rsid w:val="0019300F"/>
    <w:rsid w:val="00194226"/>
    <w:rsid w:val="00194799"/>
    <w:rsid w:val="00194C2B"/>
    <w:rsid w:val="0019580A"/>
    <w:rsid w:val="00195BEB"/>
    <w:rsid w:val="001977C7"/>
    <w:rsid w:val="00197A23"/>
    <w:rsid w:val="001A05C3"/>
    <w:rsid w:val="001A06DA"/>
    <w:rsid w:val="001A17D5"/>
    <w:rsid w:val="001A2039"/>
    <w:rsid w:val="001A206D"/>
    <w:rsid w:val="001A20B0"/>
    <w:rsid w:val="001A21A7"/>
    <w:rsid w:val="001A23BD"/>
    <w:rsid w:val="001A2CE4"/>
    <w:rsid w:val="001A3351"/>
    <w:rsid w:val="001A53A7"/>
    <w:rsid w:val="001A5B82"/>
    <w:rsid w:val="001A6168"/>
    <w:rsid w:val="001A6C28"/>
    <w:rsid w:val="001A6E86"/>
    <w:rsid w:val="001A738F"/>
    <w:rsid w:val="001A76B3"/>
    <w:rsid w:val="001A7DEF"/>
    <w:rsid w:val="001B0371"/>
    <w:rsid w:val="001B042D"/>
    <w:rsid w:val="001B0876"/>
    <w:rsid w:val="001B1770"/>
    <w:rsid w:val="001B1773"/>
    <w:rsid w:val="001B1962"/>
    <w:rsid w:val="001B20D1"/>
    <w:rsid w:val="001B2D25"/>
    <w:rsid w:val="001B3160"/>
    <w:rsid w:val="001B3541"/>
    <w:rsid w:val="001B4565"/>
    <w:rsid w:val="001B46D7"/>
    <w:rsid w:val="001B4BEC"/>
    <w:rsid w:val="001B56BD"/>
    <w:rsid w:val="001B5B5E"/>
    <w:rsid w:val="001B5CEE"/>
    <w:rsid w:val="001B7B47"/>
    <w:rsid w:val="001C0151"/>
    <w:rsid w:val="001C1928"/>
    <w:rsid w:val="001C214A"/>
    <w:rsid w:val="001C260A"/>
    <w:rsid w:val="001C2D48"/>
    <w:rsid w:val="001C3106"/>
    <w:rsid w:val="001C36EE"/>
    <w:rsid w:val="001C3D5A"/>
    <w:rsid w:val="001C42DC"/>
    <w:rsid w:val="001C4634"/>
    <w:rsid w:val="001C4B17"/>
    <w:rsid w:val="001C5236"/>
    <w:rsid w:val="001C581C"/>
    <w:rsid w:val="001C585A"/>
    <w:rsid w:val="001C6741"/>
    <w:rsid w:val="001C7470"/>
    <w:rsid w:val="001C750A"/>
    <w:rsid w:val="001C76CA"/>
    <w:rsid w:val="001C7D52"/>
    <w:rsid w:val="001D01BB"/>
    <w:rsid w:val="001D0B46"/>
    <w:rsid w:val="001D14CB"/>
    <w:rsid w:val="001D1533"/>
    <w:rsid w:val="001D1AEC"/>
    <w:rsid w:val="001D294E"/>
    <w:rsid w:val="001D419A"/>
    <w:rsid w:val="001D4734"/>
    <w:rsid w:val="001D47F8"/>
    <w:rsid w:val="001D4A55"/>
    <w:rsid w:val="001D4CDC"/>
    <w:rsid w:val="001D4D40"/>
    <w:rsid w:val="001D4F2F"/>
    <w:rsid w:val="001D51D8"/>
    <w:rsid w:val="001D542C"/>
    <w:rsid w:val="001D5CED"/>
    <w:rsid w:val="001D5D0A"/>
    <w:rsid w:val="001D6F3A"/>
    <w:rsid w:val="001D7FC5"/>
    <w:rsid w:val="001E0924"/>
    <w:rsid w:val="001E0E3B"/>
    <w:rsid w:val="001E0FDB"/>
    <w:rsid w:val="001E1E7D"/>
    <w:rsid w:val="001E211E"/>
    <w:rsid w:val="001E297F"/>
    <w:rsid w:val="001E365B"/>
    <w:rsid w:val="001E3A31"/>
    <w:rsid w:val="001E4278"/>
    <w:rsid w:val="001E43D7"/>
    <w:rsid w:val="001E534A"/>
    <w:rsid w:val="001E548A"/>
    <w:rsid w:val="001E601A"/>
    <w:rsid w:val="001E6518"/>
    <w:rsid w:val="001E6E50"/>
    <w:rsid w:val="001E7480"/>
    <w:rsid w:val="001E74E1"/>
    <w:rsid w:val="001E76BC"/>
    <w:rsid w:val="001F06E6"/>
    <w:rsid w:val="001F0834"/>
    <w:rsid w:val="001F0D3B"/>
    <w:rsid w:val="001F13F3"/>
    <w:rsid w:val="001F1A52"/>
    <w:rsid w:val="001F1B93"/>
    <w:rsid w:val="001F1F14"/>
    <w:rsid w:val="001F34A5"/>
    <w:rsid w:val="001F370A"/>
    <w:rsid w:val="001F44F5"/>
    <w:rsid w:val="001F5156"/>
    <w:rsid w:val="001F5541"/>
    <w:rsid w:val="001F670F"/>
    <w:rsid w:val="001F75D9"/>
    <w:rsid w:val="001F7B1A"/>
    <w:rsid w:val="001F7DF2"/>
    <w:rsid w:val="00200C8E"/>
    <w:rsid w:val="00200FFB"/>
    <w:rsid w:val="0020142E"/>
    <w:rsid w:val="00201886"/>
    <w:rsid w:val="00205571"/>
    <w:rsid w:val="00205A91"/>
    <w:rsid w:val="00205DCC"/>
    <w:rsid w:val="002064A4"/>
    <w:rsid w:val="0020669D"/>
    <w:rsid w:val="0020725F"/>
    <w:rsid w:val="00207383"/>
    <w:rsid w:val="00210999"/>
    <w:rsid w:val="00210F2E"/>
    <w:rsid w:val="00211627"/>
    <w:rsid w:val="00211C7D"/>
    <w:rsid w:val="0021345A"/>
    <w:rsid w:val="00213AE6"/>
    <w:rsid w:val="002160A2"/>
    <w:rsid w:val="00216C6A"/>
    <w:rsid w:val="0022017C"/>
    <w:rsid w:val="00220258"/>
    <w:rsid w:val="0022055C"/>
    <w:rsid w:val="00220E65"/>
    <w:rsid w:val="00222379"/>
    <w:rsid w:val="00222530"/>
    <w:rsid w:val="0022259D"/>
    <w:rsid w:val="00223C4C"/>
    <w:rsid w:val="00223DA4"/>
    <w:rsid w:val="0022416D"/>
    <w:rsid w:val="002243A4"/>
    <w:rsid w:val="00224BB3"/>
    <w:rsid w:val="00224D61"/>
    <w:rsid w:val="00224ED9"/>
    <w:rsid w:val="00224F14"/>
    <w:rsid w:val="00225E00"/>
    <w:rsid w:val="00226D49"/>
    <w:rsid w:val="0022710C"/>
    <w:rsid w:val="002272EE"/>
    <w:rsid w:val="002275C4"/>
    <w:rsid w:val="00227759"/>
    <w:rsid w:val="00230D48"/>
    <w:rsid w:val="00230F33"/>
    <w:rsid w:val="00230F45"/>
    <w:rsid w:val="002315C6"/>
    <w:rsid w:val="002329A3"/>
    <w:rsid w:val="00233342"/>
    <w:rsid w:val="002335AB"/>
    <w:rsid w:val="00234B8D"/>
    <w:rsid w:val="00235A65"/>
    <w:rsid w:val="00235E79"/>
    <w:rsid w:val="002360BC"/>
    <w:rsid w:val="00240D30"/>
    <w:rsid w:val="00240F23"/>
    <w:rsid w:val="002411C6"/>
    <w:rsid w:val="00241334"/>
    <w:rsid w:val="0024175E"/>
    <w:rsid w:val="002420F2"/>
    <w:rsid w:val="00242896"/>
    <w:rsid w:val="0024299E"/>
    <w:rsid w:val="00242FCE"/>
    <w:rsid w:val="0024329E"/>
    <w:rsid w:val="0024538C"/>
    <w:rsid w:val="002455F0"/>
    <w:rsid w:val="0024599B"/>
    <w:rsid w:val="00245AC4"/>
    <w:rsid w:val="00246A57"/>
    <w:rsid w:val="00246A7E"/>
    <w:rsid w:val="00247198"/>
    <w:rsid w:val="0024748D"/>
    <w:rsid w:val="0025051F"/>
    <w:rsid w:val="00251151"/>
    <w:rsid w:val="00251276"/>
    <w:rsid w:val="002518EC"/>
    <w:rsid w:val="00252A4E"/>
    <w:rsid w:val="0025319A"/>
    <w:rsid w:val="00253EEA"/>
    <w:rsid w:val="00255F4A"/>
    <w:rsid w:val="0025617C"/>
    <w:rsid w:val="00256556"/>
    <w:rsid w:val="0025657D"/>
    <w:rsid w:val="00256C74"/>
    <w:rsid w:val="00256D09"/>
    <w:rsid w:val="00256F20"/>
    <w:rsid w:val="0026050F"/>
    <w:rsid w:val="00260E6C"/>
    <w:rsid w:val="00260FB7"/>
    <w:rsid w:val="00262689"/>
    <w:rsid w:val="00262D27"/>
    <w:rsid w:val="00262F2E"/>
    <w:rsid w:val="002648CF"/>
    <w:rsid w:val="00265294"/>
    <w:rsid w:val="002655CE"/>
    <w:rsid w:val="00265FE7"/>
    <w:rsid w:val="00266717"/>
    <w:rsid w:val="00270394"/>
    <w:rsid w:val="00270940"/>
    <w:rsid w:val="00272D2C"/>
    <w:rsid w:val="002730BB"/>
    <w:rsid w:val="00275FEC"/>
    <w:rsid w:val="00276D8C"/>
    <w:rsid w:val="00277A03"/>
    <w:rsid w:val="002807FC"/>
    <w:rsid w:val="00281B97"/>
    <w:rsid w:val="0028208A"/>
    <w:rsid w:val="0028340E"/>
    <w:rsid w:val="00283764"/>
    <w:rsid w:val="00283AE9"/>
    <w:rsid w:val="00283C66"/>
    <w:rsid w:val="002847BB"/>
    <w:rsid w:val="00284D26"/>
    <w:rsid w:val="00285782"/>
    <w:rsid w:val="00285A68"/>
    <w:rsid w:val="00286DA7"/>
    <w:rsid w:val="00286FA0"/>
    <w:rsid w:val="00287F94"/>
    <w:rsid w:val="00290472"/>
    <w:rsid w:val="00290BEB"/>
    <w:rsid w:val="00291493"/>
    <w:rsid w:val="00291589"/>
    <w:rsid w:val="002947DD"/>
    <w:rsid w:val="00295229"/>
    <w:rsid w:val="0029755D"/>
    <w:rsid w:val="0029773E"/>
    <w:rsid w:val="002A075D"/>
    <w:rsid w:val="002A24A0"/>
    <w:rsid w:val="002A2E00"/>
    <w:rsid w:val="002A3710"/>
    <w:rsid w:val="002A43D0"/>
    <w:rsid w:val="002A6075"/>
    <w:rsid w:val="002A636D"/>
    <w:rsid w:val="002A676B"/>
    <w:rsid w:val="002A6E4E"/>
    <w:rsid w:val="002A774D"/>
    <w:rsid w:val="002A7860"/>
    <w:rsid w:val="002A78D3"/>
    <w:rsid w:val="002B0036"/>
    <w:rsid w:val="002B0367"/>
    <w:rsid w:val="002B1598"/>
    <w:rsid w:val="002B3085"/>
    <w:rsid w:val="002B3F50"/>
    <w:rsid w:val="002B4615"/>
    <w:rsid w:val="002B5A6A"/>
    <w:rsid w:val="002B7383"/>
    <w:rsid w:val="002B77A2"/>
    <w:rsid w:val="002C04DE"/>
    <w:rsid w:val="002C0623"/>
    <w:rsid w:val="002C1434"/>
    <w:rsid w:val="002C1445"/>
    <w:rsid w:val="002C1646"/>
    <w:rsid w:val="002C18CC"/>
    <w:rsid w:val="002C22CB"/>
    <w:rsid w:val="002C38E2"/>
    <w:rsid w:val="002C43A1"/>
    <w:rsid w:val="002C4713"/>
    <w:rsid w:val="002C6478"/>
    <w:rsid w:val="002C6500"/>
    <w:rsid w:val="002C65F9"/>
    <w:rsid w:val="002C7DDE"/>
    <w:rsid w:val="002D299C"/>
    <w:rsid w:val="002D3D7B"/>
    <w:rsid w:val="002D3E1A"/>
    <w:rsid w:val="002D4A4E"/>
    <w:rsid w:val="002D4AA7"/>
    <w:rsid w:val="002D52D7"/>
    <w:rsid w:val="002D68D1"/>
    <w:rsid w:val="002D7049"/>
    <w:rsid w:val="002D709D"/>
    <w:rsid w:val="002E0316"/>
    <w:rsid w:val="002E085D"/>
    <w:rsid w:val="002E0999"/>
    <w:rsid w:val="002E0CC0"/>
    <w:rsid w:val="002E200B"/>
    <w:rsid w:val="002E2569"/>
    <w:rsid w:val="002E279F"/>
    <w:rsid w:val="002E28BD"/>
    <w:rsid w:val="002E3661"/>
    <w:rsid w:val="002E4176"/>
    <w:rsid w:val="002E4B36"/>
    <w:rsid w:val="002E4DEB"/>
    <w:rsid w:val="002E5172"/>
    <w:rsid w:val="002E5BAD"/>
    <w:rsid w:val="002E6047"/>
    <w:rsid w:val="002E6B3C"/>
    <w:rsid w:val="002E6D1D"/>
    <w:rsid w:val="002E7408"/>
    <w:rsid w:val="002E7822"/>
    <w:rsid w:val="002E78BA"/>
    <w:rsid w:val="002E7FD0"/>
    <w:rsid w:val="002F0614"/>
    <w:rsid w:val="002F077A"/>
    <w:rsid w:val="002F10BE"/>
    <w:rsid w:val="002F13DA"/>
    <w:rsid w:val="002F15EB"/>
    <w:rsid w:val="002F3CE0"/>
    <w:rsid w:val="002F3E0C"/>
    <w:rsid w:val="002F4B06"/>
    <w:rsid w:val="002F5C53"/>
    <w:rsid w:val="002F603D"/>
    <w:rsid w:val="002F6A76"/>
    <w:rsid w:val="002F786E"/>
    <w:rsid w:val="003005BB"/>
    <w:rsid w:val="003007BA"/>
    <w:rsid w:val="003011C8"/>
    <w:rsid w:val="0030211D"/>
    <w:rsid w:val="0030266C"/>
    <w:rsid w:val="00303DE5"/>
    <w:rsid w:val="00304842"/>
    <w:rsid w:val="00304A65"/>
    <w:rsid w:val="00304A9A"/>
    <w:rsid w:val="00305482"/>
    <w:rsid w:val="003068DE"/>
    <w:rsid w:val="00307411"/>
    <w:rsid w:val="003076CB"/>
    <w:rsid w:val="00307E70"/>
    <w:rsid w:val="00310FDB"/>
    <w:rsid w:val="00312370"/>
    <w:rsid w:val="00312F1A"/>
    <w:rsid w:val="00312F28"/>
    <w:rsid w:val="003132A5"/>
    <w:rsid w:val="00313367"/>
    <w:rsid w:val="0031375E"/>
    <w:rsid w:val="00313941"/>
    <w:rsid w:val="003154FD"/>
    <w:rsid w:val="00315713"/>
    <w:rsid w:val="00316194"/>
    <w:rsid w:val="00316744"/>
    <w:rsid w:val="003169B4"/>
    <w:rsid w:val="00316BE6"/>
    <w:rsid w:val="00317844"/>
    <w:rsid w:val="0031798E"/>
    <w:rsid w:val="00317A41"/>
    <w:rsid w:val="00317A6C"/>
    <w:rsid w:val="00317C91"/>
    <w:rsid w:val="00317D89"/>
    <w:rsid w:val="00320D60"/>
    <w:rsid w:val="003224B7"/>
    <w:rsid w:val="00322867"/>
    <w:rsid w:val="00322A16"/>
    <w:rsid w:val="00323304"/>
    <w:rsid w:val="003234D9"/>
    <w:rsid w:val="0032350D"/>
    <w:rsid w:val="00323957"/>
    <w:rsid w:val="00323E74"/>
    <w:rsid w:val="00324F1A"/>
    <w:rsid w:val="00324F21"/>
    <w:rsid w:val="003256A4"/>
    <w:rsid w:val="00325DA2"/>
    <w:rsid w:val="003273AF"/>
    <w:rsid w:val="00327980"/>
    <w:rsid w:val="0032C427"/>
    <w:rsid w:val="00330B87"/>
    <w:rsid w:val="00331168"/>
    <w:rsid w:val="00331529"/>
    <w:rsid w:val="0033211D"/>
    <w:rsid w:val="00332296"/>
    <w:rsid w:val="003332FD"/>
    <w:rsid w:val="00333489"/>
    <w:rsid w:val="00333618"/>
    <w:rsid w:val="00333C5B"/>
    <w:rsid w:val="00333E4B"/>
    <w:rsid w:val="00334BFD"/>
    <w:rsid w:val="00340277"/>
    <w:rsid w:val="00340F06"/>
    <w:rsid w:val="00341122"/>
    <w:rsid w:val="00341221"/>
    <w:rsid w:val="00342DB5"/>
    <w:rsid w:val="00343CEF"/>
    <w:rsid w:val="00344CB0"/>
    <w:rsid w:val="0034542D"/>
    <w:rsid w:val="003459BA"/>
    <w:rsid w:val="003467C8"/>
    <w:rsid w:val="0034735B"/>
    <w:rsid w:val="00347BB6"/>
    <w:rsid w:val="00347C3C"/>
    <w:rsid w:val="0035006B"/>
    <w:rsid w:val="0035079F"/>
    <w:rsid w:val="003514CD"/>
    <w:rsid w:val="00351749"/>
    <w:rsid w:val="003527C1"/>
    <w:rsid w:val="00352C25"/>
    <w:rsid w:val="00353D8F"/>
    <w:rsid w:val="0035407D"/>
    <w:rsid w:val="003545B8"/>
    <w:rsid w:val="0035501A"/>
    <w:rsid w:val="003565B6"/>
    <w:rsid w:val="00356648"/>
    <w:rsid w:val="00356A66"/>
    <w:rsid w:val="00357418"/>
    <w:rsid w:val="00357665"/>
    <w:rsid w:val="00357823"/>
    <w:rsid w:val="0035784C"/>
    <w:rsid w:val="00360B75"/>
    <w:rsid w:val="00361737"/>
    <w:rsid w:val="003620FB"/>
    <w:rsid w:val="003623A2"/>
    <w:rsid w:val="00362D5C"/>
    <w:rsid w:val="00363CB9"/>
    <w:rsid w:val="00363F41"/>
    <w:rsid w:val="00364731"/>
    <w:rsid w:val="00365CE4"/>
    <w:rsid w:val="00366D56"/>
    <w:rsid w:val="00366EE1"/>
    <w:rsid w:val="00367871"/>
    <w:rsid w:val="00367A57"/>
    <w:rsid w:val="00367DAD"/>
    <w:rsid w:val="00372013"/>
    <w:rsid w:val="003723DD"/>
    <w:rsid w:val="00372FBB"/>
    <w:rsid w:val="00373015"/>
    <w:rsid w:val="0037342A"/>
    <w:rsid w:val="00373CC8"/>
    <w:rsid w:val="00373F35"/>
    <w:rsid w:val="00374E24"/>
    <w:rsid w:val="00375C91"/>
    <w:rsid w:val="00375E2A"/>
    <w:rsid w:val="00376609"/>
    <w:rsid w:val="00376E41"/>
    <w:rsid w:val="0037797A"/>
    <w:rsid w:val="00377E33"/>
    <w:rsid w:val="003807EC"/>
    <w:rsid w:val="0038091C"/>
    <w:rsid w:val="00381313"/>
    <w:rsid w:val="00382771"/>
    <w:rsid w:val="00382F48"/>
    <w:rsid w:val="0038330C"/>
    <w:rsid w:val="00383377"/>
    <w:rsid w:val="00383B2D"/>
    <w:rsid w:val="00384983"/>
    <w:rsid w:val="003856DC"/>
    <w:rsid w:val="0038613C"/>
    <w:rsid w:val="003901B8"/>
    <w:rsid w:val="00392EF0"/>
    <w:rsid w:val="00394B4F"/>
    <w:rsid w:val="00395534"/>
    <w:rsid w:val="00396A90"/>
    <w:rsid w:val="00396F54"/>
    <w:rsid w:val="00397C0B"/>
    <w:rsid w:val="003A144E"/>
    <w:rsid w:val="003A1630"/>
    <w:rsid w:val="003A1BFF"/>
    <w:rsid w:val="003A1D0D"/>
    <w:rsid w:val="003A1E60"/>
    <w:rsid w:val="003A2015"/>
    <w:rsid w:val="003A2940"/>
    <w:rsid w:val="003A38FB"/>
    <w:rsid w:val="003A41A0"/>
    <w:rsid w:val="003A41DE"/>
    <w:rsid w:val="003A455C"/>
    <w:rsid w:val="003A49EC"/>
    <w:rsid w:val="003A5423"/>
    <w:rsid w:val="003A6373"/>
    <w:rsid w:val="003A6BEF"/>
    <w:rsid w:val="003A7DC2"/>
    <w:rsid w:val="003B011E"/>
    <w:rsid w:val="003B04B9"/>
    <w:rsid w:val="003B050B"/>
    <w:rsid w:val="003B07B9"/>
    <w:rsid w:val="003B0A8F"/>
    <w:rsid w:val="003B153D"/>
    <w:rsid w:val="003B276E"/>
    <w:rsid w:val="003B3C68"/>
    <w:rsid w:val="003B44C9"/>
    <w:rsid w:val="003B4D4F"/>
    <w:rsid w:val="003B4DBD"/>
    <w:rsid w:val="003B584D"/>
    <w:rsid w:val="003B5C52"/>
    <w:rsid w:val="003B769A"/>
    <w:rsid w:val="003C0076"/>
    <w:rsid w:val="003C0DBC"/>
    <w:rsid w:val="003C1AB3"/>
    <w:rsid w:val="003C1F39"/>
    <w:rsid w:val="003C2670"/>
    <w:rsid w:val="003C299A"/>
    <w:rsid w:val="003C2B04"/>
    <w:rsid w:val="003C321D"/>
    <w:rsid w:val="003C391F"/>
    <w:rsid w:val="003C3A6D"/>
    <w:rsid w:val="003C5631"/>
    <w:rsid w:val="003C63D5"/>
    <w:rsid w:val="003C6570"/>
    <w:rsid w:val="003C65B5"/>
    <w:rsid w:val="003C68C2"/>
    <w:rsid w:val="003C6CE9"/>
    <w:rsid w:val="003C7B55"/>
    <w:rsid w:val="003C7CE0"/>
    <w:rsid w:val="003D045A"/>
    <w:rsid w:val="003D06CD"/>
    <w:rsid w:val="003D0C03"/>
    <w:rsid w:val="003D1457"/>
    <w:rsid w:val="003D23D5"/>
    <w:rsid w:val="003D29E8"/>
    <w:rsid w:val="003D2E91"/>
    <w:rsid w:val="003D2F77"/>
    <w:rsid w:val="003D3498"/>
    <w:rsid w:val="003D598C"/>
    <w:rsid w:val="003D6781"/>
    <w:rsid w:val="003D6FAA"/>
    <w:rsid w:val="003D7167"/>
    <w:rsid w:val="003D7257"/>
    <w:rsid w:val="003D7919"/>
    <w:rsid w:val="003D7B2A"/>
    <w:rsid w:val="003E0473"/>
    <w:rsid w:val="003E1334"/>
    <w:rsid w:val="003E133B"/>
    <w:rsid w:val="003E2A9D"/>
    <w:rsid w:val="003E2DDF"/>
    <w:rsid w:val="003E3841"/>
    <w:rsid w:val="003E3B93"/>
    <w:rsid w:val="003E479E"/>
    <w:rsid w:val="003E4B7A"/>
    <w:rsid w:val="003E4D66"/>
    <w:rsid w:val="003E51D4"/>
    <w:rsid w:val="003E5AAE"/>
    <w:rsid w:val="003E5D61"/>
    <w:rsid w:val="003E6880"/>
    <w:rsid w:val="003E7E56"/>
    <w:rsid w:val="003F07B0"/>
    <w:rsid w:val="003F0A11"/>
    <w:rsid w:val="003F1389"/>
    <w:rsid w:val="003F1AA6"/>
    <w:rsid w:val="003F3275"/>
    <w:rsid w:val="003F36DC"/>
    <w:rsid w:val="003F3E5A"/>
    <w:rsid w:val="003F4282"/>
    <w:rsid w:val="003F5429"/>
    <w:rsid w:val="003F5E20"/>
    <w:rsid w:val="003F639F"/>
    <w:rsid w:val="003F6664"/>
    <w:rsid w:val="003F72BB"/>
    <w:rsid w:val="003F7C04"/>
    <w:rsid w:val="003F7DB2"/>
    <w:rsid w:val="00400206"/>
    <w:rsid w:val="004009A9"/>
    <w:rsid w:val="00400F8B"/>
    <w:rsid w:val="00401C79"/>
    <w:rsid w:val="00402955"/>
    <w:rsid w:val="00402974"/>
    <w:rsid w:val="00402C51"/>
    <w:rsid w:val="00403FAB"/>
    <w:rsid w:val="00404886"/>
    <w:rsid w:val="00404C03"/>
    <w:rsid w:val="00406331"/>
    <w:rsid w:val="00406351"/>
    <w:rsid w:val="0040643E"/>
    <w:rsid w:val="004064AA"/>
    <w:rsid w:val="00407B33"/>
    <w:rsid w:val="0041014E"/>
    <w:rsid w:val="00410609"/>
    <w:rsid w:val="004109CB"/>
    <w:rsid w:val="00410CE5"/>
    <w:rsid w:val="00410F98"/>
    <w:rsid w:val="004113CD"/>
    <w:rsid w:val="00412B2A"/>
    <w:rsid w:val="004132A2"/>
    <w:rsid w:val="00414BB8"/>
    <w:rsid w:val="00414D49"/>
    <w:rsid w:val="00415248"/>
    <w:rsid w:val="00415988"/>
    <w:rsid w:val="00417612"/>
    <w:rsid w:val="00420625"/>
    <w:rsid w:val="00422917"/>
    <w:rsid w:val="004232A9"/>
    <w:rsid w:val="0042383B"/>
    <w:rsid w:val="0042409F"/>
    <w:rsid w:val="00424DDE"/>
    <w:rsid w:val="00424EC3"/>
    <w:rsid w:val="00424F93"/>
    <w:rsid w:val="004252C1"/>
    <w:rsid w:val="0042541E"/>
    <w:rsid w:val="00427079"/>
    <w:rsid w:val="004306A8"/>
    <w:rsid w:val="00430EDC"/>
    <w:rsid w:val="00431D3F"/>
    <w:rsid w:val="00432454"/>
    <w:rsid w:val="00432AC2"/>
    <w:rsid w:val="00432C72"/>
    <w:rsid w:val="00432F92"/>
    <w:rsid w:val="00434B62"/>
    <w:rsid w:val="0043515D"/>
    <w:rsid w:val="00435651"/>
    <w:rsid w:val="004357A6"/>
    <w:rsid w:val="00436146"/>
    <w:rsid w:val="004362C1"/>
    <w:rsid w:val="00436530"/>
    <w:rsid w:val="00436FD0"/>
    <w:rsid w:val="004375B6"/>
    <w:rsid w:val="004378E0"/>
    <w:rsid w:val="004408D5"/>
    <w:rsid w:val="00441271"/>
    <w:rsid w:val="00441467"/>
    <w:rsid w:val="00441783"/>
    <w:rsid w:val="00441A8A"/>
    <w:rsid w:val="004420DA"/>
    <w:rsid w:val="0044278A"/>
    <w:rsid w:val="00444707"/>
    <w:rsid w:val="004455F6"/>
    <w:rsid w:val="00445698"/>
    <w:rsid w:val="00445751"/>
    <w:rsid w:val="00446621"/>
    <w:rsid w:val="004468C2"/>
    <w:rsid w:val="00446B8D"/>
    <w:rsid w:val="00446D68"/>
    <w:rsid w:val="00446FBE"/>
    <w:rsid w:val="00447580"/>
    <w:rsid w:val="00447727"/>
    <w:rsid w:val="00450441"/>
    <w:rsid w:val="00450BAA"/>
    <w:rsid w:val="00450C44"/>
    <w:rsid w:val="0045386C"/>
    <w:rsid w:val="00454193"/>
    <w:rsid w:val="00454399"/>
    <w:rsid w:val="004547F0"/>
    <w:rsid w:val="00454D05"/>
    <w:rsid w:val="00455838"/>
    <w:rsid w:val="00456E33"/>
    <w:rsid w:val="004573E4"/>
    <w:rsid w:val="00457844"/>
    <w:rsid w:val="004600ED"/>
    <w:rsid w:val="004620CA"/>
    <w:rsid w:val="00463285"/>
    <w:rsid w:val="00464D29"/>
    <w:rsid w:val="004654C2"/>
    <w:rsid w:val="00465846"/>
    <w:rsid w:val="00466120"/>
    <w:rsid w:val="00466349"/>
    <w:rsid w:val="00466B43"/>
    <w:rsid w:val="0046797B"/>
    <w:rsid w:val="00467B01"/>
    <w:rsid w:val="00470896"/>
    <w:rsid w:val="00470E22"/>
    <w:rsid w:val="00472D33"/>
    <w:rsid w:val="004753F2"/>
    <w:rsid w:val="00475BA6"/>
    <w:rsid w:val="00477724"/>
    <w:rsid w:val="00477D70"/>
    <w:rsid w:val="00477DE6"/>
    <w:rsid w:val="00481E93"/>
    <w:rsid w:val="00482AC1"/>
    <w:rsid w:val="004831CC"/>
    <w:rsid w:val="00483B7B"/>
    <w:rsid w:val="004853F7"/>
    <w:rsid w:val="00485567"/>
    <w:rsid w:val="004855BE"/>
    <w:rsid w:val="00485B5D"/>
    <w:rsid w:val="00485BC8"/>
    <w:rsid w:val="00486860"/>
    <w:rsid w:val="00487054"/>
    <w:rsid w:val="0048725B"/>
    <w:rsid w:val="00487686"/>
    <w:rsid w:val="00490079"/>
    <w:rsid w:val="004906A9"/>
    <w:rsid w:val="00491CC3"/>
    <w:rsid w:val="00491ED9"/>
    <w:rsid w:val="004930B1"/>
    <w:rsid w:val="00493D79"/>
    <w:rsid w:val="004949AC"/>
    <w:rsid w:val="00494D31"/>
    <w:rsid w:val="004951DA"/>
    <w:rsid w:val="00495623"/>
    <w:rsid w:val="004957AA"/>
    <w:rsid w:val="00495A39"/>
    <w:rsid w:val="0049622E"/>
    <w:rsid w:val="00496F19"/>
    <w:rsid w:val="0049718B"/>
    <w:rsid w:val="004979B9"/>
    <w:rsid w:val="00497F7E"/>
    <w:rsid w:val="004A04D4"/>
    <w:rsid w:val="004A0988"/>
    <w:rsid w:val="004A0C7A"/>
    <w:rsid w:val="004A0FBF"/>
    <w:rsid w:val="004A17B8"/>
    <w:rsid w:val="004A2034"/>
    <w:rsid w:val="004A2386"/>
    <w:rsid w:val="004A2646"/>
    <w:rsid w:val="004A284B"/>
    <w:rsid w:val="004A2961"/>
    <w:rsid w:val="004A2AFB"/>
    <w:rsid w:val="004A2CDE"/>
    <w:rsid w:val="004A31E7"/>
    <w:rsid w:val="004A31EA"/>
    <w:rsid w:val="004A34DE"/>
    <w:rsid w:val="004A38F8"/>
    <w:rsid w:val="004A3ABF"/>
    <w:rsid w:val="004A449F"/>
    <w:rsid w:val="004A4654"/>
    <w:rsid w:val="004A4AA9"/>
    <w:rsid w:val="004A4B8D"/>
    <w:rsid w:val="004A5B46"/>
    <w:rsid w:val="004A6819"/>
    <w:rsid w:val="004A6B13"/>
    <w:rsid w:val="004A7739"/>
    <w:rsid w:val="004B0167"/>
    <w:rsid w:val="004B14D0"/>
    <w:rsid w:val="004B1CB3"/>
    <w:rsid w:val="004B22E6"/>
    <w:rsid w:val="004B4164"/>
    <w:rsid w:val="004B518D"/>
    <w:rsid w:val="004B710E"/>
    <w:rsid w:val="004B7163"/>
    <w:rsid w:val="004B73DA"/>
    <w:rsid w:val="004B7580"/>
    <w:rsid w:val="004B75AE"/>
    <w:rsid w:val="004B77E4"/>
    <w:rsid w:val="004C0389"/>
    <w:rsid w:val="004C17A6"/>
    <w:rsid w:val="004C43EA"/>
    <w:rsid w:val="004C4445"/>
    <w:rsid w:val="004C53AD"/>
    <w:rsid w:val="004C5929"/>
    <w:rsid w:val="004C5B35"/>
    <w:rsid w:val="004C6291"/>
    <w:rsid w:val="004C65F0"/>
    <w:rsid w:val="004C680C"/>
    <w:rsid w:val="004C6EC4"/>
    <w:rsid w:val="004C7205"/>
    <w:rsid w:val="004D0275"/>
    <w:rsid w:val="004D03D8"/>
    <w:rsid w:val="004D07C7"/>
    <w:rsid w:val="004D2473"/>
    <w:rsid w:val="004D2A86"/>
    <w:rsid w:val="004D36C0"/>
    <w:rsid w:val="004D3BA2"/>
    <w:rsid w:val="004D3BDF"/>
    <w:rsid w:val="004D3F35"/>
    <w:rsid w:val="004D47E5"/>
    <w:rsid w:val="004D4CC5"/>
    <w:rsid w:val="004D59E6"/>
    <w:rsid w:val="004D5E8D"/>
    <w:rsid w:val="004D5F56"/>
    <w:rsid w:val="004D6024"/>
    <w:rsid w:val="004D6404"/>
    <w:rsid w:val="004D711D"/>
    <w:rsid w:val="004E0543"/>
    <w:rsid w:val="004E091D"/>
    <w:rsid w:val="004E0C7B"/>
    <w:rsid w:val="004E1414"/>
    <w:rsid w:val="004E1D8C"/>
    <w:rsid w:val="004E2DBB"/>
    <w:rsid w:val="004E336F"/>
    <w:rsid w:val="004E3CB0"/>
    <w:rsid w:val="004E3F9A"/>
    <w:rsid w:val="004E4773"/>
    <w:rsid w:val="004E51F2"/>
    <w:rsid w:val="004E5457"/>
    <w:rsid w:val="004E5A83"/>
    <w:rsid w:val="004E5CC0"/>
    <w:rsid w:val="004E695E"/>
    <w:rsid w:val="004E6DD3"/>
    <w:rsid w:val="004E70C4"/>
    <w:rsid w:val="004E7C1E"/>
    <w:rsid w:val="004E7F0A"/>
    <w:rsid w:val="004F05F2"/>
    <w:rsid w:val="004F106A"/>
    <w:rsid w:val="004F1136"/>
    <w:rsid w:val="004F1426"/>
    <w:rsid w:val="004F1F43"/>
    <w:rsid w:val="004F3C8A"/>
    <w:rsid w:val="004F400A"/>
    <w:rsid w:val="004F496B"/>
    <w:rsid w:val="004F4CDB"/>
    <w:rsid w:val="004F4FDD"/>
    <w:rsid w:val="004F5A96"/>
    <w:rsid w:val="004F6CF4"/>
    <w:rsid w:val="004F6D8C"/>
    <w:rsid w:val="004F744E"/>
    <w:rsid w:val="0050085E"/>
    <w:rsid w:val="005010E4"/>
    <w:rsid w:val="00501492"/>
    <w:rsid w:val="005016D0"/>
    <w:rsid w:val="00501B26"/>
    <w:rsid w:val="00501DE1"/>
    <w:rsid w:val="005022B2"/>
    <w:rsid w:val="005022C2"/>
    <w:rsid w:val="005024CE"/>
    <w:rsid w:val="00502BAA"/>
    <w:rsid w:val="0050447C"/>
    <w:rsid w:val="00504949"/>
    <w:rsid w:val="00506171"/>
    <w:rsid w:val="005062F5"/>
    <w:rsid w:val="005076CE"/>
    <w:rsid w:val="005077A2"/>
    <w:rsid w:val="00507A4D"/>
    <w:rsid w:val="005100D8"/>
    <w:rsid w:val="00510C48"/>
    <w:rsid w:val="005119F4"/>
    <w:rsid w:val="00511C4C"/>
    <w:rsid w:val="00511D9A"/>
    <w:rsid w:val="00511DDD"/>
    <w:rsid w:val="00511F2F"/>
    <w:rsid w:val="00512F2D"/>
    <w:rsid w:val="005133CB"/>
    <w:rsid w:val="00513479"/>
    <w:rsid w:val="005134AA"/>
    <w:rsid w:val="00515615"/>
    <w:rsid w:val="00515993"/>
    <w:rsid w:val="0051621E"/>
    <w:rsid w:val="00516D3C"/>
    <w:rsid w:val="00516E6F"/>
    <w:rsid w:val="0051735C"/>
    <w:rsid w:val="00517B94"/>
    <w:rsid w:val="00517F46"/>
    <w:rsid w:val="00520209"/>
    <w:rsid w:val="0052076B"/>
    <w:rsid w:val="00520B7B"/>
    <w:rsid w:val="00520D15"/>
    <w:rsid w:val="00521CB3"/>
    <w:rsid w:val="00523A47"/>
    <w:rsid w:val="00523B11"/>
    <w:rsid w:val="00524059"/>
    <w:rsid w:val="00526078"/>
    <w:rsid w:val="005263EC"/>
    <w:rsid w:val="00526DFC"/>
    <w:rsid w:val="00526FE7"/>
    <w:rsid w:val="00527A17"/>
    <w:rsid w:val="00527EB0"/>
    <w:rsid w:val="005302CF"/>
    <w:rsid w:val="005303CA"/>
    <w:rsid w:val="005305FA"/>
    <w:rsid w:val="00530DF8"/>
    <w:rsid w:val="00531A73"/>
    <w:rsid w:val="00531CA7"/>
    <w:rsid w:val="005324A6"/>
    <w:rsid w:val="005327DD"/>
    <w:rsid w:val="00532DD7"/>
    <w:rsid w:val="0053306E"/>
    <w:rsid w:val="00533E8A"/>
    <w:rsid w:val="005341DC"/>
    <w:rsid w:val="005346D7"/>
    <w:rsid w:val="00535601"/>
    <w:rsid w:val="00535D3D"/>
    <w:rsid w:val="00536768"/>
    <w:rsid w:val="005372F7"/>
    <w:rsid w:val="00537322"/>
    <w:rsid w:val="005375DC"/>
    <w:rsid w:val="00537811"/>
    <w:rsid w:val="0054182E"/>
    <w:rsid w:val="00541FE8"/>
    <w:rsid w:val="00542227"/>
    <w:rsid w:val="005423A5"/>
    <w:rsid w:val="005424B5"/>
    <w:rsid w:val="00542CEE"/>
    <w:rsid w:val="00543099"/>
    <w:rsid w:val="00543BE5"/>
    <w:rsid w:val="0054573C"/>
    <w:rsid w:val="005458B2"/>
    <w:rsid w:val="00546097"/>
    <w:rsid w:val="00546B65"/>
    <w:rsid w:val="00546FB4"/>
    <w:rsid w:val="0054706A"/>
    <w:rsid w:val="00547821"/>
    <w:rsid w:val="00547A89"/>
    <w:rsid w:val="00547C67"/>
    <w:rsid w:val="005507E0"/>
    <w:rsid w:val="005519F6"/>
    <w:rsid w:val="0055237E"/>
    <w:rsid w:val="00552A7B"/>
    <w:rsid w:val="00552BE0"/>
    <w:rsid w:val="0055337A"/>
    <w:rsid w:val="005544CE"/>
    <w:rsid w:val="00554757"/>
    <w:rsid w:val="00554865"/>
    <w:rsid w:val="00554C11"/>
    <w:rsid w:val="00554F42"/>
    <w:rsid w:val="0055616B"/>
    <w:rsid w:val="005561C8"/>
    <w:rsid w:val="00556940"/>
    <w:rsid w:val="00556D62"/>
    <w:rsid w:val="00556F74"/>
    <w:rsid w:val="00556FAF"/>
    <w:rsid w:val="00557424"/>
    <w:rsid w:val="00557E8F"/>
    <w:rsid w:val="005609B4"/>
    <w:rsid w:val="00560A26"/>
    <w:rsid w:val="005621BD"/>
    <w:rsid w:val="00562E19"/>
    <w:rsid w:val="005636FA"/>
    <w:rsid w:val="0056373A"/>
    <w:rsid w:val="00563744"/>
    <w:rsid w:val="00563DB8"/>
    <w:rsid w:val="005642A5"/>
    <w:rsid w:val="005644AA"/>
    <w:rsid w:val="00564608"/>
    <w:rsid w:val="005647F8"/>
    <w:rsid w:val="00564A1B"/>
    <w:rsid w:val="00564BF4"/>
    <w:rsid w:val="00565076"/>
    <w:rsid w:val="00565629"/>
    <w:rsid w:val="00565A5E"/>
    <w:rsid w:val="00565D50"/>
    <w:rsid w:val="00566801"/>
    <w:rsid w:val="00566AFD"/>
    <w:rsid w:val="00566F71"/>
    <w:rsid w:val="00567854"/>
    <w:rsid w:val="00567996"/>
    <w:rsid w:val="00570908"/>
    <w:rsid w:val="00571607"/>
    <w:rsid w:val="005717D6"/>
    <w:rsid w:val="00571A74"/>
    <w:rsid w:val="00571C92"/>
    <w:rsid w:val="00571D24"/>
    <w:rsid w:val="005723B9"/>
    <w:rsid w:val="005726BA"/>
    <w:rsid w:val="0057299B"/>
    <w:rsid w:val="005746EF"/>
    <w:rsid w:val="00574C83"/>
    <w:rsid w:val="00574FCE"/>
    <w:rsid w:val="00575201"/>
    <w:rsid w:val="005752BF"/>
    <w:rsid w:val="005759ED"/>
    <w:rsid w:val="0057620C"/>
    <w:rsid w:val="00576DE8"/>
    <w:rsid w:val="005776F6"/>
    <w:rsid w:val="005778AB"/>
    <w:rsid w:val="005807E3"/>
    <w:rsid w:val="00580C5A"/>
    <w:rsid w:val="005810DF"/>
    <w:rsid w:val="0058149F"/>
    <w:rsid w:val="0058173E"/>
    <w:rsid w:val="00582BE5"/>
    <w:rsid w:val="00583101"/>
    <w:rsid w:val="00583199"/>
    <w:rsid w:val="005836B3"/>
    <w:rsid w:val="00584D72"/>
    <w:rsid w:val="00586240"/>
    <w:rsid w:val="0058662D"/>
    <w:rsid w:val="00586C40"/>
    <w:rsid w:val="00587F78"/>
    <w:rsid w:val="005900C3"/>
    <w:rsid w:val="00590358"/>
    <w:rsid w:val="00590A21"/>
    <w:rsid w:val="005932EC"/>
    <w:rsid w:val="005937D4"/>
    <w:rsid w:val="005939E8"/>
    <w:rsid w:val="005947A1"/>
    <w:rsid w:val="0059569E"/>
    <w:rsid w:val="00595791"/>
    <w:rsid w:val="00595B97"/>
    <w:rsid w:val="00595D79"/>
    <w:rsid w:val="005966D8"/>
    <w:rsid w:val="005973B3"/>
    <w:rsid w:val="0059769C"/>
    <w:rsid w:val="00597F33"/>
    <w:rsid w:val="005A054E"/>
    <w:rsid w:val="005A0F75"/>
    <w:rsid w:val="005A1219"/>
    <w:rsid w:val="005A129A"/>
    <w:rsid w:val="005A12C1"/>
    <w:rsid w:val="005A1ADC"/>
    <w:rsid w:val="005A1C6C"/>
    <w:rsid w:val="005A1D3E"/>
    <w:rsid w:val="005A2058"/>
    <w:rsid w:val="005A213D"/>
    <w:rsid w:val="005A24AE"/>
    <w:rsid w:val="005A332E"/>
    <w:rsid w:val="005A35B4"/>
    <w:rsid w:val="005A422E"/>
    <w:rsid w:val="005A4451"/>
    <w:rsid w:val="005A52E5"/>
    <w:rsid w:val="005A5D40"/>
    <w:rsid w:val="005A5DCB"/>
    <w:rsid w:val="005A6FB4"/>
    <w:rsid w:val="005A7223"/>
    <w:rsid w:val="005A7235"/>
    <w:rsid w:val="005A7BA6"/>
    <w:rsid w:val="005B1751"/>
    <w:rsid w:val="005B1D7B"/>
    <w:rsid w:val="005B2EFB"/>
    <w:rsid w:val="005B3173"/>
    <w:rsid w:val="005B3D33"/>
    <w:rsid w:val="005B499E"/>
    <w:rsid w:val="005B5476"/>
    <w:rsid w:val="005B6A8D"/>
    <w:rsid w:val="005C195D"/>
    <w:rsid w:val="005C2031"/>
    <w:rsid w:val="005C2033"/>
    <w:rsid w:val="005C2045"/>
    <w:rsid w:val="005C2D63"/>
    <w:rsid w:val="005D06F3"/>
    <w:rsid w:val="005D085A"/>
    <w:rsid w:val="005D0ACB"/>
    <w:rsid w:val="005D1204"/>
    <w:rsid w:val="005D140B"/>
    <w:rsid w:val="005D1C36"/>
    <w:rsid w:val="005D1D6F"/>
    <w:rsid w:val="005D1F2E"/>
    <w:rsid w:val="005D2654"/>
    <w:rsid w:val="005D2796"/>
    <w:rsid w:val="005D2E6F"/>
    <w:rsid w:val="005D2EA0"/>
    <w:rsid w:val="005D35C8"/>
    <w:rsid w:val="005D5624"/>
    <w:rsid w:val="005D5865"/>
    <w:rsid w:val="005D5F1D"/>
    <w:rsid w:val="005D6F14"/>
    <w:rsid w:val="005E0085"/>
    <w:rsid w:val="005E03A2"/>
    <w:rsid w:val="005E05CD"/>
    <w:rsid w:val="005E06B1"/>
    <w:rsid w:val="005E2A61"/>
    <w:rsid w:val="005E2F61"/>
    <w:rsid w:val="005E35C4"/>
    <w:rsid w:val="005E489D"/>
    <w:rsid w:val="005E4A7B"/>
    <w:rsid w:val="005E4CA9"/>
    <w:rsid w:val="005E4F77"/>
    <w:rsid w:val="005E588F"/>
    <w:rsid w:val="005E5BEC"/>
    <w:rsid w:val="005E5D2D"/>
    <w:rsid w:val="005E6928"/>
    <w:rsid w:val="005E6FAB"/>
    <w:rsid w:val="005E72FF"/>
    <w:rsid w:val="005E76DC"/>
    <w:rsid w:val="005F1234"/>
    <w:rsid w:val="005F13AA"/>
    <w:rsid w:val="005F1B6D"/>
    <w:rsid w:val="005F20CE"/>
    <w:rsid w:val="005F21C3"/>
    <w:rsid w:val="005F3975"/>
    <w:rsid w:val="005F3C44"/>
    <w:rsid w:val="005F484B"/>
    <w:rsid w:val="005F50BC"/>
    <w:rsid w:val="005F5616"/>
    <w:rsid w:val="005F600F"/>
    <w:rsid w:val="005F61FC"/>
    <w:rsid w:val="005F78DD"/>
    <w:rsid w:val="00600EF8"/>
    <w:rsid w:val="00601B3B"/>
    <w:rsid w:val="00601CA3"/>
    <w:rsid w:val="00602636"/>
    <w:rsid w:val="006028BF"/>
    <w:rsid w:val="006029E9"/>
    <w:rsid w:val="00602AFD"/>
    <w:rsid w:val="006032DE"/>
    <w:rsid w:val="006036CD"/>
    <w:rsid w:val="00603ADF"/>
    <w:rsid w:val="00603CAA"/>
    <w:rsid w:val="00603CC1"/>
    <w:rsid w:val="00604434"/>
    <w:rsid w:val="0060451D"/>
    <w:rsid w:val="00604681"/>
    <w:rsid w:val="0060469A"/>
    <w:rsid w:val="00604D35"/>
    <w:rsid w:val="00605190"/>
    <w:rsid w:val="0060549C"/>
    <w:rsid w:val="006058C6"/>
    <w:rsid w:val="006062B1"/>
    <w:rsid w:val="006071E2"/>
    <w:rsid w:val="0060721C"/>
    <w:rsid w:val="0060750F"/>
    <w:rsid w:val="006079C2"/>
    <w:rsid w:val="00607CE7"/>
    <w:rsid w:val="00610C01"/>
    <w:rsid w:val="00611426"/>
    <w:rsid w:val="00612DED"/>
    <w:rsid w:val="00613362"/>
    <w:rsid w:val="00613FBA"/>
    <w:rsid w:val="00614663"/>
    <w:rsid w:val="00614C95"/>
    <w:rsid w:val="006150A3"/>
    <w:rsid w:val="006161DD"/>
    <w:rsid w:val="0061689C"/>
    <w:rsid w:val="00617051"/>
    <w:rsid w:val="00617471"/>
    <w:rsid w:val="0061785D"/>
    <w:rsid w:val="0061798C"/>
    <w:rsid w:val="006210DF"/>
    <w:rsid w:val="006214F4"/>
    <w:rsid w:val="0062163B"/>
    <w:rsid w:val="006221FF"/>
    <w:rsid w:val="00622434"/>
    <w:rsid w:val="00622500"/>
    <w:rsid w:val="00622738"/>
    <w:rsid w:val="00623641"/>
    <w:rsid w:val="00623817"/>
    <w:rsid w:val="00624119"/>
    <w:rsid w:val="006248E2"/>
    <w:rsid w:val="00624BE7"/>
    <w:rsid w:val="00624D13"/>
    <w:rsid w:val="006254C8"/>
    <w:rsid w:val="0062570F"/>
    <w:rsid w:val="006262C0"/>
    <w:rsid w:val="006263EB"/>
    <w:rsid w:val="00627768"/>
    <w:rsid w:val="00627C33"/>
    <w:rsid w:val="00630935"/>
    <w:rsid w:val="0063093C"/>
    <w:rsid w:val="00631307"/>
    <w:rsid w:val="00631E1D"/>
    <w:rsid w:val="00632026"/>
    <w:rsid w:val="00632797"/>
    <w:rsid w:val="0063402D"/>
    <w:rsid w:val="006341EB"/>
    <w:rsid w:val="006345A2"/>
    <w:rsid w:val="006345CB"/>
    <w:rsid w:val="0063473A"/>
    <w:rsid w:val="00635E63"/>
    <w:rsid w:val="006364B9"/>
    <w:rsid w:val="00636A58"/>
    <w:rsid w:val="00637244"/>
    <w:rsid w:val="0064010C"/>
    <w:rsid w:val="006403FA"/>
    <w:rsid w:val="00640646"/>
    <w:rsid w:val="006406C5"/>
    <w:rsid w:val="00640DB6"/>
    <w:rsid w:val="0064130B"/>
    <w:rsid w:val="00642467"/>
    <w:rsid w:val="00642D76"/>
    <w:rsid w:val="00643FF8"/>
    <w:rsid w:val="006443DF"/>
    <w:rsid w:val="00644CC6"/>
    <w:rsid w:val="00644EBE"/>
    <w:rsid w:val="006450EC"/>
    <w:rsid w:val="00645B0D"/>
    <w:rsid w:val="00645CE5"/>
    <w:rsid w:val="00646035"/>
    <w:rsid w:val="00646DA6"/>
    <w:rsid w:val="00650015"/>
    <w:rsid w:val="00651606"/>
    <w:rsid w:val="0065161C"/>
    <w:rsid w:val="006516CC"/>
    <w:rsid w:val="00652270"/>
    <w:rsid w:val="00652B35"/>
    <w:rsid w:val="00652EE5"/>
    <w:rsid w:val="00653671"/>
    <w:rsid w:val="00653E2E"/>
    <w:rsid w:val="0065454C"/>
    <w:rsid w:val="00655D14"/>
    <w:rsid w:val="00656137"/>
    <w:rsid w:val="0065733C"/>
    <w:rsid w:val="00660027"/>
    <w:rsid w:val="0066027A"/>
    <w:rsid w:val="00660B98"/>
    <w:rsid w:val="006619CA"/>
    <w:rsid w:val="00663348"/>
    <w:rsid w:val="00663E1B"/>
    <w:rsid w:val="0066438E"/>
    <w:rsid w:val="00664C27"/>
    <w:rsid w:val="00665B54"/>
    <w:rsid w:val="00665B9F"/>
    <w:rsid w:val="00665DDC"/>
    <w:rsid w:val="00665EAF"/>
    <w:rsid w:val="00665EEB"/>
    <w:rsid w:val="00665F44"/>
    <w:rsid w:val="00666566"/>
    <w:rsid w:val="00666D5A"/>
    <w:rsid w:val="0067055A"/>
    <w:rsid w:val="00670897"/>
    <w:rsid w:val="006715DB"/>
    <w:rsid w:val="006717A0"/>
    <w:rsid w:val="00672A20"/>
    <w:rsid w:val="00673763"/>
    <w:rsid w:val="006737EC"/>
    <w:rsid w:val="006739CE"/>
    <w:rsid w:val="006755DD"/>
    <w:rsid w:val="00677347"/>
    <w:rsid w:val="00680873"/>
    <w:rsid w:val="0068304A"/>
    <w:rsid w:val="00683207"/>
    <w:rsid w:val="0068358B"/>
    <w:rsid w:val="006849D1"/>
    <w:rsid w:val="00684C6D"/>
    <w:rsid w:val="00684D2C"/>
    <w:rsid w:val="00686BA5"/>
    <w:rsid w:val="00686D01"/>
    <w:rsid w:val="00686D59"/>
    <w:rsid w:val="00687254"/>
    <w:rsid w:val="006872DE"/>
    <w:rsid w:val="00687583"/>
    <w:rsid w:val="00690B1B"/>
    <w:rsid w:val="00690FEC"/>
    <w:rsid w:val="0069112E"/>
    <w:rsid w:val="00691828"/>
    <w:rsid w:val="00691867"/>
    <w:rsid w:val="00691A07"/>
    <w:rsid w:val="00692B88"/>
    <w:rsid w:val="00692DB7"/>
    <w:rsid w:val="00692E59"/>
    <w:rsid w:val="006939AF"/>
    <w:rsid w:val="00693A8B"/>
    <w:rsid w:val="00693BF8"/>
    <w:rsid w:val="00693D40"/>
    <w:rsid w:val="006947C9"/>
    <w:rsid w:val="00694FDD"/>
    <w:rsid w:val="00695315"/>
    <w:rsid w:val="0069637D"/>
    <w:rsid w:val="006969C2"/>
    <w:rsid w:val="006969F9"/>
    <w:rsid w:val="006971C6"/>
    <w:rsid w:val="00697598"/>
    <w:rsid w:val="0069763A"/>
    <w:rsid w:val="0069766D"/>
    <w:rsid w:val="00697B94"/>
    <w:rsid w:val="006A01ED"/>
    <w:rsid w:val="006A05FF"/>
    <w:rsid w:val="006A0FB1"/>
    <w:rsid w:val="006A12A6"/>
    <w:rsid w:val="006A173F"/>
    <w:rsid w:val="006A1AC5"/>
    <w:rsid w:val="006A1AE7"/>
    <w:rsid w:val="006A231D"/>
    <w:rsid w:val="006A29EB"/>
    <w:rsid w:val="006A35B1"/>
    <w:rsid w:val="006A42E9"/>
    <w:rsid w:val="006A4411"/>
    <w:rsid w:val="006A6EDB"/>
    <w:rsid w:val="006A7EF8"/>
    <w:rsid w:val="006B102F"/>
    <w:rsid w:val="006B15F9"/>
    <w:rsid w:val="006B18D6"/>
    <w:rsid w:val="006B1A54"/>
    <w:rsid w:val="006B20E9"/>
    <w:rsid w:val="006B2749"/>
    <w:rsid w:val="006B368F"/>
    <w:rsid w:val="006B3830"/>
    <w:rsid w:val="006B3FBB"/>
    <w:rsid w:val="006B42B0"/>
    <w:rsid w:val="006B44A4"/>
    <w:rsid w:val="006B490F"/>
    <w:rsid w:val="006B57A3"/>
    <w:rsid w:val="006B58DB"/>
    <w:rsid w:val="006B5966"/>
    <w:rsid w:val="006B6448"/>
    <w:rsid w:val="006B66F1"/>
    <w:rsid w:val="006B6B7D"/>
    <w:rsid w:val="006B71FF"/>
    <w:rsid w:val="006B72E9"/>
    <w:rsid w:val="006B738C"/>
    <w:rsid w:val="006B769C"/>
    <w:rsid w:val="006B770D"/>
    <w:rsid w:val="006C0178"/>
    <w:rsid w:val="006C0CD4"/>
    <w:rsid w:val="006C1677"/>
    <w:rsid w:val="006C17BC"/>
    <w:rsid w:val="006C2C4E"/>
    <w:rsid w:val="006C3B08"/>
    <w:rsid w:val="006C4CAA"/>
    <w:rsid w:val="006C68A7"/>
    <w:rsid w:val="006C7201"/>
    <w:rsid w:val="006C780F"/>
    <w:rsid w:val="006C79DB"/>
    <w:rsid w:val="006C7B6A"/>
    <w:rsid w:val="006D09D6"/>
    <w:rsid w:val="006D0ACC"/>
    <w:rsid w:val="006D1400"/>
    <w:rsid w:val="006D1D54"/>
    <w:rsid w:val="006D2490"/>
    <w:rsid w:val="006D419B"/>
    <w:rsid w:val="006D512C"/>
    <w:rsid w:val="006D7A1A"/>
    <w:rsid w:val="006D7C65"/>
    <w:rsid w:val="006E009D"/>
    <w:rsid w:val="006E0122"/>
    <w:rsid w:val="006E0960"/>
    <w:rsid w:val="006E116F"/>
    <w:rsid w:val="006E13FF"/>
    <w:rsid w:val="006E197A"/>
    <w:rsid w:val="006E1A1F"/>
    <w:rsid w:val="006E1BB3"/>
    <w:rsid w:val="006E1DC0"/>
    <w:rsid w:val="006E2609"/>
    <w:rsid w:val="006E303E"/>
    <w:rsid w:val="006E4817"/>
    <w:rsid w:val="006E5591"/>
    <w:rsid w:val="006E5883"/>
    <w:rsid w:val="006E5E80"/>
    <w:rsid w:val="006E6660"/>
    <w:rsid w:val="006E6819"/>
    <w:rsid w:val="006E6A2C"/>
    <w:rsid w:val="006E6C7E"/>
    <w:rsid w:val="006E6D5C"/>
    <w:rsid w:val="006E77B7"/>
    <w:rsid w:val="006E7D37"/>
    <w:rsid w:val="006F03E1"/>
    <w:rsid w:val="006F1F1D"/>
    <w:rsid w:val="006F1F32"/>
    <w:rsid w:val="006F2E9D"/>
    <w:rsid w:val="006F30DA"/>
    <w:rsid w:val="006F481B"/>
    <w:rsid w:val="006F4946"/>
    <w:rsid w:val="006F5617"/>
    <w:rsid w:val="006F5D2B"/>
    <w:rsid w:val="00700983"/>
    <w:rsid w:val="00700DE5"/>
    <w:rsid w:val="00701224"/>
    <w:rsid w:val="00701A94"/>
    <w:rsid w:val="007020F8"/>
    <w:rsid w:val="007029CB"/>
    <w:rsid w:val="00702E91"/>
    <w:rsid w:val="00702F36"/>
    <w:rsid w:val="00703EF4"/>
    <w:rsid w:val="00703FEF"/>
    <w:rsid w:val="00704459"/>
    <w:rsid w:val="007045C4"/>
    <w:rsid w:val="00704CBA"/>
    <w:rsid w:val="0070622D"/>
    <w:rsid w:val="00706B15"/>
    <w:rsid w:val="00706F41"/>
    <w:rsid w:val="00707305"/>
    <w:rsid w:val="00710A21"/>
    <w:rsid w:val="00711E9E"/>
    <w:rsid w:val="00712315"/>
    <w:rsid w:val="00712749"/>
    <w:rsid w:val="007128E1"/>
    <w:rsid w:val="00712CC0"/>
    <w:rsid w:val="007139DB"/>
    <w:rsid w:val="00714212"/>
    <w:rsid w:val="00714D14"/>
    <w:rsid w:val="00714E66"/>
    <w:rsid w:val="00714EC1"/>
    <w:rsid w:val="00714F3F"/>
    <w:rsid w:val="0071566B"/>
    <w:rsid w:val="00716214"/>
    <w:rsid w:val="007163C2"/>
    <w:rsid w:val="007167A3"/>
    <w:rsid w:val="00716971"/>
    <w:rsid w:val="00716CE1"/>
    <w:rsid w:val="00716D1D"/>
    <w:rsid w:val="007173D7"/>
    <w:rsid w:val="00720198"/>
    <w:rsid w:val="00720B5B"/>
    <w:rsid w:val="007215CE"/>
    <w:rsid w:val="007223E6"/>
    <w:rsid w:val="007228FD"/>
    <w:rsid w:val="0072437E"/>
    <w:rsid w:val="00724442"/>
    <w:rsid w:val="0072453F"/>
    <w:rsid w:val="007247D5"/>
    <w:rsid w:val="00724815"/>
    <w:rsid w:val="00725A4D"/>
    <w:rsid w:val="00726243"/>
    <w:rsid w:val="00726C05"/>
    <w:rsid w:val="00726EFA"/>
    <w:rsid w:val="0072746F"/>
    <w:rsid w:val="007279D9"/>
    <w:rsid w:val="0073011A"/>
    <w:rsid w:val="00730981"/>
    <w:rsid w:val="00732759"/>
    <w:rsid w:val="00732A40"/>
    <w:rsid w:val="00734468"/>
    <w:rsid w:val="00734893"/>
    <w:rsid w:val="00735197"/>
    <w:rsid w:val="00735C37"/>
    <w:rsid w:val="00736A55"/>
    <w:rsid w:val="0073764A"/>
    <w:rsid w:val="0073767D"/>
    <w:rsid w:val="00737A10"/>
    <w:rsid w:val="0074007C"/>
    <w:rsid w:val="0074077E"/>
    <w:rsid w:val="00741CD7"/>
    <w:rsid w:val="00741D8C"/>
    <w:rsid w:val="00742631"/>
    <w:rsid w:val="00742A09"/>
    <w:rsid w:val="00742C7D"/>
    <w:rsid w:val="00742DE0"/>
    <w:rsid w:val="00743072"/>
    <w:rsid w:val="00743A10"/>
    <w:rsid w:val="00743BAD"/>
    <w:rsid w:val="00745696"/>
    <w:rsid w:val="00745A5F"/>
    <w:rsid w:val="00746B2E"/>
    <w:rsid w:val="00746BC5"/>
    <w:rsid w:val="00746F8F"/>
    <w:rsid w:val="00747678"/>
    <w:rsid w:val="00747B1F"/>
    <w:rsid w:val="00747BDD"/>
    <w:rsid w:val="00750796"/>
    <w:rsid w:val="00750E58"/>
    <w:rsid w:val="00751381"/>
    <w:rsid w:val="007534F8"/>
    <w:rsid w:val="00753C3F"/>
    <w:rsid w:val="00753D5A"/>
    <w:rsid w:val="0075404F"/>
    <w:rsid w:val="007545BF"/>
    <w:rsid w:val="007558ED"/>
    <w:rsid w:val="007560F1"/>
    <w:rsid w:val="00756137"/>
    <w:rsid w:val="0075653D"/>
    <w:rsid w:val="007565EE"/>
    <w:rsid w:val="007569E3"/>
    <w:rsid w:val="00761942"/>
    <w:rsid w:val="00762228"/>
    <w:rsid w:val="00762848"/>
    <w:rsid w:val="00762DA3"/>
    <w:rsid w:val="007636BE"/>
    <w:rsid w:val="00763714"/>
    <w:rsid w:val="00763E34"/>
    <w:rsid w:val="00764EF9"/>
    <w:rsid w:val="0076520A"/>
    <w:rsid w:val="00765E05"/>
    <w:rsid w:val="00766167"/>
    <w:rsid w:val="00770A11"/>
    <w:rsid w:val="00770A34"/>
    <w:rsid w:val="00770FC4"/>
    <w:rsid w:val="007711BC"/>
    <w:rsid w:val="007713C7"/>
    <w:rsid w:val="00771829"/>
    <w:rsid w:val="00772C87"/>
    <w:rsid w:val="00772D61"/>
    <w:rsid w:val="00774706"/>
    <w:rsid w:val="00775025"/>
    <w:rsid w:val="007756BD"/>
    <w:rsid w:val="00775820"/>
    <w:rsid w:val="00775FBE"/>
    <w:rsid w:val="00776B20"/>
    <w:rsid w:val="00776C0D"/>
    <w:rsid w:val="0077706F"/>
    <w:rsid w:val="0077747C"/>
    <w:rsid w:val="00780787"/>
    <w:rsid w:val="007813B8"/>
    <w:rsid w:val="00781704"/>
    <w:rsid w:val="0078192A"/>
    <w:rsid w:val="00782A18"/>
    <w:rsid w:val="00782D12"/>
    <w:rsid w:val="00782E5A"/>
    <w:rsid w:val="007837C6"/>
    <w:rsid w:val="007838DA"/>
    <w:rsid w:val="0078463B"/>
    <w:rsid w:val="00784BDC"/>
    <w:rsid w:val="007853D4"/>
    <w:rsid w:val="007860F8"/>
    <w:rsid w:val="00786880"/>
    <w:rsid w:val="00786B35"/>
    <w:rsid w:val="00787035"/>
    <w:rsid w:val="00787364"/>
    <w:rsid w:val="00790415"/>
    <w:rsid w:val="0079060C"/>
    <w:rsid w:val="00790AB8"/>
    <w:rsid w:val="00791DFE"/>
    <w:rsid w:val="007927B8"/>
    <w:rsid w:val="00793269"/>
    <w:rsid w:val="007937AD"/>
    <w:rsid w:val="00794978"/>
    <w:rsid w:val="00795DFB"/>
    <w:rsid w:val="00795E32"/>
    <w:rsid w:val="00796ED4"/>
    <w:rsid w:val="007975D8"/>
    <w:rsid w:val="007979B5"/>
    <w:rsid w:val="00797F25"/>
    <w:rsid w:val="007A0115"/>
    <w:rsid w:val="007A2883"/>
    <w:rsid w:val="007A2D8E"/>
    <w:rsid w:val="007A3403"/>
    <w:rsid w:val="007A3539"/>
    <w:rsid w:val="007A3BB3"/>
    <w:rsid w:val="007A3C78"/>
    <w:rsid w:val="007A4ADE"/>
    <w:rsid w:val="007A5180"/>
    <w:rsid w:val="007A5A6C"/>
    <w:rsid w:val="007A5EE5"/>
    <w:rsid w:val="007A67C7"/>
    <w:rsid w:val="007A7B0F"/>
    <w:rsid w:val="007B0060"/>
    <w:rsid w:val="007B00E3"/>
    <w:rsid w:val="007B0BEC"/>
    <w:rsid w:val="007B0DF9"/>
    <w:rsid w:val="007B14AA"/>
    <w:rsid w:val="007B1854"/>
    <w:rsid w:val="007B1B3B"/>
    <w:rsid w:val="007B22C1"/>
    <w:rsid w:val="007B2A30"/>
    <w:rsid w:val="007B41DD"/>
    <w:rsid w:val="007B5199"/>
    <w:rsid w:val="007B55B9"/>
    <w:rsid w:val="007B6D0F"/>
    <w:rsid w:val="007B74AA"/>
    <w:rsid w:val="007B794A"/>
    <w:rsid w:val="007B7DAE"/>
    <w:rsid w:val="007C104B"/>
    <w:rsid w:val="007C1555"/>
    <w:rsid w:val="007C1B01"/>
    <w:rsid w:val="007C1D97"/>
    <w:rsid w:val="007C2017"/>
    <w:rsid w:val="007C2358"/>
    <w:rsid w:val="007C27EB"/>
    <w:rsid w:val="007C285F"/>
    <w:rsid w:val="007C3427"/>
    <w:rsid w:val="007C3A41"/>
    <w:rsid w:val="007C4161"/>
    <w:rsid w:val="007C4A7D"/>
    <w:rsid w:val="007C56E9"/>
    <w:rsid w:val="007C6FD6"/>
    <w:rsid w:val="007C7191"/>
    <w:rsid w:val="007C7392"/>
    <w:rsid w:val="007C7549"/>
    <w:rsid w:val="007D060A"/>
    <w:rsid w:val="007D1451"/>
    <w:rsid w:val="007D1B8B"/>
    <w:rsid w:val="007D2824"/>
    <w:rsid w:val="007D3C4B"/>
    <w:rsid w:val="007D4381"/>
    <w:rsid w:val="007D47D8"/>
    <w:rsid w:val="007D558E"/>
    <w:rsid w:val="007D584F"/>
    <w:rsid w:val="007D58A8"/>
    <w:rsid w:val="007D64AC"/>
    <w:rsid w:val="007D66A3"/>
    <w:rsid w:val="007D7BD2"/>
    <w:rsid w:val="007E0597"/>
    <w:rsid w:val="007E0985"/>
    <w:rsid w:val="007E173F"/>
    <w:rsid w:val="007E1BD7"/>
    <w:rsid w:val="007E1DEB"/>
    <w:rsid w:val="007E2E4D"/>
    <w:rsid w:val="007E36E6"/>
    <w:rsid w:val="007E3D65"/>
    <w:rsid w:val="007E403E"/>
    <w:rsid w:val="007E4226"/>
    <w:rsid w:val="007E4319"/>
    <w:rsid w:val="007E45EC"/>
    <w:rsid w:val="007E4B86"/>
    <w:rsid w:val="007E6959"/>
    <w:rsid w:val="007E6CAD"/>
    <w:rsid w:val="007E6E0D"/>
    <w:rsid w:val="007E71B0"/>
    <w:rsid w:val="007E72E9"/>
    <w:rsid w:val="007E76B5"/>
    <w:rsid w:val="007F0C7B"/>
    <w:rsid w:val="007F108B"/>
    <w:rsid w:val="007F1AB5"/>
    <w:rsid w:val="007F1FD4"/>
    <w:rsid w:val="007F246C"/>
    <w:rsid w:val="007F2A90"/>
    <w:rsid w:val="007F3584"/>
    <w:rsid w:val="007F5265"/>
    <w:rsid w:val="007F52F5"/>
    <w:rsid w:val="007F581F"/>
    <w:rsid w:val="007F60B7"/>
    <w:rsid w:val="007F7428"/>
    <w:rsid w:val="007F751C"/>
    <w:rsid w:val="007F7757"/>
    <w:rsid w:val="0080020E"/>
    <w:rsid w:val="0080052A"/>
    <w:rsid w:val="00801073"/>
    <w:rsid w:val="0080111B"/>
    <w:rsid w:val="0080187D"/>
    <w:rsid w:val="00801B49"/>
    <w:rsid w:val="00802495"/>
    <w:rsid w:val="0080293D"/>
    <w:rsid w:val="00803457"/>
    <w:rsid w:val="00803D15"/>
    <w:rsid w:val="008042DB"/>
    <w:rsid w:val="00805943"/>
    <w:rsid w:val="00806531"/>
    <w:rsid w:val="0080668D"/>
    <w:rsid w:val="00806D50"/>
    <w:rsid w:val="00806DEB"/>
    <w:rsid w:val="00806FD1"/>
    <w:rsid w:val="00807B4F"/>
    <w:rsid w:val="00807CAC"/>
    <w:rsid w:val="00807F4C"/>
    <w:rsid w:val="00810AB0"/>
    <w:rsid w:val="00811D22"/>
    <w:rsid w:val="00811E0F"/>
    <w:rsid w:val="00811FC2"/>
    <w:rsid w:val="008121A3"/>
    <w:rsid w:val="00812A00"/>
    <w:rsid w:val="008144DD"/>
    <w:rsid w:val="0081485B"/>
    <w:rsid w:val="00814C2C"/>
    <w:rsid w:val="0081523A"/>
    <w:rsid w:val="008156AC"/>
    <w:rsid w:val="00815A4C"/>
    <w:rsid w:val="00816010"/>
    <w:rsid w:val="0081756C"/>
    <w:rsid w:val="00817CB1"/>
    <w:rsid w:val="00817DAF"/>
    <w:rsid w:val="008201BE"/>
    <w:rsid w:val="008202C9"/>
    <w:rsid w:val="008207DB"/>
    <w:rsid w:val="008208CD"/>
    <w:rsid w:val="00820DEC"/>
    <w:rsid w:val="008216AA"/>
    <w:rsid w:val="008219AA"/>
    <w:rsid w:val="008226C0"/>
    <w:rsid w:val="00822B38"/>
    <w:rsid w:val="00822BBD"/>
    <w:rsid w:val="0082365B"/>
    <w:rsid w:val="00823B92"/>
    <w:rsid w:val="008240E3"/>
    <w:rsid w:val="00824837"/>
    <w:rsid w:val="00827596"/>
    <w:rsid w:val="0082798D"/>
    <w:rsid w:val="0083044E"/>
    <w:rsid w:val="0083072B"/>
    <w:rsid w:val="008308D5"/>
    <w:rsid w:val="00830DF2"/>
    <w:rsid w:val="00830F44"/>
    <w:rsid w:val="008310D5"/>
    <w:rsid w:val="00831260"/>
    <w:rsid w:val="008316D7"/>
    <w:rsid w:val="0083193C"/>
    <w:rsid w:val="00831944"/>
    <w:rsid w:val="00831B47"/>
    <w:rsid w:val="00832609"/>
    <w:rsid w:val="008343F1"/>
    <w:rsid w:val="00834701"/>
    <w:rsid w:val="00834812"/>
    <w:rsid w:val="008354E7"/>
    <w:rsid w:val="008366EC"/>
    <w:rsid w:val="00840AE4"/>
    <w:rsid w:val="00840E74"/>
    <w:rsid w:val="00840F15"/>
    <w:rsid w:val="008416DF"/>
    <w:rsid w:val="008443B3"/>
    <w:rsid w:val="00845B3B"/>
    <w:rsid w:val="00846433"/>
    <w:rsid w:val="0084668A"/>
    <w:rsid w:val="0084676C"/>
    <w:rsid w:val="00847D28"/>
    <w:rsid w:val="00850DF4"/>
    <w:rsid w:val="008510C7"/>
    <w:rsid w:val="0085150A"/>
    <w:rsid w:val="0085160F"/>
    <w:rsid w:val="0085327B"/>
    <w:rsid w:val="008532FE"/>
    <w:rsid w:val="0085342F"/>
    <w:rsid w:val="0085387D"/>
    <w:rsid w:val="00853B1E"/>
    <w:rsid w:val="008544FD"/>
    <w:rsid w:val="00854AAE"/>
    <w:rsid w:val="0085667D"/>
    <w:rsid w:val="00856CDB"/>
    <w:rsid w:val="00860243"/>
    <w:rsid w:val="00860FBA"/>
    <w:rsid w:val="00861D8C"/>
    <w:rsid w:val="00861E70"/>
    <w:rsid w:val="00862162"/>
    <w:rsid w:val="008628C6"/>
    <w:rsid w:val="00862ACA"/>
    <w:rsid w:val="00863B5C"/>
    <w:rsid w:val="00863E35"/>
    <w:rsid w:val="00863F58"/>
    <w:rsid w:val="0086480C"/>
    <w:rsid w:val="00864D39"/>
    <w:rsid w:val="00865061"/>
    <w:rsid w:val="0086680C"/>
    <w:rsid w:val="00866A4F"/>
    <w:rsid w:val="00866F44"/>
    <w:rsid w:val="008700A7"/>
    <w:rsid w:val="00870F86"/>
    <w:rsid w:val="00871A60"/>
    <w:rsid w:val="00872668"/>
    <w:rsid w:val="00872D8C"/>
    <w:rsid w:val="008730E5"/>
    <w:rsid w:val="008733F6"/>
    <w:rsid w:val="008734B0"/>
    <w:rsid w:val="00873EFF"/>
    <w:rsid w:val="008749E8"/>
    <w:rsid w:val="00875D77"/>
    <w:rsid w:val="00876151"/>
    <w:rsid w:val="00876774"/>
    <w:rsid w:val="00876C6F"/>
    <w:rsid w:val="00876C91"/>
    <w:rsid w:val="00877AC6"/>
    <w:rsid w:val="00880126"/>
    <w:rsid w:val="008803DA"/>
    <w:rsid w:val="00881794"/>
    <w:rsid w:val="00881A71"/>
    <w:rsid w:val="00881CAD"/>
    <w:rsid w:val="00882072"/>
    <w:rsid w:val="00883A58"/>
    <w:rsid w:val="00884002"/>
    <w:rsid w:val="008844A2"/>
    <w:rsid w:val="008852B9"/>
    <w:rsid w:val="00885CFB"/>
    <w:rsid w:val="00885F3F"/>
    <w:rsid w:val="00886386"/>
    <w:rsid w:val="0088719E"/>
    <w:rsid w:val="008906AE"/>
    <w:rsid w:val="00890869"/>
    <w:rsid w:val="00890CDD"/>
    <w:rsid w:val="00891B38"/>
    <w:rsid w:val="008924BF"/>
    <w:rsid w:val="0089326A"/>
    <w:rsid w:val="0089358E"/>
    <w:rsid w:val="00893CB1"/>
    <w:rsid w:val="00893F67"/>
    <w:rsid w:val="00894D89"/>
    <w:rsid w:val="00895765"/>
    <w:rsid w:val="00895874"/>
    <w:rsid w:val="00895C9F"/>
    <w:rsid w:val="00895E6F"/>
    <w:rsid w:val="00896110"/>
    <w:rsid w:val="00897C06"/>
    <w:rsid w:val="00897EB3"/>
    <w:rsid w:val="008A0297"/>
    <w:rsid w:val="008A034D"/>
    <w:rsid w:val="008A1004"/>
    <w:rsid w:val="008A15C2"/>
    <w:rsid w:val="008A2F96"/>
    <w:rsid w:val="008A345D"/>
    <w:rsid w:val="008A34CB"/>
    <w:rsid w:val="008A3991"/>
    <w:rsid w:val="008A474D"/>
    <w:rsid w:val="008A4E92"/>
    <w:rsid w:val="008A5EE2"/>
    <w:rsid w:val="008A5F9A"/>
    <w:rsid w:val="008A674F"/>
    <w:rsid w:val="008A6835"/>
    <w:rsid w:val="008A6950"/>
    <w:rsid w:val="008A6A09"/>
    <w:rsid w:val="008A6B6C"/>
    <w:rsid w:val="008A7399"/>
    <w:rsid w:val="008A7ABA"/>
    <w:rsid w:val="008B0300"/>
    <w:rsid w:val="008B04E3"/>
    <w:rsid w:val="008B05F2"/>
    <w:rsid w:val="008B10F0"/>
    <w:rsid w:val="008B170E"/>
    <w:rsid w:val="008B2DD5"/>
    <w:rsid w:val="008B37A1"/>
    <w:rsid w:val="008B4625"/>
    <w:rsid w:val="008B467F"/>
    <w:rsid w:val="008B57B0"/>
    <w:rsid w:val="008B5CC4"/>
    <w:rsid w:val="008B6420"/>
    <w:rsid w:val="008B730B"/>
    <w:rsid w:val="008B7FDB"/>
    <w:rsid w:val="008C05F0"/>
    <w:rsid w:val="008C06CB"/>
    <w:rsid w:val="008C0C83"/>
    <w:rsid w:val="008C10B5"/>
    <w:rsid w:val="008C18CA"/>
    <w:rsid w:val="008C1C81"/>
    <w:rsid w:val="008C1EFB"/>
    <w:rsid w:val="008C35F8"/>
    <w:rsid w:val="008C3708"/>
    <w:rsid w:val="008C456A"/>
    <w:rsid w:val="008C47B5"/>
    <w:rsid w:val="008C4BB8"/>
    <w:rsid w:val="008C50E2"/>
    <w:rsid w:val="008C582D"/>
    <w:rsid w:val="008C6710"/>
    <w:rsid w:val="008C68FC"/>
    <w:rsid w:val="008C6A5F"/>
    <w:rsid w:val="008C72C1"/>
    <w:rsid w:val="008C75FB"/>
    <w:rsid w:val="008C7F35"/>
    <w:rsid w:val="008D1A85"/>
    <w:rsid w:val="008D1B52"/>
    <w:rsid w:val="008D23C9"/>
    <w:rsid w:val="008D2A1E"/>
    <w:rsid w:val="008D2CA0"/>
    <w:rsid w:val="008D3B33"/>
    <w:rsid w:val="008D4698"/>
    <w:rsid w:val="008D4703"/>
    <w:rsid w:val="008D4B8B"/>
    <w:rsid w:val="008D4D57"/>
    <w:rsid w:val="008D504B"/>
    <w:rsid w:val="008D6016"/>
    <w:rsid w:val="008D61D2"/>
    <w:rsid w:val="008D6484"/>
    <w:rsid w:val="008D659E"/>
    <w:rsid w:val="008D6656"/>
    <w:rsid w:val="008D7115"/>
    <w:rsid w:val="008D72E3"/>
    <w:rsid w:val="008E076D"/>
    <w:rsid w:val="008E197A"/>
    <w:rsid w:val="008E1C92"/>
    <w:rsid w:val="008E2B3A"/>
    <w:rsid w:val="008E3EF5"/>
    <w:rsid w:val="008E4B87"/>
    <w:rsid w:val="008E4DC6"/>
    <w:rsid w:val="008E5DFF"/>
    <w:rsid w:val="008E5E1C"/>
    <w:rsid w:val="008E6B14"/>
    <w:rsid w:val="008E6FC3"/>
    <w:rsid w:val="008E760D"/>
    <w:rsid w:val="008E7B80"/>
    <w:rsid w:val="008E7DC9"/>
    <w:rsid w:val="008F029F"/>
    <w:rsid w:val="008F02EA"/>
    <w:rsid w:val="008F0A00"/>
    <w:rsid w:val="008F0EEB"/>
    <w:rsid w:val="008F1ADC"/>
    <w:rsid w:val="008F1D4C"/>
    <w:rsid w:val="008F1F04"/>
    <w:rsid w:val="008F26C8"/>
    <w:rsid w:val="008F283C"/>
    <w:rsid w:val="008F2C24"/>
    <w:rsid w:val="008F48A5"/>
    <w:rsid w:val="008F4B28"/>
    <w:rsid w:val="008F4EAA"/>
    <w:rsid w:val="008F4F9D"/>
    <w:rsid w:val="008F52EE"/>
    <w:rsid w:val="008F5FAF"/>
    <w:rsid w:val="008F7407"/>
    <w:rsid w:val="008F74C2"/>
    <w:rsid w:val="008F7CEE"/>
    <w:rsid w:val="0090009B"/>
    <w:rsid w:val="009003A9"/>
    <w:rsid w:val="00900E6F"/>
    <w:rsid w:val="00900EA3"/>
    <w:rsid w:val="009015F9"/>
    <w:rsid w:val="00901C53"/>
    <w:rsid w:val="009023D9"/>
    <w:rsid w:val="009025C9"/>
    <w:rsid w:val="00902767"/>
    <w:rsid w:val="00902BB7"/>
    <w:rsid w:val="00903264"/>
    <w:rsid w:val="00903A73"/>
    <w:rsid w:val="009048BF"/>
    <w:rsid w:val="009050DE"/>
    <w:rsid w:val="00905B29"/>
    <w:rsid w:val="00906DB5"/>
    <w:rsid w:val="00906E2C"/>
    <w:rsid w:val="00907C92"/>
    <w:rsid w:val="00910061"/>
    <w:rsid w:val="00910D83"/>
    <w:rsid w:val="00911E06"/>
    <w:rsid w:val="009124E7"/>
    <w:rsid w:val="00912F15"/>
    <w:rsid w:val="00913C4D"/>
    <w:rsid w:val="00916658"/>
    <w:rsid w:val="00916674"/>
    <w:rsid w:val="00916D23"/>
    <w:rsid w:val="0091768B"/>
    <w:rsid w:val="00917A8B"/>
    <w:rsid w:val="00920C0E"/>
    <w:rsid w:val="00921206"/>
    <w:rsid w:val="00922102"/>
    <w:rsid w:val="009222BF"/>
    <w:rsid w:val="009226BF"/>
    <w:rsid w:val="00922AA7"/>
    <w:rsid w:val="00922C6F"/>
    <w:rsid w:val="00922D6B"/>
    <w:rsid w:val="00923155"/>
    <w:rsid w:val="00925391"/>
    <w:rsid w:val="009254E0"/>
    <w:rsid w:val="009256DE"/>
    <w:rsid w:val="00925CEA"/>
    <w:rsid w:val="00926F01"/>
    <w:rsid w:val="00927A0F"/>
    <w:rsid w:val="00927A30"/>
    <w:rsid w:val="00927DC6"/>
    <w:rsid w:val="009302E1"/>
    <w:rsid w:val="00931304"/>
    <w:rsid w:val="009316F2"/>
    <w:rsid w:val="00931E9D"/>
    <w:rsid w:val="00932010"/>
    <w:rsid w:val="009328B3"/>
    <w:rsid w:val="009338B7"/>
    <w:rsid w:val="00935ABE"/>
    <w:rsid w:val="00936A54"/>
    <w:rsid w:val="00937543"/>
    <w:rsid w:val="00937AC9"/>
    <w:rsid w:val="00937E3F"/>
    <w:rsid w:val="009408D5"/>
    <w:rsid w:val="00940B0E"/>
    <w:rsid w:val="00940F81"/>
    <w:rsid w:val="00941552"/>
    <w:rsid w:val="00941F27"/>
    <w:rsid w:val="009427BF"/>
    <w:rsid w:val="00942B82"/>
    <w:rsid w:val="0094373E"/>
    <w:rsid w:val="00943C5A"/>
    <w:rsid w:val="00944078"/>
    <w:rsid w:val="00944273"/>
    <w:rsid w:val="00944C1D"/>
    <w:rsid w:val="00944E93"/>
    <w:rsid w:val="00945233"/>
    <w:rsid w:val="00945D12"/>
    <w:rsid w:val="00946A29"/>
    <w:rsid w:val="0095164E"/>
    <w:rsid w:val="0095166D"/>
    <w:rsid w:val="00951789"/>
    <w:rsid w:val="0095191A"/>
    <w:rsid w:val="00951BC5"/>
    <w:rsid w:val="00951C8C"/>
    <w:rsid w:val="0095227C"/>
    <w:rsid w:val="009523A7"/>
    <w:rsid w:val="009523F2"/>
    <w:rsid w:val="00952A86"/>
    <w:rsid w:val="00953FB7"/>
    <w:rsid w:val="00954631"/>
    <w:rsid w:val="00954632"/>
    <w:rsid w:val="009551C5"/>
    <w:rsid w:val="00955F85"/>
    <w:rsid w:val="00955FA3"/>
    <w:rsid w:val="00956636"/>
    <w:rsid w:val="00956E69"/>
    <w:rsid w:val="0095752A"/>
    <w:rsid w:val="00957D3D"/>
    <w:rsid w:val="00960B23"/>
    <w:rsid w:val="00961715"/>
    <w:rsid w:val="00961FE9"/>
    <w:rsid w:val="009620C0"/>
    <w:rsid w:val="009628DB"/>
    <w:rsid w:val="00963312"/>
    <w:rsid w:val="0096386A"/>
    <w:rsid w:val="0096508A"/>
    <w:rsid w:val="00965ABF"/>
    <w:rsid w:val="00966197"/>
    <w:rsid w:val="00966250"/>
    <w:rsid w:val="00966C11"/>
    <w:rsid w:val="009704FC"/>
    <w:rsid w:val="009718E8"/>
    <w:rsid w:val="00971A41"/>
    <w:rsid w:val="009741C8"/>
    <w:rsid w:val="00974843"/>
    <w:rsid w:val="00975BE8"/>
    <w:rsid w:val="00976697"/>
    <w:rsid w:val="00976A58"/>
    <w:rsid w:val="00976C66"/>
    <w:rsid w:val="00976F45"/>
    <w:rsid w:val="00977AA1"/>
    <w:rsid w:val="00977D1C"/>
    <w:rsid w:val="00980058"/>
    <w:rsid w:val="009800D2"/>
    <w:rsid w:val="009801B6"/>
    <w:rsid w:val="00981908"/>
    <w:rsid w:val="00981A1F"/>
    <w:rsid w:val="00982445"/>
    <w:rsid w:val="00982777"/>
    <w:rsid w:val="00982C40"/>
    <w:rsid w:val="00982C54"/>
    <w:rsid w:val="00983297"/>
    <w:rsid w:val="0098375D"/>
    <w:rsid w:val="00984531"/>
    <w:rsid w:val="009848A3"/>
    <w:rsid w:val="00984B7A"/>
    <w:rsid w:val="00986137"/>
    <w:rsid w:val="00986389"/>
    <w:rsid w:val="009867EE"/>
    <w:rsid w:val="009871CE"/>
    <w:rsid w:val="009872CD"/>
    <w:rsid w:val="00987A8B"/>
    <w:rsid w:val="009909A8"/>
    <w:rsid w:val="00990A46"/>
    <w:rsid w:val="00990AB9"/>
    <w:rsid w:val="009912BB"/>
    <w:rsid w:val="009920E2"/>
    <w:rsid w:val="009933C8"/>
    <w:rsid w:val="00994217"/>
    <w:rsid w:val="00994618"/>
    <w:rsid w:val="00996CD5"/>
    <w:rsid w:val="00997501"/>
    <w:rsid w:val="00997E71"/>
    <w:rsid w:val="009A09EC"/>
    <w:rsid w:val="009A0E02"/>
    <w:rsid w:val="009A151F"/>
    <w:rsid w:val="009A15A1"/>
    <w:rsid w:val="009A2249"/>
    <w:rsid w:val="009A24BC"/>
    <w:rsid w:val="009A2FFA"/>
    <w:rsid w:val="009A37A7"/>
    <w:rsid w:val="009A442C"/>
    <w:rsid w:val="009A5C07"/>
    <w:rsid w:val="009A5FAE"/>
    <w:rsid w:val="009A61C0"/>
    <w:rsid w:val="009A6528"/>
    <w:rsid w:val="009A6A41"/>
    <w:rsid w:val="009A6AF8"/>
    <w:rsid w:val="009A6F7A"/>
    <w:rsid w:val="009A7021"/>
    <w:rsid w:val="009A70DB"/>
    <w:rsid w:val="009A7366"/>
    <w:rsid w:val="009A7D4D"/>
    <w:rsid w:val="009A7EF0"/>
    <w:rsid w:val="009B092B"/>
    <w:rsid w:val="009B0F5A"/>
    <w:rsid w:val="009B2523"/>
    <w:rsid w:val="009B2964"/>
    <w:rsid w:val="009B2A92"/>
    <w:rsid w:val="009B3C05"/>
    <w:rsid w:val="009B46F6"/>
    <w:rsid w:val="009B5CB4"/>
    <w:rsid w:val="009B5E96"/>
    <w:rsid w:val="009B70DD"/>
    <w:rsid w:val="009B71C6"/>
    <w:rsid w:val="009B72CE"/>
    <w:rsid w:val="009B76F3"/>
    <w:rsid w:val="009B7753"/>
    <w:rsid w:val="009B7FCF"/>
    <w:rsid w:val="009C1C38"/>
    <w:rsid w:val="009C2087"/>
    <w:rsid w:val="009C24FF"/>
    <w:rsid w:val="009C2834"/>
    <w:rsid w:val="009C2DE1"/>
    <w:rsid w:val="009C3712"/>
    <w:rsid w:val="009C3901"/>
    <w:rsid w:val="009C3BA8"/>
    <w:rsid w:val="009C3C64"/>
    <w:rsid w:val="009C4400"/>
    <w:rsid w:val="009C4D1F"/>
    <w:rsid w:val="009C66BD"/>
    <w:rsid w:val="009C69AE"/>
    <w:rsid w:val="009C7983"/>
    <w:rsid w:val="009C7DEC"/>
    <w:rsid w:val="009D01D4"/>
    <w:rsid w:val="009D0295"/>
    <w:rsid w:val="009D040F"/>
    <w:rsid w:val="009D043F"/>
    <w:rsid w:val="009D0829"/>
    <w:rsid w:val="009D0991"/>
    <w:rsid w:val="009D0D54"/>
    <w:rsid w:val="009D0F88"/>
    <w:rsid w:val="009D122C"/>
    <w:rsid w:val="009D1603"/>
    <w:rsid w:val="009D1D00"/>
    <w:rsid w:val="009D22B6"/>
    <w:rsid w:val="009D23AF"/>
    <w:rsid w:val="009D2908"/>
    <w:rsid w:val="009D2F92"/>
    <w:rsid w:val="009D30D5"/>
    <w:rsid w:val="009D4058"/>
    <w:rsid w:val="009D45C7"/>
    <w:rsid w:val="009D4951"/>
    <w:rsid w:val="009D4A16"/>
    <w:rsid w:val="009D4B0D"/>
    <w:rsid w:val="009D522A"/>
    <w:rsid w:val="009D57EC"/>
    <w:rsid w:val="009D5839"/>
    <w:rsid w:val="009D58F0"/>
    <w:rsid w:val="009D5AD5"/>
    <w:rsid w:val="009D607F"/>
    <w:rsid w:val="009D6A21"/>
    <w:rsid w:val="009D6EDD"/>
    <w:rsid w:val="009D75E4"/>
    <w:rsid w:val="009D7A53"/>
    <w:rsid w:val="009D7CC1"/>
    <w:rsid w:val="009D7CCE"/>
    <w:rsid w:val="009E0CD5"/>
    <w:rsid w:val="009E107C"/>
    <w:rsid w:val="009E1340"/>
    <w:rsid w:val="009E1EB9"/>
    <w:rsid w:val="009E2394"/>
    <w:rsid w:val="009E25DF"/>
    <w:rsid w:val="009E2A43"/>
    <w:rsid w:val="009E33E8"/>
    <w:rsid w:val="009E3400"/>
    <w:rsid w:val="009E39DB"/>
    <w:rsid w:val="009E3F6A"/>
    <w:rsid w:val="009E40F8"/>
    <w:rsid w:val="009E4CD8"/>
    <w:rsid w:val="009E4F53"/>
    <w:rsid w:val="009E5EDB"/>
    <w:rsid w:val="009E60A9"/>
    <w:rsid w:val="009E6145"/>
    <w:rsid w:val="009E627A"/>
    <w:rsid w:val="009F05E5"/>
    <w:rsid w:val="009F06DE"/>
    <w:rsid w:val="009F0EE5"/>
    <w:rsid w:val="009F1184"/>
    <w:rsid w:val="009F1386"/>
    <w:rsid w:val="009F15C0"/>
    <w:rsid w:val="009F1E00"/>
    <w:rsid w:val="009F24B6"/>
    <w:rsid w:val="009F2845"/>
    <w:rsid w:val="009F3011"/>
    <w:rsid w:val="009F411F"/>
    <w:rsid w:val="009F45ED"/>
    <w:rsid w:val="009F4ADA"/>
    <w:rsid w:val="009F4B4C"/>
    <w:rsid w:val="009F55D6"/>
    <w:rsid w:val="009F659C"/>
    <w:rsid w:val="009F684E"/>
    <w:rsid w:val="009F7C73"/>
    <w:rsid w:val="00A02230"/>
    <w:rsid w:val="00A028CE"/>
    <w:rsid w:val="00A02938"/>
    <w:rsid w:val="00A02D1A"/>
    <w:rsid w:val="00A03078"/>
    <w:rsid w:val="00A036B6"/>
    <w:rsid w:val="00A05C37"/>
    <w:rsid w:val="00A05E87"/>
    <w:rsid w:val="00A0627A"/>
    <w:rsid w:val="00A06A90"/>
    <w:rsid w:val="00A07E58"/>
    <w:rsid w:val="00A10781"/>
    <w:rsid w:val="00A10C30"/>
    <w:rsid w:val="00A11457"/>
    <w:rsid w:val="00A1196C"/>
    <w:rsid w:val="00A12501"/>
    <w:rsid w:val="00A129E2"/>
    <w:rsid w:val="00A12BD8"/>
    <w:rsid w:val="00A13DB6"/>
    <w:rsid w:val="00A14428"/>
    <w:rsid w:val="00A14980"/>
    <w:rsid w:val="00A158D9"/>
    <w:rsid w:val="00A15F64"/>
    <w:rsid w:val="00A16BC9"/>
    <w:rsid w:val="00A17602"/>
    <w:rsid w:val="00A219B0"/>
    <w:rsid w:val="00A233E0"/>
    <w:rsid w:val="00A24F5B"/>
    <w:rsid w:val="00A25A91"/>
    <w:rsid w:val="00A26322"/>
    <w:rsid w:val="00A26353"/>
    <w:rsid w:val="00A26E89"/>
    <w:rsid w:val="00A274B4"/>
    <w:rsid w:val="00A27B50"/>
    <w:rsid w:val="00A27E5C"/>
    <w:rsid w:val="00A30204"/>
    <w:rsid w:val="00A3058F"/>
    <w:rsid w:val="00A306EB"/>
    <w:rsid w:val="00A31439"/>
    <w:rsid w:val="00A31484"/>
    <w:rsid w:val="00A31D31"/>
    <w:rsid w:val="00A328D9"/>
    <w:rsid w:val="00A32CCE"/>
    <w:rsid w:val="00A32D65"/>
    <w:rsid w:val="00A32E00"/>
    <w:rsid w:val="00A33626"/>
    <w:rsid w:val="00A34AE2"/>
    <w:rsid w:val="00A352DB"/>
    <w:rsid w:val="00A35699"/>
    <w:rsid w:val="00A358CC"/>
    <w:rsid w:val="00A35BC3"/>
    <w:rsid w:val="00A35F5B"/>
    <w:rsid w:val="00A361CE"/>
    <w:rsid w:val="00A401D6"/>
    <w:rsid w:val="00A409C3"/>
    <w:rsid w:val="00A40E64"/>
    <w:rsid w:val="00A41D1F"/>
    <w:rsid w:val="00A44CAF"/>
    <w:rsid w:val="00A45271"/>
    <w:rsid w:val="00A452FC"/>
    <w:rsid w:val="00A45770"/>
    <w:rsid w:val="00A45865"/>
    <w:rsid w:val="00A45BBD"/>
    <w:rsid w:val="00A46C3C"/>
    <w:rsid w:val="00A472B4"/>
    <w:rsid w:val="00A47400"/>
    <w:rsid w:val="00A51313"/>
    <w:rsid w:val="00A5226D"/>
    <w:rsid w:val="00A5291C"/>
    <w:rsid w:val="00A52A88"/>
    <w:rsid w:val="00A52BD2"/>
    <w:rsid w:val="00A53BD4"/>
    <w:rsid w:val="00A53C9A"/>
    <w:rsid w:val="00A544A9"/>
    <w:rsid w:val="00A549E9"/>
    <w:rsid w:val="00A55764"/>
    <w:rsid w:val="00A56A3E"/>
    <w:rsid w:val="00A56C84"/>
    <w:rsid w:val="00A570F4"/>
    <w:rsid w:val="00A578B0"/>
    <w:rsid w:val="00A60384"/>
    <w:rsid w:val="00A60ED0"/>
    <w:rsid w:val="00A619C3"/>
    <w:rsid w:val="00A6249E"/>
    <w:rsid w:val="00A6282F"/>
    <w:rsid w:val="00A62AFA"/>
    <w:rsid w:val="00A64B54"/>
    <w:rsid w:val="00A667FC"/>
    <w:rsid w:val="00A66A1F"/>
    <w:rsid w:val="00A67989"/>
    <w:rsid w:val="00A67FC6"/>
    <w:rsid w:val="00A68791"/>
    <w:rsid w:val="00A70654"/>
    <w:rsid w:val="00A70AF4"/>
    <w:rsid w:val="00A71397"/>
    <w:rsid w:val="00A7144F"/>
    <w:rsid w:val="00A71F84"/>
    <w:rsid w:val="00A720A9"/>
    <w:rsid w:val="00A72623"/>
    <w:rsid w:val="00A72D9C"/>
    <w:rsid w:val="00A72F57"/>
    <w:rsid w:val="00A73E87"/>
    <w:rsid w:val="00A74239"/>
    <w:rsid w:val="00A75708"/>
    <w:rsid w:val="00A768D2"/>
    <w:rsid w:val="00A769CD"/>
    <w:rsid w:val="00A8002D"/>
    <w:rsid w:val="00A80A27"/>
    <w:rsid w:val="00A816BC"/>
    <w:rsid w:val="00A825F8"/>
    <w:rsid w:val="00A82647"/>
    <w:rsid w:val="00A84D44"/>
    <w:rsid w:val="00A85101"/>
    <w:rsid w:val="00A8542E"/>
    <w:rsid w:val="00A8593A"/>
    <w:rsid w:val="00A85B3C"/>
    <w:rsid w:val="00A85F6F"/>
    <w:rsid w:val="00A86078"/>
    <w:rsid w:val="00A86741"/>
    <w:rsid w:val="00A871A2"/>
    <w:rsid w:val="00A87999"/>
    <w:rsid w:val="00A87D8B"/>
    <w:rsid w:val="00A91023"/>
    <w:rsid w:val="00A9127A"/>
    <w:rsid w:val="00A9188B"/>
    <w:rsid w:val="00A91EFC"/>
    <w:rsid w:val="00A91FE5"/>
    <w:rsid w:val="00A92122"/>
    <w:rsid w:val="00A92977"/>
    <w:rsid w:val="00A93590"/>
    <w:rsid w:val="00A93DE5"/>
    <w:rsid w:val="00A95327"/>
    <w:rsid w:val="00A955EC"/>
    <w:rsid w:val="00A96090"/>
    <w:rsid w:val="00A96543"/>
    <w:rsid w:val="00A966C6"/>
    <w:rsid w:val="00A9734E"/>
    <w:rsid w:val="00A97401"/>
    <w:rsid w:val="00A975AC"/>
    <w:rsid w:val="00A97EE9"/>
    <w:rsid w:val="00AA1DCA"/>
    <w:rsid w:val="00AA26C8"/>
    <w:rsid w:val="00AA2AE3"/>
    <w:rsid w:val="00AA2C6E"/>
    <w:rsid w:val="00AA3857"/>
    <w:rsid w:val="00AA399C"/>
    <w:rsid w:val="00AA4A5E"/>
    <w:rsid w:val="00AA4F24"/>
    <w:rsid w:val="00AA5191"/>
    <w:rsid w:val="00AA5BD7"/>
    <w:rsid w:val="00AA642E"/>
    <w:rsid w:val="00AA67A0"/>
    <w:rsid w:val="00AA6B69"/>
    <w:rsid w:val="00AA71D4"/>
    <w:rsid w:val="00AA74E9"/>
    <w:rsid w:val="00AA78AA"/>
    <w:rsid w:val="00AB0549"/>
    <w:rsid w:val="00AB2331"/>
    <w:rsid w:val="00AB3644"/>
    <w:rsid w:val="00AB3C71"/>
    <w:rsid w:val="00AB3D27"/>
    <w:rsid w:val="00AB4173"/>
    <w:rsid w:val="00AB4887"/>
    <w:rsid w:val="00AB4EB0"/>
    <w:rsid w:val="00AB58D2"/>
    <w:rsid w:val="00AB7C3E"/>
    <w:rsid w:val="00AC04BF"/>
    <w:rsid w:val="00AC04CA"/>
    <w:rsid w:val="00AC0EE1"/>
    <w:rsid w:val="00AC105E"/>
    <w:rsid w:val="00AC1131"/>
    <w:rsid w:val="00AC1AC4"/>
    <w:rsid w:val="00AC2CBE"/>
    <w:rsid w:val="00AC348E"/>
    <w:rsid w:val="00AC4011"/>
    <w:rsid w:val="00AC5472"/>
    <w:rsid w:val="00AC5847"/>
    <w:rsid w:val="00AC6517"/>
    <w:rsid w:val="00AC6F1A"/>
    <w:rsid w:val="00AD15AC"/>
    <w:rsid w:val="00AD1844"/>
    <w:rsid w:val="00AD1B66"/>
    <w:rsid w:val="00AD1CFF"/>
    <w:rsid w:val="00AD2447"/>
    <w:rsid w:val="00AD359E"/>
    <w:rsid w:val="00AD3F78"/>
    <w:rsid w:val="00AD458B"/>
    <w:rsid w:val="00AD46F7"/>
    <w:rsid w:val="00AD48C8"/>
    <w:rsid w:val="00AD71D0"/>
    <w:rsid w:val="00AD72B4"/>
    <w:rsid w:val="00AD7AB6"/>
    <w:rsid w:val="00AD7E23"/>
    <w:rsid w:val="00AE026A"/>
    <w:rsid w:val="00AE10CD"/>
    <w:rsid w:val="00AE1346"/>
    <w:rsid w:val="00AE1CA3"/>
    <w:rsid w:val="00AE1DBD"/>
    <w:rsid w:val="00AE1F7D"/>
    <w:rsid w:val="00AE2594"/>
    <w:rsid w:val="00AE274D"/>
    <w:rsid w:val="00AE2F6A"/>
    <w:rsid w:val="00AE3624"/>
    <w:rsid w:val="00AE3760"/>
    <w:rsid w:val="00AE3F7E"/>
    <w:rsid w:val="00AE567F"/>
    <w:rsid w:val="00AE63B1"/>
    <w:rsid w:val="00AE780F"/>
    <w:rsid w:val="00AE7923"/>
    <w:rsid w:val="00AE7BE7"/>
    <w:rsid w:val="00AE7DF5"/>
    <w:rsid w:val="00AE7FC5"/>
    <w:rsid w:val="00AF0C73"/>
    <w:rsid w:val="00AF1AC6"/>
    <w:rsid w:val="00AF2486"/>
    <w:rsid w:val="00AF3CC6"/>
    <w:rsid w:val="00AF3D20"/>
    <w:rsid w:val="00AF415A"/>
    <w:rsid w:val="00AF4218"/>
    <w:rsid w:val="00AF4D29"/>
    <w:rsid w:val="00AF5398"/>
    <w:rsid w:val="00AF6F5C"/>
    <w:rsid w:val="00AF7F1D"/>
    <w:rsid w:val="00B004DB"/>
    <w:rsid w:val="00B007DB"/>
    <w:rsid w:val="00B00A87"/>
    <w:rsid w:val="00B0142E"/>
    <w:rsid w:val="00B027C5"/>
    <w:rsid w:val="00B02874"/>
    <w:rsid w:val="00B0321C"/>
    <w:rsid w:val="00B04242"/>
    <w:rsid w:val="00B04655"/>
    <w:rsid w:val="00B058C6"/>
    <w:rsid w:val="00B05C93"/>
    <w:rsid w:val="00B06387"/>
    <w:rsid w:val="00B06750"/>
    <w:rsid w:val="00B06BF1"/>
    <w:rsid w:val="00B06EF0"/>
    <w:rsid w:val="00B07337"/>
    <w:rsid w:val="00B11B2A"/>
    <w:rsid w:val="00B13545"/>
    <w:rsid w:val="00B1354D"/>
    <w:rsid w:val="00B13DEC"/>
    <w:rsid w:val="00B1484B"/>
    <w:rsid w:val="00B15AEE"/>
    <w:rsid w:val="00B15B9E"/>
    <w:rsid w:val="00B1623F"/>
    <w:rsid w:val="00B16922"/>
    <w:rsid w:val="00B17009"/>
    <w:rsid w:val="00B172C1"/>
    <w:rsid w:val="00B17FD5"/>
    <w:rsid w:val="00B2044D"/>
    <w:rsid w:val="00B2148F"/>
    <w:rsid w:val="00B222EC"/>
    <w:rsid w:val="00B22810"/>
    <w:rsid w:val="00B22E9C"/>
    <w:rsid w:val="00B22F84"/>
    <w:rsid w:val="00B2326A"/>
    <w:rsid w:val="00B23868"/>
    <w:rsid w:val="00B23E0D"/>
    <w:rsid w:val="00B24852"/>
    <w:rsid w:val="00B26757"/>
    <w:rsid w:val="00B306D1"/>
    <w:rsid w:val="00B30825"/>
    <w:rsid w:val="00B30ED4"/>
    <w:rsid w:val="00B31C31"/>
    <w:rsid w:val="00B31CDB"/>
    <w:rsid w:val="00B32CCF"/>
    <w:rsid w:val="00B33323"/>
    <w:rsid w:val="00B36C10"/>
    <w:rsid w:val="00B36E62"/>
    <w:rsid w:val="00B37C28"/>
    <w:rsid w:val="00B400AE"/>
    <w:rsid w:val="00B40ABC"/>
    <w:rsid w:val="00B40E5B"/>
    <w:rsid w:val="00B41DC1"/>
    <w:rsid w:val="00B41DFD"/>
    <w:rsid w:val="00B42803"/>
    <w:rsid w:val="00B434D7"/>
    <w:rsid w:val="00B439D5"/>
    <w:rsid w:val="00B43E15"/>
    <w:rsid w:val="00B452E4"/>
    <w:rsid w:val="00B45BEF"/>
    <w:rsid w:val="00B45E56"/>
    <w:rsid w:val="00B466D8"/>
    <w:rsid w:val="00B47058"/>
    <w:rsid w:val="00B5068E"/>
    <w:rsid w:val="00B51024"/>
    <w:rsid w:val="00B514B5"/>
    <w:rsid w:val="00B51797"/>
    <w:rsid w:val="00B524A9"/>
    <w:rsid w:val="00B52987"/>
    <w:rsid w:val="00B544FE"/>
    <w:rsid w:val="00B54BAB"/>
    <w:rsid w:val="00B54D5F"/>
    <w:rsid w:val="00B56175"/>
    <w:rsid w:val="00B56DD1"/>
    <w:rsid w:val="00B603E4"/>
    <w:rsid w:val="00B6121D"/>
    <w:rsid w:val="00B61FF0"/>
    <w:rsid w:val="00B6275E"/>
    <w:rsid w:val="00B62988"/>
    <w:rsid w:val="00B62C43"/>
    <w:rsid w:val="00B6370B"/>
    <w:rsid w:val="00B639FD"/>
    <w:rsid w:val="00B63B97"/>
    <w:rsid w:val="00B65237"/>
    <w:rsid w:val="00B65540"/>
    <w:rsid w:val="00B655F1"/>
    <w:rsid w:val="00B65722"/>
    <w:rsid w:val="00B659F0"/>
    <w:rsid w:val="00B666CD"/>
    <w:rsid w:val="00B66762"/>
    <w:rsid w:val="00B674BA"/>
    <w:rsid w:val="00B67894"/>
    <w:rsid w:val="00B67D41"/>
    <w:rsid w:val="00B70318"/>
    <w:rsid w:val="00B71935"/>
    <w:rsid w:val="00B71D78"/>
    <w:rsid w:val="00B72371"/>
    <w:rsid w:val="00B73063"/>
    <w:rsid w:val="00B737EF"/>
    <w:rsid w:val="00B74D25"/>
    <w:rsid w:val="00B7519D"/>
    <w:rsid w:val="00B75446"/>
    <w:rsid w:val="00B76F9D"/>
    <w:rsid w:val="00B7788B"/>
    <w:rsid w:val="00B77C81"/>
    <w:rsid w:val="00B80F76"/>
    <w:rsid w:val="00B813AE"/>
    <w:rsid w:val="00B818B8"/>
    <w:rsid w:val="00B81A2E"/>
    <w:rsid w:val="00B81F08"/>
    <w:rsid w:val="00B8220F"/>
    <w:rsid w:val="00B82AFD"/>
    <w:rsid w:val="00B83587"/>
    <w:rsid w:val="00B839EF"/>
    <w:rsid w:val="00B83B7A"/>
    <w:rsid w:val="00B8407F"/>
    <w:rsid w:val="00B8457A"/>
    <w:rsid w:val="00B8491D"/>
    <w:rsid w:val="00B85B34"/>
    <w:rsid w:val="00B86906"/>
    <w:rsid w:val="00B86C16"/>
    <w:rsid w:val="00B873C0"/>
    <w:rsid w:val="00B8742C"/>
    <w:rsid w:val="00B90437"/>
    <w:rsid w:val="00B9155E"/>
    <w:rsid w:val="00B92284"/>
    <w:rsid w:val="00B931BB"/>
    <w:rsid w:val="00B9379D"/>
    <w:rsid w:val="00B9386F"/>
    <w:rsid w:val="00B93B8F"/>
    <w:rsid w:val="00B93F50"/>
    <w:rsid w:val="00B9424F"/>
    <w:rsid w:val="00B94C5C"/>
    <w:rsid w:val="00B94E7B"/>
    <w:rsid w:val="00B9504D"/>
    <w:rsid w:val="00B957FA"/>
    <w:rsid w:val="00B95BD0"/>
    <w:rsid w:val="00B95EC9"/>
    <w:rsid w:val="00B9602F"/>
    <w:rsid w:val="00B96472"/>
    <w:rsid w:val="00B97023"/>
    <w:rsid w:val="00B97ADE"/>
    <w:rsid w:val="00BA0CBD"/>
    <w:rsid w:val="00BA0EF4"/>
    <w:rsid w:val="00BA1A18"/>
    <w:rsid w:val="00BA1B3F"/>
    <w:rsid w:val="00BA2424"/>
    <w:rsid w:val="00BA243B"/>
    <w:rsid w:val="00BA37F5"/>
    <w:rsid w:val="00BA39C0"/>
    <w:rsid w:val="00BA3E58"/>
    <w:rsid w:val="00BA45E6"/>
    <w:rsid w:val="00BA4F5F"/>
    <w:rsid w:val="00BA5E6F"/>
    <w:rsid w:val="00BA60E7"/>
    <w:rsid w:val="00BA6684"/>
    <w:rsid w:val="00BA7775"/>
    <w:rsid w:val="00BB0CD9"/>
    <w:rsid w:val="00BB0D04"/>
    <w:rsid w:val="00BB1E17"/>
    <w:rsid w:val="00BB29FA"/>
    <w:rsid w:val="00BB2B15"/>
    <w:rsid w:val="00BB3410"/>
    <w:rsid w:val="00BB39A3"/>
    <w:rsid w:val="00BB4323"/>
    <w:rsid w:val="00BB432F"/>
    <w:rsid w:val="00BB49A7"/>
    <w:rsid w:val="00BB49C0"/>
    <w:rsid w:val="00BB5461"/>
    <w:rsid w:val="00BB55EB"/>
    <w:rsid w:val="00BB5BD5"/>
    <w:rsid w:val="00BB5C24"/>
    <w:rsid w:val="00BB6928"/>
    <w:rsid w:val="00BB6F4C"/>
    <w:rsid w:val="00BB6FB5"/>
    <w:rsid w:val="00BB71BB"/>
    <w:rsid w:val="00BB753F"/>
    <w:rsid w:val="00BB7DA0"/>
    <w:rsid w:val="00BB7F28"/>
    <w:rsid w:val="00BB7FF2"/>
    <w:rsid w:val="00BC05B9"/>
    <w:rsid w:val="00BC0939"/>
    <w:rsid w:val="00BC0A28"/>
    <w:rsid w:val="00BC0ABD"/>
    <w:rsid w:val="00BC0B1A"/>
    <w:rsid w:val="00BC0F45"/>
    <w:rsid w:val="00BC148F"/>
    <w:rsid w:val="00BC1522"/>
    <w:rsid w:val="00BC1BF0"/>
    <w:rsid w:val="00BC2405"/>
    <w:rsid w:val="00BC30A4"/>
    <w:rsid w:val="00BC3541"/>
    <w:rsid w:val="00BC3DD2"/>
    <w:rsid w:val="00BC3E9F"/>
    <w:rsid w:val="00BC4151"/>
    <w:rsid w:val="00BC4F15"/>
    <w:rsid w:val="00BC5042"/>
    <w:rsid w:val="00BC576C"/>
    <w:rsid w:val="00BC5D3E"/>
    <w:rsid w:val="00BC61D6"/>
    <w:rsid w:val="00BC70DD"/>
    <w:rsid w:val="00BC72FE"/>
    <w:rsid w:val="00BC7A59"/>
    <w:rsid w:val="00BC7A67"/>
    <w:rsid w:val="00BC7BA6"/>
    <w:rsid w:val="00BD0B89"/>
    <w:rsid w:val="00BD12E4"/>
    <w:rsid w:val="00BD151D"/>
    <w:rsid w:val="00BD2059"/>
    <w:rsid w:val="00BD2300"/>
    <w:rsid w:val="00BD23F9"/>
    <w:rsid w:val="00BD3469"/>
    <w:rsid w:val="00BD3AD2"/>
    <w:rsid w:val="00BD404F"/>
    <w:rsid w:val="00BD4C6A"/>
    <w:rsid w:val="00BD5337"/>
    <w:rsid w:val="00BD5780"/>
    <w:rsid w:val="00BD66B9"/>
    <w:rsid w:val="00BD6A3D"/>
    <w:rsid w:val="00BD6B16"/>
    <w:rsid w:val="00BD7304"/>
    <w:rsid w:val="00BD737A"/>
    <w:rsid w:val="00BE0394"/>
    <w:rsid w:val="00BE12E1"/>
    <w:rsid w:val="00BE17F8"/>
    <w:rsid w:val="00BE1B26"/>
    <w:rsid w:val="00BE1F44"/>
    <w:rsid w:val="00BE2F1D"/>
    <w:rsid w:val="00BE3B31"/>
    <w:rsid w:val="00BE3D6F"/>
    <w:rsid w:val="00BE4548"/>
    <w:rsid w:val="00BE45F1"/>
    <w:rsid w:val="00BE45FB"/>
    <w:rsid w:val="00BE5040"/>
    <w:rsid w:val="00BE53BF"/>
    <w:rsid w:val="00BE5F5D"/>
    <w:rsid w:val="00BE63D7"/>
    <w:rsid w:val="00BE6868"/>
    <w:rsid w:val="00BE6EFE"/>
    <w:rsid w:val="00BE70C8"/>
    <w:rsid w:val="00BE763A"/>
    <w:rsid w:val="00BE7820"/>
    <w:rsid w:val="00BF03C1"/>
    <w:rsid w:val="00BF0776"/>
    <w:rsid w:val="00BF0CAD"/>
    <w:rsid w:val="00BF0D73"/>
    <w:rsid w:val="00BF2700"/>
    <w:rsid w:val="00BF2A34"/>
    <w:rsid w:val="00BF2DF6"/>
    <w:rsid w:val="00BF2ED5"/>
    <w:rsid w:val="00BF5699"/>
    <w:rsid w:val="00BF5EA3"/>
    <w:rsid w:val="00BF6721"/>
    <w:rsid w:val="00BF7780"/>
    <w:rsid w:val="00BF7837"/>
    <w:rsid w:val="00BF7DC7"/>
    <w:rsid w:val="00C01250"/>
    <w:rsid w:val="00C016CE"/>
    <w:rsid w:val="00C029D2"/>
    <w:rsid w:val="00C02B96"/>
    <w:rsid w:val="00C02D9A"/>
    <w:rsid w:val="00C033E9"/>
    <w:rsid w:val="00C0389F"/>
    <w:rsid w:val="00C03DE4"/>
    <w:rsid w:val="00C04291"/>
    <w:rsid w:val="00C04326"/>
    <w:rsid w:val="00C046AD"/>
    <w:rsid w:val="00C0492E"/>
    <w:rsid w:val="00C04E33"/>
    <w:rsid w:val="00C04EFC"/>
    <w:rsid w:val="00C054E3"/>
    <w:rsid w:val="00C05A2C"/>
    <w:rsid w:val="00C066B7"/>
    <w:rsid w:val="00C0732C"/>
    <w:rsid w:val="00C073B4"/>
    <w:rsid w:val="00C07AAE"/>
    <w:rsid w:val="00C07D74"/>
    <w:rsid w:val="00C104AC"/>
    <w:rsid w:val="00C10598"/>
    <w:rsid w:val="00C105EF"/>
    <w:rsid w:val="00C10674"/>
    <w:rsid w:val="00C1150F"/>
    <w:rsid w:val="00C11767"/>
    <w:rsid w:val="00C11ED5"/>
    <w:rsid w:val="00C1220B"/>
    <w:rsid w:val="00C13B84"/>
    <w:rsid w:val="00C13EEB"/>
    <w:rsid w:val="00C14B7B"/>
    <w:rsid w:val="00C14CC4"/>
    <w:rsid w:val="00C14D9D"/>
    <w:rsid w:val="00C14DF0"/>
    <w:rsid w:val="00C15198"/>
    <w:rsid w:val="00C1628D"/>
    <w:rsid w:val="00C16F8A"/>
    <w:rsid w:val="00C1734D"/>
    <w:rsid w:val="00C17AB8"/>
    <w:rsid w:val="00C17EFA"/>
    <w:rsid w:val="00C17F90"/>
    <w:rsid w:val="00C20372"/>
    <w:rsid w:val="00C21313"/>
    <w:rsid w:val="00C21B5A"/>
    <w:rsid w:val="00C21D81"/>
    <w:rsid w:val="00C22343"/>
    <w:rsid w:val="00C22668"/>
    <w:rsid w:val="00C22984"/>
    <w:rsid w:val="00C2356F"/>
    <w:rsid w:val="00C235F2"/>
    <w:rsid w:val="00C23C11"/>
    <w:rsid w:val="00C24AF6"/>
    <w:rsid w:val="00C24C6C"/>
    <w:rsid w:val="00C25A7A"/>
    <w:rsid w:val="00C25EB6"/>
    <w:rsid w:val="00C266B3"/>
    <w:rsid w:val="00C26CC1"/>
    <w:rsid w:val="00C26E9D"/>
    <w:rsid w:val="00C27150"/>
    <w:rsid w:val="00C271B4"/>
    <w:rsid w:val="00C27538"/>
    <w:rsid w:val="00C30469"/>
    <w:rsid w:val="00C311EA"/>
    <w:rsid w:val="00C3183C"/>
    <w:rsid w:val="00C31900"/>
    <w:rsid w:val="00C319B2"/>
    <w:rsid w:val="00C319D2"/>
    <w:rsid w:val="00C32359"/>
    <w:rsid w:val="00C323F5"/>
    <w:rsid w:val="00C32757"/>
    <w:rsid w:val="00C32C8D"/>
    <w:rsid w:val="00C32D5B"/>
    <w:rsid w:val="00C33221"/>
    <w:rsid w:val="00C33E98"/>
    <w:rsid w:val="00C34283"/>
    <w:rsid w:val="00C347F1"/>
    <w:rsid w:val="00C34842"/>
    <w:rsid w:val="00C34A74"/>
    <w:rsid w:val="00C34A85"/>
    <w:rsid w:val="00C35FE7"/>
    <w:rsid w:val="00C3658A"/>
    <w:rsid w:val="00C36AEE"/>
    <w:rsid w:val="00C36E61"/>
    <w:rsid w:val="00C375CA"/>
    <w:rsid w:val="00C3786F"/>
    <w:rsid w:val="00C3799C"/>
    <w:rsid w:val="00C403D3"/>
    <w:rsid w:val="00C40932"/>
    <w:rsid w:val="00C4298A"/>
    <w:rsid w:val="00C42F7B"/>
    <w:rsid w:val="00C43BF3"/>
    <w:rsid w:val="00C441E0"/>
    <w:rsid w:val="00C44939"/>
    <w:rsid w:val="00C44A9E"/>
    <w:rsid w:val="00C457F1"/>
    <w:rsid w:val="00C45979"/>
    <w:rsid w:val="00C4751A"/>
    <w:rsid w:val="00C47D5B"/>
    <w:rsid w:val="00C50B8A"/>
    <w:rsid w:val="00C519E2"/>
    <w:rsid w:val="00C51C20"/>
    <w:rsid w:val="00C51D4B"/>
    <w:rsid w:val="00C52E1A"/>
    <w:rsid w:val="00C536D9"/>
    <w:rsid w:val="00C538F7"/>
    <w:rsid w:val="00C53EEC"/>
    <w:rsid w:val="00C541C4"/>
    <w:rsid w:val="00C54AD0"/>
    <w:rsid w:val="00C54E17"/>
    <w:rsid w:val="00C54FDB"/>
    <w:rsid w:val="00C55493"/>
    <w:rsid w:val="00C559F9"/>
    <w:rsid w:val="00C55B90"/>
    <w:rsid w:val="00C55C9A"/>
    <w:rsid w:val="00C55D33"/>
    <w:rsid w:val="00C569C3"/>
    <w:rsid w:val="00C573BC"/>
    <w:rsid w:val="00C57557"/>
    <w:rsid w:val="00C604EC"/>
    <w:rsid w:val="00C60DDA"/>
    <w:rsid w:val="00C6228D"/>
    <w:rsid w:val="00C63846"/>
    <w:rsid w:val="00C63DA0"/>
    <w:rsid w:val="00C655E9"/>
    <w:rsid w:val="00C67A02"/>
    <w:rsid w:val="00C67D9C"/>
    <w:rsid w:val="00C705C9"/>
    <w:rsid w:val="00C706D7"/>
    <w:rsid w:val="00C72590"/>
    <w:rsid w:val="00C7277D"/>
    <w:rsid w:val="00C72CCD"/>
    <w:rsid w:val="00C72FAF"/>
    <w:rsid w:val="00C733F7"/>
    <w:rsid w:val="00C74DF4"/>
    <w:rsid w:val="00C7506F"/>
    <w:rsid w:val="00C754FD"/>
    <w:rsid w:val="00C76FDB"/>
    <w:rsid w:val="00C80081"/>
    <w:rsid w:val="00C80240"/>
    <w:rsid w:val="00C80B5C"/>
    <w:rsid w:val="00C80E50"/>
    <w:rsid w:val="00C811C8"/>
    <w:rsid w:val="00C81982"/>
    <w:rsid w:val="00C81E8A"/>
    <w:rsid w:val="00C81E98"/>
    <w:rsid w:val="00C82088"/>
    <w:rsid w:val="00C82DF3"/>
    <w:rsid w:val="00C834B7"/>
    <w:rsid w:val="00C8387F"/>
    <w:rsid w:val="00C83989"/>
    <w:rsid w:val="00C83ECD"/>
    <w:rsid w:val="00C8408B"/>
    <w:rsid w:val="00C858D1"/>
    <w:rsid w:val="00C85EC1"/>
    <w:rsid w:val="00C86ABE"/>
    <w:rsid w:val="00C86B9F"/>
    <w:rsid w:val="00C86F6E"/>
    <w:rsid w:val="00C8720B"/>
    <w:rsid w:val="00C87C08"/>
    <w:rsid w:val="00C87E71"/>
    <w:rsid w:val="00C901C5"/>
    <w:rsid w:val="00C9069E"/>
    <w:rsid w:val="00C91270"/>
    <w:rsid w:val="00C9141A"/>
    <w:rsid w:val="00C916DE"/>
    <w:rsid w:val="00C93634"/>
    <w:rsid w:val="00C94126"/>
    <w:rsid w:val="00C943C6"/>
    <w:rsid w:val="00C94D70"/>
    <w:rsid w:val="00C94FBF"/>
    <w:rsid w:val="00C9517E"/>
    <w:rsid w:val="00C96032"/>
    <w:rsid w:val="00C96BDE"/>
    <w:rsid w:val="00C9780A"/>
    <w:rsid w:val="00C97EF6"/>
    <w:rsid w:val="00CA00D9"/>
    <w:rsid w:val="00CA04D7"/>
    <w:rsid w:val="00CA07C2"/>
    <w:rsid w:val="00CA18C9"/>
    <w:rsid w:val="00CA1D7A"/>
    <w:rsid w:val="00CA27B9"/>
    <w:rsid w:val="00CA2FF2"/>
    <w:rsid w:val="00CA318B"/>
    <w:rsid w:val="00CA3236"/>
    <w:rsid w:val="00CA32FE"/>
    <w:rsid w:val="00CA3484"/>
    <w:rsid w:val="00CA4137"/>
    <w:rsid w:val="00CA437C"/>
    <w:rsid w:val="00CA5621"/>
    <w:rsid w:val="00CA5AE4"/>
    <w:rsid w:val="00CA6B20"/>
    <w:rsid w:val="00CA6D14"/>
    <w:rsid w:val="00CA6D2A"/>
    <w:rsid w:val="00CA7D74"/>
    <w:rsid w:val="00CB028E"/>
    <w:rsid w:val="00CB02A1"/>
    <w:rsid w:val="00CB038B"/>
    <w:rsid w:val="00CB1797"/>
    <w:rsid w:val="00CB307E"/>
    <w:rsid w:val="00CB3408"/>
    <w:rsid w:val="00CB4B04"/>
    <w:rsid w:val="00CB6543"/>
    <w:rsid w:val="00CB6AD7"/>
    <w:rsid w:val="00CB6DD5"/>
    <w:rsid w:val="00CB70E7"/>
    <w:rsid w:val="00CB798B"/>
    <w:rsid w:val="00CB7BD6"/>
    <w:rsid w:val="00CC03C4"/>
    <w:rsid w:val="00CC09AE"/>
    <w:rsid w:val="00CC14E0"/>
    <w:rsid w:val="00CC1979"/>
    <w:rsid w:val="00CC22E6"/>
    <w:rsid w:val="00CC2643"/>
    <w:rsid w:val="00CC27DF"/>
    <w:rsid w:val="00CC338D"/>
    <w:rsid w:val="00CC3893"/>
    <w:rsid w:val="00CC3C26"/>
    <w:rsid w:val="00CC43C3"/>
    <w:rsid w:val="00CC43C5"/>
    <w:rsid w:val="00CC43CD"/>
    <w:rsid w:val="00CC454E"/>
    <w:rsid w:val="00CC4618"/>
    <w:rsid w:val="00CC47AC"/>
    <w:rsid w:val="00CC5086"/>
    <w:rsid w:val="00CC5802"/>
    <w:rsid w:val="00CC584A"/>
    <w:rsid w:val="00CC5CA5"/>
    <w:rsid w:val="00CC729B"/>
    <w:rsid w:val="00CC7A66"/>
    <w:rsid w:val="00CC7C63"/>
    <w:rsid w:val="00CD0AB5"/>
    <w:rsid w:val="00CD0DB1"/>
    <w:rsid w:val="00CD1614"/>
    <w:rsid w:val="00CD1836"/>
    <w:rsid w:val="00CD21A1"/>
    <w:rsid w:val="00CD275E"/>
    <w:rsid w:val="00CD2853"/>
    <w:rsid w:val="00CD2960"/>
    <w:rsid w:val="00CD2EF7"/>
    <w:rsid w:val="00CD317C"/>
    <w:rsid w:val="00CD38AB"/>
    <w:rsid w:val="00CD4100"/>
    <w:rsid w:val="00CD4338"/>
    <w:rsid w:val="00CD4809"/>
    <w:rsid w:val="00CD52DC"/>
    <w:rsid w:val="00CD5A92"/>
    <w:rsid w:val="00CD6074"/>
    <w:rsid w:val="00CD61B3"/>
    <w:rsid w:val="00CD7482"/>
    <w:rsid w:val="00CE01C6"/>
    <w:rsid w:val="00CE0942"/>
    <w:rsid w:val="00CE175E"/>
    <w:rsid w:val="00CE1C70"/>
    <w:rsid w:val="00CE1EF9"/>
    <w:rsid w:val="00CE1F75"/>
    <w:rsid w:val="00CE293F"/>
    <w:rsid w:val="00CE2CB1"/>
    <w:rsid w:val="00CE3ACF"/>
    <w:rsid w:val="00CE4292"/>
    <w:rsid w:val="00CE453E"/>
    <w:rsid w:val="00CE4608"/>
    <w:rsid w:val="00CE4822"/>
    <w:rsid w:val="00CE4DEB"/>
    <w:rsid w:val="00CE4F47"/>
    <w:rsid w:val="00CE509A"/>
    <w:rsid w:val="00CE5752"/>
    <w:rsid w:val="00CE68D7"/>
    <w:rsid w:val="00CE6BF7"/>
    <w:rsid w:val="00CE6F2D"/>
    <w:rsid w:val="00CE7D59"/>
    <w:rsid w:val="00CE7E1B"/>
    <w:rsid w:val="00CE7ECB"/>
    <w:rsid w:val="00CF08E3"/>
    <w:rsid w:val="00CF16D5"/>
    <w:rsid w:val="00CF1722"/>
    <w:rsid w:val="00CF23B4"/>
    <w:rsid w:val="00CF242E"/>
    <w:rsid w:val="00CF2B8E"/>
    <w:rsid w:val="00CF413A"/>
    <w:rsid w:val="00CF4631"/>
    <w:rsid w:val="00CF477B"/>
    <w:rsid w:val="00CF5A3C"/>
    <w:rsid w:val="00CF5EFF"/>
    <w:rsid w:val="00CF7667"/>
    <w:rsid w:val="00D0009C"/>
    <w:rsid w:val="00D00106"/>
    <w:rsid w:val="00D00D33"/>
    <w:rsid w:val="00D0123D"/>
    <w:rsid w:val="00D01A8F"/>
    <w:rsid w:val="00D026B2"/>
    <w:rsid w:val="00D030E7"/>
    <w:rsid w:val="00D03907"/>
    <w:rsid w:val="00D04072"/>
    <w:rsid w:val="00D043F3"/>
    <w:rsid w:val="00D04823"/>
    <w:rsid w:val="00D053D8"/>
    <w:rsid w:val="00D05B04"/>
    <w:rsid w:val="00D05C4C"/>
    <w:rsid w:val="00D05D16"/>
    <w:rsid w:val="00D06B67"/>
    <w:rsid w:val="00D10553"/>
    <w:rsid w:val="00D10B82"/>
    <w:rsid w:val="00D115B9"/>
    <w:rsid w:val="00D12CEB"/>
    <w:rsid w:val="00D12D20"/>
    <w:rsid w:val="00D14A68"/>
    <w:rsid w:val="00D14F56"/>
    <w:rsid w:val="00D163B0"/>
    <w:rsid w:val="00D176F8"/>
    <w:rsid w:val="00D17986"/>
    <w:rsid w:val="00D17AB9"/>
    <w:rsid w:val="00D17BB9"/>
    <w:rsid w:val="00D210DB"/>
    <w:rsid w:val="00D22328"/>
    <w:rsid w:val="00D225E2"/>
    <w:rsid w:val="00D234AD"/>
    <w:rsid w:val="00D2357E"/>
    <w:rsid w:val="00D235E9"/>
    <w:rsid w:val="00D236A1"/>
    <w:rsid w:val="00D236A2"/>
    <w:rsid w:val="00D248F1"/>
    <w:rsid w:val="00D24AC0"/>
    <w:rsid w:val="00D26124"/>
    <w:rsid w:val="00D268D3"/>
    <w:rsid w:val="00D317D2"/>
    <w:rsid w:val="00D31DCE"/>
    <w:rsid w:val="00D31DFB"/>
    <w:rsid w:val="00D31E01"/>
    <w:rsid w:val="00D32449"/>
    <w:rsid w:val="00D33817"/>
    <w:rsid w:val="00D33CC7"/>
    <w:rsid w:val="00D35E77"/>
    <w:rsid w:val="00D36464"/>
    <w:rsid w:val="00D37D03"/>
    <w:rsid w:val="00D37D3F"/>
    <w:rsid w:val="00D40C66"/>
    <w:rsid w:val="00D414EB"/>
    <w:rsid w:val="00D4260C"/>
    <w:rsid w:val="00D43278"/>
    <w:rsid w:val="00D432B7"/>
    <w:rsid w:val="00D437E5"/>
    <w:rsid w:val="00D43A87"/>
    <w:rsid w:val="00D4483E"/>
    <w:rsid w:val="00D45409"/>
    <w:rsid w:val="00D4591C"/>
    <w:rsid w:val="00D45C8A"/>
    <w:rsid w:val="00D46215"/>
    <w:rsid w:val="00D46304"/>
    <w:rsid w:val="00D46F77"/>
    <w:rsid w:val="00D470E4"/>
    <w:rsid w:val="00D47A02"/>
    <w:rsid w:val="00D47C16"/>
    <w:rsid w:val="00D47C2B"/>
    <w:rsid w:val="00D47CB3"/>
    <w:rsid w:val="00D50855"/>
    <w:rsid w:val="00D50C3C"/>
    <w:rsid w:val="00D5109E"/>
    <w:rsid w:val="00D512FB"/>
    <w:rsid w:val="00D51356"/>
    <w:rsid w:val="00D517F0"/>
    <w:rsid w:val="00D51A16"/>
    <w:rsid w:val="00D51E14"/>
    <w:rsid w:val="00D52599"/>
    <w:rsid w:val="00D5260D"/>
    <w:rsid w:val="00D52632"/>
    <w:rsid w:val="00D53546"/>
    <w:rsid w:val="00D54334"/>
    <w:rsid w:val="00D544EC"/>
    <w:rsid w:val="00D5576E"/>
    <w:rsid w:val="00D55926"/>
    <w:rsid w:val="00D55EB1"/>
    <w:rsid w:val="00D5602E"/>
    <w:rsid w:val="00D57716"/>
    <w:rsid w:val="00D60AEE"/>
    <w:rsid w:val="00D60CEF"/>
    <w:rsid w:val="00D61EDC"/>
    <w:rsid w:val="00D6230B"/>
    <w:rsid w:val="00D62A5B"/>
    <w:rsid w:val="00D62E3E"/>
    <w:rsid w:val="00D63F2A"/>
    <w:rsid w:val="00D64254"/>
    <w:rsid w:val="00D642C4"/>
    <w:rsid w:val="00D65BE9"/>
    <w:rsid w:val="00D65C5B"/>
    <w:rsid w:val="00D65FAE"/>
    <w:rsid w:val="00D7036A"/>
    <w:rsid w:val="00D7135F"/>
    <w:rsid w:val="00D73509"/>
    <w:rsid w:val="00D73D8B"/>
    <w:rsid w:val="00D73DBE"/>
    <w:rsid w:val="00D73E09"/>
    <w:rsid w:val="00D74290"/>
    <w:rsid w:val="00D747A3"/>
    <w:rsid w:val="00D7487B"/>
    <w:rsid w:val="00D759B5"/>
    <w:rsid w:val="00D76DB3"/>
    <w:rsid w:val="00D77948"/>
    <w:rsid w:val="00D77C8D"/>
    <w:rsid w:val="00D8242E"/>
    <w:rsid w:val="00D85BF2"/>
    <w:rsid w:val="00D85EE1"/>
    <w:rsid w:val="00D861B0"/>
    <w:rsid w:val="00D86FBE"/>
    <w:rsid w:val="00D87092"/>
    <w:rsid w:val="00D872F5"/>
    <w:rsid w:val="00D87764"/>
    <w:rsid w:val="00D9008B"/>
    <w:rsid w:val="00D90653"/>
    <w:rsid w:val="00D92ED6"/>
    <w:rsid w:val="00D94255"/>
    <w:rsid w:val="00D94E3E"/>
    <w:rsid w:val="00D9599C"/>
    <w:rsid w:val="00D970BD"/>
    <w:rsid w:val="00D97AED"/>
    <w:rsid w:val="00DA0128"/>
    <w:rsid w:val="00DA1225"/>
    <w:rsid w:val="00DA27EE"/>
    <w:rsid w:val="00DA2DB0"/>
    <w:rsid w:val="00DA4019"/>
    <w:rsid w:val="00DA4E0C"/>
    <w:rsid w:val="00DA53F8"/>
    <w:rsid w:val="00DA5C3B"/>
    <w:rsid w:val="00DA7843"/>
    <w:rsid w:val="00DA7E80"/>
    <w:rsid w:val="00DB0E66"/>
    <w:rsid w:val="00DB13CB"/>
    <w:rsid w:val="00DB260E"/>
    <w:rsid w:val="00DB39E4"/>
    <w:rsid w:val="00DB523F"/>
    <w:rsid w:val="00DB52E0"/>
    <w:rsid w:val="00DB5E95"/>
    <w:rsid w:val="00DB6062"/>
    <w:rsid w:val="00DB7775"/>
    <w:rsid w:val="00DB799B"/>
    <w:rsid w:val="00DC176C"/>
    <w:rsid w:val="00DC1889"/>
    <w:rsid w:val="00DC1EEC"/>
    <w:rsid w:val="00DC2D99"/>
    <w:rsid w:val="00DC303D"/>
    <w:rsid w:val="00DC4A60"/>
    <w:rsid w:val="00DC57CD"/>
    <w:rsid w:val="00DC6343"/>
    <w:rsid w:val="00DC6593"/>
    <w:rsid w:val="00DC69BD"/>
    <w:rsid w:val="00DC6A93"/>
    <w:rsid w:val="00DD1092"/>
    <w:rsid w:val="00DD1B6D"/>
    <w:rsid w:val="00DD2094"/>
    <w:rsid w:val="00DD2682"/>
    <w:rsid w:val="00DD2B6D"/>
    <w:rsid w:val="00DD34B4"/>
    <w:rsid w:val="00DD35B0"/>
    <w:rsid w:val="00DD4E7A"/>
    <w:rsid w:val="00DD58C9"/>
    <w:rsid w:val="00DD5EAF"/>
    <w:rsid w:val="00DD6533"/>
    <w:rsid w:val="00DD65A4"/>
    <w:rsid w:val="00DD67B9"/>
    <w:rsid w:val="00DD718B"/>
    <w:rsid w:val="00DD7F8B"/>
    <w:rsid w:val="00DE0724"/>
    <w:rsid w:val="00DE0AE1"/>
    <w:rsid w:val="00DE1307"/>
    <w:rsid w:val="00DE13C6"/>
    <w:rsid w:val="00DE15D8"/>
    <w:rsid w:val="00DE26D9"/>
    <w:rsid w:val="00DE3DF8"/>
    <w:rsid w:val="00DE3F99"/>
    <w:rsid w:val="00DE4E0C"/>
    <w:rsid w:val="00DE4F56"/>
    <w:rsid w:val="00DE50FF"/>
    <w:rsid w:val="00DE52BF"/>
    <w:rsid w:val="00DE60DC"/>
    <w:rsid w:val="00DE67AB"/>
    <w:rsid w:val="00DE68CB"/>
    <w:rsid w:val="00DE6A3D"/>
    <w:rsid w:val="00DF0955"/>
    <w:rsid w:val="00DF0A09"/>
    <w:rsid w:val="00DF1B64"/>
    <w:rsid w:val="00DF3AA1"/>
    <w:rsid w:val="00DF48E5"/>
    <w:rsid w:val="00DF4973"/>
    <w:rsid w:val="00DF4A25"/>
    <w:rsid w:val="00DF5366"/>
    <w:rsid w:val="00DF564F"/>
    <w:rsid w:val="00DF6030"/>
    <w:rsid w:val="00DF6946"/>
    <w:rsid w:val="00DF702D"/>
    <w:rsid w:val="00DF728B"/>
    <w:rsid w:val="00DF779B"/>
    <w:rsid w:val="00DF7E5D"/>
    <w:rsid w:val="00E00589"/>
    <w:rsid w:val="00E00B42"/>
    <w:rsid w:val="00E00CEA"/>
    <w:rsid w:val="00E00EE1"/>
    <w:rsid w:val="00E0220E"/>
    <w:rsid w:val="00E02E56"/>
    <w:rsid w:val="00E030A2"/>
    <w:rsid w:val="00E034D9"/>
    <w:rsid w:val="00E03689"/>
    <w:rsid w:val="00E038E9"/>
    <w:rsid w:val="00E03D8B"/>
    <w:rsid w:val="00E03FC8"/>
    <w:rsid w:val="00E0425D"/>
    <w:rsid w:val="00E04947"/>
    <w:rsid w:val="00E076DF"/>
    <w:rsid w:val="00E10927"/>
    <w:rsid w:val="00E10A48"/>
    <w:rsid w:val="00E128B1"/>
    <w:rsid w:val="00E12D9F"/>
    <w:rsid w:val="00E134F6"/>
    <w:rsid w:val="00E136E7"/>
    <w:rsid w:val="00E13AEF"/>
    <w:rsid w:val="00E14467"/>
    <w:rsid w:val="00E14BF3"/>
    <w:rsid w:val="00E15B61"/>
    <w:rsid w:val="00E15FB0"/>
    <w:rsid w:val="00E16410"/>
    <w:rsid w:val="00E16BA4"/>
    <w:rsid w:val="00E16BDB"/>
    <w:rsid w:val="00E17584"/>
    <w:rsid w:val="00E20006"/>
    <w:rsid w:val="00E2016D"/>
    <w:rsid w:val="00E205A3"/>
    <w:rsid w:val="00E20BE2"/>
    <w:rsid w:val="00E20EDA"/>
    <w:rsid w:val="00E21D7B"/>
    <w:rsid w:val="00E23772"/>
    <w:rsid w:val="00E237D1"/>
    <w:rsid w:val="00E2389F"/>
    <w:rsid w:val="00E23DC7"/>
    <w:rsid w:val="00E248D3"/>
    <w:rsid w:val="00E25157"/>
    <w:rsid w:val="00E253D0"/>
    <w:rsid w:val="00E25489"/>
    <w:rsid w:val="00E25527"/>
    <w:rsid w:val="00E26A87"/>
    <w:rsid w:val="00E27F78"/>
    <w:rsid w:val="00E30F8E"/>
    <w:rsid w:val="00E3122D"/>
    <w:rsid w:val="00E31E34"/>
    <w:rsid w:val="00E3276E"/>
    <w:rsid w:val="00E33360"/>
    <w:rsid w:val="00E33622"/>
    <w:rsid w:val="00E33FC1"/>
    <w:rsid w:val="00E349AE"/>
    <w:rsid w:val="00E3518D"/>
    <w:rsid w:val="00E35266"/>
    <w:rsid w:val="00E35BF8"/>
    <w:rsid w:val="00E35E0F"/>
    <w:rsid w:val="00E35F62"/>
    <w:rsid w:val="00E365A6"/>
    <w:rsid w:val="00E36E87"/>
    <w:rsid w:val="00E36F19"/>
    <w:rsid w:val="00E37177"/>
    <w:rsid w:val="00E37A2B"/>
    <w:rsid w:val="00E40D81"/>
    <w:rsid w:val="00E41A5E"/>
    <w:rsid w:val="00E42705"/>
    <w:rsid w:val="00E4294A"/>
    <w:rsid w:val="00E42EA6"/>
    <w:rsid w:val="00E439D8"/>
    <w:rsid w:val="00E43C82"/>
    <w:rsid w:val="00E463E4"/>
    <w:rsid w:val="00E464D5"/>
    <w:rsid w:val="00E47562"/>
    <w:rsid w:val="00E47F71"/>
    <w:rsid w:val="00E50700"/>
    <w:rsid w:val="00E50BD4"/>
    <w:rsid w:val="00E50CD6"/>
    <w:rsid w:val="00E530CA"/>
    <w:rsid w:val="00E5311D"/>
    <w:rsid w:val="00E53331"/>
    <w:rsid w:val="00E53424"/>
    <w:rsid w:val="00E53DA5"/>
    <w:rsid w:val="00E54B97"/>
    <w:rsid w:val="00E5531B"/>
    <w:rsid w:val="00E55F68"/>
    <w:rsid w:val="00E564A6"/>
    <w:rsid w:val="00E5654D"/>
    <w:rsid w:val="00E604E8"/>
    <w:rsid w:val="00E63258"/>
    <w:rsid w:val="00E63B7C"/>
    <w:rsid w:val="00E64207"/>
    <w:rsid w:val="00E64357"/>
    <w:rsid w:val="00E64935"/>
    <w:rsid w:val="00E64CB8"/>
    <w:rsid w:val="00E64F9E"/>
    <w:rsid w:val="00E64FE2"/>
    <w:rsid w:val="00E6588A"/>
    <w:rsid w:val="00E65A81"/>
    <w:rsid w:val="00E663AF"/>
    <w:rsid w:val="00E66752"/>
    <w:rsid w:val="00E6714A"/>
    <w:rsid w:val="00E671A5"/>
    <w:rsid w:val="00E67AA0"/>
    <w:rsid w:val="00E70167"/>
    <w:rsid w:val="00E7031C"/>
    <w:rsid w:val="00E705EC"/>
    <w:rsid w:val="00E71090"/>
    <w:rsid w:val="00E717FA"/>
    <w:rsid w:val="00E71E8B"/>
    <w:rsid w:val="00E72DB0"/>
    <w:rsid w:val="00E72FC8"/>
    <w:rsid w:val="00E7321B"/>
    <w:rsid w:val="00E73765"/>
    <w:rsid w:val="00E738D0"/>
    <w:rsid w:val="00E73DA9"/>
    <w:rsid w:val="00E73E81"/>
    <w:rsid w:val="00E74511"/>
    <w:rsid w:val="00E746BA"/>
    <w:rsid w:val="00E75438"/>
    <w:rsid w:val="00E75DBD"/>
    <w:rsid w:val="00E777B0"/>
    <w:rsid w:val="00E77D2C"/>
    <w:rsid w:val="00E77E40"/>
    <w:rsid w:val="00E805B6"/>
    <w:rsid w:val="00E815E1"/>
    <w:rsid w:val="00E820EF"/>
    <w:rsid w:val="00E82803"/>
    <w:rsid w:val="00E833F8"/>
    <w:rsid w:val="00E83614"/>
    <w:rsid w:val="00E83D5C"/>
    <w:rsid w:val="00E855F5"/>
    <w:rsid w:val="00E85622"/>
    <w:rsid w:val="00E85AE5"/>
    <w:rsid w:val="00E85D5C"/>
    <w:rsid w:val="00E86B65"/>
    <w:rsid w:val="00E86E68"/>
    <w:rsid w:val="00E86FCF"/>
    <w:rsid w:val="00E87F99"/>
    <w:rsid w:val="00E87FCD"/>
    <w:rsid w:val="00E904CE"/>
    <w:rsid w:val="00E90667"/>
    <w:rsid w:val="00E91C6A"/>
    <w:rsid w:val="00E92133"/>
    <w:rsid w:val="00E9230E"/>
    <w:rsid w:val="00E92827"/>
    <w:rsid w:val="00E92FB1"/>
    <w:rsid w:val="00E93D9B"/>
    <w:rsid w:val="00E94973"/>
    <w:rsid w:val="00E949BE"/>
    <w:rsid w:val="00E94DD3"/>
    <w:rsid w:val="00E94E34"/>
    <w:rsid w:val="00E957A4"/>
    <w:rsid w:val="00E95848"/>
    <w:rsid w:val="00E96A41"/>
    <w:rsid w:val="00E96B92"/>
    <w:rsid w:val="00E96CDD"/>
    <w:rsid w:val="00E97093"/>
    <w:rsid w:val="00E97340"/>
    <w:rsid w:val="00EA0CF2"/>
    <w:rsid w:val="00EA0D20"/>
    <w:rsid w:val="00EA13FA"/>
    <w:rsid w:val="00EA1CA5"/>
    <w:rsid w:val="00EA3074"/>
    <w:rsid w:val="00EA3AE4"/>
    <w:rsid w:val="00EA3FA5"/>
    <w:rsid w:val="00EA43DB"/>
    <w:rsid w:val="00EA4A33"/>
    <w:rsid w:val="00EA563E"/>
    <w:rsid w:val="00EA58E6"/>
    <w:rsid w:val="00EA5D83"/>
    <w:rsid w:val="00EA5F20"/>
    <w:rsid w:val="00EA5F40"/>
    <w:rsid w:val="00EA5F97"/>
    <w:rsid w:val="00EA6184"/>
    <w:rsid w:val="00EA6BDC"/>
    <w:rsid w:val="00EA6E6C"/>
    <w:rsid w:val="00EB0073"/>
    <w:rsid w:val="00EB09D1"/>
    <w:rsid w:val="00EB0C83"/>
    <w:rsid w:val="00EB1912"/>
    <w:rsid w:val="00EB1C08"/>
    <w:rsid w:val="00EB1C3A"/>
    <w:rsid w:val="00EB2A3A"/>
    <w:rsid w:val="00EB34A6"/>
    <w:rsid w:val="00EB410B"/>
    <w:rsid w:val="00EB4C2F"/>
    <w:rsid w:val="00EB5121"/>
    <w:rsid w:val="00EB636D"/>
    <w:rsid w:val="00EB64D2"/>
    <w:rsid w:val="00EB6B12"/>
    <w:rsid w:val="00EB6DD8"/>
    <w:rsid w:val="00EB7D54"/>
    <w:rsid w:val="00EC02FA"/>
    <w:rsid w:val="00EC04E3"/>
    <w:rsid w:val="00EC05F6"/>
    <w:rsid w:val="00EC0D68"/>
    <w:rsid w:val="00EC10AF"/>
    <w:rsid w:val="00EC1141"/>
    <w:rsid w:val="00EC11F9"/>
    <w:rsid w:val="00EC122D"/>
    <w:rsid w:val="00EC155A"/>
    <w:rsid w:val="00EC1979"/>
    <w:rsid w:val="00EC230D"/>
    <w:rsid w:val="00EC316D"/>
    <w:rsid w:val="00EC3401"/>
    <w:rsid w:val="00EC362D"/>
    <w:rsid w:val="00EC39DB"/>
    <w:rsid w:val="00EC3D95"/>
    <w:rsid w:val="00EC4918"/>
    <w:rsid w:val="00EC52C8"/>
    <w:rsid w:val="00EC53D2"/>
    <w:rsid w:val="00EC5526"/>
    <w:rsid w:val="00EC610D"/>
    <w:rsid w:val="00EC641E"/>
    <w:rsid w:val="00EC6B27"/>
    <w:rsid w:val="00EC700B"/>
    <w:rsid w:val="00EC7AEE"/>
    <w:rsid w:val="00ED0082"/>
    <w:rsid w:val="00ED040F"/>
    <w:rsid w:val="00ED0E4D"/>
    <w:rsid w:val="00ED1842"/>
    <w:rsid w:val="00ED1C59"/>
    <w:rsid w:val="00ED2519"/>
    <w:rsid w:val="00ED2C2E"/>
    <w:rsid w:val="00ED31BD"/>
    <w:rsid w:val="00ED3B8F"/>
    <w:rsid w:val="00ED3C90"/>
    <w:rsid w:val="00ED404D"/>
    <w:rsid w:val="00ED4385"/>
    <w:rsid w:val="00ED44A3"/>
    <w:rsid w:val="00ED4673"/>
    <w:rsid w:val="00ED4E71"/>
    <w:rsid w:val="00ED57A4"/>
    <w:rsid w:val="00ED6496"/>
    <w:rsid w:val="00ED65E6"/>
    <w:rsid w:val="00ED6AD0"/>
    <w:rsid w:val="00ED7C20"/>
    <w:rsid w:val="00EE038B"/>
    <w:rsid w:val="00EE11E7"/>
    <w:rsid w:val="00EE135C"/>
    <w:rsid w:val="00EE2072"/>
    <w:rsid w:val="00EE21A6"/>
    <w:rsid w:val="00EE2403"/>
    <w:rsid w:val="00EE2B2F"/>
    <w:rsid w:val="00EE2EDA"/>
    <w:rsid w:val="00EE2F68"/>
    <w:rsid w:val="00EE41ED"/>
    <w:rsid w:val="00EE5AC9"/>
    <w:rsid w:val="00EE68B7"/>
    <w:rsid w:val="00EE6C8C"/>
    <w:rsid w:val="00EE6D76"/>
    <w:rsid w:val="00EE7609"/>
    <w:rsid w:val="00EE782C"/>
    <w:rsid w:val="00EE7851"/>
    <w:rsid w:val="00EF0EF4"/>
    <w:rsid w:val="00EF15DE"/>
    <w:rsid w:val="00EF2E9D"/>
    <w:rsid w:val="00EF3B34"/>
    <w:rsid w:val="00EF4E5E"/>
    <w:rsid w:val="00EF4F75"/>
    <w:rsid w:val="00EF62B4"/>
    <w:rsid w:val="00EF6962"/>
    <w:rsid w:val="00EF71E8"/>
    <w:rsid w:val="00EF7747"/>
    <w:rsid w:val="00EF7A31"/>
    <w:rsid w:val="00EF7B2E"/>
    <w:rsid w:val="00F0015C"/>
    <w:rsid w:val="00F013A8"/>
    <w:rsid w:val="00F02003"/>
    <w:rsid w:val="00F02923"/>
    <w:rsid w:val="00F029A2"/>
    <w:rsid w:val="00F040C8"/>
    <w:rsid w:val="00F069D2"/>
    <w:rsid w:val="00F0705E"/>
    <w:rsid w:val="00F071BE"/>
    <w:rsid w:val="00F07381"/>
    <w:rsid w:val="00F07D22"/>
    <w:rsid w:val="00F100E9"/>
    <w:rsid w:val="00F105EE"/>
    <w:rsid w:val="00F10CF0"/>
    <w:rsid w:val="00F11AF0"/>
    <w:rsid w:val="00F128DE"/>
    <w:rsid w:val="00F13918"/>
    <w:rsid w:val="00F13A93"/>
    <w:rsid w:val="00F13EE0"/>
    <w:rsid w:val="00F14B4A"/>
    <w:rsid w:val="00F15CFE"/>
    <w:rsid w:val="00F171C6"/>
    <w:rsid w:val="00F17502"/>
    <w:rsid w:val="00F1773A"/>
    <w:rsid w:val="00F177DC"/>
    <w:rsid w:val="00F17913"/>
    <w:rsid w:val="00F17E88"/>
    <w:rsid w:val="00F17F8C"/>
    <w:rsid w:val="00F229AC"/>
    <w:rsid w:val="00F22F68"/>
    <w:rsid w:val="00F2508C"/>
    <w:rsid w:val="00F252CD"/>
    <w:rsid w:val="00F2554C"/>
    <w:rsid w:val="00F274A3"/>
    <w:rsid w:val="00F27BD2"/>
    <w:rsid w:val="00F27EBC"/>
    <w:rsid w:val="00F3030A"/>
    <w:rsid w:val="00F310A4"/>
    <w:rsid w:val="00F3167E"/>
    <w:rsid w:val="00F31DEE"/>
    <w:rsid w:val="00F323D1"/>
    <w:rsid w:val="00F32754"/>
    <w:rsid w:val="00F32BF6"/>
    <w:rsid w:val="00F32CAE"/>
    <w:rsid w:val="00F33388"/>
    <w:rsid w:val="00F33E4D"/>
    <w:rsid w:val="00F34178"/>
    <w:rsid w:val="00F34BCA"/>
    <w:rsid w:val="00F36209"/>
    <w:rsid w:val="00F36723"/>
    <w:rsid w:val="00F36BE3"/>
    <w:rsid w:val="00F37D13"/>
    <w:rsid w:val="00F405E9"/>
    <w:rsid w:val="00F41F2D"/>
    <w:rsid w:val="00F422A5"/>
    <w:rsid w:val="00F426C3"/>
    <w:rsid w:val="00F43533"/>
    <w:rsid w:val="00F440BC"/>
    <w:rsid w:val="00F44806"/>
    <w:rsid w:val="00F44E6A"/>
    <w:rsid w:val="00F44FCA"/>
    <w:rsid w:val="00F462DB"/>
    <w:rsid w:val="00F464B3"/>
    <w:rsid w:val="00F46F0E"/>
    <w:rsid w:val="00F47728"/>
    <w:rsid w:val="00F47EAC"/>
    <w:rsid w:val="00F5019F"/>
    <w:rsid w:val="00F50C29"/>
    <w:rsid w:val="00F51F05"/>
    <w:rsid w:val="00F532D6"/>
    <w:rsid w:val="00F55AD6"/>
    <w:rsid w:val="00F55AED"/>
    <w:rsid w:val="00F56114"/>
    <w:rsid w:val="00F56876"/>
    <w:rsid w:val="00F56A4B"/>
    <w:rsid w:val="00F573CC"/>
    <w:rsid w:val="00F57969"/>
    <w:rsid w:val="00F57A6D"/>
    <w:rsid w:val="00F57D70"/>
    <w:rsid w:val="00F57EAD"/>
    <w:rsid w:val="00F601B4"/>
    <w:rsid w:val="00F60A82"/>
    <w:rsid w:val="00F61571"/>
    <w:rsid w:val="00F61E59"/>
    <w:rsid w:val="00F62C65"/>
    <w:rsid w:val="00F62F92"/>
    <w:rsid w:val="00F63290"/>
    <w:rsid w:val="00F64C29"/>
    <w:rsid w:val="00F652A6"/>
    <w:rsid w:val="00F65D5D"/>
    <w:rsid w:val="00F662B4"/>
    <w:rsid w:val="00F6637B"/>
    <w:rsid w:val="00F66728"/>
    <w:rsid w:val="00F667FB"/>
    <w:rsid w:val="00F67649"/>
    <w:rsid w:val="00F67C9A"/>
    <w:rsid w:val="00F7072E"/>
    <w:rsid w:val="00F71C27"/>
    <w:rsid w:val="00F7283C"/>
    <w:rsid w:val="00F73A8B"/>
    <w:rsid w:val="00F73EB6"/>
    <w:rsid w:val="00F741CB"/>
    <w:rsid w:val="00F748AF"/>
    <w:rsid w:val="00F74FF8"/>
    <w:rsid w:val="00F753AE"/>
    <w:rsid w:val="00F76A44"/>
    <w:rsid w:val="00F76F21"/>
    <w:rsid w:val="00F773F0"/>
    <w:rsid w:val="00F7776D"/>
    <w:rsid w:val="00F77A71"/>
    <w:rsid w:val="00F77EB1"/>
    <w:rsid w:val="00F77EB3"/>
    <w:rsid w:val="00F81AA3"/>
    <w:rsid w:val="00F8225F"/>
    <w:rsid w:val="00F823FF"/>
    <w:rsid w:val="00F84108"/>
    <w:rsid w:val="00F84AF9"/>
    <w:rsid w:val="00F855C4"/>
    <w:rsid w:val="00F85B7B"/>
    <w:rsid w:val="00F85BB1"/>
    <w:rsid w:val="00F85CE4"/>
    <w:rsid w:val="00F861A6"/>
    <w:rsid w:val="00F8697C"/>
    <w:rsid w:val="00F86DDA"/>
    <w:rsid w:val="00F90179"/>
    <w:rsid w:val="00F9040F"/>
    <w:rsid w:val="00F904F9"/>
    <w:rsid w:val="00F90ACE"/>
    <w:rsid w:val="00F9157A"/>
    <w:rsid w:val="00F916E8"/>
    <w:rsid w:val="00F91707"/>
    <w:rsid w:val="00F919C9"/>
    <w:rsid w:val="00F91EF0"/>
    <w:rsid w:val="00F92596"/>
    <w:rsid w:val="00F92897"/>
    <w:rsid w:val="00F9323E"/>
    <w:rsid w:val="00F95973"/>
    <w:rsid w:val="00F96A31"/>
    <w:rsid w:val="00F96B1A"/>
    <w:rsid w:val="00F96C2A"/>
    <w:rsid w:val="00F9761B"/>
    <w:rsid w:val="00F97D13"/>
    <w:rsid w:val="00FA0345"/>
    <w:rsid w:val="00FA0F0D"/>
    <w:rsid w:val="00FA1977"/>
    <w:rsid w:val="00FA243A"/>
    <w:rsid w:val="00FA3EB6"/>
    <w:rsid w:val="00FA41E8"/>
    <w:rsid w:val="00FA43B6"/>
    <w:rsid w:val="00FA4C93"/>
    <w:rsid w:val="00FA4E09"/>
    <w:rsid w:val="00FA517A"/>
    <w:rsid w:val="00FA5B44"/>
    <w:rsid w:val="00FA5CDA"/>
    <w:rsid w:val="00FA5FC1"/>
    <w:rsid w:val="00FA64EF"/>
    <w:rsid w:val="00FA7543"/>
    <w:rsid w:val="00FA7931"/>
    <w:rsid w:val="00FB012C"/>
    <w:rsid w:val="00FB066A"/>
    <w:rsid w:val="00FB07A1"/>
    <w:rsid w:val="00FB1382"/>
    <w:rsid w:val="00FB1BFB"/>
    <w:rsid w:val="00FB1D7E"/>
    <w:rsid w:val="00FB2200"/>
    <w:rsid w:val="00FB2BA7"/>
    <w:rsid w:val="00FB34C3"/>
    <w:rsid w:val="00FB37E2"/>
    <w:rsid w:val="00FB38ED"/>
    <w:rsid w:val="00FB5966"/>
    <w:rsid w:val="00FB67E5"/>
    <w:rsid w:val="00FB6E02"/>
    <w:rsid w:val="00FB72D9"/>
    <w:rsid w:val="00FB7E9F"/>
    <w:rsid w:val="00FC00BB"/>
    <w:rsid w:val="00FC02BD"/>
    <w:rsid w:val="00FC08F7"/>
    <w:rsid w:val="00FC0A84"/>
    <w:rsid w:val="00FC0F42"/>
    <w:rsid w:val="00FC129E"/>
    <w:rsid w:val="00FC1903"/>
    <w:rsid w:val="00FC1AF2"/>
    <w:rsid w:val="00FC2365"/>
    <w:rsid w:val="00FC2C45"/>
    <w:rsid w:val="00FC2D89"/>
    <w:rsid w:val="00FC37AB"/>
    <w:rsid w:val="00FC4B21"/>
    <w:rsid w:val="00FC4CC6"/>
    <w:rsid w:val="00FC4FBB"/>
    <w:rsid w:val="00FC53C7"/>
    <w:rsid w:val="00FC577F"/>
    <w:rsid w:val="00FC601F"/>
    <w:rsid w:val="00FC62A2"/>
    <w:rsid w:val="00FC6545"/>
    <w:rsid w:val="00FC6B5B"/>
    <w:rsid w:val="00FC743D"/>
    <w:rsid w:val="00FC7E37"/>
    <w:rsid w:val="00FD0324"/>
    <w:rsid w:val="00FD071A"/>
    <w:rsid w:val="00FD168C"/>
    <w:rsid w:val="00FD3EF8"/>
    <w:rsid w:val="00FD5349"/>
    <w:rsid w:val="00FD53C7"/>
    <w:rsid w:val="00FD54EB"/>
    <w:rsid w:val="00FD650D"/>
    <w:rsid w:val="00FD6667"/>
    <w:rsid w:val="00FD6C83"/>
    <w:rsid w:val="00FD7196"/>
    <w:rsid w:val="00FD7E4A"/>
    <w:rsid w:val="00FE0BEA"/>
    <w:rsid w:val="00FE0D6A"/>
    <w:rsid w:val="00FE2C1F"/>
    <w:rsid w:val="00FE2F27"/>
    <w:rsid w:val="00FE3CB3"/>
    <w:rsid w:val="00FE4665"/>
    <w:rsid w:val="00FE539F"/>
    <w:rsid w:val="00FE670D"/>
    <w:rsid w:val="00FE7530"/>
    <w:rsid w:val="00FF04B1"/>
    <w:rsid w:val="00FF0CC3"/>
    <w:rsid w:val="00FF0D8D"/>
    <w:rsid w:val="00FF0DE8"/>
    <w:rsid w:val="00FF11A9"/>
    <w:rsid w:val="00FF165F"/>
    <w:rsid w:val="00FF16DB"/>
    <w:rsid w:val="00FF2884"/>
    <w:rsid w:val="00FF2E66"/>
    <w:rsid w:val="00FF3DDF"/>
    <w:rsid w:val="00FF5265"/>
    <w:rsid w:val="00FF55F1"/>
    <w:rsid w:val="00FF6FA0"/>
    <w:rsid w:val="014C2E9B"/>
    <w:rsid w:val="0154C70F"/>
    <w:rsid w:val="01AFBD83"/>
    <w:rsid w:val="01BAE43D"/>
    <w:rsid w:val="01DBE774"/>
    <w:rsid w:val="01EE46BA"/>
    <w:rsid w:val="01EF6AF3"/>
    <w:rsid w:val="01EFF4B8"/>
    <w:rsid w:val="02369EEC"/>
    <w:rsid w:val="0248A40C"/>
    <w:rsid w:val="025EBAC4"/>
    <w:rsid w:val="0296DC7E"/>
    <w:rsid w:val="02A617D0"/>
    <w:rsid w:val="02AC709B"/>
    <w:rsid w:val="02D22C48"/>
    <w:rsid w:val="02FFC142"/>
    <w:rsid w:val="03324726"/>
    <w:rsid w:val="0340C7B5"/>
    <w:rsid w:val="03563071"/>
    <w:rsid w:val="0358D710"/>
    <w:rsid w:val="0359EF17"/>
    <w:rsid w:val="0365DAEE"/>
    <w:rsid w:val="0372BE5B"/>
    <w:rsid w:val="0389EECB"/>
    <w:rsid w:val="038B508C"/>
    <w:rsid w:val="0396C677"/>
    <w:rsid w:val="039E873B"/>
    <w:rsid w:val="03E4746D"/>
    <w:rsid w:val="043A4EAC"/>
    <w:rsid w:val="0478847D"/>
    <w:rsid w:val="04B2660A"/>
    <w:rsid w:val="04C4E4F7"/>
    <w:rsid w:val="05031D9C"/>
    <w:rsid w:val="056DDD49"/>
    <w:rsid w:val="0589CF88"/>
    <w:rsid w:val="05A32790"/>
    <w:rsid w:val="06070A83"/>
    <w:rsid w:val="0613B2CE"/>
    <w:rsid w:val="065BDB83"/>
    <w:rsid w:val="065EDDB5"/>
    <w:rsid w:val="067503E0"/>
    <w:rsid w:val="0688745E"/>
    <w:rsid w:val="06D233E7"/>
    <w:rsid w:val="073D8908"/>
    <w:rsid w:val="0768A609"/>
    <w:rsid w:val="077B47BB"/>
    <w:rsid w:val="07DA50B0"/>
    <w:rsid w:val="08462F7E"/>
    <w:rsid w:val="084F7F16"/>
    <w:rsid w:val="0856A253"/>
    <w:rsid w:val="08742A6B"/>
    <w:rsid w:val="0895A9C6"/>
    <w:rsid w:val="0950DC66"/>
    <w:rsid w:val="096B919C"/>
    <w:rsid w:val="09A58165"/>
    <w:rsid w:val="09A6617D"/>
    <w:rsid w:val="09BB3EB4"/>
    <w:rsid w:val="09DA399C"/>
    <w:rsid w:val="0A60FF51"/>
    <w:rsid w:val="0A61D18E"/>
    <w:rsid w:val="0A7BADC9"/>
    <w:rsid w:val="0A87B1B4"/>
    <w:rsid w:val="0A9A8022"/>
    <w:rsid w:val="0AA3A86F"/>
    <w:rsid w:val="0AAF61B7"/>
    <w:rsid w:val="0AFB87B1"/>
    <w:rsid w:val="0B620CA6"/>
    <w:rsid w:val="0B842668"/>
    <w:rsid w:val="0C14FBF0"/>
    <w:rsid w:val="0C550549"/>
    <w:rsid w:val="0C9D8B4A"/>
    <w:rsid w:val="0CAA651B"/>
    <w:rsid w:val="0D05FC5C"/>
    <w:rsid w:val="0D2BBEE1"/>
    <w:rsid w:val="0D36C0D2"/>
    <w:rsid w:val="0D5655F9"/>
    <w:rsid w:val="0D9C6C8E"/>
    <w:rsid w:val="0DDBDF79"/>
    <w:rsid w:val="0E24BC54"/>
    <w:rsid w:val="0E27C4FB"/>
    <w:rsid w:val="0E379206"/>
    <w:rsid w:val="0E421184"/>
    <w:rsid w:val="0E6F7F93"/>
    <w:rsid w:val="0E7B3485"/>
    <w:rsid w:val="0E9C59FD"/>
    <w:rsid w:val="0ECB977F"/>
    <w:rsid w:val="0EF1AAF3"/>
    <w:rsid w:val="0F24E44C"/>
    <w:rsid w:val="0F26F43C"/>
    <w:rsid w:val="0F43C128"/>
    <w:rsid w:val="0FA6CF41"/>
    <w:rsid w:val="0FC28DB3"/>
    <w:rsid w:val="0FE6717B"/>
    <w:rsid w:val="1024D7EB"/>
    <w:rsid w:val="104196CA"/>
    <w:rsid w:val="104233AF"/>
    <w:rsid w:val="104361D7"/>
    <w:rsid w:val="105625C4"/>
    <w:rsid w:val="106176CF"/>
    <w:rsid w:val="1062D8DB"/>
    <w:rsid w:val="10BBB88C"/>
    <w:rsid w:val="10CC20C5"/>
    <w:rsid w:val="112D3373"/>
    <w:rsid w:val="11410993"/>
    <w:rsid w:val="114F8227"/>
    <w:rsid w:val="11AB4B38"/>
    <w:rsid w:val="121C66B0"/>
    <w:rsid w:val="123D6168"/>
    <w:rsid w:val="125C5E93"/>
    <w:rsid w:val="129B6C98"/>
    <w:rsid w:val="12BD9676"/>
    <w:rsid w:val="130C0EFF"/>
    <w:rsid w:val="130C4327"/>
    <w:rsid w:val="131FD8A5"/>
    <w:rsid w:val="132F687A"/>
    <w:rsid w:val="13CB0A04"/>
    <w:rsid w:val="13E0C5E6"/>
    <w:rsid w:val="13F72327"/>
    <w:rsid w:val="13F9D15F"/>
    <w:rsid w:val="14775161"/>
    <w:rsid w:val="14C791E6"/>
    <w:rsid w:val="1543CD3F"/>
    <w:rsid w:val="15BD4994"/>
    <w:rsid w:val="1655B9ED"/>
    <w:rsid w:val="166451EE"/>
    <w:rsid w:val="16971CCD"/>
    <w:rsid w:val="169EBB00"/>
    <w:rsid w:val="16B4A4E5"/>
    <w:rsid w:val="16D612E6"/>
    <w:rsid w:val="173E4C25"/>
    <w:rsid w:val="177504D9"/>
    <w:rsid w:val="17791625"/>
    <w:rsid w:val="17897176"/>
    <w:rsid w:val="17BA813F"/>
    <w:rsid w:val="17D03F3F"/>
    <w:rsid w:val="17E67368"/>
    <w:rsid w:val="181E39F3"/>
    <w:rsid w:val="184778CF"/>
    <w:rsid w:val="1855D6E5"/>
    <w:rsid w:val="187D4DCF"/>
    <w:rsid w:val="18874C03"/>
    <w:rsid w:val="188778EA"/>
    <w:rsid w:val="18A01C93"/>
    <w:rsid w:val="18AE5026"/>
    <w:rsid w:val="18DC5CAE"/>
    <w:rsid w:val="18E6DFB9"/>
    <w:rsid w:val="193C70FB"/>
    <w:rsid w:val="197C0B15"/>
    <w:rsid w:val="198844C6"/>
    <w:rsid w:val="198CBA07"/>
    <w:rsid w:val="19C73976"/>
    <w:rsid w:val="19D0DF69"/>
    <w:rsid w:val="1A0BDD14"/>
    <w:rsid w:val="1A323025"/>
    <w:rsid w:val="1A4C914E"/>
    <w:rsid w:val="1A889B5B"/>
    <w:rsid w:val="1A9C409B"/>
    <w:rsid w:val="1AB9EFAF"/>
    <w:rsid w:val="1AC73956"/>
    <w:rsid w:val="1ACFC339"/>
    <w:rsid w:val="1B019D61"/>
    <w:rsid w:val="1B9727F7"/>
    <w:rsid w:val="1B9A1912"/>
    <w:rsid w:val="1BB23D1F"/>
    <w:rsid w:val="1C3ACA4E"/>
    <w:rsid w:val="1C8F0082"/>
    <w:rsid w:val="1D24AEC1"/>
    <w:rsid w:val="1D40BE29"/>
    <w:rsid w:val="1D77294F"/>
    <w:rsid w:val="1D88378A"/>
    <w:rsid w:val="1D92A723"/>
    <w:rsid w:val="1DB70366"/>
    <w:rsid w:val="1DC75DB1"/>
    <w:rsid w:val="1DE31029"/>
    <w:rsid w:val="1E3D7FE6"/>
    <w:rsid w:val="1E453E56"/>
    <w:rsid w:val="1ED51596"/>
    <w:rsid w:val="1F1C394A"/>
    <w:rsid w:val="1F5487D7"/>
    <w:rsid w:val="1F7C4270"/>
    <w:rsid w:val="1FA29A87"/>
    <w:rsid w:val="1FA62F62"/>
    <w:rsid w:val="203D5B12"/>
    <w:rsid w:val="20968CC8"/>
    <w:rsid w:val="20B72DF7"/>
    <w:rsid w:val="20DF4F37"/>
    <w:rsid w:val="20FB9EC2"/>
    <w:rsid w:val="211AF725"/>
    <w:rsid w:val="213A3980"/>
    <w:rsid w:val="21652B4B"/>
    <w:rsid w:val="218D4418"/>
    <w:rsid w:val="21AE98AB"/>
    <w:rsid w:val="221F5CE0"/>
    <w:rsid w:val="222512CE"/>
    <w:rsid w:val="22325D29"/>
    <w:rsid w:val="22773A0F"/>
    <w:rsid w:val="22826A13"/>
    <w:rsid w:val="234F8139"/>
    <w:rsid w:val="2388E7E8"/>
    <w:rsid w:val="23B29CB5"/>
    <w:rsid w:val="23B76505"/>
    <w:rsid w:val="240DF080"/>
    <w:rsid w:val="240E6710"/>
    <w:rsid w:val="2465FC40"/>
    <w:rsid w:val="24CA7F1E"/>
    <w:rsid w:val="251305E5"/>
    <w:rsid w:val="252504AC"/>
    <w:rsid w:val="25373DF2"/>
    <w:rsid w:val="25887D1F"/>
    <w:rsid w:val="25A37DC1"/>
    <w:rsid w:val="25CAEC98"/>
    <w:rsid w:val="25F41AB4"/>
    <w:rsid w:val="263A7A08"/>
    <w:rsid w:val="266CA112"/>
    <w:rsid w:val="27274B2F"/>
    <w:rsid w:val="273C6CEE"/>
    <w:rsid w:val="27426774"/>
    <w:rsid w:val="275FA0AA"/>
    <w:rsid w:val="279052A7"/>
    <w:rsid w:val="2792BB1F"/>
    <w:rsid w:val="279C404C"/>
    <w:rsid w:val="27BDE7A1"/>
    <w:rsid w:val="27BE8256"/>
    <w:rsid w:val="27E825D9"/>
    <w:rsid w:val="286300B2"/>
    <w:rsid w:val="28757851"/>
    <w:rsid w:val="287DB562"/>
    <w:rsid w:val="28A8953E"/>
    <w:rsid w:val="28B39D1A"/>
    <w:rsid w:val="2912FBA6"/>
    <w:rsid w:val="29700031"/>
    <w:rsid w:val="2990A606"/>
    <w:rsid w:val="29EB1DA1"/>
    <w:rsid w:val="29FE6AD9"/>
    <w:rsid w:val="2A00A404"/>
    <w:rsid w:val="2A81F680"/>
    <w:rsid w:val="2A8EDDB9"/>
    <w:rsid w:val="2AA44433"/>
    <w:rsid w:val="2AB2567D"/>
    <w:rsid w:val="2AE299E4"/>
    <w:rsid w:val="2B4B5582"/>
    <w:rsid w:val="2B4DF2F1"/>
    <w:rsid w:val="2B670C30"/>
    <w:rsid w:val="2BDB9846"/>
    <w:rsid w:val="2BE1FA90"/>
    <w:rsid w:val="2BE32438"/>
    <w:rsid w:val="2C0DB51F"/>
    <w:rsid w:val="2C4E5B0E"/>
    <w:rsid w:val="2D0256AE"/>
    <w:rsid w:val="2D40FCE6"/>
    <w:rsid w:val="2D9223AC"/>
    <w:rsid w:val="2E4B5F0D"/>
    <w:rsid w:val="2E5E4AEF"/>
    <w:rsid w:val="2ED600DC"/>
    <w:rsid w:val="2EE5F300"/>
    <w:rsid w:val="2EF3C809"/>
    <w:rsid w:val="2F01D88F"/>
    <w:rsid w:val="2F21E837"/>
    <w:rsid w:val="2F3ADDBF"/>
    <w:rsid w:val="2F3FE089"/>
    <w:rsid w:val="2F89C750"/>
    <w:rsid w:val="2F90E503"/>
    <w:rsid w:val="2F97CE1F"/>
    <w:rsid w:val="2FA6CBA8"/>
    <w:rsid w:val="2FD90668"/>
    <w:rsid w:val="3022F585"/>
    <w:rsid w:val="30313B04"/>
    <w:rsid w:val="306CF978"/>
    <w:rsid w:val="3097692A"/>
    <w:rsid w:val="309F3366"/>
    <w:rsid w:val="31015046"/>
    <w:rsid w:val="31099FF3"/>
    <w:rsid w:val="3121CC31"/>
    <w:rsid w:val="31A7B172"/>
    <w:rsid w:val="320B6F4B"/>
    <w:rsid w:val="326B2CC6"/>
    <w:rsid w:val="327E5650"/>
    <w:rsid w:val="329F570B"/>
    <w:rsid w:val="32E3142D"/>
    <w:rsid w:val="331FED17"/>
    <w:rsid w:val="3343CE0C"/>
    <w:rsid w:val="33446247"/>
    <w:rsid w:val="337291F6"/>
    <w:rsid w:val="3432FB36"/>
    <w:rsid w:val="34573AA0"/>
    <w:rsid w:val="34B2123C"/>
    <w:rsid w:val="34F74F0D"/>
    <w:rsid w:val="355A7955"/>
    <w:rsid w:val="35871221"/>
    <w:rsid w:val="35CDAC7A"/>
    <w:rsid w:val="35EE9541"/>
    <w:rsid w:val="35FD5EF2"/>
    <w:rsid w:val="366A66C8"/>
    <w:rsid w:val="36AD647E"/>
    <w:rsid w:val="374D12E5"/>
    <w:rsid w:val="37708A51"/>
    <w:rsid w:val="37DBF8F1"/>
    <w:rsid w:val="37F1FC62"/>
    <w:rsid w:val="38007105"/>
    <w:rsid w:val="3810C2BE"/>
    <w:rsid w:val="38335554"/>
    <w:rsid w:val="384D55EA"/>
    <w:rsid w:val="38547927"/>
    <w:rsid w:val="385CC5B0"/>
    <w:rsid w:val="38892DF4"/>
    <w:rsid w:val="38AB8210"/>
    <w:rsid w:val="38BE1427"/>
    <w:rsid w:val="38CF9107"/>
    <w:rsid w:val="3931752C"/>
    <w:rsid w:val="3963E91D"/>
    <w:rsid w:val="3A0C12FA"/>
    <w:rsid w:val="3A1B83DF"/>
    <w:rsid w:val="3A5210FE"/>
    <w:rsid w:val="3A57C0BD"/>
    <w:rsid w:val="3A815CE5"/>
    <w:rsid w:val="3AAD53C7"/>
    <w:rsid w:val="3AB552BC"/>
    <w:rsid w:val="3AD383DD"/>
    <w:rsid w:val="3AFFB97E"/>
    <w:rsid w:val="3B0BE252"/>
    <w:rsid w:val="3B0E920A"/>
    <w:rsid w:val="3BAB6869"/>
    <w:rsid w:val="3BEB04C5"/>
    <w:rsid w:val="3C18B76C"/>
    <w:rsid w:val="3C26564D"/>
    <w:rsid w:val="3C9B89DF"/>
    <w:rsid w:val="3CA47B75"/>
    <w:rsid w:val="3CB852BE"/>
    <w:rsid w:val="3D15E52A"/>
    <w:rsid w:val="3E102B8C"/>
    <w:rsid w:val="3E256BBE"/>
    <w:rsid w:val="3E2DE675"/>
    <w:rsid w:val="3E54943F"/>
    <w:rsid w:val="3E61F47D"/>
    <w:rsid w:val="3E65CE30"/>
    <w:rsid w:val="3E9C0E5D"/>
    <w:rsid w:val="3E9CD3A0"/>
    <w:rsid w:val="3EB7B85F"/>
    <w:rsid w:val="3EE3A51C"/>
    <w:rsid w:val="3EE6D5A6"/>
    <w:rsid w:val="3F2B31E0"/>
    <w:rsid w:val="3F62E1B1"/>
    <w:rsid w:val="3FA31006"/>
    <w:rsid w:val="3FA7E704"/>
    <w:rsid w:val="402AD2D5"/>
    <w:rsid w:val="40797F11"/>
    <w:rsid w:val="407CE14E"/>
    <w:rsid w:val="417ABBDB"/>
    <w:rsid w:val="41834567"/>
    <w:rsid w:val="419D6EF2"/>
    <w:rsid w:val="41BFBFA4"/>
    <w:rsid w:val="4261741E"/>
    <w:rsid w:val="42696849"/>
    <w:rsid w:val="4379AC8A"/>
    <w:rsid w:val="437E5AB7"/>
    <w:rsid w:val="439D51F1"/>
    <w:rsid w:val="43EE9002"/>
    <w:rsid w:val="43FB7767"/>
    <w:rsid w:val="4421770F"/>
    <w:rsid w:val="448F848A"/>
    <w:rsid w:val="44D2B511"/>
    <w:rsid w:val="451ABEE3"/>
    <w:rsid w:val="4520F70F"/>
    <w:rsid w:val="45529993"/>
    <w:rsid w:val="4590F584"/>
    <w:rsid w:val="459FC8F5"/>
    <w:rsid w:val="45D22335"/>
    <w:rsid w:val="4613F2F6"/>
    <w:rsid w:val="46201964"/>
    <w:rsid w:val="46681301"/>
    <w:rsid w:val="46985145"/>
    <w:rsid w:val="46B53491"/>
    <w:rsid w:val="472ACC5B"/>
    <w:rsid w:val="477A0BC4"/>
    <w:rsid w:val="477FD07D"/>
    <w:rsid w:val="4804911A"/>
    <w:rsid w:val="4818FDB7"/>
    <w:rsid w:val="481F7EE4"/>
    <w:rsid w:val="483B4FD8"/>
    <w:rsid w:val="484B5276"/>
    <w:rsid w:val="48CDBC3D"/>
    <w:rsid w:val="48D3DA8E"/>
    <w:rsid w:val="49133A93"/>
    <w:rsid w:val="49248A83"/>
    <w:rsid w:val="4925B995"/>
    <w:rsid w:val="49419223"/>
    <w:rsid w:val="498764AB"/>
    <w:rsid w:val="49A99067"/>
    <w:rsid w:val="49F3FC57"/>
    <w:rsid w:val="4A018F5E"/>
    <w:rsid w:val="4A2B536C"/>
    <w:rsid w:val="4A9C43CA"/>
    <w:rsid w:val="4A9F7792"/>
    <w:rsid w:val="4AD72224"/>
    <w:rsid w:val="4B5E7AB4"/>
    <w:rsid w:val="4B8C1788"/>
    <w:rsid w:val="4BDBF0A0"/>
    <w:rsid w:val="4BE53EA6"/>
    <w:rsid w:val="4BEE1863"/>
    <w:rsid w:val="4C04BBF2"/>
    <w:rsid w:val="4C270B2A"/>
    <w:rsid w:val="4C5807F8"/>
    <w:rsid w:val="4C929F63"/>
    <w:rsid w:val="4CA5DD10"/>
    <w:rsid w:val="4CD146E4"/>
    <w:rsid w:val="4CE50ABB"/>
    <w:rsid w:val="4D24F240"/>
    <w:rsid w:val="4D2588D5"/>
    <w:rsid w:val="4D857A98"/>
    <w:rsid w:val="4DA32AA6"/>
    <w:rsid w:val="4DB80DF8"/>
    <w:rsid w:val="4E1EA890"/>
    <w:rsid w:val="4E28B7CE"/>
    <w:rsid w:val="4E684EAB"/>
    <w:rsid w:val="4EA0E14A"/>
    <w:rsid w:val="4EAE4F8E"/>
    <w:rsid w:val="4EB0834C"/>
    <w:rsid w:val="4EB83457"/>
    <w:rsid w:val="4EC8A5E0"/>
    <w:rsid w:val="4ECED983"/>
    <w:rsid w:val="4ED91813"/>
    <w:rsid w:val="4F344174"/>
    <w:rsid w:val="4F580799"/>
    <w:rsid w:val="4F90C958"/>
    <w:rsid w:val="4FC4E738"/>
    <w:rsid w:val="4FDF4D6F"/>
    <w:rsid w:val="4FE7D2BE"/>
    <w:rsid w:val="5035202F"/>
    <w:rsid w:val="503E9569"/>
    <w:rsid w:val="5050A6CE"/>
    <w:rsid w:val="50D011D5"/>
    <w:rsid w:val="50DAAFDA"/>
    <w:rsid w:val="50F02452"/>
    <w:rsid w:val="512D4487"/>
    <w:rsid w:val="51404F1D"/>
    <w:rsid w:val="517657DD"/>
    <w:rsid w:val="51CD8467"/>
    <w:rsid w:val="51D3F20B"/>
    <w:rsid w:val="521911B3"/>
    <w:rsid w:val="5286A8AB"/>
    <w:rsid w:val="528A0761"/>
    <w:rsid w:val="52A0F47C"/>
    <w:rsid w:val="52C9A661"/>
    <w:rsid w:val="52DA71F9"/>
    <w:rsid w:val="52E9BA84"/>
    <w:rsid w:val="534A0648"/>
    <w:rsid w:val="53A74A05"/>
    <w:rsid w:val="53B8BDE3"/>
    <w:rsid w:val="53BC4006"/>
    <w:rsid w:val="542209E4"/>
    <w:rsid w:val="54779CCC"/>
    <w:rsid w:val="54C8E03D"/>
    <w:rsid w:val="54E3058D"/>
    <w:rsid w:val="54EBB54E"/>
    <w:rsid w:val="54EF6163"/>
    <w:rsid w:val="54F09390"/>
    <w:rsid w:val="552155B7"/>
    <w:rsid w:val="5544F751"/>
    <w:rsid w:val="55C46F90"/>
    <w:rsid w:val="55F547F2"/>
    <w:rsid w:val="562AFBC0"/>
    <w:rsid w:val="5632E595"/>
    <w:rsid w:val="5648E275"/>
    <w:rsid w:val="56B21782"/>
    <w:rsid w:val="57AB9424"/>
    <w:rsid w:val="57AC274C"/>
    <w:rsid w:val="5806B8EF"/>
    <w:rsid w:val="5835B083"/>
    <w:rsid w:val="585F8AEA"/>
    <w:rsid w:val="58770C2F"/>
    <w:rsid w:val="58B028F7"/>
    <w:rsid w:val="58B54621"/>
    <w:rsid w:val="58D822DE"/>
    <w:rsid w:val="58E8061A"/>
    <w:rsid w:val="5907D66A"/>
    <w:rsid w:val="59397F5D"/>
    <w:rsid w:val="59C5FCF1"/>
    <w:rsid w:val="5A0E3882"/>
    <w:rsid w:val="5A199BC4"/>
    <w:rsid w:val="5A2AA4C5"/>
    <w:rsid w:val="5A5B07D4"/>
    <w:rsid w:val="5A83D67B"/>
    <w:rsid w:val="5B00145C"/>
    <w:rsid w:val="5B2DA956"/>
    <w:rsid w:val="5B3D24DA"/>
    <w:rsid w:val="5B56F2EA"/>
    <w:rsid w:val="5B60D9EF"/>
    <w:rsid w:val="5B62618D"/>
    <w:rsid w:val="5B6ADD9D"/>
    <w:rsid w:val="5BAB43FB"/>
    <w:rsid w:val="5BB14082"/>
    <w:rsid w:val="5BBB9343"/>
    <w:rsid w:val="5BE60369"/>
    <w:rsid w:val="5C20C024"/>
    <w:rsid w:val="5C295E4C"/>
    <w:rsid w:val="5C2AA20B"/>
    <w:rsid w:val="5C37D93F"/>
    <w:rsid w:val="5C7C89F5"/>
    <w:rsid w:val="5C81443C"/>
    <w:rsid w:val="5D05D99B"/>
    <w:rsid w:val="5D661202"/>
    <w:rsid w:val="5D75C408"/>
    <w:rsid w:val="5DAE2CE2"/>
    <w:rsid w:val="5DD1D3A6"/>
    <w:rsid w:val="5E0A2024"/>
    <w:rsid w:val="5E694CE4"/>
    <w:rsid w:val="5EB44CFC"/>
    <w:rsid w:val="5F0A01BF"/>
    <w:rsid w:val="5F264E0D"/>
    <w:rsid w:val="5FA42750"/>
    <w:rsid w:val="5FD335AF"/>
    <w:rsid w:val="600A041E"/>
    <w:rsid w:val="602069F4"/>
    <w:rsid w:val="605B484E"/>
    <w:rsid w:val="60BF5BE7"/>
    <w:rsid w:val="60E5ECDD"/>
    <w:rsid w:val="61144901"/>
    <w:rsid w:val="6130DCC4"/>
    <w:rsid w:val="6144C413"/>
    <w:rsid w:val="618FD68D"/>
    <w:rsid w:val="61BC3A55"/>
    <w:rsid w:val="6230FBE5"/>
    <w:rsid w:val="62427667"/>
    <w:rsid w:val="6275C003"/>
    <w:rsid w:val="62C6FCEF"/>
    <w:rsid w:val="62C86836"/>
    <w:rsid w:val="62D2B05F"/>
    <w:rsid w:val="62EF0CA2"/>
    <w:rsid w:val="62F830BC"/>
    <w:rsid w:val="63004559"/>
    <w:rsid w:val="632133F9"/>
    <w:rsid w:val="633062C5"/>
    <w:rsid w:val="6343927C"/>
    <w:rsid w:val="636198AD"/>
    <w:rsid w:val="63753164"/>
    <w:rsid w:val="63A29E6B"/>
    <w:rsid w:val="63B366FE"/>
    <w:rsid w:val="63F1DF7F"/>
    <w:rsid w:val="643A07D3"/>
    <w:rsid w:val="64625D75"/>
    <w:rsid w:val="648F9301"/>
    <w:rsid w:val="6497165D"/>
    <w:rsid w:val="64A95F1A"/>
    <w:rsid w:val="64B17E4A"/>
    <w:rsid w:val="64D3BA6C"/>
    <w:rsid w:val="64E82FF7"/>
    <w:rsid w:val="6502FD70"/>
    <w:rsid w:val="652A4E96"/>
    <w:rsid w:val="65E8BD5F"/>
    <w:rsid w:val="65F6CF3B"/>
    <w:rsid w:val="66FC4F7A"/>
    <w:rsid w:val="67A12CA8"/>
    <w:rsid w:val="67B0064B"/>
    <w:rsid w:val="67EAAB8B"/>
    <w:rsid w:val="683593BF"/>
    <w:rsid w:val="6840832B"/>
    <w:rsid w:val="690C296F"/>
    <w:rsid w:val="6919E450"/>
    <w:rsid w:val="693BCAC5"/>
    <w:rsid w:val="69734583"/>
    <w:rsid w:val="69903DFB"/>
    <w:rsid w:val="69A29735"/>
    <w:rsid w:val="69C0983C"/>
    <w:rsid w:val="69C65CF5"/>
    <w:rsid w:val="6A27ADA6"/>
    <w:rsid w:val="6A3C75AE"/>
    <w:rsid w:val="6A72FDEA"/>
    <w:rsid w:val="6A797A9F"/>
    <w:rsid w:val="6A84908E"/>
    <w:rsid w:val="6AA64786"/>
    <w:rsid w:val="6AA89EEA"/>
    <w:rsid w:val="6AA91BA3"/>
    <w:rsid w:val="6AD20ED4"/>
    <w:rsid w:val="6B220D5E"/>
    <w:rsid w:val="6B32682D"/>
    <w:rsid w:val="6BAE07D7"/>
    <w:rsid w:val="6BC18103"/>
    <w:rsid w:val="6BD47994"/>
    <w:rsid w:val="6C06BB6F"/>
    <w:rsid w:val="6C1A47A6"/>
    <w:rsid w:val="6C662F01"/>
    <w:rsid w:val="6C8BBB0D"/>
    <w:rsid w:val="6CAD4DC2"/>
    <w:rsid w:val="6CD068BD"/>
    <w:rsid w:val="6D0AAB31"/>
    <w:rsid w:val="6D31ABFA"/>
    <w:rsid w:val="6D49B2F1"/>
    <w:rsid w:val="6D65C45F"/>
    <w:rsid w:val="6D72E780"/>
    <w:rsid w:val="6DAEF4CA"/>
    <w:rsid w:val="6DBBB7E0"/>
    <w:rsid w:val="6DD498E5"/>
    <w:rsid w:val="6DE0BC65"/>
    <w:rsid w:val="6E6D5E88"/>
    <w:rsid w:val="6EBC1B3C"/>
    <w:rsid w:val="6EFA4A49"/>
    <w:rsid w:val="6F220551"/>
    <w:rsid w:val="6F4FE255"/>
    <w:rsid w:val="6F6C6E4E"/>
    <w:rsid w:val="6F7C8CC6"/>
    <w:rsid w:val="6F800330"/>
    <w:rsid w:val="6FE0CE77"/>
    <w:rsid w:val="6FEFDAE8"/>
    <w:rsid w:val="70B9CADB"/>
    <w:rsid w:val="70C1EA7D"/>
    <w:rsid w:val="70DFF603"/>
    <w:rsid w:val="71016B6C"/>
    <w:rsid w:val="71083EAF"/>
    <w:rsid w:val="713836B0"/>
    <w:rsid w:val="71759F81"/>
    <w:rsid w:val="718D0A67"/>
    <w:rsid w:val="71B73D84"/>
    <w:rsid w:val="71C942A4"/>
    <w:rsid w:val="72100CD5"/>
    <w:rsid w:val="721A1AE9"/>
    <w:rsid w:val="723B9BBC"/>
    <w:rsid w:val="724F2FDC"/>
    <w:rsid w:val="729599FD"/>
    <w:rsid w:val="72E08E85"/>
    <w:rsid w:val="72FBE242"/>
    <w:rsid w:val="730C8C6A"/>
    <w:rsid w:val="7333BF65"/>
    <w:rsid w:val="733415EF"/>
    <w:rsid w:val="73A2B3E6"/>
    <w:rsid w:val="73EBD8BA"/>
    <w:rsid w:val="73F98B3F"/>
    <w:rsid w:val="740E8C24"/>
    <w:rsid w:val="7483A86B"/>
    <w:rsid w:val="74B96759"/>
    <w:rsid w:val="74C611E6"/>
    <w:rsid w:val="74E0857F"/>
    <w:rsid w:val="755600FC"/>
    <w:rsid w:val="755BC3B3"/>
    <w:rsid w:val="756D3DCA"/>
    <w:rsid w:val="75AD869D"/>
    <w:rsid w:val="76450E62"/>
    <w:rsid w:val="767124E0"/>
    <w:rsid w:val="767F2AB4"/>
    <w:rsid w:val="76D274F7"/>
    <w:rsid w:val="76F5E482"/>
    <w:rsid w:val="76F8507D"/>
    <w:rsid w:val="771357ED"/>
    <w:rsid w:val="7758C1E7"/>
    <w:rsid w:val="776E2F9E"/>
    <w:rsid w:val="7770D138"/>
    <w:rsid w:val="778EDDEE"/>
    <w:rsid w:val="77CE5746"/>
    <w:rsid w:val="77F83150"/>
    <w:rsid w:val="78674B66"/>
    <w:rsid w:val="7869AB6B"/>
    <w:rsid w:val="78B28D5F"/>
    <w:rsid w:val="78BF49DD"/>
    <w:rsid w:val="790B3138"/>
    <w:rsid w:val="799DA319"/>
    <w:rsid w:val="79A48D3C"/>
    <w:rsid w:val="79B20E76"/>
    <w:rsid w:val="79C64322"/>
    <w:rsid w:val="79D5BFE7"/>
    <w:rsid w:val="7A466419"/>
    <w:rsid w:val="7B85C3CB"/>
    <w:rsid w:val="7BD2E15A"/>
    <w:rsid w:val="7C02D676"/>
    <w:rsid w:val="7C55E10E"/>
    <w:rsid w:val="7C6523A7"/>
    <w:rsid w:val="7C954A44"/>
    <w:rsid w:val="7D0C0225"/>
    <w:rsid w:val="7D4D62A7"/>
    <w:rsid w:val="7D4DE6BD"/>
    <w:rsid w:val="7D7D5244"/>
    <w:rsid w:val="7E06B584"/>
    <w:rsid w:val="7E3A3F11"/>
    <w:rsid w:val="7E50821F"/>
    <w:rsid w:val="7E5FE2C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12A116D8-6263-4B01-A8C1-2BE0E8E8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D6F"/>
  </w:style>
  <w:style w:type="paragraph" w:styleId="Heading1">
    <w:name w:val="heading 1"/>
    <w:basedOn w:val="ListParagraph"/>
    <w:next w:val="Normal"/>
    <w:link w:val="Heading1Char"/>
    <w:uiPriority w:val="9"/>
    <w:qFormat/>
    <w:rsid w:val="00614C95"/>
    <w:pPr>
      <w:keepNext/>
      <w:keepLines/>
      <w:numPr>
        <w:numId w:val="25"/>
      </w:numPr>
      <w:spacing w:before="320" w:after="120" w:line="240" w:lineRule="auto"/>
      <w:contextualSpacing w:val="0"/>
      <w:outlineLvl w:val="0"/>
    </w:pPr>
    <w:rPr>
      <w:rFonts w:cstheme="minorHAnsi"/>
      <w:b/>
      <w:bCs/>
      <w:sz w:val="24"/>
      <w:szCs w:val="24"/>
    </w:rPr>
  </w:style>
  <w:style w:type="paragraph" w:styleId="Heading2">
    <w:name w:val="heading 2"/>
    <w:basedOn w:val="Normal"/>
    <w:next w:val="Normal"/>
    <w:link w:val="Heading2Char"/>
    <w:uiPriority w:val="9"/>
    <w:unhideWhenUsed/>
    <w:qFormat/>
    <w:rsid w:val="00614C95"/>
    <w:pPr>
      <w:keepNext/>
      <w:keepLines/>
      <w:spacing w:before="40" w:after="200" w:line="240" w:lineRule="auto"/>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614C95"/>
    <w:rPr>
      <w:rFonts w:cstheme="minorHAnsi"/>
      <w:b/>
      <w:bCs/>
      <w:sz w:val="24"/>
      <w:szCs w:val="24"/>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614C95"/>
    <w:rPr>
      <w:rFonts w:eastAsiaTheme="majorEastAsia" w:cstheme="minorHAnsi"/>
      <w:b/>
      <w:bCs/>
      <w:sz w:val="24"/>
      <w:szCs w:val="24"/>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TableTitle">
    <w:name w:val="Table Title"/>
    <w:qFormat/>
    <w:rsid w:val="0024748D"/>
    <w:pPr>
      <w:keepNext/>
      <w:spacing w:after="0" w:line="240" w:lineRule="auto"/>
      <w:jc w:val="center"/>
    </w:pPr>
    <w:rPr>
      <w:rFonts w:ascii="Calibri" w:eastAsia="Times New Roman" w:hAnsi="Calibri" w:cs="Calibri"/>
      <w:b/>
      <w:szCs w:val="24"/>
    </w:rPr>
  </w:style>
  <w:style w:type="paragraph" w:styleId="BodyText">
    <w:name w:val="Body Text"/>
    <w:link w:val="BodyTextChar"/>
    <w:rsid w:val="00F84108"/>
    <w:pPr>
      <w:tabs>
        <w:tab w:val="left" w:pos="720"/>
      </w:tabs>
      <w:spacing w:after="240" w:line="240" w:lineRule="auto"/>
      <w:ind w:firstLine="720"/>
    </w:pPr>
    <w:rPr>
      <w:rFonts w:ascii="Calibri Light" w:eastAsia="Times New Roman" w:hAnsi="Calibri Light" w:cs="Times New Roman"/>
      <w:szCs w:val="20"/>
    </w:rPr>
  </w:style>
  <w:style w:type="character" w:customStyle="1" w:styleId="BodyTextChar">
    <w:name w:val="Body Text Char"/>
    <w:basedOn w:val="DefaultParagraphFont"/>
    <w:link w:val="BodyText"/>
    <w:rsid w:val="00F84108"/>
    <w:rPr>
      <w:rFonts w:ascii="Calibri Light" w:eastAsia="Times New Roman" w:hAnsi="Calibri Light" w:cs="Times New Roman"/>
      <w:szCs w:val="20"/>
    </w:rPr>
  </w:style>
  <w:style w:type="paragraph" w:customStyle="1" w:styleId="TableNotes">
    <w:name w:val="Table Notes"/>
    <w:qFormat/>
    <w:rsid w:val="00B0321C"/>
    <w:pPr>
      <w:autoSpaceDE w:val="0"/>
      <w:autoSpaceDN w:val="0"/>
      <w:adjustRightInd w:val="0"/>
      <w:spacing w:before="40" w:after="0" w:line="240" w:lineRule="auto"/>
    </w:pPr>
    <w:rPr>
      <w:rFonts w:ascii="Times New Roman" w:eastAsia="Times New Roman" w:hAnsi="Times New Roman" w:cs="Times New Roman"/>
      <w:sz w:val="20"/>
      <w:szCs w:val="20"/>
    </w:rPr>
  </w:style>
  <w:style w:type="paragraph" w:styleId="ListBullet">
    <w:name w:val="List Bullet"/>
    <w:rsid w:val="00BA6684"/>
    <w:pPr>
      <w:numPr>
        <w:numId w:val="31"/>
      </w:numPr>
      <w:spacing w:after="120" w:line="240" w:lineRule="auto"/>
    </w:pPr>
    <w:rPr>
      <w:rFonts w:ascii="Calibri Light" w:eastAsia="Times New Roman" w:hAnsi="Calibri Light" w:cs="Times New Roman"/>
      <w:szCs w:val="20"/>
    </w:rPr>
  </w:style>
  <w:style w:type="paragraph" w:customStyle="1" w:styleId="ListBulletLast">
    <w:name w:val="List Bullet_Last"/>
    <w:basedOn w:val="ListBullet"/>
    <w:qFormat/>
    <w:rsid w:val="00BA6684"/>
    <w:pPr>
      <w:spacing w:after="240"/>
    </w:pPr>
  </w:style>
  <w:style w:type="paragraph" w:customStyle="1" w:styleId="ListBulletSingle">
    <w:name w:val="List Bullet_Single"/>
    <w:basedOn w:val="ListBullet"/>
    <w:qFormat/>
    <w:rsid w:val="00BA6684"/>
    <w:pPr>
      <w:spacing w:after="60"/>
    </w:pPr>
  </w:style>
  <w:style w:type="character" w:styleId="Mention">
    <w:name w:val="Mention"/>
    <w:basedOn w:val="DefaultParagraphFont"/>
    <w:uiPriority w:val="99"/>
    <w:unhideWhenUsed/>
    <w:rsid w:val="00E349AE"/>
    <w:rPr>
      <w:color w:val="2B579A"/>
      <w:shd w:val="clear" w:color="auto" w:fill="E1DFDD"/>
    </w:rPr>
  </w:style>
  <w:style w:type="paragraph" w:styleId="DocumentMap">
    <w:name w:val="Document Map"/>
    <w:basedOn w:val="Normal"/>
    <w:link w:val="DocumentMapChar"/>
    <w:semiHidden/>
    <w:rsid w:val="00EB7D54"/>
    <w:pPr>
      <w:shd w:val="clear" w:color="auto" w:fill="000080"/>
      <w:tabs>
        <w:tab w:val="left" w:pos="720"/>
      </w:tabs>
      <w:spacing w:after="0" w:line="240" w:lineRule="auto"/>
    </w:pPr>
    <w:rPr>
      <w:rFonts w:ascii="Tahoma" w:eastAsia="Times New Roman" w:hAnsi="Tahoma" w:cs="Tahoma"/>
      <w:sz w:val="24"/>
      <w:szCs w:val="20"/>
    </w:rPr>
  </w:style>
  <w:style w:type="character" w:customStyle="1" w:styleId="DocumentMapChar">
    <w:name w:val="Document Map Char"/>
    <w:basedOn w:val="DefaultParagraphFont"/>
    <w:link w:val="DocumentMap"/>
    <w:semiHidden/>
    <w:rsid w:val="00EB7D54"/>
    <w:rPr>
      <w:rFonts w:ascii="Tahoma" w:eastAsia="Times New Roman" w:hAnsi="Tahoma" w:cs="Tahoma"/>
      <w:sz w:val="24"/>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eg/current-effluent-guidelines-program-plan" TargetMode="External" /><Relationship Id="rId11" Type="http://schemas.openxmlformats.org/officeDocument/2006/relationships/hyperlink" Target="https://www.epa.gov/pfas/pfas-strategic-roadmap-epas-commitments-action-2021-2024" TargetMode="External" /><Relationship Id="rId12" Type="http://schemas.openxmlformats.org/officeDocument/2006/relationships/footer" Target="footer1.xml" /><Relationship Id="rId13" Type="http://schemas.microsoft.com/office/2007/relationships/diagramDrawing" Target="diagrams/drawing1.xml" /><Relationship Id="rId14" Type="http://schemas.openxmlformats.org/officeDocument/2006/relationships/diagramData" Target="diagrams/data1.xml" /><Relationship Id="rId15" Type="http://schemas.openxmlformats.org/officeDocument/2006/relationships/diagramLayout" Target="diagrams/layout1.xml" /><Relationship Id="rId16" Type="http://schemas.openxmlformats.org/officeDocument/2006/relationships/diagramQuickStyle" Target="diagrams/quickStyle1.xml" /><Relationship Id="rId17" Type="http://schemas.openxmlformats.org/officeDocument/2006/relationships/diagramColors" Target="diagrams/colors1.xml" /><Relationship Id="rId18" Type="http://schemas.openxmlformats.org/officeDocument/2006/relationships/hyperlink" Target="https://www.epa.gov/sites/default/files/2018-11/documents/2001-tnsss-report.pdf" TargetMode="External" /><Relationship Id="rId19" Type="http://schemas.openxmlformats.org/officeDocument/2006/relationships/hyperlink" Target="https://www.epa.gov/sites/default/files/2018-11/documents/tnsss-sampling-anaylsis-tech-report.pdf" TargetMode="External" /><Relationship Id="rId2" Type="http://schemas.openxmlformats.org/officeDocument/2006/relationships/settings" Target="settings.xml" /><Relationship Id="rId20" Type="http://schemas.microsoft.com/office/2007/relationships/diagramDrawing" Target="diagrams/drawing2.xml" /><Relationship Id="rId21" Type="http://schemas.openxmlformats.org/officeDocument/2006/relationships/diagramData" Target="diagrams/data2.xml" /><Relationship Id="rId22" Type="http://schemas.openxmlformats.org/officeDocument/2006/relationships/diagramLayout" Target="diagrams/layout2.xml" /><Relationship Id="rId23" Type="http://schemas.openxmlformats.org/officeDocument/2006/relationships/diagramQuickStyle" Target="diagrams/quickStyle2.xml" /><Relationship Id="rId24" Type="http://schemas.openxmlformats.org/officeDocument/2006/relationships/diagramColors" Target="diagrams/colors2.xml" /><Relationship Id="rId25" Type="http://schemas.openxmlformats.org/officeDocument/2006/relationships/hyperlink" Target="https://www.bls.gov/oes/current/naics4_221300.htm" TargetMode="External" /><Relationship Id="rId26" Type="http://schemas.openxmlformats.org/officeDocument/2006/relationships/hyperlink" Target="https://www.epa.gov/sites/default/files/2020-12/documents/epa_handbook_on_valuing_changes_in_time_use_121520_final_508.pdf" TargetMode="External" /><Relationship Id="rId27" Type="http://schemas.openxmlformats.org/officeDocument/2006/relationships/hyperlink" Target="http://www.regulations.gov" TargetMode="Externa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36C5EE-E827-4656-8596-D078BED74E23}" type="doc">
      <dgm:prSet loTypeId="urn:microsoft.com/office/officeart/2009/3/layout/DescendingProcess" loCatId="process" qsTypeId="urn:microsoft.com/office/officeart/2005/8/quickstyle/simple1" qsCatId="simple" csTypeId="urn:microsoft.com/office/officeart/2005/8/colors/accent1_2" csCatId="accent1" phldr="1"/>
      <dgm:spPr/>
      <dgm:t>
        <a:bodyPr/>
        <a:lstStyle/>
        <a:p>
          <a:endParaRPr lang="en-US"/>
        </a:p>
      </dgm:t>
    </dgm:pt>
    <dgm:pt modelId="{4BD95E02-1BEE-4306-B898-7DF14FE82249}">
      <dgm:prSet phldrT="[Text]" custT="1"/>
      <dgm:spPr/>
      <dgm:t>
        <a:bodyPr/>
        <a:lstStyle/>
        <a:p>
          <a:r>
            <a:rPr lang="en-US" sz="1000" b="1"/>
            <a:t>Day 1:</a:t>
          </a:r>
          <a:r>
            <a:rPr lang="en-US" sz="1000"/>
            <a:t> POTW receives sampling notfication letter from the EPA</a:t>
          </a:r>
        </a:p>
      </dgm:t>
    </dgm:pt>
    <dgm:pt modelId="{B041B6D1-7EAB-434C-A930-512BE1EE79A6}" type="parTrans" cxnId="{5A95B3F5-3B1D-47B3-A8D0-2FFE87ACAF83}">
      <dgm:prSet/>
      <dgm:spPr/>
      <dgm:t>
        <a:bodyPr/>
        <a:lstStyle/>
        <a:p>
          <a:endParaRPr lang="en-US"/>
        </a:p>
      </dgm:t>
    </dgm:pt>
    <dgm:pt modelId="{BBE5017E-84FB-4A32-ABFD-D7A5203CB161}" type="sibTrans" cxnId="{5A95B3F5-3B1D-47B3-A8D0-2FFE87ACAF83}">
      <dgm:prSet/>
      <dgm:spPr/>
      <dgm:t>
        <a:bodyPr/>
        <a:lstStyle/>
        <a:p>
          <a:endParaRPr lang="en-US"/>
        </a:p>
      </dgm:t>
    </dgm:pt>
    <dgm:pt modelId="{87263C60-2FA3-497B-94DA-019DA8681226}">
      <dgm:prSet phldrT="[Text]" custT="1"/>
      <dgm:spPr/>
      <dgm:t>
        <a:bodyPr/>
        <a:lstStyle/>
        <a:p>
          <a:r>
            <a:rPr lang="en-US" sz="1000" b="1"/>
            <a:t>By Day 30: </a:t>
          </a:r>
          <a:r>
            <a:rPr lang="en-US" sz="1000"/>
            <a:t>POTW completes wastewater sampling, submits samples for lab analysis, and notifies the EPA</a:t>
          </a:r>
        </a:p>
      </dgm:t>
    </dgm:pt>
    <dgm:pt modelId="{992C89B4-EB59-4B08-B4A6-180EFA588540}" type="parTrans" cxnId="{8E0A8E1F-2BD5-4D85-A94A-7A91D9F0F6A6}">
      <dgm:prSet/>
      <dgm:spPr/>
      <dgm:t>
        <a:bodyPr/>
        <a:lstStyle/>
        <a:p>
          <a:endParaRPr lang="en-US"/>
        </a:p>
      </dgm:t>
    </dgm:pt>
    <dgm:pt modelId="{75634F72-C542-4B65-83DA-5139F1C99F2C}" type="sibTrans" cxnId="{8E0A8E1F-2BD5-4D85-A94A-7A91D9F0F6A6}">
      <dgm:prSet/>
      <dgm:spPr/>
      <dgm:t>
        <a:bodyPr/>
        <a:lstStyle/>
        <a:p>
          <a:endParaRPr lang="en-US"/>
        </a:p>
      </dgm:t>
    </dgm:pt>
    <dgm:pt modelId="{B32F995F-A661-4C83-AF59-3449DE1BCB7D}">
      <dgm:prSet phldrT="[Text]" custT="1"/>
      <dgm:spPr/>
      <dgm:t>
        <a:bodyPr/>
        <a:lstStyle/>
        <a:p>
          <a:r>
            <a:rPr lang="en-US" sz="1000" b="1"/>
            <a:t>By Day 120: </a:t>
          </a:r>
          <a:r>
            <a:rPr lang="en-US" sz="1000"/>
            <a:t>POTW reviews and submits compiled wastewater sampling results to the EPA </a:t>
          </a:r>
        </a:p>
      </dgm:t>
    </dgm:pt>
    <dgm:pt modelId="{45E3F2F0-7A2F-46E3-AC57-E53F187B5B92}" type="parTrans" cxnId="{15FCF905-2B78-409A-A516-970F6CF44CEB}">
      <dgm:prSet/>
      <dgm:spPr/>
      <dgm:t>
        <a:bodyPr/>
        <a:lstStyle/>
        <a:p>
          <a:endParaRPr lang="en-US"/>
        </a:p>
      </dgm:t>
    </dgm:pt>
    <dgm:pt modelId="{D7F07321-30EC-4CCF-8309-A9BFA44B0BE9}" type="sibTrans" cxnId="{15FCF905-2B78-409A-A516-970F6CF44CEB}">
      <dgm:prSet/>
      <dgm:spPr/>
      <dgm:t>
        <a:bodyPr/>
        <a:lstStyle/>
        <a:p>
          <a:endParaRPr lang="en-US"/>
        </a:p>
      </dgm:t>
    </dgm:pt>
    <dgm:pt modelId="{299EA1BD-13BB-43E0-97D8-4BF9D47B1913}">
      <dgm:prSet phldrT="[Text]"/>
      <dgm:spPr/>
      <dgm:t>
        <a:bodyPr/>
        <a:lstStyle/>
        <a:p>
          <a:endParaRPr lang="en-US"/>
        </a:p>
      </dgm:t>
    </dgm:pt>
    <dgm:pt modelId="{9CECD574-1347-41A7-AEC5-65860A659746}" type="parTrans" cxnId="{B57D235A-76AD-4278-A043-1D835062FEB0}">
      <dgm:prSet/>
      <dgm:spPr/>
      <dgm:t>
        <a:bodyPr/>
        <a:lstStyle/>
        <a:p>
          <a:endParaRPr lang="en-US"/>
        </a:p>
      </dgm:t>
    </dgm:pt>
    <dgm:pt modelId="{F19C2D88-A557-493D-A719-82870526A67C}" type="sibTrans" cxnId="{B57D235A-76AD-4278-A043-1D835062FEB0}">
      <dgm:prSet/>
      <dgm:spPr/>
      <dgm:t>
        <a:bodyPr/>
        <a:lstStyle/>
        <a:p>
          <a:endParaRPr lang="en-US"/>
        </a:p>
      </dgm:t>
    </dgm:pt>
    <dgm:pt modelId="{75B9D933-753C-4F65-AC5A-6BD4C4DFE779}">
      <dgm:prSet phldrT="[Text]" custT="1"/>
      <dgm:spPr/>
      <dgm:t>
        <a:bodyPr/>
        <a:lstStyle/>
        <a:p>
          <a:r>
            <a:rPr lang="en-US" sz="1100"/>
            <a:t>EPA receives sampling data</a:t>
          </a:r>
        </a:p>
      </dgm:t>
    </dgm:pt>
    <dgm:pt modelId="{C39216B2-C9F0-434A-B508-0DF8513856A7}" type="parTrans" cxnId="{BB8517C8-B272-48D0-B627-3B8C9A41EAE5}">
      <dgm:prSet/>
      <dgm:spPr/>
      <dgm:t>
        <a:bodyPr/>
        <a:lstStyle/>
        <a:p>
          <a:endParaRPr lang="en-US"/>
        </a:p>
      </dgm:t>
    </dgm:pt>
    <dgm:pt modelId="{848BE272-5A05-425E-9CE6-0BE6F30E7987}" type="sibTrans" cxnId="{BB8517C8-B272-48D0-B627-3B8C9A41EAE5}">
      <dgm:prSet/>
      <dgm:spPr/>
      <dgm:t>
        <a:bodyPr/>
        <a:lstStyle/>
        <a:p>
          <a:endParaRPr lang="en-US"/>
        </a:p>
      </dgm:t>
    </dgm:pt>
    <dgm:pt modelId="{90758FBA-7378-4791-B17A-87EA9FFD6C36}" type="pres">
      <dgm:prSet presAssocID="{F136C5EE-E827-4656-8596-D078BED74E23}" presName="Name0" presStyleCnt="0">
        <dgm:presLayoutVars>
          <dgm:chMax val="7"/>
          <dgm:chPref val="5"/>
        </dgm:presLayoutVars>
      </dgm:prSet>
      <dgm:spPr/>
    </dgm:pt>
    <dgm:pt modelId="{0670FB98-080A-4F45-A033-6E0D42D33710}" type="pres">
      <dgm:prSet presAssocID="{F136C5EE-E827-4656-8596-D078BED74E23}" presName="arrowNode" presStyleLbl="node1" presStyleIdx="0" presStyleCnt="1"/>
      <dgm:spPr/>
    </dgm:pt>
    <dgm:pt modelId="{BB1B843B-132F-49C2-997C-2500462B22DA}" type="pres">
      <dgm:prSet presAssocID="{4BD95E02-1BEE-4306-B898-7DF14FE82249}" presName="txNode1" presStyleLbl="revTx" presStyleIdx="0" presStyleCnt="5" custLinFactNeighborX="67275" custLinFactNeighborY="33482">
        <dgm:presLayoutVars>
          <dgm:bulletEnabled val="1"/>
        </dgm:presLayoutVars>
      </dgm:prSet>
      <dgm:spPr/>
    </dgm:pt>
    <dgm:pt modelId="{964264C7-9407-4F51-94C8-FF21A640862D}" type="pres">
      <dgm:prSet presAssocID="{87263C60-2FA3-497B-94DA-019DA8681226}" presName="txNode2" presStyleLbl="revTx" presStyleIdx="1" presStyleCnt="5" custScaleX="148300" custLinFactNeighborX="35599" custLinFactNeighborY="35342">
        <dgm:presLayoutVars>
          <dgm:bulletEnabled val="1"/>
        </dgm:presLayoutVars>
      </dgm:prSet>
      <dgm:spPr/>
    </dgm:pt>
    <dgm:pt modelId="{F46D8E8F-D634-429A-AF53-A360456519FA}" type="pres">
      <dgm:prSet presAssocID="{75634F72-C542-4B65-83DA-5139F1C99F2C}" presName="dotNode2" presStyleCnt="0"/>
      <dgm:spPr/>
    </dgm:pt>
    <dgm:pt modelId="{A89E6B81-CEF6-429A-85EB-9A7D5FC57465}" type="pres">
      <dgm:prSet presAssocID="{75634F72-C542-4B65-83DA-5139F1C99F2C}" presName="dotRepeatNode" presStyleLbl="fgShp" presStyleIdx="0" presStyleCnt="3"/>
      <dgm:spPr/>
    </dgm:pt>
    <dgm:pt modelId="{9EBA364D-7116-4093-88E1-E7EDE66229D7}" type="pres">
      <dgm:prSet presAssocID="{B32F995F-A661-4C83-AF59-3449DE1BCB7D}" presName="txNode3" presStyleLbl="revTx" presStyleIdx="2" presStyleCnt="5" custScaleX="173963" custLinFactY="19048" custLinFactNeighborX="-6921" custLinFactNeighborY="100000">
        <dgm:presLayoutVars>
          <dgm:bulletEnabled val="1"/>
        </dgm:presLayoutVars>
      </dgm:prSet>
      <dgm:spPr/>
    </dgm:pt>
    <dgm:pt modelId="{E147D4BA-AB99-4CA6-B89E-6BC4495A8398}" type="pres">
      <dgm:prSet presAssocID="{D7F07321-30EC-4CCF-8309-A9BFA44B0BE9}" presName="dotNode3" presStyleCnt="0"/>
      <dgm:spPr/>
    </dgm:pt>
    <dgm:pt modelId="{0C8515B4-2558-4E99-A77E-40224E2BB81C}" type="pres">
      <dgm:prSet presAssocID="{D7F07321-30EC-4CCF-8309-A9BFA44B0BE9}" presName="dotRepeatNode" presStyleLbl="fgShp" presStyleIdx="1" presStyleCnt="3"/>
      <dgm:spPr/>
    </dgm:pt>
    <dgm:pt modelId="{E485DEFD-5A23-49BE-9CF0-05468F8B10BB}" type="pres">
      <dgm:prSet presAssocID="{299EA1BD-13BB-43E0-97D8-4BF9D47B1913}" presName="txNode4" presStyleLbl="revTx" presStyleIdx="3" presStyleCnt="5">
        <dgm:presLayoutVars>
          <dgm:bulletEnabled val="1"/>
        </dgm:presLayoutVars>
      </dgm:prSet>
      <dgm:spPr/>
    </dgm:pt>
    <dgm:pt modelId="{A3AD6169-AABC-4455-A94B-8994375D1EC9}" type="pres">
      <dgm:prSet presAssocID="{F19C2D88-A557-493D-A719-82870526A67C}" presName="dotNode4" presStyleCnt="0"/>
      <dgm:spPr/>
    </dgm:pt>
    <dgm:pt modelId="{48C7729B-D685-4E4D-BD2D-98D221932C13}" type="pres">
      <dgm:prSet presAssocID="{F19C2D88-A557-493D-A719-82870526A67C}" presName="dotRepeatNode" presStyleLbl="fgShp" presStyleIdx="2" presStyleCnt="3"/>
      <dgm:spPr/>
    </dgm:pt>
    <dgm:pt modelId="{F986192E-E8A0-4ED8-BD01-E134E7C9CDDD}" type="pres">
      <dgm:prSet presAssocID="{75B9D933-753C-4F65-AC5A-6BD4C4DFE779}" presName="txNode5" presStyleLbl="revTx" presStyleIdx="4" presStyleCnt="5" custLinFactNeighborX="5519" custLinFactNeighborY="16741">
        <dgm:presLayoutVars>
          <dgm:bulletEnabled val="1"/>
        </dgm:presLayoutVars>
      </dgm:prSet>
      <dgm:spPr/>
    </dgm:pt>
  </dgm:ptLst>
  <dgm:cxnLst>
    <dgm:cxn modelId="{15FCF905-2B78-409A-A516-970F6CF44CEB}" srcId="{F136C5EE-E827-4656-8596-D078BED74E23}" destId="{B32F995F-A661-4C83-AF59-3449DE1BCB7D}" srcOrd="2" destOrd="0" parTransId="{45E3F2F0-7A2F-46E3-AC57-E53F187B5B92}" sibTransId="{D7F07321-30EC-4CCF-8309-A9BFA44B0BE9}"/>
    <dgm:cxn modelId="{B0B40B14-3920-4690-8DA1-A6FD084AF31A}" type="presOf" srcId="{F19C2D88-A557-493D-A719-82870526A67C}" destId="{48C7729B-D685-4E4D-BD2D-98D221932C13}" srcOrd="0" destOrd="0" presId="urn:microsoft.com/office/officeart/2009/3/layout/DescendingProcess"/>
    <dgm:cxn modelId="{8E0A8E1F-2BD5-4D85-A94A-7A91D9F0F6A6}" srcId="{F136C5EE-E827-4656-8596-D078BED74E23}" destId="{87263C60-2FA3-497B-94DA-019DA8681226}" srcOrd="1" destOrd="0" parTransId="{992C89B4-EB59-4B08-B4A6-180EFA588540}" sibTransId="{75634F72-C542-4B65-83DA-5139F1C99F2C}"/>
    <dgm:cxn modelId="{4459D62E-14AC-4CFD-ACC2-819F6A47F59F}" type="presOf" srcId="{F136C5EE-E827-4656-8596-D078BED74E23}" destId="{90758FBA-7378-4791-B17A-87EA9FFD6C36}" srcOrd="0" destOrd="0" presId="urn:microsoft.com/office/officeart/2009/3/layout/DescendingProcess"/>
    <dgm:cxn modelId="{7EE63836-B032-4C1D-9F9D-22C3CC48723D}" type="presOf" srcId="{87263C60-2FA3-497B-94DA-019DA8681226}" destId="{964264C7-9407-4F51-94C8-FF21A640862D}" srcOrd="0" destOrd="0" presId="urn:microsoft.com/office/officeart/2009/3/layout/DescendingProcess"/>
    <dgm:cxn modelId="{14A1C055-114D-452F-9ABF-071EDF948388}" type="presOf" srcId="{75B9D933-753C-4F65-AC5A-6BD4C4DFE779}" destId="{F986192E-E8A0-4ED8-BD01-E134E7C9CDDD}" srcOrd="0" destOrd="0" presId="urn:microsoft.com/office/officeart/2009/3/layout/DescendingProcess"/>
    <dgm:cxn modelId="{907F0957-CDFD-41C0-8F0B-E6646AE40471}" type="presOf" srcId="{D7F07321-30EC-4CCF-8309-A9BFA44B0BE9}" destId="{0C8515B4-2558-4E99-A77E-40224E2BB81C}" srcOrd="0" destOrd="0" presId="urn:microsoft.com/office/officeart/2009/3/layout/DescendingProcess"/>
    <dgm:cxn modelId="{B57D235A-76AD-4278-A043-1D835062FEB0}" srcId="{F136C5EE-E827-4656-8596-D078BED74E23}" destId="{299EA1BD-13BB-43E0-97D8-4BF9D47B1913}" srcOrd="3" destOrd="0" parTransId="{9CECD574-1347-41A7-AEC5-65860A659746}" sibTransId="{F19C2D88-A557-493D-A719-82870526A67C}"/>
    <dgm:cxn modelId="{8A49EAA6-95BD-41A8-8751-AF9306691BEA}" type="presOf" srcId="{B32F995F-A661-4C83-AF59-3449DE1BCB7D}" destId="{9EBA364D-7116-4093-88E1-E7EDE66229D7}" srcOrd="0" destOrd="0" presId="urn:microsoft.com/office/officeart/2009/3/layout/DescendingProcess"/>
    <dgm:cxn modelId="{BB8517C8-B272-48D0-B627-3B8C9A41EAE5}" srcId="{F136C5EE-E827-4656-8596-D078BED74E23}" destId="{75B9D933-753C-4F65-AC5A-6BD4C4DFE779}" srcOrd="4" destOrd="0" parTransId="{C39216B2-C9F0-434A-B508-0DF8513856A7}" sibTransId="{848BE272-5A05-425E-9CE6-0BE6F30E7987}"/>
    <dgm:cxn modelId="{C419B3D7-25A1-43CB-AAA3-297F9DF6730B}" type="presOf" srcId="{4BD95E02-1BEE-4306-B898-7DF14FE82249}" destId="{BB1B843B-132F-49C2-997C-2500462B22DA}" srcOrd="0" destOrd="0" presId="urn:microsoft.com/office/officeart/2009/3/layout/DescendingProcess"/>
    <dgm:cxn modelId="{6C00B7EF-5AE3-485E-85EC-19ED62A4052E}" type="presOf" srcId="{299EA1BD-13BB-43E0-97D8-4BF9D47B1913}" destId="{E485DEFD-5A23-49BE-9CF0-05468F8B10BB}" srcOrd="0" destOrd="0" presId="urn:microsoft.com/office/officeart/2009/3/layout/DescendingProcess"/>
    <dgm:cxn modelId="{5A95B3F5-3B1D-47B3-A8D0-2FFE87ACAF83}" srcId="{F136C5EE-E827-4656-8596-D078BED74E23}" destId="{4BD95E02-1BEE-4306-B898-7DF14FE82249}" srcOrd="0" destOrd="0" parTransId="{B041B6D1-7EAB-434C-A930-512BE1EE79A6}" sibTransId="{BBE5017E-84FB-4A32-ABFD-D7A5203CB161}"/>
    <dgm:cxn modelId="{8B3F6BFA-4744-4C09-BC81-78E518D3614A}" type="presOf" srcId="{75634F72-C542-4B65-83DA-5139F1C99F2C}" destId="{A89E6B81-CEF6-429A-85EB-9A7D5FC57465}" srcOrd="0" destOrd="0" presId="urn:microsoft.com/office/officeart/2009/3/layout/DescendingProcess"/>
    <dgm:cxn modelId="{A5FDDE64-0346-470B-AF4A-49994B662B86}" type="presParOf" srcId="{90758FBA-7378-4791-B17A-87EA9FFD6C36}" destId="{0670FB98-080A-4F45-A033-6E0D42D33710}" srcOrd="0" destOrd="0" presId="urn:microsoft.com/office/officeart/2009/3/layout/DescendingProcess"/>
    <dgm:cxn modelId="{E0FBF733-5E11-4EA8-81FB-DDDDBF627CF8}" type="presParOf" srcId="{90758FBA-7378-4791-B17A-87EA9FFD6C36}" destId="{BB1B843B-132F-49C2-997C-2500462B22DA}" srcOrd="1" destOrd="0" presId="urn:microsoft.com/office/officeart/2009/3/layout/DescendingProcess"/>
    <dgm:cxn modelId="{12FDC44B-9CA6-4F44-9ADC-B0EA0BECDCCB}" type="presParOf" srcId="{90758FBA-7378-4791-B17A-87EA9FFD6C36}" destId="{964264C7-9407-4F51-94C8-FF21A640862D}" srcOrd="2" destOrd="0" presId="urn:microsoft.com/office/officeart/2009/3/layout/DescendingProcess"/>
    <dgm:cxn modelId="{17546EE1-B465-442A-B444-7DACC73066E3}" type="presParOf" srcId="{90758FBA-7378-4791-B17A-87EA9FFD6C36}" destId="{F46D8E8F-D634-429A-AF53-A360456519FA}" srcOrd="3" destOrd="0" presId="urn:microsoft.com/office/officeart/2009/3/layout/DescendingProcess"/>
    <dgm:cxn modelId="{42904D97-B8DB-4A87-B147-3C1A324D36A9}" type="presParOf" srcId="{F46D8E8F-D634-429A-AF53-A360456519FA}" destId="{A89E6B81-CEF6-429A-85EB-9A7D5FC57465}" srcOrd="0" destOrd="0" presId="urn:microsoft.com/office/officeart/2009/3/layout/DescendingProcess"/>
    <dgm:cxn modelId="{CC97BE41-FAA1-4470-BF3F-10C9D81A4BC1}" type="presParOf" srcId="{90758FBA-7378-4791-B17A-87EA9FFD6C36}" destId="{9EBA364D-7116-4093-88E1-E7EDE66229D7}" srcOrd="4" destOrd="0" presId="urn:microsoft.com/office/officeart/2009/3/layout/DescendingProcess"/>
    <dgm:cxn modelId="{D3BDDD23-B15B-44CD-86C9-53A468FA8C81}" type="presParOf" srcId="{90758FBA-7378-4791-B17A-87EA9FFD6C36}" destId="{E147D4BA-AB99-4CA6-B89E-6BC4495A8398}" srcOrd="5" destOrd="0" presId="urn:microsoft.com/office/officeart/2009/3/layout/DescendingProcess"/>
    <dgm:cxn modelId="{71A9342E-03E3-411C-B2C2-C0415E3F77AB}" type="presParOf" srcId="{E147D4BA-AB99-4CA6-B89E-6BC4495A8398}" destId="{0C8515B4-2558-4E99-A77E-40224E2BB81C}" srcOrd="0" destOrd="0" presId="urn:microsoft.com/office/officeart/2009/3/layout/DescendingProcess"/>
    <dgm:cxn modelId="{A361FE05-B421-4C8E-88B4-56E48C04EC52}" type="presParOf" srcId="{90758FBA-7378-4791-B17A-87EA9FFD6C36}" destId="{E485DEFD-5A23-49BE-9CF0-05468F8B10BB}" srcOrd="6" destOrd="0" presId="urn:microsoft.com/office/officeart/2009/3/layout/DescendingProcess"/>
    <dgm:cxn modelId="{0B126827-3B91-43B1-897E-080B9432433C}" type="presParOf" srcId="{90758FBA-7378-4791-B17A-87EA9FFD6C36}" destId="{A3AD6169-AABC-4455-A94B-8994375D1EC9}" srcOrd="7" destOrd="0" presId="urn:microsoft.com/office/officeart/2009/3/layout/DescendingProcess"/>
    <dgm:cxn modelId="{676BAE63-2896-4D76-9489-F193A9C172B7}" type="presParOf" srcId="{A3AD6169-AABC-4455-A94B-8994375D1EC9}" destId="{48C7729B-D685-4E4D-BD2D-98D221932C13}" srcOrd="0" destOrd="0" presId="urn:microsoft.com/office/officeart/2009/3/layout/DescendingProcess"/>
    <dgm:cxn modelId="{4F7FB5B7-77DD-4773-8DA3-5AED3623F713}" type="presParOf" srcId="{90758FBA-7378-4791-B17A-87EA9FFD6C36}" destId="{F986192E-E8A0-4ED8-BD01-E134E7C9CDDD}" srcOrd="8" destOrd="0" presId="urn:microsoft.com/office/officeart/2009/3/layout/DescendingProcess"/>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3"/>
    </a:ext>
  </dgm:extLst>
</dgm:dataModel>
</file>

<file path=word/diagrams/data2.xml><?xml version="1.0" encoding="utf-8"?>
<dgm:dataModel xmlns:dgm="http://schemas.openxmlformats.org/drawingml/2006/diagram" xmlns:a="http://schemas.openxmlformats.org/drawingml/2006/main">
  <dgm:ptLst>
    <dgm:pt modelId="{F136C5EE-E827-4656-8596-D078BED74E23}" type="doc">
      <dgm:prSet loTypeId="urn:microsoft.com/office/officeart/2009/3/layout/DescendingProcess" loCatId="process" qsTypeId="urn:microsoft.com/office/officeart/2005/8/quickstyle/simple1" qsCatId="simple" csTypeId="urn:microsoft.com/office/officeart/2005/8/colors/accent1_2" csCatId="accent1" phldr="1"/>
      <dgm:spPr/>
      <dgm:t>
        <a:bodyPr/>
        <a:lstStyle/>
        <a:p>
          <a:endParaRPr lang="en-US"/>
        </a:p>
      </dgm:t>
    </dgm:pt>
    <dgm:pt modelId="{4BD95E02-1BEE-4306-B898-7DF14FE82249}">
      <dgm:prSet phldrT="[Text]" custT="1"/>
      <dgm:spPr/>
      <dgm:t>
        <a:bodyPr/>
        <a:lstStyle/>
        <a:p>
          <a:r>
            <a:rPr lang="en-US" sz="1000" b="1"/>
            <a:t>Day 1:</a:t>
          </a:r>
          <a:r>
            <a:rPr lang="en-US" sz="1000"/>
            <a:t> POTW receives sampling notfication letter from the EPA</a:t>
          </a:r>
        </a:p>
      </dgm:t>
    </dgm:pt>
    <dgm:pt modelId="{B041B6D1-7EAB-434C-A930-512BE1EE79A6}" type="parTrans" cxnId="{5A95B3F5-3B1D-47B3-A8D0-2FFE87ACAF83}">
      <dgm:prSet/>
      <dgm:spPr/>
      <dgm:t>
        <a:bodyPr/>
        <a:lstStyle/>
        <a:p>
          <a:endParaRPr lang="en-US"/>
        </a:p>
      </dgm:t>
    </dgm:pt>
    <dgm:pt modelId="{BBE5017E-84FB-4A32-ABFD-D7A5203CB161}" type="sibTrans" cxnId="{5A95B3F5-3B1D-47B3-A8D0-2FFE87ACAF83}">
      <dgm:prSet/>
      <dgm:spPr/>
      <dgm:t>
        <a:bodyPr/>
        <a:lstStyle/>
        <a:p>
          <a:endParaRPr lang="en-US"/>
        </a:p>
      </dgm:t>
    </dgm:pt>
    <dgm:pt modelId="{87263C60-2FA3-497B-94DA-019DA8681226}">
      <dgm:prSet phldrT="[Text]" custT="1"/>
      <dgm:spPr/>
      <dgm:t>
        <a:bodyPr/>
        <a:lstStyle/>
        <a:p>
          <a:r>
            <a:rPr lang="en-US" sz="1000" b="1"/>
            <a:t>By Day 30: </a:t>
          </a:r>
          <a:r>
            <a:rPr lang="en-US" sz="1000"/>
            <a:t>POTW completes sewage sludge sampling, submits samples for lab analysis and for long-term storage, and notifies the EPA</a:t>
          </a:r>
        </a:p>
      </dgm:t>
    </dgm:pt>
    <dgm:pt modelId="{992C89B4-EB59-4B08-B4A6-180EFA588540}" type="parTrans" cxnId="{8E0A8E1F-2BD5-4D85-A94A-7A91D9F0F6A6}">
      <dgm:prSet/>
      <dgm:spPr/>
      <dgm:t>
        <a:bodyPr/>
        <a:lstStyle/>
        <a:p>
          <a:endParaRPr lang="en-US"/>
        </a:p>
      </dgm:t>
    </dgm:pt>
    <dgm:pt modelId="{75634F72-C542-4B65-83DA-5139F1C99F2C}" type="sibTrans" cxnId="{8E0A8E1F-2BD5-4D85-A94A-7A91D9F0F6A6}">
      <dgm:prSet/>
      <dgm:spPr/>
      <dgm:t>
        <a:bodyPr/>
        <a:lstStyle/>
        <a:p>
          <a:endParaRPr lang="en-US"/>
        </a:p>
      </dgm:t>
    </dgm:pt>
    <dgm:pt modelId="{B32F995F-A661-4C83-AF59-3449DE1BCB7D}">
      <dgm:prSet phldrT="[Text]" custT="1"/>
      <dgm:spPr/>
      <dgm:t>
        <a:bodyPr/>
        <a:lstStyle/>
        <a:p>
          <a:r>
            <a:rPr lang="en-US" sz="1000" b="1"/>
            <a:t>By Day 120: </a:t>
          </a:r>
          <a:r>
            <a:rPr lang="en-US" sz="1000"/>
            <a:t>POTW reviews and submits compiled sewage sludge sampling results to the EPA </a:t>
          </a:r>
        </a:p>
      </dgm:t>
    </dgm:pt>
    <dgm:pt modelId="{45E3F2F0-7A2F-46E3-AC57-E53F187B5B92}" type="parTrans" cxnId="{15FCF905-2B78-409A-A516-970F6CF44CEB}">
      <dgm:prSet/>
      <dgm:spPr/>
      <dgm:t>
        <a:bodyPr/>
        <a:lstStyle/>
        <a:p>
          <a:endParaRPr lang="en-US"/>
        </a:p>
      </dgm:t>
    </dgm:pt>
    <dgm:pt modelId="{D7F07321-30EC-4CCF-8309-A9BFA44B0BE9}" type="sibTrans" cxnId="{15FCF905-2B78-409A-A516-970F6CF44CEB}">
      <dgm:prSet/>
      <dgm:spPr/>
      <dgm:t>
        <a:bodyPr/>
        <a:lstStyle/>
        <a:p>
          <a:endParaRPr lang="en-US"/>
        </a:p>
      </dgm:t>
    </dgm:pt>
    <dgm:pt modelId="{299EA1BD-13BB-43E0-97D8-4BF9D47B1913}">
      <dgm:prSet phldrT="[Text]"/>
      <dgm:spPr/>
      <dgm:t>
        <a:bodyPr/>
        <a:lstStyle/>
        <a:p>
          <a:endParaRPr lang="en-US"/>
        </a:p>
      </dgm:t>
    </dgm:pt>
    <dgm:pt modelId="{9CECD574-1347-41A7-AEC5-65860A659746}" type="parTrans" cxnId="{B57D235A-76AD-4278-A043-1D835062FEB0}">
      <dgm:prSet/>
      <dgm:spPr/>
      <dgm:t>
        <a:bodyPr/>
        <a:lstStyle/>
        <a:p>
          <a:endParaRPr lang="en-US"/>
        </a:p>
      </dgm:t>
    </dgm:pt>
    <dgm:pt modelId="{F19C2D88-A557-493D-A719-82870526A67C}" type="sibTrans" cxnId="{B57D235A-76AD-4278-A043-1D835062FEB0}">
      <dgm:prSet/>
      <dgm:spPr/>
      <dgm:t>
        <a:bodyPr/>
        <a:lstStyle/>
        <a:p>
          <a:endParaRPr lang="en-US"/>
        </a:p>
      </dgm:t>
    </dgm:pt>
    <dgm:pt modelId="{75B9D933-753C-4F65-AC5A-6BD4C4DFE779}">
      <dgm:prSet phldrT="[Text]" custT="1"/>
      <dgm:spPr/>
      <dgm:t>
        <a:bodyPr/>
        <a:lstStyle/>
        <a:p>
          <a:r>
            <a:rPr lang="en-US" sz="1100"/>
            <a:t>EPA receives sampling data</a:t>
          </a:r>
        </a:p>
      </dgm:t>
    </dgm:pt>
    <dgm:pt modelId="{C39216B2-C9F0-434A-B508-0DF8513856A7}" type="parTrans" cxnId="{BB8517C8-B272-48D0-B627-3B8C9A41EAE5}">
      <dgm:prSet/>
      <dgm:spPr/>
      <dgm:t>
        <a:bodyPr/>
        <a:lstStyle/>
        <a:p>
          <a:endParaRPr lang="en-US"/>
        </a:p>
      </dgm:t>
    </dgm:pt>
    <dgm:pt modelId="{848BE272-5A05-425E-9CE6-0BE6F30E7987}" type="sibTrans" cxnId="{BB8517C8-B272-48D0-B627-3B8C9A41EAE5}">
      <dgm:prSet/>
      <dgm:spPr/>
      <dgm:t>
        <a:bodyPr/>
        <a:lstStyle/>
        <a:p>
          <a:endParaRPr lang="en-US"/>
        </a:p>
      </dgm:t>
    </dgm:pt>
    <dgm:pt modelId="{90758FBA-7378-4791-B17A-87EA9FFD6C36}" type="pres">
      <dgm:prSet presAssocID="{F136C5EE-E827-4656-8596-D078BED74E23}" presName="Name0" presStyleCnt="0">
        <dgm:presLayoutVars>
          <dgm:chMax val="7"/>
          <dgm:chPref val="5"/>
        </dgm:presLayoutVars>
      </dgm:prSet>
      <dgm:spPr/>
    </dgm:pt>
    <dgm:pt modelId="{0670FB98-080A-4F45-A033-6E0D42D33710}" type="pres">
      <dgm:prSet presAssocID="{F136C5EE-E827-4656-8596-D078BED74E23}" presName="arrowNode" presStyleLbl="node1" presStyleIdx="0" presStyleCnt="1"/>
      <dgm:spPr/>
    </dgm:pt>
    <dgm:pt modelId="{BB1B843B-132F-49C2-997C-2500462B22DA}" type="pres">
      <dgm:prSet presAssocID="{4BD95E02-1BEE-4306-B898-7DF14FE82249}" presName="txNode1" presStyleLbl="revTx" presStyleIdx="0" presStyleCnt="5" custLinFactNeighborX="67275" custLinFactNeighborY="33482">
        <dgm:presLayoutVars>
          <dgm:bulletEnabled val="1"/>
        </dgm:presLayoutVars>
      </dgm:prSet>
      <dgm:spPr/>
    </dgm:pt>
    <dgm:pt modelId="{964264C7-9407-4F51-94C8-FF21A640862D}" type="pres">
      <dgm:prSet presAssocID="{87263C60-2FA3-497B-94DA-019DA8681226}" presName="txNode2" presStyleLbl="revTx" presStyleIdx="1" presStyleCnt="5" custScaleX="148300" custLinFactNeighborX="35599" custLinFactNeighborY="35342">
        <dgm:presLayoutVars>
          <dgm:bulletEnabled val="1"/>
        </dgm:presLayoutVars>
      </dgm:prSet>
      <dgm:spPr/>
    </dgm:pt>
    <dgm:pt modelId="{F46D8E8F-D634-429A-AF53-A360456519FA}" type="pres">
      <dgm:prSet presAssocID="{75634F72-C542-4B65-83DA-5139F1C99F2C}" presName="dotNode2" presStyleCnt="0"/>
      <dgm:spPr/>
    </dgm:pt>
    <dgm:pt modelId="{A89E6B81-CEF6-429A-85EB-9A7D5FC57465}" type="pres">
      <dgm:prSet presAssocID="{75634F72-C542-4B65-83DA-5139F1C99F2C}" presName="dotRepeatNode" presStyleLbl="fgShp" presStyleIdx="0" presStyleCnt="3"/>
      <dgm:spPr/>
    </dgm:pt>
    <dgm:pt modelId="{9EBA364D-7116-4093-88E1-E7EDE66229D7}" type="pres">
      <dgm:prSet presAssocID="{B32F995F-A661-4C83-AF59-3449DE1BCB7D}" presName="txNode3" presStyleLbl="revTx" presStyleIdx="2" presStyleCnt="5" custScaleX="173963" custLinFactY="19048" custLinFactNeighborX="-6921" custLinFactNeighborY="100000">
        <dgm:presLayoutVars>
          <dgm:bulletEnabled val="1"/>
        </dgm:presLayoutVars>
      </dgm:prSet>
      <dgm:spPr/>
    </dgm:pt>
    <dgm:pt modelId="{E147D4BA-AB99-4CA6-B89E-6BC4495A8398}" type="pres">
      <dgm:prSet presAssocID="{D7F07321-30EC-4CCF-8309-A9BFA44B0BE9}" presName="dotNode3" presStyleCnt="0"/>
      <dgm:spPr/>
    </dgm:pt>
    <dgm:pt modelId="{0C8515B4-2558-4E99-A77E-40224E2BB81C}" type="pres">
      <dgm:prSet presAssocID="{D7F07321-30EC-4CCF-8309-A9BFA44B0BE9}" presName="dotRepeatNode" presStyleLbl="fgShp" presStyleIdx="1" presStyleCnt="3"/>
      <dgm:spPr/>
    </dgm:pt>
    <dgm:pt modelId="{E485DEFD-5A23-49BE-9CF0-05468F8B10BB}" type="pres">
      <dgm:prSet presAssocID="{299EA1BD-13BB-43E0-97D8-4BF9D47B1913}" presName="txNode4" presStyleLbl="revTx" presStyleIdx="3" presStyleCnt="5">
        <dgm:presLayoutVars>
          <dgm:bulletEnabled val="1"/>
        </dgm:presLayoutVars>
      </dgm:prSet>
      <dgm:spPr/>
    </dgm:pt>
    <dgm:pt modelId="{A3AD6169-AABC-4455-A94B-8994375D1EC9}" type="pres">
      <dgm:prSet presAssocID="{F19C2D88-A557-493D-A719-82870526A67C}" presName="dotNode4" presStyleCnt="0"/>
      <dgm:spPr/>
    </dgm:pt>
    <dgm:pt modelId="{48C7729B-D685-4E4D-BD2D-98D221932C13}" type="pres">
      <dgm:prSet presAssocID="{F19C2D88-A557-493D-A719-82870526A67C}" presName="dotRepeatNode" presStyleLbl="fgShp" presStyleIdx="2" presStyleCnt="3"/>
      <dgm:spPr/>
    </dgm:pt>
    <dgm:pt modelId="{F986192E-E8A0-4ED8-BD01-E134E7C9CDDD}" type="pres">
      <dgm:prSet presAssocID="{75B9D933-753C-4F65-AC5A-6BD4C4DFE779}" presName="txNode5" presStyleLbl="revTx" presStyleIdx="4" presStyleCnt="5" custLinFactNeighborX="5519" custLinFactNeighborY="16741">
        <dgm:presLayoutVars>
          <dgm:bulletEnabled val="1"/>
        </dgm:presLayoutVars>
      </dgm:prSet>
      <dgm:spPr/>
    </dgm:pt>
  </dgm:ptLst>
  <dgm:cxnLst>
    <dgm:cxn modelId="{15FCF905-2B78-409A-A516-970F6CF44CEB}" srcId="{F136C5EE-E827-4656-8596-D078BED74E23}" destId="{B32F995F-A661-4C83-AF59-3449DE1BCB7D}" srcOrd="2" destOrd="0" parTransId="{45E3F2F0-7A2F-46E3-AC57-E53F187B5B92}" sibTransId="{D7F07321-30EC-4CCF-8309-A9BFA44B0BE9}"/>
    <dgm:cxn modelId="{B0B40B14-3920-4690-8DA1-A6FD084AF31A}" type="presOf" srcId="{F19C2D88-A557-493D-A719-82870526A67C}" destId="{48C7729B-D685-4E4D-BD2D-98D221932C13}" srcOrd="0" destOrd="0" presId="urn:microsoft.com/office/officeart/2009/3/layout/DescendingProcess"/>
    <dgm:cxn modelId="{8E0A8E1F-2BD5-4D85-A94A-7A91D9F0F6A6}" srcId="{F136C5EE-E827-4656-8596-D078BED74E23}" destId="{87263C60-2FA3-497B-94DA-019DA8681226}" srcOrd="1" destOrd="0" parTransId="{992C89B4-EB59-4B08-B4A6-180EFA588540}" sibTransId="{75634F72-C542-4B65-83DA-5139F1C99F2C}"/>
    <dgm:cxn modelId="{4459D62E-14AC-4CFD-ACC2-819F6A47F59F}" type="presOf" srcId="{F136C5EE-E827-4656-8596-D078BED74E23}" destId="{90758FBA-7378-4791-B17A-87EA9FFD6C36}" srcOrd="0" destOrd="0" presId="urn:microsoft.com/office/officeart/2009/3/layout/DescendingProcess"/>
    <dgm:cxn modelId="{7EE63836-B032-4C1D-9F9D-22C3CC48723D}" type="presOf" srcId="{87263C60-2FA3-497B-94DA-019DA8681226}" destId="{964264C7-9407-4F51-94C8-FF21A640862D}" srcOrd="0" destOrd="0" presId="urn:microsoft.com/office/officeart/2009/3/layout/DescendingProcess"/>
    <dgm:cxn modelId="{14A1C055-114D-452F-9ABF-071EDF948388}" type="presOf" srcId="{75B9D933-753C-4F65-AC5A-6BD4C4DFE779}" destId="{F986192E-E8A0-4ED8-BD01-E134E7C9CDDD}" srcOrd="0" destOrd="0" presId="urn:microsoft.com/office/officeart/2009/3/layout/DescendingProcess"/>
    <dgm:cxn modelId="{907F0957-CDFD-41C0-8F0B-E6646AE40471}" type="presOf" srcId="{D7F07321-30EC-4CCF-8309-A9BFA44B0BE9}" destId="{0C8515B4-2558-4E99-A77E-40224E2BB81C}" srcOrd="0" destOrd="0" presId="urn:microsoft.com/office/officeart/2009/3/layout/DescendingProcess"/>
    <dgm:cxn modelId="{B57D235A-76AD-4278-A043-1D835062FEB0}" srcId="{F136C5EE-E827-4656-8596-D078BED74E23}" destId="{299EA1BD-13BB-43E0-97D8-4BF9D47B1913}" srcOrd="3" destOrd="0" parTransId="{9CECD574-1347-41A7-AEC5-65860A659746}" sibTransId="{F19C2D88-A557-493D-A719-82870526A67C}"/>
    <dgm:cxn modelId="{8A49EAA6-95BD-41A8-8751-AF9306691BEA}" type="presOf" srcId="{B32F995F-A661-4C83-AF59-3449DE1BCB7D}" destId="{9EBA364D-7116-4093-88E1-E7EDE66229D7}" srcOrd="0" destOrd="0" presId="urn:microsoft.com/office/officeart/2009/3/layout/DescendingProcess"/>
    <dgm:cxn modelId="{BB8517C8-B272-48D0-B627-3B8C9A41EAE5}" srcId="{F136C5EE-E827-4656-8596-D078BED74E23}" destId="{75B9D933-753C-4F65-AC5A-6BD4C4DFE779}" srcOrd="4" destOrd="0" parTransId="{C39216B2-C9F0-434A-B508-0DF8513856A7}" sibTransId="{848BE272-5A05-425E-9CE6-0BE6F30E7987}"/>
    <dgm:cxn modelId="{C419B3D7-25A1-43CB-AAA3-297F9DF6730B}" type="presOf" srcId="{4BD95E02-1BEE-4306-B898-7DF14FE82249}" destId="{BB1B843B-132F-49C2-997C-2500462B22DA}" srcOrd="0" destOrd="0" presId="urn:microsoft.com/office/officeart/2009/3/layout/DescendingProcess"/>
    <dgm:cxn modelId="{6C00B7EF-5AE3-485E-85EC-19ED62A4052E}" type="presOf" srcId="{299EA1BD-13BB-43E0-97D8-4BF9D47B1913}" destId="{E485DEFD-5A23-49BE-9CF0-05468F8B10BB}" srcOrd="0" destOrd="0" presId="urn:microsoft.com/office/officeart/2009/3/layout/DescendingProcess"/>
    <dgm:cxn modelId="{5A95B3F5-3B1D-47B3-A8D0-2FFE87ACAF83}" srcId="{F136C5EE-E827-4656-8596-D078BED74E23}" destId="{4BD95E02-1BEE-4306-B898-7DF14FE82249}" srcOrd="0" destOrd="0" parTransId="{B041B6D1-7EAB-434C-A930-512BE1EE79A6}" sibTransId="{BBE5017E-84FB-4A32-ABFD-D7A5203CB161}"/>
    <dgm:cxn modelId="{8B3F6BFA-4744-4C09-BC81-78E518D3614A}" type="presOf" srcId="{75634F72-C542-4B65-83DA-5139F1C99F2C}" destId="{A89E6B81-CEF6-429A-85EB-9A7D5FC57465}" srcOrd="0" destOrd="0" presId="urn:microsoft.com/office/officeart/2009/3/layout/DescendingProcess"/>
    <dgm:cxn modelId="{A5FDDE64-0346-470B-AF4A-49994B662B86}" type="presParOf" srcId="{90758FBA-7378-4791-B17A-87EA9FFD6C36}" destId="{0670FB98-080A-4F45-A033-6E0D42D33710}" srcOrd="0" destOrd="0" presId="urn:microsoft.com/office/officeart/2009/3/layout/DescendingProcess"/>
    <dgm:cxn modelId="{E0FBF733-5E11-4EA8-81FB-DDDDBF627CF8}" type="presParOf" srcId="{90758FBA-7378-4791-B17A-87EA9FFD6C36}" destId="{BB1B843B-132F-49C2-997C-2500462B22DA}" srcOrd="1" destOrd="0" presId="urn:microsoft.com/office/officeart/2009/3/layout/DescendingProcess"/>
    <dgm:cxn modelId="{12FDC44B-9CA6-4F44-9ADC-B0EA0BECDCCB}" type="presParOf" srcId="{90758FBA-7378-4791-B17A-87EA9FFD6C36}" destId="{964264C7-9407-4F51-94C8-FF21A640862D}" srcOrd="2" destOrd="0" presId="urn:microsoft.com/office/officeart/2009/3/layout/DescendingProcess"/>
    <dgm:cxn modelId="{17546EE1-B465-442A-B444-7DACC73066E3}" type="presParOf" srcId="{90758FBA-7378-4791-B17A-87EA9FFD6C36}" destId="{F46D8E8F-D634-429A-AF53-A360456519FA}" srcOrd="3" destOrd="0" presId="urn:microsoft.com/office/officeart/2009/3/layout/DescendingProcess"/>
    <dgm:cxn modelId="{42904D97-B8DB-4A87-B147-3C1A324D36A9}" type="presParOf" srcId="{F46D8E8F-D634-429A-AF53-A360456519FA}" destId="{A89E6B81-CEF6-429A-85EB-9A7D5FC57465}" srcOrd="0" destOrd="0" presId="urn:microsoft.com/office/officeart/2009/3/layout/DescendingProcess"/>
    <dgm:cxn modelId="{CC97BE41-FAA1-4470-BF3F-10C9D81A4BC1}" type="presParOf" srcId="{90758FBA-7378-4791-B17A-87EA9FFD6C36}" destId="{9EBA364D-7116-4093-88E1-E7EDE66229D7}" srcOrd="4" destOrd="0" presId="urn:microsoft.com/office/officeart/2009/3/layout/DescendingProcess"/>
    <dgm:cxn modelId="{D3BDDD23-B15B-44CD-86C9-53A468FA8C81}" type="presParOf" srcId="{90758FBA-7378-4791-B17A-87EA9FFD6C36}" destId="{E147D4BA-AB99-4CA6-B89E-6BC4495A8398}" srcOrd="5" destOrd="0" presId="urn:microsoft.com/office/officeart/2009/3/layout/DescendingProcess"/>
    <dgm:cxn modelId="{71A9342E-03E3-411C-B2C2-C0415E3F77AB}" type="presParOf" srcId="{E147D4BA-AB99-4CA6-B89E-6BC4495A8398}" destId="{0C8515B4-2558-4E99-A77E-40224E2BB81C}" srcOrd="0" destOrd="0" presId="urn:microsoft.com/office/officeart/2009/3/layout/DescendingProcess"/>
    <dgm:cxn modelId="{A361FE05-B421-4C8E-88B4-56E48C04EC52}" type="presParOf" srcId="{90758FBA-7378-4791-B17A-87EA9FFD6C36}" destId="{E485DEFD-5A23-49BE-9CF0-05468F8B10BB}" srcOrd="6" destOrd="0" presId="urn:microsoft.com/office/officeart/2009/3/layout/DescendingProcess"/>
    <dgm:cxn modelId="{0B126827-3B91-43B1-897E-080B9432433C}" type="presParOf" srcId="{90758FBA-7378-4791-B17A-87EA9FFD6C36}" destId="{A3AD6169-AABC-4455-A94B-8994375D1EC9}" srcOrd="7" destOrd="0" presId="urn:microsoft.com/office/officeart/2009/3/layout/DescendingProcess"/>
    <dgm:cxn modelId="{676BAE63-2896-4D76-9489-F193A9C172B7}" type="presParOf" srcId="{A3AD6169-AABC-4455-A94B-8994375D1EC9}" destId="{48C7729B-D685-4E4D-BD2D-98D221932C13}" srcOrd="0" destOrd="0" presId="urn:microsoft.com/office/officeart/2009/3/layout/DescendingProcess"/>
    <dgm:cxn modelId="{4F7FB5B7-77DD-4773-8DA3-5AED3623F713}" type="presParOf" srcId="{90758FBA-7378-4791-B17A-87EA9FFD6C36}" destId="{F986192E-E8A0-4ED8-BD01-E134E7C9CDDD}" srcOrd="8" destOrd="0" presId="urn:microsoft.com/office/officeart/2009/3/layout/DescendingProcess"/>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0"/>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70FB98-080A-4F45-A033-6E0D42D33710}">
      <dsp:nvSpPr>
        <dsp:cNvPr id="0" name=""/>
        <dsp:cNvSpPr/>
      </dsp:nvSpPr>
      <dsp:spPr>
        <a:xfrm rot="4396374">
          <a:off x="1409048" y="636854"/>
          <a:ext cx="2762775" cy="1926691"/>
        </a:xfrm>
        <a:prstGeom prst="swooshArrow">
          <a:avLst>
            <a:gd name="adj1" fmla="val 16310"/>
            <a:gd name="adj2" fmla="val 3137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9E6B81-CEF6-429A-85EB-9A7D5FC57465}">
      <dsp:nvSpPr>
        <dsp:cNvPr id="0" name=""/>
        <dsp:cNvSpPr/>
      </dsp:nvSpPr>
      <dsp:spPr>
        <a:xfrm>
          <a:off x="2443993" y="888431"/>
          <a:ext cx="69768" cy="69768"/>
        </a:xfrm>
        <a:prstGeom prst="ellipse">
          <a:avLst/>
        </a:prstGeom>
        <a:solidFill>
          <a:schemeClr val="accent1">
            <a:tint val="60000"/>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8515B4-2558-4E99-A77E-40224E2BB81C}">
      <dsp:nvSpPr>
        <dsp:cNvPr id="0" name=""/>
        <dsp:cNvSpPr/>
      </dsp:nvSpPr>
      <dsp:spPr>
        <a:xfrm>
          <a:off x="2921716" y="1273759"/>
          <a:ext cx="69768" cy="69768"/>
        </a:xfrm>
        <a:prstGeom prst="ellipse">
          <a:avLst/>
        </a:prstGeom>
        <a:solidFill>
          <a:schemeClr val="accent1">
            <a:tint val="60000"/>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C7729B-D685-4E4D-BD2D-98D221932C13}">
      <dsp:nvSpPr>
        <dsp:cNvPr id="0" name=""/>
        <dsp:cNvSpPr/>
      </dsp:nvSpPr>
      <dsp:spPr>
        <a:xfrm>
          <a:off x="3279745" y="1724375"/>
          <a:ext cx="69768" cy="69768"/>
        </a:xfrm>
        <a:prstGeom prst="ellipse">
          <a:avLst/>
        </a:prstGeom>
        <a:solidFill>
          <a:schemeClr val="accent1">
            <a:tint val="60000"/>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B843B-132F-49C2-997C-2500462B22DA}">
      <dsp:nvSpPr>
        <dsp:cNvPr id="0" name=""/>
        <dsp:cNvSpPr/>
      </dsp:nvSpPr>
      <dsp:spPr>
        <a:xfrm>
          <a:off x="2100139" y="171449"/>
          <a:ext cx="1302562"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lstStyle/>
        <a:p>
          <a:pPr marL="0" lvl="0" indent="0" algn="ctr" defTabSz="444500">
            <a:lnSpc>
              <a:spcPct val="90000"/>
            </a:lnSpc>
            <a:spcBef>
              <a:spcPct val="0"/>
            </a:spcBef>
            <a:spcAft>
              <a:spcPct val="35000"/>
            </a:spcAft>
            <a:buNone/>
          </a:pPr>
          <a:r>
            <a:rPr lang="en-US" sz="1000" b="1" kern="1200"/>
            <a:t>Day 1:</a:t>
          </a:r>
          <a:r>
            <a:rPr lang="en-US" sz="1000" kern="1200"/>
            <a:t> POTW receives sampling notfication letter from the EPA</a:t>
          </a:r>
        </a:p>
      </dsp:txBody>
      <dsp:txXfrm>
        <a:off x="2100139" y="171449"/>
        <a:ext cx="1302562" cy="512064"/>
      </dsp:txXfrm>
    </dsp:sp>
    <dsp:sp modelId="{964264C7-9407-4F51-94C8-FF21A640862D}">
      <dsp:nvSpPr>
        <dsp:cNvPr id="0" name=""/>
        <dsp:cNvSpPr/>
      </dsp:nvSpPr>
      <dsp:spPr>
        <a:xfrm>
          <a:off x="3048161" y="848257"/>
          <a:ext cx="2819238"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lstStyle/>
        <a:p>
          <a:pPr marL="0" lvl="0" indent="0" algn="l" defTabSz="444500">
            <a:lnSpc>
              <a:spcPct val="90000"/>
            </a:lnSpc>
            <a:spcBef>
              <a:spcPct val="0"/>
            </a:spcBef>
            <a:spcAft>
              <a:spcPct val="35000"/>
            </a:spcAft>
            <a:buNone/>
          </a:pPr>
          <a:r>
            <a:rPr lang="en-US" sz="1000" b="1" kern="1200"/>
            <a:t>By Day 30: </a:t>
          </a:r>
          <a:r>
            <a:rPr lang="en-US" sz="1000" kern="1200"/>
            <a:t>POTW completes wastewater sampling, submits samples for lab analysis, and notifies the EPA</a:t>
          </a:r>
        </a:p>
      </dsp:txBody>
      <dsp:txXfrm>
        <a:off x="3048161" y="848257"/>
        <a:ext cx="2819238" cy="512064"/>
      </dsp:txXfrm>
    </dsp:sp>
    <dsp:sp modelId="{9EBA364D-7116-4093-88E1-E7EDE66229D7}">
      <dsp:nvSpPr>
        <dsp:cNvPr id="0" name=""/>
        <dsp:cNvSpPr/>
      </dsp:nvSpPr>
      <dsp:spPr>
        <a:xfrm>
          <a:off x="559249" y="1662213"/>
          <a:ext cx="2633433"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lstStyle/>
        <a:p>
          <a:pPr marL="0" lvl="0" indent="0" algn="r" defTabSz="444500">
            <a:lnSpc>
              <a:spcPct val="90000"/>
            </a:lnSpc>
            <a:spcBef>
              <a:spcPct val="0"/>
            </a:spcBef>
            <a:spcAft>
              <a:spcPct val="35000"/>
            </a:spcAft>
            <a:buNone/>
          </a:pPr>
          <a:r>
            <a:rPr lang="en-US" sz="1000" b="1" kern="1200"/>
            <a:t>By Day 120: </a:t>
          </a:r>
          <a:r>
            <a:rPr lang="en-US" sz="1000" kern="1200"/>
            <a:t>POTW reviews and submits compiled wastewater sampling results to the EPA </a:t>
          </a:r>
        </a:p>
      </dsp:txBody>
      <dsp:txXfrm>
        <a:off x="559249" y="1662213"/>
        <a:ext cx="2633433" cy="512064"/>
      </dsp:txXfrm>
    </dsp:sp>
    <dsp:sp modelId="{E485DEFD-5A23-49BE-9CF0-05468F8B10BB}">
      <dsp:nvSpPr>
        <dsp:cNvPr id="0" name=""/>
        <dsp:cNvSpPr/>
      </dsp:nvSpPr>
      <dsp:spPr>
        <a:xfrm>
          <a:off x="3582535" y="1503227"/>
          <a:ext cx="1161745"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9370" tIns="39370" rIns="39370" bIns="39370" numCol="1" spcCol="1270" anchor="ctr" anchorCtr="0"/>
        <a:lstStyle/>
        <a:p>
          <a:pPr marL="0" lvl="0" indent="0" algn="l" defTabSz="1377950">
            <a:lnSpc>
              <a:spcPct val="90000"/>
            </a:lnSpc>
            <a:spcBef>
              <a:spcPct val="0"/>
            </a:spcBef>
            <a:spcAft>
              <a:spcPct val="35000"/>
            </a:spcAft>
            <a:buNone/>
          </a:pPr>
          <a:endParaRPr lang="en-US" sz="3100" kern="1200"/>
        </a:p>
      </dsp:txBody>
      <dsp:txXfrm>
        <a:off x="3582535" y="1503227"/>
        <a:ext cx="1161745" cy="512064"/>
      </dsp:txXfrm>
    </dsp:sp>
    <dsp:sp modelId="{F986192E-E8A0-4ED8-BD01-E134E7C9CDDD}">
      <dsp:nvSpPr>
        <dsp:cNvPr id="0" name=""/>
        <dsp:cNvSpPr/>
      </dsp:nvSpPr>
      <dsp:spPr>
        <a:xfrm>
          <a:off x="3081207" y="2688336"/>
          <a:ext cx="1760220"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t" anchorCtr="0"/>
        <a:lstStyle/>
        <a:p>
          <a:pPr marL="0" lvl="0" indent="0" algn="ctr" defTabSz="488950">
            <a:lnSpc>
              <a:spcPct val="90000"/>
            </a:lnSpc>
            <a:spcBef>
              <a:spcPct val="0"/>
            </a:spcBef>
            <a:spcAft>
              <a:spcPct val="35000"/>
            </a:spcAft>
            <a:buNone/>
          </a:pPr>
          <a:r>
            <a:rPr lang="en-US" sz="1100" kern="1200"/>
            <a:t>EPA receives sampling data</a:t>
          </a:r>
        </a:p>
      </dsp:txBody>
      <dsp:txXfrm>
        <a:off x="3081207" y="2688336"/>
        <a:ext cx="1760220" cy="5120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70FB98-080A-4F45-A033-6E0D42D33710}">
      <dsp:nvSpPr>
        <dsp:cNvPr id="0" name=""/>
        <dsp:cNvSpPr/>
      </dsp:nvSpPr>
      <dsp:spPr>
        <a:xfrm rot="4396374">
          <a:off x="1409048" y="636854"/>
          <a:ext cx="2762775" cy="1926691"/>
        </a:xfrm>
        <a:prstGeom prst="swooshArrow">
          <a:avLst>
            <a:gd name="adj1" fmla="val 16310"/>
            <a:gd name="adj2" fmla="val 3137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9E6B81-CEF6-429A-85EB-9A7D5FC57465}">
      <dsp:nvSpPr>
        <dsp:cNvPr id="0" name=""/>
        <dsp:cNvSpPr/>
      </dsp:nvSpPr>
      <dsp:spPr>
        <a:xfrm>
          <a:off x="2443993" y="888431"/>
          <a:ext cx="69768" cy="69768"/>
        </a:xfrm>
        <a:prstGeom prst="ellipse">
          <a:avLst/>
        </a:prstGeom>
        <a:solidFill>
          <a:schemeClr val="accent1">
            <a:tint val="60000"/>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8515B4-2558-4E99-A77E-40224E2BB81C}">
      <dsp:nvSpPr>
        <dsp:cNvPr id="0" name=""/>
        <dsp:cNvSpPr/>
      </dsp:nvSpPr>
      <dsp:spPr>
        <a:xfrm>
          <a:off x="2921716" y="1273759"/>
          <a:ext cx="69768" cy="69768"/>
        </a:xfrm>
        <a:prstGeom prst="ellipse">
          <a:avLst/>
        </a:prstGeom>
        <a:solidFill>
          <a:schemeClr val="accent1">
            <a:tint val="60000"/>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C7729B-D685-4E4D-BD2D-98D221932C13}">
      <dsp:nvSpPr>
        <dsp:cNvPr id="0" name=""/>
        <dsp:cNvSpPr/>
      </dsp:nvSpPr>
      <dsp:spPr>
        <a:xfrm>
          <a:off x="3279745" y="1724375"/>
          <a:ext cx="69768" cy="69768"/>
        </a:xfrm>
        <a:prstGeom prst="ellipse">
          <a:avLst/>
        </a:prstGeom>
        <a:solidFill>
          <a:schemeClr val="accent1">
            <a:tint val="60000"/>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B843B-132F-49C2-997C-2500462B22DA}">
      <dsp:nvSpPr>
        <dsp:cNvPr id="0" name=""/>
        <dsp:cNvSpPr/>
      </dsp:nvSpPr>
      <dsp:spPr>
        <a:xfrm>
          <a:off x="2100139" y="171449"/>
          <a:ext cx="1302562"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lstStyle/>
        <a:p>
          <a:pPr marL="0" lvl="0" indent="0" algn="ctr" defTabSz="444500">
            <a:lnSpc>
              <a:spcPct val="90000"/>
            </a:lnSpc>
            <a:spcBef>
              <a:spcPct val="0"/>
            </a:spcBef>
            <a:spcAft>
              <a:spcPct val="35000"/>
            </a:spcAft>
            <a:buNone/>
          </a:pPr>
          <a:r>
            <a:rPr lang="en-US" sz="1000" b="1" kern="1200"/>
            <a:t>Day 1:</a:t>
          </a:r>
          <a:r>
            <a:rPr lang="en-US" sz="1000" kern="1200"/>
            <a:t> POTW receives sampling notfication letter from the EPA</a:t>
          </a:r>
        </a:p>
      </dsp:txBody>
      <dsp:txXfrm>
        <a:off x="2100139" y="171449"/>
        <a:ext cx="1302562" cy="512064"/>
      </dsp:txXfrm>
    </dsp:sp>
    <dsp:sp modelId="{964264C7-9407-4F51-94C8-FF21A640862D}">
      <dsp:nvSpPr>
        <dsp:cNvPr id="0" name=""/>
        <dsp:cNvSpPr/>
      </dsp:nvSpPr>
      <dsp:spPr>
        <a:xfrm>
          <a:off x="3048161" y="848257"/>
          <a:ext cx="2819238"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lstStyle/>
        <a:p>
          <a:pPr marL="0" lvl="0" indent="0" algn="l" defTabSz="444500">
            <a:lnSpc>
              <a:spcPct val="90000"/>
            </a:lnSpc>
            <a:spcBef>
              <a:spcPct val="0"/>
            </a:spcBef>
            <a:spcAft>
              <a:spcPct val="35000"/>
            </a:spcAft>
            <a:buNone/>
          </a:pPr>
          <a:r>
            <a:rPr lang="en-US" sz="1000" b="1" kern="1200"/>
            <a:t>By Day 30: </a:t>
          </a:r>
          <a:r>
            <a:rPr lang="en-US" sz="1000" kern="1200"/>
            <a:t>POTW completes sewage sludge sampling, submits samples for lab analysis and for long-term storage, and notifies the EPA</a:t>
          </a:r>
        </a:p>
      </dsp:txBody>
      <dsp:txXfrm>
        <a:off x="3048161" y="848257"/>
        <a:ext cx="2819238" cy="512064"/>
      </dsp:txXfrm>
    </dsp:sp>
    <dsp:sp modelId="{9EBA364D-7116-4093-88E1-E7EDE66229D7}">
      <dsp:nvSpPr>
        <dsp:cNvPr id="0" name=""/>
        <dsp:cNvSpPr/>
      </dsp:nvSpPr>
      <dsp:spPr>
        <a:xfrm>
          <a:off x="559249" y="1662213"/>
          <a:ext cx="2633433"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lstStyle/>
        <a:p>
          <a:pPr marL="0" lvl="0" indent="0" algn="r" defTabSz="444500">
            <a:lnSpc>
              <a:spcPct val="90000"/>
            </a:lnSpc>
            <a:spcBef>
              <a:spcPct val="0"/>
            </a:spcBef>
            <a:spcAft>
              <a:spcPct val="35000"/>
            </a:spcAft>
            <a:buNone/>
          </a:pPr>
          <a:r>
            <a:rPr lang="en-US" sz="1000" b="1" kern="1200"/>
            <a:t>By Day 120: </a:t>
          </a:r>
          <a:r>
            <a:rPr lang="en-US" sz="1000" kern="1200"/>
            <a:t>POTW reviews and submits compiled sewage sludge sampling results to the EPA </a:t>
          </a:r>
        </a:p>
      </dsp:txBody>
      <dsp:txXfrm>
        <a:off x="559249" y="1662213"/>
        <a:ext cx="2633433" cy="512064"/>
      </dsp:txXfrm>
    </dsp:sp>
    <dsp:sp modelId="{E485DEFD-5A23-49BE-9CF0-05468F8B10BB}">
      <dsp:nvSpPr>
        <dsp:cNvPr id="0" name=""/>
        <dsp:cNvSpPr/>
      </dsp:nvSpPr>
      <dsp:spPr>
        <a:xfrm>
          <a:off x="3582535" y="1503227"/>
          <a:ext cx="1161745"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9370" tIns="39370" rIns="39370" bIns="39370" numCol="1" spcCol="1270" anchor="ctr" anchorCtr="0"/>
        <a:lstStyle/>
        <a:p>
          <a:pPr marL="0" lvl="0" indent="0" algn="l" defTabSz="1377950">
            <a:lnSpc>
              <a:spcPct val="90000"/>
            </a:lnSpc>
            <a:spcBef>
              <a:spcPct val="0"/>
            </a:spcBef>
            <a:spcAft>
              <a:spcPct val="35000"/>
            </a:spcAft>
            <a:buNone/>
          </a:pPr>
          <a:endParaRPr lang="en-US" sz="3100" kern="1200"/>
        </a:p>
      </dsp:txBody>
      <dsp:txXfrm>
        <a:off x="3582535" y="1503227"/>
        <a:ext cx="1161745" cy="512064"/>
      </dsp:txXfrm>
    </dsp:sp>
    <dsp:sp modelId="{F986192E-E8A0-4ED8-BD01-E134E7C9CDDD}">
      <dsp:nvSpPr>
        <dsp:cNvPr id="0" name=""/>
        <dsp:cNvSpPr/>
      </dsp:nvSpPr>
      <dsp:spPr>
        <a:xfrm>
          <a:off x="3081207" y="2688336"/>
          <a:ext cx="1760220"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t" anchorCtr="0"/>
        <a:lstStyle/>
        <a:p>
          <a:pPr marL="0" lvl="0" indent="0" algn="ctr" defTabSz="488950">
            <a:lnSpc>
              <a:spcPct val="90000"/>
            </a:lnSpc>
            <a:spcBef>
              <a:spcPct val="0"/>
            </a:spcBef>
            <a:spcAft>
              <a:spcPct val="35000"/>
            </a:spcAft>
            <a:buNone/>
          </a:pPr>
          <a:r>
            <a:rPr lang="en-US" sz="1100" kern="1200"/>
            <a:t>EPA receives sampling data</a:t>
          </a:r>
        </a:p>
      </dsp:txBody>
      <dsp:txXfrm>
        <a:off x="3081207" y="2688336"/>
        <a:ext cx="1760220" cy="512064"/>
      </dsp:txXfrm>
    </dsp:sp>
  </dsp:spTree>
</dsp:drawing>
</file>

<file path=word/diagrams/layout1.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arg="none"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arg="none"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arg="none"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arg="none"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arg="none"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arg="none"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arg="none" op="gte" val="1">
        <dgm:layoutNode name="arrowNode" styleLbl="node1">
          <dgm:alg type="sp"/>
          <dgm:shape xmlns:r="http://schemas.openxmlformats.org/officeDocument/2006/relationships" rot="73.27" type="swooshArrow" r:blip="">
            <dgm:adjLst>
              <dgm:adj idx="1" val="0.16"/>
              <dgm:adj idx="2" val="0.31"/>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arg="none" op="equ" val="1">
            <dgm:alg type="tx">
              <dgm:param type="txAnchorVert" val="t"/>
            </dgm:alg>
          </dgm:if>
          <dgm:if name="Name18" axis="self" ptType="node" func="posOdd" arg="none"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arg="none"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arg="none" op="equ" val="1">
            <dgm:alg type="tx">
              <dgm:param type="txAnchorVert" val="t"/>
            </dgm:alg>
          </dgm:if>
          <dgm:if name="Name28" axis="self" ptType="node" func="posOdd" arg="none"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arg="none"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arg="none" op="equ" val="1">
            <dgm:alg type="tx">
              <dgm:param type="txAnchorVert" val="t"/>
            </dgm:alg>
          </dgm:if>
          <dgm:if name="Name38" axis="self" ptType="node" func="posOdd" arg="none"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arg="none"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arg="none" op="equ" val="1">
            <dgm:alg type="tx">
              <dgm:param type="txAnchorVert" val="t"/>
            </dgm:alg>
          </dgm:if>
          <dgm:if name="Name48" axis="self" ptType="node" func="posOdd" arg="none"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arg="none"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arg="none" op="equ" val="1">
            <dgm:alg type="tx">
              <dgm:param type="txAnchorVert" val="t"/>
            </dgm:alg>
          </dgm:if>
          <dgm:if name="Name58" axis="self" ptType="node" func="posOdd" arg="none"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arg="none"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arg="none"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arg="none"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arg="none"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arg="none"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arg="none"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arg="none"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arg="none" op="gte" val="1">
        <dgm:layoutNode name="arrowNode" styleLbl="node1">
          <dgm:alg type="sp"/>
          <dgm:shape xmlns:r="http://schemas.openxmlformats.org/officeDocument/2006/relationships" rot="73.27" type="swooshArrow" r:blip="">
            <dgm:adjLst>
              <dgm:adj idx="1" val="0.16"/>
              <dgm:adj idx="2" val="0.31"/>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arg="none" op="equ" val="1">
            <dgm:alg type="tx">
              <dgm:param type="txAnchorVert" val="t"/>
            </dgm:alg>
          </dgm:if>
          <dgm:if name="Name18" axis="self" ptType="node" func="posOdd" arg="none"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arg="none"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arg="none" op="equ" val="1">
            <dgm:alg type="tx">
              <dgm:param type="txAnchorVert" val="t"/>
            </dgm:alg>
          </dgm:if>
          <dgm:if name="Name28" axis="self" ptType="node" func="posOdd" arg="none"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arg="none"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arg="none" op="equ" val="1">
            <dgm:alg type="tx">
              <dgm:param type="txAnchorVert" val="t"/>
            </dgm:alg>
          </dgm:if>
          <dgm:if name="Name38" axis="self" ptType="node" func="posOdd" arg="none"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arg="none"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arg="none" op="equ" val="1">
            <dgm:alg type="tx">
              <dgm:param type="txAnchorVert" val="t"/>
            </dgm:alg>
          </dgm:if>
          <dgm:if name="Name48" axis="self" ptType="node" func="posOdd" arg="none"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arg="none"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arg="none" op="equ" val="1">
            <dgm:alg type="tx">
              <dgm:param type="txAnchorVert" val="t"/>
            </dgm:alg>
          </dgm:if>
          <dgm:if name="Name58" axis="self" ptType="node" func="posOdd" arg="none"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arg="none"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2024-06-21T22:13:43+00:00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b47a1012-c255-4103-a2ec-bd71c2234911">
      <UserInfo>
        <DisplayName>Oliver, Jacques</DisplayName>
        <AccountId>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D2BD6D4D766147BF948387494BFAC3" ma:contentTypeVersion="8" ma:contentTypeDescription="Create a new document." ma:contentTypeScope="" ma:versionID="8d5cd4b8ab0f5540d20973f3394f21e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3e8bcc57-df15-430d-b68e-354ed184cce5" xmlns:ns6="b47a1012-c255-4103-a2ec-bd71c2234911" targetNamespace="http://schemas.microsoft.com/office/2006/metadata/properties" ma:root="true" ma:fieldsID="feb929eef780e51b6a40a381e166a3fb" ns1:_="" ns2:_="" ns3:_="" ns4:_="" ns5:_="" ns6:_="">
    <xsd:import namespace="http://schemas.microsoft.com/sharepoint/v3"/>
    <xsd:import namespace="4ffa91fb-a0ff-4ac5-b2db-65c790d184a4"/>
    <xsd:import namespace="http://schemas.microsoft.com/sharepoint.v3"/>
    <xsd:import namespace="http://schemas.microsoft.com/sharepoint/v3/fields"/>
    <xsd:import namespace="3e8bcc57-df15-430d-b68e-354ed184cce5"/>
    <xsd:import namespace="b47a1012-c255-4103-a2ec-bd71c2234911"/>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9af47c1-eeb1-489b-8cab-941fabef75e9}" ma:internalName="TaxCatchAllLabel" ma:readOnly="true" ma:showField="CatchAllDataLabel" ma:web="b47a1012-c255-4103-a2ec-bd71c223491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9af47c1-eeb1-489b-8cab-941fabef75e9}" ma:internalName="TaxCatchAll" ma:showField="CatchAllData" ma:web="b47a1012-c255-4103-a2ec-bd71c22349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bcc57-df15-430d-b68e-354ed184cce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a1012-c255-4103-a2ec-bd71c223491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B01D4047-7BCD-40DC-8D43-24CE842F9CD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b47a1012-c255-4103-a2ec-bd71c2234911"/>
  </ds:schemaRefs>
</ds:datastoreItem>
</file>

<file path=customXml/itemProps2.xml><?xml version="1.0" encoding="utf-8"?>
<ds:datastoreItem xmlns:ds="http://schemas.openxmlformats.org/officeDocument/2006/customXml" ds:itemID="{9C42500D-9B6B-44BE-AE34-28EDDDF96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3e8bcc57-df15-430d-b68e-354ed184cce5"/>
    <ds:schemaRef ds:uri="b47a1012-c255-4103-a2ec-bd71c2234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1AB041A5-204C-4E14-B8C7-88EDBA40F23C}">
  <ds:schemaRefs>
    <ds:schemaRef ds:uri="http://schemas.microsoft.com/sharepoint/v3/contenttype/forms"/>
  </ds:schemaRefs>
</ds:datastoreItem>
</file>

<file path=customXml/itemProps5.xml><?xml version="1.0" encoding="utf-8"?>
<ds:datastoreItem xmlns:ds="http://schemas.openxmlformats.org/officeDocument/2006/customXml" ds:itemID="{E8B59998-9D94-42D8-B06D-F3DCCC8DCE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35</Pages>
  <Words>14561</Words>
  <Characters>83004</Characters>
  <Application>Microsoft Office Word</Application>
  <DocSecurity>0</DocSecurity>
  <Lines>691</Lines>
  <Paragraphs>194</Paragraphs>
  <ScaleCrop>false</ScaleCrop>
  <Company/>
  <LinksUpToDate>false</LinksUpToDate>
  <CharactersWithSpaces>97371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Bruce, Teddy (he/him/his)</cp:lastModifiedBy>
  <cp:revision>468</cp:revision>
  <cp:lastPrinted>2024-07-22T21:22:00Z</cp:lastPrinted>
  <dcterms:created xsi:type="dcterms:W3CDTF">2024-06-22T06:49:00Z</dcterms:created>
  <dcterms:modified xsi:type="dcterms:W3CDTF">2024-08-15T02:59:00Z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0x01010008D2BD6D4D766147BF948387494BFAC3</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TaxKeyword">
    <vt:lpwstr/>
  </property>
</Properties>
</file>