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E525CE" w:rsidP="00C64707" w14:paraId="14477A40" w14:textId="1AD48B78">
      <w:pPr>
        <w:shd w:val="clear" w:color="auto" w:fill="FFFFFF"/>
        <w:spacing w:after="0" w:line="240" w:lineRule="auto"/>
        <w:jc w:val="center"/>
        <w:rPr>
          <w:rFonts w:ascii="Arial" w:eastAsia="Times New Roman" w:hAnsi="Arial" w:cs="Arial"/>
          <w:sz w:val="24"/>
          <w:szCs w:val="24"/>
        </w:rPr>
      </w:pPr>
      <w:r w:rsidRPr="00E525CE">
        <w:rPr>
          <w:rFonts w:ascii="Arial" w:eastAsia="Times New Roman" w:hAnsi="Arial" w:cs="Arial"/>
          <w:b/>
          <w:bCs/>
          <w:sz w:val="24"/>
          <w:szCs w:val="24"/>
        </w:rPr>
        <w:t>Supporting Statement A</w:t>
      </w:r>
    </w:p>
    <w:p w:rsidR="001A4EFC" w:rsidRPr="00E525CE" w:rsidP="001A4EFC" w14:paraId="1529A5DF" w14:textId="77777777">
      <w:pPr>
        <w:spacing w:after="0"/>
        <w:jc w:val="center"/>
        <w:rPr>
          <w:rFonts w:ascii="Times New Roman" w:hAnsi="Times New Roman"/>
          <w:b/>
          <w:bCs/>
          <w:sz w:val="24"/>
          <w:u w:val="single"/>
        </w:rPr>
      </w:pPr>
      <w:r w:rsidRPr="00E525CE">
        <w:rPr>
          <w:rFonts w:ascii="Times New Roman" w:hAnsi="Times New Roman"/>
          <w:b/>
          <w:bCs/>
          <w:sz w:val="24"/>
          <w:u w:val="single"/>
        </w:rPr>
        <w:t>REPORT OF INSPECTION REQUIRED BY</w:t>
      </w:r>
    </w:p>
    <w:p w:rsidR="001A4EFC" w:rsidRPr="00E525CE" w:rsidP="00A72C7E" w14:paraId="79CD0D76" w14:textId="77777777">
      <w:pPr>
        <w:spacing w:after="0"/>
        <w:jc w:val="center"/>
        <w:rPr>
          <w:rFonts w:ascii="Times New Roman" w:hAnsi="Times New Roman"/>
          <w:b/>
          <w:bCs/>
          <w:sz w:val="24"/>
          <w:u w:val="single"/>
        </w:rPr>
      </w:pPr>
      <w:r w:rsidRPr="00E525CE">
        <w:rPr>
          <w:rFonts w:ascii="Times New Roman" w:hAnsi="Times New Roman"/>
          <w:b/>
          <w:bCs/>
          <w:sz w:val="24"/>
          <w:u w:val="single"/>
        </w:rPr>
        <w:t>AIRWORTHINESS DIRECTIVES</w:t>
      </w:r>
    </w:p>
    <w:p w:rsidR="001A4EFC" w:rsidRPr="00A1074D" w:rsidP="00A72C7E" w14:paraId="4A8A6393" w14:textId="77777777">
      <w:pPr>
        <w:spacing w:after="0"/>
        <w:jc w:val="center"/>
        <w:rPr>
          <w:rFonts w:ascii="Arial" w:hAnsi="Arial" w:cs="Arial"/>
          <w:sz w:val="24"/>
          <w:szCs w:val="24"/>
        </w:rPr>
      </w:pPr>
      <w:r w:rsidRPr="00A1074D">
        <w:rPr>
          <w:rFonts w:ascii="Arial" w:hAnsi="Arial" w:cs="Arial"/>
          <w:sz w:val="24"/>
          <w:szCs w:val="24"/>
        </w:rPr>
        <w:t>Title 14, CFR Part 39</w:t>
      </w:r>
    </w:p>
    <w:p w:rsidR="00E94370" w:rsidRPr="00A1074D" w:rsidP="00F95955" w14:paraId="36611B2C" w14:textId="29447347">
      <w:pPr>
        <w:spacing w:after="0"/>
        <w:jc w:val="center"/>
        <w:rPr>
          <w:rFonts w:ascii="Arial" w:hAnsi="Arial" w:cs="Arial"/>
          <w:sz w:val="24"/>
          <w:szCs w:val="24"/>
        </w:rPr>
      </w:pPr>
      <w:r w:rsidRPr="00A1074D">
        <w:rPr>
          <w:rFonts w:ascii="Arial" w:hAnsi="Arial" w:cs="Arial"/>
          <w:sz w:val="24"/>
          <w:szCs w:val="24"/>
        </w:rPr>
        <w:t xml:space="preserve"> </w:t>
      </w:r>
      <w:r w:rsidRPr="00A1074D" w:rsidR="001A4EFC">
        <w:rPr>
          <w:rFonts w:ascii="Arial" w:hAnsi="Arial" w:cs="Arial"/>
          <w:sz w:val="24"/>
          <w:szCs w:val="24"/>
        </w:rPr>
        <w:t>OMB No. 2120-0056</w:t>
      </w:r>
    </w:p>
    <w:p w:rsidR="0032567E" w:rsidRPr="00A1074D" w:rsidP="00F95955" w14:paraId="01CD71E2" w14:textId="53467864">
      <w:pPr>
        <w:spacing w:after="0"/>
        <w:jc w:val="center"/>
        <w:rPr>
          <w:rFonts w:ascii="Arial" w:hAnsi="Arial" w:cs="Arial"/>
          <w:sz w:val="24"/>
          <w:szCs w:val="24"/>
        </w:rPr>
      </w:pPr>
      <w:r w:rsidRPr="00A1074D">
        <w:rPr>
          <w:rFonts w:ascii="Arial" w:hAnsi="Arial" w:cs="Arial"/>
          <w:sz w:val="24"/>
          <w:szCs w:val="24"/>
        </w:rPr>
        <w:t xml:space="preserve">Extension with no change  </w:t>
      </w:r>
    </w:p>
    <w:p w:rsidR="00F95955" w:rsidRPr="00A1074D" w:rsidP="00F95955" w14:paraId="3691B225" w14:textId="10395062">
      <w:pPr>
        <w:spacing w:after="0"/>
        <w:jc w:val="center"/>
        <w:rPr>
          <w:rFonts w:ascii="Arial" w:hAnsi="Arial" w:cs="Arial"/>
          <w:sz w:val="24"/>
          <w:szCs w:val="24"/>
        </w:rPr>
      </w:pPr>
      <w:r w:rsidRPr="00A1074D">
        <w:rPr>
          <w:rFonts w:ascii="Arial" w:hAnsi="Arial" w:cs="Arial"/>
          <w:sz w:val="24"/>
          <w:szCs w:val="24"/>
        </w:rPr>
        <w:t>ADD External Alternative Methods of Compliance (</w:t>
      </w:r>
      <w:r w:rsidRPr="00A1074D">
        <w:rPr>
          <w:rFonts w:ascii="Arial" w:hAnsi="Arial" w:cs="Arial"/>
          <w:sz w:val="24"/>
          <w:szCs w:val="24"/>
        </w:rPr>
        <w:t>AMOC</w:t>
      </w:r>
      <w:r w:rsidRPr="00A1074D">
        <w:rPr>
          <w:rFonts w:ascii="Arial" w:hAnsi="Arial" w:cs="Arial"/>
          <w:sz w:val="24"/>
          <w:szCs w:val="24"/>
        </w:rPr>
        <w:t>)</w:t>
      </w:r>
      <w:r w:rsidRPr="00A1074D">
        <w:rPr>
          <w:rFonts w:ascii="Arial" w:hAnsi="Arial" w:cs="Arial"/>
          <w:sz w:val="24"/>
          <w:szCs w:val="24"/>
        </w:rPr>
        <w:t xml:space="preserve"> </w:t>
      </w:r>
    </w:p>
    <w:p w:rsidR="00FC4983" w:rsidRPr="00E525CE" w:rsidP="00A72C7E" w14:paraId="70D4AD88" w14:textId="77777777">
      <w:pPr>
        <w:spacing w:after="0"/>
        <w:jc w:val="center"/>
        <w:rPr>
          <w:rFonts w:ascii="Arial" w:hAnsi="Arial" w:cs="Arial"/>
          <w:sz w:val="24"/>
          <w:szCs w:val="24"/>
        </w:rPr>
      </w:pPr>
    </w:p>
    <w:p w:rsidR="00FC4983" w:rsidRPr="00E525CE" w:rsidP="00A72C7E" w14:paraId="18E37E79" w14:textId="77777777">
      <w:pPr>
        <w:spacing w:after="0"/>
        <w:jc w:val="center"/>
        <w:rPr>
          <w:rFonts w:ascii="Arial" w:hAnsi="Arial" w:cs="Arial"/>
          <w:sz w:val="24"/>
          <w:szCs w:val="24"/>
        </w:rPr>
      </w:pPr>
    </w:p>
    <w:p w:rsidR="0024134E" w:rsidP="00E73329" w14:paraId="2882EFE0" w14:textId="77777777">
      <w:pPr>
        <w:spacing w:after="0"/>
        <w:rPr>
          <w:rFonts w:ascii="Arial" w:hAnsi="Arial" w:cs="Arial"/>
          <w:sz w:val="24"/>
          <w:szCs w:val="24"/>
        </w:rPr>
      </w:pPr>
      <w:r w:rsidRPr="00942025">
        <w:rPr>
          <w:rFonts w:ascii="Arial" w:hAnsi="Arial" w:cs="Arial"/>
          <w:b/>
          <w:sz w:val="24"/>
          <w:szCs w:val="24"/>
        </w:rPr>
        <w:t>Summary of Changes</w:t>
      </w:r>
      <w:r w:rsidRPr="00942025">
        <w:rPr>
          <w:rFonts w:ascii="Arial" w:hAnsi="Arial" w:cs="Arial"/>
          <w:sz w:val="24"/>
          <w:szCs w:val="24"/>
        </w:rPr>
        <w:t>:</w:t>
      </w:r>
    </w:p>
    <w:p w:rsidR="0024134E" w:rsidRPr="0024134E" w:rsidP="0024134E" w14:paraId="726A7F66" w14:textId="5F98349C">
      <w:pPr>
        <w:pStyle w:val="ListParagraph"/>
        <w:numPr>
          <w:ilvl w:val="0"/>
          <w:numId w:val="9"/>
        </w:numPr>
        <w:rPr>
          <w:rFonts w:ascii="Arial" w:hAnsi="Arial" w:cs="Arial"/>
          <w:sz w:val="24"/>
          <w:szCs w:val="24"/>
        </w:rPr>
      </w:pPr>
      <w:r w:rsidRPr="0024134E">
        <w:rPr>
          <w:rFonts w:ascii="Arial" w:hAnsi="Arial" w:cs="Arial"/>
          <w:sz w:val="24"/>
          <w:szCs w:val="24"/>
        </w:rPr>
        <w:t>Annualized cost to the respondents – Q12</w:t>
      </w:r>
    </w:p>
    <w:p w:rsidR="0024134E" w:rsidRPr="0024134E" w:rsidP="0049406F" w14:paraId="5180D6AA" w14:textId="5DA08711">
      <w:pPr>
        <w:pStyle w:val="ListParagraph"/>
        <w:numPr>
          <w:ilvl w:val="0"/>
          <w:numId w:val="9"/>
        </w:numPr>
        <w:ind w:left="778"/>
        <w:rPr>
          <w:rFonts w:ascii="Arial" w:hAnsi="Arial" w:cs="Arial"/>
          <w:sz w:val="24"/>
          <w:szCs w:val="24"/>
        </w:rPr>
      </w:pPr>
      <w:r w:rsidRPr="0024134E">
        <w:rPr>
          <w:rFonts w:ascii="Arial" w:hAnsi="Arial" w:cs="Arial"/>
          <w:sz w:val="24"/>
          <w:szCs w:val="24"/>
        </w:rPr>
        <w:t>Annualized cost to the Federal government – Q14</w:t>
      </w:r>
    </w:p>
    <w:p w:rsidR="001A4EFC" w:rsidRPr="0024134E" w:rsidP="0024134E" w14:paraId="32459B70" w14:textId="77777777">
      <w:pPr>
        <w:spacing w:after="0"/>
        <w:rPr>
          <w:rFonts w:ascii="Arial" w:hAnsi="Arial" w:cs="Arial"/>
          <w:sz w:val="24"/>
          <w:szCs w:val="24"/>
        </w:rPr>
      </w:pPr>
    </w:p>
    <w:p w:rsidR="00C64707" w:rsidRPr="00942025" w:rsidP="00C64707" w14:paraId="3368F1AD" w14:textId="77777777">
      <w:pPr>
        <w:shd w:val="clear" w:color="auto" w:fill="FFFFFF"/>
        <w:spacing w:after="0" w:line="240" w:lineRule="auto"/>
        <w:rPr>
          <w:rFonts w:ascii="Arial" w:eastAsia="Times New Roman" w:hAnsi="Arial" w:cs="Arial"/>
          <w:sz w:val="24"/>
          <w:szCs w:val="24"/>
        </w:rPr>
      </w:pPr>
    </w:p>
    <w:p w:rsidR="00C64707" w:rsidRPr="00942025" w:rsidP="00C64707" w14:paraId="5C0C5974" w14:textId="77777777">
      <w:pPr>
        <w:shd w:val="clear" w:color="auto" w:fill="FFFFFF"/>
        <w:spacing w:after="0" w:line="240" w:lineRule="auto"/>
        <w:rPr>
          <w:rFonts w:ascii="Arial" w:eastAsia="Times New Roman" w:hAnsi="Arial" w:cs="Arial"/>
          <w:sz w:val="24"/>
          <w:szCs w:val="24"/>
        </w:rPr>
      </w:pPr>
      <w:r w:rsidRPr="00942025">
        <w:rPr>
          <w:rFonts w:ascii="Arial" w:eastAsia="Times New Roman" w:hAnsi="Arial" w:cs="Arial"/>
          <w:b/>
          <w:bCs/>
          <w:sz w:val="24"/>
          <w:szCs w:val="24"/>
        </w:rPr>
        <w:t>1. Explain the circumstances that make the collection of information necessary. Identify any legal or administrative requirements that necessitate the collection.</w:t>
      </w:r>
    </w:p>
    <w:p w:rsidR="004932D3" w:rsidRPr="0072346D" w:rsidP="00C64707" w14:paraId="7BD07DA6" w14:textId="77777777">
      <w:pPr>
        <w:shd w:val="clear" w:color="auto" w:fill="FFFFFF"/>
        <w:spacing w:after="0" w:line="240" w:lineRule="auto"/>
        <w:rPr>
          <w:rFonts w:ascii="Arial" w:eastAsia="Times New Roman" w:hAnsi="Arial" w:cs="Arial"/>
          <w:sz w:val="24"/>
          <w:szCs w:val="24"/>
          <w:highlight w:val="yellow"/>
        </w:rPr>
      </w:pPr>
    </w:p>
    <w:p w:rsidR="004932D3" w:rsidRPr="0072346D" w:rsidP="00E525CE" w14:paraId="7A9CCEBC" w14:textId="6E1BC7D5">
      <w:pPr>
        <w:spacing w:after="0" w:line="240" w:lineRule="auto"/>
        <w:rPr>
          <w:rFonts w:ascii="Arial" w:eastAsia="Times New Roman" w:hAnsi="Arial" w:cs="Arial"/>
          <w:sz w:val="24"/>
          <w:szCs w:val="24"/>
        </w:rPr>
      </w:pPr>
      <w:r w:rsidRPr="0072346D">
        <w:rPr>
          <w:rFonts w:ascii="Arial" w:eastAsia="Times New Roman" w:hAnsi="Arial" w:cs="Arial"/>
          <w:sz w:val="24"/>
          <w:szCs w:val="24"/>
        </w:rPr>
        <w:t xml:space="preserve">Title 49 United States Code, Subtitle VII - Aviation Programs encourages the development of civil </w:t>
      </w:r>
      <w:r w:rsidRPr="0072346D" w:rsidR="00B5299A">
        <w:rPr>
          <w:rFonts w:ascii="Arial" w:eastAsia="Times New Roman" w:hAnsi="Arial" w:cs="Arial"/>
          <w:sz w:val="24"/>
          <w:szCs w:val="24"/>
        </w:rPr>
        <w:t>aeronautics and</w:t>
      </w:r>
      <w:r w:rsidRPr="0072346D">
        <w:rPr>
          <w:rFonts w:ascii="Arial" w:eastAsia="Times New Roman" w:hAnsi="Arial" w:cs="Arial"/>
          <w:sz w:val="24"/>
          <w:szCs w:val="24"/>
        </w:rPr>
        <w:t xml:space="preserve"> promotes safety in air commerce.</w:t>
      </w:r>
      <w:r w:rsidRPr="0072346D" w:rsidR="00E525CE">
        <w:rPr>
          <w:rFonts w:ascii="Arial" w:eastAsia="Times New Roman" w:hAnsi="Arial" w:cs="Arial"/>
          <w:sz w:val="24"/>
          <w:szCs w:val="24"/>
        </w:rPr>
        <w:t xml:space="preserve"> </w:t>
      </w:r>
      <w:r w:rsidRPr="0072346D">
        <w:rPr>
          <w:rFonts w:ascii="Arial" w:hAnsi="Arial" w:cs="Arial"/>
          <w:sz w:val="24"/>
          <w:szCs w:val="24"/>
        </w:rPr>
        <w:t xml:space="preserve">Sections 44701 and 40113(a) of the Code empower the Secretary of Transportation, or the Administrator of the Federal Aviation Administration (FAA) to issue the rules and regulations they think necessary to carry out this Act.  The Secretary or Administrator issue regulations and minimum standards governing the:  </w:t>
      </w:r>
    </w:p>
    <w:p w:rsidR="004932D3" w:rsidRPr="0072346D" w:rsidP="00B5299A" w14:paraId="6CB40053" w14:textId="77777777">
      <w:pPr>
        <w:numPr>
          <w:ilvl w:val="0"/>
          <w:numId w:val="8"/>
        </w:numPr>
        <w:spacing w:after="240" w:line="240" w:lineRule="auto"/>
        <w:rPr>
          <w:rFonts w:ascii="Arial" w:eastAsia="Times New Roman" w:hAnsi="Arial" w:cs="Arial"/>
          <w:sz w:val="24"/>
          <w:szCs w:val="24"/>
        </w:rPr>
      </w:pPr>
      <w:r w:rsidRPr="0072346D">
        <w:rPr>
          <w:rFonts w:ascii="Arial" w:eastAsia="Times New Roman" w:hAnsi="Arial" w:cs="Arial"/>
          <w:sz w:val="24"/>
          <w:szCs w:val="24"/>
        </w:rPr>
        <w:t xml:space="preserve"> Inspection, servicing, and overhaul of aircraft, aircraft engines, propellers and </w:t>
      </w:r>
      <w:r w:rsidRPr="0072346D">
        <w:rPr>
          <w:rFonts w:ascii="Arial" w:eastAsia="Times New Roman" w:hAnsi="Arial" w:cs="Arial"/>
          <w:sz w:val="24"/>
          <w:szCs w:val="24"/>
        </w:rPr>
        <w:t>appliances;</w:t>
      </w:r>
      <w:r w:rsidRPr="0072346D">
        <w:rPr>
          <w:rFonts w:ascii="Arial" w:eastAsia="Times New Roman" w:hAnsi="Arial" w:cs="Arial"/>
          <w:sz w:val="24"/>
          <w:szCs w:val="24"/>
        </w:rPr>
        <w:t xml:space="preserve"> </w:t>
      </w:r>
    </w:p>
    <w:p w:rsidR="004932D3" w:rsidRPr="00E525CE" w:rsidP="00B5299A" w14:paraId="507D5E12" w14:textId="3F07D447">
      <w:pPr>
        <w:numPr>
          <w:ilvl w:val="0"/>
          <w:numId w:val="8"/>
        </w:numPr>
        <w:spacing w:after="0" w:line="240" w:lineRule="auto"/>
        <w:rPr>
          <w:rFonts w:ascii="Arial" w:eastAsia="Times New Roman" w:hAnsi="Arial" w:cs="Arial"/>
          <w:sz w:val="24"/>
          <w:szCs w:val="24"/>
        </w:rPr>
      </w:pPr>
      <w:r w:rsidRPr="00E525CE">
        <w:rPr>
          <w:rFonts w:ascii="Arial" w:eastAsia="Times New Roman" w:hAnsi="Arial" w:cs="Arial"/>
          <w:sz w:val="24"/>
          <w:szCs w:val="24"/>
        </w:rPr>
        <w:t xml:space="preserve"> Equipment and facilities for such inspection, </w:t>
      </w:r>
      <w:r w:rsidRPr="00E525CE">
        <w:rPr>
          <w:rFonts w:ascii="Arial" w:eastAsia="Times New Roman" w:hAnsi="Arial" w:cs="Arial"/>
          <w:sz w:val="24"/>
          <w:szCs w:val="24"/>
        </w:rPr>
        <w:t>servicing</w:t>
      </w:r>
      <w:r w:rsidRPr="00E525CE">
        <w:rPr>
          <w:rFonts w:ascii="Arial" w:eastAsia="Times New Roman" w:hAnsi="Arial" w:cs="Arial"/>
          <w:sz w:val="24"/>
          <w:szCs w:val="24"/>
        </w:rPr>
        <w:t xml:space="preserve"> and overhaul.</w:t>
      </w:r>
      <w:r w:rsidRPr="00E525CE" w:rsidR="00B5299A">
        <w:rPr>
          <w:rFonts w:ascii="Arial" w:eastAsia="Times New Roman" w:hAnsi="Arial" w:cs="Arial"/>
          <w:sz w:val="24"/>
          <w:szCs w:val="24"/>
        </w:rPr>
        <w:t xml:space="preserve">  </w:t>
      </w:r>
      <w:r w:rsidRPr="00E525CE">
        <w:rPr>
          <w:rFonts w:ascii="Arial" w:eastAsia="Times New Roman" w:hAnsi="Arial" w:cs="Arial"/>
          <w:sz w:val="24"/>
          <w:szCs w:val="24"/>
        </w:rPr>
        <w:t>This includes examinations and reports by qualified private persons.  The Secretary of Transportation may accept their examinations and reports instead of those made by Department of Transportation (DOT) or FAA officers and employees.</w:t>
      </w:r>
    </w:p>
    <w:p w:rsidR="004932D3" w:rsidRPr="00E525CE" w:rsidP="00B5299A" w14:paraId="748EC45C" w14:textId="77777777">
      <w:pPr>
        <w:spacing w:after="0" w:line="240" w:lineRule="auto"/>
        <w:ind w:left="360"/>
        <w:rPr>
          <w:rFonts w:ascii="Arial" w:eastAsia="Times New Roman" w:hAnsi="Arial" w:cs="Arial"/>
          <w:sz w:val="24"/>
          <w:szCs w:val="24"/>
        </w:rPr>
      </w:pPr>
    </w:p>
    <w:p w:rsidR="004932D3" w:rsidRPr="00E525CE" w:rsidP="00B5299A" w14:paraId="240FE5E0" w14:textId="77777777">
      <w:pPr>
        <w:spacing w:after="0"/>
        <w:rPr>
          <w:rFonts w:ascii="Arial" w:eastAsia="Times New Roman" w:hAnsi="Arial" w:cs="Arial"/>
          <w:sz w:val="24"/>
          <w:szCs w:val="24"/>
        </w:rPr>
      </w:pPr>
      <w:r w:rsidRPr="00E525CE">
        <w:rPr>
          <w:rFonts w:ascii="Arial" w:eastAsia="Times New Roman" w:hAnsi="Arial" w:cs="Arial"/>
          <w:sz w:val="24"/>
          <w:szCs w:val="24"/>
        </w:rPr>
        <w:t>Section 44702 of the Code empowers the Secretary of Transportation or FAA Administrator to issue an airworthiness certificate when the FAA finds that an aircraft conforms to the type certificate and is in condition for safe operation.  An airworthiness directive (AD) amends an airworthiness certificate.</w:t>
      </w:r>
    </w:p>
    <w:p w:rsidR="004932D3" w:rsidRPr="00E525CE" w:rsidP="00B5299A" w14:paraId="10F27DF2" w14:textId="77777777">
      <w:pPr>
        <w:spacing w:after="0"/>
        <w:rPr>
          <w:rFonts w:ascii="Arial" w:eastAsia="Times New Roman" w:hAnsi="Arial" w:cs="Arial"/>
          <w:sz w:val="24"/>
          <w:szCs w:val="24"/>
        </w:rPr>
      </w:pPr>
    </w:p>
    <w:p w:rsidR="004932D3" w:rsidRPr="00E525CE" w:rsidP="00B5299A" w14:paraId="41D66FE6" w14:textId="7B47EA2C">
      <w:pPr>
        <w:spacing w:after="0"/>
        <w:rPr>
          <w:rFonts w:ascii="Arial" w:eastAsia="Times New Roman" w:hAnsi="Arial" w:cs="Arial"/>
          <w:sz w:val="24"/>
          <w:szCs w:val="24"/>
        </w:rPr>
      </w:pPr>
      <w:r w:rsidRPr="00E525CE">
        <w:rPr>
          <w:rFonts w:ascii="Arial" w:eastAsia="Times New Roman" w:hAnsi="Arial" w:cs="Arial"/>
          <w:sz w:val="24"/>
          <w:szCs w:val="24"/>
        </w:rPr>
        <w:t xml:space="preserve">Title 14 CFR part 39, Airworthiness Directives (AD), authorized by §§ 40113(a), 44701, and 44702 of the Code, prescribes how we issue ADs.  One of the FAA’s primary functions is to require </w:t>
      </w:r>
      <w:r w:rsidRPr="00E525CE" w:rsidR="00D87D60">
        <w:rPr>
          <w:rFonts w:ascii="Arial" w:eastAsia="Times New Roman" w:hAnsi="Arial" w:cs="Arial"/>
          <w:sz w:val="24"/>
          <w:szCs w:val="24"/>
        </w:rPr>
        <w:t>resolve</w:t>
      </w:r>
      <w:r w:rsidRPr="00E525CE">
        <w:rPr>
          <w:rFonts w:ascii="Arial" w:eastAsia="Times New Roman" w:hAnsi="Arial" w:cs="Arial"/>
          <w:sz w:val="24"/>
          <w:szCs w:val="24"/>
        </w:rPr>
        <w:t xml:space="preserve"> an unsafe condition discovered in </w:t>
      </w:r>
      <w:r w:rsidRPr="00E525CE" w:rsidR="00D87D60">
        <w:rPr>
          <w:rFonts w:ascii="Arial" w:eastAsia="Times New Roman" w:hAnsi="Arial" w:cs="Arial"/>
          <w:sz w:val="24"/>
          <w:szCs w:val="24"/>
        </w:rPr>
        <w:t>a product</w:t>
      </w:r>
      <w:r w:rsidRPr="00E525CE">
        <w:rPr>
          <w:rFonts w:ascii="Arial" w:eastAsia="Times New Roman" w:hAnsi="Arial" w:cs="Arial"/>
          <w:sz w:val="24"/>
          <w:szCs w:val="24"/>
        </w:rPr>
        <w:t>.  Each aircraft coming off the assembly line must receive an airworthiness certificate indicating that it is safe for civil use.</w:t>
      </w:r>
    </w:p>
    <w:p w:rsidR="004932D3" w:rsidRPr="00E525CE" w:rsidP="004932D3" w14:paraId="5A8FB33A" w14:textId="77777777">
      <w:pPr>
        <w:spacing w:after="0"/>
        <w:rPr>
          <w:rFonts w:ascii="Arial" w:eastAsia="Times New Roman" w:hAnsi="Arial" w:cs="Arial"/>
          <w:sz w:val="24"/>
          <w:szCs w:val="24"/>
        </w:rPr>
      </w:pPr>
    </w:p>
    <w:p w:rsidR="004932D3" w:rsidRPr="00E525CE" w:rsidP="004932D3" w14:paraId="55DBAEC1" w14:textId="7C90EA16">
      <w:pPr>
        <w:spacing w:after="0"/>
        <w:rPr>
          <w:rFonts w:ascii="Arial" w:eastAsia="Times New Roman" w:hAnsi="Arial" w:cs="Arial"/>
          <w:sz w:val="24"/>
          <w:szCs w:val="24"/>
        </w:rPr>
      </w:pPr>
      <w:r w:rsidRPr="00E525CE">
        <w:rPr>
          <w:rFonts w:ascii="Arial" w:eastAsia="Times New Roman" w:hAnsi="Arial" w:cs="Arial"/>
          <w:sz w:val="24"/>
          <w:szCs w:val="24"/>
        </w:rPr>
        <w:t xml:space="preserve">The FAA issues ADs when an unsafe condition is discovered on a specific aircraft type.  If the condition is serious enough and we need more information to develop corrective action, we may require specific information from aircraft owners/operators.   </w:t>
      </w:r>
    </w:p>
    <w:p w:rsidR="004932D3" w:rsidRPr="00E525CE" w:rsidP="004932D3" w14:paraId="67CC1786" w14:textId="77777777">
      <w:pPr>
        <w:spacing w:after="0"/>
        <w:rPr>
          <w:rFonts w:ascii="Arial" w:eastAsia="Times New Roman" w:hAnsi="Arial" w:cs="Arial"/>
          <w:sz w:val="24"/>
          <w:szCs w:val="24"/>
        </w:rPr>
      </w:pPr>
    </w:p>
    <w:p w:rsidR="004932D3" w:rsidRPr="00E525CE" w:rsidP="004932D3" w14:paraId="1BAF61B9" w14:textId="3CB79B91">
      <w:pPr>
        <w:spacing w:after="0"/>
        <w:rPr>
          <w:rFonts w:ascii="Arial" w:eastAsia="Times New Roman" w:hAnsi="Arial" w:cs="Arial"/>
          <w:sz w:val="24"/>
          <w:szCs w:val="24"/>
        </w:rPr>
      </w:pPr>
      <w:r w:rsidRPr="00E525CE">
        <w:rPr>
          <w:rFonts w:ascii="Arial" w:eastAsia="Times New Roman" w:hAnsi="Arial" w:cs="Arial"/>
          <w:sz w:val="24"/>
          <w:szCs w:val="24"/>
        </w:rPr>
        <w:t>We may also require reports to determine the scope of the problem and how adequate the manufacturer's corrective actions are.  Each reporting situation is unique.</w:t>
      </w:r>
    </w:p>
    <w:p w:rsidR="004932D3" w:rsidRPr="00E525CE" w:rsidP="004932D3" w14:paraId="3244BB38" w14:textId="77777777">
      <w:pPr>
        <w:spacing w:after="0"/>
        <w:rPr>
          <w:rFonts w:ascii="Arial" w:eastAsia="Times New Roman" w:hAnsi="Arial" w:cs="Arial"/>
          <w:sz w:val="24"/>
          <w:szCs w:val="24"/>
        </w:rPr>
      </w:pPr>
    </w:p>
    <w:p w:rsidR="001A4EFC" w:rsidRPr="00E525CE" w:rsidP="00C64707" w14:paraId="09139378" w14:textId="0D3F72A2">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sz w:val="24"/>
          <w:szCs w:val="24"/>
        </w:rPr>
        <w:t>This information supports the Department of Transportation’s strategic goal</w:t>
      </w:r>
      <w:r w:rsidRPr="00E525CE" w:rsidR="00B5299A">
        <w:rPr>
          <w:rFonts w:ascii="Arial" w:eastAsia="Times New Roman" w:hAnsi="Arial" w:cs="Arial"/>
          <w:sz w:val="24"/>
          <w:szCs w:val="24"/>
        </w:rPr>
        <w:t xml:space="preserve"> – </w:t>
      </w:r>
      <w:r w:rsidRPr="00E525CE">
        <w:rPr>
          <w:rFonts w:ascii="Arial" w:eastAsia="Times New Roman" w:hAnsi="Arial" w:cs="Arial"/>
          <w:sz w:val="24"/>
          <w:szCs w:val="24"/>
        </w:rPr>
        <w:t>to promote the public health and safety by working toward eliminating transportation-related deaths and injuries.</w:t>
      </w:r>
    </w:p>
    <w:p w:rsidR="00421C6C" w:rsidRPr="00E525CE" w:rsidP="00C64707" w14:paraId="2C62A363" w14:textId="77777777">
      <w:pPr>
        <w:shd w:val="clear" w:color="auto" w:fill="FFFFFF"/>
        <w:spacing w:after="0" w:line="240" w:lineRule="auto"/>
        <w:rPr>
          <w:rFonts w:ascii="Arial" w:eastAsia="Times New Roman" w:hAnsi="Arial" w:cs="Arial"/>
          <w:sz w:val="24"/>
          <w:szCs w:val="24"/>
          <w:highlight w:val="yellow"/>
        </w:rPr>
      </w:pPr>
    </w:p>
    <w:p w:rsidR="001A4EFC" w:rsidRPr="00DF4BFB" w:rsidP="00C64707" w14:paraId="4F0D1BEA" w14:textId="31E6D315">
      <w:pPr>
        <w:shd w:val="clear" w:color="auto" w:fill="FFFFFF"/>
        <w:spacing w:after="0" w:line="240" w:lineRule="auto"/>
        <w:rPr>
          <w:rFonts w:ascii="Arial" w:eastAsia="Times New Roman" w:hAnsi="Arial" w:cs="Arial"/>
          <w:sz w:val="24"/>
          <w:szCs w:val="24"/>
        </w:rPr>
      </w:pPr>
      <w:r w:rsidRPr="00DF4BFB">
        <w:rPr>
          <w:rFonts w:ascii="Arial" w:eastAsia="Times New Roman" w:hAnsi="Arial" w:cs="Arial"/>
          <w:sz w:val="24"/>
          <w:szCs w:val="24"/>
        </w:rPr>
        <w:t xml:space="preserve">The Airworthiness Directive Development (ADD) External Portal automates the process of submitting an AMOC request to the FAA. Instead of submitting a paper </w:t>
      </w:r>
      <w:r w:rsidRPr="00DF4BFB" w:rsidR="003E2023">
        <w:rPr>
          <w:rFonts w:ascii="Arial" w:eastAsia="Times New Roman" w:hAnsi="Arial" w:cs="Arial"/>
          <w:sz w:val="24"/>
          <w:szCs w:val="24"/>
        </w:rPr>
        <w:t xml:space="preserve">request </w:t>
      </w:r>
      <w:r w:rsidRPr="00DF4BFB">
        <w:rPr>
          <w:rFonts w:ascii="Arial" w:eastAsia="Times New Roman" w:hAnsi="Arial" w:cs="Arial"/>
          <w:sz w:val="24"/>
          <w:szCs w:val="24"/>
        </w:rPr>
        <w:t xml:space="preserve">to the FAA, the </w:t>
      </w:r>
      <w:r w:rsidRPr="00DF4BFB" w:rsidR="003E2023">
        <w:rPr>
          <w:rFonts w:ascii="Arial" w:eastAsia="Times New Roman" w:hAnsi="Arial" w:cs="Arial"/>
          <w:sz w:val="24"/>
          <w:szCs w:val="24"/>
        </w:rPr>
        <w:t xml:space="preserve">submitter </w:t>
      </w:r>
      <w:r w:rsidRPr="00DF4BFB">
        <w:rPr>
          <w:rFonts w:ascii="Arial" w:eastAsia="Times New Roman" w:hAnsi="Arial" w:cs="Arial"/>
          <w:sz w:val="24"/>
          <w:szCs w:val="24"/>
        </w:rPr>
        <w:t xml:space="preserve">can complete the AMOC </w:t>
      </w:r>
      <w:r w:rsidRPr="00DF4BFB" w:rsidR="003E2023">
        <w:rPr>
          <w:rFonts w:ascii="Arial" w:eastAsia="Times New Roman" w:hAnsi="Arial" w:cs="Arial"/>
          <w:sz w:val="24"/>
          <w:szCs w:val="24"/>
        </w:rPr>
        <w:t xml:space="preserve">request </w:t>
      </w:r>
      <w:r w:rsidRPr="00DF4BFB">
        <w:rPr>
          <w:rFonts w:ascii="Arial" w:eastAsia="Times New Roman" w:hAnsi="Arial" w:cs="Arial"/>
          <w:sz w:val="24"/>
          <w:szCs w:val="24"/>
        </w:rPr>
        <w:t xml:space="preserve">online by means of the ADD External Portal and </w:t>
      </w:r>
      <w:r w:rsidRPr="00DF4BFB" w:rsidR="00D87D60">
        <w:rPr>
          <w:rFonts w:ascii="Arial" w:eastAsia="Times New Roman" w:hAnsi="Arial" w:cs="Arial"/>
          <w:sz w:val="24"/>
          <w:szCs w:val="24"/>
        </w:rPr>
        <w:t>s</w:t>
      </w:r>
      <w:r w:rsidRPr="00DF4BFB">
        <w:rPr>
          <w:rFonts w:ascii="Arial" w:eastAsia="Times New Roman" w:hAnsi="Arial" w:cs="Arial"/>
          <w:sz w:val="24"/>
          <w:szCs w:val="24"/>
        </w:rPr>
        <w:t xml:space="preserve">ubmit it to the FAA for processing. Once submitted, the </w:t>
      </w:r>
      <w:r w:rsidRPr="00DF4BFB" w:rsidR="003E2023">
        <w:rPr>
          <w:rFonts w:ascii="Arial" w:eastAsia="Times New Roman" w:hAnsi="Arial" w:cs="Arial"/>
          <w:sz w:val="24"/>
          <w:szCs w:val="24"/>
        </w:rPr>
        <w:t xml:space="preserve">request </w:t>
      </w:r>
      <w:r w:rsidRPr="00DF4BFB">
        <w:rPr>
          <w:rFonts w:ascii="Arial" w:eastAsia="Times New Roman" w:hAnsi="Arial" w:cs="Arial"/>
          <w:sz w:val="24"/>
          <w:szCs w:val="24"/>
        </w:rPr>
        <w:t xml:space="preserve">can be accessed and processed using the Airworthiness Directive Development (ADD) software application. The FAA will make an acceptance or denial decision and issue a letter to the applicant within 30 days of receipt of the </w:t>
      </w:r>
      <w:r w:rsidRPr="00DF4BFB" w:rsidR="003E2023">
        <w:rPr>
          <w:rFonts w:ascii="Arial" w:eastAsia="Times New Roman" w:hAnsi="Arial" w:cs="Arial"/>
          <w:sz w:val="24"/>
          <w:szCs w:val="24"/>
        </w:rPr>
        <w:t>completed request</w:t>
      </w:r>
      <w:r w:rsidRPr="00DF4BFB">
        <w:rPr>
          <w:rFonts w:ascii="Arial" w:eastAsia="Times New Roman" w:hAnsi="Arial" w:cs="Arial"/>
          <w:sz w:val="24"/>
          <w:szCs w:val="24"/>
        </w:rPr>
        <w:t>.</w:t>
      </w:r>
    </w:p>
    <w:p w:rsidR="001A4EFC" w:rsidRPr="00DF4BFB" w:rsidP="00C64707" w14:paraId="44F4B820" w14:textId="77777777">
      <w:pPr>
        <w:shd w:val="clear" w:color="auto" w:fill="FFFFFF"/>
        <w:spacing w:after="0" w:line="240" w:lineRule="auto"/>
        <w:rPr>
          <w:rFonts w:ascii="Arial" w:eastAsia="Times New Roman" w:hAnsi="Arial" w:cs="Arial"/>
          <w:sz w:val="24"/>
          <w:szCs w:val="24"/>
        </w:rPr>
      </w:pPr>
    </w:p>
    <w:p w:rsidR="001A4EFC" w:rsidRPr="00DF4BFB" w:rsidP="00C64707" w14:paraId="7B486E7A" w14:textId="54696B2A">
      <w:pPr>
        <w:shd w:val="clear" w:color="auto" w:fill="FFFFFF"/>
        <w:spacing w:after="0" w:line="240" w:lineRule="auto"/>
        <w:rPr>
          <w:rFonts w:ascii="Arial" w:eastAsia="Times New Roman" w:hAnsi="Arial" w:cs="Arial"/>
          <w:sz w:val="24"/>
          <w:szCs w:val="24"/>
        </w:rPr>
      </w:pPr>
      <w:r w:rsidRPr="00DF4BFB">
        <w:rPr>
          <w:rFonts w:ascii="Arial" w:eastAsia="Times New Roman" w:hAnsi="Arial" w:cs="Arial"/>
          <w:sz w:val="24"/>
          <w:szCs w:val="24"/>
        </w:rPr>
        <w:t xml:space="preserve">In addition to this AMOC </w:t>
      </w:r>
      <w:r w:rsidRPr="00DF4BFB" w:rsidR="003E2023">
        <w:rPr>
          <w:rFonts w:ascii="Arial" w:eastAsia="Times New Roman" w:hAnsi="Arial" w:cs="Arial"/>
          <w:sz w:val="24"/>
          <w:szCs w:val="24"/>
        </w:rPr>
        <w:t xml:space="preserve">request </w:t>
      </w:r>
      <w:r w:rsidRPr="00DF4BFB">
        <w:rPr>
          <w:rFonts w:ascii="Arial" w:eastAsia="Times New Roman" w:hAnsi="Arial" w:cs="Arial"/>
          <w:sz w:val="24"/>
          <w:szCs w:val="24"/>
        </w:rPr>
        <w:t xml:space="preserve">and </w:t>
      </w:r>
      <w:r w:rsidRPr="00DF4BFB" w:rsidR="00F95955">
        <w:rPr>
          <w:rFonts w:ascii="Arial" w:eastAsia="Times New Roman" w:hAnsi="Arial" w:cs="Arial"/>
          <w:sz w:val="24"/>
          <w:szCs w:val="24"/>
        </w:rPr>
        <w:t>submission</w:t>
      </w:r>
      <w:r w:rsidRPr="00DF4BFB">
        <w:rPr>
          <w:rFonts w:ascii="Arial" w:eastAsia="Times New Roman" w:hAnsi="Arial" w:cs="Arial"/>
          <w:sz w:val="24"/>
          <w:szCs w:val="24"/>
        </w:rPr>
        <w:t xml:space="preserve"> process, the ADD External Portal allows users to search for </w:t>
      </w:r>
      <w:r w:rsidRPr="00DF4BFB" w:rsidR="003E2023">
        <w:rPr>
          <w:rFonts w:ascii="Arial" w:eastAsia="Times New Roman" w:hAnsi="Arial" w:cs="Arial"/>
          <w:sz w:val="24"/>
          <w:szCs w:val="24"/>
        </w:rPr>
        <w:t xml:space="preserve">information regarding </w:t>
      </w:r>
      <w:r w:rsidRPr="00DF4BFB">
        <w:rPr>
          <w:rFonts w:ascii="Arial" w:eastAsia="Times New Roman" w:hAnsi="Arial" w:cs="Arial"/>
          <w:sz w:val="24"/>
          <w:szCs w:val="24"/>
        </w:rPr>
        <w:t xml:space="preserve">existing AMOCs that have been </w:t>
      </w:r>
      <w:r w:rsidRPr="00DF4BFB" w:rsidR="003E2023">
        <w:rPr>
          <w:rFonts w:ascii="Arial" w:eastAsia="Times New Roman" w:hAnsi="Arial" w:cs="Arial"/>
          <w:sz w:val="24"/>
          <w:szCs w:val="24"/>
        </w:rPr>
        <w:t xml:space="preserve">approved </w:t>
      </w:r>
      <w:r w:rsidRPr="00DF4BFB">
        <w:rPr>
          <w:rFonts w:ascii="Arial" w:eastAsia="Times New Roman" w:hAnsi="Arial" w:cs="Arial"/>
          <w:sz w:val="24"/>
          <w:szCs w:val="24"/>
        </w:rPr>
        <w:t>by the FAA and for Airworthiness Directives that have associated AMOCs.</w:t>
      </w:r>
    </w:p>
    <w:p w:rsidR="001A4EFC" w:rsidRPr="00DF4BFB" w:rsidP="00C64707" w14:paraId="24C329C5" w14:textId="77777777">
      <w:pPr>
        <w:shd w:val="clear" w:color="auto" w:fill="FFFFFF"/>
        <w:spacing w:after="0" w:line="240" w:lineRule="auto"/>
        <w:rPr>
          <w:rFonts w:ascii="Arial" w:eastAsia="Times New Roman" w:hAnsi="Arial" w:cs="Arial"/>
          <w:sz w:val="24"/>
          <w:szCs w:val="24"/>
        </w:rPr>
      </w:pPr>
    </w:p>
    <w:p w:rsidR="001A4EFC" w:rsidRPr="00DF4BFB" w:rsidP="0032567E" w14:paraId="6E263052" w14:textId="010E2763">
      <w:pPr>
        <w:pStyle w:val="para"/>
        <w:rPr>
          <w:rFonts w:ascii="Arial" w:hAnsi="Arial" w:cs="Arial"/>
          <w:sz w:val="24"/>
          <w:szCs w:val="24"/>
        </w:rPr>
      </w:pPr>
      <w:r w:rsidRPr="00DF4BFB">
        <w:rPr>
          <w:rFonts w:ascii="Arial" w:hAnsi="Arial" w:cs="Arial"/>
          <w:sz w:val="24"/>
          <w:szCs w:val="24"/>
        </w:rPr>
        <w:t xml:space="preserve">Alternative Methods of Compliance (AMOC) are submitted to the FAA by the </w:t>
      </w:r>
      <w:r w:rsidRPr="00DF4BFB">
        <w:rPr>
          <w:rFonts w:ascii="Arial" w:hAnsi="Arial" w:cs="Arial"/>
          <w:sz w:val="24"/>
          <w:szCs w:val="24"/>
        </w:rPr>
        <w:t>general public</w:t>
      </w:r>
      <w:r w:rsidRPr="00DF4BFB">
        <w:rPr>
          <w:rFonts w:ascii="Arial" w:hAnsi="Arial" w:cs="Arial"/>
          <w:sz w:val="24"/>
          <w:szCs w:val="24"/>
        </w:rPr>
        <w:t>. While anyone may submit an AMOC there is no standard form to use. From Order 8110.103B Alternative Methods of Compliance (AMOC), Section 3</w:t>
      </w:r>
      <w:r w:rsidRPr="00DF4BFB" w:rsidR="00FE5BC0">
        <w:rPr>
          <w:rFonts w:ascii="Arial" w:hAnsi="Arial" w:cs="Arial"/>
          <w:sz w:val="24"/>
          <w:szCs w:val="24"/>
        </w:rPr>
        <w:t>-</w:t>
      </w:r>
      <w:r w:rsidRPr="00DF4BFB">
        <w:rPr>
          <w:rFonts w:ascii="Arial" w:hAnsi="Arial" w:cs="Arial"/>
          <w:sz w:val="24"/>
          <w:szCs w:val="24"/>
        </w:rPr>
        <w:t>2:</w:t>
      </w:r>
    </w:p>
    <w:p w:rsidR="001A4EFC" w:rsidRPr="00DF4BFB" w:rsidP="00397418" w14:paraId="4A18BE1D" w14:textId="6FD8F01C">
      <w:pPr>
        <w:pStyle w:val="para"/>
        <w:rPr>
          <w:rFonts w:ascii="Arial" w:hAnsi="Arial" w:cs="Arial"/>
        </w:rPr>
      </w:pPr>
    </w:p>
    <w:p w:rsidR="001A4EFC" w:rsidRPr="00DF4BFB" w:rsidP="00A51AE6" w14:paraId="32422FFC" w14:textId="10917E53">
      <w:pPr>
        <w:pStyle w:val="para"/>
        <w:ind w:left="720"/>
        <w:rPr>
          <w:rFonts w:ascii="Arial" w:hAnsi="Arial" w:cs="Arial"/>
          <w:sz w:val="24"/>
          <w:szCs w:val="24"/>
        </w:rPr>
      </w:pPr>
      <w:r w:rsidRPr="00DF4BFB">
        <w:rPr>
          <w:rFonts w:ascii="Arial" w:hAnsi="Arial" w:cs="Arial"/>
          <w:b/>
          <w:bCs/>
          <w:sz w:val="24"/>
          <w:szCs w:val="24"/>
        </w:rPr>
        <w:t>3-2. AMOC Proposal</w:t>
      </w:r>
      <w:r w:rsidRPr="00DF4BFB" w:rsidR="00A51AE6">
        <w:rPr>
          <w:rFonts w:ascii="Arial" w:hAnsi="Arial" w:cs="Arial"/>
          <w:b/>
          <w:bCs/>
          <w:sz w:val="24"/>
          <w:szCs w:val="24"/>
        </w:rPr>
        <w:t>.</w:t>
      </w:r>
      <w:r w:rsidRPr="00DF4BFB">
        <w:rPr>
          <w:rFonts w:ascii="Arial" w:hAnsi="Arial" w:cs="Arial"/>
          <w:b/>
          <w:bCs/>
          <w:sz w:val="24"/>
          <w:szCs w:val="24"/>
        </w:rPr>
        <w:t xml:space="preserve"> </w:t>
      </w:r>
      <w:r w:rsidRPr="00DF4BFB">
        <w:rPr>
          <w:rFonts w:ascii="Arial" w:hAnsi="Arial" w:cs="Arial"/>
          <w:sz w:val="24"/>
          <w:szCs w:val="24"/>
        </w:rPr>
        <w:t xml:space="preserve">14 CFR 39.19 states in part that “anyone may propose to FAA an alternative method of compliance or a change in the compliance time, if the proposal provides an acceptable level of safety.” </w:t>
      </w:r>
    </w:p>
    <w:p w:rsidR="001A4EFC" w:rsidRPr="00DF4BFB" w:rsidP="00A51AE6" w14:paraId="30379B08" w14:textId="77777777">
      <w:pPr>
        <w:pStyle w:val="para"/>
        <w:ind w:left="720"/>
        <w:rPr>
          <w:rFonts w:ascii="Arial" w:hAnsi="Arial" w:cs="Arial"/>
          <w:sz w:val="24"/>
          <w:szCs w:val="24"/>
        </w:rPr>
      </w:pPr>
      <w:r w:rsidRPr="00DF4BFB">
        <w:rPr>
          <w:rFonts w:ascii="Arial" w:hAnsi="Arial" w:cs="Arial"/>
          <w:b/>
          <w:bCs/>
          <w:sz w:val="24"/>
          <w:szCs w:val="24"/>
        </w:rPr>
        <w:t xml:space="preserve">a. </w:t>
      </w:r>
      <w:r w:rsidRPr="00DF4BFB">
        <w:rPr>
          <w:rFonts w:ascii="Arial" w:hAnsi="Arial" w:cs="Arial"/>
          <w:sz w:val="24"/>
          <w:szCs w:val="24"/>
        </w:rPr>
        <w:t>Although a letter is preferred, AMOC proposals may be submitted by other means, such as email, fax, or telephone. AMOC proposals received by telephone must be documented.</w:t>
      </w:r>
    </w:p>
    <w:p w:rsidR="001A4EFC" w:rsidRPr="00DF4BFB" w:rsidP="0032567E" w14:paraId="60435C7E" w14:textId="051A735B">
      <w:pPr>
        <w:pStyle w:val="para"/>
        <w:rPr>
          <w:rFonts w:ascii="Arial" w:hAnsi="Arial" w:cs="Arial"/>
          <w:sz w:val="24"/>
          <w:szCs w:val="24"/>
        </w:rPr>
      </w:pPr>
    </w:p>
    <w:p w:rsidR="001A4EFC" w:rsidRPr="00DF4BFB" w:rsidP="0032567E" w14:paraId="13403EC5" w14:textId="667BB2C4">
      <w:pPr>
        <w:pStyle w:val="para"/>
        <w:rPr>
          <w:rFonts w:ascii="Arial" w:hAnsi="Arial" w:cs="Arial"/>
          <w:sz w:val="24"/>
          <w:szCs w:val="24"/>
        </w:rPr>
      </w:pPr>
      <w:r w:rsidRPr="00DF4BFB">
        <w:rPr>
          <w:rFonts w:ascii="Arial" w:hAnsi="Arial" w:cs="Arial"/>
          <w:sz w:val="24"/>
          <w:szCs w:val="24"/>
        </w:rPr>
        <w:t>An AMOC Response Letter is written by an internal FAA user and sent to the AMOC Requester. The template may be generated from the ADD Dashboard and follows the latest Order. There is not an FAA or OMB number on this template.</w:t>
      </w:r>
    </w:p>
    <w:p w:rsidR="001A4EFC" w:rsidRPr="00DF4BFB" w:rsidP="0032567E" w14:paraId="22B4BBBF" w14:textId="77777777">
      <w:pPr>
        <w:pStyle w:val="para"/>
        <w:rPr>
          <w:rFonts w:ascii="Arial" w:hAnsi="Arial" w:cs="Arial"/>
          <w:sz w:val="24"/>
          <w:szCs w:val="24"/>
        </w:rPr>
      </w:pPr>
    </w:p>
    <w:p w:rsidR="001A4EFC" w:rsidRPr="00DF4BFB" w:rsidP="0032567E" w14:paraId="0A93605D" w14:textId="1516ECAF">
      <w:pPr>
        <w:pStyle w:val="para"/>
      </w:pPr>
      <w:r w:rsidRPr="00DF4BFB">
        <w:rPr>
          <w:rFonts w:ascii="Arial" w:hAnsi="Arial" w:cs="Arial"/>
          <w:sz w:val="24"/>
          <w:szCs w:val="24"/>
        </w:rPr>
        <w:t>A member of the public may submit an AMOC request to the FAA by using the AMOC external website.  Registration is not needed to use this website. External users must consent to the “Terms of Use” statement before proceeding to the AMOC proposal</w:t>
      </w:r>
      <w:r w:rsidRPr="00DF4BFB">
        <w:t xml:space="preserve"> </w:t>
      </w:r>
      <w:r w:rsidRPr="00DF4BFB">
        <w:rPr>
          <w:rFonts w:ascii="Arial" w:hAnsi="Arial" w:cs="Arial"/>
          <w:sz w:val="24"/>
          <w:szCs w:val="24"/>
        </w:rPr>
        <w:t>webpage. An AMOC is required if an owner/operator of aircraft cannot comply with an AD or finds a different method to comply with the actions specified in an AD, as mandated by</w:t>
      </w:r>
      <w:r w:rsidRPr="00DF4BFB" w:rsidR="0032567E">
        <w:rPr>
          <w:rFonts w:ascii="Arial" w:hAnsi="Arial" w:cs="Arial"/>
          <w:sz w:val="24"/>
          <w:szCs w:val="24"/>
        </w:rPr>
        <w:t xml:space="preserve"> title </w:t>
      </w:r>
      <w:r w:rsidRPr="00DF4BFB" w:rsidR="0032567E">
        <w:rPr>
          <w:rStyle w:val="Hyperlink"/>
          <w:rFonts w:ascii="Arial" w:hAnsi="Arial" w:cs="Arial"/>
          <w:color w:val="auto"/>
          <w:sz w:val="24"/>
          <w:szCs w:val="24"/>
          <w:u w:val="none"/>
        </w:rPr>
        <w:t>14 CFR Part 39</w:t>
      </w:r>
      <w:r w:rsidRPr="00DF4BFB">
        <w:rPr>
          <w:rFonts w:ascii="Arial" w:hAnsi="Arial" w:cs="Arial"/>
          <w:sz w:val="24"/>
          <w:szCs w:val="24"/>
        </w:rPr>
        <w:t>.</w:t>
      </w:r>
      <w:r w:rsidRPr="00DF4BFB">
        <w:t xml:space="preserve"> </w:t>
      </w:r>
    </w:p>
    <w:p w:rsidR="00C64707" w:rsidRPr="00E525CE" w:rsidP="00C64707" w14:paraId="21E8C5E5" w14:textId="77777777">
      <w:pPr>
        <w:shd w:val="clear" w:color="auto" w:fill="FFFFFF"/>
        <w:spacing w:after="0" w:line="240" w:lineRule="auto"/>
        <w:rPr>
          <w:rFonts w:ascii="Arial" w:eastAsia="Times New Roman" w:hAnsi="Arial" w:cs="Arial"/>
          <w:sz w:val="24"/>
          <w:szCs w:val="24"/>
          <w:highlight w:val="yellow"/>
        </w:rPr>
      </w:pPr>
      <w:r w:rsidRPr="00DF4BFB">
        <w:rPr>
          <w:rFonts w:ascii="Arial" w:eastAsia="Times New Roman" w:hAnsi="Arial" w:cs="Arial"/>
          <w:sz w:val="24"/>
          <w:szCs w:val="24"/>
        </w:rPr>
        <w:br/>
      </w:r>
    </w:p>
    <w:p w:rsidR="001F0724" w:rsidRPr="0024134E" w:rsidP="00E73329" w14:paraId="16F930F9" w14:textId="7796B481">
      <w:pPr>
        <w:shd w:val="clear" w:color="auto" w:fill="FFFFFF"/>
        <w:spacing w:after="0" w:line="240" w:lineRule="auto"/>
        <w:rPr>
          <w:rFonts w:ascii="Arial" w:eastAsia="Times New Roman" w:hAnsi="Arial" w:cs="Arial"/>
          <w:sz w:val="24"/>
          <w:szCs w:val="24"/>
        </w:rPr>
      </w:pPr>
      <w:r w:rsidRPr="00DF4BFB">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F95955" w:rsidRPr="00E525CE" w:rsidP="004932D3" w14:paraId="0CED697B" w14:textId="77777777">
      <w:pPr>
        <w:shd w:val="clear" w:color="auto" w:fill="FFFFFF"/>
        <w:spacing w:after="0" w:line="240" w:lineRule="auto"/>
        <w:rPr>
          <w:rFonts w:ascii="Arial" w:eastAsia="Times New Roman" w:hAnsi="Arial" w:cs="Arial"/>
          <w:sz w:val="24"/>
          <w:szCs w:val="24"/>
          <w:highlight w:val="yellow"/>
        </w:rPr>
      </w:pPr>
    </w:p>
    <w:p w:rsidR="004932D3" w:rsidRPr="00302A4F" w:rsidP="004932D3" w14:paraId="70D87DBF" w14:textId="1991E43B">
      <w:pPr>
        <w:shd w:val="clear" w:color="auto" w:fill="FFFFFF"/>
        <w:spacing w:after="0" w:line="240" w:lineRule="auto"/>
        <w:rPr>
          <w:rFonts w:ascii="Arial" w:eastAsia="Times New Roman" w:hAnsi="Arial" w:cs="Arial"/>
          <w:sz w:val="24"/>
          <w:szCs w:val="24"/>
        </w:rPr>
      </w:pPr>
      <w:r w:rsidRPr="00302A4F">
        <w:rPr>
          <w:rFonts w:ascii="Arial" w:eastAsia="Times New Roman" w:hAnsi="Arial" w:cs="Arial"/>
          <w:sz w:val="24"/>
          <w:szCs w:val="24"/>
        </w:rPr>
        <w:t xml:space="preserve">The Administrator uses ADs to notify aircraft owners and operators that an unsafe condition exists.  ADs prescribe the conditions, limitations, or both, under which the product may continue to be operated. </w:t>
      </w:r>
    </w:p>
    <w:p w:rsidR="004932D3" w:rsidRPr="00302A4F" w:rsidP="004932D3" w14:paraId="3C5CF88E" w14:textId="77777777">
      <w:pPr>
        <w:shd w:val="clear" w:color="auto" w:fill="FFFFFF"/>
        <w:spacing w:after="0" w:line="240" w:lineRule="auto"/>
        <w:rPr>
          <w:rFonts w:ascii="Arial" w:eastAsia="Times New Roman" w:hAnsi="Arial" w:cs="Arial"/>
          <w:sz w:val="24"/>
          <w:szCs w:val="24"/>
        </w:rPr>
      </w:pPr>
    </w:p>
    <w:p w:rsidR="004932D3" w:rsidRPr="00302A4F" w:rsidP="004932D3" w14:paraId="07A4BD0D" w14:textId="60C8FFA6">
      <w:pPr>
        <w:shd w:val="clear" w:color="auto" w:fill="FFFFFF"/>
        <w:spacing w:after="0" w:line="240" w:lineRule="auto"/>
        <w:rPr>
          <w:rFonts w:ascii="Arial" w:eastAsia="Times New Roman" w:hAnsi="Arial" w:cs="Arial"/>
          <w:sz w:val="24"/>
          <w:szCs w:val="24"/>
        </w:rPr>
      </w:pPr>
      <w:r w:rsidRPr="00302A4F">
        <w:rPr>
          <w:rFonts w:ascii="Arial" w:eastAsia="Times New Roman" w:hAnsi="Arial" w:cs="Arial"/>
          <w:sz w:val="24"/>
          <w:szCs w:val="24"/>
        </w:rPr>
        <w:t>Occasionally, a</w:t>
      </w:r>
      <w:r w:rsidRPr="00302A4F">
        <w:rPr>
          <w:rFonts w:ascii="Arial" w:eastAsia="Times New Roman" w:hAnsi="Arial" w:cs="Arial"/>
          <w:sz w:val="24"/>
          <w:szCs w:val="24"/>
        </w:rPr>
        <w:t xml:space="preserve">ircraft owners and operators are mandated to report information concerning their aircraft </w:t>
      </w:r>
      <w:r w:rsidRPr="00302A4F">
        <w:rPr>
          <w:rFonts w:ascii="Arial" w:eastAsia="Times New Roman" w:hAnsi="Arial" w:cs="Arial"/>
          <w:sz w:val="24"/>
          <w:szCs w:val="24"/>
        </w:rPr>
        <w:t>regarding an unsafe condition</w:t>
      </w:r>
      <w:r w:rsidRPr="00302A4F">
        <w:rPr>
          <w:rFonts w:ascii="Arial" w:eastAsia="Times New Roman" w:hAnsi="Arial" w:cs="Arial"/>
          <w:sz w:val="24"/>
          <w:szCs w:val="24"/>
        </w:rPr>
        <w:t>.</w:t>
      </w:r>
      <w:r w:rsidRPr="00302A4F" w:rsidR="00564F8E">
        <w:rPr>
          <w:rFonts w:ascii="Arial" w:eastAsia="Times New Roman" w:hAnsi="Arial" w:cs="Arial"/>
          <w:sz w:val="24"/>
          <w:szCs w:val="24"/>
        </w:rPr>
        <w:t xml:space="preserve"> </w:t>
      </w:r>
      <w:r w:rsidRPr="00302A4F">
        <w:rPr>
          <w:rFonts w:ascii="Arial" w:eastAsia="Times New Roman" w:hAnsi="Arial" w:cs="Arial"/>
          <w:sz w:val="24"/>
          <w:szCs w:val="24"/>
        </w:rPr>
        <w:t xml:space="preserve">The Aircraft Certification Office (ACO) initiating the AD analyzes the reports and determines if the AD’s corrective action will </w:t>
      </w:r>
      <w:r w:rsidRPr="00302A4F">
        <w:rPr>
          <w:rFonts w:ascii="Arial" w:eastAsia="Times New Roman" w:hAnsi="Arial" w:cs="Arial"/>
          <w:sz w:val="24"/>
          <w:szCs w:val="24"/>
        </w:rPr>
        <w:t>resolve</w:t>
      </w:r>
      <w:r w:rsidRPr="00302A4F">
        <w:rPr>
          <w:rFonts w:ascii="Arial" w:eastAsia="Times New Roman" w:hAnsi="Arial" w:cs="Arial"/>
          <w:sz w:val="24"/>
          <w:szCs w:val="24"/>
        </w:rPr>
        <w:t xml:space="preserve"> the unsafe condition.  If not, the ACO issues a new AD to correct the unsafe condition.</w:t>
      </w:r>
    </w:p>
    <w:p w:rsidR="004932D3" w:rsidRPr="00302A4F" w:rsidP="004932D3" w14:paraId="55F55A36" w14:textId="77777777">
      <w:pPr>
        <w:shd w:val="clear" w:color="auto" w:fill="FFFFFF"/>
        <w:spacing w:after="0" w:line="240" w:lineRule="auto"/>
        <w:rPr>
          <w:rFonts w:ascii="Arial" w:eastAsia="Times New Roman" w:hAnsi="Arial" w:cs="Arial"/>
          <w:sz w:val="24"/>
          <w:szCs w:val="24"/>
        </w:rPr>
      </w:pPr>
    </w:p>
    <w:p w:rsidR="004932D3" w:rsidRPr="00302A4F" w:rsidP="004932D3" w14:paraId="4092B630" w14:textId="77777777">
      <w:pPr>
        <w:shd w:val="clear" w:color="auto" w:fill="FFFFFF"/>
        <w:spacing w:after="0" w:line="240" w:lineRule="auto"/>
        <w:rPr>
          <w:rFonts w:ascii="Arial" w:eastAsia="Times New Roman" w:hAnsi="Arial" w:cs="Arial"/>
          <w:sz w:val="24"/>
          <w:szCs w:val="24"/>
        </w:rPr>
      </w:pPr>
      <w:r w:rsidRPr="00302A4F">
        <w:rPr>
          <w:rFonts w:ascii="Arial" w:eastAsia="Times New Roman" w:hAnsi="Arial" w:cs="Arial"/>
          <w:sz w:val="24"/>
          <w:szCs w:val="24"/>
        </w:rPr>
        <w:t>To date, we have no other method for collecting this information.  If we do not collect it by issuing an AD, we must conduct a directed safety investigation.  This is a burden on both the FAA and the owner/operator.</w:t>
      </w:r>
      <w:r w:rsidRPr="00302A4F">
        <w:rPr>
          <w:rFonts w:ascii="Arial" w:eastAsia="Times New Roman" w:hAnsi="Arial" w:cs="Arial"/>
          <w:sz w:val="24"/>
          <w:szCs w:val="24"/>
        </w:rPr>
        <w:br/>
      </w:r>
    </w:p>
    <w:p w:rsidR="004932D3" w:rsidRPr="00302A4F" w:rsidP="004932D3" w14:paraId="576430D8" w14:textId="588C9C11">
      <w:pPr>
        <w:shd w:val="clear" w:color="auto" w:fill="FFFFFF"/>
        <w:spacing w:after="0" w:line="240" w:lineRule="auto"/>
        <w:rPr>
          <w:rFonts w:ascii="Arial" w:eastAsia="Times New Roman" w:hAnsi="Arial" w:cs="Arial"/>
          <w:sz w:val="24"/>
          <w:szCs w:val="24"/>
        </w:rPr>
      </w:pPr>
      <w:r w:rsidRPr="00302A4F">
        <w:rPr>
          <w:rFonts w:ascii="Arial" w:eastAsia="Times New Roman" w:hAnsi="Arial" w:cs="Arial"/>
          <w:sz w:val="24"/>
          <w:szCs w:val="24"/>
        </w:rPr>
        <w:t>It is anticipated that the information collected will be used to support publicly disseminated information. FAA ACO will retain control over the information and safeguard it from improper access, modification, and destruction, consistent with FAA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w:t>
      </w:r>
    </w:p>
    <w:p w:rsidR="00915972" w:rsidRPr="00302A4F" w:rsidP="004932D3" w14:paraId="254C1B88" w14:textId="73C904B3">
      <w:pPr>
        <w:shd w:val="clear" w:color="auto" w:fill="FFFFFF"/>
        <w:spacing w:after="0" w:line="240" w:lineRule="auto"/>
        <w:rPr>
          <w:rFonts w:ascii="Arial" w:eastAsia="Times New Roman" w:hAnsi="Arial" w:cs="Arial"/>
          <w:sz w:val="24"/>
          <w:szCs w:val="24"/>
        </w:rPr>
      </w:pPr>
    </w:p>
    <w:p w:rsidR="00915972" w:rsidRPr="00302A4F" w:rsidP="004932D3" w14:paraId="01C62E22" w14:textId="15E16049">
      <w:pPr>
        <w:shd w:val="clear" w:color="auto" w:fill="FFFFFF"/>
        <w:spacing w:after="0" w:line="240" w:lineRule="auto"/>
        <w:rPr>
          <w:rFonts w:ascii="Arial" w:eastAsia="Times New Roman" w:hAnsi="Arial" w:cs="Arial"/>
          <w:sz w:val="24"/>
          <w:szCs w:val="24"/>
        </w:rPr>
      </w:pPr>
      <w:r w:rsidRPr="00302A4F">
        <w:rPr>
          <w:rFonts w:ascii="Arial" w:eastAsia="Times New Roman" w:hAnsi="Arial" w:cs="Arial"/>
          <w:sz w:val="24"/>
          <w:szCs w:val="24"/>
        </w:rPr>
        <w:t xml:space="preserve">A member of the public may submit an AMOC request to the FAA by using the ADD </w:t>
      </w:r>
      <w:r w:rsidRPr="00302A4F" w:rsidR="009874B9">
        <w:rPr>
          <w:rFonts w:ascii="Arial" w:eastAsia="Times New Roman" w:hAnsi="Arial" w:cs="Arial"/>
          <w:sz w:val="24"/>
          <w:szCs w:val="24"/>
        </w:rPr>
        <w:t xml:space="preserve">External AMOC website. Registration is not needed to use this website. </w:t>
      </w:r>
      <w:r w:rsidRPr="00302A4F" w:rsidR="00674B12">
        <w:rPr>
          <w:rFonts w:ascii="Arial" w:eastAsia="Times New Roman" w:hAnsi="Arial" w:cs="Arial"/>
          <w:sz w:val="24"/>
          <w:szCs w:val="24"/>
        </w:rPr>
        <w:t xml:space="preserve">However, when the public user </w:t>
      </w:r>
      <w:r w:rsidRPr="00302A4F" w:rsidR="00302A4F">
        <w:rPr>
          <w:rFonts w:ascii="Arial" w:eastAsia="Times New Roman" w:hAnsi="Arial" w:cs="Arial"/>
          <w:sz w:val="24"/>
          <w:szCs w:val="24"/>
        </w:rPr>
        <w:t>accesses</w:t>
      </w:r>
      <w:r w:rsidRPr="00302A4F" w:rsidR="00674B12">
        <w:rPr>
          <w:rFonts w:ascii="Arial" w:eastAsia="Times New Roman" w:hAnsi="Arial" w:cs="Arial"/>
          <w:sz w:val="24"/>
          <w:szCs w:val="24"/>
        </w:rPr>
        <w:t xml:space="preserve"> the ADD External AMOC website, the following information will be collected on the AMOC Requester Information page.</w:t>
      </w:r>
    </w:p>
    <w:p w:rsidR="004932D3" w:rsidRPr="00302A4F" w:rsidP="00015997" w14:paraId="39B2AD67" w14:textId="77777777">
      <w:pPr>
        <w:rPr>
          <w:rFonts w:ascii="Arial" w:hAnsi="Arial" w:cs="Arial"/>
          <w:sz w:val="24"/>
          <w:szCs w:val="24"/>
        </w:rPr>
      </w:pPr>
    </w:p>
    <w:p w:rsidR="00015997" w:rsidRPr="00302A4F" w:rsidP="00015997" w14:paraId="72022677" w14:textId="77777777">
      <w:pPr>
        <w:pStyle w:val="ListParagraph"/>
        <w:numPr>
          <w:ilvl w:val="0"/>
          <w:numId w:val="4"/>
        </w:numPr>
        <w:spacing w:before="0" w:after="0"/>
        <w:ind w:left="720"/>
        <w:rPr>
          <w:rFonts w:ascii="Arial" w:hAnsi="Arial" w:cs="Arial"/>
          <w:sz w:val="24"/>
          <w:szCs w:val="24"/>
        </w:rPr>
      </w:pPr>
      <w:r w:rsidRPr="00302A4F">
        <w:rPr>
          <w:rFonts w:ascii="Arial" w:hAnsi="Arial" w:cs="Arial"/>
          <w:sz w:val="24"/>
          <w:szCs w:val="24"/>
        </w:rPr>
        <w:t>Company Name</w:t>
      </w:r>
    </w:p>
    <w:p w:rsidR="00015997" w:rsidRPr="00302A4F" w:rsidP="00015997" w14:paraId="578A8AEE" w14:textId="77777777">
      <w:pPr>
        <w:pStyle w:val="ListParagraph"/>
        <w:numPr>
          <w:ilvl w:val="0"/>
          <w:numId w:val="4"/>
        </w:numPr>
        <w:spacing w:before="0" w:after="0"/>
        <w:ind w:left="720"/>
        <w:rPr>
          <w:rFonts w:ascii="Arial" w:hAnsi="Arial" w:cs="Arial"/>
          <w:sz w:val="24"/>
          <w:szCs w:val="24"/>
        </w:rPr>
      </w:pPr>
      <w:r w:rsidRPr="00302A4F">
        <w:rPr>
          <w:rFonts w:ascii="Arial" w:hAnsi="Arial" w:cs="Arial"/>
          <w:sz w:val="24"/>
          <w:szCs w:val="24"/>
        </w:rPr>
        <w:t>First Name</w:t>
      </w:r>
    </w:p>
    <w:p w:rsidR="00015997" w:rsidRPr="00302A4F" w:rsidP="00015997" w14:paraId="7900B548" w14:textId="77777777">
      <w:pPr>
        <w:pStyle w:val="ListParagraph"/>
        <w:numPr>
          <w:ilvl w:val="0"/>
          <w:numId w:val="4"/>
        </w:numPr>
        <w:spacing w:before="0" w:after="0"/>
        <w:ind w:left="720"/>
        <w:rPr>
          <w:rFonts w:ascii="Arial" w:hAnsi="Arial" w:cs="Arial"/>
          <w:sz w:val="24"/>
          <w:szCs w:val="24"/>
        </w:rPr>
      </w:pPr>
      <w:r w:rsidRPr="00302A4F">
        <w:rPr>
          <w:rFonts w:ascii="Arial" w:hAnsi="Arial" w:cs="Arial"/>
          <w:sz w:val="24"/>
          <w:szCs w:val="24"/>
        </w:rPr>
        <w:t>Last Name</w:t>
      </w:r>
    </w:p>
    <w:p w:rsidR="00015997" w:rsidRPr="00302A4F" w:rsidP="00015997" w14:paraId="2B378FC8" w14:textId="77777777">
      <w:pPr>
        <w:pStyle w:val="ListParagraph"/>
        <w:numPr>
          <w:ilvl w:val="0"/>
          <w:numId w:val="4"/>
        </w:numPr>
        <w:spacing w:before="0" w:after="0"/>
        <w:ind w:left="720"/>
        <w:rPr>
          <w:rFonts w:ascii="Arial" w:hAnsi="Arial" w:cs="Arial"/>
          <w:sz w:val="24"/>
          <w:szCs w:val="24"/>
        </w:rPr>
      </w:pPr>
      <w:r w:rsidRPr="00302A4F">
        <w:rPr>
          <w:rFonts w:ascii="Arial" w:hAnsi="Arial" w:cs="Arial"/>
          <w:sz w:val="24"/>
          <w:szCs w:val="24"/>
        </w:rPr>
        <w:t>Address1</w:t>
      </w:r>
    </w:p>
    <w:p w:rsidR="00015997" w:rsidRPr="00302A4F" w:rsidP="00015997" w14:paraId="0D93B29E" w14:textId="77777777">
      <w:pPr>
        <w:pStyle w:val="ListParagraph"/>
        <w:numPr>
          <w:ilvl w:val="0"/>
          <w:numId w:val="4"/>
        </w:numPr>
        <w:spacing w:before="0" w:after="0"/>
        <w:ind w:left="720"/>
        <w:rPr>
          <w:rFonts w:ascii="Arial" w:hAnsi="Arial" w:cs="Arial"/>
          <w:sz w:val="24"/>
          <w:szCs w:val="24"/>
        </w:rPr>
      </w:pPr>
      <w:r w:rsidRPr="00302A4F">
        <w:rPr>
          <w:rFonts w:ascii="Arial" w:hAnsi="Arial" w:cs="Arial"/>
          <w:sz w:val="24"/>
          <w:szCs w:val="24"/>
        </w:rPr>
        <w:t>Address2</w:t>
      </w:r>
    </w:p>
    <w:p w:rsidR="00015997" w:rsidRPr="00302A4F" w:rsidP="00015997" w14:paraId="76380B65" w14:textId="77777777">
      <w:pPr>
        <w:pStyle w:val="ListParagraph"/>
        <w:numPr>
          <w:ilvl w:val="0"/>
          <w:numId w:val="4"/>
        </w:numPr>
        <w:spacing w:before="0" w:after="0"/>
        <w:ind w:left="720"/>
        <w:rPr>
          <w:rFonts w:ascii="Arial" w:hAnsi="Arial" w:cs="Arial"/>
          <w:sz w:val="24"/>
          <w:szCs w:val="24"/>
        </w:rPr>
      </w:pPr>
      <w:r w:rsidRPr="00302A4F">
        <w:rPr>
          <w:rFonts w:ascii="Arial" w:hAnsi="Arial" w:cs="Arial"/>
          <w:sz w:val="24"/>
          <w:szCs w:val="24"/>
        </w:rPr>
        <w:t>City</w:t>
      </w:r>
    </w:p>
    <w:p w:rsidR="00015997" w:rsidRPr="00302A4F" w:rsidP="00015997" w14:paraId="5F1A2424" w14:textId="77777777">
      <w:pPr>
        <w:pStyle w:val="ListParagraph"/>
        <w:numPr>
          <w:ilvl w:val="0"/>
          <w:numId w:val="4"/>
        </w:numPr>
        <w:spacing w:before="0" w:after="0"/>
        <w:ind w:left="720"/>
        <w:rPr>
          <w:rFonts w:ascii="Arial" w:hAnsi="Arial" w:cs="Arial"/>
          <w:sz w:val="24"/>
          <w:szCs w:val="24"/>
        </w:rPr>
      </w:pPr>
      <w:r w:rsidRPr="00302A4F">
        <w:rPr>
          <w:rFonts w:ascii="Arial" w:hAnsi="Arial" w:cs="Arial"/>
          <w:sz w:val="24"/>
          <w:szCs w:val="24"/>
        </w:rPr>
        <w:t>State</w:t>
      </w:r>
    </w:p>
    <w:p w:rsidR="00015997" w:rsidRPr="00302A4F" w:rsidP="00015997" w14:paraId="08E95C10" w14:textId="77777777">
      <w:pPr>
        <w:pStyle w:val="ListParagraph"/>
        <w:numPr>
          <w:ilvl w:val="0"/>
          <w:numId w:val="4"/>
        </w:numPr>
        <w:spacing w:before="0" w:after="0"/>
        <w:ind w:left="720"/>
        <w:rPr>
          <w:rFonts w:ascii="Arial" w:hAnsi="Arial" w:cs="Arial"/>
          <w:sz w:val="24"/>
          <w:szCs w:val="24"/>
        </w:rPr>
      </w:pPr>
      <w:r w:rsidRPr="00302A4F">
        <w:rPr>
          <w:rFonts w:ascii="Arial" w:hAnsi="Arial" w:cs="Arial"/>
          <w:sz w:val="24"/>
          <w:szCs w:val="24"/>
        </w:rPr>
        <w:t>Country</w:t>
      </w:r>
    </w:p>
    <w:p w:rsidR="00015997" w:rsidRPr="00302A4F" w:rsidP="00015997" w14:paraId="7B7D8343" w14:textId="77777777">
      <w:pPr>
        <w:pStyle w:val="ListParagraph"/>
        <w:numPr>
          <w:ilvl w:val="0"/>
          <w:numId w:val="4"/>
        </w:numPr>
        <w:spacing w:before="0" w:after="0"/>
        <w:ind w:left="720"/>
        <w:rPr>
          <w:rFonts w:ascii="Arial" w:hAnsi="Arial" w:cs="Arial"/>
          <w:sz w:val="24"/>
          <w:szCs w:val="24"/>
        </w:rPr>
      </w:pPr>
      <w:r w:rsidRPr="00302A4F">
        <w:rPr>
          <w:rFonts w:ascii="Arial" w:hAnsi="Arial" w:cs="Arial"/>
          <w:sz w:val="24"/>
          <w:szCs w:val="24"/>
        </w:rPr>
        <w:t>Zip Code</w:t>
      </w:r>
    </w:p>
    <w:p w:rsidR="00015997" w:rsidRPr="00302A4F" w:rsidP="00015997" w14:paraId="19219D0D" w14:textId="77777777">
      <w:pPr>
        <w:pStyle w:val="ListParagraph"/>
        <w:numPr>
          <w:ilvl w:val="0"/>
          <w:numId w:val="4"/>
        </w:numPr>
        <w:spacing w:before="0" w:after="0"/>
        <w:ind w:left="720"/>
        <w:rPr>
          <w:rFonts w:ascii="Arial" w:hAnsi="Arial" w:cs="Arial"/>
          <w:sz w:val="24"/>
          <w:szCs w:val="24"/>
        </w:rPr>
      </w:pPr>
      <w:r w:rsidRPr="00302A4F">
        <w:rPr>
          <w:rFonts w:ascii="Arial" w:hAnsi="Arial" w:cs="Arial"/>
          <w:sz w:val="24"/>
          <w:szCs w:val="24"/>
        </w:rPr>
        <w:t>Phone</w:t>
      </w:r>
    </w:p>
    <w:p w:rsidR="00015997" w:rsidRPr="00302A4F" w:rsidP="00015997" w14:paraId="3992AB01" w14:textId="77777777">
      <w:pPr>
        <w:pStyle w:val="ListParagraph"/>
        <w:numPr>
          <w:ilvl w:val="0"/>
          <w:numId w:val="4"/>
        </w:numPr>
        <w:spacing w:before="0" w:after="0"/>
        <w:ind w:left="720"/>
        <w:rPr>
          <w:rFonts w:ascii="Arial" w:hAnsi="Arial" w:cs="Arial"/>
          <w:sz w:val="24"/>
          <w:szCs w:val="24"/>
        </w:rPr>
      </w:pPr>
      <w:r w:rsidRPr="00302A4F">
        <w:rPr>
          <w:rFonts w:ascii="Arial" w:hAnsi="Arial" w:cs="Arial"/>
          <w:sz w:val="24"/>
          <w:szCs w:val="24"/>
        </w:rPr>
        <w:t>Email</w:t>
      </w:r>
    </w:p>
    <w:p w:rsidR="00015997" w:rsidP="00015997" w14:paraId="6BFE990A" w14:textId="0D107EBE">
      <w:pPr>
        <w:pStyle w:val="ListParagraph"/>
        <w:numPr>
          <w:ilvl w:val="0"/>
          <w:numId w:val="4"/>
        </w:numPr>
        <w:spacing w:before="0" w:after="0"/>
        <w:ind w:left="720"/>
        <w:rPr>
          <w:rFonts w:ascii="Arial" w:hAnsi="Arial" w:cs="Arial"/>
          <w:sz w:val="24"/>
          <w:szCs w:val="24"/>
        </w:rPr>
      </w:pPr>
      <w:r w:rsidRPr="00302A4F">
        <w:rPr>
          <w:rFonts w:ascii="Arial" w:hAnsi="Arial" w:cs="Arial"/>
          <w:sz w:val="24"/>
          <w:szCs w:val="24"/>
        </w:rPr>
        <w:t>Fax Number</w:t>
      </w:r>
    </w:p>
    <w:p w:rsidR="005C55C3" w:rsidRPr="005C55C3" w:rsidP="005C55C3" w14:paraId="04EC7D51" w14:textId="77777777">
      <w:pPr>
        <w:pStyle w:val="ListParagraph"/>
        <w:spacing w:before="0" w:after="0"/>
        <w:rPr>
          <w:rFonts w:ascii="Arial" w:hAnsi="Arial" w:cs="Arial"/>
          <w:sz w:val="24"/>
          <w:szCs w:val="24"/>
        </w:rPr>
      </w:pPr>
    </w:p>
    <w:p w:rsidR="00015997" w:rsidRPr="005C55C3" w:rsidP="00015997" w14:paraId="2141F43E" w14:textId="77777777">
      <w:pPr>
        <w:rPr>
          <w:rFonts w:ascii="Arial" w:hAnsi="Arial" w:cs="Arial"/>
          <w:sz w:val="24"/>
          <w:szCs w:val="24"/>
        </w:rPr>
      </w:pPr>
      <w:r w:rsidRPr="005C55C3">
        <w:rPr>
          <w:rFonts w:ascii="Arial" w:hAnsi="Arial" w:cs="Arial"/>
          <w:sz w:val="24"/>
          <w:szCs w:val="24"/>
        </w:rPr>
        <w:t>On the subsequent page, the user enters their AMOC proposal.  This includes:</w:t>
      </w:r>
    </w:p>
    <w:p w:rsidR="00015997" w:rsidRPr="005C55C3" w:rsidP="00015997" w14:paraId="7A43BFAB" w14:textId="77777777">
      <w:pPr>
        <w:pStyle w:val="ListParagraph"/>
        <w:numPr>
          <w:ilvl w:val="0"/>
          <w:numId w:val="5"/>
        </w:numPr>
        <w:spacing w:before="0" w:after="160" w:line="259" w:lineRule="auto"/>
        <w:rPr>
          <w:rFonts w:ascii="Arial" w:hAnsi="Arial" w:cs="Arial"/>
          <w:sz w:val="24"/>
          <w:szCs w:val="24"/>
        </w:rPr>
      </w:pPr>
      <w:r w:rsidRPr="005C55C3">
        <w:rPr>
          <w:rFonts w:ascii="Arial" w:hAnsi="Arial" w:cs="Arial"/>
          <w:sz w:val="24"/>
          <w:szCs w:val="24"/>
        </w:rPr>
        <w:t>Whether this is a Global AMOC</w:t>
      </w:r>
    </w:p>
    <w:p w:rsidR="00015997" w:rsidRPr="005C55C3" w:rsidP="00015997" w14:paraId="141CF876" w14:textId="5AF1ACF5">
      <w:pPr>
        <w:pStyle w:val="ListParagraph"/>
        <w:numPr>
          <w:ilvl w:val="0"/>
          <w:numId w:val="5"/>
        </w:numPr>
        <w:spacing w:before="0" w:after="160" w:line="259" w:lineRule="auto"/>
        <w:rPr>
          <w:rFonts w:ascii="Arial" w:hAnsi="Arial" w:cs="Arial"/>
          <w:sz w:val="24"/>
          <w:szCs w:val="24"/>
        </w:rPr>
      </w:pPr>
      <w:r w:rsidRPr="005C55C3">
        <w:rPr>
          <w:rFonts w:ascii="Arial" w:hAnsi="Arial" w:cs="Arial"/>
          <w:sz w:val="24"/>
          <w:szCs w:val="24"/>
        </w:rPr>
        <w:t>Principal Inspector and/or Flights Standard Office (if need</w:t>
      </w:r>
      <w:r w:rsidRPr="005C55C3" w:rsidR="003F001A">
        <w:rPr>
          <w:rFonts w:ascii="Arial" w:hAnsi="Arial" w:cs="Arial"/>
          <w:sz w:val="24"/>
          <w:szCs w:val="24"/>
        </w:rPr>
        <w:t>ed</w:t>
      </w:r>
      <w:r w:rsidRPr="005C55C3">
        <w:rPr>
          <w:rFonts w:ascii="Arial" w:hAnsi="Arial" w:cs="Arial"/>
          <w:sz w:val="24"/>
          <w:szCs w:val="24"/>
        </w:rPr>
        <w:t>)</w:t>
      </w:r>
    </w:p>
    <w:p w:rsidR="00015997" w:rsidRPr="005C55C3" w:rsidP="00015997" w14:paraId="36748BBA" w14:textId="77777777">
      <w:pPr>
        <w:pStyle w:val="ListParagraph"/>
        <w:numPr>
          <w:ilvl w:val="0"/>
          <w:numId w:val="5"/>
        </w:numPr>
        <w:spacing w:before="0" w:after="160" w:line="259" w:lineRule="auto"/>
        <w:rPr>
          <w:rFonts w:ascii="Arial" w:hAnsi="Arial" w:cs="Arial"/>
          <w:sz w:val="24"/>
          <w:szCs w:val="24"/>
        </w:rPr>
      </w:pPr>
      <w:r w:rsidRPr="005C55C3">
        <w:rPr>
          <w:rFonts w:ascii="Arial" w:hAnsi="Arial" w:cs="Arial"/>
          <w:sz w:val="24"/>
          <w:szCs w:val="24"/>
        </w:rPr>
        <w:t xml:space="preserve">Text of their AMOC Proposal </w:t>
      </w:r>
    </w:p>
    <w:p w:rsidR="00015997" w:rsidRPr="005C55C3" w:rsidP="00015997" w14:paraId="302135A3" w14:textId="77777777">
      <w:pPr>
        <w:pStyle w:val="ListParagraph"/>
        <w:numPr>
          <w:ilvl w:val="0"/>
          <w:numId w:val="5"/>
        </w:numPr>
        <w:spacing w:before="0" w:after="160" w:line="259" w:lineRule="auto"/>
        <w:rPr>
          <w:rFonts w:ascii="Arial" w:hAnsi="Arial" w:cs="Arial"/>
          <w:sz w:val="24"/>
          <w:szCs w:val="24"/>
        </w:rPr>
      </w:pPr>
      <w:r w:rsidRPr="005C55C3">
        <w:rPr>
          <w:rFonts w:ascii="Arial" w:hAnsi="Arial" w:cs="Arial"/>
          <w:sz w:val="24"/>
          <w:szCs w:val="24"/>
        </w:rPr>
        <w:t>Supporting Documents (as needed)</w:t>
      </w:r>
    </w:p>
    <w:p w:rsidR="00015997" w:rsidRPr="005C55C3" w:rsidP="00015997" w14:paraId="05138A9B" w14:textId="77777777">
      <w:pPr>
        <w:pStyle w:val="ListParagraph"/>
        <w:numPr>
          <w:ilvl w:val="0"/>
          <w:numId w:val="5"/>
        </w:numPr>
        <w:spacing w:before="0" w:after="160" w:line="259" w:lineRule="auto"/>
        <w:rPr>
          <w:rFonts w:ascii="Arial" w:hAnsi="Arial" w:cs="Arial"/>
          <w:sz w:val="24"/>
          <w:szCs w:val="24"/>
        </w:rPr>
      </w:pPr>
      <w:r w:rsidRPr="005C55C3">
        <w:rPr>
          <w:rFonts w:ascii="Arial" w:hAnsi="Arial" w:cs="Arial"/>
          <w:sz w:val="24"/>
          <w:szCs w:val="24"/>
        </w:rPr>
        <w:t>Details of one or more Airworthiness Directive(s) relevant to the AMOC.</w:t>
      </w:r>
    </w:p>
    <w:p w:rsidR="00015997" w:rsidRPr="005C55C3" w:rsidP="00015997" w14:paraId="59B90E5C" w14:textId="77777777">
      <w:pPr>
        <w:rPr>
          <w:rFonts w:ascii="Arial" w:hAnsi="Arial" w:cs="Arial"/>
          <w:sz w:val="24"/>
          <w:szCs w:val="24"/>
        </w:rPr>
      </w:pPr>
      <w:r w:rsidRPr="005C55C3">
        <w:rPr>
          <w:rFonts w:ascii="Arial" w:hAnsi="Arial" w:cs="Arial"/>
          <w:sz w:val="24"/>
          <w:szCs w:val="24"/>
        </w:rPr>
        <w:t>The user may also enter any additional documents or enter additional information not captured on the first page as needed and capture the following information.</w:t>
      </w:r>
    </w:p>
    <w:p w:rsidR="00015997" w:rsidRPr="005C55C3" w:rsidP="00015997" w14:paraId="2B68C626" w14:textId="77777777">
      <w:pPr>
        <w:pStyle w:val="ListParagraph"/>
        <w:numPr>
          <w:ilvl w:val="0"/>
          <w:numId w:val="6"/>
        </w:numPr>
        <w:spacing w:before="0" w:after="0"/>
        <w:rPr>
          <w:rFonts w:ascii="Arial" w:hAnsi="Arial" w:cs="Arial"/>
          <w:sz w:val="24"/>
          <w:szCs w:val="24"/>
        </w:rPr>
      </w:pPr>
      <w:r w:rsidRPr="005C55C3">
        <w:rPr>
          <w:rFonts w:ascii="Arial" w:hAnsi="Arial" w:cs="Arial"/>
          <w:sz w:val="24"/>
          <w:szCs w:val="24"/>
        </w:rPr>
        <w:t>Title/Description</w:t>
      </w:r>
    </w:p>
    <w:p w:rsidR="00015997" w:rsidRPr="005C55C3" w:rsidP="00015997" w14:paraId="6D867AC4" w14:textId="77777777">
      <w:pPr>
        <w:pStyle w:val="ListParagraph"/>
        <w:numPr>
          <w:ilvl w:val="0"/>
          <w:numId w:val="6"/>
        </w:numPr>
        <w:spacing w:before="0" w:after="0"/>
        <w:rPr>
          <w:rFonts w:ascii="Arial" w:hAnsi="Arial" w:cs="Arial"/>
          <w:sz w:val="24"/>
          <w:szCs w:val="24"/>
        </w:rPr>
      </w:pPr>
      <w:r w:rsidRPr="005C55C3">
        <w:rPr>
          <w:rFonts w:ascii="Arial" w:hAnsi="Arial" w:cs="Arial"/>
          <w:sz w:val="24"/>
          <w:szCs w:val="24"/>
        </w:rPr>
        <w:t>Revision</w:t>
      </w:r>
    </w:p>
    <w:p w:rsidR="00015997" w:rsidRPr="005C55C3" w:rsidP="00015997" w14:paraId="5B209EAC" w14:textId="77777777">
      <w:pPr>
        <w:pStyle w:val="ListParagraph"/>
        <w:numPr>
          <w:ilvl w:val="0"/>
          <w:numId w:val="6"/>
        </w:numPr>
        <w:spacing w:before="0" w:after="0"/>
        <w:rPr>
          <w:rFonts w:ascii="Arial" w:hAnsi="Arial" w:cs="Arial"/>
          <w:sz w:val="24"/>
          <w:szCs w:val="24"/>
        </w:rPr>
      </w:pPr>
      <w:r w:rsidRPr="005C55C3">
        <w:rPr>
          <w:rFonts w:ascii="Arial" w:hAnsi="Arial" w:cs="Arial"/>
          <w:sz w:val="24"/>
          <w:szCs w:val="24"/>
        </w:rPr>
        <w:t>Document Date</w:t>
      </w:r>
    </w:p>
    <w:p w:rsidR="00015997" w:rsidRPr="005C55C3" w:rsidP="00015997" w14:paraId="0D7414DD" w14:textId="706A12D3">
      <w:pPr>
        <w:pStyle w:val="ListParagraph"/>
        <w:numPr>
          <w:ilvl w:val="0"/>
          <w:numId w:val="6"/>
        </w:numPr>
        <w:spacing w:before="0" w:after="0"/>
        <w:rPr>
          <w:rFonts w:ascii="Arial" w:hAnsi="Arial" w:cs="Arial"/>
          <w:sz w:val="24"/>
          <w:szCs w:val="24"/>
        </w:rPr>
      </w:pPr>
      <w:r w:rsidRPr="005C55C3">
        <w:rPr>
          <w:rFonts w:ascii="Arial" w:hAnsi="Arial" w:cs="Arial"/>
          <w:sz w:val="24"/>
          <w:szCs w:val="24"/>
        </w:rPr>
        <w:t xml:space="preserve">Additional Information </w:t>
      </w:r>
      <w:r w:rsidRPr="005C55C3" w:rsidR="003F001A">
        <w:rPr>
          <w:rFonts w:ascii="Arial" w:hAnsi="Arial" w:cs="Arial"/>
          <w:sz w:val="24"/>
          <w:szCs w:val="24"/>
        </w:rPr>
        <w:t xml:space="preserve">or </w:t>
      </w:r>
      <w:r w:rsidRPr="005C55C3" w:rsidR="009113EE">
        <w:rPr>
          <w:rFonts w:ascii="Arial" w:hAnsi="Arial" w:cs="Arial"/>
          <w:sz w:val="24"/>
          <w:szCs w:val="24"/>
        </w:rPr>
        <w:t>substantiation</w:t>
      </w:r>
    </w:p>
    <w:p w:rsidR="00015997" w:rsidRPr="005C55C3" w:rsidP="00015997" w14:paraId="395116BC" w14:textId="77777777">
      <w:pPr>
        <w:pStyle w:val="ListParagraph"/>
        <w:spacing w:before="0" w:after="0"/>
        <w:rPr>
          <w:rFonts w:ascii="Arial" w:hAnsi="Arial" w:cs="Arial"/>
          <w:sz w:val="24"/>
          <w:szCs w:val="24"/>
        </w:rPr>
      </w:pPr>
    </w:p>
    <w:p w:rsidR="001F0724" w:rsidRPr="005C55C3" w:rsidP="0024134E" w14:paraId="589FFA8F" w14:textId="3A4D466D">
      <w:pPr>
        <w:contextualSpacing/>
        <w:rPr>
          <w:rFonts w:ascii="Arial" w:hAnsi="Arial" w:cs="Arial"/>
          <w:sz w:val="24"/>
          <w:szCs w:val="24"/>
        </w:rPr>
      </w:pPr>
      <w:r w:rsidRPr="005C55C3">
        <w:rPr>
          <w:rFonts w:ascii="Arial" w:hAnsi="Arial" w:cs="Arial"/>
          <w:sz w:val="24"/>
          <w:szCs w:val="24"/>
        </w:rPr>
        <w:t xml:space="preserve">After the user submits the AMOC </w:t>
      </w:r>
      <w:r w:rsidRPr="005C55C3" w:rsidR="003F001A">
        <w:rPr>
          <w:rFonts w:ascii="Arial" w:hAnsi="Arial" w:cs="Arial"/>
          <w:sz w:val="24"/>
          <w:szCs w:val="24"/>
        </w:rPr>
        <w:t>request</w:t>
      </w:r>
      <w:r w:rsidRPr="005C55C3">
        <w:rPr>
          <w:rFonts w:ascii="Arial" w:hAnsi="Arial" w:cs="Arial"/>
          <w:sz w:val="24"/>
          <w:szCs w:val="24"/>
        </w:rPr>
        <w:t>, the system generates a message to the user, which includes an AMOC Request Identifier.  The Identifier is a sequential number, which resets to one (YYYY-FAA-00001) at the beginning of each year.</w:t>
      </w:r>
    </w:p>
    <w:p w:rsidR="00C64707" w:rsidP="00C64707" w14:paraId="0C5C1333" w14:textId="2A7DE1D4">
      <w:pPr>
        <w:shd w:val="clear" w:color="auto" w:fill="FFFFFF"/>
        <w:spacing w:after="0" w:line="240" w:lineRule="auto"/>
        <w:rPr>
          <w:rFonts w:ascii="Arial" w:eastAsia="Times New Roman" w:hAnsi="Arial" w:cs="Arial"/>
          <w:sz w:val="24"/>
          <w:szCs w:val="24"/>
          <w:highlight w:val="yellow"/>
        </w:rPr>
      </w:pPr>
    </w:p>
    <w:p w:rsidR="0024134E" w:rsidRPr="00E525CE" w:rsidP="00C64707" w14:paraId="56F1F83D" w14:textId="77777777">
      <w:pPr>
        <w:shd w:val="clear" w:color="auto" w:fill="FFFFFF"/>
        <w:spacing w:after="0" w:line="240" w:lineRule="auto"/>
        <w:rPr>
          <w:rFonts w:ascii="Arial" w:eastAsia="Times New Roman" w:hAnsi="Arial" w:cs="Arial"/>
          <w:sz w:val="24"/>
          <w:szCs w:val="24"/>
          <w:highlight w:val="yellow"/>
        </w:rPr>
      </w:pPr>
    </w:p>
    <w:p w:rsidR="00C64707" w:rsidRPr="00F316C5" w:rsidP="00C64707" w14:paraId="4359376F" w14:textId="77777777">
      <w:pPr>
        <w:shd w:val="clear" w:color="auto" w:fill="FFFFFF"/>
        <w:spacing w:after="0" w:line="240" w:lineRule="auto"/>
        <w:rPr>
          <w:rFonts w:ascii="Arial" w:eastAsia="Times New Roman" w:hAnsi="Arial" w:cs="Arial"/>
          <w:sz w:val="24"/>
          <w:szCs w:val="24"/>
        </w:rPr>
      </w:pPr>
      <w:r w:rsidRPr="00F316C5">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C64707" w:rsidRPr="00E525CE" w:rsidP="00C64707" w14:paraId="50B08819" w14:textId="3E4E9A9E">
      <w:pPr>
        <w:shd w:val="clear" w:color="auto" w:fill="FFFFFF"/>
        <w:spacing w:after="0" w:line="240" w:lineRule="auto"/>
        <w:rPr>
          <w:rFonts w:ascii="Arial" w:eastAsia="Times New Roman" w:hAnsi="Arial" w:cs="Arial"/>
          <w:sz w:val="24"/>
          <w:szCs w:val="24"/>
          <w:highlight w:val="yellow"/>
        </w:rPr>
      </w:pPr>
    </w:p>
    <w:p w:rsidR="00641086" w:rsidRPr="00E525CE" w:rsidP="00641086" w14:paraId="172E044D" w14:textId="77777777">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sz w:val="24"/>
          <w:szCs w:val="24"/>
        </w:rPr>
        <w:t xml:space="preserve">Following the Government Paperwork Elimination Act (GPEA), we use e-mail and the Internet for corresponding with industry, accepting their 100% electronic submission of information.  How to send the information to us, however, is up to owners and operators.  We cannot mandate electronic submission of reports, because some of the affected parties are small businesses and/or individuals lacking electronic/Internet communication.  Each AD with a reporting requirement will specify what information is required to be reported (e.g., inspection results), when the report must be submitted, and the address(es) where the report should be sent.  </w:t>
      </w:r>
    </w:p>
    <w:p w:rsidR="00641086" w:rsidRPr="00E525CE" w:rsidP="00641086" w14:paraId="5B67B75E" w14:textId="77777777">
      <w:pPr>
        <w:shd w:val="clear" w:color="auto" w:fill="FFFFFF"/>
        <w:spacing w:after="0" w:line="240" w:lineRule="auto"/>
        <w:rPr>
          <w:rFonts w:ascii="Arial" w:eastAsia="Times New Roman" w:hAnsi="Arial" w:cs="Arial"/>
          <w:sz w:val="24"/>
          <w:szCs w:val="24"/>
          <w:highlight w:val="yellow"/>
        </w:rPr>
      </w:pPr>
    </w:p>
    <w:p w:rsidR="00641086" w:rsidRPr="00942025" w:rsidP="00641086" w14:paraId="34F27DE4" w14:textId="3285EBA9">
      <w:pPr>
        <w:shd w:val="clear" w:color="auto" w:fill="FFFFFF"/>
        <w:spacing w:after="0" w:line="240" w:lineRule="auto"/>
        <w:rPr>
          <w:rFonts w:ascii="Arial" w:eastAsia="Times New Roman" w:hAnsi="Arial" w:cs="Arial"/>
          <w:sz w:val="24"/>
          <w:szCs w:val="24"/>
        </w:rPr>
      </w:pPr>
      <w:r w:rsidRPr="00942025">
        <w:rPr>
          <w:rFonts w:ascii="Arial" w:eastAsia="Times New Roman" w:hAnsi="Arial" w:cs="Arial"/>
          <w:sz w:val="24"/>
          <w:szCs w:val="24"/>
        </w:rPr>
        <w:t xml:space="preserve">The specific results of the information collection will not be made available to the public.  The FAA ACO uses the information to determine if the corrective action will </w:t>
      </w:r>
      <w:r w:rsidRPr="00942025" w:rsidR="00ED70F0">
        <w:rPr>
          <w:rFonts w:ascii="Arial" w:eastAsia="Times New Roman" w:hAnsi="Arial" w:cs="Arial"/>
          <w:sz w:val="24"/>
          <w:szCs w:val="24"/>
        </w:rPr>
        <w:t>resolve</w:t>
      </w:r>
      <w:r w:rsidRPr="00942025">
        <w:rPr>
          <w:rFonts w:ascii="Arial" w:eastAsia="Times New Roman" w:hAnsi="Arial" w:cs="Arial"/>
          <w:sz w:val="24"/>
          <w:szCs w:val="24"/>
        </w:rPr>
        <w:t xml:space="preserve"> the unsafe condition (see response to question 1 above). </w:t>
      </w:r>
    </w:p>
    <w:p w:rsidR="00674B12" w:rsidRPr="00E525CE" w:rsidP="00641086" w14:paraId="56AE7FCB" w14:textId="54AEDFF9">
      <w:pPr>
        <w:shd w:val="clear" w:color="auto" w:fill="FFFFFF"/>
        <w:spacing w:after="0" w:line="240" w:lineRule="auto"/>
        <w:rPr>
          <w:rFonts w:ascii="Arial" w:eastAsia="Times New Roman" w:hAnsi="Arial" w:cs="Arial"/>
          <w:sz w:val="24"/>
          <w:szCs w:val="24"/>
          <w:highlight w:val="yellow"/>
        </w:rPr>
      </w:pPr>
    </w:p>
    <w:p w:rsidR="008B3FF2" w:rsidRPr="00942025" w:rsidP="00641086" w14:paraId="3D347F66" w14:textId="26E78E7A">
      <w:pPr>
        <w:shd w:val="clear" w:color="auto" w:fill="FFFFFF"/>
        <w:spacing w:after="0" w:line="240" w:lineRule="auto"/>
        <w:rPr>
          <w:rFonts w:ascii="Arial" w:eastAsia="Times New Roman" w:hAnsi="Arial" w:cs="Arial"/>
          <w:sz w:val="24"/>
          <w:szCs w:val="24"/>
        </w:rPr>
      </w:pPr>
      <w:r w:rsidRPr="00942025">
        <w:rPr>
          <w:rFonts w:ascii="Arial" w:eastAsia="Times New Roman" w:hAnsi="Arial" w:cs="Arial"/>
          <w:sz w:val="24"/>
          <w:szCs w:val="24"/>
        </w:rPr>
        <w:t xml:space="preserve">Alternative Methods of Compliance (AMOC) are submitted to the FAA by the </w:t>
      </w:r>
      <w:r w:rsidRPr="00942025">
        <w:rPr>
          <w:rFonts w:ascii="Arial" w:eastAsia="Times New Roman" w:hAnsi="Arial" w:cs="Arial"/>
          <w:sz w:val="24"/>
          <w:szCs w:val="24"/>
        </w:rPr>
        <w:t>general public</w:t>
      </w:r>
      <w:r w:rsidRPr="00942025">
        <w:rPr>
          <w:rFonts w:ascii="Arial" w:eastAsia="Times New Roman" w:hAnsi="Arial" w:cs="Arial"/>
          <w:sz w:val="24"/>
          <w:szCs w:val="24"/>
        </w:rPr>
        <w:t>. While anyone may submit an AMOC there is no standard form to use. A member of the public may submit an AMOC request to the FAA by using the ADD External AMOC website. Registration is not needed to use this website. When the public user access</w:t>
      </w:r>
      <w:r w:rsidRPr="00942025" w:rsidR="003F001A">
        <w:rPr>
          <w:rFonts w:ascii="Arial" w:eastAsia="Times New Roman" w:hAnsi="Arial" w:cs="Arial"/>
          <w:sz w:val="24"/>
          <w:szCs w:val="24"/>
        </w:rPr>
        <w:t>es</w:t>
      </w:r>
      <w:r w:rsidRPr="00942025">
        <w:rPr>
          <w:rFonts w:ascii="Arial" w:eastAsia="Times New Roman" w:hAnsi="Arial" w:cs="Arial"/>
          <w:sz w:val="24"/>
          <w:szCs w:val="24"/>
        </w:rPr>
        <w:t xml:space="preserve"> the ADD External AMOC website, a user is required to complete AMOC Requester Information on the External AMOC screen of the website and save it. Following this step, the user will need to </w:t>
      </w:r>
      <w:r w:rsidRPr="00942025">
        <w:rPr>
          <w:rFonts w:ascii="Arial" w:eastAsia="Times New Roman" w:hAnsi="Arial" w:cs="Arial"/>
          <w:sz w:val="24"/>
          <w:szCs w:val="24"/>
        </w:rPr>
        <w:t xml:space="preserve">complete the AMOC Information and Additional </w:t>
      </w:r>
      <w:r w:rsidRPr="00942025">
        <w:rPr>
          <w:rFonts w:ascii="Arial" w:eastAsia="Times New Roman" w:hAnsi="Arial" w:cs="Arial"/>
          <w:sz w:val="24"/>
          <w:szCs w:val="24"/>
        </w:rPr>
        <w:t xml:space="preserve">Information not captured on the AMOC Information page as needed, review and submit to FAA. After the user submits the AMOC </w:t>
      </w:r>
      <w:r w:rsidRPr="00942025" w:rsidR="003F001A">
        <w:rPr>
          <w:rFonts w:ascii="Arial" w:eastAsia="Times New Roman" w:hAnsi="Arial" w:cs="Arial"/>
          <w:sz w:val="24"/>
          <w:szCs w:val="24"/>
        </w:rPr>
        <w:t>request</w:t>
      </w:r>
      <w:r w:rsidRPr="00942025">
        <w:rPr>
          <w:rFonts w:ascii="Arial" w:eastAsia="Times New Roman" w:hAnsi="Arial" w:cs="Arial"/>
          <w:sz w:val="24"/>
          <w:szCs w:val="24"/>
        </w:rPr>
        <w:t>, the system generates a message to the user, which includes an AMOC Request Identifier. The Identifier is a sequential number, which resets to one (YYYY-FAA-00001) at the beginning of each year.</w:t>
      </w:r>
      <w:r w:rsidRPr="00942025" w:rsidR="00DA79AA">
        <w:rPr>
          <w:rFonts w:ascii="Arial" w:eastAsia="Times New Roman" w:hAnsi="Arial" w:cs="Arial"/>
          <w:sz w:val="24"/>
          <w:szCs w:val="24"/>
        </w:rPr>
        <w:t xml:space="preserve"> </w:t>
      </w:r>
      <w:r w:rsidRPr="00942025">
        <w:rPr>
          <w:rFonts w:ascii="Arial" w:eastAsia="Times New Roman" w:hAnsi="Arial" w:cs="Arial"/>
          <w:sz w:val="24"/>
          <w:szCs w:val="24"/>
        </w:rPr>
        <w:t xml:space="preserve">An AMOC Response Letter is written by an internal FAA user and sent to the AMOC Requester. The template may be generated from the ADD Dashboard and follows the latest Order. </w:t>
      </w:r>
    </w:p>
    <w:p w:rsidR="00C64707" w:rsidRPr="00E525CE" w:rsidP="00C64707" w14:paraId="4DCB7578" w14:textId="40FC2B0A">
      <w:pPr>
        <w:shd w:val="clear" w:color="auto" w:fill="FFFFFF"/>
        <w:spacing w:after="0" w:line="240" w:lineRule="auto"/>
        <w:rPr>
          <w:rFonts w:ascii="Arial" w:eastAsia="Times New Roman" w:hAnsi="Arial" w:cs="Arial"/>
          <w:sz w:val="24"/>
          <w:szCs w:val="24"/>
          <w:highlight w:val="yellow"/>
        </w:rPr>
      </w:pPr>
    </w:p>
    <w:p w:rsidR="00DA79AA" w:rsidRPr="00E525CE" w:rsidP="00C64707" w14:paraId="250C006B" w14:textId="77777777">
      <w:pPr>
        <w:shd w:val="clear" w:color="auto" w:fill="FFFFFF"/>
        <w:spacing w:after="0" w:line="240" w:lineRule="auto"/>
        <w:rPr>
          <w:rFonts w:ascii="Arial" w:eastAsia="Times New Roman" w:hAnsi="Arial" w:cs="Arial"/>
          <w:sz w:val="24"/>
          <w:szCs w:val="24"/>
          <w:highlight w:val="yellow"/>
        </w:rPr>
      </w:pPr>
    </w:p>
    <w:p w:rsidR="00C64707" w:rsidRPr="00942025" w:rsidP="00C64707" w14:paraId="11666738" w14:textId="77777777">
      <w:pPr>
        <w:shd w:val="clear" w:color="auto" w:fill="FFFFFF"/>
        <w:spacing w:after="0" w:line="240" w:lineRule="auto"/>
        <w:rPr>
          <w:rFonts w:ascii="Arial" w:eastAsia="Times New Roman" w:hAnsi="Arial" w:cs="Arial"/>
          <w:sz w:val="24"/>
          <w:szCs w:val="24"/>
        </w:rPr>
      </w:pPr>
      <w:r w:rsidRPr="00942025">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561354" w:rsidRPr="00942025" w:rsidP="00C64707" w14:paraId="74F6D12F" w14:textId="77777777">
      <w:pPr>
        <w:shd w:val="clear" w:color="auto" w:fill="FFFFFF"/>
        <w:spacing w:after="0" w:line="240" w:lineRule="auto"/>
        <w:rPr>
          <w:rFonts w:ascii="Arial" w:eastAsia="Times New Roman" w:hAnsi="Arial" w:cs="Arial"/>
          <w:sz w:val="24"/>
          <w:szCs w:val="24"/>
        </w:rPr>
      </w:pPr>
    </w:p>
    <w:p w:rsidR="00561354" w:rsidRPr="00942025" w:rsidP="00561354" w14:paraId="3BC3FAF9" w14:textId="33B284E3">
      <w:pPr>
        <w:shd w:val="clear" w:color="auto" w:fill="FFFFFF"/>
        <w:spacing w:after="0" w:line="240" w:lineRule="auto"/>
        <w:rPr>
          <w:rFonts w:ascii="Arial" w:eastAsia="Times New Roman" w:hAnsi="Arial" w:cs="Arial"/>
          <w:sz w:val="24"/>
          <w:szCs w:val="24"/>
        </w:rPr>
      </w:pPr>
      <w:r w:rsidRPr="00942025">
        <w:rPr>
          <w:rFonts w:ascii="Arial" w:eastAsia="Times New Roman" w:hAnsi="Arial" w:cs="Arial"/>
          <w:sz w:val="24"/>
          <w:szCs w:val="24"/>
        </w:rPr>
        <w:t>14 CFR 39.19 allows “anyone” to request an AMOC if they can’t or don’t want to comply with an AD as written. This could include owners/operators, maintenance personnel, parts manufacturers, design approval holders, or general members of the public. We have systems that contain information about some of these groups (e.g., aircraft registry)</w:t>
      </w:r>
      <w:r w:rsidRPr="00942025" w:rsidR="001445F7">
        <w:rPr>
          <w:rFonts w:ascii="Arial" w:eastAsia="Times New Roman" w:hAnsi="Arial" w:cs="Arial"/>
          <w:sz w:val="24"/>
          <w:szCs w:val="24"/>
        </w:rPr>
        <w:t>, but in general, those systems contain only a part of the information we need as well as containing additional information that we do not need for AMOC purposes</w:t>
      </w:r>
      <w:r w:rsidRPr="00942025">
        <w:rPr>
          <w:rFonts w:ascii="Arial" w:eastAsia="Times New Roman" w:hAnsi="Arial" w:cs="Arial"/>
          <w:sz w:val="24"/>
          <w:szCs w:val="24"/>
        </w:rPr>
        <w:t>.</w:t>
      </w:r>
      <w:r w:rsidRPr="00942025" w:rsidR="001445F7">
        <w:rPr>
          <w:rFonts w:ascii="Arial" w:eastAsia="Times New Roman" w:hAnsi="Arial" w:cs="Arial"/>
          <w:sz w:val="24"/>
          <w:szCs w:val="24"/>
        </w:rPr>
        <w:t xml:space="preserve"> To utilize existing information would require the ability to interface with multiple systems and being able to differentiate the correct one based on who is requesting the AMOC. The complexity and security necessary for such a system makes it impractical.</w:t>
      </w:r>
      <w:r w:rsidRPr="00942025" w:rsidR="00942025">
        <w:rPr>
          <w:rFonts w:ascii="Arial" w:eastAsia="Times New Roman" w:hAnsi="Arial" w:cs="Arial"/>
          <w:sz w:val="24"/>
          <w:szCs w:val="24"/>
        </w:rPr>
        <w:t xml:space="preserve">  </w:t>
      </w:r>
      <w:r w:rsidRPr="00942025" w:rsidR="001445F7">
        <w:rPr>
          <w:rFonts w:ascii="Arial" w:eastAsia="Times New Roman" w:hAnsi="Arial" w:cs="Arial"/>
          <w:sz w:val="24"/>
          <w:szCs w:val="24"/>
        </w:rPr>
        <w:t>Therefore, we designed the AMOC external portal to be stand-alone. The information that potentially currently exists is limited to contact information and aircraft make/model</w:t>
      </w:r>
      <w:r w:rsidRPr="00942025" w:rsidR="00846452">
        <w:rPr>
          <w:rFonts w:ascii="Arial" w:eastAsia="Times New Roman" w:hAnsi="Arial" w:cs="Arial"/>
          <w:sz w:val="24"/>
          <w:szCs w:val="24"/>
        </w:rPr>
        <w:t>. None of the information that we will collect via the AMOC external portal is new in that requesters currently provide that information to us in paper (or email) format when requesting an AMOC today.</w:t>
      </w:r>
      <w:r w:rsidRPr="00942025" w:rsidR="00846452">
        <w:rPr>
          <w:rFonts w:ascii="Arial" w:eastAsia="Times New Roman" w:hAnsi="Arial" w:cs="Arial"/>
          <w:sz w:val="24"/>
          <w:szCs w:val="24"/>
        </w:rPr>
        <w:t xml:space="preserve"> </w:t>
      </w:r>
    </w:p>
    <w:p w:rsidR="00C64707" w:rsidRPr="00942025" w:rsidP="00C64707" w14:paraId="12E1AB8F" w14:textId="77777777">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sz w:val="24"/>
          <w:szCs w:val="24"/>
          <w:highlight w:val="yellow"/>
        </w:rPr>
        <w:br/>
      </w:r>
    </w:p>
    <w:p w:rsidR="00C64707" w:rsidRPr="00942025" w:rsidP="00C64707" w14:paraId="767F3E2D" w14:textId="77777777">
      <w:pPr>
        <w:shd w:val="clear" w:color="auto" w:fill="FFFFFF"/>
        <w:spacing w:after="0" w:line="240" w:lineRule="auto"/>
        <w:rPr>
          <w:rFonts w:ascii="Arial" w:eastAsia="Times New Roman" w:hAnsi="Arial" w:cs="Arial"/>
          <w:sz w:val="24"/>
          <w:szCs w:val="24"/>
        </w:rPr>
      </w:pPr>
      <w:r w:rsidRPr="00942025">
        <w:rPr>
          <w:rFonts w:ascii="Arial" w:eastAsia="Times New Roman" w:hAnsi="Arial" w:cs="Arial"/>
          <w:b/>
          <w:bCs/>
          <w:sz w:val="24"/>
          <w:szCs w:val="24"/>
        </w:rPr>
        <w:t>5. If the collection of information involves small businesses or other small entities, describe the methods used to minimize burden.</w:t>
      </w:r>
    </w:p>
    <w:p w:rsidR="00925E0D" w:rsidRPr="00E525CE" w:rsidP="00641086" w14:paraId="2E2E183E" w14:textId="77777777">
      <w:pPr>
        <w:shd w:val="clear" w:color="auto" w:fill="FFFFFF"/>
        <w:spacing w:after="0" w:line="240" w:lineRule="auto"/>
        <w:rPr>
          <w:rFonts w:ascii="Arial" w:eastAsia="Times New Roman" w:hAnsi="Arial" w:cs="Arial"/>
          <w:sz w:val="24"/>
          <w:szCs w:val="24"/>
          <w:highlight w:val="yellow"/>
        </w:rPr>
      </w:pPr>
    </w:p>
    <w:p w:rsidR="00641086" w:rsidRPr="00E525CE" w:rsidP="00641086" w14:paraId="466A859E" w14:textId="706357D9">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sz w:val="24"/>
          <w:szCs w:val="24"/>
        </w:rPr>
        <w:t xml:space="preserve">While we cannot predict exactly who will be affected by an AD, only a </w:t>
      </w:r>
      <w:r w:rsidRPr="00E525CE" w:rsidR="00ED70F0">
        <w:rPr>
          <w:rFonts w:ascii="Arial" w:eastAsia="Times New Roman" w:hAnsi="Arial" w:cs="Arial"/>
          <w:sz w:val="24"/>
          <w:szCs w:val="24"/>
        </w:rPr>
        <w:t>portion of</w:t>
      </w:r>
      <w:r w:rsidRPr="00E525CE">
        <w:rPr>
          <w:rFonts w:ascii="Arial" w:eastAsia="Times New Roman" w:hAnsi="Arial" w:cs="Arial"/>
          <w:sz w:val="24"/>
          <w:szCs w:val="24"/>
        </w:rPr>
        <w:t xml:space="preserve"> ADs include a reporting requirement, and that happens only when we need more information to determine if the corrective action is adequate.  We make every effort to minimize the burden on small businesses or other small entities, including our preparation of a Regulatory Flexibility Act analysis for non-emergency ADs.</w:t>
      </w:r>
    </w:p>
    <w:p w:rsidR="00C64707" w:rsidRPr="00E525CE" w:rsidP="00C64707" w14:paraId="7F94CEB8" w14:textId="77777777">
      <w:pPr>
        <w:shd w:val="clear" w:color="auto" w:fill="FFFFFF"/>
        <w:spacing w:after="0" w:line="240" w:lineRule="auto"/>
        <w:rPr>
          <w:rFonts w:ascii="Arial" w:eastAsia="Times New Roman" w:hAnsi="Arial" w:cs="Arial"/>
          <w:sz w:val="24"/>
          <w:szCs w:val="24"/>
          <w:highlight w:val="yellow"/>
        </w:rPr>
      </w:pPr>
      <w:r w:rsidRPr="00E525CE">
        <w:rPr>
          <w:rFonts w:ascii="Arial" w:eastAsia="Times New Roman" w:hAnsi="Arial" w:cs="Arial"/>
          <w:sz w:val="24"/>
          <w:szCs w:val="24"/>
          <w:highlight w:val="yellow"/>
        </w:rPr>
        <w:br/>
      </w:r>
    </w:p>
    <w:p w:rsidR="00C64707" w:rsidRPr="00E525CE" w:rsidP="00C64707" w14:paraId="0ACB5E43" w14:textId="77777777">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rsidR="004932D3" w:rsidRPr="00E525CE" w:rsidP="00C64707" w14:paraId="2E74F587" w14:textId="77777777">
      <w:pPr>
        <w:shd w:val="clear" w:color="auto" w:fill="FFFFFF"/>
        <w:spacing w:after="0" w:line="240" w:lineRule="auto"/>
        <w:rPr>
          <w:rFonts w:ascii="Arial" w:eastAsia="Times New Roman" w:hAnsi="Arial" w:cs="Arial"/>
          <w:sz w:val="24"/>
          <w:szCs w:val="24"/>
        </w:rPr>
      </w:pPr>
    </w:p>
    <w:p w:rsidR="004932D3" w:rsidRPr="00E525CE" w:rsidP="004932D3" w14:paraId="57FC1090" w14:textId="77777777">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sz w:val="24"/>
          <w:szCs w:val="24"/>
        </w:rPr>
        <w:t xml:space="preserve">We keep the information collection requirement to a minimum because we search our own databases and work with the manufacturer first before issuing an AD.  We ask for </w:t>
      </w:r>
      <w:r w:rsidRPr="00E525CE">
        <w:rPr>
          <w:rFonts w:ascii="Arial" w:eastAsia="Times New Roman" w:hAnsi="Arial" w:cs="Arial"/>
          <w:sz w:val="24"/>
          <w:szCs w:val="24"/>
        </w:rPr>
        <w:t>reports only when we need more information.  The technical and legal obstacles to reducing the burden are:</w:t>
      </w:r>
    </w:p>
    <w:p w:rsidR="004932D3" w:rsidRPr="00E525CE" w:rsidP="004932D3" w14:paraId="7C1439F4" w14:textId="77777777">
      <w:pPr>
        <w:shd w:val="clear" w:color="auto" w:fill="FFFFFF"/>
        <w:spacing w:after="0" w:line="240" w:lineRule="auto"/>
        <w:rPr>
          <w:rFonts w:ascii="Arial" w:eastAsia="Times New Roman" w:hAnsi="Arial" w:cs="Arial"/>
          <w:sz w:val="24"/>
          <w:szCs w:val="24"/>
        </w:rPr>
      </w:pPr>
    </w:p>
    <w:p w:rsidR="004932D3" w:rsidRPr="00E525CE" w:rsidP="004932D3" w14:paraId="2F003715" w14:textId="77777777">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sz w:val="24"/>
          <w:szCs w:val="24"/>
        </w:rPr>
        <w:t>(1)</w:t>
      </w:r>
      <w:r w:rsidRPr="00E525CE">
        <w:rPr>
          <w:rFonts w:ascii="Arial" w:eastAsia="Times New Roman" w:hAnsi="Arial" w:cs="Arial"/>
          <w:sz w:val="24"/>
          <w:szCs w:val="24"/>
        </w:rPr>
        <w:tab/>
        <w:t>We will not obtain needed technical data in an emergency when safety is at risk, and,</w:t>
      </w:r>
    </w:p>
    <w:p w:rsidR="004932D3" w:rsidRPr="00E525CE" w:rsidP="004932D3" w14:paraId="364DFAC5" w14:textId="77777777">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sz w:val="24"/>
          <w:szCs w:val="24"/>
        </w:rPr>
        <w:t>(2)</w:t>
      </w:r>
      <w:r w:rsidRPr="00E525CE">
        <w:rPr>
          <w:rFonts w:ascii="Arial" w:eastAsia="Times New Roman" w:hAnsi="Arial" w:cs="Arial"/>
          <w:sz w:val="24"/>
          <w:szCs w:val="24"/>
        </w:rPr>
        <w:tab/>
        <w:t xml:space="preserve"> We cannot carry out our responsibilities under Title 49 §§ 40113(a) and 44701. </w:t>
      </w:r>
    </w:p>
    <w:p w:rsidR="004932D3" w:rsidRPr="00E525CE" w:rsidP="004932D3" w14:paraId="689A1EBF" w14:textId="77777777">
      <w:pPr>
        <w:shd w:val="clear" w:color="auto" w:fill="FFFFFF"/>
        <w:spacing w:after="0" w:line="240" w:lineRule="auto"/>
        <w:rPr>
          <w:rFonts w:ascii="Arial" w:eastAsia="Times New Roman" w:hAnsi="Arial" w:cs="Arial"/>
          <w:sz w:val="24"/>
          <w:szCs w:val="24"/>
        </w:rPr>
      </w:pPr>
    </w:p>
    <w:p w:rsidR="004932D3" w:rsidRPr="00E525CE" w:rsidP="004932D3" w14:paraId="7B9A74A7" w14:textId="2D10ECC8">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sz w:val="24"/>
          <w:szCs w:val="24"/>
        </w:rPr>
        <w:t xml:space="preserve">As we stated </w:t>
      </w:r>
      <w:r w:rsidR="00942025">
        <w:rPr>
          <w:rFonts w:ascii="Arial" w:eastAsia="Times New Roman" w:hAnsi="Arial" w:cs="Arial"/>
          <w:sz w:val="24"/>
          <w:szCs w:val="24"/>
        </w:rPr>
        <w:t>previously</w:t>
      </w:r>
      <w:r w:rsidRPr="00E525CE">
        <w:rPr>
          <w:rFonts w:ascii="Arial" w:eastAsia="Times New Roman" w:hAnsi="Arial" w:cs="Arial"/>
          <w:sz w:val="24"/>
          <w:szCs w:val="24"/>
        </w:rPr>
        <w:t>, the only other way to collect information is through a directed safety investigation, at a substantial cost to us and an increased burden on the owner/operator.</w:t>
      </w:r>
    </w:p>
    <w:p w:rsidR="00C64707" w:rsidRPr="00E525CE" w:rsidP="00C64707" w14:paraId="3B477025" w14:textId="77777777">
      <w:pPr>
        <w:shd w:val="clear" w:color="auto" w:fill="FFFFFF"/>
        <w:spacing w:after="0" w:line="240" w:lineRule="auto"/>
        <w:rPr>
          <w:rFonts w:ascii="Arial" w:eastAsia="Times New Roman" w:hAnsi="Arial" w:cs="Arial"/>
          <w:sz w:val="24"/>
          <w:szCs w:val="24"/>
          <w:highlight w:val="yellow"/>
        </w:rPr>
      </w:pPr>
      <w:r w:rsidRPr="00E525CE">
        <w:rPr>
          <w:rFonts w:ascii="Arial" w:eastAsia="Times New Roman" w:hAnsi="Arial" w:cs="Arial"/>
          <w:sz w:val="24"/>
          <w:szCs w:val="24"/>
          <w:highlight w:val="yellow"/>
        </w:rPr>
        <w:br/>
      </w:r>
    </w:p>
    <w:p w:rsidR="00C64707" w:rsidRPr="00A84605" w:rsidP="00C64707" w14:paraId="3EA601CD" w14:textId="77777777">
      <w:pPr>
        <w:shd w:val="clear" w:color="auto" w:fill="FFFFFF"/>
        <w:spacing w:after="0" w:line="240" w:lineRule="auto"/>
        <w:rPr>
          <w:rFonts w:ascii="Arial" w:eastAsia="Times New Roman" w:hAnsi="Arial" w:cs="Arial"/>
          <w:sz w:val="24"/>
          <w:szCs w:val="24"/>
        </w:rPr>
      </w:pPr>
      <w:r w:rsidRPr="00A84605">
        <w:rPr>
          <w:rFonts w:ascii="Arial" w:eastAsia="Times New Roman" w:hAnsi="Arial" w:cs="Arial"/>
          <w:b/>
          <w:bCs/>
          <w:sz w:val="24"/>
          <w:szCs w:val="24"/>
        </w:rPr>
        <w:t>7. Explain any special circumstances that would cause an information collection to be conducted in a manner:</w:t>
      </w:r>
    </w:p>
    <w:p w:rsidR="00641086" w:rsidRPr="00E525CE" w:rsidP="00C64707" w14:paraId="6C3FCC8E" w14:textId="77777777">
      <w:pPr>
        <w:shd w:val="clear" w:color="auto" w:fill="FFFFFF"/>
        <w:spacing w:after="0" w:line="240" w:lineRule="auto"/>
        <w:rPr>
          <w:rFonts w:ascii="Arial" w:eastAsia="Times New Roman" w:hAnsi="Arial" w:cs="Arial"/>
          <w:sz w:val="24"/>
          <w:szCs w:val="24"/>
          <w:highlight w:val="yellow"/>
        </w:rPr>
      </w:pPr>
    </w:p>
    <w:p w:rsidR="00561354" w:rsidRPr="00E525CE" w:rsidP="00561354" w14:paraId="58CACEE8" w14:textId="7E6DA5F6">
      <w:pPr>
        <w:spacing w:after="0"/>
        <w:rPr>
          <w:rFonts w:ascii="Arial" w:eastAsia="Times New Roman" w:hAnsi="Arial" w:cs="Arial"/>
          <w:sz w:val="24"/>
          <w:szCs w:val="24"/>
          <w:highlight w:val="yellow"/>
        </w:rPr>
      </w:pPr>
      <w:r w:rsidRPr="00A84605">
        <w:rPr>
          <w:rFonts w:ascii="Arial" w:eastAsia="Times New Roman" w:hAnsi="Arial" w:cs="Arial"/>
          <w:sz w:val="24"/>
          <w:szCs w:val="24"/>
        </w:rPr>
        <w:t xml:space="preserve">We collect information following Title 5 CFR §1320.5(d)(2)(i)-(viii) with one exception: </w:t>
      </w:r>
      <w:r w:rsidRPr="00F316C5">
        <w:rPr>
          <w:rFonts w:ascii="Arial" w:eastAsia="Times New Roman" w:hAnsi="Arial" w:cs="Arial"/>
          <w:sz w:val="24"/>
          <w:szCs w:val="24"/>
        </w:rPr>
        <w:t xml:space="preserve">the time a record is maintained.  In our procedure, airworthiness directives are regulations issued under 14 CFR Part 39, and no person may operate a product unless all applicable ADs have been complied with.  Compliance with ADs must be recorded in the aircraft maintenance log.  The aircraft maintenance log shows proof of compliance with </w:t>
      </w:r>
      <w:r w:rsidRPr="00F316C5" w:rsidR="00F316C5">
        <w:rPr>
          <w:rFonts w:ascii="Arial" w:eastAsia="Times New Roman" w:hAnsi="Arial" w:cs="Arial"/>
          <w:sz w:val="24"/>
          <w:szCs w:val="24"/>
        </w:rPr>
        <w:t>ADs and</w:t>
      </w:r>
      <w:r w:rsidRPr="00F316C5">
        <w:rPr>
          <w:rFonts w:ascii="Arial" w:eastAsia="Times New Roman" w:hAnsi="Arial" w:cs="Arial"/>
          <w:sz w:val="24"/>
          <w:szCs w:val="24"/>
        </w:rPr>
        <w:t xml:space="preserve"> is retained and transferred with the aircraft at the time the aircraft is sold.</w:t>
      </w:r>
    </w:p>
    <w:p w:rsidR="00561354" w:rsidRPr="00E525CE" w:rsidP="00561354" w14:paraId="77706D00" w14:textId="77777777">
      <w:pPr>
        <w:spacing w:after="0"/>
        <w:rPr>
          <w:rFonts w:ascii="Arial" w:eastAsia="Times New Roman" w:hAnsi="Arial" w:cs="Arial"/>
          <w:sz w:val="24"/>
          <w:szCs w:val="24"/>
          <w:highlight w:val="yellow"/>
        </w:rPr>
      </w:pPr>
    </w:p>
    <w:p w:rsidR="00561354" w:rsidRPr="00F316C5" w:rsidP="00561354" w14:paraId="2F128739" w14:textId="2162277B">
      <w:pPr>
        <w:rPr>
          <w:rFonts w:ascii="Arial" w:eastAsia="Times New Roman" w:hAnsi="Arial" w:cs="Arial"/>
          <w:sz w:val="24"/>
          <w:szCs w:val="24"/>
        </w:rPr>
      </w:pPr>
      <w:r w:rsidRPr="00F316C5">
        <w:rPr>
          <w:rFonts w:ascii="Arial" w:eastAsia="Times New Roman" w:hAnsi="Arial" w:cs="Arial"/>
          <w:sz w:val="24"/>
          <w:szCs w:val="24"/>
        </w:rPr>
        <w:t>For ADs issued as “Final rule; request for comment,” we may require information to be reported 10 days after the effective date of the AD.  These types of ADs are issued when an unsafe condition presents an immediate risk to safety of flight or requires immediate action by owners/operators.</w:t>
      </w:r>
    </w:p>
    <w:p w:rsidR="00DD3B75" w:rsidRPr="00A84605" w:rsidP="00DD3B75" w14:paraId="4A12F06A" w14:textId="328795FA">
      <w:pPr>
        <w:pStyle w:val="para"/>
        <w:rPr>
          <w:rFonts w:ascii="Arial" w:hAnsi="Arial" w:cs="Arial"/>
          <w:sz w:val="24"/>
          <w:szCs w:val="24"/>
        </w:rPr>
      </w:pPr>
      <w:r w:rsidRPr="00A84605">
        <w:rPr>
          <w:rFonts w:ascii="Arial" w:hAnsi="Arial" w:cs="Arial"/>
          <w:sz w:val="24"/>
          <w:szCs w:val="24"/>
        </w:rPr>
        <w:t>The ADD External Portal collection of information is consistent with the guidelines in AMOC Proposal in 14 CFR 39.19</w:t>
      </w:r>
      <w:r w:rsidRPr="00A84605">
        <w:rPr>
          <w:rFonts w:ascii="Arial" w:hAnsi="Arial" w:cs="Arial"/>
          <w:sz w:val="24"/>
          <w:szCs w:val="24"/>
        </w:rPr>
        <w:t>. From Order 8110.103B Alternative Methods of Compliance (AMOC), Section 3</w:t>
      </w:r>
      <w:r w:rsidRPr="00A84605" w:rsidR="00FE5BC0">
        <w:rPr>
          <w:rFonts w:ascii="Arial" w:hAnsi="Arial" w:cs="Arial"/>
          <w:sz w:val="24"/>
          <w:szCs w:val="24"/>
        </w:rPr>
        <w:t>-</w:t>
      </w:r>
      <w:r w:rsidRPr="00A84605">
        <w:rPr>
          <w:rFonts w:ascii="Arial" w:hAnsi="Arial" w:cs="Arial"/>
          <w:sz w:val="24"/>
          <w:szCs w:val="24"/>
        </w:rPr>
        <w:t>2:</w:t>
      </w:r>
    </w:p>
    <w:p w:rsidR="00DD3B75" w:rsidRPr="00A84605" w:rsidP="00DD3B75" w14:paraId="1B4FDC25" w14:textId="77777777">
      <w:pPr>
        <w:pStyle w:val="para"/>
        <w:rPr>
          <w:rFonts w:ascii="Arial" w:hAnsi="Arial" w:cs="Arial"/>
          <w:sz w:val="24"/>
          <w:szCs w:val="24"/>
        </w:rPr>
      </w:pPr>
    </w:p>
    <w:p w:rsidR="00DD3B75" w:rsidRPr="00A84605" w:rsidP="00A51AE6" w14:paraId="539DED18" w14:textId="474F7DB6">
      <w:pPr>
        <w:pStyle w:val="para"/>
        <w:ind w:left="720"/>
        <w:rPr>
          <w:rFonts w:ascii="Arial" w:hAnsi="Arial" w:cs="Arial"/>
          <w:sz w:val="24"/>
          <w:szCs w:val="24"/>
        </w:rPr>
      </w:pPr>
      <w:r w:rsidRPr="00A84605">
        <w:rPr>
          <w:rFonts w:ascii="Arial" w:hAnsi="Arial" w:cs="Arial"/>
          <w:b/>
          <w:bCs/>
          <w:sz w:val="24"/>
          <w:szCs w:val="24"/>
        </w:rPr>
        <w:t>3-2. AMOC Proposal</w:t>
      </w:r>
      <w:r w:rsidRPr="00A84605" w:rsidR="00A51AE6">
        <w:rPr>
          <w:rFonts w:ascii="Arial" w:hAnsi="Arial" w:cs="Arial"/>
          <w:b/>
          <w:bCs/>
          <w:sz w:val="24"/>
          <w:szCs w:val="24"/>
        </w:rPr>
        <w:t>.</w:t>
      </w:r>
      <w:r w:rsidRPr="00A84605">
        <w:rPr>
          <w:rFonts w:ascii="Arial" w:hAnsi="Arial" w:cs="Arial"/>
          <w:b/>
          <w:bCs/>
          <w:sz w:val="24"/>
          <w:szCs w:val="24"/>
        </w:rPr>
        <w:t xml:space="preserve"> </w:t>
      </w:r>
      <w:r w:rsidRPr="00A84605">
        <w:rPr>
          <w:rFonts w:ascii="Arial" w:hAnsi="Arial" w:cs="Arial"/>
          <w:sz w:val="24"/>
          <w:szCs w:val="24"/>
        </w:rPr>
        <w:t xml:space="preserve">14 CFR 39.19 states in part that “anyone may propose to FAA an alternative method of compliance or a change in the compliance time, if the proposal provides an acceptable level of safety.” </w:t>
      </w:r>
    </w:p>
    <w:p w:rsidR="00DD3B75" w:rsidRPr="00A84605" w:rsidP="00A51AE6" w14:paraId="6C9DA2B5" w14:textId="77777777">
      <w:pPr>
        <w:pStyle w:val="para"/>
        <w:ind w:left="720"/>
        <w:rPr>
          <w:rFonts w:ascii="Arial" w:hAnsi="Arial" w:cs="Arial"/>
          <w:sz w:val="24"/>
          <w:szCs w:val="24"/>
        </w:rPr>
      </w:pPr>
      <w:r w:rsidRPr="00A84605">
        <w:rPr>
          <w:rFonts w:ascii="Arial" w:hAnsi="Arial" w:cs="Arial"/>
          <w:b/>
          <w:bCs/>
          <w:sz w:val="24"/>
          <w:szCs w:val="24"/>
        </w:rPr>
        <w:t xml:space="preserve">a. </w:t>
      </w:r>
      <w:r w:rsidRPr="00A84605">
        <w:rPr>
          <w:rFonts w:ascii="Arial" w:hAnsi="Arial" w:cs="Arial"/>
          <w:sz w:val="24"/>
          <w:szCs w:val="24"/>
        </w:rPr>
        <w:t>Although a letter is preferred, AMOC proposals may be submitted by other means, such as email, fax, or telephone. AMOC proposals received by telephone must be documented.</w:t>
      </w:r>
    </w:p>
    <w:p w:rsidR="00C64707" w:rsidRPr="00E525CE" w:rsidP="00C64707" w14:paraId="7655D4CF" w14:textId="77777777">
      <w:pPr>
        <w:shd w:val="clear" w:color="auto" w:fill="FFFFFF"/>
        <w:spacing w:after="0" w:line="240" w:lineRule="auto"/>
        <w:rPr>
          <w:rFonts w:ascii="Arial" w:eastAsia="Times New Roman" w:hAnsi="Arial" w:cs="Arial"/>
          <w:sz w:val="24"/>
          <w:szCs w:val="24"/>
          <w:highlight w:val="yellow"/>
        </w:rPr>
      </w:pPr>
      <w:r w:rsidRPr="00E525CE">
        <w:rPr>
          <w:rFonts w:ascii="Arial" w:eastAsia="Times New Roman" w:hAnsi="Arial" w:cs="Arial"/>
          <w:sz w:val="24"/>
          <w:szCs w:val="24"/>
          <w:highlight w:val="yellow"/>
        </w:rPr>
        <w:br/>
      </w:r>
    </w:p>
    <w:p w:rsidR="00C64707" w:rsidRPr="0024134E" w:rsidP="00C64707" w14:paraId="772F759C" w14:textId="258CD2C7">
      <w:pPr>
        <w:shd w:val="clear" w:color="auto" w:fill="FFFFFF"/>
        <w:spacing w:after="0" w:line="240" w:lineRule="auto"/>
        <w:rPr>
          <w:rFonts w:ascii="Arial" w:eastAsia="Times New Roman" w:hAnsi="Arial" w:cs="Arial"/>
          <w:sz w:val="24"/>
          <w:szCs w:val="24"/>
        </w:rPr>
      </w:pPr>
      <w:r w:rsidRPr="00D50FD0">
        <w:rPr>
          <w:rFonts w:ascii="Arial" w:eastAsia="Times New Roman" w:hAnsi="Arial" w:cs="Arial"/>
          <w:b/>
          <w:bCs/>
          <w:sz w:val="24"/>
          <w:szCs w:val="24"/>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w:t>
      </w:r>
      <w:r w:rsidRPr="00D50FD0">
        <w:rPr>
          <w:rFonts w:ascii="Arial" w:eastAsia="Times New Roman" w:hAnsi="Arial" w:cs="Arial"/>
          <w:b/>
          <w:bCs/>
          <w:sz w:val="24"/>
          <w:szCs w:val="24"/>
        </w:rPr>
        <w:t>disclosure, or reporting format (if any), and on the data elements to be recorded, disclosed, or reported.</w:t>
      </w:r>
    </w:p>
    <w:p w:rsidR="00AA4817" w:rsidRPr="00E525CE" w:rsidP="00C64707" w14:paraId="1B665EC4" w14:textId="414E53F4">
      <w:pPr>
        <w:shd w:val="clear" w:color="auto" w:fill="FFFFFF"/>
        <w:spacing w:after="0" w:line="240" w:lineRule="auto"/>
        <w:rPr>
          <w:rFonts w:ascii="Arial" w:eastAsia="Times New Roman" w:hAnsi="Arial" w:cs="Arial"/>
          <w:sz w:val="24"/>
          <w:szCs w:val="24"/>
          <w:highlight w:val="yellow"/>
        </w:rPr>
      </w:pPr>
    </w:p>
    <w:p w:rsidR="00570098" w:rsidRPr="00E525CE" w:rsidP="00C64707" w14:paraId="5FB0D202" w14:textId="3AEC3B12">
      <w:pPr>
        <w:shd w:val="clear" w:color="auto" w:fill="FFFFFF"/>
        <w:spacing w:after="0" w:line="240" w:lineRule="auto"/>
        <w:rPr>
          <w:rFonts w:ascii="Arial" w:eastAsia="Times New Roman" w:hAnsi="Arial" w:cs="Arial"/>
          <w:sz w:val="24"/>
          <w:szCs w:val="24"/>
          <w:highlight w:val="yellow"/>
        </w:rPr>
      </w:pPr>
      <w:r w:rsidRPr="00E525CE">
        <w:rPr>
          <w:rFonts w:ascii="Arial" w:eastAsia="Times New Roman" w:hAnsi="Arial" w:cs="Arial"/>
          <w:sz w:val="24"/>
          <w:szCs w:val="24"/>
        </w:rPr>
        <w:t xml:space="preserve">A Federal Register Notice published on </w:t>
      </w:r>
      <w:r w:rsidRPr="00E525CE" w:rsidR="0099378D">
        <w:rPr>
          <w:rFonts w:ascii="Arial" w:eastAsia="Times New Roman" w:hAnsi="Arial" w:cs="Arial"/>
          <w:sz w:val="24"/>
          <w:szCs w:val="24"/>
        </w:rPr>
        <w:t>(</w:t>
      </w:r>
      <w:r w:rsidRPr="00E525CE" w:rsidR="00912F87">
        <w:rPr>
          <w:rFonts w:ascii="Arial" w:eastAsia="Times New Roman" w:hAnsi="Arial" w:cs="Arial"/>
          <w:sz w:val="24"/>
          <w:szCs w:val="24"/>
        </w:rPr>
        <w:t>October 2</w:t>
      </w:r>
      <w:r w:rsidRPr="00E525CE" w:rsidR="00650D86">
        <w:rPr>
          <w:rFonts w:ascii="Arial" w:eastAsia="Times New Roman" w:hAnsi="Arial" w:cs="Arial"/>
          <w:sz w:val="24"/>
          <w:szCs w:val="24"/>
        </w:rPr>
        <w:t>1</w:t>
      </w:r>
      <w:r w:rsidRPr="00E525CE">
        <w:rPr>
          <w:rFonts w:ascii="Arial" w:eastAsia="Times New Roman" w:hAnsi="Arial" w:cs="Arial"/>
          <w:sz w:val="24"/>
          <w:szCs w:val="24"/>
        </w:rPr>
        <w:t>, 20</w:t>
      </w:r>
      <w:r w:rsidRPr="00E525CE" w:rsidR="00650D86">
        <w:rPr>
          <w:rFonts w:ascii="Arial" w:eastAsia="Times New Roman" w:hAnsi="Arial" w:cs="Arial"/>
          <w:sz w:val="24"/>
          <w:szCs w:val="24"/>
        </w:rPr>
        <w:t>2</w:t>
      </w:r>
      <w:r w:rsidRPr="00E525CE" w:rsidR="00912F87">
        <w:rPr>
          <w:rFonts w:ascii="Arial" w:eastAsia="Times New Roman" w:hAnsi="Arial" w:cs="Arial"/>
          <w:sz w:val="24"/>
          <w:szCs w:val="24"/>
        </w:rPr>
        <w:t>4</w:t>
      </w:r>
      <w:r w:rsidRPr="00E525CE" w:rsidR="0099378D">
        <w:rPr>
          <w:rFonts w:ascii="Arial" w:eastAsia="Times New Roman" w:hAnsi="Arial" w:cs="Arial"/>
          <w:sz w:val="24"/>
          <w:szCs w:val="24"/>
        </w:rPr>
        <w:t>)</w:t>
      </w:r>
      <w:r w:rsidRPr="00E525CE" w:rsidR="00FE5BC0">
        <w:rPr>
          <w:rFonts w:ascii="Arial" w:eastAsia="Times New Roman" w:hAnsi="Arial" w:cs="Arial"/>
          <w:sz w:val="24"/>
          <w:szCs w:val="24"/>
        </w:rPr>
        <w:t>,</w:t>
      </w:r>
      <w:r w:rsidRPr="00E525CE" w:rsidR="0099378D">
        <w:rPr>
          <w:rFonts w:ascii="Arial" w:eastAsia="Times New Roman" w:hAnsi="Arial" w:cs="Arial"/>
          <w:sz w:val="24"/>
          <w:szCs w:val="24"/>
        </w:rPr>
        <w:t xml:space="preserve"> the Federal Register </w:t>
      </w:r>
      <w:r w:rsidRPr="00E525CE" w:rsidR="002643CE">
        <w:rPr>
          <w:rFonts w:ascii="Arial" w:eastAsia="Times New Roman" w:hAnsi="Arial" w:cs="Arial"/>
          <w:sz w:val="24"/>
          <w:szCs w:val="24"/>
        </w:rPr>
        <w:t xml:space="preserve">citation </w:t>
      </w:r>
      <w:r w:rsidRPr="00E525CE">
        <w:rPr>
          <w:rFonts w:ascii="Arial" w:eastAsia="Times New Roman" w:hAnsi="Arial" w:cs="Arial"/>
          <w:sz w:val="24"/>
          <w:szCs w:val="24"/>
        </w:rPr>
        <w:t>(</w:t>
      </w:r>
      <w:r w:rsidRPr="00E525CE" w:rsidR="0099378D">
        <w:rPr>
          <w:rFonts w:ascii="Arial" w:eastAsia="Times New Roman" w:hAnsi="Arial" w:cs="Arial"/>
          <w:sz w:val="24"/>
          <w:szCs w:val="24"/>
        </w:rPr>
        <w:t xml:space="preserve">FRN </w:t>
      </w:r>
      <w:r w:rsidRPr="00E525CE" w:rsidR="00912F87">
        <w:rPr>
          <w:rFonts w:ascii="Arial" w:eastAsia="Times New Roman" w:hAnsi="Arial" w:cs="Arial"/>
          <w:sz w:val="24"/>
          <w:szCs w:val="24"/>
        </w:rPr>
        <w:t>2024–24309</w:t>
      </w:r>
      <w:r w:rsidRPr="00D50FD0">
        <w:rPr>
          <w:rFonts w:ascii="Arial" w:eastAsia="Times New Roman" w:hAnsi="Arial" w:cs="Arial"/>
          <w:sz w:val="24"/>
          <w:szCs w:val="24"/>
        </w:rPr>
        <w:t>), solicited public comment</w:t>
      </w:r>
      <w:r w:rsidRPr="00D50FD0" w:rsidR="00FE5BC0">
        <w:rPr>
          <w:rFonts w:ascii="Arial" w:eastAsia="Times New Roman" w:hAnsi="Arial" w:cs="Arial"/>
          <w:sz w:val="24"/>
          <w:szCs w:val="24"/>
        </w:rPr>
        <w:t>.</w:t>
      </w:r>
      <w:r w:rsidRPr="00D50FD0">
        <w:rPr>
          <w:rFonts w:ascii="Arial" w:eastAsia="Times New Roman" w:hAnsi="Arial" w:cs="Arial"/>
          <w:sz w:val="24"/>
          <w:szCs w:val="24"/>
        </w:rPr>
        <w:t xml:space="preserve"> No comments were received.</w:t>
      </w:r>
    </w:p>
    <w:p w:rsidR="00570098" w:rsidRPr="00E525CE" w:rsidP="00C64707" w14:paraId="3FD360AC" w14:textId="77777777">
      <w:pPr>
        <w:shd w:val="clear" w:color="auto" w:fill="FFFFFF"/>
        <w:spacing w:after="0" w:line="240" w:lineRule="auto"/>
        <w:rPr>
          <w:rFonts w:ascii="Arial" w:eastAsia="Times New Roman" w:hAnsi="Arial" w:cs="Arial"/>
          <w:sz w:val="24"/>
          <w:szCs w:val="24"/>
          <w:highlight w:val="yellow"/>
        </w:rPr>
      </w:pPr>
    </w:p>
    <w:p w:rsidR="00570098" w:rsidRPr="00F316C5" w:rsidP="0024134E" w14:paraId="53C584D1" w14:textId="77777777">
      <w:pPr>
        <w:pStyle w:val="CommentText"/>
        <w:contextualSpacing/>
        <w:rPr>
          <w:rFonts w:ascii="Arial" w:hAnsi="Arial" w:cs="Arial"/>
          <w:sz w:val="24"/>
          <w:szCs w:val="24"/>
        </w:rPr>
      </w:pPr>
      <w:r w:rsidRPr="00F316C5">
        <w:rPr>
          <w:rFonts w:ascii="Arial" w:hAnsi="Arial" w:cs="Arial"/>
          <w:sz w:val="24"/>
          <w:szCs w:val="24"/>
        </w:rPr>
        <w:t>Apart from the Federal Register Notice, we haven’t taken any measures because the information we will be collecting with this electronic portal is information we are already collecting today with paper or email submissions.</w:t>
      </w:r>
    </w:p>
    <w:p w:rsidR="00C64707" w:rsidRPr="00E525CE" w:rsidP="00C64707" w14:paraId="310A4C68" w14:textId="77777777">
      <w:pPr>
        <w:shd w:val="clear" w:color="auto" w:fill="FFFFFF"/>
        <w:spacing w:after="0" w:line="240" w:lineRule="auto"/>
        <w:rPr>
          <w:rFonts w:ascii="Arial" w:eastAsia="Times New Roman" w:hAnsi="Arial" w:cs="Arial"/>
          <w:sz w:val="24"/>
          <w:szCs w:val="24"/>
          <w:highlight w:val="yellow"/>
        </w:rPr>
      </w:pPr>
      <w:r w:rsidRPr="00E525CE">
        <w:rPr>
          <w:rFonts w:ascii="Arial" w:eastAsia="Times New Roman" w:hAnsi="Arial" w:cs="Arial"/>
          <w:sz w:val="24"/>
          <w:szCs w:val="24"/>
          <w:highlight w:val="yellow"/>
        </w:rPr>
        <w:br/>
      </w:r>
    </w:p>
    <w:p w:rsidR="00C64707" w:rsidRPr="00E525CE" w:rsidP="00C64707" w14:paraId="73220446" w14:textId="77777777">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b/>
          <w:bCs/>
          <w:sz w:val="24"/>
          <w:szCs w:val="24"/>
        </w:rPr>
        <w:t>9. Explain any decisions to provide payments or gifts to respondents, other than remuneration of contractors or grantees.</w:t>
      </w:r>
    </w:p>
    <w:p w:rsidR="0054771F" w:rsidRPr="00E525CE" w:rsidP="00C64707" w14:paraId="73C1F9E8" w14:textId="77777777">
      <w:pPr>
        <w:shd w:val="clear" w:color="auto" w:fill="FFFFFF"/>
        <w:spacing w:after="0" w:line="240" w:lineRule="auto"/>
        <w:rPr>
          <w:rFonts w:ascii="Arial" w:eastAsia="Times New Roman" w:hAnsi="Arial" w:cs="Arial"/>
          <w:sz w:val="24"/>
          <w:szCs w:val="24"/>
        </w:rPr>
      </w:pPr>
    </w:p>
    <w:p w:rsidR="0054771F" w:rsidRPr="00E525CE" w:rsidP="00C64707" w14:paraId="739D324A" w14:textId="77777777">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sz w:val="24"/>
          <w:szCs w:val="24"/>
        </w:rPr>
        <w:t>We do not provide any payment or gifts to respondents.</w:t>
      </w:r>
    </w:p>
    <w:p w:rsidR="00C64707" w:rsidRPr="00E525CE" w:rsidP="00C64707" w14:paraId="709F2835" w14:textId="77777777">
      <w:pPr>
        <w:shd w:val="clear" w:color="auto" w:fill="FFFFFF"/>
        <w:spacing w:after="0" w:line="240" w:lineRule="auto"/>
        <w:rPr>
          <w:rFonts w:ascii="Arial" w:eastAsia="Times New Roman" w:hAnsi="Arial" w:cs="Arial"/>
          <w:sz w:val="24"/>
          <w:szCs w:val="24"/>
          <w:highlight w:val="yellow"/>
        </w:rPr>
      </w:pPr>
      <w:r w:rsidRPr="00E525CE">
        <w:rPr>
          <w:rFonts w:ascii="Arial" w:eastAsia="Times New Roman" w:hAnsi="Arial" w:cs="Arial"/>
          <w:sz w:val="24"/>
          <w:szCs w:val="24"/>
          <w:highlight w:val="yellow"/>
        </w:rPr>
        <w:br/>
      </w:r>
    </w:p>
    <w:p w:rsidR="0054771F" w:rsidRPr="00E525CE" w:rsidP="00C64707" w14:paraId="3C43B73F" w14:textId="30470F0D">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b/>
          <w:bCs/>
          <w:sz w:val="24"/>
          <w:szCs w:val="24"/>
        </w:rPr>
        <w:t>10. Describe any assurance of confidentiality provided to respondents and the basis for assurance in statute, regulation, or agency policy.</w:t>
      </w:r>
      <w:r w:rsidRPr="00E525CE">
        <w:rPr>
          <w:rFonts w:ascii="Arial" w:eastAsia="Times New Roman" w:hAnsi="Arial" w:cs="Arial"/>
          <w:sz w:val="24"/>
          <w:szCs w:val="24"/>
        </w:rPr>
        <w:br/>
      </w:r>
    </w:p>
    <w:p w:rsidR="0054771F" w:rsidRPr="00E525CE" w:rsidP="0054771F" w14:paraId="0CD9C102" w14:textId="77777777">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sz w:val="24"/>
          <w:szCs w:val="24"/>
        </w:rPr>
        <w:t>We give respondents no assurance of confidentiality.</w:t>
      </w:r>
    </w:p>
    <w:p w:rsidR="00C64707" w:rsidRPr="00E525CE" w:rsidP="00C64707" w14:paraId="383D0ECD" w14:textId="77777777">
      <w:pPr>
        <w:shd w:val="clear" w:color="auto" w:fill="FFFFFF"/>
        <w:spacing w:after="0" w:line="240" w:lineRule="auto"/>
        <w:rPr>
          <w:rFonts w:ascii="Arial" w:eastAsia="Times New Roman" w:hAnsi="Arial" w:cs="Arial"/>
          <w:sz w:val="24"/>
          <w:szCs w:val="24"/>
          <w:highlight w:val="yellow"/>
        </w:rPr>
      </w:pPr>
      <w:r w:rsidRPr="00E525CE">
        <w:rPr>
          <w:rFonts w:ascii="Arial" w:eastAsia="Times New Roman" w:hAnsi="Arial" w:cs="Arial"/>
          <w:b/>
          <w:bCs/>
          <w:sz w:val="24"/>
          <w:szCs w:val="24"/>
          <w:highlight w:val="yellow"/>
        </w:rPr>
        <w:br/>
      </w:r>
    </w:p>
    <w:p w:rsidR="0054771F" w:rsidRPr="00E525CE" w:rsidP="00C64707" w14:paraId="05452DAF" w14:textId="3119422F">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r w:rsidRPr="00E525CE">
        <w:rPr>
          <w:rFonts w:ascii="Arial" w:eastAsia="Times New Roman" w:hAnsi="Arial" w:cs="Arial"/>
          <w:sz w:val="24"/>
          <w:szCs w:val="24"/>
        </w:rPr>
        <w:br/>
      </w:r>
    </w:p>
    <w:p w:rsidR="0054771F" w:rsidRPr="00E525CE" w:rsidP="0054771F" w14:paraId="49F63DA8" w14:textId="77777777">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sz w:val="24"/>
          <w:szCs w:val="24"/>
        </w:rPr>
        <w:t>There are no sensitive questions.</w:t>
      </w:r>
    </w:p>
    <w:p w:rsidR="00C64707" w:rsidRPr="00E525CE" w:rsidP="00C64707" w14:paraId="7FCDD253" w14:textId="146A7CCD">
      <w:pPr>
        <w:shd w:val="clear" w:color="auto" w:fill="FFFFFF"/>
        <w:spacing w:after="0" w:line="240" w:lineRule="auto"/>
        <w:rPr>
          <w:rFonts w:ascii="Arial" w:eastAsia="Times New Roman" w:hAnsi="Arial" w:cs="Arial"/>
          <w:sz w:val="24"/>
          <w:szCs w:val="24"/>
          <w:highlight w:val="yellow"/>
        </w:rPr>
      </w:pPr>
      <w:r w:rsidRPr="00E525CE">
        <w:rPr>
          <w:rFonts w:ascii="Arial" w:eastAsia="Times New Roman" w:hAnsi="Arial" w:cs="Arial"/>
          <w:sz w:val="24"/>
          <w:szCs w:val="24"/>
          <w:highlight w:val="yellow"/>
        </w:rPr>
        <w:br/>
      </w:r>
    </w:p>
    <w:p w:rsidR="00C64707" w:rsidRPr="002C345F" w:rsidP="00C64707" w14:paraId="160AAB26" w14:textId="77777777">
      <w:pPr>
        <w:shd w:val="clear" w:color="auto" w:fill="FFFFFF"/>
        <w:spacing w:after="0" w:line="240" w:lineRule="auto"/>
        <w:rPr>
          <w:rFonts w:ascii="Arial" w:eastAsia="Times New Roman" w:hAnsi="Arial" w:cs="Arial"/>
          <w:sz w:val="24"/>
          <w:szCs w:val="24"/>
        </w:rPr>
      </w:pPr>
      <w:r w:rsidRPr="002C345F">
        <w:rPr>
          <w:rFonts w:ascii="Arial" w:eastAsia="Times New Roman" w:hAnsi="Arial" w:cs="Arial"/>
          <w:b/>
          <w:bCs/>
          <w:sz w:val="24"/>
          <w:szCs w:val="24"/>
        </w:rPr>
        <w:t>12. Provide estimates of the hour burden of the collection of information. The statement should:</w:t>
      </w:r>
    </w:p>
    <w:p w:rsidR="00C64707" w:rsidRPr="00E525CE" w:rsidP="00925E0D" w14:paraId="35B7F1CE" w14:textId="0A28B0AD">
      <w:pPr>
        <w:shd w:val="clear" w:color="auto" w:fill="FFFFFF"/>
        <w:spacing w:after="0" w:line="240" w:lineRule="auto"/>
        <w:rPr>
          <w:rFonts w:ascii="Arial" w:eastAsia="Times New Roman" w:hAnsi="Arial" w:cs="Arial"/>
          <w:sz w:val="24"/>
          <w:szCs w:val="24"/>
          <w:highlight w:val="yellow"/>
        </w:rPr>
      </w:pPr>
    </w:p>
    <w:p w:rsidR="00C71C31" w:rsidRPr="00E525CE" w:rsidP="00320D6D" w14:paraId="56C7D021" w14:textId="77777777">
      <w:pPr>
        <w:shd w:val="clear" w:color="auto" w:fill="FFFFFF"/>
        <w:spacing w:after="0"/>
        <w:rPr>
          <w:rFonts w:ascii="Arial" w:hAnsi="Arial" w:cs="Arial"/>
          <w:sz w:val="24"/>
          <w:szCs w:val="24"/>
          <w:highlight w:val="yellow"/>
        </w:rPr>
      </w:pPr>
      <w:r w:rsidRPr="00E525CE">
        <w:rPr>
          <w:rFonts w:ascii="Arial" w:hAnsi="Arial" w:cs="Arial"/>
          <w:sz w:val="24"/>
          <w:szCs w:val="24"/>
        </w:rPr>
        <w:t xml:space="preserve">We estimate that 25 ADs yearly will require reports of information and findings.  The average AD affects about 1,120 owners/operators.  Therefore, 25 ADs times 1,120 owners/operators per year equal 28,000 reports.  These reports, requiring an average of 1 hour each to prepare, consume 28,000 reporting hours.  </w:t>
      </w:r>
    </w:p>
    <w:p w:rsidR="00C71C31" w:rsidRPr="00E525CE" w:rsidP="004932D3" w14:paraId="4A885515" w14:textId="77777777">
      <w:pPr>
        <w:pStyle w:val="ListParagraph"/>
        <w:shd w:val="clear" w:color="auto" w:fill="FFFFFF"/>
        <w:spacing w:after="0"/>
        <w:rPr>
          <w:rFonts w:ascii="Arial" w:hAnsi="Arial" w:cs="Arial"/>
          <w:sz w:val="24"/>
          <w:szCs w:val="24"/>
          <w:highlight w:val="yellow"/>
        </w:rPr>
      </w:pPr>
    </w:p>
    <w:p w:rsidR="00C71C31" w:rsidRPr="000B06A9" w:rsidP="00320D6D" w14:paraId="6B34F153" w14:textId="56678375">
      <w:pPr>
        <w:shd w:val="clear" w:color="auto" w:fill="FFFFFF"/>
        <w:spacing w:after="0"/>
        <w:rPr>
          <w:rFonts w:ascii="Arial" w:hAnsi="Arial" w:cs="Arial"/>
          <w:sz w:val="24"/>
          <w:szCs w:val="24"/>
        </w:rPr>
      </w:pPr>
      <w:r w:rsidRPr="000B06A9">
        <w:rPr>
          <w:rFonts w:ascii="Arial" w:hAnsi="Arial" w:cs="Arial"/>
          <w:sz w:val="24"/>
          <w:szCs w:val="24"/>
        </w:rPr>
        <w:t>The estimated fully loaded hourly rate for an aircraft mechanic is $8</w:t>
      </w:r>
      <w:r w:rsidRPr="000B06A9" w:rsidR="000B06A9">
        <w:rPr>
          <w:rFonts w:ascii="Arial" w:hAnsi="Arial" w:cs="Arial"/>
          <w:sz w:val="24"/>
          <w:szCs w:val="24"/>
        </w:rPr>
        <w:t>3.27</w:t>
      </w:r>
      <w:r w:rsidRPr="000B06A9">
        <w:rPr>
          <w:rFonts w:ascii="Arial" w:hAnsi="Arial" w:cs="Arial"/>
          <w:sz w:val="24"/>
          <w:szCs w:val="24"/>
        </w:rPr>
        <w:t>/hour.  The FAA used the mean hourly wage for aircraft mechanics and technicians of $3</w:t>
      </w:r>
      <w:r w:rsidRPr="000B06A9" w:rsidR="002C6BC4">
        <w:rPr>
          <w:rFonts w:ascii="Arial" w:hAnsi="Arial" w:cs="Arial"/>
          <w:sz w:val="24"/>
          <w:szCs w:val="24"/>
        </w:rPr>
        <w:t>6.25</w:t>
      </w:r>
      <w:r w:rsidRPr="000B06A9">
        <w:rPr>
          <w:rFonts w:ascii="Arial" w:hAnsi="Arial" w:cs="Arial"/>
          <w:sz w:val="24"/>
          <w:szCs w:val="24"/>
        </w:rPr>
        <w:t>/hour</w:t>
      </w:r>
      <w:bookmarkStart w:id="0" w:name="_Ref182559231"/>
      <w:r>
        <w:rPr>
          <w:rStyle w:val="FootnoteReference"/>
          <w:rFonts w:ascii="Arial" w:hAnsi="Arial" w:cs="Arial"/>
          <w:szCs w:val="24"/>
        </w:rPr>
        <w:footnoteReference w:id="2"/>
      </w:r>
      <w:bookmarkEnd w:id="0"/>
      <w:r w:rsidRPr="000B06A9" w:rsidR="000B06A9">
        <w:rPr>
          <w:rFonts w:ascii="Arial" w:hAnsi="Arial" w:cs="Arial"/>
          <w:sz w:val="24"/>
          <w:szCs w:val="24"/>
        </w:rPr>
        <w:t xml:space="preserve">.  </w:t>
      </w:r>
      <w:r w:rsidRPr="000B06A9" w:rsidR="000B06A9">
        <w:rPr>
          <w:rFonts w:ascii="Arial" w:hAnsi="Arial" w:cs="Arial"/>
          <w:sz w:val="24"/>
          <w:szCs w:val="24"/>
        </w:rPr>
        <w:t>Adding a fringe of 29.7</w:t>
      </w:r>
      <w:r w:rsidRPr="000B06A9">
        <w:rPr>
          <w:rFonts w:ascii="Arial" w:hAnsi="Arial" w:cs="Arial"/>
          <w:sz w:val="24"/>
          <w:szCs w:val="24"/>
        </w:rPr>
        <w:t xml:space="preserve"> percent</w:t>
      </w:r>
      <w:bookmarkStart w:id="1" w:name="_Ref182559099"/>
      <w:r>
        <w:rPr>
          <w:rStyle w:val="FootnoteReference"/>
          <w:rFonts w:ascii="Arial" w:hAnsi="Arial" w:cs="Arial"/>
          <w:szCs w:val="24"/>
        </w:rPr>
        <w:footnoteReference w:id="3"/>
      </w:r>
      <w:bookmarkEnd w:id="1"/>
      <w:r w:rsidRPr="000B06A9">
        <w:rPr>
          <w:rFonts w:ascii="Arial" w:hAnsi="Arial" w:cs="Arial"/>
          <w:sz w:val="24"/>
          <w:szCs w:val="24"/>
        </w:rPr>
        <w:t xml:space="preserve"> </w:t>
      </w:r>
      <w:r w:rsidRPr="000B06A9" w:rsidR="000B06A9">
        <w:rPr>
          <w:rFonts w:ascii="Arial" w:hAnsi="Arial" w:cs="Arial"/>
          <w:sz w:val="24"/>
          <w:szCs w:val="24"/>
        </w:rPr>
        <w:t>equals $10.77/hour and an overhead of 100 percent per direct labor hour this total hourly rate is $83.27 [$36.25 + $10.77 + $36.25].</w:t>
      </w:r>
    </w:p>
    <w:p w:rsidR="00C71C31" w:rsidRPr="000B06A9" w:rsidP="004932D3" w14:paraId="691AF02A" w14:textId="77777777">
      <w:pPr>
        <w:pStyle w:val="ListParagraph"/>
        <w:shd w:val="clear" w:color="auto" w:fill="FFFFFF"/>
        <w:spacing w:after="0"/>
        <w:rPr>
          <w:rFonts w:ascii="Arial" w:hAnsi="Arial" w:cs="Arial"/>
          <w:sz w:val="24"/>
          <w:szCs w:val="24"/>
        </w:rPr>
      </w:pPr>
    </w:p>
    <w:p w:rsidR="00C71C31" w:rsidRPr="000B06A9" w:rsidP="00320D6D" w14:paraId="497C7491" w14:textId="0D4191D2">
      <w:pPr>
        <w:shd w:val="clear" w:color="auto" w:fill="FFFFFF"/>
        <w:spacing w:after="0"/>
        <w:rPr>
          <w:rFonts w:ascii="Arial" w:hAnsi="Arial" w:cs="Arial"/>
          <w:sz w:val="24"/>
          <w:szCs w:val="24"/>
        </w:rPr>
      </w:pPr>
      <w:r w:rsidRPr="000B06A9">
        <w:rPr>
          <w:rFonts w:ascii="Arial" w:hAnsi="Arial" w:cs="Arial"/>
          <w:sz w:val="24"/>
          <w:szCs w:val="24"/>
        </w:rPr>
        <w:t>The total annualized cost to respondents is $2,3</w:t>
      </w:r>
      <w:r w:rsidRPr="000B06A9" w:rsidR="000B06A9">
        <w:rPr>
          <w:rFonts w:ascii="Arial" w:hAnsi="Arial" w:cs="Arial"/>
          <w:sz w:val="24"/>
          <w:szCs w:val="24"/>
        </w:rPr>
        <w:t>31,455</w:t>
      </w:r>
      <w:r w:rsidRPr="000B06A9">
        <w:rPr>
          <w:rFonts w:ascii="Arial" w:hAnsi="Arial" w:cs="Arial"/>
          <w:sz w:val="24"/>
          <w:szCs w:val="24"/>
        </w:rPr>
        <w:t>.  We base this on the 28,000 reporting hours times an estimated hourly rate of $8</w:t>
      </w:r>
      <w:r w:rsidRPr="000B06A9" w:rsidR="000B06A9">
        <w:rPr>
          <w:rFonts w:ascii="Arial" w:hAnsi="Arial" w:cs="Arial"/>
          <w:sz w:val="24"/>
          <w:szCs w:val="24"/>
        </w:rPr>
        <w:t>3.27</w:t>
      </w:r>
      <w:r w:rsidRPr="000B06A9">
        <w:rPr>
          <w:rFonts w:ascii="Arial" w:hAnsi="Arial" w:cs="Arial"/>
          <w:sz w:val="24"/>
          <w:szCs w:val="24"/>
        </w:rPr>
        <w:t>/hour per respondent.  The average cost to the respondents per AD per year is $</w:t>
      </w:r>
      <w:r w:rsidRPr="000B06A9" w:rsidR="000B06A9">
        <w:rPr>
          <w:rFonts w:ascii="Arial" w:hAnsi="Arial" w:cs="Arial"/>
          <w:sz w:val="24"/>
          <w:szCs w:val="24"/>
        </w:rPr>
        <w:t>83</w:t>
      </w:r>
      <w:r w:rsidRPr="000B06A9">
        <w:rPr>
          <w:rFonts w:ascii="Arial" w:hAnsi="Arial" w:cs="Arial"/>
          <w:sz w:val="24"/>
          <w:szCs w:val="24"/>
        </w:rPr>
        <w:t>.</w:t>
      </w:r>
      <w:r w:rsidRPr="000B06A9" w:rsidR="000B06A9">
        <w:rPr>
          <w:rFonts w:ascii="Arial" w:hAnsi="Arial" w:cs="Arial"/>
          <w:sz w:val="24"/>
          <w:szCs w:val="24"/>
        </w:rPr>
        <w:t>27</w:t>
      </w:r>
      <w:r w:rsidRPr="000B06A9">
        <w:rPr>
          <w:rFonts w:ascii="Arial" w:hAnsi="Arial" w:cs="Arial"/>
          <w:sz w:val="24"/>
          <w:szCs w:val="24"/>
        </w:rPr>
        <w:t xml:space="preserve"> ($2,3</w:t>
      </w:r>
      <w:r w:rsidRPr="000B06A9" w:rsidR="000B06A9">
        <w:rPr>
          <w:rFonts w:ascii="Arial" w:hAnsi="Arial" w:cs="Arial"/>
          <w:sz w:val="24"/>
          <w:szCs w:val="24"/>
        </w:rPr>
        <w:t>31,455</w:t>
      </w:r>
      <w:r w:rsidRPr="000B06A9">
        <w:rPr>
          <w:rFonts w:ascii="Arial" w:hAnsi="Arial" w:cs="Arial"/>
          <w:sz w:val="24"/>
          <w:szCs w:val="24"/>
        </w:rPr>
        <w:t xml:space="preserve"> divided by 28,000).  </w:t>
      </w:r>
    </w:p>
    <w:p w:rsidR="00C71C31" w:rsidRPr="00E525CE" w:rsidP="004932D3" w14:paraId="4690BB70" w14:textId="77777777">
      <w:pPr>
        <w:pStyle w:val="ListParagraph"/>
        <w:shd w:val="clear" w:color="auto" w:fill="FFFFFF"/>
        <w:spacing w:after="0"/>
        <w:rPr>
          <w:rFonts w:ascii="Arial" w:hAnsi="Arial" w:cs="Arial"/>
          <w:sz w:val="24"/>
          <w:szCs w:val="24"/>
          <w:highlight w:val="yellow"/>
        </w:rPr>
      </w:pPr>
    </w:p>
    <w:p w:rsidR="00C71C31" w:rsidRPr="00E525CE" w:rsidP="00320D6D" w14:paraId="39738C95" w14:textId="77777777">
      <w:pPr>
        <w:shd w:val="clear" w:color="auto" w:fill="FFFFFF"/>
        <w:spacing w:after="0"/>
        <w:rPr>
          <w:rFonts w:ascii="Arial" w:hAnsi="Arial" w:cs="Arial"/>
          <w:sz w:val="24"/>
          <w:szCs w:val="24"/>
          <w:highlight w:val="yellow"/>
        </w:rPr>
      </w:pPr>
      <w:r w:rsidRPr="000B06A9">
        <w:rPr>
          <w:rFonts w:ascii="Arial" w:hAnsi="Arial" w:cs="Arial"/>
          <w:sz w:val="24"/>
          <w:szCs w:val="24"/>
        </w:rPr>
        <w:t xml:space="preserve">The information collection burden is a reporting burden only.  AD record keeping is covered as follows: Title 14 §§ 43.9, 43.11, and 91.417 require each registered owner/operator to keep records regarding the work performed on each aircraft.  The records must include the current status of applicable ADs including, for each, the method of compliance, AD number, and the revision date.  If the AD requires future </w:t>
      </w:r>
      <w:r w:rsidRPr="00806409">
        <w:rPr>
          <w:rFonts w:ascii="Arial" w:hAnsi="Arial" w:cs="Arial"/>
          <w:sz w:val="24"/>
          <w:szCs w:val="24"/>
        </w:rPr>
        <w:t>actions, the owner/operator must record the time and date the next action is required.   The record-keeping burden of ADs is covered and approved in reports 2120-0005 (14 CFR part 91), and 2120-0020 (14 CFR part 43).</w:t>
      </w:r>
    </w:p>
    <w:p w:rsidR="00D049CE" w:rsidRPr="00E525CE" w:rsidP="00C71C31" w14:paraId="07399809" w14:textId="478A4A4A">
      <w:pPr>
        <w:shd w:val="clear" w:color="auto" w:fill="FFFFFF"/>
        <w:spacing w:after="0" w:line="240" w:lineRule="auto"/>
        <w:rPr>
          <w:rFonts w:ascii="Arial" w:eastAsia="Times New Roman" w:hAnsi="Arial" w:cs="Arial"/>
          <w:sz w:val="24"/>
          <w:szCs w:val="24"/>
          <w:highlight w:val="yellow"/>
        </w:rPr>
      </w:pPr>
    </w:p>
    <w:tbl>
      <w:tblPr>
        <w:tblW w:w="8455" w:type="dxa"/>
        <w:tblLook w:val="04A0"/>
      </w:tblPr>
      <w:tblGrid>
        <w:gridCol w:w="1975"/>
        <w:gridCol w:w="2430"/>
        <w:gridCol w:w="2070"/>
        <w:gridCol w:w="1980"/>
      </w:tblGrid>
      <w:tr w14:paraId="71647E01" w14:textId="77777777" w:rsidTr="00F64063">
        <w:tblPrEx>
          <w:tblW w:w="8455" w:type="dxa"/>
          <w:tblLook w:val="04A0"/>
        </w:tblPrEx>
        <w:trPr>
          <w:trHeight w:val="630"/>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1C31" w:rsidRPr="00F64063" w:rsidP="00593A8D" w14:paraId="2223643D" w14:textId="77777777">
            <w:pPr>
              <w:spacing w:after="0" w:line="240" w:lineRule="auto"/>
              <w:rPr>
                <w:rFonts w:ascii="Arial" w:hAnsi="Arial" w:cs="Arial"/>
                <w:b/>
                <w:sz w:val="24"/>
                <w:szCs w:val="24"/>
              </w:rPr>
            </w:pPr>
            <w:r w:rsidRPr="00F64063">
              <w:rPr>
                <w:rFonts w:ascii="Arial" w:hAnsi="Arial" w:cs="Arial"/>
                <w:b/>
                <w:sz w:val="24"/>
                <w:szCs w:val="24"/>
              </w:rPr>
              <w:t> Summary (Annual numbers)</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C71C31" w:rsidRPr="00F64063" w:rsidP="00593A8D" w14:paraId="42C931A1" w14:textId="77777777">
            <w:pPr>
              <w:spacing w:after="0" w:line="240" w:lineRule="auto"/>
              <w:rPr>
                <w:rFonts w:ascii="Arial" w:hAnsi="Arial" w:cs="Arial"/>
                <w:b/>
                <w:bCs/>
                <w:sz w:val="24"/>
                <w:szCs w:val="24"/>
              </w:rPr>
            </w:pPr>
            <w:r w:rsidRPr="00F64063">
              <w:rPr>
                <w:rFonts w:ascii="Arial" w:hAnsi="Arial" w:cs="Arial"/>
                <w:b/>
                <w:bCs/>
                <w:sz w:val="24"/>
                <w:szCs w:val="24"/>
              </w:rPr>
              <w:t>Reporting</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C71C31" w:rsidRPr="00F64063" w:rsidP="00593A8D" w14:paraId="3B81D38B" w14:textId="77777777">
            <w:pPr>
              <w:spacing w:after="0" w:line="240" w:lineRule="auto"/>
              <w:rPr>
                <w:rFonts w:ascii="Arial" w:hAnsi="Arial" w:cs="Arial"/>
                <w:b/>
                <w:bCs/>
                <w:sz w:val="24"/>
                <w:szCs w:val="24"/>
              </w:rPr>
            </w:pPr>
            <w:r w:rsidRPr="00F64063">
              <w:rPr>
                <w:rFonts w:ascii="Arial" w:hAnsi="Arial" w:cs="Arial"/>
                <w:b/>
                <w:bCs/>
                <w:sz w:val="24"/>
                <w:szCs w:val="24"/>
              </w:rPr>
              <w:t>Recordkeeping</w:t>
            </w:r>
          </w:p>
        </w:tc>
        <w:tc>
          <w:tcPr>
            <w:tcW w:w="1980" w:type="dxa"/>
            <w:tcBorders>
              <w:top w:val="single" w:sz="4" w:space="0" w:color="auto"/>
              <w:left w:val="nil"/>
              <w:bottom w:val="single" w:sz="4" w:space="0" w:color="auto"/>
              <w:right w:val="single" w:sz="4" w:space="0" w:color="auto"/>
            </w:tcBorders>
            <w:vAlign w:val="bottom"/>
          </w:tcPr>
          <w:p w:rsidR="00C71C31" w:rsidRPr="00F64063" w:rsidP="00593A8D" w14:paraId="7E9D3E1B" w14:textId="77777777">
            <w:pPr>
              <w:spacing w:after="0" w:line="240" w:lineRule="auto"/>
              <w:rPr>
                <w:rFonts w:ascii="Arial" w:hAnsi="Arial" w:cs="Arial"/>
                <w:b/>
                <w:bCs/>
                <w:sz w:val="24"/>
                <w:szCs w:val="24"/>
              </w:rPr>
            </w:pPr>
            <w:r w:rsidRPr="00F64063">
              <w:rPr>
                <w:rFonts w:ascii="Arial" w:hAnsi="Arial" w:cs="Arial"/>
                <w:b/>
                <w:bCs/>
                <w:sz w:val="24"/>
                <w:szCs w:val="24"/>
              </w:rPr>
              <w:t>Disclosure</w:t>
            </w:r>
          </w:p>
        </w:tc>
      </w:tr>
      <w:tr w14:paraId="345FDDF7" w14:textId="77777777" w:rsidTr="00F64063">
        <w:tblPrEx>
          <w:tblW w:w="8455" w:type="dxa"/>
          <w:tblLook w:val="04A0"/>
        </w:tblPrEx>
        <w:trPr>
          <w:trHeight w:val="46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477AA3" w:rsidRPr="00F64063" w:rsidP="00477AA3" w14:paraId="3742D14B" w14:textId="77777777">
            <w:pPr>
              <w:spacing w:after="0" w:line="240" w:lineRule="auto"/>
              <w:rPr>
                <w:rFonts w:ascii="Arial" w:hAnsi="Arial" w:cs="Arial"/>
                <w:b/>
                <w:bCs/>
                <w:sz w:val="24"/>
                <w:szCs w:val="24"/>
              </w:rPr>
            </w:pPr>
            <w:r w:rsidRPr="00F64063">
              <w:rPr>
                <w:rFonts w:ascii="Arial" w:hAnsi="Arial" w:cs="Arial"/>
                <w:b/>
                <w:bCs/>
                <w:sz w:val="24"/>
                <w:szCs w:val="24"/>
              </w:rPr>
              <w:t># of Respondents</w:t>
            </w:r>
          </w:p>
        </w:tc>
        <w:tc>
          <w:tcPr>
            <w:tcW w:w="2430" w:type="dxa"/>
            <w:tcBorders>
              <w:top w:val="nil"/>
              <w:left w:val="nil"/>
              <w:bottom w:val="single" w:sz="4" w:space="0" w:color="auto"/>
              <w:right w:val="single" w:sz="4" w:space="0" w:color="auto"/>
            </w:tcBorders>
            <w:shd w:val="clear" w:color="auto" w:fill="auto"/>
            <w:noWrap/>
            <w:vAlign w:val="bottom"/>
          </w:tcPr>
          <w:p w:rsidR="00477AA3" w:rsidRPr="00F64063" w:rsidP="00477AA3" w14:paraId="1963F780" w14:textId="3338FD9D">
            <w:pPr>
              <w:spacing w:after="0" w:line="240" w:lineRule="auto"/>
              <w:rPr>
                <w:rFonts w:ascii="Arial" w:hAnsi="Arial" w:cs="Arial"/>
                <w:sz w:val="24"/>
                <w:szCs w:val="24"/>
              </w:rPr>
            </w:pPr>
            <w:r w:rsidRPr="00F64063">
              <w:rPr>
                <w:rFonts w:ascii="Arial" w:hAnsi="Arial" w:cs="Arial"/>
                <w:sz w:val="24"/>
                <w:szCs w:val="24"/>
              </w:rPr>
              <w:t>1</w:t>
            </w:r>
            <w:r w:rsidRPr="00F64063" w:rsidR="00E04D02">
              <w:rPr>
                <w:rFonts w:ascii="Arial" w:hAnsi="Arial" w:cs="Arial"/>
                <w:sz w:val="24"/>
                <w:szCs w:val="24"/>
              </w:rPr>
              <w:t>,</w:t>
            </w:r>
            <w:r w:rsidRPr="00F64063">
              <w:rPr>
                <w:rFonts w:ascii="Arial" w:hAnsi="Arial" w:cs="Arial"/>
                <w:sz w:val="24"/>
                <w:szCs w:val="24"/>
              </w:rPr>
              <w:t>120</w:t>
            </w:r>
          </w:p>
        </w:tc>
        <w:tc>
          <w:tcPr>
            <w:tcW w:w="2070" w:type="dxa"/>
            <w:tcBorders>
              <w:top w:val="nil"/>
              <w:left w:val="nil"/>
              <w:bottom w:val="single" w:sz="4" w:space="0" w:color="auto"/>
              <w:right w:val="single" w:sz="4" w:space="0" w:color="auto"/>
            </w:tcBorders>
            <w:shd w:val="clear" w:color="auto" w:fill="auto"/>
            <w:noWrap/>
            <w:vAlign w:val="bottom"/>
          </w:tcPr>
          <w:p w:rsidR="00477AA3" w:rsidRPr="00F64063" w:rsidP="00477AA3" w14:paraId="2B1AA764" w14:textId="4CD50676">
            <w:pPr>
              <w:spacing w:after="0" w:line="240" w:lineRule="auto"/>
              <w:rPr>
                <w:rFonts w:ascii="Arial" w:hAnsi="Arial" w:cs="Arial"/>
                <w:sz w:val="24"/>
                <w:szCs w:val="24"/>
                <w:highlight w:val="yellow"/>
              </w:rPr>
            </w:pPr>
          </w:p>
        </w:tc>
        <w:tc>
          <w:tcPr>
            <w:tcW w:w="1980" w:type="dxa"/>
            <w:tcBorders>
              <w:top w:val="nil"/>
              <w:left w:val="nil"/>
              <w:bottom w:val="single" w:sz="4" w:space="0" w:color="auto"/>
              <w:right w:val="single" w:sz="4" w:space="0" w:color="auto"/>
            </w:tcBorders>
          </w:tcPr>
          <w:p w:rsidR="00477AA3" w:rsidRPr="00F64063" w:rsidP="00477AA3" w14:paraId="38948284" w14:textId="7E2AD908">
            <w:pPr>
              <w:spacing w:after="0" w:line="240" w:lineRule="auto"/>
              <w:rPr>
                <w:rFonts w:ascii="Arial" w:hAnsi="Arial" w:cs="Arial"/>
                <w:sz w:val="24"/>
                <w:szCs w:val="24"/>
                <w:highlight w:val="yellow"/>
              </w:rPr>
            </w:pPr>
          </w:p>
        </w:tc>
      </w:tr>
      <w:tr w14:paraId="62131839" w14:textId="77777777" w:rsidTr="00F64063">
        <w:tblPrEx>
          <w:tblW w:w="8455" w:type="dxa"/>
          <w:tblLook w:val="04A0"/>
        </w:tblPrEx>
        <w:trPr>
          <w:trHeight w:val="33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477AA3" w:rsidRPr="00F64063" w:rsidP="00477AA3" w14:paraId="5CD328AB" w14:textId="7C40C44C">
            <w:pPr>
              <w:spacing w:after="0" w:line="240" w:lineRule="auto"/>
              <w:rPr>
                <w:rFonts w:ascii="Arial" w:hAnsi="Arial" w:cs="Arial"/>
                <w:b/>
                <w:bCs/>
                <w:sz w:val="24"/>
                <w:szCs w:val="24"/>
              </w:rPr>
            </w:pPr>
            <w:r w:rsidRPr="00F64063">
              <w:rPr>
                <w:rFonts w:ascii="Arial" w:hAnsi="Arial" w:cs="Arial"/>
                <w:b/>
                <w:bCs/>
                <w:sz w:val="24"/>
                <w:szCs w:val="24"/>
              </w:rPr>
              <w:t># of Responses</w:t>
            </w:r>
            <w:r w:rsidRPr="00F64063">
              <w:rPr>
                <w:rFonts w:ascii="Arial" w:hAnsi="Arial" w:cs="Arial"/>
                <w:b/>
                <w:bCs/>
                <w:noProof/>
                <w:sz w:val="24"/>
                <w:szCs w:val="24"/>
              </w:rPr>
              <w:t xml:space="preserve"> per respondent</w:t>
            </w:r>
          </w:p>
        </w:tc>
        <w:tc>
          <w:tcPr>
            <w:tcW w:w="2430" w:type="dxa"/>
            <w:tcBorders>
              <w:top w:val="nil"/>
              <w:left w:val="nil"/>
              <w:bottom w:val="single" w:sz="4" w:space="0" w:color="auto"/>
              <w:right w:val="single" w:sz="4" w:space="0" w:color="auto"/>
            </w:tcBorders>
            <w:shd w:val="clear" w:color="auto" w:fill="auto"/>
            <w:noWrap/>
            <w:vAlign w:val="bottom"/>
          </w:tcPr>
          <w:p w:rsidR="00477AA3" w:rsidRPr="00F64063" w:rsidP="00477AA3" w14:paraId="2BCBFD17" w14:textId="2628479A">
            <w:pPr>
              <w:spacing w:after="0" w:line="240" w:lineRule="auto"/>
              <w:rPr>
                <w:rFonts w:ascii="Arial" w:hAnsi="Arial" w:cs="Arial"/>
                <w:sz w:val="24"/>
                <w:szCs w:val="24"/>
              </w:rPr>
            </w:pPr>
            <w:r w:rsidRPr="00F64063">
              <w:rPr>
                <w:rFonts w:ascii="Arial" w:hAnsi="Arial" w:cs="Arial"/>
                <w:sz w:val="24"/>
                <w:szCs w:val="24"/>
              </w:rPr>
              <w:t xml:space="preserve">25 </w:t>
            </w:r>
          </w:p>
        </w:tc>
        <w:tc>
          <w:tcPr>
            <w:tcW w:w="2070" w:type="dxa"/>
            <w:tcBorders>
              <w:top w:val="nil"/>
              <w:left w:val="nil"/>
              <w:bottom w:val="single" w:sz="4" w:space="0" w:color="auto"/>
              <w:right w:val="single" w:sz="4" w:space="0" w:color="auto"/>
            </w:tcBorders>
            <w:shd w:val="clear" w:color="auto" w:fill="auto"/>
            <w:noWrap/>
            <w:vAlign w:val="bottom"/>
          </w:tcPr>
          <w:p w:rsidR="00477AA3" w:rsidRPr="00F64063" w:rsidP="00477AA3" w14:paraId="4BB93472" w14:textId="6F755F6D">
            <w:pPr>
              <w:spacing w:after="0" w:line="240" w:lineRule="auto"/>
              <w:rPr>
                <w:rFonts w:ascii="Arial" w:hAnsi="Arial" w:cs="Arial"/>
                <w:sz w:val="24"/>
                <w:szCs w:val="24"/>
                <w:highlight w:val="yellow"/>
              </w:rPr>
            </w:pPr>
          </w:p>
        </w:tc>
        <w:tc>
          <w:tcPr>
            <w:tcW w:w="1980" w:type="dxa"/>
            <w:tcBorders>
              <w:top w:val="nil"/>
              <w:left w:val="nil"/>
              <w:bottom w:val="single" w:sz="4" w:space="0" w:color="auto"/>
              <w:right w:val="single" w:sz="4" w:space="0" w:color="auto"/>
            </w:tcBorders>
          </w:tcPr>
          <w:p w:rsidR="00477AA3" w:rsidRPr="00F64063" w:rsidP="00477AA3" w14:paraId="1B1DD222" w14:textId="419E42CC">
            <w:pPr>
              <w:spacing w:after="0" w:line="240" w:lineRule="auto"/>
              <w:rPr>
                <w:rFonts w:ascii="Arial" w:hAnsi="Arial" w:cs="Arial"/>
                <w:sz w:val="24"/>
                <w:szCs w:val="24"/>
                <w:highlight w:val="yellow"/>
              </w:rPr>
            </w:pPr>
          </w:p>
        </w:tc>
      </w:tr>
      <w:tr w14:paraId="63EF3747" w14:textId="77777777" w:rsidTr="00F64063">
        <w:tblPrEx>
          <w:tblW w:w="8455" w:type="dxa"/>
          <w:tblLook w:val="04A0"/>
        </w:tblPrEx>
        <w:trPr>
          <w:trHeight w:val="33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477AA3" w:rsidRPr="00F64063" w:rsidP="00477AA3" w14:paraId="1195338D" w14:textId="77777777">
            <w:pPr>
              <w:spacing w:after="0" w:line="240" w:lineRule="auto"/>
              <w:rPr>
                <w:rFonts w:ascii="Arial" w:hAnsi="Arial" w:cs="Arial"/>
                <w:b/>
                <w:bCs/>
                <w:sz w:val="24"/>
                <w:szCs w:val="24"/>
              </w:rPr>
            </w:pPr>
            <w:r w:rsidRPr="00F64063">
              <w:rPr>
                <w:rFonts w:ascii="Arial" w:hAnsi="Arial" w:cs="Arial"/>
                <w:b/>
                <w:bCs/>
                <w:sz w:val="24"/>
                <w:szCs w:val="24"/>
              </w:rPr>
              <w:t>Time per Response</w:t>
            </w:r>
          </w:p>
        </w:tc>
        <w:tc>
          <w:tcPr>
            <w:tcW w:w="2430" w:type="dxa"/>
            <w:tcBorders>
              <w:top w:val="nil"/>
              <w:left w:val="nil"/>
              <w:bottom w:val="single" w:sz="4" w:space="0" w:color="auto"/>
              <w:right w:val="single" w:sz="4" w:space="0" w:color="auto"/>
            </w:tcBorders>
            <w:shd w:val="clear" w:color="auto" w:fill="auto"/>
            <w:noWrap/>
            <w:vAlign w:val="bottom"/>
          </w:tcPr>
          <w:p w:rsidR="00477AA3" w:rsidRPr="00F64063" w:rsidP="00477AA3" w14:paraId="23E770D5" w14:textId="7E96C045">
            <w:pPr>
              <w:spacing w:after="0" w:line="240" w:lineRule="auto"/>
              <w:rPr>
                <w:rFonts w:ascii="Arial" w:hAnsi="Arial" w:cs="Arial"/>
                <w:sz w:val="24"/>
                <w:szCs w:val="24"/>
              </w:rPr>
            </w:pPr>
            <w:r w:rsidRPr="00F64063">
              <w:rPr>
                <w:rFonts w:ascii="Arial" w:hAnsi="Arial" w:cs="Arial"/>
                <w:sz w:val="24"/>
                <w:szCs w:val="24"/>
              </w:rPr>
              <w:t>An average of 1 hour each to prepare</w:t>
            </w:r>
          </w:p>
        </w:tc>
        <w:tc>
          <w:tcPr>
            <w:tcW w:w="2070" w:type="dxa"/>
            <w:tcBorders>
              <w:top w:val="nil"/>
              <w:left w:val="nil"/>
              <w:bottom w:val="single" w:sz="4" w:space="0" w:color="auto"/>
              <w:right w:val="single" w:sz="4" w:space="0" w:color="auto"/>
            </w:tcBorders>
            <w:shd w:val="clear" w:color="auto" w:fill="auto"/>
            <w:noWrap/>
            <w:vAlign w:val="bottom"/>
          </w:tcPr>
          <w:p w:rsidR="00477AA3" w:rsidRPr="00F64063" w:rsidP="00477AA3" w14:paraId="00E04F3C" w14:textId="6977C993">
            <w:pPr>
              <w:spacing w:after="0" w:line="240" w:lineRule="auto"/>
              <w:rPr>
                <w:rFonts w:ascii="Arial" w:hAnsi="Arial" w:cs="Arial"/>
                <w:sz w:val="24"/>
                <w:szCs w:val="24"/>
                <w:highlight w:val="yellow"/>
              </w:rPr>
            </w:pPr>
          </w:p>
        </w:tc>
        <w:tc>
          <w:tcPr>
            <w:tcW w:w="1980" w:type="dxa"/>
            <w:tcBorders>
              <w:top w:val="nil"/>
              <w:left w:val="nil"/>
              <w:bottom w:val="single" w:sz="4" w:space="0" w:color="auto"/>
              <w:right w:val="single" w:sz="4" w:space="0" w:color="auto"/>
            </w:tcBorders>
          </w:tcPr>
          <w:p w:rsidR="00477AA3" w:rsidRPr="00F64063" w:rsidP="00477AA3" w14:paraId="384C5896" w14:textId="0EEE5D23">
            <w:pPr>
              <w:spacing w:after="0" w:line="240" w:lineRule="auto"/>
              <w:rPr>
                <w:rFonts w:ascii="Arial" w:hAnsi="Arial" w:cs="Arial"/>
                <w:sz w:val="24"/>
                <w:szCs w:val="24"/>
                <w:highlight w:val="yellow"/>
              </w:rPr>
            </w:pPr>
          </w:p>
        </w:tc>
      </w:tr>
      <w:tr w14:paraId="00E1BC56" w14:textId="77777777" w:rsidTr="00F64063">
        <w:tblPrEx>
          <w:tblW w:w="8455" w:type="dxa"/>
          <w:tblLook w:val="04A0"/>
        </w:tblPrEx>
        <w:trPr>
          <w:trHeight w:val="33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477AA3" w:rsidRPr="00F64063" w:rsidP="00477AA3" w14:paraId="6B287A5A" w14:textId="77777777">
            <w:pPr>
              <w:spacing w:after="0" w:line="240" w:lineRule="auto"/>
              <w:rPr>
                <w:rFonts w:ascii="Arial" w:hAnsi="Arial" w:cs="Arial"/>
                <w:b/>
                <w:bCs/>
                <w:sz w:val="24"/>
                <w:szCs w:val="24"/>
              </w:rPr>
            </w:pPr>
            <w:r w:rsidRPr="00F64063">
              <w:rPr>
                <w:rFonts w:ascii="Arial" w:hAnsi="Arial" w:cs="Arial"/>
                <w:b/>
                <w:bCs/>
                <w:sz w:val="24"/>
                <w:szCs w:val="24"/>
              </w:rPr>
              <w:t>Total # of responses</w:t>
            </w:r>
          </w:p>
        </w:tc>
        <w:tc>
          <w:tcPr>
            <w:tcW w:w="2430" w:type="dxa"/>
            <w:tcBorders>
              <w:top w:val="nil"/>
              <w:left w:val="nil"/>
              <w:bottom w:val="single" w:sz="4" w:space="0" w:color="auto"/>
              <w:right w:val="single" w:sz="4" w:space="0" w:color="auto"/>
            </w:tcBorders>
            <w:shd w:val="clear" w:color="auto" w:fill="auto"/>
            <w:noWrap/>
            <w:vAlign w:val="bottom"/>
          </w:tcPr>
          <w:p w:rsidR="00477AA3" w:rsidRPr="00F64063" w:rsidP="00477AA3" w14:paraId="0AEACD8D" w14:textId="35364611">
            <w:pPr>
              <w:spacing w:after="0" w:line="240" w:lineRule="auto"/>
              <w:rPr>
                <w:rFonts w:ascii="Arial" w:hAnsi="Arial" w:cs="Arial"/>
                <w:sz w:val="24"/>
                <w:szCs w:val="24"/>
              </w:rPr>
            </w:pPr>
            <w:r w:rsidRPr="00F64063">
              <w:rPr>
                <w:rFonts w:ascii="Arial" w:hAnsi="Arial" w:cs="Arial"/>
                <w:sz w:val="24"/>
                <w:szCs w:val="24"/>
              </w:rPr>
              <w:t>28,000</w:t>
            </w:r>
          </w:p>
        </w:tc>
        <w:tc>
          <w:tcPr>
            <w:tcW w:w="2070" w:type="dxa"/>
            <w:tcBorders>
              <w:top w:val="nil"/>
              <w:left w:val="nil"/>
              <w:bottom w:val="single" w:sz="4" w:space="0" w:color="auto"/>
              <w:right w:val="single" w:sz="4" w:space="0" w:color="auto"/>
            </w:tcBorders>
            <w:shd w:val="clear" w:color="auto" w:fill="auto"/>
            <w:noWrap/>
            <w:vAlign w:val="bottom"/>
          </w:tcPr>
          <w:p w:rsidR="00477AA3" w:rsidRPr="00F64063" w:rsidP="00477AA3" w14:paraId="6CDC61A0" w14:textId="79E4E9DF">
            <w:pPr>
              <w:spacing w:after="0" w:line="240" w:lineRule="auto"/>
              <w:rPr>
                <w:rFonts w:ascii="Arial" w:hAnsi="Arial" w:cs="Arial"/>
                <w:sz w:val="24"/>
                <w:szCs w:val="24"/>
                <w:highlight w:val="yellow"/>
              </w:rPr>
            </w:pPr>
          </w:p>
        </w:tc>
        <w:tc>
          <w:tcPr>
            <w:tcW w:w="1980" w:type="dxa"/>
            <w:tcBorders>
              <w:top w:val="nil"/>
              <w:left w:val="nil"/>
              <w:bottom w:val="single" w:sz="4" w:space="0" w:color="auto"/>
              <w:right w:val="single" w:sz="4" w:space="0" w:color="auto"/>
            </w:tcBorders>
          </w:tcPr>
          <w:p w:rsidR="00477AA3" w:rsidRPr="00F64063" w:rsidP="00477AA3" w14:paraId="5D9A3B4C" w14:textId="2E6F2B82">
            <w:pPr>
              <w:spacing w:after="0" w:line="240" w:lineRule="auto"/>
              <w:rPr>
                <w:rFonts w:ascii="Arial" w:hAnsi="Arial" w:cs="Arial"/>
                <w:sz w:val="24"/>
                <w:szCs w:val="24"/>
                <w:highlight w:val="yellow"/>
              </w:rPr>
            </w:pPr>
          </w:p>
        </w:tc>
      </w:tr>
      <w:tr w14:paraId="0B6894D7" w14:textId="77777777" w:rsidTr="00F64063">
        <w:tblPrEx>
          <w:tblW w:w="8455" w:type="dxa"/>
          <w:tblLook w:val="04A0"/>
        </w:tblPrEx>
        <w:trPr>
          <w:trHeight w:val="330"/>
        </w:trPr>
        <w:tc>
          <w:tcPr>
            <w:tcW w:w="1975" w:type="dxa"/>
            <w:tcBorders>
              <w:top w:val="nil"/>
              <w:left w:val="single" w:sz="4" w:space="0" w:color="auto"/>
              <w:bottom w:val="single" w:sz="4" w:space="0" w:color="auto"/>
              <w:right w:val="single" w:sz="4" w:space="0" w:color="auto"/>
            </w:tcBorders>
            <w:shd w:val="clear" w:color="auto" w:fill="auto"/>
            <w:noWrap/>
            <w:vAlign w:val="bottom"/>
          </w:tcPr>
          <w:p w:rsidR="00477AA3" w:rsidRPr="00F64063" w:rsidP="00477AA3" w14:paraId="6F02EE08" w14:textId="77777777">
            <w:pPr>
              <w:spacing w:after="0" w:line="240" w:lineRule="auto"/>
              <w:rPr>
                <w:rFonts w:ascii="Arial" w:hAnsi="Arial" w:cs="Arial"/>
                <w:b/>
                <w:bCs/>
                <w:sz w:val="24"/>
                <w:szCs w:val="24"/>
              </w:rPr>
            </w:pPr>
            <w:r w:rsidRPr="00F64063">
              <w:rPr>
                <w:rFonts w:ascii="Arial" w:hAnsi="Arial" w:cs="Arial"/>
                <w:b/>
                <w:bCs/>
                <w:sz w:val="24"/>
                <w:szCs w:val="24"/>
              </w:rPr>
              <w:t>Total burden (hours)</w:t>
            </w:r>
          </w:p>
        </w:tc>
        <w:tc>
          <w:tcPr>
            <w:tcW w:w="2430" w:type="dxa"/>
            <w:tcBorders>
              <w:top w:val="nil"/>
              <w:left w:val="nil"/>
              <w:bottom w:val="single" w:sz="4" w:space="0" w:color="auto"/>
              <w:right w:val="single" w:sz="4" w:space="0" w:color="auto"/>
            </w:tcBorders>
            <w:shd w:val="clear" w:color="auto" w:fill="auto"/>
            <w:noWrap/>
            <w:vAlign w:val="bottom"/>
          </w:tcPr>
          <w:p w:rsidR="00477AA3" w:rsidRPr="00F64063" w:rsidP="00A92866" w14:paraId="5E728AFD" w14:textId="2712338A">
            <w:pPr>
              <w:spacing w:after="0" w:line="240" w:lineRule="auto"/>
              <w:rPr>
                <w:rFonts w:ascii="Arial" w:hAnsi="Arial" w:cs="Arial"/>
                <w:sz w:val="24"/>
                <w:szCs w:val="24"/>
              </w:rPr>
            </w:pPr>
            <w:r w:rsidRPr="00F64063">
              <w:rPr>
                <w:rFonts w:ascii="Arial" w:hAnsi="Arial" w:cs="Arial"/>
                <w:sz w:val="24"/>
                <w:szCs w:val="24"/>
              </w:rPr>
              <w:t>28,000 reporting</w:t>
            </w:r>
            <w:r w:rsidRPr="00F64063" w:rsidR="004E2950">
              <w:rPr>
                <w:rFonts w:ascii="Arial" w:hAnsi="Arial" w:cs="Arial"/>
                <w:sz w:val="24"/>
                <w:szCs w:val="24"/>
              </w:rPr>
              <w:t xml:space="preserve"> </w:t>
            </w:r>
            <w:r w:rsidRPr="00F64063">
              <w:rPr>
                <w:rFonts w:ascii="Arial" w:hAnsi="Arial" w:cs="Arial"/>
                <w:sz w:val="24"/>
                <w:szCs w:val="24"/>
              </w:rPr>
              <w:t>hours</w:t>
            </w:r>
          </w:p>
        </w:tc>
        <w:tc>
          <w:tcPr>
            <w:tcW w:w="2070" w:type="dxa"/>
            <w:tcBorders>
              <w:top w:val="nil"/>
              <w:left w:val="nil"/>
              <w:bottom w:val="single" w:sz="4" w:space="0" w:color="auto"/>
              <w:right w:val="single" w:sz="4" w:space="0" w:color="auto"/>
            </w:tcBorders>
            <w:shd w:val="clear" w:color="auto" w:fill="auto"/>
            <w:noWrap/>
            <w:vAlign w:val="bottom"/>
          </w:tcPr>
          <w:p w:rsidR="00477AA3" w:rsidRPr="00F64063" w:rsidP="00477AA3" w14:paraId="6B4AE872" w14:textId="77777777">
            <w:pPr>
              <w:spacing w:after="0" w:line="240" w:lineRule="auto"/>
              <w:rPr>
                <w:rFonts w:ascii="Arial" w:hAnsi="Arial" w:cs="Arial"/>
                <w:sz w:val="24"/>
                <w:szCs w:val="24"/>
                <w:highlight w:val="yellow"/>
              </w:rPr>
            </w:pPr>
          </w:p>
        </w:tc>
        <w:tc>
          <w:tcPr>
            <w:tcW w:w="1980" w:type="dxa"/>
            <w:tcBorders>
              <w:top w:val="nil"/>
              <w:left w:val="nil"/>
              <w:bottom w:val="single" w:sz="4" w:space="0" w:color="auto"/>
              <w:right w:val="single" w:sz="4" w:space="0" w:color="auto"/>
            </w:tcBorders>
          </w:tcPr>
          <w:p w:rsidR="00477AA3" w:rsidRPr="00F64063" w:rsidP="00477AA3" w14:paraId="33C443C4" w14:textId="337CFFA5">
            <w:pPr>
              <w:spacing w:after="0" w:line="240" w:lineRule="auto"/>
              <w:rPr>
                <w:rFonts w:ascii="Arial" w:hAnsi="Arial" w:cs="Arial"/>
                <w:sz w:val="24"/>
                <w:szCs w:val="24"/>
                <w:highlight w:val="yellow"/>
              </w:rPr>
            </w:pPr>
          </w:p>
        </w:tc>
      </w:tr>
    </w:tbl>
    <w:p w:rsidR="00421C6C" w:rsidRPr="00E525CE" w:rsidP="001F0724" w14:paraId="779C50C4" w14:textId="43F3133F">
      <w:pPr>
        <w:shd w:val="clear" w:color="auto" w:fill="FFFFFF"/>
        <w:spacing w:before="100" w:beforeAutospacing="1" w:after="225" w:line="240" w:lineRule="auto"/>
        <w:rPr>
          <w:rFonts w:ascii="Arial" w:eastAsia="Times New Roman" w:hAnsi="Arial" w:cs="Arial"/>
          <w:sz w:val="24"/>
          <w:szCs w:val="24"/>
          <w:highlight w:val="yellow"/>
        </w:rPr>
      </w:pPr>
    </w:p>
    <w:p w:rsidR="00C64707" w:rsidRPr="00E525CE" w:rsidP="00C64707" w14:paraId="4FE5B0CB" w14:textId="77777777">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b/>
          <w:bCs/>
          <w:sz w:val="24"/>
          <w:szCs w:val="24"/>
        </w:rPr>
        <w:t>13. Provide an estimate for the total annual cost burden to respondents or record keepers resulting from the collection of information.</w:t>
      </w:r>
    </w:p>
    <w:p w:rsidR="004932D3" w:rsidRPr="00E525CE" w:rsidP="00C64707" w14:paraId="3A100D2D" w14:textId="77777777">
      <w:pPr>
        <w:shd w:val="clear" w:color="auto" w:fill="FFFFFF"/>
        <w:spacing w:after="0" w:line="240" w:lineRule="auto"/>
        <w:rPr>
          <w:rFonts w:ascii="Arial" w:eastAsia="Times New Roman" w:hAnsi="Arial" w:cs="Arial"/>
          <w:sz w:val="24"/>
          <w:szCs w:val="24"/>
        </w:rPr>
      </w:pPr>
    </w:p>
    <w:p w:rsidR="00F342E7" w:rsidP="00C64707" w14:paraId="6AD2EE16" w14:textId="77777777">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sz w:val="24"/>
          <w:szCs w:val="24"/>
        </w:rPr>
        <w:t>There are no additional costs not already included in Item 12 above.</w:t>
      </w:r>
    </w:p>
    <w:p w:rsidR="0024134E" w:rsidP="00C64707" w14:paraId="56A53F1C" w14:textId="77777777">
      <w:pPr>
        <w:shd w:val="clear" w:color="auto" w:fill="FFFFFF"/>
        <w:spacing w:after="0" w:line="240" w:lineRule="auto"/>
        <w:rPr>
          <w:rFonts w:ascii="Arial" w:eastAsia="Times New Roman" w:hAnsi="Arial" w:cs="Arial"/>
          <w:sz w:val="24"/>
          <w:szCs w:val="24"/>
        </w:rPr>
      </w:pPr>
    </w:p>
    <w:p w:rsidR="0024134E" w:rsidP="00C64707" w14:paraId="0081952E" w14:textId="77777777">
      <w:pPr>
        <w:shd w:val="clear" w:color="auto" w:fill="FFFFFF"/>
        <w:spacing w:after="0" w:line="240" w:lineRule="auto"/>
        <w:rPr>
          <w:rFonts w:ascii="Arial" w:eastAsia="Times New Roman" w:hAnsi="Arial" w:cs="Arial"/>
          <w:sz w:val="24"/>
          <w:szCs w:val="24"/>
        </w:rPr>
      </w:pPr>
    </w:p>
    <w:p w:rsidR="00C64707" w:rsidRPr="00ED1CD2" w:rsidP="00C64707" w14:paraId="59C5FA17" w14:textId="5EF7FDDD">
      <w:pPr>
        <w:shd w:val="clear" w:color="auto" w:fill="FFFFFF"/>
        <w:spacing w:after="0" w:line="240" w:lineRule="auto"/>
        <w:rPr>
          <w:rFonts w:ascii="Arial" w:eastAsia="Times New Roman" w:hAnsi="Arial" w:cs="Arial"/>
          <w:sz w:val="24"/>
          <w:szCs w:val="24"/>
        </w:rPr>
      </w:pPr>
      <w:r w:rsidRPr="00ED1CD2">
        <w:rPr>
          <w:rFonts w:ascii="Arial" w:eastAsia="Times New Roman" w:hAnsi="Arial" w:cs="Arial"/>
          <w:b/>
          <w:bCs/>
          <w:sz w:val="24"/>
          <w:szCs w:val="24"/>
        </w:rPr>
        <w:t xml:space="preserve">14. Provide estimates of annualized costs to the Federal government. Also, provide a description of the method used to estimate cost, which should include </w:t>
      </w:r>
      <w:r w:rsidRPr="00ED1CD2">
        <w:rPr>
          <w:rFonts w:ascii="Arial" w:eastAsia="Times New Roman" w:hAnsi="Arial" w:cs="Arial"/>
          <w:b/>
          <w:bCs/>
          <w:sz w:val="24"/>
          <w:szCs w:val="24"/>
        </w:rPr>
        <w:t>quantification of hours, operational expenses (such as equipment, overhead, printing, and support staff), and any other expense that would not have been incurred without this collection of information.</w:t>
      </w:r>
    </w:p>
    <w:p w:rsidR="00C64707" w:rsidRPr="00E525CE" w:rsidP="00C64707" w14:paraId="1B183008" w14:textId="0833C13B">
      <w:pPr>
        <w:shd w:val="clear" w:color="auto" w:fill="FFFFFF"/>
        <w:spacing w:after="0" w:line="240" w:lineRule="auto"/>
        <w:rPr>
          <w:rFonts w:ascii="Arial" w:eastAsia="Times New Roman" w:hAnsi="Arial" w:cs="Arial"/>
          <w:sz w:val="24"/>
          <w:szCs w:val="24"/>
          <w:highlight w:val="yellow"/>
        </w:rPr>
      </w:pPr>
    </w:p>
    <w:p w:rsidR="00477AA3" w:rsidRPr="00CD14C9" w:rsidP="00477AA3" w14:paraId="6D5751AD" w14:textId="02E3D166">
      <w:pPr>
        <w:shd w:val="clear" w:color="auto" w:fill="FFFFFF"/>
        <w:spacing w:after="0"/>
        <w:rPr>
          <w:rFonts w:ascii="Arial" w:hAnsi="Arial" w:cs="Arial"/>
          <w:sz w:val="24"/>
          <w:szCs w:val="24"/>
        </w:rPr>
      </w:pPr>
      <w:r w:rsidRPr="00CD14C9">
        <w:rPr>
          <w:rFonts w:ascii="Arial" w:hAnsi="Arial" w:cs="Arial"/>
          <w:sz w:val="24"/>
          <w:szCs w:val="24"/>
        </w:rPr>
        <w:t>The total estimated annual cost to the Federal government is $</w:t>
      </w:r>
      <w:r w:rsidR="004A5624">
        <w:rPr>
          <w:rFonts w:ascii="Arial" w:hAnsi="Arial" w:cs="Arial"/>
          <w:sz w:val="24"/>
          <w:szCs w:val="24"/>
        </w:rPr>
        <w:t>574,111.36</w:t>
      </w:r>
      <w:r w:rsidRPr="00CD14C9">
        <w:rPr>
          <w:rFonts w:ascii="Arial" w:hAnsi="Arial" w:cs="Arial"/>
          <w:sz w:val="24"/>
          <w:szCs w:val="24"/>
        </w:rPr>
        <w:t>.  We determined this cost based on time required by FAA aviation safety engineers (ASE) to review the inspection reports.  The typical ASE is an I-band, having an hourly wage listed in the table below dependent on the location of their aircraft certification office (ACO):</w:t>
      </w:r>
      <w:r w:rsidRPr="00CD14C9" w:rsidR="00707061">
        <w:rPr>
          <w:rFonts w:ascii="Arial" w:hAnsi="Arial" w:cs="Arial"/>
          <w:sz w:val="24"/>
          <w:szCs w:val="24"/>
        </w:rPr>
        <w:t xml:space="preserve"> </w:t>
      </w:r>
    </w:p>
    <w:p w:rsidR="00477AA3" w:rsidRPr="00E525CE" w:rsidP="00477AA3" w14:paraId="49E540CD" w14:textId="77777777">
      <w:pPr>
        <w:pStyle w:val="ListParagraph"/>
        <w:shd w:val="clear" w:color="auto" w:fill="FFFFFF"/>
        <w:spacing w:after="0"/>
        <w:rPr>
          <w:rFonts w:ascii="Arial" w:hAnsi="Arial" w:cs="Arial"/>
          <w:sz w:val="24"/>
          <w:szCs w:val="24"/>
          <w:highlight w:val="yellow"/>
        </w:rPr>
      </w:pPr>
    </w:p>
    <w:tbl>
      <w:tblPr>
        <w:tblStyle w:val="TableGrid"/>
        <w:tblW w:w="6385" w:type="dxa"/>
        <w:jc w:val="center"/>
        <w:tblLook w:val="04A0"/>
      </w:tblPr>
      <w:tblGrid>
        <w:gridCol w:w="2515"/>
        <w:gridCol w:w="2250"/>
        <w:gridCol w:w="1620"/>
      </w:tblGrid>
      <w:tr w14:paraId="08D0EB2F" w14:textId="77777777" w:rsidTr="00593A8D">
        <w:tblPrEx>
          <w:tblW w:w="6385" w:type="dxa"/>
          <w:jc w:val="center"/>
          <w:tblLook w:val="04A0"/>
        </w:tblPrEx>
        <w:trPr>
          <w:cantSplit/>
          <w:tblHeader/>
          <w:jc w:val="center"/>
        </w:trPr>
        <w:tc>
          <w:tcPr>
            <w:tcW w:w="2515" w:type="dxa"/>
            <w:vAlign w:val="center"/>
          </w:tcPr>
          <w:p w:rsidR="00477AA3" w:rsidRPr="00A84605" w:rsidP="00593A8D" w14:paraId="7AF3C220" w14:textId="77777777">
            <w:pPr>
              <w:jc w:val="center"/>
              <w:rPr>
                <w:rFonts w:ascii="Arial" w:eastAsia="Times New Roman" w:hAnsi="Arial" w:cs="Arial"/>
                <w:sz w:val="24"/>
                <w:szCs w:val="24"/>
              </w:rPr>
            </w:pPr>
            <w:r w:rsidRPr="00A84605">
              <w:rPr>
                <w:rFonts w:ascii="Arial" w:eastAsia="Times New Roman" w:hAnsi="Arial" w:cs="Arial"/>
                <w:sz w:val="24"/>
                <w:szCs w:val="24"/>
              </w:rPr>
              <w:t>FAA ACO Office</w:t>
            </w:r>
          </w:p>
        </w:tc>
        <w:tc>
          <w:tcPr>
            <w:tcW w:w="2250" w:type="dxa"/>
            <w:vAlign w:val="center"/>
          </w:tcPr>
          <w:p w:rsidR="00477AA3" w:rsidRPr="00A84605" w:rsidP="00593A8D" w14:paraId="746B34AA" w14:textId="388269BB">
            <w:pPr>
              <w:jc w:val="center"/>
              <w:rPr>
                <w:rFonts w:ascii="Arial" w:eastAsia="Times New Roman" w:hAnsi="Arial" w:cs="Arial"/>
                <w:sz w:val="24"/>
                <w:szCs w:val="24"/>
              </w:rPr>
            </w:pPr>
            <w:r w:rsidRPr="00A84605">
              <w:rPr>
                <w:rFonts w:ascii="Arial" w:eastAsia="Times New Roman" w:hAnsi="Arial" w:cs="Arial"/>
                <w:sz w:val="24"/>
                <w:szCs w:val="24"/>
              </w:rPr>
              <w:t>I-Band Salary with Locality</w:t>
            </w:r>
            <w:bookmarkStart w:id="2" w:name="_Ref182565037"/>
            <w:r>
              <w:rPr>
                <w:rStyle w:val="FootnoteReference"/>
                <w:rFonts w:ascii="Arial" w:eastAsia="Times New Roman" w:hAnsi="Arial" w:cs="Arial"/>
                <w:sz w:val="24"/>
                <w:szCs w:val="24"/>
              </w:rPr>
              <w:footnoteReference w:id="4"/>
            </w:r>
            <w:bookmarkEnd w:id="2"/>
          </w:p>
        </w:tc>
        <w:tc>
          <w:tcPr>
            <w:tcW w:w="1620" w:type="dxa"/>
            <w:vAlign w:val="center"/>
          </w:tcPr>
          <w:p w:rsidR="00477AA3" w:rsidRPr="00A84605" w:rsidP="00593A8D" w14:paraId="4FD06574" w14:textId="77777777">
            <w:pPr>
              <w:jc w:val="center"/>
              <w:rPr>
                <w:rFonts w:ascii="Arial" w:eastAsia="Times New Roman" w:hAnsi="Arial" w:cs="Arial"/>
                <w:sz w:val="24"/>
                <w:szCs w:val="24"/>
              </w:rPr>
            </w:pPr>
            <w:r w:rsidRPr="00A84605">
              <w:rPr>
                <w:rFonts w:ascii="Arial" w:eastAsia="Times New Roman" w:hAnsi="Arial" w:cs="Arial"/>
                <w:sz w:val="24"/>
                <w:szCs w:val="24"/>
              </w:rPr>
              <w:t>Mean Salary per Hour</w:t>
            </w:r>
          </w:p>
        </w:tc>
      </w:tr>
      <w:tr w14:paraId="680A93C2" w14:textId="77777777" w:rsidTr="00F73952">
        <w:tblPrEx>
          <w:tblW w:w="6385" w:type="dxa"/>
          <w:jc w:val="center"/>
          <w:tblLook w:val="04A0"/>
        </w:tblPrEx>
        <w:trPr>
          <w:cantSplit/>
          <w:tblHeader/>
          <w:jc w:val="center"/>
        </w:trPr>
        <w:tc>
          <w:tcPr>
            <w:tcW w:w="2515" w:type="dxa"/>
          </w:tcPr>
          <w:p w:rsidR="00E525CE" w:rsidRPr="00A84605" w:rsidP="00E525CE" w14:paraId="51DB2DF5" w14:textId="77777777">
            <w:pPr>
              <w:rPr>
                <w:rFonts w:ascii="Arial" w:eastAsia="Times New Roman" w:hAnsi="Arial" w:cs="Arial"/>
                <w:sz w:val="24"/>
                <w:szCs w:val="24"/>
              </w:rPr>
            </w:pPr>
            <w:r w:rsidRPr="00A84605">
              <w:rPr>
                <w:rFonts w:ascii="Arial" w:eastAsia="Times New Roman" w:hAnsi="Arial" w:cs="Arial"/>
                <w:sz w:val="24"/>
                <w:szCs w:val="24"/>
              </w:rPr>
              <w:t>Anchorage</w:t>
            </w:r>
          </w:p>
        </w:tc>
        <w:tc>
          <w:tcPr>
            <w:tcW w:w="2250" w:type="dxa"/>
          </w:tcPr>
          <w:p w:rsidR="00E525CE" w:rsidRPr="00A84605" w:rsidP="00E525CE" w14:paraId="607EFF92" w14:textId="2AB92ED5">
            <w:pPr>
              <w:rPr>
                <w:rFonts w:ascii="Arial" w:eastAsia="Times New Roman" w:hAnsi="Arial" w:cs="Arial"/>
              </w:rPr>
            </w:pPr>
            <w:r w:rsidRPr="00A84605">
              <w:rPr>
                <w:rFonts w:ascii="Arial" w:hAnsi="Arial" w:cs="Arial"/>
              </w:rPr>
              <w:t>$99,372 - $154,013</w:t>
            </w:r>
          </w:p>
        </w:tc>
        <w:tc>
          <w:tcPr>
            <w:tcW w:w="1620" w:type="dxa"/>
            <w:vAlign w:val="center"/>
          </w:tcPr>
          <w:p w:rsidR="00E525CE" w:rsidRPr="00A84605" w:rsidP="00E525CE" w14:paraId="031F6FA4" w14:textId="75384BBC">
            <w:pPr>
              <w:tabs>
                <w:tab w:val="center" w:pos="702"/>
              </w:tabs>
              <w:jc w:val="center"/>
              <w:rPr>
                <w:rFonts w:ascii="Arial" w:eastAsia="Times New Roman" w:hAnsi="Arial" w:cs="Arial"/>
                <w:sz w:val="24"/>
                <w:szCs w:val="24"/>
              </w:rPr>
            </w:pPr>
            <w:r w:rsidRPr="00A84605">
              <w:rPr>
                <w:rFonts w:ascii="Arial" w:hAnsi="Arial" w:cs="Arial"/>
              </w:rPr>
              <w:t>$60.91</w:t>
            </w:r>
          </w:p>
        </w:tc>
      </w:tr>
      <w:tr w14:paraId="7F620790" w14:textId="77777777" w:rsidTr="00F73952">
        <w:tblPrEx>
          <w:tblW w:w="6385" w:type="dxa"/>
          <w:jc w:val="center"/>
          <w:tblLook w:val="04A0"/>
        </w:tblPrEx>
        <w:trPr>
          <w:cantSplit/>
          <w:tblHeader/>
          <w:jc w:val="center"/>
        </w:trPr>
        <w:tc>
          <w:tcPr>
            <w:tcW w:w="2515" w:type="dxa"/>
          </w:tcPr>
          <w:p w:rsidR="00E525CE" w:rsidRPr="00A84605" w:rsidP="00E525CE" w14:paraId="78D3679F" w14:textId="77777777">
            <w:pPr>
              <w:rPr>
                <w:rFonts w:ascii="Arial" w:eastAsia="Times New Roman" w:hAnsi="Arial" w:cs="Arial"/>
                <w:sz w:val="24"/>
                <w:szCs w:val="24"/>
              </w:rPr>
            </w:pPr>
            <w:r w:rsidRPr="00A84605">
              <w:rPr>
                <w:rFonts w:ascii="Arial" w:eastAsia="Times New Roman" w:hAnsi="Arial" w:cs="Arial"/>
                <w:sz w:val="24"/>
                <w:szCs w:val="24"/>
              </w:rPr>
              <w:t>Atlanta</w:t>
            </w:r>
          </w:p>
        </w:tc>
        <w:tc>
          <w:tcPr>
            <w:tcW w:w="2250" w:type="dxa"/>
          </w:tcPr>
          <w:p w:rsidR="00E525CE" w:rsidRPr="00A84605" w:rsidP="00E525CE" w14:paraId="613B300D" w14:textId="3079ACFB">
            <w:pPr>
              <w:rPr>
                <w:rFonts w:ascii="Arial" w:eastAsia="Times New Roman" w:hAnsi="Arial" w:cs="Arial"/>
              </w:rPr>
            </w:pPr>
            <w:r w:rsidRPr="00A84605">
              <w:rPr>
                <w:rFonts w:ascii="Arial" w:hAnsi="Arial" w:cs="Arial"/>
              </w:rPr>
              <w:t>$92,964 - $144,081</w:t>
            </w:r>
          </w:p>
        </w:tc>
        <w:tc>
          <w:tcPr>
            <w:tcW w:w="1620" w:type="dxa"/>
            <w:vAlign w:val="center"/>
          </w:tcPr>
          <w:p w:rsidR="00E525CE" w:rsidRPr="00A84605" w:rsidP="00E525CE" w14:paraId="36AF5524" w14:textId="1FA567E9">
            <w:pPr>
              <w:jc w:val="center"/>
              <w:rPr>
                <w:rFonts w:ascii="Arial" w:eastAsia="Times New Roman" w:hAnsi="Arial" w:cs="Arial"/>
                <w:sz w:val="24"/>
                <w:szCs w:val="24"/>
              </w:rPr>
            </w:pPr>
            <w:r w:rsidRPr="00A84605">
              <w:rPr>
                <w:rFonts w:ascii="Arial" w:hAnsi="Arial" w:cs="Arial"/>
              </w:rPr>
              <w:t>$56.98</w:t>
            </w:r>
          </w:p>
        </w:tc>
      </w:tr>
      <w:tr w14:paraId="193FC965" w14:textId="77777777" w:rsidTr="00F73952">
        <w:tblPrEx>
          <w:tblW w:w="6385" w:type="dxa"/>
          <w:jc w:val="center"/>
          <w:tblLook w:val="04A0"/>
        </w:tblPrEx>
        <w:trPr>
          <w:cantSplit/>
          <w:tblHeader/>
          <w:jc w:val="center"/>
        </w:trPr>
        <w:tc>
          <w:tcPr>
            <w:tcW w:w="2515" w:type="dxa"/>
          </w:tcPr>
          <w:p w:rsidR="00E525CE" w:rsidRPr="00A84605" w:rsidP="00E525CE" w14:paraId="6EC91612" w14:textId="77777777">
            <w:pPr>
              <w:rPr>
                <w:rFonts w:ascii="Arial" w:eastAsia="Times New Roman" w:hAnsi="Arial" w:cs="Arial"/>
                <w:sz w:val="24"/>
                <w:szCs w:val="24"/>
              </w:rPr>
            </w:pPr>
            <w:r w:rsidRPr="00A84605">
              <w:rPr>
                <w:rFonts w:ascii="Arial" w:eastAsia="Times New Roman" w:hAnsi="Arial" w:cs="Arial"/>
                <w:sz w:val="24"/>
                <w:szCs w:val="24"/>
              </w:rPr>
              <w:t>Boston</w:t>
            </w:r>
          </w:p>
        </w:tc>
        <w:tc>
          <w:tcPr>
            <w:tcW w:w="2250" w:type="dxa"/>
          </w:tcPr>
          <w:p w:rsidR="00E525CE" w:rsidRPr="00A84605" w:rsidP="00E525CE" w14:paraId="3360ACFF" w14:textId="2CDC950A">
            <w:pPr>
              <w:rPr>
                <w:rFonts w:ascii="Arial" w:eastAsia="Times New Roman" w:hAnsi="Arial" w:cs="Arial"/>
              </w:rPr>
            </w:pPr>
            <w:r w:rsidRPr="00A84605">
              <w:rPr>
                <w:rFonts w:ascii="Arial" w:hAnsi="Arial" w:cs="Arial"/>
              </w:rPr>
              <w:t>$99,380 - $154,025</w:t>
            </w:r>
          </w:p>
        </w:tc>
        <w:tc>
          <w:tcPr>
            <w:tcW w:w="1620" w:type="dxa"/>
            <w:vAlign w:val="center"/>
          </w:tcPr>
          <w:p w:rsidR="00E525CE" w:rsidRPr="00A84605" w:rsidP="00E525CE" w14:paraId="1ED9813D" w14:textId="607AA53A">
            <w:pPr>
              <w:jc w:val="center"/>
              <w:rPr>
                <w:rFonts w:ascii="Arial" w:eastAsia="Times New Roman" w:hAnsi="Arial" w:cs="Arial"/>
                <w:sz w:val="24"/>
                <w:szCs w:val="24"/>
              </w:rPr>
            </w:pPr>
            <w:r w:rsidRPr="00A84605">
              <w:rPr>
                <w:rFonts w:ascii="Arial" w:hAnsi="Arial" w:cs="Arial"/>
              </w:rPr>
              <w:t>$60.91</w:t>
            </w:r>
          </w:p>
        </w:tc>
      </w:tr>
      <w:tr w14:paraId="38ED660F" w14:textId="77777777" w:rsidTr="00F73952">
        <w:tblPrEx>
          <w:tblW w:w="6385" w:type="dxa"/>
          <w:jc w:val="center"/>
          <w:tblLook w:val="04A0"/>
        </w:tblPrEx>
        <w:trPr>
          <w:cantSplit/>
          <w:tblHeader/>
          <w:jc w:val="center"/>
        </w:trPr>
        <w:tc>
          <w:tcPr>
            <w:tcW w:w="2515" w:type="dxa"/>
          </w:tcPr>
          <w:p w:rsidR="00E525CE" w:rsidRPr="00A84605" w:rsidP="00E525CE" w14:paraId="3F1DDF10" w14:textId="77777777">
            <w:pPr>
              <w:rPr>
                <w:rFonts w:ascii="Arial" w:eastAsia="Times New Roman" w:hAnsi="Arial" w:cs="Arial"/>
                <w:sz w:val="24"/>
                <w:szCs w:val="24"/>
              </w:rPr>
            </w:pPr>
            <w:r w:rsidRPr="00A84605">
              <w:rPr>
                <w:rFonts w:ascii="Arial" w:eastAsia="Times New Roman" w:hAnsi="Arial" w:cs="Arial"/>
                <w:sz w:val="24"/>
                <w:szCs w:val="24"/>
              </w:rPr>
              <w:t>Chicago</w:t>
            </w:r>
          </w:p>
        </w:tc>
        <w:tc>
          <w:tcPr>
            <w:tcW w:w="2250" w:type="dxa"/>
          </w:tcPr>
          <w:p w:rsidR="00E525CE" w:rsidRPr="00A84605" w:rsidP="00E525CE" w14:paraId="78034B91" w14:textId="4EBA65C2">
            <w:pPr>
              <w:rPr>
                <w:rFonts w:ascii="Arial" w:eastAsia="Times New Roman" w:hAnsi="Arial" w:cs="Arial"/>
              </w:rPr>
            </w:pPr>
            <w:r w:rsidRPr="00A84605">
              <w:rPr>
                <w:rFonts w:ascii="Arial" w:hAnsi="Arial" w:cs="Arial"/>
              </w:rPr>
              <w:t>$98,205 - $152,204</w:t>
            </w:r>
          </w:p>
        </w:tc>
        <w:tc>
          <w:tcPr>
            <w:tcW w:w="1620" w:type="dxa"/>
            <w:vAlign w:val="center"/>
          </w:tcPr>
          <w:p w:rsidR="00E525CE" w:rsidRPr="00A84605" w:rsidP="00E525CE" w14:paraId="3176E2F4" w14:textId="0EC326FB">
            <w:pPr>
              <w:jc w:val="center"/>
              <w:rPr>
                <w:rFonts w:ascii="Arial" w:eastAsia="Times New Roman" w:hAnsi="Arial" w:cs="Arial"/>
                <w:sz w:val="24"/>
                <w:szCs w:val="24"/>
              </w:rPr>
            </w:pPr>
            <w:r w:rsidRPr="00A84605">
              <w:rPr>
                <w:rFonts w:ascii="Arial" w:hAnsi="Arial" w:cs="Arial"/>
              </w:rPr>
              <w:t>$60.19</w:t>
            </w:r>
          </w:p>
        </w:tc>
      </w:tr>
      <w:tr w14:paraId="7C55644D" w14:textId="77777777" w:rsidTr="00F73952">
        <w:tblPrEx>
          <w:tblW w:w="6385" w:type="dxa"/>
          <w:jc w:val="center"/>
          <w:tblLook w:val="04A0"/>
        </w:tblPrEx>
        <w:trPr>
          <w:cantSplit/>
          <w:tblHeader/>
          <w:jc w:val="center"/>
        </w:trPr>
        <w:tc>
          <w:tcPr>
            <w:tcW w:w="2515" w:type="dxa"/>
          </w:tcPr>
          <w:p w:rsidR="00E525CE" w:rsidRPr="00A84605" w:rsidP="00E525CE" w14:paraId="067128DE" w14:textId="77777777">
            <w:pPr>
              <w:rPr>
                <w:rFonts w:ascii="Arial" w:eastAsia="Times New Roman" w:hAnsi="Arial" w:cs="Arial"/>
                <w:sz w:val="24"/>
                <w:szCs w:val="24"/>
              </w:rPr>
            </w:pPr>
            <w:r w:rsidRPr="00A84605">
              <w:rPr>
                <w:rFonts w:ascii="Arial" w:eastAsia="Times New Roman" w:hAnsi="Arial" w:cs="Arial"/>
                <w:sz w:val="24"/>
                <w:szCs w:val="24"/>
              </w:rPr>
              <w:t>Denver</w:t>
            </w:r>
          </w:p>
        </w:tc>
        <w:tc>
          <w:tcPr>
            <w:tcW w:w="2250" w:type="dxa"/>
          </w:tcPr>
          <w:p w:rsidR="00E525CE" w:rsidRPr="00A84605" w:rsidP="00E525CE" w14:paraId="3E3970D7" w14:textId="7AD2D7C2">
            <w:pPr>
              <w:rPr>
                <w:rFonts w:ascii="Arial" w:eastAsia="Times New Roman" w:hAnsi="Arial" w:cs="Arial"/>
              </w:rPr>
            </w:pPr>
            <w:r w:rsidRPr="00A84605">
              <w:rPr>
                <w:rFonts w:ascii="Arial" w:hAnsi="Arial" w:cs="Arial"/>
              </w:rPr>
              <w:t>$97,806 - $151,586</w:t>
            </w:r>
          </w:p>
        </w:tc>
        <w:tc>
          <w:tcPr>
            <w:tcW w:w="1620" w:type="dxa"/>
            <w:vAlign w:val="center"/>
          </w:tcPr>
          <w:p w:rsidR="00E525CE" w:rsidRPr="00A84605" w:rsidP="00E525CE" w14:paraId="3CAAB7AE" w14:textId="7771B820">
            <w:pPr>
              <w:jc w:val="center"/>
              <w:rPr>
                <w:rFonts w:ascii="Arial" w:eastAsia="Times New Roman" w:hAnsi="Arial" w:cs="Arial"/>
                <w:sz w:val="24"/>
                <w:szCs w:val="24"/>
              </w:rPr>
            </w:pPr>
            <w:r w:rsidRPr="00A84605">
              <w:rPr>
                <w:rFonts w:ascii="Arial" w:hAnsi="Arial" w:cs="Arial"/>
              </w:rPr>
              <w:t>$59.95</w:t>
            </w:r>
          </w:p>
        </w:tc>
      </w:tr>
      <w:tr w14:paraId="73A44BBB" w14:textId="77777777" w:rsidTr="00F73952">
        <w:tblPrEx>
          <w:tblW w:w="6385" w:type="dxa"/>
          <w:jc w:val="center"/>
          <w:tblLook w:val="04A0"/>
        </w:tblPrEx>
        <w:trPr>
          <w:cantSplit/>
          <w:tblHeader/>
          <w:jc w:val="center"/>
        </w:trPr>
        <w:tc>
          <w:tcPr>
            <w:tcW w:w="2515" w:type="dxa"/>
          </w:tcPr>
          <w:p w:rsidR="00E525CE" w:rsidRPr="00A84605" w:rsidP="00E525CE" w14:paraId="72F5D2DC" w14:textId="77777777">
            <w:pPr>
              <w:rPr>
                <w:rFonts w:ascii="Arial" w:eastAsia="Times New Roman" w:hAnsi="Arial" w:cs="Arial"/>
                <w:sz w:val="24"/>
                <w:szCs w:val="24"/>
              </w:rPr>
            </w:pPr>
            <w:r w:rsidRPr="00A84605">
              <w:rPr>
                <w:rFonts w:ascii="Arial" w:eastAsia="Times New Roman" w:hAnsi="Arial" w:cs="Arial"/>
                <w:sz w:val="24"/>
                <w:szCs w:val="24"/>
              </w:rPr>
              <w:t>Fort Worth</w:t>
            </w:r>
          </w:p>
        </w:tc>
        <w:tc>
          <w:tcPr>
            <w:tcW w:w="2250" w:type="dxa"/>
          </w:tcPr>
          <w:p w:rsidR="00E525CE" w:rsidRPr="00A84605" w:rsidP="00E525CE" w14:paraId="5BA7298C" w14:textId="37CBF045">
            <w:pPr>
              <w:rPr>
                <w:rFonts w:ascii="Arial" w:eastAsia="Times New Roman" w:hAnsi="Arial" w:cs="Arial"/>
              </w:rPr>
            </w:pPr>
            <w:r w:rsidRPr="00A84605">
              <w:rPr>
                <w:rFonts w:ascii="Arial" w:hAnsi="Arial" w:cs="Arial"/>
              </w:rPr>
              <w:t>$95,570 - $148,119</w:t>
            </w:r>
          </w:p>
        </w:tc>
        <w:tc>
          <w:tcPr>
            <w:tcW w:w="1620" w:type="dxa"/>
            <w:vAlign w:val="center"/>
          </w:tcPr>
          <w:p w:rsidR="00E525CE" w:rsidRPr="00A84605" w:rsidP="00E525CE" w14:paraId="36F1C1CB" w14:textId="18FB185F">
            <w:pPr>
              <w:jc w:val="center"/>
              <w:rPr>
                <w:rFonts w:ascii="Arial" w:eastAsia="Times New Roman" w:hAnsi="Arial" w:cs="Arial"/>
                <w:sz w:val="24"/>
                <w:szCs w:val="24"/>
              </w:rPr>
            </w:pPr>
            <w:r w:rsidRPr="00A84605">
              <w:rPr>
                <w:rFonts w:ascii="Arial" w:hAnsi="Arial" w:cs="Arial"/>
              </w:rPr>
              <w:t>$58.58</w:t>
            </w:r>
          </w:p>
        </w:tc>
      </w:tr>
      <w:tr w14:paraId="63990301" w14:textId="77777777" w:rsidTr="00F73952">
        <w:tblPrEx>
          <w:tblW w:w="6385" w:type="dxa"/>
          <w:jc w:val="center"/>
          <w:tblLook w:val="04A0"/>
        </w:tblPrEx>
        <w:trPr>
          <w:cantSplit/>
          <w:tblHeader/>
          <w:jc w:val="center"/>
        </w:trPr>
        <w:tc>
          <w:tcPr>
            <w:tcW w:w="2515" w:type="dxa"/>
          </w:tcPr>
          <w:p w:rsidR="00E525CE" w:rsidRPr="00A84605" w:rsidP="00E525CE" w14:paraId="00FA2D9D" w14:textId="77777777">
            <w:pPr>
              <w:rPr>
                <w:rFonts w:ascii="Arial" w:eastAsia="Times New Roman" w:hAnsi="Arial" w:cs="Arial"/>
                <w:sz w:val="24"/>
                <w:szCs w:val="24"/>
              </w:rPr>
            </w:pPr>
            <w:r w:rsidRPr="00A84605">
              <w:rPr>
                <w:rFonts w:ascii="Arial" w:eastAsia="Times New Roman" w:hAnsi="Arial" w:cs="Arial"/>
                <w:sz w:val="24"/>
                <w:szCs w:val="24"/>
              </w:rPr>
              <w:t>Los Angeles</w:t>
            </w:r>
          </w:p>
        </w:tc>
        <w:tc>
          <w:tcPr>
            <w:tcW w:w="2250" w:type="dxa"/>
          </w:tcPr>
          <w:p w:rsidR="00E525CE" w:rsidRPr="00A84605" w:rsidP="00E525CE" w14:paraId="18B48A13" w14:textId="5028B730">
            <w:pPr>
              <w:rPr>
                <w:rFonts w:ascii="Arial" w:eastAsia="Times New Roman" w:hAnsi="Arial" w:cs="Arial"/>
              </w:rPr>
            </w:pPr>
            <w:r w:rsidRPr="00A84605">
              <w:rPr>
                <w:rFonts w:ascii="Arial" w:hAnsi="Arial" w:cs="Arial"/>
              </w:rPr>
              <w:t>$102,294 - $158,542</w:t>
            </w:r>
          </w:p>
        </w:tc>
        <w:tc>
          <w:tcPr>
            <w:tcW w:w="1620" w:type="dxa"/>
            <w:vAlign w:val="center"/>
          </w:tcPr>
          <w:p w:rsidR="00E525CE" w:rsidRPr="00A84605" w:rsidP="00E525CE" w14:paraId="6121AA8E" w14:textId="5933C801">
            <w:pPr>
              <w:jc w:val="center"/>
              <w:rPr>
                <w:rFonts w:ascii="Arial" w:eastAsia="Times New Roman" w:hAnsi="Arial" w:cs="Arial"/>
                <w:sz w:val="24"/>
                <w:szCs w:val="24"/>
              </w:rPr>
            </w:pPr>
            <w:r w:rsidRPr="00A84605">
              <w:rPr>
                <w:rFonts w:ascii="Arial" w:hAnsi="Arial" w:cs="Arial"/>
              </w:rPr>
              <w:t>$62.70</w:t>
            </w:r>
          </w:p>
        </w:tc>
      </w:tr>
      <w:tr w14:paraId="7B3FA574" w14:textId="77777777" w:rsidTr="00F73952">
        <w:tblPrEx>
          <w:tblW w:w="6385" w:type="dxa"/>
          <w:jc w:val="center"/>
          <w:tblLook w:val="04A0"/>
        </w:tblPrEx>
        <w:trPr>
          <w:cantSplit/>
          <w:tblHeader/>
          <w:jc w:val="center"/>
        </w:trPr>
        <w:tc>
          <w:tcPr>
            <w:tcW w:w="2515" w:type="dxa"/>
          </w:tcPr>
          <w:p w:rsidR="00E525CE" w:rsidRPr="00A84605" w:rsidP="00E525CE" w14:paraId="001537CD" w14:textId="77777777">
            <w:pPr>
              <w:rPr>
                <w:rFonts w:ascii="Arial" w:eastAsia="Times New Roman" w:hAnsi="Arial" w:cs="Arial"/>
                <w:sz w:val="24"/>
                <w:szCs w:val="24"/>
              </w:rPr>
            </w:pPr>
            <w:r w:rsidRPr="00A84605">
              <w:rPr>
                <w:rFonts w:ascii="Arial" w:eastAsia="Times New Roman" w:hAnsi="Arial" w:cs="Arial"/>
                <w:sz w:val="24"/>
                <w:szCs w:val="24"/>
              </w:rPr>
              <w:t>New York</w:t>
            </w:r>
          </w:p>
        </w:tc>
        <w:tc>
          <w:tcPr>
            <w:tcW w:w="2250" w:type="dxa"/>
          </w:tcPr>
          <w:p w:rsidR="00E525CE" w:rsidRPr="00A84605" w:rsidP="00E525CE" w14:paraId="490A5F4E" w14:textId="7680DC04">
            <w:pPr>
              <w:rPr>
                <w:rFonts w:ascii="Arial" w:eastAsia="Times New Roman" w:hAnsi="Arial" w:cs="Arial"/>
              </w:rPr>
            </w:pPr>
            <w:r w:rsidRPr="00A84605">
              <w:rPr>
                <w:rFonts w:ascii="Arial" w:hAnsi="Arial" w:cs="Arial"/>
              </w:rPr>
              <w:t>$103,349 - $160,176</w:t>
            </w:r>
          </w:p>
        </w:tc>
        <w:tc>
          <w:tcPr>
            <w:tcW w:w="1620" w:type="dxa"/>
            <w:vAlign w:val="center"/>
          </w:tcPr>
          <w:p w:rsidR="00E525CE" w:rsidRPr="00A84605" w:rsidP="00E525CE" w14:paraId="2DF71725" w14:textId="5A1A992E">
            <w:pPr>
              <w:jc w:val="center"/>
              <w:rPr>
                <w:rFonts w:ascii="Arial" w:eastAsia="Times New Roman" w:hAnsi="Arial" w:cs="Arial"/>
                <w:sz w:val="24"/>
                <w:szCs w:val="24"/>
              </w:rPr>
            </w:pPr>
            <w:r w:rsidRPr="00A84605">
              <w:rPr>
                <w:rFonts w:ascii="Arial" w:hAnsi="Arial" w:cs="Arial"/>
              </w:rPr>
              <w:t>$63.35</w:t>
            </w:r>
          </w:p>
        </w:tc>
      </w:tr>
      <w:tr w14:paraId="0DD01362" w14:textId="77777777" w:rsidTr="00F73952">
        <w:tblPrEx>
          <w:tblW w:w="6385" w:type="dxa"/>
          <w:jc w:val="center"/>
          <w:tblLook w:val="04A0"/>
        </w:tblPrEx>
        <w:trPr>
          <w:cantSplit/>
          <w:tblHeader/>
          <w:jc w:val="center"/>
        </w:trPr>
        <w:tc>
          <w:tcPr>
            <w:tcW w:w="2515" w:type="dxa"/>
          </w:tcPr>
          <w:p w:rsidR="00E525CE" w:rsidRPr="00A84605" w:rsidP="00E525CE" w14:paraId="53BB4A20" w14:textId="77777777">
            <w:pPr>
              <w:rPr>
                <w:rFonts w:ascii="Arial" w:eastAsia="Times New Roman" w:hAnsi="Arial" w:cs="Arial"/>
                <w:sz w:val="24"/>
                <w:szCs w:val="24"/>
              </w:rPr>
            </w:pPr>
            <w:r w:rsidRPr="00A84605">
              <w:rPr>
                <w:rFonts w:ascii="Arial" w:eastAsia="Times New Roman" w:hAnsi="Arial" w:cs="Arial"/>
                <w:sz w:val="24"/>
                <w:szCs w:val="24"/>
              </w:rPr>
              <w:t>Seattle</w:t>
            </w:r>
          </w:p>
        </w:tc>
        <w:tc>
          <w:tcPr>
            <w:tcW w:w="2250" w:type="dxa"/>
          </w:tcPr>
          <w:p w:rsidR="00E525CE" w:rsidRPr="00A84605" w:rsidP="00E525CE" w14:paraId="5317988C" w14:textId="46AFE0FB">
            <w:pPr>
              <w:rPr>
                <w:rFonts w:ascii="Arial" w:eastAsia="Times New Roman" w:hAnsi="Arial" w:cs="Arial"/>
              </w:rPr>
            </w:pPr>
            <w:r w:rsidRPr="00A84605">
              <w:rPr>
                <w:rFonts w:ascii="Arial" w:hAnsi="Arial" w:cs="Arial"/>
              </w:rPr>
              <w:t>$98,506 - $152,671</w:t>
            </w:r>
          </w:p>
        </w:tc>
        <w:tc>
          <w:tcPr>
            <w:tcW w:w="1620" w:type="dxa"/>
            <w:vAlign w:val="center"/>
          </w:tcPr>
          <w:p w:rsidR="00E525CE" w:rsidRPr="00A84605" w:rsidP="00E525CE" w14:paraId="4B44146A" w14:textId="6B6CB675">
            <w:pPr>
              <w:jc w:val="center"/>
              <w:rPr>
                <w:rFonts w:ascii="Arial" w:eastAsia="Times New Roman" w:hAnsi="Arial" w:cs="Arial"/>
                <w:sz w:val="24"/>
                <w:szCs w:val="24"/>
              </w:rPr>
            </w:pPr>
            <w:r w:rsidRPr="00A84605">
              <w:rPr>
                <w:rFonts w:ascii="Arial" w:hAnsi="Arial" w:cs="Arial"/>
              </w:rPr>
              <w:t>$60.38</w:t>
            </w:r>
          </w:p>
        </w:tc>
      </w:tr>
      <w:tr w14:paraId="3A7E2D16" w14:textId="77777777" w:rsidTr="00F73952">
        <w:tblPrEx>
          <w:tblW w:w="6385" w:type="dxa"/>
          <w:jc w:val="center"/>
          <w:tblLook w:val="04A0"/>
        </w:tblPrEx>
        <w:trPr>
          <w:cantSplit/>
          <w:tblHeader/>
          <w:jc w:val="center"/>
        </w:trPr>
        <w:tc>
          <w:tcPr>
            <w:tcW w:w="2515" w:type="dxa"/>
            <w:tcBorders>
              <w:bottom w:val="double" w:sz="4" w:space="0" w:color="auto"/>
            </w:tcBorders>
          </w:tcPr>
          <w:p w:rsidR="00E525CE" w:rsidRPr="00A84605" w:rsidP="00E525CE" w14:paraId="02844729" w14:textId="77777777">
            <w:pPr>
              <w:rPr>
                <w:rFonts w:ascii="Arial" w:eastAsia="Times New Roman" w:hAnsi="Arial" w:cs="Arial"/>
                <w:sz w:val="24"/>
                <w:szCs w:val="24"/>
              </w:rPr>
            </w:pPr>
            <w:r w:rsidRPr="00A84605">
              <w:rPr>
                <w:rFonts w:ascii="Arial" w:eastAsia="Times New Roman" w:hAnsi="Arial" w:cs="Arial"/>
                <w:sz w:val="24"/>
                <w:szCs w:val="24"/>
              </w:rPr>
              <w:t>Wichita (Rest of US)</w:t>
            </w:r>
          </w:p>
        </w:tc>
        <w:tc>
          <w:tcPr>
            <w:tcW w:w="2250" w:type="dxa"/>
            <w:tcBorders>
              <w:bottom w:val="double" w:sz="4" w:space="0" w:color="auto"/>
            </w:tcBorders>
          </w:tcPr>
          <w:p w:rsidR="00E525CE" w:rsidRPr="00A84605" w:rsidP="00E525CE" w14:paraId="27AA97FC" w14:textId="7280F2FA">
            <w:pPr>
              <w:rPr>
                <w:rFonts w:ascii="Arial" w:eastAsia="Times New Roman" w:hAnsi="Arial" w:cs="Arial"/>
              </w:rPr>
            </w:pPr>
            <w:r w:rsidRPr="00A84605">
              <w:rPr>
                <w:rFonts w:ascii="Arial" w:hAnsi="Arial" w:cs="Arial"/>
              </w:rPr>
              <w:t>$87,971 - $136,343</w:t>
            </w:r>
          </w:p>
        </w:tc>
        <w:tc>
          <w:tcPr>
            <w:tcW w:w="1620" w:type="dxa"/>
            <w:tcBorders>
              <w:bottom w:val="double" w:sz="4" w:space="0" w:color="auto"/>
            </w:tcBorders>
            <w:vAlign w:val="center"/>
          </w:tcPr>
          <w:p w:rsidR="00E525CE" w:rsidRPr="00A84605" w:rsidP="00E525CE" w14:paraId="569558D8" w14:textId="5F98DCFC">
            <w:pPr>
              <w:jc w:val="center"/>
              <w:rPr>
                <w:rFonts w:ascii="Arial" w:eastAsia="Times New Roman" w:hAnsi="Arial" w:cs="Arial"/>
                <w:sz w:val="24"/>
                <w:szCs w:val="24"/>
              </w:rPr>
            </w:pPr>
            <w:r w:rsidRPr="00A84605">
              <w:rPr>
                <w:rFonts w:ascii="Arial" w:hAnsi="Arial" w:cs="Arial"/>
              </w:rPr>
              <w:t>$53.92</w:t>
            </w:r>
          </w:p>
        </w:tc>
      </w:tr>
      <w:tr w14:paraId="23255B67" w14:textId="77777777" w:rsidTr="00F73952">
        <w:tblPrEx>
          <w:tblW w:w="6385" w:type="dxa"/>
          <w:jc w:val="center"/>
          <w:tblLook w:val="04A0"/>
        </w:tblPrEx>
        <w:trPr>
          <w:cantSplit/>
          <w:tblHeader/>
          <w:jc w:val="center"/>
        </w:trPr>
        <w:tc>
          <w:tcPr>
            <w:tcW w:w="2515" w:type="dxa"/>
            <w:tcBorders>
              <w:top w:val="double" w:sz="4" w:space="0" w:color="auto"/>
            </w:tcBorders>
          </w:tcPr>
          <w:p w:rsidR="003D3FF3" w:rsidRPr="00A84605" w:rsidP="003D3FF3" w14:paraId="15947DEF" w14:textId="77777777">
            <w:pPr>
              <w:rPr>
                <w:rFonts w:ascii="Arial" w:eastAsia="Times New Roman" w:hAnsi="Arial" w:cs="Arial"/>
                <w:sz w:val="24"/>
                <w:szCs w:val="24"/>
              </w:rPr>
            </w:pPr>
            <w:r w:rsidRPr="00A84605">
              <w:rPr>
                <w:rFonts w:ascii="Arial" w:eastAsia="Times New Roman" w:hAnsi="Arial" w:cs="Arial"/>
                <w:sz w:val="24"/>
                <w:szCs w:val="24"/>
              </w:rPr>
              <w:t>Average Salary/hour</w:t>
            </w:r>
          </w:p>
        </w:tc>
        <w:tc>
          <w:tcPr>
            <w:tcW w:w="2250" w:type="dxa"/>
            <w:tcBorders>
              <w:top w:val="double" w:sz="4" w:space="0" w:color="auto"/>
            </w:tcBorders>
          </w:tcPr>
          <w:p w:rsidR="003D3FF3" w:rsidRPr="00A84605" w:rsidP="003D3FF3" w14:paraId="7CB00499" w14:textId="77777777">
            <w:pPr>
              <w:rPr>
                <w:rFonts w:ascii="Arial" w:eastAsia="Times New Roman" w:hAnsi="Arial" w:cs="Arial"/>
                <w:sz w:val="24"/>
                <w:szCs w:val="24"/>
              </w:rPr>
            </w:pPr>
          </w:p>
        </w:tc>
        <w:tc>
          <w:tcPr>
            <w:tcW w:w="1620" w:type="dxa"/>
            <w:tcBorders>
              <w:top w:val="double" w:sz="4" w:space="0" w:color="auto"/>
            </w:tcBorders>
            <w:vAlign w:val="center"/>
          </w:tcPr>
          <w:p w:rsidR="003D3FF3" w:rsidRPr="00A84605" w:rsidP="003D3FF3" w14:paraId="07AD6C6E" w14:textId="110BE0CC">
            <w:pPr>
              <w:jc w:val="center"/>
              <w:rPr>
                <w:rFonts w:ascii="Arial" w:eastAsia="Times New Roman" w:hAnsi="Arial" w:cs="Arial"/>
                <w:sz w:val="24"/>
                <w:szCs w:val="24"/>
              </w:rPr>
            </w:pPr>
            <w:r w:rsidRPr="00A84605">
              <w:rPr>
                <w:rFonts w:ascii="Arial" w:hAnsi="Arial" w:cs="Arial"/>
              </w:rPr>
              <w:t>$59.79</w:t>
            </w:r>
          </w:p>
        </w:tc>
      </w:tr>
    </w:tbl>
    <w:p w:rsidR="00477AA3" w:rsidRPr="00E525CE" w:rsidP="00477AA3" w14:paraId="6B305508" w14:textId="77777777">
      <w:pPr>
        <w:pStyle w:val="ListParagraph"/>
        <w:shd w:val="clear" w:color="auto" w:fill="FFFFFF"/>
        <w:spacing w:after="0"/>
        <w:rPr>
          <w:rFonts w:ascii="Arial" w:hAnsi="Arial" w:cs="Arial"/>
          <w:sz w:val="24"/>
          <w:szCs w:val="24"/>
          <w:highlight w:val="yellow"/>
        </w:rPr>
      </w:pPr>
    </w:p>
    <w:p w:rsidR="00477AA3" w:rsidRPr="00E525CE" w:rsidP="00477AA3" w14:paraId="383B1336" w14:textId="22C1F35B">
      <w:pPr>
        <w:shd w:val="clear" w:color="auto" w:fill="FFFFFF"/>
        <w:spacing w:after="0"/>
        <w:rPr>
          <w:rFonts w:ascii="Arial" w:hAnsi="Arial" w:cs="Arial"/>
          <w:sz w:val="24"/>
          <w:szCs w:val="24"/>
          <w:highlight w:val="yellow"/>
        </w:rPr>
      </w:pPr>
      <w:r w:rsidRPr="00CD14C9">
        <w:rPr>
          <w:rFonts w:ascii="Arial" w:hAnsi="Arial" w:cs="Arial"/>
          <w:sz w:val="24"/>
          <w:szCs w:val="24"/>
        </w:rPr>
        <w:t>The annual estimate of 28,000 reports requires an average of 15 minutes each to review, totaling 7,000 total hours.  For this ICR, the FAA is using the average pay over all ACOs of $</w:t>
      </w:r>
      <w:r w:rsidRPr="00CD14C9" w:rsidR="00CD14C9">
        <w:rPr>
          <w:rFonts w:ascii="Arial" w:hAnsi="Arial" w:cs="Arial"/>
          <w:sz w:val="24"/>
          <w:szCs w:val="24"/>
        </w:rPr>
        <w:t>59.79</w:t>
      </w:r>
      <w:r w:rsidR="000E0160">
        <w:rPr>
          <w:rFonts w:ascii="Arial" w:hAnsi="Arial" w:cs="Arial"/>
          <w:sz w:val="24"/>
          <w:szCs w:val="24"/>
        </w:rPr>
        <w:t xml:space="preserve"> calculated based on the I-Band Salary with Locality</w:t>
      </w:r>
      <w:r w:rsidR="000E0160">
        <w:rPr>
          <w:rFonts w:ascii="Arial" w:hAnsi="Arial" w:cs="Arial"/>
          <w:sz w:val="24"/>
          <w:szCs w:val="24"/>
        </w:rPr>
        <w:fldChar w:fldCharType="begin"/>
      </w:r>
      <w:r w:rsidR="000E0160">
        <w:rPr>
          <w:rFonts w:ascii="Arial" w:hAnsi="Arial" w:cs="Arial"/>
          <w:sz w:val="24"/>
          <w:szCs w:val="24"/>
        </w:rPr>
        <w:instrText xml:space="preserve"> NOTEREF _Ref182565037 \f \h </w:instrText>
      </w:r>
      <w:r w:rsidR="000E0160">
        <w:rPr>
          <w:rFonts w:ascii="Arial" w:hAnsi="Arial" w:cs="Arial"/>
          <w:sz w:val="24"/>
          <w:szCs w:val="24"/>
        </w:rPr>
        <w:fldChar w:fldCharType="separate"/>
      </w:r>
      <w:r w:rsidRPr="000E0160" w:rsidR="000E0160">
        <w:rPr>
          <w:rStyle w:val="FootnoteReference"/>
        </w:rPr>
        <w:t>3</w:t>
      </w:r>
      <w:r w:rsidR="000E0160">
        <w:rPr>
          <w:rFonts w:ascii="Arial" w:hAnsi="Arial" w:cs="Arial"/>
          <w:sz w:val="24"/>
          <w:szCs w:val="24"/>
        </w:rPr>
        <w:fldChar w:fldCharType="end"/>
      </w:r>
      <w:r w:rsidRPr="00CD14C9">
        <w:rPr>
          <w:rFonts w:ascii="Arial" w:hAnsi="Arial" w:cs="Arial"/>
          <w:sz w:val="24"/>
          <w:szCs w:val="24"/>
        </w:rPr>
        <w:t>.  For Federal salaries, the FAA uses a multiplier of 3</w:t>
      </w:r>
      <w:r w:rsidRPr="00CD14C9" w:rsidR="00CD14C9">
        <w:rPr>
          <w:rFonts w:ascii="Arial" w:hAnsi="Arial" w:cs="Arial"/>
          <w:sz w:val="24"/>
          <w:szCs w:val="24"/>
        </w:rPr>
        <w:t>1.</w:t>
      </w:r>
      <w:r w:rsidR="00730986">
        <w:rPr>
          <w:rFonts w:ascii="Arial" w:hAnsi="Arial" w:cs="Arial"/>
          <w:sz w:val="24"/>
          <w:szCs w:val="24"/>
        </w:rPr>
        <w:t>2</w:t>
      </w:r>
      <w:r w:rsidR="00730986">
        <w:rPr>
          <w:rFonts w:ascii="Arial" w:hAnsi="Arial" w:cs="Arial"/>
          <w:sz w:val="24"/>
          <w:szCs w:val="24"/>
        </w:rPr>
        <w:fldChar w:fldCharType="begin"/>
      </w:r>
      <w:r w:rsidR="00730986">
        <w:rPr>
          <w:rFonts w:ascii="Arial" w:hAnsi="Arial" w:cs="Arial"/>
          <w:sz w:val="24"/>
          <w:szCs w:val="24"/>
        </w:rPr>
        <w:instrText xml:space="preserve"> NOTEREF _Ref182559099 \f \h </w:instrText>
      </w:r>
      <w:r w:rsidR="00730986">
        <w:rPr>
          <w:rFonts w:ascii="Arial" w:hAnsi="Arial" w:cs="Arial"/>
          <w:sz w:val="24"/>
          <w:szCs w:val="24"/>
        </w:rPr>
        <w:fldChar w:fldCharType="separate"/>
      </w:r>
      <w:r w:rsidRPr="00730986" w:rsidR="00730986">
        <w:rPr>
          <w:rStyle w:val="FootnoteReference"/>
        </w:rPr>
        <w:t>2</w:t>
      </w:r>
      <w:r w:rsidR="00730986">
        <w:rPr>
          <w:rFonts w:ascii="Arial" w:hAnsi="Arial" w:cs="Arial"/>
          <w:sz w:val="24"/>
          <w:szCs w:val="24"/>
        </w:rPr>
        <w:fldChar w:fldCharType="end"/>
      </w:r>
      <w:r w:rsidRPr="00CD14C9">
        <w:rPr>
          <w:rFonts w:ascii="Arial" w:hAnsi="Arial" w:cs="Arial"/>
          <w:sz w:val="24"/>
          <w:szCs w:val="24"/>
        </w:rPr>
        <w:t xml:space="preserve"> percent to account for benefits, resulting in an hourly rate of $</w:t>
      </w:r>
      <w:r w:rsidR="004A5624">
        <w:rPr>
          <w:rFonts w:ascii="Arial" w:hAnsi="Arial" w:cs="Arial"/>
          <w:sz w:val="24"/>
          <w:szCs w:val="24"/>
        </w:rPr>
        <w:t>78.44</w:t>
      </w:r>
      <w:r w:rsidRPr="00CD14C9">
        <w:rPr>
          <w:rFonts w:ascii="Arial" w:hAnsi="Arial" w:cs="Arial"/>
          <w:sz w:val="24"/>
          <w:szCs w:val="24"/>
        </w:rPr>
        <w:t>/hour</w:t>
      </w:r>
      <w:r w:rsidR="00CD14C9">
        <w:rPr>
          <w:rFonts w:ascii="Arial" w:hAnsi="Arial" w:cs="Arial"/>
          <w:sz w:val="24"/>
          <w:szCs w:val="24"/>
        </w:rPr>
        <w:t xml:space="preserve"> [$59.79 + $18.65]</w:t>
      </w:r>
      <w:r w:rsidRPr="00CD14C9">
        <w:rPr>
          <w:rFonts w:ascii="Arial" w:hAnsi="Arial" w:cs="Arial"/>
          <w:sz w:val="24"/>
          <w:szCs w:val="24"/>
        </w:rPr>
        <w:t>.  The total annual salary cost to the Federal government is $</w:t>
      </w:r>
      <w:r w:rsidR="004A5624">
        <w:rPr>
          <w:rFonts w:ascii="Arial" w:hAnsi="Arial" w:cs="Arial"/>
          <w:sz w:val="24"/>
          <w:szCs w:val="24"/>
        </w:rPr>
        <w:t>549,111.36</w:t>
      </w:r>
      <w:r w:rsidRPr="00CD14C9">
        <w:rPr>
          <w:rFonts w:ascii="Arial" w:hAnsi="Arial" w:cs="Arial"/>
          <w:sz w:val="24"/>
          <w:szCs w:val="24"/>
        </w:rPr>
        <w:t xml:space="preserve"> ($</w:t>
      </w:r>
      <w:r w:rsidR="004A5624">
        <w:rPr>
          <w:rFonts w:ascii="Arial" w:hAnsi="Arial" w:cs="Arial"/>
          <w:sz w:val="24"/>
          <w:szCs w:val="24"/>
        </w:rPr>
        <w:t>78.44</w:t>
      </w:r>
      <w:r w:rsidRPr="00CD14C9">
        <w:rPr>
          <w:rFonts w:ascii="Arial" w:hAnsi="Arial" w:cs="Arial"/>
          <w:sz w:val="24"/>
          <w:szCs w:val="24"/>
        </w:rPr>
        <w:t xml:space="preserve"> </w:t>
      </w:r>
      <w:r w:rsidRPr="00CD14C9" w:rsidR="00CD14C9">
        <w:rPr>
          <w:rFonts w:ascii="Arial" w:hAnsi="Arial" w:cs="Arial"/>
          <w:sz w:val="24"/>
          <w:szCs w:val="24"/>
        </w:rPr>
        <w:t>x</w:t>
      </w:r>
      <w:r w:rsidRPr="00CD14C9">
        <w:rPr>
          <w:rFonts w:ascii="Arial" w:hAnsi="Arial" w:cs="Arial"/>
          <w:sz w:val="24"/>
          <w:szCs w:val="24"/>
        </w:rPr>
        <w:t xml:space="preserve"> 7,000 hours).</w:t>
      </w:r>
      <w:r w:rsidRPr="004A5624" w:rsidR="004A5624">
        <w:t xml:space="preserve"> </w:t>
      </w:r>
      <w:r w:rsidRPr="004A5624" w:rsidR="004A5624">
        <w:rPr>
          <w:rFonts w:ascii="Arial" w:hAnsi="Arial" w:cs="Arial"/>
          <w:sz w:val="24"/>
          <w:szCs w:val="24"/>
        </w:rPr>
        <w:t>The estimated annual operational and support cost to review the report is $25,000.  Adding this, the total annual cost to the Federal government is $</w:t>
      </w:r>
      <w:r w:rsidR="004A5624">
        <w:rPr>
          <w:rFonts w:ascii="Arial" w:hAnsi="Arial" w:cs="Arial"/>
          <w:sz w:val="24"/>
          <w:szCs w:val="24"/>
        </w:rPr>
        <w:t>574,111.36</w:t>
      </w:r>
      <w:r w:rsidRPr="004A5624" w:rsidR="004A5624">
        <w:rPr>
          <w:rFonts w:ascii="Arial" w:hAnsi="Arial" w:cs="Arial"/>
          <w:sz w:val="24"/>
          <w:szCs w:val="24"/>
        </w:rPr>
        <w:t>.</w:t>
      </w:r>
    </w:p>
    <w:p w:rsidR="00C64707" w:rsidRPr="00233838" w:rsidP="00C64707" w14:paraId="3B881F2C" w14:textId="3CCBB18E">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b/>
          <w:bCs/>
          <w:sz w:val="24"/>
          <w:szCs w:val="24"/>
          <w:highlight w:val="yellow"/>
        </w:rPr>
        <w:br/>
      </w:r>
    </w:p>
    <w:p w:rsidR="00C64707" w:rsidRPr="00233838" w:rsidP="00C64707" w14:paraId="7020B5C2" w14:textId="77777777">
      <w:pPr>
        <w:shd w:val="clear" w:color="auto" w:fill="FFFFFF"/>
        <w:spacing w:after="0" w:line="240" w:lineRule="auto"/>
        <w:rPr>
          <w:rFonts w:ascii="Arial" w:eastAsia="Times New Roman" w:hAnsi="Arial" w:cs="Arial"/>
          <w:sz w:val="24"/>
          <w:szCs w:val="24"/>
        </w:rPr>
      </w:pPr>
      <w:r w:rsidRPr="00233838">
        <w:rPr>
          <w:rFonts w:ascii="Arial" w:eastAsia="Times New Roman" w:hAnsi="Arial" w:cs="Arial"/>
          <w:b/>
          <w:bCs/>
          <w:sz w:val="24"/>
          <w:szCs w:val="24"/>
        </w:rPr>
        <w:t>15. Explain the reasons for any program changes or adjustments.</w:t>
      </w:r>
    </w:p>
    <w:p w:rsidR="00477AA3" w:rsidRPr="00233838" w:rsidP="00C64707" w14:paraId="6DEEBDB6" w14:textId="77777777">
      <w:pPr>
        <w:shd w:val="clear" w:color="auto" w:fill="FFFFFF"/>
        <w:spacing w:after="0" w:line="240" w:lineRule="auto"/>
        <w:rPr>
          <w:rFonts w:ascii="Arial" w:eastAsia="Times New Roman" w:hAnsi="Arial" w:cs="Arial"/>
          <w:sz w:val="24"/>
          <w:szCs w:val="24"/>
        </w:rPr>
      </w:pPr>
    </w:p>
    <w:p w:rsidR="00F342E7" w:rsidP="00F342E7" w14:paraId="02117E2A" w14:textId="66BBFA0A">
      <w:pPr>
        <w:shd w:val="clear" w:color="auto" w:fill="FFFFFF"/>
        <w:spacing w:after="0" w:line="240" w:lineRule="auto"/>
        <w:rPr>
          <w:rFonts w:ascii="Arial" w:eastAsia="Times New Roman" w:hAnsi="Arial" w:cs="Arial"/>
          <w:sz w:val="24"/>
          <w:szCs w:val="24"/>
        </w:rPr>
      </w:pPr>
      <w:r w:rsidRPr="00233838">
        <w:rPr>
          <w:rFonts w:ascii="Arial" w:eastAsia="Times New Roman" w:hAnsi="Arial" w:cs="Arial"/>
          <w:sz w:val="24"/>
          <w:szCs w:val="24"/>
        </w:rPr>
        <w:t>There was a</w:t>
      </w:r>
      <w:r w:rsidRPr="00233838" w:rsidR="004A5624">
        <w:rPr>
          <w:rFonts w:ascii="Arial" w:eastAsia="Times New Roman" w:hAnsi="Arial" w:cs="Arial"/>
          <w:sz w:val="24"/>
          <w:szCs w:val="24"/>
        </w:rPr>
        <w:t xml:space="preserve">n </w:t>
      </w:r>
      <w:r w:rsidRPr="00233838">
        <w:rPr>
          <w:rFonts w:ascii="Arial" w:eastAsia="Times New Roman" w:hAnsi="Arial" w:cs="Arial"/>
          <w:sz w:val="24"/>
          <w:szCs w:val="24"/>
        </w:rPr>
        <w:t>adjustment in the costs to the</w:t>
      </w:r>
      <w:r w:rsidR="0024134E">
        <w:rPr>
          <w:rFonts w:ascii="Arial" w:eastAsia="Times New Roman" w:hAnsi="Arial" w:cs="Arial"/>
          <w:sz w:val="24"/>
          <w:szCs w:val="24"/>
        </w:rPr>
        <w:t xml:space="preserve"> respondents and</w:t>
      </w:r>
      <w:r w:rsidRPr="00233838">
        <w:rPr>
          <w:rFonts w:ascii="Arial" w:eastAsia="Times New Roman" w:hAnsi="Arial" w:cs="Arial"/>
          <w:sz w:val="24"/>
          <w:szCs w:val="24"/>
        </w:rPr>
        <w:t xml:space="preserve"> Federal government.  </w:t>
      </w:r>
      <w:r w:rsidR="0024134E">
        <w:rPr>
          <w:rFonts w:ascii="Arial" w:eastAsia="Times New Roman" w:hAnsi="Arial" w:cs="Arial"/>
          <w:sz w:val="24"/>
          <w:szCs w:val="24"/>
        </w:rPr>
        <w:t>The</w:t>
      </w:r>
      <w:r w:rsidRPr="0024134E" w:rsidR="0024134E">
        <w:rPr>
          <w:rFonts w:ascii="Arial" w:eastAsia="Times New Roman" w:hAnsi="Arial" w:cs="Arial"/>
          <w:sz w:val="24"/>
          <w:szCs w:val="24"/>
        </w:rPr>
        <w:t xml:space="preserve"> annualized cost to the respondent and annualized cost to the Federal government have been updated with 202</w:t>
      </w:r>
      <w:r w:rsidR="0024134E">
        <w:rPr>
          <w:rFonts w:ascii="Arial" w:eastAsia="Times New Roman" w:hAnsi="Arial" w:cs="Arial"/>
          <w:sz w:val="24"/>
          <w:szCs w:val="24"/>
        </w:rPr>
        <w:t>4</w:t>
      </w:r>
      <w:r w:rsidRPr="0024134E" w:rsidR="0024134E">
        <w:rPr>
          <w:rFonts w:ascii="Arial" w:eastAsia="Times New Roman" w:hAnsi="Arial" w:cs="Arial"/>
          <w:sz w:val="24"/>
          <w:szCs w:val="24"/>
        </w:rPr>
        <w:t xml:space="preserve"> data available from the U.S. Bureau of Labor Statistics</w:t>
      </w:r>
      <w:r w:rsidR="0024134E">
        <w:rPr>
          <w:rFonts w:ascii="Arial" w:eastAsia="Times New Roman" w:hAnsi="Arial" w:cs="Arial"/>
          <w:sz w:val="24"/>
          <w:szCs w:val="24"/>
        </w:rPr>
        <w:t xml:space="preserve"> and FAA Pay Calculator. </w:t>
      </w:r>
    </w:p>
    <w:p w:rsidR="0024134E" w:rsidP="00F342E7" w14:paraId="149582B8" w14:textId="77777777">
      <w:pPr>
        <w:shd w:val="clear" w:color="auto" w:fill="FFFFFF"/>
        <w:spacing w:after="0" w:line="240" w:lineRule="auto"/>
        <w:rPr>
          <w:rFonts w:ascii="Arial" w:eastAsia="Times New Roman" w:hAnsi="Arial" w:cs="Arial"/>
          <w:sz w:val="24"/>
          <w:szCs w:val="24"/>
          <w:highlight w:val="yellow"/>
        </w:rPr>
      </w:pPr>
    </w:p>
    <w:p w:rsidR="00C64707" w:rsidRPr="00E525CE" w:rsidP="00F342E7" w14:paraId="30DD301F" w14:textId="0644B30C">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sz w:val="24"/>
          <w:szCs w:val="24"/>
          <w:highlight w:val="yellow"/>
        </w:rPr>
        <w:br/>
      </w:r>
      <w:r w:rsidRPr="00E525CE">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6535" w:rsidRPr="00E525CE" w:rsidP="00C64707" w14:paraId="0C3E5196" w14:textId="77777777">
      <w:pPr>
        <w:shd w:val="clear" w:color="auto" w:fill="FFFFFF"/>
        <w:spacing w:after="0" w:line="240" w:lineRule="auto"/>
        <w:rPr>
          <w:rFonts w:ascii="Arial" w:eastAsia="Times New Roman" w:hAnsi="Arial" w:cs="Arial"/>
          <w:sz w:val="24"/>
          <w:szCs w:val="24"/>
        </w:rPr>
      </w:pPr>
    </w:p>
    <w:p w:rsidR="00956535" w:rsidRPr="00E525CE" w:rsidP="00956535" w14:paraId="4DCC95E0" w14:textId="40B9E922">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sz w:val="24"/>
          <w:szCs w:val="24"/>
        </w:rPr>
        <w:t>We have no plans for statistical use, and/or publication of this information. The results of the collection will not be made available to the FAA web pages because it is used only to determine if the corrective action will eliminate the unsafe condition or whether additional action must be mandated in another AD (see response to question 1 above).</w:t>
      </w:r>
    </w:p>
    <w:p w:rsidR="00C64707" w:rsidP="00C64707" w14:paraId="29A94D50" w14:textId="15FB512E">
      <w:pPr>
        <w:shd w:val="clear" w:color="auto" w:fill="FFFFFF"/>
        <w:spacing w:after="0" w:line="240" w:lineRule="auto"/>
        <w:rPr>
          <w:rFonts w:ascii="Arial" w:eastAsia="Times New Roman" w:hAnsi="Arial" w:cs="Arial"/>
          <w:sz w:val="24"/>
          <w:szCs w:val="24"/>
          <w:highlight w:val="yellow"/>
        </w:rPr>
      </w:pPr>
    </w:p>
    <w:p w:rsidR="00DE4450" w:rsidRPr="00E525CE" w:rsidP="00C64707" w14:paraId="0135E6FD" w14:textId="77777777">
      <w:pPr>
        <w:shd w:val="clear" w:color="auto" w:fill="FFFFFF"/>
        <w:spacing w:after="0" w:line="240" w:lineRule="auto"/>
        <w:rPr>
          <w:rFonts w:ascii="Arial" w:eastAsia="Times New Roman" w:hAnsi="Arial" w:cs="Arial"/>
          <w:sz w:val="24"/>
          <w:szCs w:val="24"/>
          <w:highlight w:val="yellow"/>
        </w:rPr>
      </w:pPr>
    </w:p>
    <w:p w:rsidR="00C64707" w:rsidRPr="00E525CE" w:rsidP="00C64707" w14:paraId="5F07CFE6" w14:textId="77777777">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rsidR="00956535" w:rsidRPr="00E525CE" w:rsidP="00C64707" w14:paraId="7B25C31C" w14:textId="77777777">
      <w:pPr>
        <w:shd w:val="clear" w:color="auto" w:fill="FFFFFF"/>
        <w:spacing w:after="0" w:line="240" w:lineRule="auto"/>
        <w:rPr>
          <w:rFonts w:ascii="Arial" w:eastAsia="Times New Roman" w:hAnsi="Arial" w:cs="Arial"/>
          <w:sz w:val="24"/>
          <w:szCs w:val="24"/>
        </w:rPr>
      </w:pPr>
    </w:p>
    <w:p w:rsidR="00956535" w:rsidRPr="00E525CE" w:rsidP="00956535" w14:paraId="72BAFB49" w14:textId="77777777">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sz w:val="24"/>
          <w:szCs w:val="24"/>
        </w:rPr>
        <w:t>We do not seek approval to not display the expiration date of the OMB approval.</w:t>
      </w:r>
    </w:p>
    <w:p w:rsidR="00C64707" w:rsidRPr="00E525CE" w:rsidP="00C64707" w14:paraId="6387E5BF" w14:textId="77777777">
      <w:pPr>
        <w:shd w:val="clear" w:color="auto" w:fill="FFFFFF"/>
        <w:spacing w:after="0" w:line="240" w:lineRule="auto"/>
        <w:rPr>
          <w:rFonts w:ascii="Arial" w:eastAsia="Times New Roman" w:hAnsi="Arial" w:cs="Arial"/>
          <w:sz w:val="24"/>
          <w:szCs w:val="24"/>
          <w:highlight w:val="yellow"/>
        </w:rPr>
      </w:pPr>
      <w:r w:rsidRPr="00E525CE">
        <w:rPr>
          <w:rFonts w:ascii="Arial" w:eastAsia="Times New Roman" w:hAnsi="Arial" w:cs="Arial"/>
          <w:sz w:val="24"/>
          <w:szCs w:val="24"/>
          <w:highlight w:val="yellow"/>
        </w:rPr>
        <w:br/>
      </w:r>
    </w:p>
    <w:p w:rsidR="00C64707" w:rsidRPr="00E525CE" w:rsidP="00C64707" w14:paraId="6F85CE1D" w14:textId="77777777">
      <w:pPr>
        <w:shd w:val="clear" w:color="auto" w:fill="FFFFFF"/>
        <w:spacing w:after="0" w:line="240" w:lineRule="auto"/>
        <w:rPr>
          <w:rFonts w:ascii="Arial" w:eastAsia="Times New Roman" w:hAnsi="Arial" w:cs="Arial"/>
          <w:sz w:val="24"/>
          <w:szCs w:val="24"/>
        </w:rPr>
      </w:pPr>
      <w:r w:rsidRPr="00E525CE">
        <w:rPr>
          <w:rFonts w:ascii="Arial" w:eastAsia="Times New Roman" w:hAnsi="Arial" w:cs="Arial"/>
          <w:b/>
          <w:bCs/>
          <w:sz w:val="24"/>
          <w:szCs w:val="24"/>
        </w:rPr>
        <w:t>18. Explain each exception to the topics of the certification statement identified in “Certification for Paperwork Reduction Act Submissions.”</w:t>
      </w:r>
    </w:p>
    <w:p w:rsidR="00956535" w:rsidRPr="00E525CE" w:rsidP="00C64707" w14:paraId="2261CFCE" w14:textId="77777777">
      <w:pPr>
        <w:shd w:val="clear" w:color="auto" w:fill="FFFFFF"/>
        <w:spacing w:after="0" w:line="240" w:lineRule="auto"/>
        <w:rPr>
          <w:rFonts w:ascii="Arial" w:eastAsia="Times New Roman" w:hAnsi="Arial" w:cs="Arial"/>
          <w:sz w:val="24"/>
          <w:szCs w:val="24"/>
        </w:rPr>
      </w:pPr>
    </w:p>
    <w:p w:rsidR="00956535" w:rsidRPr="00E525CE" w:rsidP="00956535" w14:paraId="1D6DE190" w14:textId="77777777">
      <w:pPr>
        <w:shd w:val="clear" w:color="auto" w:fill="FFFFFF"/>
        <w:spacing w:after="0" w:line="240" w:lineRule="auto"/>
      </w:pPr>
      <w:r w:rsidRPr="00E525CE">
        <w:rPr>
          <w:rFonts w:ascii="Arial" w:eastAsia="Times New Roman" w:hAnsi="Arial" w:cs="Arial"/>
          <w:sz w:val="24"/>
          <w:szCs w:val="24"/>
        </w:rPr>
        <w:t>There are no exceptions.</w:t>
      </w:r>
    </w:p>
    <w:p w:rsidR="00956535" w:rsidRPr="00E525CE" w:rsidP="00C64707" w14:paraId="1B730EFB" w14:textId="77777777">
      <w:pPr>
        <w:shd w:val="clear" w:color="auto" w:fill="FFFFFF"/>
        <w:spacing w:after="0" w:line="240" w:lineRule="auto"/>
        <w:rPr>
          <w:rFonts w:ascii="Arial" w:eastAsia="Times New Roman" w:hAnsi="Arial" w:cs="Arial"/>
          <w:sz w:val="24"/>
          <w:szCs w:val="24"/>
        </w:rPr>
      </w:pPr>
    </w:p>
    <w:p w:rsidR="005B4EB0" w:rsidRPr="00E525CE" w14:paraId="2812797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7324" w:rsidP="00C71C31" w14:paraId="074D79A1" w14:textId="77777777">
      <w:pPr>
        <w:spacing w:after="0" w:line="240" w:lineRule="auto"/>
      </w:pPr>
      <w:r>
        <w:separator/>
      </w:r>
    </w:p>
  </w:footnote>
  <w:footnote w:type="continuationSeparator" w:id="1">
    <w:p w:rsidR="00137324" w:rsidP="00C71C31" w14:paraId="2361052A" w14:textId="77777777">
      <w:pPr>
        <w:spacing w:after="0" w:line="240" w:lineRule="auto"/>
      </w:pPr>
      <w:r>
        <w:continuationSeparator/>
      </w:r>
    </w:p>
  </w:footnote>
  <w:footnote w:id="2">
    <w:p w:rsidR="00C71C31" w:rsidP="00C71C31" w14:paraId="754F9600" w14:textId="77777777">
      <w:pPr>
        <w:pStyle w:val="FootnoteText"/>
      </w:pPr>
      <w:r>
        <w:rPr>
          <w:rStyle w:val="FootnoteReference"/>
        </w:rPr>
        <w:footnoteRef/>
      </w:r>
      <w:r>
        <w:t xml:space="preserve"> </w:t>
      </w:r>
      <w:r w:rsidRPr="00AD5C43">
        <w:t>https://www.bls.gov/ooh/installation-maintenance-and-repair/aircraft-and-avionics-equipment-mechanics-and-technicians.htm</w:t>
      </w:r>
    </w:p>
  </w:footnote>
  <w:footnote w:id="3">
    <w:p w:rsidR="00C71C31" w:rsidP="00C71C31" w14:paraId="093A62DB" w14:textId="77777777">
      <w:pPr>
        <w:pStyle w:val="FootnoteText"/>
      </w:pPr>
      <w:r>
        <w:rPr>
          <w:rStyle w:val="FootnoteReference"/>
        </w:rPr>
        <w:footnoteRef/>
      </w:r>
      <w:r>
        <w:t xml:space="preserve"> </w:t>
      </w:r>
      <w:r w:rsidRPr="00CD0F42">
        <w:t>https://www.bls.gov/news.release/pdf/ecec.pdf</w:t>
      </w:r>
    </w:p>
  </w:footnote>
  <w:footnote w:id="4">
    <w:p w:rsidR="00020476" w:rsidP="00020476" w14:paraId="7E1EEFCA" w14:textId="77777777">
      <w:pPr>
        <w:pStyle w:val="FootnoteText"/>
      </w:pPr>
      <w:r>
        <w:rPr>
          <w:rStyle w:val="FootnoteReference"/>
        </w:rPr>
        <w:footnoteRef/>
      </w:r>
      <w:r>
        <w:t xml:space="preserve"> </w:t>
      </w:r>
      <w:r w:rsidRPr="00020476">
        <w:t>https://my.faa.gov/sites/default/files/content/myfaa_pay_calculator/core_salary_with_conversion.xlsx</w:t>
      </w:r>
    </w:p>
    <w:p w:rsidR="00020476" w:rsidP="00020476" w14:paraId="03E215D1"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2C15ED"/>
    <w:multiLevelType w:val="hybridMultilevel"/>
    <w:tmpl w:val="A6187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4829FA"/>
    <w:multiLevelType w:val="hybridMultilevel"/>
    <w:tmpl w:val="2D4894E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447F0495"/>
    <w:multiLevelType w:val="hybridMultilevel"/>
    <w:tmpl w:val="E8E2B56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D11A4F"/>
    <w:multiLevelType w:val="hybridMultilevel"/>
    <w:tmpl w:val="181A1B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31C4617"/>
    <w:multiLevelType w:val="hybridMultilevel"/>
    <w:tmpl w:val="39060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7E5783"/>
    <w:multiLevelType w:val="hybridMultilevel"/>
    <w:tmpl w:val="2DF2E4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41655792">
    <w:abstractNumId w:val="0"/>
  </w:num>
  <w:num w:numId="2" w16cid:durableId="596712049">
    <w:abstractNumId w:val="4"/>
  </w:num>
  <w:num w:numId="3" w16cid:durableId="959722741">
    <w:abstractNumId w:val="6"/>
  </w:num>
  <w:num w:numId="4" w16cid:durableId="1523937739">
    <w:abstractNumId w:val="5"/>
  </w:num>
  <w:num w:numId="5" w16cid:durableId="697894858">
    <w:abstractNumId w:val="1"/>
  </w:num>
  <w:num w:numId="6" w16cid:durableId="2131430214">
    <w:abstractNumId w:val="7"/>
  </w:num>
  <w:num w:numId="7" w16cid:durableId="1977223452">
    <w:abstractNumId w:val="8"/>
  </w:num>
  <w:num w:numId="8" w16cid:durableId="982856993">
    <w:abstractNumId w:val="3"/>
  </w:num>
  <w:num w:numId="9" w16cid:durableId="837308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15997"/>
    <w:rsid w:val="00020476"/>
    <w:rsid w:val="00077C48"/>
    <w:rsid w:val="0009796F"/>
    <w:rsid w:val="000A07CE"/>
    <w:rsid w:val="000A5832"/>
    <w:rsid w:val="000B06A9"/>
    <w:rsid w:val="000D1065"/>
    <w:rsid w:val="000E0160"/>
    <w:rsid w:val="000F4688"/>
    <w:rsid w:val="001032E6"/>
    <w:rsid w:val="00110F37"/>
    <w:rsid w:val="00111E0D"/>
    <w:rsid w:val="0011405C"/>
    <w:rsid w:val="00137324"/>
    <w:rsid w:val="001445F7"/>
    <w:rsid w:val="001617BA"/>
    <w:rsid w:val="001670F0"/>
    <w:rsid w:val="001745DD"/>
    <w:rsid w:val="00181C72"/>
    <w:rsid w:val="001A0D0D"/>
    <w:rsid w:val="001A4EFC"/>
    <w:rsid w:val="001D42A4"/>
    <w:rsid w:val="001F0724"/>
    <w:rsid w:val="001F27AB"/>
    <w:rsid w:val="002167AC"/>
    <w:rsid w:val="002326A8"/>
    <w:rsid w:val="00233838"/>
    <w:rsid w:val="0024134E"/>
    <w:rsid w:val="002643CE"/>
    <w:rsid w:val="00273C7B"/>
    <w:rsid w:val="002C345F"/>
    <w:rsid w:val="002C5344"/>
    <w:rsid w:val="002C6BC4"/>
    <w:rsid w:val="002F3A0C"/>
    <w:rsid w:val="002F5FA4"/>
    <w:rsid w:val="00302A4F"/>
    <w:rsid w:val="00313A15"/>
    <w:rsid w:val="00320D6D"/>
    <w:rsid w:val="0032153E"/>
    <w:rsid w:val="0032567E"/>
    <w:rsid w:val="00370A58"/>
    <w:rsid w:val="00395D8B"/>
    <w:rsid w:val="00397418"/>
    <w:rsid w:val="003D3FF3"/>
    <w:rsid w:val="003E2023"/>
    <w:rsid w:val="003F001A"/>
    <w:rsid w:val="003F6E00"/>
    <w:rsid w:val="00403FA2"/>
    <w:rsid w:val="00421C6C"/>
    <w:rsid w:val="0047370C"/>
    <w:rsid w:val="00477AA3"/>
    <w:rsid w:val="004932D3"/>
    <w:rsid w:val="0049406F"/>
    <w:rsid w:val="00494BCE"/>
    <w:rsid w:val="004A5624"/>
    <w:rsid w:val="004C7A85"/>
    <w:rsid w:val="004D22B6"/>
    <w:rsid w:val="004E2950"/>
    <w:rsid w:val="004F5A6E"/>
    <w:rsid w:val="004F5F88"/>
    <w:rsid w:val="00511E04"/>
    <w:rsid w:val="00524518"/>
    <w:rsid w:val="005438E1"/>
    <w:rsid w:val="0054771F"/>
    <w:rsid w:val="00561354"/>
    <w:rsid w:val="0056465E"/>
    <w:rsid w:val="00564F8E"/>
    <w:rsid w:val="00570098"/>
    <w:rsid w:val="00593A8D"/>
    <w:rsid w:val="005A1C3B"/>
    <w:rsid w:val="005A2315"/>
    <w:rsid w:val="005B1748"/>
    <w:rsid w:val="005B4EB0"/>
    <w:rsid w:val="005C55C3"/>
    <w:rsid w:val="005D38C4"/>
    <w:rsid w:val="005F1B6D"/>
    <w:rsid w:val="00622F9C"/>
    <w:rsid w:val="00641086"/>
    <w:rsid w:val="00650D86"/>
    <w:rsid w:val="00674B12"/>
    <w:rsid w:val="00680F46"/>
    <w:rsid w:val="0069498A"/>
    <w:rsid w:val="006A1F28"/>
    <w:rsid w:val="006A5393"/>
    <w:rsid w:val="006B0889"/>
    <w:rsid w:val="006E2930"/>
    <w:rsid w:val="006F08F0"/>
    <w:rsid w:val="006F32D9"/>
    <w:rsid w:val="00704465"/>
    <w:rsid w:val="00707061"/>
    <w:rsid w:val="0072346D"/>
    <w:rsid w:val="007256D5"/>
    <w:rsid w:val="00730986"/>
    <w:rsid w:val="00742B40"/>
    <w:rsid w:val="007464E5"/>
    <w:rsid w:val="00754A33"/>
    <w:rsid w:val="00771C53"/>
    <w:rsid w:val="007A17F3"/>
    <w:rsid w:val="007A5FB5"/>
    <w:rsid w:val="007D2FB5"/>
    <w:rsid w:val="007F449E"/>
    <w:rsid w:val="00806409"/>
    <w:rsid w:val="00812D3F"/>
    <w:rsid w:val="00827BC0"/>
    <w:rsid w:val="0083249E"/>
    <w:rsid w:val="00846452"/>
    <w:rsid w:val="008609AF"/>
    <w:rsid w:val="00865350"/>
    <w:rsid w:val="008748F8"/>
    <w:rsid w:val="008B11EA"/>
    <w:rsid w:val="008B1CCD"/>
    <w:rsid w:val="008B3FF2"/>
    <w:rsid w:val="008C5411"/>
    <w:rsid w:val="008F7D4A"/>
    <w:rsid w:val="009113EE"/>
    <w:rsid w:val="00912F87"/>
    <w:rsid w:val="00915972"/>
    <w:rsid w:val="00925CAE"/>
    <w:rsid w:val="00925E0D"/>
    <w:rsid w:val="00942025"/>
    <w:rsid w:val="00942C3A"/>
    <w:rsid w:val="00956535"/>
    <w:rsid w:val="0097317E"/>
    <w:rsid w:val="00977A85"/>
    <w:rsid w:val="009874B9"/>
    <w:rsid w:val="00992238"/>
    <w:rsid w:val="0099378D"/>
    <w:rsid w:val="009C3C64"/>
    <w:rsid w:val="009C494B"/>
    <w:rsid w:val="009C711A"/>
    <w:rsid w:val="00A006ED"/>
    <w:rsid w:val="00A1074D"/>
    <w:rsid w:val="00A41186"/>
    <w:rsid w:val="00A51AE6"/>
    <w:rsid w:val="00A60100"/>
    <w:rsid w:val="00A62F55"/>
    <w:rsid w:val="00A72C7E"/>
    <w:rsid w:val="00A72E5D"/>
    <w:rsid w:val="00A8023F"/>
    <w:rsid w:val="00A84605"/>
    <w:rsid w:val="00A92866"/>
    <w:rsid w:val="00A9607C"/>
    <w:rsid w:val="00AA0C96"/>
    <w:rsid w:val="00AA1304"/>
    <w:rsid w:val="00AA4817"/>
    <w:rsid w:val="00AB57A3"/>
    <w:rsid w:val="00AC79F8"/>
    <w:rsid w:val="00AD3CD0"/>
    <w:rsid w:val="00AD5C43"/>
    <w:rsid w:val="00AF6D4D"/>
    <w:rsid w:val="00B301F8"/>
    <w:rsid w:val="00B47C21"/>
    <w:rsid w:val="00B5299A"/>
    <w:rsid w:val="00B75596"/>
    <w:rsid w:val="00B97C28"/>
    <w:rsid w:val="00BB66BD"/>
    <w:rsid w:val="00BC37C2"/>
    <w:rsid w:val="00BD269E"/>
    <w:rsid w:val="00BE5ADE"/>
    <w:rsid w:val="00BE7373"/>
    <w:rsid w:val="00C25A14"/>
    <w:rsid w:val="00C64707"/>
    <w:rsid w:val="00C71C31"/>
    <w:rsid w:val="00C731B9"/>
    <w:rsid w:val="00C823AC"/>
    <w:rsid w:val="00C834ED"/>
    <w:rsid w:val="00C83BA8"/>
    <w:rsid w:val="00CA6EC0"/>
    <w:rsid w:val="00CD0F42"/>
    <w:rsid w:val="00CD14C9"/>
    <w:rsid w:val="00D049CE"/>
    <w:rsid w:val="00D061F7"/>
    <w:rsid w:val="00D24018"/>
    <w:rsid w:val="00D4031E"/>
    <w:rsid w:val="00D42708"/>
    <w:rsid w:val="00D50FD0"/>
    <w:rsid w:val="00D674E2"/>
    <w:rsid w:val="00D87D60"/>
    <w:rsid w:val="00D948E0"/>
    <w:rsid w:val="00DA79AA"/>
    <w:rsid w:val="00DD3B75"/>
    <w:rsid w:val="00DE4450"/>
    <w:rsid w:val="00DF4BFB"/>
    <w:rsid w:val="00E04D02"/>
    <w:rsid w:val="00E40E77"/>
    <w:rsid w:val="00E45679"/>
    <w:rsid w:val="00E525CE"/>
    <w:rsid w:val="00E67136"/>
    <w:rsid w:val="00E70516"/>
    <w:rsid w:val="00E73329"/>
    <w:rsid w:val="00E9164C"/>
    <w:rsid w:val="00E94370"/>
    <w:rsid w:val="00EC2040"/>
    <w:rsid w:val="00ED1CD2"/>
    <w:rsid w:val="00ED70F0"/>
    <w:rsid w:val="00EE0172"/>
    <w:rsid w:val="00F054DD"/>
    <w:rsid w:val="00F07D9A"/>
    <w:rsid w:val="00F316C5"/>
    <w:rsid w:val="00F342E7"/>
    <w:rsid w:val="00F35F67"/>
    <w:rsid w:val="00F5295C"/>
    <w:rsid w:val="00F57171"/>
    <w:rsid w:val="00F6054C"/>
    <w:rsid w:val="00F64063"/>
    <w:rsid w:val="00F7169F"/>
    <w:rsid w:val="00F95955"/>
    <w:rsid w:val="00FC1776"/>
    <w:rsid w:val="00FC4983"/>
    <w:rsid w:val="00FE0163"/>
    <w:rsid w:val="00FE5BC0"/>
    <w:rsid w:val="00FF76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105329"/>
  <w15:chartTrackingRefBased/>
  <w15:docId w15:val="{B684B97D-128B-407A-93FD-1D4AFD2D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rsid w:val="001A4EFC"/>
    <w:rPr>
      <w:color w:val="CC6600"/>
      <w:u w:val="single"/>
    </w:rPr>
  </w:style>
  <w:style w:type="paragraph" w:customStyle="1" w:styleId="para">
    <w:name w:val="para"/>
    <w:basedOn w:val="Normal"/>
    <w:qFormat/>
    <w:rsid w:val="001A4EFC"/>
    <w:pPr>
      <w:spacing w:before="60" w:after="60" w:line="240" w:lineRule="auto"/>
    </w:pPr>
    <w:rPr>
      <w:rFonts w:ascii="Times New Roman" w:eastAsia="Times New Roman" w:hAnsi="Times New Roman" w:cs="Times New Roman"/>
    </w:rPr>
  </w:style>
  <w:style w:type="paragraph" w:customStyle="1" w:styleId="xmsonormal">
    <w:name w:val="x_msonormal"/>
    <w:basedOn w:val="Normal"/>
    <w:rsid w:val="001A4EFC"/>
    <w:pPr>
      <w:spacing w:after="0" w:line="240" w:lineRule="auto"/>
    </w:pPr>
    <w:rPr>
      <w:rFonts w:ascii="Times New Roman" w:hAnsi="Times New Roman" w:cs="Times New Roman"/>
      <w:sz w:val="24"/>
      <w:szCs w:val="24"/>
    </w:rPr>
  </w:style>
  <w:style w:type="paragraph" w:styleId="NoSpacing">
    <w:name w:val="No Spacing"/>
    <w:link w:val="NoSpacingChar"/>
    <w:uiPriority w:val="1"/>
    <w:qFormat/>
    <w:rsid w:val="001A4EFC"/>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1A4EFC"/>
    <w:rPr>
      <w:rFonts w:ascii="Calibri" w:eastAsia="Times New Roman" w:hAnsi="Calibri" w:cs="Times New Roman"/>
    </w:rPr>
  </w:style>
  <w:style w:type="paragraph" w:customStyle="1" w:styleId="Default">
    <w:name w:val="Default"/>
    <w:rsid w:val="001A4E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015997"/>
    <w:pPr>
      <w:spacing w:before="120" w:after="12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C71C31"/>
    <w:pPr>
      <w:spacing w:after="0" w:line="240" w:lineRule="auto"/>
    </w:pPr>
    <w:rPr>
      <w:sz w:val="20"/>
      <w:szCs w:val="20"/>
    </w:rPr>
  </w:style>
  <w:style w:type="character" w:customStyle="1" w:styleId="FootnoteTextChar">
    <w:name w:val="Footnote Text Char"/>
    <w:basedOn w:val="DefaultParagraphFont"/>
    <w:link w:val="FootnoteText"/>
    <w:uiPriority w:val="99"/>
    <w:rsid w:val="00C71C31"/>
    <w:rPr>
      <w:sz w:val="20"/>
      <w:szCs w:val="20"/>
    </w:rPr>
  </w:style>
  <w:style w:type="character" w:styleId="FootnoteReference">
    <w:name w:val="footnote reference"/>
    <w:basedOn w:val="DefaultParagraphFont"/>
    <w:uiPriority w:val="99"/>
    <w:unhideWhenUsed/>
    <w:rsid w:val="00C71C31"/>
    <w:rPr>
      <w:vertAlign w:val="superscript"/>
    </w:rPr>
  </w:style>
  <w:style w:type="paragraph" w:styleId="BodyText">
    <w:name w:val="Body Text"/>
    <w:basedOn w:val="Normal"/>
    <w:link w:val="BodyTextChar"/>
    <w:rsid w:val="004932D3"/>
    <w:pPr>
      <w:spacing w:after="0" w:line="240" w:lineRule="auto"/>
    </w:pPr>
    <w:rPr>
      <w:rFonts w:ascii="Courier New" w:eastAsia="Times New Roman" w:hAnsi="Courier New" w:cs="Times New Roman"/>
      <w:sz w:val="24"/>
      <w:szCs w:val="20"/>
    </w:rPr>
  </w:style>
  <w:style w:type="character" w:customStyle="1" w:styleId="BodyTextChar">
    <w:name w:val="Body Text Char"/>
    <w:basedOn w:val="DefaultParagraphFont"/>
    <w:link w:val="BodyText"/>
    <w:rsid w:val="004932D3"/>
    <w:rPr>
      <w:rFonts w:ascii="Courier New" w:eastAsia="Times New Roman" w:hAnsi="Courier New" w:cs="Times New Roman"/>
      <w:sz w:val="24"/>
      <w:szCs w:val="20"/>
    </w:rPr>
  </w:style>
  <w:style w:type="paragraph" w:styleId="CommentSubject">
    <w:name w:val="annotation subject"/>
    <w:basedOn w:val="CommentText"/>
    <w:next w:val="CommentText"/>
    <w:link w:val="CommentSubjectChar"/>
    <w:uiPriority w:val="99"/>
    <w:semiHidden/>
    <w:unhideWhenUsed/>
    <w:rsid w:val="004932D3"/>
    <w:rPr>
      <w:b/>
      <w:bCs/>
    </w:rPr>
  </w:style>
  <w:style w:type="character" w:customStyle="1" w:styleId="CommentSubjectChar">
    <w:name w:val="Comment Subject Char"/>
    <w:basedOn w:val="CommentTextChar"/>
    <w:link w:val="CommentSubject"/>
    <w:uiPriority w:val="99"/>
    <w:semiHidden/>
    <w:rsid w:val="004932D3"/>
    <w:rPr>
      <w:b/>
      <w:bCs/>
      <w:sz w:val="20"/>
      <w:szCs w:val="20"/>
    </w:rPr>
  </w:style>
  <w:style w:type="table" w:styleId="TableGrid">
    <w:name w:val="Table Grid"/>
    <w:basedOn w:val="TableNormal"/>
    <w:uiPriority w:val="39"/>
    <w:rsid w:val="0047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2D3F"/>
    <w:rPr>
      <w:color w:val="605E5C"/>
      <w:shd w:val="clear" w:color="auto" w:fill="E1DFDD"/>
    </w:rPr>
  </w:style>
  <w:style w:type="character" w:styleId="FollowedHyperlink">
    <w:name w:val="FollowedHyperlink"/>
    <w:basedOn w:val="DefaultParagraphFont"/>
    <w:uiPriority w:val="99"/>
    <w:semiHidden/>
    <w:unhideWhenUsed/>
    <w:rsid w:val="00812D3F"/>
    <w:rPr>
      <w:color w:val="954F72" w:themeColor="followedHyperlink"/>
      <w:u w:val="single"/>
    </w:rPr>
  </w:style>
  <w:style w:type="paragraph" w:styleId="Header">
    <w:name w:val="header"/>
    <w:basedOn w:val="Normal"/>
    <w:link w:val="HeaderChar"/>
    <w:uiPriority w:val="99"/>
    <w:unhideWhenUsed/>
    <w:rsid w:val="00812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D3F"/>
  </w:style>
  <w:style w:type="paragraph" w:styleId="Footer">
    <w:name w:val="footer"/>
    <w:basedOn w:val="Normal"/>
    <w:link w:val="FooterChar"/>
    <w:uiPriority w:val="99"/>
    <w:unhideWhenUsed/>
    <w:rsid w:val="00812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D3F"/>
  </w:style>
  <w:style w:type="paragraph" w:styleId="EndnoteText">
    <w:name w:val="endnote text"/>
    <w:basedOn w:val="Normal"/>
    <w:link w:val="EndnoteTextChar"/>
    <w:uiPriority w:val="99"/>
    <w:semiHidden/>
    <w:unhideWhenUsed/>
    <w:rsid w:val="00E40E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0E77"/>
    <w:rPr>
      <w:sz w:val="20"/>
      <w:szCs w:val="20"/>
    </w:rPr>
  </w:style>
  <w:style w:type="character" w:styleId="EndnoteReference">
    <w:name w:val="endnote reference"/>
    <w:basedOn w:val="DefaultParagraphFont"/>
    <w:uiPriority w:val="99"/>
    <w:semiHidden/>
    <w:unhideWhenUsed/>
    <w:rsid w:val="00E40E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36485-ADEC-4B22-BB08-78A0922D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3117</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Janollari, Michelle K (FAA)</cp:lastModifiedBy>
  <cp:revision>14</cp:revision>
  <dcterms:created xsi:type="dcterms:W3CDTF">2024-11-14T18:07:00Z</dcterms:created>
  <dcterms:modified xsi:type="dcterms:W3CDTF">2024-11-15T19:30:00Z</dcterms:modified>
</cp:coreProperties>
</file>