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2C95" w14:paraId="44D36063" w14:textId="3CA8F9C9">
      <w:pPr>
        <w:pStyle w:val="NormalWeb"/>
        <w:jc w:val="center"/>
        <w:rPr>
          <w:rFonts w:ascii="Arial" w:hAnsi="Arial" w:cs="Arial"/>
          <w:b/>
          <w:bCs/>
        </w:rPr>
      </w:pPr>
      <w:r>
        <w:rPr>
          <w:rFonts w:ascii="Arial" w:hAnsi="Arial" w:cs="Arial"/>
          <w:b/>
          <w:bCs/>
        </w:rPr>
        <w:t>Department of Transportation (DOT)</w:t>
      </w:r>
    </w:p>
    <w:p w:rsidR="00562C95" w14:paraId="31E3991F" w14:textId="19DEDEFA">
      <w:pPr>
        <w:pStyle w:val="NormalWeb"/>
        <w:jc w:val="center"/>
        <w:rPr>
          <w:rFonts w:ascii="Arial" w:hAnsi="Arial" w:cs="Arial"/>
          <w:b/>
          <w:bCs/>
        </w:rPr>
      </w:pPr>
      <w:r>
        <w:rPr>
          <w:rFonts w:ascii="Arial" w:hAnsi="Arial" w:cs="Arial"/>
          <w:b/>
          <w:bCs/>
        </w:rPr>
        <w:t>Federal Highway Administration (FHWA)</w:t>
      </w:r>
    </w:p>
    <w:p w:rsidR="00562C95" w14:paraId="5C0F2248" w14:textId="77777777">
      <w:pPr>
        <w:pStyle w:val="NormalWeb"/>
        <w:jc w:val="center"/>
        <w:rPr>
          <w:rFonts w:ascii="Arial" w:hAnsi="Arial" w:cs="Arial"/>
          <w:b/>
          <w:bCs/>
        </w:rPr>
      </w:pPr>
      <w:r>
        <w:rPr>
          <w:rFonts w:ascii="Arial" w:hAnsi="Arial" w:cs="Arial"/>
          <w:b/>
          <w:bCs/>
        </w:rPr>
        <w:t>The Supporting Statement</w:t>
      </w:r>
      <w:r>
        <w:rPr>
          <w:rFonts w:ascii="Arial" w:hAnsi="Arial" w:cs="Arial"/>
          <w:b/>
          <w:bCs/>
        </w:rPr>
        <w:t xml:space="preserve"> A</w:t>
      </w:r>
    </w:p>
    <w:p w:rsidR="00562C95" w14:paraId="5DEB096C" w14:textId="77777777">
      <w:pPr>
        <w:pStyle w:val="NormalWeb"/>
        <w:jc w:val="center"/>
        <w:rPr>
          <w:rFonts w:ascii="Arial" w:hAnsi="Arial" w:cs="Arial"/>
          <w:b/>
          <w:bCs/>
        </w:rPr>
      </w:pPr>
      <w:r>
        <w:rPr>
          <w:rFonts w:ascii="Arial" w:hAnsi="Arial" w:cs="Arial"/>
          <w:b/>
          <w:bCs/>
        </w:rPr>
        <w:t>FY24 Competitive Highway Bridge Program</w:t>
      </w:r>
    </w:p>
    <w:p w:rsidR="00BD1BF2" w14:paraId="229BD9B3" w14:textId="019D8EE9">
      <w:pPr>
        <w:pStyle w:val="NormalWeb"/>
        <w:jc w:val="center"/>
        <w:rPr>
          <w:rFonts w:ascii="Arial" w:hAnsi="Arial" w:cs="Arial"/>
          <w:b/>
          <w:bCs/>
          <w:sz w:val="20"/>
          <w:szCs w:val="20"/>
        </w:rPr>
      </w:pPr>
      <w:r>
        <w:rPr>
          <w:rFonts w:ascii="Arial" w:hAnsi="Arial" w:cs="Arial"/>
          <w:b/>
          <w:bCs/>
        </w:rPr>
        <w:t>OMB Control No. 2125-XXXX</w:t>
      </w:r>
      <w:r>
        <w:rPr>
          <w:rFonts w:ascii="Arial" w:hAnsi="Arial" w:cs="Arial"/>
          <w:b/>
          <w:bCs/>
          <w:sz w:val="20"/>
          <w:szCs w:val="20"/>
        </w:rPr>
        <w:t xml:space="preserve"> </w:t>
      </w:r>
    </w:p>
    <w:p w:rsidR="00BD1BF2" w14:paraId="4FFB6A57" w14:textId="77777777"/>
    <w:p w:rsidR="0025042F" w14:paraId="02239471" w14:textId="400C0702">
      <w:pPr>
        <w:pStyle w:val="NormalWeb"/>
        <w:rPr>
          <w:rFonts w:ascii="Arial" w:hAnsi="Arial" w:cs="Arial"/>
          <w:color w:val="FF0000"/>
          <w:sz w:val="20"/>
          <w:szCs w:val="20"/>
        </w:rPr>
      </w:pPr>
      <w:r>
        <w:rPr>
          <w:rFonts w:ascii="Arial" w:hAnsi="Arial" w:cs="Arial"/>
          <w:sz w:val="20"/>
          <w:szCs w:val="20"/>
          <w:u w:val="single"/>
        </w:rPr>
        <w:t>Introduction</w:t>
      </w:r>
      <w:r>
        <w:rPr>
          <w:rFonts w:ascii="Arial" w:hAnsi="Arial" w:cs="Arial"/>
          <w:sz w:val="20"/>
          <w:szCs w:val="20"/>
        </w:rPr>
        <w:t xml:space="preserve">: </w:t>
      </w:r>
      <w:bookmarkStart w:id="0" w:name="_Hlk179967100"/>
    </w:p>
    <w:p w:rsidR="0025042F" w14:paraId="00CF260E" w14:textId="715DCDEB">
      <w:pPr>
        <w:pStyle w:val="NormalWeb"/>
        <w:rPr>
          <w:rFonts w:ascii="Arial" w:hAnsi="Arial" w:cs="Arial"/>
          <w:sz w:val="20"/>
          <w:szCs w:val="20"/>
        </w:rPr>
      </w:pPr>
      <w:r w:rsidRPr="0025042F">
        <w:rPr>
          <w:rFonts w:ascii="Arial" w:hAnsi="Arial" w:cs="Arial"/>
          <w:sz w:val="20"/>
          <w:szCs w:val="20"/>
        </w:rPr>
        <w:t>Federal Highway Administration (FHWA)</w:t>
      </w:r>
      <w:r>
        <w:rPr>
          <w:rFonts w:ascii="Arial" w:hAnsi="Arial" w:cs="Arial"/>
          <w:sz w:val="20"/>
          <w:szCs w:val="20"/>
        </w:rPr>
        <w:t xml:space="preserve"> </w:t>
      </w:r>
      <w:r w:rsidR="00811F31">
        <w:rPr>
          <w:rFonts w:ascii="Arial" w:hAnsi="Arial" w:cs="Arial"/>
          <w:sz w:val="20"/>
          <w:szCs w:val="20"/>
        </w:rPr>
        <w:t xml:space="preserve">is making this information collection request </w:t>
      </w:r>
      <w:r>
        <w:rPr>
          <w:rFonts w:ascii="Arial" w:hAnsi="Arial" w:cs="Arial"/>
          <w:sz w:val="20"/>
          <w:szCs w:val="20"/>
        </w:rPr>
        <w:t xml:space="preserve">to </w:t>
      </w:r>
      <w:r w:rsidR="00923A30">
        <w:rPr>
          <w:rFonts w:ascii="Arial" w:hAnsi="Arial" w:cs="Arial"/>
          <w:sz w:val="20"/>
          <w:szCs w:val="20"/>
        </w:rPr>
        <w:t xml:space="preserve">facilitate </w:t>
      </w:r>
      <w:r w:rsidR="0071623F">
        <w:rPr>
          <w:rFonts w:ascii="Arial" w:hAnsi="Arial" w:cs="Arial"/>
          <w:sz w:val="20"/>
          <w:szCs w:val="20"/>
        </w:rPr>
        <w:t>deliver</w:t>
      </w:r>
      <w:r w:rsidR="00923A30">
        <w:rPr>
          <w:rFonts w:ascii="Arial" w:hAnsi="Arial" w:cs="Arial"/>
          <w:sz w:val="20"/>
          <w:szCs w:val="20"/>
        </w:rPr>
        <w:t>y of</w:t>
      </w:r>
      <w:r w:rsidR="00811F31">
        <w:rPr>
          <w:rFonts w:ascii="Arial" w:hAnsi="Arial" w:cs="Arial"/>
          <w:sz w:val="20"/>
          <w:szCs w:val="20"/>
        </w:rPr>
        <w:t xml:space="preserve"> the Fis</w:t>
      </w:r>
      <w:r w:rsidR="0071623F">
        <w:rPr>
          <w:rFonts w:ascii="Arial" w:hAnsi="Arial" w:cs="Arial"/>
          <w:sz w:val="20"/>
          <w:szCs w:val="20"/>
        </w:rPr>
        <w:t>cal Year 20</w:t>
      </w:r>
      <w:r w:rsidR="00811F31">
        <w:rPr>
          <w:rFonts w:ascii="Arial" w:hAnsi="Arial" w:cs="Arial"/>
          <w:sz w:val="20"/>
          <w:szCs w:val="20"/>
        </w:rPr>
        <w:t>24 Competitive Highway Bridge Program (CHBP)</w:t>
      </w:r>
      <w:r w:rsidRPr="0025042F">
        <w:rPr>
          <w:rFonts w:ascii="Arial" w:hAnsi="Arial" w:cs="Arial"/>
          <w:sz w:val="20"/>
          <w:szCs w:val="20"/>
        </w:rPr>
        <w:t xml:space="preserve">.  </w:t>
      </w:r>
      <w:r w:rsidRPr="0071623F" w:rsidR="0071623F">
        <w:rPr>
          <w:rFonts w:ascii="Arial" w:hAnsi="Arial" w:cs="Arial"/>
          <w:sz w:val="20"/>
          <w:szCs w:val="20"/>
        </w:rPr>
        <w:t>The CHBP provides funding for bundled bridge replacement and rehabilitation projects.  The CHBP requirements, and funding in the amount of $250 million, are authorized in the Consolidated Appropriations Act, 2024, Public Law 118-42, Section 126, March 9, 2024.</w:t>
      </w:r>
      <w:r w:rsidR="0071623F">
        <w:rPr>
          <w:rFonts w:ascii="Arial" w:hAnsi="Arial" w:cs="Arial"/>
          <w:sz w:val="20"/>
          <w:szCs w:val="20"/>
        </w:rPr>
        <w:t xml:space="preserve"> </w:t>
      </w:r>
      <w:r w:rsidRPr="0025042F">
        <w:rPr>
          <w:rFonts w:ascii="Arial" w:hAnsi="Arial" w:cs="Arial"/>
          <w:sz w:val="20"/>
          <w:szCs w:val="20"/>
        </w:rPr>
        <w:t>Th</w:t>
      </w:r>
      <w:r w:rsidR="0071623F">
        <w:rPr>
          <w:rFonts w:ascii="Arial" w:hAnsi="Arial" w:cs="Arial"/>
          <w:sz w:val="20"/>
          <w:szCs w:val="20"/>
        </w:rPr>
        <w:t>is is a new</w:t>
      </w:r>
      <w:r w:rsidRPr="0025042F">
        <w:rPr>
          <w:rFonts w:ascii="Arial" w:hAnsi="Arial" w:cs="Arial"/>
          <w:sz w:val="20"/>
          <w:szCs w:val="20"/>
        </w:rPr>
        <w:t xml:space="preserve"> collection </w:t>
      </w:r>
      <w:r w:rsidR="0071623F">
        <w:rPr>
          <w:rFonts w:ascii="Arial" w:hAnsi="Arial" w:cs="Arial"/>
          <w:sz w:val="20"/>
          <w:szCs w:val="20"/>
        </w:rPr>
        <w:t xml:space="preserve">that </w:t>
      </w:r>
      <w:r w:rsidRPr="0025042F">
        <w:rPr>
          <w:rFonts w:ascii="Arial" w:hAnsi="Arial" w:cs="Arial"/>
          <w:sz w:val="20"/>
          <w:szCs w:val="20"/>
        </w:rPr>
        <w:t>will request project applications that FHWA will use make determinations on grants</w:t>
      </w:r>
      <w:r w:rsidR="00811F31">
        <w:rPr>
          <w:rFonts w:ascii="Arial" w:hAnsi="Arial" w:cs="Arial"/>
          <w:sz w:val="20"/>
          <w:szCs w:val="20"/>
        </w:rPr>
        <w:t xml:space="preserve"> for up to eighteen eligible State</w:t>
      </w:r>
      <w:r w:rsidR="0071623F">
        <w:rPr>
          <w:rFonts w:ascii="Arial" w:hAnsi="Arial" w:cs="Arial"/>
          <w:sz w:val="20"/>
          <w:szCs w:val="20"/>
        </w:rPr>
        <w:t xml:space="preserve"> Departments of Transportation</w:t>
      </w:r>
      <w:r w:rsidRPr="0025042F">
        <w:rPr>
          <w:rFonts w:ascii="Arial" w:hAnsi="Arial" w:cs="Arial"/>
          <w:sz w:val="20"/>
          <w:szCs w:val="20"/>
        </w:rPr>
        <w:t>.</w:t>
      </w:r>
    </w:p>
    <w:bookmarkEnd w:id="0"/>
    <w:p w:rsidR="00B9123D" w14:paraId="266A10C1" w14:textId="77777777">
      <w:pPr>
        <w:pStyle w:val="NormalWeb"/>
        <w:rPr>
          <w:rFonts w:ascii="Arial" w:hAnsi="Arial" w:cs="Arial"/>
          <w:sz w:val="20"/>
          <w:szCs w:val="20"/>
          <w:u w:val="single"/>
        </w:rPr>
      </w:pPr>
    </w:p>
    <w:p w:rsidR="00B9123D" w14:paraId="3D766B46" w14:textId="211947CE">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460069" w:rsidP="001354A0" w14:paraId="4115B6B4" w14:textId="3F795DE6">
      <w:pPr>
        <w:pStyle w:val="NormalWeb"/>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AD37C2" w14:paraId="7CDAD139" w14:textId="3096827D">
      <w:pPr>
        <w:rPr>
          <w:rFonts w:ascii="Arial" w:hAnsi="Arial" w:cs="Arial"/>
          <w:sz w:val="20"/>
          <w:szCs w:val="20"/>
        </w:rPr>
      </w:pPr>
      <w:r w:rsidRPr="00811F31">
        <w:rPr>
          <w:rFonts w:ascii="Arial" w:hAnsi="Arial" w:cs="Arial"/>
          <w:sz w:val="20"/>
          <w:szCs w:val="20"/>
        </w:rPr>
        <w:t>The Consolidated Appropriations Act, 2024</w:t>
      </w:r>
      <w:r w:rsidR="00513B1F">
        <w:rPr>
          <w:rFonts w:ascii="Arial" w:hAnsi="Arial" w:cs="Arial"/>
          <w:sz w:val="20"/>
          <w:szCs w:val="20"/>
        </w:rPr>
        <w:t xml:space="preserve">, </w:t>
      </w:r>
      <w:r w:rsidRPr="0071623F" w:rsidR="00513B1F">
        <w:rPr>
          <w:rFonts w:ascii="Arial" w:hAnsi="Arial" w:cs="Arial"/>
          <w:sz w:val="20"/>
          <w:szCs w:val="20"/>
        </w:rPr>
        <w:t>Public Law 118-42, Section 126</w:t>
      </w:r>
      <w:r w:rsidR="00513B1F">
        <w:rPr>
          <w:rFonts w:ascii="Arial" w:hAnsi="Arial" w:cs="Arial"/>
          <w:sz w:val="20"/>
          <w:szCs w:val="20"/>
        </w:rPr>
        <w:t xml:space="preserve"> </w:t>
      </w:r>
      <w:r w:rsidRPr="00811F31">
        <w:rPr>
          <w:rFonts w:ascii="Arial" w:hAnsi="Arial" w:cs="Arial"/>
          <w:sz w:val="20"/>
          <w:szCs w:val="20"/>
        </w:rPr>
        <w:t xml:space="preserve">provides </w:t>
      </w:r>
      <w:r w:rsidR="000D0BD1">
        <w:rPr>
          <w:rFonts w:ascii="Arial" w:hAnsi="Arial" w:cs="Arial"/>
          <w:sz w:val="20"/>
          <w:szCs w:val="20"/>
        </w:rPr>
        <w:t xml:space="preserve">funding in the amount of </w:t>
      </w:r>
      <w:r w:rsidRPr="00811F31">
        <w:rPr>
          <w:rFonts w:ascii="Arial" w:hAnsi="Arial" w:cs="Arial"/>
          <w:sz w:val="20"/>
          <w:szCs w:val="20"/>
        </w:rPr>
        <w:t>$250 million t</w:t>
      </w:r>
      <w:r w:rsidR="000D0BD1">
        <w:rPr>
          <w:rFonts w:ascii="Arial" w:hAnsi="Arial" w:cs="Arial"/>
          <w:sz w:val="20"/>
          <w:szCs w:val="20"/>
        </w:rPr>
        <w:t>hat may</w:t>
      </w:r>
      <w:r w:rsidRPr="00811F31">
        <w:rPr>
          <w:rFonts w:ascii="Arial" w:hAnsi="Arial" w:cs="Arial"/>
          <w:sz w:val="20"/>
          <w:szCs w:val="20"/>
        </w:rPr>
        <w:t xml:space="preserve"> be awarded by FHWA for </w:t>
      </w:r>
      <w:r w:rsidRPr="00811F31" w:rsidR="00791E6C">
        <w:rPr>
          <w:rFonts w:ascii="Arial" w:hAnsi="Arial" w:cs="Arial"/>
          <w:bCs/>
          <w:iCs/>
          <w:sz w:val="20"/>
          <w:szCs w:val="20"/>
        </w:rPr>
        <w:t>CHBP</w:t>
      </w:r>
      <w:r w:rsidR="000D0BD1">
        <w:rPr>
          <w:rFonts w:ascii="Arial" w:hAnsi="Arial" w:cs="Arial"/>
          <w:bCs/>
          <w:iCs/>
          <w:sz w:val="20"/>
          <w:szCs w:val="20"/>
        </w:rPr>
        <w:t xml:space="preserve"> grants</w:t>
      </w:r>
      <w:r w:rsidRPr="00811F31">
        <w:rPr>
          <w:rFonts w:ascii="Arial" w:hAnsi="Arial" w:cs="Arial"/>
          <w:sz w:val="20"/>
          <w:szCs w:val="20"/>
        </w:rPr>
        <w:t xml:space="preserve">.  </w:t>
      </w:r>
      <w:r w:rsidR="00923A30">
        <w:rPr>
          <w:rFonts w:ascii="Arial" w:hAnsi="Arial" w:cs="Arial"/>
          <w:sz w:val="20"/>
          <w:szCs w:val="20"/>
        </w:rPr>
        <w:t xml:space="preserve">The </w:t>
      </w:r>
      <w:r w:rsidRPr="00811F31">
        <w:rPr>
          <w:rFonts w:ascii="Arial" w:hAnsi="Arial" w:cs="Arial"/>
          <w:sz w:val="20"/>
          <w:szCs w:val="20"/>
        </w:rPr>
        <w:t>CHBP supports m</w:t>
      </w:r>
      <w:r w:rsidRPr="00811F31" w:rsidR="00811F31">
        <w:rPr>
          <w:rFonts w:ascii="Arial" w:hAnsi="Arial" w:cs="Arial"/>
          <w:sz w:val="20"/>
          <w:szCs w:val="20"/>
        </w:rPr>
        <w:t>ultiple</w:t>
      </w:r>
      <w:r w:rsidRPr="00811F31">
        <w:rPr>
          <w:rFonts w:ascii="Arial" w:hAnsi="Arial" w:cs="Arial"/>
          <w:sz w:val="20"/>
          <w:szCs w:val="20"/>
        </w:rPr>
        <w:t xml:space="preserve"> </w:t>
      </w:r>
      <w:r w:rsidR="000D0BD1">
        <w:rPr>
          <w:rFonts w:ascii="Arial" w:hAnsi="Arial" w:cs="Arial"/>
          <w:sz w:val="20"/>
          <w:szCs w:val="20"/>
        </w:rPr>
        <w:t xml:space="preserve">priorities and strategic goals of the </w:t>
      </w:r>
      <w:r w:rsidR="006F6FFE">
        <w:rPr>
          <w:rFonts w:ascii="Arial" w:hAnsi="Arial" w:cs="Arial"/>
          <w:sz w:val="20"/>
          <w:szCs w:val="20"/>
        </w:rPr>
        <w:t xml:space="preserve">U.S. </w:t>
      </w:r>
      <w:r w:rsidRPr="00811F31">
        <w:rPr>
          <w:rFonts w:ascii="Arial" w:hAnsi="Arial" w:cs="Arial"/>
          <w:sz w:val="20"/>
          <w:szCs w:val="20"/>
        </w:rPr>
        <w:t>D</w:t>
      </w:r>
      <w:r w:rsidR="000D0BD1">
        <w:rPr>
          <w:rFonts w:ascii="Arial" w:hAnsi="Arial" w:cs="Arial"/>
          <w:sz w:val="20"/>
          <w:szCs w:val="20"/>
        </w:rPr>
        <w:t>epartment of Transportation.  The applications that are submitted in response to this collection will address how the proposed projects contribute</w:t>
      </w:r>
      <w:r w:rsidRPr="00811F31">
        <w:rPr>
          <w:rFonts w:ascii="Arial" w:hAnsi="Arial" w:cs="Arial"/>
          <w:sz w:val="20"/>
          <w:szCs w:val="20"/>
        </w:rPr>
        <w:t xml:space="preserve"> </w:t>
      </w:r>
      <w:r w:rsidR="000D0BD1">
        <w:rPr>
          <w:rFonts w:ascii="Arial" w:hAnsi="Arial" w:cs="Arial"/>
          <w:sz w:val="20"/>
          <w:szCs w:val="20"/>
        </w:rPr>
        <w:t>to</w:t>
      </w:r>
      <w:r w:rsidRPr="00811F31">
        <w:rPr>
          <w:rFonts w:ascii="Arial" w:hAnsi="Arial" w:cs="Arial"/>
          <w:sz w:val="20"/>
          <w:szCs w:val="20"/>
        </w:rPr>
        <w:t xml:space="preserve"> </w:t>
      </w:r>
      <w:r w:rsidR="000D0BD1">
        <w:rPr>
          <w:rFonts w:ascii="Arial" w:hAnsi="Arial" w:cs="Arial"/>
          <w:sz w:val="20"/>
          <w:szCs w:val="20"/>
        </w:rPr>
        <w:t>the goal areas of</w:t>
      </w:r>
      <w:r w:rsidRPr="00811F31">
        <w:rPr>
          <w:rFonts w:ascii="Arial" w:hAnsi="Arial" w:cs="Arial"/>
          <w:sz w:val="20"/>
          <w:szCs w:val="20"/>
        </w:rPr>
        <w:t xml:space="preserve"> Safety, </w:t>
      </w:r>
      <w:r w:rsidRPr="00811F31" w:rsidR="00811F31">
        <w:rPr>
          <w:rFonts w:ascii="Arial" w:hAnsi="Arial" w:cs="Arial"/>
          <w:sz w:val="20"/>
          <w:szCs w:val="20"/>
        </w:rPr>
        <w:t xml:space="preserve">Mobility, </w:t>
      </w:r>
      <w:r w:rsidRPr="00811F31" w:rsidR="0044798F">
        <w:rPr>
          <w:rFonts w:ascii="Arial" w:hAnsi="Arial" w:cs="Arial"/>
          <w:sz w:val="20"/>
          <w:szCs w:val="20"/>
        </w:rPr>
        <w:t xml:space="preserve">Economic </w:t>
      </w:r>
      <w:r w:rsidR="000D0BD1">
        <w:rPr>
          <w:rFonts w:ascii="Arial" w:hAnsi="Arial" w:cs="Arial"/>
          <w:sz w:val="20"/>
          <w:szCs w:val="20"/>
        </w:rPr>
        <w:t>Growth, and Human and Natural Environment</w:t>
      </w:r>
      <w:r w:rsidRPr="00811F31">
        <w:rPr>
          <w:rFonts w:ascii="Arial" w:hAnsi="Arial" w:cs="Arial"/>
          <w:sz w:val="20"/>
          <w:szCs w:val="20"/>
        </w:rPr>
        <w:t xml:space="preserve">.  </w:t>
      </w:r>
      <w:r w:rsidRPr="00811F31" w:rsidR="0044798F">
        <w:rPr>
          <w:rFonts w:ascii="Arial" w:hAnsi="Arial" w:cs="Arial"/>
          <w:sz w:val="20"/>
          <w:szCs w:val="20"/>
        </w:rPr>
        <w:t xml:space="preserve">The bridge projects will improve safety </w:t>
      </w:r>
      <w:r w:rsidR="00811F31">
        <w:rPr>
          <w:rFonts w:ascii="Arial" w:hAnsi="Arial" w:cs="Arial"/>
          <w:sz w:val="20"/>
          <w:szCs w:val="20"/>
        </w:rPr>
        <w:t>and mobility by replacing and rehabilitating bridges that require condition improvement and that have substandard attributes</w:t>
      </w:r>
      <w:r w:rsidR="00AA0719">
        <w:rPr>
          <w:rFonts w:ascii="Arial" w:hAnsi="Arial" w:cs="Arial"/>
          <w:sz w:val="20"/>
          <w:szCs w:val="20"/>
        </w:rPr>
        <w:t xml:space="preserve"> that affect safety and/or mobility</w:t>
      </w:r>
      <w:r w:rsidR="00811F31">
        <w:rPr>
          <w:rFonts w:ascii="Arial" w:hAnsi="Arial" w:cs="Arial"/>
          <w:sz w:val="20"/>
          <w:szCs w:val="20"/>
        </w:rPr>
        <w:t>, e.g.</w:t>
      </w:r>
      <w:r w:rsidR="00AA0719">
        <w:rPr>
          <w:rFonts w:ascii="Arial" w:hAnsi="Arial" w:cs="Arial"/>
          <w:sz w:val="20"/>
          <w:szCs w:val="20"/>
        </w:rPr>
        <w:t>,</w:t>
      </w:r>
      <w:r w:rsidR="00811F31">
        <w:rPr>
          <w:rFonts w:ascii="Arial" w:hAnsi="Arial" w:cs="Arial"/>
          <w:sz w:val="20"/>
          <w:szCs w:val="20"/>
        </w:rPr>
        <w:t xml:space="preserve"> substandard load capacity, geometry, </w:t>
      </w:r>
      <w:r w:rsidR="00AA0719">
        <w:rPr>
          <w:rFonts w:ascii="Arial" w:hAnsi="Arial" w:cs="Arial"/>
          <w:sz w:val="20"/>
          <w:szCs w:val="20"/>
        </w:rPr>
        <w:t xml:space="preserve">or </w:t>
      </w:r>
      <w:r w:rsidR="00811F31">
        <w:rPr>
          <w:rFonts w:ascii="Arial" w:hAnsi="Arial" w:cs="Arial"/>
          <w:sz w:val="20"/>
          <w:szCs w:val="20"/>
        </w:rPr>
        <w:t>hydraulics</w:t>
      </w:r>
      <w:r w:rsidR="00AA0719">
        <w:rPr>
          <w:rFonts w:ascii="Arial" w:hAnsi="Arial" w:cs="Arial"/>
          <w:sz w:val="20"/>
          <w:szCs w:val="20"/>
        </w:rPr>
        <w:t>.</w:t>
      </w:r>
      <w:r w:rsidRPr="00811F31" w:rsidR="0044798F">
        <w:rPr>
          <w:rFonts w:ascii="Arial" w:hAnsi="Arial" w:cs="Arial"/>
          <w:sz w:val="20"/>
          <w:szCs w:val="20"/>
        </w:rPr>
        <w:t xml:space="preserve"> </w:t>
      </w:r>
      <w:r w:rsidR="00AA0719">
        <w:rPr>
          <w:rFonts w:ascii="Arial" w:hAnsi="Arial" w:cs="Arial"/>
          <w:sz w:val="20"/>
          <w:szCs w:val="20"/>
        </w:rPr>
        <w:t xml:space="preserve"> The projects will support economic growth by contributing to mobility and job creation.  The projects will contribute to the human and natural environment by mitigat</w:t>
      </w:r>
      <w:r w:rsidR="00923A30">
        <w:rPr>
          <w:rFonts w:ascii="Arial" w:hAnsi="Arial" w:cs="Arial"/>
          <w:sz w:val="20"/>
          <w:szCs w:val="20"/>
        </w:rPr>
        <w:t>ing</w:t>
      </w:r>
      <w:r w:rsidR="00AA0719">
        <w:rPr>
          <w:rFonts w:ascii="Arial" w:hAnsi="Arial" w:cs="Arial"/>
          <w:sz w:val="20"/>
          <w:szCs w:val="20"/>
        </w:rPr>
        <w:t xml:space="preserve"> existing impacts or tak</w:t>
      </w:r>
      <w:r w:rsidR="00923A30">
        <w:rPr>
          <w:rFonts w:ascii="Arial" w:hAnsi="Arial" w:cs="Arial"/>
          <w:sz w:val="20"/>
          <w:szCs w:val="20"/>
        </w:rPr>
        <w:t>ing</w:t>
      </w:r>
      <w:r w:rsidR="00AA0719">
        <w:rPr>
          <w:rFonts w:ascii="Arial" w:hAnsi="Arial" w:cs="Arial"/>
          <w:sz w:val="20"/>
          <w:szCs w:val="20"/>
        </w:rPr>
        <w:t xml:space="preserve"> actions to avoid or reduce future impacts </w:t>
      </w:r>
      <w:r w:rsidR="00923A30">
        <w:rPr>
          <w:rFonts w:ascii="Arial" w:hAnsi="Arial" w:cs="Arial"/>
          <w:sz w:val="20"/>
          <w:szCs w:val="20"/>
        </w:rPr>
        <w:t>associated with the project</w:t>
      </w:r>
      <w:r w:rsidR="00AA0719">
        <w:rPr>
          <w:rFonts w:ascii="Arial" w:hAnsi="Arial" w:cs="Arial"/>
          <w:sz w:val="20"/>
          <w:szCs w:val="20"/>
        </w:rPr>
        <w:t>.</w:t>
      </w:r>
    </w:p>
    <w:p w:rsidR="00B9123D" w:rsidRPr="00811F31" w14:paraId="336A6FDD" w14:textId="77777777">
      <w:pPr>
        <w:rPr>
          <w:rFonts w:ascii="Arial" w:hAnsi="Arial" w:cs="Arial"/>
          <w:sz w:val="20"/>
          <w:szCs w:val="20"/>
        </w:rPr>
      </w:pPr>
    </w:p>
    <w:p w:rsidR="006F6FFE" w:rsidP="001354A0" w14:paraId="136F49E9" w14:textId="57F9AE0F">
      <w:pPr>
        <w:pStyle w:val="NormalWeb"/>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9123D" w:rsidRPr="001E3465" w14:paraId="04F2C8A2" w14:textId="209769F7">
      <w:pPr>
        <w:rPr>
          <w:rFonts w:ascii="Arial" w:hAnsi="Arial" w:cs="Arial"/>
          <w:bCs/>
          <w:iCs/>
          <w:sz w:val="20"/>
          <w:szCs w:val="20"/>
        </w:rPr>
      </w:pPr>
      <w:r w:rsidRPr="001E3465">
        <w:rPr>
          <w:rFonts w:ascii="Arial" w:hAnsi="Arial" w:cs="Arial"/>
          <w:sz w:val="20"/>
          <w:szCs w:val="20"/>
        </w:rPr>
        <w:t xml:space="preserve">The information will be used by FHWA to </w:t>
      </w:r>
      <w:r w:rsidR="00AA0719">
        <w:rPr>
          <w:rFonts w:ascii="Arial" w:hAnsi="Arial" w:cs="Arial"/>
          <w:sz w:val="20"/>
          <w:szCs w:val="20"/>
        </w:rPr>
        <w:t xml:space="preserve">review and </w:t>
      </w:r>
      <w:r w:rsidRPr="001E3465">
        <w:rPr>
          <w:rFonts w:ascii="Arial" w:hAnsi="Arial" w:cs="Arial"/>
          <w:sz w:val="20"/>
          <w:szCs w:val="20"/>
        </w:rPr>
        <w:t>evaluate applications f</w:t>
      </w:r>
      <w:r w:rsidRPr="001E3465" w:rsidR="007A4954">
        <w:rPr>
          <w:rFonts w:ascii="Arial" w:hAnsi="Arial" w:cs="Arial"/>
          <w:sz w:val="20"/>
          <w:szCs w:val="20"/>
        </w:rPr>
        <w:t>rom</w:t>
      </w:r>
      <w:r w:rsidRPr="001E3465">
        <w:rPr>
          <w:rFonts w:ascii="Arial" w:hAnsi="Arial" w:cs="Arial"/>
          <w:sz w:val="20"/>
          <w:szCs w:val="20"/>
        </w:rPr>
        <w:t xml:space="preserve"> </w:t>
      </w:r>
      <w:r w:rsidR="00AA0719">
        <w:rPr>
          <w:rFonts w:ascii="Arial" w:hAnsi="Arial" w:cs="Arial"/>
          <w:sz w:val="20"/>
          <w:szCs w:val="20"/>
        </w:rPr>
        <w:t xml:space="preserve">as many as </w:t>
      </w:r>
      <w:r w:rsidR="00923A30">
        <w:rPr>
          <w:rFonts w:ascii="Arial" w:hAnsi="Arial" w:cs="Arial"/>
          <w:bCs/>
          <w:iCs/>
          <w:sz w:val="20"/>
          <w:szCs w:val="20"/>
        </w:rPr>
        <w:t>18</w:t>
      </w:r>
      <w:r w:rsidRPr="001E3465">
        <w:rPr>
          <w:rFonts w:ascii="Arial" w:hAnsi="Arial" w:cs="Arial"/>
          <w:bCs/>
          <w:iCs/>
          <w:sz w:val="20"/>
          <w:szCs w:val="20"/>
        </w:rPr>
        <w:t xml:space="preserve"> eligible </w:t>
      </w:r>
      <w:r w:rsidR="00AA0719">
        <w:rPr>
          <w:rFonts w:ascii="Arial" w:hAnsi="Arial" w:cs="Arial"/>
          <w:bCs/>
          <w:iCs/>
          <w:sz w:val="20"/>
          <w:szCs w:val="20"/>
        </w:rPr>
        <w:t>State Departments of Transportation</w:t>
      </w:r>
      <w:r w:rsidRPr="001E3465" w:rsidR="007A4954">
        <w:rPr>
          <w:rFonts w:ascii="Arial" w:hAnsi="Arial" w:cs="Arial"/>
          <w:bCs/>
          <w:iCs/>
          <w:sz w:val="20"/>
          <w:szCs w:val="20"/>
        </w:rPr>
        <w:t>.</w:t>
      </w:r>
      <w:r w:rsidRPr="001E3465">
        <w:rPr>
          <w:rFonts w:ascii="Arial" w:hAnsi="Arial" w:cs="Arial"/>
          <w:bCs/>
          <w:iCs/>
          <w:sz w:val="20"/>
          <w:szCs w:val="20"/>
        </w:rPr>
        <w:t xml:space="preserve"> </w:t>
      </w:r>
      <w:r w:rsidR="00AA0719">
        <w:rPr>
          <w:rFonts w:ascii="Arial" w:hAnsi="Arial" w:cs="Arial"/>
          <w:bCs/>
          <w:iCs/>
          <w:sz w:val="20"/>
          <w:szCs w:val="20"/>
        </w:rPr>
        <w:t xml:space="preserve"> </w:t>
      </w:r>
      <w:r w:rsidRPr="001E3465" w:rsidR="003C4510">
        <w:rPr>
          <w:rFonts w:ascii="Arial" w:hAnsi="Arial" w:cs="Arial"/>
          <w:bCs/>
          <w:iCs/>
          <w:sz w:val="20"/>
          <w:szCs w:val="20"/>
        </w:rPr>
        <w:t xml:space="preserve">FHWA </w:t>
      </w:r>
      <w:r w:rsidR="00AA0719">
        <w:rPr>
          <w:rFonts w:ascii="Arial" w:hAnsi="Arial" w:cs="Arial"/>
          <w:bCs/>
          <w:iCs/>
          <w:sz w:val="20"/>
          <w:szCs w:val="20"/>
        </w:rPr>
        <w:t>requires this information</w:t>
      </w:r>
      <w:r w:rsidRPr="001E3465" w:rsidR="003C4510">
        <w:rPr>
          <w:rFonts w:ascii="Arial" w:hAnsi="Arial" w:cs="Arial"/>
          <w:bCs/>
          <w:iCs/>
          <w:sz w:val="20"/>
          <w:szCs w:val="20"/>
        </w:rPr>
        <w:t xml:space="preserve"> to </w:t>
      </w:r>
      <w:r w:rsidR="005A124E">
        <w:rPr>
          <w:rFonts w:ascii="Arial" w:hAnsi="Arial" w:cs="Arial"/>
          <w:bCs/>
          <w:iCs/>
          <w:sz w:val="20"/>
          <w:szCs w:val="20"/>
        </w:rPr>
        <w:t xml:space="preserve">confirm </w:t>
      </w:r>
      <w:r w:rsidRPr="001E3465" w:rsidR="003C4510">
        <w:rPr>
          <w:rFonts w:ascii="Arial" w:hAnsi="Arial" w:cs="Arial"/>
          <w:bCs/>
          <w:iCs/>
          <w:sz w:val="20"/>
          <w:szCs w:val="20"/>
        </w:rPr>
        <w:t>th</w:t>
      </w:r>
      <w:r w:rsidR="00AA0719">
        <w:rPr>
          <w:rFonts w:ascii="Arial" w:hAnsi="Arial" w:cs="Arial"/>
          <w:bCs/>
          <w:iCs/>
          <w:sz w:val="20"/>
          <w:szCs w:val="20"/>
        </w:rPr>
        <w:t>at</w:t>
      </w:r>
      <w:r w:rsidRPr="001E3465" w:rsidR="003C4510">
        <w:rPr>
          <w:rFonts w:ascii="Arial" w:hAnsi="Arial" w:cs="Arial"/>
          <w:bCs/>
          <w:iCs/>
          <w:sz w:val="20"/>
          <w:szCs w:val="20"/>
        </w:rPr>
        <w:t xml:space="preserve"> legal </w:t>
      </w:r>
      <w:r w:rsidR="00AA0719">
        <w:rPr>
          <w:rFonts w:ascii="Arial" w:hAnsi="Arial" w:cs="Arial"/>
          <w:bCs/>
          <w:iCs/>
          <w:sz w:val="20"/>
          <w:szCs w:val="20"/>
        </w:rPr>
        <w:t xml:space="preserve">eligibility </w:t>
      </w:r>
      <w:r w:rsidRPr="001E3465" w:rsidR="003C4510">
        <w:rPr>
          <w:rFonts w:ascii="Arial" w:hAnsi="Arial" w:cs="Arial"/>
          <w:bCs/>
          <w:iCs/>
          <w:sz w:val="20"/>
          <w:szCs w:val="20"/>
        </w:rPr>
        <w:t>requirements are m</w:t>
      </w:r>
      <w:r w:rsidR="005A124E">
        <w:rPr>
          <w:rFonts w:ascii="Arial" w:hAnsi="Arial" w:cs="Arial"/>
          <w:bCs/>
          <w:iCs/>
          <w:sz w:val="20"/>
          <w:szCs w:val="20"/>
        </w:rPr>
        <w:t>et and</w:t>
      </w:r>
      <w:r w:rsidR="00AA0719">
        <w:rPr>
          <w:rFonts w:ascii="Arial" w:hAnsi="Arial" w:cs="Arial"/>
          <w:bCs/>
          <w:iCs/>
          <w:sz w:val="20"/>
          <w:szCs w:val="20"/>
        </w:rPr>
        <w:t xml:space="preserve"> to identify projects that best support the priorities and goals of </w:t>
      </w:r>
      <w:r w:rsidR="00923A30">
        <w:rPr>
          <w:rFonts w:ascii="Arial" w:hAnsi="Arial" w:cs="Arial"/>
          <w:bCs/>
          <w:iCs/>
          <w:sz w:val="20"/>
          <w:szCs w:val="20"/>
        </w:rPr>
        <w:t xml:space="preserve">the </w:t>
      </w:r>
      <w:r w:rsidR="00AA0719">
        <w:rPr>
          <w:rFonts w:ascii="Arial" w:hAnsi="Arial" w:cs="Arial"/>
          <w:bCs/>
          <w:iCs/>
          <w:sz w:val="20"/>
          <w:szCs w:val="20"/>
        </w:rPr>
        <w:t xml:space="preserve">CHBP and </w:t>
      </w:r>
      <w:r w:rsidR="006F6FFE">
        <w:rPr>
          <w:rFonts w:ascii="Arial" w:hAnsi="Arial" w:cs="Arial"/>
          <w:bCs/>
          <w:iCs/>
          <w:sz w:val="20"/>
          <w:szCs w:val="20"/>
        </w:rPr>
        <w:t>U.S. Department of Transportation.</w:t>
      </w:r>
      <w:r w:rsidRPr="001E3465" w:rsidR="00C77527">
        <w:rPr>
          <w:rFonts w:ascii="Arial" w:hAnsi="Arial" w:cs="Arial"/>
          <w:bCs/>
          <w:iCs/>
          <w:sz w:val="20"/>
          <w:szCs w:val="20"/>
        </w:rPr>
        <w:t xml:space="preserve">  </w:t>
      </w:r>
      <w:r w:rsidR="006F6FFE">
        <w:rPr>
          <w:rFonts w:ascii="Arial" w:hAnsi="Arial" w:cs="Arial"/>
          <w:bCs/>
          <w:iCs/>
          <w:sz w:val="20"/>
          <w:szCs w:val="20"/>
        </w:rPr>
        <w:t xml:space="preserve">Information on eligibility </w:t>
      </w:r>
      <w:r w:rsidR="009543BE">
        <w:rPr>
          <w:rFonts w:ascii="Arial" w:hAnsi="Arial" w:cs="Arial"/>
          <w:bCs/>
          <w:iCs/>
          <w:sz w:val="20"/>
          <w:szCs w:val="20"/>
        </w:rPr>
        <w:t xml:space="preserve">will </w:t>
      </w:r>
      <w:r w:rsidR="006F6FFE">
        <w:rPr>
          <w:rFonts w:ascii="Arial" w:hAnsi="Arial" w:cs="Arial"/>
          <w:bCs/>
          <w:iCs/>
          <w:sz w:val="20"/>
          <w:szCs w:val="20"/>
        </w:rPr>
        <w:t xml:space="preserve">substantiate that </w:t>
      </w:r>
      <w:r w:rsidR="00923A30">
        <w:rPr>
          <w:rFonts w:ascii="Arial" w:hAnsi="Arial" w:cs="Arial"/>
          <w:bCs/>
          <w:iCs/>
          <w:sz w:val="20"/>
          <w:szCs w:val="20"/>
        </w:rPr>
        <w:t xml:space="preserve">the </w:t>
      </w:r>
      <w:r w:rsidR="009543BE">
        <w:rPr>
          <w:rFonts w:ascii="Arial" w:hAnsi="Arial" w:cs="Arial"/>
          <w:bCs/>
          <w:iCs/>
          <w:sz w:val="20"/>
          <w:szCs w:val="20"/>
        </w:rPr>
        <w:t>proposed</w:t>
      </w:r>
      <w:r w:rsidR="006F6FFE">
        <w:rPr>
          <w:rFonts w:ascii="Arial" w:hAnsi="Arial" w:cs="Arial"/>
          <w:bCs/>
          <w:iCs/>
          <w:sz w:val="20"/>
          <w:szCs w:val="20"/>
        </w:rPr>
        <w:t xml:space="preserve"> project</w:t>
      </w:r>
      <w:r w:rsidR="009543BE">
        <w:rPr>
          <w:rFonts w:ascii="Arial" w:hAnsi="Arial" w:cs="Arial"/>
          <w:bCs/>
          <w:iCs/>
          <w:sz w:val="20"/>
          <w:szCs w:val="20"/>
        </w:rPr>
        <w:t>s</w:t>
      </w:r>
      <w:r w:rsidR="006F6FFE">
        <w:rPr>
          <w:rFonts w:ascii="Arial" w:hAnsi="Arial" w:cs="Arial"/>
          <w:bCs/>
          <w:iCs/>
          <w:sz w:val="20"/>
          <w:szCs w:val="20"/>
        </w:rPr>
        <w:t xml:space="preserve"> will be administer</w:t>
      </w:r>
      <w:r w:rsidR="005A124E">
        <w:rPr>
          <w:rFonts w:ascii="Arial" w:hAnsi="Arial" w:cs="Arial"/>
          <w:bCs/>
          <w:iCs/>
          <w:sz w:val="20"/>
          <w:szCs w:val="20"/>
        </w:rPr>
        <w:t>ed</w:t>
      </w:r>
      <w:r w:rsidR="006F6FFE">
        <w:rPr>
          <w:rFonts w:ascii="Arial" w:hAnsi="Arial" w:cs="Arial"/>
          <w:bCs/>
          <w:iCs/>
          <w:sz w:val="20"/>
          <w:szCs w:val="20"/>
        </w:rPr>
        <w:t xml:space="preserve"> by an eligible applicant, include bridges that are in the National Bridge Inventory, </w:t>
      </w:r>
      <w:r w:rsidR="009543BE">
        <w:rPr>
          <w:rFonts w:ascii="Arial" w:hAnsi="Arial" w:cs="Arial"/>
          <w:bCs/>
          <w:iCs/>
          <w:sz w:val="20"/>
          <w:szCs w:val="20"/>
        </w:rPr>
        <w:t>are</w:t>
      </w:r>
      <w:r w:rsidR="005A124E">
        <w:rPr>
          <w:rFonts w:ascii="Arial" w:hAnsi="Arial" w:cs="Arial"/>
          <w:bCs/>
          <w:iCs/>
          <w:sz w:val="20"/>
          <w:szCs w:val="20"/>
        </w:rPr>
        <w:t xml:space="preserve"> </w:t>
      </w:r>
      <w:r w:rsidR="00923A30">
        <w:rPr>
          <w:rFonts w:ascii="Arial" w:hAnsi="Arial" w:cs="Arial"/>
          <w:bCs/>
          <w:iCs/>
          <w:sz w:val="20"/>
          <w:szCs w:val="20"/>
        </w:rPr>
        <w:t xml:space="preserve">for </w:t>
      </w:r>
      <w:r w:rsidRPr="001E3465">
        <w:rPr>
          <w:rFonts w:ascii="Arial" w:hAnsi="Arial" w:cs="Arial"/>
          <w:bCs/>
          <w:iCs/>
          <w:sz w:val="20"/>
          <w:szCs w:val="20"/>
        </w:rPr>
        <w:t>replacement and rehabilitation</w:t>
      </w:r>
      <w:r w:rsidR="006F6FFE">
        <w:rPr>
          <w:rFonts w:ascii="Arial" w:hAnsi="Arial" w:cs="Arial"/>
          <w:bCs/>
          <w:iCs/>
          <w:sz w:val="20"/>
          <w:szCs w:val="20"/>
        </w:rPr>
        <w:t xml:space="preserve">, </w:t>
      </w:r>
      <w:r w:rsidR="005A124E">
        <w:rPr>
          <w:rFonts w:ascii="Arial" w:hAnsi="Arial" w:cs="Arial"/>
          <w:bCs/>
          <w:iCs/>
          <w:sz w:val="20"/>
          <w:szCs w:val="20"/>
        </w:rPr>
        <w:t xml:space="preserve">and </w:t>
      </w:r>
      <w:r w:rsidR="006F6FFE">
        <w:rPr>
          <w:rFonts w:ascii="Arial" w:hAnsi="Arial" w:cs="Arial"/>
          <w:bCs/>
          <w:iCs/>
          <w:sz w:val="20"/>
          <w:szCs w:val="20"/>
        </w:rPr>
        <w:t xml:space="preserve">include a bundle of two or more bridges. </w:t>
      </w:r>
      <w:r w:rsidR="00BD5E27">
        <w:rPr>
          <w:rFonts w:ascii="Arial" w:hAnsi="Arial" w:cs="Arial"/>
          <w:bCs/>
          <w:iCs/>
          <w:sz w:val="20"/>
          <w:szCs w:val="20"/>
        </w:rPr>
        <w:t xml:space="preserve"> </w:t>
      </w:r>
      <w:r w:rsidR="009543BE">
        <w:rPr>
          <w:rFonts w:ascii="Arial" w:hAnsi="Arial" w:cs="Arial"/>
          <w:bCs/>
          <w:iCs/>
          <w:sz w:val="20"/>
          <w:szCs w:val="20"/>
        </w:rPr>
        <w:t xml:space="preserve">Information on alignment with priorities and goals will address how </w:t>
      </w:r>
      <w:r w:rsidR="00923A30">
        <w:rPr>
          <w:rFonts w:ascii="Arial" w:hAnsi="Arial" w:cs="Arial"/>
          <w:bCs/>
          <w:iCs/>
          <w:sz w:val="20"/>
          <w:szCs w:val="20"/>
        </w:rPr>
        <w:t xml:space="preserve">the </w:t>
      </w:r>
      <w:r w:rsidR="009543BE">
        <w:rPr>
          <w:rFonts w:ascii="Arial" w:hAnsi="Arial" w:cs="Arial"/>
          <w:bCs/>
          <w:iCs/>
          <w:sz w:val="20"/>
          <w:szCs w:val="20"/>
        </w:rPr>
        <w:t xml:space="preserve">proposed projects contribute to merit criteria within the areas of State of Good Repair, Safety and Mobility, Innovation, and Environment and Job Creation.  Information will also </w:t>
      </w:r>
      <w:r w:rsidR="009543BE">
        <w:rPr>
          <w:rFonts w:ascii="Arial" w:hAnsi="Arial" w:cs="Arial"/>
          <w:bCs/>
          <w:iCs/>
          <w:sz w:val="20"/>
          <w:szCs w:val="20"/>
        </w:rPr>
        <w:t xml:space="preserve">substantiate that </w:t>
      </w:r>
      <w:r w:rsidR="00923A30">
        <w:rPr>
          <w:rFonts w:ascii="Arial" w:hAnsi="Arial" w:cs="Arial"/>
          <w:bCs/>
          <w:iCs/>
          <w:sz w:val="20"/>
          <w:szCs w:val="20"/>
        </w:rPr>
        <w:t xml:space="preserve">the </w:t>
      </w:r>
      <w:r w:rsidR="009543BE">
        <w:rPr>
          <w:rFonts w:ascii="Arial" w:hAnsi="Arial" w:cs="Arial"/>
          <w:bCs/>
          <w:iCs/>
          <w:sz w:val="20"/>
          <w:szCs w:val="20"/>
        </w:rPr>
        <w:t xml:space="preserve">proposed projects will proceed to construction before the fund obligation deadline and that </w:t>
      </w:r>
      <w:r w:rsidR="00923A30">
        <w:rPr>
          <w:rFonts w:ascii="Arial" w:hAnsi="Arial" w:cs="Arial"/>
          <w:bCs/>
          <w:iCs/>
          <w:sz w:val="20"/>
          <w:szCs w:val="20"/>
        </w:rPr>
        <w:t xml:space="preserve">the </w:t>
      </w:r>
      <w:r w:rsidR="009543BE">
        <w:rPr>
          <w:rFonts w:ascii="Arial" w:hAnsi="Arial" w:cs="Arial"/>
          <w:bCs/>
          <w:iCs/>
          <w:sz w:val="20"/>
          <w:szCs w:val="20"/>
        </w:rPr>
        <w:t>cost sharing responsibilities of project sponsors can be fulfilled.</w:t>
      </w:r>
    </w:p>
    <w:p w:rsidR="003C4510" w:rsidRPr="00333D1A" w14:paraId="3F8D3825" w14:textId="77777777">
      <w:pPr>
        <w:rPr>
          <w:sz w:val="22"/>
          <w:szCs w:val="22"/>
        </w:rPr>
      </w:pPr>
    </w:p>
    <w:p w:rsidR="00BD1BF2" w14:paraId="27AFBE2E"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9123D" w:rsidP="001354A0" w14:paraId="14B15BD3" w14:textId="164CB10E">
      <w:pPr>
        <w:pStyle w:val="NormalWeb"/>
        <w:spacing w:before="0" w:beforeAutospacing="0" w:after="0" w:afterAutospacing="0"/>
        <w:rPr>
          <w:rFonts w:ascii="Arial" w:hAnsi="Arial" w:cs="Arial"/>
          <w:sz w:val="20"/>
          <w:szCs w:val="20"/>
        </w:rPr>
      </w:pPr>
      <w:r w:rsidRPr="00310449">
        <w:rPr>
          <w:rFonts w:ascii="Arial" w:hAnsi="Arial" w:cs="Arial"/>
          <w:sz w:val="20"/>
          <w:szCs w:val="20"/>
        </w:rPr>
        <w:t>To expedite the application process and eliminate paper</w:t>
      </w:r>
      <w:r w:rsidRPr="00310449" w:rsidR="00EF40F4">
        <w:rPr>
          <w:rFonts w:ascii="Arial" w:hAnsi="Arial" w:cs="Arial"/>
          <w:sz w:val="20"/>
          <w:szCs w:val="20"/>
        </w:rPr>
        <w:t>work</w:t>
      </w:r>
      <w:r w:rsidRPr="00310449">
        <w:rPr>
          <w:rFonts w:ascii="Arial" w:hAnsi="Arial" w:cs="Arial"/>
          <w:sz w:val="20"/>
          <w:szCs w:val="20"/>
        </w:rPr>
        <w:t xml:space="preserve">, </w:t>
      </w:r>
      <w:r w:rsidR="00923A30">
        <w:rPr>
          <w:rFonts w:ascii="Arial" w:hAnsi="Arial" w:cs="Arial"/>
          <w:sz w:val="20"/>
          <w:szCs w:val="20"/>
        </w:rPr>
        <w:t>applicants</w:t>
      </w:r>
      <w:r w:rsidRPr="00310449">
        <w:rPr>
          <w:rFonts w:ascii="Arial" w:hAnsi="Arial" w:cs="Arial"/>
          <w:sz w:val="20"/>
          <w:szCs w:val="20"/>
        </w:rPr>
        <w:t xml:space="preserve"> are encouraged to </w:t>
      </w:r>
      <w:r w:rsidRPr="00310449" w:rsidR="00310449">
        <w:rPr>
          <w:rFonts w:ascii="Arial" w:hAnsi="Arial" w:cs="Arial"/>
          <w:sz w:val="20"/>
          <w:szCs w:val="20"/>
        </w:rPr>
        <w:t xml:space="preserve">submit all information in electronic form through </w:t>
      </w:r>
      <w:r w:rsidRPr="00310449" w:rsidR="00ED609F">
        <w:rPr>
          <w:rFonts w:ascii="Arial" w:hAnsi="Arial" w:cs="Arial"/>
          <w:sz w:val="20"/>
          <w:szCs w:val="20"/>
        </w:rPr>
        <w:t>the Grants.gov web site (</w:t>
      </w:r>
      <w:hyperlink r:id="rId6" w:history="1">
        <w:r w:rsidRPr="00310449" w:rsidR="00ED609F">
          <w:rPr>
            <w:rStyle w:val="Hyperlink"/>
            <w:rFonts w:ascii="Arial" w:eastAsia="Calibri" w:hAnsi="Arial" w:cs="Arial"/>
            <w:spacing w:val="-1"/>
            <w:sz w:val="20"/>
            <w:szCs w:val="20"/>
          </w:rPr>
          <w:t>http://www.grants.gov</w:t>
        </w:r>
      </w:hyperlink>
      <w:r w:rsidRPr="00310449" w:rsidR="00ED609F">
        <w:rPr>
          <w:rFonts w:ascii="Arial" w:eastAsia="Calibri" w:hAnsi="Arial" w:cs="Arial"/>
          <w:spacing w:val="-1"/>
          <w:sz w:val="20"/>
          <w:szCs w:val="20"/>
        </w:rPr>
        <w:t>)</w:t>
      </w:r>
      <w:r w:rsidRPr="00310449">
        <w:rPr>
          <w:rFonts w:ascii="Arial" w:eastAsia="Calibri" w:hAnsi="Arial" w:cs="Arial"/>
          <w:spacing w:val="-1"/>
          <w:sz w:val="20"/>
          <w:szCs w:val="20"/>
        </w:rPr>
        <w:t>.</w:t>
      </w:r>
      <w:r w:rsidRPr="00310449" w:rsidR="00ED609F">
        <w:rPr>
          <w:rFonts w:ascii="Arial" w:hAnsi="Arial" w:cs="Arial"/>
          <w:sz w:val="20"/>
          <w:szCs w:val="20"/>
        </w:rPr>
        <w:t xml:space="preserve">  </w:t>
      </w:r>
      <w:r w:rsidR="00923A30">
        <w:rPr>
          <w:rFonts w:ascii="Arial" w:hAnsi="Arial" w:cs="Arial"/>
          <w:sz w:val="20"/>
          <w:szCs w:val="20"/>
        </w:rPr>
        <w:t>A</w:t>
      </w:r>
      <w:r w:rsidRPr="00310449" w:rsidR="00310449">
        <w:rPr>
          <w:rFonts w:ascii="Arial" w:hAnsi="Arial" w:cs="Arial"/>
          <w:sz w:val="20"/>
          <w:szCs w:val="20"/>
        </w:rPr>
        <w:t>n</w:t>
      </w:r>
      <w:r w:rsidRPr="00310449">
        <w:rPr>
          <w:rFonts w:ascii="Arial" w:hAnsi="Arial" w:cs="Arial"/>
          <w:sz w:val="20"/>
          <w:szCs w:val="20"/>
        </w:rPr>
        <w:t xml:space="preserve"> application by paper </w:t>
      </w:r>
      <w:r w:rsidRPr="00310449" w:rsidR="00ED609F">
        <w:rPr>
          <w:rFonts w:ascii="Arial" w:hAnsi="Arial" w:cs="Arial"/>
          <w:sz w:val="20"/>
          <w:szCs w:val="20"/>
        </w:rPr>
        <w:t xml:space="preserve">will be accepted. </w:t>
      </w:r>
      <w:r w:rsidR="00923A30">
        <w:rPr>
          <w:rFonts w:ascii="Arial" w:hAnsi="Arial" w:cs="Arial"/>
          <w:sz w:val="20"/>
          <w:szCs w:val="20"/>
        </w:rPr>
        <w:t xml:space="preserve"> </w:t>
      </w:r>
      <w:r w:rsidRPr="00310449" w:rsidR="00310449">
        <w:rPr>
          <w:rFonts w:ascii="Arial" w:hAnsi="Arial" w:cs="Arial"/>
          <w:sz w:val="20"/>
          <w:szCs w:val="20"/>
        </w:rPr>
        <w:t xml:space="preserve">The application instructions will explain in detail the application format and content and </w:t>
      </w:r>
      <w:r w:rsidR="00923A30">
        <w:rPr>
          <w:rFonts w:ascii="Arial" w:hAnsi="Arial" w:cs="Arial"/>
          <w:sz w:val="20"/>
          <w:szCs w:val="20"/>
        </w:rPr>
        <w:t>place</w:t>
      </w:r>
      <w:r w:rsidRPr="00310449" w:rsidR="00310449">
        <w:rPr>
          <w:rFonts w:ascii="Arial" w:hAnsi="Arial" w:cs="Arial"/>
          <w:sz w:val="20"/>
          <w:szCs w:val="20"/>
        </w:rPr>
        <w:t xml:space="preserve"> limits on the number of pages to constrain burden.  The format and content instructions will comply with Title 2 CFR Grants and Agreement Part 200 Uniform Administrative Requirements, Cost Principles, and Audit Requirements for Federal</w:t>
      </w:r>
      <w:r>
        <w:rPr>
          <w:rFonts w:ascii="Arial" w:hAnsi="Arial" w:cs="Arial"/>
          <w:sz w:val="20"/>
          <w:szCs w:val="20"/>
        </w:rPr>
        <w:t xml:space="preserve"> </w:t>
      </w:r>
      <w:r w:rsidRPr="00310449" w:rsidR="00310449">
        <w:rPr>
          <w:rFonts w:ascii="Arial" w:hAnsi="Arial" w:cs="Arial"/>
          <w:sz w:val="20"/>
          <w:szCs w:val="20"/>
        </w:rPr>
        <w:t>Awards.</w:t>
      </w:r>
    </w:p>
    <w:p w:rsidR="00B9123D" w:rsidRPr="00310449" w:rsidP="001354A0" w14:paraId="036A83DA" w14:textId="77777777">
      <w:pPr>
        <w:pStyle w:val="NormalWeb"/>
        <w:spacing w:before="0" w:beforeAutospacing="0" w:after="0" w:afterAutospacing="0"/>
        <w:rPr>
          <w:rFonts w:ascii="Arial" w:hAnsi="Arial" w:cs="Arial"/>
          <w:sz w:val="20"/>
          <w:szCs w:val="20"/>
        </w:rPr>
      </w:pPr>
    </w:p>
    <w:p w:rsidR="008502EC" w:rsidP="001354A0" w14:paraId="7DCA339C" w14:textId="1731204F">
      <w:pPr>
        <w:pStyle w:val="NormalWeb"/>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BD1BF2" w14:paraId="512AE600" w14:textId="5D1D4B4C">
      <w:pPr>
        <w:rPr>
          <w:rFonts w:ascii="Arial" w:hAnsi="Arial" w:cs="Arial"/>
          <w:sz w:val="20"/>
          <w:szCs w:val="20"/>
        </w:rPr>
      </w:pPr>
      <w:r>
        <w:rPr>
          <w:rFonts w:ascii="Arial" w:hAnsi="Arial" w:cs="Arial"/>
          <w:sz w:val="20"/>
          <w:szCs w:val="20"/>
        </w:rPr>
        <w:t>This is a new grant program.  Similar information has not been collected.  The application instructions will allow for submittal of an abbreviated application when an eligible applicant wishes to submit an application that was previously submitted to the Bridge Investment Program</w:t>
      </w:r>
      <w:r w:rsidR="00923A30">
        <w:rPr>
          <w:rFonts w:ascii="Arial" w:hAnsi="Arial" w:cs="Arial"/>
          <w:sz w:val="20"/>
          <w:szCs w:val="20"/>
        </w:rPr>
        <w:t>. That capability will apply when</w:t>
      </w:r>
      <w:r w:rsidR="00C4445D">
        <w:rPr>
          <w:rFonts w:ascii="Arial" w:hAnsi="Arial" w:cs="Arial"/>
          <w:sz w:val="20"/>
          <w:szCs w:val="20"/>
        </w:rPr>
        <w:t xml:space="preserve"> the</w:t>
      </w:r>
      <w:r w:rsidR="00923A30">
        <w:rPr>
          <w:rFonts w:ascii="Arial" w:hAnsi="Arial" w:cs="Arial"/>
          <w:sz w:val="20"/>
          <w:szCs w:val="20"/>
        </w:rPr>
        <w:t xml:space="preserve"> </w:t>
      </w:r>
      <w:r w:rsidR="00C4445D">
        <w:rPr>
          <w:rFonts w:ascii="Arial" w:hAnsi="Arial" w:cs="Arial"/>
          <w:sz w:val="20"/>
          <w:szCs w:val="20"/>
        </w:rPr>
        <w:t xml:space="preserve">project </w:t>
      </w:r>
      <w:r w:rsidR="008E2930">
        <w:rPr>
          <w:rFonts w:ascii="Arial" w:hAnsi="Arial" w:cs="Arial"/>
          <w:sz w:val="20"/>
          <w:szCs w:val="20"/>
        </w:rPr>
        <w:t xml:space="preserve">was not awarded but </w:t>
      </w:r>
      <w:r w:rsidR="00C4445D">
        <w:rPr>
          <w:rFonts w:ascii="Arial" w:hAnsi="Arial" w:cs="Arial"/>
          <w:sz w:val="20"/>
          <w:szCs w:val="20"/>
        </w:rPr>
        <w:t xml:space="preserve">was </w:t>
      </w:r>
      <w:r>
        <w:rPr>
          <w:rFonts w:ascii="Arial" w:hAnsi="Arial" w:cs="Arial"/>
          <w:sz w:val="20"/>
          <w:szCs w:val="20"/>
        </w:rPr>
        <w:t>found responsive</w:t>
      </w:r>
      <w:r w:rsidR="008E2930">
        <w:rPr>
          <w:rFonts w:ascii="Arial" w:hAnsi="Arial" w:cs="Arial"/>
          <w:sz w:val="20"/>
          <w:szCs w:val="20"/>
        </w:rPr>
        <w:t>, received a merit rating of at least medium,</w:t>
      </w:r>
      <w:r w:rsidR="00562C95">
        <w:rPr>
          <w:rFonts w:ascii="Arial" w:hAnsi="Arial" w:cs="Arial"/>
          <w:sz w:val="20"/>
          <w:szCs w:val="20"/>
        </w:rPr>
        <w:t xml:space="preserve"> and</w:t>
      </w:r>
      <w:r w:rsidR="00C4445D">
        <w:rPr>
          <w:rFonts w:ascii="Arial" w:hAnsi="Arial" w:cs="Arial"/>
          <w:sz w:val="20"/>
          <w:szCs w:val="20"/>
        </w:rPr>
        <w:t xml:space="preserve"> meets the CHBP </w:t>
      </w:r>
      <w:r w:rsidR="00923A30">
        <w:rPr>
          <w:rFonts w:ascii="Arial" w:hAnsi="Arial" w:cs="Arial"/>
          <w:sz w:val="20"/>
          <w:szCs w:val="20"/>
        </w:rPr>
        <w:t>eligib</w:t>
      </w:r>
      <w:r w:rsidR="00C4445D">
        <w:rPr>
          <w:rFonts w:ascii="Arial" w:hAnsi="Arial" w:cs="Arial"/>
          <w:sz w:val="20"/>
          <w:szCs w:val="20"/>
        </w:rPr>
        <w:t>ility requirements</w:t>
      </w:r>
      <w:r>
        <w:rPr>
          <w:rFonts w:ascii="Arial" w:hAnsi="Arial" w:cs="Arial"/>
          <w:sz w:val="20"/>
          <w:szCs w:val="20"/>
        </w:rPr>
        <w:t>.</w:t>
      </w:r>
      <w:r w:rsidRPr="00310449" w:rsidR="008D0E6B">
        <w:rPr>
          <w:rFonts w:ascii="Arial" w:hAnsi="Arial" w:cs="Arial"/>
          <w:sz w:val="20"/>
          <w:szCs w:val="20"/>
        </w:rPr>
        <w:t xml:space="preserve"> </w:t>
      </w:r>
      <w:r w:rsidR="00923A30">
        <w:rPr>
          <w:rFonts w:ascii="Arial" w:hAnsi="Arial" w:cs="Arial"/>
          <w:sz w:val="20"/>
          <w:szCs w:val="20"/>
        </w:rPr>
        <w:t xml:space="preserve"> The Bridge Investment Program is an ongoing multi-year grant program administered by FHWA.</w:t>
      </w:r>
    </w:p>
    <w:p w:rsidR="00B9123D" w:rsidRPr="00310449" w14:paraId="19E13AE6" w14:textId="77777777">
      <w:pPr>
        <w:rPr>
          <w:rFonts w:ascii="Arial" w:hAnsi="Arial" w:cs="Arial"/>
          <w:sz w:val="20"/>
          <w:szCs w:val="20"/>
        </w:rPr>
      </w:pPr>
    </w:p>
    <w:p w:rsidR="008D0E6B" w:rsidP="001354A0" w14:paraId="18E3C1D7" w14:textId="72722918">
      <w:pPr>
        <w:pStyle w:val="NormalWeb"/>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8D0E6B" w14:paraId="7490147E" w14:textId="1A79DE09">
      <w:pPr>
        <w:rPr>
          <w:rFonts w:ascii="Arial" w:hAnsi="Arial" w:cs="Arial"/>
          <w:sz w:val="20"/>
          <w:szCs w:val="20"/>
        </w:rPr>
      </w:pPr>
      <w:r>
        <w:rPr>
          <w:rFonts w:ascii="Arial" w:hAnsi="Arial" w:cs="Arial"/>
          <w:sz w:val="20"/>
          <w:szCs w:val="20"/>
        </w:rPr>
        <w:t>This information collection will not burden small businesses.  Applications will be</w:t>
      </w:r>
      <w:r w:rsidRPr="00E4062D">
        <w:rPr>
          <w:rFonts w:ascii="Arial" w:hAnsi="Arial" w:cs="Arial"/>
          <w:sz w:val="20"/>
          <w:szCs w:val="20"/>
        </w:rPr>
        <w:t xml:space="preserve"> completed b</w:t>
      </w:r>
      <w:r>
        <w:rPr>
          <w:rFonts w:ascii="Arial" w:hAnsi="Arial" w:cs="Arial"/>
          <w:sz w:val="20"/>
          <w:szCs w:val="20"/>
        </w:rPr>
        <w:t>y</w:t>
      </w:r>
      <w:r w:rsidRPr="00E4062D">
        <w:rPr>
          <w:rFonts w:ascii="Arial" w:hAnsi="Arial" w:cs="Arial"/>
          <w:sz w:val="20"/>
          <w:szCs w:val="20"/>
        </w:rPr>
        <w:t xml:space="preserve"> State DOT</w:t>
      </w:r>
      <w:r>
        <w:rPr>
          <w:rFonts w:ascii="Arial" w:hAnsi="Arial" w:cs="Arial"/>
          <w:sz w:val="20"/>
          <w:szCs w:val="20"/>
        </w:rPr>
        <w:t>s</w:t>
      </w:r>
      <w:r w:rsidRPr="00E4062D">
        <w:rPr>
          <w:rFonts w:ascii="Arial" w:hAnsi="Arial" w:cs="Arial"/>
          <w:sz w:val="20"/>
          <w:szCs w:val="20"/>
        </w:rPr>
        <w:t>.</w:t>
      </w:r>
    </w:p>
    <w:p w:rsidR="00B9123D" w:rsidRPr="00E4062D" w14:paraId="3A671F7C" w14:textId="77777777">
      <w:pPr>
        <w:rPr>
          <w:rFonts w:ascii="Arial" w:hAnsi="Arial" w:cs="Arial"/>
          <w:sz w:val="20"/>
          <w:szCs w:val="20"/>
        </w:rPr>
      </w:pPr>
    </w:p>
    <w:p w:rsidR="00BD1BF2" w:rsidP="001354A0" w14:paraId="3EE97E9F" w14:textId="209F6DAA">
      <w:pPr>
        <w:pStyle w:val="NormalWeb"/>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14:paraId="1EAB70E8" w14:textId="61C1A815">
      <w:pPr>
        <w:rPr>
          <w:rFonts w:ascii="Arial" w:hAnsi="Arial" w:cs="Arial"/>
          <w:sz w:val="20"/>
          <w:szCs w:val="20"/>
        </w:rPr>
      </w:pPr>
      <w:r w:rsidRPr="001354A0">
        <w:rPr>
          <w:rFonts w:ascii="Arial" w:hAnsi="Arial" w:cs="Arial"/>
          <w:sz w:val="20"/>
          <w:szCs w:val="20"/>
        </w:rPr>
        <w:t>This is a one-time nonrecurring collection.</w:t>
      </w:r>
      <w:r w:rsidRPr="001354A0" w:rsidR="008502EC">
        <w:rPr>
          <w:rFonts w:ascii="Arial" w:hAnsi="Arial" w:cs="Arial"/>
          <w:sz w:val="20"/>
          <w:szCs w:val="20"/>
        </w:rPr>
        <w:t xml:space="preserve"> </w:t>
      </w:r>
      <w:r w:rsidRPr="001354A0">
        <w:rPr>
          <w:rFonts w:ascii="Arial" w:hAnsi="Arial" w:cs="Arial"/>
          <w:sz w:val="20"/>
          <w:szCs w:val="20"/>
        </w:rPr>
        <w:t xml:space="preserve"> </w:t>
      </w:r>
    </w:p>
    <w:p w:rsidR="00B9123D" w:rsidRPr="001354A0" w14:paraId="3768B609" w14:textId="77777777">
      <w:pPr>
        <w:rPr>
          <w:rFonts w:ascii="Arial" w:hAnsi="Arial" w:cs="Arial"/>
          <w:sz w:val="20"/>
          <w:szCs w:val="20"/>
        </w:rPr>
      </w:pPr>
    </w:p>
    <w:p w:rsidR="0029261B" w:rsidP="001354A0" w14:paraId="6B09864E" w14:textId="1F3ED49F">
      <w:pPr>
        <w:pStyle w:val="NormalWeb"/>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29261B" w14:paraId="67725C23" w14:textId="08DA9B60">
      <w:pPr>
        <w:pStyle w:val="BodyText"/>
        <w:rPr>
          <w:color w:val="auto"/>
        </w:rPr>
      </w:pPr>
      <w:r>
        <w:rPr>
          <w:color w:val="auto"/>
        </w:rPr>
        <w:t>None of these special circumstances apply to this collection.</w:t>
      </w:r>
      <w:r w:rsidRPr="0048062E">
        <w:rPr>
          <w:color w:val="auto"/>
        </w:rPr>
        <w:t xml:space="preserve"> </w:t>
      </w:r>
    </w:p>
    <w:p w:rsidR="00B9123D" w:rsidRPr="0048062E" w14:paraId="720DAB20" w14:textId="77777777">
      <w:pPr>
        <w:pStyle w:val="BodyText"/>
        <w:rPr>
          <w:color w:val="auto"/>
        </w:rPr>
      </w:pPr>
    </w:p>
    <w:p w:rsidR="00BD1BF2" w14:paraId="2945AA05"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562C95" w:rsidP="00D3546D" w14:paraId="49C74A6E" w14:textId="3D1AA2F6">
      <w:pPr>
        <w:pStyle w:val="BodyText"/>
        <w:rPr>
          <w:color w:val="auto"/>
        </w:rPr>
      </w:pPr>
      <w:r>
        <w:rPr>
          <w:color w:val="auto"/>
        </w:rPr>
        <w:t>FHWA published the 60-day notice to the Federal Register on October 25, 2024, at [89 FR 85282], soliciting comments from the public on this information collection. There were no comments received.</w:t>
      </w:r>
    </w:p>
    <w:p w:rsidR="00562C95" w:rsidP="00D3546D" w14:paraId="63263279" w14:textId="77777777">
      <w:pPr>
        <w:pStyle w:val="BodyText"/>
        <w:rPr>
          <w:color w:val="auto"/>
        </w:rPr>
      </w:pPr>
    </w:p>
    <w:p w:rsidR="00562C95" w:rsidP="00D3546D" w14:paraId="58A84477" w14:textId="643D0C9A">
      <w:pPr>
        <w:pStyle w:val="BodyText"/>
        <w:rPr>
          <w:color w:val="auto"/>
        </w:rPr>
      </w:pPr>
      <w:r>
        <w:rPr>
          <w:color w:val="auto"/>
        </w:rPr>
        <w:t>FHWA published th</w:t>
      </w:r>
      <w:r w:rsidRPr="00BC21FA">
        <w:rPr>
          <w:color w:val="auto"/>
        </w:rPr>
        <w:t>e 30-day notice to the Federal Register on D</w:t>
      </w:r>
      <w:r w:rsidRPr="00BC21FA" w:rsidR="00BC21FA">
        <w:rPr>
          <w:color w:val="auto"/>
        </w:rPr>
        <w:t>ecember 31, 2024</w:t>
      </w:r>
      <w:r w:rsidRPr="00BC21FA">
        <w:rPr>
          <w:color w:val="auto"/>
        </w:rPr>
        <w:t>, at [</w:t>
      </w:r>
      <w:r w:rsidRPr="00BC21FA" w:rsidR="00BC21FA">
        <w:rPr>
          <w:color w:val="auto"/>
        </w:rPr>
        <w:t xml:space="preserve">89 </w:t>
      </w:r>
      <w:r w:rsidRPr="00BC21FA">
        <w:rPr>
          <w:color w:val="auto"/>
        </w:rPr>
        <w:t xml:space="preserve">FR </w:t>
      </w:r>
      <w:r w:rsidRPr="00BC21FA" w:rsidR="00BC21FA">
        <w:rPr>
          <w:color w:val="auto"/>
        </w:rPr>
        <w:t>107190</w:t>
      </w:r>
      <w:r w:rsidRPr="00BC21FA">
        <w:rPr>
          <w:color w:val="auto"/>
        </w:rPr>
        <w:t>], notifying</w:t>
      </w:r>
      <w:r>
        <w:rPr>
          <w:color w:val="auto"/>
        </w:rPr>
        <w:t xml:space="preserve"> the public of submission of this information collection to OMB.</w:t>
      </w:r>
    </w:p>
    <w:p w:rsidR="00B9123D" w:rsidRPr="00D3546D" w:rsidP="00D3546D" w14:paraId="50337D05" w14:textId="77777777">
      <w:pPr>
        <w:pStyle w:val="BodyText"/>
        <w:rPr>
          <w:color w:val="auto"/>
        </w:rPr>
      </w:pPr>
    </w:p>
    <w:p w:rsidR="0048062E" w:rsidP="001354A0" w14:paraId="2E3C8A65" w14:textId="486FA4A3">
      <w:pPr>
        <w:pStyle w:val="NormalWeb"/>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29261B" w14:paraId="1CE9F78C" w14:textId="29CCBB5C">
      <w:pPr>
        <w:pStyle w:val="BodyText"/>
        <w:rPr>
          <w:color w:val="auto"/>
        </w:rPr>
      </w:pPr>
      <w:r w:rsidRPr="0048062E">
        <w:rPr>
          <w:color w:val="auto"/>
        </w:rPr>
        <w:t>There will not be any stipends or gifts made to the State DOTs for their applications.</w:t>
      </w:r>
    </w:p>
    <w:p w:rsidR="00B9123D" w:rsidRPr="0048062E" w14:paraId="29E414D2" w14:textId="77777777">
      <w:pPr>
        <w:pStyle w:val="BodyText"/>
        <w:rPr>
          <w:color w:val="auto"/>
        </w:rPr>
      </w:pPr>
    </w:p>
    <w:p w:rsidR="0048062E" w:rsidP="001354A0" w14:paraId="78C8D138" w14:textId="7E0BE8FD">
      <w:pPr>
        <w:pStyle w:val="NormalWeb"/>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3D619D" w14:paraId="554D1159" w14:textId="2BB76AFB">
      <w:pPr>
        <w:pStyle w:val="BodyText"/>
        <w:rPr>
          <w:color w:val="auto"/>
        </w:rPr>
      </w:pPr>
      <w:r w:rsidRPr="00C4445D">
        <w:rPr>
          <w:color w:val="auto"/>
        </w:rPr>
        <w:t xml:space="preserve">The application instructions explain that </w:t>
      </w:r>
      <w:r w:rsidRPr="00C4445D" w:rsidR="00171905">
        <w:rPr>
          <w:color w:val="auto"/>
        </w:rPr>
        <w:t xml:space="preserve">any </w:t>
      </w:r>
      <w:r w:rsidRPr="00C4445D">
        <w:rPr>
          <w:color w:val="auto"/>
        </w:rPr>
        <w:t xml:space="preserve">information </w:t>
      </w:r>
      <w:r w:rsidRPr="00C4445D" w:rsidR="00171905">
        <w:rPr>
          <w:color w:val="auto"/>
        </w:rPr>
        <w:t xml:space="preserve">that </w:t>
      </w:r>
      <w:r w:rsidRPr="00C4445D">
        <w:rPr>
          <w:color w:val="auto"/>
        </w:rPr>
        <w:t xml:space="preserve">is </w:t>
      </w:r>
      <w:r w:rsidRPr="00C4445D" w:rsidR="00171905">
        <w:rPr>
          <w:color w:val="auto"/>
        </w:rPr>
        <w:t xml:space="preserve">publicly </w:t>
      </w:r>
      <w:r w:rsidRPr="00C4445D">
        <w:rPr>
          <w:color w:val="auto"/>
        </w:rPr>
        <w:t>released will exclude</w:t>
      </w:r>
      <w:r w:rsidRPr="00C4445D" w:rsidR="00171905">
        <w:rPr>
          <w:color w:val="auto"/>
        </w:rPr>
        <w:t xml:space="preserve"> the names and resumes of key contacts.  If the application contains confidential business information, e.g., information that the applicant considers to be a trade secret or confidential commercial or financial information, it must be provided in a separate document marked as confidential.  This information, if determined to be confidential, will be exempted from Freedom of Information Act disclosure.  </w:t>
      </w:r>
    </w:p>
    <w:p w:rsidR="00B9123D" w:rsidRPr="00C4445D" w14:paraId="53E73B8F" w14:textId="77777777">
      <w:pPr>
        <w:pStyle w:val="BodyText"/>
        <w:rPr>
          <w:color w:val="auto"/>
        </w:rPr>
      </w:pPr>
    </w:p>
    <w:p w:rsidR="00292B5D" w:rsidP="001354A0" w14:paraId="7347BE55" w14:textId="29F621B4">
      <w:pPr>
        <w:pStyle w:val="NormalWeb"/>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292B5D" w14:paraId="225DC794" w14:textId="31385E98">
      <w:pPr>
        <w:pStyle w:val="BodyText"/>
        <w:rPr>
          <w:color w:val="auto"/>
        </w:rPr>
      </w:pPr>
      <w:r w:rsidRPr="0048062E">
        <w:rPr>
          <w:color w:val="auto"/>
        </w:rPr>
        <w:t xml:space="preserve">No </w:t>
      </w:r>
      <w:r w:rsidRPr="0048062E" w:rsidR="0048062E">
        <w:rPr>
          <w:color w:val="auto"/>
        </w:rPr>
        <w:t xml:space="preserve">personal or private </w:t>
      </w:r>
      <w:r w:rsidRPr="0048062E">
        <w:rPr>
          <w:color w:val="auto"/>
        </w:rPr>
        <w:t>information will be req</w:t>
      </w:r>
      <w:r w:rsidRPr="0048062E" w:rsidR="0048062E">
        <w:rPr>
          <w:color w:val="auto"/>
        </w:rPr>
        <w:t>uested</w:t>
      </w:r>
      <w:r w:rsidRPr="0048062E">
        <w:rPr>
          <w:color w:val="auto"/>
        </w:rPr>
        <w:t xml:space="preserve">. </w:t>
      </w:r>
    </w:p>
    <w:p w:rsidR="00B9123D" w:rsidRPr="0048062E" w14:paraId="604E9CB7" w14:textId="77777777">
      <w:pPr>
        <w:pStyle w:val="BodyText"/>
        <w:rPr>
          <w:color w:val="auto"/>
        </w:rPr>
      </w:pPr>
    </w:p>
    <w:p w:rsidR="00B91068" w:rsidP="001354A0" w14:paraId="24D66466" w14:textId="6277D087">
      <w:pPr>
        <w:pStyle w:val="NormalWeb"/>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B91068" w:rsidRPr="00B91068" w14:paraId="70D2C9EA" w14:textId="4057EDDB">
      <w:pPr>
        <w:pStyle w:val="BodyText"/>
        <w:rPr>
          <w:color w:val="auto"/>
        </w:rPr>
      </w:pPr>
      <w:r>
        <w:rPr>
          <w:color w:val="auto"/>
        </w:rPr>
        <w:t xml:space="preserve">The number of respondents is a maximum of </w:t>
      </w:r>
      <w:r w:rsidR="00C4445D">
        <w:rPr>
          <w:color w:val="auto"/>
        </w:rPr>
        <w:t xml:space="preserve">18 </w:t>
      </w:r>
      <w:r>
        <w:rPr>
          <w:color w:val="auto"/>
        </w:rPr>
        <w:t>eligible State DOTs.  This is a one-time information collection.  The estimated burden per response is 100 hours per application</w:t>
      </w:r>
      <w:r w:rsidR="002218CF">
        <w:rPr>
          <w:color w:val="auto"/>
        </w:rPr>
        <w:t xml:space="preserve">.  </w:t>
      </w:r>
      <w:r w:rsidR="00807B46">
        <w:rPr>
          <w:color w:val="auto"/>
        </w:rPr>
        <w:t xml:space="preserve">It is </w:t>
      </w:r>
      <w:r w:rsidR="002218CF">
        <w:rPr>
          <w:color w:val="auto"/>
        </w:rPr>
        <w:t xml:space="preserve">estimated </w:t>
      </w:r>
      <w:r w:rsidR="00807B46">
        <w:rPr>
          <w:color w:val="auto"/>
        </w:rPr>
        <w:t xml:space="preserve">that each awarded </w:t>
      </w:r>
      <w:r w:rsidR="00C4445D">
        <w:rPr>
          <w:color w:val="auto"/>
        </w:rPr>
        <w:t>grant</w:t>
      </w:r>
      <w:r w:rsidR="00807B46">
        <w:rPr>
          <w:color w:val="auto"/>
        </w:rPr>
        <w:t xml:space="preserve"> will require</w:t>
      </w:r>
      <w:r>
        <w:rPr>
          <w:color w:val="auto"/>
        </w:rPr>
        <w:t xml:space="preserve"> </w:t>
      </w:r>
      <w:r w:rsidR="00807B46">
        <w:rPr>
          <w:color w:val="auto"/>
        </w:rPr>
        <w:t xml:space="preserve">an additional </w:t>
      </w:r>
      <w:r>
        <w:rPr>
          <w:color w:val="auto"/>
        </w:rPr>
        <w:t>60 hours to complete the funding agreement and pr</w:t>
      </w:r>
      <w:r w:rsidR="00C4445D">
        <w:rPr>
          <w:color w:val="auto"/>
        </w:rPr>
        <w:t>epare</w:t>
      </w:r>
      <w:r>
        <w:rPr>
          <w:color w:val="auto"/>
        </w:rPr>
        <w:t xml:space="preserve"> biannual project monitoring reports that </w:t>
      </w:r>
      <w:r w:rsidR="002218CF">
        <w:rPr>
          <w:color w:val="auto"/>
        </w:rPr>
        <w:t>disclose</w:t>
      </w:r>
      <w:r>
        <w:rPr>
          <w:color w:val="auto"/>
        </w:rPr>
        <w:t xml:space="preserve"> performance indicator values and financial expenditures.</w:t>
      </w:r>
      <w:r w:rsidRPr="00B91068">
        <w:rPr>
          <w:rFonts w:ascii="Times New Roman" w:hAnsi="Times New Roman" w:cs="Times New Roman"/>
          <w:color w:val="auto"/>
          <w:sz w:val="22"/>
          <w:szCs w:val="22"/>
        </w:rPr>
        <w:t xml:space="preserve"> </w:t>
      </w:r>
      <w:r w:rsidRPr="00B91068">
        <w:rPr>
          <w:color w:val="auto"/>
        </w:rPr>
        <w:t xml:space="preserve"> </w:t>
      </w:r>
      <w:r w:rsidR="00C4445D">
        <w:rPr>
          <w:color w:val="auto"/>
        </w:rPr>
        <w:t>P</w:t>
      </w:r>
      <w:r w:rsidRPr="00B91068">
        <w:rPr>
          <w:color w:val="auto"/>
        </w:rPr>
        <w:t xml:space="preserve">roject monitoring </w:t>
      </w:r>
      <w:r w:rsidR="00C4445D">
        <w:rPr>
          <w:color w:val="auto"/>
        </w:rPr>
        <w:t xml:space="preserve">reports </w:t>
      </w:r>
      <w:r w:rsidRPr="00B91068">
        <w:rPr>
          <w:color w:val="auto"/>
        </w:rPr>
        <w:t xml:space="preserve">will occur for </w:t>
      </w:r>
      <w:r w:rsidR="00C4445D">
        <w:rPr>
          <w:color w:val="auto"/>
        </w:rPr>
        <w:t xml:space="preserve">an estimated </w:t>
      </w:r>
      <w:r w:rsidRPr="00B91068">
        <w:rPr>
          <w:color w:val="auto"/>
        </w:rPr>
        <w:t>four years</w:t>
      </w:r>
      <w:r w:rsidR="00C4445D">
        <w:rPr>
          <w:color w:val="auto"/>
        </w:rPr>
        <w:t xml:space="preserve"> on average</w:t>
      </w:r>
      <w:r w:rsidRPr="00B91068">
        <w:rPr>
          <w:color w:val="auto"/>
        </w:rPr>
        <w:t>.</w:t>
      </w:r>
      <w:r>
        <w:rPr>
          <w:color w:val="auto"/>
        </w:rPr>
        <w:t xml:space="preserve">  Total burden is </w:t>
      </w:r>
      <w:r w:rsidR="00807B46">
        <w:rPr>
          <w:color w:val="auto"/>
        </w:rPr>
        <w:t>3,780</w:t>
      </w:r>
      <w:r w:rsidR="00C4445D">
        <w:rPr>
          <w:color w:val="auto"/>
        </w:rPr>
        <w:t xml:space="preserve"> hours</w:t>
      </w:r>
      <w:r w:rsidR="00807B46">
        <w:rPr>
          <w:color w:val="auto"/>
        </w:rPr>
        <w:t xml:space="preserve">.  </w:t>
      </w:r>
      <w:r>
        <w:rPr>
          <w:color w:val="auto"/>
        </w:rPr>
        <w:t>2,700 hours</w:t>
      </w:r>
      <w:r w:rsidR="00807B46">
        <w:rPr>
          <w:color w:val="auto"/>
        </w:rPr>
        <w:t xml:space="preserve"> for preparing applications</w:t>
      </w:r>
      <w:r>
        <w:rPr>
          <w:color w:val="auto"/>
        </w:rPr>
        <w:t xml:space="preserve"> </w:t>
      </w:r>
      <w:r w:rsidR="00807B46">
        <w:rPr>
          <w:color w:val="auto"/>
        </w:rPr>
        <w:t xml:space="preserve">assuming 27 applications </w:t>
      </w:r>
      <w:r>
        <w:rPr>
          <w:color w:val="auto"/>
        </w:rPr>
        <w:t xml:space="preserve">(the </w:t>
      </w:r>
      <w:r w:rsidR="00C4445D">
        <w:rPr>
          <w:color w:val="auto"/>
        </w:rPr>
        <w:t>18</w:t>
      </w:r>
      <w:r>
        <w:rPr>
          <w:color w:val="auto"/>
        </w:rPr>
        <w:t xml:space="preserve"> applicants </w:t>
      </w:r>
      <w:r w:rsidR="00C4445D">
        <w:rPr>
          <w:color w:val="auto"/>
        </w:rPr>
        <w:t>are</w:t>
      </w:r>
      <w:r>
        <w:rPr>
          <w:color w:val="auto"/>
        </w:rPr>
        <w:t xml:space="preserve"> allowed to submit more than one application) and </w:t>
      </w:r>
      <w:r w:rsidR="00807B46">
        <w:rPr>
          <w:color w:val="auto"/>
        </w:rPr>
        <w:t xml:space="preserve">1,080 additional hours for the awarded </w:t>
      </w:r>
      <w:r w:rsidR="00C4445D">
        <w:rPr>
          <w:color w:val="auto"/>
        </w:rPr>
        <w:t>grants</w:t>
      </w:r>
      <w:r w:rsidR="00807B46">
        <w:rPr>
          <w:color w:val="auto"/>
        </w:rPr>
        <w:t xml:space="preserve"> assuming </w:t>
      </w:r>
      <w:r w:rsidRPr="00B91068">
        <w:rPr>
          <w:color w:val="auto"/>
        </w:rPr>
        <w:t>18 award</w:t>
      </w:r>
      <w:r w:rsidR="00C4445D">
        <w:rPr>
          <w:color w:val="auto"/>
        </w:rPr>
        <w:t>s</w:t>
      </w:r>
      <w:r w:rsidRPr="00B91068">
        <w:rPr>
          <w:color w:val="auto"/>
        </w:rPr>
        <w:t xml:space="preserve">.  The hours will vary </w:t>
      </w:r>
      <w:r w:rsidR="00807B46">
        <w:rPr>
          <w:color w:val="auto"/>
        </w:rPr>
        <w:t>depending on</w:t>
      </w:r>
      <w:r w:rsidRPr="00B91068">
        <w:rPr>
          <w:color w:val="auto"/>
        </w:rPr>
        <w:t xml:space="preserve"> project</w:t>
      </w:r>
      <w:r w:rsidR="00807B46">
        <w:rPr>
          <w:color w:val="auto"/>
        </w:rPr>
        <w:t xml:space="preserve"> complexity</w:t>
      </w:r>
      <w:r w:rsidRPr="00B91068">
        <w:rPr>
          <w:color w:val="auto"/>
        </w:rPr>
        <w:t xml:space="preserve"> and c</w:t>
      </w:r>
      <w:r w:rsidR="00807B46">
        <w:rPr>
          <w:color w:val="auto"/>
        </w:rPr>
        <w:t>an</w:t>
      </w:r>
      <w:r w:rsidRPr="00B91068">
        <w:rPr>
          <w:color w:val="auto"/>
        </w:rPr>
        <w:t xml:space="preserve"> be less</w:t>
      </w:r>
      <w:r w:rsidR="00807B46">
        <w:rPr>
          <w:color w:val="auto"/>
        </w:rPr>
        <w:t xml:space="preserve"> than estimated</w:t>
      </w:r>
      <w:r w:rsidRPr="00B91068">
        <w:rPr>
          <w:color w:val="auto"/>
        </w:rPr>
        <w:t>.</w:t>
      </w:r>
    </w:p>
    <w:p w:rsidR="00BA1D28" w14:paraId="705F07FA" w14:textId="77777777">
      <w:pPr>
        <w:pStyle w:val="BodyText"/>
      </w:pPr>
    </w:p>
    <w:tbl>
      <w:tblPr>
        <w:tblStyle w:val="TableGrid"/>
        <w:tblW w:w="0" w:type="auto"/>
        <w:jc w:val="center"/>
        <w:tblLook w:val="04A0"/>
      </w:tblPr>
      <w:tblGrid>
        <w:gridCol w:w="1436"/>
        <w:gridCol w:w="1483"/>
        <w:gridCol w:w="1434"/>
        <w:gridCol w:w="1425"/>
        <w:gridCol w:w="1426"/>
        <w:gridCol w:w="1426"/>
      </w:tblGrid>
      <w:tr w14:paraId="69EC54C1" w14:textId="77777777" w:rsidTr="009C7404">
        <w:tblPrEx>
          <w:tblW w:w="0" w:type="auto"/>
          <w:jc w:val="center"/>
          <w:tblLook w:val="04A0"/>
        </w:tblPrEx>
        <w:trPr>
          <w:trHeight w:val="1097"/>
          <w:jc w:val="center"/>
        </w:trPr>
        <w:tc>
          <w:tcPr>
            <w:tcW w:w="1438" w:type="dxa"/>
          </w:tcPr>
          <w:p w:rsidR="00BA1D28" w:rsidRPr="009C7404" w:rsidP="009C7404" w14:paraId="48E1B6AB" w14:textId="474E0FC8">
            <w:pPr>
              <w:pStyle w:val="BodyText"/>
              <w:jc w:val="center"/>
              <w:rPr>
                <w:b/>
                <w:bCs/>
                <w:color w:val="auto"/>
              </w:rPr>
            </w:pPr>
            <w:r w:rsidRPr="009C7404">
              <w:rPr>
                <w:b/>
                <w:bCs/>
                <w:color w:val="auto"/>
              </w:rPr>
              <w:t>Respondent</w:t>
            </w:r>
          </w:p>
        </w:tc>
        <w:tc>
          <w:tcPr>
            <w:tcW w:w="1438" w:type="dxa"/>
          </w:tcPr>
          <w:p w:rsidR="00BA1D28" w:rsidRPr="009C7404" w:rsidP="009C7404" w14:paraId="16298FF2" w14:textId="0918A630">
            <w:pPr>
              <w:pStyle w:val="BodyText"/>
              <w:jc w:val="center"/>
              <w:rPr>
                <w:b/>
                <w:bCs/>
                <w:color w:val="auto"/>
              </w:rPr>
            </w:pPr>
            <w:r w:rsidRPr="009C7404">
              <w:rPr>
                <w:b/>
                <w:bCs/>
                <w:color w:val="auto"/>
              </w:rPr>
              <w:t>No. of Respondents</w:t>
            </w:r>
          </w:p>
        </w:tc>
        <w:tc>
          <w:tcPr>
            <w:tcW w:w="1438" w:type="dxa"/>
          </w:tcPr>
          <w:p w:rsidR="00BA1D28" w:rsidRPr="009C7404" w:rsidP="009C7404" w14:paraId="5383F7E0" w14:textId="2FB259D0">
            <w:pPr>
              <w:pStyle w:val="BodyText"/>
              <w:jc w:val="center"/>
              <w:rPr>
                <w:b/>
                <w:bCs/>
                <w:color w:val="auto"/>
              </w:rPr>
            </w:pPr>
            <w:r w:rsidRPr="009C7404">
              <w:rPr>
                <w:b/>
                <w:bCs/>
                <w:color w:val="auto"/>
              </w:rPr>
              <w:t>Frequency of Responses</w:t>
            </w:r>
          </w:p>
        </w:tc>
        <w:tc>
          <w:tcPr>
            <w:tcW w:w="1438" w:type="dxa"/>
          </w:tcPr>
          <w:p w:rsidR="00BA1D28" w:rsidRPr="009C7404" w:rsidP="009C7404" w14:paraId="08C938BA" w14:textId="45BB0D3B">
            <w:pPr>
              <w:pStyle w:val="BodyText"/>
              <w:jc w:val="center"/>
              <w:rPr>
                <w:b/>
                <w:bCs/>
                <w:color w:val="auto"/>
              </w:rPr>
            </w:pPr>
            <w:r w:rsidRPr="009C7404">
              <w:rPr>
                <w:b/>
                <w:bCs/>
                <w:color w:val="auto"/>
              </w:rPr>
              <w:t>Total Initial Burden Hours</w:t>
            </w:r>
          </w:p>
        </w:tc>
        <w:tc>
          <w:tcPr>
            <w:tcW w:w="1439" w:type="dxa"/>
          </w:tcPr>
          <w:p w:rsidR="00BA1D28" w:rsidRPr="009C7404" w:rsidP="009C7404" w14:paraId="2A91DDB6" w14:textId="28F077E8">
            <w:pPr>
              <w:pStyle w:val="BodyText"/>
              <w:jc w:val="center"/>
              <w:rPr>
                <w:b/>
                <w:bCs/>
                <w:color w:val="auto"/>
              </w:rPr>
            </w:pPr>
            <w:r w:rsidRPr="009C7404">
              <w:rPr>
                <w:b/>
                <w:bCs/>
                <w:color w:val="auto"/>
              </w:rPr>
              <w:t>Total Annual Burden Hours</w:t>
            </w:r>
          </w:p>
        </w:tc>
        <w:tc>
          <w:tcPr>
            <w:tcW w:w="1439" w:type="dxa"/>
          </w:tcPr>
          <w:p w:rsidR="00BA1D28" w:rsidRPr="009C7404" w:rsidP="009C7404" w14:paraId="38F3540D" w14:textId="1D9542B7">
            <w:pPr>
              <w:pStyle w:val="BodyText"/>
              <w:jc w:val="center"/>
              <w:rPr>
                <w:b/>
                <w:bCs/>
                <w:color w:val="auto"/>
              </w:rPr>
            </w:pPr>
            <w:r w:rsidRPr="009C7404">
              <w:rPr>
                <w:b/>
                <w:bCs/>
                <w:color w:val="auto"/>
              </w:rPr>
              <w:t>Total Burden Hours</w:t>
            </w:r>
          </w:p>
        </w:tc>
      </w:tr>
      <w:tr w14:paraId="7910E937" w14:textId="77777777" w:rsidTr="009C7404">
        <w:tblPrEx>
          <w:tblW w:w="0" w:type="auto"/>
          <w:jc w:val="center"/>
          <w:tblLook w:val="04A0"/>
        </w:tblPrEx>
        <w:trPr>
          <w:trHeight w:val="890"/>
          <w:jc w:val="center"/>
        </w:trPr>
        <w:tc>
          <w:tcPr>
            <w:tcW w:w="1438" w:type="dxa"/>
          </w:tcPr>
          <w:p w:rsidR="00BA1D28" w:rsidRPr="009C7404" w:rsidP="00677F98" w14:paraId="2A7C6EBE" w14:textId="09B04DF7">
            <w:pPr>
              <w:pStyle w:val="BodyText"/>
              <w:rPr>
                <w:color w:val="auto"/>
              </w:rPr>
            </w:pPr>
            <w:r w:rsidRPr="009C7404">
              <w:rPr>
                <w:color w:val="auto"/>
              </w:rPr>
              <w:t>State DOTs</w:t>
            </w:r>
          </w:p>
        </w:tc>
        <w:tc>
          <w:tcPr>
            <w:tcW w:w="1438" w:type="dxa"/>
          </w:tcPr>
          <w:p w:rsidR="00BA1D28" w:rsidRPr="009C7404" w:rsidP="001354A0" w14:paraId="02B147D1" w14:textId="7D582D6E">
            <w:pPr>
              <w:pStyle w:val="BodyText"/>
              <w:rPr>
                <w:color w:val="auto"/>
              </w:rPr>
            </w:pPr>
            <w:r w:rsidRPr="009C7404">
              <w:rPr>
                <w:color w:val="auto"/>
              </w:rPr>
              <w:t>18 (maximum)</w:t>
            </w:r>
          </w:p>
        </w:tc>
        <w:tc>
          <w:tcPr>
            <w:tcW w:w="1438" w:type="dxa"/>
          </w:tcPr>
          <w:p w:rsidR="00BA1D28" w:rsidRPr="009C7404" w:rsidP="001354A0" w14:paraId="661CD9C4" w14:textId="50467DE2">
            <w:pPr>
              <w:pStyle w:val="BodyText"/>
              <w:rPr>
                <w:color w:val="auto"/>
              </w:rPr>
            </w:pPr>
            <w:r w:rsidRPr="009C7404">
              <w:rPr>
                <w:color w:val="auto"/>
              </w:rPr>
              <w:t>Initial collection then biannual</w:t>
            </w:r>
          </w:p>
        </w:tc>
        <w:tc>
          <w:tcPr>
            <w:tcW w:w="1438" w:type="dxa"/>
          </w:tcPr>
          <w:p w:rsidR="00BA1D28" w:rsidRPr="009C7404" w:rsidP="009C7404" w14:paraId="7BDB20EC" w14:textId="0AF130BB">
            <w:pPr>
              <w:pStyle w:val="BodyText"/>
              <w:jc w:val="right"/>
              <w:rPr>
                <w:color w:val="auto"/>
              </w:rPr>
            </w:pPr>
            <w:r w:rsidRPr="009C7404">
              <w:rPr>
                <w:color w:val="auto"/>
              </w:rPr>
              <w:t>2,700</w:t>
            </w:r>
          </w:p>
        </w:tc>
        <w:tc>
          <w:tcPr>
            <w:tcW w:w="1439" w:type="dxa"/>
          </w:tcPr>
          <w:p w:rsidR="00BA1D28" w:rsidRPr="009C7404" w:rsidP="009C7404" w14:paraId="208B0415" w14:textId="169E238A">
            <w:pPr>
              <w:pStyle w:val="BodyText"/>
              <w:jc w:val="right"/>
              <w:rPr>
                <w:color w:val="auto"/>
              </w:rPr>
            </w:pPr>
            <w:r w:rsidRPr="009C7404">
              <w:rPr>
                <w:color w:val="auto"/>
              </w:rPr>
              <w:t>1,080</w:t>
            </w:r>
          </w:p>
        </w:tc>
        <w:tc>
          <w:tcPr>
            <w:tcW w:w="1439" w:type="dxa"/>
          </w:tcPr>
          <w:p w:rsidR="00BA1D28" w:rsidRPr="009C7404" w:rsidP="009C7404" w14:paraId="10286755" w14:textId="470F14D3">
            <w:pPr>
              <w:pStyle w:val="BodyText"/>
              <w:jc w:val="right"/>
              <w:rPr>
                <w:color w:val="auto"/>
              </w:rPr>
            </w:pPr>
            <w:r w:rsidRPr="009C7404">
              <w:rPr>
                <w:color w:val="auto"/>
              </w:rPr>
              <w:t>3,780</w:t>
            </w:r>
          </w:p>
        </w:tc>
      </w:tr>
      <w:tr w14:paraId="49D61AF5" w14:textId="77777777" w:rsidTr="009C7404">
        <w:tblPrEx>
          <w:tblW w:w="0" w:type="auto"/>
          <w:jc w:val="center"/>
          <w:tblLook w:val="04A0"/>
        </w:tblPrEx>
        <w:trPr>
          <w:trHeight w:val="458"/>
          <w:jc w:val="center"/>
        </w:trPr>
        <w:tc>
          <w:tcPr>
            <w:tcW w:w="1438" w:type="dxa"/>
          </w:tcPr>
          <w:p w:rsidR="00BA1D28" w:rsidRPr="009C7404" w:rsidP="00677F98" w14:paraId="18CFCBCF" w14:textId="3595E8CF">
            <w:pPr>
              <w:pStyle w:val="BodyText"/>
              <w:rPr>
                <w:b/>
                <w:bCs/>
                <w:color w:val="auto"/>
              </w:rPr>
            </w:pPr>
            <w:r w:rsidRPr="009C7404">
              <w:rPr>
                <w:b/>
                <w:bCs/>
                <w:color w:val="auto"/>
              </w:rPr>
              <w:t>Total</w:t>
            </w:r>
          </w:p>
        </w:tc>
        <w:tc>
          <w:tcPr>
            <w:tcW w:w="1438" w:type="dxa"/>
          </w:tcPr>
          <w:p w:rsidR="00BA1D28" w:rsidRPr="009C7404" w:rsidP="001354A0" w14:paraId="76CA7C2B" w14:textId="63DCAB50">
            <w:pPr>
              <w:pStyle w:val="BodyText"/>
              <w:rPr>
                <w:b/>
                <w:bCs/>
                <w:color w:val="auto"/>
              </w:rPr>
            </w:pPr>
            <w:r w:rsidRPr="009C7404">
              <w:rPr>
                <w:b/>
                <w:bCs/>
                <w:color w:val="auto"/>
              </w:rPr>
              <w:t>18</w:t>
            </w:r>
          </w:p>
        </w:tc>
        <w:tc>
          <w:tcPr>
            <w:tcW w:w="1438" w:type="dxa"/>
          </w:tcPr>
          <w:p w:rsidR="00BA1D28" w:rsidRPr="009C7404" w:rsidP="001354A0" w14:paraId="510A71C2" w14:textId="77777777">
            <w:pPr>
              <w:pStyle w:val="BodyText"/>
              <w:rPr>
                <w:b/>
                <w:bCs/>
                <w:color w:val="auto"/>
              </w:rPr>
            </w:pPr>
          </w:p>
        </w:tc>
        <w:tc>
          <w:tcPr>
            <w:tcW w:w="1438" w:type="dxa"/>
          </w:tcPr>
          <w:p w:rsidR="00BA1D28" w:rsidRPr="009C7404" w:rsidP="009C7404" w14:paraId="18BB0E4C" w14:textId="0AECE6CC">
            <w:pPr>
              <w:pStyle w:val="BodyText"/>
              <w:jc w:val="right"/>
              <w:rPr>
                <w:b/>
                <w:bCs/>
                <w:color w:val="auto"/>
              </w:rPr>
            </w:pPr>
            <w:r w:rsidRPr="009C7404">
              <w:rPr>
                <w:b/>
                <w:bCs/>
                <w:color w:val="auto"/>
              </w:rPr>
              <w:t>2,700</w:t>
            </w:r>
          </w:p>
        </w:tc>
        <w:tc>
          <w:tcPr>
            <w:tcW w:w="1439" w:type="dxa"/>
          </w:tcPr>
          <w:p w:rsidR="00BA1D28" w:rsidRPr="009C7404" w:rsidP="009C7404" w14:paraId="5B2045E3" w14:textId="2784FB5C">
            <w:pPr>
              <w:pStyle w:val="BodyText"/>
              <w:jc w:val="right"/>
              <w:rPr>
                <w:b/>
                <w:bCs/>
                <w:color w:val="auto"/>
              </w:rPr>
            </w:pPr>
            <w:r w:rsidRPr="009C7404">
              <w:rPr>
                <w:b/>
                <w:bCs/>
                <w:color w:val="auto"/>
              </w:rPr>
              <w:t>1,080</w:t>
            </w:r>
          </w:p>
        </w:tc>
        <w:tc>
          <w:tcPr>
            <w:tcW w:w="1439" w:type="dxa"/>
          </w:tcPr>
          <w:p w:rsidR="00BA1D28" w:rsidRPr="009C7404" w:rsidP="009C7404" w14:paraId="0025EBDD" w14:textId="5BE3AF91">
            <w:pPr>
              <w:pStyle w:val="BodyText"/>
              <w:jc w:val="right"/>
              <w:rPr>
                <w:b/>
                <w:bCs/>
                <w:color w:val="auto"/>
              </w:rPr>
            </w:pPr>
            <w:r w:rsidRPr="009C7404">
              <w:rPr>
                <w:b/>
                <w:bCs/>
                <w:color w:val="auto"/>
              </w:rPr>
              <w:t>3,780</w:t>
            </w:r>
          </w:p>
        </w:tc>
      </w:tr>
    </w:tbl>
    <w:p w:rsidR="00BA1D28" w14:paraId="7CAF3A4C" w14:textId="77777777">
      <w:pPr>
        <w:pStyle w:val="BodyText"/>
      </w:pPr>
    </w:p>
    <w:p w:rsidR="00B9123D" w14:paraId="32EE5293" w14:textId="77777777">
      <w:pPr>
        <w:pStyle w:val="BodyText"/>
      </w:pPr>
    </w:p>
    <w:p w:rsidR="00B509AC" w:rsidP="001354A0" w14:paraId="78A3DB93" w14:textId="56C141C2">
      <w:pPr>
        <w:pStyle w:val="NormalWeb"/>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754E11" w:rsidRPr="009270DD" w14:paraId="412B866C" w14:textId="31574B54">
      <w:pPr>
        <w:pStyle w:val="BodyText"/>
        <w:rPr>
          <w:color w:val="auto"/>
        </w:rPr>
      </w:pPr>
      <w:r>
        <w:rPr>
          <w:color w:val="auto"/>
        </w:rPr>
        <w:t xml:space="preserve">Respondents will not incur an annual cost beyond the annual burden hours described in question 12. There are no start-up or maintenance costs associated with this information collection. </w:t>
      </w:r>
    </w:p>
    <w:p w:rsidR="00754E11" w14:paraId="3DD0A5FD" w14:textId="77777777">
      <w:pPr>
        <w:pStyle w:val="BodyText"/>
        <w:rPr>
          <w:rFonts w:ascii="Times New Roman" w:hAnsi="Times New Roman" w:cs="Times New Roman"/>
          <w:color w:val="auto"/>
          <w:sz w:val="22"/>
          <w:szCs w:val="22"/>
        </w:rPr>
      </w:pPr>
    </w:p>
    <w:p w:rsidR="00EA7A65" w:rsidP="001354A0" w14:paraId="03E5960E" w14:textId="4F04A590">
      <w:pPr>
        <w:pStyle w:val="NormalWeb"/>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754E11" w14:paraId="5E029A14" w14:textId="542BB11F">
      <w:pPr>
        <w:pStyle w:val="BodyText"/>
        <w:rPr>
          <w:color w:val="auto"/>
        </w:rPr>
      </w:pPr>
      <w:r>
        <w:rPr>
          <w:color w:val="auto"/>
        </w:rPr>
        <w:t>FHWA Headquarters will incur costs for program management, application review, project award, and project monitoring.  FHWA Division Office</w:t>
      </w:r>
      <w:r w:rsidR="00677F98">
        <w:rPr>
          <w:color w:val="auto"/>
        </w:rPr>
        <w:t>s</w:t>
      </w:r>
      <w:r>
        <w:rPr>
          <w:color w:val="auto"/>
        </w:rPr>
        <w:t xml:space="preserve"> will incur cost</w:t>
      </w:r>
      <w:r w:rsidR="00677F98">
        <w:rPr>
          <w:color w:val="auto"/>
        </w:rPr>
        <w:t>s</w:t>
      </w:r>
      <w:r>
        <w:rPr>
          <w:color w:val="auto"/>
        </w:rPr>
        <w:t xml:space="preserve"> for project award and monitoring.   </w:t>
      </w:r>
      <w:r w:rsidR="00677F98">
        <w:rPr>
          <w:color w:val="auto"/>
        </w:rPr>
        <w:t>Headquarters p</w:t>
      </w:r>
      <w:r>
        <w:rPr>
          <w:color w:val="auto"/>
        </w:rPr>
        <w:t xml:space="preserve">rogram management is estimated to incur </w:t>
      </w:r>
      <w:r w:rsidR="008F01F9">
        <w:rPr>
          <w:color w:val="auto"/>
        </w:rPr>
        <w:t>500</w:t>
      </w:r>
      <w:r>
        <w:rPr>
          <w:color w:val="auto"/>
        </w:rPr>
        <w:t xml:space="preserve"> hours</w:t>
      </w:r>
      <w:r w:rsidR="00677F98">
        <w:rPr>
          <w:color w:val="auto"/>
        </w:rPr>
        <w:t>.</w:t>
      </w:r>
      <w:r>
        <w:rPr>
          <w:color w:val="auto"/>
        </w:rPr>
        <w:t xml:space="preserve"> </w:t>
      </w:r>
      <w:r w:rsidR="00677F98">
        <w:rPr>
          <w:color w:val="auto"/>
        </w:rPr>
        <w:t xml:space="preserve"> Headquarters application </w:t>
      </w:r>
      <w:r>
        <w:rPr>
          <w:color w:val="auto"/>
        </w:rPr>
        <w:t xml:space="preserve">review and documentation is estimated to incur 10 hours per application </w:t>
      </w:r>
      <w:r w:rsidR="00677F98">
        <w:rPr>
          <w:color w:val="auto"/>
        </w:rPr>
        <w:t>f</w:t>
      </w:r>
      <w:r>
        <w:rPr>
          <w:color w:val="auto"/>
        </w:rPr>
        <w:t>or 270 hours total</w:t>
      </w:r>
      <w:r w:rsidR="00677F98">
        <w:rPr>
          <w:color w:val="auto"/>
        </w:rPr>
        <w:t xml:space="preserve"> assuming 27 applications</w:t>
      </w:r>
      <w:r>
        <w:rPr>
          <w:color w:val="auto"/>
        </w:rPr>
        <w:t xml:space="preserve">.  </w:t>
      </w:r>
      <w:r w:rsidR="00677F98">
        <w:rPr>
          <w:color w:val="auto"/>
        </w:rPr>
        <w:t xml:space="preserve">Headquarters </w:t>
      </w:r>
      <w:r w:rsidR="008F01F9">
        <w:rPr>
          <w:color w:val="auto"/>
        </w:rPr>
        <w:t xml:space="preserve">project </w:t>
      </w:r>
      <w:r w:rsidR="00677F98">
        <w:rPr>
          <w:color w:val="auto"/>
        </w:rPr>
        <w:t xml:space="preserve">award and monitoring is estimated to incur 50 hours per project for 900 hours total assuming 18 awards.  FHWA Division Office </w:t>
      </w:r>
      <w:r w:rsidR="008F01F9">
        <w:rPr>
          <w:color w:val="auto"/>
        </w:rPr>
        <w:t xml:space="preserve">project </w:t>
      </w:r>
      <w:r w:rsidR="00677F98">
        <w:rPr>
          <w:color w:val="auto"/>
        </w:rPr>
        <w:t>award and monitoring is estimated to incur 50 hours per project for 900 hours total.</w:t>
      </w:r>
    </w:p>
    <w:p w:rsidR="003011A0" w14:paraId="0482888B" w14:textId="77777777">
      <w:pPr>
        <w:pStyle w:val="BodyText"/>
        <w:rPr>
          <w:color w:val="auto"/>
        </w:rPr>
      </w:pPr>
    </w:p>
    <w:tbl>
      <w:tblPr>
        <w:tblStyle w:val="TableGrid"/>
        <w:tblW w:w="0" w:type="auto"/>
        <w:jc w:val="center"/>
        <w:tblLook w:val="04A0"/>
      </w:tblPr>
      <w:tblGrid>
        <w:gridCol w:w="2451"/>
        <w:gridCol w:w="1726"/>
        <w:gridCol w:w="1726"/>
        <w:gridCol w:w="1726"/>
      </w:tblGrid>
      <w:tr w14:paraId="70478E1B" w14:textId="77777777" w:rsidTr="009C7404">
        <w:tblPrEx>
          <w:tblW w:w="0" w:type="auto"/>
          <w:jc w:val="center"/>
          <w:tblLook w:val="04A0"/>
        </w:tblPrEx>
        <w:trPr>
          <w:jc w:val="center"/>
        </w:trPr>
        <w:tc>
          <w:tcPr>
            <w:tcW w:w="2451" w:type="dxa"/>
          </w:tcPr>
          <w:p w:rsidR="00677F98" w:rsidRPr="009C7404" w:rsidP="009C7404" w14:paraId="3CE32D19" w14:textId="751D8240">
            <w:pPr>
              <w:pStyle w:val="BodyText"/>
              <w:jc w:val="center"/>
              <w:rPr>
                <w:b/>
                <w:bCs/>
                <w:color w:val="auto"/>
              </w:rPr>
            </w:pPr>
            <w:r w:rsidRPr="009C7404">
              <w:rPr>
                <w:b/>
                <w:bCs/>
                <w:color w:val="auto"/>
              </w:rPr>
              <w:t>Labor Group</w:t>
            </w:r>
          </w:p>
        </w:tc>
        <w:tc>
          <w:tcPr>
            <w:tcW w:w="1726" w:type="dxa"/>
          </w:tcPr>
          <w:p w:rsidR="00677F98" w:rsidRPr="009C7404" w:rsidP="009C7404" w14:paraId="7245F105" w14:textId="4528C649">
            <w:pPr>
              <w:pStyle w:val="BodyText"/>
              <w:jc w:val="center"/>
              <w:rPr>
                <w:b/>
                <w:bCs/>
                <w:color w:val="auto"/>
              </w:rPr>
            </w:pPr>
            <w:r w:rsidRPr="009C7404">
              <w:rPr>
                <w:b/>
                <w:bCs/>
                <w:color w:val="auto"/>
              </w:rPr>
              <w:t>No. of Hours</w:t>
            </w:r>
          </w:p>
        </w:tc>
        <w:tc>
          <w:tcPr>
            <w:tcW w:w="1726" w:type="dxa"/>
          </w:tcPr>
          <w:p w:rsidR="00677F98" w:rsidRPr="009C7404" w:rsidP="009C7404" w14:paraId="003C3DF6" w14:textId="7139E69D">
            <w:pPr>
              <w:pStyle w:val="BodyText"/>
              <w:jc w:val="center"/>
              <w:rPr>
                <w:b/>
                <w:bCs/>
                <w:color w:val="auto"/>
              </w:rPr>
            </w:pPr>
            <w:r w:rsidRPr="009C7404">
              <w:rPr>
                <w:b/>
                <w:bCs/>
                <w:color w:val="auto"/>
              </w:rPr>
              <w:t>Hourly Rate</w:t>
            </w:r>
            <w:r>
              <w:rPr>
                <w:rStyle w:val="FootnoteReference"/>
                <w:b/>
                <w:bCs/>
                <w:color w:val="auto"/>
              </w:rPr>
              <w:footnoteReference w:id="2"/>
            </w:r>
          </w:p>
        </w:tc>
        <w:tc>
          <w:tcPr>
            <w:tcW w:w="1726" w:type="dxa"/>
          </w:tcPr>
          <w:p w:rsidR="00677F98" w:rsidRPr="009C7404" w:rsidP="009C7404" w14:paraId="2221C4A2" w14:textId="3EA9B8DD">
            <w:pPr>
              <w:pStyle w:val="BodyText"/>
              <w:jc w:val="center"/>
              <w:rPr>
                <w:b/>
                <w:bCs/>
                <w:color w:val="auto"/>
              </w:rPr>
            </w:pPr>
            <w:r w:rsidRPr="009C7404">
              <w:rPr>
                <w:b/>
                <w:bCs/>
                <w:color w:val="auto"/>
              </w:rPr>
              <w:t>Cost</w:t>
            </w:r>
          </w:p>
        </w:tc>
      </w:tr>
      <w:tr w14:paraId="21F845D0" w14:textId="77777777" w:rsidTr="009C7404">
        <w:tblPrEx>
          <w:tblW w:w="0" w:type="auto"/>
          <w:jc w:val="center"/>
          <w:tblLook w:val="04A0"/>
        </w:tblPrEx>
        <w:trPr>
          <w:jc w:val="center"/>
        </w:trPr>
        <w:tc>
          <w:tcPr>
            <w:tcW w:w="2451" w:type="dxa"/>
          </w:tcPr>
          <w:p w:rsidR="00677F98" w:rsidP="009C7404" w14:paraId="0423A131" w14:textId="721F49A3">
            <w:pPr>
              <w:pStyle w:val="BodyText"/>
              <w:jc w:val="center"/>
              <w:rPr>
                <w:color w:val="auto"/>
              </w:rPr>
            </w:pPr>
            <w:r>
              <w:rPr>
                <w:color w:val="auto"/>
              </w:rPr>
              <w:t xml:space="preserve">Grade 14 FHWA HQ Staff </w:t>
            </w:r>
          </w:p>
        </w:tc>
        <w:tc>
          <w:tcPr>
            <w:tcW w:w="1726" w:type="dxa"/>
          </w:tcPr>
          <w:p w:rsidR="00677F98" w:rsidP="009C7404" w14:paraId="65EB802F" w14:textId="616A1481">
            <w:pPr>
              <w:pStyle w:val="BodyText"/>
              <w:jc w:val="right"/>
              <w:rPr>
                <w:color w:val="auto"/>
              </w:rPr>
            </w:pPr>
            <w:r>
              <w:rPr>
                <w:color w:val="auto"/>
              </w:rPr>
              <w:t>500</w:t>
            </w:r>
          </w:p>
        </w:tc>
        <w:tc>
          <w:tcPr>
            <w:tcW w:w="1726" w:type="dxa"/>
          </w:tcPr>
          <w:p w:rsidR="00677F98" w:rsidP="009C7404" w14:paraId="16A16B6F" w14:textId="1055D7FA">
            <w:pPr>
              <w:pStyle w:val="BodyText"/>
              <w:jc w:val="right"/>
              <w:rPr>
                <w:color w:val="auto"/>
              </w:rPr>
            </w:pPr>
            <w:r>
              <w:rPr>
                <w:color w:val="auto"/>
              </w:rPr>
              <w:t>$</w:t>
            </w:r>
            <w:r w:rsidR="001D0698">
              <w:rPr>
                <w:color w:val="auto"/>
              </w:rPr>
              <w:t>105.98</w:t>
            </w:r>
          </w:p>
        </w:tc>
        <w:tc>
          <w:tcPr>
            <w:tcW w:w="1726" w:type="dxa"/>
          </w:tcPr>
          <w:p w:rsidR="00677F98" w:rsidP="009C7404" w14:paraId="49A34B6E" w14:textId="1E2EF978">
            <w:pPr>
              <w:pStyle w:val="BodyText"/>
              <w:jc w:val="right"/>
              <w:rPr>
                <w:color w:val="auto"/>
              </w:rPr>
            </w:pPr>
            <w:r>
              <w:rPr>
                <w:color w:val="auto"/>
              </w:rPr>
              <w:t>$</w:t>
            </w:r>
            <w:r w:rsidR="008F01F9">
              <w:rPr>
                <w:color w:val="auto"/>
              </w:rPr>
              <w:t>52,990</w:t>
            </w:r>
          </w:p>
        </w:tc>
      </w:tr>
      <w:tr w14:paraId="5E180871" w14:textId="77777777" w:rsidTr="009C7404">
        <w:tblPrEx>
          <w:tblW w:w="0" w:type="auto"/>
          <w:jc w:val="center"/>
          <w:tblLook w:val="04A0"/>
        </w:tblPrEx>
        <w:trPr>
          <w:jc w:val="center"/>
        </w:trPr>
        <w:tc>
          <w:tcPr>
            <w:tcW w:w="2451" w:type="dxa"/>
          </w:tcPr>
          <w:p w:rsidR="00677F98" w:rsidP="009C7404" w14:paraId="4C9B08D7" w14:textId="2BB31EDD">
            <w:pPr>
              <w:pStyle w:val="BodyText"/>
              <w:jc w:val="center"/>
              <w:rPr>
                <w:color w:val="auto"/>
              </w:rPr>
            </w:pPr>
            <w:r>
              <w:rPr>
                <w:color w:val="auto"/>
              </w:rPr>
              <w:t xml:space="preserve">Grade 13 FHWA HQ Staff </w:t>
            </w:r>
          </w:p>
        </w:tc>
        <w:tc>
          <w:tcPr>
            <w:tcW w:w="1726" w:type="dxa"/>
          </w:tcPr>
          <w:p w:rsidR="00677F98" w:rsidP="009C7404" w14:paraId="72AEF67F" w14:textId="6D014E91">
            <w:pPr>
              <w:pStyle w:val="BodyText"/>
              <w:jc w:val="right"/>
              <w:rPr>
                <w:color w:val="auto"/>
              </w:rPr>
            </w:pPr>
            <w:r>
              <w:rPr>
                <w:color w:val="auto"/>
              </w:rPr>
              <w:t>1,070</w:t>
            </w:r>
          </w:p>
        </w:tc>
        <w:tc>
          <w:tcPr>
            <w:tcW w:w="1726" w:type="dxa"/>
          </w:tcPr>
          <w:p w:rsidR="00677F98" w:rsidP="009C7404" w14:paraId="3D335089" w14:textId="56D86B86">
            <w:pPr>
              <w:pStyle w:val="BodyText"/>
              <w:jc w:val="right"/>
              <w:rPr>
                <w:color w:val="auto"/>
              </w:rPr>
            </w:pPr>
            <w:r>
              <w:rPr>
                <w:color w:val="auto"/>
              </w:rPr>
              <w:t>$</w:t>
            </w:r>
            <w:r w:rsidR="001D0698">
              <w:rPr>
                <w:color w:val="auto"/>
              </w:rPr>
              <w:t>89.68</w:t>
            </w:r>
          </w:p>
        </w:tc>
        <w:tc>
          <w:tcPr>
            <w:tcW w:w="1726" w:type="dxa"/>
          </w:tcPr>
          <w:p w:rsidR="00677F98" w:rsidP="009C7404" w14:paraId="74A56EE9" w14:textId="4DCBF85A">
            <w:pPr>
              <w:pStyle w:val="BodyText"/>
              <w:jc w:val="right"/>
              <w:rPr>
                <w:color w:val="auto"/>
              </w:rPr>
            </w:pPr>
            <w:r>
              <w:rPr>
                <w:color w:val="auto"/>
              </w:rPr>
              <w:t>$95,958</w:t>
            </w:r>
          </w:p>
        </w:tc>
      </w:tr>
      <w:tr w14:paraId="4E48071F" w14:textId="77777777" w:rsidTr="009C7404">
        <w:tblPrEx>
          <w:tblW w:w="0" w:type="auto"/>
          <w:jc w:val="center"/>
          <w:tblLook w:val="04A0"/>
        </w:tblPrEx>
        <w:trPr>
          <w:jc w:val="center"/>
        </w:trPr>
        <w:tc>
          <w:tcPr>
            <w:tcW w:w="2451" w:type="dxa"/>
          </w:tcPr>
          <w:p w:rsidR="00677F98" w:rsidP="009C7404" w14:paraId="5B08CC16" w14:textId="4CCC0B75">
            <w:pPr>
              <w:pStyle w:val="BodyText"/>
              <w:jc w:val="center"/>
              <w:rPr>
                <w:color w:val="auto"/>
              </w:rPr>
            </w:pPr>
            <w:r>
              <w:rPr>
                <w:color w:val="auto"/>
              </w:rPr>
              <w:t xml:space="preserve">Grade 13 FHWA Division Office </w:t>
            </w:r>
            <w:r w:rsidR="005F53E4">
              <w:rPr>
                <w:color w:val="auto"/>
              </w:rPr>
              <w:t>Staff</w:t>
            </w:r>
          </w:p>
        </w:tc>
        <w:tc>
          <w:tcPr>
            <w:tcW w:w="1726" w:type="dxa"/>
          </w:tcPr>
          <w:p w:rsidR="00677F98" w:rsidP="009C7404" w14:paraId="7B8A5D8D" w14:textId="2DD5D1D9">
            <w:pPr>
              <w:pStyle w:val="BodyText"/>
              <w:jc w:val="right"/>
              <w:rPr>
                <w:color w:val="auto"/>
              </w:rPr>
            </w:pPr>
            <w:r>
              <w:rPr>
                <w:color w:val="auto"/>
              </w:rPr>
              <w:t>900</w:t>
            </w:r>
          </w:p>
        </w:tc>
        <w:tc>
          <w:tcPr>
            <w:tcW w:w="1726" w:type="dxa"/>
          </w:tcPr>
          <w:p w:rsidR="00677F98" w:rsidP="009C7404" w14:paraId="0633EA34" w14:textId="7EF74FA2">
            <w:pPr>
              <w:pStyle w:val="BodyText"/>
              <w:jc w:val="right"/>
              <w:rPr>
                <w:color w:val="auto"/>
              </w:rPr>
            </w:pPr>
            <w:r>
              <w:rPr>
                <w:color w:val="auto"/>
              </w:rPr>
              <w:t>$</w:t>
            </w:r>
            <w:r w:rsidR="001D0698">
              <w:rPr>
                <w:color w:val="auto"/>
              </w:rPr>
              <w:t>78.62</w:t>
            </w:r>
          </w:p>
        </w:tc>
        <w:tc>
          <w:tcPr>
            <w:tcW w:w="1726" w:type="dxa"/>
          </w:tcPr>
          <w:p w:rsidR="00677F98" w:rsidP="009C7404" w14:paraId="10AC89A9" w14:textId="64070836">
            <w:pPr>
              <w:pStyle w:val="BodyText"/>
              <w:jc w:val="right"/>
              <w:rPr>
                <w:color w:val="auto"/>
              </w:rPr>
            </w:pPr>
            <w:r>
              <w:rPr>
                <w:color w:val="auto"/>
              </w:rPr>
              <w:t>$70,758</w:t>
            </w:r>
          </w:p>
        </w:tc>
      </w:tr>
      <w:tr w14:paraId="46841E79" w14:textId="77777777" w:rsidTr="009C7404">
        <w:tblPrEx>
          <w:tblW w:w="0" w:type="auto"/>
          <w:jc w:val="center"/>
          <w:tblLook w:val="04A0"/>
        </w:tblPrEx>
        <w:trPr>
          <w:jc w:val="center"/>
        </w:trPr>
        <w:tc>
          <w:tcPr>
            <w:tcW w:w="2451" w:type="dxa"/>
          </w:tcPr>
          <w:p w:rsidR="00677F98" w:rsidRPr="009C7404" w:rsidP="009C7404" w14:paraId="3C460694" w14:textId="5964455F">
            <w:pPr>
              <w:pStyle w:val="BodyText"/>
              <w:jc w:val="center"/>
              <w:rPr>
                <w:b/>
                <w:bCs/>
                <w:color w:val="auto"/>
              </w:rPr>
            </w:pPr>
            <w:r w:rsidRPr="009C7404">
              <w:rPr>
                <w:b/>
                <w:bCs/>
                <w:color w:val="auto"/>
              </w:rPr>
              <w:t>T</w:t>
            </w:r>
            <w:r>
              <w:rPr>
                <w:b/>
                <w:bCs/>
                <w:color w:val="auto"/>
              </w:rPr>
              <w:t>otal</w:t>
            </w:r>
          </w:p>
        </w:tc>
        <w:tc>
          <w:tcPr>
            <w:tcW w:w="1726" w:type="dxa"/>
          </w:tcPr>
          <w:p w:rsidR="00677F98" w:rsidP="009C7404" w14:paraId="65773F32" w14:textId="2DE757B6">
            <w:pPr>
              <w:pStyle w:val="BodyText"/>
              <w:jc w:val="right"/>
              <w:rPr>
                <w:color w:val="auto"/>
              </w:rPr>
            </w:pPr>
            <w:r>
              <w:rPr>
                <w:color w:val="auto"/>
              </w:rPr>
              <w:t>2,220</w:t>
            </w:r>
          </w:p>
        </w:tc>
        <w:tc>
          <w:tcPr>
            <w:tcW w:w="1726" w:type="dxa"/>
          </w:tcPr>
          <w:p w:rsidR="00677F98" w:rsidP="009C7404" w14:paraId="2AC03C6E" w14:textId="77777777">
            <w:pPr>
              <w:pStyle w:val="BodyText"/>
              <w:jc w:val="right"/>
              <w:rPr>
                <w:color w:val="auto"/>
              </w:rPr>
            </w:pPr>
          </w:p>
        </w:tc>
        <w:tc>
          <w:tcPr>
            <w:tcW w:w="1726" w:type="dxa"/>
          </w:tcPr>
          <w:p w:rsidR="00677F98" w:rsidP="009C7404" w14:paraId="2BDB0494" w14:textId="7ED6B8BF">
            <w:pPr>
              <w:pStyle w:val="BodyText"/>
              <w:jc w:val="right"/>
              <w:rPr>
                <w:color w:val="auto"/>
              </w:rPr>
            </w:pPr>
            <w:r>
              <w:rPr>
                <w:color w:val="auto"/>
              </w:rPr>
              <w:t>$219,706</w:t>
            </w:r>
          </w:p>
        </w:tc>
      </w:tr>
    </w:tbl>
    <w:p w:rsidR="003011A0" w:rsidRPr="00EA7A65" w14:paraId="724D91C5" w14:textId="77777777">
      <w:pPr>
        <w:pStyle w:val="BodyText"/>
        <w:rPr>
          <w:color w:val="auto"/>
        </w:rPr>
      </w:pPr>
    </w:p>
    <w:p w:rsidR="00BD1BF2" w:rsidP="001354A0" w14:paraId="7D5E7662" w14:textId="5DE3A6CE">
      <w:pPr>
        <w:pStyle w:val="NormalWeb"/>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14:paraId="2BF095BF" w14:textId="0B718773">
      <w:pPr>
        <w:rPr>
          <w:rFonts w:ascii="Arial" w:hAnsi="Arial" w:cs="Arial"/>
          <w:sz w:val="20"/>
          <w:szCs w:val="20"/>
        </w:rPr>
      </w:pPr>
      <w:r>
        <w:rPr>
          <w:rFonts w:ascii="Arial" w:hAnsi="Arial" w:cs="Arial"/>
          <w:sz w:val="20"/>
          <w:szCs w:val="20"/>
        </w:rPr>
        <w:t>This is a new collection.</w:t>
      </w:r>
    </w:p>
    <w:p w:rsidR="00B9123D" w:rsidRPr="00EA7A65" w14:paraId="49700F2D" w14:textId="77777777">
      <w:pPr>
        <w:rPr>
          <w:rFonts w:ascii="Arial" w:hAnsi="Arial" w:cs="Arial"/>
          <w:sz w:val="20"/>
          <w:szCs w:val="20"/>
        </w:rPr>
      </w:pPr>
    </w:p>
    <w:p w:rsidR="00EA7A65" w:rsidP="001354A0" w14:paraId="07A11263" w14:textId="01832447">
      <w:pPr>
        <w:pStyle w:val="NormalWeb"/>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25126E" w:rsidRPr="001354A0" w14:paraId="75529001" w14:textId="46BBCB01">
      <w:pPr>
        <w:pStyle w:val="BodyText"/>
        <w:rPr>
          <w:color w:val="auto"/>
        </w:rPr>
      </w:pPr>
      <w:r>
        <w:rPr>
          <w:color w:val="auto"/>
        </w:rPr>
        <w:t xml:space="preserve">The awarded grants </w:t>
      </w:r>
      <w:r w:rsidRPr="00EA7A65">
        <w:rPr>
          <w:color w:val="auto"/>
        </w:rPr>
        <w:t>will be listed on FHWA’s website</w:t>
      </w:r>
      <w:r w:rsidR="001354A0">
        <w:rPr>
          <w:color w:val="auto"/>
        </w:rPr>
        <w:t xml:space="preserve">: </w:t>
      </w:r>
      <w:hyperlink r:id="rId7" w:history="1">
        <w:r w:rsidRPr="00757A09" w:rsidR="002769E3">
          <w:rPr>
            <w:rStyle w:val="Hyperlink"/>
          </w:rPr>
          <w:t>https://www.fhwa.dot.gov/bridge/bripro.cfm</w:t>
        </w:r>
      </w:hyperlink>
    </w:p>
    <w:p w:rsidR="00B9123D" w:rsidRPr="00EA7A65" w14:paraId="1448E322" w14:textId="77777777">
      <w:pPr>
        <w:pStyle w:val="BodyText"/>
        <w:rPr>
          <w:color w:val="auto"/>
        </w:rPr>
      </w:pPr>
    </w:p>
    <w:p w:rsidR="00EA7A65" w:rsidP="001354A0" w14:paraId="3AFACB05" w14:textId="445AE685">
      <w:pPr>
        <w:pStyle w:val="NormalWeb"/>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25126E" w14:paraId="7C91D474" w14:textId="17CC4C1D">
      <w:pPr>
        <w:pStyle w:val="BodyText"/>
        <w:rPr>
          <w:color w:val="auto"/>
        </w:rPr>
      </w:pPr>
      <w:r>
        <w:rPr>
          <w:color w:val="auto"/>
        </w:rPr>
        <w:t>None.</w:t>
      </w:r>
    </w:p>
    <w:p w:rsidR="00B9123D" w:rsidRPr="00EA7A65" w14:paraId="503E9833" w14:textId="77777777">
      <w:pPr>
        <w:pStyle w:val="BodyText"/>
        <w:rPr>
          <w:color w:val="auto"/>
        </w:rPr>
      </w:pPr>
    </w:p>
    <w:p w:rsidR="00BD1BF2" w:rsidP="001354A0" w14:paraId="49133123" w14:textId="6E4A5092">
      <w:pPr>
        <w:pStyle w:val="NormalWeb"/>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1B29FD" w:rsidRPr="00EA7A65" w:rsidP="001B29FD" w14:paraId="732A9E1E" w14:textId="236E8BEE">
      <w:pPr>
        <w:pStyle w:val="BodyText"/>
        <w:rPr>
          <w:color w:val="auto"/>
        </w:rPr>
      </w:pPr>
      <w:r>
        <w:rPr>
          <w:color w:val="auto"/>
        </w:rPr>
        <w:t>None.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15D7" w:rsidP="001D0698" w14:paraId="1603B3B8" w14:textId="77777777">
      <w:r>
        <w:separator/>
      </w:r>
    </w:p>
  </w:footnote>
  <w:footnote w:type="continuationSeparator" w:id="1">
    <w:p w:rsidR="008915D7" w:rsidP="001D0698" w14:paraId="050D4A61" w14:textId="77777777">
      <w:r>
        <w:continuationSeparator/>
      </w:r>
    </w:p>
  </w:footnote>
  <w:footnote w:id="2">
    <w:p w:rsidR="001D0698" w14:paraId="55511B4E" w14:textId="7B673848">
      <w:pPr>
        <w:pStyle w:val="FootnoteText"/>
      </w:pPr>
      <w:r>
        <w:rPr>
          <w:rStyle w:val="FootnoteReference"/>
        </w:rPr>
        <w:footnoteRef/>
      </w:r>
      <w:r>
        <w:t xml:space="preserve"> OPM hourly rates </w:t>
      </w:r>
      <w:r w:rsidRPr="001D0698">
        <w:t>https://www.opm.gov/policy-data-oversight/pay-leave/salaries-wages/salary-tables/pdf/2024/DCB_h.pdf</w:t>
      </w:r>
      <w:r>
        <w:t xml:space="preserve">. </w:t>
      </w:r>
      <w:r w:rsidR="008F01F9">
        <w:t xml:space="preserve"> A</w:t>
      </w:r>
      <w:r>
        <w:t>ssume step 5 within each grade.  Headquarters rates include locality pay for Washington D.C.  Division Office rate include</w:t>
      </w:r>
      <w:r w:rsidR="008F01F9">
        <w:t>s</w:t>
      </w:r>
      <w:r>
        <w:t xml:space="preserve"> locality pay for Rest of U.S.  A </w:t>
      </w:r>
      <w:r w:rsidR="008F01F9">
        <w:t xml:space="preserve">multiplier of </w:t>
      </w:r>
      <w:r>
        <w:t xml:space="preserve">1.4 is applied to </w:t>
      </w:r>
      <w:r w:rsidR="008F01F9">
        <w:t xml:space="preserve">the </w:t>
      </w:r>
      <w:r>
        <w:t>OPM</w:t>
      </w:r>
      <w:r w:rsidR="008F01F9">
        <w:t xml:space="preserve"> </w:t>
      </w:r>
      <w:r>
        <w:t xml:space="preserve">rates to account for total compensation.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1424"/>
    <w:rsid w:val="00074256"/>
    <w:rsid w:val="000D0BD1"/>
    <w:rsid w:val="001354A0"/>
    <w:rsid w:val="00171905"/>
    <w:rsid w:val="001B29FD"/>
    <w:rsid w:val="001D0698"/>
    <w:rsid w:val="001E3465"/>
    <w:rsid w:val="002218CF"/>
    <w:rsid w:val="00245AD0"/>
    <w:rsid w:val="0025042F"/>
    <w:rsid w:val="0025126E"/>
    <w:rsid w:val="002769E3"/>
    <w:rsid w:val="002809EB"/>
    <w:rsid w:val="0029261B"/>
    <w:rsid w:val="00292B5D"/>
    <w:rsid w:val="003011A0"/>
    <w:rsid w:val="00310449"/>
    <w:rsid w:val="00333D1A"/>
    <w:rsid w:val="003B3617"/>
    <w:rsid w:val="003C4510"/>
    <w:rsid w:val="003D619D"/>
    <w:rsid w:val="003E7979"/>
    <w:rsid w:val="0044798F"/>
    <w:rsid w:val="00460069"/>
    <w:rsid w:val="0048062E"/>
    <w:rsid w:val="004B2678"/>
    <w:rsid w:val="004C0B75"/>
    <w:rsid w:val="00513B1F"/>
    <w:rsid w:val="00562C95"/>
    <w:rsid w:val="00586379"/>
    <w:rsid w:val="005A124E"/>
    <w:rsid w:val="005F53E4"/>
    <w:rsid w:val="0060782F"/>
    <w:rsid w:val="00663648"/>
    <w:rsid w:val="00677F98"/>
    <w:rsid w:val="00696C32"/>
    <w:rsid w:val="006F486F"/>
    <w:rsid w:val="006F6FFE"/>
    <w:rsid w:val="0071623F"/>
    <w:rsid w:val="00716AD2"/>
    <w:rsid w:val="00754E11"/>
    <w:rsid w:val="00757A09"/>
    <w:rsid w:val="00784A5A"/>
    <w:rsid w:val="00791E6C"/>
    <w:rsid w:val="007A4954"/>
    <w:rsid w:val="008050FB"/>
    <w:rsid w:val="00807B46"/>
    <w:rsid w:val="00811F31"/>
    <w:rsid w:val="008502EC"/>
    <w:rsid w:val="00861D98"/>
    <w:rsid w:val="008915D7"/>
    <w:rsid w:val="008D0E6B"/>
    <w:rsid w:val="008E2930"/>
    <w:rsid w:val="008F01F9"/>
    <w:rsid w:val="00923A30"/>
    <w:rsid w:val="009270DD"/>
    <w:rsid w:val="009543BE"/>
    <w:rsid w:val="009C7404"/>
    <w:rsid w:val="00AA0719"/>
    <w:rsid w:val="00AB7FF1"/>
    <w:rsid w:val="00AD37C2"/>
    <w:rsid w:val="00B016D5"/>
    <w:rsid w:val="00B335C8"/>
    <w:rsid w:val="00B509AC"/>
    <w:rsid w:val="00B61978"/>
    <w:rsid w:val="00B70B26"/>
    <w:rsid w:val="00B91068"/>
    <w:rsid w:val="00B9123D"/>
    <w:rsid w:val="00BA1D28"/>
    <w:rsid w:val="00BC21FA"/>
    <w:rsid w:val="00BD1BF2"/>
    <w:rsid w:val="00BD5E27"/>
    <w:rsid w:val="00BF7363"/>
    <w:rsid w:val="00C34E3D"/>
    <w:rsid w:val="00C4445D"/>
    <w:rsid w:val="00C77527"/>
    <w:rsid w:val="00CA59E5"/>
    <w:rsid w:val="00D3546D"/>
    <w:rsid w:val="00D56836"/>
    <w:rsid w:val="00D87C69"/>
    <w:rsid w:val="00E13C84"/>
    <w:rsid w:val="00E4062D"/>
    <w:rsid w:val="00EA7A65"/>
    <w:rsid w:val="00ED609F"/>
    <w:rsid w:val="00EF18FA"/>
    <w:rsid w:val="00EF40F4"/>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B4798E"/>
  <w15:chartTrackingRefBased/>
  <w15:docId w15:val="{98BD03E6-57A2-4B00-8654-E4DD34E8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8050FB"/>
    <w:pPr>
      <w:keepNext/>
      <w:widowControl w:val="0"/>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autoSpaceDE w:val="0"/>
      <w:autoSpaceDN w:val="0"/>
      <w:adjustRightInd w:val="0"/>
      <w:spacing w:after="5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uiPriority w:val="99"/>
    <w:rsid w:val="00B509AC"/>
    <w:rPr>
      <w:sz w:val="16"/>
      <w:szCs w:val="16"/>
    </w:rPr>
  </w:style>
  <w:style w:type="paragraph" w:styleId="CommentText">
    <w:name w:val="annotation text"/>
    <w:basedOn w:val="Normal"/>
    <w:link w:val="CommentTextChar"/>
    <w:uiPriority w:val="99"/>
    <w:rsid w:val="00B509AC"/>
    <w:rPr>
      <w:sz w:val="20"/>
      <w:szCs w:val="20"/>
    </w:rPr>
  </w:style>
  <w:style w:type="character" w:customStyle="1" w:styleId="CommentTextChar">
    <w:name w:val="Comment Text Char"/>
    <w:basedOn w:val="DefaultParagraphFont"/>
    <w:link w:val="CommentText"/>
    <w:uiPriority w:val="99"/>
    <w:rsid w:val="00B509AC"/>
  </w:style>
  <w:style w:type="character" w:styleId="UnresolvedMention">
    <w:name w:val="Unresolved Mention"/>
    <w:basedOn w:val="DefaultParagraphFont"/>
    <w:uiPriority w:val="99"/>
    <w:semiHidden/>
    <w:unhideWhenUsed/>
    <w:rsid w:val="00D3546D"/>
    <w:rPr>
      <w:color w:val="605E5C"/>
      <w:shd w:val="clear" w:color="auto" w:fill="E1DFDD"/>
    </w:rPr>
  </w:style>
  <w:style w:type="paragraph" w:styleId="Revision">
    <w:name w:val="Revision"/>
    <w:hidden/>
    <w:uiPriority w:val="99"/>
    <w:semiHidden/>
    <w:rsid w:val="00562C95"/>
    <w:rPr>
      <w:sz w:val="24"/>
      <w:szCs w:val="24"/>
    </w:rPr>
  </w:style>
  <w:style w:type="paragraph" w:styleId="CommentSubject">
    <w:name w:val="annotation subject"/>
    <w:basedOn w:val="CommentText"/>
    <w:next w:val="CommentText"/>
    <w:link w:val="CommentSubjectChar"/>
    <w:rsid w:val="00562C95"/>
    <w:rPr>
      <w:b/>
      <w:bCs/>
    </w:rPr>
  </w:style>
  <w:style w:type="character" w:customStyle="1" w:styleId="CommentSubjectChar">
    <w:name w:val="Comment Subject Char"/>
    <w:basedOn w:val="CommentTextChar"/>
    <w:link w:val="CommentSubject"/>
    <w:rsid w:val="00562C95"/>
    <w:rPr>
      <w:b/>
      <w:bCs/>
    </w:rPr>
  </w:style>
  <w:style w:type="character" w:customStyle="1" w:styleId="Heading2Char">
    <w:name w:val="Heading 2 Char"/>
    <w:basedOn w:val="DefaultParagraphFont"/>
    <w:link w:val="Heading2"/>
    <w:rsid w:val="008050FB"/>
    <w:rPr>
      <w:sz w:val="24"/>
      <w:szCs w:val="24"/>
    </w:rPr>
  </w:style>
  <w:style w:type="table" w:styleId="TableGrid">
    <w:name w:val="Table Grid"/>
    <w:basedOn w:val="TableNormal"/>
    <w:rsid w:val="00BA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D0698"/>
    <w:rPr>
      <w:sz w:val="20"/>
      <w:szCs w:val="20"/>
    </w:rPr>
  </w:style>
  <w:style w:type="character" w:customStyle="1" w:styleId="FootnoteTextChar">
    <w:name w:val="Footnote Text Char"/>
    <w:basedOn w:val="DefaultParagraphFont"/>
    <w:link w:val="FootnoteText"/>
    <w:rsid w:val="001D0698"/>
  </w:style>
  <w:style w:type="character" w:styleId="FootnoteReference">
    <w:name w:val="footnote reference"/>
    <w:basedOn w:val="DefaultParagraphFont"/>
    <w:rsid w:val="001D0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grants.gov" TargetMode="External" /><Relationship Id="rId7" Type="http://schemas.openxmlformats.org/officeDocument/2006/relationships/hyperlink" Target="https://www.fhwa.dot.gov/bridge/bripro.cf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A12A-DD96-4504-8063-CF0DE414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8</cp:revision>
  <dcterms:created xsi:type="dcterms:W3CDTF">2024-12-12T13:33:00Z</dcterms:created>
  <dcterms:modified xsi:type="dcterms:W3CDTF">2024-12-31T13:58:00Z</dcterms:modified>
</cp:coreProperties>
</file>