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7527" w14:paraId="0479D040" w14:textId="77777777">
      <w:pPr>
        <w:pStyle w:val="NormalWeb"/>
        <w:jc w:val="center"/>
        <w:rPr>
          <w:rFonts w:ascii="Arial" w:hAnsi="Arial" w:cs="Arial"/>
          <w:b/>
          <w:bCs/>
        </w:rPr>
      </w:pPr>
      <w:r>
        <w:rPr>
          <w:rFonts w:ascii="Arial" w:hAnsi="Arial" w:cs="Arial"/>
          <w:b/>
          <w:bCs/>
        </w:rPr>
        <w:t>Department of Transportation</w:t>
      </w:r>
    </w:p>
    <w:p w:rsidR="00BE7527" w14:paraId="5036DF12" w14:textId="77777777">
      <w:pPr>
        <w:pStyle w:val="NormalWeb"/>
        <w:jc w:val="center"/>
        <w:rPr>
          <w:rFonts w:ascii="Arial" w:hAnsi="Arial" w:cs="Arial"/>
          <w:b/>
          <w:bCs/>
        </w:rPr>
      </w:pPr>
      <w:r>
        <w:rPr>
          <w:rFonts w:ascii="Arial" w:hAnsi="Arial" w:cs="Arial"/>
          <w:b/>
          <w:bCs/>
        </w:rPr>
        <w:t>Federal Highway Administration</w:t>
      </w:r>
    </w:p>
    <w:p w:rsidR="00BE7527" w14:paraId="64189BBD" w14:textId="77777777">
      <w:pPr>
        <w:pStyle w:val="NormalWeb"/>
        <w:jc w:val="center"/>
        <w:rPr>
          <w:rFonts w:ascii="Arial" w:hAnsi="Arial" w:cs="Arial"/>
          <w:b/>
          <w:bCs/>
        </w:rPr>
      </w:pPr>
      <w:r>
        <w:rPr>
          <w:rFonts w:ascii="Arial" w:hAnsi="Arial" w:cs="Arial"/>
          <w:b/>
          <w:bCs/>
        </w:rPr>
        <w:t>National Scenic Byway Program (NSBP).</w:t>
      </w:r>
    </w:p>
    <w:p w:rsidR="00BD1BF2" w14:paraId="1F1B9893" w14:textId="30DAAF4C">
      <w:pPr>
        <w:pStyle w:val="NormalWeb"/>
        <w:jc w:val="center"/>
        <w:rPr>
          <w:rFonts w:ascii="Arial" w:hAnsi="Arial" w:cs="Arial"/>
          <w:b/>
          <w:bCs/>
        </w:rPr>
      </w:pPr>
      <w:r>
        <w:rPr>
          <w:rFonts w:ascii="Arial" w:hAnsi="Arial" w:cs="Arial"/>
          <w:b/>
          <w:bCs/>
        </w:rPr>
        <w:t xml:space="preserve">The Supporting </w:t>
      </w:r>
      <w:r w:rsidR="00BE7527">
        <w:rPr>
          <w:rFonts w:ascii="Arial" w:hAnsi="Arial" w:cs="Arial"/>
          <w:b/>
          <w:bCs/>
        </w:rPr>
        <w:t>Statement A</w:t>
      </w:r>
    </w:p>
    <w:p w:rsidR="00BE7527" w14:paraId="00B8FCFF" w14:textId="77777777">
      <w:pPr>
        <w:pStyle w:val="NormalWeb"/>
        <w:jc w:val="center"/>
        <w:rPr>
          <w:rFonts w:ascii="Arial" w:hAnsi="Arial" w:cs="Arial"/>
          <w:b/>
          <w:bCs/>
          <w:sz w:val="20"/>
          <w:szCs w:val="20"/>
        </w:rPr>
      </w:pPr>
      <w:r>
        <w:rPr>
          <w:rFonts w:ascii="Arial" w:hAnsi="Arial" w:cs="Arial"/>
          <w:b/>
          <w:bCs/>
        </w:rPr>
        <w:t>OMB Control No. 2125-XXXX</w:t>
      </w:r>
    </w:p>
    <w:p w:rsidR="00BD1BF2" w14:paraId="53CE81F3" w14:textId="77777777"/>
    <w:p w:rsidR="00BD1BF2" w14:paraId="503B18D5" w14:textId="14930E5D">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rsidR="000525D1" w:rsidRPr="000525D1" w:rsidP="000525D1" w14:paraId="06347E6C" w14:textId="15517387">
      <w:pPr>
        <w:pStyle w:val="NormalWeb"/>
        <w:rPr>
          <w:rFonts w:ascii="Arial" w:hAnsi="Arial" w:cs="Arial"/>
          <w:sz w:val="20"/>
          <w:szCs w:val="20"/>
        </w:rPr>
      </w:pPr>
      <w:r>
        <w:rPr>
          <w:rFonts w:ascii="Arial" w:hAnsi="Arial" w:cs="Arial"/>
          <w:sz w:val="20"/>
          <w:szCs w:val="20"/>
        </w:rPr>
        <w:t>This is a new request.  The National</w:t>
      </w:r>
      <w:r w:rsidR="00B4578F">
        <w:rPr>
          <w:rFonts w:ascii="Arial" w:hAnsi="Arial" w:cs="Arial"/>
          <w:sz w:val="20"/>
          <w:szCs w:val="20"/>
        </w:rPr>
        <w:t xml:space="preserve"> Scenic Byway Program</w:t>
      </w:r>
      <w:r>
        <w:rPr>
          <w:rFonts w:ascii="Arial" w:hAnsi="Arial" w:cs="Arial"/>
          <w:sz w:val="20"/>
          <w:szCs w:val="20"/>
        </w:rPr>
        <w:t xml:space="preserve"> was e</w:t>
      </w:r>
      <w:r w:rsidRPr="000525D1">
        <w:rPr>
          <w:rFonts w:ascii="Arial" w:hAnsi="Arial" w:cs="Arial"/>
          <w:sz w:val="20"/>
          <w:szCs w:val="20"/>
        </w:rPr>
        <w:t>stablished in Title 23, Section 162 of the United States Code (U.S.C.), the NSBP is a grass-roots collaborative effort to help recognize, preserve, and enhance selected roads throughout the United States. Per 23 U.S.C. 162(b), grants and technical assistance are available to State departments of transportation (State DOT) and Indian Tribes to implement eligible projects on highways designated as National Scenic Byways, All-American Roads (collectively America’s Byways®), State scenic byways, or Indian Tribe scenic byways; and to plan, design, and develop a State or Indian Tribe scenic byway program.</w:t>
      </w:r>
      <w:r>
        <w:rPr>
          <w:rFonts w:ascii="Arial" w:hAnsi="Arial" w:cs="Arial"/>
          <w:sz w:val="20"/>
          <w:szCs w:val="20"/>
        </w:rPr>
        <w:t xml:space="preserve"> </w:t>
      </w:r>
      <w:r w:rsidR="00B4578F">
        <w:rPr>
          <w:rFonts w:ascii="Arial" w:hAnsi="Arial" w:cs="Arial"/>
          <w:sz w:val="20"/>
          <w:szCs w:val="20"/>
        </w:rPr>
        <w:t xml:space="preserve"> </w:t>
      </w:r>
      <w:r w:rsidRPr="000525D1">
        <w:rPr>
          <w:rFonts w:ascii="Arial" w:hAnsi="Arial" w:cs="Arial"/>
          <w:sz w:val="20"/>
          <w:szCs w:val="20"/>
        </w:rPr>
        <w:t>The purpose of the NSBP is to help recognize, preserve, and enhance selected roads throughout the United States.</w:t>
      </w:r>
      <w:r>
        <w:rPr>
          <w:rFonts w:ascii="Arial" w:hAnsi="Arial" w:cs="Arial"/>
          <w:sz w:val="20"/>
          <w:szCs w:val="20"/>
        </w:rPr>
        <w:t xml:space="preserve">  </w:t>
      </w:r>
      <w:r w:rsidRPr="000525D1">
        <w:rPr>
          <w:rFonts w:ascii="Arial" w:hAnsi="Arial" w:cs="Arial"/>
          <w:sz w:val="20"/>
          <w:szCs w:val="20"/>
        </w:rPr>
        <w:t>Eligible projects include access to recreation, byway facilities, construction, corridor management plans, highway improvements, interpretive information, marketing programs, resource protection, safety improvements, State and Indian Tribe scenic byway programs, and tourist information. Eligible projects are listed at 23 U.S.C.</w:t>
      </w:r>
      <w:r>
        <w:rPr>
          <w:rFonts w:ascii="Arial" w:hAnsi="Arial" w:cs="Arial"/>
          <w:sz w:val="20"/>
          <w:szCs w:val="20"/>
        </w:rPr>
        <w:t xml:space="preserve"> </w:t>
      </w:r>
      <w:r w:rsidRPr="000525D1">
        <w:rPr>
          <w:rFonts w:ascii="Arial" w:hAnsi="Arial" w:cs="Arial"/>
          <w:sz w:val="20"/>
          <w:szCs w:val="20"/>
        </w:rPr>
        <w:t>162(c).</w:t>
      </w:r>
    </w:p>
    <w:p w:rsidR="00B4578F" w:rsidP="000525D1" w14:paraId="26E29CF3" w14:textId="404F5387">
      <w:pPr>
        <w:pStyle w:val="NormalWeb"/>
        <w:rPr>
          <w:rFonts w:ascii="Arial" w:hAnsi="Arial" w:cs="Arial"/>
          <w:sz w:val="20"/>
          <w:szCs w:val="20"/>
        </w:rPr>
      </w:pPr>
      <w:r w:rsidRPr="000525D1">
        <w:rPr>
          <w:rFonts w:ascii="Arial" w:hAnsi="Arial" w:cs="Arial"/>
          <w:sz w:val="20"/>
          <w:szCs w:val="20"/>
        </w:rPr>
        <w:t>Between 1992 and 2012, FHWA awarded over $505 million in NSBP grants. In 2022, FHWA awarded approximately $21.8 million in grants to 33 projects.</w:t>
      </w:r>
    </w:p>
    <w:p w:rsidR="00BD1BF2" w14:paraId="5EABD417"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00F470F1"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035C9F" w:rsidP="00035C9F" w14:paraId="025D305B" w14:textId="77777777">
      <w:pPr>
        <w:rPr>
          <w:rFonts w:ascii="Arial" w:hAnsi="Arial" w:cs="Arial"/>
          <w:color w:val="000000"/>
          <w:sz w:val="20"/>
          <w:szCs w:val="20"/>
        </w:rPr>
      </w:pPr>
      <w:r>
        <w:rPr>
          <w:rFonts w:ascii="Arial" w:hAnsi="Arial" w:cs="Arial"/>
          <w:color w:val="000000"/>
          <w:sz w:val="20"/>
          <w:szCs w:val="20"/>
        </w:rPr>
        <w:t>This information collection request would require State Department</w:t>
      </w:r>
      <w:r w:rsidR="00BC3EFE">
        <w:rPr>
          <w:rFonts w:ascii="Arial" w:hAnsi="Arial" w:cs="Arial"/>
          <w:color w:val="000000"/>
          <w:sz w:val="20"/>
          <w:szCs w:val="20"/>
        </w:rPr>
        <w:t>s</w:t>
      </w:r>
      <w:r>
        <w:rPr>
          <w:rFonts w:ascii="Arial" w:hAnsi="Arial" w:cs="Arial"/>
          <w:color w:val="000000"/>
          <w:sz w:val="20"/>
          <w:szCs w:val="20"/>
        </w:rPr>
        <w:t xml:space="preserve"> of Transportation and Federally Recognized Indian Tribe(s) on an annual basis, to develop applications in response to the National Scenic Byway Program (NSBP) Notice of Funding Opportunity (NOFO) published on grants.gov.  The purpose of the</w:t>
      </w:r>
      <w:r w:rsidR="00490032">
        <w:rPr>
          <w:rFonts w:ascii="Arial" w:hAnsi="Arial" w:cs="Arial"/>
          <w:color w:val="000000"/>
          <w:sz w:val="20"/>
          <w:szCs w:val="20"/>
        </w:rPr>
        <w:t xml:space="preserve"> information</w:t>
      </w:r>
      <w:r>
        <w:rPr>
          <w:rFonts w:ascii="Arial" w:hAnsi="Arial" w:cs="Arial"/>
          <w:color w:val="000000"/>
          <w:sz w:val="20"/>
          <w:szCs w:val="20"/>
        </w:rPr>
        <w:t xml:space="preserve"> collection is to determine if the applicants’ eligibility requirements </w:t>
      </w:r>
      <w:r w:rsidR="00490032">
        <w:rPr>
          <w:rFonts w:ascii="Arial" w:hAnsi="Arial" w:cs="Arial"/>
          <w:color w:val="000000"/>
          <w:sz w:val="20"/>
          <w:szCs w:val="20"/>
        </w:rPr>
        <w:t xml:space="preserve">per </w:t>
      </w:r>
      <w:hyperlink r:id="rId8" w:history="1">
        <w:r w:rsidR="00490032">
          <w:rPr>
            <w:rStyle w:val="Hyperlink"/>
            <w:rFonts w:ascii="Arial" w:hAnsi="Arial" w:cs="Arial"/>
            <w:color w:val="000000"/>
            <w:sz w:val="20"/>
            <w:szCs w:val="20"/>
          </w:rPr>
          <w:t>23 U.S.C. 162(b)</w:t>
        </w:r>
      </w:hyperlink>
      <w:r w:rsidR="00490032">
        <w:rPr>
          <w:rFonts w:ascii="Arial" w:hAnsi="Arial" w:cs="Arial"/>
          <w:color w:val="000000"/>
          <w:sz w:val="20"/>
          <w:szCs w:val="20"/>
        </w:rPr>
        <w:t>, have</w:t>
      </w:r>
      <w:r>
        <w:rPr>
          <w:rFonts w:ascii="Arial" w:hAnsi="Arial" w:cs="Arial"/>
          <w:color w:val="000000"/>
          <w:sz w:val="20"/>
          <w:szCs w:val="20"/>
        </w:rPr>
        <w:t xml:space="preserve"> been met to further evaluate the application for award under Section E (1)-Criteria on page 26 of the NOFO. </w:t>
      </w:r>
      <w:r w:rsidR="00490032">
        <w:rPr>
          <w:rFonts w:ascii="Arial" w:hAnsi="Arial" w:cs="Arial"/>
          <w:color w:val="000000"/>
          <w:sz w:val="20"/>
          <w:szCs w:val="20"/>
        </w:rPr>
        <w:t xml:space="preserve">  The U.S. Department of Transportation (DOT) seeks to fund projects that advance DOT priorities outlined in the Strategic Plan</w:t>
      </w:r>
      <w:r w:rsidR="00D63723">
        <w:rPr>
          <w:rFonts w:ascii="Arial" w:hAnsi="Arial" w:cs="Arial"/>
          <w:color w:val="000000"/>
          <w:sz w:val="20"/>
          <w:szCs w:val="20"/>
        </w:rPr>
        <w:t xml:space="preserve">.  FHWA will evaluate the extent to which projects will advance at least one of the four NSBP goals of: Safety, Climate and Sustainability, Equity, and Workforce Development, Job Quality, and Wealth Creation. </w:t>
      </w:r>
    </w:p>
    <w:p w:rsidR="00035C9F" w14:paraId="4C14D0A6" w14:textId="77777777">
      <w:pPr>
        <w:rPr>
          <w:rFonts w:ascii="Arial" w:hAnsi="Arial" w:cs="Arial"/>
          <w:color w:val="FF0000"/>
          <w:sz w:val="20"/>
          <w:szCs w:val="20"/>
        </w:rPr>
      </w:pPr>
    </w:p>
    <w:p w:rsidR="00BD1BF2" w14:paraId="559555FC"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D63723" w:rsidP="00D63723" w14:paraId="5D4BE7F2" w14:textId="77777777">
      <w:pPr>
        <w:rPr>
          <w:rFonts w:ascii="Arial" w:hAnsi="Arial" w:cs="Arial"/>
          <w:color w:val="000000"/>
          <w:sz w:val="20"/>
          <w:szCs w:val="20"/>
        </w:rPr>
      </w:pPr>
      <w:r>
        <w:rPr>
          <w:rFonts w:ascii="Arial" w:hAnsi="Arial" w:cs="Arial"/>
          <w:color w:val="000000"/>
          <w:sz w:val="20"/>
          <w:szCs w:val="20"/>
        </w:rPr>
        <w:t>This information collection request would require State Department</w:t>
      </w:r>
      <w:r w:rsidR="00BC3EFE">
        <w:rPr>
          <w:rFonts w:ascii="Arial" w:hAnsi="Arial" w:cs="Arial"/>
          <w:color w:val="000000"/>
          <w:sz w:val="20"/>
          <w:szCs w:val="20"/>
        </w:rPr>
        <w:t>s</w:t>
      </w:r>
      <w:r>
        <w:rPr>
          <w:rFonts w:ascii="Arial" w:hAnsi="Arial" w:cs="Arial"/>
          <w:color w:val="000000"/>
          <w:sz w:val="20"/>
          <w:szCs w:val="20"/>
        </w:rPr>
        <w:t xml:space="preserve"> of Transportation and Federally Recognized Indian Tribe(s) on an annual basis, to develop applications in response to the Nat</w:t>
      </w:r>
      <w:bookmarkStart w:id="0" w:name="_Hlk180479327"/>
      <w:r>
        <w:rPr>
          <w:rFonts w:ascii="Arial" w:hAnsi="Arial" w:cs="Arial"/>
          <w:color w:val="000000"/>
          <w:sz w:val="20"/>
          <w:szCs w:val="20"/>
        </w:rPr>
        <w:t xml:space="preserve">ional Scenic Byway Program (NSBP) Notice of Funding Opportunity (NOFO) published on </w:t>
      </w:r>
      <w:r>
        <w:rPr>
          <w:rFonts w:ascii="Arial" w:hAnsi="Arial" w:cs="Arial"/>
          <w:color w:val="000000"/>
          <w:sz w:val="20"/>
          <w:szCs w:val="20"/>
        </w:rPr>
        <w:t>g</w:t>
      </w:r>
      <w:bookmarkEnd w:id="0"/>
      <w:r>
        <w:rPr>
          <w:rFonts w:ascii="Arial" w:hAnsi="Arial" w:cs="Arial"/>
          <w:color w:val="000000"/>
          <w:sz w:val="20"/>
          <w:szCs w:val="20"/>
        </w:rPr>
        <w:t>rants.gov.  The information requested will be collected upon applica</w:t>
      </w:r>
      <w:r w:rsidR="00CC7CA9">
        <w:rPr>
          <w:rFonts w:ascii="Arial" w:hAnsi="Arial" w:cs="Arial"/>
          <w:color w:val="000000"/>
          <w:sz w:val="20"/>
          <w:szCs w:val="20"/>
        </w:rPr>
        <w:t>nt</w:t>
      </w:r>
      <w:r>
        <w:rPr>
          <w:rFonts w:ascii="Arial" w:hAnsi="Arial" w:cs="Arial"/>
          <w:color w:val="000000"/>
          <w:sz w:val="20"/>
          <w:szCs w:val="20"/>
        </w:rPr>
        <w:t xml:space="preserve"> submission</w:t>
      </w:r>
      <w:r w:rsidR="00CC7CA9">
        <w:rPr>
          <w:rFonts w:ascii="Arial" w:hAnsi="Arial" w:cs="Arial"/>
          <w:color w:val="000000"/>
          <w:sz w:val="20"/>
          <w:szCs w:val="20"/>
        </w:rPr>
        <w:t>s</w:t>
      </w:r>
      <w:r>
        <w:rPr>
          <w:rFonts w:ascii="Arial" w:hAnsi="Arial" w:cs="Arial"/>
          <w:color w:val="000000"/>
          <w:sz w:val="20"/>
          <w:szCs w:val="20"/>
        </w:rPr>
        <w:t xml:space="preserve"> on grants.gov. The purpose of the collection is to determine if the applicants’ eligibility requirements have been met to further evaluate the application for award under Section E (1)-Criteria on page 26 of the NOFO. </w:t>
      </w:r>
    </w:p>
    <w:p w:rsidR="00D63723" w14:paraId="440E12CB" w14:textId="77777777">
      <w:pPr>
        <w:rPr>
          <w:rFonts w:ascii="Arial" w:hAnsi="Arial" w:cs="Arial"/>
          <w:color w:val="FF0000"/>
          <w:sz w:val="20"/>
          <w:szCs w:val="20"/>
        </w:rPr>
      </w:pPr>
    </w:p>
    <w:p w:rsidR="00BD1BF2" w14:paraId="6AF3D474"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2708DD" w14:paraId="1E4F2A9E" w14:textId="77777777">
      <w:pPr>
        <w:rPr>
          <w:rFonts w:ascii="Arial" w:hAnsi="Arial" w:cs="Arial"/>
          <w:color w:val="FF0000"/>
          <w:sz w:val="20"/>
          <w:szCs w:val="20"/>
        </w:rPr>
      </w:pPr>
      <w:r w:rsidRPr="002708DD">
        <w:rPr>
          <w:rFonts w:ascii="Arial" w:hAnsi="Arial" w:cs="Arial"/>
          <w:color w:val="000000"/>
          <w:sz w:val="20"/>
          <w:szCs w:val="20"/>
        </w:rPr>
        <w:t>The information requested will be collected upon applicant submission on grants.gov.</w:t>
      </w:r>
      <w:r>
        <w:rPr>
          <w:rFonts w:ascii="Arial" w:hAnsi="Arial" w:cs="Arial"/>
          <w:color w:val="000000"/>
          <w:sz w:val="20"/>
          <w:szCs w:val="20"/>
        </w:rPr>
        <w:t xml:space="preserve">  This will ease the burden on applicants emailing scanned documents or mailing documents to FHWA. </w:t>
      </w:r>
    </w:p>
    <w:p w:rsidR="00BD1BF2" w14:paraId="5E22B694"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2708DD" w14:paraId="00BC97FF" w14:textId="77777777">
      <w:pPr>
        <w:rPr>
          <w:rFonts w:ascii="Arial" w:hAnsi="Arial" w:cs="Arial"/>
          <w:color w:val="000000"/>
          <w:sz w:val="20"/>
          <w:szCs w:val="20"/>
        </w:rPr>
      </w:pPr>
      <w:r>
        <w:rPr>
          <w:rFonts w:ascii="Arial" w:hAnsi="Arial" w:cs="Arial"/>
          <w:color w:val="000000"/>
          <w:sz w:val="20"/>
          <w:szCs w:val="20"/>
        </w:rPr>
        <w:t>To the extent e</w:t>
      </w:r>
      <w:r>
        <w:rPr>
          <w:rFonts w:ascii="Arial" w:hAnsi="Arial" w:cs="Arial"/>
          <w:color w:val="000000"/>
          <w:sz w:val="20"/>
          <w:szCs w:val="20"/>
        </w:rPr>
        <w:t>ffort</w:t>
      </w:r>
      <w:r>
        <w:rPr>
          <w:rFonts w:ascii="Arial" w:hAnsi="Arial" w:cs="Arial"/>
          <w:color w:val="000000"/>
          <w:sz w:val="20"/>
          <w:szCs w:val="20"/>
        </w:rPr>
        <w:t xml:space="preserve"> has been made</w:t>
      </w:r>
      <w:r>
        <w:rPr>
          <w:rFonts w:ascii="Arial" w:hAnsi="Arial" w:cs="Arial"/>
          <w:color w:val="000000"/>
          <w:sz w:val="20"/>
          <w:szCs w:val="20"/>
        </w:rPr>
        <w:t xml:space="preserve"> to mitigate duplicate request</w:t>
      </w:r>
      <w:r>
        <w:rPr>
          <w:rFonts w:ascii="Arial" w:hAnsi="Arial" w:cs="Arial"/>
          <w:color w:val="000000"/>
          <w:sz w:val="20"/>
          <w:szCs w:val="20"/>
        </w:rPr>
        <w:t xml:space="preserve"> but similar information submitted for a previous program or NOFO may not include the exact information being requested. Each grant program is different. </w:t>
      </w:r>
      <w:r>
        <w:rPr>
          <w:rFonts w:ascii="Arial" w:hAnsi="Arial" w:cs="Arial"/>
          <w:color w:val="000000"/>
          <w:sz w:val="20"/>
          <w:szCs w:val="20"/>
        </w:rPr>
        <w:t xml:space="preserve"> </w:t>
      </w:r>
    </w:p>
    <w:p w:rsidR="00BD1BF2" w14:paraId="5E1FCF4D"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4578F" w14:paraId="6858063C" w14:textId="38F5C02D">
      <w:pPr>
        <w:rPr>
          <w:rFonts w:ascii="Arial" w:hAnsi="Arial" w:cs="Arial"/>
          <w:color w:val="000000"/>
          <w:sz w:val="20"/>
          <w:szCs w:val="20"/>
        </w:rPr>
      </w:pPr>
      <w:r>
        <w:rPr>
          <w:rFonts w:ascii="Arial" w:hAnsi="Arial" w:cs="Arial"/>
          <w:color w:val="000000"/>
          <w:sz w:val="20"/>
          <w:szCs w:val="20"/>
        </w:rPr>
        <w:t>Not Applicable.</w:t>
      </w:r>
    </w:p>
    <w:p w:rsidR="00BD1BF2" w14:paraId="13F424F5"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14:paraId="1B2C3727" w14:textId="77777777">
      <w:pPr>
        <w:rPr>
          <w:rFonts w:ascii="Arial" w:hAnsi="Arial" w:cs="Arial"/>
          <w:color w:val="FF0000"/>
          <w:sz w:val="20"/>
          <w:szCs w:val="20"/>
        </w:rPr>
      </w:pPr>
      <w:r w:rsidRPr="00B4578F">
        <w:rPr>
          <w:rFonts w:ascii="Arial" w:hAnsi="Arial" w:cs="Arial"/>
          <w:color w:val="000000"/>
          <w:sz w:val="20"/>
          <w:szCs w:val="20"/>
        </w:rPr>
        <w:t>This information collection request would require State Department</w:t>
      </w:r>
      <w:r w:rsidR="00BC3EFE">
        <w:rPr>
          <w:rFonts w:ascii="Arial" w:hAnsi="Arial" w:cs="Arial"/>
          <w:color w:val="000000"/>
          <w:sz w:val="20"/>
          <w:szCs w:val="20"/>
        </w:rPr>
        <w:t>s</w:t>
      </w:r>
      <w:r w:rsidRPr="00B4578F">
        <w:rPr>
          <w:rFonts w:ascii="Arial" w:hAnsi="Arial" w:cs="Arial"/>
          <w:color w:val="000000"/>
          <w:sz w:val="20"/>
          <w:szCs w:val="20"/>
        </w:rPr>
        <w:t xml:space="preserve"> of Transportation and Federally Recognized Indian Tribe(s) on an annual basis, to develop applications in response to the National Scenic Byway Program (NSBP) Notice of Funding Opportunity (NOFO) published on grants.gov</w:t>
      </w:r>
      <w:r>
        <w:rPr>
          <w:rFonts w:ascii="Arial" w:hAnsi="Arial" w:cs="Arial"/>
          <w:color w:val="000000"/>
          <w:sz w:val="20"/>
          <w:szCs w:val="20"/>
        </w:rPr>
        <w:t xml:space="preserve">.  </w:t>
      </w:r>
      <w:r w:rsidRPr="00B4578F">
        <w:rPr>
          <w:rFonts w:ascii="Arial" w:hAnsi="Arial" w:cs="Arial"/>
          <w:color w:val="000000"/>
          <w:sz w:val="20"/>
          <w:szCs w:val="20"/>
        </w:rPr>
        <w:t xml:space="preserve">The purpose of the information collection is to determine if the applicants’ eligibility requirements per </w:t>
      </w:r>
      <w:hyperlink r:id="rId8" w:history="1">
        <w:r w:rsidRPr="00B4578F">
          <w:rPr>
            <w:rStyle w:val="Hyperlink"/>
            <w:rFonts w:ascii="Arial" w:hAnsi="Arial" w:cs="Arial"/>
            <w:color w:val="000000"/>
            <w:sz w:val="20"/>
            <w:szCs w:val="20"/>
          </w:rPr>
          <w:t>23 U.S.C. 162(b)</w:t>
        </w:r>
      </w:hyperlink>
      <w:r w:rsidRPr="00B4578F">
        <w:rPr>
          <w:rFonts w:ascii="Arial" w:hAnsi="Arial" w:cs="Arial"/>
          <w:color w:val="000000"/>
          <w:sz w:val="20"/>
          <w:szCs w:val="20"/>
        </w:rPr>
        <w:t>, have been met to further evaluate the application for award under Section E (1)-Criteria on page 26 of the NOFO.</w:t>
      </w:r>
      <w:r>
        <w:rPr>
          <w:rFonts w:ascii="Arial" w:hAnsi="Arial" w:cs="Arial"/>
          <w:color w:val="000000"/>
          <w:sz w:val="20"/>
          <w:szCs w:val="20"/>
        </w:rPr>
        <w:t xml:space="preserve">  Applicants that do not submit the information requested will not be evaluated. </w:t>
      </w:r>
    </w:p>
    <w:p w:rsidR="00BD1BF2" w14:paraId="0A4CA48B" w14:textId="77777777">
      <w:pPr>
        <w:rPr>
          <w:rFonts w:ascii="Arial" w:hAnsi="Arial" w:cs="Arial"/>
          <w:color w:val="FF0000"/>
          <w:sz w:val="20"/>
          <w:szCs w:val="20"/>
        </w:rPr>
      </w:pPr>
    </w:p>
    <w:p w:rsidR="00BD1BF2" w14:paraId="39512603"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B4578F" w14:paraId="2CCCC5BA" w14:textId="77777777">
      <w:pPr>
        <w:pStyle w:val="BodyText"/>
      </w:pPr>
    </w:p>
    <w:p w:rsidR="00B4578F" w14:paraId="46CA4AB5" w14:textId="5407DF57">
      <w:pPr>
        <w:pStyle w:val="BodyText"/>
        <w:rPr>
          <w:color w:val="000000"/>
        </w:rPr>
      </w:pPr>
      <w:r>
        <w:rPr>
          <w:color w:val="000000"/>
        </w:rPr>
        <w:t>N</w:t>
      </w:r>
      <w:r w:rsidR="00BE7527">
        <w:rPr>
          <w:color w:val="000000"/>
        </w:rPr>
        <w:t>ot Applicable.</w:t>
      </w:r>
    </w:p>
    <w:p w:rsidR="00BD1BF2" w14:paraId="59A0EF4C"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A51736" w14:paraId="0FFEF877" w14:textId="77777777">
      <w:pPr>
        <w:pStyle w:val="BodyText"/>
      </w:pPr>
    </w:p>
    <w:p w:rsidR="00A51736" w14:paraId="438EAAE6" w14:textId="4F48C4F9">
      <w:pPr>
        <w:pStyle w:val="BodyText"/>
        <w:rPr>
          <w:color w:val="000000"/>
        </w:rPr>
      </w:pPr>
      <w:r>
        <w:rPr>
          <w:color w:val="000000"/>
        </w:rPr>
        <w:t>FHWA has submitted the 60-day</w:t>
      </w:r>
      <w:r>
        <w:rPr>
          <w:color w:val="000000"/>
        </w:rPr>
        <w:t xml:space="preserve"> notice </w:t>
      </w:r>
      <w:r>
        <w:rPr>
          <w:color w:val="000000"/>
        </w:rPr>
        <w:t xml:space="preserve">to solicit comments from the public and </w:t>
      </w:r>
      <w:r>
        <w:rPr>
          <w:color w:val="000000"/>
        </w:rPr>
        <w:t xml:space="preserve">was posted in the Federal Register on October 21, 2024, </w:t>
      </w:r>
      <w:r>
        <w:rPr>
          <w:color w:val="000000"/>
        </w:rPr>
        <w:t>at [89 FR 84240]</w:t>
      </w:r>
      <w:r>
        <w:rPr>
          <w:color w:val="000000"/>
        </w:rPr>
        <w:t xml:space="preserve">. </w:t>
      </w:r>
      <w:r>
        <w:rPr>
          <w:color w:val="000000"/>
        </w:rPr>
        <w:t>There were no comments received.</w:t>
      </w:r>
    </w:p>
    <w:p w:rsidR="00BE7527" w14:paraId="533EFFD6" w14:textId="77777777">
      <w:pPr>
        <w:pStyle w:val="BodyText"/>
        <w:rPr>
          <w:color w:val="000000"/>
        </w:rPr>
      </w:pPr>
    </w:p>
    <w:p w:rsidR="00BE7527" w14:paraId="32E99D1E" w14:textId="18CBD1C6">
      <w:pPr>
        <w:pStyle w:val="BodyText"/>
        <w:rPr>
          <w:color w:val="000000"/>
        </w:rPr>
      </w:pPr>
      <w:r>
        <w:rPr>
          <w:color w:val="000000"/>
        </w:rPr>
        <w:t>FHWA published the 30-day notice into the Federal Register on D</w:t>
      </w:r>
      <w:r w:rsidR="00EA3ABA">
        <w:rPr>
          <w:color w:val="000000"/>
        </w:rPr>
        <w:t>ecember 30, 2024</w:t>
      </w:r>
      <w:r>
        <w:rPr>
          <w:color w:val="000000"/>
        </w:rPr>
        <w:t xml:space="preserve">, at [89 FR </w:t>
      </w:r>
      <w:r w:rsidR="00EA3ABA">
        <w:rPr>
          <w:color w:val="000000"/>
        </w:rPr>
        <w:t>106728</w:t>
      </w:r>
      <w:r>
        <w:rPr>
          <w:color w:val="000000"/>
        </w:rPr>
        <w:t xml:space="preserve">], to notify the public of FHWA’s response to any comments and submission to OMB. </w:t>
      </w:r>
    </w:p>
    <w:p w:rsidR="00BD1BF2" w14:paraId="473D62B6"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A51736" w14:paraId="4CC533D9" w14:textId="77777777">
      <w:pPr>
        <w:pStyle w:val="BodyText"/>
      </w:pPr>
    </w:p>
    <w:p w:rsidR="00A51736" w14:paraId="4462DEED" w14:textId="4904F469">
      <w:pPr>
        <w:pStyle w:val="BodyText"/>
        <w:rPr>
          <w:color w:val="000000"/>
        </w:rPr>
      </w:pPr>
      <w:r>
        <w:rPr>
          <w:color w:val="000000"/>
        </w:rPr>
        <w:t>Not Applicable</w:t>
      </w:r>
      <w:r>
        <w:rPr>
          <w:color w:val="000000"/>
        </w:rPr>
        <w:t>.</w:t>
      </w:r>
    </w:p>
    <w:p w:rsidR="00BD1BF2" w14:paraId="200F14CC"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A51736" w14:paraId="2379E5B6" w14:textId="77777777">
      <w:pPr>
        <w:pStyle w:val="BodyText"/>
      </w:pPr>
    </w:p>
    <w:p w:rsidR="00A51736" w14:paraId="166E4D10" w14:textId="77777777">
      <w:pPr>
        <w:pStyle w:val="BodyText"/>
      </w:pPr>
      <w:r w:rsidRPr="00A51736">
        <w:rPr>
          <w:color w:val="000000"/>
        </w:rPr>
        <w:t xml:space="preserve">The purpose of the information collection is to determine if the applicants’ eligibility requirements per </w:t>
      </w:r>
      <w:hyperlink r:id="rId8" w:history="1">
        <w:r w:rsidRPr="00A51736">
          <w:rPr>
            <w:rStyle w:val="Hyperlink"/>
            <w:color w:val="000000"/>
          </w:rPr>
          <w:t>23 U.S.C. 162(b)</w:t>
        </w:r>
      </w:hyperlink>
      <w:r w:rsidRPr="00A51736">
        <w:rPr>
          <w:color w:val="000000"/>
        </w:rPr>
        <w:t>, have been met to further evaluate the application for award under Section E (1)-Criteria on page 26 of the NOFO.</w:t>
      </w:r>
      <w:r>
        <w:rPr>
          <w:color w:val="000000"/>
        </w:rPr>
        <w:t xml:space="preserve">  The application information collected </w:t>
      </w:r>
      <w:r w:rsidR="000865D8">
        <w:rPr>
          <w:color w:val="000000"/>
        </w:rPr>
        <w:t>will only be</w:t>
      </w:r>
      <w:r>
        <w:rPr>
          <w:color w:val="000000"/>
        </w:rPr>
        <w:t xml:space="preserve"> used </w:t>
      </w:r>
      <w:r w:rsidR="000865D8">
        <w:rPr>
          <w:color w:val="000000"/>
        </w:rPr>
        <w:t xml:space="preserve">during evaluations by FHWA staff and filed on the servers. </w:t>
      </w:r>
    </w:p>
    <w:p w:rsidR="00BD1BF2" w14:paraId="208F1F67"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0865D8" w14:paraId="0002EDD8" w14:textId="77777777">
      <w:pPr>
        <w:pStyle w:val="BodyText"/>
      </w:pPr>
    </w:p>
    <w:p w:rsidR="000865D8" w14:paraId="0B6B3A88" w14:textId="0781FF5D">
      <w:pPr>
        <w:pStyle w:val="BodyText"/>
        <w:rPr>
          <w:color w:val="000000"/>
        </w:rPr>
      </w:pPr>
      <w:r>
        <w:rPr>
          <w:color w:val="000000"/>
        </w:rPr>
        <w:t>Not Applicable</w:t>
      </w:r>
      <w:r w:rsidR="00E72759">
        <w:rPr>
          <w:color w:val="000000"/>
        </w:rPr>
        <w:t>.</w:t>
      </w:r>
    </w:p>
    <w:p w:rsidR="00BD1BF2" w14:paraId="2BB13CB0"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0865D8" w14:paraId="365C009E" w14:textId="77777777">
      <w:pPr>
        <w:pStyle w:val="BodyText"/>
      </w:pPr>
    </w:p>
    <w:p w:rsidR="000865D8" w14:paraId="02907B1A" w14:textId="77777777">
      <w:pPr>
        <w:pStyle w:val="BodyText"/>
        <w:rPr>
          <w:color w:val="000000"/>
        </w:rPr>
      </w:pPr>
      <w:r>
        <w:rPr>
          <w:color w:val="000000"/>
        </w:rPr>
        <w:t>There is not a minimum or maximum number of applications, but</w:t>
      </w:r>
      <w:r w:rsidR="00BD6EF1">
        <w:rPr>
          <w:color w:val="000000"/>
        </w:rPr>
        <w:t xml:space="preserve"> historically,</w:t>
      </w:r>
      <w:r>
        <w:rPr>
          <w:color w:val="000000"/>
        </w:rPr>
        <w:t xml:space="preserve"> i</w:t>
      </w:r>
      <w:r>
        <w:rPr>
          <w:color w:val="000000"/>
        </w:rPr>
        <w:t>t is expected that the respondents will complete approximately 200 applications for an estimated total of 600 annual burden hours</w:t>
      </w:r>
      <w:r>
        <w:rPr>
          <w:color w:val="000000"/>
        </w:rPr>
        <w:t xml:space="preserve">, at </w:t>
      </w:r>
      <w:r w:rsidR="00731BBF">
        <w:rPr>
          <w:color w:val="000000"/>
        </w:rPr>
        <w:t>3 hours per respondent per applicant.</w:t>
      </w:r>
    </w:p>
    <w:p w:rsidR="00293BF6" w14:paraId="5C1AC27B" w14:textId="77777777">
      <w:pPr>
        <w:pStyle w:val="BodyText"/>
        <w:rPr>
          <w:color w:val="000000"/>
        </w:rPr>
      </w:pPr>
    </w:p>
    <w:tbl>
      <w:tblPr>
        <w:tblW w:w="8910" w:type="dxa"/>
        <w:tblInd w:w="120" w:type="dxa"/>
        <w:tblLayout w:type="fixed"/>
        <w:tblCellMar>
          <w:left w:w="120" w:type="dxa"/>
          <w:right w:w="120" w:type="dxa"/>
        </w:tblCellMar>
        <w:tblLook w:val="0000"/>
      </w:tblPr>
      <w:tblGrid>
        <w:gridCol w:w="1260"/>
        <w:gridCol w:w="1170"/>
        <w:gridCol w:w="1350"/>
        <w:gridCol w:w="1170"/>
        <w:gridCol w:w="990"/>
        <w:gridCol w:w="1170"/>
        <w:gridCol w:w="1800"/>
      </w:tblGrid>
      <w:tr w14:paraId="73A6E5CC" w14:textId="77777777" w:rsidTr="00651561">
        <w:tblPrEx>
          <w:tblW w:w="8910" w:type="dxa"/>
          <w:tblInd w:w="120" w:type="dxa"/>
          <w:tblLayout w:type="fixed"/>
          <w:tblCellMar>
            <w:left w:w="120" w:type="dxa"/>
            <w:right w:w="120" w:type="dxa"/>
          </w:tblCellMar>
          <w:tblLook w:val="0000"/>
        </w:tblPrEx>
        <w:trPr>
          <w:trHeight w:val="898"/>
          <w:tblHeader/>
        </w:trPr>
        <w:tc>
          <w:tcPr>
            <w:tcW w:w="126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RPr="00651561" w:rsidP="00190BF9" w14:paraId="09A3DDF3" w14:textId="77777777">
            <w:pPr>
              <w:spacing w:line="120" w:lineRule="exact"/>
              <w:jc w:val="center"/>
              <w:rPr>
                <w:b/>
                <w:bCs/>
                <w:sz w:val="20"/>
                <w:szCs w:val="20"/>
              </w:rPr>
            </w:pPr>
          </w:p>
          <w:p w:rsidR="004A17D1" w:rsidRPr="00651561" w:rsidP="00190BF9" w14:paraId="6E86710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b/>
                <w:bCs/>
                <w:sz w:val="20"/>
                <w:szCs w:val="20"/>
              </w:rPr>
            </w:pPr>
          </w:p>
          <w:p w:rsidR="004A17D1" w:rsidRPr="00651561" w:rsidP="00190BF9" w14:paraId="36AA9A12"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bCs/>
                <w:sz w:val="20"/>
                <w:szCs w:val="20"/>
              </w:rPr>
            </w:pPr>
            <w:r w:rsidRPr="00651561">
              <w:rPr>
                <w:b/>
                <w:bCs/>
                <w:sz w:val="20"/>
                <w:szCs w:val="20"/>
              </w:rPr>
              <w:t>Respondent</w:t>
            </w:r>
          </w:p>
        </w:tc>
        <w:tc>
          <w:tcPr>
            <w:tcW w:w="117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P="00651561" w14:paraId="49E56281" w14:textId="77777777">
            <w:pPr>
              <w:spacing w:line="120" w:lineRule="exact"/>
              <w:jc w:val="center"/>
              <w:rPr>
                <w:b/>
                <w:bCs/>
                <w:sz w:val="20"/>
                <w:szCs w:val="20"/>
              </w:rPr>
            </w:pPr>
          </w:p>
          <w:p w:rsidR="004A17D1" w:rsidRPr="00651561" w:rsidP="00651561" w14:paraId="0000D106" w14:textId="77777777">
            <w:pPr>
              <w:jc w:val="center"/>
              <w:rPr>
                <w:b/>
                <w:bCs/>
                <w:sz w:val="20"/>
                <w:szCs w:val="20"/>
              </w:rPr>
            </w:pPr>
            <w:r w:rsidRPr="00651561">
              <w:rPr>
                <w:b/>
                <w:bCs/>
                <w:sz w:val="20"/>
                <w:szCs w:val="20"/>
              </w:rPr>
              <w:t>Task</w:t>
            </w:r>
          </w:p>
        </w:tc>
        <w:tc>
          <w:tcPr>
            <w:tcW w:w="135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RPr="00651561" w:rsidP="00190BF9" w14:paraId="3A5F84B5" w14:textId="77777777">
            <w:pPr>
              <w:spacing w:line="120" w:lineRule="exact"/>
              <w:jc w:val="center"/>
              <w:rPr>
                <w:b/>
                <w:bCs/>
                <w:sz w:val="20"/>
                <w:szCs w:val="20"/>
              </w:rPr>
            </w:pPr>
          </w:p>
          <w:p w:rsidR="004A17D1" w:rsidRPr="00651561" w:rsidP="00190BF9" w14:paraId="7D72F01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b/>
                <w:bCs/>
                <w:sz w:val="20"/>
                <w:szCs w:val="20"/>
              </w:rPr>
            </w:pPr>
            <w:r w:rsidRPr="00651561">
              <w:rPr>
                <w:b/>
                <w:bCs/>
                <w:sz w:val="20"/>
                <w:szCs w:val="20"/>
              </w:rPr>
              <w:t>No. of</w:t>
            </w:r>
          </w:p>
          <w:p w:rsidR="004A17D1" w:rsidRPr="00651561" w:rsidP="00190BF9" w14:paraId="3D709B6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bCs/>
                <w:sz w:val="20"/>
                <w:szCs w:val="20"/>
              </w:rPr>
            </w:pPr>
            <w:r w:rsidRPr="00651561">
              <w:rPr>
                <w:b/>
                <w:bCs/>
                <w:sz w:val="20"/>
                <w:szCs w:val="20"/>
              </w:rPr>
              <w:t>Respondents</w:t>
            </w:r>
          </w:p>
        </w:tc>
        <w:tc>
          <w:tcPr>
            <w:tcW w:w="117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RPr="00651561" w:rsidP="00190BF9" w14:paraId="2406DFE4" w14:textId="77777777">
            <w:pPr>
              <w:spacing w:line="120" w:lineRule="exact"/>
              <w:jc w:val="center"/>
              <w:rPr>
                <w:b/>
                <w:bCs/>
                <w:sz w:val="20"/>
                <w:szCs w:val="20"/>
              </w:rPr>
            </w:pPr>
          </w:p>
          <w:p w:rsidR="004A17D1" w:rsidRPr="00651561" w:rsidP="00190BF9" w14:paraId="36C7F204"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b/>
                <w:bCs/>
                <w:sz w:val="20"/>
                <w:szCs w:val="20"/>
              </w:rPr>
            </w:pPr>
            <w:r w:rsidRPr="00651561">
              <w:rPr>
                <w:b/>
                <w:bCs/>
                <w:sz w:val="20"/>
                <w:szCs w:val="20"/>
              </w:rPr>
              <w:t>Frequency</w:t>
            </w:r>
          </w:p>
          <w:p w:rsidR="004A17D1" w:rsidRPr="00651561" w:rsidP="00190BF9" w14:paraId="2F9C422B"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bCs/>
                <w:sz w:val="20"/>
                <w:szCs w:val="20"/>
              </w:rPr>
            </w:pPr>
            <w:r w:rsidRPr="00651561">
              <w:rPr>
                <w:b/>
                <w:bCs/>
                <w:sz w:val="20"/>
                <w:szCs w:val="20"/>
              </w:rPr>
              <w:t>of Responses</w:t>
            </w:r>
          </w:p>
        </w:tc>
        <w:tc>
          <w:tcPr>
            <w:tcW w:w="99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RPr="00651561" w:rsidP="00190BF9" w14:paraId="18A346BD" w14:textId="77777777">
            <w:pPr>
              <w:spacing w:line="120" w:lineRule="exact"/>
              <w:jc w:val="center"/>
              <w:rPr>
                <w:b/>
                <w:bCs/>
                <w:sz w:val="20"/>
                <w:szCs w:val="20"/>
              </w:rPr>
            </w:pPr>
          </w:p>
          <w:p w:rsidR="004A17D1" w:rsidRPr="00651561" w:rsidP="00190BF9" w14:paraId="4ADD6F5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b/>
                <w:bCs/>
                <w:sz w:val="20"/>
                <w:szCs w:val="20"/>
              </w:rPr>
            </w:pPr>
            <w:r w:rsidRPr="00651561">
              <w:rPr>
                <w:b/>
                <w:bCs/>
                <w:sz w:val="20"/>
                <w:szCs w:val="20"/>
              </w:rPr>
              <w:t>Annual</w:t>
            </w:r>
          </w:p>
          <w:p w:rsidR="004A17D1" w:rsidRPr="00651561" w:rsidP="00190BF9" w14:paraId="2C053CA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b/>
                <w:bCs/>
                <w:sz w:val="20"/>
                <w:szCs w:val="20"/>
              </w:rPr>
            </w:pPr>
            <w:r w:rsidRPr="00651561">
              <w:rPr>
                <w:b/>
                <w:bCs/>
                <w:sz w:val="20"/>
                <w:szCs w:val="20"/>
              </w:rPr>
              <w:t>Hour</w:t>
            </w:r>
          </w:p>
          <w:p w:rsidR="004A17D1" w:rsidRPr="00651561" w:rsidP="00190BF9" w14:paraId="5FF51A5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bCs/>
                <w:sz w:val="20"/>
                <w:szCs w:val="20"/>
              </w:rPr>
            </w:pPr>
            <w:r w:rsidRPr="00651561">
              <w:rPr>
                <w:b/>
                <w:bCs/>
                <w:sz w:val="20"/>
                <w:szCs w:val="20"/>
              </w:rPr>
              <w:t>Burden</w:t>
            </w:r>
          </w:p>
        </w:tc>
        <w:tc>
          <w:tcPr>
            <w:tcW w:w="117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P="00190BF9" w14:paraId="5900CB4E" w14:textId="77777777">
            <w:pPr>
              <w:spacing w:line="120" w:lineRule="exact"/>
              <w:jc w:val="center"/>
              <w:rPr>
                <w:b/>
                <w:bCs/>
                <w:sz w:val="20"/>
                <w:szCs w:val="20"/>
              </w:rPr>
            </w:pPr>
          </w:p>
          <w:p w:rsidR="00190BF9" w:rsidRPr="00651561" w:rsidP="00651561" w14:paraId="0E845CA9" w14:textId="77777777">
            <w:pPr>
              <w:jc w:val="center"/>
              <w:rPr>
                <w:sz w:val="20"/>
                <w:szCs w:val="20"/>
              </w:rPr>
            </w:pPr>
          </w:p>
          <w:p w:rsidR="00190BF9" w:rsidP="00651561" w14:paraId="06E37366" w14:textId="77777777">
            <w:pPr>
              <w:jc w:val="center"/>
              <w:rPr>
                <w:b/>
                <w:bCs/>
                <w:sz w:val="20"/>
                <w:szCs w:val="20"/>
              </w:rPr>
            </w:pPr>
          </w:p>
          <w:p w:rsidR="00190BF9" w:rsidRPr="00190BF9" w:rsidP="00651561" w14:paraId="5ECEC5C7" w14:textId="77777777">
            <w:pPr>
              <w:jc w:val="center"/>
              <w:rPr>
                <w:b/>
                <w:bCs/>
                <w:sz w:val="20"/>
                <w:szCs w:val="20"/>
              </w:rPr>
            </w:pPr>
            <w:r w:rsidRPr="00651561">
              <w:rPr>
                <w:b/>
                <w:bCs/>
                <w:sz w:val="20"/>
                <w:szCs w:val="20"/>
              </w:rPr>
              <w:t>Average Time (hours) per Response</w:t>
            </w:r>
          </w:p>
        </w:tc>
        <w:tc>
          <w:tcPr>
            <w:tcW w:w="1800" w:type="dxa"/>
            <w:tcBorders>
              <w:top w:val="single" w:sz="8" w:space="0" w:color="000000"/>
              <w:left w:val="single" w:sz="8" w:space="0" w:color="000000"/>
              <w:bottom w:val="single" w:sz="8" w:space="0" w:color="000000"/>
              <w:right w:val="single" w:sz="8" w:space="0" w:color="000000"/>
            </w:tcBorders>
            <w:shd w:val="pct5" w:color="000000" w:fill="D9D9D9"/>
            <w:vAlign w:val="bottom"/>
          </w:tcPr>
          <w:p w:rsidR="004A17D1" w:rsidRPr="00651561" w:rsidP="00190BF9" w14:paraId="3D864633" w14:textId="77777777">
            <w:pPr>
              <w:spacing w:line="120" w:lineRule="exact"/>
              <w:jc w:val="center"/>
              <w:rPr>
                <w:b/>
                <w:bCs/>
                <w:sz w:val="20"/>
                <w:szCs w:val="20"/>
              </w:rPr>
            </w:pPr>
          </w:p>
          <w:p w:rsidR="004A17D1" w:rsidRPr="00651561" w:rsidP="00190BF9" w14:paraId="633FE36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b/>
                <w:bCs/>
                <w:sz w:val="20"/>
                <w:szCs w:val="20"/>
              </w:rPr>
            </w:pPr>
            <w:r w:rsidRPr="00651561">
              <w:rPr>
                <w:b/>
                <w:bCs/>
                <w:sz w:val="20"/>
                <w:szCs w:val="20"/>
              </w:rPr>
              <w:t>Total Annual</w:t>
            </w:r>
          </w:p>
          <w:p w:rsidR="004A17D1" w:rsidRPr="00651561" w:rsidP="00190BF9" w14:paraId="2502B35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bCs/>
                <w:sz w:val="20"/>
                <w:szCs w:val="20"/>
              </w:rPr>
            </w:pPr>
            <w:r w:rsidRPr="00651561">
              <w:rPr>
                <w:b/>
                <w:bCs/>
                <w:sz w:val="20"/>
                <w:szCs w:val="20"/>
              </w:rPr>
              <w:t>Hour Burden</w:t>
            </w:r>
          </w:p>
        </w:tc>
      </w:tr>
      <w:tr w14:paraId="486F4391" w14:textId="77777777" w:rsidTr="00651561">
        <w:tblPrEx>
          <w:tblW w:w="8910" w:type="dxa"/>
          <w:tblInd w:w="120" w:type="dxa"/>
          <w:tblLayout w:type="fixed"/>
          <w:tblCellMar>
            <w:left w:w="120" w:type="dxa"/>
            <w:right w:w="120" w:type="dxa"/>
          </w:tblCellMar>
          <w:tblLook w:val="0000"/>
        </w:tblPrEx>
        <w:trPr>
          <w:trHeight w:val="1267"/>
        </w:trPr>
        <w:tc>
          <w:tcPr>
            <w:tcW w:w="1260" w:type="dxa"/>
            <w:tcBorders>
              <w:top w:val="single" w:sz="8" w:space="0" w:color="000000"/>
              <w:left w:val="single" w:sz="7" w:space="0" w:color="000000"/>
              <w:bottom w:val="single" w:sz="7" w:space="0" w:color="000000"/>
              <w:right w:val="single" w:sz="7" w:space="0" w:color="000000"/>
            </w:tcBorders>
          </w:tcPr>
          <w:p w:rsidR="004A17D1" w:rsidRPr="00651561" w:rsidP="00BE7527" w14:paraId="50396AE4" w14:textId="40570194">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sz w:val="20"/>
                <w:szCs w:val="20"/>
              </w:rPr>
            </w:pPr>
            <w:r w:rsidRPr="00651561">
              <w:rPr>
                <w:sz w:val="20"/>
                <w:szCs w:val="20"/>
              </w:rPr>
              <w:t>State Agencies, and District of Columbia</w:t>
            </w:r>
          </w:p>
        </w:tc>
        <w:tc>
          <w:tcPr>
            <w:tcW w:w="1170" w:type="dxa"/>
            <w:tcBorders>
              <w:top w:val="single" w:sz="8" w:space="0" w:color="000000"/>
              <w:left w:val="single" w:sz="7" w:space="0" w:color="000000"/>
              <w:bottom w:val="single" w:sz="7" w:space="0" w:color="000000"/>
              <w:right w:val="single" w:sz="7" w:space="0" w:color="000000"/>
            </w:tcBorders>
            <w:vAlign w:val="center"/>
          </w:tcPr>
          <w:p w:rsidR="004A17D1" w:rsidRPr="00651561" w:rsidP="004A17D1" w14:paraId="45C68458"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r w:rsidRPr="00651561">
              <w:rPr>
                <w:sz w:val="20"/>
                <w:szCs w:val="20"/>
              </w:rPr>
              <w:t>Narrative attachment to be uploaded to Grants.gov</w:t>
            </w:r>
          </w:p>
        </w:tc>
        <w:tc>
          <w:tcPr>
            <w:tcW w:w="1350" w:type="dxa"/>
            <w:tcBorders>
              <w:top w:val="single" w:sz="8" w:space="0" w:color="000000"/>
              <w:left w:val="single" w:sz="7" w:space="0" w:color="000000"/>
              <w:bottom w:val="single" w:sz="7" w:space="0" w:color="000000"/>
              <w:right w:val="single" w:sz="7" w:space="0" w:color="000000"/>
            </w:tcBorders>
          </w:tcPr>
          <w:p w:rsidR="004A17D1" w:rsidRPr="00651561" w14:paraId="6BD003C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14:paraId="262EB58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r w:rsidRPr="00651561">
              <w:rPr>
                <w:sz w:val="20"/>
                <w:szCs w:val="20"/>
              </w:rPr>
              <w:t>200</w:t>
            </w:r>
          </w:p>
          <w:p w:rsidR="004A17D1" w:rsidRPr="00651561" w14:paraId="68F6BEC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rsidP="00651561" w14:paraId="4C70EEFF"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tc>
        <w:tc>
          <w:tcPr>
            <w:tcW w:w="1170" w:type="dxa"/>
            <w:tcBorders>
              <w:top w:val="single" w:sz="8" w:space="0" w:color="000000"/>
              <w:left w:val="single" w:sz="7" w:space="0" w:color="000000"/>
              <w:bottom w:val="single" w:sz="7" w:space="0" w:color="000000"/>
              <w:right w:val="single" w:sz="7" w:space="0" w:color="000000"/>
            </w:tcBorders>
          </w:tcPr>
          <w:p w:rsidR="004A17D1" w:rsidRPr="00651561" w14:paraId="238D7A9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14:paraId="05A3BC8F"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r w:rsidRPr="00651561">
              <w:rPr>
                <w:sz w:val="20"/>
                <w:szCs w:val="20"/>
              </w:rPr>
              <w:t>Annually</w:t>
            </w:r>
          </w:p>
          <w:p w:rsidR="004A17D1" w:rsidRPr="00651561" w14:paraId="7585700B"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rsidP="00BE7527" w14:paraId="76546AB3"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tc>
        <w:tc>
          <w:tcPr>
            <w:tcW w:w="990" w:type="dxa"/>
            <w:tcBorders>
              <w:top w:val="single" w:sz="8" w:space="0" w:color="000000"/>
              <w:left w:val="single" w:sz="7" w:space="0" w:color="000000"/>
              <w:bottom w:val="single" w:sz="7" w:space="0" w:color="000000"/>
              <w:right w:val="single" w:sz="7" w:space="0" w:color="000000"/>
            </w:tcBorders>
          </w:tcPr>
          <w:p w:rsidR="004A17D1" w:rsidRPr="00651561" w14:paraId="1F8E5DB3"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14:paraId="33AD5B7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r w:rsidRPr="00651561">
              <w:rPr>
                <w:sz w:val="20"/>
                <w:szCs w:val="20"/>
              </w:rPr>
              <w:t>300</w:t>
            </w:r>
          </w:p>
          <w:p w:rsidR="004A17D1" w:rsidRPr="00651561" w14:paraId="1C9BC4D8"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rsidP="00BE7527" w14:paraId="61B1B190"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tc>
        <w:tc>
          <w:tcPr>
            <w:tcW w:w="1170" w:type="dxa"/>
            <w:tcBorders>
              <w:top w:val="single" w:sz="8" w:space="0" w:color="000000"/>
              <w:left w:val="single" w:sz="7" w:space="0" w:color="000000"/>
              <w:bottom w:val="single" w:sz="7" w:space="0" w:color="000000"/>
              <w:right w:val="single" w:sz="7" w:space="0" w:color="000000"/>
            </w:tcBorders>
          </w:tcPr>
          <w:p w:rsidR="004A17D1" w14:paraId="78F5B90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190BF9" w:rsidRPr="004A17D1" w14:paraId="05C91C77"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r>
              <w:rPr>
                <w:sz w:val="20"/>
                <w:szCs w:val="20"/>
              </w:rPr>
              <w:t>3</w:t>
            </w:r>
          </w:p>
        </w:tc>
        <w:tc>
          <w:tcPr>
            <w:tcW w:w="1800" w:type="dxa"/>
            <w:tcBorders>
              <w:top w:val="single" w:sz="8" w:space="0" w:color="000000"/>
              <w:left w:val="single" w:sz="7" w:space="0" w:color="000000"/>
              <w:bottom w:val="single" w:sz="7" w:space="0" w:color="000000"/>
              <w:right w:val="single" w:sz="7" w:space="0" w:color="000000"/>
            </w:tcBorders>
          </w:tcPr>
          <w:p w:rsidR="004A17D1" w:rsidRPr="00651561" w14:paraId="0F55B4B6"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14:paraId="6602556C" w14:textId="276A91B3">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r>
              <w:rPr>
                <w:sz w:val="20"/>
                <w:szCs w:val="20"/>
              </w:rPr>
              <w:t>6</w:t>
            </w:r>
            <w:r w:rsidRPr="00651561">
              <w:rPr>
                <w:sz w:val="20"/>
                <w:szCs w:val="20"/>
              </w:rPr>
              <w:t>00</w:t>
            </w:r>
          </w:p>
          <w:p w:rsidR="004A17D1" w:rsidRPr="00651561" w14:paraId="02940FF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p w:rsidR="004A17D1" w:rsidRPr="00651561" w:rsidP="00BE7527" w14:paraId="0A21A979"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sz w:val="20"/>
                <w:szCs w:val="20"/>
              </w:rPr>
            </w:pPr>
          </w:p>
        </w:tc>
      </w:tr>
      <w:tr w14:paraId="6F1B61B0" w14:textId="77777777" w:rsidTr="00651561">
        <w:tblPrEx>
          <w:tblW w:w="8910" w:type="dxa"/>
          <w:tblInd w:w="120" w:type="dxa"/>
          <w:tblLayout w:type="fixed"/>
          <w:tblCellMar>
            <w:left w:w="120" w:type="dxa"/>
            <w:right w:w="120" w:type="dxa"/>
          </w:tblCellMar>
          <w:tblLook w:val="0000"/>
        </w:tblPrEx>
        <w:trPr>
          <w:trHeight w:val="457"/>
        </w:trPr>
        <w:tc>
          <w:tcPr>
            <w:tcW w:w="1260" w:type="dxa"/>
            <w:tcBorders>
              <w:top w:val="single" w:sz="7" w:space="0" w:color="000000"/>
              <w:left w:val="single" w:sz="7" w:space="0" w:color="000000"/>
              <w:bottom w:val="single" w:sz="7" w:space="0" w:color="000000"/>
              <w:right w:val="single" w:sz="7" w:space="0" w:color="000000"/>
            </w:tcBorders>
          </w:tcPr>
          <w:p w:rsidR="004A17D1" w:rsidRPr="00651561" w14:paraId="6F7FDA3B" w14:textId="77777777">
            <w:pPr>
              <w:spacing w:line="120" w:lineRule="exact"/>
              <w:rPr>
                <w:b/>
                <w:color w:val="FF0000"/>
                <w:sz w:val="20"/>
                <w:szCs w:val="20"/>
              </w:rPr>
            </w:pPr>
          </w:p>
          <w:p w:rsidR="004A17D1" w:rsidRPr="00651561" w14:paraId="16E40A77" w14:textId="77777777">
            <w:pPr>
              <w:pStyle w:val="Heading2"/>
              <w:rPr>
                <w:b/>
                <w:sz w:val="20"/>
                <w:szCs w:val="20"/>
              </w:rPr>
            </w:pPr>
            <w:r w:rsidRPr="00651561">
              <w:rPr>
                <w:b/>
                <w:sz w:val="20"/>
                <w:szCs w:val="20"/>
              </w:rPr>
              <w:t>TOTAL</w:t>
            </w:r>
          </w:p>
        </w:tc>
        <w:tc>
          <w:tcPr>
            <w:tcW w:w="1170" w:type="dxa"/>
            <w:tcBorders>
              <w:top w:val="single" w:sz="7" w:space="0" w:color="000000"/>
              <w:left w:val="single" w:sz="7" w:space="0" w:color="000000"/>
              <w:bottom w:val="single" w:sz="7" w:space="0" w:color="000000"/>
              <w:right w:val="single" w:sz="7" w:space="0" w:color="000000"/>
            </w:tcBorders>
          </w:tcPr>
          <w:p w:rsidR="004A17D1" w:rsidRPr="00651561" w14:paraId="4572229D" w14:textId="77777777">
            <w:pPr>
              <w:spacing w:line="120" w:lineRule="exact"/>
              <w:jc w:val="center"/>
              <w:rPr>
                <w:b/>
                <w:color w:val="FF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4A17D1" w:rsidRPr="00651561" w14:paraId="46A6C165" w14:textId="77777777">
            <w:pPr>
              <w:spacing w:line="120" w:lineRule="exact"/>
              <w:jc w:val="center"/>
              <w:rPr>
                <w:b/>
                <w:color w:val="FF0000"/>
                <w:sz w:val="20"/>
                <w:szCs w:val="20"/>
              </w:rPr>
            </w:pPr>
          </w:p>
          <w:p w:rsidR="004A17D1" w:rsidRPr="00651561" w14:paraId="065609CD"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sz w:val="20"/>
                <w:szCs w:val="20"/>
              </w:rPr>
            </w:pPr>
            <w:r w:rsidRPr="00651561">
              <w:rPr>
                <w:b/>
                <w:sz w:val="20"/>
                <w:szCs w:val="20"/>
              </w:rPr>
              <w:t>200</w:t>
            </w:r>
          </w:p>
        </w:tc>
        <w:tc>
          <w:tcPr>
            <w:tcW w:w="1170" w:type="dxa"/>
            <w:tcBorders>
              <w:top w:val="single" w:sz="7" w:space="0" w:color="000000"/>
              <w:left w:val="single" w:sz="7" w:space="0" w:color="000000"/>
              <w:bottom w:val="single" w:sz="7" w:space="0" w:color="000000"/>
              <w:right w:val="single" w:sz="7" w:space="0" w:color="000000"/>
            </w:tcBorders>
            <w:vAlign w:val="center"/>
          </w:tcPr>
          <w:p w:rsidR="004A17D1" w:rsidRPr="00651561" w14:paraId="2DC2A33D" w14:textId="77777777">
            <w:pPr>
              <w:spacing w:line="120" w:lineRule="exact"/>
              <w:jc w:val="center"/>
              <w:rPr>
                <w:b/>
                <w:color w:val="FF0000"/>
                <w:sz w:val="20"/>
                <w:szCs w:val="20"/>
              </w:rPr>
            </w:pPr>
          </w:p>
          <w:p w:rsidR="004A17D1" w:rsidRPr="00651561" w14:paraId="1EFD239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color w:val="FF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rsidR="004A17D1" w:rsidRPr="00651561" w14:paraId="704C30AC" w14:textId="77777777">
            <w:pPr>
              <w:spacing w:line="120" w:lineRule="exact"/>
              <w:jc w:val="center"/>
              <w:rPr>
                <w:b/>
                <w:sz w:val="20"/>
                <w:szCs w:val="20"/>
              </w:rPr>
            </w:pPr>
          </w:p>
          <w:p w:rsidR="004A17D1" w:rsidRPr="00651561" w14:paraId="35F4333E"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4A17D1" w:rsidRPr="00651561" w14:paraId="745E95A1" w14:textId="26A8263C">
            <w:pPr>
              <w:spacing w:line="120" w:lineRule="exact"/>
              <w:jc w:val="center"/>
              <w:rPr>
                <w:b/>
                <w:sz w:val="20"/>
                <w:szCs w:val="20"/>
              </w:rPr>
            </w:pPr>
          </w:p>
        </w:tc>
        <w:tc>
          <w:tcPr>
            <w:tcW w:w="1800" w:type="dxa"/>
            <w:tcBorders>
              <w:top w:val="single" w:sz="7" w:space="0" w:color="000000"/>
              <w:left w:val="single" w:sz="7" w:space="0" w:color="000000"/>
              <w:bottom w:val="single" w:sz="7" w:space="0" w:color="000000"/>
              <w:right w:val="single" w:sz="7" w:space="0" w:color="000000"/>
            </w:tcBorders>
            <w:vAlign w:val="center"/>
          </w:tcPr>
          <w:p w:rsidR="004A17D1" w:rsidRPr="00651561" w14:paraId="6B9F45F6" w14:textId="77777777">
            <w:pPr>
              <w:spacing w:line="120" w:lineRule="exact"/>
              <w:jc w:val="center"/>
              <w:rPr>
                <w:b/>
                <w:color w:val="FF0000"/>
                <w:sz w:val="20"/>
                <w:szCs w:val="20"/>
              </w:rPr>
            </w:pPr>
          </w:p>
          <w:p w:rsidR="004A17D1" w:rsidRPr="00651561" w14:paraId="584BCD9A" w14:textId="7777777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b/>
                <w:sz w:val="20"/>
                <w:szCs w:val="20"/>
              </w:rPr>
            </w:pPr>
            <w:r w:rsidRPr="00651561">
              <w:rPr>
                <w:b/>
                <w:sz w:val="20"/>
                <w:szCs w:val="20"/>
              </w:rPr>
              <w:t>600</w:t>
            </w:r>
          </w:p>
        </w:tc>
      </w:tr>
    </w:tbl>
    <w:p w:rsidR="004A17D1" w14:paraId="1F7D8547" w14:textId="77777777">
      <w:pPr>
        <w:pStyle w:val="BodyText"/>
        <w:rPr>
          <w:color w:val="000000"/>
        </w:rPr>
      </w:pPr>
    </w:p>
    <w:p w:rsidR="00BD1BF2" w:rsidP="00BD6EF1" w14:paraId="2D6EB77B" w14:textId="623655A6">
      <w:pPr>
        <w:pStyle w:val="BodyText"/>
        <w:rPr>
          <w:rFonts w:eastAsia="Arial Unicode MS"/>
          <w:color w:val="auto"/>
          <w:u w:val="single"/>
        </w:rPr>
      </w:pPr>
      <w:r w:rsidRPr="00BD6EF1">
        <w:rPr>
          <w:rFonts w:eastAsia="Arial Unicode MS"/>
          <w:color w:val="auto"/>
          <w:u w:val="single"/>
        </w:rPr>
        <w:t>13. Estimate of total annual costs to respondents:</w:t>
      </w:r>
    </w:p>
    <w:p w:rsidR="00BD6EF1" w:rsidP="00BD6EF1" w14:paraId="0B81B67D" w14:textId="77777777">
      <w:pPr>
        <w:pStyle w:val="BodyText"/>
      </w:pPr>
    </w:p>
    <w:p w:rsidR="00731BBF" w14:paraId="372F061C" w14:textId="77777777">
      <w:pPr>
        <w:pStyle w:val="BodyText"/>
      </w:pPr>
    </w:p>
    <w:p w:rsidR="00731BBF" w14:paraId="220A39F0" w14:textId="77777777">
      <w:pPr>
        <w:pStyle w:val="BodyText"/>
        <w:rPr>
          <w:color w:val="000000"/>
        </w:rPr>
      </w:pPr>
      <w:r>
        <w:rPr>
          <w:color w:val="000000"/>
        </w:rPr>
        <w:t xml:space="preserve">Other than the salaries associated with the number of burden hours described in Question 12, there </w:t>
      </w:r>
      <w:r w:rsidR="00BC3EFE">
        <w:rPr>
          <w:color w:val="000000"/>
        </w:rPr>
        <w:t>are</w:t>
      </w:r>
      <w:r>
        <w:rPr>
          <w:color w:val="000000"/>
        </w:rPr>
        <w:t xml:space="preserve"> no annual costs to respondents. </w:t>
      </w:r>
    </w:p>
    <w:p w:rsidR="00BD1BF2" w14:paraId="7D5D76E3"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BD1BF2" w14:paraId="05A6E658" w14:textId="690081AA">
      <w:pPr>
        <w:pStyle w:val="BodyText"/>
      </w:pPr>
    </w:p>
    <w:p w:rsidR="00293BF6" w14:paraId="6EDF6574" w14:textId="77777777">
      <w:pPr>
        <w:pStyle w:val="BodyText"/>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8"/>
        <w:gridCol w:w="1645"/>
        <w:gridCol w:w="1570"/>
        <w:gridCol w:w="1603"/>
      </w:tblGrid>
      <w:tr w14:paraId="6DB282EB" w14:textId="77777777">
        <w:tblPrEx>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3888" w:type="dxa"/>
            <w:shd w:val="clear" w:color="auto" w:fill="D9D9D9"/>
          </w:tcPr>
          <w:p w:rsidR="00293BF6" w14:paraId="0B4408C8" w14:textId="77777777">
            <w:pPr>
              <w:pStyle w:val="NormalWeb"/>
              <w:keepNext/>
              <w:widowControl w:val="0"/>
              <w:jc w:val="center"/>
              <w:rPr>
                <w:rFonts w:ascii="Times New Roman" w:hAnsi="Times New Roman" w:cs="Times New Roman"/>
                <w:b/>
                <w:bCs/>
              </w:rPr>
            </w:pPr>
            <w:r>
              <w:rPr>
                <w:rFonts w:ascii="Times New Roman" w:hAnsi="Times New Roman" w:cs="Times New Roman"/>
                <w:b/>
                <w:bCs/>
              </w:rPr>
              <w:t>Labor Group</w:t>
            </w:r>
          </w:p>
        </w:tc>
        <w:tc>
          <w:tcPr>
            <w:tcW w:w="1710" w:type="dxa"/>
            <w:shd w:val="clear" w:color="auto" w:fill="D9D9D9"/>
          </w:tcPr>
          <w:p w:rsidR="00293BF6" w14:paraId="4C119B06" w14:textId="77777777">
            <w:pPr>
              <w:pStyle w:val="NormalWeb"/>
              <w:keepNext/>
              <w:widowControl w:val="0"/>
              <w:jc w:val="center"/>
              <w:rPr>
                <w:rFonts w:ascii="Times New Roman" w:hAnsi="Times New Roman" w:cs="Times New Roman"/>
                <w:b/>
                <w:bCs/>
              </w:rPr>
            </w:pPr>
            <w:r>
              <w:rPr>
                <w:rFonts w:ascii="Times New Roman" w:hAnsi="Times New Roman" w:cs="Times New Roman"/>
                <w:b/>
                <w:bCs/>
              </w:rPr>
              <w:t># of Hours Each</w:t>
            </w:r>
          </w:p>
        </w:tc>
        <w:tc>
          <w:tcPr>
            <w:tcW w:w="1620" w:type="dxa"/>
            <w:shd w:val="clear" w:color="auto" w:fill="D9D9D9"/>
          </w:tcPr>
          <w:p w:rsidR="00293BF6" w14:paraId="5A752220" w14:textId="77777777">
            <w:pPr>
              <w:pStyle w:val="NormalWeb"/>
              <w:keepNext/>
              <w:widowControl w:val="0"/>
              <w:jc w:val="center"/>
              <w:rPr>
                <w:rFonts w:ascii="Times New Roman" w:hAnsi="Times New Roman" w:cs="Times New Roman"/>
                <w:b/>
                <w:bCs/>
              </w:rPr>
            </w:pPr>
            <w:r>
              <w:rPr>
                <w:rFonts w:ascii="Times New Roman" w:hAnsi="Times New Roman" w:cs="Times New Roman"/>
                <w:b/>
                <w:bCs/>
              </w:rPr>
              <w:t>Hourly Rate</w:t>
            </w:r>
          </w:p>
        </w:tc>
        <w:tc>
          <w:tcPr>
            <w:tcW w:w="1638" w:type="dxa"/>
            <w:shd w:val="clear" w:color="auto" w:fill="D9D9D9"/>
          </w:tcPr>
          <w:p w:rsidR="00293BF6" w14:paraId="5AAB0382" w14:textId="77777777">
            <w:pPr>
              <w:pStyle w:val="NormalWeb"/>
              <w:keepNext/>
              <w:widowControl w:val="0"/>
              <w:jc w:val="center"/>
              <w:rPr>
                <w:rFonts w:ascii="Times New Roman" w:hAnsi="Times New Roman" w:cs="Times New Roman"/>
                <w:b/>
                <w:bCs/>
              </w:rPr>
            </w:pPr>
            <w:r>
              <w:rPr>
                <w:rFonts w:ascii="Times New Roman" w:hAnsi="Times New Roman" w:cs="Times New Roman"/>
                <w:b/>
                <w:bCs/>
              </w:rPr>
              <w:t>Cost</w:t>
            </w:r>
          </w:p>
        </w:tc>
      </w:tr>
      <w:tr w14:paraId="6ADCED4C" w14:textId="77777777">
        <w:tblPrEx>
          <w:tblW w:w="0" w:type="auto"/>
          <w:tblInd w:w="144" w:type="dxa"/>
          <w:tblLook w:val="04A0"/>
        </w:tblPrEx>
        <w:trPr>
          <w:cantSplit/>
        </w:trPr>
        <w:tc>
          <w:tcPr>
            <w:tcW w:w="3888" w:type="dxa"/>
            <w:shd w:val="clear" w:color="auto" w:fill="auto"/>
          </w:tcPr>
          <w:p w:rsidR="00293BF6" w14:paraId="74555266" w14:textId="77777777">
            <w:pPr>
              <w:pStyle w:val="NormalWeb"/>
              <w:keepNext/>
              <w:widowControl w:val="0"/>
              <w:spacing w:before="120" w:beforeAutospacing="0" w:after="120" w:afterAutospacing="0" w:line="360" w:lineRule="auto"/>
              <w:rPr>
                <w:rFonts w:ascii="Times New Roman" w:hAnsi="Times New Roman" w:cs="Times New Roman"/>
              </w:rPr>
            </w:pPr>
            <w:r>
              <w:rPr>
                <w:rFonts w:ascii="Times New Roman" w:hAnsi="Times New Roman" w:cs="Times New Roman"/>
              </w:rPr>
              <w:t>Three (3) FHWA HQ Staff</w:t>
            </w:r>
          </w:p>
        </w:tc>
        <w:tc>
          <w:tcPr>
            <w:tcW w:w="1710" w:type="dxa"/>
            <w:shd w:val="clear" w:color="auto" w:fill="auto"/>
          </w:tcPr>
          <w:p w:rsidR="00293BF6" w14:paraId="08471BF4" w14:textId="77777777">
            <w:pPr>
              <w:pStyle w:val="NormalWeb"/>
              <w:keepNext/>
              <w:widowControl w:val="0"/>
              <w:tabs>
                <w:tab w:val="center" w:pos="999"/>
              </w:tabs>
              <w:spacing w:before="120" w:beforeAutospacing="0" w:after="120" w:afterAutospacing="0" w:line="360" w:lineRule="auto"/>
              <w:jc w:val="right"/>
              <w:rPr>
                <w:rFonts w:ascii="Times New Roman" w:hAnsi="Times New Roman" w:cs="Times New Roman"/>
              </w:rPr>
            </w:pPr>
            <w:r>
              <w:rPr>
                <w:rFonts w:ascii="Times New Roman" w:hAnsi="Times New Roman" w:cs="Times New Roman"/>
              </w:rPr>
              <w:t>120</w:t>
            </w:r>
          </w:p>
        </w:tc>
        <w:tc>
          <w:tcPr>
            <w:tcW w:w="1620" w:type="dxa"/>
            <w:shd w:val="clear" w:color="auto" w:fill="auto"/>
          </w:tcPr>
          <w:p w:rsidR="00293BF6" w14:paraId="2B080DB9" w14:textId="77777777">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$ 105.98</w:t>
            </w:r>
            <w:r>
              <w:rPr>
                <w:rStyle w:val="FootnoteReference"/>
                <w:rFonts w:ascii="Times New Roman" w:hAnsi="Times New Roman" w:cs="Times New Roman"/>
              </w:rPr>
              <w:footnoteReference w:id="2"/>
            </w:r>
          </w:p>
        </w:tc>
        <w:tc>
          <w:tcPr>
            <w:tcW w:w="1638" w:type="dxa"/>
            <w:shd w:val="clear" w:color="auto" w:fill="auto"/>
          </w:tcPr>
          <w:p w:rsidR="00293BF6" w14:paraId="6F0340E1" w14:textId="77777777">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xml:space="preserve">$ </w:t>
            </w:r>
            <w:r w:rsidR="00BA352E">
              <w:rPr>
                <w:rFonts w:ascii="Times New Roman" w:hAnsi="Times New Roman" w:cs="Times New Roman"/>
              </w:rPr>
              <w:t>38</w:t>
            </w:r>
            <w:r>
              <w:rPr>
                <w:rFonts w:ascii="Times New Roman" w:hAnsi="Times New Roman" w:cs="Times New Roman"/>
              </w:rPr>
              <w:t>,</w:t>
            </w:r>
            <w:r w:rsidR="00BA352E">
              <w:rPr>
                <w:rFonts w:ascii="Times New Roman" w:hAnsi="Times New Roman" w:cs="Times New Roman"/>
              </w:rPr>
              <w:t>152.80</w:t>
            </w:r>
          </w:p>
        </w:tc>
      </w:tr>
      <w:tr w14:paraId="2A0485FA" w14:textId="77777777">
        <w:tblPrEx>
          <w:tblW w:w="0" w:type="auto"/>
          <w:tblInd w:w="144" w:type="dxa"/>
          <w:tblLook w:val="04A0"/>
        </w:tblPrEx>
        <w:trPr>
          <w:cantSplit/>
        </w:trPr>
        <w:tc>
          <w:tcPr>
            <w:tcW w:w="3888" w:type="dxa"/>
            <w:tcBorders>
              <w:bottom w:val="single" w:sz="12" w:space="0" w:color="auto"/>
            </w:tcBorders>
            <w:shd w:val="clear" w:color="auto" w:fill="auto"/>
          </w:tcPr>
          <w:p w:rsidR="00293BF6" w14:paraId="38887CAA" w14:textId="77777777">
            <w:pPr>
              <w:pStyle w:val="NormalWeb"/>
              <w:keepNext/>
              <w:widowControl w:val="0"/>
              <w:spacing w:before="120" w:beforeAutospacing="0" w:after="120" w:afterAutospacing="0" w:line="360" w:lineRule="auto"/>
              <w:rPr>
                <w:rFonts w:ascii="Times New Roman" w:hAnsi="Times New Roman" w:cs="Times New Roman"/>
              </w:rPr>
            </w:pPr>
            <w:r>
              <w:rPr>
                <w:rFonts w:ascii="Times New Roman" w:hAnsi="Times New Roman" w:cs="Times New Roman"/>
              </w:rPr>
              <w:t xml:space="preserve"> Five (5) FHWA HQ Support Staff</w:t>
            </w:r>
          </w:p>
        </w:tc>
        <w:tc>
          <w:tcPr>
            <w:tcW w:w="1710" w:type="dxa"/>
            <w:tcBorders>
              <w:bottom w:val="single" w:sz="12" w:space="0" w:color="auto"/>
            </w:tcBorders>
            <w:shd w:val="clear" w:color="auto" w:fill="auto"/>
          </w:tcPr>
          <w:p w:rsidR="00293BF6" w14:paraId="67234991" w14:textId="07CDECE0">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60</w:t>
            </w:r>
          </w:p>
        </w:tc>
        <w:tc>
          <w:tcPr>
            <w:tcW w:w="1620" w:type="dxa"/>
            <w:tcBorders>
              <w:bottom w:val="single" w:sz="12" w:space="0" w:color="auto"/>
            </w:tcBorders>
            <w:shd w:val="clear" w:color="auto" w:fill="auto"/>
          </w:tcPr>
          <w:p w:rsidR="00293BF6" w14:paraId="4FCA2846" w14:textId="77777777">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$ 105.98</w:t>
            </w:r>
          </w:p>
        </w:tc>
        <w:tc>
          <w:tcPr>
            <w:tcW w:w="1638" w:type="dxa"/>
            <w:tcBorders>
              <w:bottom w:val="single" w:sz="12" w:space="0" w:color="auto"/>
            </w:tcBorders>
            <w:shd w:val="clear" w:color="auto" w:fill="auto"/>
          </w:tcPr>
          <w:p w:rsidR="00293BF6" w14:paraId="1977F527" w14:textId="14F01D84">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xml:space="preserve">$ </w:t>
            </w:r>
            <w:r w:rsidR="002C4658">
              <w:rPr>
                <w:rFonts w:ascii="Times New Roman" w:hAnsi="Times New Roman" w:cs="Times New Roman"/>
              </w:rPr>
              <w:t>31</w:t>
            </w:r>
            <w:r w:rsidR="00BA352E">
              <w:rPr>
                <w:rFonts w:ascii="Times New Roman" w:hAnsi="Times New Roman" w:cs="Times New Roman"/>
              </w:rPr>
              <w:t>,</w:t>
            </w:r>
            <w:r w:rsidR="002C4658">
              <w:rPr>
                <w:rFonts w:ascii="Times New Roman" w:hAnsi="Times New Roman" w:cs="Times New Roman"/>
              </w:rPr>
              <w:t>794</w:t>
            </w:r>
            <w:r w:rsidR="00BA352E">
              <w:rPr>
                <w:rFonts w:ascii="Times New Roman" w:hAnsi="Times New Roman" w:cs="Times New Roman"/>
              </w:rPr>
              <w:t>.00</w:t>
            </w:r>
          </w:p>
        </w:tc>
      </w:tr>
      <w:tr w14:paraId="6C741E8C" w14:textId="77777777">
        <w:tblPrEx>
          <w:tblW w:w="0" w:type="auto"/>
          <w:tblInd w:w="144" w:type="dxa"/>
          <w:tblLook w:val="04A0"/>
        </w:tblPrEx>
        <w:trPr>
          <w:cantSplit/>
        </w:trPr>
        <w:tc>
          <w:tcPr>
            <w:tcW w:w="3888" w:type="dxa"/>
            <w:tcBorders>
              <w:top w:val="single" w:sz="12" w:space="0" w:color="auto"/>
            </w:tcBorders>
            <w:shd w:val="clear" w:color="auto" w:fill="auto"/>
          </w:tcPr>
          <w:p w:rsidR="00293BF6" w14:paraId="0A949320" w14:textId="77777777">
            <w:pPr>
              <w:pStyle w:val="NormalWeb"/>
              <w:keepNext/>
              <w:widowControl w:val="0"/>
              <w:spacing w:before="120" w:beforeAutospacing="0" w:after="120" w:afterAutospacing="0" w:line="360" w:lineRule="auto"/>
              <w:rPr>
                <w:rFonts w:ascii="Times New Roman" w:hAnsi="Times New Roman" w:cs="Times New Roman"/>
                <w:b/>
                <w:bCs/>
              </w:rPr>
            </w:pPr>
            <w:r>
              <w:rPr>
                <w:rFonts w:ascii="Times New Roman" w:hAnsi="Times New Roman" w:cs="Times New Roman"/>
                <w:b/>
                <w:bCs/>
              </w:rPr>
              <w:t>Total</w:t>
            </w:r>
          </w:p>
        </w:tc>
        <w:tc>
          <w:tcPr>
            <w:tcW w:w="1710" w:type="dxa"/>
            <w:tcBorders>
              <w:top w:val="single" w:sz="12" w:space="0" w:color="auto"/>
            </w:tcBorders>
            <w:shd w:val="clear" w:color="auto" w:fill="auto"/>
          </w:tcPr>
          <w:p w:rsidR="00293BF6" w14:paraId="00DCFB29" w14:textId="77777777">
            <w:pPr>
              <w:pStyle w:val="NormalWeb"/>
              <w:keepNext/>
              <w:widowControl w:val="0"/>
              <w:spacing w:before="120" w:beforeAutospacing="0" w:after="120" w:afterAutospacing="0" w:line="360" w:lineRule="auto"/>
              <w:jc w:val="right"/>
              <w:rPr>
                <w:rFonts w:ascii="Times New Roman" w:hAnsi="Times New Roman" w:cs="Times New Roman"/>
                <w:b/>
                <w:bCs/>
              </w:rPr>
            </w:pPr>
          </w:p>
        </w:tc>
        <w:tc>
          <w:tcPr>
            <w:tcW w:w="1620" w:type="dxa"/>
            <w:tcBorders>
              <w:top w:val="single" w:sz="12" w:space="0" w:color="auto"/>
            </w:tcBorders>
            <w:shd w:val="clear" w:color="auto" w:fill="auto"/>
          </w:tcPr>
          <w:p w:rsidR="00293BF6" w14:paraId="389C00C7" w14:textId="77777777">
            <w:pPr>
              <w:pStyle w:val="NormalWeb"/>
              <w:keepNext/>
              <w:widowControl w:val="0"/>
              <w:spacing w:before="120" w:beforeAutospacing="0" w:after="120" w:afterAutospacing="0" w:line="360" w:lineRule="auto"/>
              <w:jc w:val="right"/>
              <w:rPr>
                <w:rFonts w:ascii="Times New Roman" w:hAnsi="Times New Roman" w:cs="Times New Roman"/>
                <w:b/>
                <w:bCs/>
              </w:rPr>
            </w:pPr>
          </w:p>
        </w:tc>
        <w:tc>
          <w:tcPr>
            <w:tcW w:w="1638" w:type="dxa"/>
            <w:tcBorders>
              <w:top w:val="single" w:sz="12" w:space="0" w:color="auto"/>
            </w:tcBorders>
            <w:shd w:val="clear" w:color="auto" w:fill="auto"/>
          </w:tcPr>
          <w:p w:rsidR="00293BF6" w14:paraId="53D6A491" w14:textId="244FFA21">
            <w:pPr>
              <w:pStyle w:val="NormalWeb"/>
              <w:keepNext/>
              <w:widowControl w:val="0"/>
              <w:spacing w:before="120" w:beforeAutospacing="0" w:after="120" w:afterAutospacing="0" w:line="360" w:lineRule="auto"/>
              <w:jc w:val="right"/>
              <w:rPr>
                <w:rFonts w:ascii="Times New Roman" w:hAnsi="Times New Roman" w:cs="Times New Roman"/>
                <w:b/>
                <w:bCs/>
              </w:rPr>
            </w:pPr>
            <w:r>
              <w:rPr>
                <w:rFonts w:ascii="Times New Roman" w:hAnsi="Times New Roman" w:cs="Times New Roman"/>
                <w:b/>
                <w:bCs/>
              </w:rPr>
              <w:t xml:space="preserve">$ </w:t>
            </w:r>
            <w:r w:rsidR="00190BF9">
              <w:rPr>
                <w:rFonts w:ascii="Times New Roman" w:hAnsi="Times New Roman" w:cs="Times New Roman"/>
                <w:b/>
                <w:bCs/>
              </w:rPr>
              <w:t>69</w:t>
            </w:r>
            <w:r>
              <w:rPr>
                <w:rFonts w:ascii="Times New Roman" w:hAnsi="Times New Roman" w:cs="Times New Roman"/>
                <w:b/>
                <w:bCs/>
              </w:rPr>
              <w:t>,</w:t>
            </w:r>
            <w:r w:rsidR="00190BF9">
              <w:rPr>
                <w:rFonts w:ascii="Times New Roman" w:hAnsi="Times New Roman" w:cs="Times New Roman"/>
                <w:b/>
                <w:bCs/>
              </w:rPr>
              <w:t>946</w:t>
            </w:r>
            <w:r>
              <w:rPr>
                <w:rFonts w:ascii="Times New Roman" w:hAnsi="Times New Roman" w:cs="Times New Roman"/>
                <w:b/>
                <w:bCs/>
              </w:rPr>
              <w:t>.</w:t>
            </w:r>
            <w:r w:rsidR="00BA352E">
              <w:rPr>
                <w:rFonts w:ascii="Times New Roman" w:hAnsi="Times New Roman" w:cs="Times New Roman"/>
                <w:b/>
                <w:bCs/>
              </w:rPr>
              <w:t>80</w:t>
            </w:r>
          </w:p>
        </w:tc>
      </w:tr>
    </w:tbl>
    <w:p w:rsidR="00731BBF" w14:paraId="3DC4D2D3" w14:textId="77777777">
      <w:pPr>
        <w:pStyle w:val="BodyText"/>
        <w:rPr>
          <w:color w:val="000000"/>
        </w:rPr>
      </w:pPr>
    </w:p>
    <w:p w:rsidR="00274D84" w14:paraId="42D8CD22" w14:textId="77777777">
      <w:pPr>
        <w:pStyle w:val="BodyText"/>
        <w:rPr>
          <w:color w:val="000000"/>
        </w:rPr>
      </w:pPr>
      <w:r>
        <w:rPr>
          <w:color w:val="000000"/>
        </w:rPr>
        <w:t xml:space="preserve">It is estimated that FHWA will receive roughly 200 applications, in response to the NOFO. </w:t>
      </w:r>
      <w:r w:rsidR="0006436C">
        <w:rPr>
          <w:color w:val="000000"/>
        </w:rPr>
        <w:t xml:space="preserve">The hours dedicated to the labor groups </w:t>
      </w:r>
      <w:r>
        <w:rPr>
          <w:color w:val="000000"/>
        </w:rPr>
        <w:t xml:space="preserve">will be </w:t>
      </w:r>
      <w:r w:rsidR="0006436C">
        <w:rPr>
          <w:color w:val="000000"/>
        </w:rPr>
        <w:t>used to</w:t>
      </w:r>
      <w:r>
        <w:rPr>
          <w:color w:val="000000"/>
        </w:rPr>
        <w:t xml:space="preserve"> reviewed for statutory eligibility requirements</w:t>
      </w:r>
      <w:r w:rsidR="00E35FD6">
        <w:rPr>
          <w:color w:val="000000"/>
        </w:rPr>
        <w:t>,</w:t>
      </w:r>
      <w:r>
        <w:rPr>
          <w:color w:val="000000"/>
        </w:rPr>
        <w:t xml:space="preserve"> by headquarters staff</w:t>
      </w:r>
      <w:r w:rsidR="00E35FD6">
        <w:rPr>
          <w:color w:val="000000"/>
        </w:rPr>
        <w:t xml:space="preserve"> and headquarters support staff.   Headquarters staff and support staff will also use the hours assigned to evaluate application merit criteria, </w:t>
      </w:r>
      <w:r w:rsidR="0006436C">
        <w:rPr>
          <w:color w:val="000000"/>
        </w:rPr>
        <w:t>attend,</w:t>
      </w:r>
      <w:r w:rsidR="00E35FD6">
        <w:rPr>
          <w:color w:val="000000"/>
        </w:rPr>
        <w:t xml:space="preserve"> and support consensus meetings and, develop and support projects selection briefings. </w:t>
      </w:r>
    </w:p>
    <w:p w:rsidR="00BD1BF2" w14:paraId="12425B16"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14:paraId="0689F4DC" w14:textId="77777777">
      <w:pPr>
        <w:rPr>
          <w:rFonts w:ascii="Arial" w:hAnsi="Arial" w:cs="Arial"/>
          <w:sz w:val="20"/>
          <w:szCs w:val="20"/>
        </w:rPr>
      </w:pPr>
    </w:p>
    <w:p w:rsidR="00BD1BF2" w14:paraId="75833FF6" w14:textId="52A6F460">
      <w:pPr>
        <w:rPr>
          <w:rFonts w:ascii="Arial" w:hAnsi="Arial" w:cs="Arial"/>
          <w:sz w:val="20"/>
          <w:szCs w:val="20"/>
        </w:rPr>
      </w:pPr>
      <w:r>
        <w:rPr>
          <w:rFonts w:ascii="Arial" w:hAnsi="Arial" w:cs="Arial"/>
          <w:sz w:val="20"/>
          <w:szCs w:val="20"/>
        </w:rPr>
        <w:t>This is a new information collection. There are no program changes or adjustments due to the new submission.</w:t>
      </w:r>
    </w:p>
    <w:p w:rsidR="00BD1BF2" w14:paraId="4739A85E"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1BF2" w14:paraId="09FCFC7D" w14:textId="0254392B">
      <w:pPr>
        <w:pStyle w:val="BodyText"/>
      </w:pPr>
    </w:p>
    <w:p w:rsidR="00731BBF" w14:paraId="496EEED2" w14:textId="77777777">
      <w:pPr>
        <w:pStyle w:val="BodyText"/>
      </w:pPr>
    </w:p>
    <w:p w:rsidR="00731BBF" w14:paraId="3FCCDCF5" w14:textId="7421E27D">
      <w:pPr>
        <w:pStyle w:val="BodyText"/>
        <w:rPr>
          <w:color w:val="000000"/>
        </w:rPr>
      </w:pPr>
      <w:r>
        <w:rPr>
          <w:color w:val="000000"/>
        </w:rPr>
        <w:t>Applicants that have been selected for funding, will</w:t>
      </w:r>
      <w:r w:rsidR="00ED4332">
        <w:rPr>
          <w:color w:val="000000"/>
        </w:rPr>
        <w:t xml:space="preserve"> be</w:t>
      </w:r>
      <w:r>
        <w:rPr>
          <w:color w:val="000000"/>
        </w:rPr>
        <w:t xml:space="preserve"> published on the NSBP website</w:t>
      </w:r>
      <w:r w:rsidR="00ED4332">
        <w:rPr>
          <w:color w:val="000000"/>
        </w:rPr>
        <w:t xml:space="preserve">.  The information that will be published </w:t>
      </w:r>
      <w:r w:rsidR="00E14EFE">
        <w:rPr>
          <w:color w:val="000000"/>
        </w:rPr>
        <w:t>are</w:t>
      </w:r>
      <w:r w:rsidR="00ED4332">
        <w:rPr>
          <w:color w:val="000000"/>
        </w:rPr>
        <w:t xml:space="preserve"> </w:t>
      </w:r>
      <w:r>
        <w:rPr>
          <w:color w:val="000000"/>
        </w:rPr>
        <w:t>the state the selected project is in, project name &amp; number, brief project abstract, year it was funded, eligible project category, byway</w:t>
      </w:r>
      <w:r w:rsidR="00ED4332">
        <w:rPr>
          <w:color w:val="000000"/>
        </w:rPr>
        <w:t xml:space="preserve"> name, project sponsor(s), </w:t>
      </w:r>
      <w:r>
        <w:rPr>
          <w:color w:val="000000"/>
        </w:rPr>
        <w:t>f</w:t>
      </w:r>
      <w:r w:rsidR="00ED4332">
        <w:rPr>
          <w:color w:val="000000"/>
        </w:rPr>
        <w:t xml:space="preserve">ederal funding amount, partnering entities, and the congressional district(s). </w:t>
      </w:r>
    </w:p>
    <w:p w:rsidR="00E72759" w14:paraId="314587B5" w14:textId="77777777">
      <w:pPr>
        <w:pStyle w:val="BodyText"/>
        <w:rPr>
          <w:color w:val="000000"/>
        </w:rPr>
      </w:pPr>
    </w:p>
    <w:p w:rsidR="00E72759" w14:paraId="53740963" w14:textId="77777777">
      <w:pPr>
        <w:pStyle w:val="BodyText"/>
        <w:rPr>
          <w:color w:val="000000"/>
        </w:rPr>
      </w:pPr>
      <w:r>
        <w:rPr>
          <w:color w:val="000000"/>
        </w:rPr>
        <w:t xml:space="preserve">No other </w:t>
      </w:r>
      <w:r>
        <w:rPr>
          <w:color w:val="000000"/>
        </w:rPr>
        <w:t xml:space="preserve">information collected will be published. </w:t>
      </w:r>
    </w:p>
    <w:p w:rsidR="00BD1BF2" w14:paraId="2599049E"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ED4332" w14:paraId="57641F8B" w14:textId="77777777">
      <w:pPr>
        <w:pStyle w:val="BodyText"/>
      </w:pPr>
    </w:p>
    <w:p w:rsidR="00ED4332" w14:paraId="371B0E68" w14:textId="77777777">
      <w:pPr>
        <w:pStyle w:val="BodyText"/>
        <w:rPr>
          <w:color w:val="000000"/>
        </w:rPr>
      </w:pPr>
      <w:r>
        <w:rPr>
          <w:color w:val="000000"/>
        </w:rPr>
        <w:t>N/A</w:t>
      </w:r>
    </w:p>
    <w:p w:rsidR="00BD1BF2" w14:paraId="24048FBD"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ED4332" w14:paraId="67CAB0F3" w14:textId="77777777">
      <w:pPr>
        <w:rPr>
          <w:rFonts w:ascii="Arial" w:hAnsi="Arial" w:cs="Arial"/>
          <w:color w:val="FF0000"/>
          <w:sz w:val="20"/>
          <w:szCs w:val="20"/>
        </w:rPr>
      </w:pPr>
    </w:p>
    <w:p w:rsidR="00BD1BF2" w14:paraId="65F35B14" w14:textId="77777777">
      <w:pPr>
        <w:rPr>
          <w:rFonts w:ascii="Arial" w:hAnsi="Arial" w:cs="Arial"/>
          <w:color w:val="000000"/>
          <w:sz w:val="20"/>
          <w:szCs w:val="20"/>
        </w:rPr>
      </w:pPr>
      <w:r>
        <w:rPr>
          <w:rFonts w:ascii="Arial" w:hAnsi="Arial" w:cs="Arial"/>
          <w:color w:val="000000"/>
          <w:sz w:val="20"/>
          <w:szCs w:val="20"/>
        </w:rPr>
        <w:t xml:space="preserve">No exceptions. </w:t>
      </w:r>
      <w:r w:rsidR="00FA4D1D">
        <w:rPr>
          <w:rFonts w:ascii="Arial" w:hAnsi="Arial" w:cs="Arial"/>
          <w:color w:val="000000"/>
          <w:sz w:val="20"/>
          <w:szCs w:val="20"/>
        </w:rPr>
        <w:t xml:space="preserve"> </w:t>
      </w:r>
      <w:r>
        <w:rPr>
          <w:rFonts w:ascii="Arial" w:hAnsi="Arial" w:cs="Arial"/>
          <w:color w:val="000000"/>
          <w:sz w:val="20"/>
          <w:szCs w:val="20"/>
        </w:rP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6CFC" w:rsidP="00293BF6" w14:paraId="517410F0" w14:textId="77777777">
      <w:r>
        <w:separator/>
      </w:r>
    </w:p>
  </w:footnote>
  <w:footnote w:type="continuationSeparator" w:id="1">
    <w:p w:rsidR="00E06CFC" w:rsidP="00293BF6" w14:paraId="4D842971" w14:textId="77777777">
      <w:r>
        <w:continuationSeparator/>
      </w:r>
    </w:p>
  </w:footnote>
  <w:footnote w:id="2">
    <w:p w:rsidR="00293BF6" w:rsidP="00293BF6" w14:paraId="2014B1AE" w14:textId="77777777">
      <w:pPr>
        <w:pStyle w:val="FootnoteText"/>
      </w:pPr>
      <w:r>
        <w:rPr>
          <w:rStyle w:val="FootnoteReference"/>
        </w:rPr>
        <w:footnoteRef/>
      </w:r>
      <w:r>
        <w:t xml:space="preserve"> </w:t>
      </w:r>
      <w:r w:rsidRPr="000C62DB">
        <w:t>Source: OPM Salary Table 2024. GS-14 at Step 5 x 1.4 (to assume total compensation) @ https://www.opm.gov/policy-data-oversight/pay-leave/salaries-wages/salary-tables/pdf/2024/DCB_h.pdf</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35C9F"/>
    <w:rsid w:val="000525D1"/>
    <w:rsid w:val="0006436C"/>
    <w:rsid w:val="000865D8"/>
    <w:rsid w:val="000C62DB"/>
    <w:rsid w:val="00190BF9"/>
    <w:rsid w:val="00251113"/>
    <w:rsid w:val="002708DD"/>
    <w:rsid w:val="00274D84"/>
    <w:rsid w:val="00293BF6"/>
    <w:rsid w:val="002C4658"/>
    <w:rsid w:val="003D3CC9"/>
    <w:rsid w:val="00475B31"/>
    <w:rsid w:val="0048394C"/>
    <w:rsid w:val="00490032"/>
    <w:rsid w:val="004A17D1"/>
    <w:rsid w:val="004B2678"/>
    <w:rsid w:val="004C0B75"/>
    <w:rsid w:val="00651561"/>
    <w:rsid w:val="00663648"/>
    <w:rsid w:val="00731BBF"/>
    <w:rsid w:val="00803B7E"/>
    <w:rsid w:val="00976E34"/>
    <w:rsid w:val="009C7C99"/>
    <w:rsid w:val="00A30B2B"/>
    <w:rsid w:val="00A47E28"/>
    <w:rsid w:val="00A51736"/>
    <w:rsid w:val="00B4578F"/>
    <w:rsid w:val="00BA352E"/>
    <w:rsid w:val="00BC3EFE"/>
    <w:rsid w:val="00BD1BF2"/>
    <w:rsid w:val="00BD6EF1"/>
    <w:rsid w:val="00BE7527"/>
    <w:rsid w:val="00BF6FEE"/>
    <w:rsid w:val="00CC7CA9"/>
    <w:rsid w:val="00D32708"/>
    <w:rsid w:val="00D63723"/>
    <w:rsid w:val="00E00546"/>
    <w:rsid w:val="00E06CFC"/>
    <w:rsid w:val="00E14EFE"/>
    <w:rsid w:val="00E35FD6"/>
    <w:rsid w:val="00E72759"/>
    <w:rsid w:val="00EA3ABA"/>
    <w:rsid w:val="00ED4332"/>
    <w:rsid w:val="00FA4D1D"/>
    <w:rsid w:val="00FB270E"/>
  </w:rsids>
  <w:docVars>
    <w:docVar w:name="__Grammarly_42___1" w:val="H4sIAAAAAAAEAKtWcslP9kxRslIyNDY2NzEwszQytjA3MjY3MjVW0lEKTi0uzszPAykwrgUAigPki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810D7C"/>
  <w15:chartTrackingRefBased/>
  <w15:docId w15:val="{9E0069CA-8FC1-44D8-A1E8-A6BCE627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93BF6"/>
    <w:pPr>
      <w:keepNext/>
      <w:widowControl w:val="0"/>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autoSpaceDE w:val="0"/>
      <w:autoSpaceDN w:val="0"/>
      <w:adjustRightInd w:val="0"/>
      <w:spacing w:after="5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UnresolvedMention">
    <w:name w:val="Unresolved Mention"/>
    <w:uiPriority w:val="99"/>
    <w:semiHidden/>
    <w:unhideWhenUsed/>
    <w:rsid w:val="00490032"/>
    <w:rPr>
      <w:color w:val="605E5C"/>
      <w:shd w:val="clear" w:color="auto" w:fill="E1DFDD"/>
    </w:rPr>
  </w:style>
  <w:style w:type="character" w:styleId="CommentReference">
    <w:name w:val="annotation reference"/>
    <w:rsid w:val="00731BBF"/>
    <w:rPr>
      <w:sz w:val="16"/>
      <w:szCs w:val="16"/>
    </w:rPr>
  </w:style>
  <w:style w:type="paragraph" w:styleId="CommentText">
    <w:name w:val="annotation text"/>
    <w:basedOn w:val="Normal"/>
    <w:link w:val="CommentTextChar"/>
    <w:rsid w:val="00731BBF"/>
    <w:rPr>
      <w:sz w:val="20"/>
      <w:szCs w:val="20"/>
    </w:rPr>
  </w:style>
  <w:style w:type="character" w:customStyle="1" w:styleId="CommentTextChar">
    <w:name w:val="Comment Text Char"/>
    <w:basedOn w:val="DefaultParagraphFont"/>
    <w:link w:val="CommentText"/>
    <w:rsid w:val="00731BBF"/>
  </w:style>
  <w:style w:type="paragraph" w:styleId="CommentSubject">
    <w:name w:val="annotation subject"/>
    <w:basedOn w:val="CommentText"/>
    <w:next w:val="CommentText"/>
    <w:link w:val="CommentSubjectChar"/>
    <w:rsid w:val="00731BBF"/>
    <w:rPr>
      <w:b/>
      <w:bCs/>
    </w:rPr>
  </w:style>
  <w:style w:type="character" w:customStyle="1" w:styleId="CommentSubjectChar">
    <w:name w:val="Comment Subject Char"/>
    <w:link w:val="CommentSubject"/>
    <w:rsid w:val="00731BBF"/>
    <w:rPr>
      <w:b/>
      <w:bCs/>
    </w:rPr>
  </w:style>
  <w:style w:type="character" w:customStyle="1" w:styleId="Heading2Char">
    <w:name w:val="Heading 2 Char"/>
    <w:link w:val="Heading2"/>
    <w:rsid w:val="00293BF6"/>
    <w:rPr>
      <w:sz w:val="24"/>
      <w:szCs w:val="24"/>
    </w:rPr>
  </w:style>
  <w:style w:type="paragraph" w:styleId="FootnoteText">
    <w:name w:val="footnote text"/>
    <w:basedOn w:val="Normal"/>
    <w:link w:val="FootnoteTextChar"/>
    <w:rsid w:val="00293BF6"/>
    <w:rPr>
      <w:sz w:val="20"/>
      <w:szCs w:val="20"/>
    </w:rPr>
  </w:style>
  <w:style w:type="character" w:customStyle="1" w:styleId="FootnoteTextChar">
    <w:name w:val="Footnote Text Char"/>
    <w:basedOn w:val="DefaultParagraphFont"/>
    <w:link w:val="FootnoteText"/>
    <w:rsid w:val="00293BF6"/>
  </w:style>
  <w:style w:type="character" w:styleId="FootnoteReference">
    <w:name w:val="footnote reference"/>
    <w:rsid w:val="00293BF6"/>
    <w:rPr>
      <w:vertAlign w:val="superscript"/>
    </w:rPr>
  </w:style>
  <w:style w:type="paragraph" w:styleId="Revision">
    <w:name w:val="Revision"/>
    <w:hidden/>
    <w:uiPriority w:val="99"/>
    <w:semiHidden/>
    <w:rsid w:val="00483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fhwa.dot.gov/hep/scenic_byways/us_code.cf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URL xmlns="bb1b4f7a-9ef8-4a9f-89de-7eb5dcf7a11e">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17" ma:contentTypeDescription="Create a new document." ma:contentTypeScope="" ma:versionID="9d84c4099811920fb3fbb340bebe406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b24d914ef4d9449203cd4b7ef323696f"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UR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URL" ma:index="2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de891f-846b-4e76-a8f9-19cf91a62e09}"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C86B9-50D4-4266-B29C-635EDE8FB328}">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5D42C8F2-FB9F-4EBC-8C88-FC4324D4A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54A99-3BE5-4DE3-98FE-2DC26F492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3</cp:revision>
  <dcterms:created xsi:type="dcterms:W3CDTF">2024-10-25T18:24:00Z</dcterms:created>
  <dcterms:modified xsi:type="dcterms:W3CDTF">2024-12-30T13:10:00Z</dcterms:modified>
</cp:coreProperties>
</file>