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P="00F746AE" w14:paraId="4D6BF7FB" w14:textId="77777777">
      <w:pPr>
        <w:pStyle w:val="Title"/>
        <w:ind w:left="-90"/>
        <w:rPr>
          <w:rFonts w:ascii="Times New Roman" w:hAnsi="Times New Roman"/>
          <w:u w:val="none"/>
        </w:rPr>
      </w:pPr>
      <w:r w:rsidRPr="00857A1B">
        <w:rPr>
          <w:rFonts w:ascii="Times New Roman" w:hAnsi="Times New Roman"/>
          <w:u w:val="none"/>
        </w:rPr>
        <w:t>Department of Transportation</w:t>
      </w:r>
    </w:p>
    <w:p w:rsidR="00680426" w:rsidP="00F746AE" w14:paraId="196CFAF0" w14:textId="1AF5DF99">
      <w:pPr>
        <w:pStyle w:val="Title"/>
        <w:ind w:left="-90"/>
        <w:rPr>
          <w:rFonts w:ascii="Times New Roman" w:hAnsi="Times New Roman"/>
          <w:u w:val="none"/>
        </w:rPr>
      </w:pPr>
      <w:r>
        <w:rPr>
          <w:rFonts w:ascii="Times New Roman" w:hAnsi="Times New Roman"/>
          <w:u w:val="none"/>
        </w:rPr>
        <w:t xml:space="preserve">Maritime Administration </w:t>
      </w:r>
    </w:p>
    <w:p w:rsidR="00680426" w:rsidRPr="00857A1B" w:rsidP="00F746AE" w14:paraId="2F5AFEF1" w14:textId="55A57BD9">
      <w:pPr>
        <w:pStyle w:val="Title"/>
        <w:ind w:left="-90"/>
        <w:rPr>
          <w:rFonts w:ascii="Times New Roman" w:hAnsi="Times New Roman"/>
          <w:u w:val="none"/>
        </w:rPr>
      </w:pPr>
      <w:r>
        <w:rPr>
          <w:rFonts w:ascii="Times New Roman" w:hAnsi="Times New Roman"/>
          <w:u w:val="none"/>
        </w:rPr>
        <w:t>Information Collection Request (ICR)</w:t>
      </w:r>
    </w:p>
    <w:p w:rsidR="006951D1" w:rsidP="00F746AE" w14:paraId="4215486D" w14:textId="0D50C3EA">
      <w:pPr>
        <w:pStyle w:val="Title"/>
        <w:ind w:left="-90"/>
        <w:rPr>
          <w:rFonts w:ascii="Times New Roman" w:hAnsi="Times New Roman"/>
          <w:u w:val="none"/>
        </w:rPr>
      </w:pPr>
      <w:r>
        <w:rPr>
          <w:rFonts w:ascii="Times New Roman" w:hAnsi="Times New Roman"/>
          <w:u w:val="none"/>
        </w:rPr>
        <w:t>2133-</w:t>
      </w:r>
      <w:bookmarkStart w:id="0" w:name="_Hlk171590985"/>
      <w:r>
        <w:rPr>
          <w:rFonts w:ascii="Times New Roman" w:hAnsi="Times New Roman"/>
          <w:u w:val="none"/>
        </w:rPr>
        <w:t>0552</w:t>
      </w:r>
    </w:p>
    <w:p w:rsidR="00680426" w:rsidRPr="00857A1B" w:rsidP="00F746AE" w14:paraId="27149AB1" w14:textId="7271BD34">
      <w:pPr>
        <w:pStyle w:val="Title"/>
        <w:ind w:left="-90"/>
        <w:rPr>
          <w:rFonts w:ascii="Times New Roman" w:hAnsi="Times New Roman"/>
          <w:bCs w:val="0"/>
          <w:u w:val="none"/>
        </w:rPr>
      </w:pPr>
      <w:r w:rsidRPr="00857A1B">
        <w:rPr>
          <w:rFonts w:ascii="Times New Roman" w:hAnsi="Times New Roman"/>
          <w:bCs w:val="0"/>
          <w:u w:val="none"/>
        </w:rPr>
        <w:t>Port Infrastructure Development Program</w:t>
      </w:r>
    </w:p>
    <w:bookmarkEnd w:id="0"/>
    <w:p w:rsidR="00680426" w:rsidP="00F746AE" w14:paraId="5D5337C2" w14:textId="77777777">
      <w:pPr>
        <w:pStyle w:val="Title"/>
        <w:ind w:left="-90"/>
        <w:rPr>
          <w:rFonts w:ascii="Times New Roman" w:hAnsi="Times New Roman"/>
          <w:b w:val="0"/>
        </w:rPr>
      </w:pPr>
    </w:p>
    <w:p w:rsidR="00680426" w:rsidP="00F746AE" w14:paraId="131B86E4" w14:textId="77777777">
      <w:pPr>
        <w:pStyle w:val="Title"/>
        <w:ind w:left="-90"/>
        <w:rPr>
          <w:rFonts w:ascii="Times New Roman" w:hAnsi="Times New Roman"/>
          <w:b w:val="0"/>
        </w:rPr>
      </w:pPr>
    </w:p>
    <w:p w:rsidR="0004749E" w:rsidRPr="00857A1B" w:rsidP="00F746AE" w14:paraId="45885B2F" w14:textId="09FEE81E">
      <w:pPr>
        <w:pStyle w:val="Title"/>
        <w:ind w:left="-90"/>
        <w:rPr>
          <w:rFonts w:ascii="Times New Roman" w:hAnsi="Times New Roman"/>
          <w:bCs w:val="0"/>
          <w:u w:val="none"/>
        </w:rPr>
      </w:pPr>
      <w:r w:rsidRPr="00857A1B">
        <w:rPr>
          <w:rFonts w:ascii="Times New Roman" w:hAnsi="Times New Roman"/>
          <w:bCs w:val="0"/>
          <w:u w:val="none"/>
        </w:rPr>
        <w:t>SUPPORTING STATEMENT</w:t>
      </w:r>
    </w:p>
    <w:p w:rsidR="0004749E" w:rsidRPr="001F34CE" w:rsidP="00F746AE" w14:paraId="0CBF9259" w14:textId="77777777">
      <w:pPr>
        <w:ind w:left="-90"/>
        <w:rPr>
          <w:rFonts w:ascii="Times New Roman" w:hAnsi="Times New Roman"/>
          <w:b/>
          <w:bCs/>
          <w:sz w:val="24"/>
          <w:szCs w:val="24"/>
        </w:rPr>
      </w:pPr>
    </w:p>
    <w:p w:rsidR="0004749E" w:rsidRPr="00857A1B" w:rsidP="00F746AE" w14:paraId="2C5E1AED" w14:textId="77777777">
      <w:pPr>
        <w:pStyle w:val="Subtitle"/>
        <w:ind w:left="-90"/>
        <w:rPr>
          <w:rFonts w:ascii="Times New Roman" w:hAnsi="Times New Roman"/>
          <w:u w:val="none"/>
        </w:rPr>
      </w:pPr>
      <w:r w:rsidRPr="00857A1B">
        <w:rPr>
          <w:rFonts w:ascii="Times New Roman" w:hAnsi="Times New Roman"/>
          <w:u w:val="none"/>
        </w:rPr>
        <w:t>INTRODUCTION</w:t>
      </w:r>
    </w:p>
    <w:p w:rsidR="0004749E" w:rsidRPr="001F34CE" w:rsidP="00F746AE" w14:paraId="313BD196" w14:textId="77777777">
      <w:pPr>
        <w:ind w:left="-90"/>
        <w:rPr>
          <w:rFonts w:ascii="Times New Roman" w:hAnsi="Times New Roman"/>
          <w:b/>
          <w:bCs/>
          <w:sz w:val="24"/>
          <w:szCs w:val="24"/>
        </w:rPr>
      </w:pPr>
    </w:p>
    <w:p w:rsidR="0045512C" w:rsidRPr="0045512C" w:rsidP="0045512C" w14:paraId="01C0C42C" w14:textId="1EBDE1E2">
      <w:pPr>
        <w:ind w:left="-90"/>
        <w:rPr>
          <w:rFonts w:ascii="Times New Roman" w:hAnsi="Times New Roman"/>
          <w:sz w:val="24"/>
          <w:szCs w:val="24"/>
        </w:rPr>
      </w:pPr>
      <w:r w:rsidRPr="0045512C">
        <w:rPr>
          <w:rFonts w:ascii="Times New Roman" w:hAnsi="Times New Roman"/>
          <w:sz w:val="24"/>
          <w:szCs w:val="24"/>
        </w:rPr>
        <w:t>This submission is to request a three-year approval from the Office of Management and Budget  (OMB) for the information collection entitled OMB 2133-0552</w:t>
      </w:r>
      <w:r>
        <w:rPr>
          <w:rFonts w:ascii="Times New Roman" w:hAnsi="Times New Roman"/>
          <w:sz w:val="24"/>
          <w:szCs w:val="24"/>
        </w:rPr>
        <w:t xml:space="preserve"> (</w:t>
      </w:r>
      <w:r w:rsidRPr="0045512C">
        <w:rPr>
          <w:rFonts w:ascii="Times New Roman" w:hAnsi="Times New Roman"/>
          <w:sz w:val="24"/>
          <w:szCs w:val="24"/>
        </w:rPr>
        <w:t>Port Infrastructure</w:t>
      </w:r>
      <w:r w:rsidR="005649E6">
        <w:rPr>
          <w:rFonts w:ascii="Times New Roman" w:hAnsi="Times New Roman"/>
          <w:sz w:val="24"/>
          <w:szCs w:val="24"/>
        </w:rPr>
        <w:t xml:space="preserve"> </w:t>
      </w:r>
      <w:r w:rsidRPr="0045512C">
        <w:rPr>
          <w:rFonts w:ascii="Times New Roman" w:hAnsi="Times New Roman"/>
          <w:sz w:val="24"/>
          <w:szCs w:val="24"/>
        </w:rPr>
        <w:t>Development Program</w:t>
      </w:r>
      <w:r>
        <w:rPr>
          <w:rFonts w:ascii="Times New Roman" w:hAnsi="Times New Roman"/>
          <w:sz w:val="24"/>
          <w:szCs w:val="24"/>
        </w:rPr>
        <w:t>)</w:t>
      </w:r>
      <w:r w:rsidRPr="0045512C">
        <w:rPr>
          <w:rFonts w:ascii="Times New Roman" w:hAnsi="Times New Roman"/>
          <w:sz w:val="24"/>
          <w:szCs w:val="24"/>
        </w:rPr>
        <w:t>, which expire</w:t>
      </w:r>
      <w:r w:rsidR="00A823EE">
        <w:rPr>
          <w:rFonts w:ascii="Times New Roman" w:hAnsi="Times New Roman"/>
          <w:sz w:val="24"/>
          <w:szCs w:val="24"/>
        </w:rPr>
        <w:t>s</w:t>
      </w:r>
      <w:r w:rsidRPr="0045512C">
        <w:rPr>
          <w:rFonts w:ascii="Times New Roman" w:hAnsi="Times New Roman"/>
          <w:sz w:val="24"/>
          <w:szCs w:val="24"/>
        </w:rPr>
        <w:t xml:space="preserve"> on </w:t>
      </w:r>
      <w:r>
        <w:rPr>
          <w:rFonts w:ascii="Times New Roman" w:hAnsi="Times New Roman"/>
          <w:sz w:val="24"/>
          <w:szCs w:val="24"/>
        </w:rPr>
        <w:t>October 31, 2024</w:t>
      </w:r>
      <w:r w:rsidRPr="0045512C">
        <w:rPr>
          <w:rFonts w:ascii="Times New Roman" w:hAnsi="Times New Roman"/>
          <w:sz w:val="24"/>
          <w:szCs w:val="24"/>
        </w:rPr>
        <w:t xml:space="preserve">. </w:t>
      </w:r>
      <w:r>
        <w:rPr>
          <w:rFonts w:ascii="Times New Roman" w:hAnsi="Times New Roman"/>
          <w:sz w:val="24"/>
          <w:szCs w:val="24"/>
        </w:rPr>
        <w:t>This</w:t>
      </w:r>
      <w:r w:rsidRPr="0045512C">
        <w:rPr>
          <w:rFonts w:ascii="Times New Roman" w:hAnsi="Times New Roman"/>
          <w:sz w:val="24"/>
          <w:szCs w:val="24"/>
        </w:rPr>
        <w:t xml:space="preserve"> collection is being updated to reflect the elimination of the </w:t>
      </w:r>
      <w:bookmarkStart w:id="1" w:name="_Hlk171603681"/>
      <w:r w:rsidRPr="0045512C">
        <w:rPr>
          <w:rFonts w:ascii="Times New Roman" w:hAnsi="Times New Roman"/>
          <w:sz w:val="24"/>
          <w:szCs w:val="24"/>
        </w:rPr>
        <w:t xml:space="preserve">MA-1083 Port Infrastructure Development Program (PIDP) Project Information Form, which is no longer needed. The public burden </w:t>
      </w:r>
      <w:r w:rsidR="009120CC">
        <w:rPr>
          <w:rFonts w:ascii="Times New Roman" w:hAnsi="Times New Roman"/>
          <w:sz w:val="24"/>
          <w:szCs w:val="24"/>
        </w:rPr>
        <w:t>has</w:t>
      </w:r>
      <w:r w:rsidRPr="0045512C">
        <w:rPr>
          <w:rFonts w:ascii="Times New Roman" w:hAnsi="Times New Roman"/>
          <w:sz w:val="24"/>
          <w:szCs w:val="24"/>
        </w:rPr>
        <w:t xml:space="preserve"> also reduced since this collection was implemented in 2019.</w:t>
      </w:r>
      <w:bookmarkEnd w:id="1"/>
      <w:r w:rsidRPr="0045512C">
        <w:rPr>
          <w:rFonts w:ascii="Times New Roman" w:hAnsi="Times New Roman"/>
          <w:sz w:val="24"/>
          <w:szCs w:val="24"/>
        </w:rPr>
        <w:t xml:space="preserve"> </w:t>
      </w:r>
      <w:r>
        <w:rPr>
          <w:rFonts w:ascii="Times New Roman" w:hAnsi="Times New Roman"/>
          <w:sz w:val="24"/>
          <w:szCs w:val="24"/>
        </w:rPr>
        <w:t xml:space="preserve">Consequently, this collection will be submitted as an </w:t>
      </w:r>
      <w:r w:rsidRPr="00857A1B">
        <w:rPr>
          <w:rFonts w:ascii="Times New Roman" w:hAnsi="Times New Roman"/>
          <w:i/>
          <w:iCs/>
          <w:sz w:val="24"/>
          <w:szCs w:val="24"/>
        </w:rPr>
        <w:t>extension, with change of a currently approved collection</w:t>
      </w:r>
      <w:r>
        <w:rPr>
          <w:rFonts w:ascii="Times New Roman" w:hAnsi="Times New Roman"/>
          <w:sz w:val="24"/>
          <w:szCs w:val="24"/>
        </w:rPr>
        <w:t>.</w:t>
      </w:r>
    </w:p>
    <w:p w:rsidR="00AF3923" w:rsidRPr="00AF3923" w:rsidP="00AF3923" w14:paraId="1786A3D0" w14:textId="77777777">
      <w:pPr>
        <w:widowControl/>
        <w:autoSpaceDE/>
        <w:autoSpaceDN/>
        <w:adjustRightInd/>
        <w:rPr>
          <w:rFonts w:ascii="Times New Roman" w:hAnsi="Times New Roman"/>
          <w:sz w:val="24"/>
          <w:szCs w:val="24"/>
        </w:rPr>
      </w:pPr>
    </w:p>
    <w:p w:rsidR="0004749E" w:rsidRPr="00857A1B" w:rsidP="00857A1B" w14:paraId="722AAFBF" w14:textId="5512E9E5">
      <w:pPr>
        <w:pStyle w:val="ListParagraph"/>
        <w:numPr>
          <w:ilvl w:val="0"/>
          <w:numId w:val="46"/>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hanging="450"/>
        <w:rPr>
          <w:b/>
          <w:bCs/>
        </w:rPr>
      </w:pPr>
      <w:r w:rsidRPr="00857A1B">
        <w:rPr>
          <w:b/>
          <w:bCs/>
        </w:rPr>
        <w:t>JUSTIFICATION</w:t>
      </w:r>
    </w:p>
    <w:p w:rsidR="0004749E" w:rsidRPr="001F34CE" w:rsidP="00F746AE" w14:paraId="6AA523E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90"/>
        <w:rPr>
          <w:rFonts w:ascii="Times New Roman" w:hAnsi="Times New Roman"/>
          <w:b/>
          <w:bCs/>
          <w:sz w:val="24"/>
          <w:szCs w:val="24"/>
        </w:rPr>
      </w:pPr>
    </w:p>
    <w:p w:rsidR="0004749E" w:rsidRPr="00857A1B" w:rsidP="00857A1B" w14:paraId="5C5F35F3" w14:textId="4A05B513">
      <w:pPr>
        <w:pStyle w:val="ListParagraph"/>
        <w:numPr>
          <w:ilvl w:val="0"/>
          <w:numId w:val="47"/>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u w:val="single"/>
        </w:rPr>
      </w:pPr>
      <w:r w:rsidRPr="00A823EE">
        <w:rPr>
          <w:b/>
          <w:bCs/>
        </w:rPr>
        <w:t xml:space="preserve">Circumstances Making the Collection of Information Necessary  </w:t>
      </w:r>
      <w:r w:rsidRPr="00A823EE" w:rsidR="00470720">
        <w:rPr>
          <w:b/>
          <w:bCs/>
        </w:rPr>
        <w:t xml:space="preserve"> </w:t>
      </w:r>
    </w:p>
    <w:p w:rsidR="00A823EE" w:rsidP="00507DBB" w14:paraId="409AD0E6" w14:textId="77777777">
      <w:pPr>
        <w:ind w:left="288"/>
        <w:rPr>
          <w:rFonts w:ascii="Times New Roman" w:hAnsi="Times New Roman"/>
          <w:sz w:val="24"/>
          <w:szCs w:val="24"/>
        </w:rPr>
      </w:pPr>
      <w:r w:rsidRPr="001F34CE">
        <w:rPr>
          <w:rFonts w:ascii="Times New Roman" w:hAnsi="Times New Roman"/>
          <w:sz w:val="24"/>
        </w:rPr>
        <w:br/>
      </w:r>
      <w:bookmarkStart w:id="2" w:name="_Hlk170899788"/>
      <w:r w:rsidRPr="00A823EE">
        <w:rPr>
          <w:rFonts w:ascii="Times New Roman" w:hAnsi="Times New Roman"/>
          <w:sz w:val="24"/>
          <w:szCs w:val="24"/>
        </w:rPr>
        <w:t>The Infrastructure Investment and Jobs Act (Pub. L. 117-58, November 15, 2021) (“Bipartisan Infrastructure Law” or “BIL”) appropriated $450 million to the PIDP for FY 2024 to make discretionary grants for eligible projects. On March 9, 2024, the Consolidated Appropriations Act, 2024 (Pub. L. 118-42) (“FY 2024 Appropriations Act”) appropriated an additional $120,460,124 for the FY 2024 PIDP grant program. Of that amount, $50 million is available to be awarded as discretionary grants. Altogether, a total $500 million in funding is now available to be awarded by the U.S. Department of Transportation (Department) for the Port Infrastructure Development Program (Program). This appropriations act allows the Department to make discretionary grants to improve port facilities at or near coastal seaports. The purpose of the Program is to accept applications to make grants. Submitted applications will be reviewed to determine if respondents meet the criteria for selection as grant recipients.</w:t>
      </w:r>
    </w:p>
    <w:p w:rsidR="00A823EE" w:rsidRPr="00A823EE" w:rsidP="00857A1B" w14:paraId="455A9606" w14:textId="77777777">
      <w:pPr>
        <w:ind w:left="288"/>
        <w:rPr>
          <w:rFonts w:ascii="Times New Roman" w:hAnsi="Times New Roman"/>
          <w:sz w:val="24"/>
          <w:szCs w:val="24"/>
        </w:rPr>
      </w:pPr>
    </w:p>
    <w:bookmarkEnd w:id="2"/>
    <w:p w:rsidR="00E33FDA" w:rsidP="00507DBB" w14:paraId="5F14C8DA" w14:textId="6348FAB2">
      <w:pPr>
        <w:ind w:left="288"/>
        <w:rPr>
          <w:rStyle w:val="A9"/>
          <w:rFonts w:ascii="Times New Roman" w:hAnsi="Times New Roman" w:cs="Times New Roman"/>
          <w:color w:val="auto"/>
          <w:sz w:val="24"/>
          <w:szCs w:val="24"/>
        </w:rPr>
      </w:pPr>
      <w:r w:rsidRPr="001F34CE">
        <w:rPr>
          <w:rStyle w:val="A9"/>
          <w:rFonts w:ascii="Times New Roman" w:hAnsi="Times New Roman" w:cs="Times New Roman"/>
          <w:bCs/>
          <w:color w:val="auto"/>
          <w:sz w:val="24"/>
          <w:szCs w:val="24"/>
        </w:rPr>
        <w:t>This Program supports the Department</w:t>
      </w:r>
      <w:r w:rsidR="001A4698">
        <w:rPr>
          <w:rStyle w:val="A9"/>
          <w:rFonts w:ascii="Times New Roman" w:hAnsi="Times New Roman" w:cs="Times New Roman"/>
          <w:bCs/>
          <w:color w:val="auto"/>
          <w:sz w:val="24"/>
          <w:szCs w:val="24"/>
        </w:rPr>
        <w:t xml:space="preserve">’s </w:t>
      </w:r>
      <w:r w:rsidRPr="001F34CE">
        <w:rPr>
          <w:rStyle w:val="A9"/>
          <w:rFonts w:ascii="Times New Roman" w:hAnsi="Times New Roman" w:cs="Times New Roman"/>
          <w:bCs/>
          <w:color w:val="auto"/>
          <w:sz w:val="24"/>
          <w:szCs w:val="24"/>
        </w:rPr>
        <w:t>strategic goal of infrastructure investment. Invest</w:t>
      </w:r>
      <w:r w:rsidR="00637E59">
        <w:rPr>
          <w:rStyle w:val="A9"/>
          <w:rFonts w:ascii="Times New Roman" w:hAnsi="Times New Roman" w:cs="Times New Roman"/>
          <w:bCs/>
          <w:color w:val="auto"/>
          <w:sz w:val="24"/>
          <w:szCs w:val="24"/>
        </w:rPr>
        <w:t>ment</w:t>
      </w:r>
      <w:r w:rsidRPr="001F34CE">
        <w:rPr>
          <w:rStyle w:val="A9"/>
          <w:rFonts w:ascii="Times New Roman" w:hAnsi="Times New Roman" w:cs="Times New Roman"/>
          <w:bCs/>
          <w:color w:val="auto"/>
          <w:sz w:val="24"/>
          <w:szCs w:val="24"/>
        </w:rPr>
        <w:t xml:space="preserve"> in </w:t>
      </w:r>
      <w:r w:rsidRPr="001F34CE" w:rsidR="00DC0FF5">
        <w:rPr>
          <w:rStyle w:val="A9"/>
          <w:rFonts w:ascii="Times New Roman" w:hAnsi="Times New Roman" w:cs="Times New Roman"/>
          <w:bCs/>
          <w:color w:val="auto"/>
          <w:sz w:val="24"/>
          <w:szCs w:val="24"/>
        </w:rPr>
        <w:t>i</w:t>
      </w:r>
      <w:r w:rsidRPr="001F34CE">
        <w:rPr>
          <w:rStyle w:val="A9"/>
          <w:rFonts w:ascii="Times New Roman" w:hAnsi="Times New Roman" w:cs="Times New Roman"/>
          <w:bCs/>
          <w:color w:val="auto"/>
          <w:sz w:val="24"/>
          <w:szCs w:val="24"/>
        </w:rPr>
        <w:t xml:space="preserve">nfrastructure </w:t>
      </w:r>
      <w:r w:rsidR="00637E59">
        <w:rPr>
          <w:rStyle w:val="A9"/>
          <w:rFonts w:ascii="Times New Roman" w:hAnsi="Times New Roman" w:cs="Times New Roman"/>
          <w:bCs/>
          <w:color w:val="auto"/>
          <w:sz w:val="24"/>
          <w:szCs w:val="24"/>
        </w:rPr>
        <w:t>will</w:t>
      </w:r>
      <w:r w:rsidRPr="001F34CE">
        <w:rPr>
          <w:rStyle w:val="A9"/>
          <w:rFonts w:ascii="Times New Roman" w:hAnsi="Times New Roman" w:cs="Times New Roman"/>
          <w:bCs/>
          <w:color w:val="auto"/>
          <w:sz w:val="24"/>
          <w:szCs w:val="24"/>
        </w:rPr>
        <w:t xml:space="preserve">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nsure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afety</w:t>
      </w:r>
      <w:r w:rsidRPr="001F34CE" w:rsidR="00DC0FF5">
        <w:rPr>
          <w:rStyle w:val="A9"/>
          <w:rFonts w:ascii="Times New Roman" w:hAnsi="Times New Roman" w:cs="Times New Roman"/>
          <w:bCs/>
          <w:color w:val="auto"/>
          <w:sz w:val="24"/>
          <w:szCs w:val="24"/>
        </w:rPr>
        <w:t xml:space="preserve"> </w:t>
      </w:r>
      <w:r w:rsidRPr="001F34CE">
        <w:rPr>
          <w:rStyle w:val="A9"/>
          <w:rFonts w:ascii="Times New Roman" w:hAnsi="Times New Roman" w:cs="Times New Roman"/>
          <w:bCs/>
          <w:color w:val="auto"/>
          <w:sz w:val="24"/>
          <w:szCs w:val="24"/>
        </w:rPr>
        <w:t xml:space="preserve">and </w:t>
      </w:r>
      <w:r w:rsidRPr="001F34CE" w:rsidR="00DC0FF5">
        <w:rPr>
          <w:rStyle w:val="A9"/>
          <w:rFonts w:ascii="Times New Roman" w:hAnsi="Times New Roman" w:cs="Times New Roman"/>
          <w:bCs/>
          <w:color w:val="auto"/>
          <w:sz w:val="24"/>
          <w:szCs w:val="24"/>
        </w:rPr>
        <w:t>s</w:t>
      </w:r>
      <w:r w:rsidRPr="001F34CE">
        <w:rPr>
          <w:rStyle w:val="A9"/>
          <w:rFonts w:ascii="Times New Roman" w:hAnsi="Times New Roman" w:cs="Times New Roman"/>
          <w:bCs/>
          <w:color w:val="auto"/>
          <w:sz w:val="24"/>
          <w:szCs w:val="24"/>
        </w:rPr>
        <w:t xml:space="preserve">timulate </w:t>
      </w:r>
      <w:r w:rsidRPr="001F34CE" w:rsidR="00DC0FF5">
        <w:rPr>
          <w:rStyle w:val="A9"/>
          <w:rFonts w:ascii="Times New Roman" w:hAnsi="Times New Roman" w:cs="Times New Roman"/>
          <w:bCs/>
          <w:color w:val="auto"/>
          <w:sz w:val="24"/>
          <w:szCs w:val="24"/>
        </w:rPr>
        <w:t>e</w:t>
      </w:r>
      <w:r w:rsidRPr="001F34CE">
        <w:rPr>
          <w:rStyle w:val="A9"/>
          <w:rFonts w:ascii="Times New Roman" w:hAnsi="Times New Roman" w:cs="Times New Roman"/>
          <w:bCs/>
          <w:color w:val="auto"/>
          <w:sz w:val="24"/>
          <w:szCs w:val="24"/>
        </w:rPr>
        <w:t xml:space="preserve">conomic </w:t>
      </w:r>
      <w:r w:rsidRPr="001F34CE" w:rsidR="00DC0FF5">
        <w:rPr>
          <w:rStyle w:val="A9"/>
          <w:rFonts w:ascii="Times New Roman" w:hAnsi="Times New Roman" w:cs="Times New Roman"/>
          <w:bCs/>
          <w:color w:val="auto"/>
          <w:sz w:val="24"/>
          <w:szCs w:val="24"/>
        </w:rPr>
        <w:t>g</w:t>
      </w:r>
      <w:r w:rsidRPr="001F34CE">
        <w:rPr>
          <w:rStyle w:val="A9"/>
          <w:rFonts w:ascii="Times New Roman" w:hAnsi="Times New Roman" w:cs="Times New Roman"/>
          <w:bCs/>
          <w:color w:val="auto"/>
          <w:sz w:val="24"/>
          <w:szCs w:val="24"/>
        </w:rPr>
        <w:t xml:space="preserve">rowth, </w:t>
      </w:r>
      <w:r w:rsidRPr="001F34CE" w:rsidR="00CC54AD">
        <w:rPr>
          <w:rStyle w:val="A9"/>
          <w:rFonts w:ascii="Times New Roman" w:hAnsi="Times New Roman" w:cs="Times New Roman"/>
          <w:bCs/>
          <w:color w:val="auto"/>
          <w:sz w:val="24"/>
          <w:szCs w:val="24"/>
        </w:rPr>
        <w:t>p</w:t>
      </w:r>
      <w:r w:rsidRPr="001F34CE">
        <w:rPr>
          <w:rStyle w:val="A9"/>
          <w:rFonts w:ascii="Times New Roman" w:hAnsi="Times New Roman" w:cs="Times New Roman"/>
          <w:bCs/>
          <w:color w:val="auto"/>
          <w:sz w:val="24"/>
          <w:szCs w:val="24"/>
        </w:rPr>
        <w:t xml:space="preserve">roductivity and </w:t>
      </w:r>
      <w:r w:rsidRPr="001F34CE" w:rsidR="00CC54AD">
        <w:rPr>
          <w:rStyle w:val="A9"/>
          <w:rFonts w:ascii="Times New Roman" w:hAnsi="Times New Roman" w:cs="Times New Roman"/>
          <w:bCs/>
          <w:color w:val="auto"/>
          <w:sz w:val="24"/>
          <w:szCs w:val="24"/>
        </w:rPr>
        <w:t>c</w:t>
      </w:r>
      <w:r w:rsidRPr="001F34CE">
        <w:rPr>
          <w:rStyle w:val="A9"/>
          <w:rFonts w:ascii="Times New Roman" w:hAnsi="Times New Roman" w:cs="Times New Roman"/>
          <w:bCs/>
          <w:color w:val="auto"/>
          <w:sz w:val="24"/>
          <w:szCs w:val="24"/>
        </w:rPr>
        <w:t xml:space="preserve">ompetitiveness for American </w:t>
      </w:r>
      <w:r w:rsidRPr="001F34CE" w:rsidR="00CC54AD">
        <w:rPr>
          <w:rStyle w:val="A9"/>
          <w:rFonts w:ascii="Times New Roman" w:hAnsi="Times New Roman" w:cs="Times New Roman"/>
          <w:bCs/>
          <w:color w:val="auto"/>
          <w:sz w:val="24"/>
          <w:szCs w:val="24"/>
        </w:rPr>
        <w:t>w</w:t>
      </w:r>
      <w:r w:rsidRPr="001F34CE">
        <w:rPr>
          <w:rStyle w:val="A9"/>
          <w:rFonts w:ascii="Times New Roman" w:hAnsi="Times New Roman" w:cs="Times New Roman"/>
          <w:bCs/>
          <w:color w:val="auto"/>
          <w:sz w:val="24"/>
          <w:szCs w:val="24"/>
        </w:rPr>
        <w:t xml:space="preserve">orkers and </w:t>
      </w:r>
      <w:r w:rsidRPr="001F34CE" w:rsidR="00CC54AD">
        <w:rPr>
          <w:rStyle w:val="A9"/>
          <w:rFonts w:ascii="Times New Roman" w:hAnsi="Times New Roman" w:cs="Times New Roman"/>
          <w:bCs/>
          <w:color w:val="auto"/>
          <w:sz w:val="24"/>
          <w:szCs w:val="24"/>
        </w:rPr>
        <w:t>b</w:t>
      </w:r>
      <w:r w:rsidRPr="001F34CE">
        <w:rPr>
          <w:rStyle w:val="A9"/>
          <w:rFonts w:ascii="Times New Roman" w:hAnsi="Times New Roman" w:cs="Times New Roman"/>
          <w:bCs/>
          <w:color w:val="auto"/>
          <w:sz w:val="24"/>
          <w:szCs w:val="24"/>
        </w:rPr>
        <w:t xml:space="preserve">usinesses. </w:t>
      </w:r>
      <w:r w:rsidR="005649E6">
        <w:rPr>
          <w:rStyle w:val="A9"/>
          <w:rFonts w:ascii="Times New Roman" w:hAnsi="Times New Roman" w:cs="Times New Roman"/>
          <w:color w:val="auto"/>
          <w:sz w:val="24"/>
          <w:szCs w:val="24"/>
        </w:rPr>
        <w:t>The Department</w:t>
      </w:r>
      <w:r w:rsidRPr="001F34CE">
        <w:rPr>
          <w:rStyle w:val="A9"/>
          <w:rFonts w:ascii="Times New Roman" w:hAnsi="Times New Roman" w:cs="Times New Roman"/>
          <w:color w:val="auto"/>
          <w:sz w:val="24"/>
          <w:szCs w:val="24"/>
        </w:rPr>
        <w:t xml:space="preserve"> seeks to work effectively with State, local, Tribal, and private partners</w:t>
      </w:r>
      <w:r w:rsidR="005649E6">
        <w:rPr>
          <w:rStyle w:val="A9"/>
          <w:rFonts w:ascii="Times New Roman" w:hAnsi="Times New Roman" w:cs="Times New Roman"/>
          <w:color w:val="auto"/>
          <w:sz w:val="24"/>
          <w:szCs w:val="24"/>
        </w:rPr>
        <w:t>,</w:t>
      </w:r>
      <w:r w:rsidRPr="001F34CE">
        <w:rPr>
          <w:rStyle w:val="A9"/>
          <w:rFonts w:ascii="Times New Roman" w:hAnsi="Times New Roman" w:cs="Times New Roman"/>
          <w:color w:val="auto"/>
          <w:sz w:val="24"/>
          <w:szCs w:val="24"/>
        </w:rPr>
        <w:t xml:space="preserve"> to guide investments that </w:t>
      </w:r>
      <w:r w:rsidR="00637E59">
        <w:rPr>
          <w:rStyle w:val="A9"/>
          <w:rFonts w:ascii="Times New Roman" w:hAnsi="Times New Roman" w:cs="Times New Roman"/>
          <w:color w:val="auto"/>
          <w:sz w:val="24"/>
          <w:szCs w:val="24"/>
        </w:rPr>
        <w:t xml:space="preserve">will </w:t>
      </w:r>
      <w:r w:rsidRPr="001F34CE">
        <w:rPr>
          <w:rStyle w:val="A9"/>
          <w:rFonts w:ascii="Times New Roman" w:hAnsi="Times New Roman" w:cs="Times New Roman"/>
          <w:color w:val="auto"/>
          <w:sz w:val="24"/>
          <w:szCs w:val="24"/>
        </w:rPr>
        <w:t xml:space="preserve">stimulate economic growth, improve the condition of transportation infrastructure, and enable the efficient and safe movement of people and goods. To achieve this goal, </w:t>
      </w:r>
      <w:r w:rsidR="005649E6">
        <w:rPr>
          <w:rStyle w:val="A9"/>
          <w:rFonts w:ascii="Times New Roman" w:hAnsi="Times New Roman" w:cs="Times New Roman"/>
          <w:color w:val="auto"/>
          <w:sz w:val="24"/>
          <w:szCs w:val="24"/>
        </w:rPr>
        <w:t>the Department</w:t>
      </w:r>
      <w:r w:rsidRPr="001F34CE" w:rsidR="005649E6">
        <w:rPr>
          <w:rStyle w:val="A9"/>
          <w:rFonts w:ascii="Times New Roman" w:hAnsi="Times New Roman" w:cs="Times New Roman"/>
          <w:color w:val="auto"/>
          <w:sz w:val="24"/>
          <w:szCs w:val="24"/>
        </w:rPr>
        <w:t xml:space="preserve"> </w:t>
      </w:r>
      <w:r w:rsidRPr="001F34CE">
        <w:rPr>
          <w:rStyle w:val="A9"/>
          <w:rFonts w:ascii="Times New Roman" w:hAnsi="Times New Roman" w:cs="Times New Roman"/>
          <w:color w:val="auto"/>
          <w:sz w:val="24"/>
          <w:szCs w:val="24"/>
        </w:rPr>
        <w:t>will provide guidance, technical assistance, and research that leverages Federal funding, accelerates project delivery, reduces project lifecycle costs, and optimizes the operation and performance of existing facilities.</w:t>
      </w:r>
      <w:r w:rsidRPr="00637E59" w:rsidR="00637E59">
        <w:t xml:space="preserve"> </w:t>
      </w:r>
      <w:r w:rsidR="005649E6">
        <w:rPr>
          <w:rStyle w:val="A9"/>
          <w:rFonts w:ascii="Times New Roman" w:hAnsi="Times New Roman" w:cs="Times New Roman"/>
          <w:color w:val="auto"/>
          <w:sz w:val="24"/>
          <w:szCs w:val="24"/>
        </w:rPr>
        <w:t>The Department</w:t>
      </w:r>
      <w:r w:rsidRPr="00637E59" w:rsidR="00637E59">
        <w:rPr>
          <w:rStyle w:val="A9"/>
          <w:rFonts w:ascii="Times New Roman" w:hAnsi="Times New Roman" w:cs="Times New Roman"/>
          <w:color w:val="auto"/>
          <w:sz w:val="24"/>
          <w:szCs w:val="24"/>
        </w:rPr>
        <w:t xml:space="preserve"> can maximize the returns to the Nation’s economy and </w:t>
      </w:r>
      <w:r w:rsidR="00330CE2">
        <w:rPr>
          <w:rStyle w:val="A9"/>
          <w:rFonts w:ascii="Times New Roman" w:hAnsi="Times New Roman" w:cs="Times New Roman"/>
          <w:color w:val="auto"/>
          <w:sz w:val="24"/>
          <w:szCs w:val="24"/>
        </w:rPr>
        <w:t>citizens</w:t>
      </w:r>
      <w:r w:rsidR="005649E6">
        <w:rPr>
          <w:rStyle w:val="A9"/>
          <w:rFonts w:ascii="Times New Roman" w:hAnsi="Times New Roman" w:cs="Times New Roman"/>
          <w:color w:val="auto"/>
          <w:sz w:val="24"/>
          <w:szCs w:val="24"/>
        </w:rPr>
        <w:t>,</w:t>
      </w:r>
      <w:r w:rsidR="00330CE2">
        <w:rPr>
          <w:rStyle w:val="A9"/>
          <w:rFonts w:ascii="Times New Roman" w:hAnsi="Times New Roman" w:cs="Times New Roman"/>
          <w:color w:val="auto"/>
          <w:sz w:val="24"/>
          <w:szCs w:val="24"/>
        </w:rPr>
        <w:t xml:space="preserve"> b</w:t>
      </w:r>
      <w:r w:rsidRPr="001F34CE">
        <w:rPr>
          <w:rStyle w:val="A9"/>
          <w:rFonts w:ascii="Times New Roman" w:hAnsi="Times New Roman" w:cs="Times New Roman"/>
          <w:color w:val="auto"/>
          <w:sz w:val="24"/>
          <w:szCs w:val="24"/>
        </w:rPr>
        <w:t xml:space="preserve">y using innovative forms of </w:t>
      </w:r>
      <w:r w:rsidRPr="001F34CE" w:rsidR="00CC54AD">
        <w:rPr>
          <w:rStyle w:val="A9"/>
          <w:rFonts w:ascii="Times New Roman" w:hAnsi="Times New Roman" w:cs="Times New Roman"/>
          <w:color w:val="auto"/>
          <w:sz w:val="24"/>
          <w:szCs w:val="24"/>
        </w:rPr>
        <w:t>p</w:t>
      </w:r>
      <w:r w:rsidRPr="001F34CE">
        <w:rPr>
          <w:rStyle w:val="A9"/>
          <w:rFonts w:ascii="Times New Roman" w:hAnsi="Times New Roman" w:cs="Times New Roman"/>
          <w:color w:val="auto"/>
          <w:sz w:val="24"/>
          <w:szCs w:val="24"/>
        </w:rPr>
        <w:t>roject delivery, encouraging partnerships between the public and private sectors, and strategically balancing investments across various modes of transportation</w:t>
      </w:r>
      <w:r w:rsidR="00330CE2">
        <w:rPr>
          <w:rStyle w:val="A9"/>
          <w:rFonts w:ascii="Times New Roman" w:hAnsi="Times New Roman" w:cs="Times New Roman"/>
          <w:color w:val="auto"/>
          <w:sz w:val="24"/>
          <w:szCs w:val="24"/>
        </w:rPr>
        <w:t>,</w:t>
      </w:r>
      <w:r w:rsidRPr="001F34CE">
        <w:rPr>
          <w:rStyle w:val="A9"/>
          <w:rFonts w:ascii="Times New Roman" w:hAnsi="Times New Roman" w:cs="Times New Roman"/>
          <w:color w:val="auto"/>
          <w:sz w:val="24"/>
          <w:szCs w:val="24"/>
        </w:rPr>
        <w:t xml:space="preserve"> to promote greater efficiencies. </w:t>
      </w:r>
    </w:p>
    <w:p w:rsidR="00A823EE" w:rsidRPr="001F34CE" w:rsidP="00857A1B" w14:paraId="442B7A38" w14:textId="77777777">
      <w:pPr>
        <w:ind w:left="288"/>
        <w:rPr>
          <w:rFonts w:ascii="Times New Roman" w:hAnsi="Times New Roman"/>
          <w:sz w:val="24"/>
          <w:szCs w:val="24"/>
        </w:rPr>
      </w:pPr>
    </w:p>
    <w:p w:rsidR="00470720" w:rsidRPr="00A823EE" w:rsidP="00857A1B" w14:paraId="3B6A4C81" w14:textId="3B426237">
      <w:pPr>
        <w:pStyle w:val="ListParagraph"/>
        <w:numPr>
          <w:ilvl w:val="0"/>
          <w:numId w:val="47"/>
        </w:numPr>
        <w:rPr>
          <w:b/>
        </w:rPr>
      </w:pPr>
      <w:r w:rsidRPr="00A823EE">
        <w:rPr>
          <w:b/>
          <w:bCs/>
        </w:rPr>
        <w:t xml:space="preserve">Purpose and Use of the Information Collection  </w:t>
      </w:r>
    </w:p>
    <w:p w:rsidR="00E33FDA" w:rsidRPr="001F34CE" w:rsidP="00F746AE" w14:paraId="7805CD9F" w14:textId="77777777">
      <w:pPr>
        <w:ind w:left="-90"/>
        <w:rPr>
          <w:rFonts w:ascii="Times New Roman" w:hAnsi="Times New Roman"/>
          <w:b/>
          <w:sz w:val="24"/>
          <w:szCs w:val="24"/>
        </w:rPr>
      </w:pPr>
    </w:p>
    <w:p w:rsidR="00EE6A24" w:rsidRPr="001F34CE" w:rsidP="00857A1B" w14:paraId="11AE4806" w14:textId="7362396A">
      <w:pPr>
        <w:ind w:left="288"/>
        <w:rPr>
          <w:rFonts w:ascii="Times New Roman" w:hAnsi="Times New Roman"/>
          <w:sz w:val="24"/>
          <w:szCs w:val="24"/>
        </w:rPr>
      </w:pPr>
      <w:r w:rsidRPr="001F34CE">
        <w:rPr>
          <w:rFonts w:ascii="Times New Roman" w:hAnsi="Times New Roman"/>
          <w:sz w:val="24"/>
          <w:szCs w:val="24"/>
        </w:rPr>
        <w:t xml:space="preserve">The Port Infrastructure Development Program was established </w:t>
      </w:r>
      <w:r w:rsidR="005607FC">
        <w:rPr>
          <w:rFonts w:ascii="Times New Roman" w:hAnsi="Times New Roman"/>
          <w:sz w:val="24"/>
          <w:szCs w:val="24"/>
        </w:rPr>
        <w:t xml:space="preserve">to provide grants for the development of port </w:t>
      </w:r>
      <w:r w:rsidR="000A4E85">
        <w:rPr>
          <w:rFonts w:ascii="Times New Roman" w:hAnsi="Times New Roman"/>
          <w:sz w:val="24"/>
          <w:szCs w:val="24"/>
        </w:rPr>
        <w:t>f</w:t>
      </w:r>
      <w:r w:rsidR="005607FC">
        <w:rPr>
          <w:rFonts w:ascii="Times New Roman" w:hAnsi="Times New Roman"/>
          <w:sz w:val="24"/>
          <w:szCs w:val="24"/>
        </w:rPr>
        <w:t xml:space="preserve">acilities. </w:t>
      </w:r>
      <w:r w:rsidRPr="001F34CE">
        <w:rPr>
          <w:rFonts w:ascii="Times New Roman" w:hAnsi="Times New Roman"/>
          <w:sz w:val="24"/>
          <w:szCs w:val="24"/>
        </w:rPr>
        <w:t>To carry out a project under this program, the Department may provide financial assistance, including grants to port authorities or commissions</w:t>
      </w:r>
      <w:r w:rsidR="00330CE2">
        <w:rPr>
          <w:rFonts w:ascii="Times New Roman" w:hAnsi="Times New Roman"/>
          <w:sz w:val="24"/>
          <w:szCs w:val="24"/>
        </w:rPr>
        <w:t>,</w:t>
      </w:r>
      <w:r w:rsidRPr="001F34CE">
        <w:rPr>
          <w:rFonts w:ascii="Times New Roman" w:hAnsi="Times New Roman"/>
          <w:sz w:val="24"/>
          <w:szCs w:val="24"/>
        </w:rPr>
        <w:t xml:space="preserve"> or</w:t>
      </w:r>
      <w:r w:rsidR="00330CE2">
        <w:rPr>
          <w:rFonts w:ascii="Times New Roman" w:hAnsi="Times New Roman"/>
          <w:sz w:val="24"/>
          <w:szCs w:val="24"/>
        </w:rPr>
        <w:t xml:space="preserve"> to</w:t>
      </w:r>
      <w:r w:rsidRPr="001F34CE">
        <w:rPr>
          <w:rFonts w:ascii="Times New Roman" w:hAnsi="Times New Roman"/>
          <w:sz w:val="24"/>
          <w:szCs w:val="24"/>
        </w:rPr>
        <w:t xml:space="preserve"> their subdivisions and agents for port and intermodal infrastructure-related projects.  </w:t>
      </w:r>
    </w:p>
    <w:p w:rsidR="006E2D98" w:rsidRPr="001F34CE" w:rsidP="00857A1B" w14:paraId="660DBA03" w14:textId="77777777">
      <w:pPr>
        <w:ind w:left="288"/>
        <w:rPr>
          <w:rFonts w:ascii="Times New Roman" w:hAnsi="Times New Roman"/>
          <w:color w:val="333333"/>
          <w:sz w:val="24"/>
          <w:szCs w:val="24"/>
        </w:rPr>
      </w:pPr>
    </w:p>
    <w:p w:rsidR="00E33FDA" w:rsidRPr="001F34CE" w:rsidP="00857A1B" w14:paraId="37A5E8E5" w14:textId="7CAA63F2">
      <w:pPr>
        <w:ind w:left="288"/>
        <w:rPr>
          <w:rFonts w:ascii="Times New Roman" w:hAnsi="Times New Roman"/>
          <w:sz w:val="24"/>
          <w:szCs w:val="24"/>
        </w:rPr>
      </w:pPr>
      <w:r>
        <w:rPr>
          <w:rFonts w:ascii="Times New Roman" w:hAnsi="Times New Roman"/>
          <w:color w:val="333333"/>
          <w:sz w:val="24"/>
          <w:szCs w:val="24"/>
        </w:rPr>
        <w:t xml:space="preserve">The Department requests applications that seek funds to improve facilities at </w:t>
      </w:r>
      <w:r w:rsidRPr="001F34CE">
        <w:rPr>
          <w:rFonts w:ascii="Times New Roman" w:hAnsi="Times New Roman"/>
          <w:sz w:val="24"/>
          <w:szCs w:val="24"/>
        </w:rPr>
        <w:t>coastal seaports</w:t>
      </w:r>
      <w:r w:rsidR="00E521CC">
        <w:rPr>
          <w:rFonts w:ascii="Times New Roman" w:hAnsi="Times New Roman"/>
          <w:sz w:val="24"/>
          <w:szCs w:val="24"/>
        </w:rPr>
        <w:t>,</w:t>
      </w:r>
      <w:r>
        <w:rPr>
          <w:rFonts w:ascii="Times New Roman" w:hAnsi="Times New Roman"/>
          <w:sz w:val="24"/>
          <w:szCs w:val="24"/>
        </w:rPr>
        <w:t xml:space="preserve"> inland river ports, and Great Lakes ports</w:t>
      </w:r>
      <w:r w:rsidRPr="001F34CE">
        <w:rPr>
          <w:rFonts w:ascii="Times New Roman" w:hAnsi="Times New Roman"/>
          <w:sz w:val="24"/>
          <w:szCs w:val="24"/>
        </w:rPr>
        <w:t xml:space="preserve">. Department </w:t>
      </w:r>
      <w:r w:rsidR="00330CE2">
        <w:rPr>
          <w:rFonts w:ascii="Times New Roman" w:hAnsi="Times New Roman"/>
          <w:sz w:val="24"/>
          <w:szCs w:val="24"/>
        </w:rPr>
        <w:t xml:space="preserve">personnel will </w:t>
      </w:r>
      <w:r>
        <w:rPr>
          <w:rFonts w:ascii="Times New Roman" w:hAnsi="Times New Roman"/>
          <w:sz w:val="24"/>
          <w:szCs w:val="24"/>
        </w:rPr>
        <w:t xml:space="preserve">review applications to determine if they meet criteria for potential grant awards for projects </w:t>
      </w:r>
      <w:r w:rsidR="00DF0E4C">
        <w:rPr>
          <w:rFonts w:ascii="Times New Roman" w:hAnsi="Times New Roman"/>
          <w:sz w:val="24"/>
          <w:szCs w:val="24"/>
        </w:rPr>
        <w:t xml:space="preserve">that </w:t>
      </w:r>
      <w:r w:rsidR="005649E6">
        <w:rPr>
          <w:rFonts w:ascii="Times New Roman" w:hAnsi="Times New Roman"/>
          <w:sz w:val="24"/>
          <w:szCs w:val="24"/>
        </w:rPr>
        <w:t xml:space="preserve">will </w:t>
      </w:r>
      <w:r w:rsidRPr="001F34CE" w:rsidR="00DF0E4C">
        <w:rPr>
          <w:rFonts w:ascii="Times New Roman" w:hAnsi="Times New Roman"/>
          <w:sz w:val="24"/>
          <w:szCs w:val="24"/>
        </w:rPr>
        <w:t>advance</w:t>
      </w:r>
      <w:r w:rsidRPr="001F34CE" w:rsidR="006E2D98">
        <w:rPr>
          <w:rFonts w:ascii="Times New Roman" w:hAnsi="Times New Roman"/>
          <w:sz w:val="24"/>
          <w:szCs w:val="24"/>
        </w:rPr>
        <w:t xml:space="preserve"> </w:t>
      </w:r>
      <w:r w:rsidRPr="001F34CE">
        <w:rPr>
          <w:rFonts w:ascii="Times New Roman" w:hAnsi="Times New Roman"/>
          <w:sz w:val="24"/>
          <w:szCs w:val="24"/>
        </w:rPr>
        <w:t>outcomes</w:t>
      </w:r>
      <w:r w:rsidRPr="001F34CE" w:rsidR="00952034">
        <w:rPr>
          <w:rFonts w:ascii="Times New Roman" w:hAnsi="Times New Roman"/>
          <w:sz w:val="24"/>
          <w:szCs w:val="24"/>
        </w:rPr>
        <w:t xml:space="preserve"> that support</w:t>
      </w:r>
      <w:r w:rsidR="005649E6">
        <w:rPr>
          <w:rFonts w:ascii="Times New Roman" w:hAnsi="Times New Roman"/>
          <w:sz w:val="24"/>
          <w:szCs w:val="24"/>
        </w:rPr>
        <w:t xml:space="preserve"> previously</w:t>
      </w:r>
      <w:r w:rsidRPr="001F34CE" w:rsidR="00952034">
        <w:rPr>
          <w:rFonts w:ascii="Times New Roman" w:hAnsi="Times New Roman"/>
          <w:sz w:val="24"/>
          <w:szCs w:val="24"/>
        </w:rPr>
        <w:t xml:space="preserve"> stated goals</w:t>
      </w:r>
      <w:r w:rsidRPr="001F34CE">
        <w:rPr>
          <w:rFonts w:ascii="Times New Roman" w:hAnsi="Times New Roman"/>
          <w:sz w:val="24"/>
          <w:szCs w:val="24"/>
        </w:rPr>
        <w:t xml:space="preserve">. </w:t>
      </w:r>
    </w:p>
    <w:p w:rsidR="006E2D98" w:rsidRPr="001F34CE" w:rsidP="00857A1B" w14:paraId="72E470EE" w14:textId="77777777">
      <w:pPr>
        <w:ind w:left="288"/>
        <w:rPr>
          <w:rFonts w:ascii="Times New Roman" w:hAnsi="Times New Roman"/>
          <w:sz w:val="24"/>
          <w:szCs w:val="24"/>
        </w:rPr>
      </w:pPr>
    </w:p>
    <w:p w:rsidR="006E2D98" w:rsidRPr="001F34CE" w:rsidP="00857A1B" w14:paraId="40CD4F33" w14:textId="1EC8DF6E">
      <w:pPr>
        <w:ind w:left="288"/>
        <w:rPr>
          <w:rFonts w:ascii="Times New Roman" w:hAnsi="Times New Roman"/>
          <w:sz w:val="24"/>
          <w:szCs w:val="24"/>
        </w:rPr>
      </w:pPr>
      <w:r w:rsidRPr="001F34CE">
        <w:rPr>
          <w:rFonts w:ascii="Times New Roman" w:hAnsi="Times New Roman"/>
          <w:sz w:val="24"/>
          <w:szCs w:val="24"/>
        </w:rPr>
        <w:t xml:space="preserve">The Program </w:t>
      </w:r>
      <w:r w:rsidR="00BD6311">
        <w:rPr>
          <w:rFonts w:ascii="Times New Roman" w:hAnsi="Times New Roman"/>
          <w:sz w:val="24"/>
          <w:szCs w:val="24"/>
        </w:rPr>
        <w:t xml:space="preserve">seeks applications to provide financial assistance, including grants, to port authorities or commissions or their subdivisions and agents for port and intermodal infrastructure-related projects. </w:t>
      </w:r>
      <w:r w:rsidR="00E521CC">
        <w:rPr>
          <w:rFonts w:ascii="Times New Roman" w:hAnsi="Times New Roman"/>
          <w:sz w:val="24"/>
          <w:szCs w:val="24"/>
        </w:rPr>
        <w:t>The</w:t>
      </w:r>
      <w:r w:rsidR="00037AEF">
        <w:rPr>
          <w:rFonts w:ascii="Times New Roman" w:hAnsi="Times New Roman"/>
          <w:sz w:val="24"/>
          <w:szCs w:val="24"/>
        </w:rPr>
        <w:t xml:space="preserve"> Department seeks projects that will: </w:t>
      </w:r>
      <w:r w:rsidRPr="00E521CC" w:rsidR="00E521CC">
        <w:rPr>
          <w:rFonts w:ascii="Times New Roman" w:hAnsi="Times New Roman"/>
          <w:sz w:val="24"/>
          <w:szCs w:val="24"/>
        </w:rPr>
        <w:t>advance Departmental priorities of safety, equity</w:t>
      </w:r>
      <w:r w:rsidR="00E521CC">
        <w:rPr>
          <w:rFonts w:ascii="Times New Roman" w:hAnsi="Times New Roman"/>
          <w:sz w:val="24"/>
          <w:szCs w:val="24"/>
        </w:rPr>
        <w:t xml:space="preserve"> </w:t>
      </w:r>
      <w:r w:rsidRPr="00E521CC" w:rsidR="00E521CC">
        <w:rPr>
          <w:rFonts w:ascii="Times New Roman" w:hAnsi="Times New Roman"/>
          <w:sz w:val="24"/>
          <w:szCs w:val="24"/>
        </w:rPr>
        <w:t>and Justice40, climate and sustainability, and workforce development, job quality, and wealth</w:t>
      </w:r>
      <w:r w:rsidR="00E521CC">
        <w:rPr>
          <w:rFonts w:ascii="Times New Roman" w:hAnsi="Times New Roman"/>
          <w:sz w:val="24"/>
          <w:szCs w:val="24"/>
        </w:rPr>
        <w:t xml:space="preserve"> </w:t>
      </w:r>
      <w:r w:rsidRPr="00E521CC" w:rsidR="00E521CC">
        <w:rPr>
          <w:rFonts w:ascii="Times New Roman" w:hAnsi="Times New Roman"/>
          <w:sz w:val="24"/>
          <w:szCs w:val="24"/>
        </w:rPr>
        <w:t xml:space="preserve">creation as described in the USDOT Strategic Plan and in executive orders. </w:t>
      </w:r>
      <w:r w:rsidR="005649E6">
        <w:rPr>
          <w:rFonts w:ascii="Times New Roman" w:hAnsi="Times New Roman"/>
          <w:sz w:val="24"/>
          <w:szCs w:val="24"/>
        </w:rPr>
        <w:t>The Maritime Administration (</w:t>
      </w:r>
      <w:r w:rsidRPr="00E521CC" w:rsidR="00E521CC">
        <w:rPr>
          <w:rFonts w:ascii="Times New Roman" w:hAnsi="Times New Roman"/>
          <w:sz w:val="24"/>
          <w:szCs w:val="24"/>
        </w:rPr>
        <w:t>MARAD</w:t>
      </w:r>
      <w:r w:rsidR="005649E6">
        <w:rPr>
          <w:rFonts w:ascii="Times New Roman" w:hAnsi="Times New Roman"/>
          <w:sz w:val="24"/>
          <w:szCs w:val="24"/>
        </w:rPr>
        <w:t>)</w:t>
      </w:r>
      <w:r w:rsidR="00E521CC">
        <w:rPr>
          <w:rFonts w:ascii="Times New Roman" w:hAnsi="Times New Roman"/>
          <w:sz w:val="24"/>
          <w:szCs w:val="24"/>
        </w:rPr>
        <w:t xml:space="preserve"> </w:t>
      </w:r>
      <w:r w:rsidRPr="00E521CC" w:rsidR="00E521CC">
        <w:rPr>
          <w:rFonts w:ascii="Times New Roman" w:hAnsi="Times New Roman"/>
          <w:sz w:val="24"/>
          <w:szCs w:val="24"/>
        </w:rPr>
        <w:t>encourages applicants to propose projects that, in addition to improving the safety, efficiency, or</w:t>
      </w:r>
      <w:r w:rsidR="00E521CC">
        <w:rPr>
          <w:rFonts w:ascii="Times New Roman" w:hAnsi="Times New Roman"/>
          <w:sz w:val="24"/>
          <w:szCs w:val="24"/>
        </w:rPr>
        <w:t xml:space="preserve"> </w:t>
      </w:r>
      <w:r w:rsidRPr="00E521CC" w:rsidR="00E521CC">
        <w:rPr>
          <w:rFonts w:ascii="Times New Roman" w:hAnsi="Times New Roman"/>
          <w:sz w:val="24"/>
          <w:szCs w:val="24"/>
        </w:rPr>
        <w:t>reliability of the movement of goods through ports and intermodal connection to ports, will</w:t>
      </w:r>
      <w:r w:rsidR="00E521CC">
        <w:rPr>
          <w:rFonts w:ascii="Times New Roman" w:hAnsi="Times New Roman"/>
          <w:sz w:val="24"/>
          <w:szCs w:val="24"/>
        </w:rPr>
        <w:t xml:space="preserve"> </w:t>
      </w:r>
      <w:r w:rsidR="005649E6">
        <w:rPr>
          <w:rFonts w:ascii="Times New Roman" w:hAnsi="Times New Roman"/>
          <w:sz w:val="24"/>
          <w:szCs w:val="24"/>
        </w:rPr>
        <w:t xml:space="preserve">also </w:t>
      </w:r>
      <w:r w:rsidRPr="00E521CC" w:rsidR="00E521CC">
        <w:rPr>
          <w:rFonts w:ascii="Times New Roman" w:hAnsi="Times New Roman"/>
          <w:sz w:val="24"/>
          <w:szCs w:val="24"/>
        </w:rPr>
        <w:t>reduce greenhouse gas emissions in the transportation sector, create proportional impacts to</w:t>
      </w:r>
      <w:r w:rsidR="00E521CC">
        <w:rPr>
          <w:rFonts w:ascii="Times New Roman" w:hAnsi="Times New Roman"/>
          <w:sz w:val="24"/>
          <w:szCs w:val="24"/>
        </w:rPr>
        <w:t xml:space="preserve"> </w:t>
      </w:r>
      <w:r w:rsidRPr="00E521CC" w:rsidR="00E521CC">
        <w:rPr>
          <w:rFonts w:ascii="Times New Roman" w:hAnsi="Times New Roman"/>
          <w:sz w:val="24"/>
          <w:szCs w:val="24"/>
        </w:rPr>
        <w:t>all populations in a project area and increase equitable access to project benefits, and support the creation of good-paying jobs with the free and fair choice to join a union</w:t>
      </w:r>
      <w:r w:rsidR="005649E6">
        <w:rPr>
          <w:rFonts w:ascii="Times New Roman" w:hAnsi="Times New Roman"/>
          <w:sz w:val="24"/>
          <w:szCs w:val="24"/>
        </w:rPr>
        <w:t>,</w:t>
      </w:r>
      <w:r w:rsidRPr="00E521CC" w:rsidR="00E521CC">
        <w:rPr>
          <w:rFonts w:ascii="Times New Roman" w:hAnsi="Times New Roman"/>
          <w:sz w:val="24"/>
          <w:szCs w:val="24"/>
        </w:rPr>
        <w:t xml:space="preserve"> and include the incorporation of strong labor standards and training and placement programs, especially</w:t>
      </w:r>
      <w:r w:rsidR="00E521CC">
        <w:rPr>
          <w:rFonts w:ascii="Times New Roman" w:hAnsi="Times New Roman"/>
          <w:sz w:val="24"/>
          <w:szCs w:val="24"/>
        </w:rPr>
        <w:t xml:space="preserve"> </w:t>
      </w:r>
      <w:r w:rsidRPr="00E521CC" w:rsidR="00E521CC">
        <w:rPr>
          <w:rFonts w:ascii="Times New Roman" w:hAnsi="Times New Roman"/>
          <w:sz w:val="24"/>
          <w:szCs w:val="24"/>
        </w:rPr>
        <w:t>registered apprenticeships.</w:t>
      </w:r>
      <w:r w:rsidRPr="00E521CC" w:rsidR="00E521CC">
        <w:rPr>
          <w:rFonts w:ascii="Times New Roman" w:hAnsi="Times New Roman"/>
          <w:sz w:val="24"/>
          <w:szCs w:val="24"/>
        </w:rPr>
        <w:t xml:space="preserve"> </w:t>
      </w:r>
    </w:p>
    <w:p w:rsidR="006E2D98" w:rsidRPr="001F34CE" w:rsidP="00F746AE" w14:paraId="1F64315E" w14:textId="77777777">
      <w:pPr>
        <w:ind w:left="-90"/>
        <w:rPr>
          <w:rFonts w:ascii="Times New Roman" w:hAnsi="Times New Roman"/>
          <w:sz w:val="24"/>
          <w:szCs w:val="24"/>
        </w:rPr>
      </w:pPr>
    </w:p>
    <w:p w:rsidR="00470720" w:rsidRPr="00A823EE" w:rsidP="00857A1B" w14:paraId="61C6B4D2" w14:textId="4274F56E">
      <w:pPr>
        <w:pStyle w:val="ListParagraph"/>
        <w:numPr>
          <w:ilvl w:val="0"/>
          <w:numId w:val="47"/>
        </w:numPr>
      </w:pPr>
      <w:r w:rsidRPr="00A823EE">
        <w:rPr>
          <w:b/>
          <w:bCs/>
        </w:rPr>
        <w:t>Automation or Use of Information Technology (IT)</w:t>
      </w:r>
    </w:p>
    <w:p w:rsidR="00EE6A24" w:rsidRPr="001F34CE" w:rsidP="00F746AE" w14:paraId="1F13B5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szCs w:val="20"/>
        </w:rPr>
      </w:pPr>
    </w:p>
    <w:p w:rsidR="00EE6A24" w:rsidRPr="001F34CE" w:rsidP="00857A1B" w14:paraId="522DA26F" w14:textId="1F945A41">
      <w:pPr>
        <w:ind w:left="288"/>
        <w:rPr>
          <w:rFonts w:ascii="Times New Roman" w:hAnsi="Times New Roman"/>
          <w:sz w:val="24"/>
          <w:szCs w:val="24"/>
        </w:rPr>
      </w:pPr>
      <w:r w:rsidRPr="001F34CE">
        <w:rPr>
          <w:rFonts w:ascii="Times New Roman" w:hAnsi="Times New Roman"/>
          <w:sz w:val="24"/>
          <w:szCs w:val="24"/>
        </w:rPr>
        <w:t xml:space="preserve">The Program Notice of Funding Opportunity (NOFO) calls for applications to be submitted through Grants.gov </w:t>
      </w:r>
      <w:r w:rsidR="00980688">
        <w:rPr>
          <w:rFonts w:ascii="Times New Roman" w:hAnsi="Times New Roman"/>
          <w:sz w:val="24"/>
          <w:szCs w:val="24"/>
        </w:rPr>
        <w:t>(</w:t>
      </w:r>
      <w:hyperlink r:id="rId6" w:history="1">
        <w:r w:rsidRPr="00F0225F" w:rsidR="00980688">
          <w:rPr>
            <w:rStyle w:val="Hyperlink"/>
            <w:rFonts w:ascii="Times New Roman" w:hAnsi="Times New Roman"/>
            <w:sz w:val="24"/>
            <w:szCs w:val="24"/>
          </w:rPr>
          <w:t>www.maritime.dot.gov/PIDPgrants</w:t>
        </w:r>
      </w:hyperlink>
      <w:r w:rsidR="00980688">
        <w:rPr>
          <w:rFonts w:ascii="Times New Roman" w:hAnsi="Times New Roman"/>
          <w:sz w:val="24"/>
          <w:szCs w:val="24"/>
        </w:rPr>
        <w:t xml:space="preserve">) </w:t>
      </w:r>
      <w:r w:rsidRPr="001F34CE">
        <w:rPr>
          <w:rFonts w:ascii="Times New Roman" w:hAnsi="Times New Roman"/>
          <w:sz w:val="24"/>
          <w:szCs w:val="24"/>
        </w:rPr>
        <w:t xml:space="preserve">120 days after publication. </w:t>
      </w:r>
      <w:r w:rsidR="00507DBB">
        <w:rPr>
          <w:rFonts w:ascii="Times New Roman" w:hAnsi="Times New Roman"/>
          <w:sz w:val="24"/>
          <w:szCs w:val="24"/>
        </w:rPr>
        <w:t xml:space="preserve">All completed applications can be submitted </w:t>
      </w:r>
      <w:r w:rsidRPr="001F34CE">
        <w:rPr>
          <w:rFonts w:ascii="Times New Roman" w:hAnsi="Times New Roman"/>
          <w:sz w:val="24"/>
          <w:szCs w:val="24"/>
        </w:rPr>
        <w:t>electronically</w:t>
      </w:r>
      <w:r w:rsidR="00507DBB">
        <w:rPr>
          <w:rFonts w:ascii="Times New Roman" w:hAnsi="Times New Roman"/>
          <w:sz w:val="24"/>
          <w:szCs w:val="24"/>
        </w:rPr>
        <w:t xml:space="preserve"> for review and a decision</w:t>
      </w:r>
      <w:r w:rsidRPr="001F34CE">
        <w:rPr>
          <w:rFonts w:ascii="Times New Roman" w:hAnsi="Times New Roman"/>
          <w:sz w:val="24"/>
          <w:szCs w:val="24"/>
        </w:rPr>
        <w:t>. The Department will host webinars and provide technical assistance to applicants prior to the application deadline to address questions about the Program.</w:t>
      </w:r>
    </w:p>
    <w:p w:rsidR="00EE6A24" w:rsidRPr="001F34CE" w:rsidP="00F746AE" w14:paraId="3BBD6E7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rPr>
      </w:pPr>
    </w:p>
    <w:p w:rsidR="0004749E" w:rsidRPr="00507DBB" w:rsidP="00857A1B" w14:paraId="6D42B107" w14:textId="166C45E4">
      <w:pPr>
        <w:pStyle w:val="BodyText3"/>
        <w:numPr>
          <w:ilvl w:val="0"/>
          <w:numId w:val="4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57A1B">
        <w:rPr>
          <w:rFonts w:ascii="Times New Roman" w:hAnsi="Times New Roman"/>
          <w:b/>
          <w:color w:val="auto"/>
          <w:szCs w:val="20"/>
        </w:rPr>
        <w:t xml:space="preserve">Efforts to </w:t>
      </w:r>
      <w:r w:rsidRPr="00857A1B" w:rsidR="00507DBB">
        <w:rPr>
          <w:rFonts w:ascii="Times New Roman" w:hAnsi="Times New Roman"/>
          <w:b/>
          <w:color w:val="auto"/>
          <w:szCs w:val="20"/>
        </w:rPr>
        <w:t>Identify D</w:t>
      </w:r>
      <w:r w:rsidRPr="00857A1B">
        <w:rPr>
          <w:rFonts w:ascii="Times New Roman" w:hAnsi="Times New Roman"/>
          <w:b/>
          <w:color w:val="auto"/>
          <w:szCs w:val="20"/>
        </w:rPr>
        <w:t>uplication</w:t>
      </w:r>
      <w:r w:rsidRPr="00857A1B" w:rsidR="00470720">
        <w:rPr>
          <w:rFonts w:ascii="Times New Roman" w:hAnsi="Times New Roman"/>
          <w:b/>
          <w:color w:val="auto"/>
          <w:szCs w:val="20"/>
        </w:rPr>
        <w:t xml:space="preserve"> </w:t>
      </w:r>
      <w:r w:rsidRPr="00507DBB" w:rsidR="00470720">
        <w:rPr>
          <w:rFonts w:ascii="Times New Roman" w:hAnsi="Times New Roman"/>
          <w:b/>
          <w:color w:val="auto"/>
          <w:szCs w:val="20"/>
        </w:rPr>
        <w:t xml:space="preserve"> </w:t>
      </w:r>
    </w:p>
    <w:p w:rsidR="000A4E85" w:rsidRPr="001F34CE" w:rsidP="00F746AE" w14:paraId="5581E53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p>
    <w:p w:rsidR="000879E6" w:rsidRPr="001F34CE" w:rsidP="00857A1B" w14:paraId="328E3A6D" w14:textId="7705FDF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bCs/>
          <w:color w:val="auto"/>
          <w:szCs w:val="20"/>
        </w:rPr>
      </w:pPr>
      <w:r w:rsidRPr="001F34CE">
        <w:rPr>
          <w:rFonts w:ascii="Times New Roman" w:hAnsi="Times New Roman"/>
          <w:bCs/>
          <w:color w:val="auto"/>
          <w:szCs w:val="20"/>
        </w:rPr>
        <w:t xml:space="preserve">There is no </w:t>
      </w:r>
      <w:r w:rsidR="00F15A88">
        <w:rPr>
          <w:rFonts w:ascii="Times New Roman" w:hAnsi="Times New Roman"/>
          <w:bCs/>
          <w:color w:val="auto"/>
          <w:szCs w:val="20"/>
        </w:rPr>
        <w:t>duplication of this collection</w:t>
      </w:r>
      <w:r w:rsidRPr="001F34CE">
        <w:rPr>
          <w:rFonts w:ascii="Times New Roman" w:hAnsi="Times New Roman"/>
          <w:bCs/>
          <w:color w:val="auto"/>
          <w:szCs w:val="20"/>
        </w:rPr>
        <w:t xml:space="preserve">.  </w:t>
      </w:r>
    </w:p>
    <w:p w:rsidR="0004749E" w:rsidRPr="001F34CE" w:rsidP="00F746AE" w14:paraId="15643C32" w14:textId="77777777">
      <w:pPr>
        <w:ind w:left="-90"/>
        <w:rPr>
          <w:rFonts w:ascii="Times New Roman" w:hAnsi="Times New Roman"/>
          <w:sz w:val="24"/>
        </w:rPr>
      </w:pPr>
    </w:p>
    <w:p w:rsidR="00470720" w:rsidRPr="00857A1B" w:rsidP="00857A1B" w14:paraId="4166006A" w14:textId="6672B28F">
      <w:pPr>
        <w:pStyle w:val="ListParagraph"/>
        <w:numPr>
          <w:ilvl w:val="0"/>
          <w:numId w:val="47"/>
        </w:numPr>
        <w:rPr>
          <w:b/>
        </w:rPr>
      </w:pPr>
      <w:r w:rsidRPr="00857A1B">
        <w:rPr>
          <w:b/>
        </w:rPr>
        <w:t>Impact on</w:t>
      </w:r>
      <w:r w:rsidRPr="00857A1B" w:rsidR="0004749E">
        <w:rPr>
          <w:b/>
        </w:rPr>
        <w:t xml:space="preserve"> </w:t>
      </w:r>
      <w:r w:rsidRPr="00857A1B">
        <w:rPr>
          <w:b/>
        </w:rPr>
        <w:t>S</w:t>
      </w:r>
      <w:r w:rsidRPr="00857A1B" w:rsidR="0004749E">
        <w:rPr>
          <w:b/>
        </w:rPr>
        <w:t xml:space="preserve">mall </w:t>
      </w:r>
      <w:r w:rsidRPr="00857A1B">
        <w:rPr>
          <w:b/>
        </w:rPr>
        <w:t>Businesses or Other Small Entities</w:t>
      </w:r>
      <w:r w:rsidRPr="00F15A88">
        <w:rPr>
          <w:b/>
        </w:rPr>
        <w:t xml:space="preserve">  </w:t>
      </w:r>
      <w:r w:rsidRPr="00F15A88" w:rsidR="008F2CDB">
        <w:rPr>
          <w:b/>
        </w:rPr>
        <w:br/>
      </w:r>
    </w:p>
    <w:p w:rsidR="00037AEF" w:rsidRPr="001F34CE" w:rsidP="00857A1B" w14:paraId="678B6843" w14:textId="79081F65">
      <w:pPr>
        <w:ind w:left="288"/>
        <w:rPr>
          <w:rFonts w:ascii="Times New Roman" w:hAnsi="Times New Roman"/>
          <w:sz w:val="24"/>
          <w:szCs w:val="24"/>
        </w:rPr>
      </w:pPr>
      <w:r>
        <w:rPr>
          <w:rFonts w:ascii="Times New Roman" w:hAnsi="Times New Roman"/>
          <w:bCs/>
          <w:sz w:val="24"/>
          <w:szCs w:val="24"/>
        </w:rPr>
        <w:t xml:space="preserve">The Program seeks the minimum information </w:t>
      </w:r>
      <w:r w:rsidR="005649E6">
        <w:rPr>
          <w:rFonts w:ascii="Times New Roman" w:hAnsi="Times New Roman"/>
          <w:bCs/>
          <w:sz w:val="24"/>
          <w:szCs w:val="24"/>
        </w:rPr>
        <w:t xml:space="preserve">needed </w:t>
      </w:r>
      <w:r>
        <w:rPr>
          <w:rFonts w:ascii="Times New Roman" w:hAnsi="Times New Roman"/>
          <w:bCs/>
          <w:sz w:val="24"/>
          <w:szCs w:val="24"/>
        </w:rPr>
        <w:t>from an applicant to meet statutory requirements for determination of grant eligibility and funding.</w:t>
      </w:r>
      <w:r w:rsidR="00F15A88">
        <w:rPr>
          <w:rFonts w:ascii="Times New Roman" w:hAnsi="Times New Roman"/>
          <w:bCs/>
          <w:sz w:val="24"/>
          <w:szCs w:val="24"/>
        </w:rPr>
        <w:t xml:space="preserve"> There is minimal impact on small businesses and other small entities</w:t>
      </w:r>
      <w:r w:rsidR="005649E6">
        <w:rPr>
          <w:rFonts w:ascii="Times New Roman" w:hAnsi="Times New Roman"/>
          <w:bCs/>
          <w:sz w:val="24"/>
          <w:szCs w:val="24"/>
        </w:rPr>
        <w:t>.</w:t>
      </w:r>
    </w:p>
    <w:p w:rsidR="0004749E" w:rsidRPr="001F34CE" w:rsidP="00F746AE" w14:paraId="5CB41498" w14:textId="77777777">
      <w:pPr>
        <w:ind w:left="-90"/>
        <w:rPr>
          <w:rFonts w:ascii="Times New Roman" w:hAnsi="Times New Roman"/>
          <w:sz w:val="24"/>
        </w:rPr>
      </w:pPr>
    </w:p>
    <w:p w:rsidR="00470720" w:rsidRPr="0069460D" w:rsidP="00857A1B" w14:paraId="0386E750" w14:textId="518DD817">
      <w:pPr>
        <w:pStyle w:val="ListParagraph"/>
        <w:numPr>
          <w:ilvl w:val="0"/>
          <w:numId w:val="47"/>
        </w:numPr>
        <w:rPr>
          <w:b/>
        </w:rPr>
      </w:pPr>
      <w:r w:rsidRPr="00857A1B">
        <w:rPr>
          <w:b/>
        </w:rPr>
        <w:t xml:space="preserve">Impact of </w:t>
      </w:r>
      <w:r w:rsidRPr="00857A1B" w:rsidR="00F15A88">
        <w:rPr>
          <w:b/>
        </w:rPr>
        <w:t>Not Conducting or L</w:t>
      </w:r>
      <w:r w:rsidRPr="00857A1B">
        <w:rPr>
          <w:b/>
        </w:rPr>
        <w:t xml:space="preserve">ess </w:t>
      </w:r>
      <w:r w:rsidRPr="00857A1B" w:rsidR="00F15A88">
        <w:rPr>
          <w:b/>
        </w:rPr>
        <w:t xml:space="preserve">Frequent Collection </w:t>
      </w:r>
      <w:r w:rsidRPr="00857A1B">
        <w:rPr>
          <w:b/>
        </w:rPr>
        <w:t xml:space="preserve">of </w:t>
      </w:r>
      <w:r w:rsidRPr="00857A1B" w:rsidR="00F15A88">
        <w:rPr>
          <w:b/>
        </w:rPr>
        <w:t>Information</w:t>
      </w:r>
    </w:p>
    <w:p w:rsidR="00CC54AD" w:rsidRPr="001F34CE" w:rsidP="00857A1B" w14:paraId="5103AD95" w14:textId="77777777">
      <w:pPr>
        <w:rPr>
          <w:rFonts w:ascii="Times New Roman" w:hAnsi="Times New Roman"/>
          <w:sz w:val="24"/>
          <w:szCs w:val="24"/>
        </w:rPr>
      </w:pPr>
    </w:p>
    <w:p w:rsidR="00C322B9" w:rsidRPr="001F34CE" w:rsidP="00857A1B" w14:paraId="3C0A34B1" w14:textId="109B82E5">
      <w:pPr>
        <w:ind w:left="288"/>
        <w:rPr>
          <w:rFonts w:ascii="Times New Roman" w:hAnsi="Times New Roman"/>
          <w:sz w:val="24"/>
          <w:szCs w:val="24"/>
        </w:rPr>
      </w:pPr>
      <w:r>
        <w:rPr>
          <w:rFonts w:ascii="Times New Roman" w:hAnsi="Times New Roman"/>
          <w:sz w:val="24"/>
          <w:szCs w:val="24"/>
        </w:rPr>
        <w:t>Without t</w:t>
      </w:r>
      <w:r w:rsidRPr="001F34CE" w:rsidR="00CC54AD">
        <w:rPr>
          <w:rFonts w:ascii="Times New Roman" w:hAnsi="Times New Roman"/>
          <w:sz w:val="24"/>
          <w:szCs w:val="24"/>
        </w:rPr>
        <w:t>his collection</w:t>
      </w:r>
      <w:r>
        <w:rPr>
          <w:rFonts w:ascii="Times New Roman" w:hAnsi="Times New Roman"/>
          <w:sz w:val="24"/>
          <w:szCs w:val="24"/>
        </w:rPr>
        <w:t xml:space="preserve"> of information, there would not </w:t>
      </w:r>
      <w:r w:rsidR="005649E6">
        <w:rPr>
          <w:rFonts w:ascii="Times New Roman" w:hAnsi="Times New Roman"/>
          <w:sz w:val="24"/>
          <w:szCs w:val="24"/>
        </w:rPr>
        <w:t xml:space="preserve">be </w:t>
      </w:r>
      <w:r w:rsidR="00406A15">
        <w:rPr>
          <w:rFonts w:ascii="Times New Roman" w:hAnsi="Times New Roman"/>
          <w:sz w:val="24"/>
          <w:szCs w:val="24"/>
        </w:rPr>
        <w:t xml:space="preserve">access to funding opportunities </w:t>
      </w:r>
      <w:r>
        <w:rPr>
          <w:rFonts w:ascii="Times New Roman" w:hAnsi="Times New Roman"/>
          <w:sz w:val="24"/>
          <w:szCs w:val="24"/>
        </w:rPr>
        <w:t>that can be used to improve the nation’s port</w:t>
      </w:r>
      <w:r w:rsidR="00406A15">
        <w:rPr>
          <w:rFonts w:ascii="Times New Roman" w:hAnsi="Times New Roman"/>
          <w:sz w:val="24"/>
          <w:szCs w:val="24"/>
        </w:rPr>
        <w:t xml:space="preserve"> infrastructure</w:t>
      </w:r>
      <w:r>
        <w:rPr>
          <w:rFonts w:ascii="Times New Roman" w:hAnsi="Times New Roman"/>
          <w:sz w:val="24"/>
          <w:szCs w:val="24"/>
        </w:rPr>
        <w:t xml:space="preserve">, </w:t>
      </w:r>
      <w:r w:rsidRPr="001F34CE" w:rsidR="00CC54AD">
        <w:rPr>
          <w:rFonts w:ascii="Times New Roman" w:hAnsi="Times New Roman"/>
          <w:sz w:val="24"/>
          <w:szCs w:val="24"/>
        </w:rPr>
        <w:t>which are critical for import and export activities</w:t>
      </w:r>
      <w:r w:rsidRPr="001F34CE" w:rsidR="00472E87">
        <w:rPr>
          <w:rFonts w:ascii="Times New Roman" w:hAnsi="Times New Roman"/>
          <w:sz w:val="24"/>
          <w:szCs w:val="24"/>
        </w:rPr>
        <w:t xml:space="preserve">. </w:t>
      </w:r>
      <w:r w:rsidR="00406A15">
        <w:rPr>
          <w:rFonts w:ascii="Times New Roman" w:hAnsi="Times New Roman"/>
          <w:sz w:val="24"/>
          <w:szCs w:val="24"/>
        </w:rPr>
        <w:t xml:space="preserve">Without access to </w:t>
      </w:r>
      <w:r w:rsidRPr="00406A15" w:rsidR="00406A15">
        <w:rPr>
          <w:rFonts w:ascii="Times New Roman" w:hAnsi="Times New Roman"/>
          <w:sz w:val="24"/>
          <w:szCs w:val="24"/>
        </w:rPr>
        <w:t>suitable port facilities</w:t>
      </w:r>
      <w:r w:rsidR="00406A15">
        <w:rPr>
          <w:rFonts w:ascii="Times New Roman" w:hAnsi="Times New Roman"/>
          <w:sz w:val="24"/>
          <w:szCs w:val="24"/>
        </w:rPr>
        <w:t xml:space="preserve"> </w:t>
      </w:r>
      <w:r w:rsidRPr="001F34CE" w:rsidR="00CC54AD">
        <w:rPr>
          <w:rFonts w:ascii="Times New Roman" w:hAnsi="Times New Roman"/>
          <w:sz w:val="24"/>
          <w:szCs w:val="24"/>
        </w:rPr>
        <w:t xml:space="preserve"> business</w:t>
      </w:r>
      <w:r>
        <w:rPr>
          <w:rFonts w:ascii="Times New Roman" w:hAnsi="Times New Roman"/>
          <w:sz w:val="24"/>
          <w:szCs w:val="24"/>
        </w:rPr>
        <w:t xml:space="preserve"> owners</w:t>
      </w:r>
      <w:r w:rsidRPr="001F34CE" w:rsidR="00CC54AD">
        <w:rPr>
          <w:rFonts w:ascii="Times New Roman" w:hAnsi="Times New Roman"/>
          <w:sz w:val="24"/>
          <w:szCs w:val="24"/>
        </w:rPr>
        <w:t xml:space="preserve"> and </w:t>
      </w:r>
      <w:r>
        <w:rPr>
          <w:rFonts w:ascii="Times New Roman" w:hAnsi="Times New Roman"/>
          <w:sz w:val="24"/>
          <w:szCs w:val="24"/>
        </w:rPr>
        <w:t>members of the general</w:t>
      </w:r>
      <w:r w:rsidRPr="001F34CE" w:rsidR="00CC54AD">
        <w:rPr>
          <w:rFonts w:ascii="Times New Roman" w:hAnsi="Times New Roman"/>
          <w:sz w:val="24"/>
          <w:szCs w:val="24"/>
        </w:rPr>
        <w:t xml:space="preserve"> public </w:t>
      </w:r>
      <w:r>
        <w:rPr>
          <w:rFonts w:ascii="Times New Roman" w:hAnsi="Times New Roman"/>
          <w:sz w:val="24"/>
          <w:szCs w:val="24"/>
        </w:rPr>
        <w:t xml:space="preserve">would have </w:t>
      </w:r>
      <w:r w:rsidRPr="001F34CE" w:rsidR="00CC54AD">
        <w:rPr>
          <w:rFonts w:ascii="Times New Roman" w:hAnsi="Times New Roman"/>
          <w:sz w:val="24"/>
          <w:szCs w:val="24"/>
        </w:rPr>
        <w:t xml:space="preserve">to pay higher prices or wait longer for goods. </w:t>
      </w:r>
    </w:p>
    <w:p w:rsidR="00CC54AD" w:rsidRPr="001F34CE" w:rsidP="00F746AE" w14:paraId="15271C40" w14:textId="6E943022">
      <w:pPr>
        <w:ind w:left="-90"/>
        <w:rPr>
          <w:rFonts w:ascii="Times New Roman" w:hAnsi="Times New Roman"/>
          <w:sz w:val="24"/>
          <w:szCs w:val="24"/>
        </w:rPr>
      </w:pPr>
    </w:p>
    <w:p w:rsidR="000879E6" w:rsidRPr="00857A1B" w:rsidP="00857A1B" w14:paraId="219DC208" w14:textId="7475A619">
      <w:pPr>
        <w:pStyle w:val="ListParagraph"/>
        <w:numPr>
          <w:ilvl w:val="0"/>
          <w:numId w:val="47"/>
        </w:numPr>
        <w:rPr>
          <w:b/>
        </w:rPr>
      </w:pPr>
      <w:r w:rsidRPr="00857A1B">
        <w:rPr>
          <w:b/>
        </w:rPr>
        <w:t xml:space="preserve">Special </w:t>
      </w:r>
      <w:r w:rsidRPr="00857A1B" w:rsidR="0069460D">
        <w:rPr>
          <w:b/>
        </w:rPr>
        <w:t>Circumstances Relating to the Guidelines 5 CFR 1320.5</w:t>
      </w:r>
      <w:r w:rsidRPr="0069460D" w:rsidR="00470720">
        <w:rPr>
          <w:b/>
        </w:rPr>
        <w:t xml:space="preserve">  </w:t>
      </w:r>
    </w:p>
    <w:p w:rsidR="007C538E" w:rsidRPr="007C538E" w:rsidP="00857A1B" w14:paraId="0E4108C7" w14:textId="77777777">
      <w:pPr>
        <w:rPr>
          <w:rFonts w:ascii="Times New Roman" w:hAnsi="Times New Roman"/>
          <w:sz w:val="24"/>
          <w:szCs w:val="24"/>
        </w:rPr>
      </w:pPr>
    </w:p>
    <w:p w:rsidR="001A4698" w:rsidP="007748DD" w14:paraId="7E2CFCA8" w14:textId="0B34099C">
      <w:pPr>
        <w:ind w:left="270"/>
        <w:rPr>
          <w:rFonts w:ascii="Times New Roman" w:hAnsi="Times New Roman"/>
          <w:sz w:val="24"/>
          <w:szCs w:val="24"/>
        </w:rPr>
      </w:pPr>
      <w:r w:rsidRPr="00637E59">
        <w:rPr>
          <w:rFonts w:ascii="Times New Roman" w:hAnsi="Times New Roman"/>
          <w:sz w:val="24"/>
          <w:szCs w:val="24"/>
        </w:rPr>
        <w:t>All information submitted as part of or in support of any application shall use publicly available data</w:t>
      </w:r>
      <w:r w:rsidR="00406A15">
        <w:rPr>
          <w:rFonts w:ascii="Times New Roman" w:hAnsi="Times New Roman"/>
          <w:sz w:val="24"/>
          <w:szCs w:val="24"/>
        </w:rPr>
        <w:t xml:space="preserve">. Likewise, collected </w:t>
      </w:r>
      <w:r w:rsidRPr="00637E59">
        <w:rPr>
          <w:rFonts w:ascii="Times New Roman" w:hAnsi="Times New Roman"/>
          <w:sz w:val="24"/>
          <w:szCs w:val="24"/>
        </w:rPr>
        <w:t>data and methodologies that are accepted by industry practice and standards</w:t>
      </w:r>
      <w:r w:rsidR="00406A15">
        <w:rPr>
          <w:rFonts w:ascii="Times New Roman" w:hAnsi="Times New Roman"/>
          <w:sz w:val="24"/>
          <w:szCs w:val="24"/>
        </w:rPr>
        <w:t xml:space="preserve"> </w:t>
      </w:r>
      <w:r w:rsidRPr="00637E59" w:rsidR="00406A15">
        <w:rPr>
          <w:rFonts w:ascii="Times New Roman" w:hAnsi="Times New Roman"/>
          <w:sz w:val="24"/>
          <w:szCs w:val="24"/>
        </w:rPr>
        <w:t>can be made public</w:t>
      </w:r>
      <w:r w:rsidRPr="00637E59">
        <w:rPr>
          <w:rFonts w:ascii="Times New Roman" w:hAnsi="Times New Roman"/>
          <w:sz w:val="24"/>
          <w:szCs w:val="24"/>
        </w:rPr>
        <w:t xml:space="preserve"> to the extent possible. If the applicant submits information that </w:t>
      </w:r>
      <w:r w:rsidR="00406A15">
        <w:rPr>
          <w:rFonts w:ascii="Times New Roman" w:hAnsi="Times New Roman"/>
          <w:sz w:val="24"/>
          <w:szCs w:val="24"/>
        </w:rPr>
        <w:t xml:space="preserve">is </w:t>
      </w:r>
      <w:r w:rsidRPr="00637E59">
        <w:rPr>
          <w:rFonts w:ascii="Times New Roman" w:hAnsi="Times New Roman"/>
          <w:sz w:val="24"/>
          <w:szCs w:val="24"/>
        </w:rPr>
        <w:t>consider</w:t>
      </w:r>
      <w:r w:rsidR="00406A15">
        <w:rPr>
          <w:rFonts w:ascii="Times New Roman" w:hAnsi="Times New Roman"/>
          <w:sz w:val="24"/>
          <w:szCs w:val="24"/>
        </w:rPr>
        <w:t>ed</w:t>
      </w:r>
      <w:r w:rsidRPr="00637E59">
        <w:rPr>
          <w:rFonts w:ascii="Times New Roman" w:hAnsi="Times New Roman"/>
          <w:sz w:val="24"/>
          <w:szCs w:val="24"/>
        </w:rPr>
        <w:t xml:space="preserve"> to be a trade secret</w:t>
      </w:r>
      <w:r w:rsidR="00406A15">
        <w:rPr>
          <w:rFonts w:ascii="Times New Roman" w:hAnsi="Times New Roman"/>
          <w:sz w:val="24"/>
          <w:szCs w:val="24"/>
        </w:rPr>
        <w:t>,</w:t>
      </w:r>
      <w:r w:rsidRPr="00637E59">
        <w:rPr>
          <w:rFonts w:ascii="Times New Roman" w:hAnsi="Times New Roman"/>
          <w:sz w:val="24"/>
          <w:szCs w:val="24"/>
        </w:rPr>
        <w:t xml:space="preserve"> confidential</w:t>
      </w:r>
      <w:r w:rsidR="00406A15">
        <w:rPr>
          <w:rFonts w:ascii="Times New Roman" w:hAnsi="Times New Roman"/>
          <w:sz w:val="24"/>
          <w:szCs w:val="24"/>
        </w:rPr>
        <w:t>,</w:t>
      </w:r>
      <w:r w:rsidRPr="00637E59">
        <w:rPr>
          <w:rFonts w:ascii="Times New Roman" w:hAnsi="Times New Roman"/>
          <w:sz w:val="24"/>
          <w:szCs w:val="24"/>
        </w:rPr>
        <w:t xml:space="preserve"> commercial</w:t>
      </w:r>
      <w:r w:rsidR="00406A15">
        <w:rPr>
          <w:rFonts w:ascii="Times New Roman" w:hAnsi="Times New Roman"/>
          <w:sz w:val="24"/>
          <w:szCs w:val="24"/>
        </w:rPr>
        <w:t>,</w:t>
      </w:r>
      <w:r w:rsidRPr="00637E59">
        <w:rPr>
          <w:rFonts w:ascii="Times New Roman" w:hAnsi="Times New Roman"/>
          <w:sz w:val="24"/>
          <w:szCs w:val="24"/>
        </w:rPr>
        <w:t xml:space="preserve"> or financial</w:t>
      </w:r>
      <w:r>
        <w:rPr>
          <w:rFonts w:ascii="Times New Roman" w:hAnsi="Times New Roman"/>
          <w:sz w:val="24"/>
          <w:szCs w:val="24"/>
        </w:rPr>
        <w:t xml:space="preserve"> data,</w:t>
      </w:r>
      <w:r w:rsidRPr="00637E59">
        <w:rPr>
          <w:rFonts w:ascii="Times New Roman" w:hAnsi="Times New Roman"/>
          <w:sz w:val="24"/>
          <w:szCs w:val="24"/>
        </w:rPr>
        <w:t xml:space="preserve"> </w:t>
      </w:r>
      <w:r w:rsidR="00406A15">
        <w:rPr>
          <w:rFonts w:ascii="Times New Roman" w:hAnsi="Times New Roman"/>
          <w:sz w:val="24"/>
          <w:szCs w:val="24"/>
        </w:rPr>
        <w:t>they</w:t>
      </w:r>
      <w:r w:rsidRPr="00637E59">
        <w:rPr>
          <w:rFonts w:ascii="Times New Roman" w:hAnsi="Times New Roman"/>
          <w:sz w:val="24"/>
          <w:szCs w:val="24"/>
        </w:rPr>
        <w:t xml:space="preserve"> must provide that information in a separate document, </w:t>
      </w:r>
      <w:r w:rsidR="00406A15">
        <w:rPr>
          <w:rFonts w:ascii="Times New Roman" w:hAnsi="Times New Roman"/>
          <w:sz w:val="24"/>
          <w:szCs w:val="24"/>
        </w:rPr>
        <w:t xml:space="preserve">or </w:t>
      </w:r>
      <w:r w:rsidRPr="00637E59">
        <w:rPr>
          <w:rFonts w:ascii="Times New Roman" w:hAnsi="Times New Roman"/>
          <w:sz w:val="24"/>
          <w:szCs w:val="24"/>
        </w:rPr>
        <w:t xml:space="preserve">cross-reference </w:t>
      </w:r>
      <w:r w:rsidR="00406A15">
        <w:rPr>
          <w:rFonts w:ascii="Times New Roman" w:hAnsi="Times New Roman"/>
          <w:sz w:val="24"/>
          <w:szCs w:val="24"/>
        </w:rPr>
        <w:t xml:space="preserve">this data </w:t>
      </w:r>
      <w:r w:rsidRPr="00637E59">
        <w:rPr>
          <w:rFonts w:ascii="Times New Roman" w:hAnsi="Times New Roman"/>
          <w:sz w:val="24"/>
          <w:szCs w:val="24"/>
        </w:rPr>
        <w:t xml:space="preserve">from the application narrative or other portions of the application. </w:t>
      </w:r>
      <w:r w:rsidR="00406A15">
        <w:rPr>
          <w:rFonts w:ascii="Times New Roman" w:hAnsi="Times New Roman"/>
          <w:sz w:val="24"/>
          <w:szCs w:val="24"/>
        </w:rPr>
        <w:t>To submit a</w:t>
      </w:r>
      <w:r w:rsidRPr="00637E59">
        <w:rPr>
          <w:rFonts w:ascii="Times New Roman" w:hAnsi="Times New Roman"/>
          <w:sz w:val="24"/>
          <w:szCs w:val="24"/>
        </w:rPr>
        <w:t xml:space="preserve"> separate document containing confidential information, the applicant must do the following: (1) state on the cover of that document that it “Contains Confidential Business Information (CBI)</w:t>
      </w:r>
      <w:r w:rsidR="005649E6">
        <w:rPr>
          <w:rFonts w:ascii="Times New Roman" w:hAnsi="Times New Roman"/>
          <w:sz w:val="24"/>
          <w:szCs w:val="24"/>
        </w:rPr>
        <w:t>,</w:t>
      </w:r>
      <w:r w:rsidRPr="00637E59">
        <w:rPr>
          <w:rFonts w:ascii="Times New Roman" w:hAnsi="Times New Roman"/>
          <w:sz w:val="24"/>
          <w:szCs w:val="24"/>
        </w:rPr>
        <w:t>”</w:t>
      </w:r>
      <w:r w:rsidR="005649E6">
        <w:rPr>
          <w:rFonts w:ascii="Times New Roman" w:hAnsi="Times New Roman"/>
          <w:sz w:val="24"/>
          <w:szCs w:val="24"/>
        </w:rPr>
        <w:t xml:space="preserve"> </w:t>
      </w:r>
      <w:r w:rsidRPr="00637E59">
        <w:rPr>
          <w:rFonts w:ascii="Times New Roman" w:hAnsi="Times New Roman"/>
          <w:sz w:val="24"/>
          <w:szCs w:val="24"/>
        </w:rPr>
        <w:t>(2) mark each page that contains confidential information with “CBI</w:t>
      </w:r>
      <w:r w:rsidR="005649E6">
        <w:rPr>
          <w:rFonts w:ascii="Times New Roman" w:hAnsi="Times New Roman"/>
          <w:sz w:val="24"/>
          <w:szCs w:val="24"/>
        </w:rPr>
        <w:t>,</w:t>
      </w:r>
      <w:r w:rsidRPr="00637E59">
        <w:rPr>
          <w:rFonts w:ascii="Times New Roman" w:hAnsi="Times New Roman"/>
          <w:sz w:val="24"/>
          <w:szCs w:val="24"/>
        </w:rPr>
        <w:t>”</w:t>
      </w:r>
      <w:r w:rsidR="005649E6">
        <w:rPr>
          <w:rFonts w:ascii="Times New Roman" w:hAnsi="Times New Roman"/>
          <w:sz w:val="24"/>
          <w:szCs w:val="24"/>
        </w:rPr>
        <w:t xml:space="preserve"> </w:t>
      </w:r>
      <w:r w:rsidRPr="00637E59">
        <w:rPr>
          <w:rFonts w:ascii="Times New Roman" w:hAnsi="Times New Roman"/>
          <w:sz w:val="24"/>
          <w:szCs w:val="24"/>
        </w:rPr>
        <w:t>(3) highlight or otherwise denote the confidential content on each page</w:t>
      </w:r>
      <w:r w:rsidR="005649E6">
        <w:rPr>
          <w:rFonts w:ascii="Times New Roman" w:hAnsi="Times New Roman"/>
          <w:sz w:val="24"/>
          <w:szCs w:val="24"/>
        </w:rPr>
        <w:t>,</w:t>
      </w:r>
      <w:r w:rsidRPr="00637E59">
        <w:rPr>
          <w:rFonts w:ascii="Times New Roman" w:hAnsi="Times New Roman"/>
          <w:sz w:val="24"/>
          <w:szCs w:val="24"/>
        </w:rPr>
        <w:t xml:space="preserve"> and (4) at the end of the document, explain how disclosure of the confidential information would cause substantial competitive harm.  </w:t>
      </w:r>
    </w:p>
    <w:p w:rsidR="001A4698" w:rsidP="007748DD" w14:paraId="30D5DBB0" w14:textId="77777777">
      <w:pPr>
        <w:ind w:left="270"/>
        <w:rPr>
          <w:rFonts w:ascii="Times New Roman" w:hAnsi="Times New Roman"/>
          <w:sz w:val="24"/>
          <w:szCs w:val="24"/>
        </w:rPr>
      </w:pPr>
    </w:p>
    <w:p w:rsidR="007C538E" w:rsidP="007748DD" w14:paraId="298860FD" w14:textId="66614F54">
      <w:pPr>
        <w:ind w:left="270"/>
        <w:rPr>
          <w:rFonts w:ascii="Times New Roman" w:hAnsi="Times New Roman"/>
          <w:sz w:val="24"/>
          <w:szCs w:val="24"/>
        </w:rPr>
      </w:pPr>
      <w:r w:rsidRPr="007C538E">
        <w:rPr>
          <w:rFonts w:ascii="Times New Roman" w:hAnsi="Times New Roman"/>
          <w:sz w:val="24"/>
          <w:szCs w:val="24"/>
        </w:rPr>
        <w:t xml:space="preserve">There are no </w:t>
      </w:r>
      <w:r w:rsidR="005649E6">
        <w:rPr>
          <w:rFonts w:ascii="Times New Roman" w:hAnsi="Times New Roman"/>
          <w:sz w:val="24"/>
          <w:szCs w:val="24"/>
        </w:rPr>
        <w:t xml:space="preserve">other </w:t>
      </w:r>
      <w:r w:rsidRPr="007C538E">
        <w:rPr>
          <w:rFonts w:ascii="Times New Roman" w:hAnsi="Times New Roman"/>
          <w:sz w:val="24"/>
          <w:szCs w:val="24"/>
        </w:rPr>
        <w:t>special circumstances that require th</w:t>
      </w:r>
      <w:r w:rsidR="005649E6">
        <w:rPr>
          <w:rFonts w:ascii="Times New Roman" w:hAnsi="Times New Roman"/>
          <w:sz w:val="24"/>
          <w:szCs w:val="24"/>
        </w:rPr>
        <w:t>is</w:t>
      </w:r>
      <w:r w:rsidRPr="007C538E">
        <w:rPr>
          <w:rFonts w:ascii="Times New Roman" w:hAnsi="Times New Roman"/>
          <w:sz w:val="24"/>
          <w:szCs w:val="24"/>
        </w:rPr>
        <w:t xml:space="preserve"> collection of information to be conducted in any other manner as described below:</w:t>
      </w:r>
    </w:p>
    <w:p w:rsidR="00F13FC6" w:rsidP="007748DD" w14:paraId="065B0358" w14:textId="77777777">
      <w:pPr>
        <w:ind w:left="270"/>
        <w:rPr>
          <w:rFonts w:ascii="Times New Roman" w:hAnsi="Times New Roman"/>
          <w:sz w:val="24"/>
          <w:szCs w:val="24"/>
        </w:rPr>
      </w:pPr>
    </w:p>
    <w:p w:rsidR="00F13FC6" w:rsidRPr="00F13FC6" w:rsidP="00F13FC6" w14:paraId="43C5F1DB"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respondents to report information to MARAD more often than quarterly;</w:t>
      </w:r>
    </w:p>
    <w:p w:rsidR="00F13FC6" w:rsidRPr="00F13FC6" w:rsidP="00F13FC6" w14:paraId="1BDC24C5"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respondents to prepare a written response in fewer than 30 days after receipt of a collection instrument;</w:t>
      </w:r>
    </w:p>
    <w:p w:rsidR="00F13FC6" w:rsidRPr="00F13FC6" w:rsidP="00F13FC6" w14:paraId="677B549C"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respondents to submit more than one original copy of any document;</w:t>
      </w:r>
    </w:p>
    <w:p w:rsidR="00F13FC6" w:rsidRPr="00F13FC6" w:rsidP="00F13FC6" w14:paraId="0169C39C"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respondents to retain records, other than health, medical, government contract, grant-in-aid, or tax records for more than three years;</w:t>
      </w:r>
    </w:p>
    <w:p w:rsidR="00F13FC6" w:rsidRPr="00F13FC6" w:rsidP="00F13FC6" w14:paraId="5181F077"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the use of any statistical data that is not designed to produce valid and reliable results that can be generalized to the universe of study;</w:t>
      </w:r>
    </w:p>
    <w:p w:rsidR="00F13FC6" w:rsidRPr="00F13FC6" w:rsidP="00F13FC6" w14:paraId="00F2F94D" w14:textId="77777777">
      <w:pPr>
        <w:numPr>
          <w:ilvl w:val="0"/>
          <w:numId w:val="51"/>
        </w:numPr>
        <w:rPr>
          <w:rFonts w:ascii="Times New Roman" w:hAnsi="Times New Roman"/>
          <w:bCs/>
          <w:sz w:val="24"/>
          <w:szCs w:val="24"/>
        </w:rPr>
      </w:pPr>
      <w:r w:rsidRPr="00F13FC6">
        <w:rPr>
          <w:rFonts w:ascii="Times New Roman" w:hAnsi="Times New Roman"/>
          <w:bCs/>
          <w:sz w:val="24"/>
          <w:szCs w:val="24"/>
        </w:rPr>
        <w:t>Requiring the use of a statistical data classification that has not been reviewed and approved by OMB;</w:t>
      </w:r>
    </w:p>
    <w:p w:rsidR="00F13FC6" w:rsidRPr="00F13FC6" w:rsidP="00F13FC6" w14:paraId="0452A56A" w14:textId="77777777">
      <w:pPr>
        <w:numPr>
          <w:ilvl w:val="0"/>
          <w:numId w:val="51"/>
        </w:numPr>
        <w:rPr>
          <w:rFonts w:ascii="Times New Roman" w:hAnsi="Times New Roman"/>
          <w:bCs/>
          <w:sz w:val="24"/>
          <w:szCs w:val="24"/>
        </w:rPr>
      </w:pPr>
      <w:r w:rsidRPr="00F13FC6">
        <w:rPr>
          <w:rFonts w:ascii="Times New Roman" w:hAnsi="Times New Roman"/>
          <w:bCs/>
          <w:sz w:val="24"/>
          <w:szCs w:val="24"/>
        </w:rPr>
        <w:t xml:space="preserve">Requiring any pledge of confidentiality; or </w:t>
      </w:r>
    </w:p>
    <w:p w:rsidR="007D6B0A" w:rsidRPr="001F34CE" w:rsidP="00857A1B" w14:paraId="48DC1C84" w14:textId="33EABD9D">
      <w:pPr>
        <w:rPr>
          <w:bCs/>
        </w:rPr>
      </w:pPr>
    </w:p>
    <w:p w:rsidR="00637E59" w:rsidP="00637E59" w14:paraId="0863E89E" w14:textId="12F4E4F1">
      <w:pPr>
        <w:pStyle w:val="ListParagraph"/>
        <w:numPr>
          <w:ilvl w:val="0"/>
          <w:numId w:val="47"/>
        </w:numPr>
        <w:rPr>
          <w:b/>
          <w:bCs/>
        </w:rPr>
      </w:pPr>
      <w:r w:rsidRPr="00637E59">
        <w:rPr>
          <w:b/>
          <w:bCs/>
        </w:rPr>
        <w:t xml:space="preserve">Public Comments in Response to the Federal Register Notice and Outside Consultation </w:t>
      </w:r>
    </w:p>
    <w:p w:rsidR="00637E59" w:rsidRPr="00637E59" w:rsidP="00857A1B" w14:paraId="78561F87" w14:textId="7C751D7E">
      <w:pPr>
        <w:pStyle w:val="ListParagraph"/>
        <w:ind w:left="648"/>
        <w:rPr>
          <w:b/>
          <w:bCs/>
        </w:rPr>
      </w:pPr>
    </w:p>
    <w:p w:rsidR="0082332C" w:rsidRPr="00977556" w:rsidP="00977556" w14:paraId="73F4EDB1" w14:textId="22BD17B2">
      <w:pPr>
        <w:widowControl/>
        <w:ind w:left="288"/>
        <w:rPr>
          <w:rFonts w:ascii="Times New Roman" w:eastAsia="Calibri" w:hAnsi="Times New Roman"/>
          <w:sz w:val="24"/>
          <w:szCs w:val="24"/>
        </w:rPr>
      </w:pPr>
      <w:r w:rsidRPr="00977556">
        <w:rPr>
          <w:rFonts w:ascii="Times New Roman" w:hAnsi="Times New Roman"/>
          <w:sz w:val="24"/>
          <w:szCs w:val="24"/>
        </w:rPr>
        <w:t>MARAD published a 60-day notice and request for comments on this information collection in the Federal Register (FR 60966, Vol</w:t>
      </w:r>
      <w:r w:rsidR="00977556">
        <w:rPr>
          <w:rFonts w:ascii="Times New Roman" w:hAnsi="Times New Roman"/>
          <w:sz w:val="24"/>
          <w:szCs w:val="24"/>
        </w:rPr>
        <w:t>.</w:t>
      </w:r>
      <w:r w:rsidRPr="00977556">
        <w:rPr>
          <w:rFonts w:ascii="Times New Roman" w:hAnsi="Times New Roman"/>
          <w:sz w:val="24"/>
          <w:szCs w:val="24"/>
        </w:rPr>
        <w:t xml:space="preserve"> 89, No. 145) on July 29, 2024, indicating comments should be submitted on or before September 27, 2024. All comments </w:t>
      </w:r>
      <w:r w:rsidR="00977556">
        <w:rPr>
          <w:rFonts w:ascii="Times New Roman" w:hAnsi="Times New Roman"/>
          <w:sz w:val="24"/>
          <w:szCs w:val="24"/>
        </w:rPr>
        <w:t xml:space="preserve">will receive </w:t>
      </w:r>
      <w:r w:rsidRPr="00977556">
        <w:rPr>
          <w:rFonts w:ascii="Times New Roman" w:hAnsi="Times New Roman"/>
          <w:sz w:val="24"/>
          <w:szCs w:val="24"/>
        </w:rPr>
        <w:t>a response. A 30-day notice will now be published in the Federal Register to solicit public comments.</w:t>
      </w:r>
      <w:r w:rsidRPr="00977556">
        <w:rPr>
          <w:rFonts w:ascii="Times New Roman" w:hAnsi="Times New Roman"/>
          <w:sz w:val="24"/>
          <w:szCs w:val="24"/>
        </w:rPr>
        <w:br/>
      </w:r>
    </w:p>
    <w:p w:rsidR="00470720" w:rsidRPr="00857A1B" w:rsidP="00857A1B" w14:paraId="164F9CE2" w14:textId="431EF372">
      <w:pPr>
        <w:pStyle w:val="ListParagraph"/>
        <w:numPr>
          <w:ilvl w:val="0"/>
          <w:numId w:val="47"/>
        </w:numPr>
        <w:rPr>
          <w:b/>
        </w:rPr>
      </w:pPr>
      <w:r w:rsidRPr="00857A1B">
        <w:rPr>
          <w:b/>
        </w:rPr>
        <w:t xml:space="preserve">Explanation of Any </w:t>
      </w:r>
      <w:r w:rsidRPr="00857A1B" w:rsidR="0004749E">
        <w:rPr>
          <w:b/>
        </w:rPr>
        <w:t xml:space="preserve">Payments or </w:t>
      </w:r>
      <w:r w:rsidRPr="00857A1B">
        <w:rPr>
          <w:b/>
        </w:rPr>
        <w:t xml:space="preserve">Gifts </w:t>
      </w:r>
      <w:r w:rsidRPr="00857A1B" w:rsidR="0004749E">
        <w:rPr>
          <w:b/>
        </w:rPr>
        <w:t xml:space="preserve">to </w:t>
      </w:r>
      <w:r w:rsidRPr="00857A1B">
        <w:rPr>
          <w:b/>
        </w:rPr>
        <w:t>Respondents</w:t>
      </w:r>
      <w:r w:rsidRPr="007A7C00">
        <w:rPr>
          <w:b/>
        </w:rPr>
        <w:t xml:space="preserve">  </w:t>
      </w:r>
      <w:r w:rsidRPr="007A7C00" w:rsidR="008F2CDB">
        <w:rPr>
          <w:b/>
        </w:rPr>
        <w:br/>
      </w:r>
    </w:p>
    <w:p w:rsidR="002A769A" w:rsidRPr="001F34CE" w:rsidP="00857A1B" w14:paraId="07424E11" w14:textId="41CD9A25">
      <w:pPr>
        <w:ind w:left="-90" w:firstLine="378"/>
        <w:rPr>
          <w:rFonts w:ascii="Times New Roman" w:hAnsi="Times New Roman"/>
          <w:sz w:val="24"/>
          <w:szCs w:val="24"/>
        </w:rPr>
      </w:pPr>
      <w:r>
        <w:rPr>
          <w:rFonts w:ascii="Times New Roman" w:hAnsi="Times New Roman"/>
          <w:sz w:val="24"/>
          <w:szCs w:val="24"/>
        </w:rPr>
        <w:t xml:space="preserve">No payments or </w:t>
      </w:r>
      <w:r w:rsidRPr="001F34CE">
        <w:rPr>
          <w:rFonts w:ascii="Times New Roman" w:hAnsi="Times New Roman"/>
          <w:sz w:val="24"/>
          <w:szCs w:val="24"/>
        </w:rPr>
        <w:t xml:space="preserve">gifts </w:t>
      </w:r>
      <w:r>
        <w:rPr>
          <w:rFonts w:ascii="Times New Roman" w:hAnsi="Times New Roman"/>
          <w:sz w:val="24"/>
          <w:szCs w:val="24"/>
        </w:rPr>
        <w:t xml:space="preserve">are provided </w:t>
      </w:r>
      <w:r w:rsidRPr="001F34CE">
        <w:rPr>
          <w:rFonts w:ascii="Times New Roman" w:hAnsi="Times New Roman"/>
          <w:sz w:val="24"/>
          <w:szCs w:val="24"/>
        </w:rPr>
        <w:t>to respondents.</w:t>
      </w:r>
    </w:p>
    <w:p w:rsidR="0004749E" w:rsidRPr="001F34CE" w:rsidP="00F746AE" w14:paraId="15B98BFD" w14:textId="77777777">
      <w:pPr>
        <w:ind w:left="-90"/>
        <w:rPr>
          <w:rFonts w:ascii="Times New Roman" w:hAnsi="Times New Roman"/>
          <w:sz w:val="24"/>
        </w:rPr>
      </w:pPr>
    </w:p>
    <w:p w:rsidR="00BA1F02" w:rsidRPr="00857A1B" w:rsidP="00857A1B" w14:paraId="24AB0242" w14:textId="4CBF4360">
      <w:pPr>
        <w:pStyle w:val="ListParagraph"/>
        <w:numPr>
          <w:ilvl w:val="0"/>
          <w:numId w:val="47"/>
        </w:numPr>
        <w:rPr>
          <w:b/>
        </w:rPr>
      </w:pPr>
      <w:r w:rsidRPr="00857A1B">
        <w:rPr>
          <w:b/>
        </w:rPr>
        <w:t xml:space="preserve">Assurance of </w:t>
      </w:r>
      <w:r w:rsidRPr="00857A1B" w:rsidR="007A7C00">
        <w:rPr>
          <w:b/>
        </w:rPr>
        <w:t>Confidentiality and Protection of Privacy</w:t>
      </w:r>
      <w:r w:rsidRPr="00857A1B" w:rsidR="00470720">
        <w:rPr>
          <w:b/>
        </w:rPr>
        <w:t xml:space="preserve">  </w:t>
      </w:r>
    </w:p>
    <w:p w:rsidR="00F64171" w:rsidRPr="001F34CE" w:rsidP="00707438" w14:paraId="4124FC1A" w14:textId="77777777">
      <w:pPr>
        <w:ind w:left="-90"/>
        <w:rPr>
          <w:rFonts w:ascii="Times New Roman" w:hAnsi="Times New Roman"/>
        </w:rPr>
      </w:pPr>
    </w:p>
    <w:p w:rsidR="007A7C00" w:rsidRPr="001F34CE" w:rsidP="00857A1B" w14:paraId="70A4129F" w14:textId="4B0504B0">
      <w:pPr>
        <w:ind w:left="270"/>
        <w:rPr>
          <w:rFonts w:ascii="Times New Roman" w:hAnsi="Times New Roman"/>
          <w:iCs/>
          <w:color w:val="000000"/>
          <w:sz w:val="24"/>
          <w:szCs w:val="24"/>
        </w:rPr>
      </w:pPr>
      <w:r w:rsidRPr="007A7C00">
        <w:rPr>
          <w:rFonts w:ascii="Times New Roman" w:hAnsi="Times New Roman"/>
          <w:iCs/>
          <w:color w:val="000000"/>
          <w:sz w:val="24"/>
          <w:szCs w:val="24"/>
        </w:rPr>
        <w:t>The Department will protect confidential information</w:t>
      </w:r>
      <w:r w:rsidR="00205F84">
        <w:rPr>
          <w:rFonts w:ascii="Times New Roman" w:hAnsi="Times New Roman"/>
          <w:iCs/>
          <w:color w:val="000000"/>
          <w:sz w:val="24"/>
          <w:szCs w:val="24"/>
        </w:rPr>
        <w:t xml:space="preserve"> by</w:t>
      </w:r>
      <w:r w:rsidRPr="007A7C00">
        <w:rPr>
          <w:rFonts w:ascii="Times New Roman" w:hAnsi="Times New Roman"/>
          <w:iCs/>
          <w:color w:val="000000"/>
          <w:sz w:val="24"/>
          <w:szCs w:val="24"/>
        </w:rPr>
        <w:t xml:space="preserve"> complying with </w:t>
      </w:r>
      <w:r w:rsidR="00205F84">
        <w:rPr>
          <w:rFonts w:ascii="Times New Roman" w:hAnsi="Times New Roman"/>
          <w:iCs/>
          <w:color w:val="000000"/>
          <w:sz w:val="24"/>
          <w:szCs w:val="24"/>
        </w:rPr>
        <w:t>Confidentiality and Privacy</w:t>
      </w:r>
      <w:r w:rsidRPr="007A7C00">
        <w:rPr>
          <w:rFonts w:ascii="Times New Roman" w:hAnsi="Times New Roman"/>
          <w:iCs/>
          <w:color w:val="000000"/>
          <w:sz w:val="24"/>
          <w:szCs w:val="24"/>
        </w:rPr>
        <w:t xml:space="preserve"> requirements to the extent required under applicable law. If DOT receives a Freedom of Information Act (FOIA) request for the information that the applicant has marked in accordance with this section, DOT will follow the procedures described in its FOIA regulations at 49 </w:t>
      </w:r>
      <w:r w:rsidR="00205F84">
        <w:rPr>
          <w:rFonts w:ascii="Times New Roman" w:hAnsi="Times New Roman"/>
          <w:iCs/>
          <w:color w:val="000000"/>
          <w:sz w:val="24"/>
          <w:szCs w:val="24"/>
        </w:rPr>
        <w:t>Code of Federal Regulation (</w:t>
      </w:r>
      <w:r w:rsidRPr="007A7C00">
        <w:rPr>
          <w:rFonts w:ascii="Times New Roman" w:hAnsi="Times New Roman"/>
          <w:iCs/>
          <w:color w:val="000000"/>
          <w:sz w:val="24"/>
          <w:szCs w:val="24"/>
        </w:rPr>
        <w:t>CFR</w:t>
      </w:r>
      <w:r w:rsidR="00205F84">
        <w:rPr>
          <w:rFonts w:ascii="Times New Roman" w:hAnsi="Times New Roman"/>
          <w:iCs/>
          <w:color w:val="000000"/>
          <w:sz w:val="24"/>
          <w:szCs w:val="24"/>
        </w:rPr>
        <w:t>) Section (</w:t>
      </w:r>
      <w:r w:rsidRPr="007A7C00">
        <w:rPr>
          <w:rFonts w:ascii="Times New Roman" w:hAnsi="Times New Roman"/>
          <w:iCs/>
          <w:color w:val="000000"/>
          <w:sz w:val="24"/>
          <w:szCs w:val="24"/>
        </w:rPr>
        <w:t>§</w:t>
      </w:r>
      <w:r w:rsidR="00205F84">
        <w:rPr>
          <w:rFonts w:ascii="Times New Roman" w:hAnsi="Times New Roman"/>
          <w:iCs/>
          <w:color w:val="000000"/>
          <w:sz w:val="24"/>
          <w:szCs w:val="24"/>
        </w:rPr>
        <w:t>)</w:t>
      </w:r>
      <w:r w:rsidRPr="007A7C00">
        <w:rPr>
          <w:rFonts w:ascii="Times New Roman" w:hAnsi="Times New Roman"/>
          <w:iCs/>
          <w:color w:val="000000"/>
          <w:sz w:val="24"/>
          <w:szCs w:val="24"/>
        </w:rPr>
        <w:t xml:space="preserve"> 7.29. Only information that is in </w:t>
      </w:r>
      <w:r w:rsidR="00205F84">
        <w:rPr>
          <w:rFonts w:ascii="Times New Roman" w:hAnsi="Times New Roman"/>
          <w:iCs/>
          <w:color w:val="000000"/>
          <w:sz w:val="24"/>
          <w:szCs w:val="24"/>
        </w:rPr>
        <w:t xml:space="preserve">a </w:t>
      </w:r>
      <w:r w:rsidRPr="007A7C00">
        <w:rPr>
          <w:rFonts w:ascii="Times New Roman" w:hAnsi="Times New Roman"/>
          <w:iCs/>
          <w:color w:val="000000"/>
          <w:sz w:val="24"/>
          <w:szCs w:val="24"/>
        </w:rPr>
        <w:t xml:space="preserve">separate document, marked in accordance with this section, and ultimately determined to be confidential under § 7.29 will be exempt from disclosure under FOIA. </w:t>
      </w:r>
    </w:p>
    <w:p w:rsidR="00F64171" w:rsidRPr="001F34CE" w:rsidP="00F746AE" w14:paraId="6161266F" w14:textId="77777777">
      <w:pPr>
        <w:ind w:left="-90"/>
        <w:rPr>
          <w:rFonts w:ascii="Times New Roman" w:hAnsi="Times New Roman"/>
          <w:iCs/>
          <w:color w:val="000000"/>
          <w:sz w:val="24"/>
          <w:szCs w:val="24"/>
        </w:rPr>
      </w:pPr>
    </w:p>
    <w:p w:rsidR="00424089" w:rsidRPr="00F37B3B" w:rsidP="00857A1B" w14:paraId="42C2A32D" w14:textId="2B7C9C65">
      <w:pPr>
        <w:pStyle w:val="ListParagraph"/>
        <w:numPr>
          <w:ilvl w:val="0"/>
          <w:numId w:val="47"/>
        </w:numPr>
        <w:rPr>
          <w:b/>
        </w:rPr>
      </w:pPr>
      <w:r w:rsidRPr="00857A1B">
        <w:rPr>
          <w:b/>
        </w:rPr>
        <w:t xml:space="preserve">Justification for </w:t>
      </w:r>
      <w:r w:rsidRPr="00857A1B" w:rsidR="00F37B3B">
        <w:rPr>
          <w:b/>
        </w:rPr>
        <w:t>S</w:t>
      </w:r>
      <w:r w:rsidRPr="00857A1B">
        <w:rPr>
          <w:b/>
        </w:rPr>
        <w:t xml:space="preserve">ensitive </w:t>
      </w:r>
      <w:r w:rsidRPr="00857A1B" w:rsidR="00F37B3B">
        <w:rPr>
          <w:b/>
        </w:rPr>
        <w:t>Questions</w:t>
      </w:r>
    </w:p>
    <w:p w:rsidR="00424089" w:rsidP="00424089" w14:paraId="1178924E" w14:textId="77777777">
      <w:pPr>
        <w:ind w:left="-90"/>
        <w:rPr>
          <w:rFonts w:ascii="Times New Roman" w:hAnsi="Times New Roman"/>
          <w:sz w:val="24"/>
          <w:szCs w:val="24"/>
        </w:rPr>
      </w:pPr>
    </w:p>
    <w:p w:rsidR="00424089" w:rsidRPr="00707438" w:rsidP="00857A1B" w14:paraId="650AB734" w14:textId="66888EC1">
      <w:pPr>
        <w:ind w:left="288"/>
        <w:rPr>
          <w:rFonts w:ascii="Times New Roman" w:hAnsi="Times New Roman"/>
          <w:b/>
          <w:sz w:val="24"/>
          <w:szCs w:val="24"/>
        </w:rPr>
      </w:pPr>
      <w:r w:rsidRPr="00424089">
        <w:rPr>
          <w:rFonts w:ascii="Times New Roman" w:hAnsi="Times New Roman"/>
          <w:sz w:val="24"/>
          <w:szCs w:val="24"/>
        </w:rPr>
        <w:t>The</w:t>
      </w:r>
      <w:r w:rsidR="00F37B3B">
        <w:rPr>
          <w:rFonts w:ascii="Times New Roman" w:hAnsi="Times New Roman"/>
          <w:sz w:val="24"/>
          <w:szCs w:val="24"/>
        </w:rPr>
        <w:t xml:space="preserve">re are no questions </w:t>
      </w:r>
      <w:r w:rsidRPr="00424089">
        <w:rPr>
          <w:rFonts w:ascii="Times New Roman" w:hAnsi="Times New Roman"/>
          <w:sz w:val="24"/>
          <w:szCs w:val="24"/>
        </w:rPr>
        <w:t>of a sensitive nature</w:t>
      </w:r>
      <w:r>
        <w:rPr>
          <w:rFonts w:ascii="Times New Roman" w:hAnsi="Times New Roman"/>
          <w:sz w:val="24"/>
          <w:szCs w:val="24"/>
        </w:rPr>
        <w:t>.</w:t>
      </w:r>
    </w:p>
    <w:p w:rsidR="00470720" w:rsidRPr="001F34CE" w:rsidP="00F746AE" w14:paraId="670C6DAD" w14:textId="16841238">
      <w:pPr>
        <w:ind w:left="-90"/>
        <w:rPr>
          <w:rFonts w:ascii="Times New Roman" w:hAnsi="Times New Roman"/>
        </w:rPr>
      </w:pPr>
    </w:p>
    <w:p w:rsidR="00470720" w:rsidRPr="00F37B3B" w:rsidP="00857A1B" w14:paraId="62D881A1" w14:textId="70A9F32B">
      <w:pPr>
        <w:pStyle w:val="ListParagraph"/>
        <w:numPr>
          <w:ilvl w:val="0"/>
          <w:numId w:val="47"/>
        </w:numPr>
        <w:rPr>
          <w:b/>
        </w:rPr>
      </w:pPr>
      <w:r w:rsidRPr="00857A1B">
        <w:rPr>
          <w:b/>
        </w:rPr>
        <w:t xml:space="preserve">Estimate of </w:t>
      </w:r>
      <w:r w:rsidRPr="00857A1B" w:rsidR="00F37B3B">
        <w:rPr>
          <w:b/>
        </w:rPr>
        <w:t xml:space="preserve"> Annualized B</w:t>
      </w:r>
      <w:r w:rsidRPr="00857A1B">
        <w:rPr>
          <w:b/>
        </w:rPr>
        <w:t xml:space="preserve">urden </w:t>
      </w:r>
      <w:r w:rsidRPr="00857A1B" w:rsidR="00F37B3B">
        <w:rPr>
          <w:b/>
        </w:rPr>
        <w:t>Hours and Cost</w:t>
      </w:r>
    </w:p>
    <w:p w:rsidR="00470720" w:rsidRPr="001F34CE" w:rsidP="00F746AE" w14:paraId="26F1DA07" w14:textId="77777777">
      <w:pPr>
        <w:ind w:left="-90"/>
        <w:rPr>
          <w:rFonts w:ascii="Times New Roman" w:hAnsi="Times New Roman"/>
          <w:b/>
          <w:sz w:val="24"/>
          <w:szCs w:val="24"/>
        </w:rPr>
      </w:pPr>
    </w:p>
    <w:p w:rsidR="00F37B3B" w:rsidP="007748DD" w14:paraId="7040ED27" w14:textId="77777777">
      <w:pPr>
        <w:pStyle w:val="Title"/>
        <w:numPr>
          <w:ilvl w:val="0"/>
          <w:numId w:val="52"/>
        </w:numPr>
        <w:jc w:val="left"/>
        <w:rPr>
          <w:rFonts w:ascii="Times New Roman" w:hAnsi="Times New Roman"/>
          <w:b w:val="0"/>
          <w:u w:val="none"/>
        </w:rPr>
      </w:pPr>
      <w:r w:rsidRPr="00857A1B">
        <w:rPr>
          <w:rFonts w:ascii="Times New Roman" w:hAnsi="Times New Roman"/>
          <w:bCs w:val="0"/>
          <w:u w:val="none"/>
        </w:rPr>
        <w:t xml:space="preserve">Estimated </w:t>
      </w:r>
      <w:r w:rsidRPr="00F37B3B">
        <w:rPr>
          <w:rFonts w:ascii="Times New Roman" w:hAnsi="Times New Roman"/>
          <w:bCs w:val="0"/>
          <w:u w:val="none"/>
        </w:rPr>
        <w:t>Annualized</w:t>
      </w:r>
      <w:r w:rsidRPr="00857A1B">
        <w:rPr>
          <w:rFonts w:ascii="Times New Roman" w:hAnsi="Times New Roman"/>
          <w:bCs w:val="0"/>
          <w:u w:val="none"/>
        </w:rPr>
        <w:t xml:space="preserve"> Burden Hours</w:t>
      </w:r>
      <w:r>
        <w:rPr>
          <w:rFonts w:ascii="Times New Roman" w:hAnsi="Times New Roman"/>
          <w:b w:val="0"/>
          <w:u w:val="none"/>
        </w:rPr>
        <w:t xml:space="preserve">: </w:t>
      </w:r>
    </w:p>
    <w:p w:rsidR="00F37B3B" w:rsidP="007748DD" w14:paraId="043D9752" w14:textId="77777777">
      <w:pPr>
        <w:pStyle w:val="Title"/>
        <w:ind w:left="648"/>
        <w:jc w:val="left"/>
        <w:rPr>
          <w:rFonts w:ascii="Times New Roman" w:hAnsi="Times New Roman"/>
          <w:bCs w:val="0"/>
          <w:u w:val="none"/>
        </w:rPr>
      </w:pPr>
    </w:p>
    <w:p w:rsidR="00993BD1" w:rsidP="007748DD" w14:paraId="58906AF4" w14:textId="62A23401">
      <w:pPr>
        <w:pStyle w:val="Title"/>
        <w:ind w:left="288"/>
        <w:jc w:val="left"/>
        <w:rPr>
          <w:rFonts w:ascii="Times New Roman" w:hAnsi="Times New Roman"/>
          <w:b w:val="0"/>
          <w:u w:val="none"/>
        </w:rPr>
      </w:pPr>
      <w:r w:rsidRPr="00E12019">
        <w:rPr>
          <w:rFonts w:ascii="Times New Roman" w:hAnsi="Times New Roman"/>
          <w:b w:val="0"/>
          <w:u w:val="none"/>
        </w:rPr>
        <w:t xml:space="preserve">There are approximately 300 ports in the United States. </w:t>
      </w:r>
      <w:r w:rsidR="00E81F14">
        <w:rPr>
          <w:rFonts w:ascii="Times New Roman" w:hAnsi="Times New Roman"/>
          <w:b w:val="0"/>
          <w:u w:val="none"/>
        </w:rPr>
        <w:t>However, MARAD receives approximately 200 applications for</w:t>
      </w:r>
      <w:r w:rsidRPr="001F34CE">
        <w:rPr>
          <w:rFonts w:ascii="Times New Roman" w:hAnsi="Times New Roman"/>
          <w:b w:val="0"/>
          <w:u w:val="none"/>
        </w:rPr>
        <w:t xml:space="preserve"> the Port Infrastructure Development Program</w:t>
      </w:r>
      <w:r w:rsidR="00E81F14">
        <w:rPr>
          <w:rFonts w:ascii="Times New Roman" w:hAnsi="Times New Roman"/>
          <w:b w:val="0"/>
          <w:u w:val="none"/>
        </w:rPr>
        <w:t xml:space="preserve"> annually</w:t>
      </w:r>
      <w:r w:rsidRPr="001F34CE">
        <w:rPr>
          <w:rFonts w:ascii="Times New Roman" w:hAnsi="Times New Roman"/>
          <w:b w:val="0"/>
          <w:u w:val="none"/>
        </w:rPr>
        <w:t xml:space="preserve">. </w:t>
      </w:r>
      <w:r w:rsidR="00E81F14">
        <w:rPr>
          <w:rFonts w:ascii="Times New Roman" w:hAnsi="Times New Roman"/>
          <w:b w:val="0"/>
          <w:u w:val="none"/>
        </w:rPr>
        <w:t>Therefore,</w:t>
      </w:r>
      <w:r w:rsidR="00F37B3B">
        <w:rPr>
          <w:rFonts w:ascii="Times New Roman" w:hAnsi="Times New Roman"/>
          <w:b w:val="0"/>
          <w:u w:val="none"/>
        </w:rPr>
        <w:t xml:space="preserve"> a total estimated 200 respondents</w:t>
      </w:r>
      <w:r w:rsidR="00205F84">
        <w:rPr>
          <w:rFonts w:ascii="Times New Roman" w:hAnsi="Times New Roman"/>
          <w:b w:val="0"/>
          <w:u w:val="none"/>
        </w:rPr>
        <w:t xml:space="preserve"> will </w:t>
      </w:r>
      <w:r w:rsidR="00F37B3B">
        <w:rPr>
          <w:rFonts w:ascii="Times New Roman" w:hAnsi="Times New Roman"/>
          <w:b w:val="0"/>
          <w:u w:val="none"/>
        </w:rPr>
        <w:t xml:space="preserve">respond once to this information collection each year. Each applicant will take a combined </w:t>
      </w:r>
      <w:r w:rsidR="00C81754">
        <w:rPr>
          <w:rFonts w:ascii="Times New Roman" w:hAnsi="Times New Roman"/>
          <w:b w:val="0"/>
          <w:u w:val="none"/>
        </w:rPr>
        <w:t xml:space="preserve">160 </w:t>
      </w:r>
      <w:r w:rsidR="00F37B3B">
        <w:rPr>
          <w:rFonts w:ascii="Times New Roman" w:hAnsi="Times New Roman"/>
          <w:b w:val="0"/>
          <w:u w:val="none"/>
        </w:rPr>
        <w:t xml:space="preserve">hours to complete all tasks related to this application </w:t>
      </w:r>
      <w:r w:rsidR="00E81F14">
        <w:rPr>
          <w:rFonts w:ascii="Times New Roman" w:hAnsi="Times New Roman"/>
          <w:b w:val="0"/>
          <w:u w:val="none"/>
        </w:rPr>
        <w:t xml:space="preserve">process </w:t>
      </w:r>
      <w:r w:rsidR="00F37B3B">
        <w:rPr>
          <w:rFonts w:ascii="Times New Roman" w:hAnsi="Times New Roman"/>
          <w:b w:val="0"/>
          <w:u w:val="none"/>
        </w:rPr>
        <w:t xml:space="preserve">(i.e., </w:t>
      </w:r>
      <w:r>
        <w:rPr>
          <w:rFonts w:ascii="Times New Roman" w:hAnsi="Times New Roman"/>
          <w:b w:val="0"/>
          <w:u w:val="none"/>
        </w:rPr>
        <w:t>project review (20 hours), proposal writing (120</w:t>
      </w:r>
      <w:r w:rsidR="00C81754">
        <w:rPr>
          <w:rFonts w:ascii="Times New Roman" w:hAnsi="Times New Roman"/>
          <w:b w:val="0"/>
          <w:u w:val="none"/>
        </w:rPr>
        <w:t xml:space="preserve"> </w:t>
      </w:r>
      <w:r>
        <w:rPr>
          <w:rFonts w:ascii="Times New Roman" w:hAnsi="Times New Roman"/>
          <w:b w:val="0"/>
          <w:u w:val="none"/>
        </w:rPr>
        <w:t xml:space="preserve">hours), proposal editing (16 hours), </w:t>
      </w:r>
      <w:r w:rsidR="00205F84">
        <w:rPr>
          <w:rFonts w:ascii="Times New Roman" w:hAnsi="Times New Roman"/>
          <w:b w:val="0"/>
          <w:u w:val="none"/>
        </w:rPr>
        <w:t xml:space="preserve">completion of </w:t>
      </w:r>
      <w:r w:rsidR="00C81754">
        <w:rPr>
          <w:rFonts w:ascii="Times New Roman" w:hAnsi="Times New Roman"/>
          <w:b w:val="0"/>
          <w:u w:val="none"/>
        </w:rPr>
        <w:t xml:space="preserve">SF-424 Form (1 hour) </w:t>
      </w:r>
      <w:r>
        <w:rPr>
          <w:rFonts w:ascii="Times New Roman" w:hAnsi="Times New Roman"/>
          <w:b w:val="0"/>
          <w:u w:val="none"/>
        </w:rPr>
        <w:t>and application submission via grants.gov (</w:t>
      </w:r>
      <w:r w:rsidR="00C81754">
        <w:rPr>
          <w:rFonts w:ascii="Times New Roman" w:hAnsi="Times New Roman"/>
          <w:b w:val="0"/>
          <w:u w:val="none"/>
        </w:rPr>
        <w:t xml:space="preserve">3 </w:t>
      </w:r>
      <w:r>
        <w:rPr>
          <w:rFonts w:ascii="Times New Roman" w:hAnsi="Times New Roman"/>
          <w:b w:val="0"/>
          <w:u w:val="none"/>
        </w:rPr>
        <w:t>hours)</w:t>
      </w:r>
      <w:r w:rsidR="00BF3923">
        <w:rPr>
          <w:rFonts w:ascii="Times New Roman" w:hAnsi="Times New Roman"/>
          <w:b w:val="0"/>
          <w:u w:val="none"/>
        </w:rPr>
        <w:t>)</w:t>
      </w:r>
      <w:r w:rsidR="007748DD">
        <w:rPr>
          <w:rFonts w:ascii="Times New Roman" w:hAnsi="Times New Roman"/>
          <w:b w:val="0"/>
          <w:u w:val="none"/>
        </w:rPr>
        <w:t xml:space="preserve">, </w:t>
      </w:r>
      <w:r w:rsidR="00E81F14">
        <w:rPr>
          <w:rFonts w:ascii="Times New Roman" w:hAnsi="Times New Roman"/>
          <w:b w:val="0"/>
          <w:u w:val="none"/>
        </w:rPr>
        <w:t xml:space="preserve"> for a total combined 3</w:t>
      </w:r>
      <w:r w:rsidR="00C81754">
        <w:rPr>
          <w:rFonts w:ascii="Times New Roman" w:hAnsi="Times New Roman"/>
          <w:b w:val="0"/>
          <w:u w:val="none"/>
        </w:rPr>
        <w:t>2</w:t>
      </w:r>
      <w:r w:rsidR="00E81F14">
        <w:rPr>
          <w:rFonts w:ascii="Times New Roman" w:hAnsi="Times New Roman"/>
          <w:b w:val="0"/>
          <w:u w:val="none"/>
        </w:rPr>
        <w:t>,</w:t>
      </w:r>
      <w:r w:rsidR="004634A8">
        <w:rPr>
          <w:rFonts w:ascii="Times New Roman" w:hAnsi="Times New Roman"/>
          <w:b w:val="0"/>
          <w:u w:val="none"/>
        </w:rPr>
        <w:t>0</w:t>
      </w:r>
      <w:r w:rsidR="00E81F14">
        <w:rPr>
          <w:rFonts w:ascii="Times New Roman" w:hAnsi="Times New Roman"/>
          <w:b w:val="0"/>
          <w:u w:val="none"/>
        </w:rPr>
        <w:t xml:space="preserve">00 hours, which can be calculated as shown in the table below: </w:t>
      </w:r>
      <w:r>
        <w:rPr>
          <w:rFonts w:ascii="Times New Roman" w:hAnsi="Times New Roman"/>
          <w:b w:val="0"/>
          <w:u w:val="none"/>
        </w:rPr>
        <w:t xml:space="preserve"> </w:t>
      </w:r>
    </w:p>
    <w:p w:rsidR="00C81754" w:rsidP="00857A1B" w14:paraId="28F084A2" w14:textId="77777777">
      <w:pPr>
        <w:pStyle w:val="Title"/>
        <w:ind w:left="288"/>
        <w:jc w:val="left"/>
        <w:rPr>
          <w:rFonts w:ascii="Times New Roman" w:hAnsi="Times New Roman"/>
          <w:b w:val="0"/>
          <w:u w:val="none"/>
        </w:rPr>
      </w:pPr>
    </w:p>
    <w:tbl>
      <w:tblPr>
        <w:tblW w:w="11160" w:type="dxa"/>
        <w:tblInd w:w="-730" w:type="dxa"/>
        <w:tblLook w:val="04A0"/>
      </w:tblPr>
      <w:tblGrid>
        <w:gridCol w:w="1581"/>
        <w:gridCol w:w="1306"/>
        <w:gridCol w:w="631"/>
        <w:gridCol w:w="1619"/>
        <w:gridCol w:w="450"/>
        <w:gridCol w:w="1528"/>
        <w:gridCol w:w="539"/>
        <w:gridCol w:w="1707"/>
        <w:gridCol w:w="539"/>
        <w:gridCol w:w="1260"/>
      </w:tblGrid>
      <w:tr w14:paraId="3852C794" w14:textId="77777777" w:rsidTr="00FA648F">
        <w:tblPrEx>
          <w:tblW w:w="11160" w:type="dxa"/>
          <w:tblInd w:w="-730" w:type="dxa"/>
          <w:tblLook w:val="04A0"/>
        </w:tblPrEx>
        <w:trPr>
          <w:trHeight w:val="601"/>
        </w:trPr>
        <w:tc>
          <w:tcPr>
            <w:tcW w:w="1581" w:type="dxa"/>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hideMark/>
          </w:tcPr>
          <w:p w:rsidR="004634A8" w:rsidRPr="00857A1B" w:rsidP="004634A8" w14:paraId="5FB7AC77"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Form Name/ Type of Action</w:t>
            </w:r>
          </w:p>
        </w:tc>
        <w:tc>
          <w:tcPr>
            <w:tcW w:w="130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4634A8" w:rsidRPr="00857A1B" w:rsidP="004634A8" w14:paraId="2460351D" w14:textId="598C0FC5">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Respondents</w:t>
            </w:r>
          </w:p>
        </w:tc>
        <w:tc>
          <w:tcPr>
            <w:tcW w:w="63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4634A8" w:rsidRPr="00857A1B" w:rsidP="004634A8" w14:paraId="19E251E2" w14:textId="6213A47C">
            <w:pPr>
              <w:widowControl/>
              <w:autoSpaceDE/>
              <w:autoSpaceDN/>
              <w:adjustRightInd/>
              <w:jc w:val="center"/>
              <w:rPr>
                <w:rFonts w:ascii="Times New Roman" w:hAnsi="Times New Roman"/>
                <w:b/>
                <w:bCs/>
                <w:color w:val="000000"/>
              </w:rPr>
            </w:pPr>
          </w:p>
        </w:tc>
        <w:tc>
          <w:tcPr>
            <w:tcW w:w="161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4634A8" w:rsidRPr="00857A1B" w:rsidP="004634A8" w14:paraId="1A6C155C"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Responses per Respondent</w:t>
            </w:r>
          </w:p>
        </w:tc>
        <w:tc>
          <w:tcPr>
            <w:tcW w:w="45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4634A8" w:rsidRPr="00857A1B" w:rsidP="004634A8" w14:paraId="3F7C1E1F" w14:textId="7877E29F">
            <w:pPr>
              <w:widowControl/>
              <w:autoSpaceDE/>
              <w:autoSpaceDN/>
              <w:adjustRightInd/>
              <w:jc w:val="center"/>
              <w:rPr>
                <w:rFonts w:ascii="Times New Roman" w:hAnsi="Times New Roman"/>
                <w:b/>
                <w:bCs/>
                <w:color w:val="000000"/>
              </w:rPr>
            </w:pPr>
          </w:p>
        </w:tc>
        <w:tc>
          <w:tcPr>
            <w:tcW w:w="1528" w:type="dxa"/>
            <w:tcBorders>
              <w:top w:val="single" w:sz="4" w:space="0" w:color="auto"/>
              <w:left w:val="nil"/>
              <w:bottom w:val="single" w:sz="4" w:space="0" w:color="auto"/>
              <w:right w:val="nil"/>
            </w:tcBorders>
            <w:shd w:val="clear" w:color="auto" w:fill="D0CECE" w:themeFill="background2" w:themeFillShade="E6"/>
            <w:vAlign w:val="center"/>
            <w:hideMark/>
          </w:tcPr>
          <w:p w:rsidR="004634A8" w:rsidRPr="00857A1B" w:rsidP="004634A8" w14:paraId="179C71D7" w14:textId="6D45CD88">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Responses</w:t>
            </w:r>
          </w:p>
        </w:tc>
        <w:tc>
          <w:tcPr>
            <w:tcW w:w="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634A8" w:rsidRPr="00857A1B" w:rsidP="004634A8" w14:paraId="722EBB9E" w14:textId="77777777">
            <w:pPr>
              <w:widowControl/>
              <w:autoSpaceDE/>
              <w:autoSpaceDN/>
              <w:adjustRightInd/>
              <w:jc w:val="center"/>
              <w:rPr>
                <w:rFonts w:ascii="Times New Roman" w:hAnsi="Times New Roman"/>
                <w:b/>
                <w:bCs/>
                <w:color w:val="000000"/>
              </w:rPr>
            </w:pPr>
          </w:p>
        </w:tc>
        <w:tc>
          <w:tcPr>
            <w:tcW w:w="1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634A8" w:rsidRPr="00857A1B" w:rsidP="004634A8" w14:paraId="67C81221" w14:textId="29EAD9DC">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Time Taken to Respond (Hours)</w:t>
            </w:r>
          </w:p>
        </w:tc>
        <w:tc>
          <w:tcPr>
            <w:tcW w:w="539"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4634A8" w:rsidRPr="00857A1B" w:rsidP="004634A8" w14:paraId="750980F4" w14:textId="77777777">
            <w:pPr>
              <w:widowControl/>
              <w:autoSpaceDE/>
              <w:autoSpaceDN/>
              <w:adjustRightInd/>
              <w:jc w:val="center"/>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4634A8" w:rsidRPr="00857A1B" w:rsidP="004634A8" w14:paraId="016C71B4" w14:textId="4B70E83D">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 xml:space="preserve">Total </w:t>
            </w:r>
            <w:r w:rsidRPr="00857A1B" w:rsidR="00925E99">
              <w:rPr>
                <w:rFonts w:ascii="Times New Roman" w:hAnsi="Times New Roman"/>
                <w:b/>
                <w:bCs/>
                <w:color w:val="000000"/>
              </w:rPr>
              <w:t xml:space="preserve">Annualized </w:t>
            </w:r>
            <w:r w:rsidRPr="00857A1B">
              <w:rPr>
                <w:rFonts w:ascii="Times New Roman" w:hAnsi="Times New Roman"/>
                <w:b/>
                <w:bCs/>
                <w:color w:val="000000"/>
              </w:rPr>
              <w:t>Burden Hours</w:t>
            </w:r>
          </w:p>
        </w:tc>
      </w:tr>
      <w:tr w14:paraId="1C666A50" w14:textId="77777777" w:rsidTr="00615BF1">
        <w:tblPrEx>
          <w:tblW w:w="11160" w:type="dxa"/>
          <w:tblInd w:w="-730" w:type="dxa"/>
          <w:tblLook w:val="04A0"/>
        </w:tblPrEx>
        <w:trPr>
          <w:trHeight w:val="400"/>
        </w:trPr>
        <w:tc>
          <w:tcPr>
            <w:tcW w:w="1581" w:type="dxa"/>
            <w:tcBorders>
              <w:top w:val="nil"/>
              <w:left w:val="single" w:sz="8" w:space="0" w:color="auto"/>
              <w:bottom w:val="single" w:sz="4" w:space="0" w:color="auto"/>
              <w:right w:val="single" w:sz="4" w:space="0" w:color="auto"/>
            </w:tcBorders>
            <w:shd w:val="clear" w:color="auto" w:fill="auto"/>
            <w:vAlign w:val="center"/>
            <w:hideMark/>
          </w:tcPr>
          <w:p w:rsidR="00330E0D" w:rsidRPr="00857A1B" w:rsidP="00C81754" w14:paraId="5ABF53A7"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Project Review</w:t>
            </w:r>
          </w:p>
        </w:tc>
        <w:tc>
          <w:tcPr>
            <w:tcW w:w="1306" w:type="dxa"/>
            <w:vMerge w:val="restart"/>
            <w:tcBorders>
              <w:top w:val="nil"/>
              <w:left w:val="single" w:sz="4" w:space="0" w:color="auto"/>
              <w:right w:val="single" w:sz="4" w:space="0" w:color="auto"/>
            </w:tcBorders>
            <w:shd w:val="clear" w:color="auto" w:fill="auto"/>
            <w:vAlign w:val="center"/>
            <w:hideMark/>
          </w:tcPr>
          <w:p w:rsidR="00330E0D" w:rsidRPr="00857A1B" w:rsidP="00C81754" w14:paraId="78F91FA1"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200</w:t>
            </w:r>
          </w:p>
        </w:tc>
        <w:tc>
          <w:tcPr>
            <w:tcW w:w="631" w:type="dxa"/>
            <w:tcBorders>
              <w:top w:val="nil"/>
              <w:left w:val="nil"/>
              <w:bottom w:val="nil"/>
              <w:right w:val="single" w:sz="4" w:space="0" w:color="auto"/>
            </w:tcBorders>
            <w:shd w:val="clear" w:color="auto" w:fill="auto"/>
            <w:vAlign w:val="bottom"/>
            <w:hideMark/>
          </w:tcPr>
          <w:p w:rsidR="00330E0D" w:rsidRPr="00857A1B" w:rsidP="00C81754" w14:paraId="083F6E42"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619" w:type="dxa"/>
            <w:vMerge w:val="restart"/>
            <w:tcBorders>
              <w:top w:val="nil"/>
              <w:left w:val="nil"/>
              <w:right w:val="single" w:sz="4" w:space="0" w:color="auto"/>
            </w:tcBorders>
            <w:shd w:val="clear" w:color="auto" w:fill="auto"/>
            <w:vAlign w:val="center"/>
            <w:hideMark/>
          </w:tcPr>
          <w:p w:rsidR="00330E0D" w:rsidRPr="00857A1B" w:rsidP="004634A8" w14:paraId="1B95DFD4"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1</w:t>
            </w:r>
          </w:p>
          <w:p w:rsidR="00330E0D" w:rsidRPr="00857A1B" w:rsidP="004634A8" w14:paraId="04759CBE" w14:textId="0E1FB492">
            <w:pPr>
              <w:jc w:val="center"/>
              <w:rPr>
                <w:rFonts w:ascii="Times New Roman" w:hAnsi="Times New Roman"/>
                <w:color w:val="000000"/>
              </w:rPr>
            </w:pPr>
          </w:p>
        </w:tc>
        <w:tc>
          <w:tcPr>
            <w:tcW w:w="450" w:type="dxa"/>
            <w:tcBorders>
              <w:top w:val="nil"/>
              <w:left w:val="nil"/>
              <w:bottom w:val="nil"/>
              <w:right w:val="single" w:sz="4" w:space="0" w:color="auto"/>
            </w:tcBorders>
            <w:shd w:val="clear" w:color="auto" w:fill="auto"/>
            <w:vAlign w:val="bottom"/>
            <w:hideMark/>
          </w:tcPr>
          <w:p w:rsidR="00330E0D" w:rsidRPr="00857A1B" w:rsidP="00C81754" w14:paraId="2F0AD26E"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528" w:type="dxa"/>
            <w:vMerge w:val="restart"/>
            <w:tcBorders>
              <w:top w:val="single" w:sz="4" w:space="0" w:color="auto"/>
              <w:left w:val="nil"/>
              <w:right w:val="single" w:sz="4" w:space="0" w:color="auto"/>
            </w:tcBorders>
            <w:shd w:val="clear" w:color="auto" w:fill="auto"/>
            <w:vAlign w:val="center"/>
            <w:hideMark/>
          </w:tcPr>
          <w:p w:rsidR="00330E0D" w:rsidRPr="00857A1B" w:rsidP="00C81754" w14:paraId="1337F8E3" w14:textId="77777777">
            <w:pPr>
              <w:jc w:val="center"/>
              <w:rPr>
                <w:rFonts w:ascii="Times New Roman" w:hAnsi="Times New Roman"/>
                <w:color w:val="000000"/>
              </w:rPr>
            </w:pPr>
            <w:r>
              <w:rPr>
                <w:rFonts w:ascii="Times New Roman" w:hAnsi="Times New Roman"/>
                <w:color w:val="000000"/>
              </w:rPr>
              <w:t>200</w:t>
            </w:r>
          </w:p>
          <w:p w:rsidR="00330E0D" w:rsidRPr="00857A1B" w:rsidP="00C81754" w14:paraId="4D37A2A6" w14:textId="057CB055">
            <w:pPr>
              <w:jc w:val="center"/>
              <w:rPr>
                <w:rFonts w:ascii="Times New Roman" w:hAnsi="Times New Roman"/>
                <w:color w:val="000000"/>
              </w:rPr>
            </w:pPr>
          </w:p>
        </w:tc>
        <w:tc>
          <w:tcPr>
            <w:tcW w:w="539" w:type="dxa"/>
            <w:vMerge w:val="restart"/>
            <w:tcBorders>
              <w:top w:val="single" w:sz="4" w:space="0" w:color="auto"/>
              <w:left w:val="nil"/>
              <w:right w:val="single" w:sz="4" w:space="0" w:color="auto"/>
            </w:tcBorders>
          </w:tcPr>
          <w:p w:rsidR="00330E0D" w:rsidRPr="00857A1B" w:rsidP="00C81754" w14:paraId="5D69C61F" w14:textId="77777777">
            <w:pPr>
              <w:widowControl/>
              <w:autoSpaceDE/>
              <w:autoSpaceDN/>
              <w:adjustRightInd/>
              <w:jc w:val="center"/>
              <w:rPr>
                <w:rFonts w:ascii="Times New Roman" w:hAnsi="Times New Roman"/>
                <w:color w:val="000000"/>
              </w:rPr>
            </w:pPr>
          </w:p>
          <w:p w:rsidR="00330E0D" w:rsidRPr="00857A1B" w:rsidP="00C81754" w14:paraId="1469D6EE" w14:textId="77777777">
            <w:pPr>
              <w:widowControl/>
              <w:autoSpaceDE/>
              <w:autoSpaceDN/>
              <w:adjustRightInd/>
              <w:jc w:val="center"/>
              <w:rPr>
                <w:rFonts w:ascii="Times New Roman" w:hAnsi="Times New Roman"/>
                <w:color w:val="000000"/>
              </w:rPr>
            </w:pPr>
          </w:p>
          <w:p w:rsidR="00330E0D" w:rsidRPr="00857A1B" w:rsidP="00C81754" w14:paraId="5DB53661" w14:textId="77777777">
            <w:pPr>
              <w:widowControl/>
              <w:autoSpaceDE/>
              <w:autoSpaceDN/>
              <w:adjustRightInd/>
              <w:jc w:val="center"/>
              <w:rPr>
                <w:rFonts w:ascii="Times New Roman" w:hAnsi="Times New Roman"/>
                <w:color w:val="000000"/>
              </w:rPr>
            </w:pPr>
          </w:p>
          <w:p w:rsidR="00330E0D" w:rsidRPr="00857A1B" w:rsidP="00C81754" w14:paraId="560A9FD2" w14:textId="77777777">
            <w:pPr>
              <w:widowControl/>
              <w:autoSpaceDE/>
              <w:autoSpaceDN/>
              <w:adjustRightInd/>
              <w:jc w:val="center"/>
              <w:rPr>
                <w:rFonts w:ascii="Times New Roman" w:hAnsi="Times New Roman"/>
                <w:color w:val="000000"/>
              </w:rPr>
            </w:pPr>
          </w:p>
          <w:p w:rsidR="00330E0D" w:rsidRPr="00857A1B" w:rsidP="00857A1B" w14:paraId="15ED05CC" w14:textId="7F5EC1AE">
            <w:pPr>
              <w:widowControl/>
              <w:autoSpaceDE/>
              <w:autoSpaceDN/>
              <w:adjustRightInd/>
              <w:rPr>
                <w:rFonts w:ascii="Times New Roman" w:hAnsi="Times New Roman"/>
                <w:color w:val="000000"/>
              </w:rPr>
            </w:pPr>
            <w:r w:rsidRPr="00857A1B">
              <w:rPr>
                <w:rFonts w:ascii="Times New Roman" w:hAnsi="Times New Roman"/>
                <w:color w:val="000000"/>
              </w:rPr>
              <w:t xml:space="preserve">   *</w:t>
            </w:r>
          </w:p>
        </w:tc>
        <w:tc>
          <w:tcPr>
            <w:tcW w:w="1707" w:type="dxa"/>
            <w:tcBorders>
              <w:top w:val="nil"/>
              <w:left w:val="single" w:sz="4" w:space="0" w:color="auto"/>
              <w:bottom w:val="single" w:sz="4" w:space="0" w:color="auto"/>
              <w:right w:val="single" w:sz="4" w:space="0" w:color="auto"/>
            </w:tcBorders>
            <w:shd w:val="clear" w:color="auto" w:fill="auto"/>
            <w:vAlign w:val="bottom"/>
            <w:hideMark/>
          </w:tcPr>
          <w:p w:rsidR="00330E0D" w:rsidRPr="00857A1B" w:rsidP="00C81754" w14:paraId="6A67883A" w14:textId="05E0A37F">
            <w:pPr>
              <w:widowControl/>
              <w:autoSpaceDE/>
              <w:autoSpaceDN/>
              <w:adjustRightInd/>
              <w:jc w:val="center"/>
              <w:rPr>
                <w:rFonts w:ascii="Times New Roman" w:hAnsi="Times New Roman"/>
                <w:color w:val="000000"/>
              </w:rPr>
            </w:pPr>
            <w:r w:rsidRPr="00857A1B">
              <w:rPr>
                <w:rFonts w:ascii="Times New Roman" w:hAnsi="Times New Roman"/>
                <w:color w:val="000000"/>
              </w:rPr>
              <w:t>20</w:t>
            </w:r>
          </w:p>
        </w:tc>
        <w:tc>
          <w:tcPr>
            <w:tcW w:w="539" w:type="dxa"/>
            <w:vMerge w:val="restart"/>
            <w:tcBorders>
              <w:top w:val="nil"/>
              <w:left w:val="nil"/>
              <w:right w:val="single" w:sz="4" w:space="0" w:color="auto"/>
            </w:tcBorders>
          </w:tcPr>
          <w:p w:rsidR="00330E0D" w:rsidRPr="00857A1B" w:rsidP="00C81754" w14:paraId="6D50230C" w14:textId="77777777">
            <w:pPr>
              <w:widowControl/>
              <w:autoSpaceDE/>
              <w:autoSpaceDN/>
              <w:adjustRightInd/>
              <w:jc w:val="center"/>
              <w:rPr>
                <w:rFonts w:ascii="Times New Roman" w:hAnsi="Times New Roman"/>
                <w:color w:val="000000"/>
              </w:rPr>
            </w:pPr>
          </w:p>
          <w:p w:rsidR="00330E0D" w:rsidRPr="00857A1B" w:rsidP="00C81754" w14:paraId="176784F0" w14:textId="77777777">
            <w:pPr>
              <w:widowControl/>
              <w:autoSpaceDE/>
              <w:autoSpaceDN/>
              <w:adjustRightInd/>
              <w:jc w:val="center"/>
              <w:rPr>
                <w:rFonts w:ascii="Times New Roman" w:hAnsi="Times New Roman"/>
                <w:color w:val="000000"/>
              </w:rPr>
            </w:pPr>
          </w:p>
          <w:p w:rsidR="00330E0D" w:rsidRPr="00857A1B" w:rsidP="00C81754" w14:paraId="204E0024" w14:textId="77777777">
            <w:pPr>
              <w:widowControl/>
              <w:autoSpaceDE/>
              <w:autoSpaceDN/>
              <w:adjustRightInd/>
              <w:jc w:val="center"/>
              <w:rPr>
                <w:rFonts w:ascii="Times New Roman" w:hAnsi="Times New Roman"/>
                <w:color w:val="000000"/>
              </w:rPr>
            </w:pPr>
          </w:p>
          <w:p w:rsidR="00330E0D" w:rsidRPr="00857A1B" w:rsidP="00C81754" w14:paraId="4442F7C7" w14:textId="77777777">
            <w:pPr>
              <w:widowControl/>
              <w:autoSpaceDE/>
              <w:autoSpaceDN/>
              <w:adjustRightInd/>
              <w:jc w:val="center"/>
              <w:rPr>
                <w:rFonts w:ascii="Times New Roman" w:hAnsi="Times New Roman"/>
                <w:color w:val="000000"/>
              </w:rPr>
            </w:pPr>
          </w:p>
          <w:p w:rsidR="00330E0D" w:rsidRPr="00857A1B" w:rsidP="00C81754" w14:paraId="3B2E7223" w14:textId="23D6A9E8">
            <w:pPr>
              <w:widowControl/>
              <w:autoSpaceDE/>
              <w:autoSpaceDN/>
              <w:adjustRightInd/>
              <w:jc w:val="center"/>
              <w:rPr>
                <w:rFonts w:ascii="Times New Roman" w:hAnsi="Times New Roman"/>
                <w:color w:val="000000"/>
              </w:rPr>
            </w:pPr>
            <w:r w:rsidRPr="00857A1B">
              <w:rPr>
                <w:rFonts w:ascii="Times New Roman" w:hAnsi="Times New Roman"/>
                <w:color w:val="000000"/>
              </w:rPr>
              <w:t>=</w:t>
            </w:r>
          </w:p>
        </w:tc>
        <w:tc>
          <w:tcPr>
            <w:tcW w:w="1260" w:type="dxa"/>
            <w:tcBorders>
              <w:top w:val="nil"/>
              <w:left w:val="single" w:sz="4" w:space="0" w:color="auto"/>
              <w:bottom w:val="single" w:sz="8" w:space="0" w:color="auto"/>
              <w:right w:val="single" w:sz="8" w:space="0" w:color="auto"/>
            </w:tcBorders>
            <w:shd w:val="clear" w:color="auto" w:fill="auto"/>
            <w:vAlign w:val="bottom"/>
            <w:hideMark/>
          </w:tcPr>
          <w:p w:rsidR="00330E0D" w:rsidRPr="00857A1B" w:rsidP="00C81754" w14:paraId="20E215AE" w14:textId="6796C433">
            <w:pPr>
              <w:widowControl/>
              <w:autoSpaceDE/>
              <w:autoSpaceDN/>
              <w:adjustRightInd/>
              <w:jc w:val="center"/>
              <w:rPr>
                <w:rFonts w:ascii="Times New Roman" w:hAnsi="Times New Roman"/>
                <w:color w:val="000000"/>
              </w:rPr>
            </w:pPr>
            <w:r w:rsidRPr="00857A1B">
              <w:rPr>
                <w:rFonts w:ascii="Times New Roman" w:hAnsi="Times New Roman"/>
                <w:color w:val="000000"/>
              </w:rPr>
              <w:t>4,000</w:t>
            </w:r>
          </w:p>
        </w:tc>
      </w:tr>
      <w:tr w14:paraId="294C6A41" w14:textId="77777777" w:rsidTr="00615BF1">
        <w:tblPrEx>
          <w:tblW w:w="11160" w:type="dxa"/>
          <w:tblInd w:w="-730" w:type="dxa"/>
          <w:tblLook w:val="04A0"/>
        </w:tblPrEx>
        <w:trPr>
          <w:trHeight w:val="460"/>
        </w:trPr>
        <w:tc>
          <w:tcPr>
            <w:tcW w:w="1581" w:type="dxa"/>
            <w:tcBorders>
              <w:top w:val="nil"/>
              <w:left w:val="single" w:sz="8" w:space="0" w:color="auto"/>
              <w:bottom w:val="single" w:sz="4" w:space="0" w:color="auto"/>
              <w:right w:val="single" w:sz="4" w:space="0" w:color="auto"/>
            </w:tcBorders>
            <w:shd w:val="clear" w:color="auto" w:fill="auto"/>
            <w:vAlign w:val="center"/>
            <w:hideMark/>
          </w:tcPr>
          <w:p w:rsidR="00330E0D" w:rsidRPr="00857A1B" w:rsidP="00C81754" w14:paraId="20093816"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xml:space="preserve">Proposal Writing </w:t>
            </w:r>
          </w:p>
        </w:tc>
        <w:tc>
          <w:tcPr>
            <w:tcW w:w="1306" w:type="dxa"/>
            <w:vMerge/>
            <w:tcBorders>
              <w:left w:val="single" w:sz="4" w:space="0" w:color="auto"/>
              <w:right w:val="single" w:sz="4" w:space="0" w:color="auto"/>
            </w:tcBorders>
            <w:vAlign w:val="center"/>
            <w:hideMark/>
          </w:tcPr>
          <w:p w:rsidR="00330E0D" w:rsidRPr="00857A1B" w:rsidP="00C81754" w14:paraId="1CB9603D" w14:textId="77777777">
            <w:pPr>
              <w:widowControl/>
              <w:autoSpaceDE/>
              <w:autoSpaceDN/>
              <w:adjustRightInd/>
              <w:rPr>
                <w:rFonts w:ascii="Times New Roman" w:hAnsi="Times New Roman"/>
                <w:color w:val="000000"/>
              </w:rPr>
            </w:pPr>
          </w:p>
        </w:tc>
        <w:tc>
          <w:tcPr>
            <w:tcW w:w="631" w:type="dxa"/>
            <w:tcBorders>
              <w:top w:val="nil"/>
              <w:left w:val="nil"/>
              <w:bottom w:val="nil"/>
              <w:right w:val="single" w:sz="4" w:space="0" w:color="auto"/>
            </w:tcBorders>
            <w:shd w:val="clear" w:color="auto" w:fill="auto"/>
            <w:vAlign w:val="center"/>
            <w:hideMark/>
          </w:tcPr>
          <w:p w:rsidR="00330E0D" w:rsidRPr="00857A1B" w:rsidP="00C81754" w14:paraId="0EADB923"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619" w:type="dxa"/>
            <w:vMerge/>
            <w:tcBorders>
              <w:left w:val="nil"/>
              <w:right w:val="single" w:sz="4" w:space="0" w:color="auto"/>
            </w:tcBorders>
            <w:shd w:val="clear" w:color="auto" w:fill="auto"/>
            <w:vAlign w:val="center"/>
            <w:hideMark/>
          </w:tcPr>
          <w:p w:rsidR="00330E0D" w:rsidRPr="00857A1B" w:rsidP="00C81754" w14:paraId="39A4374D" w14:textId="7D5E0940">
            <w:pPr>
              <w:jc w:val="center"/>
              <w:rPr>
                <w:rFonts w:ascii="Times New Roman" w:hAnsi="Times New Roman"/>
                <w:color w:val="000000"/>
              </w:rPr>
            </w:pPr>
          </w:p>
        </w:tc>
        <w:tc>
          <w:tcPr>
            <w:tcW w:w="450" w:type="dxa"/>
            <w:tcBorders>
              <w:top w:val="nil"/>
              <w:left w:val="nil"/>
              <w:bottom w:val="nil"/>
              <w:right w:val="single" w:sz="4" w:space="0" w:color="auto"/>
            </w:tcBorders>
            <w:shd w:val="clear" w:color="auto" w:fill="auto"/>
            <w:vAlign w:val="center"/>
            <w:hideMark/>
          </w:tcPr>
          <w:p w:rsidR="00330E0D" w:rsidRPr="00857A1B" w:rsidP="00C81754" w14:paraId="6BEA58AA"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528" w:type="dxa"/>
            <w:vMerge/>
            <w:tcBorders>
              <w:left w:val="nil"/>
              <w:right w:val="single" w:sz="4" w:space="0" w:color="auto"/>
            </w:tcBorders>
            <w:shd w:val="clear" w:color="auto" w:fill="auto"/>
            <w:vAlign w:val="center"/>
            <w:hideMark/>
          </w:tcPr>
          <w:p w:rsidR="00330E0D" w:rsidRPr="00857A1B" w:rsidP="00C81754" w14:paraId="18586DD8" w14:textId="61D1111F">
            <w:pPr>
              <w:jc w:val="center"/>
              <w:rPr>
                <w:rFonts w:ascii="Times New Roman" w:hAnsi="Times New Roman"/>
                <w:color w:val="000000"/>
              </w:rPr>
            </w:pPr>
          </w:p>
        </w:tc>
        <w:tc>
          <w:tcPr>
            <w:tcW w:w="539" w:type="dxa"/>
            <w:vMerge/>
            <w:tcBorders>
              <w:left w:val="nil"/>
              <w:right w:val="single" w:sz="4" w:space="0" w:color="auto"/>
            </w:tcBorders>
          </w:tcPr>
          <w:p w:rsidR="00330E0D" w:rsidRPr="00857A1B" w:rsidP="00C81754" w14:paraId="5689D727" w14:textId="77777777">
            <w:pPr>
              <w:widowControl/>
              <w:autoSpaceDE/>
              <w:autoSpaceDN/>
              <w:adjustRightInd/>
              <w:jc w:val="center"/>
              <w:rPr>
                <w:rFonts w:ascii="Times New Roman" w:hAnsi="Times New Roman"/>
                <w:color w:val="000000"/>
              </w:rPr>
            </w:pP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330E0D" w:rsidRPr="00857A1B" w:rsidP="00C81754" w14:paraId="137AA328" w14:textId="4104219A">
            <w:pPr>
              <w:widowControl/>
              <w:autoSpaceDE/>
              <w:autoSpaceDN/>
              <w:adjustRightInd/>
              <w:jc w:val="center"/>
              <w:rPr>
                <w:rFonts w:ascii="Times New Roman" w:hAnsi="Times New Roman"/>
                <w:color w:val="000000"/>
              </w:rPr>
            </w:pPr>
            <w:r w:rsidRPr="00857A1B">
              <w:rPr>
                <w:rFonts w:ascii="Times New Roman" w:hAnsi="Times New Roman"/>
                <w:color w:val="000000"/>
              </w:rPr>
              <w:t>120</w:t>
            </w:r>
          </w:p>
        </w:tc>
        <w:tc>
          <w:tcPr>
            <w:tcW w:w="539" w:type="dxa"/>
            <w:vMerge/>
            <w:tcBorders>
              <w:left w:val="nil"/>
              <w:right w:val="single" w:sz="4" w:space="0" w:color="auto"/>
            </w:tcBorders>
          </w:tcPr>
          <w:p w:rsidR="00330E0D" w:rsidRPr="00857A1B" w:rsidP="00C81754" w14:paraId="6DCCCB70"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8" w:space="0" w:color="auto"/>
              <w:right w:val="single" w:sz="8" w:space="0" w:color="auto"/>
            </w:tcBorders>
            <w:shd w:val="clear" w:color="auto" w:fill="auto"/>
            <w:vAlign w:val="center"/>
            <w:hideMark/>
          </w:tcPr>
          <w:p w:rsidR="00330E0D" w:rsidRPr="00857A1B" w:rsidP="00C81754" w14:paraId="62D1E509" w14:textId="7F890376">
            <w:pPr>
              <w:widowControl/>
              <w:autoSpaceDE/>
              <w:autoSpaceDN/>
              <w:adjustRightInd/>
              <w:jc w:val="center"/>
              <w:rPr>
                <w:rFonts w:ascii="Times New Roman" w:hAnsi="Times New Roman"/>
                <w:color w:val="000000"/>
              </w:rPr>
            </w:pPr>
            <w:r w:rsidRPr="00857A1B">
              <w:rPr>
                <w:rFonts w:ascii="Times New Roman" w:hAnsi="Times New Roman"/>
                <w:color w:val="000000"/>
              </w:rPr>
              <w:t>24,000</w:t>
            </w:r>
          </w:p>
        </w:tc>
      </w:tr>
      <w:tr w14:paraId="498C15A3" w14:textId="77777777" w:rsidTr="00615BF1">
        <w:tblPrEx>
          <w:tblW w:w="11160" w:type="dxa"/>
          <w:tblInd w:w="-730" w:type="dxa"/>
          <w:tblLook w:val="04A0"/>
        </w:tblPrEx>
        <w:trPr>
          <w:trHeight w:val="331"/>
        </w:trPr>
        <w:tc>
          <w:tcPr>
            <w:tcW w:w="1581" w:type="dxa"/>
            <w:tcBorders>
              <w:top w:val="nil"/>
              <w:left w:val="single" w:sz="8" w:space="0" w:color="auto"/>
              <w:bottom w:val="single" w:sz="4" w:space="0" w:color="auto"/>
              <w:right w:val="single" w:sz="4" w:space="0" w:color="auto"/>
            </w:tcBorders>
            <w:shd w:val="clear" w:color="auto" w:fill="auto"/>
            <w:vAlign w:val="bottom"/>
            <w:hideMark/>
          </w:tcPr>
          <w:p w:rsidR="00330E0D" w:rsidRPr="00857A1B" w:rsidP="00C81754" w14:paraId="73950D3C"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xml:space="preserve">Proposal Editing </w:t>
            </w:r>
          </w:p>
        </w:tc>
        <w:tc>
          <w:tcPr>
            <w:tcW w:w="1306" w:type="dxa"/>
            <w:vMerge/>
            <w:tcBorders>
              <w:left w:val="single" w:sz="4" w:space="0" w:color="auto"/>
              <w:right w:val="single" w:sz="4" w:space="0" w:color="auto"/>
            </w:tcBorders>
            <w:vAlign w:val="center"/>
            <w:hideMark/>
          </w:tcPr>
          <w:p w:rsidR="00330E0D" w:rsidRPr="00857A1B" w:rsidP="00C81754" w14:paraId="3829BDE5" w14:textId="77777777">
            <w:pPr>
              <w:widowControl/>
              <w:autoSpaceDE/>
              <w:autoSpaceDN/>
              <w:adjustRightInd/>
              <w:rPr>
                <w:rFonts w:ascii="Times New Roman" w:hAnsi="Times New Roman"/>
                <w:color w:val="000000"/>
              </w:rPr>
            </w:pPr>
          </w:p>
        </w:tc>
        <w:tc>
          <w:tcPr>
            <w:tcW w:w="631" w:type="dxa"/>
            <w:tcBorders>
              <w:top w:val="nil"/>
              <w:left w:val="nil"/>
              <w:bottom w:val="nil"/>
              <w:right w:val="single" w:sz="4" w:space="0" w:color="auto"/>
            </w:tcBorders>
            <w:shd w:val="clear" w:color="auto" w:fill="auto"/>
            <w:vAlign w:val="bottom"/>
            <w:hideMark/>
          </w:tcPr>
          <w:p w:rsidR="00330E0D" w:rsidRPr="00857A1B" w:rsidP="00C81754" w14:paraId="3466C0DA" w14:textId="32FAA6EE">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619" w:type="dxa"/>
            <w:vMerge/>
            <w:tcBorders>
              <w:left w:val="nil"/>
              <w:right w:val="single" w:sz="4" w:space="0" w:color="auto"/>
            </w:tcBorders>
            <w:shd w:val="clear" w:color="auto" w:fill="auto"/>
            <w:vAlign w:val="bottom"/>
            <w:hideMark/>
          </w:tcPr>
          <w:p w:rsidR="00330E0D" w:rsidRPr="00857A1B" w:rsidP="00C81754" w14:paraId="650129AF" w14:textId="71596C09">
            <w:pPr>
              <w:jc w:val="center"/>
              <w:rPr>
                <w:rFonts w:ascii="Times New Roman" w:hAnsi="Times New Roman"/>
                <w:color w:val="000000"/>
              </w:rPr>
            </w:pPr>
          </w:p>
        </w:tc>
        <w:tc>
          <w:tcPr>
            <w:tcW w:w="450" w:type="dxa"/>
            <w:tcBorders>
              <w:top w:val="nil"/>
              <w:left w:val="nil"/>
              <w:bottom w:val="nil"/>
              <w:right w:val="single" w:sz="4" w:space="0" w:color="auto"/>
            </w:tcBorders>
            <w:shd w:val="clear" w:color="auto" w:fill="auto"/>
            <w:vAlign w:val="bottom"/>
            <w:hideMark/>
          </w:tcPr>
          <w:p w:rsidR="00330E0D" w:rsidRPr="00857A1B" w:rsidP="00C81754" w14:paraId="78A90B24" w14:textId="66BD1581">
            <w:pPr>
              <w:widowControl/>
              <w:autoSpaceDE/>
              <w:autoSpaceDN/>
              <w:adjustRightInd/>
              <w:jc w:val="center"/>
              <w:rPr>
                <w:rFonts w:ascii="Times New Roman" w:hAnsi="Times New Roman"/>
                <w:color w:val="000000"/>
              </w:rPr>
            </w:pPr>
            <w:r>
              <w:rPr>
                <w:rFonts w:ascii="Times New Roman" w:hAnsi="Times New Roman"/>
                <w:color w:val="000000"/>
              </w:rPr>
              <w:t>=</w:t>
            </w:r>
          </w:p>
        </w:tc>
        <w:tc>
          <w:tcPr>
            <w:tcW w:w="1528" w:type="dxa"/>
            <w:vMerge/>
            <w:tcBorders>
              <w:left w:val="nil"/>
              <w:right w:val="single" w:sz="4" w:space="0" w:color="auto"/>
            </w:tcBorders>
            <w:shd w:val="clear" w:color="auto" w:fill="auto"/>
            <w:vAlign w:val="bottom"/>
            <w:hideMark/>
          </w:tcPr>
          <w:p w:rsidR="00330E0D" w:rsidRPr="00857A1B" w:rsidP="00C81754" w14:paraId="081D6BDA" w14:textId="72508B37">
            <w:pPr>
              <w:jc w:val="center"/>
              <w:rPr>
                <w:rFonts w:ascii="Times New Roman" w:hAnsi="Times New Roman"/>
                <w:color w:val="000000"/>
              </w:rPr>
            </w:pPr>
          </w:p>
        </w:tc>
        <w:tc>
          <w:tcPr>
            <w:tcW w:w="539" w:type="dxa"/>
            <w:vMerge/>
            <w:tcBorders>
              <w:left w:val="nil"/>
              <w:right w:val="single" w:sz="4" w:space="0" w:color="auto"/>
            </w:tcBorders>
          </w:tcPr>
          <w:p w:rsidR="00330E0D" w:rsidRPr="00857A1B" w:rsidP="00C81754" w14:paraId="575AEA56" w14:textId="77777777">
            <w:pPr>
              <w:widowControl/>
              <w:autoSpaceDE/>
              <w:autoSpaceDN/>
              <w:adjustRightInd/>
              <w:jc w:val="center"/>
              <w:rPr>
                <w:rFonts w:ascii="Times New Roman" w:hAnsi="Times New Roman"/>
                <w:color w:val="000000"/>
              </w:rPr>
            </w:pPr>
          </w:p>
        </w:tc>
        <w:tc>
          <w:tcPr>
            <w:tcW w:w="1707" w:type="dxa"/>
            <w:tcBorders>
              <w:top w:val="nil"/>
              <w:left w:val="single" w:sz="4" w:space="0" w:color="auto"/>
              <w:bottom w:val="single" w:sz="4" w:space="0" w:color="auto"/>
              <w:right w:val="single" w:sz="4" w:space="0" w:color="auto"/>
            </w:tcBorders>
            <w:shd w:val="clear" w:color="auto" w:fill="auto"/>
            <w:vAlign w:val="bottom"/>
            <w:hideMark/>
          </w:tcPr>
          <w:p w:rsidR="00330E0D" w:rsidRPr="00857A1B" w:rsidP="00C81754" w14:paraId="6BBF42C4" w14:textId="010FD494">
            <w:pPr>
              <w:widowControl/>
              <w:autoSpaceDE/>
              <w:autoSpaceDN/>
              <w:adjustRightInd/>
              <w:jc w:val="center"/>
              <w:rPr>
                <w:rFonts w:ascii="Times New Roman" w:hAnsi="Times New Roman"/>
                <w:color w:val="000000"/>
              </w:rPr>
            </w:pPr>
            <w:r w:rsidRPr="00857A1B">
              <w:rPr>
                <w:rFonts w:ascii="Times New Roman" w:hAnsi="Times New Roman"/>
                <w:color w:val="000000"/>
              </w:rPr>
              <w:t>16</w:t>
            </w:r>
          </w:p>
        </w:tc>
        <w:tc>
          <w:tcPr>
            <w:tcW w:w="539" w:type="dxa"/>
            <w:vMerge/>
            <w:tcBorders>
              <w:left w:val="nil"/>
              <w:right w:val="single" w:sz="4" w:space="0" w:color="auto"/>
            </w:tcBorders>
          </w:tcPr>
          <w:p w:rsidR="00330E0D" w:rsidRPr="00857A1B" w:rsidP="00C81754" w14:paraId="3DCE0267"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8" w:space="0" w:color="auto"/>
              <w:right w:val="single" w:sz="8" w:space="0" w:color="auto"/>
            </w:tcBorders>
            <w:shd w:val="clear" w:color="auto" w:fill="auto"/>
            <w:vAlign w:val="bottom"/>
            <w:hideMark/>
          </w:tcPr>
          <w:p w:rsidR="00330E0D" w:rsidRPr="00857A1B" w:rsidP="00C81754" w14:paraId="2371385D" w14:textId="3BADF636">
            <w:pPr>
              <w:widowControl/>
              <w:autoSpaceDE/>
              <w:autoSpaceDN/>
              <w:adjustRightInd/>
              <w:jc w:val="center"/>
              <w:rPr>
                <w:rFonts w:ascii="Times New Roman" w:hAnsi="Times New Roman"/>
                <w:color w:val="000000"/>
              </w:rPr>
            </w:pPr>
            <w:r w:rsidRPr="00857A1B">
              <w:rPr>
                <w:rFonts w:ascii="Times New Roman" w:hAnsi="Times New Roman"/>
                <w:color w:val="000000"/>
              </w:rPr>
              <w:t>3,200</w:t>
            </w:r>
          </w:p>
        </w:tc>
      </w:tr>
      <w:tr w14:paraId="329A9424" w14:textId="77777777" w:rsidTr="00615BF1">
        <w:tblPrEx>
          <w:tblW w:w="11160" w:type="dxa"/>
          <w:tblInd w:w="-730" w:type="dxa"/>
          <w:tblLook w:val="04A0"/>
        </w:tblPrEx>
        <w:trPr>
          <w:trHeight w:val="420"/>
        </w:trPr>
        <w:tc>
          <w:tcPr>
            <w:tcW w:w="1581" w:type="dxa"/>
            <w:tcBorders>
              <w:top w:val="nil"/>
              <w:left w:val="single" w:sz="8" w:space="0" w:color="auto"/>
              <w:bottom w:val="single" w:sz="4" w:space="0" w:color="auto"/>
              <w:right w:val="single" w:sz="4" w:space="0" w:color="auto"/>
            </w:tcBorders>
            <w:shd w:val="clear" w:color="auto" w:fill="auto"/>
            <w:vAlign w:val="bottom"/>
            <w:hideMark/>
          </w:tcPr>
          <w:p w:rsidR="00330E0D" w:rsidRPr="00857A1B" w:rsidP="00C81754" w14:paraId="1E26DD7E"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xml:space="preserve">Form SF 424 </w:t>
            </w:r>
          </w:p>
        </w:tc>
        <w:tc>
          <w:tcPr>
            <w:tcW w:w="1306" w:type="dxa"/>
            <w:vMerge/>
            <w:tcBorders>
              <w:left w:val="single" w:sz="4" w:space="0" w:color="auto"/>
              <w:bottom w:val="nil"/>
              <w:right w:val="single" w:sz="4" w:space="0" w:color="auto"/>
            </w:tcBorders>
            <w:vAlign w:val="center"/>
            <w:hideMark/>
          </w:tcPr>
          <w:p w:rsidR="00330E0D" w:rsidRPr="00857A1B" w:rsidP="00C81754" w14:paraId="540BE4FE" w14:textId="77777777">
            <w:pPr>
              <w:widowControl/>
              <w:autoSpaceDE/>
              <w:autoSpaceDN/>
              <w:adjustRightInd/>
              <w:rPr>
                <w:rFonts w:ascii="Times New Roman" w:hAnsi="Times New Roman"/>
                <w:color w:val="000000"/>
              </w:rPr>
            </w:pPr>
          </w:p>
        </w:tc>
        <w:tc>
          <w:tcPr>
            <w:tcW w:w="631" w:type="dxa"/>
            <w:tcBorders>
              <w:top w:val="nil"/>
              <w:left w:val="nil"/>
              <w:bottom w:val="nil"/>
              <w:right w:val="single" w:sz="4" w:space="0" w:color="auto"/>
            </w:tcBorders>
            <w:shd w:val="clear" w:color="auto" w:fill="auto"/>
            <w:vAlign w:val="bottom"/>
            <w:hideMark/>
          </w:tcPr>
          <w:p w:rsidR="00330E0D" w:rsidRPr="00857A1B" w:rsidP="00C81754" w14:paraId="675CC348"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619" w:type="dxa"/>
            <w:vMerge/>
            <w:tcBorders>
              <w:left w:val="nil"/>
              <w:bottom w:val="nil"/>
              <w:right w:val="single" w:sz="4" w:space="0" w:color="auto"/>
            </w:tcBorders>
            <w:shd w:val="clear" w:color="auto" w:fill="auto"/>
            <w:vAlign w:val="bottom"/>
            <w:hideMark/>
          </w:tcPr>
          <w:p w:rsidR="00330E0D" w:rsidRPr="00857A1B" w:rsidP="00C81754" w14:paraId="6CBC8748" w14:textId="6EEE5736">
            <w:pPr>
              <w:jc w:val="center"/>
              <w:rPr>
                <w:rFonts w:ascii="Times New Roman" w:hAnsi="Times New Roman"/>
                <w:color w:val="000000"/>
              </w:rPr>
            </w:pPr>
          </w:p>
        </w:tc>
        <w:tc>
          <w:tcPr>
            <w:tcW w:w="450" w:type="dxa"/>
            <w:tcBorders>
              <w:top w:val="nil"/>
              <w:left w:val="nil"/>
              <w:bottom w:val="nil"/>
              <w:right w:val="single" w:sz="4" w:space="0" w:color="auto"/>
            </w:tcBorders>
            <w:shd w:val="clear" w:color="auto" w:fill="auto"/>
            <w:vAlign w:val="bottom"/>
            <w:hideMark/>
          </w:tcPr>
          <w:p w:rsidR="00330E0D" w:rsidRPr="00857A1B" w:rsidP="00C81754" w14:paraId="179EC51A"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528" w:type="dxa"/>
            <w:vMerge/>
            <w:tcBorders>
              <w:left w:val="nil"/>
              <w:bottom w:val="nil"/>
              <w:right w:val="single" w:sz="4" w:space="0" w:color="auto"/>
            </w:tcBorders>
            <w:shd w:val="clear" w:color="auto" w:fill="auto"/>
            <w:vAlign w:val="bottom"/>
            <w:hideMark/>
          </w:tcPr>
          <w:p w:rsidR="00330E0D" w:rsidRPr="00857A1B" w:rsidP="00C81754" w14:paraId="40FC384F" w14:textId="5B701626">
            <w:pPr>
              <w:jc w:val="center"/>
              <w:rPr>
                <w:rFonts w:ascii="Times New Roman" w:hAnsi="Times New Roman"/>
                <w:color w:val="000000"/>
              </w:rPr>
            </w:pPr>
          </w:p>
        </w:tc>
        <w:tc>
          <w:tcPr>
            <w:tcW w:w="539" w:type="dxa"/>
            <w:vMerge/>
            <w:tcBorders>
              <w:left w:val="nil"/>
              <w:bottom w:val="nil"/>
              <w:right w:val="single" w:sz="4" w:space="0" w:color="auto"/>
            </w:tcBorders>
          </w:tcPr>
          <w:p w:rsidR="00330E0D" w:rsidRPr="00857A1B" w:rsidP="00C81754" w14:paraId="11677C96" w14:textId="77777777">
            <w:pPr>
              <w:widowControl/>
              <w:autoSpaceDE/>
              <w:autoSpaceDN/>
              <w:adjustRightInd/>
              <w:jc w:val="center"/>
              <w:rPr>
                <w:rFonts w:ascii="Times New Roman" w:hAnsi="Times New Roman"/>
                <w:color w:val="000000"/>
              </w:rPr>
            </w:pPr>
          </w:p>
        </w:tc>
        <w:tc>
          <w:tcPr>
            <w:tcW w:w="1707" w:type="dxa"/>
            <w:tcBorders>
              <w:top w:val="nil"/>
              <w:left w:val="single" w:sz="4" w:space="0" w:color="auto"/>
              <w:bottom w:val="single" w:sz="4" w:space="0" w:color="auto"/>
              <w:right w:val="single" w:sz="4" w:space="0" w:color="auto"/>
            </w:tcBorders>
            <w:shd w:val="clear" w:color="auto" w:fill="auto"/>
            <w:vAlign w:val="bottom"/>
            <w:hideMark/>
          </w:tcPr>
          <w:p w:rsidR="00330E0D" w:rsidRPr="00857A1B" w:rsidP="00C81754" w14:paraId="2708FB94" w14:textId="55DCC467">
            <w:pPr>
              <w:widowControl/>
              <w:autoSpaceDE/>
              <w:autoSpaceDN/>
              <w:adjustRightInd/>
              <w:jc w:val="center"/>
              <w:rPr>
                <w:rFonts w:ascii="Times New Roman" w:hAnsi="Times New Roman"/>
                <w:color w:val="000000"/>
              </w:rPr>
            </w:pPr>
            <w:r w:rsidRPr="00857A1B">
              <w:rPr>
                <w:rFonts w:ascii="Times New Roman" w:hAnsi="Times New Roman"/>
                <w:color w:val="000000"/>
              </w:rPr>
              <w:t>1</w:t>
            </w:r>
          </w:p>
        </w:tc>
        <w:tc>
          <w:tcPr>
            <w:tcW w:w="539" w:type="dxa"/>
            <w:vMerge/>
            <w:tcBorders>
              <w:left w:val="nil"/>
              <w:bottom w:val="nil"/>
              <w:right w:val="single" w:sz="4" w:space="0" w:color="auto"/>
            </w:tcBorders>
          </w:tcPr>
          <w:p w:rsidR="00330E0D" w:rsidRPr="00857A1B" w:rsidP="00C81754" w14:paraId="42B1F50E"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8" w:space="0" w:color="auto"/>
              <w:right w:val="single" w:sz="8" w:space="0" w:color="auto"/>
            </w:tcBorders>
            <w:shd w:val="clear" w:color="auto" w:fill="auto"/>
            <w:vAlign w:val="bottom"/>
            <w:hideMark/>
          </w:tcPr>
          <w:p w:rsidR="00330E0D" w:rsidRPr="00857A1B" w:rsidP="00C81754" w14:paraId="1EA81E2E" w14:textId="405C74E5">
            <w:pPr>
              <w:widowControl/>
              <w:autoSpaceDE/>
              <w:autoSpaceDN/>
              <w:adjustRightInd/>
              <w:jc w:val="center"/>
              <w:rPr>
                <w:rFonts w:ascii="Times New Roman" w:hAnsi="Times New Roman"/>
                <w:color w:val="000000"/>
              </w:rPr>
            </w:pPr>
            <w:r w:rsidRPr="00857A1B">
              <w:rPr>
                <w:rFonts w:ascii="Times New Roman" w:hAnsi="Times New Roman"/>
                <w:color w:val="000000"/>
              </w:rPr>
              <w:t>200</w:t>
            </w:r>
          </w:p>
        </w:tc>
      </w:tr>
      <w:tr w14:paraId="6ACA6728" w14:textId="77777777" w:rsidTr="00615BF1">
        <w:tblPrEx>
          <w:tblW w:w="11160" w:type="dxa"/>
          <w:tblInd w:w="-730" w:type="dxa"/>
          <w:tblLook w:val="04A0"/>
        </w:tblPrEx>
        <w:trPr>
          <w:trHeight w:val="673"/>
        </w:trPr>
        <w:tc>
          <w:tcPr>
            <w:tcW w:w="1581" w:type="dxa"/>
            <w:tcBorders>
              <w:top w:val="nil"/>
              <w:left w:val="single" w:sz="8" w:space="0" w:color="auto"/>
              <w:bottom w:val="single" w:sz="4" w:space="0" w:color="auto"/>
              <w:right w:val="single" w:sz="4" w:space="0" w:color="auto"/>
            </w:tcBorders>
            <w:shd w:val="clear" w:color="auto" w:fill="auto"/>
            <w:vAlign w:val="bottom"/>
            <w:hideMark/>
          </w:tcPr>
          <w:p w:rsidR="00330E0D" w:rsidRPr="00857A1B" w:rsidP="00C81754" w14:paraId="6F320337"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xml:space="preserve">Online Application Process </w:t>
            </w:r>
          </w:p>
        </w:tc>
        <w:tc>
          <w:tcPr>
            <w:tcW w:w="1306" w:type="dxa"/>
            <w:vMerge/>
            <w:tcBorders>
              <w:left w:val="single" w:sz="4" w:space="0" w:color="auto"/>
              <w:bottom w:val="nil"/>
              <w:right w:val="single" w:sz="4" w:space="0" w:color="auto"/>
            </w:tcBorders>
            <w:vAlign w:val="center"/>
            <w:hideMark/>
          </w:tcPr>
          <w:p w:rsidR="00330E0D" w:rsidRPr="00857A1B" w:rsidP="00C81754" w14:paraId="6CB24286" w14:textId="77777777">
            <w:pPr>
              <w:widowControl/>
              <w:autoSpaceDE/>
              <w:autoSpaceDN/>
              <w:adjustRightInd/>
              <w:rPr>
                <w:rFonts w:ascii="Times New Roman" w:hAnsi="Times New Roman"/>
                <w:color w:val="000000"/>
              </w:rPr>
            </w:pPr>
          </w:p>
        </w:tc>
        <w:tc>
          <w:tcPr>
            <w:tcW w:w="631" w:type="dxa"/>
            <w:tcBorders>
              <w:top w:val="nil"/>
              <w:left w:val="nil"/>
              <w:bottom w:val="nil"/>
              <w:right w:val="single" w:sz="4" w:space="0" w:color="auto"/>
            </w:tcBorders>
            <w:shd w:val="clear" w:color="auto" w:fill="auto"/>
            <w:vAlign w:val="bottom"/>
            <w:hideMark/>
          </w:tcPr>
          <w:p w:rsidR="00330E0D" w:rsidRPr="00857A1B" w:rsidP="00C81754" w14:paraId="0DAEFE1A"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619" w:type="dxa"/>
            <w:vMerge/>
            <w:tcBorders>
              <w:left w:val="nil"/>
              <w:bottom w:val="single" w:sz="4" w:space="0" w:color="auto"/>
              <w:right w:val="single" w:sz="4" w:space="0" w:color="auto"/>
            </w:tcBorders>
            <w:shd w:val="clear" w:color="auto" w:fill="auto"/>
            <w:vAlign w:val="bottom"/>
            <w:hideMark/>
          </w:tcPr>
          <w:p w:rsidR="00330E0D" w:rsidRPr="00857A1B" w:rsidP="00C81754" w14:paraId="0D56E2D2" w14:textId="7E4501D4">
            <w:pPr>
              <w:widowControl/>
              <w:autoSpaceDE/>
              <w:autoSpaceDN/>
              <w:adjustRightInd/>
              <w:jc w:val="center"/>
              <w:rPr>
                <w:rFonts w:ascii="Times New Roman" w:hAnsi="Times New Roman"/>
                <w:color w:val="000000"/>
              </w:rPr>
            </w:pPr>
          </w:p>
        </w:tc>
        <w:tc>
          <w:tcPr>
            <w:tcW w:w="450" w:type="dxa"/>
            <w:tcBorders>
              <w:top w:val="nil"/>
              <w:left w:val="nil"/>
              <w:bottom w:val="nil"/>
              <w:right w:val="single" w:sz="4" w:space="0" w:color="auto"/>
            </w:tcBorders>
            <w:shd w:val="clear" w:color="auto" w:fill="auto"/>
            <w:vAlign w:val="bottom"/>
            <w:hideMark/>
          </w:tcPr>
          <w:p w:rsidR="00330E0D" w:rsidRPr="00857A1B" w:rsidP="00C81754" w14:paraId="59484EAE"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 </w:t>
            </w:r>
          </w:p>
        </w:tc>
        <w:tc>
          <w:tcPr>
            <w:tcW w:w="1528" w:type="dxa"/>
            <w:vMerge/>
            <w:tcBorders>
              <w:left w:val="nil"/>
              <w:bottom w:val="single" w:sz="4" w:space="0" w:color="auto"/>
              <w:right w:val="single" w:sz="4" w:space="0" w:color="auto"/>
            </w:tcBorders>
            <w:shd w:val="clear" w:color="auto" w:fill="auto"/>
            <w:vAlign w:val="bottom"/>
            <w:hideMark/>
          </w:tcPr>
          <w:p w:rsidR="00330E0D" w:rsidRPr="00857A1B" w:rsidP="00C81754" w14:paraId="45FF527C" w14:textId="1248EE32">
            <w:pPr>
              <w:widowControl/>
              <w:autoSpaceDE/>
              <w:autoSpaceDN/>
              <w:adjustRightInd/>
              <w:jc w:val="center"/>
              <w:rPr>
                <w:rFonts w:ascii="Times New Roman" w:hAnsi="Times New Roman"/>
                <w:color w:val="000000"/>
              </w:rPr>
            </w:pPr>
          </w:p>
        </w:tc>
        <w:tc>
          <w:tcPr>
            <w:tcW w:w="539" w:type="dxa"/>
            <w:vMerge/>
            <w:tcBorders>
              <w:left w:val="nil"/>
              <w:bottom w:val="single" w:sz="4" w:space="0" w:color="auto"/>
              <w:right w:val="single" w:sz="4" w:space="0" w:color="auto"/>
            </w:tcBorders>
          </w:tcPr>
          <w:p w:rsidR="00330E0D" w:rsidRPr="00857A1B" w:rsidP="00C81754" w14:paraId="4553E6AE" w14:textId="77777777">
            <w:pPr>
              <w:widowControl/>
              <w:autoSpaceDE/>
              <w:autoSpaceDN/>
              <w:adjustRightInd/>
              <w:jc w:val="center"/>
              <w:rPr>
                <w:rFonts w:ascii="Times New Roman" w:hAnsi="Times New Roman"/>
                <w:color w:val="000000"/>
              </w:rPr>
            </w:pP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330E0D" w:rsidRPr="00857A1B" w:rsidP="004634A8" w14:paraId="6F0C40C0" w14:textId="4A233FD0">
            <w:pPr>
              <w:widowControl/>
              <w:autoSpaceDE/>
              <w:autoSpaceDN/>
              <w:adjustRightInd/>
              <w:jc w:val="center"/>
              <w:rPr>
                <w:rFonts w:ascii="Times New Roman" w:hAnsi="Times New Roman"/>
                <w:color w:val="000000"/>
              </w:rPr>
            </w:pPr>
            <w:r w:rsidRPr="00857A1B">
              <w:rPr>
                <w:rFonts w:ascii="Times New Roman" w:hAnsi="Times New Roman"/>
                <w:color w:val="000000"/>
              </w:rPr>
              <w:t>3</w:t>
            </w:r>
          </w:p>
        </w:tc>
        <w:tc>
          <w:tcPr>
            <w:tcW w:w="539" w:type="dxa"/>
            <w:vMerge/>
            <w:tcBorders>
              <w:left w:val="nil"/>
              <w:bottom w:val="single" w:sz="8" w:space="0" w:color="auto"/>
              <w:right w:val="single" w:sz="4" w:space="0" w:color="auto"/>
            </w:tcBorders>
            <w:vAlign w:val="center"/>
          </w:tcPr>
          <w:p w:rsidR="00330E0D" w:rsidRPr="00857A1B" w:rsidP="004634A8" w14:paraId="31F97EB6"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8" w:space="0" w:color="auto"/>
              <w:right w:val="single" w:sz="8" w:space="0" w:color="auto"/>
            </w:tcBorders>
            <w:shd w:val="clear" w:color="auto" w:fill="auto"/>
            <w:vAlign w:val="center"/>
            <w:hideMark/>
          </w:tcPr>
          <w:p w:rsidR="00330E0D" w:rsidRPr="00857A1B" w:rsidP="004634A8" w14:paraId="441D008F" w14:textId="4012F2CD">
            <w:pPr>
              <w:widowControl/>
              <w:autoSpaceDE/>
              <w:autoSpaceDN/>
              <w:adjustRightInd/>
              <w:jc w:val="center"/>
              <w:rPr>
                <w:rFonts w:ascii="Times New Roman" w:hAnsi="Times New Roman"/>
                <w:color w:val="000000"/>
              </w:rPr>
            </w:pPr>
            <w:r w:rsidRPr="00857A1B">
              <w:rPr>
                <w:rFonts w:ascii="Times New Roman" w:hAnsi="Times New Roman"/>
                <w:color w:val="000000"/>
              </w:rPr>
              <w:t>600</w:t>
            </w:r>
          </w:p>
        </w:tc>
      </w:tr>
      <w:tr w14:paraId="624AB2F6" w14:textId="77777777" w:rsidTr="00FA648F">
        <w:tblPrEx>
          <w:tblW w:w="11160" w:type="dxa"/>
          <w:tblInd w:w="-730" w:type="dxa"/>
          <w:tblLook w:val="04A0"/>
        </w:tblPrEx>
        <w:trPr>
          <w:trHeight w:val="214"/>
        </w:trPr>
        <w:tc>
          <w:tcPr>
            <w:tcW w:w="1581" w:type="dxa"/>
            <w:tcBorders>
              <w:top w:val="nil"/>
              <w:left w:val="single" w:sz="8" w:space="0" w:color="auto"/>
              <w:bottom w:val="single" w:sz="8" w:space="0" w:color="auto"/>
              <w:right w:val="single" w:sz="4" w:space="0" w:color="auto"/>
            </w:tcBorders>
            <w:shd w:val="clear" w:color="auto" w:fill="D0CECE" w:themeFill="background2" w:themeFillShade="E6"/>
            <w:vAlign w:val="bottom"/>
            <w:hideMark/>
          </w:tcPr>
          <w:p w:rsidR="004634A8" w:rsidRPr="00857A1B" w:rsidP="00C81754" w14:paraId="6F447531" w14:textId="6F978066">
            <w:pPr>
              <w:widowControl/>
              <w:autoSpaceDE/>
              <w:autoSpaceDN/>
              <w:adjustRightInd/>
              <w:jc w:val="center"/>
              <w:rPr>
                <w:rFonts w:ascii="Times New Roman" w:hAnsi="Times New Roman"/>
                <w:color w:val="000000"/>
              </w:rPr>
            </w:pPr>
            <w:r w:rsidRPr="00857A1B">
              <w:rPr>
                <w:rFonts w:ascii="Times New Roman" w:hAnsi="Times New Roman"/>
                <w:color w:val="000000"/>
              </w:rPr>
              <w:t>TOTAL</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4634A8" w:rsidRPr="00857A1B" w:rsidP="00C81754" w14:paraId="3050D4A9" w14:textId="3EAA3935">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 200</w:t>
            </w:r>
          </w:p>
        </w:tc>
        <w:tc>
          <w:tcPr>
            <w:tcW w:w="631" w:type="dxa"/>
            <w:tcBorders>
              <w:top w:val="single" w:sz="4" w:space="0" w:color="auto"/>
              <w:left w:val="nil"/>
              <w:bottom w:val="single" w:sz="4" w:space="0" w:color="auto"/>
              <w:right w:val="single" w:sz="4" w:space="0" w:color="auto"/>
            </w:tcBorders>
            <w:shd w:val="clear" w:color="auto" w:fill="auto"/>
            <w:vAlign w:val="bottom"/>
            <w:hideMark/>
          </w:tcPr>
          <w:p w:rsidR="004634A8" w:rsidRPr="00857A1B" w:rsidP="00C81754" w14:paraId="27FB149D"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 </w:t>
            </w:r>
          </w:p>
        </w:tc>
        <w:tc>
          <w:tcPr>
            <w:tcW w:w="1619" w:type="dxa"/>
            <w:tcBorders>
              <w:top w:val="nil"/>
              <w:left w:val="nil"/>
              <w:bottom w:val="single" w:sz="4" w:space="0" w:color="auto"/>
              <w:right w:val="single" w:sz="4" w:space="0" w:color="auto"/>
            </w:tcBorders>
            <w:shd w:val="clear" w:color="auto" w:fill="auto"/>
            <w:vAlign w:val="bottom"/>
            <w:hideMark/>
          </w:tcPr>
          <w:p w:rsidR="004634A8" w:rsidRPr="00857A1B" w:rsidP="00C81754" w14:paraId="66528DDF" w14:textId="03B1F152">
            <w:pPr>
              <w:widowControl/>
              <w:autoSpaceDE/>
              <w:autoSpaceDN/>
              <w:adjustRightInd/>
              <w:jc w:val="center"/>
              <w:rPr>
                <w:rFonts w:ascii="Times New Roman" w:hAnsi="Times New Roman"/>
                <w:b/>
                <w:bCs/>
                <w:color w:val="000000"/>
              </w:rPr>
            </w:pPr>
            <w:r>
              <w:rPr>
                <w:rFonts w:ascii="Times New Roman" w:hAnsi="Times New Roman"/>
                <w:b/>
                <w:bCs/>
                <w:color w:val="000000"/>
              </w:rPr>
              <w:t>1</w:t>
            </w:r>
          </w:p>
        </w:tc>
        <w:tc>
          <w:tcPr>
            <w:tcW w:w="450" w:type="dxa"/>
            <w:tcBorders>
              <w:top w:val="single" w:sz="4" w:space="0" w:color="auto"/>
              <w:left w:val="nil"/>
              <w:bottom w:val="single" w:sz="4" w:space="0" w:color="auto"/>
              <w:right w:val="single" w:sz="4" w:space="0" w:color="auto"/>
            </w:tcBorders>
            <w:shd w:val="clear" w:color="auto" w:fill="auto"/>
            <w:vAlign w:val="bottom"/>
            <w:hideMark/>
          </w:tcPr>
          <w:p w:rsidR="004634A8" w:rsidRPr="00857A1B" w:rsidP="00C81754" w14:paraId="08197EC1"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 </w:t>
            </w:r>
          </w:p>
        </w:tc>
        <w:tc>
          <w:tcPr>
            <w:tcW w:w="1528" w:type="dxa"/>
            <w:tcBorders>
              <w:top w:val="nil"/>
              <w:left w:val="nil"/>
              <w:bottom w:val="single" w:sz="4" w:space="0" w:color="auto"/>
              <w:right w:val="single" w:sz="4" w:space="0" w:color="auto"/>
            </w:tcBorders>
            <w:shd w:val="clear" w:color="auto" w:fill="auto"/>
            <w:vAlign w:val="bottom"/>
            <w:hideMark/>
          </w:tcPr>
          <w:p w:rsidR="004634A8" w:rsidRPr="00857A1B" w:rsidP="00C81754" w14:paraId="55206450" w14:textId="34432412">
            <w:pPr>
              <w:widowControl/>
              <w:autoSpaceDE/>
              <w:autoSpaceDN/>
              <w:adjustRightInd/>
              <w:jc w:val="center"/>
              <w:rPr>
                <w:rFonts w:ascii="Times New Roman" w:hAnsi="Times New Roman"/>
                <w:b/>
                <w:bCs/>
                <w:color w:val="000000"/>
              </w:rPr>
            </w:pPr>
            <w:r>
              <w:rPr>
                <w:rFonts w:ascii="Times New Roman" w:hAnsi="Times New Roman"/>
                <w:b/>
                <w:bCs/>
                <w:color w:val="000000"/>
              </w:rPr>
              <w:t>200</w:t>
            </w:r>
          </w:p>
        </w:tc>
        <w:tc>
          <w:tcPr>
            <w:tcW w:w="539" w:type="dxa"/>
            <w:tcBorders>
              <w:top w:val="single" w:sz="4" w:space="0" w:color="auto"/>
              <w:left w:val="nil"/>
              <w:bottom w:val="single" w:sz="4" w:space="0" w:color="auto"/>
              <w:right w:val="single" w:sz="4" w:space="0" w:color="auto"/>
            </w:tcBorders>
          </w:tcPr>
          <w:p w:rsidR="004634A8" w:rsidRPr="00857A1B" w:rsidP="00C81754" w14:paraId="36CF8D43" w14:textId="77777777">
            <w:pPr>
              <w:widowControl/>
              <w:autoSpaceDE/>
              <w:autoSpaceDN/>
              <w:adjustRightInd/>
              <w:jc w:val="center"/>
              <w:rPr>
                <w:rFonts w:ascii="Times New Roman" w:hAnsi="Times New Roman"/>
                <w:b/>
                <w:bCs/>
                <w:color w:val="000000"/>
              </w:rPr>
            </w:pPr>
          </w:p>
        </w:tc>
        <w:tc>
          <w:tcPr>
            <w:tcW w:w="1707" w:type="dxa"/>
            <w:tcBorders>
              <w:top w:val="nil"/>
              <w:left w:val="single" w:sz="4" w:space="0" w:color="auto"/>
              <w:bottom w:val="single" w:sz="4" w:space="0" w:color="auto"/>
              <w:right w:val="single" w:sz="8" w:space="0" w:color="auto"/>
            </w:tcBorders>
            <w:shd w:val="clear" w:color="auto" w:fill="auto"/>
            <w:vAlign w:val="bottom"/>
            <w:hideMark/>
          </w:tcPr>
          <w:p w:rsidR="004634A8" w:rsidRPr="00857A1B" w:rsidP="00C81754" w14:paraId="56B545BA" w14:textId="3EC56C11">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160</w:t>
            </w:r>
          </w:p>
        </w:tc>
        <w:tc>
          <w:tcPr>
            <w:tcW w:w="539" w:type="dxa"/>
            <w:tcBorders>
              <w:top w:val="single" w:sz="4" w:space="0" w:color="auto"/>
              <w:left w:val="nil"/>
              <w:bottom w:val="single" w:sz="4" w:space="0" w:color="auto"/>
              <w:right w:val="single" w:sz="4" w:space="0" w:color="auto"/>
            </w:tcBorders>
          </w:tcPr>
          <w:p w:rsidR="004634A8" w:rsidRPr="00857A1B" w:rsidP="00C81754" w14:paraId="5BFB7430" w14:textId="77777777">
            <w:pPr>
              <w:widowControl/>
              <w:autoSpaceDE/>
              <w:autoSpaceDN/>
              <w:adjustRightInd/>
              <w:jc w:val="center"/>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34A8" w:rsidRPr="00857A1B" w:rsidP="00C81754" w14:paraId="0340C34C" w14:textId="229904F2">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32,000</w:t>
            </w:r>
          </w:p>
        </w:tc>
      </w:tr>
    </w:tbl>
    <w:p w:rsidR="004634A8" w:rsidP="0006190E" w14:paraId="7F6B0E35" w14:textId="77777777">
      <w:pPr>
        <w:rPr>
          <w:rFonts w:ascii="Times New Roman" w:hAnsi="Times New Roman"/>
          <w:b/>
        </w:rPr>
      </w:pPr>
    </w:p>
    <w:p w:rsidR="004634A8" w:rsidRPr="00857A1B" w:rsidP="00857A1B" w14:paraId="357E18CF" w14:textId="77777777">
      <w:pPr>
        <w:rPr>
          <w:rFonts w:ascii="Times New Roman" w:hAnsi="Times New Roman"/>
          <w:b/>
        </w:rPr>
      </w:pPr>
    </w:p>
    <w:p w:rsidR="00E81F14" w:rsidRPr="00857A1B" w:rsidP="004634A8" w14:paraId="73279F8C" w14:textId="42B5009C">
      <w:pPr>
        <w:pStyle w:val="ListParagraph"/>
        <w:numPr>
          <w:ilvl w:val="0"/>
          <w:numId w:val="52"/>
        </w:numPr>
        <w:rPr>
          <w:b/>
          <w:bCs/>
        </w:rPr>
      </w:pPr>
      <w:r w:rsidRPr="00857A1B">
        <w:rPr>
          <w:b/>
          <w:bCs/>
        </w:rPr>
        <w:t xml:space="preserve">Estimated Annualized Burden Costs </w:t>
      </w:r>
    </w:p>
    <w:p w:rsidR="00E81F14" w:rsidP="007748DD" w14:paraId="0540A9AD" w14:textId="77777777">
      <w:pPr>
        <w:pStyle w:val="ListParagraph"/>
        <w:ind w:left="648"/>
      </w:pPr>
    </w:p>
    <w:p w:rsidR="009A0B09" w:rsidP="00857A1B" w14:paraId="614579C1" w14:textId="68E5B9E6">
      <w:pPr>
        <w:ind w:left="288"/>
        <w:rPr>
          <w:rFonts w:ascii="Times New Roman" w:hAnsi="Times New Roman"/>
          <w:sz w:val="24"/>
          <w:szCs w:val="24"/>
        </w:rPr>
      </w:pPr>
      <w:r>
        <w:rPr>
          <w:rFonts w:ascii="Times New Roman" w:hAnsi="Times New Roman"/>
          <w:iCs/>
          <w:sz w:val="24"/>
          <w:szCs w:val="24"/>
        </w:rPr>
        <w:t>The Bureau of Labor and Statistics (BLS)</w:t>
      </w:r>
      <w:r>
        <w:rPr>
          <w:rStyle w:val="FootnoteReference"/>
          <w:rFonts w:ascii="Times New Roman" w:hAnsi="Times New Roman"/>
          <w:iCs/>
          <w:sz w:val="24"/>
          <w:szCs w:val="24"/>
        </w:rPr>
        <w:footnoteReference w:id="2"/>
      </w:r>
      <w:r>
        <w:rPr>
          <w:rFonts w:ascii="Times New Roman" w:hAnsi="Times New Roman"/>
          <w:iCs/>
          <w:sz w:val="24"/>
          <w:szCs w:val="24"/>
        </w:rPr>
        <w:t xml:space="preserve"> estimates that the average hourly wage for the following professionals </w:t>
      </w:r>
      <w:r w:rsidR="00205F84">
        <w:rPr>
          <w:rFonts w:ascii="Times New Roman" w:hAnsi="Times New Roman"/>
          <w:iCs/>
          <w:sz w:val="24"/>
          <w:szCs w:val="24"/>
        </w:rPr>
        <w:t>are</w:t>
      </w:r>
      <w:r>
        <w:rPr>
          <w:rFonts w:ascii="Times New Roman" w:hAnsi="Times New Roman"/>
          <w:iCs/>
          <w:sz w:val="24"/>
          <w:szCs w:val="24"/>
        </w:rPr>
        <w:t xml:space="preserve">: </w:t>
      </w:r>
      <w:r w:rsidRPr="009A0B09">
        <w:rPr>
          <w:rFonts w:ascii="Times New Roman" w:hAnsi="Times New Roman"/>
          <w:iCs/>
          <w:sz w:val="24"/>
          <w:szCs w:val="24"/>
        </w:rPr>
        <w:t>General and Operation Manager (11-1021)</w:t>
      </w:r>
      <w:r>
        <w:rPr>
          <w:rFonts w:ascii="Times New Roman" w:hAnsi="Times New Roman"/>
          <w:iCs/>
          <w:sz w:val="24"/>
          <w:szCs w:val="24"/>
        </w:rPr>
        <w:t xml:space="preserve"> is $62.18, </w:t>
      </w:r>
      <w:r w:rsidRPr="009A0B09">
        <w:rPr>
          <w:rFonts w:ascii="Times New Roman" w:hAnsi="Times New Roman"/>
          <w:sz w:val="24"/>
          <w:szCs w:val="24"/>
        </w:rPr>
        <w:t xml:space="preserve"> </w:t>
      </w:r>
      <w:r w:rsidRPr="009A0B09">
        <w:rPr>
          <w:rFonts w:ascii="Times New Roman" w:hAnsi="Times New Roman"/>
          <w:sz w:val="24"/>
          <w:szCs w:val="24"/>
        </w:rPr>
        <w:t>Executive Secretaries and Executive Administrative  Assistants (43-6011</w:t>
      </w:r>
      <w:r w:rsidRPr="009A0B09">
        <w:rPr>
          <w:rFonts w:ascii="Times New Roman" w:hAnsi="Times New Roman"/>
          <w:sz w:val="24"/>
          <w:szCs w:val="24"/>
        </w:rPr>
        <w:t xml:space="preserve"> </w:t>
      </w:r>
      <w:r>
        <w:rPr>
          <w:rFonts w:ascii="Times New Roman" w:hAnsi="Times New Roman"/>
          <w:sz w:val="24"/>
          <w:szCs w:val="24"/>
        </w:rPr>
        <w:t xml:space="preserve">is $ 35.42 and </w:t>
      </w:r>
      <w:r w:rsidRPr="009A0B09">
        <w:rPr>
          <w:rFonts w:ascii="Times New Roman" w:hAnsi="Times New Roman"/>
          <w:sz w:val="24"/>
          <w:szCs w:val="24"/>
        </w:rPr>
        <w:t>Secretaries and Administrative Assistants (43-6010</w:t>
      </w:r>
      <w:r>
        <w:rPr>
          <w:rFonts w:ascii="Times New Roman" w:hAnsi="Times New Roman"/>
          <w:sz w:val="24"/>
          <w:szCs w:val="24"/>
        </w:rPr>
        <w:t>) is $ 23.95</w:t>
      </w:r>
      <w:r w:rsidR="00205F84">
        <w:rPr>
          <w:rFonts w:ascii="Times New Roman" w:hAnsi="Times New Roman"/>
          <w:sz w:val="24"/>
          <w:szCs w:val="24"/>
        </w:rPr>
        <w:t>.</w:t>
      </w:r>
    </w:p>
    <w:p w:rsidR="009A0B09" w:rsidP="00DF0D4F" w14:paraId="5794FD62" w14:textId="77777777">
      <w:pPr>
        <w:rPr>
          <w:rFonts w:ascii="Times New Roman" w:hAnsi="Times New Roman"/>
          <w:sz w:val="24"/>
          <w:szCs w:val="24"/>
        </w:rPr>
      </w:pPr>
    </w:p>
    <w:p w:rsidR="009A0B09" w:rsidP="00857A1B" w14:paraId="5B51326A" w14:textId="3CA745F5">
      <w:pPr>
        <w:ind w:left="288"/>
        <w:rPr>
          <w:rFonts w:ascii="Times New Roman" w:hAnsi="Times New Roman"/>
          <w:color w:val="000000"/>
          <w:sz w:val="24"/>
          <w:szCs w:val="24"/>
        </w:rPr>
      </w:pPr>
      <w:r>
        <w:rPr>
          <w:rFonts w:ascii="Times New Roman" w:hAnsi="Times New Roman"/>
          <w:iCs/>
          <w:sz w:val="24"/>
          <w:szCs w:val="24"/>
        </w:rPr>
        <w:t>When combined the total compensation rate of 29%</w:t>
      </w:r>
      <w:r>
        <w:rPr>
          <w:rStyle w:val="FootnoteReference"/>
          <w:rFonts w:ascii="Times New Roman" w:hAnsi="Times New Roman"/>
          <w:iCs/>
          <w:sz w:val="24"/>
          <w:szCs w:val="24"/>
        </w:rPr>
        <w:footnoteReference w:id="3"/>
      </w:r>
      <w:r>
        <w:rPr>
          <w:rFonts w:ascii="Times New Roman" w:hAnsi="Times New Roman"/>
          <w:iCs/>
          <w:sz w:val="24"/>
          <w:szCs w:val="24"/>
        </w:rPr>
        <w:t xml:space="preserve">, the annualized hourly rate for each professional is as follows: </w:t>
      </w:r>
      <w:r w:rsidRPr="009A0B09">
        <w:rPr>
          <w:rFonts w:ascii="Times New Roman" w:hAnsi="Times New Roman"/>
          <w:iCs/>
          <w:sz w:val="24"/>
          <w:szCs w:val="24"/>
        </w:rPr>
        <w:t>General and Operation Manager  (11-1021) is $</w:t>
      </w:r>
      <w:r>
        <w:rPr>
          <w:rFonts w:ascii="Times New Roman" w:hAnsi="Times New Roman"/>
          <w:iCs/>
          <w:sz w:val="24"/>
          <w:szCs w:val="24"/>
        </w:rPr>
        <w:t>80.21</w:t>
      </w:r>
      <w:r w:rsidRPr="009A0B09">
        <w:rPr>
          <w:rFonts w:ascii="Times New Roman" w:hAnsi="Times New Roman"/>
          <w:iCs/>
          <w:sz w:val="24"/>
          <w:szCs w:val="24"/>
        </w:rPr>
        <w:t xml:space="preserve">, Executive Secretaries and Executive Administrative Assistants (43-6011 is $ </w:t>
      </w:r>
      <w:r>
        <w:rPr>
          <w:rFonts w:ascii="Times New Roman" w:hAnsi="Times New Roman"/>
          <w:iCs/>
          <w:sz w:val="24"/>
          <w:szCs w:val="24"/>
        </w:rPr>
        <w:t>45.70</w:t>
      </w:r>
      <w:r w:rsidRPr="009A0B09">
        <w:rPr>
          <w:rFonts w:ascii="Times New Roman" w:hAnsi="Times New Roman"/>
          <w:iCs/>
          <w:sz w:val="24"/>
          <w:szCs w:val="24"/>
        </w:rPr>
        <w:t xml:space="preserve"> and Secretaries and Administrative Assistants (43-6010) is $ </w:t>
      </w:r>
      <w:r>
        <w:rPr>
          <w:rFonts w:ascii="Times New Roman" w:hAnsi="Times New Roman"/>
          <w:iCs/>
          <w:sz w:val="24"/>
          <w:szCs w:val="24"/>
        </w:rPr>
        <w:t>30.90. Therefore</w:t>
      </w:r>
      <w:r w:rsidR="00DA4A35">
        <w:rPr>
          <w:rFonts w:ascii="Times New Roman" w:hAnsi="Times New Roman"/>
          <w:iCs/>
          <w:sz w:val="24"/>
          <w:szCs w:val="24"/>
        </w:rPr>
        <w:t>,</w:t>
      </w:r>
      <w:r>
        <w:rPr>
          <w:rFonts w:ascii="Times New Roman" w:hAnsi="Times New Roman"/>
          <w:iCs/>
          <w:sz w:val="24"/>
          <w:szCs w:val="24"/>
        </w:rPr>
        <w:t xml:space="preserve"> the total annualized cost burden for all individuals associated with preparing and submitting data in response to this collection is </w:t>
      </w:r>
      <w:r w:rsidRPr="009A0B09">
        <w:rPr>
          <w:rFonts w:ascii="Times New Roman" w:hAnsi="Times New Roman"/>
          <w:color w:val="000000"/>
          <w:sz w:val="24"/>
          <w:szCs w:val="24"/>
        </w:rPr>
        <w:t>$ 1,672,640.</w:t>
      </w:r>
      <w:r w:rsidR="00AF70D2">
        <w:rPr>
          <w:rFonts w:ascii="Times New Roman" w:hAnsi="Times New Roman"/>
          <w:color w:val="000000"/>
          <w:sz w:val="24"/>
          <w:szCs w:val="24"/>
        </w:rPr>
        <w:t>01</w:t>
      </w:r>
      <w:r>
        <w:rPr>
          <w:rFonts w:ascii="Times New Roman" w:hAnsi="Times New Roman"/>
          <w:color w:val="000000"/>
          <w:sz w:val="24"/>
          <w:szCs w:val="24"/>
        </w:rPr>
        <w:t>, which can be calculated as show in the table below:</w:t>
      </w:r>
    </w:p>
    <w:p w:rsidR="009A0B09" w:rsidP="009A0B09" w14:paraId="6EFE2AF8" w14:textId="77777777">
      <w:pPr>
        <w:rPr>
          <w:rFonts w:ascii="Times New Roman" w:hAnsi="Times New Roman"/>
          <w:color w:val="000000"/>
          <w:sz w:val="24"/>
          <w:szCs w:val="24"/>
        </w:rPr>
      </w:pPr>
    </w:p>
    <w:tbl>
      <w:tblPr>
        <w:tblW w:w="114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0"/>
        <w:gridCol w:w="1120"/>
        <w:gridCol w:w="1450"/>
        <w:gridCol w:w="1440"/>
        <w:gridCol w:w="2243"/>
        <w:gridCol w:w="1237"/>
        <w:gridCol w:w="1820"/>
      </w:tblGrid>
      <w:tr w14:paraId="254E2055" w14:textId="77777777" w:rsidTr="00857A1B">
        <w:tblPrEx>
          <w:tblW w:w="114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4"/>
        </w:trPr>
        <w:tc>
          <w:tcPr>
            <w:tcW w:w="2110" w:type="dxa"/>
            <w:shd w:val="clear" w:color="auto" w:fill="D0CECE" w:themeFill="background2" w:themeFillShade="E6"/>
            <w:vAlign w:val="center"/>
            <w:hideMark/>
          </w:tcPr>
          <w:p w:rsidR="009A0B09" w:rsidRPr="00857A1B" w:rsidP="00857A1B" w14:paraId="5A14CE90" w14:textId="7FC3B909">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Title and Code of  Respondents</w:t>
            </w:r>
          </w:p>
        </w:tc>
        <w:tc>
          <w:tcPr>
            <w:tcW w:w="1120" w:type="dxa"/>
            <w:shd w:val="clear" w:color="auto" w:fill="D0CECE" w:themeFill="background2" w:themeFillShade="E6"/>
            <w:vAlign w:val="center"/>
            <w:hideMark/>
          </w:tcPr>
          <w:p w:rsidR="009A0B09" w:rsidRPr="00857A1B" w:rsidP="00857A1B" w14:paraId="6B455A7A" w14:textId="129E7C6B">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Hourly Wage</w:t>
            </w:r>
          </w:p>
        </w:tc>
        <w:tc>
          <w:tcPr>
            <w:tcW w:w="1450" w:type="dxa"/>
            <w:shd w:val="clear" w:color="auto" w:fill="D0CECE" w:themeFill="background2" w:themeFillShade="E6"/>
            <w:vAlign w:val="center"/>
            <w:hideMark/>
          </w:tcPr>
          <w:p w:rsidR="009A0B09" w:rsidRPr="00857A1B" w:rsidP="00857A1B" w14:paraId="5EACF74D" w14:textId="6517C8F2">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Compensation Rate of 29%</w:t>
            </w:r>
          </w:p>
        </w:tc>
        <w:tc>
          <w:tcPr>
            <w:tcW w:w="1440" w:type="dxa"/>
            <w:shd w:val="clear" w:color="auto" w:fill="D0CECE" w:themeFill="background2" w:themeFillShade="E6"/>
            <w:vAlign w:val="center"/>
            <w:hideMark/>
          </w:tcPr>
          <w:p w:rsidR="009A0B09" w:rsidRPr="00857A1B" w:rsidP="00857A1B" w14:paraId="2C981DEA" w14:textId="6E04DEE0">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Number of Employees</w:t>
            </w:r>
          </w:p>
        </w:tc>
        <w:tc>
          <w:tcPr>
            <w:tcW w:w="2243" w:type="dxa"/>
            <w:shd w:val="clear" w:color="auto" w:fill="D0CECE" w:themeFill="background2" w:themeFillShade="E6"/>
            <w:vAlign w:val="center"/>
            <w:hideMark/>
          </w:tcPr>
          <w:p w:rsidR="009A0B09" w:rsidRPr="00857A1B" w:rsidP="00857A1B" w14:paraId="62C064C9"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Compensation Rate for Each Respondent</w:t>
            </w:r>
          </w:p>
        </w:tc>
        <w:tc>
          <w:tcPr>
            <w:tcW w:w="1237" w:type="dxa"/>
            <w:shd w:val="clear" w:color="auto" w:fill="D0CECE" w:themeFill="background2" w:themeFillShade="E6"/>
            <w:vAlign w:val="center"/>
            <w:hideMark/>
          </w:tcPr>
          <w:p w:rsidR="009A0B09" w:rsidRPr="00857A1B" w:rsidP="00857A1B" w14:paraId="09E75781" w14:textId="77777777">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Annualized Burden Hours</w:t>
            </w:r>
          </w:p>
        </w:tc>
        <w:tc>
          <w:tcPr>
            <w:tcW w:w="1820" w:type="dxa"/>
            <w:shd w:val="clear" w:color="auto" w:fill="D0CECE" w:themeFill="background2" w:themeFillShade="E6"/>
            <w:vAlign w:val="center"/>
            <w:hideMark/>
          </w:tcPr>
          <w:p w:rsidR="009A0B09" w:rsidRPr="00857A1B" w:rsidP="00857A1B" w14:paraId="0B14933C" w14:textId="4BE72EF6">
            <w:pPr>
              <w:widowControl/>
              <w:autoSpaceDE/>
              <w:autoSpaceDN/>
              <w:adjustRightInd/>
              <w:jc w:val="center"/>
              <w:rPr>
                <w:rFonts w:ascii="Times New Roman" w:hAnsi="Times New Roman"/>
                <w:b/>
                <w:bCs/>
                <w:color w:val="000000"/>
              </w:rPr>
            </w:pPr>
            <w:r w:rsidRPr="00857A1B">
              <w:rPr>
                <w:rFonts w:ascii="Times New Roman" w:hAnsi="Times New Roman"/>
                <w:b/>
                <w:bCs/>
                <w:color w:val="000000"/>
              </w:rPr>
              <w:t>Total Annualized Cost Burden</w:t>
            </w:r>
          </w:p>
        </w:tc>
      </w:tr>
      <w:tr w14:paraId="1F9203F2" w14:textId="77777777" w:rsidTr="00857A1B">
        <w:tblPrEx>
          <w:tblW w:w="11420" w:type="dxa"/>
          <w:tblInd w:w="-905" w:type="dxa"/>
          <w:tblLook w:val="04A0"/>
        </w:tblPrEx>
        <w:trPr>
          <w:trHeight w:val="580"/>
        </w:trPr>
        <w:tc>
          <w:tcPr>
            <w:tcW w:w="2110" w:type="dxa"/>
            <w:shd w:val="clear" w:color="auto" w:fill="auto"/>
            <w:vAlign w:val="bottom"/>
            <w:hideMark/>
          </w:tcPr>
          <w:p w:rsidR="009A0B09" w:rsidRPr="00857A1B" w:rsidP="009A0B09" w14:paraId="396618B1" w14:textId="77777777">
            <w:pPr>
              <w:widowControl/>
              <w:autoSpaceDE/>
              <w:autoSpaceDN/>
              <w:adjustRightInd/>
              <w:rPr>
                <w:rFonts w:ascii="Times New Roman" w:hAnsi="Times New Roman"/>
                <w:color w:val="000000"/>
              </w:rPr>
            </w:pPr>
            <w:r w:rsidRPr="00857A1B">
              <w:rPr>
                <w:rFonts w:ascii="Times New Roman" w:hAnsi="Times New Roman"/>
                <w:color w:val="000000"/>
              </w:rPr>
              <w:t>General and Operation Manager  (11-1021)</w:t>
            </w:r>
          </w:p>
        </w:tc>
        <w:tc>
          <w:tcPr>
            <w:tcW w:w="1120" w:type="dxa"/>
            <w:shd w:val="clear" w:color="auto" w:fill="auto"/>
            <w:noWrap/>
            <w:vAlign w:val="center"/>
            <w:hideMark/>
          </w:tcPr>
          <w:p w:rsidR="009A0B09" w:rsidRPr="00857A1B" w:rsidP="00857A1B" w14:paraId="1CCE08B5" w14:textId="0354C2BA">
            <w:pPr>
              <w:widowControl/>
              <w:autoSpaceDE/>
              <w:autoSpaceDN/>
              <w:adjustRightInd/>
              <w:jc w:val="center"/>
              <w:rPr>
                <w:rFonts w:ascii="Times New Roman" w:hAnsi="Times New Roman"/>
                <w:color w:val="000000"/>
              </w:rPr>
            </w:pPr>
            <w:r w:rsidRPr="00857A1B">
              <w:rPr>
                <w:rFonts w:ascii="Times New Roman" w:hAnsi="Times New Roman"/>
                <w:color w:val="000000"/>
              </w:rPr>
              <w:t>$ 62.18</w:t>
            </w:r>
          </w:p>
        </w:tc>
        <w:tc>
          <w:tcPr>
            <w:tcW w:w="1450" w:type="dxa"/>
            <w:shd w:val="clear" w:color="auto" w:fill="auto"/>
            <w:noWrap/>
            <w:vAlign w:val="center"/>
            <w:hideMark/>
          </w:tcPr>
          <w:p w:rsidR="009A0B09" w:rsidRPr="00857A1B" w:rsidP="00857A1B" w14:paraId="2730C965" w14:textId="558D2E2C">
            <w:pPr>
              <w:widowControl/>
              <w:autoSpaceDE/>
              <w:autoSpaceDN/>
              <w:adjustRightInd/>
              <w:jc w:val="center"/>
              <w:rPr>
                <w:rFonts w:ascii="Times New Roman" w:hAnsi="Times New Roman"/>
                <w:color w:val="000000"/>
              </w:rPr>
            </w:pPr>
            <w:r w:rsidRPr="00857A1B">
              <w:rPr>
                <w:rFonts w:ascii="Times New Roman" w:hAnsi="Times New Roman"/>
                <w:color w:val="000000"/>
              </w:rPr>
              <w:t>$  80.21</w:t>
            </w:r>
          </w:p>
        </w:tc>
        <w:tc>
          <w:tcPr>
            <w:tcW w:w="1440" w:type="dxa"/>
            <w:shd w:val="clear" w:color="auto" w:fill="auto"/>
            <w:noWrap/>
            <w:vAlign w:val="center"/>
            <w:hideMark/>
          </w:tcPr>
          <w:p w:rsidR="009A0B09" w:rsidRPr="00857A1B" w:rsidP="00857A1B" w14:paraId="15AADFAA"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1</w:t>
            </w:r>
          </w:p>
        </w:tc>
        <w:tc>
          <w:tcPr>
            <w:tcW w:w="2243" w:type="dxa"/>
            <w:shd w:val="clear" w:color="auto" w:fill="auto"/>
            <w:noWrap/>
            <w:vAlign w:val="center"/>
            <w:hideMark/>
          </w:tcPr>
          <w:p w:rsidR="009A0B09" w:rsidRPr="00857A1B" w:rsidP="00857A1B" w14:paraId="57534A88" w14:textId="19FCA5F6">
            <w:pPr>
              <w:widowControl/>
              <w:autoSpaceDE/>
              <w:autoSpaceDN/>
              <w:adjustRightInd/>
              <w:jc w:val="center"/>
              <w:rPr>
                <w:rFonts w:ascii="Times New Roman" w:hAnsi="Times New Roman"/>
                <w:color w:val="000000"/>
              </w:rPr>
            </w:pPr>
            <w:r w:rsidRPr="00857A1B">
              <w:rPr>
                <w:rFonts w:ascii="Times New Roman" w:hAnsi="Times New Roman"/>
                <w:color w:val="000000"/>
              </w:rPr>
              <w:t>$    80.21</w:t>
            </w:r>
          </w:p>
        </w:tc>
        <w:tc>
          <w:tcPr>
            <w:tcW w:w="1237" w:type="dxa"/>
            <w:shd w:val="clear" w:color="auto" w:fill="auto"/>
            <w:noWrap/>
            <w:vAlign w:val="center"/>
            <w:hideMark/>
          </w:tcPr>
          <w:p w:rsidR="009A0B09" w:rsidRPr="00857A1B" w:rsidP="00857A1B" w14:paraId="315F3214" w14:textId="7833A151">
            <w:pPr>
              <w:widowControl/>
              <w:autoSpaceDE/>
              <w:autoSpaceDN/>
              <w:adjustRightInd/>
              <w:jc w:val="center"/>
              <w:rPr>
                <w:rFonts w:ascii="Times New Roman" w:hAnsi="Times New Roman"/>
                <w:color w:val="000000"/>
              </w:rPr>
            </w:pPr>
            <w:r w:rsidRPr="00857A1B">
              <w:rPr>
                <w:rFonts w:ascii="Times New Roman" w:hAnsi="Times New Roman"/>
                <w:color w:val="000000"/>
              </w:rPr>
              <w:t>10,666.6</w:t>
            </w:r>
            <w:r w:rsidR="00DA4A35">
              <w:rPr>
                <w:rFonts w:ascii="Times New Roman" w:hAnsi="Times New Roman"/>
                <w:color w:val="000000"/>
              </w:rPr>
              <w:t>667</w:t>
            </w:r>
          </w:p>
        </w:tc>
        <w:tc>
          <w:tcPr>
            <w:tcW w:w="1820" w:type="dxa"/>
            <w:shd w:val="clear" w:color="auto" w:fill="auto"/>
            <w:noWrap/>
            <w:vAlign w:val="center"/>
            <w:hideMark/>
          </w:tcPr>
          <w:p w:rsidR="009A0B09" w:rsidRPr="00857A1B" w:rsidP="00857A1B" w14:paraId="2C10E79C" w14:textId="6FC08E0B">
            <w:pPr>
              <w:widowControl/>
              <w:autoSpaceDE/>
              <w:autoSpaceDN/>
              <w:adjustRightInd/>
              <w:jc w:val="center"/>
              <w:rPr>
                <w:rFonts w:ascii="Times New Roman" w:hAnsi="Times New Roman"/>
                <w:color w:val="000000"/>
              </w:rPr>
            </w:pPr>
            <w:r w:rsidRPr="00857A1B">
              <w:rPr>
                <w:rFonts w:ascii="Times New Roman" w:hAnsi="Times New Roman"/>
                <w:color w:val="000000"/>
              </w:rPr>
              <w:t>$           855,573.</w:t>
            </w:r>
            <w:r w:rsidR="00AF70D2">
              <w:rPr>
                <w:rFonts w:ascii="Times New Roman" w:hAnsi="Times New Roman"/>
                <w:color w:val="000000"/>
              </w:rPr>
              <w:t>34</w:t>
            </w:r>
          </w:p>
        </w:tc>
      </w:tr>
      <w:tr w14:paraId="5D969E54" w14:textId="77777777" w:rsidTr="00857A1B">
        <w:tblPrEx>
          <w:tblW w:w="11420" w:type="dxa"/>
          <w:tblInd w:w="-905" w:type="dxa"/>
          <w:tblLook w:val="04A0"/>
        </w:tblPrEx>
        <w:trPr>
          <w:trHeight w:val="870"/>
        </w:trPr>
        <w:tc>
          <w:tcPr>
            <w:tcW w:w="2110" w:type="dxa"/>
            <w:shd w:val="clear" w:color="auto" w:fill="auto"/>
            <w:vAlign w:val="bottom"/>
            <w:hideMark/>
          </w:tcPr>
          <w:p w:rsidR="009A0B09" w:rsidRPr="00857A1B" w:rsidP="009A0B09" w14:paraId="3FAE1E33" w14:textId="77777777">
            <w:pPr>
              <w:widowControl/>
              <w:autoSpaceDE/>
              <w:autoSpaceDN/>
              <w:adjustRightInd/>
              <w:rPr>
                <w:rFonts w:ascii="Times New Roman" w:hAnsi="Times New Roman"/>
                <w:color w:val="000000"/>
              </w:rPr>
            </w:pPr>
            <w:r w:rsidRPr="00857A1B">
              <w:rPr>
                <w:rFonts w:ascii="Times New Roman" w:hAnsi="Times New Roman"/>
                <w:color w:val="000000"/>
              </w:rPr>
              <w:t>Executive Secretaries and Executive Administrative  Assistants  (43-6011</w:t>
            </w:r>
          </w:p>
        </w:tc>
        <w:tc>
          <w:tcPr>
            <w:tcW w:w="1120" w:type="dxa"/>
            <w:shd w:val="clear" w:color="auto" w:fill="auto"/>
            <w:noWrap/>
            <w:vAlign w:val="center"/>
            <w:hideMark/>
          </w:tcPr>
          <w:p w:rsidR="009A0B09" w:rsidRPr="00857A1B" w:rsidP="00857A1B" w14:paraId="15C968B7" w14:textId="312011E9">
            <w:pPr>
              <w:widowControl/>
              <w:autoSpaceDE/>
              <w:autoSpaceDN/>
              <w:adjustRightInd/>
              <w:jc w:val="center"/>
              <w:rPr>
                <w:rFonts w:ascii="Times New Roman" w:hAnsi="Times New Roman"/>
                <w:color w:val="000000"/>
              </w:rPr>
            </w:pPr>
            <w:r w:rsidRPr="00857A1B">
              <w:rPr>
                <w:rFonts w:ascii="Times New Roman" w:hAnsi="Times New Roman"/>
                <w:color w:val="000000"/>
              </w:rPr>
              <w:t>$ 35.42</w:t>
            </w:r>
          </w:p>
        </w:tc>
        <w:tc>
          <w:tcPr>
            <w:tcW w:w="1450" w:type="dxa"/>
            <w:shd w:val="clear" w:color="auto" w:fill="auto"/>
            <w:noWrap/>
            <w:vAlign w:val="center"/>
            <w:hideMark/>
          </w:tcPr>
          <w:p w:rsidR="009A0B09" w:rsidRPr="00857A1B" w:rsidP="00857A1B" w14:paraId="6AC2F451" w14:textId="49200B28">
            <w:pPr>
              <w:widowControl/>
              <w:autoSpaceDE/>
              <w:autoSpaceDN/>
              <w:adjustRightInd/>
              <w:jc w:val="center"/>
              <w:rPr>
                <w:rFonts w:ascii="Times New Roman" w:hAnsi="Times New Roman"/>
                <w:color w:val="000000"/>
              </w:rPr>
            </w:pPr>
            <w:r w:rsidRPr="00857A1B">
              <w:rPr>
                <w:rFonts w:ascii="Times New Roman" w:hAnsi="Times New Roman"/>
                <w:color w:val="000000"/>
              </w:rPr>
              <w:t>$ 45.70</w:t>
            </w:r>
          </w:p>
        </w:tc>
        <w:tc>
          <w:tcPr>
            <w:tcW w:w="1440" w:type="dxa"/>
            <w:shd w:val="clear" w:color="auto" w:fill="auto"/>
            <w:noWrap/>
            <w:vAlign w:val="center"/>
            <w:hideMark/>
          </w:tcPr>
          <w:p w:rsidR="009A0B09" w:rsidRPr="00857A1B" w:rsidP="00857A1B" w14:paraId="5423BE56"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1</w:t>
            </w:r>
          </w:p>
        </w:tc>
        <w:tc>
          <w:tcPr>
            <w:tcW w:w="2243" w:type="dxa"/>
            <w:shd w:val="clear" w:color="auto" w:fill="auto"/>
            <w:noWrap/>
            <w:vAlign w:val="center"/>
            <w:hideMark/>
          </w:tcPr>
          <w:p w:rsidR="009A0B09" w:rsidRPr="00857A1B" w:rsidP="00857A1B" w14:paraId="7A49CD31" w14:textId="1EF83A95">
            <w:pPr>
              <w:widowControl/>
              <w:autoSpaceDE/>
              <w:autoSpaceDN/>
              <w:adjustRightInd/>
              <w:jc w:val="center"/>
              <w:rPr>
                <w:rFonts w:ascii="Times New Roman" w:hAnsi="Times New Roman"/>
                <w:color w:val="000000"/>
              </w:rPr>
            </w:pPr>
            <w:r w:rsidRPr="00857A1B">
              <w:rPr>
                <w:rFonts w:ascii="Times New Roman" w:hAnsi="Times New Roman"/>
                <w:color w:val="000000"/>
              </w:rPr>
              <w:t>$      45.70</w:t>
            </w:r>
          </w:p>
        </w:tc>
        <w:tc>
          <w:tcPr>
            <w:tcW w:w="1237" w:type="dxa"/>
            <w:shd w:val="clear" w:color="auto" w:fill="auto"/>
            <w:noWrap/>
            <w:vAlign w:val="center"/>
            <w:hideMark/>
          </w:tcPr>
          <w:p w:rsidR="009A0B09" w:rsidRPr="00857A1B" w:rsidP="00857A1B" w14:paraId="7C51DCD7" w14:textId="4916324F">
            <w:pPr>
              <w:widowControl/>
              <w:autoSpaceDE/>
              <w:autoSpaceDN/>
              <w:adjustRightInd/>
              <w:jc w:val="center"/>
              <w:rPr>
                <w:rFonts w:ascii="Times New Roman" w:hAnsi="Times New Roman"/>
                <w:color w:val="000000"/>
              </w:rPr>
            </w:pPr>
            <w:r w:rsidRPr="00857A1B">
              <w:rPr>
                <w:rFonts w:ascii="Times New Roman" w:hAnsi="Times New Roman"/>
                <w:color w:val="000000"/>
              </w:rPr>
              <w:t>10,666.</w:t>
            </w:r>
            <w:r w:rsidR="00DA4A35">
              <w:rPr>
                <w:rFonts w:ascii="Times New Roman" w:hAnsi="Times New Roman"/>
                <w:color w:val="000000"/>
              </w:rPr>
              <w:t>6667</w:t>
            </w:r>
          </w:p>
        </w:tc>
        <w:tc>
          <w:tcPr>
            <w:tcW w:w="1820" w:type="dxa"/>
            <w:shd w:val="clear" w:color="auto" w:fill="auto"/>
            <w:noWrap/>
            <w:vAlign w:val="center"/>
            <w:hideMark/>
          </w:tcPr>
          <w:p w:rsidR="009A0B09" w:rsidRPr="00857A1B" w:rsidP="00857A1B" w14:paraId="6B9210AD" w14:textId="7394D358">
            <w:pPr>
              <w:widowControl/>
              <w:autoSpaceDE/>
              <w:autoSpaceDN/>
              <w:adjustRightInd/>
              <w:jc w:val="center"/>
              <w:rPr>
                <w:rFonts w:ascii="Times New Roman" w:hAnsi="Times New Roman"/>
                <w:color w:val="000000"/>
              </w:rPr>
            </w:pPr>
            <w:r w:rsidRPr="00857A1B">
              <w:rPr>
                <w:rFonts w:ascii="Times New Roman" w:hAnsi="Times New Roman"/>
                <w:color w:val="000000"/>
              </w:rPr>
              <w:t>$           487,466.6</w:t>
            </w:r>
            <w:r w:rsidR="00AF70D2">
              <w:rPr>
                <w:rFonts w:ascii="Times New Roman" w:hAnsi="Times New Roman"/>
                <w:color w:val="000000"/>
              </w:rPr>
              <w:t>7</w:t>
            </w:r>
          </w:p>
        </w:tc>
      </w:tr>
      <w:tr w14:paraId="50C96277" w14:textId="77777777" w:rsidTr="00857A1B">
        <w:tblPrEx>
          <w:tblW w:w="11420" w:type="dxa"/>
          <w:tblInd w:w="-905" w:type="dxa"/>
          <w:tblLook w:val="04A0"/>
        </w:tblPrEx>
        <w:trPr>
          <w:trHeight w:val="580"/>
        </w:trPr>
        <w:tc>
          <w:tcPr>
            <w:tcW w:w="2110" w:type="dxa"/>
            <w:shd w:val="clear" w:color="auto" w:fill="auto"/>
            <w:vAlign w:val="bottom"/>
            <w:hideMark/>
          </w:tcPr>
          <w:p w:rsidR="009A0B09" w:rsidRPr="00857A1B" w:rsidP="009A0B09" w14:paraId="7644E27D" w14:textId="77777777">
            <w:pPr>
              <w:widowControl/>
              <w:autoSpaceDE/>
              <w:autoSpaceDN/>
              <w:adjustRightInd/>
              <w:rPr>
                <w:rFonts w:ascii="Times New Roman" w:hAnsi="Times New Roman"/>
                <w:color w:val="000000"/>
              </w:rPr>
            </w:pPr>
            <w:r w:rsidRPr="00857A1B">
              <w:rPr>
                <w:rFonts w:ascii="Times New Roman" w:hAnsi="Times New Roman"/>
                <w:color w:val="000000"/>
              </w:rPr>
              <w:t>Secretaries and Administrative Assistants (43-6010</w:t>
            </w:r>
          </w:p>
        </w:tc>
        <w:tc>
          <w:tcPr>
            <w:tcW w:w="1120" w:type="dxa"/>
            <w:shd w:val="clear" w:color="auto" w:fill="auto"/>
            <w:noWrap/>
            <w:vAlign w:val="center"/>
            <w:hideMark/>
          </w:tcPr>
          <w:p w:rsidR="009A0B09" w:rsidRPr="00857A1B" w:rsidP="00857A1B" w14:paraId="4BB1DDC7" w14:textId="112E8A1B">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857A1B">
              <w:rPr>
                <w:rFonts w:ascii="Times New Roman" w:hAnsi="Times New Roman"/>
                <w:color w:val="000000"/>
              </w:rPr>
              <w:t>$ 23.95</w:t>
            </w:r>
          </w:p>
        </w:tc>
        <w:tc>
          <w:tcPr>
            <w:tcW w:w="1450" w:type="dxa"/>
            <w:shd w:val="clear" w:color="auto" w:fill="auto"/>
            <w:noWrap/>
            <w:vAlign w:val="center"/>
            <w:hideMark/>
          </w:tcPr>
          <w:p w:rsidR="009A0B09" w:rsidRPr="00857A1B" w:rsidP="00857A1B" w14:paraId="01960B9D" w14:textId="4CBE42CA">
            <w:pPr>
              <w:widowControl/>
              <w:autoSpaceDE/>
              <w:autoSpaceDN/>
              <w:adjustRightInd/>
              <w:jc w:val="center"/>
              <w:rPr>
                <w:rFonts w:ascii="Times New Roman" w:hAnsi="Times New Roman"/>
                <w:color w:val="000000"/>
              </w:rPr>
            </w:pPr>
            <w:r w:rsidRPr="00857A1B">
              <w:rPr>
                <w:rFonts w:ascii="Times New Roman" w:hAnsi="Times New Roman"/>
                <w:color w:val="000000"/>
              </w:rPr>
              <w:t>$  30.90</w:t>
            </w:r>
          </w:p>
        </w:tc>
        <w:tc>
          <w:tcPr>
            <w:tcW w:w="1440" w:type="dxa"/>
            <w:shd w:val="clear" w:color="auto" w:fill="auto"/>
            <w:noWrap/>
            <w:vAlign w:val="center"/>
            <w:hideMark/>
          </w:tcPr>
          <w:p w:rsidR="009A0B09" w:rsidRPr="00857A1B" w:rsidP="00857A1B" w14:paraId="74484439" w14:textId="77777777">
            <w:pPr>
              <w:widowControl/>
              <w:autoSpaceDE/>
              <w:autoSpaceDN/>
              <w:adjustRightInd/>
              <w:jc w:val="center"/>
              <w:rPr>
                <w:rFonts w:ascii="Times New Roman" w:hAnsi="Times New Roman"/>
                <w:color w:val="000000"/>
              </w:rPr>
            </w:pPr>
            <w:r w:rsidRPr="00857A1B">
              <w:rPr>
                <w:rFonts w:ascii="Times New Roman" w:hAnsi="Times New Roman"/>
                <w:color w:val="000000"/>
              </w:rPr>
              <w:t>1</w:t>
            </w:r>
          </w:p>
        </w:tc>
        <w:tc>
          <w:tcPr>
            <w:tcW w:w="2243" w:type="dxa"/>
            <w:shd w:val="clear" w:color="auto" w:fill="auto"/>
            <w:noWrap/>
            <w:vAlign w:val="center"/>
            <w:hideMark/>
          </w:tcPr>
          <w:p w:rsidR="009A0B09" w:rsidRPr="00857A1B" w:rsidP="00857A1B" w14:paraId="136E35C6" w14:textId="5F787617">
            <w:pPr>
              <w:widowControl/>
              <w:autoSpaceDE/>
              <w:autoSpaceDN/>
              <w:adjustRightInd/>
              <w:jc w:val="center"/>
              <w:rPr>
                <w:rFonts w:ascii="Times New Roman" w:hAnsi="Times New Roman"/>
                <w:color w:val="000000"/>
              </w:rPr>
            </w:pPr>
            <w:r w:rsidRPr="00857A1B">
              <w:rPr>
                <w:rFonts w:ascii="Times New Roman" w:hAnsi="Times New Roman"/>
                <w:color w:val="000000"/>
              </w:rPr>
              <w:t>$    30.90</w:t>
            </w:r>
          </w:p>
        </w:tc>
        <w:tc>
          <w:tcPr>
            <w:tcW w:w="1237" w:type="dxa"/>
            <w:shd w:val="clear" w:color="auto" w:fill="auto"/>
            <w:noWrap/>
            <w:vAlign w:val="center"/>
            <w:hideMark/>
          </w:tcPr>
          <w:p w:rsidR="009A0B09" w:rsidRPr="00857A1B" w:rsidP="00857A1B" w14:paraId="06119DB6" w14:textId="2F7CBE39">
            <w:pPr>
              <w:widowControl/>
              <w:autoSpaceDE/>
              <w:autoSpaceDN/>
              <w:adjustRightInd/>
              <w:jc w:val="center"/>
              <w:rPr>
                <w:rFonts w:ascii="Times New Roman" w:hAnsi="Times New Roman"/>
                <w:color w:val="000000"/>
              </w:rPr>
            </w:pPr>
            <w:r w:rsidRPr="00857A1B">
              <w:rPr>
                <w:rFonts w:ascii="Times New Roman" w:hAnsi="Times New Roman"/>
                <w:color w:val="000000"/>
              </w:rPr>
              <w:t>10,666.</w:t>
            </w:r>
            <w:r w:rsidR="00DA4A35">
              <w:rPr>
                <w:rFonts w:ascii="Times New Roman" w:hAnsi="Times New Roman"/>
                <w:color w:val="000000"/>
              </w:rPr>
              <w:t>6667</w:t>
            </w:r>
          </w:p>
        </w:tc>
        <w:tc>
          <w:tcPr>
            <w:tcW w:w="1820" w:type="dxa"/>
            <w:shd w:val="clear" w:color="auto" w:fill="auto"/>
            <w:noWrap/>
            <w:vAlign w:val="center"/>
            <w:hideMark/>
          </w:tcPr>
          <w:p w:rsidR="009A0B09" w:rsidRPr="00857A1B" w:rsidP="00857A1B" w14:paraId="6CDC0C1B" w14:textId="5F9A4FDF">
            <w:pPr>
              <w:widowControl/>
              <w:autoSpaceDE/>
              <w:autoSpaceDN/>
              <w:adjustRightInd/>
              <w:jc w:val="center"/>
              <w:rPr>
                <w:rFonts w:ascii="Times New Roman" w:hAnsi="Times New Roman"/>
                <w:color w:val="000000"/>
              </w:rPr>
            </w:pPr>
            <w:r w:rsidRPr="00857A1B">
              <w:rPr>
                <w:rFonts w:ascii="Times New Roman" w:hAnsi="Times New Roman"/>
                <w:color w:val="000000"/>
              </w:rPr>
              <w:t>$           329,</w:t>
            </w:r>
            <w:r w:rsidR="00AF70D2">
              <w:rPr>
                <w:rFonts w:ascii="Times New Roman" w:hAnsi="Times New Roman"/>
                <w:color w:val="000000"/>
              </w:rPr>
              <w:t>600.00</w:t>
            </w:r>
          </w:p>
        </w:tc>
      </w:tr>
      <w:tr w14:paraId="74DFDD5C" w14:textId="77777777" w:rsidTr="00857A1B">
        <w:tblPrEx>
          <w:tblW w:w="11420" w:type="dxa"/>
          <w:tblInd w:w="-905" w:type="dxa"/>
          <w:tblLook w:val="04A0"/>
        </w:tblPrEx>
        <w:trPr>
          <w:trHeight w:val="290"/>
        </w:trPr>
        <w:tc>
          <w:tcPr>
            <w:tcW w:w="8363" w:type="dxa"/>
            <w:gridSpan w:val="5"/>
            <w:shd w:val="clear" w:color="auto" w:fill="D0CECE" w:themeFill="background2" w:themeFillShade="E6"/>
            <w:vAlign w:val="bottom"/>
            <w:hideMark/>
          </w:tcPr>
          <w:p w:rsidR="009A0B09" w:rsidRPr="009A0B09" w:rsidP="00857A1B" w14:paraId="1E4EF414" w14:textId="1BB01834">
            <w:pPr>
              <w:widowControl/>
              <w:autoSpaceDE/>
              <w:autoSpaceDN/>
              <w:adjustRightInd/>
              <w:jc w:val="center"/>
              <w:rPr>
                <w:rFonts w:ascii="Times New Roman" w:hAnsi="Times New Roman"/>
              </w:rPr>
            </w:pPr>
            <w:r>
              <w:rPr>
                <w:rFonts w:ascii="Times New Roman" w:hAnsi="Times New Roman"/>
              </w:rPr>
              <w:t>TOTAL</w:t>
            </w:r>
          </w:p>
        </w:tc>
        <w:tc>
          <w:tcPr>
            <w:tcW w:w="1237" w:type="dxa"/>
            <w:shd w:val="clear" w:color="auto" w:fill="auto"/>
            <w:noWrap/>
            <w:vAlign w:val="bottom"/>
            <w:hideMark/>
          </w:tcPr>
          <w:p w:rsidR="009A0B09" w:rsidRPr="00857A1B" w:rsidP="009A0B09" w14:paraId="55F65804" w14:textId="3DF6FC92">
            <w:pPr>
              <w:widowControl/>
              <w:autoSpaceDE/>
              <w:autoSpaceDN/>
              <w:adjustRightInd/>
              <w:jc w:val="right"/>
              <w:rPr>
                <w:rFonts w:ascii="Times New Roman" w:hAnsi="Times New Roman"/>
                <w:color w:val="000000"/>
              </w:rPr>
            </w:pPr>
            <w:r w:rsidRPr="00857A1B">
              <w:rPr>
                <w:rFonts w:ascii="Times New Roman" w:hAnsi="Times New Roman"/>
                <w:color w:val="000000"/>
              </w:rPr>
              <w:t>32000.00</w:t>
            </w:r>
          </w:p>
        </w:tc>
        <w:tc>
          <w:tcPr>
            <w:tcW w:w="1820" w:type="dxa"/>
            <w:shd w:val="clear" w:color="auto" w:fill="auto"/>
            <w:noWrap/>
            <w:vAlign w:val="bottom"/>
            <w:hideMark/>
          </w:tcPr>
          <w:p w:rsidR="009A0B09" w:rsidRPr="00857A1B" w:rsidP="009A0B09" w14:paraId="669B74E2" w14:textId="47444FB8">
            <w:pPr>
              <w:widowControl/>
              <w:autoSpaceDE/>
              <w:autoSpaceDN/>
              <w:adjustRightInd/>
              <w:rPr>
                <w:rFonts w:ascii="Times New Roman" w:hAnsi="Times New Roman"/>
                <w:color w:val="000000"/>
              </w:rPr>
            </w:pPr>
            <w:r w:rsidRPr="00857A1B">
              <w:rPr>
                <w:rFonts w:ascii="Times New Roman" w:hAnsi="Times New Roman"/>
                <w:color w:val="000000"/>
              </w:rPr>
              <w:t xml:space="preserve"> </w:t>
            </w:r>
            <w:bookmarkStart w:id="4" w:name="_Hlk171611455"/>
            <w:r w:rsidRPr="00857A1B">
              <w:rPr>
                <w:rFonts w:ascii="Times New Roman" w:hAnsi="Times New Roman"/>
                <w:color w:val="000000"/>
              </w:rPr>
              <w:t>$       1,672,640.</w:t>
            </w:r>
            <w:r w:rsidR="00AF70D2">
              <w:rPr>
                <w:rFonts w:ascii="Times New Roman" w:hAnsi="Times New Roman"/>
                <w:color w:val="000000"/>
              </w:rPr>
              <w:t>01</w:t>
            </w:r>
            <w:r w:rsidRPr="00857A1B">
              <w:rPr>
                <w:rFonts w:ascii="Times New Roman" w:hAnsi="Times New Roman"/>
                <w:color w:val="000000"/>
              </w:rPr>
              <w:t xml:space="preserve"> </w:t>
            </w:r>
            <w:bookmarkEnd w:id="4"/>
          </w:p>
        </w:tc>
      </w:tr>
    </w:tbl>
    <w:p w:rsidR="009A0B09" w:rsidP="00857A1B" w14:paraId="19922E31" w14:textId="77777777">
      <w:pPr>
        <w:rPr>
          <w:rFonts w:ascii="Times New Roman" w:hAnsi="Times New Roman"/>
          <w:sz w:val="24"/>
          <w:szCs w:val="24"/>
        </w:rPr>
      </w:pPr>
    </w:p>
    <w:p w:rsidR="00B72E6D" w:rsidRPr="000E0C8C" w:rsidP="00857A1B" w14:paraId="7B4C796C" w14:textId="77777777">
      <w:pPr>
        <w:tabs>
          <w:tab w:val="left" w:pos="360"/>
          <w:tab w:val="left" w:pos="720"/>
        </w:tabs>
        <w:spacing w:line="280" w:lineRule="exact"/>
        <w:ind w:right="20"/>
        <w:rPr>
          <w:rFonts w:ascii="Times New Roman" w:hAnsi="Times New Roman"/>
        </w:rPr>
      </w:pPr>
    </w:p>
    <w:p w:rsidR="00105F8E" w:rsidRPr="00E81F14" w:rsidP="00857A1B" w14:paraId="03D0562F" w14:textId="0A8AD435">
      <w:pPr>
        <w:pStyle w:val="ListParagraph"/>
        <w:numPr>
          <w:ilvl w:val="0"/>
          <w:numId w:val="47"/>
        </w:numPr>
        <w:ind w:hanging="378"/>
        <w:rPr>
          <w:b/>
        </w:rPr>
      </w:pPr>
      <w:r w:rsidRPr="00857A1B">
        <w:rPr>
          <w:b/>
        </w:rPr>
        <w:t xml:space="preserve">Estimate of </w:t>
      </w:r>
      <w:r w:rsidRPr="00857A1B" w:rsidR="00E81F14">
        <w:rPr>
          <w:b/>
        </w:rPr>
        <w:t xml:space="preserve">Total Annual Cost Burden </w:t>
      </w:r>
      <w:r w:rsidRPr="00857A1B">
        <w:rPr>
          <w:b/>
        </w:rPr>
        <w:t xml:space="preserve">to </w:t>
      </w:r>
      <w:r w:rsidRPr="00857A1B" w:rsidR="00E81F14">
        <w:rPr>
          <w:b/>
        </w:rPr>
        <w:t>Respondents and/or Record Keepers</w:t>
      </w:r>
      <w:r w:rsidRPr="00E81F14">
        <w:rPr>
          <w:b/>
        </w:rPr>
        <w:t xml:space="preserve">  </w:t>
      </w:r>
    </w:p>
    <w:p w:rsidR="00F53FB7" w:rsidRPr="000E0C8C" w:rsidP="00707438" w14:paraId="6A86FCFF" w14:textId="3935EA0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firstLine="60"/>
        <w:rPr>
          <w:rFonts w:ascii="Times New Roman" w:hAnsi="Times New Roman"/>
          <w:color w:val="auto"/>
          <w:szCs w:val="20"/>
        </w:rPr>
      </w:pPr>
    </w:p>
    <w:p w:rsidR="00B500C7" w:rsidRPr="006D5148" w:rsidP="00857A1B" w14:paraId="5749BAFC" w14:textId="3F4CEBE3">
      <w:pPr>
        <w:tabs>
          <w:tab w:val="left" w:pos="1350"/>
        </w:tabs>
        <w:spacing w:line="280" w:lineRule="exact"/>
        <w:ind w:left="270" w:right="20" w:hanging="270"/>
        <w:rPr>
          <w:rFonts w:ascii="Times New Roman" w:hAnsi="Times New Roman"/>
          <w:iCs/>
          <w:sz w:val="24"/>
          <w:szCs w:val="24"/>
        </w:rPr>
      </w:pPr>
      <w:r w:rsidRPr="006D5148">
        <w:rPr>
          <w:rFonts w:ascii="Times New Roman" w:hAnsi="Times New Roman"/>
          <w:iCs/>
          <w:sz w:val="24"/>
          <w:szCs w:val="24"/>
        </w:rPr>
        <w:tab/>
      </w:r>
      <w:r>
        <w:rPr>
          <w:rFonts w:ascii="Times New Roman" w:hAnsi="Times New Roman"/>
          <w:iCs/>
          <w:sz w:val="24"/>
          <w:szCs w:val="24"/>
        </w:rPr>
        <w:t xml:space="preserve">There </w:t>
      </w:r>
      <w:r w:rsidRPr="006D5148">
        <w:rPr>
          <w:rFonts w:ascii="Times New Roman" w:hAnsi="Times New Roman"/>
          <w:iCs/>
          <w:sz w:val="24"/>
          <w:szCs w:val="24"/>
        </w:rPr>
        <w:t>are no operational</w:t>
      </w:r>
      <w:r w:rsidR="00AF70D2">
        <w:rPr>
          <w:rFonts w:ascii="Times New Roman" w:hAnsi="Times New Roman"/>
          <w:iCs/>
          <w:sz w:val="24"/>
          <w:szCs w:val="24"/>
        </w:rPr>
        <w:t xml:space="preserve">, </w:t>
      </w:r>
      <w:r w:rsidRPr="006D5148">
        <w:rPr>
          <w:rFonts w:ascii="Times New Roman" w:hAnsi="Times New Roman"/>
          <w:iCs/>
          <w:sz w:val="24"/>
          <w:szCs w:val="24"/>
        </w:rPr>
        <w:t>maintenance</w:t>
      </w:r>
      <w:r w:rsidR="00AF70D2">
        <w:rPr>
          <w:rFonts w:ascii="Times New Roman" w:hAnsi="Times New Roman"/>
          <w:iCs/>
          <w:sz w:val="24"/>
          <w:szCs w:val="24"/>
        </w:rPr>
        <w:t xml:space="preserve">, </w:t>
      </w:r>
      <w:r w:rsidRPr="006D5148">
        <w:rPr>
          <w:rFonts w:ascii="Times New Roman" w:hAnsi="Times New Roman"/>
          <w:iCs/>
          <w:sz w:val="24"/>
          <w:szCs w:val="24"/>
        </w:rPr>
        <w:t>purchase</w:t>
      </w:r>
      <w:r w:rsidR="00AF70D2">
        <w:rPr>
          <w:rFonts w:ascii="Times New Roman" w:hAnsi="Times New Roman"/>
          <w:iCs/>
          <w:sz w:val="24"/>
          <w:szCs w:val="24"/>
        </w:rPr>
        <w:t xml:space="preserve"> or </w:t>
      </w:r>
      <w:r w:rsidRPr="006D5148">
        <w:rPr>
          <w:rFonts w:ascii="Times New Roman" w:hAnsi="Times New Roman"/>
          <w:iCs/>
          <w:sz w:val="24"/>
          <w:szCs w:val="24"/>
        </w:rPr>
        <w:t>service costs</w:t>
      </w:r>
      <w:r w:rsidR="00AF70D2">
        <w:rPr>
          <w:rFonts w:ascii="Times New Roman" w:hAnsi="Times New Roman"/>
          <w:iCs/>
          <w:sz w:val="24"/>
          <w:szCs w:val="24"/>
        </w:rPr>
        <w:t xml:space="preserve"> </w:t>
      </w:r>
      <w:r w:rsidR="00D53050">
        <w:rPr>
          <w:rFonts w:ascii="Times New Roman" w:hAnsi="Times New Roman"/>
          <w:iCs/>
          <w:sz w:val="24"/>
          <w:szCs w:val="24"/>
        </w:rPr>
        <w:t xml:space="preserve">to respondents and/or record keepers </w:t>
      </w:r>
      <w:r w:rsidRPr="006D5148">
        <w:rPr>
          <w:rFonts w:ascii="Times New Roman" w:hAnsi="Times New Roman"/>
          <w:iCs/>
          <w:sz w:val="24"/>
          <w:szCs w:val="24"/>
        </w:rPr>
        <w:t>associated with this information collection.</w:t>
      </w:r>
    </w:p>
    <w:p w:rsidR="0004749E" w:rsidRPr="000E0C8C" w:rsidP="00F746AE" w14:paraId="59A6CDB4" w14:textId="77777777">
      <w:pPr>
        <w:pStyle w:val="NormalWeb"/>
        <w:widowControl w:val="0"/>
        <w:autoSpaceDE w:val="0"/>
        <w:autoSpaceDN w:val="0"/>
        <w:adjustRightInd w:val="0"/>
        <w:spacing w:before="0" w:beforeAutospacing="0" w:after="0" w:afterAutospacing="0"/>
        <w:ind w:left="-90"/>
        <w:rPr>
          <w:rFonts w:ascii="Times New Roman" w:eastAsia="Times New Roman" w:hAnsi="Times New Roman" w:cs="Times New Roman"/>
          <w:szCs w:val="20"/>
        </w:rPr>
      </w:pPr>
    </w:p>
    <w:p w:rsidR="00105F8E" w:rsidRPr="00E81F14" w:rsidP="00857A1B" w14:paraId="6F2E62A1" w14:textId="2E1A7766">
      <w:pPr>
        <w:pStyle w:val="ListParagraph"/>
        <w:numPr>
          <w:ilvl w:val="0"/>
          <w:numId w:val="47"/>
        </w:numPr>
        <w:rPr>
          <w:b/>
        </w:rPr>
      </w:pPr>
      <w:r w:rsidRPr="00857A1B">
        <w:rPr>
          <w:b/>
        </w:rPr>
        <w:t xml:space="preserve">Estimate of Federal </w:t>
      </w:r>
      <w:r w:rsidRPr="00857A1B" w:rsidR="00E81F14">
        <w:rPr>
          <w:b/>
        </w:rPr>
        <w:t>Government Costs</w:t>
      </w:r>
      <w:r w:rsidRPr="00E81F14">
        <w:rPr>
          <w:b/>
        </w:rPr>
        <w:t xml:space="preserve"> </w:t>
      </w:r>
      <w:r w:rsidRPr="00E81F14" w:rsidR="009D4F72">
        <w:rPr>
          <w:b/>
        </w:rPr>
        <w:t xml:space="preserve"> </w:t>
      </w:r>
    </w:p>
    <w:p w:rsidR="00507B16" w:rsidP="00F746AE" w14:paraId="618ABE6F" w14:textId="77777777">
      <w:pPr>
        <w:ind w:left="-90"/>
        <w:rPr>
          <w:rFonts w:ascii="Times New Roman" w:hAnsi="Times New Roman"/>
          <w:b/>
          <w:sz w:val="24"/>
          <w:szCs w:val="24"/>
        </w:rPr>
      </w:pPr>
    </w:p>
    <w:p w:rsidR="004A3D15" w:rsidP="002379AA" w14:paraId="15DC4B15" w14:textId="78A327B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r>
        <w:rPr>
          <w:rFonts w:ascii="Times New Roman" w:hAnsi="Times New Roman"/>
          <w:color w:val="auto"/>
        </w:rPr>
        <w:t xml:space="preserve">The total Federal Government Costs associated with this collection is $157,836.40. </w:t>
      </w:r>
    </w:p>
    <w:p w:rsidR="004A3D15" w:rsidP="002379AA" w14:paraId="73F888F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p>
    <w:p w:rsidR="004A3D15" w:rsidP="002379AA" w14:paraId="554B2F9B" w14:textId="673EB2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r w:rsidRPr="004A3D15">
        <w:rPr>
          <w:rFonts w:ascii="Times New Roman" w:hAnsi="Times New Roman"/>
          <w:iCs/>
          <w:color w:val="auto"/>
        </w:rPr>
        <w:t>According to the Office of Personnel Management (OP</w:t>
      </w:r>
      <w:r>
        <w:rPr>
          <w:rFonts w:ascii="Times New Roman" w:hAnsi="Times New Roman"/>
          <w:iCs/>
          <w:color w:val="auto"/>
        </w:rPr>
        <w:t>M)</w:t>
      </w:r>
      <w:r>
        <w:rPr>
          <w:rStyle w:val="FootnoteReference"/>
          <w:rFonts w:ascii="Times New Roman" w:hAnsi="Times New Roman"/>
          <w:iCs/>
          <w:color w:val="auto"/>
        </w:rPr>
        <w:footnoteReference w:id="4"/>
      </w:r>
      <w:r>
        <w:rPr>
          <w:rFonts w:ascii="Times New Roman" w:hAnsi="Times New Roman"/>
          <w:iCs/>
          <w:color w:val="auto"/>
        </w:rPr>
        <w:t xml:space="preserve"> the hourly wages for the following Federal Employees </w:t>
      </w:r>
      <w:r w:rsidR="00AF70D2">
        <w:rPr>
          <w:rFonts w:ascii="Times New Roman" w:hAnsi="Times New Roman"/>
          <w:iCs/>
          <w:color w:val="auto"/>
        </w:rPr>
        <w:t>to complete p</w:t>
      </w:r>
      <w:r>
        <w:rPr>
          <w:rFonts w:ascii="Times New Roman" w:hAnsi="Times New Roman"/>
          <w:iCs/>
          <w:color w:val="auto"/>
        </w:rPr>
        <w:t xml:space="preserve">rogram related tasks for PIPD are as follows:  </w:t>
      </w:r>
      <w:r w:rsidRPr="004A3D15">
        <w:rPr>
          <w:rFonts w:ascii="Times New Roman" w:hAnsi="Times New Roman"/>
          <w:iCs/>
          <w:color w:val="auto"/>
        </w:rPr>
        <w:t xml:space="preserve">GS 14 (Step 5): Develop/review/post Notice of Funding Opportunity </w:t>
      </w:r>
      <w:r>
        <w:rPr>
          <w:rFonts w:ascii="Times New Roman" w:hAnsi="Times New Roman"/>
          <w:iCs/>
          <w:color w:val="auto"/>
        </w:rPr>
        <w:t xml:space="preserve">is $ 75.70, </w:t>
      </w:r>
      <w:r w:rsidRPr="004A3D15">
        <w:rPr>
          <w:rFonts w:ascii="Times New Roman" w:hAnsi="Times New Roman"/>
          <w:iCs/>
          <w:color w:val="auto"/>
        </w:rPr>
        <w:t xml:space="preserve">GS 13 (Step 5): Receive/sort/review 200 applications </w:t>
      </w:r>
      <w:r>
        <w:rPr>
          <w:rFonts w:ascii="Times New Roman" w:hAnsi="Times New Roman"/>
          <w:iCs/>
          <w:color w:val="auto"/>
        </w:rPr>
        <w:t xml:space="preserve">is $64.06, and </w:t>
      </w:r>
      <w:r w:rsidRPr="004A3D15">
        <w:rPr>
          <w:rFonts w:ascii="Times New Roman" w:hAnsi="Times New Roman"/>
          <w:iCs/>
          <w:color w:val="auto"/>
        </w:rPr>
        <w:t>GS 15 (Step 5): Prepare/review/post list of awards</w:t>
      </w:r>
      <w:r>
        <w:rPr>
          <w:rFonts w:ascii="Times New Roman" w:hAnsi="Times New Roman"/>
          <w:iCs/>
          <w:color w:val="auto"/>
        </w:rPr>
        <w:t xml:space="preserve">. </w:t>
      </w:r>
      <w:r w:rsidRPr="004A3D15">
        <w:rPr>
          <w:rFonts w:ascii="Times New Roman" w:hAnsi="Times New Roman"/>
          <w:iCs/>
          <w:color w:val="auto"/>
        </w:rPr>
        <w:t>When combined with the Federal Employee Compensation rate of 31%</w:t>
      </w:r>
      <w:r>
        <w:rPr>
          <w:rFonts w:ascii="Times New Roman" w:hAnsi="Times New Roman"/>
          <w:iCs/>
          <w:color w:val="auto"/>
          <w:vertAlign w:val="superscript"/>
        </w:rPr>
        <w:footnoteReference w:id="5"/>
      </w:r>
      <w:r w:rsidRPr="004A3D15">
        <w:rPr>
          <w:rFonts w:ascii="Times New Roman" w:hAnsi="Times New Roman"/>
          <w:iCs/>
          <w:color w:val="auto"/>
        </w:rPr>
        <w:t>, the total hourly wage rate</w:t>
      </w:r>
      <w:r>
        <w:rPr>
          <w:rFonts w:ascii="Times New Roman" w:hAnsi="Times New Roman"/>
          <w:iCs/>
          <w:color w:val="auto"/>
        </w:rPr>
        <w:t xml:space="preserve">s are as follows: </w:t>
      </w:r>
      <w:r w:rsidRPr="004A3D15">
        <w:rPr>
          <w:rFonts w:ascii="Times New Roman" w:hAnsi="Times New Roman"/>
          <w:iCs/>
          <w:color w:val="auto"/>
        </w:rPr>
        <w:t>GS 14 (Step 5)</w:t>
      </w:r>
      <w:r w:rsidR="004B7281">
        <w:rPr>
          <w:rFonts w:ascii="Times New Roman" w:hAnsi="Times New Roman"/>
          <w:iCs/>
          <w:color w:val="auto"/>
        </w:rPr>
        <w:t xml:space="preserve"> is</w:t>
      </w:r>
      <w:r w:rsidRPr="004A3D15" w:rsidR="004B7281">
        <w:rPr>
          <w:rFonts w:ascii="Times New Roman" w:hAnsi="Times New Roman"/>
          <w:color w:val="000000"/>
        </w:rPr>
        <w:t xml:space="preserve"> $ 99.17</w:t>
      </w:r>
      <w:r w:rsidR="004B7281">
        <w:rPr>
          <w:rFonts w:ascii="Times New Roman" w:hAnsi="Times New Roman"/>
          <w:color w:val="000000"/>
        </w:rPr>
        <w:t xml:space="preserve">, </w:t>
      </w:r>
      <w:r w:rsidRPr="00C3215B" w:rsidR="004B7281">
        <w:rPr>
          <w:rFonts w:ascii="Times New Roman" w:hAnsi="Times New Roman"/>
          <w:color w:val="000000"/>
        </w:rPr>
        <w:t>GS 13 (Step 5)</w:t>
      </w:r>
      <w:r w:rsidR="004B7281">
        <w:rPr>
          <w:rFonts w:ascii="Times New Roman" w:hAnsi="Times New Roman"/>
          <w:color w:val="000000"/>
        </w:rPr>
        <w:t xml:space="preserve"> is </w:t>
      </w:r>
      <w:r w:rsidRPr="004B7281" w:rsidR="004B7281">
        <w:rPr>
          <w:rFonts w:ascii="Times New Roman" w:hAnsi="Times New Roman"/>
          <w:color w:val="000000"/>
        </w:rPr>
        <w:t>$ 83.92</w:t>
      </w:r>
      <w:r w:rsidR="004B7281">
        <w:rPr>
          <w:rFonts w:ascii="Times New Roman" w:hAnsi="Times New Roman"/>
          <w:color w:val="000000"/>
        </w:rPr>
        <w:t xml:space="preserve">, and </w:t>
      </w:r>
      <w:r w:rsidRPr="004B7281" w:rsidR="004B7281">
        <w:rPr>
          <w:rFonts w:ascii="Times New Roman" w:hAnsi="Times New Roman"/>
          <w:color w:val="000000"/>
        </w:rPr>
        <w:t>GS 15 (Step 5)</w:t>
      </w:r>
      <w:r w:rsidR="004B7281">
        <w:rPr>
          <w:rFonts w:ascii="Times New Roman" w:hAnsi="Times New Roman"/>
          <w:color w:val="000000"/>
        </w:rPr>
        <w:t xml:space="preserve"> is </w:t>
      </w:r>
      <w:r w:rsidRPr="004B7281" w:rsidR="004B7281">
        <w:rPr>
          <w:rFonts w:ascii="Times New Roman" w:hAnsi="Times New Roman"/>
          <w:color w:val="000000"/>
        </w:rPr>
        <w:t>$</w:t>
      </w:r>
      <w:r w:rsidR="004B7281">
        <w:rPr>
          <w:rFonts w:ascii="Times New Roman" w:hAnsi="Times New Roman"/>
          <w:color w:val="000000"/>
        </w:rPr>
        <w:t xml:space="preserve"> </w:t>
      </w:r>
      <w:r w:rsidRPr="004B7281" w:rsidR="004B7281">
        <w:rPr>
          <w:rFonts w:ascii="Times New Roman" w:hAnsi="Times New Roman"/>
          <w:color w:val="000000"/>
        </w:rPr>
        <w:t>116.64</w:t>
      </w:r>
      <w:r w:rsidR="004B7281">
        <w:rPr>
          <w:rFonts w:ascii="Times New Roman" w:hAnsi="Times New Roman"/>
          <w:color w:val="000000"/>
        </w:rPr>
        <w:t>. Therefore</w:t>
      </w:r>
      <w:r w:rsidR="00AF70D2">
        <w:rPr>
          <w:rFonts w:ascii="Times New Roman" w:hAnsi="Times New Roman"/>
          <w:color w:val="000000"/>
        </w:rPr>
        <w:t>,</w:t>
      </w:r>
      <w:r w:rsidR="004B7281">
        <w:rPr>
          <w:rFonts w:ascii="Times New Roman" w:hAnsi="Times New Roman"/>
          <w:color w:val="000000"/>
        </w:rPr>
        <w:t xml:space="preserve"> the total combined Federal Governments wages for all tasks associated with this program, can be calculated as shown in the table below:</w:t>
      </w:r>
    </w:p>
    <w:p w:rsidR="004A3D15" w:rsidP="002379AA" w14:paraId="370D1D4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p>
    <w:p w:rsidR="004A3D15" w:rsidP="002379AA" w14:paraId="6310445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p>
    <w:tbl>
      <w:tblPr>
        <w:tblW w:w="10890" w:type="dxa"/>
        <w:tblInd w:w="-635" w:type="dxa"/>
        <w:tblLook w:val="04A0"/>
      </w:tblPr>
      <w:tblGrid>
        <w:gridCol w:w="2268"/>
        <w:gridCol w:w="1308"/>
        <w:gridCol w:w="316"/>
        <w:gridCol w:w="1450"/>
        <w:gridCol w:w="359"/>
        <w:gridCol w:w="1139"/>
        <w:gridCol w:w="450"/>
        <w:gridCol w:w="1260"/>
        <w:gridCol w:w="450"/>
        <w:gridCol w:w="1890"/>
      </w:tblGrid>
      <w:tr w14:paraId="423BA0AD" w14:textId="77777777" w:rsidTr="00AF70D2">
        <w:tblPrEx>
          <w:tblW w:w="10890" w:type="dxa"/>
          <w:tblInd w:w="-635" w:type="dxa"/>
          <w:tblLook w:val="04A0"/>
        </w:tblPrEx>
        <w:trPr>
          <w:trHeight w:val="1079"/>
        </w:trPr>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281" w:rsidRPr="004A3D15" w:rsidP="004A3D15" w14:paraId="289DA888" w14:textId="77777777">
            <w:pPr>
              <w:widowControl/>
              <w:autoSpaceDE/>
              <w:autoSpaceDN/>
              <w:adjustRightInd/>
              <w:rPr>
                <w:rFonts w:ascii="Times New Roman" w:hAnsi="Times New Roman"/>
                <w:b/>
                <w:bCs/>
                <w:color w:val="000000"/>
              </w:rPr>
            </w:pPr>
            <w:r w:rsidRPr="004A3D15">
              <w:rPr>
                <w:rFonts w:ascii="Times New Roman" w:hAnsi="Times New Roman"/>
                <w:b/>
                <w:bCs/>
                <w:color w:val="000000"/>
              </w:rPr>
              <w:t>FTE Grade and Step &amp; Program Related  Task</w:t>
            </w:r>
          </w:p>
        </w:tc>
        <w:tc>
          <w:tcPr>
            <w:tcW w:w="1308" w:type="dxa"/>
            <w:tcBorders>
              <w:top w:val="single" w:sz="4" w:space="0" w:color="auto"/>
              <w:left w:val="nil"/>
              <w:bottom w:val="single" w:sz="4" w:space="0" w:color="auto"/>
              <w:right w:val="single" w:sz="4" w:space="0" w:color="auto"/>
            </w:tcBorders>
            <w:shd w:val="clear" w:color="000000" w:fill="D9D9D9"/>
            <w:vAlign w:val="center"/>
            <w:hideMark/>
          </w:tcPr>
          <w:p w:rsidR="004B7281" w:rsidRPr="004A3D15" w:rsidP="004A3D15" w14:paraId="43572A82" w14:textId="77777777">
            <w:pPr>
              <w:widowControl/>
              <w:autoSpaceDE/>
              <w:autoSpaceDN/>
              <w:adjustRightInd/>
              <w:jc w:val="center"/>
              <w:rPr>
                <w:rFonts w:ascii="Times New Roman" w:hAnsi="Times New Roman"/>
                <w:b/>
                <w:bCs/>
                <w:color w:val="000000"/>
              </w:rPr>
            </w:pPr>
            <w:r w:rsidRPr="004A3D15">
              <w:rPr>
                <w:rFonts w:ascii="Times New Roman" w:hAnsi="Times New Roman"/>
                <w:b/>
                <w:bCs/>
                <w:color w:val="000000"/>
              </w:rPr>
              <w:t>Hourly Wage</w:t>
            </w:r>
          </w:p>
        </w:tc>
        <w:tc>
          <w:tcPr>
            <w:tcW w:w="316" w:type="dxa"/>
            <w:tcBorders>
              <w:top w:val="single" w:sz="4" w:space="0" w:color="auto"/>
              <w:left w:val="nil"/>
              <w:bottom w:val="single" w:sz="4" w:space="0" w:color="auto"/>
              <w:right w:val="single" w:sz="4" w:space="0" w:color="auto"/>
            </w:tcBorders>
            <w:shd w:val="clear" w:color="000000" w:fill="D9D9D9"/>
          </w:tcPr>
          <w:p w:rsidR="004B7281" w:rsidRPr="004A3D15" w:rsidP="004A3D15" w14:paraId="61D1EC92" w14:textId="77777777">
            <w:pPr>
              <w:widowControl/>
              <w:autoSpaceDE/>
              <w:autoSpaceDN/>
              <w:adjustRightInd/>
              <w:jc w:val="center"/>
              <w:rPr>
                <w:rFonts w:ascii="Times New Roman" w:hAnsi="Times New Roman"/>
                <w:b/>
                <w:bCs/>
                <w:color w:val="000000"/>
              </w:rPr>
            </w:pPr>
          </w:p>
        </w:tc>
        <w:tc>
          <w:tcPr>
            <w:tcW w:w="14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281" w:rsidRPr="004A3D15" w:rsidP="004A3D15" w14:paraId="0206A844" w14:textId="7C6FA320">
            <w:pPr>
              <w:widowControl/>
              <w:autoSpaceDE/>
              <w:autoSpaceDN/>
              <w:adjustRightInd/>
              <w:jc w:val="center"/>
              <w:rPr>
                <w:rFonts w:ascii="Times New Roman" w:hAnsi="Times New Roman"/>
                <w:b/>
                <w:bCs/>
                <w:color w:val="000000"/>
              </w:rPr>
            </w:pPr>
            <w:r w:rsidRPr="004A3D15">
              <w:rPr>
                <w:rFonts w:ascii="Times New Roman" w:hAnsi="Times New Roman"/>
                <w:b/>
                <w:bCs/>
                <w:color w:val="000000"/>
              </w:rPr>
              <w:t xml:space="preserve">Average Hourly Wage Rate with 31% Compensation   </w:t>
            </w:r>
          </w:p>
        </w:tc>
        <w:tc>
          <w:tcPr>
            <w:tcW w:w="359" w:type="dxa"/>
            <w:tcBorders>
              <w:top w:val="single" w:sz="4" w:space="0" w:color="auto"/>
              <w:left w:val="nil"/>
              <w:bottom w:val="single" w:sz="4" w:space="0" w:color="auto"/>
              <w:right w:val="single" w:sz="4" w:space="0" w:color="auto"/>
            </w:tcBorders>
            <w:shd w:val="clear" w:color="000000" w:fill="D9D9D9"/>
          </w:tcPr>
          <w:p w:rsidR="004B7281" w:rsidRPr="004A3D15" w:rsidP="004A3D15" w14:paraId="3A182825" w14:textId="77777777">
            <w:pPr>
              <w:widowControl/>
              <w:autoSpaceDE/>
              <w:autoSpaceDN/>
              <w:adjustRightInd/>
              <w:jc w:val="center"/>
              <w:rPr>
                <w:rFonts w:ascii="Times New Roman" w:hAnsi="Times New Roman"/>
                <w:b/>
                <w:bCs/>
                <w:color w:val="000000"/>
              </w:rPr>
            </w:pPr>
          </w:p>
        </w:tc>
        <w:tc>
          <w:tcPr>
            <w:tcW w:w="113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281" w:rsidRPr="004A3D15" w:rsidP="004A3D15" w14:paraId="5471EB34" w14:textId="60FF381A">
            <w:pPr>
              <w:widowControl/>
              <w:autoSpaceDE/>
              <w:autoSpaceDN/>
              <w:adjustRightInd/>
              <w:jc w:val="center"/>
              <w:rPr>
                <w:rFonts w:ascii="Times New Roman" w:hAnsi="Times New Roman"/>
                <w:b/>
                <w:bCs/>
                <w:color w:val="000000"/>
              </w:rPr>
            </w:pPr>
            <w:r w:rsidRPr="004A3D15">
              <w:rPr>
                <w:rFonts w:ascii="Times New Roman" w:hAnsi="Times New Roman"/>
                <w:b/>
                <w:bCs/>
                <w:color w:val="000000"/>
              </w:rPr>
              <w:t xml:space="preserve">Total Employees </w:t>
            </w:r>
          </w:p>
        </w:tc>
        <w:tc>
          <w:tcPr>
            <w:tcW w:w="450" w:type="dxa"/>
            <w:tcBorders>
              <w:top w:val="single" w:sz="4" w:space="0" w:color="auto"/>
              <w:left w:val="nil"/>
              <w:bottom w:val="single" w:sz="4" w:space="0" w:color="auto"/>
              <w:right w:val="single" w:sz="4" w:space="0" w:color="auto"/>
            </w:tcBorders>
            <w:shd w:val="clear" w:color="000000" w:fill="D9D9D9"/>
          </w:tcPr>
          <w:p w:rsidR="004B7281" w:rsidRPr="004A3D15" w:rsidP="004A3D15" w14:paraId="4F573D60" w14:textId="77777777">
            <w:pPr>
              <w:widowControl/>
              <w:autoSpaceDE/>
              <w:autoSpaceDN/>
              <w:adjustRightInd/>
              <w:jc w:val="center"/>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281" w:rsidRPr="004A3D15" w:rsidP="004A3D15" w14:paraId="31591411" w14:textId="44035817">
            <w:pPr>
              <w:widowControl/>
              <w:autoSpaceDE/>
              <w:autoSpaceDN/>
              <w:adjustRightInd/>
              <w:jc w:val="center"/>
              <w:rPr>
                <w:rFonts w:ascii="Times New Roman" w:hAnsi="Times New Roman"/>
                <w:b/>
                <w:bCs/>
                <w:color w:val="000000"/>
              </w:rPr>
            </w:pPr>
            <w:r w:rsidRPr="004A3D15">
              <w:rPr>
                <w:rFonts w:ascii="Times New Roman" w:hAnsi="Times New Roman"/>
                <w:b/>
                <w:bCs/>
                <w:color w:val="000000"/>
              </w:rPr>
              <w:t>Total Time for Program Related Task  (Hours)</w:t>
            </w:r>
          </w:p>
        </w:tc>
        <w:tc>
          <w:tcPr>
            <w:tcW w:w="450" w:type="dxa"/>
            <w:tcBorders>
              <w:top w:val="single" w:sz="4" w:space="0" w:color="auto"/>
              <w:left w:val="nil"/>
              <w:bottom w:val="single" w:sz="4" w:space="0" w:color="auto"/>
              <w:right w:val="single" w:sz="4" w:space="0" w:color="auto"/>
            </w:tcBorders>
            <w:shd w:val="clear" w:color="000000" w:fill="D9D9D9"/>
          </w:tcPr>
          <w:p w:rsidR="004B7281" w:rsidRPr="004A3D15" w:rsidP="004A3D15" w14:paraId="47D60120" w14:textId="77777777">
            <w:pPr>
              <w:widowControl/>
              <w:autoSpaceDE/>
              <w:autoSpaceDN/>
              <w:adjustRightInd/>
              <w:jc w:val="center"/>
              <w:rPr>
                <w:rFonts w:ascii="Times New Roman" w:hAnsi="Times New Roman"/>
                <w:b/>
                <w:bCs/>
                <w:color w:val="000000"/>
              </w:rPr>
            </w:pP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B7281" w:rsidRPr="004A3D15" w:rsidP="004A3D15" w14:paraId="4163A96A" w14:textId="0F86F79D">
            <w:pPr>
              <w:widowControl/>
              <w:autoSpaceDE/>
              <w:autoSpaceDN/>
              <w:adjustRightInd/>
              <w:jc w:val="center"/>
              <w:rPr>
                <w:rFonts w:ascii="Times New Roman" w:hAnsi="Times New Roman"/>
                <w:b/>
                <w:bCs/>
                <w:color w:val="000000"/>
              </w:rPr>
            </w:pPr>
            <w:r w:rsidRPr="004A3D15">
              <w:rPr>
                <w:rFonts w:ascii="Times New Roman" w:hAnsi="Times New Roman"/>
                <w:b/>
                <w:bCs/>
                <w:color w:val="000000"/>
              </w:rPr>
              <w:t xml:space="preserve">Total Federal Government Wages   </w:t>
            </w:r>
          </w:p>
        </w:tc>
      </w:tr>
      <w:tr w14:paraId="05DD3E94" w14:textId="77777777" w:rsidTr="002379AA">
        <w:tblPrEx>
          <w:tblW w:w="10890" w:type="dxa"/>
          <w:tblInd w:w="-635" w:type="dxa"/>
          <w:tblLook w:val="04A0"/>
        </w:tblPrEx>
        <w:trPr>
          <w:trHeight w:val="290"/>
        </w:trPr>
        <w:tc>
          <w:tcPr>
            <w:tcW w:w="2268" w:type="dxa"/>
            <w:tcBorders>
              <w:top w:val="nil"/>
              <w:left w:val="single" w:sz="4" w:space="0" w:color="auto"/>
              <w:bottom w:val="single" w:sz="4" w:space="0" w:color="auto"/>
              <w:right w:val="single" w:sz="4" w:space="0" w:color="auto"/>
            </w:tcBorders>
            <w:shd w:val="clear" w:color="auto" w:fill="auto"/>
            <w:hideMark/>
          </w:tcPr>
          <w:p w:rsidR="004B7281" w:rsidRPr="00857A1B" w:rsidP="004A3D15" w14:paraId="3C62AEE4" w14:textId="77777777">
            <w:pPr>
              <w:widowControl/>
              <w:autoSpaceDE/>
              <w:autoSpaceDN/>
              <w:adjustRightInd/>
              <w:rPr>
                <w:rFonts w:ascii="Times New Roman" w:hAnsi="Times New Roman"/>
                <w:color w:val="000000"/>
              </w:rPr>
            </w:pPr>
            <w:bookmarkStart w:id="5" w:name="_Hlk171930878"/>
            <w:r w:rsidRPr="00857A1B">
              <w:rPr>
                <w:rFonts w:ascii="Times New Roman" w:hAnsi="Times New Roman"/>
                <w:color w:val="000000"/>
              </w:rPr>
              <w:t xml:space="preserve">GS 14 (Step 5): Develop/review/post Notice of Funding Opportunity </w:t>
            </w:r>
            <w:bookmarkEnd w:id="5"/>
          </w:p>
        </w:tc>
        <w:tc>
          <w:tcPr>
            <w:tcW w:w="1308" w:type="dxa"/>
            <w:tcBorders>
              <w:top w:val="nil"/>
              <w:left w:val="nil"/>
              <w:bottom w:val="single" w:sz="4" w:space="0" w:color="auto"/>
              <w:right w:val="single" w:sz="4" w:space="0" w:color="auto"/>
            </w:tcBorders>
            <w:shd w:val="clear" w:color="auto" w:fill="auto"/>
            <w:vAlign w:val="center"/>
            <w:hideMark/>
          </w:tcPr>
          <w:p w:rsidR="004B7281" w:rsidRPr="004A3D15" w:rsidP="004A3D15" w14:paraId="30DC2C0F" w14:textId="77777777">
            <w:pPr>
              <w:widowControl/>
              <w:autoSpaceDE/>
              <w:autoSpaceDN/>
              <w:adjustRightInd/>
              <w:rPr>
                <w:rFonts w:ascii="Times New Roman" w:hAnsi="Times New Roman"/>
                <w:color w:val="000000"/>
              </w:rPr>
            </w:pPr>
            <w:r w:rsidRPr="004A3D15">
              <w:rPr>
                <w:rFonts w:ascii="Times New Roman" w:hAnsi="Times New Roman"/>
                <w:color w:val="000000"/>
              </w:rPr>
              <w:t xml:space="preserve"> $    75.70 </w:t>
            </w:r>
          </w:p>
        </w:tc>
        <w:tc>
          <w:tcPr>
            <w:tcW w:w="316" w:type="dxa"/>
            <w:vMerge w:val="restart"/>
            <w:tcBorders>
              <w:top w:val="single" w:sz="4" w:space="0" w:color="auto"/>
              <w:left w:val="nil"/>
              <w:right w:val="single" w:sz="4" w:space="0" w:color="auto"/>
            </w:tcBorders>
            <w:vAlign w:val="center"/>
          </w:tcPr>
          <w:p w:rsidR="004B7281" w:rsidRPr="004A3D15" w:rsidP="004B7281" w14:paraId="00502F8C" w14:textId="7F5F4785">
            <w:pPr>
              <w:widowControl/>
              <w:autoSpaceDE/>
              <w:autoSpaceDN/>
              <w:adjustRightInd/>
              <w:jc w:val="center"/>
              <w:rPr>
                <w:rFonts w:ascii="Times New Roman" w:hAnsi="Times New Roman"/>
                <w:color w:val="000000"/>
              </w:rPr>
            </w:pPr>
            <w:r>
              <w:rPr>
                <w:rFonts w:ascii="Times New Roman" w:hAnsi="Times New Roman"/>
                <w:color w:val="000000"/>
              </w:rPr>
              <w:t>*</w:t>
            </w:r>
          </w:p>
        </w:tc>
        <w:tc>
          <w:tcPr>
            <w:tcW w:w="145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857A1B" w14:paraId="0992FD04" w14:textId="6C42D3B6">
            <w:pPr>
              <w:widowControl/>
              <w:autoSpaceDE/>
              <w:autoSpaceDN/>
              <w:adjustRightInd/>
              <w:rPr>
                <w:rFonts w:ascii="Times New Roman" w:hAnsi="Times New Roman"/>
                <w:color w:val="000000"/>
              </w:rPr>
            </w:pPr>
            <w:r>
              <w:rPr>
                <w:rFonts w:ascii="Times New Roman" w:hAnsi="Times New Roman"/>
                <w:color w:val="000000"/>
              </w:rPr>
              <w:t xml:space="preserve">    </w:t>
            </w:r>
            <w:r w:rsidRPr="004A3D15">
              <w:rPr>
                <w:rFonts w:ascii="Times New Roman" w:hAnsi="Times New Roman"/>
                <w:color w:val="000000"/>
              </w:rPr>
              <w:t xml:space="preserve"> $   99.17 </w:t>
            </w:r>
          </w:p>
        </w:tc>
        <w:tc>
          <w:tcPr>
            <w:tcW w:w="359" w:type="dxa"/>
            <w:vMerge w:val="restart"/>
            <w:tcBorders>
              <w:top w:val="single" w:sz="4" w:space="0" w:color="auto"/>
              <w:left w:val="nil"/>
              <w:right w:val="single" w:sz="4" w:space="0" w:color="auto"/>
            </w:tcBorders>
            <w:vAlign w:val="center"/>
          </w:tcPr>
          <w:p w:rsidR="004B7281" w:rsidRPr="004A3D15" w:rsidP="004B7281" w14:paraId="7449CB96" w14:textId="32657B69">
            <w:pPr>
              <w:widowControl/>
              <w:autoSpaceDE/>
              <w:autoSpaceDN/>
              <w:adjustRightInd/>
              <w:jc w:val="center"/>
              <w:rPr>
                <w:rFonts w:ascii="Times New Roman" w:hAnsi="Times New Roman"/>
                <w:color w:val="000000"/>
              </w:rPr>
            </w:pPr>
            <w:r>
              <w:rPr>
                <w:rFonts w:ascii="Times New Roman" w:hAnsi="Times New Roman"/>
                <w:color w:val="000000"/>
              </w:rPr>
              <w:t>*</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67013374" w14:textId="4BC8E018">
            <w:pPr>
              <w:widowControl/>
              <w:autoSpaceDE/>
              <w:autoSpaceDN/>
              <w:adjustRightInd/>
              <w:jc w:val="center"/>
              <w:rPr>
                <w:rFonts w:ascii="Times New Roman" w:hAnsi="Times New Roman"/>
                <w:color w:val="000000"/>
              </w:rPr>
            </w:pPr>
            <w:r w:rsidRPr="004A3D15">
              <w:rPr>
                <w:rFonts w:ascii="Times New Roman" w:hAnsi="Times New Roman"/>
                <w:color w:val="000000"/>
              </w:rPr>
              <w:t>1</w:t>
            </w:r>
          </w:p>
        </w:tc>
        <w:tc>
          <w:tcPr>
            <w:tcW w:w="450" w:type="dxa"/>
            <w:vMerge w:val="restart"/>
            <w:tcBorders>
              <w:top w:val="single" w:sz="4" w:space="0" w:color="auto"/>
              <w:left w:val="nil"/>
              <w:right w:val="single" w:sz="4" w:space="0" w:color="auto"/>
            </w:tcBorders>
            <w:vAlign w:val="center"/>
          </w:tcPr>
          <w:p w:rsidR="004B7281" w:rsidRPr="004A3D15" w:rsidP="004B7281" w14:paraId="36F85E15" w14:textId="276ADEF2">
            <w:pPr>
              <w:widowControl/>
              <w:autoSpaceDE/>
              <w:autoSpaceDN/>
              <w:adjustRightInd/>
              <w:jc w:val="center"/>
              <w:rPr>
                <w:rFonts w:ascii="Times New Roman" w:hAnsi="Times New Roman"/>
                <w:color w:val="000000"/>
              </w:rPr>
            </w:pPr>
            <w:r>
              <w:rPr>
                <w:rFonts w:ascii="Times New Roman" w:hAnsi="Times New Roman"/>
                <w:color w:val="000000"/>
              </w:rPr>
              <w: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341FE167" w14:textId="60DA6F9A">
            <w:pPr>
              <w:widowControl/>
              <w:autoSpaceDE/>
              <w:autoSpaceDN/>
              <w:adjustRightInd/>
              <w:jc w:val="center"/>
              <w:rPr>
                <w:rFonts w:ascii="Times New Roman" w:hAnsi="Times New Roman"/>
                <w:color w:val="000000"/>
              </w:rPr>
            </w:pPr>
            <w:r w:rsidRPr="004A3D15">
              <w:rPr>
                <w:rFonts w:ascii="Times New Roman" w:hAnsi="Times New Roman"/>
                <w:color w:val="000000"/>
              </w:rPr>
              <w:t>120</w:t>
            </w:r>
          </w:p>
        </w:tc>
        <w:tc>
          <w:tcPr>
            <w:tcW w:w="450" w:type="dxa"/>
            <w:vMerge w:val="restart"/>
            <w:tcBorders>
              <w:top w:val="nil"/>
              <w:left w:val="nil"/>
              <w:right w:val="single" w:sz="4" w:space="0" w:color="auto"/>
            </w:tcBorders>
            <w:vAlign w:val="center"/>
          </w:tcPr>
          <w:p w:rsidR="004B7281" w:rsidRPr="004A3D15" w:rsidP="00857A1B" w14:paraId="337324C8" w14:textId="6D20F807">
            <w:pPr>
              <w:widowControl/>
              <w:autoSpaceDE/>
              <w:autoSpaceDN/>
              <w:adjustRightInd/>
              <w:jc w:val="center"/>
              <w:rPr>
                <w:rFonts w:ascii="Times New Roman" w:hAnsi="Times New Roman"/>
                <w:color w:val="000000"/>
              </w:rPr>
            </w:pPr>
            <w:r>
              <w:rPr>
                <w:rFonts w:ascii="Times New Roman" w:hAnsi="Times New Roman"/>
                <w:color w:val="000000"/>
              </w:rPr>
              <w:t>=</w:t>
            </w: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4616F459" w14:textId="77F60037">
            <w:pPr>
              <w:widowControl/>
              <w:autoSpaceDE/>
              <w:autoSpaceDN/>
              <w:adjustRightInd/>
              <w:rPr>
                <w:rFonts w:ascii="Times New Roman" w:hAnsi="Times New Roman"/>
                <w:color w:val="000000"/>
              </w:rPr>
            </w:pPr>
            <w:r w:rsidRPr="004A3D15">
              <w:rPr>
                <w:rFonts w:ascii="Times New Roman" w:hAnsi="Times New Roman"/>
                <w:color w:val="000000"/>
              </w:rPr>
              <w:t xml:space="preserve"> $            11,900.40 </w:t>
            </w:r>
          </w:p>
        </w:tc>
      </w:tr>
      <w:tr w14:paraId="5F892A20" w14:textId="77777777" w:rsidTr="002379AA">
        <w:tblPrEx>
          <w:tblW w:w="10890" w:type="dxa"/>
          <w:tblInd w:w="-635" w:type="dxa"/>
          <w:tblLook w:val="04A0"/>
        </w:tblPrEx>
        <w:trPr>
          <w:trHeight w:val="290"/>
        </w:trPr>
        <w:tc>
          <w:tcPr>
            <w:tcW w:w="2268" w:type="dxa"/>
            <w:tcBorders>
              <w:top w:val="nil"/>
              <w:left w:val="single" w:sz="4" w:space="0" w:color="auto"/>
              <w:bottom w:val="single" w:sz="4" w:space="0" w:color="auto"/>
              <w:right w:val="single" w:sz="4" w:space="0" w:color="auto"/>
            </w:tcBorders>
            <w:shd w:val="clear" w:color="auto" w:fill="auto"/>
            <w:hideMark/>
          </w:tcPr>
          <w:p w:rsidR="004B7281" w:rsidRPr="00857A1B" w:rsidP="004A3D15" w14:paraId="5F0854D3" w14:textId="77777777">
            <w:pPr>
              <w:widowControl/>
              <w:autoSpaceDE/>
              <w:autoSpaceDN/>
              <w:adjustRightInd/>
              <w:rPr>
                <w:rFonts w:ascii="Times New Roman" w:hAnsi="Times New Roman"/>
                <w:color w:val="000000"/>
              </w:rPr>
            </w:pPr>
            <w:bookmarkStart w:id="6" w:name="_Hlk171930916"/>
            <w:r w:rsidRPr="00857A1B">
              <w:rPr>
                <w:rFonts w:ascii="Times New Roman" w:hAnsi="Times New Roman"/>
                <w:color w:val="000000"/>
              </w:rPr>
              <w:t>GS 13 (Step 5): Receive/sort/review 200 applications  @ (8hrs/application)</w:t>
            </w:r>
            <w:bookmarkEnd w:id="6"/>
          </w:p>
        </w:tc>
        <w:tc>
          <w:tcPr>
            <w:tcW w:w="1308" w:type="dxa"/>
            <w:tcBorders>
              <w:top w:val="nil"/>
              <w:left w:val="nil"/>
              <w:bottom w:val="single" w:sz="4" w:space="0" w:color="auto"/>
              <w:right w:val="single" w:sz="4" w:space="0" w:color="auto"/>
            </w:tcBorders>
            <w:shd w:val="clear" w:color="auto" w:fill="auto"/>
            <w:vAlign w:val="center"/>
            <w:hideMark/>
          </w:tcPr>
          <w:p w:rsidR="004B7281" w:rsidRPr="004A3D15" w:rsidP="004A3D15" w14:paraId="5DAB0A94" w14:textId="77777777">
            <w:pPr>
              <w:widowControl/>
              <w:autoSpaceDE/>
              <w:autoSpaceDN/>
              <w:adjustRightInd/>
              <w:rPr>
                <w:rFonts w:ascii="Times New Roman" w:hAnsi="Times New Roman"/>
                <w:color w:val="000000"/>
              </w:rPr>
            </w:pPr>
            <w:r w:rsidRPr="004A3D15">
              <w:rPr>
                <w:rFonts w:ascii="Times New Roman" w:hAnsi="Times New Roman"/>
                <w:color w:val="000000"/>
              </w:rPr>
              <w:t xml:space="preserve"> $    64.06 </w:t>
            </w:r>
          </w:p>
        </w:tc>
        <w:tc>
          <w:tcPr>
            <w:tcW w:w="316" w:type="dxa"/>
            <w:vMerge/>
            <w:tcBorders>
              <w:left w:val="nil"/>
              <w:right w:val="single" w:sz="4" w:space="0" w:color="auto"/>
            </w:tcBorders>
          </w:tcPr>
          <w:p w:rsidR="004B7281" w:rsidRPr="004A3D15" w:rsidP="004A3D15" w14:paraId="766AAD97" w14:textId="77777777">
            <w:pPr>
              <w:widowControl/>
              <w:autoSpaceDE/>
              <w:autoSpaceDN/>
              <w:adjustRightInd/>
              <w:rPr>
                <w:rFonts w:ascii="Times New Roman" w:hAnsi="Times New Roman"/>
                <w:color w:val="000000"/>
              </w:rPr>
            </w:pPr>
          </w:p>
        </w:tc>
        <w:tc>
          <w:tcPr>
            <w:tcW w:w="145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05C1A723" w14:textId="1F3CB14E">
            <w:pPr>
              <w:widowControl/>
              <w:autoSpaceDE/>
              <w:autoSpaceDN/>
              <w:adjustRightInd/>
              <w:rPr>
                <w:rFonts w:ascii="Times New Roman" w:hAnsi="Times New Roman"/>
                <w:color w:val="000000"/>
              </w:rPr>
            </w:pPr>
            <w:bookmarkStart w:id="7" w:name="_Hlk171931219"/>
            <w:r w:rsidRPr="004A3D15">
              <w:rPr>
                <w:rFonts w:ascii="Times New Roman" w:hAnsi="Times New Roman"/>
                <w:color w:val="000000"/>
              </w:rPr>
              <w:t xml:space="preserve"> </w:t>
            </w:r>
            <w:r>
              <w:rPr>
                <w:rFonts w:ascii="Times New Roman" w:hAnsi="Times New Roman"/>
                <w:color w:val="000000"/>
              </w:rPr>
              <w:t xml:space="preserve">    </w:t>
            </w:r>
            <w:r w:rsidRPr="004A3D15">
              <w:rPr>
                <w:rFonts w:ascii="Times New Roman" w:hAnsi="Times New Roman"/>
                <w:color w:val="000000"/>
              </w:rPr>
              <w:t xml:space="preserve">$   </w:t>
            </w:r>
            <w:r>
              <w:rPr>
                <w:rFonts w:ascii="Times New Roman" w:hAnsi="Times New Roman"/>
                <w:color w:val="000000"/>
              </w:rPr>
              <w:t xml:space="preserve"> </w:t>
            </w:r>
            <w:r w:rsidRPr="004A3D15">
              <w:rPr>
                <w:rFonts w:ascii="Times New Roman" w:hAnsi="Times New Roman"/>
                <w:color w:val="000000"/>
              </w:rPr>
              <w:t xml:space="preserve">83.92 </w:t>
            </w:r>
            <w:bookmarkEnd w:id="7"/>
          </w:p>
        </w:tc>
        <w:tc>
          <w:tcPr>
            <w:tcW w:w="359" w:type="dxa"/>
            <w:vMerge/>
            <w:tcBorders>
              <w:left w:val="nil"/>
              <w:right w:val="single" w:sz="4" w:space="0" w:color="auto"/>
            </w:tcBorders>
          </w:tcPr>
          <w:p w:rsidR="004B7281" w:rsidRPr="004A3D15" w:rsidP="004A3D15" w14:paraId="785AFA64" w14:textId="77777777">
            <w:pPr>
              <w:widowControl/>
              <w:autoSpaceDE/>
              <w:autoSpaceDN/>
              <w:adjustRightInd/>
              <w:jc w:val="center"/>
              <w:rPr>
                <w:rFonts w:ascii="Times New Roman" w:hAnsi="Times New Roman"/>
                <w:color w:val="000000"/>
              </w:rPr>
            </w:pP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7135953F" w14:textId="4E1435A6">
            <w:pPr>
              <w:widowControl/>
              <w:autoSpaceDE/>
              <w:autoSpaceDN/>
              <w:adjustRightInd/>
              <w:jc w:val="center"/>
              <w:rPr>
                <w:rFonts w:ascii="Times New Roman" w:hAnsi="Times New Roman"/>
                <w:color w:val="000000"/>
              </w:rPr>
            </w:pPr>
            <w:r w:rsidRPr="004A3D15">
              <w:rPr>
                <w:rFonts w:ascii="Times New Roman" w:hAnsi="Times New Roman"/>
                <w:color w:val="000000"/>
              </w:rPr>
              <w:t>1</w:t>
            </w:r>
          </w:p>
        </w:tc>
        <w:tc>
          <w:tcPr>
            <w:tcW w:w="450" w:type="dxa"/>
            <w:vMerge/>
            <w:tcBorders>
              <w:left w:val="nil"/>
              <w:right w:val="single" w:sz="4" w:space="0" w:color="auto"/>
            </w:tcBorders>
          </w:tcPr>
          <w:p w:rsidR="004B7281" w:rsidRPr="004A3D15" w:rsidP="004A3D15" w14:paraId="77168AF0"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2FAB802F" w14:textId="6B67A4D8">
            <w:pPr>
              <w:widowControl/>
              <w:autoSpaceDE/>
              <w:autoSpaceDN/>
              <w:adjustRightInd/>
              <w:jc w:val="center"/>
              <w:rPr>
                <w:rFonts w:ascii="Times New Roman" w:hAnsi="Times New Roman"/>
                <w:color w:val="000000"/>
              </w:rPr>
            </w:pPr>
            <w:r w:rsidRPr="004A3D15">
              <w:rPr>
                <w:rFonts w:ascii="Times New Roman" w:hAnsi="Times New Roman"/>
                <w:color w:val="000000"/>
              </w:rPr>
              <w:t>1</w:t>
            </w:r>
            <w:r w:rsidR="004D257A">
              <w:rPr>
                <w:rFonts w:ascii="Times New Roman" w:hAnsi="Times New Roman"/>
                <w:color w:val="000000"/>
              </w:rPr>
              <w:t>,</w:t>
            </w:r>
            <w:r w:rsidRPr="004A3D15">
              <w:rPr>
                <w:rFonts w:ascii="Times New Roman" w:hAnsi="Times New Roman"/>
                <w:color w:val="000000"/>
              </w:rPr>
              <w:t>600</w:t>
            </w:r>
          </w:p>
        </w:tc>
        <w:tc>
          <w:tcPr>
            <w:tcW w:w="450" w:type="dxa"/>
            <w:vMerge/>
            <w:tcBorders>
              <w:left w:val="nil"/>
              <w:right w:val="single" w:sz="4" w:space="0" w:color="auto"/>
            </w:tcBorders>
          </w:tcPr>
          <w:p w:rsidR="004B7281" w:rsidRPr="004A3D15" w:rsidP="004A3D15" w14:paraId="190BD9D8" w14:textId="77777777">
            <w:pPr>
              <w:widowControl/>
              <w:autoSpaceDE/>
              <w:autoSpaceDN/>
              <w:adjustRightInd/>
              <w:rPr>
                <w:rFonts w:ascii="Times New Roman" w:hAnsi="Times New Roman"/>
                <w:color w:val="000000"/>
              </w:rPr>
            </w:pP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4B7281" w:rsidRPr="004A3D15" w:rsidP="004A3D15" w14:paraId="61614CEF" w14:textId="6356EE96">
            <w:pPr>
              <w:widowControl/>
              <w:autoSpaceDE/>
              <w:autoSpaceDN/>
              <w:adjustRightInd/>
              <w:rPr>
                <w:rFonts w:ascii="Times New Roman" w:hAnsi="Times New Roman"/>
                <w:color w:val="000000"/>
              </w:rPr>
            </w:pPr>
            <w:r w:rsidRPr="004A3D15">
              <w:rPr>
                <w:rFonts w:ascii="Times New Roman" w:hAnsi="Times New Roman"/>
                <w:color w:val="000000"/>
              </w:rPr>
              <w:t xml:space="preserve"> $          134,272.00 </w:t>
            </w:r>
          </w:p>
        </w:tc>
      </w:tr>
      <w:tr w14:paraId="10FA71F2" w14:textId="77777777" w:rsidTr="002379AA">
        <w:tblPrEx>
          <w:tblW w:w="10890" w:type="dxa"/>
          <w:tblInd w:w="-635" w:type="dxa"/>
          <w:tblLook w:val="04A0"/>
        </w:tblPrEx>
        <w:trPr>
          <w:trHeight w:val="290"/>
        </w:trPr>
        <w:tc>
          <w:tcPr>
            <w:tcW w:w="2268" w:type="dxa"/>
            <w:tcBorders>
              <w:top w:val="nil"/>
              <w:left w:val="single" w:sz="4" w:space="0" w:color="auto"/>
              <w:bottom w:val="single" w:sz="4" w:space="0" w:color="auto"/>
              <w:right w:val="single" w:sz="4" w:space="0" w:color="auto"/>
            </w:tcBorders>
            <w:shd w:val="clear" w:color="auto" w:fill="auto"/>
            <w:hideMark/>
          </w:tcPr>
          <w:p w:rsidR="004B7281" w:rsidRPr="00857A1B" w:rsidP="004A3D15" w14:paraId="375F2D97" w14:textId="4C8874EE">
            <w:pPr>
              <w:widowControl/>
              <w:autoSpaceDE/>
              <w:autoSpaceDN/>
              <w:adjustRightInd/>
              <w:rPr>
                <w:rFonts w:ascii="Times New Roman" w:hAnsi="Times New Roman"/>
                <w:color w:val="000000"/>
              </w:rPr>
            </w:pPr>
            <w:bookmarkStart w:id="8" w:name="_Hlk171931249"/>
            <w:bookmarkStart w:id="9" w:name="_Hlk171930961"/>
            <w:r w:rsidRPr="00857A1B">
              <w:rPr>
                <w:rFonts w:ascii="Times New Roman" w:hAnsi="Times New Roman"/>
                <w:color w:val="000000"/>
              </w:rPr>
              <w:t>GS 15 (Step 5)</w:t>
            </w:r>
            <w:bookmarkEnd w:id="8"/>
            <w:r w:rsidRPr="00857A1B">
              <w:rPr>
                <w:rFonts w:ascii="Times New Roman" w:hAnsi="Times New Roman"/>
                <w:color w:val="000000"/>
              </w:rPr>
              <w:t>: Prepare/review/post list of awards</w:t>
            </w:r>
            <w:bookmarkEnd w:id="9"/>
            <w:r w:rsidRPr="00857A1B">
              <w:rPr>
                <w:rFonts w:ascii="Times New Roman" w:hAnsi="Times New Roman"/>
                <w:color w:val="000000"/>
              </w:rPr>
              <w:t xml:space="preserve">: </w:t>
            </w:r>
          </w:p>
        </w:tc>
        <w:tc>
          <w:tcPr>
            <w:tcW w:w="1308" w:type="dxa"/>
            <w:tcBorders>
              <w:top w:val="nil"/>
              <w:left w:val="nil"/>
              <w:bottom w:val="single" w:sz="4" w:space="0" w:color="auto"/>
              <w:right w:val="single" w:sz="4" w:space="0" w:color="auto"/>
            </w:tcBorders>
            <w:shd w:val="clear" w:color="auto" w:fill="auto"/>
            <w:noWrap/>
            <w:vAlign w:val="center"/>
            <w:hideMark/>
          </w:tcPr>
          <w:p w:rsidR="004B7281" w:rsidRPr="004A3D15" w:rsidP="004A3D15" w14:paraId="5964C35C" w14:textId="77777777">
            <w:pPr>
              <w:widowControl/>
              <w:autoSpaceDE/>
              <w:autoSpaceDN/>
              <w:adjustRightInd/>
              <w:rPr>
                <w:rFonts w:ascii="Times New Roman" w:hAnsi="Times New Roman"/>
                <w:color w:val="000000"/>
              </w:rPr>
            </w:pPr>
            <w:r w:rsidRPr="004A3D15">
              <w:rPr>
                <w:rFonts w:ascii="Times New Roman" w:hAnsi="Times New Roman"/>
                <w:color w:val="000000"/>
              </w:rPr>
              <w:t xml:space="preserve"> $    89.04 </w:t>
            </w:r>
          </w:p>
        </w:tc>
        <w:tc>
          <w:tcPr>
            <w:tcW w:w="316" w:type="dxa"/>
            <w:vMerge/>
            <w:tcBorders>
              <w:left w:val="nil"/>
              <w:bottom w:val="single" w:sz="4" w:space="0" w:color="auto"/>
              <w:right w:val="single" w:sz="4" w:space="0" w:color="auto"/>
            </w:tcBorders>
          </w:tcPr>
          <w:p w:rsidR="004B7281" w:rsidRPr="004A3D15" w:rsidP="004A3D15" w14:paraId="0BA70E23" w14:textId="77777777">
            <w:pPr>
              <w:widowControl/>
              <w:autoSpaceDE/>
              <w:autoSpaceDN/>
              <w:adjustRightInd/>
              <w:rPr>
                <w:rFonts w:ascii="Times New Roman" w:hAnsi="Times New Roman"/>
                <w:color w:val="000000"/>
              </w:rPr>
            </w:pPr>
          </w:p>
        </w:tc>
        <w:tc>
          <w:tcPr>
            <w:tcW w:w="1450" w:type="dxa"/>
            <w:tcBorders>
              <w:top w:val="nil"/>
              <w:left w:val="single" w:sz="4" w:space="0" w:color="auto"/>
              <w:bottom w:val="single" w:sz="4" w:space="0" w:color="auto"/>
              <w:right w:val="single" w:sz="4" w:space="0" w:color="auto"/>
            </w:tcBorders>
            <w:shd w:val="clear" w:color="auto" w:fill="auto"/>
            <w:noWrap/>
            <w:vAlign w:val="center"/>
            <w:hideMark/>
          </w:tcPr>
          <w:p w:rsidR="004B7281" w:rsidRPr="004A3D15" w:rsidP="004A3D15" w14:paraId="09A78188" w14:textId="7592612E">
            <w:pPr>
              <w:widowControl/>
              <w:autoSpaceDE/>
              <w:autoSpaceDN/>
              <w:adjustRightInd/>
              <w:rPr>
                <w:rFonts w:ascii="Times New Roman" w:hAnsi="Times New Roman"/>
                <w:color w:val="000000"/>
              </w:rPr>
            </w:pPr>
            <w:r w:rsidRPr="004A3D15">
              <w:rPr>
                <w:rFonts w:ascii="Times New Roman" w:hAnsi="Times New Roman"/>
                <w:color w:val="000000"/>
              </w:rPr>
              <w:t xml:space="preserve"> </w:t>
            </w:r>
            <w:r>
              <w:rPr>
                <w:rFonts w:ascii="Times New Roman" w:hAnsi="Times New Roman"/>
                <w:color w:val="000000"/>
              </w:rPr>
              <w:t xml:space="preserve">    </w:t>
            </w:r>
            <w:bookmarkStart w:id="10" w:name="_Hlk171931264"/>
            <w:r w:rsidRPr="004A3D15">
              <w:rPr>
                <w:rFonts w:ascii="Times New Roman" w:hAnsi="Times New Roman"/>
                <w:color w:val="000000"/>
              </w:rPr>
              <w:t xml:space="preserve">$  116.64 </w:t>
            </w:r>
            <w:bookmarkEnd w:id="10"/>
          </w:p>
        </w:tc>
        <w:tc>
          <w:tcPr>
            <w:tcW w:w="359" w:type="dxa"/>
            <w:vMerge/>
            <w:tcBorders>
              <w:left w:val="nil"/>
              <w:bottom w:val="single" w:sz="4" w:space="0" w:color="auto"/>
              <w:right w:val="single" w:sz="4" w:space="0" w:color="auto"/>
            </w:tcBorders>
          </w:tcPr>
          <w:p w:rsidR="004B7281" w:rsidRPr="004A3D15" w:rsidP="004A3D15" w14:paraId="4B88EB05" w14:textId="77777777">
            <w:pPr>
              <w:widowControl/>
              <w:autoSpaceDE/>
              <w:autoSpaceDN/>
              <w:adjustRightInd/>
              <w:jc w:val="center"/>
              <w:rPr>
                <w:rFonts w:ascii="Times New Roman" w:hAnsi="Times New Roman"/>
                <w:color w:val="000000"/>
              </w:rPr>
            </w:pP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rsidR="004B7281" w:rsidRPr="004A3D15" w:rsidP="004A3D15" w14:paraId="7A210177" w14:textId="5544CD68">
            <w:pPr>
              <w:widowControl/>
              <w:autoSpaceDE/>
              <w:autoSpaceDN/>
              <w:adjustRightInd/>
              <w:jc w:val="center"/>
              <w:rPr>
                <w:rFonts w:ascii="Times New Roman" w:hAnsi="Times New Roman"/>
                <w:color w:val="000000"/>
              </w:rPr>
            </w:pPr>
            <w:r w:rsidRPr="004A3D15">
              <w:rPr>
                <w:rFonts w:ascii="Times New Roman" w:hAnsi="Times New Roman"/>
                <w:color w:val="000000"/>
              </w:rPr>
              <w:t>1</w:t>
            </w:r>
          </w:p>
        </w:tc>
        <w:tc>
          <w:tcPr>
            <w:tcW w:w="450" w:type="dxa"/>
            <w:vMerge/>
            <w:tcBorders>
              <w:left w:val="nil"/>
              <w:bottom w:val="single" w:sz="4" w:space="0" w:color="auto"/>
              <w:right w:val="single" w:sz="4" w:space="0" w:color="auto"/>
            </w:tcBorders>
          </w:tcPr>
          <w:p w:rsidR="004B7281" w:rsidRPr="004A3D15" w:rsidP="004A3D15" w14:paraId="585B0326" w14:textId="77777777">
            <w:pPr>
              <w:widowControl/>
              <w:autoSpaceDE/>
              <w:autoSpaceDN/>
              <w:adjustRightInd/>
              <w:jc w:val="center"/>
              <w:rPr>
                <w:rFonts w:ascii="Times New Roman" w:hAnsi="Times New Roman"/>
                <w:color w:val="000000"/>
              </w:rPr>
            </w:pP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B7281" w:rsidRPr="004A3D15" w:rsidP="004A3D15" w14:paraId="5F4221DF" w14:textId="36DD06CF">
            <w:pPr>
              <w:widowControl/>
              <w:autoSpaceDE/>
              <w:autoSpaceDN/>
              <w:adjustRightInd/>
              <w:jc w:val="center"/>
              <w:rPr>
                <w:rFonts w:ascii="Times New Roman" w:hAnsi="Times New Roman"/>
                <w:color w:val="000000"/>
              </w:rPr>
            </w:pPr>
            <w:r w:rsidRPr="004A3D15">
              <w:rPr>
                <w:rFonts w:ascii="Times New Roman" w:hAnsi="Times New Roman"/>
                <w:color w:val="000000"/>
              </w:rPr>
              <w:t>100</w:t>
            </w:r>
          </w:p>
        </w:tc>
        <w:tc>
          <w:tcPr>
            <w:tcW w:w="450" w:type="dxa"/>
            <w:vMerge/>
            <w:tcBorders>
              <w:left w:val="nil"/>
              <w:bottom w:val="single" w:sz="4" w:space="0" w:color="auto"/>
              <w:right w:val="single" w:sz="4" w:space="0" w:color="auto"/>
            </w:tcBorders>
          </w:tcPr>
          <w:p w:rsidR="004B7281" w:rsidRPr="004A3D15" w:rsidP="004A3D15" w14:paraId="7DD1C9FA" w14:textId="77777777">
            <w:pPr>
              <w:widowControl/>
              <w:autoSpaceDE/>
              <w:autoSpaceDN/>
              <w:adjustRightInd/>
              <w:rPr>
                <w:rFonts w:ascii="Times New Roman" w:hAnsi="Times New Roman"/>
                <w:color w:val="000000"/>
              </w:rPr>
            </w:pP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4B7281" w:rsidRPr="004A3D15" w:rsidP="004A3D15" w14:paraId="071A5ABB" w14:textId="76B0F5C7">
            <w:pPr>
              <w:widowControl/>
              <w:autoSpaceDE/>
              <w:autoSpaceDN/>
              <w:adjustRightInd/>
              <w:rPr>
                <w:rFonts w:ascii="Times New Roman" w:hAnsi="Times New Roman"/>
                <w:color w:val="000000"/>
              </w:rPr>
            </w:pPr>
            <w:r w:rsidRPr="004A3D15">
              <w:rPr>
                <w:rFonts w:ascii="Times New Roman" w:hAnsi="Times New Roman"/>
                <w:color w:val="000000"/>
              </w:rPr>
              <w:t xml:space="preserve"> $            11,664.00 </w:t>
            </w:r>
          </w:p>
        </w:tc>
      </w:tr>
      <w:tr w14:paraId="2E1A162F" w14:textId="77777777" w:rsidTr="00857A1B">
        <w:tblPrEx>
          <w:tblW w:w="10890" w:type="dxa"/>
          <w:tblInd w:w="-635" w:type="dxa"/>
          <w:tblLook w:val="04A0"/>
        </w:tblPrEx>
        <w:trPr>
          <w:trHeight w:val="290"/>
        </w:trPr>
        <w:tc>
          <w:tcPr>
            <w:tcW w:w="9000"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4B7281" w:rsidRPr="004A3D15" w:rsidP="00857A1B" w14:paraId="1A8AD68D" w14:textId="644D4D77">
            <w:pPr>
              <w:widowControl/>
              <w:autoSpaceDE/>
              <w:autoSpaceDN/>
              <w:adjustRightInd/>
              <w:jc w:val="center"/>
              <w:rPr>
                <w:rFonts w:ascii="Calibri" w:hAnsi="Calibri" w:cs="Calibri"/>
                <w:b/>
                <w:bCs/>
                <w:color w:val="000000"/>
                <w:sz w:val="22"/>
                <w:szCs w:val="22"/>
              </w:rPr>
            </w:pPr>
            <w:r w:rsidRPr="004A3D15">
              <w:rPr>
                <w:rFonts w:ascii="Times New Roman" w:hAnsi="Times New Roman"/>
                <w:b/>
                <w:bCs/>
                <w:color w:val="000000"/>
              </w:rPr>
              <w:t>TOTAL COMBINED FEDERAL WAGES</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4B7281" w:rsidRPr="004A3D15" w:rsidP="004A3D15" w14:paraId="42C8D82D" w14:textId="743E713B">
            <w:pPr>
              <w:widowControl/>
              <w:autoSpaceDE/>
              <w:autoSpaceDN/>
              <w:adjustRightInd/>
              <w:rPr>
                <w:rFonts w:ascii="Calibri" w:hAnsi="Calibri" w:cs="Calibri"/>
                <w:b/>
                <w:bCs/>
                <w:color w:val="000000"/>
                <w:sz w:val="22"/>
                <w:szCs w:val="22"/>
              </w:rPr>
            </w:pPr>
            <w:r w:rsidRPr="004A3D15">
              <w:rPr>
                <w:rFonts w:ascii="Calibri" w:hAnsi="Calibri" w:cs="Calibri"/>
                <w:b/>
                <w:bCs/>
                <w:color w:val="000000"/>
                <w:sz w:val="22"/>
                <w:szCs w:val="22"/>
              </w:rPr>
              <w:t xml:space="preserve"> $        157,836.40 </w:t>
            </w:r>
          </w:p>
        </w:tc>
      </w:tr>
    </w:tbl>
    <w:p w:rsidR="0004749E" w:rsidRPr="00B219FA" w:rsidP="00857A1B" w14:paraId="378D148E" w14:textId="77777777">
      <w:pPr>
        <w:rPr>
          <w:rFonts w:ascii="Times New Roman" w:hAnsi="Times New Roman"/>
          <w:sz w:val="24"/>
        </w:rPr>
      </w:pPr>
    </w:p>
    <w:p w:rsidR="00105F8E" w:rsidRPr="00857A1B" w:rsidP="00857A1B" w14:paraId="3A5A6AD2" w14:textId="57E2B6E7">
      <w:pPr>
        <w:pStyle w:val="ListParagraph"/>
        <w:numPr>
          <w:ilvl w:val="0"/>
          <w:numId w:val="47"/>
        </w:numPr>
        <w:rPr>
          <w:b/>
          <w:u w:val="single"/>
        </w:rPr>
      </w:pPr>
      <w:r w:rsidRPr="00857A1B">
        <w:rPr>
          <w:b/>
        </w:rPr>
        <w:t xml:space="preserve">Explanation of </w:t>
      </w:r>
      <w:r w:rsidRPr="00857A1B" w:rsidR="00E81F14">
        <w:rPr>
          <w:b/>
        </w:rPr>
        <w:t xml:space="preserve">Program Changes </w:t>
      </w:r>
      <w:r w:rsidRPr="00857A1B">
        <w:rPr>
          <w:b/>
        </w:rPr>
        <w:t xml:space="preserve">or </w:t>
      </w:r>
      <w:r w:rsidRPr="00857A1B" w:rsidR="00E81F14">
        <w:rPr>
          <w:b/>
        </w:rPr>
        <w:t>Adjustments</w:t>
      </w:r>
      <w:r w:rsidRPr="00857A1B">
        <w:rPr>
          <w:b/>
          <w:u w:val="single"/>
        </w:rPr>
        <w:t xml:space="preserve"> </w:t>
      </w:r>
      <w:r w:rsidRPr="00857A1B" w:rsidR="009D4F72">
        <w:rPr>
          <w:b/>
          <w:u w:val="single"/>
        </w:rPr>
        <w:t xml:space="preserve"> </w:t>
      </w:r>
    </w:p>
    <w:p w:rsidR="0004749E" w:rsidRPr="000E0C8C" w:rsidP="00857A1B" w14:paraId="39C0CEF5" w14:textId="133CDF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szCs w:val="20"/>
        </w:rPr>
      </w:pPr>
      <w:r w:rsidRPr="000E0C8C">
        <w:rPr>
          <w:rFonts w:ascii="Times New Roman" w:hAnsi="Times New Roman"/>
          <w:color w:val="auto"/>
          <w:szCs w:val="20"/>
        </w:rPr>
        <w:br/>
      </w:r>
      <w:r w:rsidR="00E81F14">
        <w:rPr>
          <w:rFonts w:ascii="Times New Roman" w:hAnsi="Times New Roman"/>
          <w:color w:val="auto"/>
          <w:szCs w:val="20"/>
        </w:rPr>
        <w:t xml:space="preserve">This collection is being updated to remove </w:t>
      </w:r>
      <w:r w:rsidRPr="00E81F14" w:rsidR="00E81F14">
        <w:rPr>
          <w:rFonts w:ascii="Times New Roman" w:hAnsi="Times New Roman"/>
          <w:color w:val="auto"/>
          <w:szCs w:val="20"/>
        </w:rPr>
        <w:t>MA-1083 Port Infrastructure Development Program (PIDP) Project Information Form, which is no longer needed. The total respondents</w:t>
      </w:r>
      <w:r w:rsidR="004634A8">
        <w:rPr>
          <w:rFonts w:ascii="Times New Roman" w:hAnsi="Times New Roman"/>
          <w:color w:val="auto"/>
          <w:szCs w:val="20"/>
        </w:rPr>
        <w:t xml:space="preserve">, responses, </w:t>
      </w:r>
      <w:r w:rsidRPr="00E81F14" w:rsidR="00E81F14">
        <w:rPr>
          <w:rFonts w:ascii="Times New Roman" w:hAnsi="Times New Roman"/>
          <w:color w:val="auto"/>
          <w:szCs w:val="20"/>
        </w:rPr>
        <w:t>and public burden have also reduced since this collection was implemented in 2019</w:t>
      </w:r>
      <w:r w:rsidR="00E81F14">
        <w:rPr>
          <w:rFonts w:ascii="Times New Roman" w:hAnsi="Times New Roman"/>
          <w:color w:val="auto"/>
          <w:szCs w:val="20"/>
        </w:rPr>
        <w:t xml:space="preserve"> from 250 to 200 and from </w:t>
      </w:r>
      <w:r w:rsidR="007748DD">
        <w:rPr>
          <w:rFonts w:ascii="Times New Roman" w:hAnsi="Times New Roman"/>
          <w:color w:val="auto"/>
          <w:szCs w:val="20"/>
        </w:rPr>
        <w:t>40,00 hours to 3</w:t>
      </w:r>
      <w:r w:rsidR="004634A8">
        <w:rPr>
          <w:rFonts w:ascii="Times New Roman" w:hAnsi="Times New Roman"/>
          <w:color w:val="auto"/>
          <w:szCs w:val="20"/>
        </w:rPr>
        <w:t>2</w:t>
      </w:r>
      <w:r w:rsidR="007748DD">
        <w:rPr>
          <w:rFonts w:ascii="Times New Roman" w:hAnsi="Times New Roman"/>
          <w:color w:val="auto"/>
          <w:szCs w:val="20"/>
        </w:rPr>
        <w:t>,</w:t>
      </w:r>
      <w:r w:rsidR="004634A8">
        <w:rPr>
          <w:rFonts w:ascii="Times New Roman" w:hAnsi="Times New Roman"/>
          <w:color w:val="auto"/>
          <w:szCs w:val="20"/>
        </w:rPr>
        <w:t>0</w:t>
      </w:r>
      <w:r w:rsidR="007748DD">
        <w:rPr>
          <w:rFonts w:ascii="Times New Roman" w:hAnsi="Times New Roman"/>
          <w:color w:val="auto"/>
          <w:szCs w:val="20"/>
        </w:rPr>
        <w:t>00 hours respectively</w:t>
      </w:r>
      <w:r w:rsidRPr="00E81F14" w:rsidR="00E81F14">
        <w:rPr>
          <w:rFonts w:ascii="Times New Roman" w:hAnsi="Times New Roman"/>
          <w:color w:val="auto"/>
          <w:szCs w:val="20"/>
        </w:rPr>
        <w:t>.</w:t>
      </w:r>
    </w:p>
    <w:p w:rsidR="00521B6C" w:rsidRPr="000E0C8C" w:rsidP="00F746AE" w14:paraId="34D07096" w14:textId="77777777">
      <w:pPr>
        <w:ind w:left="-90"/>
        <w:rPr>
          <w:rFonts w:ascii="Times New Roman" w:hAnsi="Times New Roman"/>
          <w:bCs/>
          <w:sz w:val="24"/>
          <w:szCs w:val="24"/>
        </w:rPr>
      </w:pPr>
    </w:p>
    <w:p w:rsidR="00105F8E" w:rsidRPr="007748DD" w:rsidP="00857A1B" w14:paraId="3B7BED54" w14:textId="39227CD3">
      <w:pPr>
        <w:pStyle w:val="ListParagraph"/>
        <w:numPr>
          <w:ilvl w:val="0"/>
          <w:numId w:val="47"/>
        </w:numPr>
        <w:rPr>
          <w:b/>
        </w:rPr>
      </w:pPr>
      <w:r w:rsidRPr="00857A1B">
        <w:rPr>
          <w:b/>
        </w:rPr>
        <w:t xml:space="preserve">Publication of </w:t>
      </w:r>
      <w:r w:rsidRPr="00857A1B" w:rsidR="007748DD">
        <w:rPr>
          <w:b/>
        </w:rPr>
        <w:t>D</w:t>
      </w:r>
      <w:r w:rsidRPr="00857A1B">
        <w:rPr>
          <w:b/>
        </w:rPr>
        <w:t xml:space="preserve">ata </w:t>
      </w:r>
      <w:r w:rsidRPr="00857A1B" w:rsidR="007748DD">
        <w:rPr>
          <w:b/>
        </w:rPr>
        <w:t>Collection Results</w:t>
      </w:r>
      <w:r w:rsidRPr="007748DD">
        <w:rPr>
          <w:b/>
        </w:rPr>
        <w:t xml:space="preserve"> </w:t>
      </w:r>
      <w:r w:rsidRPr="007748DD" w:rsidR="008D34A3">
        <w:rPr>
          <w:b/>
        </w:rPr>
        <w:t xml:space="preserve"> </w:t>
      </w:r>
    </w:p>
    <w:p w:rsidR="00EB0F8A" w:rsidRPr="000E0C8C" w:rsidP="00F746AE" w14:paraId="1C4C8A4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rPr>
          <w:rFonts w:ascii="Times New Roman" w:hAnsi="Times New Roman"/>
          <w:color w:val="auto"/>
        </w:rPr>
      </w:pPr>
    </w:p>
    <w:p w:rsidR="007748DD" w:rsidP="007748DD" w14:paraId="4B93F328" w14:textId="6B68B3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r w:rsidRPr="007748DD">
        <w:rPr>
          <w:rFonts w:ascii="Times New Roman" w:hAnsi="Times New Roman"/>
          <w:color w:val="auto"/>
        </w:rPr>
        <w:t>There are no plans to publish the results of th</w:t>
      </w:r>
      <w:r>
        <w:rPr>
          <w:rFonts w:ascii="Times New Roman" w:hAnsi="Times New Roman"/>
          <w:color w:val="auto"/>
        </w:rPr>
        <w:t>is</w:t>
      </w:r>
      <w:r w:rsidRPr="007748DD">
        <w:rPr>
          <w:rFonts w:ascii="Times New Roman" w:hAnsi="Times New Roman"/>
          <w:color w:val="auto"/>
        </w:rPr>
        <w:t xml:space="preserve"> information collection</w:t>
      </w:r>
      <w:r>
        <w:rPr>
          <w:rFonts w:ascii="Times New Roman" w:hAnsi="Times New Roman"/>
          <w:color w:val="auto"/>
        </w:rPr>
        <w:t>.</w:t>
      </w:r>
      <w:r w:rsidRPr="007748DD">
        <w:rPr>
          <w:rFonts w:ascii="Times New Roman" w:hAnsi="Times New Roman"/>
          <w:color w:val="auto"/>
        </w:rPr>
        <w:t xml:space="preserve"> </w:t>
      </w:r>
    </w:p>
    <w:p w:rsidR="007748DD" w:rsidRPr="000E0C8C" w:rsidP="00857A1B" w14:paraId="3B57C26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88"/>
        <w:rPr>
          <w:rFonts w:ascii="Times New Roman" w:hAnsi="Times New Roman"/>
          <w:color w:val="auto"/>
        </w:rPr>
      </w:pPr>
    </w:p>
    <w:p w:rsidR="0004749E" w:rsidRPr="00857A1B" w:rsidP="00857A1B" w14:paraId="7C868B02" w14:textId="735B0767">
      <w:pPr>
        <w:pStyle w:val="BodyText3"/>
        <w:numPr>
          <w:ilvl w:val="0"/>
          <w:numId w:val="47"/>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szCs w:val="20"/>
        </w:rPr>
      </w:pPr>
      <w:r w:rsidRPr="00857A1B">
        <w:rPr>
          <w:rFonts w:ascii="Times New Roman" w:hAnsi="Times New Roman"/>
          <w:b/>
          <w:color w:val="auto"/>
          <w:szCs w:val="20"/>
        </w:rPr>
        <w:t>D</w:t>
      </w:r>
      <w:r w:rsidRPr="00857A1B">
        <w:rPr>
          <w:rFonts w:ascii="Times New Roman" w:hAnsi="Times New Roman"/>
          <w:b/>
          <w:color w:val="auto"/>
          <w:szCs w:val="20"/>
        </w:rPr>
        <w:t xml:space="preserve">isplaying </w:t>
      </w:r>
      <w:r w:rsidRPr="00857A1B">
        <w:rPr>
          <w:rFonts w:ascii="Times New Roman" w:hAnsi="Times New Roman"/>
          <w:b/>
          <w:color w:val="auto"/>
          <w:szCs w:val="20"/>
        </w:rPr>
        <w:t xml:space="preserve">of the OMB </w:t>
      </w:r>
      <w:r w:rsidRPr="00857A1B">
        <w:rPr>
          <w:rFonts w:ascii="Times New Roman" w:hAnsi="Times New Roman"/>
          <w:b/>
          <w:color w:val="auto"/>
          <w:szCs w:val="20"/>
        </w:rPr>
        <w:t xml:space="preserve">expiration </w:t>
      </w:r>
      <w:r w:rsidRPr="00857A1B">
        <w:rPr>
          <w:rFonts w:ascii="Times New Roman" w:hAnsi="Times New Roman"/>
          <w:b/>
          <w:color w:val="auto"/>
          <w:szCs w:val="20"/>
        </w:rPr>
        <w:t>D</w:t>
      </w:r>
      <w:r w:rsidRPr="00857A1B">
        <w:rPr>
          <w:rFonts w:ascii="Times New Roman" w:hAnsi="Times New Roman"/>
          <w:b/>
          <w:color w:val="auto"/>
          <w:szCs w:val="20"/>
        </w:rPr>
        <w:t>ate</w:t>
      </w:r>
      <w:r w:rsidRPr="00857A1B" w:rsidR="00105F8E">
        <w:rPr>
          <w:rFonts w:ascii="Times New Roman" w:hAnsi="Times New Roman"/>
          <w:b/>
          <w:color w:val="auto"/>
          <w:szCs w:val="20"/>
        </w:rPr>
        <w:t xml:space="preserve"> </w:t>
      </w:r>
    </w:p>
    <w:p w:rsidR="00105F8E" w:rsidRPr="000E0C8C" w:rsidP="00F746AE" w14:paraId="508FC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p>
    <w:p w:rsidR="007748DD" w:rsidP="007748DD" w14:paraId="7515B367" w14:textId="77777777">
      <w:pPr>
        <w:ind w:left="-90" w:firstLine="378"/>
        <w:rPr>
          <w:rFonts w:ascii="Times New Roman" w:hAnsi="Times New Roman"/>
          <w:bCs/>
          <w:sz w:val="24"/>
          <w:szCs w:val="24"/>
        </w:rPr>
      </w:pPr>
      <w:r w:rsidRPr="007748DD">
        <w:rPr>
          <w:rFonts w:ascii="Times New Roman" w:hAnsi="Times New Roman"/>
          <w:bCs/>
          <w:sz w:val="24"/>
          <w:szCs w:val="24"/>
        </w:rPr>
        <w:t xml:space="preserve">MARAD is not seeking approval to omit displaying the OMB expiration date for this </w:t>
      </w:r>
    </w:p>
    <w:p w:rsidR="007748DD" w:rsidP="007748DD" w14:paraId="609434C7" w14:textId="277F98ED">
      <w:pPr>
        <w:ind w:left="-90" w:firstLine="378"/>
        <w:rPr>
          <w:rFonts w:ascii="Times New Roman" w:hAnsi="Times New Roman"/>
          <w:bCs/>
          <w:sz w:val="24"/>
          <w:szCs w:val="24"/>
        </w:rPr>
      </w:pPr>
      <w:r w:rsidRPr="007748DD">
        <w:rPr>
          <w:rFonts w:ascii="Times New Roman" w:hAnsi="Times New Roman"/>
          <w:bCs/>
          <w:sz w:val="24"/>
          <w:szCs w:val="24"/>
        </w:rPr>
        <w:t>collection.</w:t>
      </w:r>
    </w:p>
    <w:p w:rsidR="007748DD" w:rsidRPr="000E0C8C" w:rsidP="00857A1B" w14:paraId="4C31A46C" w14:textId="77777777">
      <w:pPr>
        <w:ind w:left="-90" w:firstLine="378"/>
        <w:rPr>
          <w:rFonts w:ascii="Times New Roman" w:hAnsi="Times New Roman"/>
          <w:bCs/>
          <w:sz w:val="24"/>
          <w:szCs w:val="24"/>
        </w:rPr>
      </w:pPr>
    </w:p>
    <w:p w:rsidR="007748DD" w:rsidRPr="007748DD" w:rsidP="00857A1B" w14:paraId="632A52F7" w14:textId="0FE7AE8A">
      <w:pPr>
        <w:pStyle w:val="ListParagraph"/>
        <w:numPr>
          <w:ilvl w:val="0"/>
          <w:numId w:val="47"/>
        </w:numPr>
        <w:rPr>
          <w:b/>
        </w:rPr>
      </w:pPr>
      <w:r w:rsidRPr="00857A1B">
        <w:rPr>
          <w:b/>
        </w:rPr>
        <w:t xml:space="preserve">Exceptions to </w:t>
      </w:r>
      <w:r w:rsidRPr="00857A1B">
        <w:rPr>
          <w:b/>
        </w:rPr>
        <w:t>the Certification Statement</w:t>
      </w:r>
      <w:r w:rsidRPr="007748DD" w:rsidR="009D4F72">
        <w:rPr>
          <w:b/>
        </w:rPr>
        <w:t xml:space="preserve"> </w:t>
      </w:r>
    </w:p>
    <w:p w:rsidR="0036274A" w:rsidRPr="000E0C8C" w:rsidP="00857A1B" w14:paraId="19CF8E50" w14:textId="471055F0">
      <w:pPr>
        <w:pStyle w:val="ListParagraph"/>
        <w:ind w:left="288"/>
      </w:pPr>
      <w:r w:rsidRPr="007748DD">
        <w:br/>
      </w:r>
      <w:r w:rsidRPr="007748DD" w:rsidR="007748DD">
        <w:rPr>
          <w:bCs/>
        </w:rPr>
        <w:t>There are no exceptions to the certificate statement.</w:t>
      </w:r>
    </w:p>
    <w:sectPr w:rsidSect="00707438">
      <w:footerReference w:type="default" r:id="rId7"/>
      <w:footnotePr>
        <w:numRestart w:val="eachSect"/>
      </w:footnotePr>
      <w:endnotePr>
        <w:numFmt w:val="decimal"/>
      </w:endnotePr>
      <w:pgSz w:w="12240" w:h="15840" w:code="1"/>
      <w:pgMar w:top="1296" w:right="1440" w:bottom="1152" w:left="15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628A758B"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031C5">
      <w:rPr>
        <w:rStyle w:val="PageNumber"/>
        <w:noProof/>
      </w:rPr>
      <w:t>10</w:t>
    </w:r>
    <w:r>
      <w:rPr>
        <w:rStyle w:val="PageNumber"/>
      </w:rPr>
      <w:fldChar w:fldCharType="end"/>
    </w:r>
  </w:p>
  <w:p w:rsidR="006C714E" w14:paraId="74CC3C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1CDD" w14:paraId="00A24280" w14:textId="77777777">
      <w:r>
        <w:separator/>
      </w:r>
    </w:p>
  </w:footnote>
  <w:footnote w:type="continuationSeparator" w:id="1">
    <w:p w:rsidR="00941CDD" w14:paraId="3B386161" w14:textId="77777777">
      <w:r>
        <w:continuationSeparator/>
      </w:r>
    </w:p>
  </w:footnote>
  <w:footnote w:id="2">
    <w:p w:rsidR="009A0B09" w:rsidRPr="0002645D" w:rsidP="009A0B09" w14:paraId="780BABE7" w14:textId="77777777">
      <w:pPr>
        <w:pStyle w:val="FootnoteText"/>
      </w:pPr>
      <w:r w:rsidRPr="0002645D">
        <w:rPr>
          <w:rStyle w:val="FootnoteReference"/>
        </w:rPr>
        <w:footnoteRef/>
      </w:r>
      <w:r w:rsidRPr="0002645D">
        <w:t xml:space="preserve"> The hourly wage estimate is taken from current BLS tables: </w:t>
      </w:r>
      <w:hyperlink r:id="rId1" w:history="1">
        <w:r w:rsidRPr="0002645D">
          <w:rPr>
            <w:rStyle w:val="Hyperlink"/>
          </w:rPr>
          <w:t>https://www.bls.gov/oes/current/oes_nat.htm</w:t>
        </w:r>
      </w:hyperlink>
      <w:r w:rsidRPr="0002645D">
        <w:t>.</w:t>
      </w:r>
    </w:p>
  </w:footnote>
  <w:footnote w:id="3">
    <w:p w:rsidR="009A0B09" w:rsidP="009A0B09" w14:paraId="110713A9" w14:textId="77777777">
      <w:pPr>
        <w:pStyle w:val="FootnoteText"/>
      </w:pPr>
      <w:r w:rsidRPr="0002645D">
        <w:rPr>
          <w:rStyle w:val="FootnoteReference"/>
        </w:rPr>
        <w:footnoteRef/>
      </w:r>
      <w:r w:rsidRPr="0002645D">
        <w:t xml:space="preserve"> </w:t>
      </w:r>
      <w:bookmarkStart w:id="3" w:name="_Hlk164072686"/>
      <w:r w:rsidRPr="0002645D">
        <w:t>Per BLS Employee Compensation Memo, the total compensation rate for the private sector is 29%,  :</w:t>
      </w:r>
      <w:hyperlink r:id="rId2" w:history="1">
        <w:r w:rsidRPr="0002645D">
          <w:rPr>
            <w:rStyle w:val="Hyperlink"/>
          </w:rPr>
          <w:t>https://www.bls.gov/news.release/pdf/ecec.pdf</w:t>
        </w:r>
      </w:hyperlink>
      <w:bookmarkEnd w:id="3"/>
    </w:p>
  </w:footnote>
  <w:footnote w:id="4">
    <w:p w:rsidR="004A3D15" w14:paraId="03658AB3" w14:textId="4945A472">
      <w:pPr>
        <w:pStyle w:val="FootnoteText"/>
      </w:pPr>
      <w:r>
        <w:rPr>
          <w:rStyle w:val="FootnoteReference"/>
        </w:rPr>
        <w:footnoteRef/>
      </w:r>
      <w:r>
        <w:t xml:space="preserve"> O</w:t>
      </w:r>
      <w:r w:rsidR="002379AA">
        <w:t>PM</w:t>
      </w:r>
      <w:r>
        <w:t xml:space="preserve"> 2024 wage tables for W</w:t>
      </w:r>
      <w:r w:rsidRPr="00707438">
        <w:t>ashington-</w:t>
      </w:r>
      <w:r>
        <w:t>B</w:t>
      </w:r>
      <w:r w:rsidRPr="00707438">
        <w:t>altimore-</w:t>
      </w:r>
      <w:r>
        <w:t>A</w:t>
      </w:r>
      <w:r w:rsidRPr="00707438">
        <w:t xml:space="preserve">rlington, </w:t>
      </w:r>
      <w:r w:rsidRPr="00B219FA">
        <w:t>DC-MD-VA-WV-PA</w:t>
      </w:r>
      <w:r w:rsidR="002379AA">
        <w:t xml:space="preserve"> is as follows</w:t>
      </w:r>
      <w:r>
        <w:t xml:space="preserve">:  </w:t>
      </w:r>
      <w:hyperlink r:id="rId3" w:history="1">
        <w:r w:rsidRPr="004C3F40" w:rsidR="002379AA">
          <w:rPr>
            <w:rStyle w:val="Hyperlink"/>
          </w:rPr>
          <w:t>https://www.opm.gov/policy-data-oversight/pay-leave/salaries-wages/salary-tables/pdf/2024/DCB_h.pdf</w:t>
        </w:r>
      </w:hyperlink>
      <w:r w:rsidR="002379AA">
        <w:t xml:space="preserve"> </w:t>
      </w:r>
    </w:p>
  </w:footnote>
  <w:footnote w:id="5">
    <w:p w:rsidR="004A3D15" w:rsidP="004A3D15" w14:paraId="698B5749" w14:textId="77777777">
      <w:pPr>
        <w:pStyle w:val="FootnoteText"/>
      </w:pPr>
      <w:r>
        <w:rPr>
          <w:rStyle w:val="FootnoteReference"/>
        </w:rPr>
        <w:footnoteRef/>
      </w:r>
      <w:r>
        <w:t xml:space="preserve"> </w:t>
      </w:r>
      <w:r w:rsidRPr="007C21F2">
        <w:t xml:space="preserve">Per BLS Employee Compensation Memo, the total compensation rate for the </w:t>
      </w:r>
      <w:r>
        <w:t xml:space="preserve">Federal Government </w:t>
      </w:r>
      <w:r w:rsidRPr="007C21F2">
        <w:t xml:space="preserve"> is </w:t>
      </w:r>
      <w:r>
        <w:t>31</w:t>
      </w:r>
      <w:r w:rsidRPr="007C21F2">
        <w:t>%,  :</w:t>
      </w:r>
      <w:hyperlink r:id="rId2" w:history="1">
        <w:r w:rsidRPr="007C21F2">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A020FF"/>
    <w:multiLevelType w:val="hybridMultilevel"/>
    <w:tmpl w:val="124C5F08"/>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87779D"/>
    <w:multiLevelType w:val="hybridMultilevel"/>
    <w:tmpl w:val="55004AA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0DB04DB"/>
    <w:multiLevelType w:val="hybridMultilevel"/>
    <w:tmpl w:val="E684F722"/>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
    <w:nsid w:val="05F361D8"/>
    <w:multiLevelType w:val="hybridMultilevel"/>
    <w:tmpl w:val="C4E2A5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BA1A26"/>
    <w:multiLevelType w:val="hybridMultilevel"/>
    <w:tmpl w:val="AE8A8990"/>
    <w:lvl w:ilvl="0">
      <w:start w:val="1"/>
      <w:numFmt w:val="decimal"/>
      <w:lvlText w:val="%1."/>
      <w:lvlJc w:val="left"/>
      <w:pPr>
        <w:ind w:left="648" w:hanging="360"/>
      </w:pPr>
      <w:rPr>
        <w:rFonts w:hint="default"/>
        <w:b/>
        <w:bCs w:val="0"/>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5">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F10677"/>
    <w:multiLevelType w:val="hybridMultilevel"/>
    <w:tmpl w:val="6AFCDDA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C66289"/>
    <w:multiLevelType w:val="hybridMultilevel"/>
    <w:tmpl w:val="F7867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E40471"/>
    <w:multiLevelType w:val="hybridMultilevel"/>
    <w:tmpl w:val="2F16B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AF96EFE"/>
    <w:multiLevelType w:val="hybridMultilevel"/>
    <w:tmpl w:val="DE808E38"/>
    <w:lvl w:ilvl="0">
      <w:start w:val="1"/>
      <w:numFmt w:val="lowerLetter"/>
      <w:lvlText w:val="%1."/>
      <w:lvlJc w:val="left"/>
      <w:pPr>
        <w:ind w:left="648" w:hanging="360"/>
      </w:pPr>
      <w:rPr>
        <w:b/>
        <w:bCs w:val="0"/>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A455A27"/>
    <w:multiLevelType w:val="hybridMultilevel"/>
    <w:tmpl w:val="703AF3B2"/>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E034EF"/>
    <w:multiLevelType w:val="hybridMultilevel"/>
    <w:tmpl w:val="1D10590E"/>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7">
    <w:nsid w:val="34E44381"/>
    <w:multiLevelType w:val="hybridMultilevel"/>
    <w:tmpl w:val="8F5EA4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1E65290"/>
    <w:multiLevelType w:val="hybridMultilevel"/>
    <w:tmpl w:val="5A2471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0D1C23"/>
    <w:multiLevelType w:val="hybridMultilevel"/>
    <w:tmpl w:val="ACE66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DE3842"/>
    <w:multiLevelType w:val="hybridMultilevel"/>
    <w:tmpl w:val="145EA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0E2CF9"/>
    <w:multiLevelType w:val="hybridMultilevel"/>
    <w:tmpl w:val="5084626C"/>
    <w:lvl w:ilvl="0">
      <w:start w:val="1"/>
      <w:numFmt w:val="lowerLetter"/>
      <w:lvlText w:val="(%1)"/>
      <w:lvlJc w:val="left"/>
      <w:pPr>
        <w:ind w:left="3780" w:hanging="360"/>
      </w:pPr>
      <w:rPr>
        <w:rFonts w:hint="default"/>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23">
    <w:nsid w:val="4B0D74F1"/>
    <w:multiLevelType w:val="hybridMultilevel"/>
    <w:tmpl w:val="A04633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A864B4"/>
    <w:multiLevelType w:val="hybridMultilevel"/>
    <w:tmpl w:val="52E0DAB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C85E1A"/>
    <w:multiLevelType w:val="hybridMultilevel"/>
    <w:tmpl w:val="9A424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02523E1"/>
    <w:multiLevelType w:val="hybridMultilevel"/>
    <w:tmpl w:val="37BC8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64271F"/>
    <w:multiLevelType w:val="hybridMultilevel"/>
    <w:tmpl w:val="EEF60258"/>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0">
    <w:nsid w:val="61AE219D"/>
    <w:multiLevelType w:val="hybridMultilevel"/>
    <w:tmpl w:val="15108CCA"/>
    <w:lvl w:ilvl="0">
      <w:start w:val="1"/>
      <w:numFmt w:val="lowerLetter"/>
      <w:lvlText w:val="%1."/>
      <w:lvlJc w:val="left"/>
      <w:pPr>
        <w:ind w:left="1080" w:hanging="360"/>
      </w:pPr>
      <w:rPr>
        <w:b/>
        <w:bCs/>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77360E5"/>
    <w:multiLevelType w:val="hybridMultilevel"/>
    <w:tmpl w:val="190674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6B4617A2"/>
    <w:multiLevelType w:val="hybridMultilevel"/>
    <w:tmpl w:val="B1F204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C6E1010"/>
    <w:multiLevelType w:val="hybridMultilevel"/>
    <w:tmpl w:val="EDC66A06"/>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5">
    <w:nsid w:val="6D0354EA"/>
    <w:multiLevelType w:val="hybridMultilevel"/>
    <w:tmpl w:val="AF722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F3236F"/>
    <w:multiLevelType w:val="hybridMultilevel"/>
    <w:tmpl w:val="F20EC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F73745"/>
    <w:multiLevelType w:val="hybridMultilevel"/>
    <w:tmpl w:val="6742D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B67DF0"/>
    <w:multiLevelType w:val="hybridMultilevel"/>
    <w:tmpl w:val="B9D47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5E5FED"/>
    <w:multiLevelType w:val="hybridMultilevel"/>
    <w:tmpl w:val="C4E2A5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251E32"/>
    <w:multiLevelType w:val="hybridMultilevel"/>
    <w:tmpl w:val="246801DE"/>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1">
    <w:nsid w:val="7A416350"/>
    <w:multiLevelType w:val="hybridMultilevel"/>
    <w:tmpl w:val="9294B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2">
    <w:nsid w:val="7D783C5D"/>
    <w:multiLevelType w:val="hybridMultilevel"/>
    <w:tmpl w:val="0BF06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F05E48"/>
    <w:multiLevelType w:val="hybridMultilevel"/>
    <w:tmpl w:val="90408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48336181">
    <w:abstractNumId w:val="5"/>
  </w:num>
  <w:num w:numId="2" w16cid:durableId="2000648913">
    <w:abstractNumId w:val="11"/>
  </w:num>
  <w:num w:numId="3" w16cid:durableId="1903708699">
    <w:abstractNumId w:val="13"/>
  </w:num>
  <w:num w:numId="4" w16cid:durableId="738944998">
    <w:abstractNumId w:val="32"/>
  </w:num>
  <w:num w:numId="5" w16cid:durableId="1503813238">
    <w:abstractNumId w:val="27"/>
  </w:num>
  <w:num w:numId="6" w16cid:durableId="1564943843">
    <w:abstractNumId w:val="14"/>
  </w:num>
  <w:num w:numId="7" w16cid:durableId="542450696">
    <w:abstractNumId w:val="26"/>
  </w:num>
  <w:num w:numId="8" w16cid:durableId="1798571348">
    <w:abstractNumId w:val="18"/>
  </w:num>
  <w:num w:numId="9" w16cid:durableId="1196699757">
    <w:abstractNumId w:val="10"/>
  </w:num>
  <w:num w:numId="10" w16cid:durableId="1273049210">
    <w:abstractNumId w:val="7"/>
  </w:num>
  <w:num w:numId="11" w16cid:durableId="367603213">
    <w:abstractNumId w:val="17"/>
  </w:num>
  <w:num w:numId="12" w16cid:durableId="276716228">
    <w:abstractNumId w:val="6"/>
  </w:num>
  <w:num w:numId="13" w16cid:durableId="510024697">
    <w:abstractNumId w:val="23"/>
  </w:num>
  <w:num w:numId="14" w16cid:durableId="49773703">
    <w:abstractNumId w:val="31"/>
  </w:num>
  <w:num w:numId="15" w16cid:durableId="670912863">
    <w:abstractNumId w:val="15"/>
  </w:num>
  <w:num w:numId="16" w16cid:durableId="1059982661">
    <w:abstractNumId w:val="15"/>
    <w:lvlOverride w:ilvl="0">
      <w:startOverride w:val="1"/>
    </w:lvlOverride>
  </w:num>
  <w:num w:numId="17" w16cid:durableId="1745835849">
    <w:abstractNumId w:val="24"/>
  </w:num>
  <w:num w:numId="18" w16cid:durableId="1380737397">
    <w:abstractNumId w:val="15"/>
    <w:lvlOverride w:ilvl="0">
      <w:startOverride w:val="1"/>
    </w:lvlOverride>
  </w:num>
  <w:num w:numId="19" w16cid:durableId="1869905132">
    <w:abstractNumId w:val="24"/>
    <w:lvlOverride w:ilvl="0">
      <w:startOverride w:val="1"/>
    </w:lvlOverride>
  </w:num>
  <w:num w:numId="20" w16cid:durableId="65612943">
    <w:abstractNumId w:val="24"/>
    <w:lvlOverride w:ilvl="0">
      <w:startOverride w:val="1"/>
    </w:lvlOverride>
  </w:num>
  <w:num w:numId="21" w16cid:durableId="1750689608">
    <w:abstractNumId w:val="24"/>
    <w:lvlOverride w:ilvl="0">
      <w:startOverride w:val="1"/>
    </w:lvlOverride>
  </w:num>
  <w:num w:numId="22" w16cid:durableId="1568303983">
    <w:abstractNumId w:val="15"/>
    <w:lvlOverride w:ilvl="0">
      <w:startOverride w:val="1"/>
    </w:lvlOverride>
  </w:num>
  <w:num w:numId="23" w16cid:durableId="2083094067">
    <w:abstractNumId w:val="15"/>
    <w:lvlOverride w:ilvl="0">
      <w:startOverride w:val="1"/>
    </w:lvlOverride>
  </w:num>
  <w:num w:numId="24" w16cid:durableId="832339252">
    <w:abstractNumId w:val="24"/>
    <w:lvlOverride w:ilvl="0">
      <w:startOverride w:val="1"/>
    </w:lvlOverride>
  </w:num>
  <w:num w:numId="25" w16cid:durableId="872965274">
    <w:abstractNumId w:val="15"/>
    <w:lvlOverride w:ilvl="0">
      <w:startOverride w:val="1"/>
    </w:lvlOverride>
  </w:num>
  <w:num w:numId="26" w16cid:durableId="323555155">
    <w:abstractNumId w:val="39"/>
  </w:num>
  <w:num w:numId="27" w16cid:durableId="78530706">
    <w:abstractNumId w:val="3"/>
  </w:num>
  <w:num w:numId="28" w16cid:durableId="485824991">
    <w:abstractNumId w:val="42"/>
  </w:num>
  <w:num w:numId="29" w16cid:durableId="522327590">
    <w:abstractNumId w:val="28"/>
  </w:num>
  <w:num w:numId="30" w16cid:durableId="848905846">
    <w:abstractNumId w:val="41"/>
  </w:num>
  <w:num w:numId="31" w16cid:durableId="1451633489">
    <w:abstractNumId w:val="38"/>
  </w:num>
  <w:num w:numId="32" w16cid:durableId="1192107944">
    <w:abstractNumId w:val="21"/>
  </w:num>
  <w:num w:numId="33" w16cid:durableId="532159125">
    <w:abstractNumId w:val="25"/>
  </w:num>
  <w:num w:numId="34" w16cid:durableId="1696880625">
    <w:abstractNumId w:val="33"/>
  </w:num>
  <w:num w:numId="35" w16cid:durableId="688260217">
    <w:abstractNumId w:val="43"/>
  </w:num>
  <w:num w:numId="36" w16cid:durableId="458188654">
    <w:abstractNumId w:val="0"/>
  </w:num>
  <w:num w:numId="37" w16cid:durableId="120928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0138663">
    <w:abstractNumId w:val="19"/>
  </w:num>
  <w:num w:numId="39" w16cid:durableId="1132793653">
    <w:abstractNumId w:val="37"/>
  </w:num>
  <w:num w:numId="40" w16cid:durableId="607467267">
    <w:abstractNumId w:val="35"/>
  </w:num>
  <w:num w:numId="41" w16cid:durableId="796147380">
    <w:abstractNumId w:val="9"/>
  </w:num>
  <w:num w:numId="42" w16cid:durableId="755902827">
    <w:abstractNumId w:val="22"/>
  </w:num>
  <w:num w:numId="43" w16cid:durableId="1347753488">
    <w:abstractNumId w:val="34"/>
  </w:num>
  <w:num w:numId="44" w16cid:durableId="1239436565">
    <w:abstractNumId w:val="16"/>
  </w:num>
  <w:num w:numId="45" w16cid:durableId="2135444827">
    <w:abstractNumId w:val="20"/>
  </w:num>
  <w:num w:numId="46" w16cid:durableId="989945351">
    <w:abstractNumId w:val="1"/>
  </w:num>
  <w:num w:numId="47" w16cid:durableId="647979927">
    <w:abstractNumId w:val="4"/>
  </w:num>
  <w:num w:numId="48" w16cid:durableId="1579096908">
    <w:abstractNumId w:val="29"/>
  </w:num>
  <w:num w:numId="49" w16cid:durableId="1267928394">
    <w:abstractNumId w:val="2"/>
  </w:num>
  <w:num w:numId="50" w16cid:durableId="1250312926">
    <w:abstractNumId w:val="40"/>
  </w:num>
  <w:num w:numId="51" w16cid:durableId="264726196">
    <w:abstractNumId w:val="8"/>
  </w:num>
  <w:num w:numId="52" w16cid:durableId="1305743407">
    <w:abstractNumId w:val="12"/>
  </w:num>
  <w:num w:numId="53" w16cid:durableId="228853095">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6B3E"/>
    <w:rsid w:val="000077C5"/>
    <w:rsid w:val="0002645D"/>
    <w:rsid w:val="00037AEF"/>
    <w:rsid w:val="000414E2"/>
    <w:rsid w:val="00043893"/>
    <w:rsid w:val="0004749E"/>
    <w:rsid w:val="0006190E"/>
    <w:rsid w:val="00062490"/>
    <w:rsid w:val="000654DE"/>
    <w:rsid w:val="0006757C"/>
    <w:rsid w:val="0008270D"/>
    <w:rsid w:val="00082B43"/>
    <w:rsid w:val="000879E6"/>
    <w:rsid w:val="00091BEF"/>
    <w:rsid w:val="000A4E85"/>
    <w:rsid w:val="000E0C8C"/>
    <w:rsid w:val="000E6824"/>
    <w:rsid w:val="001031C5"/>
    <w:rsid w:val="00103851"/>
    <w:rsid w:val="00105343"/>
    <w:rsid w:val="00105F8E"/>
    <w:rsid w:val="001119F3"/>
    <w:rsid w:val="00137B13"/>
    <w:rsid w:val="0014173E"/>
    <w:rsid w:val="0015642C"/>
    <w:rsid w:val="001631D4"/>
    <w:rsid w:val="00177AD8"/>
    <w:rsid w:val="0019177D"/>
    <w:rsid w:val="0019560B"/>
    <w:rsid w:val="001A00D1"/>
    <w:rsid w:val="001A4698"/>
    <w:rsid w:val="001A46BD"/>
    <w:rsid w:val="001A6FF8"/>
    <w:rsid w:val="001B6AF9"/>
    <w:rsid w:val="001C6DCB"/>
    <w:rsid w:val="001D76ED"/>
    <w:rsid w:val="001E2D43"/>
    <w:rsid w:val="001E429C"/>
    <w:rsid w:val="001F34CE"/>
    <w:rsid w:val="00205F84"/>
    <w:rsid w:val="00206E3B"/>
    <w:rsid w:val="002379AA"/>
    <w:rsid w:val="002427FD"/>
    <w:rsid w:val="00243C68"/>
    <w:rsid w:val="00251A8C"/>
    <w:rsid w:val="00282B4C"/>
    <w:rsid w:val="00283612"/>
    <w:rsid w:val="00285CDE"/>
    <w:rsid w:val="00294E2C"/>
    <w:rsid w:val="002A015A"/>
    <w:rsid w:val="002A769A"/>
    <w:rsid w:val="002B1384"/>
    <w:rsid w:val="002B242B"/>
    <w:rsid w:val="002F690C"/>
    <w:rsid w:val="00301A9E"/>
    <w:rsid w:val="00317926"/>
    <w:rsid w:val="00330CE2"/>
    <w:rsid w:val="00330E0D"/>
    <w:rsid w:val="003326D0"/>
    <w:rsid w:val="0033338A"/>
    <w:rsid w:val="0033680B"/>
    <w:rsid w:val="0035468F"/>
    <w:rsid w:val="0036274A"/>
    <w:rsid w:val="00381624"/>
    <w:rsid w:val="00395513"/>
    <w:rsid w:val="003A5D8D"/>
    <w:rsid w:val="003B395C"/>
    <w:rsid w:val="003C52E8"/>
    <w:rsid w:val="003C571E"/>
    <w:rsid w:val="003C62B3"/>
    <w:rsid w:val="003D073D"/>
    <w:rsid w:val="003D60C5"/>
    <w:rsid w:val="003E066D"/>
    <w:rsid w:val="003E6748"/>
    <w:rsid w:val="00405616"/>
    <w:rsid w:val="00406A15"/>
    <w:rsid w:val="00415351"/>
    <w:rsid w:val="00416ABA"/>
    <w:rsid w:val="00424089"/>
    <w:rsid w:val="0042461E"/>
    <w:rsid w:val="00437225"/>
    <w:rsid w:val="00451E66"/>
    <w:rsid w:val="0045512C"/>
    <w:rsid w:val="004634A8"/>
    <w:rsid w:val="00466A6D"/>
    <w:rsid w:val="00470720"/>
    <w:rsid w:val="00472E87"/>
    <w:rsid w:val="00495806"/>
    <w:rsid w:val="004971AA"/>
    <w:rsid w:val="004A0E42"/>
    <w:rsid w:val="004A1E79"/>
    <w:rsid w:val="004A3297"/>
    <w:rsid w:val="004A3712"/>
    <w:rsid w:val="004A3D15"/>
    <w:rsid w:val="004A4189"/>
    <w:rsid w:val="004B552A"/>
    <w:rsid w:val="004B7281"/>
    <w:rsid w:val="004C24A2"/>
    <w:rsid w:val="004C3F40"/>
    <w:rsid w:val="004D257A"/>
    <w:rsid w:val="00501D6B"/>
    <w:rsid w:val="00501EFE"/>
    <w:rsid w:val="0050236D"/>
    <w:rsid w:val="00507B16"/>
    <w:rsid w:val="00507DBB"/>
    <w:rsid w:val="00521B6C"/>
    <w:rsid w:val="00534470"/>
    <w:rsid w:val="00544B20"/>
    <w:rsid w:val="005472D9"/>
    <w:rsid w:val="00550EA7"/>
    <w:rsid w:val="005607FC"/>
    <w:rsid w:val="005649E6"/>
    <w:rsid w:val="0056616C"/>
    <w:rsid w:val="00574728"/>
    <w:rsid w:val="0057531E"/>
    <w:rsid w:val="005B3380"/>
    <w:rsid w:val="005C071B"/>
    <w:rsid w:val="005D6E43"/>
    <w:rsid w:val="005E229B"/>
    <w:rsid w:val="005F7E3B"/>
    <w:rsid w:val="006035D1"/>
    <w:rsid w:val="006221B9"/>
    <w:rsid w:val="00626697"/>
    <w:rsid w:val="006338BF"/>
    <w:rsid w:val="00637E59"/>
    <w:rsid w:val="00655AF2"/>
    <w:rsid w:val="006571EE"/>
    <w:rsid w:val="00667711"/>
    <w:rsid w:val="006749E5"/>
    <w:rsid w:val="00680426"/>
    <w:rsid w:val="0069460D"/>
    <w:rsid w:val="006951D1"/>
    <w:rsid w:val="0069732F"/>
    <w:rsid w:val="006A7E90"/>
    <w:rsid w:val="006B2FC4"/>
    <w:rsid w:val="006C1A1F"/>
    <w:rsid w:val="006C714E"/>
    <w:rsid w:val="006D2B6A"/>
    <w:rsid w:val="006D5148"/>
    <w:rsid w:val="006D72BE"/>
    <w:rsid w:val="006E0380"/>
    <w:rsid w:val="006E092C"/>
    <w:rsid w:val="006E2D98"/>
    <w:rsid w:val="006E7DB6"/>
    <w:rsid w:val="006F1B4C"/>
    <w:rsid w:val="006F223C"/>
    <w:rsid w:val="007045EE"/>
    <w:rsid w:val="00704695"/>
    <w:rsid w:val="0070600D"/>
    <w:rsid w:val="00707438"/>
    <w:rsid w:val="007349AD"/>
    <w:rsid w:val="00735803"/>
    <w:rsid w:val="00755FFD"/>
    <w:rsid w:val="007748DD"/>
    <w:rsid w:val="00774C18"/>
    <w:rsid w:val="00782A99"/>
    <w:rsid w:val="0078392C"/>
    <w:rsid w:val="007921E7"/>
    <w:rsid w:val="007A3E5D"/>
    <w:rsid w:val="007A7C00"/>
    <w:rsid w:val="007C21F2"/>
    <w:rsid w:val="007C538E"/>
    <w:rsid w:val="007C7DF1"/>
    <w:rsid w:val="007D6B0A"/>
    <w:rsid w:val="007E50E0"/>
    <w:rsid w:val="007E5476"/>
    <w:rsid w:val="0080323F"/>
    <w:rsid w:val="00816BC9"/>
    <w:rsid w:val="0082332C"/>
    <w:rsid w:val="00830F5D"/>
    <w:rsid w:val="008313CD"/>
    <w:rsid w:val="008370D3"/>
    <w:rsid w:val="00841D30"/>
    <w:rsid w:val="008421B4"/>
    <w:rsid w:val="00854D5A"/>
    <w:rsid w:val="00857A1B"/>
    <w:rsid w:val="00884DA4"/>
    <w:rsid w:val="00892E09"/>
    <w:rsid w:val="008B4EBC"/>
    <w:rsid w:val="008C159E"/>
    <w:rsid w:val="008C4CAE"/>
    <w:rsid w:val="008D34A3"/>
    <w:rsid w:val="008D6E78"/>
    <w:rsid w:val="008E0D07"/>
    <w:rsid w:val="008E5A1B"/>
    <w:rsid w:val="008F2CDB"/>
    <w:rsid w:val="008F6E83"/>
    <w:rsid w:val="00902DFA"/>
    <w:rsid w:val="009120CC"/>
    <w:rsid w:val="00925E99"/>
    <w:rsid w:val="00934156"/>
    <w:rsid w:val="00937974"/>
    <w:rsid w:val="009403D7"/>
    <w:rsid w:val="00941CDD"/>
    <w:rsid w:val="00943892"/>
    <w:rsid w:val="009474B1"/>
    <w:rsid w:val="00952034"/>
    <w:rsid w:val="00961B06"/>
    <w:rsid w:val="00973337"/>
    <w:rsid w:val="00974CCC"/>
    <w:rsid w:val="009757CE"/>
    <w:rsid w:val="00977556"/>
    <w:rsid w:val="00980688"/>
    <w:rsid w:val="00983634"/>
    <w:rsid w:val="009877EF"/>
    <w:rsid w:val="009923B1"/>
    <w:rsid w:val="00993BD1"/>
    <w:rsid w:val="009A0A8E"/>
    <w:rsid w:val="009A0B09"/>
    <w:rsid w:val="009B40FB"/>
    <w:rsid w:val="009C5E28"/>
    <w:rsid w:val="009D4F72"/>
    <w:rsid w:val="009D651F"/>
    <w:rsid w:val="009E5F8F"/>
    <w:rsid w:val="009F56A8"/>
    <w:rsid w:val="00A10CFB"/>
    <w:rsid w:val="00A1402B"/>
    <w:rsid w:val="00A14960"/>
    <w:rsid w:val="00A41B19"/>
    <w:rsid w:val="00A450B0"/>
    <w:rsid w:val="00A60F51"/>
    <w:rsid w:val="00A72E59"/>
    <w:rsid w:val="00A80357"/>
    <w:rsid w:val="00A823EE"/>
    <w:rsid w:val="00AA3388"/>
    <w:rsid w:val="00AA5BB7"/>
    <w:rsid w:val="00AA7558"/>
    <w:rsid w:val="00AB0C42"/>
    <w:rsid w:val="00AB4779"/>
    <w:rsid w:val="00AB5E4D"/>
    <w:rsid w:val="00AC18F4"/>
    <w:rsid w:val="00AC1DC2"/>
    <w:rsid w:val="00AC61F1"/>
    <w:rsid w:val="00AC7B99"/>
    <w:rsid w:val="00AC7F26"/>
    <w:rsid w:val="00AD66D6"/>
    <w:rsid w:val="00AF3923"/>
    <w:rsid w:val="00AF411E"/>
    <w:rsid w:val="00AF70D2"/>
    <w:rsid w:val="00B04747"/>
    <w:rsid w:val="00B17E48"/>
    <w:rsid w:val="00B219FA"/>
    <w:rsid w:val="00B22478"/>
    <w:rsid w:val="00B36721"/>
    <w:rsid w:val="00B446B7"/>
    <w:rsid w:val="00B500C7"/>
    <w:rsid w:val="00B50918"/>
    <w:rsid w:val="00B515E2"/>
    <w:rsid w:val="00B560FE"/>
    <w:rsid w:val="00B721E1"/>
    <w:rsid w:val="00B72E6D"/>
    <w:rsid w:val="00B836B8"/>
    <w:rsid w:val="00B85E0C"/>
    <w:rsid w:val="00B91F89"/>
    <w:rsid w:val="00BA1F02"/>
    <w:rsid w:val="00BC6D81"/>
    <w:rsid w:val="00BD6311"/>
    <w:rsid w:val="00BF3923"/>
    <w:rsid w:val="00C042BE"/>
    <w:rsid w:val="00C0570F"/>
    <w:rsid w:val="00C13925"/>
    <w:rsid w:val="00C26837"/>
    <w:rsid w:val="00C3215B"/>
    <w:rsid w:val="00C322B9"/>
    <w:rsid w:val="00C45173"/>
    <w:rsid w:val="00C556BB"/>
    <w:rsid w:val="00C566E3"/>
    <w:rsid w:val="00C81754"/>
    <w:rsid w:val="00C820D7"/>
    <w:rsid w:val="00C83B36"/>
    <w:rsid w:val="00CC0533"/>
    <w:rsid w:val="00CC54AD"/>
    <w:rsid w:val="00CC581E"/>
    <w:rsid w:val="00CD0018"/>
    <w:rsid w:val="00CD7543"/>
    <w:rsid w:val="00CE1135"/>
    <w:rsid w:val="00CF534D"/>
    <w:rsid w:val="00D0223C"/>
    <w:rsid w:val="00D0466B"/>
    <w:rsid w:val="00D255D6"/>
    <w:rsid w:val="00D317C4"/>
    <w:rsid w:val="00D339E6"/>
    <w:rsid w:val="00D53050"/>
    <w:rsid w:val="00D554FD"/>
    <w:rsid w:val="00D718B9"/>
    <w:rsid w:val="00D77ABD"/>
    <w:rsid w:val="00D77CB2"/>
    <w:rsid w:val="00D96A71"/>
    <w:rsid w:val="00DA3E2B"/>
    <w:rsid w:val="00DA42FE"/>
    <w:rsid w:val="00DA4A35"/>
    <w:rsid w:val="00DA6A16"/>
    <w:rsid w:val="00DC0FF5"/>
    <w:rsid w:val="00DF0D4F"/>
    <w:rsid w:val="00DF0E4C"/>
    <w:rsid w:val="00E05540"/>
    <w:rsid w:val="00E058F0"/>
    <w:rsid w:val="00E12019"/>
    <w:rsid w:val="00E2308B"/>
    <w:rsid w:val="00E33FDA"/>
    <w:rsid w:val="00E521CC"/>
    <w:rsid w:val="00E56196"/>
    <w:rsid w:val="00E71C79"/>
    <w:rsid w:val="00E72A83"/>
    <w:rsid w:val="00E81F14"/>
    <w:rsid w:val="00EB0F8A"/>
    <w:rsid w:val="00EC1C62"/>
    <w:rsid w:val="00EC7900"/>
    <w:rsid w:val="00EC7EBC"/>
    <w:rsid w:val="00ED14D5"/>
    <w:rsid w:val="00EE6A24"/>
    <w:rsid w:val="00F0225F"/>
    <w:rsid w:val="00F054D2"/>
    <w:rsid w:val="00F13FC6"/>
    <w:rsid w:val="00F15A88"/>
    <w:rsid w:val="00F2051E"/>
    <w:rsid w:val="00F21B6A"/>
    <w:rsid w:val="00F2733A"/>
    <w:rsid w:val="00F34939"/>
    <w:rsid w:val="00F37B3B"/>
    <w:rsid w:val="00F428EB"/>
    <w:rsid w:val="00F43CAD"/>
    <w:rsid w:val="00F53FB7"/>
    <w:rsid w:val="00F64171"/>
    <w:rsid w:val="00F746AE"/>
    <w:rsid w:val="00F843C5"/>
    <w:rsid w:val="00F92057"/>
    <w:rsid w:val="00FA153C"/>
    <w:rsid w:val="00FA3D7D"/>
    <w:rsid w:val="00FA648F"/>
    <w:rsid w:val="00FB3582"/>
    <w:rsid w:val="00FC3EFB"/>
    <w:rsid w:val="00FC77BF"/>
    <w:rsid w:val="00FF1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8F8E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uiPriority w:val="9"/>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aliases w:val="SubHeading 1"/>
    <w:basedOn w:val="Normal"/>
    <w:next w:val="Normal"/>
    <w:link w:val="Heading2Char"/>
    <w:uiPriority w:val="9"/>
    <w:unhideWhenUsed/>
    <w:qFormat/>
    <w:rsid w:val="005B3380"/>
    <w:pPr>
      <w:keepNext/>
      <w:spacing w:before="240" w:after="60"/>
      <w:outlineLvl w:val="1"/>
    </w:pPr>
    <w:rPr>
      <w:rFonts w:ascii="Calibri Light" w:hAnsi="Calibri Light"/>
      <w:b/>
      <w:bCs/>
      <w:i/>
      <w:iCs/>
      <w:sz w:val="28"/>
      <w:szCs w:val="28"/>
    </w:rPr>
  </w:style>
  <w:style w:type="paragraph" w:styleId="Heading3">
    <w:name w:val="heading 3"/>
    <w:aliases w:val="Subheading 2"/>
    <w:basedOn w:val="Normal"/>
    <w:next w:val="Normal"/>
    <w:link w:val="Heading3Char"/>
    <w:uiPriority w:val="9"/>
    <w:unhideWhenUsed/>
    <w:qFormat/>
    <w:rsid w:val="005B338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customStyle="1" w:styleId="Heading2Char">
    <w:name w:val="Heading 2 Char"/>
    <w:aliases w:val="SubHeading 1 Char"/>
    <w:link w:val="Heading2"/>
    <w:uiPriority w:val="9"/>
    <w:rsid w:val="005B3380"/>
    <w:rPr>
      <w:rFonts w:ascii="Calibri Light" w:eastAsia="Times New Roman" w:hAnsi="Calibri Light" w:cs="Times New Roman"/>
      <w:b/>
      <w:bCs/>
      <w:i/>
      <w:iCs/>
      <w:sz w:val="28"/>
      <w:szCs w:val="28"/>
    </w:rPr>
  </w:style>
  <w:style w:type="character" w:customStyle="1" w:styleId="Heading3Char">
    <w:name w:val="Heading 3 Char"/>
    <w:aliases w:val="Subheading 2 Char"/>
    <w:link w:val="Heading3"/>
    <w:uiPriority w:val="9"/>
    <w:rsid w:val="005B3380"/>
    <w:rPr>
      <w:rFonts w:ascii="Calibri Light" w:eastAsia="Times New Roman" w:hAnsi="Calibri Light" w:cs="Times New Roman"/>
      <w:b/>
      <w:bCs/>
      <w:sz w:val="26"/>
      <w:szCs w:val="26"/>
    </w:rPr>
  </w:style>
  <w:style w:type="character" w:customStyle="1" w:styleId="Heading1Char">
    <w:name w:val="Heading 1 Char"/>
    <w:link w:val="Heading1"/>
    <w:uiPriority w:val="9"/>
    <w:rsid w:val="005B3380"/>
    <w:rPr>
      <w:rFonts w:ascii="Letter Gothic 12cpi" w:hAnsi="Letter Gothic 12cpi"/>
      <w:sz w:val="24"/>
      <w:szCs w:val="24"/>
    </w:rPr>
  </w:style>
  <w:style w:type="paragraph" w:styleId="FootnoteText">
    <w:name w:val="footnote text"/>
    <w:basedOn w:val="Normal"/>
    <w:link w:val="FootnoteTextChar"/>
    <w:uiPriority w:val="99"/>
    <w:unhideWhenUsed/>
    <w:rsid w:val="005B3380"/>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uiPriority w:val="99"/>
    <w:rsid w:val="005B3380"/>
  </w:style>
  <w:style w:type="character" w:styleId="FootnoteReference">
    <w:name w:val="footnote reference"/>
    <w:uiPriority w:val="99"/>
    <w:unhideWhenUsed/>
    <w:rsid w:val="005B3380"/>
    <w:rPr>
      <w:vertAlign w:val="superscript"/>
    </w:rPr>
  </w:style>
  <w:style w:type="paragraph" w:styleId="ListParagraph">
    <w:name w:val="List Paragraph"/>
    <w:basedOn w:val="Normal"/>
    <w:uiPriority w:val="34"/>
    <w:qFormat/>
    <w:rsid w:val="005B3380"/>
    <w:pPr>
      <w:widowControl/>
      <w:autoSpaceDE/>
      <w:autoSpaceDN/>
      <w:adjustRightInd/>
      <w:ind w:left="720"/>
      <w:contextualSpacing/>
    </w:pPr>
    <w:rPr>
      <w:rFonts w:ascii="Times New Roman" w:hAnsi="Times New Roman"/>
      <w:sz w:val="24"/>
      <w:szCs w:val="24"/>
    </w:rPr>
  </w:style>
  <w:style w:type="paragraph" w:styleId="BalloonText">
    <w:name w:val="Balloon Text"/>
    <w:basedOn w:val="Normal"/>
    <w:link w:val="BalloonTextChar"/>
    <w:uiPriority w:val="99"/>
    <w:rsid w:val="005B3380"/>
    <w:pPr>
      <w:widowControl/>
      <w:autoSpaceDE/>
      <w:autoSpaceDN/>
      <w:adjustRightInd/>
    </w:pPr>
    <w:rPr>
      <w:rFonts w:ascii="Tahoma" w:hAnsi="Tahoma" w:cs="Tahoma"/>
      <w:sz w:val="16"/>
      <w:szCs w:val="16"/>
    </w:rPr>
  </w:style>
  <w:style w:type="character" w:customStyle="1" w:styleId="BalloonTextChar">
    <w:name w:val="Balloon Text Char"/>
    <w:link w:val="BalloonText"/>
    <w:uiPriority w:val="99"/>
    <w:rsid w:val="005B3380"/>
    <w:rPr>
      <w:rFonts w:ascii="Tahoma" w:hAnsi="Tahoma" w:cs="Tahoma"/>
      <w:sz w:val="16"/>
      <w:szCs w:val="16"/>
    </w:rPr>
  </w:style>
  <w:style w:type="character" w:styleId="CommentReference">
    <w:name w:val="annotation reference"/>
    <w:uiPriority w:val="99"/>
    <w:unhideWhenUsed/>
    <w:rsid w:val="005B3380"/>
    <w:rPr>
      <w:sz w:val="16"/>
      <w:szCs w:val="16"/>
    </w:rPr>
  </w:style>
  <w:style w:type="paragraph" w:styleId="CommentText">
    <w:name w:val="annotation text"/>
    <w:basedOn w:val="Normal"/>
    <w:link w:val="CommentTextChar"/>
    <w:uiPriority w:val="99"/>
    <w:unhideWhenUsed/>
    <w:rsid w:val="005B3380"/>
    <w:pPr>
      <w:widowControl/>
      <w:autoSpaceDE/>
      <w:autoSpaceDN/>
      <w:adjustRightInd/>
    </w:pPr>
    <w:rPr>
      <w:rFonts w:ascii="Times New Roman" w:hAnsi="Times New Roman"/>
    </w:rPr>
  </w:style>
  <w:style w:type="character" w:customStyle="1" w:styleId="CommentTextChar">
    <w:name w:val="Comment Text Char"/>
    <w:basedOn w:val="DefaultParagraphFont"/>
    <w:link w:val="CommentText"/>
    <w:uiPriority w:val="99"/>
    <w:rsid w:val="005B3380"/>
  </w:style>
  <w:style w:type="paragraph" w:styleId="CommentSubject">
    <w:name w:val="annotation subject"/>
    <w:basedOn w:val="CommentText"/>
    <w:next w:val="CommentText"/>
    <w:link w:val="CommentSubjectChar"/>
    <w:uiPriority w:val="99"/>
    <w:unhideWhenUsed/>
    <w:rsid w:val="005B3380"/>
    <w:rPr>
      <w:b/>
      <w:bCs/>
    </w:rPr>
  </w:style>
  <w:style w:type="character" w:customStyle="1" w:styleId="CommentSubjectChar">
    <w:name w:val="Comment Subject Char"/>
    <w:link w:val="CommentSubject"/>
    <w:uiPriority w:val="99"/>
    <w:rsid w:val="005B3380"/>
    <w:rPr>
      <w:b/>
      <w:bCs/>
    </w:rPr>
  </w:style>
  <w:style w:type="character" w:customStyle="1" w:styleId="HeaderChar">
    <w:name w:val="Header Char"/>
    <w:link w:val="Header"/>
    <w:uiPriority w:val="99"/>
    <w:rsid w:val="005B3380"/>
    <w:rPr>
      <w:rFonts w:ascii="Letter Gothic 12cpi" w:hAnsi="Letter Gothic 12cpi"/>
    </w:rPr>
  </w:style>
  <w:style w:type="character" w:customStyle="1" w:styleId="FooterChar">
    <w:name w:val="Footer Char"/>
    <w:link w:val="Footer"/>
    <w:uiPriority w:val="99"/>
    <w:rsid w:val="005B3380"/>
    <w:rPr>
      <w:rFonts w:ascii="Letter Gothic 12cpi" w:hAnsi="Letter Gothic 12cpi"/>
    </w:rPr>
  </w:style>
  <w:style w:type="character" w:styleId="Mention">
    <w:name w:val="Mention"/>
    <w:uiPriority w:val="99"/>
    <w:semiHidden/>
    <w:unhideWhenUsed/>
    <w:rsid w:val="005B3380"/>
    <w:rPr>
      <w:color w:val="2B579A"/>
      <w:shd w:val="clear" w:color="auto" w:fill="E6E6E6"/>
    </w:rPr>
  </w:style>
  <w:style w:type="paragraph" w:styleId="Revision">
    <w:name w:val="Revision"/>
    <w:hidden/>
    <w:uiPriority w:val="99"/>
    <w:semiHidden/>
    <w:rsid w:val="005B3380"/>
    <w:rPr>
      <w:sz w:val="24"/>
      <w:szCs w:val="24"/>
    </w:rPr>
  </w:style>
  <w:style w:type="table" w:styleId="TableGrid">
    <w:name w:val="Table Grid"/>
    <w:basedOn w:val="TableNormal"/>
    <w:uiPriority w:val="59"/>
    <w:rsid w:val="005B338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38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FDA"/>
    <w:pPr>
      <w:autoSpaceDE w:val="0"/>
      <w:autoSpaceDN w:val="0"/>
      <w:adjustRightInd w:val="0"/>
    </w:pPr>
    <w:rPr>
      <w:rFonts w:ascii="Univers 45 Light" w:hAnsi="Univers 45 Light" w:cs="Univers 45 Light"/>
      <w:color w:val="000000"/>
      <w:sz w:val="24"/>
      <w:szCs w:val="24"/>
    </w:rPr>
  </w:style>
  <w:style w:type="paragraph" w:customStyle="1" w:styleId="Pa18">
    <w:name w:val="Pa18"/>
    <w:basedOn w:val="Default"/>
    <w:next w:val="Default"/>
    <w:uiPriority w:val="99"/>
    <w:rsid w:val="00E33FDA"/>
    <w:pPr>
      <w:spacing w:line="241" w:lineRule="atLeast"/>
    </w:pPr>
    <w:rPr>
      <w:rFonts w:cs="Times New Roman"/>
      <w:color w:val="auto"/>
    </w:rPr>
  </w:style>
  <w:style w:type="character" w:customStyle="1" w:styleId="A9">
    <w:name w:val="A9"/>
    <w:uiPriority w:val="99"/>
    <w:rsid w:val="00E33FDA"/>
    <w:rPr>
      <w:rFonts w:cs="Univers 45 Light"/>
      <w:color w:val="211D1E"/>
      <w:sz w:val="19"/>
      <w:szCs w:val="19"/>
    </w:rPr>
  </w:style>
  <w:style w:type="character" w:customStyle="1" w:styleId="A14">
    <w:name w:val="A14"/>
    <w:uiPriority w:val="99"/>
    <w:rsid w:val="00E33FDA"/>
    <w:rPr>
      <w:rFonts w:ascii="Univers 47 CondensedLight" w:hAnsi="Univers 47 CondensedLight" w:cs="Univers 47 CondensedLight"/>
      <w:color w:val="C3562A"/>
      <w:sz w:val="23"/>
      <w:szCs w:val="23"/>
    </w:rPr>
  </w:style>
  <w:style w:type="character" w:styleId="UnresolvedMention">
    <w:name w:val="Unresolved Mention"/>
    <w:uiPriority w:val="99"/>
    <w:semiHidden/>
    <w:unhideWhenUsed/>
    <w:rsid w:val="00043893"/>
    <w:rPr>
      <w:color w:val="808080"/>
      <w:shd w:val="clear" w:color="auto" w:fill="E6E6E6"/>
    </w:rPr>
  </w:style>
  <w:style w:type="character" w:customStyle="1" w:styleId="breakword">
    <w:name w:val="breakword"/>
    <w:rsid w:val="00FB3582"/>
  </w:style>
  <w:style w:type="character" w:styleId="FollowedHyperlink">
    <w:name w:val="FollowedHyperlink"/>
    <w:basedOn w:val="DefaultParagraphFont"/>
    <w:rsid w:val="0098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maritime.dot.gov/PIDPgrant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A6A4-B9F9-4C37-B18F-CA5421FA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2024-10-07T16:41:00Z</dcterms:created>
  <dcterms:modified xsi:type="dcterms:W3CDTF">2024-10-07T19:10:00Z</dcterms:modified>
</cp:coreProperties>
</file>