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2B2" w14:paraId="65D54FCD" w14:textId="77777777">
      <w:pPr>
        <w:tabs>
          <w:tab w:val="center" w:pos="4680"/>
        </w:tabs>
        <w:rPr>
          <w:b/>
        </w:rPr>
      </w:pPr>
      <w:r>
        <w:rPr>
          <w:b/>
        </w:rPr>
        <w:tab/>
      </w:r>
    </w:p>
    <w:p w:rsidR="00E66625" w:rsidP="00D042B2" w14:paraId="0B1A8FEC" w14:textId="6C76AE65">
      <w:pPr>
        <w:tabs>
          <w:tab w:val="center" w:pos="4680"/>
        </w:tabs>
        <w:jc w:val="center"/>
        <w:rPr>
          <w:b/>
        </w:rPr>
      </w:pPr>
      <w:r>
        <w:rPr>
          <w:b/>
        </w:rPr>
        <w:t>Department of Transportation</w:t>
      </w:r>
    </w:p>
    <w:p w:rsidR="00893CC8" w:rsidP="00D042B2" w14:paraId="4071AFE4" w14:textId="2826DF1D">
      <w:pPr>
        <w:tabs>
          <w:tab w:val="center" w:pos="4680"/>
        </w:tabs>
        <w:jc w:val="center"/>
        <w:rPr>
          <w:b/>
        </w:rPr>
      </w:pPr>
      <w:r>
        <w:rPr>
          <w:b/>
        </w:rPr>
        <w:t xml:space="preserve">Maritime Administration </w:t>
      </w:r>
    </w:p>
    <w:p w:rsidR="00893CC8" w:rsidP="00D042B2" w14:paraId="2ECBD0F4" w14:textId="4F1CC36E">
      <w:pPr>
        <w:tabs>
          <w:tab w:val="center" w:pos="4680"/>
        </w:tabs>
        <w:jc w:val="center"/>
        <w:rPr>
          <w:b/>
        </w:rPr>
      </w:pPr>
      <w:r>
        <w:rPr>
          <w:b/>
        </w:rPr>
        <w:t>Information Collection Request (ICR)</w:t>
      </w:r>
    </w:p>
    <w:p w:rsidR="00893CC8" w:rsidP="00D042B2" w14:paraId="786A5232" w14:textId="785E91F9">
      <w:pPr>
        <w:tabs>
          <w:tab w:val="center" w:pos="4680"/>
        </w:tabs>
        <w:jc w:val="center"/>
        <w:rPr>
          <w:b/>
        </w:rPr>
      </w:pPr>
      <w:r>
        <w:rPr>
          <w:b/>
        </w:rPr>
        <w:t>2133-0517</w:t>
      </w:r>
    </w:p>
    <w:p w:rsidR="00893CC8" w:rsidRPr="00893CC8" w:rsidP="00D042B2" w14:paraId="7962F179" w14:textId="4BDB9A3E">
      <w:pPr>
        <w:tabs>
          <w:tab w:val="center" w:pos="4680"/>
        </w:tabs>
        <w:jc w:val="center"/>
        <w:rPr>
          <w:b/>
          <w:bCs/>
        </w:rPr>
      </w:pPr>
      <w:r w:rsidRPr="000D6496">
        <w:rPr>
          <w:b/>
          <w:bCs/>
        </w:rPr>
        <w:t>Approval of Underwriters for Marine Hull Insurance</w:t>
      </w:r>
    </w:p>
    <w:p w:rsidR="00E66625" w14:paraId="150FF766" w14:textId="77777777">
      <w:pPr>
        <w:tabs>
          <w:tab w:val="center" w:pos="4680"/>
        </w:tabs>
        <w:rPr>
          <w:b/>
        </w:rPr>
      </w:pPr>
    </w:p>
    <w:p w:rsidR="00A82022" w14:paraId="2092D368" w14:textId="3B73C1FC">
      <w:pPr>
        <w:tabs>
          <w:tab w:val="center" w:pos="4680"/>
        </w:tabs>
        <w:rPr>
          <w:b/>
        </w:rPr>
      </w:pPr>
      <w:r>
        <w:rPr>
          <w:b/>
        </w:rPr>
        <w:tab/>
      </w:r>
      <w:r>
        <w:rPr>
          <w:b/>
        </w:rPr>
        <w:t xml:space="preserve">SUPPORTING STATEMENT </w:t>
      </w:r>
    </w:p>
    <w:p w:rsidR="00A82022" w:rsidP="00E66625" w14:paraId="3BC4FDF8" w14:textId="2196C05D">
      <w:pPr>
        <w:tabs>
          <w:tab w:val="center" w:pos="4680"/>
        </w:tabs>
      </w:pPr>
      <w:r>
        <w:rPr>
          <w:b/>
        </w:rPr>
        <w:tab/>
      </w:r>
      <w:bookmarkStart w:id="0" w:name="OLE_LINK1"/>
      <w:bookmarkStart w:id="1" w:name="OLE_LINK2"/>
      <w:bookmarkStart w:id="2" w:name="_Hlk84486697"/>
    </w:p>
    <w:bookmarkEnd w:id="0"/>
    <w:bookmarkEnd w:id="1"/>
    <w:p w:rsidR="00A82022" w14:paraId="0F4FEDFC" w14:textId="77777777">
      <w:pPr>
        <w:rPr>
          <w:b/>
        </w:rPr>
      </w:pPr>
    </w:p>
    <w:bookmarkEnd w:id="2"/>
    <w:p w:rsidR="00893CC8" w:rsidP="00A848E8" w14:paraId="05CBFE7E" w14:textId="77777777">
      <w:pPr>
        <w:pStyle w:val="Heading1"/>
        <w:jc w:val="left"/>
      </w:pPr>
      <w:r w:rsidRPr="000D6496">
        <w:t>INTRODUCTION</w:t>
      </w:r>
    </w:p>
    <w:p w:rsidR="00893CC8" w:rsidP="00A848E8" w14:paraId="421B32EB" w14:textId="34EAA3E2">
      <w:pPr>
        <w:pStyle w:val="Heading1"/>
        <w:jc w:val="left"/>
        <w:rPr>
          <w:b w:val="0"/>
        </w:rPr>
      </w:pPr>
    </w:p>
    <w:p w:rsidR="00A848E8" w:rsidRPr="00496CBD" w:rsidP="000D6496" w14:paraId="56ACD1FF" w14:textId="658E8C6A">
      <w:pPr>
        <w:pStyle w:val="Heading1"/>
        <w:jc w:val="left"/>
        <w:rPr>
          <w:bCs/>
        </w:rPr>
      </w:pPr>
      <w:r w:rsidRPr="00A848E8">
        <w:rPr>
          <w:b w:val="0"/>
        </w:rPr>
        <w:t xml:space="preserve">This </w:t>
      </w:r>
      <w:r w:rsidR="00893CC8">
        <w:rPr>
          <w:b w:val="0"/>
        </w:rPr>
        <w:t xml:space="preserve">submission </w:t>
      </w:r>
      <w:r w:rsidRPr="00A848E8">
        <w:rPr>
          <w:b w:val="0"/>
        </w:rPr>
        <w:t>is to request</w:t>
      </w:r>
      <w:r w:rsidR="00893CC8">
        <w:rPr>
          <w:b w:val="0"/>
        </w:rPr>
        <w:t xml:space="preserve"> a three-year approval from</w:t>
      </w:r>
      <w:r w:rsidRPr="00A848E8">
        <w:rPr>
          <w:b w:val="0"/>
        </w:rPr>
        <w:t xml:space="preserve"> the Office of Management a</w:t>
      </w:r>
      <w:r>
        <w:rPr>
          <w:b w:val="0"/>
        </w:rPr>
        <w:t xml:space="preserve">nd Budget (OMB) </w:t>
      </w:r>
      <w:r w:rsidRPr="00A848E8">
        <w:rPr>
          <w:b w:val="0"/>
        </w:rPr>
        <w:t>for the information collection entitled</w:t>
      </w:r>
      <w:r w:rsidR="00893CC8">
        <w:rPr>
          <w:b w:val="0"/>
        </w:rPr>
        <w:t xml:space="preserve"> </w:t>
      </w:r>
      <w:r w:rsidRPr="00A848E8" w:rsidR="00893CC8">
        <w:rPr>
          <w:b w:val="0"/>
        </w:rPr>
        <w:t>OMB 2133-05</w:t>
      </w:r>
      <w:r w:rsidR="00893CC8">
        <w:rPr>
          <w:b w:val="0"/>
        </w:rPr>
        <w:t>17 (</w:t>
      </w:r>
      <w:r w:rsidRPr="00A848E8">
        <w:rPr>
          <w:b w:val="0"/>
        </w:rPr>
        <w:t>Approval of Underwriters for Marine Hull Insurance</w:t>
      </w:r>
      <w:r w:rsidR="00893CC8">
        <w:rPr>
          <w:b w:val="0"/>
        </w:rPr>
        <w:t xml:space="preserve">), which </w:t>
      </w:r>
      <w:r w:rsidRPr="00E1490E">
        <w:rPr>
          <w:b w:val="0"/>
          <w:szCs w:val="24"/>
        </w:rPr>
        <w:t>expire</w:t>
      </w:r>
      <w:r w:rsidR="00893CC8">
        <w:rPr>
          <w:b w:val="0"/>
          <w:szCs w:val="24"/>
        </w:rPr>
        <w:t>s</w:t>
      </w:r>
      <w:r w:rsidRPr="00E1490E">
        <w:rPr>
          <w:b w:val="0"/>
          <w:szCs w:val="24"/>
        </w:rPr>
        <w:t xml:space="preserve"> on </w:t>
      </w:r>
      <w:r w:rsidRPr="000D6496" w:rsidR="005734DF">
        <w:rPr>
          <w:b w:val="0"/>
          <w:bCs/>
        </w:rPr>
        <w:t>October 31, 2024</w:t>
      </w:r>
      <w:r w:rsidRPr="000D6496" w:rsidR="00204B86">
        <w:rPr>
          <w:b w:val="0"/>
          <w:bCs/>
        </w:rPr>
        <w:t>.</w:t>
      </w:r>
      <w:r w:rsidRPr="000D6496">
        <w:rPr>
          <w:b w:val="0"/>
          <w:bCs/>
        </w:rPr>
        <w:t xml:space="preserve"> </w:t>
      </w:r>
      <w:r w:rsidR="00893CC8">
        <w:rPr>
          <w:b w:val="0"/>
          <w:bCs/>
        </w:rPr>
        <w:t>There are no changes since the last renewal</w:t>
      </w:r>
      <w:r w:rsidR="00B47517">
        <w:rPr>
          <w:b w:val="0"/>
          <w:bCs/>
        </w:rPr>
        <w:t>,</w:t>
      </w:r>
      <w:r w:rsidR="00893CC8">
        <w:rPr>
          <w:b w:val="0"/>
          <w:bCs/>
        </w:rPr>
        <w:t xml:space="preserve"> so this collection will be submitted as an </w:t>
      </w:r>
      <w:r w:rsidR="00893CC8">
        <w:rPr>
          <w:b w:val="0"/>
          <w:bCs/>
          <w:i/>
          <w:iCs/>
        </w:rPr>
        <w:t xml:space="preserve">extension without change of a currently approved collection. </w:t>
      </w:r>
      <w:r w:rsidRPr="000D6496">
        <w:rPr>
          <w:b w:val="0"/>
          <w:bCs/>
        </w:rPr>
        <w:t xml:space="preserve"> </w:t>
      </w:r>
    </w:p>
    <w:p w:rsidR="008B0571" w:rsidP="00E1490E" w14:paraId="3E5A795A" w14:textId="035C4494">
      <w:pPr>
        <w:tabs>
          <w:tab w:val="left" w:pos="-1440"/>
        </w:tabs>
      </w:pPr>
    </w:p>
    <w:p w:rsidR="00A82022" w:rsidRPr="000D6496" w:rsidP="00BB25F6" w14:paraId="2314ADFD" w14:textId="77BA17A5">
      <w:pPr>
        <w:pStyle w:val="ListParagraph"/>
        <w:numPr>
          <w:ilvl w:val="0"/>
          <w:numId w:val="13"/>
        </w:numPr>
      </w:pPr>
      <w:r w:rsidRPr="00893CC8">
        <w:rPr>
          <w:b/>
        </w:rPr>
        <w:t>JUSTIFICATION</w:t>
      </w:r>
    </w:p>
    <w:p w:rsidR="00A82022" w14:paraId="6B637AF4" w14:textId="77777777">
      <w:pPr>
        <w:rPr>
          <w:b/>
        </w:rPr>
      </w:pPr>
    </w:p>
    <w:p w:rsidR="00A82022" w:rsidRPr="000D6496" w:rsidP="000D6496" w14:paraId="1EF7D303" w14:textId="37FC88B7">
      <w:pPr>
        <w:pStyle w:val="BodyTextIndent"/>
        <w:numPr>
          <w:ilvl w:val="0"/>
          <w:numId w:val="15"/>
        </w:numPr>
        <w:ind w:left="720"/>
        <w:rPr>
          <w:b/>
        </w:rPr>
      </w:pPr>
      <w:r w:rsidRPr="00893CC8">
        <w:rPr>
          <w:b/>
        </w:rPr>
        <w:t>C</w:t>
      </w:r>
      <w:r w:rsidRPr="00893CC8">
        <w:rPr>
          <w:b/>
        </w:rPr>
        <w:t xml:space="preserve">ircumstances </w:t>
      </w:r>
      <w:r w:rsidRPr="00893CC8">
        <w:rPr>
          <w:b/>
        </w:rPr>
        <w:t>M</w:t>
      </w:r>
      <w:r w:rsidRPr="00893CC8">
        <w:rPr>
          <w:b/>
        </w:rPr>
        <w:t>ak</w:t>
      </w:r>
      <w:r w:rsidRPr="00893CC8">
        <w:rPr>
          <w:b/>
        </w:rPr>
        <w:t>ing</w:t>
      </w:r>
      <w:r w:rsidRPr="00893CC8">
        <w:rPr>
          <w:b/>
        </w:rPr>
        <w:t xml:space="preserve"> the </w:t>
      </w:r>
      <w:r w:rsidRPr="00893CC8">
        <w:rPr>
          <w:b/>
        </w:rPr>
        <w:t xml:space="preserve">Collections </w:t>
      </w:r>
      <w:r w:rsidRPr="00893CC8">
        <w:rPr>
          <w:b/>
        </w:rPr>
        <w:t xml:space="preserve">of </w:t>
      </w:r>
      <w:r w:rsidRPr="00893CC8">
        <w:rPr>
          <w:b/>
        </w:rPr>
        <w:t>Information Necessary</w:t>
      </w:r>
    </w:p>
    <w:p w:rsidR="00893CC8" w14:paraId="192F971A" w14:textId="77777777">
      <w:pPr>
        <w:pStyle w:val="BodyTextIndent"/>
        <w:ind w:firstLine="0"/>
      </w:pPr>
    </w:p>
    <w:p w:rsidR="00A82022" w14:paraId="2466DFC6" w14:textId="2A29F86F">
      <w:pPr>
        <w:pStyle w:val="BodyTextIndent"/>
        <w:ind w:firstLine="0"/>
      </w:pPr>
      <w:r w:rsidRPr="0081735A">
        <w:t xml:space="preserve">46 </w:t>
      </w:r>
      <w:r w:rsidR="00893CC8">
        <w:t>Code of Federal Regulations (</w:t>
      </w:r>
      <w:r w:rsidRPr="0081735A">
        <w:t>CFR</w:t>
      </w:r>
      <w:r w:rsidR="00893CC8">
        <w:t>)</w:t>
      </w:r>
      <w:r w:rsidRPr="0081735A">
        <w:t xml:space="preserve"> Part 249, published as a final rule on June 20, 1988, prescribes regulations for </w:t>
      </w:r>
      <w:r w:rsidR="00ED583E">
        <w:t xml:space="preserve">the </w:t>
      </w:r>
      <w:r w:rsidRPr="0081735A">
        <w:t xml:space="preserve">approval of underwriters for marine hull insurance on vessels built or operated with subsidy or covered by vessel obligation guarantees issued pursuant to </w:t>
      </w:r>
      <w:r w:rsidRPr="0081735A" w:rsidR="00B0027C">
        <w:t>Chapter 537 of Title 46, United States Code.</w:t>
      </w:r>
      <w:r w:rsidRPr="0081735A">
        <w:t xml:space="preserve"> The</w:t>
      </w:r>
      <w:r>
        <w:t xml:space="preserve"> regulations provide for approval of foreign underwriters </w:t>
      </w:r>
      <w:r w:rsidR="000D6496">
        <w:t>based on</w:t>
      </w:r>
      <w:r>
        <w:t xml:space="preserve"> an assessment of their financial condition, the regulatory regime under which they operate, and a statement attesting to a lack of discrimination in their country against U.S. hull insurers. The regulations also require that American underwriters be given an opportunity to compete for every placement, thereby necessitating in some cases certification that such opportunity was offered. The Maritime Administration (MARAD) will require such a report if any placements involve less than 50 percent American market placement. </w:t>
      </w:r>
    </w:p>
    <w:p w:rsidR="00A82022" w14:paraId="19A385ED" w14:textId="77777777">
      <w:pPr>
        <w:pStyle w:val="BodyTextIndent"/>
        <w:ind w:firstLine="0"/>
      </w:pPr>
    </w:p>
    <w:p w:rsidR="00A82022" w14:paraId="31558427" w14:textId="328C2C8A">
      <w:pPr>
        <w:pStyle w:val="BodyTextIndent"/>
        <w:ind w:firstLine="0"/>
      </w:pPr>
      <w:r>
        <w:t xml:space="preserve">This information collection </w:t>
      </w:r>
      <w:r w:rsidR="00ED583E">
        <w:t xml:space="preserve">supports the Department of </w:t>
      </w:r>
      <w:r w:rsidR="00B47517">
        <w:t>Transportation’s</w:t>
      </w:r>
      <w:r w:rsidR="00ED583E">
        <w:t xml:space="preserve"> goal of ensuring economic strength and global competitiveness </w:t>
      </w:r>
      <w:r w:rsidR="00122E65">
        <w:t>by</w:t>
      </w:r>
      <w:r w:rsidR="00ED583E">
        <w:t xml:space="preserve"> </w:t>
      </w:r>
      <w:r w:rsidR="00B47517">
        <w:t>promoting</w:t>
      </w:r>
      <w:r w:rsidR="00ED583E">
        <w:t xml:space="preserve"> equity in</w:t>
      </w:r>
      <w:r w:rsidR="00122E65">
        <w:t xml:space="preserve"> vessel</w:t>
      </w:r>
      <w:r w:rsidR="00ED583E">
        <w:t xml:space="preserve"> </w:t>
      </w:r>
      <w:r w:rsidR="00122E65">
        <w:t>hull underwriting</w:t>
      </w:r>
      <w:r w:rsidR="00ED583E">
        <w:t xml:space="preserve"> opportunities.</w:t>
      </w:r>
    </w:p>
    <w:p w:rsidR="00A82022" w14:paraId="38BBA8B5" w14:textId="77777777">
      <w:pPr>
        <w:pStyle w:val="PlainText"/>
        <w:ind w:left="720"/>
      </w:pPr>
    </w:p>
    <w:p w:rsidR="00A82022" w:rsidRPr="000D6496" w:rsidP="000D6496" w14:paraId="1243E7BF" w14:textId="3356FC05">
      <w:pPr>
        <w:pStyle w:val="ListParagraph"/>
        <w:numPr>
          <w:ilvl w:val="0"/>
          <w:numId w:val="15"/>
        </w:numPr>
        <w:tabs>
          <w:tab w:val="left" w:pos="-1440"/>
        </w:tabs>
        <w:rPr>
          <w:b/>
        </w:rPr>
      </w:pPr>
      <w:r>
        <w:rPr>
          <w:b/>
        </w:rPr>
        <w:t>P</w:t>
      </w:r>
      <w:r w:rsidRPr="000D6496">
        <w:rPr>
          <w:b/>
        </w:rPr>
        <w:t xml:space="preserve">urpose </w:t>
      </w:r>
      <w:r>
        <w:rPr>
          <w:b/>
        </w:rPr>
        <w:t xml:space="preserve">and Use of </w:t>
      </w:r>
      <w:r w:rsidRPr="000D6496">
        <w:rPr>
          <w:b/>
        </w:rPr>
        <w:t xml:space="preserve">the </w:t>
      </w:r>
      <w:r>
        <w:rPr>
          <w:b/>
        </w:rPr>
        <w:t>I</w:t>
      </w:r>
      <w:r w:rsidRPr="000D6496">
        <w:rPr>
          <w:b/>
        </w:rPr>
        <w:t xml:space="preserve">nformation </w:t>
      </w:r>
      <w:r>
        <w:rPr>
          <w:b/>
        </w:rPr>
        <w:t>Collection</w:t>
      </w:r>
      <w:r w:rsidRPr="000D6496">
        <w:rPr>
          <w:b/>
        </w:rPr>
        <w:t xml:space="preserve">  </w:t>
      </w:r>
    </w:p>
    <w:p w:rsidR="00A82022" w14:paraId="521E4282" w14:textId="77777777">
      <w:pPr>
        <w:tabs>
          <w:tab w:val="left" w:pos="-1440"/>
        </w:tabs>
        <w:ind w:left="720" w:hanging="720"/>
        <w:rPr>
          <w:b/>
        </w:rPr>
      </w:pPr>
    </w:p>
    <w:p w:rsidR="00A82022" w14:paraId="6DEA50F0" w14:textId="302F7AC3">
      <w:pPr>
        <w:ind w:left="720"/>
      </w:pPr>
      <w:r>
        <w:t>MARAD personnel will use the</w:t>
      </w:r>
      <w:r>
        <w:t xml:space="preserve"> data obtained from foreign underwriters </w:t>
      </w:r>
      <w:r>
        <w:t xml:space="preserve">to determine their </w:t>
      </w:r>
      <w:r w:rsidR="008D77DD">
        <w:t>eligibility</w:t>
      </w:r>
      <w:r>
        <w:t xml:space="preserve"> to participate in writing hull insurance on MARAD program vessels.  Reports from brokers </w:t>
      </w:r>
      <w:r w:rsidR="00423188">
        <w:t>are intended to</w:t>
      </w:r>
      <w:r>
        <w:t xml:space="preserve"> ensure that American underwriters are being given an opportunity to compete for the</w:t>
      </w:r>
      <w:r w:rsidR="008D77DD">
        <w:t>ir</w:t>
      </w:r>
      <w:r>
        <w:t xml:space="preserve"> business.</w:t>
      </w:r>
    </w:p>
    <w:p w:rsidR="00A82022" w14:paraId="512FED9D" w14:textId="77777777">
      <w:pPr>
        <w:ind w:left="720"/>
      </w:pPr>
    </w:p>
    <w:p w:rsidR="00A82022" w14:paraId="36BB8590" w14:textId="5FDD92E6">
      <w:pPr>
        <w:ind w:left="720"/>
      </w:pPr>
      <w:r>
        <w:t xml:space="preserve">If the information were not collected, MARAD </w:t>
      </w:r>
      <w:r w:rsidR="008D77DD">
        <w:t xml:space="preserve">personnel </w:t>
      </w:r>
      <w:r>
        <w:t xml:space="preserve">would </w:t>
      </w:r>
      <w:r w:rsidR="008D77DD">
        <w:t>be un</w:t>
      </w:r>
      <w:r>
        <w:t xml:space="preserve">able to evaluate </w:t>
      </w:r>
      <w:r w:rsidR="008D77DD">
        <w:t xml:space="preserve">the </w:t>
      </w:r>
      <w:r w:rsidR="00423188">
        <w:t xml:space="preserve">eligibility of </w:t>
      </w:r>
      <w:r>
        <w:t>foreign applicants</w:t>
      </w:r>
      <w:r w:rsidR="008D77DD">
        <w:t xml:space="preserve"> for underwriting opportunities</w:t>
      </w:r>
      <w:r>
        <w:t>. This would deny U.S. owners the opportunity for any</w:t>
      </w:r>
      <w:r w:rsidR="008D77DD">
        <w:t xml:space="preserve"> cost</w:t>
      </w:r>
      <w:r>
        <w:t xml:space="preserve"> savings </w:t>
      </w:r>
      <w:r w:rsidR="008D77DD">
        <w:t xml:space="preserve">opportunities that </w:t>
      </w:r>
      <w:r>
        <w:t xml:space="preserve">might result from being </w:t>
      </w:r>
      <w:r>
        <w:t xml:space="preserve">able to place their insurance with non-British foreign underwriters. Without </w:t>
      </w:r>
      <w:r w:rsidR="008D77DD">
        <w:t xml:space="preserve">required </w:t>
      </w:r>
      <w:r>
        <w:t>report</w:t>
      </w:r>
      <w:r w:rsidR="008D77DD">
        <w:t>ing</w:t>
      </w:r>
      <w:r>
        <w:t xml:space="preserve"> from brokers, MARAD </w:t>
      </w:r>
      <w:r w:rsidR="008D77DD">
        <w:t xml:space="preserve">personnel </w:t>
      </w:r>
      <w:r>
        <w:t xml:space="preserve">would </w:t>
      </w:r>
      <w:r w:rsidR="008D77DD">
        <w:t>be unable to determine a broker’s compliance with regulatory requirements to ensure equity in hull underwriting opportunities</w:t>
      </w:r>
      <w:r>
        <w:t>.</w:t>
      </w:r>
    </w:p>
    <w:p w:rsidR="00C3305A" w14:paraId="581547DC" w14:textId="77777777">
      <w:pPr>
        <w:ind w:left="720"/>
      </w:pPr>
    </w:p>
    <w:p w:rsidR="00A82022" w:rsidRPr="000D6496" w:rsidP="000D6496" w14:paraId="552E7C9B" w14:textId="57709CD9">
      <w:pPr>
        <w:pStyle w:val="ListParagraph"/>
        <w:numPr>
          <w:ilvl w:val="0"/>
          <w:numId w:val="15"/>
        </w:numPr>
        <w:tabs>
          <w:tab w:val="left" w:pos="-1440"/>
        </w:tabs>
        <w:rPr>
          <w:b/>
        </w:rPr>
      </w:pPr>
      <w:r>
        <w:rPr>
          <w:b/>
        </w:rPr>
        <w:t>A</w:t>
      </w:r>
      <w:r w:rsidRPr="000D6496">
        <w:rPr>
          <w:b/>
        </w:rPr>
        <w:t>utomat</w:t>
      </w:r>
      <w:r>
        <w:rPr>
          <w:b/>
        </w:rPr>
        <w:t xml:space="preserve">ion or Use </w:t>
      </w:r>
      <w:r w:rsidRPr="000D6496">
        <w:rPr>
          <w:b/>
        </w:rPr>
        <w:t xml:space="preserve">of </w:t>
      </w:r>
      <w:r>
        <w:rPr>
          <w:b/>
        </w:rPr>
        <w:t>I</w:t>
      </w:r>
      <w:r w:rsidRPr="000D6496">
        <w:rPr>
          <w:b/>
        </w:rPr>
        <w:t xml:space="preserve">nformation </w:t>
      </w:r>
      <w:r>
        <w:rPr>
          <w:b/>
        </w:rPr>
        <w:t>T</w:t>
      </w:r>
      <w:r w:rsidRPr="000D6496">
        <w:rPr>
          <w:b/>
        </w:rPr>
        <w:t>echnology</w:t>
      </w:r>
      <w:r w:rsidRPr="000D6496">
        <w:rPr>
          <w:b/>
        </w:rPr>
        <w:t xml:space="preserve">. </w:t>
      </w:r>
    </w:p>
    <w:p w:rsidR="00204B86" w:rsidP="00204B86" w14:paraId="736F2C22" w14:textId="77777777">
      <w:pPr>
        <w:tabs>
          <w:tab w:val="left" w:pos="-1440"/>
        </w:tabs>
        <w:rPr>
          <w:b/>
        </w:rPr>
      </w:pPr>
    </w:p>
    <w:p w:rsidR="00A82022" w14:paraId="0AFD0ECA" w14:textId="2703900B">
      <w:pPr>
        <w:tabs>
          <w:tab w:val="left" w:pos="-1440"/>
        </w:tabs>
        <w:ind w:left="720"/>
      </w:pPr>
      <w:r>
        <w:t xml:space="preserve">MARAD provides a total electronic </w:t>
      </w:r>
      <w:r w:rsidR="00423188">
        <w:t xml:space="preserve">reporting </w:t>
      </w:r>
      <w:r>
        <w:t>option for this collection.</w:t>
      </w:r>
    </w:p>
    <w:p w:rsidR="00A82022" w14:paraId="292D075E" w14:textId="77777777">
      <w:pPr>
        <w:tabs>
          <w:tab w:val="left" w:pos="-1440"/>
        </w:tabs>
        <w:rPr>
          <w:b/>
        </w:rPr>
      </w:pPr>
    </w:p>
    <w:p w:rsidR="00A82022" w:rsidRPr="000D6496" w:rsidP="000D6496" w14:paraId="3F806C87" w14:textId="29D02950">
      <w:pPr>
        <w:pStyle w:val="ListParagraph"/>
        <w:numPr>
          <w:ilvl w:val="0"/>
          <w:numId w:val="15"/>
        </w:numPr>
        <w:tabs>
          <w:tab w:val="left" w:pos="-1440"/>
        </w:tabs>
        <w:rPr>
          <w:b/>
        </w:rPr>
      </w:pPr>
      <w:r>
        <w:rPr>
          <w:b/>
        </w:rPr>
        <w:t>E</w:t>
      </w:r>
      <w:r w:rsidRPr="000D6496">
        <w:rPr>
          <w:b/>
        </w:rPr>
        <w:t xml:space="preserve">fforts to </w:t>
      </w:r>
      <w:r>
        <w:rPr>
          <w:b/>
        </w:rPr>
        <w:t>I</w:t>
      </w:r>
      <w:r w:rsidRPr="000D6496">
        <w:rPr>
          <w:b/>
        </w:rPr>
        <w:t xml:space="preserve">dentify </w:t>
      </w:r>
      <w:r>
        <w:rPr>
          <w:b/>
        </w:rPr>
        <w:t>D</w:t>
      </w:r>
      <w:r w:rsidRPr="000D6496">
        <w:rPr>
          <w:b/>
        </w:rPr>
        <w:t>uplication</w:t>
      </w:r>
      <w:r w:rsidRPr="000D6496">
        <w:rPr>
          <w:b/>
        </w:rPr>
        <w:t xml:space="preserve"> </w:t>
      </w:r>
    </w:p>
    <w:p w:rsidR="00A82022" w14:paraId="3CD0468B" w14:textId="77777777">
      <w:pPr>
        <w:tabs>
          <w:tab w:val="left" w:pos="-1440"/>
        </w:tabs>
      </w:pPr>
    </w:p>
    <w:p w:rsidR="00A82022" w14:paraId="1D2F119F" w14:textId="23411F9C">
      <w:pPr>
        <w:pStyle w:val="PlainText"/>
        <w:ind w:left="720"/>
        <w:rPr>
          <w:rFonts w:ascii="Times New Roman" w:hAnsi="Times New Roman"/>
          <w:sz w:val="24"/>
        </w:rPr>
      </w:pPr>
      <w:r>
        <w:rPr>
          <w:rFonts w:ascii="Times New Roman" w:hAnsi="Times New Roman"/>
          <w:sz w:val="24"/>
        </w:rPr>
        <w:t xml:space="preserve">In order to minimize the reporting burden of respondents, the rule has been structured to make use of existing data to the maximum extent possible. Additional data not already available would only be required if initial submissions were inadequate. Proposals by some participants in the rulemaking that financial information be recast into the standard format used in this country </w:t>
      </w:r>
      <w:r w:rsidR="00423188">
        <w:rPr>
          <w:rFonts w:ascii="Times New Roman" w:hAnsi="Times New Roman"/>
          <w:sz w:val="24"/>
        </w:rPr>
        <w:t>were</w:t>
      </w:r>
      <w:r>
        <w:rPr>
          <w:rFonts w:ascii="Times New Roman" w:hAnsi="Times New Roman"/>
          <w:sz w:val="24"/>
        </w:rPr>
        <w:t xml:space="preserve"> rejected</w:t>
      </w:r>
      <w:r w:rsidR="00423188">
        <w:rPr>
          <w:rFonts w:ascii="Times New Roman" w:hAnsi="Times New Roman"/>
          <w:sz w:val="24"/>
        </w:rPr>
        <w:t xml:space="preserve">. This is due </w:t>
      </w:r>
      <w:r w:rsidR="00401007">
        <w:rPr>
          <w:rFonts w:ascii="Times New Roman" w:hAnsi="Times New Roman"/>
          <w:sz w:val="24"/>
        </w:rPr>
        <w:t xml:space="preserve">to the fact that </w:t>
      </w:r>
      <w:r w:rsidR="00122E65">
        <w:rPr>
          <w:rFonts w:ascii="Times New Roman" w:hAnsi="Times New Roman"/>
          <w:sz w:val="24"/>
        </w:rPr>
        <w:t>reusing such data</w:t>
      </w:r>
      <w:r w:rsidR="00401007">
        <w:rPr>
          <w:rFonts w:ascii="Times New Roman" w:hAnsi="Times New Roman"/>
          <w:sz w:val="24"/>
        </w:rPr>
        <w:t xml:space="preserve"> </w:t>
      </w:r>
      <w:r>
        <w:rPr>
          <w:rFonts w:ascii="Times New Roman" w:hAnsi="Times New Roman"/>
          <w:sz w:val="24"/>
        </w:rPr>
        <w:t>would create a duplication of effort</w:t>
      </w:r>
      <w:r w:rsidR="00401007">
        <w:rPr>
          <w:rFonts w:ascii="Times New Roman" w:hAnsi="Times New Roman"/>
          <w:sz w:val="24"/>
        </w:rPr>
        <w:t>,</w:t>
      </w:r>
      <w:r>
        <w:rPr>
          <w:rFonts w:ascii="Times New Roman" w:hAnsi="Times New Roman"/>
          <w:sz w:val="24"/>
        </w:rPr>
        <w:t xml:space="preserve"> which MARAD does not consider necessary to accomplish the purpose for which </w:t>
      </w:r>
      <w:r w:rsidR="00401007">
        <w:rPr>
          <w:rFonts w:ascii="Times New Roman" w:hAnsi="Times New Roman"/>
          <w:sz w:val="24"/>
        </w:rPr>
        <w:t xml:space="preserve">this </w:t>
      </w:r>
      <w:r>
        <w:rPr>
          <w:rFonts w:ascii="Times New Roman" w:hAnsi="Times New Roman"/>
          <w:sz w:val="24"/>
        </w:rPr>
        <w:t>information collection is required.</w:t>
      </w:r>
    </w:p>
    <w:p w:rsidR="00A82022" w14:paraId="31C3D369" w14:textId="77777777">
      <w:pPr>
        <w:tabs>
          <w:tab w:val="left" w:pos="-1440"/>
        </w:tabs>
        <w:ind w:left="720" w:hanging="720"/>
        <w:rPr>
          <w:b/>
        </w:rPr>
      </w:pPr>
    </w:p>
    <w:p w:rsidR="00401007" w:rsidP="000D6496" w14:paraId="24041404" w14:textId="0F174BB7">
      <w:pPr>
        <w:pStyle w:val="BodyTextIndent2"/>
        <w:numPr>
          <w:ilvl w:val="0"/>
          <w:numId w:val="15"/>
        </w:numPr>
        <w:ind w:left="720"/>
      </w:pPr>
      <w:r>
        <w:t>Impact on</w:t>
      </w:r>
      <w:r w:rsidR="00A82022">
        <w:t xml:space="preserve"> </w:t>
      </w:r>
      <w:r>
        <w:t xml:space="preserve">Small Businesses </w:t>
      </w:r>
      <w:r w:rsidR="00A82022">
        <w:t xml:space="preserve">or </w:t>
      </w:r>
      <w:r>
        <w:t>Other Small Entities</w:t>
      </w:r>
    </w:p>
    <w:p w:rsidR="00A82022" w:rsidRPr="00401007" w:rsidP="000D6496" w14:paraId="417D2C49" w14:textId="77777777">
      <w:pPr>
        <w:pStyle w:val="BodyTextIndent2"/>
        <w:ind w:firstLine="0"/>
      </w:pPr>
    </w:p>
    <w:p w:rsidR="00A82022" w:rsidP="000D6496" w14:paraId="7A18BD24" w14:textId="6E1BCDC5">
      <w:pPr>
        <w:tabs>
          <w:tab w:val="left" w:pos="-1440"/>
        </w:tabs>
        <w:ind w:left="720"/>
      </w:pPr>
      <w:r>
        <w:t xml:space="preserve">This collection does not affect small businesses or other small entities. </w:t>
      </w:r>
    </w:p>
    <w:p w:rsidR="00A82022" w14:paraId="221CF901" w14:textId="77777777">
      <w:pPr>
        <w:tabs>
          <w:tab w:val="left" w:pos="-1440"/>
        </w:tabs>
        <w:ind w:left="720" w:hanging="720"/>
        <w:rPr>
          <w:b/>
        </w:rPr>
      </w:pPr>
    </w:p>
    <w:p w:rsidR="00401007" w:rsidP="000D6496" w14:paraId="40706A5E" w14:textId="77B7C1C8">
      <w:pPr>
        <w:pStyle w:val="BodyTextIndent2"/>
        <w:numPr>
          <w:ilvl w:val="0"/>
          <w:numId w:val="15"/>
        </w:numPr>
        <w:ind w:left="720"/>
      </w:pPr>
      <w:r>
        <w:t>Impact of</w:t>
      </w:r>
      <w:r w:rsidR="00A82022">
        <w:t xml:space="preserve"> </w:t>
      </w:r>
      <w:r>
        <w:t>Not C</w:t>
      </w:r>
      <w:r w:rsidR="00A82022">
        <w:t>onduct</w:t>
      </w:r>
      <w:r>
        <w:t>ing</w:t>
      </w:r>
      <w:r w:rsidR="00A82022">
        <w:t xml:space="preserve"> or </w:t>
      </w:r>
      <w:r>
        <w:t>L</w:t>
      </w:r>
      <w:r w:rsidR="00A82022">
        <w:t xml:space="preserve">ess </w:t>
      </w:r>
      <w:r>
        <w:t xml:space="preserve">Frequent Collection of Information </w:t>
      </w:r>
    </w:p>
    <w:p w:rsidR="00401007" w:rsidP="000D6496" w14:paraId="1A71689B" w14:textId="5F91FB2F">
      <w:pPr>
        <w:tabs>
          <w:tab w:val="left" w:pos="-1440"/>
        </w:tabs>
      </w:pPr>
    </w:p>
    <w:p w:rsidR="00605973" w14:paraId="41E7E729" w14:textId="7E5E18B5">
      <w:pPr>
        <w:tabs>
          <w:tab w:val="left" w:pos="-1440"/>
        </w:tabs>
        <w:ind w:left="720" w:hanging="720"/>
      </w:pPr>
      <w:r>
        <w:t xml:space="preserve">           </w:t>
      </w:r>
      <w:r>
        <w:t>The continued approval of foreign underwriters is needed to review financial statements and underwrite insurance on MARAD program vessels. These insurance policies typically last for less than a year. Less frequent collection of data for this collection would increase the risk that a change in financial condition will go unnoticed, which could result in inadequately insured vessels in which MARAD has an interest. MARAD accepts</w:t>
      </w:r>
      <w:r w:rsidRPr="00605973">
        <w:t xml:space="preserve"> financial statements </w:t>
      </w:r>
      <w:r>
        <w:t xml:space="preserve">that are </w:t>
      </w:r>
      <w:r w:rsidRPr="00605973">
        <w:t>already in use in the foreign insurer’s country of domicil</w:t>
      </w:r>
      <w:r>
        <w:t>e. This ensures that this</w:t>
      </w:r>
      <w:r w:rsidRPr="00605973">
        <w:t xml:space="preserve"> annual </w:t>
      </w:r>
      <w:r>
        <w:t xml:space="preserve">data </w:t>
      </w:r>
      <w:r w:rsidRPr="00605973">
        <w:t xml:space="preserve">collection </w:t>
      </w:r>
      <w:r>
        <w:t xml:space="preserve">effort has a minimal burden on </w:t>
      </w:r>
      <w:r w:rsidRPr="00605973">
        <w:t>respondents.</w:t>
      </w:r>
      <w:r>
        <w:t xml:space="preserve">   </w:t>
      </w:r>
    </w:p>
    <w:p w:rsidR="00A82022" w:rsidP="000D6496" w14:paraId="00A952E4" w14:textId="77777777">
      <w:pPr>
        <w:tabs>
          <w:tab w:val="left" w:pos="-1440"/>
        </w:tabs>
        <w:rPr>
          <w:b/>
        </w:rPr>
      </w:pPr>
    </w:p>
    <w:p w:rsidR="00A82022" w:rsidP="000D6496" w14:paraId="7ADDAB99" w14:textId="7F4FF69E">
      <w:pPr>
        <w:pStyle w:val="BodyTextIndent2"/>
        <w:numPr>
          <w:ilvl w:val="0"/>
          <w:numId w:val="15"/>
        </w:numPr>
        <w:ind w:left="720"/>
      </w:pPr>
      <w:r>
        <w:t>S</w:t>
      </w:r>
      <w:r>
        <w:t xml:space="preserve">pecial </w:t>
      </w:r>
      <w:r>
        <w:t>Circumstances Relating to the Guidelines 5 CFR 1320.5</w:t>
      </w:r>
    </w:p>
    <w:p w:rsidR="00A82022" w14:paraId="1EBBF1D0" w14:textId="77777777"/>
    <w:p w:rsidR="00A82022" w14:paraId="2B3881EB" w14:textId="31AD54D9">
      <w:pPr>
        <w:pStyle w:val="PlainText"/>
        <w:ind w:left="720"/>
        <w:rPr>
          <w:rFonts w:ascii="Times New Roman" w:hAnsi="Times New Roman"/>
          <w:sz w:val="24"/>
        </w:rPr>
      </w:pPr>
      <w:r>
        <w:rPr>
          <w:rFonts w:ascii="Times New Roman" w:hAnsi="Times New Roman"/>
          <w:sz w:val="24"/>
        </w:rPr>
        <w:t xml:space="preserve">There are no special circumstances that require this collection of information to </w:t>
      </w:r>
      <w:r w:rsidR="000D6496">
        <w:rPr>
          <w:rFonts w:ascii="Times New Roman" w:hAnsi="Times New Roman"/>
          <w:sz w:val="24"/>
        </w:rPr>
        <w:t>be conducted</w:t>
      </w:r>
      <w:r>
        <w:rPr>
          <w:rFonts w:ascii="Times New Roman" w:hAnsi="Times New Roman"/>
          <w:sz w:val="24"/>
        </w:rPr>
        <w:t xml:space="preserve"> in a manner described </w:t>
      </w:r>
      <w:r w:rsidR="00BB25F6">
        <w:rPr>
          <w:rFonts w:ascii="Times New Roman" w:hAnsi="Times New Roman"/>
          <w:sz w:val="24"/>
        </w:rPr>
        <w:t>below:</w:t>
      </w:r>
    </w:p>
    <w:p w:rsidR="00BB25F6" w14:paraId="7C464AF3" w14:textId="77777777">
      <w:pPr>
        <w:pStyle w:val="PlainText"/>
        <w:ind w:left="720"/>
        <w:rPr>
          <w:rFonts w:ascii="Times New Roman" w:hAnsi="Times New Roman"/>
          <w:sz w:val="24"/>
        </w:rPr>
      </w:pPr>
    </w:p>
    <w:p w:rsidR="00BB25F6" w:rsidRPr="00C94597" w:rsidP="000D6496" w14:paraId="0CBF1775" w14:textId="77777777">
      <w:pPr>
        <w:numPr>
          <w:ilvl w:val="0"/>
          <w:numId w:val="17"/>
        </w:numPr>
        <w:autoSpaceDE w:val="0"/>
        <w:autoSpaceDN w:val="0"/>
        <w:adjustRightInd w:val="0"/>
        <w:ind w:left="1170" w:hanging="450"/>
        <w:contextualSpacing/>
        <w:rPr>
          <w:bCs/>
          <w:szCs w:val="24"/>
        </w:rPr>
      </w:pPr>
      <w:bookmarkStart w:id="3" w:name="_Hlk171599270"/>
      <w:r w:rsidRPr="00C94597">
        <w:rPr>
          <w:bCs/>
          <w:szCs w:val="24"/>
        </w:rPr>
        <w:t>Requiring respondents to report information to MARAD more often than quarterly;</w:t>
      </w:r>
    </w:p>
    <w:p w:rsidR="00BB25F6" w:rsidRPr="00C94597" w:rsidP="000D6496" w14:paraId="19F3A824" w14:textId="77777777">
      <w:pPr>
        <w:numPr>
          <w:ilvl w:val="0"/>
          <w:numId w:val="17"/>
        </w:numPr>
        <w:autoSpaceDE w:val="0"/>
        <w:autoSpaceDN w:val="0"/>
        <w:adjustRightInd w:val="0"/>
        <w:ind w:left="1170" w:hanging="450"/>
        <w:contextualSpacing/>
        <w:rPr>
          <w:bCs/>
          <w:szCs w:val="24"/>
        </w:rPr>
      </w:pPr>
      <w:r w:rsidRPr="00C94597">
        <w:rPr>
          <w:bCs/>
          <w:szCs w:val="24"/>
        </w:rPr>
        <w:t>Requiring respondents to prepare a written response in fewer than 30 days after receipt of a collection instrument;</w:t>
      </w:r>
    </w:p>
    <w:p w:rsidR="00BB25F6" w:rsidRPr="00C94597" w:rsidP="000D6496" w14:paraId="33862F3E" w14:textId="77777777">
      <w:pPr>
        <w:numPr>
          <w:ilvl w:val="0"/>
          <w:numId w:val="17"/>
        </w:numPr>
        <w:autoSpaceDE w:val="0"/>
        <w:autoSpaceDN w:val="0"/>
        <w:adjustRightInd w:val="0"/>
        <w:ind w:left="1170" w:hanging="450"/>
        <w:contextualSpacing/>
        <w:rPr>
          <w:bCs/>
          <w:szCs w:val="24"/>
        </w:rPr>
      </w:pPr>
      <w:r w:rsidRPr="00C94597">
        <w:rPr>
          <w:bCs/>
          <w:szCs w:val="24"/>
        </w:rPr>
        <w:t>Requiring respondents to submit more than one original copy of any document;</w:t>
      </w:r>
    </w:p>
    <w:p w:rsidR="00BB25F6" w:rsidRPr="00C94597" w:rsidP="000D6496" w14:paraId="3DCF1FE9" w14:textId="77777777">
      <w:pPr>
        <w:numPr>
          <w:ilvl w:val="0"/>
          <w:numId w:val="17"/>
        </w:numPr>
        <w:autoSpaceDE w:val="0"/>
        <w:autoSpaceDN w:val="0"/>
        <w:adjustRightInd w:val="0"/>
        <w:ind w:left="1170" w:hanging="450"/>
        <w:contextualSpacing/>
        <w:rPr>
          <w:bCs/>
          <w:szCs w:val="24"/>
        </w:rPr>
      </w:pPr>
      <w:r w:rsidRPr="00C94597">
        <w:rPr>
          <w:bCs/>
          <w:szCs w:val="24"/>
        </w:rPr>
        <w:t>Requiring respondents to retain records, other than health, medical, government contract, grant-in-aid, or tax records for more than three years;</w:t>
      </w:r>
    </w:p>
    <w:p w:rsidR="00BB25F6" w:rsidRPr="00C94597" w:rsidP="000D6496" w14:paraId="4E0804EF" w14:textId="77777777">
      <w:pPr>
        <w:numPr>
          <w:ilvl w:val="0"/>
          <w:numId w:val="17"/>
        </w:numPr>
        <w:autoSpaceDE w:val="0"/>
        <w:autoSpaceDN w:val="0"/>
        <w:adjustRightInd w:val="0"/>
        <w:ind w:left="1170" w:hanging="450"/>
        <w:contextualSpacing/>
        <w:rPr>
          <w:bCs/>
          <w:szCs w:val="24"/>
        </w:rPr>
      </w:pPr>
      <w:r w:rsidRPr="00C94597">
        <w:rPr>
          <w:bCs/>
          <w:szCs w:val="24"/>
        </w:rPr>
        <w:t>Requiring the use of any statistical data that is not designed to produce valid and reliable results that can be generalized to the universe of study;</w:t>
      </w:r>
    </w:p>
    <w:p w:rsidR="00BB25F6" w:rsidRPr="00C94597" w:rsidP="000D6496" w14:paraId="24B2361E" w14:textId="77777777">
      <w:pPr>
        <w:numPr>
          <w:ilvl w:val="0"/>
          <w:numId w:val="17"/>
        </w:numPr>
        <w:autoSpaceDE w:val="0"/>
        <w:autoSpaceDN w:val="0"/>
        <w:adjustRightInd w:val="0"/>
        <w:ind w:left="1170" w:hanging="450"/>
        <w:contextualSpacing/>
        <w:rPr>
          <w:bCs/>
          <w:szCs w:val="24"/>
        </w:rPr>
      </w:pPr>
      <w:r w:rsidRPr="00C94597">
        <w:rPr>
          <w:bCs/>
          <w:szCs w:val="24"/>
        </w:rPr>
        <w:t xml:space="preserve">Requiring the use of a statistical data classification that has not been reviewed and </w:t>
      </w:r>
      <w:r w:rsidRPr="00C94597">
        <w:rPr>
          <w:bCs/>
          <w:szCs w:val="24"/>
        </w:rPr>
        <w:t>approved by OMB;</w:t>
      </w:r>
    </w:p>
    <w:p w:rsidR="00BB25F6" w:rsidRPr="00C94597" w:rsidP="000D6496" w14:paraId="63D2E8F3" w14:textId="77777777">
      <w:pPr>
        <w:numPr>
          <w:ilvl w:val="0"/>
          <w:numId w:val="17"/>
        </w:numPr>
        <w:autoSpaceDE w:val="0"/>
        <w:autoSpaceDN w:val="0"/>
        <w:adjustRightInd w:val="0"/>
        <w:ind w:left="1170" w:hanging="450"/>
        <w:contextualSpacing/>
        <w:rPr>
          <w:bCs/>
          <w:szCs w:val="24"/>
        </w:rPr>
      </w:pPr>
      <w:r>
        <w:rPr>
          <w:bCs/>
          <w:szCs w:val="24"/>
        </w:rPr>
        <w:t>Requiring any</w:t>
      </w:r>
      <w:r w:rsidRPr="00C94597">
        <w:rPr>
          <w:bCs/>
          <w:szCs w:val="24"/>
        </w:rPr>
        <w:t xml:space="preserve"> pledge of confidentiality</w:t>
      </w:r>
      <w:r>
        <w:rPr>
          <w:bCs/>
          <w:szCs w:val="24"/>
        </w:rPr>
        <w:t xml:space="preserve">; </w:t>
      </w:r>
      <w:r w:rsidRPr="00C94597">
        <w:rPr>
          <w:bCs/>
          <w:szCs w:val="24"/>
        </w:rPr>
        <w:t xml:space="preserve">or </w:t>
      </w:r>
    </w:p>
    <w:p w:rsidR="00BB25F6" w:rsidRPr="00C94597" w:rsidP="000D6496" w14:paraId="2D3F9A21" w14:textId="77777777">
      <w:pPr>
        <w:numPr>
          <w:ilvl w:val="0"/>
          <w:numId w:val="17"/>
        </w:numPr>
        <w:autoSpaceDE w:val="0"/>
        <w:autoSpaceDN w:val="0"/>
        <w:adjustRightInd w:val="0"/>
        <w:ind w:left="1170" w:hanging="450"/>
        <w:contextualSpacing/>
        <w:rPr>
          <w:bCs/>
          <w:szCs w:val="24"/>
        </w:rPr>
      </w:pPr>
      <w:r w:rsidRPr="00C94597">
        <w:rPr>
          <w:bCs/>
          <w:szCs w:val="24"/>
        </w:rPr>
        <w:t xml:space="preserve">Requiring respondents to submit </w:t>
      </w:r>
      <w:r>
        <w:rPr>
          <w:bCs/>
          <w:szCs w:val="24"/>
        </w:rPr>
        <w:t xml:space="preserve">any </w:t>
      </w:r>
      <w:r w:rsidRPr="00C94597">
        <w:rPr>
          <w:bCs/>
          <w:szCs w:val="24"/>
        </w:rPr>
        <w:t>proprietary</w:t>
      </w:r>
      <w:r>
        <w:rPr>
          <w:bCs/>
          <w:szCs w:val="24"/>
        </w:rPr>
        <w:t xml:space="preserve"> or</w:t>
      </w:r>
      <w:r w:rsidRPr="00C94597">
        <w:rPr>
          <w:bCs/>
          <w:szCs w:val="24"/>
        </w:rPr>
        <w:t xml:space="preserve"> trade secret</w:t>
      </w:r>
      <w:r>
        <w:rPr>
          <w:bCs/>
          <w:szCs w:val="24"/>
        </w:rPr>
        <w:t>s</w:t>
      </w:r>
      <w:r w:rsidRPr="00C94597">
        <w:rPr>
          <w:bCs/>
          <w:szCs w:val="24"/>
        </w:rPr>
        <w:t>.</w:t>
      </w:r>
    </w:p>
    <w:bookmarkEnd w:id="3"/>
    <w:p w:rsidR="00A82022" w14:paraId="31DCE78B" w14:textId="77777777">
      <w:pPr>
        <w:rPr>
          <w:b/>
        </w:rPr>
      </w:pPr>
    </w:p>
    <w:p w:rsidR="00116EB8" w:rsidRPr="000D6496" w:rsidP="000D6496" w14:paraId="69C4AAC9" w14:textId="0DF558E3">
      <w:pPr>
        <w:pStyle w:val="ListParagraph"/>
        <w:numPr>
          <w:ilvl w:val="0"/>
          <w:numId w:val="15"/>
        </w:numPr>
        <w:tabs>
          <w:tab w:val="left" w:pos="-1440"/>
        </w:tabs>
        <w:ind w:left="720" w:hanging="270"/>
        <w:rPr>
          <w:b/>
        </w:rPr>
      </w:pPr>
      <w:r>
        <w:rPr>
          <w:b/>
        </w:rPr>
        <w:t>P</w:t>
      </w:r>
      <w:r w:rsidRPr="000D6496" w:rsidR="00A82022">
        <w:rPr>
          <w:b/>
        </w:rPr>
        <w:t xml:space="preserve">ublic </w:t>
      </w:r>
      <w:r>
        <w:rPr>
          <w:b/>
        </w:rPr>
        <w:t>C</w:t>
      </w:r>
      <w:r w:rsidRPr="000D6496">
        <w:rPr>
          <w:b/>
        </w:rPr>
        <w:t>omments</w:t>
      </w:r>
      <w:r w:rsidRPr="000D6496" w:rsidR="00A82022">
        <w:rPr>
          <w:b/>
        </w:rPr>
        <w:t xml:space="preserve"> in </w:t>
      </w:r>
      <w:r>
        <w:rPr>
          <w:b/>
        </w:rPr>
        <w:t>R</w:t>
      </w:r>
      <w:r w:rsidRPr="000D6496">
        <w:rPr>
          <w:b/>
        </w:rPr>
        <w:t xml:space="preserve">esponse </w:t>
      </w:r>
      <w:r w:rsidRPr="000D6496" w:rsidR="00A82022">
        <w:rPr>
          <w:b/>
        </w:rPr>
        <w:t xml:space="preserve">to </w:t>
      </w:r>
      <w:r>
        <w:rPr>
          <w:b/>
        </w:rPr>
        <w:t>the Federal Register Notice and Outside Consultation</w:t>
      </w:r>
    </w:p>
    <w:p w:rsidR="00A82022" w:rsidP="000D6496" w14:paraId="09F8A302" w14:textId="77777777">
      <w:pPr>
        <w:pStyle w:val="ListParagraph"/>
        <w:tabs>
          <w:tab w:val="left" w:pos="-1440"/>
        </w:tabs>
        <w:ind w:hanging="270"/>
      </w:pPr>
    </w:p>
    <w:p w:rsidR="000D6496" w:rsidRPr="0039295B" w:rsidP="0039295B" w14:paraId="67B63768" w14:textId="4B70ED75">
      <w:pPr>
        <w:ind w:left="720"/>
        <w:rPr>
          <w:snapToGrid/>
          <w:szCs w:val="24"/>
        </w:rPr>
      </w:pPr>
      <w:bookmarkStart w:id="4" w:name="_Hlk133402302"/>
      <w:r w:rsidRPr="0039295B">
        <w:rPr>
          <w:szCs w:val="24"/>
        </w:rPr>
        <w:t xml:space="preserve">MARAD published a 60-day notice and request for comments on this information collection in the Federal Register (FR </w:t>
      </w:r>
      <w:r w:rsidR="00FA5961">
        <w:rPr>
          <w:szCs w:val="24"/>
        </w:rPr>
        <w:t>65011</w:t>
      </w:r>
      <w:r w:rsidRPr="0039295B">
        <w:rPr>
          <w:szCs w:val="24"/>
        </w:rPr>
        <w:t xml:space="preserve">, Vol </w:t>
      </w:r>
      <w:r w:rsidRPr="0039295B" w:rsidR="0039295B">
        <w:rPr>
          <w:szCs w:val="24"/>
        </w:rPr>
        <w:t>89</w:t>
      </w:r>
      <w:r w:rsidRPr="0039295B">
        <w:rPr>
          <w:szCs w:val="24"/>
        </w:rPr>
        <w:t xml:space="preserve">, No. </w:t>
      </w:r>
      <w:r w:rsidRPr="0039295B" w:rsidR="0039295B">
        <w:rPr>
          <w:szCs w:val="24"/>
        </w:rPr>
        <w:t>153</w:t>
      </w:r>
      <w:r w:rsidRPr="0039295B">
        <w:rPr>
          <w:szCs w:val="24"/>
        </w:rPr>
        <w:t xml:space="preserve">) on </w:t>
      </w:r>
      <w:r w:rsidRPr="0039295B" w:rsidR="0039295B">
        <w:rPr>
          <w:szCs w:val="24"/>
        </w:rPr>
        <w:t>August 8th</w:t>
      </w:r>
      <w:r w:rsidRPr="0039295B">
        <w:rPr>
          <w:szCs w:val="24"/>
        </w:rPr>
        <w:t xml:space="preserve">, </w:t>
      </w:r>
      <w:r w:rsidRPr="0039295B" w:rsidR="0039295B">
        <w:rPr>
          <w:szCs w:val="24"/>
        </w:rPr>
        <w:t>2024</w:t>
      </w:r>
      <w:r w:rsidRPr="0039295B">
        <w:rPr>
          <w:szCs w:val="24"/>
        </w:rPr>
        <w:t xml:space="preserve">, indicating comments should be submitted on or before </w:t>
      </w:r>
      <w:r w:rsidRPr="0039295B" w:rsidR="0039295B">
        <w:rPr>
          <w:szCs w:val="24"/>
        </w:rPr>
        <w:t>October 7, 2024</w:t>
      </w:r>
      <w:r w:rsidRPr="0039295B">
        <w:rPr>
          <w:szCs w:val="24"/>
        </w:rPr>
        <w:t>. No comments were received</w:t>
      </w:r>
      <w:r w:rsidRPr="0039295B" w:rsidR="0039295B">
        <w:rPr>
          <w:szCs w:val="24"/>
        </w:rPr>
        <w:t>.</w:t>
      </w:r>
      <w:r w:rsidR="00FA5961">
        <w:rPr>
          <w:szCs w:val="24"/>
        </w:rPr>
        <w:t xml:space="preserve"> </w:t>
      </w:r>
      <w:r w:rsidRPr="0039295B">
        <w:rPr>
          <w:szCs w:val="24"/>
        </w:rPr>
        <w:t>A 30-day notice will now be published in the Federal Register to solicit public comments.</w:t>
      </w:r>
      <w:bookmarkEnd w:id="4"/>
    </w:p>
    <w:p w:rsidR="005F181C" w:rsidRPr="00BB46B7" w:rsidP="005F181C" w14:paraId="0D5031E8" w14:textId="77777777">
      <w:pPr>
        <w:rPr>
          <w:b/>
          <w:szCs w:val="24"/>
        </w:rPr>
      </w:pPr>
    </w:p>
    <w:p w:rsidR="00116EB8" w:rsidRPr="000D6496" w:rsidP="000D6496" w14:paraId="38058830" w14:textId="6508FABC">
      <w:pPr>
        <w:pStyle w:val="ListParagraph"/>
        <w:numPr>
          <w:ilvl w:val="0"/>
          <w:numId w:val="15"/>
        </w:numPr>
        <w:tabs>
          <w:tab w:val="left" w:pos="-1440"/>
          <w:tab w:val="left" w:pos="540"/>
        </w:tabs>
        <w:ind w:left="720" w:hanging="270"/>
        <w:rPr>
          <w:b/>
        </w:rPr>
      </w:pPr>
      <w:r w:rsidRPr="000D6496">
        <w:rPr>
          <w:b/>
        </w:rPr>
        <w:t>Expla</w:t>
      </w:r>
      <w:r w:rsidRPr="00116EB8">
        <w:rPr>
          <w:b/>
        </w:rPr>
        <w:t xml:space="preserve">nation of Any Payments of Gifts to Respondents </w:t>
      </w:r>
    </w:p>
    <w:p w:rsidR="00A82022" w:rsidP="000D6496" w14:paraId="66715AE2" w14:textId="77777777">
      <w:pPr>
        <w:pStyle w:val="ListParagraph"/>
        <w:tabs>
          <w:tab w:val="left" w:pos="-1440"/>
          <w:tab w:val="left" w:pos="540"/>
        </w:tabs>
      </w:pPr>
    </w:p>
    <w:p w:rsidR="00A82022" w14:paraId="25B88152" w14:textId="77777777">
      <w:pPr>
        <w:ind w:left="720"/>
      </w:pPr>
      <w:r>
        <w:t>No payments or gifts are provided to respondents.</w:t>
      </w:r>
    </w:p>
    <w:p w:rsidR="00A82022" w14:paraId="3245EBE0" w14:textId="77777777">
      <w:pPr>
        <w:ind w:left="720"/>
        <w:rPr>
          <w:b/>
        </w:rPr>
      </w:pPr>
    </w:p>
    <w:p w:rsidR="00A82022" w:rsidRPr="000D6496" w:rsidP="000D6496" w14:paraId="3F76B5FC" w14:textId="20A5D05F">
      <w:pPr>
        <w:pStyle w:val="ListParagraph"/>
        <w:numPr>
          <w:ilvl w:val="0"/>
          <w:numId w:val="15"/>
        </w:numPr>
        <w:tabs>
          <w:tab w:val="left" w:pos="-1440"/>
        </w:tabs>
        <w:ind w:left="720" w:hanging="450"/>
        <w:rPr>
          <w:b/>
        </w:rPr>
      </w:pPr>
      <w:r>
        <w:rPr>
          <w:b/>
        </w:rPr>
        <w:t>A</w:t>
      </w:r>
      <w:r w:rsidRPr="000D6496">
        <w:rPr>
          <w:b/>
        </w:rPr>
        <w:t xml:space="preserve">ssurance of </w:t>
      </w:r>
      <w:r>
        <w:rPr>
          <w:b/>
        </w:rPr>
        <w:t>C</w:t>
      </w:r>
      <w:r w:rsidRPr="000D6496">
        <w:rPr>
          <w:b/>
        </w:rPr>
        <w:t xml:space="preserve">onfidentiality </w:t>
      </w:r>
      <w:r>
        <w:rPr>
          <w:b/>
        </w:rPr>
        <w:t xml:space="preserve">and Protection of Privacy </w:t>
      </w:r>
    </w:p>
    <w:p w:rsidR="00D56B11" w:rsidP="00D56B11" w14:paraId="48305492" w14:textId="77777777">
      <w:pPr>
        <w:tabs>
          <w:tab w:val="left" w:pos="-1440"/>
        </w:tabs>
        <w:ind w:left="720"/>
        <w:rPr>
          <w:b/>
        </w:rPr>
      </w:pPr>
    </w:p>
    <w:p w:rsidR="00D56B11" w:rsidP="00D56B11" w14:paraId="01293E95" w14:textId="34B96A98">
      <w:pPr>
        <w:pStyle w:val="PlainText"/>
        <w:ind w:left="720"/>
        <w:rPr>
          <w:rFonts w:ascii="Times New Roman" w:hAnsi="Times New Roman"/>
          <w:snapToGrid w:val="0"/>
          <w:sz w:val="24"/>
          <w:szCs w:val="24"/>
        </w:rPr>
      </w:pPr>
      <w:r w:rsidRPr="00D56B11">
        <w:rPr>
          <w:rFonts w:ascii="Times New Roman" w:hAnsi="Times New Roman"/>
          <w:snapToGrid w:val="0"/>
          <w:sz w:val="24"/>
          <w:szCs w:val="24"/>
        </w:rPr>
        <w:t>There are no assurances of confidentiality provided to respondents.</w:t>
      </w:r>
      <w:r>
        <w:rPr>
          <w:rFonts w:ascii="Times New Roman" w:hAnsi="Times New Roman"/>
          <w:snapToGrid w:val="0"/>
          <w:color w:val="FF0000"/>
          <w:sz w:val="24"/>
          <w:szCs w:val="24"/>
        </w:rPr>
        <w:t xml:space="preserve"> </w:t>
      </w:r>
      <w:r>
        <w:rPr>
          <w:rFonts w:ascii="Times New Roman" w:hAnsi="Times New Roman"/>
          <w:snapToGrid w:val="0"/>
          <w:sz w:val="24"/>
          <w:szCs w:val="24"/>
        </w:rPr>
        <w:t>Some of the data submitted is likely to be public information, being a part of the normal published financial reports of the foreign insurers seeking to obtain authorization to write hull insurance on MARAD program vessels.</w:t>
      </w:r>
      <w:r w:rsidR="00122E65">
        <w:rPr>
          <w:rFonts w:ascii="Times New Roman" w:hAnsi="Times New Roman"/>
          <w:snapToGrid w:val="0"/>
          <w:sz w:val="24"/>
          <w:szCs w:val="24"/>
        </w:rPr>
        <w:t xml:space="preserve"> </w:t>
      </w:r>
      <w:r>
        <w:rPr>
          <w:rFonts w:ascii="Times New Roman" w:hAnsi="Times New Roman"/>
          <w:snapToGrid w:val="0"/>
          <w:sz w:val="24"/>
          <w:szCs w:val="24"/>
        </w:rPr>
        <w:t xml:space="preserve">Other financial data would be business sensitive and </w:t>
      </w:r>
      <w:r w:rsidRPr="00D56B11">
        <w:rPr>
          <w:rFonts w:ascii="Times New Roman" w:hAnsi="Times New Roman"/>
          <w:snapToGrid w:val="0"/>
          <w:sz w:val="24"/>
          <w:szCs w:val="24"/>
        </w:rPr>
        <w:t>protected accordingly</w:t>
      </w:r>
      <w:r>
        <w:rPr>
          <w:rFonts w:ascii="Times New Roman" w:hAnsi="Times New Roman"/>
          <w:snapToGrid w:val="0"/>
          <w:color w:val="FF0000"/>
          <w:sz w:val="24"/>
          <w:szCs w:val="24"/>
        </w:rPr>
        <w:t xml:space="preserve"> </w:t>
      </w:r>
      <w:r>
        <w:rPr>
          <w:rFonts w:ascii="Times New Roman" w:hAnsi="Times New Roman"/>
          <w:snapToGrid w:val="0"/>
          <w:sz w:val="24"/>
          <w:szCs w:val="24"/>
        </w:rPr>
        <w:t>by MARAD.</w:t>
      </w:r>
    </w:p>
    <w:p w:rsidR="00A82022" w14:paraId="26528FEE" w14:textId="77777777">
      <w:pPr>
        <w:tabs>
          <w:tab w:val="left" w:pos="-1440"/>
        </w:tabs>
        <w:ind w:left="720" w:hanging="720"/>
        <w:rPr>
          <w:b/>
        </w:rPr>
      </w:pPr>
    </w:p>
    <w:p w:rsidR="00A82022" w:rsidRPr="000D6496" w:rsidP="000D6496" w14:paraId="486860F9" w14:textId="1E42D60C">
      <w:pPr>
        <w:pStyle w:val="ListParagraph"/>
        <w:numPr>
          <w:ilvl w:val="0"/>
          <w:numId w:val="15"/>
        </w:numPr>
        <w:tabs>
          <w:tab w:val="left" w:pos="-1440"/>
        </w:tabs>
        <w:ind w:hanging="180"/>
        <w:rPr>
          <w:b/>
        </w:rPr>
      </w:pPr>
      <w:r>
        <w:rPr>
          <w:b/>
        </w:rPr>
        <w:t>J</w:t>
      </w:r>
      <w:r w:rsidRPr="000D6496">
        <w:rPr>
          <w:b/>
        </w:rPr>
        <w:t xml:space="preserve">ustification for </w:t>
      </w:r>
      <w:r>
        <w:rPr>
          <w:b/>
        </w:rPr>
        <w:t>S</w:t>
      </w:r>
      <w:r w:rsidRPr="000D6496">
        <w:rPr>
          <w:b/>
        </w:rPr>
        <w:t xml:space="preserve">ensitive </w:t>
      </w:r>
      <w:r>
        <w:rPr>
          <w:b/>
        </w:rPr>
        <w:t>Questions</w:t>
      </w:r>
      <w:r w:rsidRPr="000D6496">
        <w:rPr>
          <w:b/>
        </w:rPr>
        <w:t xml:space="preserve">   </w:t>
      </w:r>
    </w:p>
    <w:p w:rsidR="00A82022" w14:paraId="675D08AF" w14:textId="77777777">
      <w:pPr>
        <w:ind w:left="720"/>
      </w:pPr>
    </w:p>
    <w:p w:rsidR="00A82022" w14:paraId="77230A05" w14:textId="3FA3D928">
      <w:pPr>
        <w:ind w:left="720"/>
      </w:pPr>
      <w:r>
        <w:t>There are no questions of a sensitive nature.</w:t>
      </w:r>
    </w:p>
    <w:p w:rsidR="00A82022" w14:paraId="164469F7" w14:textId="77777777">
      <w:pPr>
        <w:ind w:left="720"/>
        <w:rPr>
          <w:b/>
        </w:rPr>
      </w:pPr>
    </w:p>
    <w:p w:rsidR="00A82022" w:rsidRPr="000D6496" w:rsidP="000D6496" w14:paraId="59A1DDDA" w14:textId="5CC59543">
      <w:pPr>
        <w:pStyle w:val="ListParagraph"/>
        <w:numPr>
          <w:ilvl w:val="0"/>
          <w:numId w:val="15"/>
        </w:numPr>
        <w:tabs>
          <w:tab w:val="left" w:pos="-1440"/>
        </w:tabs>
        <w:ind w:left="720" w:hanging="450"/>
        <w:rPr>
          <w:b/>
        </w:rPr>
      </w:pPr>
      <w:r>
        <w:rPr>
          <w:b/>
        </w:rPr>
        <w:t>Estimate of Annualized Burden Hours and Cost</w:t>
      </w:r>
      <w:r w:rsidRPr="000D6496">
        <w:rPr>
          <w:b/>
        </w:rPr>
        <w:t xml:space="preserve">  </w:t>
      </w:r>
    </w:p>
    <w:p w:rsidR="00A82022" w:rsidP="000D6496" w14:paraId="31C8EC15" w14:textId="77777777">
      <w:pPr>
        <w:pStyle w:val="Footer"/>
        <w:tabs>
          <w:tab w:val="clear" w:pos="4320"/>
          <w:tab w:val="clear" w:pos="8640"/>
        </w:tabs>
        <w:ind w:left="720" w:hanging="450"/>
      </w:pPr>
    </w:p>
    <w:p w:rsidR="00D06433" w:rsidP="00C72715" w14:paraId="71C158C6" w14:textId="77777777">
      <w:pPr>
        <w:pStyle w:val="ListParagraph"/>
        <w:numPr>
          <w:ilvl w:val="0"/>
          <w:numId w:val="19"/>
        </w:numPr>
        <w:rPr>
          <w:b/>
          <w:bCs/>
        </w:rPr>
      </w:pPr>
      <w:r w:rsidRPr="000D6496">
        <w:rPr>
          <w:b/>
          <w:bCs/>
        </w:rPr>
        <w:t xml:space="preserve">Estimated Annualized Burden Hours </w:t>
      </w:r>
    </w:p>
    <w:p w:rsidR="00AA4B26" w:rsidP="00C72715" w14:paraId="4BBB3A39" w14:textId="77777777">
      <w:pPr>
        <w:ind w:left="720"/>
        <w:rPr>
          <w:b/>
          <w:bCs/>
        </w:rPr>
      </w:pPr>
    </w:p>
    <w:p w:rsidR="00AA4B26" w:rsidP="00C72715" w14:paraId="704E349E" w14:textId="3DBDB513">
      <w:pPr>
        <w:ind w:left="720"/>
      </w:pPr>
      <w:r>
        <w:t>An estimated 32 insurance underwriters</w:t>
      </w:r>
      <w:r w:rsidR="001E788F">
        <w:t xml:space="preserve"> </w:t>
      </w:r>
      <w:r>
        <w:t xml:space="preserve">will meet the approval criteria established by </w:t>
      </w:r>
      <w:r w:rsidR="001E788F">
        <w:t>MARAD and</w:t>
      </w:r>
      <w:r>
        <w:t xml:space="preserve"> use their financial statement to support their application to underwrite </w:t>
      </w:r>
      <w:r w:rsidR="00122E65">
        <w:t xml:space="preserve">hull </w:t>
      </w:r>
      <w:r w:rsidR="001E788F">
        <w:t>insurance</w:t>
      </w:r>
      <w:r>
        <w:t xml:space="preserve"> for MARAD program vessel</w:t>
      </w:r>
      <w:r w:rsidR="00DF7B49">
        <w:t>s</w:t>
      </w:r>
      <w:r>
        <w:t>. Each underwriter will take approximately one hour to prepare and submit</w:t>
      </w:r>
      <w:r w:rsidR="001E788F">
        <w:t xml:space="preserve"> these</w:t>
      </w:r>
      <w:r>
        <w:t xml:space="preserve"> reports to </w:t>
      </w:r>
      <w:r w:rsidR="001E788F">
        <w:t xml:space="preserve">MARAD </w:t>
      </w:r>
      <w:r>
        <w:t>once annually. Therefore</w:t>
      </w:r>
      <w:r w:rsidR="001E788F">
        <w:t>,</w:t>
      </w:r>
      <w:r>
        <w:t xml:space="preserve"> the total burden associated with the insurance underwriters is 32 hours.</w:t>
      </w:r>
      <w:r w:rsidRPr="00AA4B26">
        <w:t xml:space="preserve"> The one exception to this would occur if an English language version of the regulatory regime in place in the applicant's country of domicile is not available. MARAD must have an English language version in order to be able to evaluate the adequacy of the regulatory environment in which the foreign underwriters must operate.</w:t>
      </w:r>
    </w:p>
    <w:p w:rsidR="00AA4B26" w:rsidP="00C72715" w14:paraId="4B568427" w14:textId="77777777">
      <w:pPr>
        <w:ind w:left="720"/>
      </w:pPr>
    </w:p>
    <w:p w:rsidR="00FB2AC4" w:rsidP="00FB2AC4" w14:paraId="7CC1B332" w14:textId="3A12E5D2">
      <w:pPr>
        <w:ind w:left="720"/>
      </w:pPr>
      <w:r>
        <w:t xml:space="preserve">There are </w:t>
      </w:r>
      <w:r w:rsidR="00C72715">
        <w:t>a total combined</w:t>
      </w:r>
      <w:r>
        <w:t xml:space="preserve"> 10</w:t>
      </w:r>
      <w:r w:rsidR="00C72715">
        <w:t>1</w:t>
      </w:r>
      <w:r>
        <w:t xml:space="preserve"> brokers </w:t>
      </w:r>
      <w:r w:rsidR="00C72715">
        <w:t>regularly</w:t>
      </w:r>
      <w:r>
        <w:t xml:space="preserve"> </w:t>
      </w:r>
      <w:r w:rsidR="00C72715">
        <w:t xml:space="preserve">involved in MARAD hull insurance requirements. Of these only approximately </w:t>
      </w:r>
      <w:r w:rsidR="00496CBD">
        <w:t xml:space="preserve">one </w:t>
      </w:r>
      <w:r w:rsidR="00C72715">
        <w:t xml:space="preserve">third or 33.6 or 34 </w:t>
      </w:r>
      <w:r w:rsidR="00496CBD">
        <w:t xml:space="preserve">of these brokers </w:t>
      </w:r>
      <w:r w:rsidR="00C72715">
        <w:t xml:space="preserve">are required to prepare and submit reports to MARAD once annually. Each of these </w:t>
      </w:r>
      <w:r w:rsidRPr="00C72715" w:rsidR="00C72715">
        <w:t xml:space="preserve">34 brokers will take 30 minutes (.5 hours) to prepare and </w:t>
      </w:r>
      <w:r w:rsidR="00C72715">
        <w:t xml:space="preserve">submit reports to MARAD. The total annual burden for brokers associated with this information collection is 17 hours. </w:t>
      </w:r>
      <w:r>
        <w:t>Even if the required number of reports were to double or triple, the average requirement per underwriter would still be less than one per year.</w:t>
      </w:r>
    </w:p>
    <w:p w:rsidR="00FB2AC4" w:rsidP="00FB2AC4" w14:paraId="2E048F8F" w14:textId="77777777">
      <w:pPr>
        <w:ind w:left="720"/>
      </w:pPr>
    </w:p>
    <w:p w:rsidR="00C72715" w:rsidP="00FB2AC4" w14:paraId="455E3E1C" w14:textId="08B29268">
      <w:pPr>
        <w:ind w:left="720"/>
      </w:pPr>
      <w:r>
        <w:t>MARAD does not</w:t>
      </w:r>
      <w:r w:rsidR="00FB2AC4">
        <w:t xml:space="preserve"> </w:t>
      </w:r>
      <w:r>
        <w:t>expect</w:t>
      </w:r>
      <w:r w:rsidR="00FB2AC4">
        <w:t xml:space="preserve"> that the general waiver provision contained in 46 CFR 249.12 will create more than a negligible amount of additional paperwork</w:t>
      </w:r>
      <w:r>
        <w:t xml:space="preserve">, as such </w:t>
      </w:r>
      <w:r w:rsidR="00FB2AC4">
        <w:t xml:space="preserve">waivers </w:t>
      </w:r>
      <w:r>
        <w:t xml:space="preserve">are not granted </w:t>
      </w:r>
      <w:r w:rsidR="00FB2AC4">
        <w:t>on a regular basis. Rather, the general waiver provision exists to cover those exceptional situations when strict application of the regulations might be inappropriate.  For example, a company may be unable to file its annual financial statements on time as required by 46 CFR 249.7(g), or a new company might meet all criteria for participation</w:t>
      </w:r>
      <w:r>
        <w:t>,</w:t>
      </w:r>
      <w:r w:rsidR="00FB2AC4">
        <w:t xml:space="preserve"> but not have five years of historical data to file as required by 46 CFR 249.6(e)(1).</w:t>
      </w:r>
    </w:p>
    <w:p w:rsidR="00C72715" w:rsidP="00C72715" w14:paraId="638EB8CC" w14:textId="77777777">
      <w:pPr>
        <w:ind w:left="720"/>
      </w:pPr>
    </w:p>
    <w:p w:rsidR="00D06433" w:rsidP="00C72715" w14:paraId="2E4988A4" w14:textId="101365B7">
      <w:pPr>
        <w:pStyle w:val="ListParagraph"/>
      </w:pPr>
      <w:r>
        <w:t xml:space="preserve">A total combined 66 respondents will take </w:t>
      </w:r>
      <w:r w:rsidR="00A43EDD">
        <w:t>between .5</w:t>
      </w:r>
      <w:r w:rsidR="00484041">
        <w:t xml:space="preserve"> </w:t>
      </w:r>
      <w:r w:rsidR="00A43EDD">
        <w:t>hour (30 minutes</w:t>
      </w:r>
      <w:r w:rsidR="00484041">
        <w:t>) to 1 hour</w:t>
      </w:r>
      <w:r>
        <w:t xml:space="preserve"> to respond once annually to this collection for a total 49 hours. </w:t>
      </w:r>
    </w:p>
    <w:p w:rsidR="00496CBD" w:rsidP="00C72715" w14:paraId="0D02BB6F" w14:textId="77777777">
      <w:pPr>
        <w:pStyle w:val="ListParagraph"/>
      </w:pPr>
    </w:p>
    <w:tbl>
      <w:tblPr>
        <w:tblW w:w="10440" w:type="dxa"/>
        <w:tblInd w:w="85" w:type="dxa"/>
        <w:tblLook w:val="04A0"/>
      </w:tblPr>
      <w:tblGrid>
        <w:gridCol w:w="1890"/>
        <w:gridCol w:w="1340"/>
        <w:gridCol w:w="460"/>
        <w:gridCol w:w="1530"/>
        <w:gridCol w:w="630"/>
        <w:gridCol w:w="1094"/>
        <w:gridCol w:w="526"/>
        <w:gridCol w:w="1440"/>
        <w:gridCol w:w="540"/>
        <w:gridCol w:w="990"/>
      </w:tblGrid>
      <w:tr w14:paraId="6FFC57E9" w14:textId="77777777" w:rsidTr="000D6496">
        <w:tblPrEx>
          <w:tblW w:w="10440" w:type="dxa"/>
          <w:tblInd w:w="85" w:type="dxa"/>
          <w:tblLook w:val="04A0"/>
        </w:tblPrEx>
        <w:trPr>
          <w:trHeight w:val="1275"/>
        </w:trPr>
        <w:tc>
          <w:tcPr>
            <w:tcW w:w="1890" w:type="dxa"/>
            <w:tcBorders>
              <w:top w:val="single" w:sz="12" w:space="0" w:color="auto"/>
              <w:left w:val="single" w:sz="12" w:space="0" w:color="auto"/>
              <w:bottom w:val="single" w:sz="4" w:space="0" w:color="auto"/>
              <w:right w:val="single" w:sz="4" w:space="0" w:color="auto"/>
            </w:tcBorders>
            <w:shd w:val="clear" w:color="auto" w:fill="D0CECE" w:themeFill="background2" w:themeFillShade="E6"/>
            <w:vAlign w:val="center"/>
            <w:hideMark/>
          </w:tcPr>
          <w:p w:rsidR="00FB2AC4" w:rsidRPr="00FB2AC4" w:rsidP="00FB2AC4" w14:paraId="70CFB3BF" w14:textId="77777777">
            <w:pPr>
              <w:widowControl/>
              <w:jc w:val="center"/>
              <w:rPr>
                <w:b/>
                <w:bCs/>
                <w:snapToGrid/>
                <w:color w:val="000000"/>
                <w:sz w:val="20"/>
              </w:rPr>
            </w:pPr>
            <w:r w:rsidRPr="00FB2AC4">
              <w:rPr>
                <w:b/>
                <w:bCs/>
                <w:snapToGrid/>
                <w:color w:val="000000"/>
                <w:sz w:val="20"/>
              </w:rPr>
              <w:t>Type of Respondent</w:t>
            </w:r>
          </w:p>
        </w:tc>
        <w:tc>
          <w:tcPr>
            <w:tcW w:w="1340"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6B2FA430" w14:textId="77777777">
            <w:pPr>
              <w:widowControl/>
              <w:jc w:val="center"/>
              <w:rPr>
                <w:b/>
                <w:bCs/>
                <w:snapToGrid/>
                <w:color w:val="000000"/>
                <w:sz w:val="20"/>
              </w:rPr>
            </w:pPr>
            <w:r w:rsidRPr="00FB2AC4">
              <w:rPr>
                <w:b/>
                <w:bCs/>
                <w:snapToGrid/>
                <w:color w:val="000000"/>
                <w:sz w:val="20"/>
              </w:rPr>
              <w:t xml:space="preserve">Total Respondents </w:t>
            </w:r>
          </w:p>
        </w:tc>
        <w:tc>
          <w:tcPr>
            <w:tcW w:w="460"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1DBAC4BE" w14:textId="77777777">
            <w:pPr>
              <w:widowControl/>
              <w:jc w:val="center"/>
              <w:rPr>
                <w:b/>
                <w:bCs/>
                <w:snapToGrid/>
                <w:color w:val="000000"/>
                <w:sz w:val="20"/>
              </w:rPr>
            </w:pPr>
            <w:r w:rsidRPr="00FB2AC4">
              <w:rPr>
                <w:b/>
                <w:bCs/>
                <w:snapToGrid/>
                <w:color w:val="000000"/>
                <w:sz w:val="20"/>
              </w:rPr>
              <w:t> </w:t>
            </w:r>
          </w:p>
        </w:tc>
        <w:tc>
          <w:tcPr>
            <w:tcW w:w="1530"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211A77E1" w14:textId="77777777">
            <w:pPr>
              <w:widowControl/>
              <w:jc w:val="center"/>
              <w:rPr>
                <w:b/>
                <w:bCs/>
                <w:snapToGrid/>
                <w:color w:val="000000"/>
                <w:sz w:val="20"/>
              </w:rPr>
            </w:pPr>
            <w:r w:rsidRPr="00FB2AC4">
              <w:rPr>
                <w:b/>
                <w:bCs/>
                <w:snapToGrid/>
                <w:color w:val="000000"/>
                <w:sz w:val="20"/>
              </w:rPr>
              <w:t>Total Responses per Respondent</w:t>
            </w:r>
          </w:p>
        </w:tc>
        <w:tc>
          <w:tcPr>
            <w:tcW w:w="630"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0F75B7D3" w14:textId="77777777">
            <w:pPr>
              <w:widowControl/>
              <w:rPr>
                <w:snapToGrid/>
                <w:color w:val="000000"/>
                <w:sz w:val="20"/>
              </w:rPr>
            </w:pPr>
            <w:r w:rsidRPr="00FB2AC4">
              <w:rPr>
                <w:snapToGrid/>
                <w:color w:val="000000"/>
                <w:sz w:val="20"/>
              </w:rPr>
              <w:t> </w:t>
            </w:r>
          </w:p>
        </w:tc>
        <w:tc>
          <w:tcPr>
            <w:tcW w:w="1094"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3219DF43" w14:textId="77777777">
            <w:pPr>
              <w:widowControl/>
              <w:jc w:val="center"/>
              <w:rPr>
                <w:b/>
                <w:bCs/>
                <w:snapToGrid/>
                <w:color w:val="000000"/>
                <w:sz w:val="20"/>
              </w:rPr>
            </w:pPr>
            <w:r w:rsidRPr="00FB2AC4">
              <w:rPr>
                <w:b/>
                <w:bCs/>
                <w:snapToGrid/>
                <w:color w:val="000000"/>
                <w:sz w:val="20"/>
              </w:rPr>
              <w:t>Total Responses</w:t>
            </w:r>
          </w:p>
        </w:tc>
        <w:tc>
          <w:tcPr>
            <w:tcW w:w="526"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2596DD5D" w14:textId="77777777">
            <w:pPr>
              <w:widowControl/>
              <w:jc w:val="center"/>
              <w:rPr>
                <w:b/>
                <w:bCs/>
                <w:snapToGrid/>
                <w:color w:val="000000"/>
                <w:sz w:val="20"/>
              </w:rPr>
            </w:pPr>
            <w:r w:rsidRPr="00FB2AC4">
              <w:rPr>
                <w:b/>
                <w:bCs/>
                <w:snapToGrid/>
                <w:color w:val="000000"/>
                <w:sz w:val="20"/>
              </w:rPr>
              <w:t> </w:t>
            </w:r>
          </w:p>
        </w:tc>
        <w:tc>
          <w:tcPr>
            <w:tcW w:w="1440"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27B71254" w14:textId="77777777">
            <w:pPr>
              <w:widowControl/>
              <w:jc w:val="center"/>
              <w:rPr>
                <w:b/>
                <w:bCs/>
                <w:snapToGrid/>
                <w:color w:val="000000"/>
                <w:sz w:val="20"/>
              </w:rPr>
            </w:pPr>
            <w:r w:rsidRPr="00FB2AC4">
              <w:rPr>
                <w:b/>
                <w:bCs/>
                <w:snapToGrid/>
                <w:color w:val="000000"/>
                <w:sz w:val="20"/>
              </w:rPr>
              <w:t>Average Time Taken to Respond (Hour)</w:t>
            </w:r>
          </w:p>
        </w:tc>
        <w:tc>
          <w:tcPr>
            <w:tcW w:w="540"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rsidR="00FB2AC4" w:rsidRPr="00FB2AC4" w:rsidP="00FB2AC4" w14:paraId="3546D651" w14:textId="77777777">
            <w:pPr>
              <w:widowControl/>
              <w:jc w:val="center"/>
              <w:rPr>
                <w:b/>
                <w:bCs/>
                <w:snapToGrid/>
                <w:color w:val="000000"/>
                <w:sz w:val="20"/>
              </w:rPr>
            </w:pPr>
            <w:r w:rsidRPr="00FB2AC4">
              <w:rPr>
                <w:b/>
                <w:bCs/>
                <w:snapToGrid/>
                <w:color w:val="000000"/>
                <w:sz w:val="20"/>
              </w:rPr>
              <w:t> </w:t>
            </w:r>
          </w:p>
        </w:tc>
        <w:tc>
          <w:tcPr>
            <w:tcW w:w="990" w:type="dxa"/>
            <w:tcBorders>
              <w:top w:val="single" w:sz="12" w:space="0" w:color="auto"/>
              <w:left w:val="nil"/>
              <w:bottom w:val="single" w:sz="4" w:space="0" w:color="auto"/>
              <w:right w:val="single" w:sz="12" w:space="0" w:color="auto"/>
            </w:tcBorders>
            <w:shd w:val="clear" w:color="auto" w:fill="D0CECE" w:themeFill="background2" w:themeFillShade="E6"/>
            <w:vAlign w:val="center"/>
            <w:hideMark/>
          </w:tcPr>
          <w:p w:rsidR="00FB2AC4" w:rsidRPr="00FB2AC4" w:rsidP="00FB2AC4" w14:paraId="7998A4EF" w14:textId="77777777">
            <w:pPr>
              <w:widowControl/>
              <w:jc w:val="center"/>
              <w:rPr>
                <w:b/>
                <w:bCs/>
                <w:snapToGrid/>
                <w:color w:val="000000"/>
                <w:sz w:val="20"/>
              </w:rPr>
            </w:pPr>
            <w:r w:rsidRPr="00FB2AC4">
              <w:rPr>
                <w:b/>
                <w:bCs/>
                <w:snapToGrid/>
                <w:color w:val="000000"/>
                <w:sz w:val="20"/>
              </w:rPr>
              <w:t>Total Burden Hours</w:t>
            </w:r>
          </w:p>
        </w:tc>
      </w:tr>
      <w:tr w14:paraId="5567F851" w14:textId="77777777" w:rsidTr="000D6496">
        <w:tblPrEx>
          <w:tblW w:w="10440" w:type="dxa"/>
          <w:tblInd w:w="85" w:type="dxa"/>
          <w:tblLook w:val="04A0"/>
        </w:tblPrEx>
        <w:trPr>
          <w:trHeight w:val="300"/>
        </w:trPr>
        <w:tc>
          <w:tcPr>
            <w:tcW w:w="1890" w:type="dxa"/>
            <w:tcBorders>
              <w:top w:val="nil"/>
              <w:left w:val="single" w:sz="12" w:space="0" w:color="auto"/>
              <w:bottom w:val="single" w:sz="4" w:space="0" w:color="auto"/>
              <w:right w:val="single" w:sz="4" w:space="0" w:color="auto"/>
            </w:tcBorders>
            <w:shd w:val="clear" w:color="auto" w:fill="auto"/>
            <w:noWrap/>
            <w:vAlign w:val="center"/>
            <w:hideMark/>
          </w:tcPr>
          <w:p w:rsidR="00FB2AC4" w:rsidRPr="00FB2AC4" w:rsidP="00FB2AC4" w14:paraId="3EC585D9" w14:textId="77777777">
            <w:pPr>
              <w:widowControl/>
              <w:rPr>
                <w:b/>
                <w:bCs/>
                <w:snapToGrid/>
                <w:color w:val="000000"/>
                <w:sz w:val="20"/>
              </w:rPr>
            </w:pPr>
            <w:r w:rsidRPr="00FB2AC4">
              <w:rPr>
                <w:b/>
                <w:bCs/>
                <w:snapToGrid/>
                <w:color w:val="000000"/>
                <w:sz w:val="20"/>
              </w:rPr>
              <w:t xml:space="preserve">Insurance Underwriters </w:t>
            </w:r>
          </w:p>
        </w:tc>
        <w:tc>
          <w:tcPr>
            <w:tcW w:w="1340" w:type="dxa"/>
            <w:tcBorders>
              <w:top w:val="nil"/>
              <w:left w:val="nil"/>
              <w:bottom w:val="single" w:sz="4" w:space="0" w:color="auto"/>
              <w:right w:val="single" w:sz="4" w:space="0" w:color="auto"/>
            </w:tcBorders>
            <w:shd w:val="clear" w:color="auto" w:fill="auto"/>
            <w:vAlign w:val="center"/>
            <w:hideMark/>
          </w:tcPr>
          <w:p w:rsidR="00FB2AC4" w:rsidRPr="00FB2AC4" w:rsidP="00FB2AC4" w14:paraId="3AACA794" w14:textId="77777777">
            <w:pPr>
              <w:widowControl/>
              <w:jc w:val="center"/>
              <w:rPr>
                <w:snapToGrid/>
                <w:color w:val="000000"/>
                <w:sz w:val="20"/>
              </w:rPr>
            </w:pPr>
            <w:r w:rsidRPr="00FB2AC4">
              <w:rPr>
                <w:snapToGrid/>
                <w:color w:val="000000"/>
                <w:sz w:val="20"/>
              </w:rPr>
              <w:t>32</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FB2AC4" w:rsidRPr="00FB2AC4" w:rsidP="00FB2AC4" w14:paraId="0CA5B920" w14:textId="77777777">
            <w:pPr>
              <w:widowControl/>
              <w:jc w:val="center"/>
              <w:rPr>
                <w:snapToGrid/>
                <w:color w:val="000000"/>
                <w:sz w:val="20"/>
              </w:rPr>
            </w:pPr>
            <w:r w:rsidRPr="00FB2AC4">
              <w:rPr>
                <w:snapToGrid/>
                <w:color w:val="000000"/>
                <w:sz w:val="20"/>
              </w:rPr>
              <w:t>*</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rsidR="00FB2AC4" w:rsidRPr="00FB2AC4" w:rsidP="00FB2AC4" w14:paraId="4CBBCABB" w14:textId="77777777">
            <w:pPr>
              <w:widowControl/>
              <w:jc w:val="center"/>
              <w:rPr>
                <w:snapToGrid/>
                <w:color w:val="000000"/>
                <w:sz w:val="20"/>
              </w:rPr>
            </w:pPr>
            <w:r w:rsidRPr="00FB2AC4">
              <w:rPr>
                <w:snapToGrid/>
                <w:color w:val="000000"/>
                <w:sz w:val="20"/>
              </w:rPr>
              <w:t>1</w:t>
            </w:r>
          </w:p>
        </w:tc>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rsidR="00FB2AC4" w:rsidRPr="00FB2AC4" w:rsidP="00FB2AC4" w14:paraId="5B5D340F" w14:textId="77777777">
            <w:pPr>
              <w:widowControl/>
              <w:jc w:val="center"/>
              <w:rPr>
                <w:b/>
                <w:bCs/>
                <w:snapToGrid/>
                <w:color w:val="000000"/>
                <w:sz w:val="20"/>
              </w:rPr>
            </w:pPr>
            <w:r w:rsidRPr="00FB2AC4">
              <w:rPr>
                <w:b/>
                <w:bCs/>
                <w:snapToGrid/>
                <w:color w:val="000000"/>
                <w:sz w:val="20"/>
              </w:rPr>
              <w:t>=</w:t>
            </w:r>
          </w:p>
        </w:tc>
        <w:tc>
          <w:tcPr>
            <w:tcW w:w="1094" w:type="dxa"/>
            <w:tcBorders>
              <w:top w:val="nil"/>
              <w:left w:val="nil"/>
              <w:bottom w:val="single" w:sz="4" w:space="0" w:color="auto"/>
              <w:right w:val="single" w:sz="4" w:space="0" w:color="auto"/>
            </w:tcBorders>
            <w:shd w:val="clear" w:color="auto" w:fill="auto"/>
            <w:vAlign w:val="center"/>
            <w:hideMark/>
          </w:tcPr>
          <w:p w:rsidR="00FB2AC4" w:rsidRPr="00FB2AC4" w:rsidP="00FB2AC4" w14:paraId="21A31245" w14:textId="77777777">
            <w:pPr>
              <w:widowControl/>
              <w:jc w:val="center"/>
              <w:rPr>
                <w:snapToGrid/>
                <w:color w:val="000000"/>
                <w:sz w:val="20"/>
              </w:rPr>
            </w:pPr>
            <w:r w:rsidRPr="00FB2AC4">
              <w:rPr>
                <w:snapToGrid/>
                <w:color w:val="000000"/>
                <w:sz w:val="20"/>
              </w:rPr>
              <w:t>32</w:t>
            </w:r>
          </w:p>
        </w:tc>
        <w:tc>
          <w:tcPr>
            <w:tcW w:w="526" w:type="dxa"/>
            <w:vMerge w:val="restart"/>
            <w:tcBorders>
              <w:top w:val="nil"/>
              <w:left w:val="single" w:sz="4" w:space="0" w:color="auto"/>
              <w:bottom w:val="single" w:sz="4" w:space="0" w:color="auto"/>
              <w:right w:val="single" w:sz="4" w:space="0" w:color="auto"/>
            </w:tcBorders>
            <w:shd w:val="clear" w:color="auto" w:fill="auto"/>
            <w:vAlign w:val="center"/>
            <w:hideMark/>
          </w:tcPr>
          <w:p w:rsidR="00FB2AC4" w:rsidRPr="00FB2AC4" w:rsidP="00FB2AC4" w14:paraId="0800AD59" w14:textId="77777777">
            <w:pPr>
              <w:widowControl/>
              <w:jc w:val="center"/>
              <w:rPr>
                <w:snapToGrid/>
                <w:color w:val="000000"/>
                <w:sz w:val="20"/>
              </w:rPr>
            </w:pPr>
            <w:r w:rsidRPr="00FB2AC4">
              <w:rPr>
                <w:snapToGrid/>
                <w:color w:val="000000"/>
                <w:sz w:val="20"/>
              </w:rPr>
              <w:t>*</w:t>
            </w:r>
          </w:p>
        </w:tc>
        <w:tc>
          <w:tcPr>
            <w:tcW w:w="1440" w:type="dxa"/>
            <w:tcBorders>
              <w:top w:val="nil"/>
              <w:left w:val="nil"/>
              <w:bottom w:val="single" w:sz="4" w:space="0" w:color="auto"/>
              <w:right w:val="single" w:sz="4" w:space="0" w:color="auto"/>
            </w:tcBorders>
            <w:shd w:val="clear" w:color="auto" w:fill="auto"/>
            <w:vAlign w:val="center"/>
            <w:hideMark/>
          </w:tcPr>
          <w:p w:rsidR="00FB2AC4" w:rsidRPr="00FB2AC4" w:rsidP="00FB2AC4" w14:paraId="1D06DF5D" w14:textId="77777777">
            <w:pPr>
              <w:widowControl/>
              <w:jc w:val="center"/>
              <w:rPr>
                <w:snapToGrid/>
                <w:color w:val="000000"/>
                <w:sz w:val="20"/>
              </w:rPr>
            </w:pPr>
            <w:r w:rsidRPr="00FB2AC4">
              <w:rPr>
                <w:snapToGrid/>
                <w:color w:val="000000"/>
                <w:sz w:val="20"/>
              </w:rPr>
              <w:t>1</w:t>
            </w:r>
          </w:p>
        </w:tc>
        <w:tc>
          <w:tcPr>
            <w:tcW w:w="540" w:type="dxa"/>
            <w:vMerge w:val="restart"/>
            <w:tcBorders>
              <w:top w:val="nil"/>
              <w:left w:val="nil"/>
              <w:right w:val="single" w:sz="4" w:space="0" w:color="auto"/>
            </w:tcBorders>
            <w:shd w:val="clear" w:color="auto" w:fill="auto"/>
            <w:vAlign w:val="center"/>
            <w:hideMark/>
          </w:tcPr>
          <w:p w:rsidR="00FB2AC4" w:rsidRPr="00FB2AC4" w:rsidP="00FB2AC4" w14:paraId="69ADD6E2" w14:textId="77777777">
            <w:pPr>
              <w:widowControl/>
              <w:jc w:val="center"/>
              <w:rPr>
                <w:snapToGrid/>
                <w:color w:val="000000"/>
                <w:sz w:val="20"/>
              </w:rPr>
            </w:pPr>
            <w:r w:rsidRPr="00FB2AC4">
              <w:rPr>
                <w:snapToGrid/>
                <w:color w:val="000000"/>
                <w:sz w:val="20"/>
              </w:rPr>
              <w:t> </w:t>
            </w:r>
          </w:p>
          <w:p w:rsidR="00FB2AC4" w:rsidRPr="00FB2AC4" w:rsidP="00FB2AC4" w14:paraId="2BB3B6D2" w14:textId="4D1993B0">
            <w:pPr>
              <w:jc w:val="center"/>
              <w:rPr>
                <w:snapToGrid/>
                <w:color w:val="000000"/>
                <w:sz w:val="20"/>
              </w:rPr>
            </w:pPr>
            <w:r w:rsidRPr="00FB2AC4">
              <w:rPr>
                <w:b/>
                <w:bCs/>
                <w:snapToGrid/>
                <w:color w:val="000000"/>
                <w:sz w:val="20"/>
              </w:rPr>
              <w:t>=</w:t>
            </w:r>
          </w:p>
        </w:tc>
        <w:tc>
          <w:tcPr>
            <w:tcW w:w="990" w:type="dxa"/>
            <w:tcBorders>
              <w:top w:val="nil"/>
              <w:left w:val="nil"/>
              <w:bottom w:val="single" w:sz="4" w:space="0" w:color="auto"/>
              <w:right w:val="single" w:sz="12" w:space="0" w:color="auto"/>
            </w:tcBorders>
            <w:shd w:val="clear" w:color="auto" w:fill="auto"/>
            <w:vAlign w:val="center"/>
            <w:hideMark/>
          </w:tcPr>
          <w:p w:rsidR="00FB2AC4" w:rsidRPr="00FB2AC4" w:rsidP="00FB2AC4" w14:paraId="28796D6F" w14:textId="77777777">
            <w:pPr>
              <w:widowControl/>
              <w:jc w:val="center"/>
              <w:rPr>
                <w:snapToGrid/>
                <w:color w:val="000000"/>
                <w:sz w:val="20"/>
              </w:rPr>
            </w:pPr>
            <w:r w:rsidRPr="00FB2AC4">
              <w:rPr>
                <w:snapToGrid/>
                <w:color w:val="000000"/>
                <w:sz w:val="20"/>
              </w:rPr>
              <w:t>32</w:t>
            </w:r>
          </w:p>
        </w:tc>
      </w:tr>
      <w:tr w14:paraId="008DD321" w14:textId="77777777" w:rsidTr="000D6496">
        <w:tblPrEx>
          <w:tblW w:w="10440" w:type="dxa"/>
          <w:tblInd w:w="85" w:type="dxa"/>
          <w:tblLook w:val="04A0"/>
        </w:tblPrEx>
        <w:trPr>
          <w:trHeight w:val="300"/>
        </w:trPr>
        <w:tc>
          <w:tcPr>
            <w:tcW w:w="1890" w:type="dxa"/>
            <w:tcBorders>
              <w:top w:val="nil"/>
              <w:left w:val="single" w:sz="12" w:space="0" w:color="auto"/>
              <w:bottom w:val="single" w:sz="4" w:space="0" w:color="auto"/>
              <w:right w:val="single" w:sz="4" w:space="0" w:color="auto"/>
            </w:tcBorders>
            <w:shd w:val="clear" w:color="auto" w:fill="auto"/>
            <w:vAlign w:val="center"/>
            <w:hideMark/>
          </w:tcPr>
          <w:p w:rsidR="00FB2AC4" w:rsidRPr="00FB2AC4" w:rsidP="00FB2AC4" w14:paraId="10AE0FB9" w14:textId="77777777">
            <w:pPr>
              <w:widowControl/>
              <w:rPr>
                <w:b/>
                <w:bCs/>
                <w:snapToGrid/>
                <w:color w:val="000000"/>
                <w:sz w:val="20"/>
              </w:rPr>
            </w:pPr>
            <w:r w:rsidRPr="00FB2AC4">
              <w:rPr>
                <w:b/>
                <w:bCs/>
                <w:snapToGrid/>
                <w:color w:val="000000"/>
                <w:sz w:val="20"/>
              </w:rPr>
              <w:t xml:space="preserve">Brokers </w:t>
            </w:r>
          </w:p>
        </w:tc>
        <w:tc>
          <w:tcPr>
            <w:tcW w:w="1340" w:type="dxa"/>
            <w:tcBorders>
              <w:top w:val="nil"/>
              <w:left w:val="nil"/>
              <w:bottom w:val="single" w:sz="4" w:space="0" w:color="auto"/>
              <w:right w:val="single" w:sz="4" w:space="0" w:color="auto"/>
            </w:tcBorders>
            <w:shd w:val="clear" w:color="auto" w:fill="auto"/>
            <w:vAlign w:val="center"/>
            <w:hideMark/>
          </w:tcPr>
          <w:p w:rsidR="00FB2AC4" w:rsidRPr="00FB2AC4" w:rsidP="00FB2AC4" w14:paraId="009DECF3" w14:textId="77777777">
            <w:pPr>
              <w:widowControl/>
              <w:jc w:val="center"/>
              <w:rPr>
                <w:snapToGrid/>
                <w:color w:val="000000"/>
                <w:sz w:val="20"/>
              </w:rPr>
            </w:pPr>
            <w:r w:rsidRPr="00FB2AC4">
              <w:rPr>
                <w:snapToGrid/>
                <w:color w:val="000000"/>
                <w:sz w:val="20"/>
              </w:rPr>
              <w:t>34</w:t>
            </w:r>
          </w:p>
        </w:tc>
        <w:tc>
          <w:tcPr>
            <w:tcW w:w="460" w:type="dxa"/>
            <w:vMerge/>
            <w:tcBorders>
              <w:top w:val="nil"/>
              <w:left w:val="single" w:sz="4" w:space="0" w:color="auto"/>
              <w:bottom w:val="single" w:sz="4" w:space="0" w:color="auto"/>
              <w:right w:val="single" w:sz="4" w:space="0" w:color="auto"/>
            </w:tcBorders>
            <w:vAlign w:val="center"/>
            <w:hideMark/>
          </w:tcPr>
          <w:p w:rsidR="00FB2AC4" w:rsidRPr="00FB2AC4" w:rsidP="00FB2AC4" w14:paraId="4597D75B" w14:textId="77777777">
            <w:pPr>
              <w:widowControl/>
              <w:rPr>
                <w:snapToGrid/>
                <w:color w:val="000000"/>
                <w:sz w:val="20"/>
              </w:rPr>
            </w:pPr>
          </w:p>
        </w:tc>
        <w:tc>
          <w:tcPr>
            <w:tcW w:w="1530" w:type="dxa"/>
            <w:vMerge/>
            <w:tcBorders>
              <w:top w:val="nil"/>
              <w:left w:val="single" w:sz="4" w:space="0" w:color="auto"/>
              <w:bottom w:val="single" w:sz="4" w:space="0" w:color="auto"/>
              <w:right w:val="single" w:sz="4" w:space="0" w:color="auto"/>
            </w:tcBorders>
            <w:vAlign w:val="center"/>
            <w:hideMark/>
          </w:tcPr>
          <w:p w:rsidR="00FB2AC4" w:rsidRPr="00FB2AC4" w:rsidP="00FB2AC4" w14:paraId="6D2D96EC" w14:textId="77777777">
            <w:pPr>
              <w:widowControl/>
              <w:rPr>
                <w:snapToGrid/>
                <w:color w:val="000000"/>
                <w:sz w:val="20"/>
              </w:rPr>
            </w:pPr>
          </w:p>
        </w:tc>
        <w:tc>
          <w:tcPr>
            <w:tcW w:w="630" w:type="dxa"/>
            <w:vMerge/>
            <w:tcBorders>
              <w:top w:val="nil"/>
              <w:left w:val="single" w:sz="4" w:space="0" w:color="auto"/>
              <w:bottom w:val="single" w:sz="4" w:space="0" w:color="auto"/>
              <w:right w:val="single" w:sz="4" w:space="0" w:color="auto"/>
            </w:tcBorders>
            <w:vAlign w:val="center"/>
            <w:hideMark/>
          </w:tcPr>
          <w:p w:rsidR="00FB2AC4" w:rsidRPr="00FB2AC4" w:rsidP="00FB2AC4" w14:paraId="0903D160" w14:textId="77777777">
            <w:pPr>
              <w:widowControl/>
              <w:rPr>
                <w:b/>
                <w:bCs/>
                <w:snapToGrid/>
                <w:color w:val="000000"/>
                <w:sz w:val="20"/>
              </w:rPr>
            </w:pPr>
          </w:p>
        </w:tc>
        <w:tc>
          <w:tcPr>
            <w:tcW w:w="1094" w:type="dxa"/>
            <w:tcBorders>
              <w:top w:val="nil"/>
              <w:left w:val="nil"/>
              <w:bottom w:val="single" w:sz="4" w:space="0" w:color="auto"/>
              <w:right w:val="single" w:sz="4" w:space="0" w:color="auto"/>
            </w:tcBorders>
            <w:shd w:val="clear" w:color="auto" w:fill="auto"/>
            <w:vAlign w:val="center"/>
            <w:hideMark/>
          </w:tcPr>
          <w:p w:rsidR="00FB2AC4" w:rsidRPr="00FB2AC4" w:rsidP="00FB2AC4" w14:paraId="72840A3E" w14:textId="77777777">
            <w:pPr>
              <w:widowControl/>
              <w:jc w:val="center"/>
              <w:rPr>
                <w:snapToGrid/>
                <w:color w:val="000000"/>
                <w:sz w:val="20"/>
              </w:rPr>
            </w:pPr>
            <w:r w:rsidRPr="00FB2AC4">
              <w:rPr>
                <w:snapToGrid/>
                <w:color w:val="000000"/>
                <w:sz w:val="20"/>
              </w:rPr>
              <w:t>34</w:t>
            </w:r>
          </w:p>
        </w:tc>
        <w:tc>
          <w:tcPr>
            <w:tcW w:w="526" w:type="dxa"/>
            <w:vMerge/>
            <w:tcBorders>
              <w:top w:val="nil"/>
              <w:left w:val="single" w:sz="4" w:space="0" w:color="auto"/>
              <w:bottom w:val="single" w:sz="4" w:space="0" w:color="auto"/>
              <w:right w:val="single" w:sz="4" w:space="0" w:color="auto"/>
            </w:tcBorders>
            <w:vAlign w:val="center"/>
            <w:hideMark/>
          </w:tcPr>
          <w:p w:rsidR="00FB2AC4" w:rsidRPr="00FB2AC4" w:rsidP="00FB2AC4" w14:paraId="4E89D978" w14:textId="77777777">
            <w:pPr>
              <w:widowControl/>
              <w:rPr>
                <w:snapToGrid/>
                <w:color w:val="000000"/>
                <w:sz w:val="20"/>
              </w:rPr>
            </w:pPr>
          </w:p>
        </w:tc>
        <w:tc>
          <w:tcPr>
            <w:tcW w:w="1440" w:type="dxa"/>
            <w:tcBorders>
              <w:top w:val="nil"/>
              <w:left w:val="nil"/>
              <w:bottom w:val="single" w:sz="4" w:space="0" w:color="auto"/>
              <w:right w:val="single" w:sz="4" w:space="0" w:color="auto"/>
            </w:tcBorders>
            <w:shd w:val="clear" w:color="auto" w:fill="auto"/>
            <w:vAlign w:val="center"/>
            <w:hideMark/>
          </w:tcPr>
          <w:p w:rsidR="00FB2AC4" w:rsidRPr="00FB2AC4" w:rsidP="00FB2AC4" w14:paraId="1968AEA2" w14:textId="77777777">
            <w:pPr>
              <w:widowControl/>
              <w:jc w:val="center"/>
              <w:rPr>
                <w:snapToGrid/>
                <w:color w:val="000000"/>
                <w:sz w:val="20"/>
              </w:rPr>
            </w:pPr>
            <w:r w:rsidRPr="00FB2AC4">
              <w:rPr>
                <w:snapToGrid/>
                <w:color w:val="000000"/>
                <w:sz w:val="20"/>
              </w:rPr>
              <w:t>0.5</w:t>
            </w:r>
          </w:p>
        </w:tc>
        <w:tc>
          <w:tcPr>
            <w:tcW w:w="540" w:type="dxa"/>
            <w:vMerge/>
            <w:tcBorders>
              <w:left w:val="nil"/>
              <w:bottom w:val="single" w:sz="4" w:space="0" w:color="auto"/>
              <w:right w:val="single" w:sz="4" w:space="0" w:color="auto"/>
            </w:tcBorders>
            <w:shd w:val="clear" w:color="auto" w:fill="auto"/>
            <w:vAlign w:val="center"/>
            <w:hideMark/>
          </w:tcPr>
          <w:p w:rsidR="00FB2AC4" w:rsidRPr="00FB2AC4" w:rsidP="00FB2AC4" w14:paraId="60002EC1" w14:textId="3315E2E2">
            <w:pPr>
              <w:widowControl/>
              <w:jc w:val="center"/>
              <w:rPr>
                <w:b/>
                <w:bCs/>
                <w:snapToGrid/>
                <w:color w:val="000000"/>
                <w:sz w:val="20"/>
              </w:rPr>
            </w:pPr>
          </w:p>
        </w:tc>
        <w:tc>
          <w:tcPr>
            <w:tcW w:w="990" w:type="dxa"/>
            <w:tcBorders>
              <w:top w:val="nil"/>
              <w:left w:val="nil"/>
              <w:bottom w:val="single" w:sz="4" w:space="0" w:color="auto"/>
              <w:right w:val="single" w:sz="12" w:space="0" w:color="auto"/>
            </w:tcBorders>
            <w:shd w:val="clear" w:color="auto" w:fill="auto"/>
            <w:vAlign w:val="center"/>
            <w:hideMark/>
          </w:tcPr>
          <w:p w:rsidR="00FB2AC4" w:rsidRPr="00FB2AC4" w:rsidP="00FB2AC4" w14:paraId="020E7AE8" w14:textId="77777777">
            <w:pPr>
              <w:widowControl/>
              <w:jc w:val="center"/>
              <w:rPr>
                <w:snapToGrid/>
                <w:color w:val="000000"/>
                <w:sz w:val="20"/>
              </w:rPr>
            </w:pPr>
            <w:r w:rsidRPr="00FB2AC4">
              <w:rPr>
                <w:snapToGrid/>
                <w:color w:val="000000"/>
                <w:sz w:val="20"/>
              </w:rPr>
              <w:t>17</w:t>
            </w:r>
          </w:p>
        </w:tc>
      </w:tr>
      <w:tr w14:paraId="51B4D7EC" w14:textId="77777777" w:rsidTr="003C4605">
        <w:tblPrEx>
          <w:tblW w:w="10440" w:type="dxa"/>
          <w:tblInd w:w="85" w:type="dxa"/>
          <w:tblLook w:val="04A0"/>
        </w:tblPrEx>
        <w:trPr>
          <w:trHeight w:val="300"/>
        </w:trPr>
        <w:tc>
          <w:tcPr>
            <w:tcW w:w="1890" w:type="dxa"/>
            <w:tcBorders>
              <w:top w:val="nil"/>
              <w:left w:val="single" w:sz="12" w:space="0" w:color="auto"/>
              <w:bottom w:val="single" w:sz="12" w:space="0" w:color="auto"/>
              <w:right w:val="single" w:sz="4" w:space="0" w:color="auto"/>
            </w:tcBorders>
            <w:shd w:val="clear" w:color="000000" w:fill="D0CECE"/>
            <w:noWrap/>
            <w:vAlign w:val="center"/>
            <w:hideMark/>
          </w:tcPr>
          <w:p w:rsidR="00FB2AC4" w:rsidRPr="00FB2AC4" w:rsidP="00FB2AC4" w14:paraId="5BE938FC" w14:textId="77777777">
            <w:pPr>
              <w:widowControl/>
              <w:jc w:val="center"/>
              <w:rPr>
                <w:b/>
                <w:bCs/>
                <w:snapToGrid/>
                <w:color w:val="000000"/>
                <w:sz w:val="20"/>
              </w:rPr>
            </w:pPr>
            <w:r w:rsidRPr="00FB2AC4">
              <w:rPr>
                <w:b/>
                <w:bCs/>
                <w:snapToGrid/>
                <w:color w:val="000000"/>
                <w:sz w:val="20"/>
              </w:rPr>
              <w:t>COMBINED TOTAL</w:t>
            </w:r>
          </w:p>
        </w:tc>
        <w:tc>
          <w:tcPr>
            <w:tcW w:w="1340" w:type="dxa"/>
            <w:tcBorders>
              <w:top w:val="nil"/>
              <w:left w:val="nil"/>
              <w:bottom w:val="single" w:sz="12" w:space="0" w:color="auto"/>
              <w:right w:val="single" w:sz="4" w:space="0" w:color="auto"/>
            </w:tcBorders>
            <w:shd w:val="clear" w:color="auto" w:fill="auto"/>
            <w:noWrap/>
            <w:vAlign w:val="center"/>
            <w:hideMark/>
          </w:tcPr>
          <w:p w:rsidR="00FB2AC4" w:rsidRPr="00FB2AC4" w:rsidP="00FB2AC4" w14:paraId="1D3BFB87" w14:textId="77777777">
            <w:pPr>
              <w:widowControl/>
              <w:jc w:val="center"/>
              <w:rPr>
                <w:b/>
                <w:bCs/>
                <w:snapToGrid/>
                <w:color w:val="000000"/>
                <w:sz w:val="20"/>
              </w:rPr>
            </w:pPr>
            <w:r w:rsidRPr="00FB2AC4">
              <w:rPr>
                <w:b/>
                <w:bCs/>
                <w:snapToGrid/>
                <w:color w:val="000000"/>
                <w:sz w:val="20"/>
              </w:rPr>
              <w:t>66</w:t>
            </w:r>
          </w:p>
        </w:tc>
        <w:tc>
          <w:tcPr>
            <w:tcW w:w="460" w:type="dxa"/>
            <w:tcBorders>
              <w:top w:val="nil"/>
              <w:left w:val="nil"/>
              <w:bottom w:val="single" w:sz="12" w:space="0" w:color="auto"/>
              <w:right w:val="single" w:sz="4" w:space="0" w:color="auto"/>
            </w:tcBorders>
            <w:shd w:val="clear" w:color="auto" w:fill="auto"/>
            <w:noWrap/>
            <w:vAlign w:val="center"/>
            <w:hideMark/>
          </w:tcPr>
          <w:p w:rsidR="00FB2AC4" w:rsidRPr="00FB2AC4" w:rsidP="00FB2AC4" w14:paraId="212D2490" w14:textId="705ED138">
            <w:pPr>
              <w:widowControl/>
              <w:jc w:val="center"/>
              <w:rPr>
                <w:b/>
                <w:bCs/>
                <w:snapToGrid/>
                <w:color w:val="000000"/>
                <w:sz w:val="20"/>
              </w:rPr>
            </w:pPr>
          </w:p>
        </w:tc>
        <w:tc>
          <w:tcPr>
            <w:tcW w:w="1530" w:type="dxa"/>
            <w:tcBorders>
              <w:top w:val="nil"/>
              <w:left w:val="nil"/>
              <w:bottom w:val="single" w:sz="12" w:space="0" w:color="auto"/>
              <w:right w:val="single" w:sz="4" w:space="0" w:color="auto"/>
            </w:tcBorders>
            <w:shd w:val="clear" w:color="auto" w:fill="auto"/>
            <w:noWrap/>
            <w:vAlign w:val="center"/>
            <w:hideMark/>
          </w:tcPr>
          <w:p w:rsidR="00FB2AC4" w:rsidRPr="00FB2AC4" w:rsidP="00FB2AC4" w14:paraId="5BE07CD5" w14:textId="77777777">
            <w:pPr>
              <w:widowControl/>
              <w:jc w:val="center"/>
              <w:rPr>
                <w:b/>
                <w:bCs/>
                <w:snapToGrid/>
                <w:color w:val="000000"/>
                <w:sz w:val="20"/>
              </w:rPr>
            </w:pPr>
            <w:r w:rsidRPr="00FB2AC4">
              <w:rPr>
                <w:b/>
                <w:bCs/>
                <w:snapToGrid/>
                <w:color w:val="000000"/>
                <w:sz w:val="20"/>
              </w:rPr>
              <w:t>1</w:t>
            </w:r>
          </w:p>
        </w:tc>
        <w:tc>
          <w:tcPr>
            <w:tcW w:w="630" w:type="dxa"/>
            <w:tcBorders>
              <w:top w:val="nil"/>
              <w:left w:val="nil"/>
              <w:bottom w:val="single" w:sz="12" w:space="0" w:color="auto"/>
              <w:right w:val="single" w:sz="4" w:space="0" w:color="auto"/>
            </w:tcBorders>
            <w:shd w:val="clear" w:color="auto" w:fill="auto"/>
            <w:noWrap/>
            <w:vAlign w:val="center"/>
            <w:hideMark/>
          </w:tcPr>
          <w:p w:rsidR="00FB2AC4" w:rsidRPr="00FB2AC4" w:rsidP="00FB2AC4" w14:paraId="4E21CD05" w14:textId="0759CFF4">
            <w:pPr>
              <w:widowControl/>
              <w:rPr>
                <w:b/>
                <w:bCs/>
                <w:snapToGrid/>
                <w:color w:val="000000"/>
                <w:sz w:val="20"/>
              </w:rPr>
            </w:pPr>
            <w:r w:rsidRPr="00FB2AC4">
              <w:rPr>
                <w:b/>
                <w:bCs/>
                <w:snapToGrid/>
                <w:color w:val="000000"/>
                <w:sz w:val="20"/>
              </w:rPr>
              <w:t xml:space="preserve">  </w:t>
            </w:r>
          </w:p>
        </w:tc>
        <w:tc>
          <w:tcPr>
            <w:tcW w:w="1094" w:type="dxa"/>
            <w:tcBorders>
              <w:top w:val="nil"/>
              <w:left w:val="nil"/>
              <w:bottom w:val="single" w:sz="12" w:space="0" w:color="auto"/>
              <w:right w:val="single" w:sz="4" w:space="0" w:color="auto"/>
            </w:tcBorders>
            <w:shd w:val="clear" w:color="auto" w:fill="auto"/>
            <w:noWrap/>
            <w:vAlign w:val="center"/>
            <w:hideMark/>
          </w:tcPr>
          <w:p w:rsidR="00FB2AC4" w:rsidRPr="00FB2AC4" w:rsidP="00FB2AC4" w14:paraId="01C32A43" w14:textId="77777777">
            <w:pPr>
              <w:widowControl/>
              <w:jc w:val="center"/>
              <w:rPr>
                <w:b/>
                <w:bCs/>
                <w:snapToGrid/>
                <w:color w:val="000000"/>
                <w:sz w:val="20"/>
              </w:rPr>
            </w:pPr>
            <w:r w:rsidRPr="00FB2AC4">
              <w:rPr>
                <w:b/>
                <w:bCs/>
                <w:snapToGrid/>
                <w:color w:val="000000"/>
                <w:sz w:val="20"/>
              </w:rPr>
              <w:t>66</w:t>
            </w:r>
          </w:p>
        </w:tc>
        <w:tc>
          <w:tcPr>
            <w:tcW w:w="526" w:type="dxa"/>
            <w:tcBorders>
              <w:top w:val="nil"/>
              <w:left w:val="nil"/>
              <w:bottom w:val="single" w:sz="12" w:space="0" w:color="auto"/>
              <w:right w:val="single" w:sz="4" w:space="0" w:color="auto"/>
            </w:tcBorders>
            <w:shd w:val="clear" w:color="auto" w:fill="auto"/>
            <w:noWrap/>
            <w:vAlign w:val="center"/>
            <w:hideMark/>
          </w:tcPr>
          <w:p w:rsidR="00FB2AC4" w:rsidRPr="00FB2AC4" w:rsidP="00FB2AC4" w14:paraId="3738FFF7" w14:textId="17F71127">
            <w:pPr>
              <w:widowControl/>
              <w:jc w:val="center"/>
              <w:rPr>
                <w:b/>
                <w:bCs/>
                <w:snapToGrid/>
                <w:color w:val="000000"/>
                <w:sz w:val="20"/>
              </w:rPr>
            </w:pPr>
          </w:p>
        </w:tc>
        <w:tc>
          <w:tcPr>
            <w:tcW w:w="1440" w:type="dxa"/>
            <w:tcBorders>
              <w:top w:val="nil"/>
              <w:left w:val="nil"/>
              <w:bottom w:val="single" w:sz="12" w:space="0" w:color="auto"/>
              <w:right w:val="single" w:sz="4" w:space="0" w:color="auto"/>
            </w:tcBorders>
            <w:shd w:val="clear" w:color="auto" w:fill="auto"/>
            <w:vAlign w:val="center"/>
            <w:hideMark/>
          </w:tcPr>
          <w:p w:rsidR="00FB2AC4" w:rsidRPr="00FB2AC4" w:rsidP="00FB2AC4" w14:paraId="20C08658" w14:textId="3CE46DBD">
            <w:pPr>
              <w:widowControl/>
              <w:jc w:val="center"/>
              <w:rPr>
                <w:b/>
                <w:bCs/>
                <w:snapToGrid/>
                <w:color w:val="000000"/>
                <w:sz w:val="20"/>
              </w:rPr>
            </w:pPr>
          </w:p>
        </w:tc>
        <w:tc>
          <w:tcPr>
            <w:tcW w:w="540" w:type="dxa"/>
            <w:tcBorders>
              <w:top w:val="nil"/>
              <w:left w:val="nil"/>
              <w:bottom w:val="single" w:sz="12" w:space="0" w:color="auto"/>
              <w:right w:val="single" w:sz="4" w:space="0" w:color="auto"/>
            </w:tcBorders>
            <w:shd w:val="clear" w:color="auto" w:fill="auto"/>
            <w:vAlign w:val="center"/>
            <w:hideMark/>
          </w:tcPr>
          <w:p w:rsidR="00FB2AC4" w:rsidRPr="00FB2AC4" w:rsidP="00FB2AC4" w14:paraId="14EE9FC2" w14:textId="6474A40C">
            <w:pPr>
              <w:widowControl/>
              <w:jc w:val="center"/>
              <w:rPr>
                <w:snapToGrid/>
                <w:color w:val="000000"/>
                <w:sz w:val="20"/>
              </w:rPr>
            </w:pPr>
          </w:p>
        </w:tc>
        <w:tc>
          <w:tcPr>
            <w:tcW w:w="990" w:type="dxa"/>
            <w:tcBorders>
              <w:top w:val="nil"/>
              <w:left w:val="nil"/>
              <w:bottom w:val="single" w:sz="12" w:space="0" w:color="auto"/>
              <w:right w:val="single" w:sz="12" w:space="0" w:color="auto"/>
            </w:tcBorders>
            <w:shd w:val="clear" w:color="auto" w:fill="auto"/>
            <w:vAlign w:val="center"/>
            <w:hideMark/>
          </w:tcPr>
          <w:p w:rsidR="00FB2AC4" w:rsidRPr="00FB2AC4" w:rsidP="00FB2AC4" w14:paraId="21739B63" w14:textId="77777777">
            <w:pPr>
              <w:widowControl/>
              <w:jc w:val="center"/>
              <w:rPr>
                <w:b/>
                <w:bCs/>
                <w:snapToGrid/>
                <w:color w:val="000000"/>
                <w:sz w:val="20"/>
              </w:rPr>
            </w:pPr>
            <w:r w:rsidRPr="00FB2AC4">
              <w:rPr>
                <w:b/>
                <w:bCs/>
                <w:snapToGrid/>
                <w:color w:val="000000"/>
                <w:sz w:val="20"/>
              </w:rPr>
              <w:t>49</w:t>
            </w:r>
          </w:p>
        </w:tc>
      </w:tr>
    </w:tbl>
    <w:p w:rsidR="00496CBD" w:rsidP="00C72715" w14:paraId="65E0DBE8" w14:textId="77777777">
      <w:pPr>
        <w:pStyle w:val="ListParagraph"/>
      </w:pPr>
    </w:p>
    <w:p w:rsidR="00BB46B7" w:rsidRPr="00751F4C" w:rsidP="006D1B3E" w14:paraId="6E617E1A" w14:textId="77777777">
      <w:pPr>
        <w:tabs>
          <w:tab w:val="left" w:pos="-1440"/>
          <w:tab w:val="left" w:pos="0"/>
        </w:tabs>
        <w:rPr>
          <w:b/>
        </w:rPr>
      </w:pPr>
    </w:p>
    <w:p w:rsidR="00974658" w:rsidP="00C72715" w14:paraId="6D1B2A72" w14:textId="03CBCC73">
      <w:pPr>
        <w:pStyle w:val="ListParagraph"/>
        <w:numPr>
          <w:ilvl w:val="0"/>
          <w:numId w:val="19"/>
        </w:numPr>
        <w:tabs>
          <w:tab w:val="left" w:pos="-1440"/>
          <w:tab w:val="left" w:pos="0"/>
          <w:tab w:val="left" w:pos="4770"/>
          <w:tab w:val="left" w:pos="4860"/>
        </w:tabs>
        <w:rPr>
          <w:b/>
        </w:rPr>
      </w:pPr>
      <w:r w:rsidRPr="000D6496">
        <w:rPr>
          <w:b/>
        </w:rPr>
        <w:t xml:space="preserve">Estimated Annualized Burden Cost </w:t>
      </w:r>
    </w:p>
    <w:p w:rsidR="00042496" w:rsidP="003C4605" w14:paraId="47F9848F" w14:textId="77777777">
      <w:pPr>
        <w:tabs>
          <w:tab w:val="left" w:pos="-1440"/>
          <w:tab w:val="left" w:pos="0"/>
          <w:tab w:val="left" w:pos="4770"/>
          <w:tab w:val="left" w:pos="4860"/>
        </w:tabs>
        <w:rPr>
          <w:b/>
        </w:rPr>
      </w:pPr>
    </w:p>
    <w:p w:rsidR="00042496" w:rsidP="000D6496" w14:paraId="66535DA9" w14:textId="4DA62529">
      <w:pPr>
        <w:tabs>
          <w:tab w:val="left" w:pos="-1440"/>
          <w:tab w:val="left" w:pos="0"/>
          <w:tab w:val="left" w:pos="720"/>
          <w:tab w:val="left" w:pos="810"/>
          <w:tab w:val="left" w:pos="4860"/>
        </w:tabs>
        <w:rPr>
          <w:iCs/>
          <w:snapToGrid/>
          <w:szCs w:val="24"/>
        </w:rPr>
      </w:pPr>
      <w:r>
        <w:rPr>
          <w:b/>
        </w:rPr>
        <w:t xml:space="preserve">      </w:t>
      </w:r>
      <w:r>
        <w:rPr>
          <w:b/>
        </w:rPr>
        <w:tab/>
      </w:r>
      <w:r w:rsidRPr="00042496">
        <w:rPr>
          <w:iCs/>
          <w:snapToGrid/>
          <w:szCs w:val="24"/>
        </w:rPr>
        <w:t>The Bureau of Labor and Statistics (BLS)</w:t>
      </w:r>
      <w:r>
        <w:rPr>
          <w:iCs/>
          <w:snapToGrid/>
          <w:szCs w:val="24"/>
          <w:vertAlign w:val="superscript"/>
        </w:rPr>
        <w:footnoteReference w:id="2"/>
      </w:r>
      <w:r w:rsidRPr="00042496">
        <w:rPr>
          <w:iCs/>
          <w:snapToGrid/>
          <w:szCs w:val="24"/>
        </w:rPr>
        <w:t xml:space="preserve"> estimates that the average hourly wage rate </w:t>
      </w:r>
    </w:p>
    <w:p w:rsidR="00264F7F" w:rsidRPr="00FA5961" w:rsidP="00FA5961" w14:paraId="691EEAAF" w14:textId="31A125AE">
      <w:pPr>
        <w:tabs>
          <w:tab w:val="left" w:pos="-1440"/>
          <w:tab w:val="left" w:pos="0"/>
          <w:tab w:val="left" w:pos="720"/>
          <w:tab w:val="left" w:pos="810"/>
          <w:tab w:val="left" w:pos="4860"/>
        </w:tabs>
        <w:ind w:left="720"/>
        <w:rPr>
          <w:b/>
        </w:rPr>
      </w:pPr>
      <w:r w:rsidRPr="00042496">
        <w:rPr>
          <w:iCs/>
          <w:snapToGrid/>
          <w:szCs w:val="24"/>
        </w:rPr>
        <w:t>for the following professionals are</w:t>
      </w:r>
      <w:r w:rsidR="008461E0">
        <w:rPr>
          <w:iCs/>
          <w:snapToGrid/>
          <w:szCs w:val="24"/>
        </w:rPr>
        <w:t xml:space="preserve"> as follows</w:t>
      </w:r>
      <w:r w:rsidRPr="00042496">
        <w:rPr>
          <w:iCs/>
          <w:snapToGrid/>
          <w:szCs w:val="24"/>
        </w:rPr>
        <w:t>:</w:t>
      </w:r>
      <w:r>
        <w:rPr>
          <w:iCs/>
          <w:snapToGrid/>
          <w:szCs w:val="24"/>
        </w:rPr>
        <w:t xml:space="preserve"> Insurance Underwriter (13-2053) is</w:t>
      </w:r>
      <w:r w:rsidR="008461E0">
        <w:rPr>
          <w:iCs/>
          <w:snapToGrid/>
          <w:szCs w:val="24"/>
        </w:rPr>
        <w:t xml:space="preserve"> $</w:t>
      </w:r>
      <w:r w:rsidRPr="008461E0" w:rsidR="008461E0">
        <w:rPr>
          <w:iCs/>
          <w:snapToGrid/>
          <w:szCs w:val="24"/>
        </w:rPr>
        <w:t>41.16,</w:t>
      </w:r>
      <w:r>
        <w:rPr>
          <w:iCs/>
          <w:snapToGrid/>
          <w:szCs w:val="24"/>
        </w:rPr>
        <w:t xml:space="preserve"> and </w:t>
      </w:r>
      <w:bookmarkStart w:id="5" w:name="_Hlk172103181"/>
      <w:r>
        <w:rPr>
          <w:iCs/>
          <w:snapToGrid/>
          <w:szCs w:val="24"/>
        </w:rPr>
        <w:t>Brokers (</w:t>
      </w:r>
      <w:r w:rsidR="008461E0">
        <w:rPr>
          <w:iCs/>
          <w:snapToGrid/>
          <w:szCs w:val="24"/>
        </w:rPr>
        <w:t>41-9021)</w:t>
      </w:r>
      <w:bookmarkEnd w:id="5"/>
      <w:r w:rsidR="008461E0">
        <w:rPr>
          <w:iCs/>
          <w:snapToGrid/>
          <w:szCs w:val="24"/>
        </w:rPr>
        <w:t xml:space="preserve"> is $41.41. </w:t>
      </w:r>
      <w:r w:rsidRPr="008461E0" w:rsidR="008461E0">
        <w:rPr>
          <w:iCs/>
          <w:snapToGrid/>
          <w:szCs w:val="24"/>
        </w:rPr>
        <w:t>When combined</w:t>
      </w:r>
      <w:r w:rsidR="00122E65">
        <w:rPr>
          <w:iCs/>
          <w:snapToGrid/>
          <w:szCs w:val="24"/>
        </w:rPr>
        <w:t>,</w:t>
      </w:r>
      <w:r w:rsidRPr="008461E0" w:rsidR="008461E0">
        <w:rPr>
          <w:iCs/>
          <w:snapToGrid/>
          <w:szCs w:val="24"/>
        </w:rPr>
        <w:t xml:space="preserve"> the total compensation rate of 29%</w:t>
      </w:r>
      <w:r>
        <w:rPr>
          <w:iCs/>
          <w:snapToGrid/>
          <w:szCs w:val="24"/>
          <w:vertAlign w:val="superscript"/>
        </w:rPr>
        <w:footnoteReference w:id="3"/>
      </w:r>
      <w:r w:rsidRPr="008461E0" w:rsidR="008461E0">
        <w:rPr>
          <w:iCs/>
          <w:snapToGrid/>
          <w:szCs w:val="24"/>
        </w:rPr>
        <w:t>, the annualized hourly rate for each professional is as follows:</w:t>
      </w:r>
      <w:r w:rsidR="008461E0">
        <w:rPr>
          <w:iCs/>
          <w:snapToGrid/>
          <w:szCs w:val="24"/>
        </w:rPr>
        <w:t xml:space="preserve"> Insurance Underwriter (13-2053) </w:t>
      </w:r>
      <w:r w:rsidR="005710D5">
        <w:rPr>
          <w:iCs/>
          <w:snapToGrid/>
          <w:szCs w:val="24"/>
        </w:rPr>
        <w:t xml:space="preserve">is $53.10, </w:t>
      </w:r>
      <w:r w:rsidR="008461E0">
        <w:rPr>
          <w:iCs/>
          <w:snapToGrid/>
          <w:szCs w:val="24"/>
        </w:rPr>
        <w:t xml:space="preserve">and </w:t>
      </w:r>
      <w:r w:rsidRPr="008461E0" w:rsidR="008461E0">
        <w:rPr>
          <w:iCs/>
          <w:snapToGrid/>
          <w:szCs w:val="24"/>
        </w:rPr>
        <w:t>Brokers (41-9021)</w:t>
      </w:r>
      <w:r w:rsidR="005710D5">
        <w:rPr>
          <w:iCs/>
          <w:snapToGrid/>
          <w:szCs w:val="24"/>
        </w:rPr>
        <w:t xml:space="preserve"> is $ 53.42. Therefore, the total annualized cost burden for a</w:t>
      </w:r>
      <w:r w:rsidR="00122E65">
        <w:rPr>
          <w:iCs/>
          <w:snapToGrid/>
          <w:szCs w:val="24"/>
        </w:rPr>
        <w:t>l</w:t>
      </w:r>
      <w:r w:rsidR="005710D5">
        <w:rPr>
          <w:iCs/>
          <w:snapToGrid/>
          <w:szCs w:val="24"/>
        </w:rPr>
        <w:t>l individuals associated with preparing and submitting data for this collection is $2,609.74, which can be calculated as shown in the table below.</w:t>
      </w:r>
      <w:r>
        <w:rPr>
          <w:b/>
        </w:rPr>
        <w:tab/>
      </w:r>
    </w:p>
    <w:p w:rsidR="00264F7F" w:rsidRPr="000D6496" w:rsidP="000D6496" w14:paraId="39AF1815" w14:textId="77777777">
      <w:pPr>
        <w:pStyle w:val="ListParagraph"/>
        <w:tabs>
          <w:tab w:val="left" w:pos="-1440"/>
          <w:tab w:val="left" w:pos="0"/>
          <w:tab w:val="left" w:pos="4770"/>
          <w:tab w:val="left" w:pos="4860"/>
        </w:tabs>
        <w:rPr>
          <w:b/>
        </w:rPr>
      </w:pPr>
    </w:p>
    <w:tbl>
      <w:tblPr>
        <w:tblW w:w="11160" w:type="dxa"/>
        <w:tblInd w:w="-815" w:type="dxa"/>
        <w:tblLook w:val="04A0"/>
      </w:tblPr>
      <w:tblGrid>
        <w:gridCol w:w="1306"/>
        <w:gridCol w:w="1110"/>
        <w:gridCol w:w="1521"/>
        <w:gridCol w:w="533"/>
        <w:gridCol w:w="1260"/>
        <w:gridCol w:w="398"/>
        <w:gridCol w:w="1620"/>
        <w:gridCol w:w="485"/>
        <w:gridCol w:w="1195"/>
        <w:gridCol w:w="461"/>
        <w:gridCol w:w="1271"/>
      </w:tblGrid>
      <w:tr w14:paraId="1FA8EA17" w14:textId="77777777" w:rsidTr="00FA5961">
        <w:tblPrEx>
          <w:tblW w:w="11160" w:type="dxa"/>
          <w:tblInd w:w="-815" w:type="dxa"/>
          <w:tblLook w:val="04A0"/>
        </w:tblPrEx>
        <w:trPr>
          <w:trHeight w:val="915"/>
        </w:trPr>
        <w:tc>
          <w:tcPr>
            <w:tcW w:w="1302" w:type="dxa"/>
            <w:tcBorders>
              <w:top w:val="single" w:sz="12" w:space="0" w:color="auto"/>
              <w:left w:val="single" w:sz="12" w:space="0" w:color="auto"/>
              <w:bottom w:val="single" w:sz="4" w:space="0" w:color="auto"/>
              <w:right w:val="single" w:sz="4" w:space="0" w:color="auto"/>
            </w:tcBorders>
            <w:shd w:val="clear" w:color="auto" w:fill="D0CECE" w:themeFill="background2" w:themeFillShade="E6"/>
            <w:hideMark/>
          </w:tcPr>
          <w:p w:rsidR="00CF3748" w:rsidRPr="000D6496" w:rsidP="00FA5961" w14:paraId="12EE3445" w14:textId="4D692617">
            <w:pPr>
              <w:widowControl/>
              <w:jc w:val="center"/>
              <w:rPr>
                <w:b/>
                <w:bCs/>
                <w:snapToGrid/>
                <w:color w:val="000000"/>
                <w:sz w:val="20"/>
              </w:rPr>
            </w:pPr>
            <w:r w:rsidRPr="000D6496">
              <w:rPr>
                <w:b/>
                <w:bCs/>
                <w:snapToGrid/>
                <w:color w:val="000000"/>
                <w:sz w:val="20"/>
              </w:rPr>
              <w:t>Title and Code of  Respondents</w:t>
            </w:r>
          </w:p>
        </w:tc>
        <w:tc>
          <w:tcPr>
            <w:tcW w:w="1110" w:type="dxa"/>
            <w:tcBorders>
              <w:top w:val="single" w:sz="12" w:space="0" w:color="auto"/>
              <w:left w:val="nil"/>
              <w:bottom w:val="single" w:sz="4" w:space="0" w:color="auto"/>
              <w:right w:val="single" w:sz="4" w:space="0" w:color="auto"/>
            </w:tcBorders>
            <w:shd w:val="clear" w:color="auto" w:fill="D0CECE" w:themeFill="background2" w:themeFillShade="E6"/>
            <w:hideMark/>
          </w:tcPr>
          <w:p w:rsidR="00CF3748" w:rsidRPr="000D6496" w:rsidP="00FA5961" w14:paraId="5757E733" w14:textId="55E71686">
            <w:pPr>
              <w:widowControl/>
              <w:jc w:val="center"/>
              <w:rPr>
                <w:b/>
                <w:bCs/>
                <w:snapToGrid/>
                <w:color w:val="000000"/>
                <w:sz w:val="20"/>
              </w:rPr>
            </w:pPr>
            <w:r w:rsidRPr="000D6496">
              <w:rPr>
                <w:b/>
                <w:bCs/>
                <w:snapToGrid/>
                <w:color w:val="000000"/>
                <w:sz w:val="20"/>
              </w:rPr>
              <w:t>Hourly Wage</w:t>
            </w:r>
          </w:p>
        </w:tc>
        <w:tc>
          <w:tcPr>
            <w:tcW w:w="1521" w:type="dxa"/>
            <w:tcBorders>
              <w:top w:val="single" w:sz="12" w:space="0" w:color="auto"/>
              <w:left w:val="nil"/>
              <w:bottom w:val="single" w:sz="4" w:space="0" w:color="auto"/>
              <w:right w:val="single" w:sz="4" w:space="0" w:color="auto"/>
            </w:tcBorders>
            <w:shd w:val="clear" w:color="auto" w:fill="D0CECE" w:themeFill="background2" w:themeFillShade="E6"/>
            <w:hideMark/>
          </w:tcPr>
          <w:p w:rsidR="00CF3748" w:rsidRPr="000D6496" w:rsidP="00FA5961" w14:paraId="624D68D7" w14:textId="1D57E82D">
            <w:pPr>
              <w:widowControl/>
              <w:jc w:val="center"/>
              <w:rPr>
                <w:b/>
                <w:bCs/>
                <w:snapToGrid/>
                <w:color w:val="000000"/>
                <w:sz w:val="20"/>
              </w:rPr>
            </w:pPr>
            <w:r w:rsidRPr="000D6496">
              <w:rPr>
                <w:b/>
                <w:bCs/>
                <w:snapToGrid/>
                <w:color w:val="000000"/>
                <w:sz w:val="20"/>
              </w:rPr>
              <w:t>Compensation Rate of 29%</w:t>
            </w:r>
          </w:p>
        </w:tc>
        <w:tc>
          <w:tcPr>
            <w:tcW w:w="535" w:type="dxa"/>
            <w:tcBorders>
              <w:top w:val="single" w:sz="12" w:space="0" w:color="auto"/>
              <w:left w:val="nil"/>
              <w:bottom w:val="single" w:sz="4" w:space="0" w:color="auto"/>
              <w:right w:val="single" w:sz="2" w:space="0" w:color="auto"/>
            </w:tcBorders>
            <w:shd w:val="clear" w:color="auto" w:fill="D0CECE" w:themeFill="background2" w:themeFillShade="E6"/>
          </w:tcPr>
          <w:p w:rsidR="00CF3748" w:rsidRPr="00CF3748" w:rsidP="00FA5961" w14:paraId="617B5C96" w14:textId="77777777">
            <w:pPr>
              <w:widowControl/>
              <w:jc w:val="center"/>
              <w:rPr>
                <w:b/>
                <w:bCs/>
                <w:snapToGrid/>
                <w:color w:val="000000"/>
                <w:sz w:val="20"/>
              </w:rPr>
            </w:pPr>
          </w:p>
        </w:tc>
        <w:tc>
          <w:tcPr>
            <w:tcW w:w="1260" w:type="dxa"/>
            <w:tcBorders>
              <w:top w:val="single" w:sz="12" w:space="0" w:color="auto"/>
              <w:left w:val="single" w:sz="2" w:space="0" w:color="auto"/>
              <w:bottom w:val="single" w:sz="4" w:space="0" w:color="auto"/>
              <w:right w:val="single" w:sz="4" w:space="0" w:color="auto"/>
            </w:tcBorders>
            <w:shd w:val="clear" w:color="auto" w:fill="D0CECE" w:themeFill="background2" w:themeFillShade="E6"/>
            <w:hideMark/>
          </w:tcPr>
          <w:p w:rsidR="00CF3748" w:rsidRPr="000D6496" w:rsidP="00FA5961" w14:paraId="4EBBEDBA" w14:textId="41868A7B">
            <w:pPr>
              <w:widowControl/>
              <w:jc w:val="center"/>
              <w:rPr>
                <w:b/>
                <w:bCs/>
                <w:snapToGrid/>
                <w:color w:val="000000"/>
                <w:sz w:val="20"/>
              </w:rPr>
            </w:pPr>
            <w:r w:rsidRPr="000D6496">
              <w:rPr>
                <w:b/>
                <w:bCs/>
                <w:snapToGrid/>
                <w:color w:val="000000"/>
                <w:sz w:val="20"/>
              </w:rPr>
              <w:t>Number of Employees</w:t>
            </w:r>
          </w:p>
        </w:tc>
        <w:tc>
          <w:tcPr>
            <w:tcW w:w="398" w:type="dxa"/>
            <w:tcBorders>
              <w:top w:val="single" w:sz="12" w:space="0" w:color="auto"/>
              <w:left w:val="nil"/>
              <w:bottom w:val="single" w:sz="4" w:space="0" w:color="auto"/>
              <w:right w:val="single" w:sz="2" w:space="0" w:color="auto"/>
            </w:tcBorders>
            <w:shd w:val="clear" w:color="auto" w:fill="D0CECE" w:themeFill="background2" w:themeFillShade="E6"/>
          </w:tcPr>
          <w:p w:rsidR="00CF3748" w:rsidRPr="00CF3748" w:rsidP="00FA5961" w14:paraId="714F5B75" w14:textId="77777777">
            <w:pPr>
              <w:widowControl/>
              <w:jc w:val="center"/>
              <w:rPr>
                <w:b/>
                <w:bCs/>
                <w:snapToGrid/>
                <w:color w:val="000000"/>
                <w:sz w:val="20"/>
              </w:rPr>
            </w:pPr>
          </w:p>
        </w:tc>
        <w:tc>
          <w:tcPr>
            <w:tcW w:w="1620" w:type="dxa"/>
            <w:tcBorders>
              <w:top w:val="single" w:sz="12" w:space="0" w:color="auto"/>
              <w:left w:val="single" w:sz="2" w:space="0" w:color="auto"/>
              <w:bottom w:val="single" w:sz="4" w:space="0" w:color="auto"/>
              <w:right w:val="single" w:sz="4" w:space="0" w:color="auto"/>
            </w:tcBorders>
            <w:shd w:val="clear" w:color="auto" w:fill="D0CECE" w:themeFill="background2" w:themeFillShade="E6"/>
            <w:hideMark/>
          </w:tcPr>
          <w:p w:rsidR="00CF3748" w:rsidRPr="000D6496" w:rsidP="00FA5961" w14:paraId="1A9BC872" w14:textId="4E38BA49">
            <w:pPr>
              <w:widowControl/>
              <w:jc w:val="center"/>
              <w:rPr>
                <w:b/>
                <w:bCs/>
                <w:snapToGrid/>
                <w:color w:val="000000"/>
                <w:sz w:val="20"/>
              </w:rPr>
            </w:pPr>
            <w:r w:rsidRPr="000D6496">
              <w:rPr>
                <w:b/>
                <w:bCs/>
                <w:snapToGrid/>
                <w:color w:val="000000"/>
                <w:sz w:val="20"/>
              </w:rPr>
              <w:t>Total Compensation Rate for Each Respondent</w:t>
            </w:r>
          </w:p>
        </w:tc>
        <w:tc>
          <w:tcPr>
            <w:tcW w:w="486" w:type="dxa"/>
            <w:tcBorders>
              <w:top w:val="single" w:sz="12" w:space="0" w:color="auto"/>
              <w:left w:val="nil"/>
              <w:bottom w:val="single" w:sz="4" w:space="0" w:color="auto"/>
              <w:right w:val="single" w:sz="2" w:space="0" w:color="auto"/>
            </w:tcBorders>
            <w:shd w:val="clear" w:color="auto" w:fill="D0CECE" w:themeFill="background2" w:themeFillShade="E6"/>
          </w:tcPr>
          <w:p w:rsidR="00CF3748" w:rsidRPr="00CF3748" w:rsidP="00FA5961" w14:paraId="5AC9EFA5" w14:textId="77777777">
            <w:pPr>
              <w:widowControl/>
              <w:jc w:val="center"/>
              <w:rPr>
                <w:b/>
                <w:bCs/>
                <w:snapToGrid/>
                <w:color w:val="000000"/>
                <w:sz w:val="20"/>
              </w:rPr>
            </w:pPr>
          </w:p>
        </w:tc>
        <w:tc>
          <w:tcPr>
            <w:tcW w:w="1195" w:type="dxa"/>
            <w:tcBorders>
              <w:top w:val="single" w:sz="12" w:space="0" w:color="auto"/>
              <w:left w:val="single" w:sz="2" w:space="0" w:color="auto"/>
              <w:bottom w:val="single" w:sz="4" w:space="0" w:color="auto"/>
              <w:right w:val="single" w:sz="4" w:space="0" w:color="auto"/>
            </w:tcBorders>
            <w:shd w:val="clear" w:color="auto" w:fill="D0CECE" w:themeFill="background2" w:themeFillShade="E6"/>
            <w:hideMark/>
          </w:tcPr>
          <w:p w:rsidR="00CF3748" w:rsidRPr="000D6496" w:rsidP="00FA5961" w14:paraId="65658904" w14:textId="53FE387D">
            <w:pPr>
              <w:widowControl/>
              <w:jc w:val="center"/>
              <w:rPr>
                <w:b/>
                <w:bCs/>
                <w:snapToGrid/>
                <w:color w:val="000000"/>
                <w:sz w:val="20"/>
              </w:rPr>
            </w:pPr>
            <w:r w:rsidRPr="000D6496">
              <w:rPr>
                <w:b/>
                <w:bCs/>
                <w:snapToGrid/>
                <w:color w:val="000000"/>
                <w:sz w:val="20"/>
              </w:rPr>
              <w:t>Total Annualized Burden Hours</w:t>
            </w:r>
          </w:p>
        </w:tc>
        <w:tc>
          <w:tcPr>
            <w:tcW w:w="462" w:type="dxa"/>
            <w:tcBorders>
              <w:top w:val="single" w:sz="12" w:space="0" w:color="auto"/>
              <w:left w:val="nil"/>
              <w:bottom w:val="single" w:sz="4" w:space="0" w:color="auto"/>
              <w:right w:val="single" w:sz="2" w:space="0" w:color="auto"/>
            </w:tcBorders>
            <w:shd w:val="clear" w:color="auto" w:fill="D0CECE" w:themeFill="background2" w:themeFillShade="E6"/>
          </w:tcPr>
          <w:p w:rsidR="00CF3748" w:rsidRPr="00CF3748" w:rsidP="00FA5961" w14:paraId="17D8C84F" w14:textId="77777777">
            <w:pPr>
              <w:widowControl/>
              <w:jc w:val="center"/>
              <w:rPr>
                <w:b/>
                <w:bCs/>
                <w:snapToGrid/>
                <w:color w:val="000000"/>
                <w:sz w:val="20"/>
              </w:rPr>
            </w:pPr>
          </w:p>
        </w:tc>
        <w:tc>
          <w:tcPr>
            <w:tcW w:w="1271" w:type="dxa"/>
            <w:tcBorders>
              <w:top w:val="single" w:sz="12" w:space="0" w:color="auto"/>
              <w:left w:val="single" w:sz="2" w:space="0" w:color="auto"/>
              <w:bottom w:val="single" w:sz="4" w:space="0" w:color="auto"/>
              <w:right w:val="single" w:sz="12" w:space="0" w:color="auto"/>
            </w:tcBorders>
            <w:shd w:val="clear" w:color="auto" w:fill="D0CECE" w:themeFill="background2" w:themeFillShade="E6"/>
            <w:hideMark/>
          </w:tcPr>
          <w:p w:rsidR="00CF3748" w:rsidRPr="000D6496" w:rsidP="00FA5961" w14:paraId="034642DC" w14:textId="62314960">
            <w:pPr>
              <w:widowControl/>
              <w:jc w:val="center"/>
              <w:rPr>
                <w:b/>
                <w:bCs/>
                <w:snapToGrid/>
                <w:color w:val="000000"/>
                <w:sz w:val="20"/>
              </w:rPr>
            </w:pPr>
            <w:r w:rsidRPr="000D6496">
              <w:rPr>
                <w:b/>
                <w:bCs/>
                <w:snapToGrid/>
                <w:color w:val="000000"/>
                <w:sz w:val="20"/>
              </w:rPr>
              <w:t>Total Annualized Cost Burden</w:t>
            </w:r>
          </w:p>
        </w:tc>
      </w:tr>
      <w:tr w14:paraId="18EEDBF0" w14:textId="77777777" w:rsidTr="003C4605">
        <w:tblPrEx>
          <w:tblW w:w="11160" w:type="dxa"/>
          <w:tblInd w:w="-815" w:type="dxa"/>
          <w:tblLook w:val="04A0"/>
        </w:tblPrEx>
        <w:trPr>
          <w:trHeight w:val="600"/>
        </w:trPr>
        <w:tc>
          <w:tcPr>
            <w:tcW w:w="1302" w:type="dxa"/>
            <w:tcBorders>
              <w:top w:val="nil"/>
              <w:left w:val="single" w:sz="12" w:space="0" w:color="auto"/>
              <w:bottom w:val="single" w:sz="4" w:space="0" w:color="auto"/>
              <w:right w:val="single" w:sz="4" w:space="0" w:color="auto"/>
            </w:tcBorders>
            <w:shd w:val="clear" w:color="auto" w:fill="auto"/>
            <w:vAlign w:val="bottom"/>
            <w:hideMark/>
          </w:tcPr>
          <w:p w:rsidR="00CF3748" w:rsidRPr="000D6496" w:rsidP="000D6496" w14:paraId="73437158" w14:textId="09358B1A">
            <w:pPr>
              <w:widowControl/>
              <w:jc w:val="center"/>
              <w:rPr>
                <w:snapToGrid/>
                <w:color w:val="000000"/>
                <w:sz w:val="20"/>
              </w:rPr>
            </w:pPr>
            <w:r w:rsidRPr="000D6496">
              <w:rPr>
                <w:snapToGrid/>
                <w:color w:val="000000"/>
                <w:sz w:val="20"/>
              </w:rPr>
              <w:t>Insurance Underwriters (13-2053)</w:t>
            </w:r>
          </w:p>
        </w:tc>
        <w:tc>
          <w:tcPr>
            <w:tcW w:w="1110" w:type="dxa"/>
            <w:tcBorders>
              <w:top w:val="nil"/>
              <w:left w:val="nil"/>
              <w:bottom w:val="single" w:sz="4" w:space="0" w:color="auto"/>
              <w:right w:val="single" w:sz="4" w:space="0" w:color="auto"/>
            </w:tcBorders>
            <w:shd w:val="clear" w:color="auto" w:fill="auto"/>
            <w:noWrap/>
            <w:vAlign w:val="bottom"/>
            <w:hideMark/>
          </w:tcPr>
          <w:p w:rsidR="00CF3748" w:rsidRPr="000D6496" w:rsidP="000D6496" w14:paraId="7D6030A8" w14:textId="7F3845F7">
            <w:pPr>
              <w:widowControl/>
              <w:jc w:val="center"/>
              <w:rPr>
                <w:snapToGrid/>
                <w:color w:val="000000"/>
                <w:sz w:val="20"/>
              </w:rPr>
            </w:pPr>
            <w:r w:rsidRPr="000D6496">
              <w:rPr>
                <w:snapToGrid/>
                <w:color w:val="000000"/>
                <w:sz w:val="20"/>
              </w:rPr>
              <w:t>$ 41.16</w:t>
            </w:r>
          </w:p>
        </w:tc>
        <w:tc>
          <w:tcPr>
            <w:tcW w:w="1521" w:type="dxa"/>
            <w:tcBorders>
              <w:top w:val="nil"/>
              <w:left w:val="nil"/>
              <w:bottom w:val="single" w:sz="4" w:space="0" w:color="auto"/>
              <w:right w:val="single" w:sz="4" w:space="0" w:color="auto"/>
            </w:tcBorders>
            <w:shd w:val="clear" w:color="auto" w:fill="auto"/>
            <w:noWrap/>
            <w:vAlign w:val="bottom"/>
            <w:hideMark/>
          </w:tcPr>
          <w:p w:rsidR="00CF3748" w:rsidRPr="000D6496" w:rsidP="000D6496" w14:paraId="6E378840" w14:textId="528DDF54">
            <w:pPr>
              <w:widowControl/>
              <w:jc w:val="center"/>
              <w:rPr>
                <w:snapToGrid/>
                <w:color w:val="000000"/>
                <w:sz w:val="20"/>
              </w:rPr>
            </w:pPr>
            <w:r w:rsidRPr="000D6496">
              <w:rPr>
                <w:snapToGrid/>
                <w:color w:val="000000"/>
                <w:sz w:val="20"/>
              </w:rPr>
              <w:t>$ 53.10</w:t>
            </w:r>
          </w:p>
        </w:tc>
        <w:tc>
          <w:tcPr>
            <w:tcW w:w="535" w:type="dxa"/>
            <w:vMerge w:val="restart"/>
            <w:tcBorders>
              <w:top w:val="nil"/>
              <w:left w:val="nil"/>
              <w:right w:val="single" w:sz="2" w:space="0" w:color="auto"/>
            </w:tcBorders>
          </w:tcPr>
          <w:p w:rsidR="00CF3748" w:rsidP="00CF3748" w14:paraId="4696D07D" w14:textId="77777777">
            <w:pPr>
              <w:widowControl/>
              <w:jc w:val="center"/>
              <w:rPr>
                <w:snapToGrid/>
                <w:color w:val="000000"/>
                <w:sz w:val="20"/>
              </w:rPr>
            </w:pPr>
          </w:p>
          <w:p w:rsidR="00CF3748" w:rsidP="00CF3748" w14:paraId="4FD4A482" w14:textId="77777777">
            <w:pPr>
              <w:widowControl/>
              <w:jc w:val="center"/>
              <w:rPr>
                <w:snapToGrid/>
                <w:color w:val="000000"/>
                <w:sz w:val="20"/>
              </w:rPr>
            </w:pPr>
          </w:p>
          <w:p w:rsidR="00CF3748" w:rsidRPr="00CF3748" w:rsidP="00CF3748" w14:paraId="76312E6B" w14:textId="4AF09649">
            <w:pPr>
              <w:widowControl/>
              <w:jc w:val="center"/>
              <w:rPr>
                <w:snapToGrid/>
                <w:color w:val="000000"/>
                <w:sz w:val="20"/>
              </w:rPr>
            </w:pPr>
            <w:r>
              <w:rPr>
                <w:snapToGrid/>
                <w:color w:val="000000"/>
                <w:sz w:val="20"/>
              </w:rPr>
              <w:t>*</w:t>
            </w:r>
          </w:p>
        </w:tc>
        <w:tc>
          <w:tcPr>
            <w:tcW w:w="1260" w:type="dxa"/>
            <w:tcBorders>
              <w:top w:val="nil"/>
              <w:left w:val="single" w:sz="2" w:space="0" w:color="auto"/>
              <w:bottom w:val="single" w:sz="4" w:space="0" w:color="auto"/>
              <w:right w:val="single" w:sz="4" w:space="0" w:color="auto"/>
            </w:tcBorders>
            <w:shd w:val="clear" w:color="auto" w:fill="auto"/>
            <w:noWrap/>
            <w:vAlign w:val="bottom"/>
            <w:hideMark/>
          </w:tcPr>
          <w:p w:rsidR="00CF3748" w:rsidRPr="000D6496" w:rsidP="00CF3748" w14:paraId="6372FCC1" w14:textId="549BC068">
            <w:pPr>
              <w:widowControl/>
              <w:jc w:val="center"/>
              <w:rPr>
                <w:snapToGrid/>
                <w:color w:val="000000"/>
                <w:sz w:val="20"/>
              </w:rPr>
            </w:pPr>
            <w:r w:rsidRPr="000D6496">
              <w:rPr>
                <w:snapToGrid/>
                <w:color w:val="000000"/>
                <w:sz w:val="20"/>
              </w:rPr>
              <w:t>1</w:t>
            </w:r>
          </w:p>
        </w:tc>
        <w:tc>
          <w:tcPr>
            <w:tcW w:w="398" w:type="dxa"/>
            <w:vMerge w:val="restart"/>
            <w:tcBorders>
              <w:top w:val="nil"/>
              <w:left w:val="nil"/>
              <w:right w:val="single" w:sz="2" w:space="0" w:color="auto"/>
            </w:tcBorders>
            <w:vAlign w:val="center"/>
          </w:tcPr>
          <w:p w:rsidR="00CF3748" w:rsidRPr="00CF3748" w:rsidP="00CF3748" w14:paraId="6DAB0691" w14:textId="3E732560">
            <w:pPr>
              <w:widowControl/>
              <w:jc w:val="center"/>
              <w:rPr>
                <w:snapToGrid/>
                <w:color w:val="000000"/>
                <w:sz w:val="20"/>
              </w:rPr>
            </w:pPr>
            <w:r>
              <w:rPr>
                <w:snapToGrid/>
                <w:color w:val="000000"/>
                <w:sz w:val="20"/>
              </w:rPr>
              <w:t>=</w:t>
            </w:r>
          </w:p>
        </w:tc>
        <w:tc>
          <w:tcPr>
            <w:tcW w:w="1620" w:type="dxa"/>
            <w:tcBorders>
              <w:top w:val="nil"/>
              <w:left w:val="single" w:sz="2" w:space="0" w:color="auto"/>
              <w:bottom w:val="single" w:sz="4" w:space="0" w:color="auto"/>
              <w:right w:val="single" w:sz="4" w:space="0" w:color="auto"/>
            </w:tcBorders>
            <w:shd w:val="clear" w:color="auto" w:fill="auto"/>
            <w:noWrap/>
            <w:vAlign w:val="bottom"/>
            <w:hideMark/>
          </w:tcPr>
          <w:p w:rsidR="00CF3748" w:rsidRPr="000D6496" w:rsidP="000D6496" w14:paraId="4D575B8B" w14:textId="0C7488A6">
            <w:pPr>
              <w:widowControl/>
              <w:jc w:val="center"/>
              <w:rPr>
                <w:snapToGrid/>
                <w:color w:val="000000"/>
                <w:sz w:val="20"/>
              </w:rPr>
            </w:pPr>
            <w:r w:rsidRPr="000D6496">
              <w:rPr>
                <w:snapToGrid/>
                <w:color w:val="000000"/>
                <w:sz w:val="20"/>
              </w:rPr>
              <w:t>$  53.10</w:t>
            </w:r>
          </w:p>
        </w:tc>
        <w:tc>
          <w:tcPr>
            <w:tcW w:w="486" w:type="dxa"/>
            <w:vMerge w:val="restart"/>
            <w:tcBorders>
              <w:top w:val="nil"/>
              <w:left w:val="nil"/>
              <w:right w:val="single" w:sz="2" w:space="0" w:color="auto"/>
            </w:tcBorders>
            <w:vAlign w:val="center"/>
          </w:tcPr>
          <w:p w:rsidR="00CF3748" w:rsidP="00CF3748" w14:paraId="6DCBDD1A" w14:textId="77777777">
            <w:pPr>
              <w:widowControl/>
              <w:jc w:val="center"/>
              <w:rPr>
                <w:snapToGrid/>
                <w:color w:val="000000"/>
                <w:sz w:val="20"/>
              </w:rPr>
            </w:pPr>
          </w:p>
          <w:p w:rsidR="00CF3748" w:rsidRPr="00CF3748" w:rsidP="00CF3748" w14:paraId="3E1550A0" w14:textId="53CAD472">
            <w:pPr>
              <w:widowControl/>
              <w:jc w:val="center"/>
              <w:rPr>
                <w:snapToGrid/>
                <w:color w:val="000000"/>
                <w:sz w:val="20"/>
              </w:rPr>
            </w:pPr>
            <w:r>
              <w:rPr>
                <w:snapToGrid/>
                <w:color w:val="000000"/>
                <w:sz w:val="20"/>
              </w:rPr>
              <w:t>*</w:t>
            </w:r>
          </w:p>
        </w:tc>
        <w:tc>
          <w:tcPr>
            <w:tcW w:w="1195" w:type="dxa"/>
            <w:tcBorders>
              <w:top w:val="nil"/>
              <w:left w:val="single" w:sz="2" w:space="0" w:color="auto"/>
              <w:bottom w:val="single" w:sz="4" w:space="0" w:color="auto"/>
              <w:right w:val="single" w:sz="4" w:space="0" w:color="auto"/>
            </w:tcBorders>
            <w:shd w:val="clear" w:color="auto" w:fill="auto"/>
            <w:noWrap/>
            <w:vAlign w:val="bottom"/>
            <w:hideMark/>
          </w:tcPr>
          <w:p w:rsidR="00CF3748" w:rsidRPr="000D6496" w:rsidP="000D6496" w14:paraId="2B5FBEC3" w14:textId="0FFB7DC9">
            <w:pPr>
              <w:widowControl/>
              <w:jc w:val="center"/>
              <w:rPr>
                <w:snapToGrid/>
                <w:color w:val="000000"/>
                <w:sz w:val="20"/>
              </w:rPr>
            </w:pPr>
            <w:r w:rsidRPr="000D6496">
              <w:rPr>
                <w:snapToGrid/>
                <w:color w:val="000000"/>
                <w:sz w:val="20"/>
              </w:rPr>
              <w:t>24.50</w:t>
            </w:r>
          </w:p>
        </w:tc>
        <w:tc>
          <w:tcPr>
            <w:tcW w:w="462" w:type="dxa"/>
            <w:vMerge w:val="restart"/>
            <w:tcBorders>
              <w:top w:val="single" w:sz="4" w:space="0" w:color="auto"/>
              <w:left w:val="nil"/>
              <w:right w:val="single" w:sz="2" w:space="0" w:color="auto"/>
            </w:tcBorders>
            <w:vAlign w:val="center"/>
          </w:tcPr>
          <w:p w:rsidR="00CF3748" w:rsidRPr="00CF3748" w:rsidP="00CF3748" w14:paraId="18C626F0" w14:textId="03C365B6">
            <w:pPr>
              <w:widowControl/>
              <w:jc w:val="center"/>
              <w:rPr>
                <w:snapToGrid/>
                <w:color w:val="000000"/>
                <w:sz w:val="20"/>
              </w:rPr>
            </w:pPr>
            <w:r>
              <w:rPr>
                <w:snapToGrid/>
                <w:color w:val="000000"/>
                <w:sz w:val="20"/>
              </w:rPr>
              <w:t>=</w:t>
            </w:r>
          </w:p>
        </w:tc>
        <w:tc>
          <w:tcPr>
            <w:tcW w:w="1271" w:type="dxa"/>
            <w:tcBorders>
              <w:top w:val="nil"/>
              <w:left w:val="single" w:sz="2" w:space="0" w:color="auto"/>
              <w:bottom w:val="single" w:sz="4" w:space="0" w:color="auto"/>
              <w:right w:val="single" w:sz="12" w:space="0" w:color="auto"/>
            </w:tcBorders>
            <w:shd w:val="clear" w:color="auto" w:fill="auto"/>
            <w:noWrap/>
            <w:vAlign w:val="bottom"/>
            <w:hideMark/>
          </w:tcPr>
          <w:p w:rsidR="00CF3748" w:rsidRPr="000D6496" w:rsidP="000D6496" w14:paraId="1325FB76" w14:textId="72894FC5">
            <w:pPr>
              <w:widowControl/>
              <w:jc w:val="center"/>
              <w:rPr>
                <w:snapToGrid/>
                <w:color w:val="000000"/>
                <w:sz w:val="20"/>
              </w:rPr>
            </w:pPr>
            <w:r w:rsidRPr="000D6496">
              <w:rPr>
                <w:snapToGrid/>
                <w:color w:val="000000"/>
                <w:sz w:val="20"/>
              </w:rPr>
              <w:t>$  1,300.95</w:t>
            </w:r>
          </w:p>
        </w:tc>
      </w:tr>
      <w:tr w14:paraId="298338B6" w14:textId="77777777" w:rsidTr="003C4605">
        <w:tblPrEx>
          <w:tblW w:w="11160" w:type="dxa"/>
          <w:tblInd w:w="-815" w:type="dxa"/>
          <w:tblLook w:val="04A0"/>
        </w:tblPrEx>
        <w:trPr>
          <w:trHeight w:val="300"/>
        </w:trPr>
        <w:tc>
          <w:tcPr>
            <w:tcW w:w="1302" w:type="dxa"/>
            <w:tcBorders>
              <w:top w:val="nil"/>
              <w:left w:val="single" w:sz="12" w:space="0" w:color="auto"/>
              <w:bottom w:val="single" w:sz="4" w:space="0" w:color="auto"/>
              <w:right w:val="single" w:sz="4" w:space="0" w:color="auto"/>
            </w:tcBorders>
            <w:shd w:val="clear" w:color="auto" w:fill="auto"/>
            <w:vAlign w:val="bottom"/>
            <w:hideMark/>
          </w:tcPr>
          <w:p w:rsidR="00CF3748" w:rsidRPr="000D6496" w:rsidP="000D6496" w14:paraId="4F831222" w14:textId="0C6E3346">
            <w:pPr>
              <w:widowControl/>
              <w:jc w:val="center"/>
              <w:rPr>
                <w:snapToGrid/>
                <w:color w:val="000000"/>
                <w:sz w:val="20"/>
              </w:rPr>
            </w:pPr>
            <w:r w:rsidRPr="000D6496">
              <w:rPr>
                <w:snapToGrid/>
                <w:color w:val="000000"/>
                <w:sz w:val="20"/>
              </w:rPr>
              <w:t xml:space="preserve">Brokers </w:t>
            </w:r>
            <w:r>
              <w:rPr>
                <w:snapToGrid/>
                <w:color w:val="000000"/>
                <w:sz w:val="20"/>
              </w:rPr>
              <w:t xml:space="preserve">      </w:t>
            </w:r>
            <w:r w:rsidRPr="000D6496">
              <w:rPr>
                <w:snapToGrid/>
                <w:color w:val="000000"/>
                <w:sz w:val="20"/>
              </w:rPr>
              <w:t>(41-9021)</w:t>
            </w:r>
          </w:p>
        </w:tc>
        <w:tc>
          <w:tcPr>
            <w:tcW w:w="1110" w:type="dxa"/>
            <w:tcBorders>
              <w:top w:val="nil"/>
              <w:left w:val="nil"/>
              <w:bottom w:val="single" w:sz="4" w:space="0" w:color="auto"/>
              <w:right w:val="single" w:sz="4" w:space="0" w:color="auto"/>
            </w:tcBorders>
            <w:shd w:val="clear" w:color="auto" w:fill="auto"/>
            <w:noWrap/>
            <w:vAlign w:val="bottom"/>
            <w:hideMark/>
          </w:tcPr>
          <w:p w:rsidR="00CF3748" w:rsidRPr="000D6496" w:rsidP="000D6496" w14:paraId="725B77EB" w14:textId="22DF3A03">
            <w:pPr>
              <w:widowControl/>
              <w:jc w:val="center"/>
              <w:rPr>
                <w:snapToGrid/>
                <w:color w:val="000000"/>
                <w:sz w:val="20"/>
              </w:rPr>
            </w:pPr>
            <w:r w:rsidRPr="000D6496">
              <w:rPr>
                <w:snapToGrid/>
                <w:color w:val="000000"/>
                <w:sz w:val="20"/>
              </w:rPr>
              <w:t>$ 41.41</w:t>
            </w:r>
          </w:p>
        </w:tc>
        <w:tc>
          <w:tcPr>
            <w:tcW w:w="1521" w:type="dxa"/>
            <w:tcBorders>
              <w:top w:val="nil"/>
              <w:left w:val="nil"/>
              <w:bottom w:val="single" w:sz="4" w:space="0" w:color="auto"/>
              <w:right w:val="single" w:sz="4" w:space="0" w:color="auto"/>
            </w:tcBorders>
            <w:shd w:val="clear" w:color="auto" w:fill="auto"/>
            <w:noWrap/>
            <w:vAlign w:val="bottom"/>
            <w:hideMark/>
          </w:tcPr>
          <w:p w:rsidR="00CF3748" w:rsidRPr="000D6496" w:rsidP="000D6496" w14:paraId="3A145CD8" w14:textId="59F9C972">
            <w:pPr>
              <w:widowControl/>
              <w:jc w:val="center"/>
              <w:rPr>
                <w:snapToGrid/>
                <w:color w:val="000000"/>
                <w:sz w:val="20"/>
              </w:rPr>
            </w:pPr>
            <w:r w:rsidRPr="000D6496">
              <w:rPr>
                <w:snapToGrid/>
                <w:color w:val="000000"/>
                <w:sz w:val="20"/>
              </w:rPr>
              <w:t>$  53.42</w:t>
            </w:r>
          </w:p>
        </w:tc>
        <w:tc>
          <w:tcPr>
            <w:tcW w:w="535" w:type="dxa"/>
            <w:vMerge/>
            <w:tcBorders>
              <w:left w:val="nil"/>
              <w:bottom w:val="single" w:sz="4" w:space="0" w:color="auto"/>
              <w:right w:val="single" w:sz="2" w:space="0" w:color="auto"/>
            </w:tcBorders>
          </w:tcPr>
          <w:p w:rsidR="00CF3748" w:rsidRPr="00CF3748" w:rsidP="00CF3748" w14:paraId="30D5B59D" w14:textId="77777777">
            <w:pPr>
              <w:widowControl/>
              <w:jc w:val="center"/>
              <w:rPr>
                <w:snapToGrid/>
                <w:color w:val="000000"/>
                <w:sz w:val="20"/>
              </w:rPr>
            </w:pPr>
          </w:p>
        </w:tc>
        <w:tc>
          <w:tcPr>
            <w:tcW w:w="1260" w:type="dxa"/>
            <w:tcBorders>
              <w:top w:val="nil"/>
              <w:left w:val="single" w:sz="2" w:space="0" w:color="auto"/>
              <w:bottom w:val="single" w:sz="4" w:space="0" w:color="auto"/>
              <w:right w:val="single" w:sz="4" w:space="0" w:color="auto"/>
            </w:tcBorders>
            <w:shd w:val="clear" w:color="auto" w:fill="auto"/>
            <w:noWrap/>
            <w:vAlign w:val="bottom"/>
            <w:hideMark/>
          </w:tcPr>
          <w:p w:rsidR="00CF3748" w:rsidRPr="000D6496" w:rsidP="00CF3748" w14:paraId="3A3AA8A7" w14:textId="57CEBA80">
            <w:pPr>
              <w:widowControl/>
              <w:jc w:val="center"/>
              <w:rPr>
                <w:snapToGrid/>
                <w:color w:val="000000"/>
                <w:sz w:val="20"/>
              </w:rPr>
            </w:pPr>
            <w:r w:rsidRPr="000D6496">
              <w:rPr>
                <w:snapToGrid/>
                <w:color w:val="000000"/>
                <w:sz w:val="20"/>
              </w:rPr>
              <w:t>1</w:t>
            </w:r>
          </w:p>
        </w:tc>
        <w:tc>
          <w:tcPr>
            <w:tcW w:w="398" w:type="dxa"/>
            <w:vMerge/>
            <w:tcBorders>
              <w:left w:val="nil"/>
              <w:bottom w:val="single" w:sz="4" w:space="0" w:color="auto"/>
              <w:right w:val="single" w:sz="2" w:space="0" w:color="auto"/>
            </w:tcBorders>
          </w:tcPr>
          <w:p w:rsidR="00CF3748" w:rsidRPr="00CF3748" w:rsidP="003C4605" w14:paraId="76CA754F" w14:textId="77777777">
            <w:pPr>
              <w:widowControl/>
              <w:jc w:val="center"/>
              <w:rPr>
                <w:snapToGrid/>
                <w:color w:val="000000"/>
                <w:sz w:val="20"/>
              </w:rPr>
            </w:pPr>
          </w:p>
        </w:tc>
        <w:tc>
          <w:tcPr>
            <w:tcW w:w="1620" w:type="dxa"/>
            <w:tcBorders>
              <w:top w:val="nil"/>
              <w:left w:val="single" w:sz="2" w:space="0" w:color="auto"/>
              <w:bottom w:val="single" w:sz="4" w:space="0" w:color="auto"/>
              <w:right w:val="single" w:sz="4" w:space="0" w:color="auto"/>
            </w:tcBorders>
            <w:shd w:val="clear" w:color="auto" w:fill="auto"/>
            <w:noWrap/>
            <w:vAlign w:val="bottom"/>
            <w:hideMark/>
          </w:tcPr>
          <w:p w:rsidR="00CF3748" w:rsidRPr="000D6496" w:rsidP="000D6496" w14:paraId="7764F4DE" w14:textId="5527E6B4">
            <w:pPr>
              <w:widowControl/>
              <w:jc w:val="center"/>
              <w:rPr>
                <w:snapToGrid/>
                <w:color w:val="000000"/>
                <w:sz w:val="20"/>
              </w:rPr>
            </w:pPr>
            <w:r w:rsidRPr="000D6496">
              <w:rPr>
                <w:snapToGrid/>
                <w:color w:val="000000"/>
                <w:sz w:val="20"/>
              </w:rPr>
              <w:t>$  53.42</w:t>
            </w:r>
          </w:p>
        </w:tc>
        <w:tc>
          <w:tcPr>
            <w:tcW w:w="486" w:type="dxa"/>
            <w:vMerge/>
            <w:tcBorders>
              <w:left w:val="nil"/>
              <w:bottom w:val="single" w:sz="4" w:space="0" w:color="auto"/>
              <w:right w:val="single" w:sz="2" w:space="0" w:color="auto"/>
            </w:tcBorders>
          </w:tcPr>
          <w:p w:rsidR="00CF3748" w:rsidRPr="00CF3748" w:rsidP="003C4605" w14:paraId="19BEABC2" w14:textId="77777777">
            <w:pPr>
              <w:widowControl/>
              <w:jc w:val="center"/>
              <w:rPr>
                <w:snapToGrid/>
                <w:color w:val="000000"/>
                <w:sz w:val="20"/>
              </w:rPr>
            </w:pPr>
          </w:p>
        </w:tc>
        <w:tc>
          <w:tcPr>
            <w:tcW w:w="1195" w:type="dxa"/>
            <w:tcBorders>
              <w:top w:val="nil"/>
              <w:left w:val="single" w:sz="2" w:space="0" w:color="auto"/>
              <w:bottom w:val="single" w:sz="4" w:space="0" w:color="auto"/>
              <w:right w:val="single" w:sz="4" w:space="0" w:color="auto"/>
            </w:tcBorders>
            <w:shd w:val="clear" w:color="auto" w:fill="auto"/>
            <w:noWrap/>
            <w:vAlign w:val="bottom"/>
            <w:hideMark/>
          </w:tcPr>
          <w:p w:rsidR="00CF3748" w:rsidRPr="000D6496" w:rsidP="000D6496" w14:paraId="7712DF8E" w14:textId="52C2E456">
            <w:pPr>
              <w:widowControl/>
              <w:jc w:val="center"/>
              <w:rPr>
                <w:snapToGrid/>
                <w:color w:val="000000"/>
                <w:sz w:val="20"/>
              </w:rPr>
            </w:pPr>
            <w:r w:rsidRPr="000D6496">
              <w:rPr>
                <w:snapToGrid/>
                <w:color w:val="000000"/>
                <w:sz w:val="20"/>
              </w:rPr>
              <w:t>24.50</w:t>
            </w:r>
          </w:p>
        </w:tc>
        <w:tc>
          <w:tcPr>
            <w:tcW w:w="462" w:type="dxa"/>
            <w:vMerge/>
            <w:tcBorders>
              <w:left w:val="nil"/>
              <w:bottom w:val="single" w:sz="2" w:space="0" w:color="auto"/>
              <w:right w:val="single" w:sz="2" w:space="0" w:color="auto"/>
            </w:tcBorders>
          </w:tcPr>
          <w:p w:rsidR="00CF3748" w:rsidRPr="00CF3748" w:rsidP="003C4605" w14:paraId="4FE7FE71" w14:textId="77777777">
            <w:pPr>
              <w:widowControl/>
              <w:jc w:val="center"/>
              <w:rPr>
                <w:snapToGrid/>
                <w:color w:val="000000"/>
                <w:sz w:val="20"/>
              </w:rPr>
            </w:pPr>
          </w:p>
        </w:tc>
        <w:tc>
          <w:tcPr>
            <w:tcW w:w="1271" w:type="dxa"/>
            <w:tcBorders>
              <w:top w:val="nil"/>
              <w:left w:val="single" w:sz="2" w:space="0" w:color="auto"/>
              <w:bottom w:val="single" w:sz="4" w:space="0" w:color="auto"/>
              <w:right w:val="single" w:sz="12" w:space="0" w:color="auto"/>
            </w:tcBorders>
            <w:shd w:val="clear" w:color="auto" w:fill="auto"/>
            <w:noWrap/>
            <w:vAlign w:val="bottom"/>
            <w:hideMark/>
          </w:tcPr>
          <w:p w:rsidR="00CF3748" w:rsidRPr="000D6496" w:rsidP="000D6496" w14:paraId="2A1754FB" w14:textId="04D08E19">
            <w:pPr>
              <w:widowControl/>
              <w:jc w:val="center"/>
              <w:rPr>
                <w:snapToGrid/>
                <w:color w:val="000000"/>
                <w:sz w:val="20"/>
              </w:rPr>
            </w:pPr>
            <w:r w:rsidRPr="000D6496">
              <w:rPr>
                <w:snapToGrid/>
                <w:color w:val="000000"/>
                <w:sz w:val="20"/>
              </w:rPr>
              <w:t>$   1,308.79</w:t>
            </w:r>
          </w:p>
        </w:tc>
      </w:tr>
      <w:tr w14:paraId="055EE5AC" w14:textId="77777777" w:rsidTr="000D6496">
        <w:tblPrEx>
          <w:tblW w:w="11160" w:type="dxa"/>
          <w:tblInd w:w="-815" w:type="dxa"/>
          <w:tblLook w:val="04A0"/>
        </w:tblPrEx>
        <w:trPr>
          <w:trHeight w:val="300"/>
        </w:trPr>
        <w:tc>
          <w:tcPr>
            <w:tcW w:w="7746" w:type="dxa"/>
            <w:gridSpan w:val="7"/>
            <w:tcBorders>
              <w:top w:val="nil"/>
              <w:left w:val="single" w:sz="12" w:space="0" w:color="auto"/>
              <w:bottom w:val="single" w:sz="12" w:space="0" w:color="auto"/>
              <w:right w:val="single" w:sz="2" w:space="0" w:color="auto"/>
            </w:tcBorders>
          </w:tcPr>
          <w:p w:rsidR="00CF3748" w:rsidRPr="000D6496" w:rsidP="003C4605" w14:paraId="152F3E5F" w14:textId="50034372">
            <w:pPr>
              <w:widowControl/>
              <w:jc w:val="center"/>
              <w:rPr>
                <w:b/>
                <w:bCs/>
                <w:snapToGrid/>
                <w:color w:val="000000"/>
                <w:sz w:val="20"/>
              </w:rPr>
            </w:pPr>
            <w:r w:rsidRPr="000D6496">
              <w:rPr>
                <w:b/>
                <w:bCs/>
                <w:snapToGrid/>
                <w:color w:val="000000"/>
                <w:sz w:val="20"/>
              </w:rPr>
              <w:t>COMBINED TOTAL</w:t>
            </w:r>
          </w:p>
        </w:tc>
        <w:tc>
          <w:tcPr>
            <w:tcW w:w="486" w:type="dxa"/>
            <w:tcBorders>
              <w:top w:val="nil"/>
              <w:left w:val="single" w:sz="2" w:space="0" w:color="auto"/>
              <w:bottom w:val="single" w:sz="12" w:space="0" w:color="auto"/>
              <w:right w:val="single" w:sz="2" w:space="0" w:color="auto"/>
            </w:tcBorders>
          </w:tcPr>
          <w:p w:rsidR="00CF3748" w:rsidP="003C4605" w14:paraId="3F273870" w14:textId="77777777">
            <w:pPr>
              <w:widowControl/>
              <w:jc w:val="center"/>
              <w:rPr>
                <w:snapToGrid/>
                <w:color w:val="000000"/>
                <w:sz w:val="20"/>
              </w:rPr>
            </w:pPr>
          </w:p>
        </w:tc>
        <w:tc>
          <w:tcPr>
            <w:tcW w:w="1195" w:type="dxa"/>
            <w:tcBorders>
              <w:top w:val="nil"/>
              <w:left w:val="single" w:sz="2" w:space="0" w:color="auto"/>
              <w:bottom w:val="single" w:sz="12" w:space="0" w:color="auto"/>
              <w:right w:val="single" w:sz="4" w:space="0" w:color="auto"/>
            </w:tcBorders>
            <w:shd w:val="clear" w:color="auto" w:fill="auto"/>
            <w:noWrap/>
            <w:vAlign w:val="bottom"/>
          </w:tcPr>
          <w:p w:rsidR="00CF3748" w:rsidRPr="000D6496" w:rsidP="003C4605" w14:paraId="50788A71" w14:textId="42CFF643">
            <w:pPr>
              <w:widowControl/>
              <w:jc w:val="center"/>
              <w:rPr>
                <w:b/>
                <w:bCs/>
                <w:snapToGrid/>
                <w:color w:val="000000"/>
                <w:sz w:val="20"/>
              </w:rPr>
            </w:pPr>
            <w:r w:rsidRPr="000D6496">
              <w:rPr>
                <w:b/>
                <w:bCs/>
                <w:snapToGrid/>
                <w:color w:val="000000"/>
                <w:sz w:val="20"/>
              </w:rPr>
              <w:t>49</w:t>
            </w:r>
          </w:p>
        </w:tc>
        <w:tc>
          <w:tcPr>
            <w:tcW w:w="462" w:type="dxa"/>
            <w:tcBorders>
              <w:top w:val="single" w:sz="2" w:space="0" w:color="auto"/>
              <w:left w:val="nil"/>
              <w:bottom w:val="single" w:sz="12" w:space="0" w:color="auto"/>
              <w:right w:val="single" w:sz="2" w:space="0" w:color="auto"/>
            </w:tcBorders>
          </w:tcPr>
          <w:p w:rsidR="00CF3748" w:rsidRPr="000D6496" w:rsidP="003C4605" w14:paraId="67E400E9" w14:textId="77777777">
            <w:pPr>
              <w:widowControl/>
              <w:jc w:val="center"/>
              <w:rPr>
                <w:b/>
                <w:bCs/>
                <w:snapToGrid/>
                <w:color w:val="000000"/>
                <w:sz w:val="20"/>
              </w:rPr>
            </w:pPr>
          </w:p>
        </w:tc>
        <w:tc>
          <w:tcPr>
            <w:tcW w:w="1271" w:type="dxa"/>
            <w:tcBorders>
              <w:top w:val="nil"/>
              <w:left w:val="single" w:sz="2" w:space="0" w:color="auto"/>
              <w:bottom w:val="single" w:sz="12" w:space="0" w:color="auto"/>
              <w:right w:val="single" w:sz="12" w:space="0" w:color="auto"/>
            </w:tcBorders>
            <w:shd w:val="clear" w:color="auto" w:fill="auto"/>
            <w:noWrap/>
            <w:vAlign w:val="bottom"/>
          </w:tcPr>
          <w:p w:rsidR="00CF3748" w:rsidRPr="000D6496" w:rsidP="003C4605" w14:paraId="3B63F947" w14:textId="78AE6898">
            <w:pPr>
              <w:widowControl/>
              <w:jc w:val="center"/>
              <w:rPr>
                <w:b/>
                <w:bCs/>
                <w:snapToGrid/>
                <w:color w:val="000000"/>
                <w:sz w:val="20"/>
              </w:rPr>
            </w:pPr>
            <w:r w:rsidRPr="000D6496">
              <w:rPr>
                <w:b/>
                <w:bCs/>
                <w:snapToGrid/>
                <w:color w:val="000000"/>
                <w:sz w:val="20"/>
              </w:rPr>
              <w:t>$   2</w:t>
            </w:r>
            <w:r w:rsidR="00122E65">
              <w:rPr>
                <w:b/>
                <w:bCs/>
                <w:snapToGrid/>
                <w:color w:val="000000"/>
                <w:sz w:val="20"/>
              </w:rPr>
              <w:t>,</w:t>
            </w:r>
            <w:r w:rsidRPr="000D6496">
              <w:rPr>
                <w:b/>
                <w:bCs/>
                <w:snapToGrid/>
                <w:color w:val="000000"/>
                <w:sz w:val="20"/>
              </w:rPr>
              <w:t>609.74</w:t>
            </w:r>
          </w:p>
        </w:tc>
      </w:tr>
    </w:tbl>
    <w:p w:rsidR="003140C6" w:rsidRPr="00751F4C" w:rsidP="00CF3748" w14:paraId="2A7F75D1" w14:textId="233C3E5C">
      <w:pPr>
        <w:tabs>
          <w:tab w:val="left" w:pos="-1440"/>
          <w:tab w:val="left" w:pos="0"/>
        </w:tabs>
        <w:rPr>
          <w:b/>
        </w:rPr>
      </w:pPr>
    </w:p>
    <w:p w:rsidR="00A82022" w:rsidRPr="000D2B5C" w:rsidP="000D6496" w14:paraId="2D16BB26" w14:textId="7D14CE80">
      <w:pPr>
        <w:pStyle w:val="BodyTextIndent2"/>
        <w:numPr>
          <w:ilvl w:val="0"/>
          <w:numId w:val="15"/>
        </w:numPr>
        <w:rPr>
          <w:b w:val="0"/>
        </w:rPr>
      </w:pPr>
      <w:r>
        <w:t>E</w:t>
      </w:r>
      <w:r w:rsidRPr="000D2B5C">
        <w:t xml:space="preserve">stimate of the </w:t>
      </w:r>
      <w:r>
        <w:t>T</w:t>
      </w:r>
      <w:r w:rsidRPr="000D2B5C">
        <w:t xml:space="preserve">otal </w:t>
      </w:r>
      <w:r>
        <w:t>A</w:t>
      </w:r>
      <w:r w:rsidRPr="000D2B5C">
        <w:t xml:space="preserve">nnual </w:t>
      </w:r>
      <w:r>
        <w:t>C</w:t>
      </w:r>
      <w:r w:rsidRPr="000D2B5C">
        <w:t xml:space="preserve">ost </w:t>
      </w:r>
      <w:r>
        <w:t>B</w:t>
      </w:r>
      <w:r w:rsidRPr="000D2B5C">
        <w:t xml:space="preserve">urden </w:t>
      </w:r>
      <w:r w:rsidRPr="000D2B5C">
        <w:t xml:space="preserve">to </w:t>
      </w:r>
      <w:r>
        <w:t>R</w:t>
      </w:r>
      <w:r w:rsidRPr="000D2B5C">
        <w:t>espon</w:t>
      </w:r>
      <w:r w:rsidRPr="000D2B5C">
        <w:softHyphen/>
        <w:t xml:space="preserve">dents </w:t>
      </w:r>
      <w:r w:rsidRPr="000D2B5C">
        <w:t xml:space="preserve">or </w:t>
      </w:r>
      <w:r>
        <w:t>R</w:t>
      </w:r>
      <w:r w:rsidRPr="000D2B5C">
        <w:t xml:space="preserve">ecord </w:t>
      </w:r>
      <w:r>
        <w:t>K</w:t>
      </w:r>
      <w:r w:rsidRPr="000D2B5C">
        <w:t xml:space="preserve">eepers </w:t>
      </w:r>
    </w:p>
    <w:p w:rsidR="00A82022" w:rsidRPr="000D2B5C" w14:paraId="519CECAC" w14:textId="77777777">
      <w:pPr>
        <w:ind w:left="720"/>
      </w:pPr>
    </w:p>
    <w:p w:rsidR="00A82022" w:rsidRPr="000D2B5C" w:rsidP="000D6496" w14:paraId="604D6203" w14:textId="312821BF">
      <w:pPr>
        <w:ind w:left="450"/>
      </w:pPr>
      <w:r>
        <w:t xml:space="preserve">There </w:t>
      </w:r>
      <w:r>
        <w:t>are</w:t>
      </w:r>
      <w:r>
        <w:t xml:space="preserve"> no capital, start up, operational or maintenance cost associated </w:t>
      </w:r>
      <w:r w:rsidRPr="000D2B5C">
        <w:t>with this information collection.</w:t>
      </w:r>
    </w:p>
    <w:p w:rsidR="00A82022" w:rsidRPr="000D2B5C" w14:paraId="13B5FACA" w14:textId="77777777">
      <w:pPr>
        <w:rPr>
          <w:b/>
        </w:rPr>
      </w:pPr>
    </w:p>
    <w:p w:rsidR="00A82022" w:rsidRPr="000D6496" w:rsidP="000D6496" w14:paraId="4762C7DC" w14:textId="039E76D1">
      <w:pPr>
        <w:pStyle w:val="ListParagraph"/>
        <w:numPr>
          <w:ilvl w:val="0"/>
          <w:numId w:val="15"/>
        </w:numPr>
        <w:tabs>
          <w:tab w:val="left" w:pos="-1440"/>
        </w:tabs>
        <w:ind w:right="720"/>
        <w:rPr>
          <w:b/>
        </w:rPr>
      </w:pPr>
      <w:r>
        <w:rPr>
          <w:b/>
        </w:rPr>
        <w:t>E</w:t>
      </w:r>
      <w:r w:rsidRPr="000D6496">
        <w:rPr>
          <w:b/>
        </w:rPr>
        <w:t>stimate of Federal Government</w:t>
      </w:r>
      <w:r>
        <w:rPr>
          <w:b/>
        </w:rPr>
        <w:t xml:space="preserve"> Costs</w:t>
      </w:r>
      <w:r w:rsidRPr="000D6496">
        <w:rPr>
          <w:b/>
        </w:rPr>
        <w:t xml:space="preserve">  </w:t>
      </w:r>
    </w:p>
    <w:p w:rsidR="00A82022" w:rsidRPr="000D2B5C" w14:paraId="339A30C5" w14:textId="77777777">
      <w:pPr>
        <w:rPr>
          <w:b/>
        </w:rPr>
      </w:pPr>
    </w:p>
    <w:p w:rsidR="00112189" w:rsidP="00AF2704" w14:paraId="79AF6CB7" w14:textId="2692CC1F">
      <w:pPr>
        <w:pStyle w:val="PlainText"/>
        <w:ind w:left="450"/>
        <w:rPr>
          <w:rFonts w:ascii="Times New Roman" w:hAnsi="Times New Roman"/>
          <w:iCs/>
          <w:sz w:val="24"/>
        </w:rPr>
      </w:pPr>
      <w:bookmarkStart w:id="7" w:name="_Hlk84509850"/>
      <w:r w:rsidRPr="00112189">
        <w:rPr>
          <w:rFonts w:ascii="Times New Roman" w:hAnsi="Times New Roman"/>
          <w:iCs/>
          <w:sz w:val="24"/>
        </w:rPr>
        <w:t>According to the Office of Personnel Management (OPM)</w:t>
      </w:r>
      <w:r>
        <w:rPr>
          <w:rFonts w:ascii="Times New Roman" w:hAnsi="Times New Roman"/>
          <w:iCs/>
          <w:sz w:val="24"/>
          <w:vertAlign w:val="superscript"/>
        </w:rPr>
        <w:footnoteReference w:id="4"/>
      </w:r>
      <w:r w:rsidRPr="00112189">
        <w:rPr>
          <w:rFonts w:ascii="Times New Roman" w:hAnsi="Times New Roman"/>
          <w:iCs/>
          <w:sz w:val="24"/>
        </w:rPr>
        <w:t xml:space="preserve"> the hourly wage for </w:t>
      </w:r>
      <w:r>
        <w:rPr>
          <w:rFonts w:ascii="Times New Roman" w:hAnsi="Times New Roman"/>
          <w:iCs/>
          <w:sz w:val="24"/>
        </w:rPr>
        <w:t xml:space="preserve">a </w:t>
      </w:r>
      <w:bookmarkStart w:id="8" w:name="_Hlk172109498"/>
      <w:r>
        <w:rPr>
          <w:rFonts w:ascii="Times New Roman" w:hAnsi="Times New Roman"/>
          <w:iCs/>
          <w:sz w:val="24"/>
        </w:rPr>
        <w:t xml:space="preserve">GS 14 </w:t>
      </w:r>
      <w:r w:rsidR="00AF2704">
        <w:rPr>
          <w:rFonts w:ascii="Times New Roman" w:hAnsi="Times New Roman"/>
          <w:iCs/>
          <w:sz w:val="24"/>
        </w:rPr>
        <w:t>(</w:t>
      </w:r>
      <w:r>
        <w:rPr>
          <w:rFonts w:ascii="Times New Roman" w:hAnsi="Times New Roman"/>
          <w:iCs/>
          <w:sz w:val="24"/>
        </w:rPr>
        <w:t>Step 7</w:t>
      </w:r>
      <w:bookmarkEnd w:id="8"/>
      <w:r w:rsidR="00AF2704">
        <w:rPr>
          <w:rFonts w:ascii="Times New Roman" w:hAnsi="Times New Roman"/>
          <w:iCs/>
          <w:sz w:val="24"/>
        </w:rPr>
        <w:t>)</w:t>
      </w:r>
      <w:r>
        <w:rPr>
          <w:rFonts w:ascii="Times New Roman" w:hAnsi="Times New Roman"/>
          <w:iCs/>
          <w:sz w:val="24"/>
        </w:rPr>
        <w:t xml:space="preserve"> employee $80.15. </w:t>
      </w:r>
      <w:r w:rsidRPr="00112189">
        <w:rPr>
          <w:rFonts w:ascii="Times New Roman" w:hAnsi="Times New Roman"/>
          <w:iCs/>
          <w:sz w:val="24"/>
        </w:rPr>
        <w:t>When combined with the Federal Employee Compensation rate of 31%</w:t>
      </w:r>
      <w:r>
        <w:rPr>
          <w:rFonts w:ascii="Times New Roman" w:hAnsi="Times New Roman"/>
          <w:iCs/>
          <w:sz w:val="24"/>
          <w:vertAlign w:val="superscript"/>
        </w:rPr>
        <w:footnoteReference w:id="5"/>
      </w:r>
      <w:r w:rsidRPr="00112189">
        <w:rPr>
          <w:rFonts w:ascii="Times New Roman" w:hAnsi="Times New Roman"/>
          <w:iCs/>
          <w:sz w:val="24"/>
        </w:rPr>
        <w:t>, the total hourly wage</w:t>
      </w:r>
      <w:r>
        <w:rPr>
          <w:rFonts w:ascii="Times New Roman" w:hAnsi="Times New Roman"/>
          <w:iCs/>
          <w:sz w:val="24"/>
        </w:rPr>
        <w:t xml:space="preserve"> for this employee</w:t>
      </w:r>
      <w:r w:rsidRPr="00112189">
        <w:rPr>
          <w:rFonts w:ascii="Times New Roman" w:hAnsi="Times New Roman"/>
          <w:iCs/>
          <w:sz w:val="24"/>
        </w:rPr>
        <w:t xml:space="preserve"> </w:t>
      </w:r>
      <w:r>
        <w:rPr>
          <w:rFonts w:ascii="Times New Roman" w:hAnsi="Times New Roman"/>
          <w:iCs/>
          <w:sz w:val="24"/>
        </w:rPr>
        <w:t>is $104.996 or $105.</w:t>
      </w:r>
      <w:r w:rsidR="00AF2704">
        <w:rPr>
          <w:rFonts w:ascii="Times New Roman" w:hAnsi="Times New Roman"/>
          <w:iCs/>
          <w:sz w:val="24"/>
        </w:rPr>
        <w:t xml:space="preserve"> </w:t>
      </w:r>
      <w:r>
        <w:rPr>
          <w:rFonts w:ascii="Times New Roman" w:hAnsi="Times New Roman"/>
          <w:iCs/>
          <w:sz w:val="24"/>
        </w:rPr>
        <w:t xml:space="preserve">This employee will </w:t>
      </w:r>
      <w:r w:rsidR="00B9406E">
        <w:rPr>
          <w:rFonts w:ascii="Times New Roman" w:hAnsi="Times New Roman"/>
          <w:iCs/>
          <w:sz w:val="24"/>
        </w:rPr>
        <w:t>take</w:t>
      </w:r>
      <w:r>
        <w:rPr>
          <w:rFonts w:ascii="Times New Roman" w:hAnsi="Times New Roman"/>
          <w:iCs/>
          <w:sz w:val="24"/>
        </w:rPr>
        <w:t xml:space="preserve"> 27 </w:t>
      </w:r>
      <w:r w:rsidR="00B9406E">
        <w:rPr>
          <w:rFonts w:ascii="Times New Roman" w:hAnsi="Times New Roman"/>
          <w:iCs/>
          <w:sz w:val="24"/>
        </w:rPr>
        <w:t>ho</w:t>
      </w:r>
      <w:r>
        <w:rPr>
          <w:rFonts w:ascii="Times New Roman" w:hAnsi="Times New Roman"/>
          <w:iCs/>
          <w:sz w:val="24"/>
        </w:rPr>
        <w:t xml:space="preserve">urs to review financial statements and prepare recommendations to some 32 insurance underwriters who send reports to supplement their application to underwrite </w:t>
      </w:r>
      <w:r w:rsidR="003C4605">
        <w:rPr>
          <w:rFonts w:ascii="Times New Roman" w:hAnsi="Times New Roman"/>
          <w:iCs/>
          <w:sz w:val="24"/>
        </w:rPr>
        <w:t xml:space="preserve">hull </w:t>
      </w:r>
      <w:r>
        <w:rPr>
          <w:rFonts w:ascii="Times New Roman" w:hAnsi="Times New Roman"/>
          <w:iCs/>
          <w:sz w:val="24"/>
        </w:rPr>
        <w:t>insurance for MARAD program vessels. Therefore, the total</w:t>
      </w:r>
      <w:r w:rsidR="00AF2704">
        <w:rPr>
          <w:rFonts w:ascii="Times New Roman" w:hAnsi="Times New Roman"/>
          <w:iCs/>
          <w:sz w:val="24"/>
        </w:rPr>
        <w:t xml:space="preserve"> Federal</w:t>
      </w:r>
      <w:r>
        <w:rPr>
          <w:rFonts w:ascii="Times New Roman" w:hAnsi="Times New Roman"/>
          <w:iCs/>
          <w:sz w:val="24"/>
        </w:rPr>
        <w:t xml:space="preserve"> cost related to underwriter submissions is</w:t>
      </w:r>
      <w:r w:rsidR="00AF2704">
        <w:rPr>
          <w:rFonts w:ascii="Times New Roman" w:hAnsi="Times New Roman"/>
          <w:iCs/>
          <w:sz w:val="24"/>
        </w:rPr>
        <w:t xml:space="preserve"> $90,720. </w:t>
      </w:r>
      <w:r>
        <w:rPr>
          <w:rFonts w:ascii="Times New Roman" w:hAnsi="Times New Roman"/>
          <w:iCs/>
          <w:sz w:val="24"/>
        </w:rPr>
        <w:t xml:space="preserve">Additionally, </w:t>
      </w:r>
      <w:r w:rsidR="00AF2704">
        <w:rPr>
          <w:rFonts w:ascii="Times New Roman" w:hAnsi="Times New Roman"/>
          <w:iCs/>
          <w:sz w:val="24"/>
        </w:rPr>
        <w:t xml:space="preserve">a GS 14 (Step 7) </w:t>
      </w:r>
      <w:r>
        <w:rPr>
          <w:rFonts w:ascii="Times New Roman" w:hAnsi="Times New Roman"/>
          <w:iCs/>
          <w:sz w:val="24"/>
        </w:rPr>
        <w:t>Federal employee will spend 1 hour to review</w:t>
      </w:r>
      <w:r w:rsidR="003C4605">
        <w:rPr>
          <w:rFonts w:ascii="Times New Roman" w:hAnsi="Times New Roman"/>
          <w:iCs/>
          <w:sz w:val="24"/>
        </w:rPr>
        <w:t xml:space="preserve"> and approve</w:t>
      </w:r>
      <w:r>
        <w:rPr>
          <w:rFonts w:ascii="Times New Roman" w:hAnsi="Times New Roman"/>
          <w:iCs/>
          <w:sz w:val="24"/>
        </w:rPr>
        <w:t xml:space="preserve"> submissions</w:t>
      </w:r>
      <w:r w:rsidR="003C4605">
        <w:rPr>
          <w:rFonts w:ascii="Times New Roman" w:hAnsi="Times New Roman"/>
          <w:iCs/>
          <w:sz w:val="24"/>
        </w:rPr>
        <w:t xml:space="preserve"> </w:t>
      </w:r>
      <w:r>
        <w:rPr>
          <w:rFonts w:ascii="Times New Roman" w:hAnsi="Times New Roman"/>
          <w:iCs/>
          <w:sz w:val="24"/>
        </w:rPr>
        <w:t>from 34 brokers. As such</w:t>
      </w:r>
      <w:r w:rsidR="00AF2704">
        <w:rPr>
          <w:rFonts w:ascii="Times New Roman" w:hAnsi="Times New Roman"/>
          <w:iCs/>
          <w:sz w:val="24"/>
        </w:rPr>
        <w:t>,</w:t>
      </w:r>
      <w:r>
        <w:rPr>
          <w:rFonts w:ascii="Times New Roman" w:hAnsi="Times New Roman"/>
          <w:iCs/>
          <w:sz w:val="24"/>
        </w:rPr>
        <w:t xml:space="preserve"> the total Federal</w:t>
      </w:r>
      <w:r w:rsidR="00AF2704">
        <w:rPr>
          <w:rFonts w:ascii="Times New Roman" w:hAnsi="Times New Roman"/>
          <w:iCs/>
          <w:sz w:val="24"/>
        </w:rPr>
        <w:t xml:space="preserve"> Government costs related to broker submissions </w:t>
      </w:r>
      <w:r>
        <w:rPr>
          <w:rFonts w:ascii="Times New Roman" w:hAnsi="Times New Roman"/>
          <w:iCs/>
          <w:sz w:val="24"/>
        </w:rPr>
        <w:t>is $</w:t>
      </w:r>
      <w:r w:rsidR="00AF2704">
        <w:rPr>
          <w:rFonts w:ascii="Times New Roman" w:hAnsi="Times New Roman"/>
          <w:iCs/>
          <w:sz w:val="24"/>
        </w:rPr>
        <w:t>3,570.</w:t>
      </w:r>
    </w:p>
    <w:p w:rsidR="00AF2704" w:rsidP="00112189" w14:paraId="39C83B5B" w14:textId="77777777">
      <w:pPr>
        <w:pStyle w:val="PlainText"/>
        <w:ind w:left="450"/>
        <w:rPr>
          <w:rFonts w:ascii="Times New Roman" w:hAnsi="Times New Roman"/>
          <w:iCs/>
          <w:sz w:val="24"/>
        </w:rPr>
      </w:pPr>
    </w:p>
    <w:p w:rsidR="00AF2704" w:rsidRPr="00112189" w:rsidP="00112189" w14:paraId="77B64419" w14:textId="602B545D">
      <w:pPr>
        <w:pStyle w:val="PlainText"/>
        <w:ind w:left="450"/>
        <w:rPr>
          <w:rFonts w:ascii="Times New Roman" w:hAnsi="Times New Roman"/>
          <w:iCs/>
          <w:sz w:val="24"/>
        </w:rPr>
      </w:pPr>
      <w:r>
        <w:rPr>
          <w:rFonts w:ascii="Times New Roman" w:hAnsi="Times New Roman"/>
          <w:iCs/>
          <w:sz w:val="24"/>
        </w:rPr>
        <w:t>Consequently</w:t>
      </w:r>
      <w:r w:rsidR="003C4605">
        <w:rPr>
          <w:rFonts w:ascii="Times New Roman" w:hAnsi="Times New Roman"/>
          <w:iCs/>
          <w:sz w:val="24"/>
        </w:rPr>
        <w:t>,</w:t>
      </w:r>
      <w:r>
        <w:rPr>
          <w:rFonts w:ascii="Times New Roman" w:hAnsi="Times New Roman"/>
          <w:iCs/>
          <w:sz w:val="24"/>
        </w:rPr>
        <w:t xml:space="preserve"> the total combined Federal Costs associated with this collection is $ 94,290, which can be calculated as shown in the table below:</w:t>
      </w:r>
    </w:p>
    <w:p w:rsidR="00112189" w14:paraId="7736995E" w14:textId="77777777">
      <w:pPr>
        <w:pStyle w:val="PlainText"/>
        <w:ind w:left="450"/>
        <w:rPr>
          <w:rFonts w:ascii="Times New Roman" w:hAnsi="Times New Roman"/>
          <w:sz w:val="24"/>
        </w:rPr>
      </w:pPr>
    </w:p>
    <w:tbl>
      <w:tblPr>
        <w:tblW w:w="11610" w:type="dxa"/>
        <w:tblInd w:w="-995" w:type="dxa"/>
        <w:tblLook w:val="04A0"/>
      </w:tblPr>
      <w:tblGrid>
        <w:gridCol w:w="2496"/>
        <w:gridCol w:w="872"/>
        <w:gridCol w:w="1450"/>
        <w:gridCol w:w="394"/>
        <w:gridCol w:w="1158"/>
        <w:gridCol w:w="397"/>
        <w:gridCol w:w="1204"/>
        <w:gridCol w:w="450"/>
        <w:gridCol w:w="1273"/>
        <w:gridCol w:w="442"/>
        <w:gridCol w:w="1474"/>
      </w:tblGrid>
      <w:tr w14:paraId="456C61A7" w14:textId="77777777" w:rsidTr="000022F1">
        <w:tblPrEx>
          <w:tblW w:w="11610" w:type="dxa"/>
          <w:tblInd w:w="-995" w:type="dxa"/>
          <w:tblLook w:val="04A0"/>
        </w:tblPrEx>
        <w:trPr>
          <w:trHeight w:val="1545"/>
        </w:trPr>
        <w:tc>
          <w:tcPr>
            <w:tcW w:w="2496" w:type="dxa"/>
            <w:tcBorders>
              <w:top w:val="single" w:sz="12" w:space="0" w:color="auto"/>
              <w:left w:val="single" w:sz="12" w:space="0" w:color="auto"/>
              <w:bottom w:val="single" w:sz="4" w:space="0" w:color="auto"/>
              <w:right w:val="single" w:sz="4" w:space="0" w:color="auto"/>
            </w:tcBorders>
            <w:shd w:val="clear" w:color="000000" w:fill="D9D9D9"/>
            <w:vAlign w:val="center"/>
            <w:hideMark/>
          </w:tcPr>
          <w:p w:rsidR="00B9406E" w:rsidRPr="00AF2704" w:rsidP="00AF2704" w14:paraId="3DE1C02B" w14:textId="77777777">
            <w:pPr>
              <w:widowControl/>
              <w:rPr>
                <w:b/>
                <w:bCs/>
                <w:snapToGrid/>
                <w:color w:val="000000"/>
                <w:sz w:val="20"/>
              </w:rPr>
            </w:pPr>
            <w:r w:rsidRPr="00AF2704">
              <w:rPr>
                <w:b/>
                <w:bCs/>
                <w:snapToGrid/>
                <w:color w:val="000000"/>
                <w:sz w:val="20"/>
              </w:rPr>
              <w:t>FTE Grade and Step &amp; Program Related  Task</w:t>
            </w:r>
          </w:p>
        </w:tc>
        <w:tc>
          <w:tcPr>
            <w:tcW w:w="872" w:type="dxa"/>
            <w:tcBorders>
              <w:top w:val="single" w:sz="12" w:space="0" w:color="auto"/>
              <w:left w:val="nil"/>
              <w:bottom w:val="single" w:sz="4" w:space="0" w:color="auto"/>
              <w:right w:val="single" w:sz="4" w:space="0" w:color="auto"/>
            </w:tcBorders>
            <w:shd w:val="clear" w:color="000000" w:fill="D9D9D9"/>
            <w:vAlign w:val="center"/>
            <w:hideMark/>
          </w:tcPr>
          <w:p w:rsidR="00B9406E" w:rsidRPr="00AF2704" w:rsidP="00AF2704" w14:paraId="18960E29" w14:textId="77777777">
            <w:pPr>
              <w:widowControl/>
              <w:jc w:val="center"/>
              <w:rPr>
                <w:b/>
                <w:bCs/>
                <w:snapToGrid/>
                <w:color w:val="000000"/>
                <w:sz w:val="20"/>
              </w:rPr>
            </w:pPr>
            <w:r w:rsidRPr="00AF2704">
              <w:rPr>
                <w:b/>
                <w:bCs/>
                <w:snapToGrid/>
                <w:color w:val="000000"/>
                <w:sz w:val="20"/>
              </w:rPr>
              <w:t>Hourly Wage</w:t>
            </w:r>
          </w:p>
        </w:tc>
        <w:tc>
          <w:tcPr>
            <w:tcW w:w="1450" w:type="dxa"/>
            <w:tcBorders>
              <w:top w:val="single" w:sz="12" w:space="0" w:color="auto"/>
              <w:left w:val="nil"/>
              <w:bottom w:val="single" w:sz="4" w:space="0" w:color="auto"/>
              <w:right w:val="single" w:sz="4" w:space="0" w:color="auto"/>
            </w:tcBorders>
            <w:shd w:val="clear" w:color="000000" w:fill="D9D9D9"/>
            <w:vAlign w:val="center"/>
            <w:hideMark/>
          </w:tcPr>
          <w:p w:rsidR="00B9406E" w:rsidRPr="00AF2704" w:rsidP="00AF2704" w14:paraId="4FA9FAE2" w14:textId="77777777">
            <w:pPr>
              <w:widowControl/>
              <w:jc w:val="center"/>
              <w:rPr>
                <w:b/>
                <w:bCs/>
                <w:snapToGrid/>
                <w:color w:val="000000"/>
                <w:sz w:val="20"/>
              </w:rPr>
            </w:pPr>
            <w:r w:rsidRPr="00AF2704">
              <w:rPr>
                <w:b/>
                <w:bCs/>
                <w:snapToGrid/>
                <w:color w:val="000000"/>
                <w:sz w:val="20"/>
              </w:rPr>
              <w:t xml:space="preserve">Average Hourly Wage Rate with 31% Compensation   </w:t>
            </w:r>
          </w:p>
        </w:tc>
        <w:tc>
          <w:tcPr>
            <w:tcW w:w="394" w:type="dxa"/>
            <w:tcBorders>
              <w:top w:val="single" w:sz="12" w:space="0" w:color="auto"/>
              <w:left w:val="nil"/>
              <w:bottom w:val="single" w:sz="4" w:space="0" w:color="auto"/>
              <w:right w:val="single" w:sz="8" w:space="0" w:color="auto"/>
            </w:tcBorders>
            <w:shd w:val="clear" w:color="000000" w:fill="D9D9D9"/>
          </w:tcPr>
          <w:p w:rsidR="00B9406E" w:rsidRPr="00AF2704" w:rsidP="00AF2704" w14:paraId="3FD35618" w14:textId="77777777">
            <w:pPr>
              <w:widowControl/>
              <w:jc w:val="center"/>
              <w:rPr>
                <w:b/>
                <w:bCs/>
                <w:snapToGrid/>
                <w:color w:val="000000"/>
                <w:sz w:val="20"/>
              </w:rPr>
            </w:pPr>
          </w:p>
        </w:tc>
        <w:tc>
          <w:tcPr>
            <w:tcW w:w="1158" w:type="dxa"/>
            <w:tcBorders>
              <w:top w:val="single" w:sz="12" w:space="0" w:color="auto"/>
              <w:left w:val="single" w:sz="8" w:space="0" w:color="auto"/>
              <w:bottom w:val="single" w:sz="4" w:space="0" w:color="auto"/>
              <w:right w:val="single" w:sz="4" w:space="0" w:color="auto"/>
            </w:tcBorders>
            <w:shd w:val="clear" w:color="000000" w:fill="D9D9D9"/>
            <w:vAlign w:val="center"/>
            <w:hideMark/>
          </w:tcPr>
          <w:p w:rsidR="00B9406E" w:rsidRPr="00AF2704" w:rsidP="00AF2704" w14:paraId="470A8E96" w14:textId="0075BCA9">
            <w:pPr>
              <w:widowControl/>
              <w:jc w:val="center"/>
              <w:rPr>
                <w:b/>
                <w:bCs/>
                <w:snapToGrid/>
                <w:color w:val="000000"/>
                <w:sz w:val="20"/>
              </w:rPr>
            </w:pPr>
            <w:r w:rsidRPr="00AF2704">
              <w:rPr>
                <w:b/>
                <w:bCs/>
                <w:snapToGrid/>
                <w:color w:val="000000"/>
                <w:sz w:val="20"/>
              </w:rPr>
              <w:t xml:space="preserve">Total Employees </w:t>
            </w:r>
          </w:p>
        </w:tc>
        <w:tc>
          <w:tcPr>
            <w:tcW w:w="397" w:type="dxa"/>
            <w:tcBorders>
              <w:top w:val="single" w:sz="12" w:space="0" w:color="auto"/>
              <w:left w:val="nil"/>
              <w:bottom w:val="single" w:sz="4" w:space="0" w:color="auto"/>
              <w:right w:val="single" w:sz="8" w:space="0" w:color="auto"/>
            </w:tcBorders>
            <w:shd w:val="clear" w:color="000000" w:fill="D9D9D9"/>
          </w:tcPr>
          <w:p w:rsidR="00B9406E" w:rsidRPr="00AF2704" w:rsidP="00AF2704" w14:paraId="64113B65" w14:textId="77777777">
            <w:pPr>
              <w:widowControl/>
              <w:jc w:val="center"/>
              <w:rPr>
                <w:b/>
                <w:bCs/>
                <w:snapToGrid/>
                <w:color w:val="000000"/>
                <w:sz w:val="20"/>
              </w:rPr>
            </w:pPr>
          </w:p>
        </w:tc>
        <w:tc>
          <w:tcPr>
            <w:tcW w:w="1204" w:type="dxa"/>
            <w:tcBorders>
              <w:top w:val="single" w:sz="12" w:space="0" w:color="auto"/>
              <w:left w:val="single" w:sz="8" w:space="0" w:color="auto"/>
              <w:bottom w:val="single" w:sz="4" w:space="0" w:color="auto"/>
              <w:right w:val="single" w:sz="4" w:space="0" w:color="auto"/>
            </w:tcBorders>
            <w:shd w:val="clear" w:color="000000" w:fill="D9D9D9"/>
            <w:vAlign w:val="center"/>
            <w:hideMark/>
          </w:tcPr>
          <w:p w:rsidR="00B9406E" w:rsidRPr="00AF2704" w:rsidP="00AF2704" w14:paraId="7B0CEC33" w14:textId="76458521">
            <w:pPr>
              <w:widowControl/>
              <w:jc w:val="center"/>
              <w:rPr>
                <w:b/>
                <w:bCs/>
                <w:snapToGrid/>
                <w:color w:val="000000"/>
                <w:sz w:val="20"/>
              </w:rPr>
            </w:pPr>
            <w:r w:rsidRPr="00AF2704">
              <w:rPr>
                <w:b/>
                <w:bCs/>
                <w:snapToGrid/>
                <w:color w:val="000000"/>
                <w:sz w:val="20"/>
              </w:rPr>
              <w:t>Total Time for Program Related Task  (Hours)</w:t>
            </w:r>
          </w:p>
        </w:tc>
        <w:tc>
          <w:tcPr>
            <w:tcW w:w="450" w:type="dxa"/>
            <w:tcBorders>
              <w:top w:val="single" w:sz="12" w:space="0" w:color="auto"/>
              <w:left w:val="nil"/>
              <w:bottom w:val="single" w:sz="4" w:space="0" w:color="auto"/>
              <w:right w:val="single" w:sz="8" w:space="0" w:color="auto"/>
            </w:tcBorders>
            <w:shd w:val="clear" w:color="000000" w:fill="D9D9D9"/>
          </w:tcPr>
          <w:p w:rsidR="00B9406E" w:rsidRPr="00AF2704" w:rsidP="00AF2704" w14:paraId="78446E55" w14:textId="77777777">
            <w:pPr>
              <w:widowControl/>
              <w:jc w:val="center"/>
              <w:rPr>
                <w:b/>
                <w:bCs/>
                <w:snapToGrid/>
                <w:color w:val="000000"/>
                <w:sz w:val="20"/>
              </w:rPr>
            </w:pPr>
          </w:p>
        </w:tc>
        <w:tc>
          <w:tcPr>
            <w:tcW w:w="1273" w:type="dxa"/>
            <w:tcBorders>
              <w:top w:val="single" w:sz="12" w:space="0" w:color="auto"/>
              <w:left w:val="single" w:sz="8" w:space="0" w:color="auto"/>
              <w:bottom w:val="single" w:sz="4" w:space="0" w:color="auto"/>
              <w:right w:val="single" w:sz="4" w:space="0" w:color="auto"/>
            </w:tcBorders>
            <w:shd w:val="clear" w:color="000000" w:fill="D9D9D9"/>
            <w:vAlign w:val="center"/>
            <w:hideMark/>
          </w:tcPr>
          <w:p w:rsidR="00B9406E" w:rsidRPr="00AF2704" w:rsidP="00AF2704" w14:paraId="39CE6D51" w14:textId="651F3F37">
            <w:pPr>
              <w:widowControl/>
              <w:jc w:val="center"/>
              <w:rPr>
                <w:b/>
                <w:bCs/>
                <w:snapToGrid/>
                <w:color w:val="000000"/>
                <w:sz w:val="20"/>
              </w:rPr>
            </w:pPr>
            <w:r w:rsidRPr="00AF2704">
              <w:rPr>
                <w:b/>
                <w:bCs/>
                <w:snapToGrid/>
                <w:color w:val="000000"/>
                <w:sz w:val="20"/>
              </w:rPr>
              <w:t xml:space="preserve">Total Submissions </w:t>
            </w:r>
          </w:p>
        </w:tc>
        <w:tc>
          <w:tcPr>
            <w:tcW w:w="442" w:type="dxa"/>
            <w:tcBorders>
              <w:top w:val="single" w:sz="12" w:space="0" w:color="auto"/>
              <w:left w:val="nil"/>
              <w:bottom w:val="single" w:sz="4" w:space="0" w:color="auto"/>
              <w:right w:val="single" w:sz="8" w:space="0" w:color="auto"/>
            </w:tcBorders>
            <w:shd w:val="clear" w:color="000000" w:fill="D9D9D9"/>
          </w:tcPr>
          <w:p w:rsidR="00B9406E" w:rsidRPr="00AF2704" w:rsidP="00AF2704" w14:paraId="2A7D9ED4" w14:textId="77777777">
            <w:pPr>
              <w:widowControl/>
              <w:jc w:val="center"/>
              <w:rPr>
                <w:b/>
                <w:bCs/>
                <w:snapToGrid/>
                <w:color w:val="000000"/>
                <w:sz w:val="20"/>
              </w:rPr>
            </w:pPr>
          </w:p>
        </w:tc>
        <w:tc>
          <w:tcPr>
            <w:tcW w:w="1474" w:type="dxa"/>
            <w:tcBorders>
              <w:top w:val="single" w:sz="12" w:space="0" w:color="auto"/>
              <w:left w:val="single" w:sz="8" w:space="0" w:color="auto"/>
              <w:bottom w:val="single" w:sz="4" w:space="0" w:color="auto"/>
              <w:right w:val="single" w:sz="12" w:space="0" w:color="auto"/>
            </w:tcBorders>
            <w:shd w:val="clear" w:color="000000" w:fill="D9D9D9"/>
            <w:vAlign w:val="center"/>
            <w:hideMark/>
          </w:tcPr>
          <w:p w:rsidR="00B9406E" w:rsidRPr="00AF2704" w:rsidP="00AF2704" w14:paraId="3F44A1F4" w14:textId="65027634">
            <w:pPr>
              <w:widowControl/>
              <w:jc w:val="center"/>
              <w:rPr>
                <w:b/>
                <w:bCs/>
                <w:snapToGrid/>
                <w:color w:val="000000"/>
                <w:sz w:val="20"/>
              </w:rPr>
            </w:pPr>
            <w:r w:rsidRPr="00AF2704">
              <w:rPr>
                <w:b/>
                <w:bCs/>
                <w:snapToGrid/>
                <w:color w:val="000000"/>
                <w:sz w:val="20"/>
              </w:rPr>
              <w:t xml:space="preserve">Total Federal Government Wages   </w:t>
            </w:r>
          </w:p>
        </w:tc>
      </w:tr>
      <w:tr w14:paraId="1825B66A" w14:textId="77777777" w:rsidTr="000022F1">
        <w:tblPrEx>
          <w:tblW w:w="11610" w:type="dxa"/>
          <w:tblInd w:w="-995" w:type="dxa"/>
          <w:tblLook w:val="04A0"/>
        </w:tblPrEx>
        <w:trPr>
          <w:trHeight w:val="510"/>
        </w:trPr>
        <w:tc>
          <w:tcPr>
            <w:tcW w:w="2496" w:type="dxa"/>
            <w:tcBorders>
              <w:top w:val="nil"/>
              <w:left w:val="single" w:sz="12" w:space="0" w:color="auto"/>
              <w:bottom w:val="single" w:sz="4" w:space="0" w:color="auto"/>
              <w:right w:val="single" w:sz="4" w:space="0" w:color="auto"/>
            </w:tcBorders>
            <w:shd w:val="clear" w:color="auto" w:fill="auto"/>
            <w:hideMark/>
          </w:tcPr>
          <w:p w:rsidR="00B9406E" w:rsidRPr="00AF2704" w:rsidP="00AF2704" w14:paraId="49434335" w14:textId="3C81A6C5">
            <w:pPr>
              <w:widowControl/>
              <w:rPr>
                <w:b/>
                <w:bCs/>
                <w:snapToGrid/>
                <w:color w:val="000000"/>
                <w:sz w:val="20"/>
              </w:rPr>
            </w:pPr>
            <w:r w:rsidRPr="00AF2704">
              <w:rPr>
                <w:b/>
                <w:bCs/>
                <w:snapToGrid/>
                <w:color w:val="000000"/>
                <w:sz w:val="20"/>
              </w:rPr>
              <w:t>GS 14 (Step 7): Review financial statements and Preparation of recommendation for insur</w:t>
            </w:r>
            <w:r>
              <w:rPr>
                <w:b/>
                <w:bCs/>
                <w:snapToGrid/>
                <w:color w:val="000000"/>
                <w:sz w:val="20"/>
              </w:rPr>
              <w:t xml:space="preserve">ance underwriters </w:t>
            </w:r>
          </w:p>
        </w:tc>
        <w:tc>
          <w:tcPr>
            <w:tcW w:w="872" w:type="dxa"/>
            <w:tcBorders>
              <w:top w:val="nil"/>
              <w:left w:val="nil"/>
              <w:bottom w:val="single" w:sz="4" w:space="0" w:color="auto"/>
              <w:right w:val="single" w:sz="4" w:space="0" w:color="auto"/>
            </w:tcBorders>
            <w:shd w:val="clear" w:color="auto" w:fill="auto"/>
            <w:vAlign w:val="center"/>
            <w:hideMark/>
          </w:tcPr>
          <w:p w:rsidR="00B9406E" w:rsidRPr="00AF2704" w:rsidP="00AF2704" w14:paraId="34762A90" w14:textId="059266BA">
            <w:pPr>
              <w:widowControl/>
              <w:rPr>
                <w:snapToGrid/>
                <w:color w:val="000000"/>
                <w:sz w:val="20"/>
              </w:rPr>
            </w:pPr>
            <w:r w:rsidRPr="00AF2704">
              <w:rPr>
                <w:snapToGrid/>
                <w:color w:val="000000"/>
                <w:sz w:val="20"/>
              </w:rPr>
              <w:t xml:space="preserve"> $ 80.15 </w:t>
            </w:r>
          </w:p>
        </w:tc>
        <w:tc>
          <w:tcPr>
            <w:tcW w:w="1450" w:type="dxa"/>
            <w:tcBorders>
              <w:top w:val="nil"/>
              <w:left w:val="nil"/>
              <w:bottom w:val="single" w:sz="4" w:space="0" w:color="auto"/>
              <w:right w:val="single" w:sz="4" w:space="0" w:color="auto"/>
            </w:tcBorders>
            <w:shd w:val="clear" w:color="auto" w:fill="auto"/>
            <w:vAlign w:val="center"/>
            <w:hideMark/>
          </w:tcPr>
          <w:p w:rsidR="00B9406E" w:rsidRPr="00AF2704" w:rsidP="00AF2704" w14:paraId="344B95C7" w14:textId="26DFAE64">
            <w:pPr>
              <w:widowControl/>
              <w:jc w:val="center"/>
              <w:rPr>
                <w:snapToGrid/>
                <w:color w:val="000000"/>
                <w:sz w:val="20"/>
              </w:rPr>
            </w:pPr>
            <w:r w:rsidRPr="00AF2704">
              <w:rPr>
                <w:snapToGrid/>
                <w:color w:val="000000"/>
                <w:sz w:val="20"/>
              </w:rPr>
              <w:t xml:space="preserve"> $  105.00 </w:t>
            </w:r>
          </w:p>
        </w:tc>
        <w:tc>
          <w:tcPr>
            <w:tcW w:w="394" w:type="dxa"/>
            <w:vMerge w:val="restart"/>
            <w:tcBorders>
              <w:top w:val="single" w:sz="4" w:space="0" w:color="auto"/>
              <w:left w:val="nil"/>
              <w:right w:val="single" w:sz="8" w:space="0" w:color="auto"/>
            </w:tcBorders>
            <w:vAlign w:val="center"/>
          </w:tcPr>
          <w:p w:rsidR="00B9406E" w:rsidP="00B9406E" w14:paraId="0551927B" w14:textId="77777777">
            <w:pPr>
              <w:widowControl/>
              <w:jc w:val="center"/>
              <w:rPr>
                <w:snapToGrid/>
                <w:color w:val="000000"/>
                <w:sz w:val="20"/>
              </w:rPr>
            </w:pPr>
          </w:p>
          <w:p w:rsidR="00B9406E" w:rsidP="00B9406E" w14:paraId="5060B4BC" w14:textId="77777777">
            <w:pPr>
              <w:widowControl/>
              <w:jc w:val="center"/>
              <w:rPr>
                <w:snapToGrid/>
                <w:color w:val="000000"/>
                <w:sz w:val="20"/>
              </w:rPr>
            </w:pPr>
          </w:p>
          <w:p w:rsidR="00B9406E" w:rsidRPr="00AF2704" w:rsidP="00B9406E" w14:paraId="2C2415BA" w14:textId="4181EE97">
            <w:pPr>
              <w:widowControl/>
              <w:jc w:val="center"/>
              <w:rPr>
                <w:snapToGrid/>
                <w:color w:val="000000"/>
                <w:sz w:val="20"/>
              </w:rPr>
            </w:pPr>
            <w:r>
              <w:rPr>
                <w:snapToGrid/>
                <w:color w:val="000000"/>
                <w:sz w:val="20"/>
              </w:rPr>
              <w:t>*</w:t>
            </w:r>
          </w:p>
        </w:tc>
        <w:tc>
          <w:tcPr>
            <w:tcW w:w="1158" w:type="dxa"/>
            <w:tcBorders>
              <w:top w:val="nil"/>
              <w:left w:val="single" w:sz="8" w:space="0" w:color="auto"/>
              <w:bottom w:val="single" w:sz="4" w:space="0" w:color="auto"/>
              <w:right w:val="single" w:sz="4" w:space="0" w:color="auto"/>
            </w:tcBorders>
            <w:shd w:val="clear" w:color="auto" w:fill="auto"/>
            <w:vAlign w:val="center"/>
            <w:hideMark/>
          </w:tcPr>
          <w:p w:rsidR="00B9406E" w:rsidRPr="00AF2704" w:rsidP="00AF2704" w14:paraId="52BDC75D" w14:textId="299AA120">
            <w:pPr>
              <w:widowControl/>
              <w:jc w:val="center"/>
              <w:rPr>
                <w:snapToGrid/>
                <w:color w:val="000000"/>
                <w:sz w:val="20"/>
              </w:rPr>
            </w:pPr>
            <w:r w:rsidRPr="00AF2704">
              <w:rPr>
                <w:snapToGrid/>
                <w:color w:val="000000"/>
                <w:sz w:val="20"/>
              </w:rPr>
              <w:t>1</w:t>
            </w:r>
          </w:p>
        </w:tc>
        <w:tc>
          <w:tcPr>
            <w:tcW w:w="397" w:type="dxa"/>
            <w:vMerge w:val="restart"/>
            <w:tcBorders>
              <w:top w:val="nil"/>
              <w:left w:val="nil"/>
              <w:right w:val="single" w:sz="8" w:space="0" w:color="auto"/>
            </w:tcBorders>
            <w:vAlign w:val="center"/>
          </w:tcPr>
          <w:p w:rsidR="00B9406E" w:rsidP="00B9406E" w14:paraId="3840F5F2" w14:textId="77777777">
            <w:pPr>
              <w:widowControl/>
              <w:jc w:val="center"/>
              <w:rPr>
                <w:snapToGrid/>
                <w:color w:val="000000"/>
                <w:sz w:val="20"/>
              </w:rPr>
            </w:pPr>
          </w:p>
          <w:p w:rsidR="00B9406E" w:rsidP="00B9406E" w14:paraId="49199652" w14:textId="77777777">
            <w:pPr>
              <w:widowControl/>
              <w:jc w:val="center"/>
              <w:rPr>
                <w:snapToGrid/>
                <w:color w:val="000000"/>
                <w:sz w:val="20"/>
              </w:rPr>
            </w:pPr>
          </w:p>
          <w:p w:rsidR="00B9406E" w:rsidRPr="00AF2704" w:rsidP="00B9406E" w14:paraId="6FF45696" w14:textId="6623ED0A">
            <w:pPr>
              <w:widowControl/>
              <w:jc w:val="center"/>
              <w:rPr>
                <w:snapToGrid/>
                <w:color w:val="000000"/>
                <w:sz w:val="20"/>
              </w:rPr>
            </w:pPr>
            <w:r>
              <w:rPr>
                <w:snapToGrid/>
                <w:color w:val="000000"/>
                <w:sz w:val="20"/>
              </w:rPr>
              <w:t>*</w:t>
            </w:r>
          </w:p>
        </w:tc>
        <w:tc>
          <w:tcPr>
            <w:tcW w:w="1204" w:type="dxa"/>
            <w:tcBorders>
              <w:top w:val="nil"/>
              <w:left w:val="single" w:sz="8" w:space="0" w:color="auto"/>
              <w:bottom w:val="single" w:sz="4" w:space="0" w:color="auto"/>
              <w:right w:val="single" w:sz="4" w:space="0" w:color="auto"/>
            </w:tcBorders>
            <w:shd w:val="clear" w:color="auto" w:fill="auto"/>
            <w:vAlign w:val="center"/>
            <w:hideMark/>
          </w:tcPr>
          <w:p w:rsidR="00B9406E" w:rsidRPr="00AF2704" w:rsidP="00AF2704" w14:paraId="55960CFB" w14:textId="04208E00">
            <w:pPr>
              <w:widowControl/>
              <w:jc w:val="center"/>
              <w:rPr>
                <w:snapToGrid/>
                <w:color w:val="000000"/>
                <w:sz w:val="20"/>
              </w:rPr>
            </w:pPr>
            <w:r w:rsidRPr="00AF2704">
              <w:rPr>
                <w:snapToGrid/>
                <w:color w:val="000000"/>
                <w:sz w:val="20"/>
              </w:rPr>
              <w:t>27</w:t>
            </w:r>
          </w:p>
        </w:tc>
        <w:tc>
          <w:tcPr>
            <w:tcW w:w="450" w:type="dxa"/>
            <w:vMerge w:val="restart"/>
            <w:tcBorders>
              <w:top w:val="nil"/>
              <w:left w:val="nil"/>
              <w:right w:val="single" w:sz="8" w:space="0" w:color="auto"/>
            </w:tcBorders>
          </w:tcPr>
          <w:p w:rsidR="00B9406E" w:rsidP="00AF2704" w14:paraId="321C5A46" w14:textId="77777777">
            <w:pPr>
              <w:widowControl/>
              <w:jc w:val="center"/>
              <w:rPr>
                <w:snapToGrid/>
                <w:color w:val="000000"/>
                <w:sz w:val="20"/>
              </w:rPr>
            </w:pPr>
          </w:p>
          <w:p w:rsidR="00B9406E" w:rsidP="00AF2704" w14:paraId="5FBD0935" w14:textId="77777777">
            <w:pPr>
              <w:widowControl/>
              <w:jc w:val="center"/>
              <w:rPr>
                <w:snapToGrid/>
                <w:color w:val="000000"/>
                <w:sz w:val="20"/>
              </w:rPr>
            </w:pPr>
          </w:p>
          <w:p w:rsidR="00B9406E" w:rsidRPr="00AF2704" w:rsidP="00AF2704" w14:paraId="4AFA97DB" w14:textId="5A3FE18F">
            <w:pPr>
              <w:widowControl/>
              <w:jc w:val="center"/>
              <w:rPr>
                <w:snapToGrid/>
                <w:color w:val="000000"/>
                <w:sz w:val="20"/>
              </w:rPr>
            </w:pPr>
            <w:r>
              <w:rPr>
                <w:snapToGrid/>
                <w:color w:val="000000"/>
                <w:sz w:val="20"/>
              </w:rPr>
              <w:t>*</w:t>
            </w:r>
          </w:p>
        </w:tc>
        <w:tc>
          <w:tcPr>
            <w:tcW w:w="1273" w:type="dxa"/>
            <w:tcBorders>
              <w:top w:val="nil"/>
              <w:left w:val="single" w:sz="8" w:space="0" w:color="auto"/>
              <w:bottom w:val="single" w:sz="4" w:space="0" w:color="auto"/>
              <w:right w:val="single" w:sz="4" w:space="0" w:color="auto"/>
            </w:tcBorders>
            <w:shd w:val="clear" w:color="auto" w:fill="auto"/>
            <w:vAlign w:val="center"/>
            <w:hideMark/>
          </w:tcPr>
          <w:p w:rsidR="00B9406E" w:rsidRPr="00AF2704" w:rsidP="00AF2704" w14:paraId="787CDCFC" w14:textId="7449B6E6">
            <w:pPr>
              <w:widowControl/>
              <w:jc w:val="center"/>
              <w:rPr>
                <w:snapToGrid/>
                <w:color w:val="000000"/>
                <w:sz w:val="20"/>
              </w:rPr>
            </w:pPr>
            <w:r w:rsidRPr="00AF2704">
              <w:rPr>
                <w:snapToGrid/>
                <w:color w:val="000000"/>
                <w:sz w:val="20"/>
              </w:rPr>
              <w:t>32</w:t>
            </w:r>
          </w:p>
        </w:tc>
        <w:tc>
          <w:tcPr>
            <w:tcW w:w="442" w:type="dxa"/>
            <w:vMerge w:val="restart"/>
            <w:tcBorders>
              <w:top w:val="nil"/>
              <w:left w:val="nil"/>
              <w:right w:val="single" w:sz="8" w:space="0" w:color="auto"/>
            </w:tcBorders>
            <w:vAlign w:val="center"/>
          </w:tcPr>
          <w:p w:rsidR="00B9406E" w:rsidRPr="00AF2704" w:rsidP="000D6496" w14:paraId="158E5DB3" w14:textId="0C0902D2">
            <w:pPr>
              <w:widowControl/>
              <w:jc w:val="center"/>
              <w:rPr>
                <w:snapToGrid/>
                <w:color w:val="000000"/>
                <w:sz w:val="20"/>
              </w:rPr>
            </w:pPr>
            <w:r>
              <w:rPr>
                <w:snapToGrid/>
                <w:color w:val="000000"/>
                <w:sz w:val="20"/>
              </w:rPr>
              <w:t>=</w:t>
            </w:r>
          </w:p>
        </w:tc>
        <w:tc>
          <w:tcPr>
            <w:tcW w:w="1474" w:type="dxa"/>
            <w:tcBorders>
              <w:top w:val="nil"/>
              <w:left w:val="single" w:sz="8" w:space="0" w:color="auto"/>
              <w:bottom w:val="single" w:sz="4" w:space="0" w:color="auto"/>
              <w:right w:val="single" w:sz="12" w:space="0" w:color="auto"/>
            </w:tcBorders>
            <w:shd w:val="clear" w:color="auto" w:fill="auto"/>
            <w:vAlign w:val="center"/>
            <w:hideMark/>
          </w:tcPr>
          <w:p w:rsidR="00B9406E" w:rsidRPr="00AF2704" w:rsidP="00AF2704" w14:paraId="6936ADA6" w14:textId="26B04467">
            <w:pPr>
              <w:widowControl/>
              <w:rPr>
                <w:snapToGrid/>
                <w:color w:val="000000"/>
                <w:sz w:val="20"/>
              </w:rPr>
            </w:pPr>
            <w:r w:rsidRPr="00AF2704">
              <w:rPr>
                <w:snapToGrid/>
                <w:color w:val="000000"/>
                <w:sz w:val="20"/>
              </w:rPr>
              <w:t xml:space="preserve"> $   90,720.00 </w:t>
            </w:r>
          </w:p>
        </w:tc>
      </w:tr>
      <w:tr w14:paraId="1BEF30B5" w14:textId="77777777" w:rsidTr="000022F1">
        <w:tblPrEx>
          <w:tblW w:w="11610" w:type="dxa"/>
          <w:tblInd w:w="-995" w:type="dxa"/>
          <w:tblLook w:val="04A0"/>
        </w:tblPrEx>
        <w:trPr>
          <w:trHeight w:val="300"/>
        </w:trPr>
        <w:tc>
          <w:tcPr>
            <w:tcW w:w="2496" w:type="dxa"/>
            <w:tcBorders>
              <w:top w:val="nil"/>
              <w:left w:val="single" w:sz="12" w:space="0" w:color="auto"/>
              <w:bottom w:val="single" w:sz="4" w:space="0" w:color="auto"/>
              <w:right w:val="single" w:sz="4" w:space="0" w:color="auto"/>
            </w:tcBorders>
            <w:shd w:val="clear" w:color="auto" w:fill="auto"/>
            <w:hideMark/>
          </w:tcPr>
          <w:p w:rsidR="00B9406E" w:rsidRPr="00AF2704" w:rsidP="00AF2704" w14:paraId="2214958F" w14:textId="71621863">
            <w:pPr>
              <w:widowControl/>
              <w:rPr>
                <w:b/>
                <w:bCs/>
                <w:snapToGrid/>
                <w:color w:val="000000"/>
                <w:sz w:val="20"/>
              </w:rPr>
            </w:pPr>
            <w:r w:rsidRPr="00AF2704">
              <w:rPr>
                <w:b/>
                <w:bCs/>
                <w:snapToGrid/>
                <w:color w:val="000000"/>
                <w:sz w:val="20"/>
              </w:rPr>
              <w:t xml:space="preserve">GS 14 (Step 7): Review submissions from brokers </w:t>
            </w:r>
          </w:p>
        </w:tc>
        <w:tc>
          <w:tcPr>
            <w:tcW w:w="872" w:type="dxa"/>
            <w:tcBorders>
              <w:top w:val="nil"/>
              <w:left w:val="nil"/>
              <w:bottom w:val="single" w:sz="4" w:space="0" w:color="auto"/>
              <w:right w:val="single" w:sz="4" w:space="0" w:color="auto"/>
            </w:tcBorders>
            <w:shd w:val="clear" w:color="auto" w:fill="auto"/>
            <w:vAlign w:val="center"/>
            <w:hideMark/>
          </w:tcPr>
          <w:p w:rsidR="00B9406E" w:rsidRPr="00AF2704" w:rsidP="00AF2704" w14:paraId="0ABA4EB7" w14:textId="2A2B9DC6">
            <w:pPr>
              <w:widowControl/>
              <w:rPr>
                <w:snapToGrid/>
                <w:color w:val="000000"/>
                <w:sz w:val="20"/>
              </w:rPr>
            </w:pPr>
            <w:r w:rsidRPr="00AF2704">
              <w:rPr>
                <w:snapToGrid/>
                <w:color w:val="000000"/>
                <w:sz w:val="20"/>
              </w:rPr>
              <w:t xml:space="preserve"> $ 80.15 </w:t>
            </w:r>
          </w:p>
        </w:tc>
        <w:tc>
          <w:tcPr>
            <w:tcW w:w="1450" w:type="dxa"/>
            <w:tcBorders>
              <w:top w:val="nil"/>
              <w:left w:val="nil"/>
              <w:bottom w:val="single" w:sz="4" w:space="0" w:color="auto"/>
              <w:right w:val="single" w:sz="4" w:space="0" w:color="auto"/>
            </w:tcBorders>
            <w:shd w:val="clear" w:color="auto" w:fill="auto"/>
            <w:vAlign w:val="center"/>
            <w:hideMark/>
          </w:tcPr>
          <w:p w:rsidR="00B9406E" w:rsidRPr="00AF2704" w:rsidP="00AF2704" w14:paraId="286A8C10" w14:textId="647B9895">
            <w:pPr>
              <w:widowControl/>
              <w:rPr>
                <w:snapToGrid/>
                <w:color w:val="000000"/>
                <w:sz w:val="20"/>
              </w:rPr>
            </w:pPr>
            <w:r w:rsidRPr="00AF2704">
              <w:rPr>
                <w:snapToGrid/>
                <w:color w:val="000000"/>
                <w:sz w:val="20"/>
              </w:rPr>
              <w:t xml:space="preserve"> </w:t>
            </w:r>
            <w:r>
              <w:rPr>
                <w:snapToGrid/>
                <w:color w:val="000000"/>
                <w:sz w:val="20"/>
              </w:rPr>
              <w:t xml:space="preserve">    </w:t>
            </w:r>
            <w:r w:rsidRPr="00AF2704">
              <w:rPr>
                <w:snapToGrid/>
                <w:color w:val="000000"/>
                <w:sz w:val="20"/>
              </w:rPr>
              <w:t xml:space="preserve">$   105.00 </w:t>
            </w:r>
          </w:p>
        </w:tc>
        <w:tc>
          <w:tcPr>
            <w:tcW w:w="394" w:type="dxa"/>
            <w:vMerge/>
            <w:tcBorders>
              <w:left w:val="nil"/>
              <w:bottom w:val="single" w:sz="4" w:space="0" w:color="auto"/>
              <w:right w:val="single" w:sz="8" w:space="0" w:color="auto"/>
            </w:tcBorders>
          </w:tcPr>
          <w:p w:rsidR="00B9406E" w:rsidRPr="00AF2704" w:rsidP="00AF2704" w14:paraId="7AAC25E4" w14:textId="77777777">
            <w:pPr>
              <w:widowControl/>
              <w:jc w:val="center"/>
              <w:rPr>
                <w:snapToGrid/>
                <w:color w:val="000000"/>
                <w:sz w:val="20"/>
              </w:rPr>
            </w:pPr>
          </w:p>
        </w:tc>
        <w:tc>
          <w:tcPr>
            <w:tcW w:w="1158" w:type="dxa"/>
            <w:tcBorders>
              <w:top w:val="nil"/>
              <w:left w:val="single" w:sz="8" w:space="0" w:color="auto"/>
              <w:bottom w:val="single" w:sz="4" w:space="0" w:color="auto"/>
              <w:right w:val="single" w:sz="4" w:space="0" w:color="auto"/>
            </w:tcBorders>
            <w:shd w:val="clear" w:color="auto" w:fill="auto"/>
            <w:vAlign w:val="center"/>
            <w:hideMark/>
          </w:tcPr>
          <w:p w:rsidR="00B9406E" w:rsidRPr="00AF2704" w:rsidP="00AF2704" w14:paraId="1A8C0387" w14:textId="7F6256E2">
            <w:pPr>
              <w:widowControl/>
              <w:jc w:val="center"/>
              <w:rPr>
                <w:snapToGrid/>
                <w:color w:val="000000"/>
                <w:sz w:val="20"/>
              </w:rPr>
            </w:pPr>
            <w:r w:rsidRPr="00AF2704">
              <w:rPr>
                <w:snapToGrid/>
                <w:color w:val="000000"/>
                <w:sz w:val="20"/>
              </w:rPr>
              <w:t>1</w:t>
            </w:r>
          </w:p>
        </w:tc>
        <w:tc>
          <w:tcPr>
            <w:tcW w:w="397" w:type="dxa"/>
            <w:vMerge/>
            <w:tcBorders>
              <w:left w:val="nil"/>
              <w:bottom w:val="single" w:sz="4" w:space="0" w:color="auto"/>
              <w:right w:val="single" w:sz="8" w:space="0" w:color="auto"/>
            </w:tcBorders>
            <w:vAlign w:val="center"/>
          </w:tcPr>
          <w:p w:rsidR="00B9406E" w:rsidRPr="00AF2704" w:rsidP="00B9406E" w14:paraId="2D09B29B" w14:textId="77777777">
            <w:pPr>
              <w:widowControl/>
              <w:jc w:val="center"/>
              <w:rPr>
                <w:snapToGrid/>
                <w:color w:val="000000"/>
                <w:sz w:val="20"/>
              </w:rPr>
            </w:pPr>
          </w:p>
        </w:tc>
        <w:tc>
          <w:tcPr>
            <w:tcW w:w="1204" w:type="dxa"/>
            <w:tcBorders>
              <w:top w:val="nil"/>
              <w:left w:val="single" w:sz="8" w:space="0" w:color="auto"/>
              <w:bottom w:val="single" w:sz="4" w:space="0" w:color="auto"/>
              <w:right w:val="single" w:sz="4" w:space="0" w:color="auto"/>
            </w:tcBorders>
            <w:shd w:val="clear" w:color="auto" w:fill="auto"/>
            <w:vAlign w:val="center"/>
            <w:hideMark/>
          </w:tcPr>
          <w:p w:rsidR="00B9406E" w:rsidRPr="00AF2704" w:rsidP="00AF2704" w14:paraId="087010FD" w14:textId="0BAAA85D">
            <w:pPr>
              <w:widowControl/>
              <w:jc w:val="center"/>
              <w:rPr>
                <w:snapToGrid/>
                <w:color w:val="000000"/>
                <w:sz w:val="20"/>
              </w:rPr>
            </w:pPr>
            <w:r w:rsidRPr="00AF2704">
              <w:rPr>
                <w:snapToGrid/>
                <w:color w:val="000000"/>
                <w:sz w:val="20"/>
              </w:rPr>
              <w:t>1</w:t>
            </w:r>
          </w:p>
        </w:tc>
        <w:tc>
          <w:tcPr>
            <w:tcW w:w="450" w:type="dxa"/>
            <w:vMerge/>
            <w:tcBorders>
              <w:left w:val="nil"/>
              <w:bottom w:val="single" w:sz="4" w:space="0" w:color="auto"/>
              <w:right w:val="single" w:sz="8" w:space="0" w:color="auto"/>
            </w:tcBorders>
          </w:tcPr>
          <w:p w:rsidR="00B9406E" w:rsidRPr="00AF2704" w:rsidP="00AF2704" w14:paraId="4A98D101" w14:textId="77777777">
            <w:pPr>
              <w:widowControl/>
              <w:jc w:val="center"/>
              <w:rPr>
                <w:snapToGrid/>
                <w:color w:val="000000"/>
                <w:sz w:val="20"/>
              </w:rPr>
            </w:pPr>
          </w:p>
        </w:tc>
        <w:tc>
          <w:tcPr>
            <w:tcW w:w="1273" w:type="dxa"/>
            <w:tcBorders>
              <w:top w:val="nil"/>
              <w:left w:val="single" w:sz="8" w:space="0" w:color="auto"/>
              <w:bottom w:val="single" w:sz="4" w:space="0" w:color="auto"/>
              <w:right w:val="single" w:sz="4" w:space="0" w:color="auto"/>
            </w:tcBorders>
            <w:shd w:val="clear" w:color="auto" w:fill="auto"/>
            <w:vAlign w:val="center"/>
            <w:hideMark/>
          </w:tcPr>
          <w:p w:rsidR="00B9406E" w:rsidRPr="00AF2704" w:rsidP="00AF2704" w14:paraId="4E485D33" w14:textId="0AA0819B">
            <w:pPr>
              <w:widowControl/>
              <w:jc w:val="center"/>
              <w:rPr>
                <w:snapToGrid/>
                <w:color w:val="000000"/>
                <w:sz w:val="20"/>
              </w:rPr>
            </w:pPr>
            <w:r w:rsidRPr="00AF2704">
              <w:rPr>
                <w:snapToGrid/>
                <w:color w:val="000000"/>
                <w:sz w:val="20"/>
              </w:rPr>
              <w:t>34</w:t>
            </w:r>
          </w:p>
        </w:tc>
        <w:tc>
          <w:tcPr>
            <w:tcW w:w="442" w:type="dxa"/>
            <w:vMerge/>
            <w:tcBorders>
              <w:left w:val="nil"/>
              <w:bottom w:val="single" w:sz="4" w:space="0" w:color="auto"/>
              <w:right w:val="single" w:sz="8" w:space="0" w:color="auto"/>
            </w:tcBorders>
          </w:tcPr>
          <w:p w:rsidR="00B9406E" w:rsidRPr="00AF2704" w:rsidP="00AF2704" w14:paraId="42E0C1BD" w14:textId="77777777">
            <w:pPr>
              <w:widowControl/>
              <w:rPr>
                <w:snapToGrid/>
                <w:color w:val="000000"/>
                <w:sz w:val="20"/>
              </w:rPr>
            </w:pPr>
          </w:p>
        </w:tc>
        <w:tc>
          <w:tcPr>
            <w:tcW w:w="1474" w:type="dxa"/>
            <w:tcBorders>
              <w:top w:val="nil"/>
              <w:left w:val="single" w:sz="8" w:space="0" w:color="auto"/>
              <w:bottom w:val="single" w:sz="4" w:space="0" w:color="auto"/>
              <w:right w:val="single" w:sz="12" w:space="0" w:color="auto"/>
            </w:tcBorders>
            <w:shd w:val="clear" w:color="auto" w:fill="auto"/>
            <w:vAlign w:val="center"/>
            <w:hideMark/>
          </w:tcPr>
          <w:p w:rsidR="00B9406E" w:rsidRPr="00AF2704" w:rsidP="00AF2704" w14:paraId="492C5C92" w14:textId="10B5F2F6">
            <w:pPr>
              <w:widowControl/>
              <w:rPr>
                <w:snapToGrid/>
                <w:color w:val="000000"/>
                <w:sz w:val="20"/>
              </w:rPr>
            </w:pPr>
            <w:r w:rsidRPr="00AF2704">
              <w:rPr>
                <w:snapToGrid/>
                <w:color w:val="000000"/>
                <w:sz w:val="20"/>
              </w:rPr>
              <w:t xml:space="preserve"> $ </w:t>
            </w:r>
            <w:r>
              <w:rPr>
                <w:snapToGrid/>
                <w:color w:val="000000"/>
                <w:sz w:val="20"/>
              </w:rPr>
              <w:t xml:space="preserve">    </w:t>
            </w:r>
            <w:r w:rsidRPr="00AF2704">
              <w:rPr>
                <w:snapToGrid/>
                <w:color w:val="000000"/>
                <w:sz w:val="20"/>
              </w:rPr>
              <w:t xml:space="preserve">3,570.00 </w:t>
            </w:r>
          </w:p>
        </w:tc>
      </w:tr>
      <w:tr w14:paraId="452F362D" w14:textId="77777777" w:rsidTr="000D6496">
        <w:tblPrEx>
          <w:tblW w:w="11610" w:type="dxa"/>
          <w:tblInd w:w="-995" w:type="dxa"/>
          <w:tblLook w:val="04A0"/>
        </w:tblPrEx>
        <w:trPr>
          <w:trHeight w:val="300"/>
        </w:trPr>
        <w:tc>
          <w:tcPr>
            <w:tcW w:w="6767" w:type="dxa"/>
            <w:gridSpan w:val="6"/>
            <w:tcBorders>
              <w:top w:val="single" w:sz="4" w:space="0" w:color="auto"/>
              <w:left w:val="single" w:sz="12" w:space="0" w:color="auto"/>
              <w:bottom w:val="single" w:sz="12" w:space="0" w:color="auto"/>
              <w:right w:val="single" w:sz="8" w:space="0" w:color="auto"/>
            </w:tcBorders>
            <w:shd w:val="clear" w:color="auto" w:fill="D0CECE" w:themeFill="background2" w:themeFillShade="E6"/>
          </w:tcPr>
          <w:p w:rsidR="00B9406E" w:rsidRPr="00AF2704" w:rsidP="00AF2704" w14:paraId="22CE04C4" w14:textId="3C24D7CB">
            <w:pPr>
              <w:widowControl/>
              <w:jc w:val="center"/>
              <w:rPr>
                <w:b/>
                <w:bCs/>
                <w:snapToGrid/>
                <w:color w:val="000000"/>
                <w:sz w:val="20"/>
              </w:rPr>
            </w:pPr>
            <w:r w:rsidRPr="00AF2704">
              <w:rPr>
                <w:b/>
                <w:bCs/>
                <w:snapToGrid/>
                <w:color w:val="000000"/>
                <w:sz w:val="20"/>
              </w:rPr>
              <w:t>TOTAL COMBINED FEDERAL WAGES</w:t>
            </w:r>
          </w:p>
        </w:tc>
        <w:tc>
          <w:tcPr>
            <w:tcW w:w="1204" w:type="dxa"/>
            <w:tcBorders>
              <w:top w:val="nil"/>
              <w:left w:val="single" w:sz="8" w:space="0" w:color="auto"/>
              <w:bottom w:val="single" w:sz="12" w:space="0" w:color="auto"/>
              <w:right w:val="single" w:sz="4" w:space="0" w:color="auto"/>
            </w:tcBorders>
            <w:shd w:val="clear" w:color="auto" w:fill="auto"/>
            <w:hideMark/>
          </w:tcPr>
          <w:p w:rsidR="00B9406E" w:rsidRPr="00B9406E" w:rsidP="00AF2704" w14:paraId="3BA2B9D2" w14:textId="6815AE56">
            <w:pPr>
              <w:widowControl/>
              <w:jc w:val="center"/>
              <w:rPr>
                <w:b/>
                <w:bCs/>
                <w:snapToGrid/>
                <w:color w:val="000000"/>
                <w:sz w:val="20"/>
              </w:rPr>
            </w:pPr>
            <w:r w:rsidRPr="00B9406E">
              <w:rPr>
                <w:b/>
                <w:bCs/>
                <w:snapToGrid/>
                <w:color w:val="000000"/>
                <w:sz w:val="20"/>
              </w:rPr>
              <w:t>28</w:t>
            </w:r>
          </w:p>
        </w:tc>
        <w:tc>
          <w:tcPr>
            <w:tcW w:w="450" w:type="dxa"/>
            <w:tcBorders>
              <w:top w:val="nil"/>
              <w:left w:val="nil"/>
              <w:bottom w:val="single" w:sz="12" w:space="0" w:color="auto"/>
              <w:right w:val="single" w:sz="8" w:space="0" w:color="auto"/>
            </w:tcBorders>
          </w:tcPr>
          <w:p w:rsidR="00B9406E" w:rsidRPr="00B9406E" w:rsidP="00AF2704" w14:paraId="2F4D7E9E" w14:textId="77777777">
            <w:pPr>
              <w:widowControl/>
              <w:jc w:val="center"/>
              <w:rPr>
                <w:b/>
                <w:bCs/>
                <w:snapToGrid/>
                <w:color w:val="000000"/>
                <w:sz w:val="20"/>
              </w:rPr>
            </w:pPr>
          </w:p>
        </w:tc>
        <w:tc>
          <w:tcPr>
            <w:tcW w:w="1273" w:type="dxa"/>
            <w:tcBorders>
              <w:top w:val="nil"/>
              <w:left w:val="single" w:sz="8" w:space="0" w:color="auto"/>
              <w:bottom w:val="single" w:sz="12" w:space="0" w:color="auto"/>
              <w:right w:val="single" w:sz="4" w:space="0" w:color="auto"/>
            </w:tcBorders>
            <w:shd w:val="clear" w:color="auto" w:fill="auto"/>
            <w:hideMark/>
          </w:tcPr>
          <w:p w:rsidR="00B9406E" w:rsidRPr="00B9406E" w:rsidP="00AF2704" w14:paraId="6CBF79F0" w14:textId="6396E7F5">
            <w:pPr>
              <w:widowControl/>
              <w:jc w:val="center"/>
              <w:rPr>
                <w:b/>
                <w:bCs/>
                <w:snapToGrid/>
                <w:color w:val="000000"/>
                <w:sz w:val="20"/>
              </w:rPr>
            </w:pPr>
            <w:r w:rsidRPr="00B9406E">
              <w:rPr>
                <w:b/>
                <w:bCs/>
                <w:snapToGrid/>
                <w:color w:val="000000"/>
                <w:sz w:val="20"/>
              </w:rPr>
              <w:t>66</w:t>
            </w:r>
          </w:p>
        </w:tc>
        <w:tc>
          <w:tcPr>
            <w:tcW w:w="442" w:type="dxa"/>
            <w:tcBorders>
              <w:top w:val="nil"/>
              <w:left w:val="nil"/>
              <w:bottom w:val="single" w:sz="12" w:space="0" w:color="auto"/>
              <w:right w:val="single" w:sz="8" w:space="0" w:color="auto"/>
            </w:tcBorders>
          </w:tcPr>
          <w:p w:rsidR="00B9406E" w:rsidRPr="000D6496" w:rsidP="00AF2704" w14:paraId="06D9366F" w14:textId="77777777">
            <w:pPr>
              <w:widowControl/>
              <w:rPr>
                <w:b/>
                <w:bCs/>
                <w:snapToGrid/>
                <w:color w:val="000000"/>
                <w:sz w:val="20"/>
              </w:rPr>
            </w:pPr>
          </w:p>
        </w:tc>
        <w:tc>
          <w:tcPr>
            <w:tcW w:w="1474" w:type="dxa"/>
            <w:tcBorders>
              <w:top w:val="nil"/>
              <w:left w:val="single" w:sz="8" w:space="0" w:color="auto"/>
              <w:bottom w:val="single" w:sz="12" w:space="0" w:color="auto"/>
              <w:right w:val="single" w:sz="12" w:space="0" w:color="auto"/>
            </w:tcBorders>
            <w:shd w:val="clear" w:color="auto" w:fill="auto"/>
            <w:noWrap/>
            <w:vAlign w:val="bottom"/>
            <w:hideMark/>
          </w:tcPr>
          <w:p w:rsidR="00B9406E" w:rsidRPr="000D6496" w:rsidP="00AF2704" w14:paraId="08B5E56D" w14:textId="1A4D6465">
            <w:pPr>
              <w:widowControl/>
              <w:rPr>
                <w:b/>
                <w:bCs/>
                <w:snapToGrid/>
                <w:color w:val="000000"/>
                <w:sz w:val="20"/>
              </w:rPr>
            </w:pPr>
            <w:r w:rsidRPr="000D6496">
              <w:rPr>
                <w:b/>
                <w:bCs/>
                <w:snapToGrid/>
                <w:color w:val="000000"/>
                <w:sz w:val="20"/>
              </w:rPr>
              <w:t xml:space="preserve"> $  94,290.00 </w:t>
            </w:r>
          </w:p>
        </w:tc>
      </w:tr>
      <w:bookmarkEnd w:id="7"/>
    </w:tbl>
    <w:p w:rsidR="0036182A" w:rsidRPr="009D442F" w:rsidP="00B9406E" w14:paraId="7CF8B82D" w14:textId="77777777">
      <w:pPr>
        <w:pStyle w:val="PlainText"/>
        <w:rPr>
          <w:rFonts w:ascii="Times New Roman" w:hAnsi="Times New Roman"/>
          <w:b/>
          <w:i/>
          <w:sz w:val="24"/>
        </w:rPr>
      </w:pPr>
    </w:p>
    <w:p w:rsidR="00E1024B" w:rsidRPr="000D6496" w:rsidP="000D6496" w14:paraId="76404BDC" w14:textId="1461659F">
      <w:pPr>
        <w:pStyle w:val="ListParagraph"/>
        <w:numPr>
          <w:ilvl w:val="0"/>
          <w:numId w:val="15"/>
        </w:numPr>
        <w:tabs>
          <w:tab w:val="left" w:pos="-1440"/>
        </w:tabs>
        <w:rPr>
          <w:b/>
          <w:sz w:val="22"/>
        </w:rPr>
      </w:pPr>
      <w:r w:rsidRPr="000D6496">
        <w:rPr>
          <w:b/>
        </w:rPr>
        <w:t>Expla</w:t>
      </w:r>
      <w:r w:rsidRPr="00E1024B">
        <w:rPr>
          <w:b/>
        </w:rPr>
        <w:t>nation of Program Changes or A</w:t>
      </w:r>
      <w:r w:rsidRPr="000D6496">
        <w:rPr>
          <w:b/>
        </w:rPr>
        <w:t xml:space="preserve">djustments </w:t>
      </w:r>
    </w:p>
    <w:p w:rsidR="00A82022" w:rsidRPr="00E1024B" w:rsidP="000D6496" w14:paraId="58D546BA" w14:textId="77777777">
      <w:pPr>
        <w:pStyle w:val="ListParagraph"/>
        <w:tabs>
          <w:tab w:val="left" w:pos="-1440"/>
        </w:tabs>
        <w:ind w:left="450"/>
        <w:rPr>
          <w:b/>
          <w:sz w:val="22"/>
        </w:rPr>
      </w:pPr>
    </w:p>
    <w:p w:rsidR="005734DF" w:rsidRPr="00A258DC" w:rsidP="000D6496" w14:paraId="63AFB471" w14:textId="03059177">
      <w:pPr>
        <w:tabs>
          <w:tab w:val="left" w:pos="-1440"/>
        </w:tabs>
        <w:ind w:left="450"/>
        <w:rPr>
          <w:sz w:val="22"/>
        </w:rPr>
      </w:pPr>
      <w:r>
        <w:rPr>
          <w:szCs w:val="24"/>
        </w:rPr>
        <w:t xml:space="preserve">There are no program changes or adjustments since the last renewal. </w:t>
      </w:r>
    </w:p>
    <w:p w:rsidR="00A82022" w:rsidRPr="00A258DC" w14:paraId="76F7C557" w14:textId="77777777">
      <w:pPr>
        <w:tabs>
          <w:tab w:val="left" w:pos="-1440"/>
        </w:tabs>
        <w:ind w:left="720" w:hanging="720"/>
        <w:rPr>
          <w:b/>
        </w:rPr>
      </w:pPr>
    </w:p>
    <w:p w:rsidR="00A82022" w:rsidRPr="00A258DC" w:rsidP="000D6496" w14:paraId="1A5AA3CD" w14:textId="016BEFF5">
      <w:pPr>
        <w:pStyle w:val="BodyTextIndent2"/>
        <w:numPr>
          <w:ilvl w:val="0"/>
          <w:numId w:val="15"/>
        </w:numPr>
      </w:pPr>
      <w:r>
        <w:t xml:space="preserve">Publication of Data Collection Results </w:t>
      </w:r>
      <w:r w:rsidRPr="00A258DC">
        <w:t xml:space="preserve"> .  </w:t>
      </w:r>
    </w:p>
    <w:p w:rsidR="00A82022" w:rsidP="000D6496" w14:paraId="224AB96E" w14:textId="24E142C4">
      <w:pPr>
        <w:ind w:firstLine="720"/>
        <w:rPr>
          <w:b/>
        </w:rPr>
      </w:pPr>
    </w:p>
    <w:p w:rsidR="00A82022" w:rsidP="000D6496" w14:paraId="27B86F27" w14:textId="70CB103D">
      <w:pPr>
        <w:ind w:left="450"/>
      </w:pPr>
      <w:r>
        <w:t>There are no plans to publish the results of the information collection</w:t>
      </w:r>
      <w:r w:rsidR="005C19B6">
        <w:t>.</w:t>
      </w:r>
      <w:r>
        <w:t xml:space="preserve"> </w:t>
      </w:r>
    </w:p>
    <w:p w:rsidR="00A82022" w14:paraId="698CFBDD" w14:textId="77777777">
      <w:pPr>
        <w:ind w:left="720"/>
      </w:pPr>
    </w:p>
    <w:p w:rsidR="00A82022" w:rsidP="000D6496" w14:paraId="60A73F2D" w14:textId="3B41FA25">
      <w:pPr>
        <w:pStyle w:val="BodyTextIndent"/>
        <w:numPr>
          <w:ilvl w:val="0"/>
          <w:numId w:val="15"/>
        </w:numPr>
        <w:tabs>
          <w:tab w:val="clear" w:pos="-1440"/>
        </w:tabs>
        <w:rPr>
          <w:b/>
        </w:rPr>
      </w:pPr>
      <w:r>
        <w:rPr>
          <w:b/>
        </w:rPr>
        <w:t>D</w:t>
      </w:r>
      <w:r>
        <w:rPr>
          <w:b/>
        </w:rPr>
        <w:t>isplay</w:t>
      </w:r>
      <w:r>
        <w:rPr>
          <w:b/>
        </w:rPr>
        <w:t xml:space="preserve"> of the</w:t>
      </w:r>
      <w:r>
        <w:rPr>
          <w:b/>
        </w:rPr>
        <w:t xml:space="preserve"> </w:t>
      </w:r>
      <w:r>
        <w:rPr>
          <w:b/>
        </w:rPr>
        <w:t xml:space="preserve">OMB Expiration Date </w:t>
      </w:r>
    </w:p>
    <w:p w:rsidR="00A82022" w14:paraId="0B2F7EC9" w14:textId="77777777">
      <w:pPr>
        <w:ind w:left="720" w:hanging="720"/>
        <w:rPr>
          <w:b/>
        </w:rPr>
      </w:pPr>
    </w:p>
    <w:p w:rsidR="00D92680" w:rsidRPr="0036468D" w:rsidP="000D6496" w14:paraId="381FABE7" w14:textId="6D262119">
      <w:pPr>
        <w:ind w:left="450"/>
      </w:pPr>
      <w:r>
        <w:t>MARAD is not seeking such approval.</w:t>
      </w:r>
    </w:p>
    <w:p w:rsidR="00A82022" w14:paraId="32129050" w14:textId="77777777">
      <w:pPr>
        <w:ind w:left="720" w:hanging="720"/>
        <w:rPr>
          <w:b/>
          <w:sz w:val="22"/>
        </w:rPr>
      </w:pPr>
    </w:p>
    <w:p w:rsidR="00A82022" w:rsidRPr="000D6496" w:rsidP="000D6496" w14:paraId="0D372D46" w14:textId="13E7B0CE">
      <w:pPr>
        <w:pStyle w:val="ListParagraph"/>
        <w:numPr>
          <w:ilvl w:val="0"/>
          <w:numId w:val="15"/>
        </w:numPr>
        <w:rPr>
          <w:b/>
        </w:rPr>
      </w:pPr>
      <w:r w:rsidRPr="000D6496">
        <w:rPr>
          <w:b/>
        </w:rPr>
        <w:t>E</w:t>
      </w:r>
      <w:r w:rsidRPr="000D6496">
        <w:rPr>
          <w:b/>
        </w:rPr>
        <w:t xml:space="preserve">xception to the </w:t>
      </w:r>
      <w:r>
        <w:rPr>
          <w:b/>
        </w:rPr>
        <w:t>C</w:t>
      </w:r>
      <w:r w:rsidRPr="000D6496">
        <w:rPr>
          <w:b/>
        </w:rPr>
        <w:t xml:space="preserve">ertification </w:t>
      </w:r>
      <w:r>
        <w:rPr>
          <w:b/>
        </w:rPr>
        <w:t>S</w:t>
      </w:r>
      <w:r w:rsidRPr="000D6496">
        <w:rPr>
          <w:b/>
        </w:rPr>
        <w:t xml:space="preserve">tatement </w:t>
      </w:r>
    </w:p>
    <w:p w:rsidR="00A82022" w14:paraId="18D0929A" w14:textId="77777777">
      <w:pPr>
        <w:rPr>
          <w:b/>
          <w:sz w:val="22"/>
        </w:rPr>
      </w:pPr>
    </w:p>
    <w:p w:rsidR="00A82022" w:rsidP="000D6496" w14:paraId="1494CBF4" w14:textId="77777777">
      <w:pPr>
        <w:ind w:left="450"/>
      </w:pPr>
      <w:r>
        <w:t>T</w:t>
      </w:r>
      <w:r>
        <w:t>here are no exceptions to the certificate statement.</w:t>
      </w:r>
    </w:p>
    <w:p w:rsidR="00DE24BA" w:rsidP="00DE24BA" w14:paraId="2B611759" w14:textId="77777777"/>
    <w:sectPr w:rsidSect="00E1490E">
      <w:footerReference w:type="even" r:id="rId5"/>
      <w:footerReference w:type="default" r:id="rId6"/>
      <w:endnotePr>
        <w:numFmt w:val="decimal"/>
      </w:endnotePr>
      <w:type w:val="continuous"/>
      <w:pgSz w:w="12240" w:h="15840"/>
      <w:pgMar w:top="1296" w:right="1440" w:bottom="1296" w:left="1440" w:header="1440" w:footer="864"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A9C" w14:paraId="7D2541C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42A9C" w14:paraId="195A51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A9C" w14:paraId="51DB2328" w14:textId="3058DF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2E0">
      <w:rPr>
        <w:rStyle w:val="PageNumber"/>
        <w:noProof/>
      </w:rPr>
      <w:t>8</w:t>
    </w:r>
    <w:r>
      <w:rPr>
        <w:rStyle w:val="PageNumber"/>
      </w:rPr>
      <w:fldChar w:fldCharType="end"/>
    </w:r>
  </w:p>
  <w:p w:rsidR="00142A9C" w14:paraId="5EE094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7FE8" w14:paraId="47EE5FEF" w14:textId="77777777">
      <w:r>
        <w:separator/>
      </w:r>
    </w:p>
  </w:footnote>
  <w:footnote w:type="continuationSeparator" w:id="1">
    <w:p w:rsidR="00F67FE8" w14:paraId="0B926D7C" w14:textId="77777777">
      <w:r>
        <w:continuationSeparator/>
      </w:r>
    </w:p>
  </w:footnote>
  <w:footnote w:id="2">
    <w:p w:rsidR="00042496" w:rsidRPr="0002645D" w:rsidP="00042496" w14:paraId="43C82650" w14:textId="77777777">
      <w:pPr>
        <w:pStyle w:val="FootnoteText"/>
      </w:pPr>
      <w:r w:rsidRPr="0002645D">
        <w:rPr>
          <w:rStyle w:val="FootnoteReference"/>
        </w:rPr>
        <w:footnoteRef/>
      </w:r>
      <w:r w:rsidRPr="0002645D">
        <w:t xml:space="preserve"> The hourly wage estimate is taken from current BLS tables: </w:t>
      </w:r>
      <w:hyperlink r:id="rId1" w:history="1">
        <w:r w:rsidRPr="0002645D">
          <w:rPr>
            <w:rStyle w:val="Hyperlink"/>
          </w:rPr>
          <w:t>https://www.bls.gov/oes/current/oes_nat.htm</w:t>
        </w:r>
      </w:hyperlink>
      <w:r w:rsidRPr="0002645D">
        <w:t>.</w:t>
      </w:r>
    </w:p>
  </w:footnote>
  <w:footnote w:id="3">
    <w:p w:rsidR="008461E0" w:rsidP="008461E0" w14:paraId="5ECD46CB" w14:textId="77777777">
      <w:pPr>
        <w:pStyle w:val="FootnoteText"/>
      </w:pPr>
      <w:r w:rsidRPr="0002645D">
        <w:rPr>
          <w:rStyle w:val="FootnoteReference"/>
        </w:rPr>
        <w:footnoteRef/>
      </w:r>
      <w:r w:rsidRPr="0002645D">
        <w:t xml:space="preserve"> </w:t>
      </w:r>
      <w:bookmarkStart w:id="6" w:name="_Hlk164072686"/>
      <w:r w:rsidRPr="0002645D">
        <w:t>Per BLS Employee Compensation Memo, the total compensation rate for the private sector is 29%,  :</w:t>
      </w:r>
      <w:hyperlink r:id="rId2" w:history="1">
        <w:r w:rsidRPr="0002645D">
          <w:rPr>
            <w:rStyle w:val="Hyperlink"/>
          </w:rPr>
          <w:t>https://www.bls.gov/news.release/pdf/ecec.pdf</w:t>
        </w:r>
      </w:hyperlink>
      <w:bookmarkEnd w:id="6"/>
    </w:p>
  </w:footnote>
  <w:footnote w:id="4">
    <w:p w:rsidR="00112189" w:rsidP="00112189" w14:paraId="1331752A" w14:textId="77777777">
      <w:pPr>
        <w:pStyle w:val="FootnoteText"/>
      </w:pPr>
      <w:r>
        <w:rPr>
          <w:rStyle w:val="FootnoteReference"/>
        </w:rPr>
        <w:footnoteRef/>
      </w:r>
      <w:r>
        <w:t xml:space="preserve"> OPM 2024 wage tables for W</w:t>
      </w:r>
      <w:r w:rsidRPr="00707438">
        <w:t>ashington-</w:t>
      </w:r>
      <w:r>
        <w:t>B</w:t>
      </w:r>
      <w:r w:rsidRPr="00707438">
        <w:t>altimore-</w:t>
      </w:r>
      <w:r>
        <w:t>A</w:t>
      </w:r>
      <w:r w:rsidRPr="00707438">
        <w:t xml:space="preserve">rlington, </w:t>
      </w:r>
      <w:r w:rsidRPr="00B219FA">
        <w:t>DC-MD-VA-WV-PA</w:t>
      </w:r>
      <w:r>
        <w:t xml:space="preserve"> is as follows:  </w:t>
      </w:r>
      <w:hyperlink r:id="rId3" w:history="1">
        <w:r w:rsidRPr="004C3F40">
          <w:rPr>
            <w:rStyle w:val="Hyperlink"/>
          </w:rPr>
          <w:t>https://www.opm.gov/policy-data-oversight/pay-leave/salaries-wages/salary-tables/pdf/2024/DCB_h.pdf</w:t>
        </w:r>
      </w:hyperlink>
      <w:r>
        <w:t xml:space="preserve"> </w:t>
      </w:r>
    </w:p>
  </w:footnote>
  <w:footnote w:id="5">
    <w:p w:rsidR="00112189" w:rsidP="00112189" w14:paraId="346649B4" w14:textId="77777777">
      <w:pPr>
        <w:pStyle w:val="FootnoteText"/>
      </w:pPr>
      <w:r>
        <w:rPr>
          <w:rStyle w:val="FootnoteReference"/>
        </w:rPr>
        <w:footnoteRef/>
      </w:r>
      <w:r>
        <w:t xml:space="preserve"> </w:t>
      </w:r>
      <w:r w:rsidRPr="007C21F2">
        <w:t xml:space="preserve">Per BLS Employee Compensation Memo, the total compensation rate for the </w:t>
      </w:r>
      <w:r>
        <w:t xml:space="preserve">Federal Government </w:t>
      </w:r>
      <w:r w:rsidRPr="007C21F2">
        <w:t xml:space="preserve"> is </w:t>
      </w:r>
      <w:r>
        <w:t>31</w:t>
      </w:r>
      <w:r w:rsidRPr="007C21F2">
        <w:t>%,  :</w:t>
      </w:r>
      <w:hyperlink r:id="rId2" w:history="1">
        <w:r w:rsidRPr="007C21F2">
          <w:rPr>
            <w:rStyle w:val="Hyperlink"/>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2">
    <w:nsid w:val="0D6456F5"/>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3">
    <w:nsid w:val="129641C9"/>
    <w:multiLevelType w:val="hybridMultilevel"/>
    <w:tmpl w:val="D638A606"/>
    <w:lvl w:ilvl="0">
      <w:start w:val="1"/>
      <w:numFmt w:val="bullet"/>
      <w:lvlText w:val=""/>
      <w:lvlJc w:val="left"/>
      <w:pPr>
        <w:ind w:left="1620" w:hanging="360"/>
      </w:pPr>
      <w:rPr>
        <w:rFonts w:ascii="Wingdings" w:hAnsi="Wingding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12B8633E"/>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5">
    <w:nsid w:val="246E51CD"/>
    <w:multiLevelType w:val="singleLevel"/>
    <w:tmpl w:val="7CD207E0"/>
    <w:lvl w:ilvl="0">
      <w:start w:val="1"/>
      <w:numFmt w:val="decimal"/>
      <w:lvlText w:val="%1."/>
      <w:lvlJc w:val="left"/>
      <w:pPr>
        <w:tabs>
          <w:tab w:val="num" w:pos="720"/>
        </w:tabs>
        <w:ind w:left="720" w:hanging="720"/>
      </w:pPr>
      <w:rPr>
        <w:rFonts w:hint="default"/>
      </w:rPr>
    </w:lvl>
  </w:abstractNum>
  <w:abstractNum w:abstractNumId="6">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7">
    <w:nsid w:val="2EDF5035"/>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8">
    <w:nsid w:val="35956261"/>
    <w:multiLevelType w:val="hybridMultilevel"/>
    <w:tmpl w:val="3B30EE6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0">
    <w:nsid w:val="37127BF0"/>
    <w:multiLevelType w:val="hybridMultilevel"/>
    <w:tmpl w:val="8BF6DB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12">
    <w:nsid w:val="4A421720"/>
    <w:multiLevelType w:val="hybridMultilevel"/>
    <w:tmpl w:val="292833D0"/>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14">
    <w:nsid w:val="4F4C5778"/>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15">
    <w:nsid w:val="52834129"/>
    <w:multiLevelType w:val="hybridMultilevel"/>
    <w:tmpl w:val="246C8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8F710B5"/>
    <w:multiLevelType w:val="hybridMultilevel"/>
    <w:tmpl w:val="4B521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18">
    <w:nsid w:val="77E607A6"/>
    <w:multiLevelType w:val="hybridMultilevel"/>
    <w:tmpl w:val="115075C4"/>
    <w:lvl w:ilvl="0">
      <w:start w:val="1"/>
      <w:numFmt w:val="decimal"/>
      <w:lvlText w:val="%1."/>
      <w:lvlJc w:val="left"/>
      <w:pPr>
        <w:ind w:left="450" w:hanging="360"/>
      </w:pPr>
      <w:rPr>
        <w:rFonts w:hint="default"/>
        <w:b/>
        <w:bCs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1864439104">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16cid:durableId="28115321">
    <w:abstractNumId w:val="1"/>
  </w:num>
  <w:num w:numId="3" w16cid:durableId="1246064769">
    <w:abstractNumId w:val="6"/>
  </w:num>
  <w:num w:numId="4" w16cid:durableId="480847262">
    <w:abstractNumId w:val="9"/>
  </w:num>
  <w:num w:numId="5" w16cid:durableId="1416367444">
    <w:abstractNumId w:val="17"/>
  </w:num>
  <w:num w:numId="6" w16cid:durableId="277301960">
    <w:abstractNumId w:val="11"/>
  </w:num>
  <w:num w:numId="7" w16cid:durableId="726228406">
    <w:abstractNumId w:val="13"/>
  </w:num>
  <w:num w:numId="8" w16cid:durableId="1948810323">
    <w:abstractNumId w:val="5"/>
  </w:num>
  <w:num w:numId="9" w16cid:durableId="1518498927">
    <w:abstractNumId w:val="4"/>
  </w:num>
  <w:num w:numId="10" w16cid:durableId="983509529">
    <w:abstractNumId w:val="2"/>
  </w:num>
  <w:num w:numId="11" w16cid:durableId="518349617">
    <w:abstractNumId w:val="7"/>
  </w:num>
  <w:num w:numId="12" w16cid:durableId="498428835">
    <w:abstractNumId w:val="14"/>
  </w:num>
  <w:num w:numId="13" w16cid:durableId="1848249452">
    <w:abstractNumId w:val="12"/>
  </w:num>
  <w:num w:numId="14" w16cid:durableId="1290668301">
    <w:abstractNumId w:val="10"/>
  </w:num>
  <w:num w:numId="15" w16cid:durableId="764110242">
    <w:abstractNumId w:val="18"/>
  </w:num>
  <w:num w:numId="16" w16cid:durableId="366371512">
    <w:abstractNumId w:val="16"/>
  </w:num>
  <w:num w:numId="17" w16cid:durableId="159201906">
    <w:abstractNumId w:val="3"/>
  </w:num>
  <w:num w:numId="18" w16cid:durableId="2090275135">
    <w:abstractNumId w:val="15"/>
  </w:num>
  <w:num w:numId="19" w16cid:durableId="276567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22"/>
    <w:rsid w:val="00001D42"/>
    <w:rsid w:val="000022F1"/>
    <w:rsid w:val="00016972"/>
    <w:rsid w:val="00017C85"/>
    <w:rsid w:val="0002645D"/>
    <w:rsid w:val="00031E57"/>
    <w:rsid w:val="00032084"/>
    <w:rsid w:val="00042496"/>
    <w:rsid w:val="00045225"/>
    <w:rsid w:val="000867CC"/>
    <w:rsid w:val="0009223E"/>
    <w:rsid w:val="000A23B7"/>
    <w:rsid w:val="000A5EB5"/>
    <w:rsid w:val="000C06CB"/>
    <w:rsid w:val="000C107A"/>
    <w:rsid w:val="000D2B5C"/>
    <w:rsid w:val="000D6496"/>
    <w:rsid w:val="00101B1C"/>
    <w:rsid w:val="00105F9B"/>
    <w:rsid w:val="00112189"/>
    <w:rsid w:val="00116EB8"/>
    <w:rsid w:val="00122E65"/>
    <w:rsid w:val="001410F1"/>
    <w:rsid w:val="00142A9C"/>
    <w:rsid w:val="0014318F"/>
    <w:rsid w:val="0014795E"/>
    <w:rsid w:val="001536CA"/>
    <w:rsid w:val="00155D71"/>
    <w:rsid w:val="00157DBB"/>
    <w:rsid w:val="001718C2"/>
    <w:rsid w:val="00184562"/>
    <w:rsid w:val="001A41B7"/>
    <w:rsid w:val="001B7588"/>
    <w:rsid w:val="001D0959"/>
    <w:rsid w:val="001D559A"/>
    <w:rsid w:val="001E015B"/>
    <w:rsid w:val="001E788F"/>
    <w:rsid w:val="00204B86"/>
    <w:rsid w:val="002472E0"/>
    <w:rsid w:val="00261A80"/>
    <w:rsid w:val="00264F7F"/>
    <w:rsid w:val="00293EDB"/>
    <w:rsid w:val="00296368"/>
    <w:rsid w:val="002B5C5D"/>
    <w:rsid w:val="003140C6"/>
    <w:rsid w:val="003374F3"/>
    <w:rsid w:val="00340DE5"/>
    <w:rsid w:val="00352D53"/>
    <w:rsid w:val="003612AD"/>
    <w:rsid w:val="0036182A"/>
    <w:rsid w:val="0036468D"/>
    <w:rsid w:val="003776AA"/>
    <w:rsid w:val="0038375B"/>
    <w:rsid w:val="0039295B"/>
    <w:rsid w:val="0039779C"/>
    <w:rsid w:val="003B032A"/>
    <w:rsid w:val="003C4605"/>
    <w:rsid w:val="003E5B5B"/>
    <w:rsid w:val="00401007"/>
    <w:rsid w:val="00423188"/>
    <w:rsid w:val="004275D7"/>
    <w:rsid w:val="004325E3"/>
    <w:rsid w:val="00446C06"/>
    <w:rsid w:val="00450259"/>
    <w:rsid w:val="0045784D"/>
    <w:rsid w:val="00465663"/>
    <w:rsid w:val="00484041"/>
    <w:rsid w:val="00484765"/>
    <w:rsid w:val="00490005"/>
    <w:rsid w:val="00496CBD"/>
    <w:rsid w:val="004A1D7B"/>
    <w:rsid w:val="004B7F9D"/>
    <w:rsid w:val="004C3F40"/>
    <w:rsid w:val="004E3CCA"/>
    <w:rsid w:val="004F026E"/>
    <w:rsid w:val="004F5A29"/>
    <w:rsid w:val="00533E6F"/>
    <w:rsid w:val="00540975"/>
    <w:rsid w:val="00555EF0"/>
    <w:rsid w:val="00556D1F"/>
    <w:rsid w:val="00564D94"/>
    <w:rsid w:val="00565AF2"/>
    <w:rsid w:val="00566E1A"/>
    <w:rsid w:val="005710D5"/>
    <w:rsid w:val="005734DF"/>
    <w:rsid w:val="005839CD"/>
    <w:rsid w:val="005A7F5E"/>
    <w:rsid w:val="005C19B6"/>
    <w:rsid w:val="005F181C"/>
    <w:rsid w:val="00605973"/>
    <w:rsid w:val="00606AF5"/>
    <w:rsid w:val="00630AE0"/>
    <w:rsid w:val="00674363"/>
    <w:rsid w:val="00682F94"/>
    <w:rsid w:val="00683321"/>
    <w:rsid w:val="00684C9C"/>
    <w:rsid w:val="00684F5C"/>
    <w:rsid w:val="00695DAC"/>
    <w:rsid w:val="006B29AD"/>
    <w:rsid w:val="006D1B3E"/>
    <w:rsid w:val="006F4C63"/>
    <w:rsid w:val="006F7E93"/>
    <w:rsid w:val="00704F6F"/>
    <w:rsid w:val="00707438"/>
    <w:rsid w:val="00747C09"/>
    <w:rsid w:val="00751F4C"/>
    <w:rsid w:val="00757BD8"/>
    <w:rsid w:val="007C21F2"/>
    <w:rsid w:val="007C51F4"/>
    <w:rsid w:val="007C5542"/>
    <w:rsid w:val="007D238D"/>
    <w:rsid w:val="007D38B7"/>
    <w:rsid w:val="007F0F54"/>
    <w:rsid w:val="00811642"/>
    <w:rsid w:val="0081735A"/>
    <w:rsid w:val="0083557D"/>
    <w:rsid w:val="00841657"/>
    <w:rsid w:val="008420C9"/>
    <w:rsid w:val="0084402B"/>
    <w:rsid w:val="008461E0"/>
    <w:rsid w:val="00857010"/>
    <w:rsid w:val="00893CC8"/>
    <w:rsid w:val="008A0FA7"/>
    <w:rsid w:val="008B0571"/>
    <w:rsid w:val="008D77DD"/>
    <w:rsid w:val="008E580B"/>
    <w:rsid w:val="009048C9"/>
    <w:rsid w:val="00974658"/>
    <w:rsid w:val="009A68E4"/>
    <w:rsid w:val="009D442F"/>
    <w:rsid w:val="009E04C5"/>
    <w:rsid w:val="009F01AC"/>
    <w:rsid w:val="009F4D08"/>
    <w:rsid w:val="00A16C35"/>
    <w:rsid w:val="00A258DC"/>
    <w:rsid w:val="00A3234E"/>
    <w:rsid w:val="00A3616F"/>
    <w:rsid w:val="00A40A9C"/>
    <w:rsid w:val="00A43EDD"/>
    <w:rsid w:val="00A62658"/>
    <w:rsid w:val="00A64DC7"/>
    <w:rsid w:val="00A737F8"/>
    <w:rsid w:val="00A80903"/>
    <w:rsid w:val="00A82022"/>
    <w:rsid w:val="00A848E8"/>
    <w:rsid w:val="00A85CD0"/>
    <w:rsid w:val="00A9402C"/>
    <w:rsid w:val="00AA4B26"/>
    <w:rsid w:val="00AB5899"/>
    <w:rsid w:val="00AB7A42"/>
    <w:rsid w:val="00AF2704"/>
    <w:rsid w:val="00B0027C"/>
    <w:rsid w:val="00B013D6"/>
    <w:rsid w:val="00B219FA"/>
    <w:rsid w:val="00B36E73"/>
    <w:rsid w:val="00B47517"/>
    <w:rsid w:val="00B47D00"/>
    <w:rsid w:val="00B47D91"/>
    <w:rsid w:val="00B5361A"/>
    <w:rsid w:val="00B57F5F"/>
    <w:rsid w:val="00B83E4B"/>
    <w:rsid w:val="00B93733"/>
    <w:rsid w:val="00B9406E"/>
    <w:rsid w:val="00B94D9F"/>
    <w:rsid w:val="00BA6C10"/>
    <w:rsid w:val="00BB25F6"/>
    <w:rsid w:val="00BB46B7"/>
    <w:rsid w:val="00BC6F68"/>
    <w:rsid w:val="00BE3972"/>
    <w:rsid w:val="00BF0287"/>
    <w:rsid w:val="00C00766"/>
    <w:rsid w:val="00C01B82"/>
    <w:rsid w:val="00C03DCC"/>
    <w:rsid w:val="00C3305A"/>
    <w:rsid w:val="00C340CC"/>
    <w:rsid w:val="00C417DA"/>
    <w:rsid w:val="00C41FAF"/>
    <w:rsid w:val="00C72715"/>
    <w:rsid w:val="00C755B6"/>
    <w:rsid w:val="00C8100D"/>
    <w:rsid w:val="00C91D5B"/>
    <w:rsid w:val="00C94597"/>
    <w:rsid w:val="00CC74A6"/>
    <w:rsid w:val="00CF3748"/>
    <w:rsid w:val="00D042B2"/>
    <w:rsid w:val="00D06433"/>
    <w:rsid w:val="00D10C15"/>
    <w:rsid w:val="00D32BE3"/>
    <w:rsid w:val="00D357FB"/>
    <w:rsid w:val="00D56B11"/>
    <w:rsid w:val="00D60A18"/>
    <w:rsid w:val="00D67333"/>
    <w:rsid w:val="00D67BC6"/>
    <w:rsid w:val="00D80357"/>
    <w:rsid w:val="00D8478A"/>
    <w:rsid w:val="00D92680"/>
    <w:rsid w:val="00DA6448"/>
    <w:rsid w:val="00DE24BA"/>
    <w:rsid w:val="00DE5511"/>
    <w:rsid w:val="00DF7B49"/>
    <w:rsid w:val="00E03344"/>
    <w:rsid w:val="00E1024B"/>
    <w:rsid w:val="00E1490E"/>
    <w:rsid w:val="00E236DB"/>
    <w:rsid w:val="00E65DFD"/>
    <w:rsid w:val="00E66625"/>
    <w:rsid w:val="00E75D26"/>
    <w:rsid w:val="00E90225"/>
    <w:rsid w:val="00E910BB"/>
    <w:rsid w:val="00EA1809"/>
    <w:rsid w:val="00EB1313"/>
    <w:rsid w:val="00ED583E"/>
    <w:rsid w:val="00F079F9"/>
    <w:rsid w:val="00F118A4"/>
    <w:rsid w:val="00F22EA1"/>
    <w:rsid w:val="00F56E02"/>
    <w:rsid w:val="00F603C9"/>
    <w:rsid w:val="00F633CF"/>
    <w:rsid w:val="00F6560A"/>
    <w:rsid w:val="00F67FE8"/>
    <w:rsid w:val="00F71FD6"/>
    <w:rsid w:val="00F739EA"/>
    <w:rsid w:val="00F90AEF"/>
    <w:rsid w:val="00FA5961"/>
    <w:rsid w:val="00FA5D37"/>
    <w:rsid w:val="00FA7374"/>
    <w:rsid w:val="00FB1076"/>
    <w:rsid w:val="00FB2AC4"/>
    <w:rsid w:val="00FD3375"/>
    <w:rsid w:val="00FD6C4F"/>
    <w:rsid w:val="00FE12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D0FD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tabs>
        <w:tab w:val="left" w:pos="-1440"/>
      </w:tabs>
      <w:ind w:left="720" w:hanging="7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s>
      <w:ind w:left="720" w:hanging="720"/>
    </w:pPr>
    <w:rPr>
      <w:b/>
    </w:rPr>
  </w:style>
  <w:style w:type="paragraph" w:styleId="BodyTextIndent3">
    <w:name w:val="Body Text Indent 3"/>
    <w:basedOn w:val="Normal"/>
    <w:pPr>
      <w:ind w:firstLine="720"/>
    </w:pPr>
    <w:rPr>
      <w:b/>
    </w:rPr>
  </w:style>
  <w:style w:type="paragraph" w:styleId="BalloonText">
    <w:name w:val="Balloon Text"/>
    <w:basedOn w:val="Normal"/>
    <w:semiHidden/>
    <w:rsid w:val="00A82022"/>
    <w:rPr>
      <w:rFonts w:ascii="Tahoma" w:hAnsi="Tahoma" w:cs="Tahoma"/>
      <w:sz w:val="16"/>
      <w:szCs w:val="16"/>
    </w:rPr>
  </w:style>
  <w:style w:type="character" w:styleId="CommentReference">
    <w:name w:val="annotation reference"/>
    <w:rsid w:val="00204B86"/>
    <w:rPr>
      <w:sz w:val="16"/>
      <w:szCs w:val="16"/>
    </w:rPr>
  </w:style>
  <w:style w:type="paragraph" w:styleId="CommentText">
    <w:name w:val="annotation text"/>
    <w:basedOn w:val="Normal"/>
    <w:link w:val="CommentTextChar"/>
    <w:uiPriority w:val="99"/>
    <w:rsid w:val="00204B86"/>
    <w:rPr>
      <w:sz w:val="20"/>
    </w:rPr>
  </w:style>
  <w:style w:type="character" w:customStyle="1" w:styleId="CommentTextChar">
    <w:name w:val="Comment Text Char"/>
    <w:link w:val="CommentText"/>
    <w:uiPriority w:val="99"/>
    <w:rsid w:val="00204B86"/>
    <w:rPr>
      <w:snapToGrid w:val="0"/>
    </w:rPr>
  </w:style>
  <w:style w:type="paragraph" w:styleId="CommentSubject">
    <w:name w:val="annotation subject"/>
    <w:basedOn w:val="CommentText"/>
    <w:next w:val="CommentText"/>
    <w:link w:val="CommentSubjectChar"/>
    <w:rsid w:val="00204B86"/>
    <w:rPr>
      <w:b/>
      <w:bCs/>
    </w:rPr>
  </w:style>
  <w:style w:type="character" w:customStyle="1" w:styleId="CommentSubjectChar">
    <w:name w:val="Comment Subject Char"/>
    <w:link w:val="CommentSubject"/>
    <w:rsid w:val="00204B86"/>
    <w:rPr>
      <w:b/>
      <w:bCs/>
      <w:snapToGrid w:val="0"/>
    </w:rPr>
  </w:style>
  <w:style w:type="character" w:customStyle="1" w:styleId="PlainTextChar">
    <w:name w:val="Plain Text Char"/>
    <w:link w:val="PlainText"/>
    <w:uiPriority w:val="99"/>
    <w:rsid w:val="00D56B11"/>
    <w:rPr>
      <w:rFonts w:ascii="Courier New" w:hAnsi="Courier New"/>
    </w:rPr>
  </w:style>
  <w:style w:type="character" w:customStyle="1" w:styleId="UnresolvedMention1">
    <w:name w:val="Unresolved Mention1"/>
    <w:uiPriority w:val="99"/>
    <w:semiHidden/>
    <w:unhideWhenUsed/>
    <w:rsid w:val="00B94D9F"/>
    <w:rPr>
      <w:color w:val="808080"/>
      <w:shd w:val="clear" w:color="auto" w:fill="E6E6E6"/>
    </w:rPr>
  </w:style>
  <w:style w:type="character" w:styleId="Mention">
    <w:name w:val="Mention"/>
    <w:uiPriority w:val="99"/>
    <w:semiHidden/>
    <w:unhideWhenUsed/>
    <w:rsid w:val="00B93733"/>
    <w:rPr>
      <w:color w:val="2B579A"/>
      <w:shd w:val="clear" w:color="auto" w:fill="E6E6E6"/>
    </w:rPr>
  </w:style>
  <w:style w:type="paragraph" w:styleId="ListParagraph">
    <w:name w:val="List Paragraph"/>
    <w:basedOn w:val="Normal"/>
    <w:uiPriority w:val="34"/>
    <w:qFormat/>
    <w:rsid w:val="00D357FB"/>
    <w:pPr>
      <w:ind w:left="720"/>
    </w:pPr>
  </w:style>
  <w:style w:type="character" w:styleId="UnresolvedMention">
    <w:name w:val="Unresolved Mention"/>
    <w:basedOn w:val="DefaultParagraphFont"/>
    <w:uiPriority w:val="99"/>
    <w:semiHidden/>
    <w:unhideWhenUsed/>
    <w:rsid w:val="00533E6F"/>
    <w:rPr>
      <w:color w:val="808080"/>
      <w:shd w:val="clear" w:color="auto" w:fill="E6E6E6"/>
    </w:rPr>
  </w:style>
  <w:style w:type="paragraph" w:styleId="Revision">
    <w:name w:val="Revision"/>
    <w:hidden/>
    <w:uiPriority w:val="99"/>
    <w:semiHidden/>
    <w:rsid w:val="00533E6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2024-10-15T15:08:00Z</dcterms:created>
  <dcterms:modified xsi:type="dcterms:W3CDTF">2024-10-15T15:08:00Z</dcterms:modified>
</cp:coreProperties>
</file>