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CC1" w:rsidP="00BB0949" w14:paraId="31DB3B06" w14:textId="4C0CB051">
      <w:pPr>
        <w:tabs>
          <w:tab w:val="center" w:pos="4680"/>
        </w:tabs>
        <w:jc w:val="center"/>
        <w:rPr>
          <w:b/>
          <w:szCs w:val="24"/>
        </w:rPr>
      </w:pPr>
      <w:r>
        <w:rPr>
          <w:b/>
          <w:szCs w:val="24"/>
        </w:rPr>
        <w:t>Department of Transportation</w:t>
      </w:r>
    </w:p>
    <w:p w:rsidR="00CB6BFA" w:rsidP="00BB0949" w14:paraId="0B268C52" w14:textId="0842BDE4">
      <w:pPr>
        <w:tabs>
          <w:tab w:val="center" w:pos="4680"/>
        </w:tabs>
        <w:jc w:val="center"/>
        <w:rPr>
          <w:b/>
          <w:szCs w:val="24"/>
        </w:rPr>
      </w:pPr>
      <w:r>
        <w:rPr>
          <w:b/>
          <w:szCs w:val="24"/>
        </w:rPr>
        <w:t xml:space="preserve">Maritime Administration </w:t>
      </w:r>
    </w:p>
    <w:p w:rsidR="00CB6BFA" w:rsidP="00BB0949" w14:paraId="7530CD59" w14:textId="38A951F4">
      <w:pPr>
        <w:tabs>
          <w:tab w:val="center" w:pos="4680"/>
        </w:tabs>
        <w:jc w:val="center"/>
        <w:rPr>
          <w:b/>
          <w:szCs w:val="24"/>
        </w:rPr>
      </w:pPr>
      <w:r>
        <w:rPr>
          <w:b/>
          <w:szCs w:val="24"/>
        </w:rPr>
        <w:t xml:space="preserve">Information Collection Request (ICR) </w:t>
      </w:r>
    </w:p>
    <w:p w:rsidR="00CB6BFA" w:rsidP="00BB0949" w14:paraId="603DDE42" w14:textId="3E08D5AF">
      <w:pPr>
        <w:tabs>
          <w:tab w:val="center" w:pos="4680"/>
        </w:tabs>
        <w:jc w:val="center"/>
        <w:rPr>
          <w:b/>
          <w:szCs w:val="24"/>
        </w:rPr>
      </w:pPr>
      <w:r>
        <w:rPr>
          <w:b/>
          <w:szCs w:val="24"/>
        </w:rPr>
        <w:t>2133-0532</w:t>
      </w:r>
    </w:p>
    <w:p w:rsidR="00CB6BFA" w:rsidRPr="00CB6BFA" w:rsidP="00CB6BFA" w14:paraId="6138F0F0" w14:textId="77777777">
      <w:pPr>
        <w:tabs>
          <w:tab w:val="center" w:pos="4680"/>
        </w:tabs>
        <w:jc w:val="center"/>
        <w:rPr>
          <w:b/>
          <w:bCs/>
          <w:szCs w:val="24"/>
        </w:rPr>
      </w:pPr>
      <w:r w:rsidRPr="00F33A75">
        <w:rPr>
          <w:b/>
          <w:bCs/>
        </w:rPr>
        <w:t>Voluntary Intermodal Sealift Agreement (VISA)</w:t>
      </w:r>
    </w:p>
    <w:p w:rsidR="00CB6BFA" w:rsidP="00BB0949" w14:paraId="6C931477" w14:textId="77777777">
      <w:pPr>
        <w:tabs>
          <w:tab w:val="center" w:pos="4680"/>
        </w:tabs>
        <w:jc w:val="center"/>
        <w:rPr>
          <w:b/>
          <w:szCs w:val="24"/>
        </w:rPr>
      </w:pPr>
    </w:p>
    <w:p w:rsidR="00CB6BFA" w:rsidP="00BB0949" w14:paraId="5C293C23" w14:textId="77777777">
      <w:pPr>
        <w:tabs>
          <w:tab w:val="center" w:pos="4680"/>
        </w:tabs>
        <w:jc w:val="center"/>
        <w:rPr>
          <w:b/>
          <w:szCs w:val="24"/>
        </w:rPr>
      </w:pPr>
    </w:p>
    <w:p w:rsidR="00545A59" w:rsidP="00542CC1" w14:paraId="42742F18" w14:textId="77777777">
      <w:pPr>
        <w:tabs>
          <w:tab w:val="center" w:pos="4680"/>
        </w:tabs>
        <w:jc w:val="center"/>
        <w:rPr>
          <w:b/>
          <w:szCs w:val="24"/>
        </w:rPr>
      </w:pPr>
      <w:r w:rsidRPr="00262FC8">
        <w:rPr>
          <w:b/>
          <w:szCs w:val="24"/>
        </w:rPr>
        <w:t>SUPPORTING STATEMENT</w:t>
      </w:r>
    </w:p>
    <w:p w:rsidR="00BB0949" w:rsidP="00BB0949" w14:paraId="65C592B0" w14:textId="77777777">
      <w:pPr>
        <w:tabs>
          <w:tab w:val="center" w:pos="4680"/>
        </w:tabs>
        <w:jc w:val="center"/>
        <w:rPr>
          <w:b/>
          <w:szCs w:val="24"/>
        </w:rPr>
      </w:pPr>
    </w:p>
    <w:p w:rsidR="008B15EA" w:rsidRPr="00F33A75" w:rsidP="00CB6BFA" w14:paraId="67995F0C" w14:textId="77777777">
      <w:pPr>
        <w:autoSpaceDE w:val="0"/>
        <w:autoSpaceDN w:val="0"/>
        <w:adjustRightInd w:val="0"/>
        <w:rPr>
          <w:b/>
          <w:bCs/>
          <w:snapToGrid/>
          <w:szCs w:val="24"/>
        </w:rPr>
      </w:pPr>
      <w:r w:rsidRPr="00F33A75">
        <w:rPr>
          <w:b/>
          <w:bCs/>
          <w:snapToGrid/>
          <w:szCs w:val="24"/>
        </w:rPr>
        <w:t>INTRODUCTION</w:t>
      </w:r>
    </w:p>
    <w:p w:rsidR="008B15EA" w:rsidRPr="008B15EA" w:rsidP="008B15EA" w14:paraId="01E04BE5" w14:textId="77777777">
      <w:pPr>
        <w:autoSpaceDE w:val="0"/>
        <w:autoSpaceDN w:val="0"/>
        <w:adjustRightInd w:val="0"/>
        <w:rPr>
          <w:b/>
          <w:bCs/>
          <w:snapToGrid/>
          <w:szCs w:val="24"/>
        </w:rPr>
      </w:pPr>
    </w:p>
    <w:p w:rsidR="008B15EA" w:rsidRPr="00F33A75" w:rsidP="008B15EA" w14:paraId="14CC3F53" w14:textId="44D968CA">
      <w:pPr>
        <w:autoSpaceDE w:val="0"/>
        <w:autoSpaceDN w:val="0"/>
        <w:adjustRightInd w:val="0"/>
        <w:rPr>
          <w:i/>
          <w:iCs/>
          <w:snapToGrid/>
          <w:szCs w:val="24"/>
        </w:rPr>
      </w:pPr>
      <w:r w:rsidRPr="008B15EA">
        <w:rPr>
          <w:snapToGrid/>
          <w:szCs w:val="24"/>
        </w:rPr>
        <w:t>This</w:t>
      </w:r>
      <w:r w:rsidR="00CB6BFA">
        <w:rPr>
          <w:snapToGrid/>
          <w:szCs w:val="24"/>
        </w:rPr>
        <w:t xml:space="preserve"> submission </w:t>
      </w:r>
      <w:r w:rsidR="00C827C3">
        <w:rPr>
          <w:snapToGrid/>
          <w:szCs w:val="24"/>
        </w:rPr>
        <w:t>requests</w:t>
      </w:r>
      <w:r w:rsidRPr="008B15EA">
        <w:rPr>
          <w:snapToGrid/>
          <w:szCs w:val="24"/>
        </w:rPr>
        <w:t xml:space="preserve"> </w:t>
      </w:r>
      <w:r w:rsidR="001C5CB5">
        <w:rPr>
          <w:snapToGrid/>
          <w:szCs w:val="24"/>
        </w:rPr>
        <w:t xml:space="preserve">a </w:t>
      </w:r>
      <w:r w:rsidR="00CB6BFA">
        <w:rPr>
          <w:snapToGrid/>
          <w:szCs w:val="24"/>
        </w:rPr>
        <w:t>three</w:t>
      </w:r>
      <w:r w:rsidR="001C5CB5">
        <w:rPr>
          <w:snapToGrid/>
          <w:szCs w:val="24"/>
        </w:rPr>
        <w:t xml:space="preserve">-year </w:t>
      </w:r>
      <w:r w:rsidR="00CB6BFA">
        <w:rPr>
          <w:snapToGrid/>
          <w:szCs w:val="24"/>
        </w:rPr>
        <w:t>approval</w:t>
      </w:r>
      <w:r w:rsidR="001C5CB5">
        <w:rPr>
          <w:snapToGrid/>
          <w:szCs w:val="24"/>
        </w:rPr>
        <w:t xml:space="preserve"> from </w:t>
      </w:r>
      <w:r w:rsidRPr="008B15EA">
        <w:rPr>
          <w:snapToGrid/>
          <w:szCs w:val="24"/>
        </w:rPr>
        <w:t>the Office of Management and Budget (OMB) for the information collection entitled</w:t>
      </w:r>
      <w:r w:rsidR="00CB6BFA">
        <w:rPr>
          <w:snapToGrid/>
          <w:szCs w:val="24"/>
        </w:rPr>
        <w:t xml:space="preserve"> </w:t>
      </w:r>
      <w:bookmarkStart w:id="0" w:name="_Hlk45626749"/>
      <w:r w:rsidRPr="00651E30" w:rsidR="00CB6BFA">
        <w:rPr>
          <w:snapToGrid/>
          <w:szCs w:val="24"/>
        </w:rPr>
        <w:t>OMB 2133-0532 (</w:t>
      </w:r>
      <w:r w:rsidRPr="00F33A75" w:rsidR="006057B8">
        <w:t>Voluntary Intermodal Sealift Agreement (VISA)</w:t>
      </w:r>
      <w:bookmarkEnd w:id="0"/>
      <w:r w:rsidR="00F6277E">
        <w:t>)</w:t>
      </w:r>
      <w:r w:rsidRPr="00651E30" w:rsidR="006057B8">
        <w:t>,</w:t>
      </w:r>
      <w:r w:rsidR="006057B8">
        <w:t xml:space="preserve"> </w:t>
      </w:r>
      <w:r w:rsidRPr="008B15EA">
        <w:rPr>
          <w:snapToGrid/>
          <w:szCs w:val="24"/>
        </w:rPr>
        <w:t>which expire</w:t>
      </w:r>
      <w:r w:rsidR="00CB6BFA">
        <w:rPr>
          <w:snapToGrid/>
          <w:szCs w:val="24"/>
        </w:rPr>
        <w:t>s</w:t>
      </w:r>
      <w:r w:rsidRPr="008B15EA">
        <w:rPr>
          <w:snapToGrid/>
          <w:szCs w:val="24"/>
        </w:rPr>
        <w:t xml:space="preserve"> on </w:t>
      </w:r>
      <w:r w:rsidR="001C5CB5">
        <w:rPr>
          <w:snapToGrid/>
          <w:szCs w:val="24"/>
        </w:rPr>
        <w:t>October</w:t>
      </w:r>
      <w:r>
        <w:rPr>
          <w:snapToGrid/>
          <w:szCs w:val="24"/>
        </w:rPr>
        <w:t xml:space="preserve"> 31, </w:t>
      </w:r>
      <w:r w:rsidR="001C5CB5">
        <w:rPr>
          <w:snapToGrid/>
          <w:szCs w:val="24"/>
        </w:rPr>
        <w:t>2024</w:t>
      </w:r>
      <w:r>
        <w:rPr>
          <w:snapToGrid/>
          <w:szCs w:val="24"/>
        </w:rPr>
        <w:t>.  There</w:t>
      </w:r>
      <w:r w:rsidR="00CB6BFA">
        <w:rPr>
          <w:snapToGrid/>
          <w:szCs w:val="24"/>
        </w:rPr>
        <w:t xml:space="preserve"> are programmatic changes to the form associated with this collection, which will be submitted as </w:t>
      </w:r>
      <w:r w:rsidRPr="00F33A75" w:rsidR="00CB6BFA">
        <w:rPr>
          <w:i/>
          <w:iCs/>
          <w:snapToGrid/>
          <w:szCs w:val="24"/>
        </w:rPr>
        <w:t xml:space="preserve">a revision of a currently approved collection. </w:t>
      </w:r>
    </w:p>
    <w:p w:rsidR="00545A59" w:rsidRPr="00262FC8" w:rsidP="008B15EA" w14:paraId="7AA6104B" w14:textId="77777777">
      <w:pPr>
        <w:tabs>
          <w:tab w:val="center" w:pos="4680"/>
        </w:tabs>
        <w:rPr>
          <w:b/>
          <w:szCs w:val="24"/>
        </w:rPr>
      </w:pPr>
      <w:r w:rsidRPr="00262FC8">
        <w:rPr>
          <w:b/>
          <w:szCs w:val="24"/>
        </w:rPr>
        <w:tab/>
      </w:r>
    </w:p>
    <w:p w:rsidR="00545A59" w:rsidRPr="00F33A75" w:rsidP="00F33A75" w14:paraId="4FCC067B" w14:textId="5C353982">
      <w:pPr>
        <w:pStyle w:val="ListParagraph"/>
        <w:numPr>
          <w:ilvl w:val="0"/>
          <w:numId w:val="14"/>
        </w:numPr>
        <w:tabs>
          <w:tab w:val="left" w:pos="-1440"/>
        </w:tabs>
        <w:rPr>
          <w:b/>
          <w:szCs w:val="24"/>
        </w:rPr>
      </w:pPr>
      <w:r w:rsidRPr="00CB6BFA">
        <w:rPr>
          <w:b/>
          <w:szCs w:val="24"/>
        </w:rPr>
        <w:t xml:space="preserve">JUSTIFICATION </w:t>
      </w:r>
    </w:p>
    <w:p w:rsidR="00545A59" w:rsidRPr="00262FC8" w14:paraId="612172A0" w14:textId="77777777">
      <w:pPr>
        <w:rPr>
          <w:szCs w:val="24"/>
        </w:rPr>
      </w:pPr>
    </w:p>
    <w:p w:rsidR="00545A59" w:rsidRPr="00F33A75" w:rsidP="00F33A75" w14:paraId="5B374B13" w14:textId="636E4C3B">
      <w:pPr>
        <w:pStyle w:val="ListParagraph"/>
        <w:numPr>
          <w:ilvl w:val="0"/>
          <w:numId w:val="15"/>
        </w:numPr>
        <w:tabs>
          <w:tab w:val="left" w:pos="-1440"/>
        </w:tabs>
        <w:rPr>
          <w:b/>
          <w:szCs w:val="24"/>
        </w:rPr>
      </w:pPr>
      <w:r w:rsidRPr="00F33A75">
        <w:rPr>
          <w:b/>
          <w:szCs w:val="24"/>
        </w:rPr>
        <w:t>C</w:t>
      </w:r>
      <w:r w:rsidRPr="00F33A75">
        <w:rPr>
          <w:b/>
          <w:szCs w:val="24"/>
        </w:rPr>
        <w:t xml:space="preserve">ircumstances </w:t>
      </w:r>
      <w:r w:rsidRPr="00F33A75">
        <w:rPr>
          <w:b/>
          <w:szCs w:val="24"/>
        </w:rPr>
        <w:t xml:space="preserve">Making </w:t>
      </w:r>
      <w:r w:rsidRPr="00F33A75">
        <w:rPr>
          <w:b/>
          <w:szCs w:val="24"/>
        </w:rPr>
        <w:t xml:space="preserve">the </w:t>
      </w:r>
      <w:r w:rsidRPr="00F33A75">
        <w:rPr>
          <w:b/>
          <w:szCs w:val="24"/>
        </w:rPr>
        <w:t>C</w:t>
      </w:r>
      <w:r w:rsidRPr="00F33A75">
        <w:rPr>
          <w:b/>
          <w:szCs w:val="24"/>
        </w:rPr>
        <w:t xml:space="preserve">ollection of </w:t>
      </w:r>
      <w:r w:rsidRPr="00F33A75">
        <w:rPr>
          <w:b/>
          <w:szCs w:val="24"/>
        </w:rPr>
        <w:t>Information Necessary</w:t>
      </w:r>
      <w:r w:rsidRPr="00F33A75">
        <w:rPr>
          <w:b/>
          <w:szCs w:val="24"/>
        </w:rPr>
        <w:t xml:space="preserve"> </w:t>
      </w:r>
    </w:p>
    <w:p w:rsidR="00545A59" w:rsidRPr="00262FC8" w14:paraId="2D5EF1AD" w14:textId="77777777">
      <w:pPr>
        <w:tabs>
          <w:tab w:val="left" w:pos="-1440"/>
        </w:tabs>
        <w:rPr>
          <w:b/>
          <w:szCs w:val="24"/>
        </w:rPr>
      </w:pPr>
    </w:p>
    <w:p w:rsidR="00545A59" w:rsidRPr="00262FC8" w:rsidP="00F33A75" w14:paraId="2E6A3CE9" w14:textId="6D29818D">
      <w:pPr>
        <w:tabs>
          <w:tab w:val="left" w:pos="-1440"/>
        </w:tabs>
        <w:ind w:left="720"/>
        <w:rPr>
          <w:szCs w:val="24"/>
        </w:rPr>
      </w:pPr>
      <w:r w:rsidRPr="00262FC8">
        <w:rPr>
          <w:szCs w:val="24"/>
        </w:rPr>
        <w:t>The Voluntary Intermodal Sealift Agreement (VISA) is a voluntary agreement</w:t>
      </w:r>
      <w:r w:rsidR="001C5CB5">
        <w:rPr>
          <w:szCs w:val="24"/>
        </w:rPr>
        <w:t xml:space="preserve"> and plan of action established under </w:t>
      </w:r>
      <w:r w:rsidR="00CB6BFA">
        <w:rPr>
          <w:szCs w:val="24"/>
        </w:rPr>
        <w:t>S</w:t>
      </w:r>
      <w:r w:rsidRPr="00262FC8" w:rsidR="00CB6BFA">
        <w:rPr>
          <w:szCs w:val="24"/>
        </w:rPr>
        <w:t>ection</w:t>
      </w:r>
      <w:r w:rsidR="00CB6BFA">
        <w:rPr>
          <w:szCs w:val="24"/>
        </w:rPr>
        <w:t xml:space="preserve"> </w:t>
      </w:r>
      <w:r w:rsidRPr="00262FC8">
        <w:rPr>
          <w:szCs w:val="24"/>
        </w:rPr>
        <w:t>708</w:t>
      </w:r>
      <w:r w:rsidR="001C5CB5">
        <w:rPr>
          <w:szCs w:val="24"/>
        </w:rPr>
        <w:t xml:space="preserve"> of the</w:t>
      </w:r>
      <w:r w:rsidRPr="00262FC8">
        <w:rPr>
          <w:szCs w:val="24"/>
        </w:rPr>
        <w:t xml:space="preserve"> Defense Production Act, 1950, as amended</w:t>
      </w:r>
      <w:r w:rsidR="001C5CB5">
        <w:rPr>
          <w:szCs w:val="24"/>
        </w:rPr>
        <w:t xml:space="preserve"> (50 </w:t>
      </w:r>
      <w:r w:rsidR="00CB6BFA">
        <w:rPr>
          <w:szCs w:val="24"/>
        </w:rPr>
        <w:t>United States Code (</w:t>
      </w:r>
      <w:r w:rsidR="001C5CB5">
        <w:rPr>
          <w:szCs w:val="24"/>
        </w:rPr>
        <w:t>U.S.C.</w:t>
      </w:r>
      <w:r w:rsidR="00A92DDC">
        <w:rPr>
          <w:szCs w:val="24"/>
        </w:rPr>
        <w:t>)</w:t>
      </w:r>
      <w:r w:rsidR="001C5CB5">
        <w:rPr>
          <w:szCs w:val="24"/>
        </w:rPr>
        <w:t xml:space="preserve"> § 4558) (DPA</w:t>
      </w:r>
      <w:r w:rsidR="00F64E5E">
        <w:rPr>
          <w:szCs w:val="24"/>
        </w:rPr>
        <w:t xml:space="preserve"> Section 708</w:t>
      </w:r>
      <w:r w:rsidR="001C5CB5">
        <w:rPr>
          <w:szCs w:val="24"/>
        </w:rPr>
        <w:t>)</w:t>
      </w:r>
      <w:r w:rsidR="009712EF">
        <w:rPr>
          <w:szCs w:val="24"/>
        </w:rPr>
        <w:t>)</w:t>
      </w:r>
      <w:r w:rsidRPr="00262FC8">
        <w:rPr>
          <w:szCs w:val="24"/>
        </w:rPr>
        <w:t xml:space="preserve">, under which participants agree to provide commercial sealift capacity and </w:t>
      </w:r>
      <w:r w:rsidR="001C5CB5">
        <w:rPr>
          <w:szCs w:val="24"/>
        </w:rPr>
        <w:t xml:space="preserve">shoreside </w:t>
      </w:r>
      <w:r w:rsidRPr="00262FC8">
        <w:rPr>
          <w:szCs w:val="24"/>
        </w:rPr>
        <w:t>intermodal shipping services and systems</w:t>
      </w:r>
      <w:r w:rsidR="001C5CB5">
        <w:rPr>
          <w:szCs w:val="24"/>
        </w:rPr>
        <w:t xml:space="preserve"> as </w:t>
      </w:r>
      <w:r w:rsidRPr="00262FC8">
        <w:rPr>
          <w:szCs w:val="24"/>
        </w:rPr>
        <w:t>necessary</w:t>
      </w:r>
      <w:r w:rsidR="00CB6BFA">
        <w:rPr>
          <w:szCs w:val="24"/>
        </w:rPr>
        <w:t>,</w:t>
      </w:r>
      <w:r w:rsidRPr="00262FC8">
        <w:rPr>
          <w:szCs w:val="24"/>
        </w:rPr>
        <w:t xml:space="preserve"> to meet national defense requirements.  </w:t>
      </w:r>
      <w:r w:rsidR="00CB6BFA">
        <w:rPr>
          <w:szCs w:val="24"/>
        </w:rPr>
        <w:t>Specifically, i</w:t>
      </w:r>
      <w:r w:rsidRPr="00262FC8">
        <w:rPr>
          <w:szCs w:val="24"/>
        </w:rPr>
        <w:t>n order to meet national defense requirements, the Government must assure the continued availability of commercial sealift resources.</w:t>
      </w:r>
      <w:r w:rsidR="005D0B32">
        <w:rPr>
          <w:szCs w:val="24"/>
        </w:rPr>
        <w:t xml:space="preserve">  VISA is also the designated emergency preparedness program for the Maritime Security Program (MSP) in accordance with 46 U.S.C. § 53107.</w:t>
      </w:r>
    </w:p>
    <w:p w:rsidR="00545A59" w:rsidRPr="00262FC8" w:rsidP="00F33A75" w14:paraId="3CAF7FED" w14:textId="77777777">
      <w:pPr>
        <w:tabs>
          <w:tab w:val="left" w:pos="-1440"/>
        </w:tabs>
        <w:ind w:left="720"/>
        <w:rPr>
          <w:szCs w:val="24"/>
        </w:rPr>
      </w:pPr>
    </w:p>
    <w:p w:rsidR="00A337DB" w:rsidRPr="00A337DB" w:rsidP="00F33A75" w14:paraId="33CB734D" w14:textId="089CAE1E">
      <w:pPr>
        <w:pStyle w:val="PlainText"/>
        <w:ind w:left="720"/>
        <w:rPr>
          <w:rFonts w:ascii="Times New Roman" w:hAnsi="Times New Roman"/>
          <w:sz w:val="24"/>
          <w:szCs w:val="24"/>
        </w:rPr>
      </w:pPr>
      <w:r w:rsidRPr="00A337DB">
        <w:rPr>
          <w:rFonts w:ascii="Times New Roman" w:hAnsi="Times New Roman"/>
          <w:sz w:val="24"/>
          <w:szCs w:val="24"/>
        </w:rPr>
        <w:t>The Maritime Administrator recertif</w:t>
      </w:r>
      <w:r w:rsidR="001C5CB5">
        <w:rPr>
          <w:rFonts w:ascii="Times New Roman" w:hAnsi="Times New Roman"/>
          <w:sz w:val="24"/>
          <w:szCs w:val="24"/>
        </w:rPr>
        <w:t>ies</w:t>
      </w:r>
      <w:r w:rsidRPr="00A337DB">
        <w:rPr>
          <w:rFonts w:ascii="Times New Roman" w:hAnsi="Times New Roman"/>
          <w:sz w:val="24"/>
          <w:szCs w:val="24"/>
        </w:rPr>
        <w:t xml:space="preserve"> the need for the agreement every </w:t>
      </w:r>
      <w:r w:rsidR="00B037FA">
        <w:rPr>
          <w:rFonts w:ascii="Times New Roman" w:hAnsi="Times New Roman"/>
          <w:sz w:val="24"/>
          <w:szCs w:val="24"/>
        </w:rPr>
        <w:t xml:space="preserve">five </w:t>
      </w:r>
      <w:r w:rsidRPr="00A337DB">
        <w:rPr>
          <w:rFonts w:ascii="Times New Roman" w:hAnsi="Times New Roman"/>
          <w:sz w:val="24"/>
          <w:szCs w:val="24"/>
        </w:rPr>
        <w:t>years</w:t>
      </w:r>
      <w:r w:rsidR="001C5CB5">
        <w:rPr>
          <w:rFonts w:ascii="Times New Roman" w:hAnsi="Times New Roman"/>
          <w:sz w:val="24"/>
          <w:szCs w:val="24"/>
        </w:rPr>
        <w:t>, with the concurrence of the Attorney General (whose authority has been delegated to the Assistant Attorney General for the Antitrust Division by regulation</w:t>
      </w:r>
      <w:r w:rsidR="00315D01">
        <w:rPr>
          <w:rFonts w:ascii="Times New Roman" w:hAnsi="Times New Roman"/>
          <w:sz w:val="24"/>
          <w:szCs w:val="24"/>
        </w:rPr>
        <w:t xml:space="preserve"> at 28 </w:t>
      </w:r>
      <w:r w:rsidR="003806B5">
        <w:rPr>
          <w:rFonts w:ascii="Times New Roman" w:hAnsi="Times New Roman"/>
          <w:sz w:val="24"/>
          <w:szCs w:val="24"/>
        </w:rPr>
        <w:t>Code of Federal Regulations (</w:t>
      </w:r>
      <w:r w:rsidR="00315D01">
        <w:rPr>
          <w:rFonts w:ascii="Times New Roman" w:hAnsi="Times New Roman"/>
          <w:sz w:val="24"/>
          <w:szCs w:val="24"/>
        </w:rPr>
        <w:t>C.F.R.</w:t>
      </w:r>
      <w:r w:rsidR="003806B5">
        <w:rPr>
          <w:rFonts w:ascii="Times New Roman" w:hAnsi="Times New Roman"/>
          <w:sz w:val="24"/>
          <w:szCs w:val="24"/>
        </w:rPr>
        <w:t>)</w:t>
      </w:r>
      <w:r w:rsidR="00315D01">
        <w:rPr>
          <w:rFonts w:ascii="Times New Roman" w:hAnsi="Times New Roman"/>
          <w:sz w:val="24"/>
          <w:szCs w:val="24"/>
        </w:rPr>
        <w:t xml:space="preserve"> § 0.40(l)</w:t>
      </w:r>
      <w:r w:rsidR="001C5CB5">
        <w:rPr>
          <w:rFonts w:ascii="Times New Roman" w:hAnsi="Times New Roman"/>
          <w:sz w:val="24"/>
          <w:szCs w:val="24"/>
        </w:rPr>
        <w:t>) and the Chair of the Federal Trade Commission</w:t>
      </w:r>
      <w:r w:rsidRPr="00A337DB">
        <w:rPr>
          <w:rFonts w:ascii="Times New Roman" w:hAnsi="Times New Roman"/>
          <w:sz w:val="24"/>
          <w:szCs w:val="24"/>
        </w:rPr>
        <w:t xml:space="preserve">. </w:t>
      </w:r>
      <w:r w:rsidRPr="00A337DB">
        <w:rPr>
          <w:rFonts w:ascii="Times New Roman" w:hAnsi="Times New Roman"/>
          <w:sz w:val="24"/>
          <w:szCs w:val="24"/>
        </w:rPr>
        <w:t xml:space="preserve"> </w:t>
      </w:r>
      <w:r w:rsidR="001C5CB5">
        <w:rPr>
          <w:rFonts w:ascii="Times New Roman" w:hAnsi="Times New Roman"/>
          <w:sz w:val="24"/>
          <w:szCs w:val="24"/>
        </w:rPr>
        <w:t xml:space="preserve">DPA </w:t>
      </w:r>
      <w:r w:rsidR="00F64E5E">
        <w:rPr>
          <w:rFonts w:ascii="Times New Roman" w:hAnsi="Times New Roman"/>
          <w:sz w:val="24"/>
          <w:szCs w:val="24"/>
        </w:rPr>
        <w:t xml:space="preserve">Section </w:t>
      </w:r>
      <w:r w:rsidRPr="00A337DB">
        <w:rPr>
          <w:rFonts w:ascii="Times New Roman" w:hAnsi="Times New Roman"/>
          <w:sz w:val="24"/>
          <w:szCs w:val="24"/>
        </w:rPr>
        <w:t>708, as implemented by regulations of the Federal Emergency Management Agency (44 C</w:t>
      </w:r>
      <w:r w:rsidR="001C5CB5">
        <w:rPr>
          <w:rFonts w:ascii="Times New Roman" w:hAnsi="Times New Roman"/>
          <w:sz w:val="24"/>
          <w:szCs w:val="24"/>
        </w:rPr>
        <w:t>.</w:t>
      </w:r>
      <w:r w:rsidRPr="00A337DB">
        <w:rPr>
          <w:rFonts w:ascii="Times New Roman" w:hAnsi="Times New Roman"/>
          <w:sz w:val="24"/>
          <w:szCs w:val="24"/>
        </w:rPr>
        <w:t>F</w:t>
      </w:r>
      <w:r w:rsidR="001C5CB5">
        <w:rPr>
          <w:rFonts w:ascii="Times New Roman" w:hAnsi="Times New Roman"/>
          <w:sz w:val="24"/>
          <w:szCs w:val="24"/>
        </w:rPr>
        <w:t>.</w:t>
      </w:r>
      <w:r w:rsidRPr="00A337DB">
        <w:rPr>
          <w:rFonts w:ascii="Times New Roman" w:hAnsi="Times New Roman"/>
          <w:sz w:val="24"/>
          <w:szCs w:val="24"/>
        </w:rPr>
        <w:t>R</w:t>
      </w:r>
      <w:r w:rsidR="001C5CB5">
        <w:rPr>
          <w:rFonts w:ascii="Times New Roman" w:hAnsi="Times New Roman"/>
          <w:sz w:val="24"/>
          <w:szCs w:val="24"/>
        </w:rPr>
        <w:t>.</w:t>
      </w:r>
      <w:r w:rsidRPr="00A337DB">
        <w:rPr>
          <w:rFonts w:ascii="Times New Roman" w:hAnsi="Times New Roman"/>
          <w:sz w:val="24"/>
          <w:szCs w:val="24"/>
        </w:rPr>
        <w:t xml:space="preserve"> Part 332), authorizes the President, upon </w:t>
      </w:r>
      <w:r w:rsidR="00A36B89">
        <w:rPr>
          <w:rFonts w:ascii="Times New Roman" w:hAnsi="Times New Roman"/>
          <w:sz w:val="24"/>
          <w:szCs w:val="24"/>
        </w:rPr>
        <w:t>identifying conditions that</w:t>
      </w:r>
      <w:r w:rsidRPr="00A337DB">
        <w:rPr>
          <w:rFonts w:ascii="Times New Roman" w:hAnsi="Times New Roman"/>
          <w:sz w:val="24"/>
          <w:szCs w:val="24"/>
        </w:rPr>
        <w:t xml:space="preserve"> may pose a direct threat to the national defense or its preparedness programs</w:t>
      </w:r>
      <w:r w:rsidR="00A36B89">
        <w:rPr>
          <w:rFonts w:ascii="Times New Roman" w:hAnsi="Times New Roman"/>
          <w:sz w:val="24"/>
          <w:szCs w:val="24"/>
        </w:rPr>
        <w:t>,</w:t>
      </w:r>
      <w:r w:rsidRPr="00A337DB">
        <w:rPr>
          <w:rFonts w:ascii="Times New Roman" w:hAnsi="Times New Roman"/>
          <w:sz w:val="24"/>
          <w:szCs w:val="24"/>
        </w:rPr>
        <w:t xml:space="preserve"> to consult with representatives of industry, business, financing, agriculture, labor, or other interests</w:t>
      </w:r>
      <w:r w:rsidR="00A36B89">
        <w:rPr>
          <w:rFonts w:ascii="Times New Roman" w:hAnsi="Times New Roman"/>
          <w:sz w:val="24"/>
          <w:szCs w:val="24"/>
        </w:rPr>
        <w:t>,</w:t>
      </w:r>
      <w:r w:rsidRPr="00A337DB">
        <w:rPr>
          <w:rFonts w:ascii="Times New Roman" w:hAnsi="Times New Roman"/>
          <w:sz w:val="24"/>
          <w:szCs w:val="24"/>
        </w:rPr>
        <w:t xml:space="preserve"> </w:t>
      </w:r>
      <w:r w:rsidR="00A36B89">
        <w:rPr>
          <w:rFonts w:ascii="Times New Roman" w:hAnsi="Times New Roman"/>
          <w:sz w:val="24"/>
          <w:szCs w:val="24"/>
        </w:rPr>
        <w:t>when</w:t>
      </w:r>
      <w:r w:rsidRPr="00A337DB">
        <w:rPr>
          <w:rFonts w:ascii="Times New Roman" w:hAnsi="Times New Roman"/>
          <w:sz w:val="24"/>
          <w:szCs w:val="24"/>
        </w:rPr>
        <w:t xml:space="preserve"> </w:t>
      </w:r>
      <w:r w:rsidR="00A36B89">
        <w:rPr>
          <w:rFonts w:ascii="Times New Roman" w:hAnsi="Times New Roman"/>
          <w:sz w:val="24"/>
          <w:szCs w:val="24"/>
        </w:rPr>
        <w:t xml:space="preserve">making </w:t>
      </w:r>
      <w:r w:rsidRPr="00A337DB">
        <w:rPr>
          <w:rFonts w:ascii="Times New Roman" w:hAnsi="Times New Roman"/>
          <w:sz w:val="24"/>
          <w:szCs w:val="24"/>
        </w:rPr>
        <w:t>voluntary agreements</w:t>
      </w:r>
      <w:r w:rsidR="00A36B89">
        <w:t xml:space="preserve"> </w:t>
      </w:r>
      <w:r w:rsidRPr="00A36B89" w:rsidR="00A36B89">
        <w:rPr>
          <w:rFonts w:ascii="Times New Roman" w:hAnsi="Times New Roman"/>
          <w:sz w:val="24"/>
          <w:szCs w:val="24"/>
        </w:rPr>
        <w:t>and plans of action for preparedness programs and expansion of production capacity and supply</w:t>
      </w:r>
      <w:r w:rsidRPr="00A337DB">
        <w:rPr>
          <w:rFonts w:ascii="Times New Roman" w:hAnsi="Times New Roman"/>
          <w:sz w:val="24"/>
          <w:szCs w:val="24"/>
        </w:rPr>
        <w:t xml:space="preserve">. </w:t>
      </w:r>
      <w:r w:rsidR="00A36B89">
        <w:rPr>
          <w:rFonts w:ascii="Times New Roman" w:hAnsi="Times New Roman"/>
          <w:sz w:val="24"/>
          <w:szCs w:val="24"/>
        </w:rPr>
        <w:t>DPA</w:t>
      </w:r>
      <w:r w:rsidRPr="00A337DB">
        <w:rPr>
          <w:rFonts w:ascii="Times New Roman" w:hAnsi="Times New Roman"/>
          <w:sz w:val="24"/>
          <w:szCs w:val="24"/>
        </w:rPr>
        <w:t xml:space="preserve"> </w:t>
      </w:r>
      <w:r w:rsidR="00F64E5E">
        <w:rPr>
          <w:rFonts w:ascii="Times New Roman" w:hAnsi="Times New Roman"/>
          <w:sz w:val="24"/>
          <w:szCs w:val="24"/>
        </w:rPr>
        <w:t xml:space="preserve">Section 708 </w:t>
      </w:r>
      <w:r w:rsidRPr="00A337DB">
        <w:rPr>
          <w:rFonts w:ascii="Times New Roman" w:hAnsi="Times New Roman"/>
          <w:sz w:val="24"/>
          <w:szCs w:val="24"/>
        </w:rPr>
        <w:t>further authorizes the President to delegate that authority to individuals who are appointed with the advice and consent of the Senate, upon the condition that such individuals obtain the prior approval of the Attorney General after the Attorney General's consultation with the Federal Trade Commission.</w:t>
      </w:r>
      <w:r>
        <w:rPr>
          <w:rFonts w:ascii="Times New Roman" w:hAnsi="Times New Roman"/>
          <w:sz w:val="24"/>
          <w:szCs w:val="24"/>
        </w:rPr>
        <w:t xml:space="preserve">  </w:t>
      </w:r>
      <w:r w:rsidR="001C5CB5">
        <w:rPr>
          <w:rFonts w:ascii="Times New Roman" w:hAnsi="Times New Roman"/>
          <w:sz w:val="24"/>
          <w:szCs w:val="24"/>
        </w:rPr>
        <w:t>Executive Order 13603 (Mar. 6, 2012) delegates the sponsorship authority for any DPA Section 708 agreement to any Senate-confirmed official whose mandate cover the subject of a Section 708 agreement</w:t>
      </w:r>
      <w:r w:rsidRPr="00A337DB">
        <w:rPr>
          <w:rFonts w:ascii="Times New Roman" w:hAnsi="Times New Roman"/>
          <w:sz w:val="24"/>
          <w:szCs w:val="24"/>
        </w:rPr>
        <w:t xml:space="preserve">. </w:t>
      </w:r>
      <w:r>
        <w:rPr>
          <w:rFonts w:ascii="Times New Roman" w:hAnsi="Times New Roman"/>
          <w:sz w:val="24"/>
          <w:szCs w:val="24"/>
        </w:rPr>
        <w:t xml:space="preserve"> </w:t>
      </w:r>
      <w:r w:rsidR="001C5CB5">
        <w:rPr>
          <w:rFonts w:ascii="Times New Roman" w:hAnsi="Times New Roman"/>
          <w:sz w:val="24"/>
          <w:szCs w:val="24"/>
        </w:rPr>
        <w:t>Under 49 C.F.R. § 1.93(l)</w:t>
      </w:r>
      <w:r w:rsidRPr="00A337DB">
        <w:rPr>
          <w:rFonts w:ascii="Times New Roman" w:hAnsi="Times New Roman"/>
          <w:sz w:val="24"/>
          <w:szCs w:val="24"/>
        </w:rPr>
        <w:t xml:space="preserve">, </w:t>
      </w:r>
      <w:r w:rsidRPr="001C5CB5" w:rsidR="001C5CB5">
        <w:rPr>
          <w:rFonts w:ascii="Times New Roman" w:hAnsi="Times New Roman"/>
          <w:sz w:val="24"/>
          <w:szCs w:val="24"/>
        </w:rPr>
        <w:t xml:space="preserve">the Secretary of </w:t>
      </w:r>
      <w:r w:rsidRPr="001C5CB5" w:rsidR="001C5CB5">
        <w:rPr>
          <w:rFonts w:ascii="Times New Roman" w:hAnsi="Times New Roman"/>
          <w:sz w:val="24"/>
          <w:szCs w:val="24"/>
        </w:rPr>
        <w:t xml:space="preserve">Transportation specifically delegated his authority to implement </w:t>
      </w:r>
      <w:r w:rsidR="00F64E5E">
        <w:rPr>
          <w:rFonts w:ascii="Times New Roman" w:hAnsi="Times New Roman"/>
          <w:sz w:val="24"/>
          <w:szCs w:val="24"/>
        </w:rPr>
        <w:t xml:space="preserve">DPA </w:t>
      </w:r>
      <w:r w:rsidRPr="001C5CB5" w:rsidR="001C5CB5">
        <w:rPr>
          <w:rFonts w:ascii="Times New Roman" w:hAnsi="Times New Roman"/>
          <w:sz w:val="24"/>
          <w:szCs w:val="24"/>
        </w:rPr>
        <w:t xml:space="preserve">Section 708 agreements covering </w:t>
      </w:r>
      <w:r w:rsidR="00A36B89">
        <w:rPr>
          <w:rFonts w:ascii="Times New Roman" w:hAnsi="Times New Roman"/>
          <w:sz w:val="24"/>
          <w:szCs w:val="24"/>
        </w:rPr>
        <w:t>maritime</w:t>
      </w:r>
      <w:r w:rsidRPr="001C5CB5" w:rsidR="00A36B89">
        <w:rPr>
          <w:rFonts w:ascii="Times New Roman" w:hAnsi="Times New Roman"/>
          <w:sz w:val="24"/>
          <w:szCs w:val="24"/>
        </w:rPr>
        <w:t xml:space="preserve"> </w:t>
      </w:r>
      <w:r w:rsidRPr="001C5CB5" w:rsidR="001C5CB5">
        <w:rPr>
          <w:rFonts w:ascii="Times New Roman" w:hAnsi="Times New Roman"/>
          <w:sz w:val="24"/>
          <w:szCs w:val="24"/>
        </w:rPr>
        <w:t>transportation</w:t>
      </w:r>
      <w:r w:rsidR="00A36B89">
        <w:rPr>
          <w:rFonts w:ascii="Times New Roman" w:hAnsi="Times New Roman"/>
          <w:sz w:val="24"/>
          <w:szCs w:val="24"/>
        </w:rPr>
        <w:t xml:space="preserve"> and to sponsor VISA</w:t>
      </w:r>
      <w:r w:rsidRPr="001C5CB5" w:rsidR="001C5CB5">
        <w:rPr>
          <w:rFonts w:ascii="Times New Roman" w:hAnsi="Times New Roman"/>
          <w:sz w:val="24"/>
          <w:szCs w:val="24"/>
        </w:rPr>
        <w:t xml:space="preserve"> to the Maritime Administrator</w:t>
      </w:r>
      <w:r w:rsidRPr="00A337DB">
        <w:rPr>
          <w:rFonts w:ascii="Times New Roman" w:hAnsi="Times New Roman"/>
          <w:sz w:val="24"/>
          <w:szCs w:val="24"/>
        </w:rPr>
        <w:t>.</w:t>
      </w:r>
      <w:r>
        <w:rPr>
          <w:rFonts w:ascii="Times New Roman" w:hAnsi="Times New Roman"/>
          <w:sz w:val="24"/>
          <w:szCs w:val="24"/>
        </w:rPr>
        <w:t xml:space="preserve">  T</w:t>
      </w:r>
      <w:r w:rsidRPr="00A337DB">
        <w:rPr>
          <w:rFonts w:ascii="Times New Roman" w:hAnsi="Times New Roman"/>
          <w:sz w:val="24"/>
          <w:szCs w:val="24"/>
        </w:rPr>
        <w:t xml:space="preserve">hrough advance arrangements in joint planning, participants in VISA will provide capacity to support a significant portion of surge and sustainment requirements in the deployment of U.S. military forces during </w:t>
      </w:r>
      <w:r w:rsidR="00744759">
        <w:rPr>
          <w:rFonts w:ascii="Times New Roman" w:hAnsi="Times New Roman"/>
          <w:sz w:val="24"/>
          <w:szCs w:val="24"/>
        </w:rPr>
        <w:t>armed conflicts</w:t>
      </w:r>
      <w:r w:rsidRPr="00A337DB">
        <w:rPr>
          <w:rFonts w:ascii="Times New Roman" w:hAnsi="Times New Roman"/>
          <w:sz w:val="24"/>
          <w:szCs w:val="24"/>
        </w:rPr>
        <w:t xml:space="preserve"> or other national emergenc</w:t>
      </w:r>
      <w:r w:rsidR="00744759">
        <w:rPr>
          <w:rFonts w:ascii="Times New Roman" w:hAnsi="Times New Roman"/>
          <w:sz w:val="24"/>
          <w:szCs w:val="24"/>
        </w:rPr>
        <w:t>ies</w:t>
      </w:r>
      <w:r w:rsidRPr="00A337DB">
        <w:rPr>
          <w:rFonts w:ascii="Times New Roman" w:hAnsi="Times New Roman"/>
          <w:sz w:val="24"/>
          <w:szCs w:val="24"/>
        </w:rPr>
        <w:t>.</w:t>
      </w:r>
    </w:p>
    <w:p w:rsidR="00545A59" w:rsidRPr="00262FC8" w:rsidP="00F33A75" w14:paraId="1F132066" w14:textId="77777777">
      <w:pPr>
        <w:tabs>
          <w:tab w:val="left" w:pos="-1440"/>
        </w:tabs>
        <w:ind w:left="720"/>
        <w:rPr>
          <w:szCs w:val="24"/>
        </w:rPr>
      </w:pPr>
    </w:p>
    <w:p w:rsidR="00545A59" w:rsidRPr="00262FC8" w:rsidP="00F33A75" w14:paraId="03713B63" w14:textId="288717C7">
      <w:pPr>
        <w:tabs>
          <w:tab w:val="left" w:pos="-1440"/>
        </w:tabs>
        <w:ind w:left="720"/>
        <w:rPr>
          <w:szCs w:val="24"/>
        </w:rPr>
      </w:pPr>
      <w:r w:rsidRPr="00262FC8">
        <w:rPr>
          <w:szCs w:val="24"/>
        </w:rPr>
        <w:t xml:space="preserve">The information </w:t>
      </w:r>
      <w:r w:rsidR="00651E30">
        <w:rPr>
          <w:szCs w:val="24"/>
        </w:rPr>
        <w:t>collected</w:t>
      </w:r>
      <w:r w:rsidRPr="00262FC8">
        <w:rPr>
          <w:szCs w:val="24"/>
        </w:rPr>
        <w:t xml:space="preserve"> </w:t>
      </w:r>
      <w:r w:rsidR="00651E30">
        <w:rPr>
          <w:szCs w:val="24"/>
        </w:rPr>
        <w:t xml:space="preserve">on the form associated with </w:t>
      </w:r>
      <w:r w:rsidRPr="00651E30" w:rsidR="00651E30">
        <w:rPr>
          <w:szCs w:val="24"/>
        </w:rPr>
        <w:t xml:space="preserve">OMB 2133-0532 </w:t>
      </w:r>
      <w:bookmarkStart w:id="1" w:name="_Hlk172806592"/>
      <w:r w:rsidRPr="00651E30" w:rsidR="00651E30">
        <w:rPr>
          <w:szCs w:val="24"/>
        </w:rPr>
        <w:t>(Voluntary Intermodal Sealift Agreement (VISA)</w:t>
      </w:r>
      <w:bookmarkEnd w:id="1"/>
      <w:r w:rsidR="00651E30">
        <w:rPr>
          <w:szCs w:val="24"/>
        </w:rPr>
        <w:t xml:space="preserve">, </w:t>
      </w:r>
      <w:r w:rsidRPr="00262FC8">
        <w:rPr>
          <w:szCs w:val="24"/>
        </w:rPr>
        <w:t xml:space="preserve">is </w:t>
      </w:r>
      <w:r w:rsidR="00651E30">
        <w:rPr>
          <w:szCs w:val="24"/>
        </w:rPr>
        <w:t>used</w:t>
      </w:r>
      <w:r w:rsidRPr="00262FC8">
        <w:rPr>
          <w:szCs w:val="24"/>
        </w:rPr>
        <w:t xml:space="preserve"> by the Maritime Administration (MARAD) and the Department of Defense (DoD), </w:t>
      </w:r>
      <w:r w:rsidR="00651E30">
        <w:rPr>
          <w:szCs w:val="24"/>
        </w:rPr>
        <w:t xml:space="preserve">and </w:t>
      </w:r>
      <w:r w:rsidRPr="00262FC8">
        <w:rPr>
          <w:szCs w:val="24"/>
        </w:rPr>
        <w:t>representatives from U</w:t>
      </w:r>
      <w:r w:rsidR="001C5CB5">
        <w:rPr>
          <w:szCs w:val="24"/>
        </w:rPr>
        <w:t xml:space="preserve">nited </w:t>
      </w:r>
      <w:r w:rsidRPr="00262FC8">
        <w:rPr>
          <w:szCs w:val="24"/>
        </w:rPr>
        <w:t>S</w:t>
      </w:r>
      <w:r w:rsidR="001C5CB5">
        <w:rPr>
          <w:szCs w:val="24"/>
        </w:rPr>
        <w:t>tates</w:t>
      </w:r>
      <w:r w:rsidRPr="00262FC8">
        <w:rPr>
          <w:szCs w:val="24"/>
        </w:rPr>
        <w:t xml:space="preserve"> Transportation Command </w:t>
      </w:r>
      <w:r w:rsidR="001C5CB5">
        <w:rPr>
          <w:szCs w:val="24"/>
        </w:rPr>
        <w:t xml:space="preserve">(USTRANSCOM) </w:t>
      </w:r>
      <w:r w:rsidRPr="00262FC8">
        <w:rPr>
          <w:szCs w:val="24"/>
        </w:rPr>
        <w:t xml:space="preserve">and its components, to assess </w:t>
      </w:r>
      <w:r w:rsidR="00651E30">
        <w:rPr>
          <w:szCs w:val="24"/>
        </w:rPr>
        <w:t xml:space="preserve">a </w:t>
      </w:r>
      <w:r w:rsidRPr="00262FC8">
        <w:rPr>
          <w:szCs w:val="24"/>
        </w:rPr>
        <w:t>respondent</w:t>
      </w:r>
      <w:r w:rsidR="00651E30">
        <w:rPr>
          <w:szCs w:val="24"/>
        </w:rPr>
        <w:t>’</w:t>
      </w:r>
      <w:r w:rsidRPr="00262FC8">
        <w:rPr>
          <w:szCs w:val="24"/>
        </w:rPr>
        <w:t>s eligibility for participation in the VISA program.</w:t>
      </w:r>
      <w:r w:rsidR="00651E30">
        <w:rPr>
          <w:szCs w:val="24"/>
        </w:rPr>
        <w:t xml:space="preserve"> Representatives from r</w:t>
      </w:r>
      <w:r w:rsidRPr="00262FC8">
        <w:rPr>
          <w:szCs w:val="24"/>
        </w:rPr>
        <w:t>espondent companies</w:t>
      </w:r>
      <w:r w:rsidR="00651E30">
        <w:rPr>
          <w:szCs w:val="24"/>
        </w:rPr>
        <w:t xml:space="preserve"> will</w:t>
      </w:r>
      <w:r w:rsidRPr="00262FC8">
        <w:rPr>
          <w:szCs w:val="24"/>
        </w:rPr>
        <w:t xml:space="preserve"> submit spec</w:t>
      </w:r>
      <w:r w:rsidR="00732B30">
        <w:rPr>
          <w:szCs w:val="24"/>
        </w:rPr>
        <w:t>ific information regarding the</w:t>
      </w:r>
      <w:r w:rsidRPr="00262FC8">
        <w:rPr>
          <w:szCs w:val="24"/>
        </w:rPr>
        <w:t xml:space="preserve"> </w:t>
      </w:r>
      <w:r w:rsidR="00732B30">
        <w:rPr>
          <w:szCs w:val="24"/>
        </w:rPr>
        <w:t>U.S.-flag fleet assets under</w:t>
      </w:r>
      <w:r w:rsidR="00651E30">
        <w:rPr>
          <w:szCs w:val="24"/>
        </w:rPr>
        <w:t xml:space="preserve"> their</w:t>
      </w:r>
      <w:r w:rsidR="00732B30">
        <w:rPr>
          <w:szCs w:val="24"/>
        </w:rPr>
        <w:t xml:space="preserve"> </w:t>
      </w:r>
      <w:r w:rsidRPr="00262FC8">
        <w:rPr>
          <w:szCs w:val="24"/>
        </w:rPr>
        <w:t xml:space="preserve">control through </w:t>
      </w:r>
      <w:r w:rsidR="00732B30">
        <w:rPr>
          <w:szCs w:val="24"/>
        </w:rPr>
        <w:t xml:space="preserve">either </w:t>
      </w:r>
      <w:r w:rsidRPr="00262FC8">
        <w:rPr>
          <w:szCs w:val="24"/>
        </w:rPr>
        <w:t xml:space="preserve">ownership or bareboat charter.  MARAD also requests pertinent data on business operations as well as the citizenship status of each respondent. </w:t>
      </w:r>
      <w:r w:rsidR="00651E30">
        <w:rPr>
          <w:szCs w:val="24"/>
        </w:rPr>
        <w:t xml:space="preserve"> </w:t>
      </w:r>
      <w:r w:rsidRPr="00262FC8">
        <w:rPr>
          <w:szCs w:val="24"/>
        </w:rPr>
        <w:t xml:space="preserve">MARAD will maintain all submitted information and utilize it to determine a respondent’s eligibility for VISA. </w:t>
      </w:r>
      <w:r w:rsidR="001B49A0">
        <w:rPr>
          <w:szCs w:val="24"/>
        </w:rPr>
        <w:t xml:space="preserve"> </w:t>
      </w:r>
      <w:r w:rsidRPr="00262FC8">
        <w:rPr>
          <w:szCs w:val="24"/>
        </w:rPr>
        <w:t xml:space="preserve">As necessary, this information will be provided to </w:t>
      </w:r>
      <w:r w:rsidR="001C5CB5">
        <w:rPr>
          <w:szCs w:val="24"/>
        </w:rPr>
        <w:t>USTRANSCOM</w:t>
      </w:r>
      <w:r w:rsidRPr="00262FC8">
        <w:rPr>
          <w:szCs w:val="24"/>
        </w:rPr>
        <w:t xml:space="preserve"> and its components.</w:t>
      </w:r>
    </w:p>
    <w:p w:rsidR="00545A59" w:rsidRPr="00262FC8" w:rsidP="00F33A75" w14:paraId="2A00057B" w14:textId="77777777">
      <w:pPr>
        <w:tabs>
          <w:tab w:val="left" w:pos="-1440"/>
        </w:tabs>
        <w:ind w:left="720"/>
        <w:rPr>
          <w:szCs w:val="24"/>
        </w:rPr>
      </w:pPr>
    </w:p>
    <w:p w:rsidR="00545A59" w:rsidP="00F33A75" w14:paraId="5DDF0238" w14:textId="53B04853">
      <w:pPr>
        <w:tabs>
          <w:tab w:val="left" w:pos="-1440"/>
        </w:tabs>
        <w:ind w:left="720"/>
        <w:rPr>
          <w:szCs w:val="24"/>
        </w:rPr>
      </w:pPr>
      <w:r w:rsidRPr="00BF5638">
        <w:rPr>
          <w:szCs w:val="24"/>
        </w:rPr>
        <w:t>This information collection support</w:t>
      </w:r>
      <w:r w:rsidR="00651E30">
        <w:rPr>
          <w:szCs w:val="24"/>
        </w:rPr>
        <w:t>s</w:t>
      </w:r>
      <w:r w:rsidRPr="00BF5638">
        <w:rPr>
          <w:szCs w:val="24"/>
        </w:rPr>
        <w:t xml:space="preserve"> the Department of Transportati</w:t>
      </w:r>
      <w:r w:rsidRPr="00BF5638" w:rsidR="00884BEF">
        <w:rPr>
          <w:szCs w:val="24"/>
        </w:rPr>
        <w:t xml:space="preserve">on's strategic goal on </w:t>
      </w:r>
      <w:r w:rsidRPr="00BF5638">
        <w:rPr>
          <w:szCs w:val="24"/>
        </w:rPr>
        <w:t>Security</w:t>
      </w:r>
      <w:r w:rsidRPr="00BF5638" w:rsidR="00884BEF">
        <w:rPr>
          <w:szCs w:val="24"/>
        </w:rPr>
        <w:t xml:space="preserve">, Preparedness and Response </w:t>
      </w:r>
      <w:r w:rsidR="00651E30">
        <w:rPr>
          <w:szCs w:val="24"/>
        </w:rPr>
        <w:t>by ensuring a</w:t>
      </w:r>
      <w:r w:rsidRPr="00BF5638" w:rsidR="00651E30">
        <w:rPr>
          <w:szCs w:val="24"/>
        </w:rPr>
        <w:t xml:space="preserve"> </w:t>
      </w:r>
      <w:r w:rsidRPr="00BF5638" w:rsidR="00394E3C">
        <w:rPr>
          <w:szCs w:val="24"/>
        </w:rPr>
        <w:t>balance</w:t>
      </w:r>
      <w:r w:rsidR="00651E30">
        <w:rPr>
          <w:szCs w:val="24"/>
        </w:rPr>
        <w:t xml:space="preserve"> of</w:t>
      </w:r>
      <w:r w:rsidRPr="00BF5638" w:rsidR="00394E3C">
        <w:rPr>
          <w:szCs w:val="24"/>
        </w:rPr>
        <w:t xml:space="preserve"> </w:t>
      </w:r>
      <w:r w:rsidRPr="00BF5638">
        <w:rPr>
          <w:szCs w:val="24"/>
        </w:rPr>
        <w:t xml:space="preserve">transportation </w:t>
      </w:r>
      <w:r w:rsidRPr="00BF5638" w:rsidR="00884BEF">
        <w:rPr>
          <w:szCs w:val="24"/>
        </w:rPr>
        <w:t xml:space="preserve">security </w:t>
      </w:r>
      <w:r w:rsidRPr="00BF5638" w:rsidR="00394E3C">
        <w:rPr>
          <w:szCs w:val="24"/>
        </w:rPr>
        <w:t xml:space="preserve">requirements with the </w:t>
      </w:r>
      <w:r w:rsidRPr="00BF5638" w:rsidR="00884BEF">
        <w:rPr>
          <w:szCs w:val="24"/>
        </w:rPr>
        <w:t xml:space="preserve">safety, </w:t>
      </w:r>
      <w:r w:rsidRPr="00BF5638" w:rsidR="00394E3C">
        <w:rPr>
          <w:szCs w:val="24"/>
        </w:rPr>
        <w:t>mobility</w:t>
      </w:r>
      <w:r w:rsidR="00315D01">
        <w:rPr>
          <w:szCs w:val="24"/>
        </w:rPr>
        <w:t>,</w:t>
      </w:r>
      <w:r w:rsidRPr="00BF5638" w:rsidR="00394E3C">
        <w:rPr>
          <w:szCs w:val="24"/>
        </w:rPr>
        <w:t xml:space="preserve"> </w:t>
      </w:r>
      <w:r w:rsidRPr="00BF5638" w:rsidR="00884BEF">
        <w:rPr>
          <w:szCs w:val="24"/>
        </w:rPr>
        <w:t>and economic needs</w:t>
      </w:r>
      <w:r w:rsidRPr="00BF5638" w:rsidR="00394E3C">
        <w:rPr>
          <w:szCs w:val="24"/>
        </w:rPr>
        <w:t xml:space="preserve"> of the </w:t>
      </w:r>
      <w:r w:rsidR="00651E30">
        <w:rPr>
          <w:szCs w:val="24"/>
        </w:rPr>
        <w:t xml:space="preserve">U.S., and assuring a readiness to </w:t>
      </w:r>
      <w:r w:rsidRPr="00BF5638" w:rsidR="00884BEF">
        <w:rPr>
          <w:szCs w:val="24"/>
        </w:rPr>
        <w:t>respond to emergencies that affect</w:t>
      </w:r>
      <w:r w:rsidR="00651E30">
        <w:rPr>
          <w:szCs w:val="24"/>
        </w:rPr>
        <w:t xml:space="preserve">ing </w:t>
      </w:r>
      <w:r w:rsidR="00315D01">
        <w:rPr>
          <w:szCs w:val="24"/>
        </w:rPr>
        <w:t xml:space="preserve">national security interests and </w:t>
      </w:r>
      <w:r w:rsidR="00651E30">
        <w:rPr>
          <w:szCs w:val="24"/>
        </w:rPr>
        <w:t xml:space="preserve">the </w:t>
      </w:r>
      <w:r w:rsidRPr="00BF5638" w:rsidR="00884BEF">
        <w:rPr>
          <w:szCs w:val="24"/>
        </w:rPr>
        <w:t>viability of the transportation sector.</w:t>
      </w:r>
    </w:p>
    <w:p w:rsidR="005D0B32" w:rsidP="00F33A75" w14:paraId="24EAAE9E" w14:textId="5A39A5EF">
      <w:pPr>
        <w:tabs>
          <w:tab w:val="left" w:pos="-1440"/>
        </w:tabs>
        <w:ind w:left="720"/>
        <w:rPr>
          <w:szCs w:val="24"/>
        </w:rPr>
      </w:pPr>
    </w:p>
    <w:p w:rsidR="005D0B32" w:rsidP="00F33A75" w14:paraId="709FA70D" w14:textId="0F053310">
      <w:pPr>
        <w:tabs>
          <w:tab w:val="left" w:pos="-1440"/>
        </w:tabs>
        <w:ind w:left="720"/>
        <w:rPr>
          <w:szCs w:val="24"/>
        </w:rPr>
      </w:pPr>
      <w:r>
        <w:rPr>
          <w:szCs w:val="24"/>
        </w:rPr>
        <w:t>MARAD is requesting approval to make the following modifications to OMB-2133-0532</w:t>
      </w:r>
      <w:r w:rsidR="00651E30">
        <w:rPr>
          <w:szCs w:val="24"/>
        </w:rPr>
        <w:t xml:space="preserve"> </w:t>
      </w:r>
      <w:r w:rsidRPr="00651E30" w:rsidR="00651E30">
        <w:rPr>
          <w:szCs w:val="24"/>
        </w:rPr>
        <w:t>(Voluntary Intermodal Sealift Agreement (VISA)</w:t>
      </w:r>
      <w:r w:rsidR="00651E30">
        <w:rPr>
          <w:szCs w:val="24"/>
        </w:rPr>
        <w:t>,</w:t>
      </w:r>
      <w:r>
        <w:rPr>
          <w:szCs w:val="24"/>
        </w:rPr>
        <w:t xml:space="preserve"> so that it may better align with current MSP, MARAD, and USTRANSCOM programmatic operations:</w:t>
      </w:r>
    </w:p>
    <w:p w:rsidR="005D0B32" w:rsidP="00F33A75" w14:paraId="05E4CA63" w14:textId="3534ECDD">
      <w:pPr>
        <w:tabs>
          <w:tab w:val="left" w:pos="-1440"/>
        </w:tabs>
        <w:ind w:left="720"/>
        <w:rPr>
          <w:szCs w:val="24"/>
        </w:rPr>
      </w:pPr>
    </w:p>
    <w:p w:rsidR="005D0B32" w:rsidP="00315D01" w14:paraId="4A6FBD44" w14:textId="4F11B5FA">
      <w:pPr>
        <w:pStyle w:val="ListParagraph"/>
        <w:numPr>
          <w:ilvl w:val="0"/>
          <w:numId w:val="10"/>
        </w:numPr>
        <w:tabs>
          <w:tab w:val="left" w:pos="-1440"/>
        </w:tabs>
        <w:ind w:left="1080"/>
        <w:rPr>
          <w:szCs w:val="24"/>
        </w:rPr>
      </w:pPr>
      <w:r>
        <w:rPr>
          <w:szCs w:val="24"/>
        </w:rPr>
        <w:t>Throughout the document, updates to statutory references in Titles 46 and 50, United States Code to reflect positive enactment of those titles by Congress or updates to their statutory codification</w:t>
      </w:r>
      <w:r w:rsidR="00E66FD8">
        <w:rPr>
          <w:szCs w:val="24"/>
        </w:rPr>
        <w:t>.</w:t>
      </w:r>
    </w:p>
    <w:p w:rsidR="005D0B32" w:rsidP="00315D01" w14:paraId="1D8EB355" w14:textId="274A7AF6">
      <w:pPr>
        <w:pStyle w:val="ListParagraph"/>
        <w:numPr>
          <w:ilvl w:val="0"/>
          <w:numId w:val="10"/>
        </w:numPr>
        <w:tabs>
          <w:tab w:val="left" w:pos="-1440"/>
        </w:tabs>
        <w:ind w:left="1080"/>
        <w:rPr>
          <w:szCs w:val="24"/>
        </w:rPr>
      </w:pPr>
      <w:r>
        <w:rPr>
          <w:szCs w:val="24"/>
        </w:rPr>
        <w:t xml:space="preserve">In the Instructions, removal of requests to collect information on </w:t>
      </w:r>
      <w:r w:rsidRPr="005D0B32">
        <w:rPr>
          <w:b/>
          <w:bCs/>
          <w:szCs w:val="24"/>
        </w:rPr>
        <w:t xml:space="preserve">Vessel </w:t>
      </w:r>
      <w:r>
        <w:rPr>
          <w:b/>
          <w:bCs/>
          <w:szCs w:val="24"/>
        </w:rPr>
        <w:t>C</w:t>
      </w:r>
      <w:r w:rsidRPr="005D0B32">
        <w:rPr>
          <w:b/>
          <w:bCs/>
          <w:szCs w:val="24"/>
        </w:rPr>
        <w:t>lass</w:t>
      </w:r>
      <w:r>
        <w:rPr>
          <w:szCs w:val="24"/>
        </w:rPr>
        <w:t xml:space="preserve"> and forty-foot equivalent units (</w:t>
      </w:r>
      <w:r w:rsidRPr="005D0B32">
        <w:rPr>
          <w:b/>
          <w:bCs/>
          <w:szCs w:val="24"/>
        </w:rPr>
        <w:t>FEU</w:t>
      </w:r>
      <w:r>
        <w:rPr>
          <w:szCs w:val="24"/>
        </w:rPr>
        <w:t xml:space="preserve">) carried onboard, as these are no longer used for </w:t>
      </w:r>
      <w:r w:rsidR="00C61020">
        <w:rPr>
          <w:szCs w:val="24"/>
        </w:rPr>
        <w:t xml:space="preserve">VISA </w:t>
      </w:r>
      <w:r>
        <w:rPr>
          <w:szCs w:val="24"/>
        </w:rPr>
        <w:t>planning purposes</w:t>
      </w:r>
      <w:r w:rsidR="00E66FD8">
        <w:rPr>
          <w:szCs w:val="24"/>
        </w:rPr>
        <w:t>.</w:t>
      </w:r>
    </w:p>
    <w:p w:rsidR="005D0B32" w:rsidP="00315D01" w14:paraId="45424F0C" w14:textId="25FADBE6">
      <w:pPr>
        <w:pStyle w:val="ListParagraph"/>
        <w:numPr>
          <w:ilvl w:val="0"/>
          <w:numId w:val="10"/>
        </w:numPr>
        <w:tabs>
          <w:tab w:val="left" w:pos="-1440"/>
        </w:tabs>
        <w:ind w:left="1080"/>
        <w:rPr>
          <w:szCs w:val="24"/>
        </w:rPr>
      </w:pPr>
      <w:r>
        <w:rPr>
          <w:szCs w:val="24"/>
        </w:rPr>
        <w:t xml:space="preserve">In the Instructions, removal of requests for information on </w:t>
      </w:r>
      <w:r w:rsidRPr="005D0B32">
        <w:rPr>
          <w:b/>
          <w:bCs/>
          <w:szCs w:val="24"/>
        </w:rPr>
        <w:t>CDS</w:t>
      </w:r>
      <w:r>
        <w:rPr>
          <w:szCs w:val="24"/>
        </w:rPr>
        <w:t xml:space="preserve"> and </w:t>
      </w:r>
      <w:r w:rsidRPr="005D0B32">
        <w:rPr>
          <w:b/>
          <w:bCs/>
          <w:szCs w:val="24"/>
        </w:rPr>
        <w:t>Expiration Date</w:t>
      </w:r>
      <w:r>
        <w:rPr>
          <w:szCs w:val="24"/>
        </w:rPr>
        <w:t>, as these refer to a since-terminated program</w:t>
      </w:r>
      <w:r w:rsidR="00E66FD8">
        <w:rPr>
          <w:szCs w:val="24"/>
        </w:rPr>
        <w:t>.</w:t>
      </w:r>
    </w:p>
    <w:p w:rsidR="005D0B32" w:rsidP="00315D01" w14:paraId="0C0B1A94" w14:textId="5E647FA5">
      <w:pPr>
        <w:pStyle w:val="ListParagraph"/>
        <w:numPr>
          <w:ilvl w:val="0"/>
          <w:numId w:val="10"/>
        </w:numPr>
        <w:tabs>
          <w:tab w:val="left" w:pos="-1440"/>
        </w:tabs>
        <w:ind w:left="1080"/>
        <w:rPr>
          <w:szCs w:val="24"/>
        </w:rPr>
      </w:pPr>
      <w:r>
        <w:rPr>
          <w:szCs w:val="24"/>
        </w:rPr>
        <w:t xml:space="preserve">Throughout the document, substitution of the term </w:t>
      </w:r>
      <w:r w:rsidRPr="005D0B32">
        <w:rPr>
          <w:b/>
          <w:bCs/>
          <w:szCs w:val="24"/>
        </w:rPr>
        <w:t>Jones Act</w:t>
      </w:r>
      <w:r>
        <w:rPr>
          <w:szCs w:val="24"/>
        </w:rPr>
        <w:t xml:space="preserve"> with the term </w:t>
      </w:r>
      <w:r w:rsidRPr="005D0B32">
        <w:rPr>
          <w:b/>
          <w:bCs/>
          <w:szCs w:val="24"/>
        </w:rPr>
        <w:t>Coastwise</w:t>
      </w:r>
      <w:r>
        <w:rPr>
          <w:szCs w:val="24"/>
        </w:rPr>
        <w:t xml:space="preserve"> or </w:t>
      </w:r>
      <w:r w:rsidRPr="005D0B32">
        <w:rPr>
          <w:b/>
          <w:bCs/>
          <w:szCs w:val="24"/>
        </w:rPr>
        <w:t>Coastwise-qualified</w:t>
      </w:r>
      <w:r>
        <w:rPr>
          <w:szCs w:val="24"/>
        </w:rPr>
        <w:t xml:space="preserve">, </w:t>
      </w:r>
      <w:r w:rsidR="00E66FD8">
        <w:rPr>
          <w:szCs w:val="24"/>
        </w:rPr>
        <w:t xml:space="preserve">as this is a more legally accurate information request under Title 46, United States Code for vessels that are eligible to trade domestically.  </w:t>
      </w:r>
    </w:p>
    <w:p w:rsidR="00E66FD8" w:rsidP="00315D01" w14:paraId="524F9C11" w14:textId="5081BD26">
      <w:pPr>
        <w:pStyle w:val="ListParagraph"/>
        <w:numPr>
          <w:ilvl w:val="0"/>
          <w:numId w:val="10"/>
        </w:numPr>
        <w:tabs>
          <w:tab w:val="left" w:pos="-1440"/>
        </w:tabs>
        <w:ind w:left="1080"/>
        <w:rPr>
          <w:szCs w:val="24"/>
        </w:rPr>
      </w:pPr>
      <w:r>
        <w:rPr>
          <w:szCs w:val="24"/>
        </w:rPr>
        <w:t>In Part II</w:t>
      </w:r>
      <w:r w:rsidR="00AC0EB4">
        <w:rPr>
          <w:szCs w:val="24"/>
        </w:rPr>
        <w:t>(2)</w:t>
      </w:r>
      <w:r>
        <w:rPr>
          <w:szCs w:val="24"/>
        </w:rPr>
        <w:t xml:space="preserve">, substitution of reference to </w:t>
      </w:r>
      <w:r w:rsidRPr="00E66FD8">
        <w:rPr>
          <w:b/>
          <w:bCs/>
          <w:szCs w:val="24"/>
        </w:rPr>
        <w:t>Section 2 of the Shipping Act of 1916, as amended (46 U.S.C. App. 802)</w:t>
      </w:r>
      <w:r>
        <w:rPr>
          <w:szCs w:val="24"/>
        </w:rPr>
        <w:t xml:space="preserve"> with </w:t>
      </w:r>
      <w:r w:rsidRPr="00E66FD8">
        <w:rPr>
          <w:b/>
          <w:bCs/>
          <w:szCs w:val="24"/>
        </w:rPr>
        <w:t>46 U.S.C. § 50501</w:t>
      </w:r>
      <w:r>
        <w:rPr>
          <w:szCs w:val="24"/>
        </w:rPr>
        <w:t xml:space="preserve">, as this is the positively enacted codified statutory language.  </w:t>
      </w:r>
    </w:p>
    <w:p w:rsidR="00AC0EB4" w:rsidP="00315D01" w14:paraId="159C609C" w14:textId="0758C633">
      <w:pPr>
        <w:pStyle w:val="ListParagraph"/>
        <w:numPr>
          <w:ilvl w:val="0"/>
          <w:numId w:val="10"/>
        </w:numPr>
        <w:tabs>
          <w:tab w:val="left" w:pos="-1440"/>
        </w:tabs>
        <w:ind w:left="1080"/>
        <w:rPr>
          <w:szCs w:val="24"/>
        </w:rPr>
      </w:pPr>
      <w:r>
        <w:rPr>
          <w:szCs w:val="24"/>
        </w:rPr>
        <w:t xml:space="preserve">In Part II(7), substitution of the phrase </w:t>
      </w:r>
      <w:r w:rsidRPr="00AC0EB4">
        <w:rPr>
          <w:b/>
          <w:bCs/>
          <w:szCs w:val="24"/>
        </w:rPr>
        <w:t>ABS or Lloyds classed and USCG licensed</w:t>
      </w:r>
      <w:r>
        <w:rPr>
          <w:szCs w:val="24"/>
        </w:rPr>
        <w:t xml:space="preserve"> </w:t>
      </w:r>
      <w:r>
        <w:rPr>
          <w:szCs w:val="24"/>
        </w:rPr>
        <w:t xml:space="preserve">with </w:t>
      </w:r>
      <w:r w:rsidRPr="00AC0EB4">
        <w:rPr>
          <w:b/>
          <w:bCs/>
          <w:szCs w:val="24"/>
        </w:rPr>
        <w:t>classed by the American Bureau of Shipping or another United States Coast Guard-recognized class society and endorsed by USCG</w:t>
      </w:r>
      <w:r>
        <w:rPr>
          <w:szCs w:val="24"/>
        </w:rPr>
        <w:t>, as this better reflects USCG practice regarding vessel endorsements and its relationship with classification societies.</w:t>
      </w:r>
    </w:p>
    <w:p w:rsidR="00AC0EB4" w:rsidP="00315D01" w14:paraId="73B83FEE" w14:textId="2574FDD4">
      <w:pPr>
        <w:pStyle w:val="ListParagraph"/>
        <w:numPr>
          <w:ilvl w:val="0"/>
          <w:numId w:val="10"/>
        </w:numPr>
        <w:tabs>
          <w:tab w:val="left" w:pos="-1440"/>
        </w:tabs>
        <w:ind w:left="1080"/>
        <w:rPr>
          <w:szCs w:val="24"/>
        </w:rPr>
      </w:pPr>
      <w:r>
        <w:rPr>
          <w:szCs w:val="24"/>
        </w:rPr>
        <w:t xml:space="preserve">In Part II(8), substitution of reference to </w:t>
      </w:r>
      <w:r w:rsidRPr="00AC0EB4">
        <w:rPr>
          <w:b/>
          <w:bCs/>
          <w:szCs w:val="24"/>
        </w:rPr>
        <w:t xml:space="preserve">U.S. Gulf Coast, International, Great Lakes, U.S. Inland, etc. </w:t>
      </w:r>
      <w:r>
        <w:rPr>
          <w:szCs w:val="24"/>
        </w:rPr>
        <w:t xml:space="preserve">with </w:t>
      </w:r>
      <w:r w:rsidRPr="00AC0EB4">
        <w:rPr>
          <w:b/>
          <w:bCs/>
          <w:szCs w:val="24"/>
        </w:rPr>
        <w:t>International, U.S. coastwise, Great Lakes, Inland, etc.</w:t>
      </w:r>
      <w:r>
        <w:rPr>
          <w:szCs w:val="24"/>
        </w:rPr>
        <w:t>, to better reflect current maritime trading practices.</w:t>
      </w:r>
    </w:p>
    <w:p w:rsidR="00AC0EB4" w:rsidP="00315D01" w14:paraId="143A744D" w14:textId="49A24512">
      <w:pPr>
        <w:pStyle w:val="ListParagraph"/>
        <w:numPr>
          <w:ilvl w:val="0"/>
          <w:numId w:val="10"/>
        </w:numPr>
        <w:tabs>
          <w:tab w:val="left" w:pos="-1440"/>
        </w:tabs>
        <w:ind w:left="1080"/>
        <w:rPr>
          <w:szCs w:val="24"/>
        </w:rPr>
      </w:pPr>
      <w:r>
        <w:rPr>
          <w:szCs w:val="24"/>
        </w:rPr>
        <w:t xml:space="preserve">In Part II(9), substitute the term </w:t>
      </w:r>
      <w:r w:rsidRPr="00AC0EB4">
        <w:rPr>
          <w:b/>
          <w:bCs/>
          <w:szCs w:val="24"/>
        </w:rPr>
        <w:t>Commodities</w:t>
      </w:r>
      <w:r>
        <w:rPr>
          <w:szCs w:val="24"/>
        </w:rPr>
        <w:t xml:space="preserve"> with </w:t>
      </w:r>
      <w:r w:rsidRPr="00AC0EB4">
        <w:rPr>
          <w:b/>
          <w:bCs/>
          <w:szCs w:val="24"/>
        </w:rPr>
        <w:t>Cargoes</w:t>
      </w:r>
      <w:r>
        <w:rPr>
          <w:szCs w:val="24"/>
        </w:rPr>
        <w:t>, for accuracy.</w:t>
      </w:r>
    </w:p>
    <w:p w:rsidR="00AC0EB4" w:rsidRPr="005D0B32" w:rsidP="00315D01" w14:paraId="7140B01C" w14:textId="2826A07C">
      <w:pPr>
        <w:pStyle w:val="ListParagraph"/>
        <w:numPr>
          <w:ilvl w:val="0"/>
          <w:numId w:val="10"/>
        </w:numPr>
        <w:tabs>
          <w:tab w:val="left" w:pos="-1440"/>
        </w:tabs>
        <w:ind w:left="1080"/>
        <w:rPr>
          <w:szCs w:val="24"/>
        </w:rPr>
      </w:pPr>
      <w:r>
        <w:rPr>
          <w:szCs w:val="24"/>
        </w:rPr>
        <w:t xml:space="preserve">In Part II(10), substitute </w:t>
      </w:r>
      <w:r w:rsidRPr="00AC0EB4">
        <w:rPr>
          <w:b/>
          <w:bCs/>
          <w:szCs w:val="24"/>
        </w:rPr>
        <w:t>AID</w:t>
      </w:r>
      <w:r>
        <w:rPr>
          <w:szCs w:val="24"/>
        </w:rPr>
        <w:t xml:space="preserve"> with </w:t>
      </w:r>
      <w:r w:rsidRPr="00AC0EB4">
        <w:rPr>
          <w:b/>
          <w:bCs/>
          <w:szCs w:val="24"/>
        </w:rPr>
        <w:t>USAID</w:t>
      </w:r>
      <w:r>
        <w:rPr>
          <w:szCs w:val="24"/>
        </w:rPr>
        <w:t>, for accuracy.</w:t>
      </w:r>
    </w:p>
    <w:p w:rsidR="005D0B32" w:rsidRPr="00BF5638" w:rsidP="00315D01" w14:paraId="08B726E2" w14:textId="77777777">
      <w:pPr>
        <w:tabs>
          <w:tab w:val="left" w:pos="-1440"/>
        </w:tabs>
        <w:ind w:left="360"/>
        <w:rPr>
          <w:szCs w:val="24"/>
        </w:rPr>
      </w:pPr>
    </w:p>
    <w:p w:rsidR="00651E30" w:rsidRPr="00BF5638" w:rsidP="00315D01" w14:paraId="22FF932D" w14:textId="57A025C7">
      <w:pPr>
        <w:pStyle w:val="ListParagraph"/>
        <w:numPr>
          <w:ilvl w:val="0"/>
          <w:numId w:val="15"/>
        </w:numPr>
      </w:pPr>
      <w:r w:rsidRPr="00315D01">
        <w:rPr>
          <w:b/>
          <w:szCs w:val="24"/>
        </w:rPr>
        <w:t>P</w:t>
      </w:r>
      <w:r w:rsidRPr="00315D01" w:rsidR="00545A59">
        <w:rPr>
          <w:b/>
        </w:rPr>
        <w:t xml:space="preserve">urpose </w:t>
      </w:r>
      <w:r w:rsidRPr="00315D01">
        <w:rPr>
          <w:b/>
        </w:rPr>
        <w:t xml:space="preserve">and Use of </w:t>
      </w:r>
      <w:r w:rsidRPr="00315D01" w:rsidR="00545A59">
        <w:rPr>
          <w:b/>
        </w:rPr>
        <w:t xml:space="preserve">the </w:t>
      </w:r>
      <w:r w:rsidRPr="00315D01">
        <w:rPr>
          <w:b/>
        </w:rPr>
        <w:t>I</w:t>
      </w:r>
      <w:r w:rsidRPr="00315D01" w:rsidR="00545A59">
        <w:rPr>
          <w:b/>
        </w:rPr>
        <w:t xml:space="preserve">nformation </w:t>
      </w:r>
      <w:r w:rsidRPr="00315D01">
        <w:rPr>
          <w:b/>
        </w:rPr>
        <w:t>Collection</w:t>
      </w:r>
      <w:r>
        <w:t xml:space="preserve"> </w:t>
      </w:r>
    </w:p>
    <w:p w:rsidR="00545A59" w:rsidRPr="00BF5638" w:rsidP="00315D01" w14:paraId="7D176B69" w14:textId="77777777">
      <w:pPr>
        <w:pStyle w:val="ListParagraph"/>
        <w:rPr>
          <w:b/>
          <w:szCs w:val="24"/>
        </w:rPr>
      </w:pPr>
    </w:p>
    <w:p w:rsidR="00545A59" w:rsidRPr="00651E30" w:rsidP="00315D01" w14:paraId="06809608" w14:textId="3D119E2E">
      <w:pPr>
        <w:pStyle w:val="ListParagraph"/>
        <w:tabs>
          <w:tab w:val="left" w:pos="-1440"/>
        </w:tabs>
        <w:rPr>
          <w:szCs w:val="24"/>
        </w:rPr>
      </w:pPr>
      <w:r w:rsidRPr="00651E30">
        <w:rPr>
          <w:szCs w:val="24"/>
        </w:rPr>
        <w:t>MARAD personnel use t</w:t>
      </w:r>
      <w:r w:rsidRPr="00651E30">
        <w:rPr>
          <w:szCs w:val="24"/>
        </w:rPr>
        <w:t xml:space="preserve">he information received </w:t>
      </w:r>
      <w:r w:rsidR="00651E30">
        <w:rPr>
          <w:szCs w:val="24"/>
        </w:rPr>
        <w:t xml:space="preserve">on the form </w:t>
      </w:r>
      <w:r w:rsidR="009712EF">
        <w:rPr>
          <w:szCs w:val="24"/>
        </w:rPr>
        <w:t xml:space="preserve">associated with </w:t>
      </w:r>
      <w:r w:rsidRPr="00651E30" w:rsidR="00651E30">
        <w:rPr>
          <w:szCs w:val="24"/>
        </w:rPr>
        <w:t>OMB 2133-0532 (Voluntary Intermodal Sealift Agreement (VISA)</w:t>
      </w:r>
      <w:r w:rsidR="00651E30">
        <w:rPr>
          <w:szCs w:val="24"/>
        </w:rPr>
        <w:t xml:space="preserve">, </w:t>
      </w:r>
      <w:r w:rsidRPr="00651E30">
        <w:rPr>
          <w:szCs w:val="24"/>
        </w:rPr>
        <w:t>to evaluate the respondents’ eligibility for the VISA program</w:t>
      </w:r>
      <w:r w:rsidR="00ED5C64">
        <w:rPr>
          <w:szCs w:val="24"/>
        </w:rPr>
        <w:t>, specifically to ensure the continued availability of commercial sealift resources to meet DoD’s worldwide logistical requirements</w:t>
      </w:r>
      <w:r w:rsidRPr="00651E30">
        <w:rPr>
          <w:szCs w:val="24"/>
        </w:rPr>
        <w:t xml:space="preserve">.  </w:t>
      </w:r>
    </w:p>
    <w:p w:rsidR="00A337DB" w:rsidRPr="00BF5638" w:rsidP="00A337DB" w14:paraId="0E086030" w14:textId="77777777">
      <w:pPr>
        <w:tabs>
          <w:tab w:val="left" w:pos="-1440"/>
          <w:tab w:val="left" w:pos="360"/>
        </w:tabs>
        <w:rPr>
          <w:b/>
          <w:szCs w:val="24"/>
        </w:rPr>
      </w:pPr>
    </w:p>
    <w:p w:rsidR="00545A59" w:rsidRPr="00315D01" w:rsidP="00315D01" w14:paraId="3C3E8DF1" w14:textId="76898095">
      <w:pPr>
        <w:pStyle w:val="ListParagraph"/>
        <w:numPr>
          <w:ilvl w:val="0"/>
          <w:numId w:val="15"/>
        </w:numPr>
        <w:rPr>
          <w:b/>
        </w:rPr>
      </w:pPr>
      <w:r w:rsidRPr="00315D01">
        <w:rPr>
          <w:b/>
        </w:rPr>
        <w:t>A</w:t>
      </w:r>
      <w:r w:rsidRPr="00315D01">
        <w:rPr>
          <w:b/>
        </w:rPr>
        <w:t>utomat</w:t>
      </w:r>
      <w:r w:rsidRPr="00315D01">
        <w:rPr>
          <w:b/>
        </w:rPr>
        <w:t>ion and Use of I</w:t>
      </w:r>
      <w:r w:rsidRPr="00315D01">
        <w:rPr>
          <w:b/>
        </w:rPr>
        <w:t xml:space="preserve">nformation </w:t>
      </w:r>
      <w:r w:rsidRPr="00315D01">
        <w:rPr>
          <w:b/>
        </w:rPr>
        <w:t>T</w:t>
      </w:r>
      <w:r w:rsidRPr="00315D01">
        <w:rPr>
          <w:b/>
        </w:rPr>
        <w:t>echnology</w:t>
      </w:r>
    </w:p>
    <w:p w:rsidR="00545A59" w:rsidRPr="00BF5638" w14:paraId="46D8363C" w14:textId="77777777">
      <w:pPr>
        <w:tabs>
          <w:tab w:val="left" w:pos="-1440"/>
        </w:tabs>
        <w:rPr>
          <w:b/>
          <w:szCs w:val="24"/>
        </w:rPr>
      </w:pPr>
    </w:p>
    <w:p w:rsidR="00141C5A" w:rsidRPr="00BF5638" w:rsidP="00315D01" w14:paraId="6FA573E9" w14:textId="692FB99A">
      <w:pPr>
        <w:ind w:left="720"/>
        <w:rPr>
          <w:sz w:val="28"/>
          <w:szCs w:val="28"/>
        </w:rPr>
      </w:pPr>
      <w:r>
        <w:rPr>
          <w:szCs w:val="24"/>
        </w:rPr>
        <w:t xml:space="preserve">A majority of </w:t>
      </w:r>
      <w:r w:rsidRPr="00BF5638">
        <w:rPr>
          <w:szCs w:val="24"/>
        </w:rPr>
        <w:t>information</w:t>
      </w:r>
      <w:r w:rsidRPr="00BF5638" w:rsidR="00CF7495">
        <w:rPr>
          <w:szCs w:val="24"/>
        </w:rPr>
        <w:t xml:space="preserve"> </w:t>
      </w:r>
      <w:r>
        <w:rPr>
          <w:szCs w:val="24"/>
        </w:rPr>
        <w:t xml:space="preserve">for this collection </w:t>
      </w:r>
      <w:r w:rsidR="00ED5C64">
        <w:rPr>
          <w:szCs w:val="24"/>
        </w:rPr>
        <w:t>may</w:t>
      </w:r>
      <w:r>
        <w:rPr>
          <w:szCs w:val="24"/>
        </w:rPr>
        <w:t xml:space="preserve"> be submitted </w:t>
      </w:r>
      <w:r w:rsidR="00DA3C32">
        <w:rPr>
          <w:szCs w:val="24"/>
        </w:rPr>
        <w:t>electronic</w:t>
      </w:r>
      <w:r>
        <w:rPr>
          <w:szCs w:val="24"/>
        </w:rPr>
        <w:t xml:space="preserve">ally for processing. Only a small portion of data must be mailed in for processing via </w:t>
      </w:r>
      <w:r w:rsidR="00DA3C32">
        <w:rPr>
          <w:szCs w:val="24"/>
        </w:rPr>
        <w:t>U.S. Mail</w:t>
      </w:r>
      <w:r w:rsidR="00ED5C64">
        <w:rPr>
          <w:szCs w:val="24"/>
        </w:rPr>
        <w:t xml:space="preserve"> or private </w:t>
      </w:r>
      <w:r w:rsidR="00DD4907">
        <w:rPr>
          <w:szCs w:val="24"/>
        </w:rPr>
        <w:t>carrier service (</w:t>
      </w:r>
      <w:r w:rsidR="003806B5">
        <w:rPr>
          <w:szCs w:val="24"/>
        </w:rPr>
        <w:t>e.g.</w:t>
      </w:r>
      <w:r w:rsidR="00DD4907">
        <w:rPr>
          <w:szCs w:val="24"/>
        </w:rPr>
        <w:t xml:space="preserve"> FedEx, UPS, DHL)</w:t>
      </w:r>
      <w:r w:rsidR="00DA3C32">
        <w:rPr>
          <w:szCs w:val="24"/>
        </w:rPr>
        <w:t>.</w:t>
      </w:r>
      <w:r w:rsidRPr="00BF5638" w:rsidR="00CF7495">
        <w:rPr>
          <w:szCs w:val="24"/>
        </w:rPr>
        <w:t xml:space="preserve">  </w:t>
      </w:r>
      <w:r w:rsidRPr="00BF5638" w:rsidR="00545A59">
        <w:rPr>
          <w:szCs w:val="24"/>
        </w:rPr>
        <w:t xml:space="preserve">MARAD </w:t>
      </w:r>
      <w:r>
        <w:rPr>
          <w:szCs w:val="24"/>
        </w:rPr>
        <w:t>makes available</w:t>
      </w:r>
      <w:r w:rsidRPr="00BF5638" w:rsidR="00545A59">
        <w:rPr>
          <w:szCs w:val="24"/>
        </w:rPr>
        <w:t xml:space="preserve"> </w:t>
      </w:r>
      <w:r>
        <w:rPr>
          <w:szCs w:val="24"/>
        </w:rPr>
        <w:t>fillable</w:t>
      </w:r>
      <w:r w:rsidRPr="00BF5638">
        <w:rPr>
          <w:szCs w:val="24"/>
        </w:rPr>
        <w:t xml:space="preserve"> </w:t>
      </w:r>
      <w:r w:rsidRPr="00BF5638" w:rsidR="00545A59">
        <w:rPr>
          <w:szCs w:val="24"/>
        </w:rPr>
        <w:t xml:space="preserve">forms and other related </w:t>
      </w:r>
      <w:r>
        <w:rPr>
          <w:szCs w:val="24"/>
        </w:rPr>
        <w:t xml:space="preserve">program </w:t>
      </w:r>
      <w:r w:rsidRPr="00BF5638" w:rsidR="00545A59">
        <w:rPr>
          <w:szCs w:val="24"/>
        </w:rPr>
        <w:t>information on MARAD’s website (</w:t>
      </w:r>
      <w:hyperlink r:id="rId6" w:history="1">
        <w:r w:rsidRPr="00C76AB2" w:rsidR="00FD6B3A">
          <w:rPr>
            <w:rStyle w:val="Hyperlink"/>
            <w:szCs w:val="24"/>
          </w:rPr>
          <w:t>www.maritime.dot.gov</w:t>
        </w:r>
      </w:hyperlink>
      <w:r w:rsidRPr="00BF5638" w:rsidR="00545A59">
        <w:rPr>
          <w:szCs w:val="24"/>
        </w:rPr>
        <w:t xml:space="preserve">) to assist potential VISA applicants in completing the VISA application.  </w:t>
      </w:r>
      <w:r w:rsidRPr="00BF5638" w:rsidR="00CF7495">
        <w:rPr>
          <w:szCs w:val="24"/>
        </w:rPr>
        <w:t>While</w:t>
      </w:r>
      <w:r w:rsidRPr="00BF5638" w:rsidR="00C5015C">
        <w:rPr>
          <w:szCs w:val="24"/>
        </w:rPr>
        <w:t xml:space="preserve"> applicants may choose to</w:t>
      </w:r>
      <w:r w:rsidRPr="00BF5638" w:rsidR="00CF7495">
        <w:rPr>
          <w:szCs w:val="24"/>
        </w:rPr>
        <w:t xml:space="preserve"> electronic</w:t>
      </w:r>
      <w:r>
        <w:rPr>
          <w:szCs w:val="24"/>
        </w:rPr>
        <w:t>ally</w:t>
      </w:r>
      <w:r w:rsidRPr="00BF5638" w:rsidR="00CF7495">
        <w:rPr>
          <w:szCs w:val="24"/>
        </w:rPr>
        <w:t xml:space="preserve"> submi</w:t>
      </w:r>
      <w:r>
        <w:rPr>
          <w:szCs w:val="24"/>
        </w:rPr>
        <w:t>t</w:t>
      </w:r>
      <w:r w:rsidRPr="00BF5638" w:rsidR="00CF7495">
        <w:rPr>
          <w:szCs w:val="24"/>
        </w:rPr>
        <w:t xml:space="preserve"> portions of the application</w:t>
      </w:r>
      <w:r w:rsidRPr="00BF5638" w:rsidR="00C5015C">
        <w:rPr>
          <w:szCs w:val="24"/>
        </w:rPr>
        <w:t xml:space="preserve"> </w:t>
      </w:r>
      <w:r w:rsidR="00DA3C32">
        <w:rPr>
          <w:szCs w:val="24"/>
        </w:rPr>
        <w:t>to reduce</w:t>
      </w:r>
      <w:r>
        <w:rPr>
          <w:szCs w:val="24"/>
        </w:rPr>
        <w:t xml:space="preserve"> the</w:t>
      </w:r>
      <w:r w:rsidR="00DD4907">
        <w:rPr>
          <w:szCs w:val="24"/>
        </w:rPr>
        <w:t>ir</w:t>
      </w:r>
      <w:r w:rsidR="00DA3C32">
        <w:rPr>
          <w:szCs w:val="24"/>
        </w:rPr>
        <w:t xml:space="preserve"> burden, MARAD requires </w:t>
      </w:r>
      <w:r w:rsidR="00EB3ED1">
        <w:rPr>
          <w:szCs w:val="24"/>
        </w:rPr>
        <w:t xml:space="preserve">either </w:t>
      </w:r>
      <w:r w:rsidR="00DA3C32">
        <w:rPr>
          <w:szCs w:val="24"/>
        </w:rPr>
        <w:t xml:space="preserve">original </w:t>
      </w:r>
      <w:r w:rsidR="00EB3ED1">
        <w:rPr>
          <w:szCs w:val="24"/>
        </w:rPr>
        <w:t>or verified digital signatures and notarization</w:t>
      </w:r>
      <w:r w:rsidR="00DA3C32">
        <w:rPr>
          <w:szCs w:val="24"/>
        </w:rPr>
        <w:t xml:space="preserve"> on Part I – “Application to Participate in the Voluntary Intermodal Sealift Agreement”.  </w:t>
      </w:r>
      <w:r w:rsidR="00EB2737">
        <w:rPr>
          <w:szCs w:val="24"/>
        </w:rPr>
        <w:t>Other supporting application</w:t>
      </w:r>
      <w:r w:rsidRPr="00BF5638" w:rsidR="00EB2737">
        <w:rPr>
          <w:szCs w:val="24"/>
        </w:rPr>
        <w:t xml:space="preserve"> </w:t>
      </w:r>
      <w:r w:rsidRPr="00BF5638">
        <w:rPr>
          <w:szCs w:val="24"/>
        </w:rPr>
        <w:t>document</w:t>
      </w:r>
      <w:r w:rsidR="00EB2737">
        <w:rPr>
          <w:szCs w:val="24"/>
        </w:rPr>
        <w:t>s</w:t>
      </w:r>
      <w:r w:rsidRPr="00BF5638">
        <w:rPr>
          <w:szCs w:val="24"/>
        </w:rPr>
        <w:t xml:space="preserve"> may be submitted for </w:t>
      </w:r>
      <w:r w:rsidR="00DA3C32">
        <w:rPr>
          <w:szCs w:val="24"/>
        </w:rPr>
        <w:t xml:space="preserve">all other parts of the </w:t>
      </w:r>
      <w:r w:rsidRPr="00BF5638">
        <w:rPr>
          <w:szCs w:val="24"/>
        </w:rPr>
        <w:t>VISA Application</w:t>
      </w:r>
      <w:r w:rsidR="00DA3C32">
        <w:rPr>
          <w:szCs w:val="24"/>
        </w:rPr>
        <w:t xml:space="preserve">.  </w:t>
      </w:r>
      <w:r w:rsidR="00EB3ED1">
        <w:rPr>
          <w:szCs w:val="24"/>
        </w:rPr>
        <w:t xml:space="preserve">The Maritime Administrator and MARAD Secretary will sign and countersign </w:t>
      </w:r>
      <w:r w:rsidR="00EB2737">
        <w:rPr>
          <w:szCs w:val="24"/>
        </w:rPr>
        <w:t xml:space="preserve">all </w:t>
      </w:r>
      <w:r w:rsidR="00EB3ED1">
        <w:rPr>
          <w:szCs w:val="24"/>
        </w:rPr>
        <w:t xml:space="preserve">final approved </w:t>
      </w:r>
      <w:r w:rsidR="00EB2737">
        <w:rPr>
          <w:szCs w:val="24"/>
        </w:rPr>
        <w:t xml:space="preserve">VISA </w:t>
      </w:r>
      <w:r w:rsidR="00EB3ED1">
        <w:rPr>
          <w:szCs w:val="24"/>
        </w:rPr>
        <w:t xml:space="preserve">application. </w:t>
      </w:r>
      <w:r w:rsidRPr="00BF5638">
        <w:rPr>
          <w:szCs w:val="24"/>
        </w:rPr>
        <w:t xml:space="preserve"> </w:t>
      </w:r>
      <w:r w:rsidR="00EB2737">
        <w:rPr>
          <w:szCs w:val="24"/>
        </w:rPr>
        <w:t>MARAD will continue to explore digital alternatives to the original signature and notarization requirements for implementation</w:t>
      </w:r>
      <w:r w:rsidRPr="00BF5638">
        <w:rPr>
          <w:sz w:val="28"/>
          <w:szCs w:val="28"/>
        </w:rPr>
        <w:t>.</w:t>
      </w:r>
    </w:p>
    <w:p w:rsidR="00545A59" w:rsidRPr="00BF5638" w14:paraId="395CA2DD" w14:textId="77777777">
      <w:pPr>
        <w:tabs>
          <w:tab w:val="left" w:pos="-1440"/>
        </w:tabs>
        <w:rPr>
          <w:b/>
          <w:szCs w:val="24"/>
        </w:rPr>
      </w:pPr>
    </w:p>
    <w:p w:rsidR="00545A59" w:rsidRPr="00BF5638" w:rsidP="00FD2FDE" w14:paraId="7C70FE2C" w14:textId="1416D7EE">
      <w:pPr>
        <w:numPr>
          <w:ilvl w:val="0"/>
          <w:numId w:val="15"/>
        </w:numPr>
        <w:tabs>
          <w:tab w:val="left" w:pos="-1440"/>
        </w:tabs>
        <w:rPr>
          <w:b/>
          <w:szCs w:val="24"/>
        </w:rPr>
      </w:pPr>
      <w:r>
        <w:rPr>
          <w:b/>
          <w:szCs w:val="24"/>
        </w:rPr>
        <w:t>E</w:t>
      </w:r>
      <w:r w:rsidRPr="00BF5638">
        <w:rPr>
          <w:b/>
          <w:szCs w:val="24"/>
        </w:rPr>
        <w:t xml:space="preserve">fforts to </w:t>
      </w:r>
      <w:r>
        <w:rPr>
          <w:b/>
          <w:szCs w:val="24"/>
        </w:rPr>
        <w:t>I</w:t>
      </w:r>
      <w:r w:rsidRPr="00BF5638">
        <w:rPr>
          <w:b/>
          <w:szCs w:val="24"/>
        </w:rPr>
        <w:t xml:space="preserve">dentify </w:t>
      </w:r>
      <w:r>
        <w:rPr>
          <w:b/>
          <w:szCs w:val="24"/>
        </w:rPr>
        <w:t>D</w:t>
      </w:r>
      <w:r w:rsidRPr="00BF5638">
        <w:rPr>
          <w:b/>
          <w:szCs w:val="24"/>
        </w:rPr>
        <w:t>uplication</w:t>
      </w:r>
    </w:p>
    <w:p w:rsidR="00DC57F6" w14:paraId="2C0D2F38" w14:textId="77777777">
      <w:pPr>
        <w:tabs>
          <w:tab w:val="left" w:pos="-1440"/>
        </w:tabs>
        <w:rPr>
          <w:szCs w:val="24"/>
        </w:rPr>
      </w:pPr>
    </w:p>
    <w:p w:rsidR="00545A59" w:rsidRPr="00BF5638" w:rsidP="00FD2FDE" w14:paraId="15D3DE44" w14:textId="4B668C6B">
      <w:pPr>
        <w:tabs>
          <w:tab w:val="left" w:pos="-1440"/>
        </w:tabs>
        <w:ind w:left="720"/>
        <w:rPr>
          <w:szCs w:val="24"/>
        </w:rPr>
      </w:pPr>
      <w:r w:rsidRPr="00BF5638">
        <w:rPr>
          <w:szCs w:val="24"/>
        </w:rPr>
        <w:t>An examination of the Catalog of Federal Domestic Assistance and the Catalog of Federal Paperwork Requirements did not reveal any similar information collection</w:t>
      </w:r>
      <w:r w:rsidR="00EB2737">
        <w:rPr>
          <w:szCs w:val="24"/>
        </w:rPr>
        <w:t xml:space="preserve"> as this effort</w:t>
      </w:r>
      <w:r w:rsidRPr="00BF5638">
        <w:rPr>
          <w:szCs w:val="24"/>
        </w:rPr>
        <w:t>.</w:t>
      </w:r>
    </w:p>
    <w:p w:rsidR="00545A59" w:rsidRPr="00BF5638" w:rsidP="00FD2FDE" w14:paraId="7C0288FA" w14:textId="77777777">
      <w:pPr>
        <w:tabs>
          <w:tab w:val="left" w:pos="-1440"/>
        </w:tabs>
        <w:ind w:left="720"/>
        <w:rPr>
          <w:szCs w:val="24"/>
        </w:rPr>
      </w:pPr>
    </w:p>
    <w:p w:rsidR="00545A59" w:rsidRPr="00BF5638" w:rsidP="00FD2FDE" w14:paraId="084DDA75" w14:textId="28E2E31F">
      <w:pPr>
        <w:tabs>
          <w:tab w:val="left" w:pos="-1440"/>
        </w:tabs>
        <w:ind w:left="720"/>
        <w:rPr>
          <w:szCs w:val="24"/>
        </w:rPr>
      </w:pPr>
      <w:r w:rsidRPr="00BF5638">
        <w:rPr>
          <w:szCs w:val="24"/>
        </w:rPr>
        <w:t xml:space="preserve">The requested data from each potential VISA applicant is unique and necessary in order to determine the applicant's qualification for VISA participation.  The submitted data must be the most current available </w:t>
      </w:r>
      <w:r w:rsidRPr="00BF5638" w:rsidR="003806B5">
        <w:rPr>
          <w:szCs w:val="24"/>
        </w:rPr>
        <w:t>to</w:t>
      </w:r>
      <w:r w:rsidRPr="00BF5638">
        <w:rPr>
          <w:szCs w:val="24"/>
        </w:rPr>
        <w:t xml:space="preserve"> meet</w:t>
      </w:r>
      <w:r w:rsidRPr="00BF5638" w:rsidR="00732B30">
        <w:rPr>
          <w:szCs w:val="24"/>
        </w:rPr>
        <w:t xml:space="preserve"> </w:t>
      </w:r>
      <w:r w:rsidR="00744759">
        <w:rPr>
          <w:szCs w:val="24"/>
        </w:rPr>
        <w:t>DoD</w:t>
      </w:r>
      <w:r w:rsidRPr="00BF5638" w:rsidR="00732B30">
        <w:rPr>
          <w:szCs w:val="24"/>
        </w:rPr>
        <w:t xml:space="preserve"> </w:t>
      </w:r>
      <w:r w:rsidRPr="00BF5638">
        <w:rPr>
          <w:szCs w:val="24"/>
        </w:rPr>
        <w:t xml:space="preserve">requirements. </w:t>
      </w:r>
    </w:p>
    <w:p w:rsidR="00545A59" w:rsidRPr="00BF5638" w:rsidP="00FD2FDE" w14:paraId="2DC262E4" w14:textId="77777777">
      <w:pPr>
        <w:ind w:left="1080"/>
        <w:rPr>
          <w:b/>
          <w:szCs w:val="24"/>
        </w:rPr>
      </w:pPr>
    </w:p>
    <w:p w:rsidR="00EB2737" w:rsidRPr="00BF5638" w:rsidP="00FD2FDE" w14:paraId="312F373D" w14:textId="2950B6CD">
      <w:pPr>
        <w:numPr>
          <w:ilvl w:val="0"/>
          <w:numId w:val="15"/>
        </w:numPr>
        <w:tabs>
          <w:tab w:val="left" w:pos="-1440"/>
        </w:tabs>
        <w:rPr>
          <w:b/>
          <w:szCs w:val="24"/>
        </w:rPr>
      </w:pPr>
      <w:r>
        <w:rPr>
          <w:b/>
          <w:szCs w:val="24"/>
        </w:rPr>
        <w:t>I</w:t>
      </w:r>
      <w:r w:rsidRPr="00BF5638" w:rsidR="00545A59">
        <w:rPr>
          <w:b/>
          <w:szCs w:val="24"/>
        </w:rPr>
        <w:t>mpact</w:t>
      </w:r>
      <w:r w:rsidR="001B7EE2">
        <w:rPr>
          <w:b/>
          <w:szCs w:val="24"/>
        </w:rPr>
        <w:t xml:space="preserve"> </w:t>
      </w:r>
      <w:r>
        <w:rPr>
          <w:b/>
          <w:szCs w:val="24"/>
        </w:rPr>
        <w:t>on</w:t>
      </w:r>
      <w:r w:rsidRPr="00BF5638" w:rsidR="00545A59">
        <w:rPr>
          <w:b/>
          <w:szCs w:val="24"/>
        </w:rPr>
        <w:t xml:space="preserve"> </w:t>
      </w:r>
      <w:r>
        <w:rPr>
          <w:b/>
          <w:szCs w:val="24"/>
        </w:rPr>
        <w:t>S</w:t>
      </w:r>
      <w:r w:rsidRPr="00BF5638" w:rsidR="00545A59">
        <w:rPr>
          <w:b/>
          <w:szCs w:val="24"/>
        </w:rPr>
        <w:t xml:space="preserve">mall </w:t>
      </w:r>
      <w:r>
        <w:rPr>
          <w:b/>
          <w:szCs w:val="24"/>
        </w:rPr>
        <w:t>B</w:t>
      </w:r>
      <w:r w:rsidRPr="00BF5638">
        <w:rPr>
          <w:b/>
          <w:szCs w:val="24"/>
        </w:rPr>
        <w:t xml:space="preserve">usinesses </w:t>
      </w:r>
      <w:r w:rsidRPr="00BF5638" w:rsidR="00545A59">
        <w:rPr>
          <w:b/>
          <w:szCs w:val="24"/>
        </w:rPr>
        <w:t xml:space="preserve">or </w:t>
      </w:r>
      <w:r>
        <w:rPr>
          <w:b/>
          <w:szCs w:val="24"/>
        </w:rPr>
        <w:t>O</w:t>
      </w:r>
      <w:r w:rsidRPr="00BF5638">
        <w:rPr>
          <w:b/>
          <w:szCs w:val="24"/>
        </w:rPr>
        <w:t xml:space="preserve">ther </w:t>
      </w:r>
      <w:r>
        <w:rPr>
          <w:b/>
          <w:szCs w:val="24"/>
        </w:rPr>
        <w:t>S</w:t>
      </w:r>
      <w:r w:rsidRPr="00BF5638">
        <w:rPr>
          <w:b/>
          <w:szCs w:val="24"/>
        </w:rPr>
        <w:t xml:space="preserve">mall </w:t>
      </w:r>
      <w:r>
        <w:rPr>
          <w:b/>
          <w:szCs w:val="24"/>
        </w:rPr>
        <w:t>E</w:t>
      </w:r>
      <w:r w:rsidRPr="00BF5638">
        <w:rPr>
          <w:b/>
          <w:szCs w:val="24"/>
        </w:rPr>
        <w:t xml:space="preserve">ntities </w:t>
      </w:r>
    </w:p>
    <w:p w:rsidR="00545A59" w:rsidRPr="00BF5638" w:rsidP="00FD2FDE" w14:paraId="22A81B7F" w14:textId="77777777">
      <w:pPr>
        <w:tabs>
          <w:tab w:val="left" w:pos="-1440"/>
        </w:tabs>
        <w:ind w:left="720"/>
        <w:rPr>
          <w:b/>
          <w:szCs w:val="24"/>
        </w:rPr>
      </w:pPr>
    </w:p>
    <w:p w:rsidR="00545A59" w:rsidRPr="00BF5638" w:rsidP="00FD2FDE" w14:paraId="26339302" w14:textId="77777777">
      <w:pPr>
        <w:tabs>
          <w:tab w:val="left" w:pos="-1440"/>
        </w:tabs>
        <w:ind w:left="720"/>
        <w:rPr>
          <w:szCs w:val="24"/>
        </w:rPr>
      </w:pPr>
      <w:r w:rsidRPr="00BF5638">
        <w:rPr>
          <w:szCs w:val="24"/>
        </w:rPr>
        <w:t xml:space="preserve">Applicants normally do not meet the definition of small business.  </w:t>
      </w:r>
      <w:r w:rsidRPr="00BF5638">
        <w:rPr>
          <w:szCs w:val="24"/>
        </w:rPr>
        <w:t>MARAD does not expect that the data submissions will impose any unnecessary burden on small businesses or small entities.</w:t>
      </w:r>
    </w:p>
    <w:p w:rsidR="002E4128" w:rsidRPr="00BF5638" w14:paraId="239B833A" w14:textId="77777777">
      <w:pPr>
        <w:tabs>
          <w:tab w:val="left" w:pos="-1440"/>
        </w:tabs>
        <w:rPr>
          <w:szCs w:val="24"/>
        </w:rPr>
      </w:pPr>
    </w:p>
    <w:p w:rsidR="00EB2737" w:rsidRPr="00FD2FDE" w:rsidP="00FD2FDE" w14:paraId="317C2DED" w14:textId="389D3850">
      <w:pPr>
        <w:pStyle w:val="ListParagraph"/>
        <w:numPr>
          <w:ilvl w:val="0"/>
          <w:numId w:val="15"/>
        </w:numPr>
        <w:tabs>
          <w:tab w:val="left" w:pos="-1440"/>
        </w:tabs>
        <w:ind w:right="720"/>
        <w:rPr>
          <w:b/>
        </w:rPr>
      </w:pPr>
      <w:r w:rsidRPr="00FD2FDE">
        <w:rPr>
          <w:b/>
        </w:rPr>
        <w:t>Impact of Not Conducting or L</w:t>
      </w:r>
      <w:r w:rsidRPr="00FD2FDE" w:rsidR="00545A59">
        <w:rPr>
          <w:b/>
        </w:rPr>
        <w:t xml:space="preserve">ess </w:t>
      </w:r>
      <w:r w:rsidRPr="00FD2FDE">
        <w:rPr>
          <w:b/>
        </w:rPr>
        <w:t xml:space="preserve">Frequent Collection of Information </w:t>
      </w:r>
    </w:p>
    <w:p w:rsidR="00545A59" w:rsidRPr="00EB2737" w:rsidP="00FD2FDE" w14:paraId="42300B73" w14:textId="77777777">
      <w:pPr>
        <w:pStyle w:val="ListParagraph"/>
        <w:tabs>
          <w:tab w:val="left" w:pos="-1440"/>
        </w:tabs>
        <w:ind w:right="720"/>
        <w:rPr>
          <w:b/>
          <w:szCs w:val="24"/>
        </w:rPr>
      </w:pPr>
    </w:p>
    <w:p w:rsidR="00545A59" w:rsidRPr="00BF5638" w:rsidP="00FD2FDE" w14:paraId="48342028" w14:textId="7CEDCF92">
      <w:pPr>
        <w:pStyle w:val="BodyText"/>
        <w:ind w:left="720"/>
        <w:rPr>
          <w:szCs w:val="24"/>
        </w:rPr>
      </w:pPr>
      <w:r w:rsidRPr="00BF5638">
        <w:rPr>
          <w:szCs w:val="24"/>
        </w:rPr>
        <w:t xml:space="preserve">MARAD and </w:t>
      </w:r>
      <w:r w:rsidR="00744759">
        <w:rPr>
          <w:szCs w:val="24"/>
        </w:rPr>
        <w:t>USTRANSCOM</w:t>
      </w:r>
      <w:r w:rsidRPr="00BF5638">
        <w:rPr>
          <w:szCs w:val="24"/>
        </w:rPr>
        <w:t xml:space="preserve"> have determined that the enrollment process for VISA should be conducted on an </w:t>
      </w:r>
      <w:r w:rsidR="00744759">
        <w:rPr>
          <w:szCs w:val="24"/>
        </w:rPr>
        <w:t>as-needed basis, but that active participants must update their VISA commitments when they increase or decrease their controlled U.S.-flag shipping capacity</w:t>
      </w:r>
      <w:r w:rsidRPr="00BF5638">
        <w:rPr>
          <w:szCs w:val="24"/>
        </w:rPr>
        <w:t xml:space="preserve">.  Due to the changing environment of the U.S. shipping industry, this determination was made </w:t>
      </w:r>
      <w:r w:rsidRPr="00BF5638" w:rsidR="003806B5">
        <w:rPr>
          <w:szCs w:val="24"/>
        </w:rPr>
        <w:t>to</w:t>
      </w:r>
      <w:r w:rsidRPr="00BF5638">
        <w:rPr>
          <w:szCs w:val="24"/>
        </w:rPr>
        <w:t xml:space="preserve"> maintain an adequate commercial sealift base to meet national defense requirements.   </w:t>
      </w:r>
    </w:p>
    <w:p w:rsidR="00545A59" w:rsidRPr="00BF5638" w14:paraId="12C26F28" w14:textId="77777777">
      <w:pPr>
        <w:ind w:left="720"/>
        <w:rPr>
          <w:b/>
          <w:szCs w:val="24"/>
        </w:rPr>
      </w:pPr>
    </w:p>
    <w:p w:rsidR="00DC57F6" w:rsidRPr="00DC57F6" w:rsidP="00FD2FDE" w14:paraId="0BCBC9DE" w14:textId="14E53CC5">
      <w:pPr>
        <w:numPr>
          <w:ilvl w:val="0"/>
          <w:numId w:val="15"/>
        </w:numPr>
        <w:tabs>
          <w:tab w:val="left" w:pos="-1440"/>
        </w:tabs>
        <w:ind w:right="720"/>
        <w:rPr>
          <w:szCs w:val="24"/>
        </w:rPr>
      </w:pPr>
      <w:r>
        <w:rPr>
          <w:b/>
          <w:szCs w:val="24"/>
        </w:rPr>
        <w:t>S</w:t>
      </w:r>
      <w:r w:rsidRPr="00BF5638" w:rsidR="00545A59">
        <w:rPr>
          <w:b/>
          <w:szCs w:val="24"/>
        </w:rPr>
        <w:t xml:space="preserve">pecial </w:t>
      </w:r>
      <w:r>
        <w:rPr>
          <w:b/>
          <w:szCs w:val="24"/>
        </w:rPr>
        <w:t>C</w:t>
      </w:r>
      <w:r w:rsidRPr="00BF5638">
        <w:rPr>
          <w:b/>
          <w:szCs w:val="24"/>
        </w:rPr>
        <w:t>ircumstances</w:t>
      </w:r>
      <w:r>
        <w:rPr>
          <w:b/>
          <w:szCs w:val="24"/>
        </w:rPr>
        <w:t xml:space="preserve"> Relating to the Guidelines 5 CFR 1320.5</w:t>
      </w:r>
      <w:r>
        <w:rPr>
          <w:b/>
          <w:szCs w:val="24"/>
        </w:rPr>
        <w:t xml:space="preserve">. </w:t>
      </w:r>
      <w:r w:rsidRPr="00BF5638" w:rsidR="00545A59">
        <w:rPr>
          <w:b/>
          <w:szCs w:val="24"/>
        </w:rPr>
        <w:t xml:space="preserve"> </w:t>
      </w:r>
    </w:p>
    <w:p w:rsidR="00DC57F6" w:rsidP="00DC57F6" w14:paraId="5A48FCBE" w14:textId="77777777">
      <w:pPr>
        <w:tabs>
          <w:tab w:val="left" w:pos="-1440"/>
        </w:tabs>
        <w:ind w:right="720"/>
        <w:rPr>
          <w:szCs w:val="24"/>
        </w:rPr>
      </w:pPr>
    </w:p>
    <w:p w:rsidR="00545A59" w:rsidP="00FD2FDE" w14:paraId="5B4AD4AE" w14:textId="3E7536F0">
      <w:pPr>
        <w:tabs>
          <w:tab w:val="left" w:pos="-1440"/>
        </w:tabs>
        <w:ind w:left="720" w:right="720"/>
        <w:rPr>
          <w:szCs w:val="24"/>
        </w:rPr>
      </w:pPr>
      <w:r w:rsidRPr="00BF5638">
        <w:rPr>
          <w:szCs w:val="24"/>
        </w:rPr>
        <w:t xml:space="preserve">With respect to the above, MARAD requires </w:t>
      </w:r>
      <w:r w:rsidRPr="00BF5638" w:rsidR="00787B7C">
        <w:rPr>
          <w:szCs w:val="24"/>
        </w:rPr>
        <w:t>respondents to submit</w:t>
      </w:r>
      <w:r w:rsidRPr="00BF5638">
        <w:rPr>
          <w:szCs w:val="24"/>
        </w:rPr>
        <w:t xml:space="preserve"> two original VISA applications</w:t>
      </w:r>
      <w:r w:rsidRPr="00BF5638" w:rsidR="00787B7C">
        <w:rPr>
          <w:szCs w:val="24"/>
        </w:rPr>
        <w:t>.</w:t>
      </w:r>
      <w:r w:rsidRPr="00BF5638">
        <w:rPr>
          <w:szCs w:val="24"/>
        </w:rPr>
        <w:t xml:space="preserve">  In order to validate a company’s participation in VISA, it is necessary that the company and MARAD each have an original.  The original applications contain signatures and seals of the applicant as well as MARAD officials.</w:t>
      </w:r>
      <w:r w:rsidR="00EB2737">
        <w:rPr>
          <w:szCs w:val="24"/>
        </w:rPr>
        <w:t xml:space="preserve"> There are no other special circumstances associated with this collection such as those set out below:</w:t>
      </w:r>
    </w:p>
    <w:p w:rsidR="00EB2737" w:rsidP="00760D9F" w14:paraId="54B01E93" w14:textId="77777777">
      <w:pPr>
        <w:tabs>
          <w:tab w:val="left" w:pos="-1440"/>
        </w:tabs>
        <w:ind w:left="360" w:right="720"/>
        <w:rPr>
          <w:szCs w:val="24"/>
        </w:rPr>
      </w:pPr>
    </w:p>
    <w:p w:rsidR="00EB2737" w:rsidRPr="00EB2737" w:rsidP="00EB2737" w14:paraId="18C81CC1" w14:textId="77777777">
      <w:pPr>
        <w:numPr>
          <w:ilvl w:val="0"/>
          <w:numId w:val="16"/>
        </w:numPr>
        <w:tabs>
          <w:tab w:val="left" w:pos="-1440"/>
        </w:tabs>
        <w:ind w:right="720"/>
        <w:rPr>
          <w:bCs/>
          <w:szCs w:val="24"/>
        </w:rPr>
      </w:pPr>
      <w:bookmarkStart w:id="2" w:name="_Hlk171599270"/>
      <w:r w:rsidRPr="00EB2737">
        <w:rPr>
          <w:bCs/>
          <w:szCs w:val="24"/>
        </w:rPr>
        <w:t>Requiring respondents to report information to MARAD more often than quarterly;</w:t>
      </w:r>
    </w:p>
    <w:p w:rsidR="00EB2737" w:rsidRPr="00EB2737" w:rsidP="00EB2737" w14:paraId="5003D7BA" w14:textId="77777777">
      <w:pPr>
        <w:numPr>
          <w:ilvl w:val="0"/>
          <w:numId w:val="16"/>
        </w:numPr>
        <w:tabs>
          <w:tab w:val="left" w:pos="-1440"/>
        </w:tabs>
        <w:ind w:right="720"/>
        <w:rPr>
          <w:bCs/>
          <w:szCs w:val="24"/>
        </w:rPr>
      </w:pPr>
      <w:r w:rsidRPr="00EB2737">
        <w:rPr>
          <w:bCs/>
          <w:szCs w:val="24"/>
        </w:rPr>
        <w:t>Requiring respondents to prepare a written response in fewer than 30 days after receipt of a collection instrument;</w:t>
      </w:r>
    </w:p>
    <w:p w:rsidR="00EB2737" w:rsidRPr="00EB2737" w:rsidP="00EB2737" w14:paraId="1755E3B9" w14:textId="77777777">
      <w:pPr>
        <w:numPr>
          <w:ilvl w:val="0"/>
          <w:numId w:val="16"/>
        </w:numPr>
        <w:tabs>
          <w:tab w:val="left" w:pos="-1440"/>
        </w:tabs>
        <w:ind w:right="720"/>
        <w:rPr>
          <w:bCs/>
          <w:szCs w:val="24"/>
        </w:rPr>
      </w:pPr>
      <w:r w:rsidRPr="00EB2737">
        <w:rPr>
          <w:bCs/>
          <w:szCs w:val="24"/>
        </w:rPr>
        <w:t>Requiring respondents to retain records, other than health, medical, government contract, grant-in-aid, or tax records for more than three years;</w:t>
      </w:r>
    </w:p>
    <w:p w:rsidR="00EB2737" w:rsidRPr="00EB2737" w:rsidP="00EB2737" w14:paraId="550DEE66" w14:textId="77777777">
      <w:pPr>
        <w:numPr>
          <w:ilvl w:val="0"/>
          <w:numId w:val="16"/>
        </w:numPr>
        <w:tabs>
          <w:tab w:val="left" w:pos="-1440"/>
        </w:tabs>
        <w:ind w:right="720"/>
        <w:rPr>
          <w:bCs/>
          <w:szCs w:val="24"/>
        </w:rPr>
      </w:pPr>
      <w:r w:rsidRPr="00EB2737">
        <w:rPr>
          <w:bCs/>
          <w:szCs w:val="24"/>
        </w:rPr>
        <w:t>Requiring the use of any statistical data that is not designed to produce valid and reliable results that can be generalized to the universe of study;</w:t>
      </w:r>
    </w:p>
    <w:p w:rsidR="00EB2737" w:rsidRPr="00EB2737" w:rsidP="00EB2737" w14:paraId="127F8FC1" w14:textId="77777777">
      <w:pPr>
        <w:numPr>
          <w:ilvl w:val="0"/>
          <w:numId w:val="16"/>
        </w:numPr>
        <w:tabs>
          <w:tab w:val="left" w:pos="-1440"/>
        </w:tabs>
        <w:ind w:right="720"/>
        <w:rPr>
          <w:bCs/>
          <w:szCs w:val="24"/>
        </w:rPr>
      </w:pPr>
      <w:r w:rsidRPr="00EB2737">
        <w:rPr>
          <w:bCs/>
          <w:szCs w:val="24"/>
        </w:rPr>
        <w:t>Requiring the use of a statistical data classification that has not been reviewed and approved by OMB;</w:t>
      </w:r>
    </w:p>
    <w:p w:rsidR="00EB2737" w:rsidRPr="00EB2737" w:rsidP="00EB2737" w14:paraId="42BAAAA4" w14:textId="77777777">
      <w:pPr>
        <w:numPr>
          <w:ilvl w:val="0"/>
          <w:numId w:val="16"/>
        </w:numPr>
        <w:tabs>
          <w:tab w:val="left" w:pos="-1440"/>
        </w:tabs>
        <w:ind w:right="720"/>
        <w:rPr>
          <w:bCs/>
          <w:szCs w:val="24"/>
        </w:rPr>
      </w:pPr>
      <w:r w:rsidRPr="00EB2737">
        <w:rPr>
          <w:bCs/>
          <w:szCs w:val="24"/>
        </w:rPr>
        <w:t xml:space="preserve">Requiring any pledge of confidentiality; or </w:t>
      </w:r>
    </w:p>
    <w:p w:rsidR="00EB2737" w:rsidRPr="00EB2737" w:rsidP="00EB2737" w14:paraId="0E313304" w14:textId="77777777">
      <w:pPr>
        <w:numPr>
          <w:ilvl w:val="0"/>
          <w:numId w:val="16"/>
        </w:numPr>
        <w:tabs>
          <w:tab w:val="left" w:pos="-1440"/>
        </w:tabs>
        <w:ind w:right="720"/>
        <w:rPr>
          <w:bCs/>
          <w:szCs w:val="24"/>
        </w:rPr>
      </w:pPr>
      <w:r w:rsidRPr="00EB2737">
        <w:rPr>
          <w:bCs/>
          <w:szCs w:val="24"/>
        </w:rPr>
        <w:t>Requiring respondents to submit any proprietary or trade secrets.</w:t>
      </w:r>
    </w:p>
    <w:bookmarkEnd w:id="2"/>
    <w:p w:rsidR="00EB2737" w:rsidRPr="00EB2737" w:rsidP="00EB2737" w14:paraId="107EE757" w14:textId="77777777">
      <w:pPr>
        <w:tabs>
          <w:tab w:val="left" w:pos="-1440"/>
        </w:tabs>
        <w:ind w:left="360" w:right="720"/>
        <w:rPr>
          <w:szCs w:val="24"/>
        </w:rPr>
      </w:pPr>
    </w:p>
    <w:p w:rsidR="00D312CE" w:rsidRPr="00BF5638" w14:paraId="60CDFCA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B2737" w:rsidRPr="00FD2FDE" w:rsidP="00FD2FDE" w14:paraId="223715A0" w14:textId="77777777">
      <w:pPr>
        <w:pStyle w:val="ListParagraph"/>
        <w:numPr>
          <w:ilvl w:val="0"/>
          <w:numId w:val="15"/>
        </w:numPr>
        <w:rPr>
          <w:b/>
          <w:szCs w:val="24"/>
        </w:rPr>
      </w:pPr>
      <w:r w:rsidRPr="00FD2FDE">
        <w:rPr>
          <w:b/>
          <w:szCs w:val="24"/>
        </w:rPr>
        <w:t xml:space="preserve">Public Comments in Response to the Federal Register Notice and Outside Consultation </w:t>
      </w:r>
    </w:p>
    <w:p w:rsidR="00DC57F6" w:rsidRPr="00BF5638" w:rsidP="00DC57F6" w14:paraId="560C933E" w14:textId="77777777">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B2737" w:rsidRPr="00BF5638" w:rsidP="00FD2FDE" w14:paraId="5D27D831" w14:textId="6C6DE9D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344943">
        <w:rPr>
          <w:bCs/>
          <w:szCs w:val="24"/>
        </w:rPr>
        <w:t>MARAD published a 60-day notice and request for comments on this information collection in the Federal Register (</w:t>
      </w:r>
      <w:r>
        <w:rPr>
          <w:bCs/>
          <w:szCs w:val="24"/>
        </w:rPr>
        <w:t>89 Fed. Reg. 65486</w:t>
      </w:r>
      <w:r w:rsidRPr="00344943">
        <w:rPr>
          <w:bCs/>
          <w:szCs w:val="24"/>
        </w:rPr>
        <w:t xml:space="preserve">) on </w:t>
      </w:r>
      <w:r>
        <w:rPr>
          <w:bCs/>
          <w:szCs w:val="24"/>
        </w:rPr>
        <w:t>August 9, 2024</w:t>
      </w:r>
      <w:r w:rsidRPr="00344943">
        <w:rPr>
          <w:bCs/>
          <w:szCs w:val="24"/>
        </w:rPr>
        <w:t xml:space="preserve">, indicating comments should be submitted on or before </w:t>
      </w:r>
      <w:r>
        <w:rPr>
          <w:bCs/>
          <w:szCs w:val="24"/>
        </w:rPr>
        <w:t>October 8, 2024</w:t>
      </w:r>
      <w:r w:rsidRPr="00344943">
        <w:rPr>
          <w:bCs/>
          <w:szCs w:val="24"/>
        </w:rPr>
        <w:t xml:space="preserve">. </w:t>
      </w:r>
      <w:r>
        <w:rPr>
          <w:bCs/>
          <w:szCs w:val="24"/>
        </w:rPr>
        <w:t xml:space="preserve"> MARAD received no comments responding to this notice</w:t>
      </w:r>
      <w:r w:rsidRPr="00344943">
        <w:rPr>
          <w:bCs/>
          <w:szCs w:val="24"/>
        </w:rPr>
        <w:t>. A 30-day notice will now be published in the Federal Register to solicit public comments</w:t>
      </w:r>
      <w:r>
        <w:rPr>
          <w:bCs/>
          <w:szCs w:val="24"/>
        </w:rPr>
        <w:t xml:space="preserve">. </w:t>
      </w:r>
    </w:p>
    <w:p w:rsidR="00545A59" w:rsidRPr="00BF5638" w:rsidP="00FD2FDE" w14:paraId="7A308DB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545A59" w:rsidRPr="00BF5638" w:rsidP="00FD2FDE" w14:paraId="1FCEE7F3" w14:textId="2E09D45A">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Expla</w:t>
      </w:r>
      <w:r w:rsidR="00EB2737">
        <w:rPr>
          <w:b/>
          <w:szCs w:val="24"/>
        </w:rPr>
        <w:t>nation of Any P</w:t>
      </w:r>
      <w:r w:rsidRPr="00BF5638">
        <w:rPr>
          <w:b/>
          <w:szCs w:val="24"/>
        </w:rPr>
        <w:t xml:space="preserve">ayment or </w:t>
      </w:r>
      <w:r w:rsidR="001547D2">
        <w:rPr>
          <w:b/>
          <w:szCs w:val="24"/>
        </w:rPr>
        <w:t>G</w:t>
      </w:r>
      <w:r w:rsidRPr="00BF5638" w:rsidR="001547D2">
        <w:rPr>
          <w:b/>
          <w:szCs w:val="24"/>
        </w:rPr>
        <w:t xml:space="preserve">ift </w:t>
      </w:r>
      <w:r w:rsidRPr="00BF5638">
        <w:rPr>
          <w:b/>
          <w:szCs w:val="24"/>
        </w:rPr>
        <w:t xml:space="preserve">to </w:t>
      </w:r>
      <w:r w:rsidR="001547D2">
        <w:rPr>
          <w:b/>
          <w:szCs w:val="24"/>
        </w:rPr>
        <w:t>R</w:t>
      </w:r>
      <w:r w:rsidRPr="00BF5638" w:rsidR="001547D2">
        <w:rPr>
          <w:b/>
          <w:szCs w:val="24"/>
        </w:rPr>
        <w:t>espondents</w:t>
      </w:r>
    </w:p>
    <w:p w:rsidR="001547D2" w14:paraId="19B692B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45A59" w:rsidRPr="001547D2" w:rsidP="001B7EE2" w14:paraId="5FA50E99" w14:textId="56D06A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r w:rsidR="001B7EE2">
        <w:rPr>
          <w:szCs w:val="24"/>
        </w:rPr>
        <w:t xml:space="preserve">       </w:t>
      </w:r>
      <w:r>
        <w:rPr>
          <w:szCs w:val="24"/>
        </w:rPr>
        <w:t xml:space="preserve"> </w:t>
      </w:r>
      <w:r w:rsidR="00FD2FDE">
        <w:rPr>
          <w:szCs w:val="24"/>
        </w:rPr>
        <w:t>N</w:t>
      </w:r>
      <w:r w:rsidRPr="001547D2">
        <w:rPr>
          <w:szCs w:val="24"/>
        </w:rPr>
        <w:t>o payment</w:t>
      </w:r>
      <w:r w:rsidR="00FD2FDE">
        <w:rPr>
          <w:szCs w:val="24"/>
        </w:rPr>
        <w:t>s</w:t>
      </w:r>
      <w:r w:rsidRPr="001547D2">
        <w:rPr>
          <w:szCs w:val="24"/>
        </w:rPr>
        <w:t xml:space="preserve"> or gift</w:t>
      </w:r>
      <w:r w:rsidR="00FD2FDE">
        <w:rPr>
          <w:szCs w:val="24"/>
        </w:rPr>
        <w:t>s</w:t>
      </w:r>
      <w:r w:rsidRPr="001547D2">
        <w:rPr>
          <w:szCs w:val="24"/>
        </w:rPr>
        <w:t xml:space="preserve"> are provided to respondents.</w:t>
      </w:r>
    </w:p>
    <w:p w:rsidR="00545A59" w:rsidRPr="00BF5638" w:rsidP="001B7EE2" w14:paraId="5A2DDBB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545A59" w:rsidRPr="00BF5638" w:rsidP="00FD2FDE" w14:paraId="3237BA0C" w14:textId="22E22B42">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Pr>
          <w:b/>
          <w:szCs w:val="24"/>
        </w:rPr>
        <w:t>A</w:t>
      </w:r>
      <w:r w:rsidRPr="00BF5638">
        <w:rPr>
          <w:b/>
          <w:szCs w:val="24"/>
        </w:rPr>
        <w:t xml:space="preserve">ssurance of </w:t>
      </w:r>
      <w:r w:rsidR="003806B5">
        <w:rPr>
          <w:b/>
          <w:szCs w:val="24"/>
        </w:rPr>
        <w:t>C</w:t>
      </w:r>
      <w:r w:rsidRPr="00BF5638" w:rsidR="003806B5">
        <w:rPr>
          <w:b/>
          <w:szCs w:val="24"/>
        </w:rPr>
        <w:t xml:space="preserve">onfidentiality </w:t>
      </w:r>
      <w:r w:rsidR="003806B5">
        <w:rPr>
          <w:b/>
          <w:szCs w:val="24"/>
        </w:rPr>
        <w:t>and</w:t>
      </w:r>
      <w:r>
        <w:rPr>
          <w:b/>
          <w:szCs w:val="24"/>
        </w:rPr>
        <w:t xml:space="preserve"> Protection of Privacy </w:t>
      </w:r>
    </w:p>
    <w:p w:rsidR="001547D2" w:rsidP="00AE2020" w14:paraId="3AD0194B" w14:textId="77777777">
      <w:pPr>
        <w:pStyle w:val="CommentText"/>
        <w:rPr>
          <w:sz w:val="24"/>
          <w:szCs w:val="24"/>
        </w:rPr>
      </w:pPr>
    </w:p>
    <w:p w:rsidR="00AE2020" w:rsidRPr="00BF5638" w:rsidP="00FD2FDE" w14:paraId="1EE92E63" w14:textId="2BDC8C54">
      <w:pPr>
        <w:pStyle w:val="CommentText"/>
        <w:ind w:left="720"/>
        <w:rPr>
          <w:sz w:val="24"/>
          <w:szCs w:val="24"/>
        </w:rPr>
      </w:pPr>
      <w:r w:rsidRPr="00BF5638">
        <w:rPr>
          <w:sz w:val="24"/>
          <w:szCs w:val="24"/>
        </w:rPr>
        <w:t>All data collected from individual companies will be maintained</w:t>
      </w:r>
      <w:r w:rsidR="001547D2">
        <w:rPr>
          <w:sz w:val="24"/>
          <w:szCs w:val="24"/>
        </w:rPr>
        <w:t xml:space="preserve">, </w:t>
      </w:r>
      <w:r w:rsidRPr="00BF5638">
        <w:rPr>
          <w:sz w:val="24"/>
          <w:szCs w:val="24"/>
        </w:rPr>
        <w:t xml:space="preserve">treated </w:t>
      </w:r>
      <w:r w:rsidR="001547D2">
        <w:rPr>
          <w:sz w:val="24"/>
          <w:szCs w:val="24"/>
        </w:rPr>
        <w:t xml:space="preserve">as confidential </w:t>
      </w:r>
      <w:r w:rsidRPr="00BF5638">
        <w:rPr>
          <w:sz w:val="24"/>
          <w:szCs w:val="24"/>
        </w:rPr>
        <w:t>by MARAD</w:t>
      </w:r>
      <w:r w:rsidR="001547D2">
        <w:rPr>
          <w:sz w:val="24"/>
          <w:szCs w:val="24"/>
        </w:rPr>
        <w:t xml:space="preserve"> personnel, </w:t>
      </w:r>
      <w:r w:rsidRPr="00BF5638">
        <w:rPr>
          <w:sz w:val="24"/>
          <w:szCs w:val="24"/>
        </w:rPr>
        <w:t xml:space="preserve">and will not be released to the general public.  </w:t>
      </w:r>
      <w:r w:rsidRPr="00BF5638">
        <w:rPr>
          <w:sz w:val="24"/>
          <w:szCs w:val="24"/>
        </w:rPr>
        <w:t>MARAD assures the public that their application information will be held in confidence in the VISA document that was extende</w:t>
      </w:r>
      <w:r w:rsidRPr="00BF5638" w:rsidR="002501D5">
        <w:rPr>
          <w:sz w:val="24"/>
          <w:szCs w:val="24"/>
        </w:rPr>
        <w:t>d on September 30, 2020</w:t>
      </w:r>
      <w:r w:rsidRPr="00BF5638">
        <w:rPr>
          <w:sz w:val="24"/>
          <w:szCs w:val="24"/>
        </w:rPr>
        <w:t>.  The VISA document states that all information identified as privileged or business confidential shall be withheld from public disclosure per 5 U.S.C. § 552(b)</w:t>
      </w:r>
      <w:r w:rsidR="00075BA1">
        <w:rPr>
          <w:sz w:val="24"/>
          <w:szCs w:val="24"/>
        </w:rPr>
        <w:t>,</w:t>
      </w:r>
      <w:r w:rsidRPr="00BF5638">
        <w:rPr>
          <w:sz w:val="24"/>
          <w:szCs w:val="24"/>
        </w:rPr>
        <w:t xml:space="preserve"> </w:t>
      </w:r>
      <w:r w:rsidR="00075BA1">
        <w:rPr>
          <w:sz w:val="24"/>
          <w:szCs w:val="24"/>
        </w:rPr>
        <w:t>DPA Sections</w:t>
      </w:r>
      <w:r w:rsidRPr="00BF5638">
        <w:rPr>
          <w:sz w:val="24"/>
          <w:szCs w:val="24"/>
        </w:rPr>
        <w:t xml:space="preserve"> 708(h)(3) </w:t>
      </w:r>
      <w:r w:rsidR="00075BA1">
        <w:rPr>
          <w:sz w:val="24"/>
          <w:szCs w:val="24"/>
        </w:rPr>
        <w:t>&amp;</w:t>
      </w:r>
      <w:r w:rsidRPr="00BF5638">
        <w:rPr>
          <w:sz w:val="24"/>
          <w:szCs w:val="24"/>
        </w:rPr>
        <w:t xml:space="preserve"> 705(</w:t>
      </w:r>
      <w:r w:rsidR="00FD2FDE">
        <w:rPr>
          <w:sz w:val="24"/>
          <w:szCs w:val="24"/>
        </w:rPr>
        <w:t>d</w:t>
      </w:r>
      <w:r w:rsidRPr="00BF5638">
        <w:rPr>
          <w:sz w:val="24"/>
          <w:szCs w:val="24"/>
        </w:rPr>
        <w:t>)</w:t>
      </w:r>
      <w:r w:rsidR="00FD2FDE">
        <w:rPr>
          <w:sz w:val="24"/>
          <w:szCs w:val="24"/>
        </w:rPr>
        <w:t xml:space="preserve"> (50 U.S.C. §§ 4558(h)(3) &amp; 4555(d))</w:t>
      </w:r>
      <w:r w:rsidR="00075BA1">
        <w:rPr>
          <w:sz w:val="24"/>
          <w:szCs w:val="24"/>
        </w:rPr>
        <w:t>,</w:t>
      </w:r>
      <w:r w:rsidRPr="00BF5638">
        <w:rPr>
          <w:sz w:val="24"/>
          <w:szCs w:val="24"/>
        </w:rPr>
        <w:t xml:space="preserve"> and 46 C.F.R. Part 332.  Paper applications are secured in office records storage cabinets that are locked at all times.  Electronic information is maintained by office personnel in a directory that requires a password.</w:t>
      </w:r>
    </w:p>
    <w:p w:rsidR="00787B7C" w:rsidRPr="00BF5638" w:rsidP="00FD2FDE" w14:paraId="72A53F23" w14:textId="77777777">
      <w:pPr>
        <w:pStyle w:val="CommentText"/>
        <w:ind w:left="360"/>
        <w:rPr>
          <w:sz w:val="24"/>
          <w:szCs w:val="24"/>
        </w:rPr>
      </w:pPr>
    </w:p>
    <w:p w:rsidR="001547D2" w:rsidP="00760D9F" w14:paraId="2BB53FAC" w14:textId="5BF3E630">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Pr>
          <w:b/>
          <w:szCs w:val="24"/>
        </w:rPr>
        <w:t>J</w:t>
      </w:r>
      <w:r w:rsidRPr="00BF5638" w:rsidR="00545A59">
        <w:rPr>
          <w:b/>
          <w:szCs w:val="24"/>
        </w:rPr>
        <w:t>ustification for</w:t>
      </w:r>
      <w:r>
        <w:rPr>
          <w:b/>
          <w:szCs w:val="24"/>
        </w:rPr>
        <w:t xml:space="preserve"> S</w:t>
      </w:r>
      <w:r w:rsidRPr="00BF5638" w:rsidR="00545A59">
        <w:rPr>
          <w:b/>
          <w:szCs w:val="24"/>
        </w:rPr>
        <w:t>ensitive</w:t>
      </w:r>
      <w:r>
        <w:rPr>
          <w:b/>
          <w:szCs w:val="24"/>
        </w:rPr>
        <w:t xml:space="preserve"> Q</w:t>
      </w:r>
      <w:r w:rsidRPr="00BF5638">
        <w:rPr>
          <w:b/>
          <w:szCs w:val="24"/>
        </w:rPr>
        <w:t>uestions</w:t>
      </w:r>
      <w:r>
        <w:rPr>
          <w:b/>
          <w:szCs w:val="24"/>
        </w:rPr>
        <w:t xml:space="preserve"> </w:t>
      </w:r>
    </w:p>
    <w:p w:rsidR="0074653A" w:rsidRPr="00BF5638" w14:paraId="35EF3FBD" w14:textId="77777777">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p>
    <w:p w:rsidR="00545A59" w:rsidRPr="00BF5638" w:rsidP="00FD2FDE" w14:paraId="366D0742" w14:textId="4B9758D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rPr>
        <w:t xml:space="preserve"> There are no questions of a sensitive nature.</w:t>
      </w:r>
    </w:p>
    <w:p w:rsidR="002E4128" w:rsidRPr="00BF5638" w:rsidP="00FD2FDE" w14:paraId="0FBC416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2B3F1C" w:rsidRPr="00FD2FDE" w:rsidP="00760D9F" w14:paraId="596B2A91" w14:textId="3FADB734">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Pr>
          <w:b/>
          <w:szCs w:val="24"/>
        </w:rPr>
        <w:t xml:space="preserve">Estimate of Annualized Burden Hours and Cost </w:t>
      </w:r>
    </w:p>
    <w:p w:rsidR="001547D2" w:rsidP="00760D9F" w14:paraId="3683651A"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rPr>
          <w:b/>
          <w:szCs w:val="24"/>
        </w:rPr>
      </w:pPr>
    </w:p>
    <w:p w:rsidR="001547D2" w:rsidP="00760D9F" w14:paraId="34ABBA89" w14:textId="32C1CD63">
      <w:pPr>
        <w:pStyle w:val="ListParagraph"/>
        <w:numPr>
          <w:ilvl w:val="0"/>
          <w:numId w:val="17"/>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bCs/>
          <w:szCs w:val="24"/>
        </w:rPr>
      </w:pPr>
      <w:r w:rsidRPr="00FD2FDE">
        <w:rPr>
          <w:b/>
          <w:bCs/>
          <w:szCs w:val="24"/>
        </w:rPr>
        <w:t xml:space="preserve">Estimated Annualized Burden Hours </w:t>
      </w:r>
    </w:p>
    <w:p w:rsidR="00647C5E" w:rsidP="00760D9F" w14:paraId="39A0CC25"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bCs/>
          <w:szCs w:val="24"/>
        </w:rPr>
      </w:pPr>
    </w:p>
    <w:p w:rsidR="00647C5E" w:rsidP="0042283E" w14:paraId="37DAB2AC" w14:textId="026ACF31">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r>
        <w:rPr>
          <w:szCs w:val="24"/>
        </w:rPr>
        <w:t>An estimated 40 respondents will take approximately 5 hours to respond on</w:t>
      </w:r>
      <w:r w:rsidR="009712EF">
        <w:rPr>
          <w:szCs w:val="24"/>
        </w:rPr>
        <w:t>c</w:t>
      </w:r>
      <w:r>
        <w:rPr>
          <w:szCs w:val="24"/>
        </w:rPr>
        <w:t>e annually to the form associated with this collection for a total 200 hours, which can be calculated as shown in the table below:</w:t>
      </w:r>
    </w:p>
    <w:p w:rsidR="00647C5E" w:rsidRPr="00647C5E" w:rsidP="00FD2FDE" w14:paraId="6F2731C0"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p>
    <w:tbl>
      <w:tblPr>
        <w:tblW w:w="9865" w:type="dxa"/>
        <w:tblInd w:w="345" w:type="dxa"/>
        <w:tblLook w:val="04A0"/>
      </w:tblPr>
      <w:tblGrid>
        <w:gridCol w:w="1545"/>
        <w:gridCol w:w="443"/>
        <w:gridCol w:w="1633"/>
        <w:gridCol w:w="423"/>
        <w:gridCol w:w="1350"/>
        <w:gridCol w:w="546"/>
        <w:gridCol w:w="1530"/>
        <w:gridCol w:w="627"/>
        <w:gridCol w:w="1533"/>
        <w:gridCol w:w="235"/>
      </w:tblGrid>
      <w:tr w14:paraId="438F3F73" w14:textId="77777777" w:rsidTr="00760D9F">
        <w:tblPrEx>
          <w:tblW w:w="9865" w:type="dxa"/>
          <w:tblInd w:w="345" w:type="dxa"/>
          <w:tblLook w:val="04A0"/>
        </w:tblPrEx>
        <w:trPr>
          <w:gridAfter w:val="1"/>
          <w:wAfter w:w="235" w:type="dxa"/>
          <w:trHeight w:val="1412"/>
        </w:trPr>
        <w:tc>
          <w:tcPr>
            <w:tcW w:w="1545"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647C5E" w:rsidRPr="00647C5E" w:rsidP="00647C5E" w14:paraId="085548EF" w14:textId="77777777">
            <w:pPr>
              <w:widowControl/>
              <w:jc w:val="center"/>
              <w:rPr>
                <w:b/>
                <w:bCs/>
                <w:snapToGrid/>
                <w:color w:val="000000"/>
                <w:sz w:val="22"/>
                <w:szCs w:val="22"/>
              </w:rPr>
            </w:pPr>
            <w:r w:rsidRPr="00647C5E">
              <w:rPr>
                <w:b/>
                <w:bCs/>
                <w:snapToGrid/>
                <w:color w:val="000000"/>
                <w:sz w:val="22"/>
                <w:szCs w:val="22"/>
              </w:rPr>
              <w:t>Total Respondents</w:t>
            </w:r>
          </w:p>
        </w:tc>
        <w:tc>
          <w:tcPr>
            <w:tcW w:w="443" w:type="dxa"/>
            <w:tcBorders>
              <w:top w:val="single" w:sz="12" w:space="0" w:color="auto"/>
              <w:left w:val="nil"/>
              <w:bottom w:val="single" w:sz="12" w:space="0" w:color="auto"/>
              <w:right w:val="single" w:sz="12" w:space="0" w:color="auto"/>
            </w:tcBorders>
            <w:shd w:val="clear" w:color="000000" w:fill="D0CECE"/>
          </w:tcPr>
          <w:p w:rsidR="00647C5E" w:rsidRPr="00647C5E" w:rsidP="00647C5E" w14:paraId="1F4EE1FA" w14:textId="77777777">
            <w:pPr>
              <w:widowControl/>
              <w:jc w:val="center"/>
              <w:rPr>
                <w:b/>
                <w:bCs/>
                <w:snapToGrid/>
                <w:color w:val="000000"/>
                <w:sz w:val="22"/>
                <w:szCs w:val="22"/>
              </w:rPr>
            </w:pPr>
          </w:p>
        </w:tc>
        <w:tc>
          <w:tcPr>
            <w:tcW w:w="1633"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647C5E" w:rsidRPr="00647C5E" w:rsidP="00647C5E" w14:paraId="4ADB9EF6" w14:textId="103012D3">
            <w:pPr>
              <w:widowControl/>
              <w:jc w:val="center"/>
              <w:rPr>
                <w:b/>
                <w:bCs/>
                <w:snapToGrid/>
                <w:color w:val="000000"/>
                <w:sz w:val="22"/>
                <w:szCs w:val="22"/>
              </w:rPr>
            </w:pPr>
            <w:r w:rsidRPr="00647C5E">
              <w:rPr>
                <w:b/>
                <w:bCs/>
                <w:snapToGrid/>
                <w:color w:val="000000"/>
                <w:sz w:val="22"/>
                <w:szCs w:val="22"/>
              </w:rPr>
              <w:t>Total Responses per Respondent</w:t>
            </w:r>
          </w:p>
        </w:tc>
        <w:tc>
          <w:tcPr>
            <w:tcW w:w="423" w:type="dxa"/>
            <w:tcBorders>
              <w:top w:val="single" w:sz="12" w:space="0" w:color="auto"/>
              <w:left w:val="nil"/>
              <w:bottom w:val="single" w:sz="12" w:space="0" w:color="auto"/>
              <w:right w:val="single" w:sz="12" w:space="0" w:color="auto"/>
            </w:tcBorders>
            <w:shd w:val="clear" w:color="000000" w:fill="D0CECE"/>
          </w:tcPr>
          <w:p w:rsidR="00647C5E" w:rsidRPr="00647C5E" w:rsidP="00647C5E" w14:paraId="7EBAEB43" w14:textId="77777777">
            <w:pPr>
              <w:widowControl/>
              <w:jc w:val="center"/>
              <w:rPr>
                <w:b/>
                <w:bCs/>
                <w:snapToGrid/>
                <w:color w:val="000000"/>
                <w:sz w:val="22"/>
                <w:szCs w:val="22"/>
              </w:rPr>
            </w:pPr>
          </w:p>
        </w:tc>
        <w:tc>
          <w:tcPr>
            <w:tcW w:w="1350" w:type="dxa"/>
            <w:tcBorders>
              <w:top w:val="single" w:sz="12" w:space="0" w:color="auto"/>
              <w:left w:val="single" w:sz="12" w:space="0" w:color="auto"/>
              <w:bottom w:val="single" w:sz="12" w:space="0" w:color="auto"/>
              <w:right w:val="single" w:sz="12" w:space="0" w:color="auto"/>
            </w:tcBorders>
            <w:shd w:val="clear" w:color="000000" w:fill="D0CECE"/>
          </w:tcPr>
          <w:p w:rsidR="00647C5E" w:rsidP="00760D9F" w14:paraId="58B4D67F" w14:textId="77777777">
            <w:pPr>
              <w:widowControl/>
              <w:rPr>
                <w:b/>
                <w:bCs/>
                <w:snapToGrid/>
                <w:color w:val="000000"/>
                <w:sz w:val="22"/>
                <w:szCs w:val="22"/>
              </w:rPr>
            </w:pPr>
          </w:p>
          <w:p w:rsidR="00647C5E" w:rsidP="00FD2FDE" w14:paraId="33C9FFDF" w14:textId="77777777">
            <w:pPr>
              <w:widowControl/>
              <w:rPr>
                <w:b/>
                <w:bCs/>
                <w:snapToGrid/>
                <w:color w:val="000000"/>
                <w:sz w:val="22"/>
                <w:szCs w:val="22"/>
              </w:rPr>
            </w:pPr>
          </w:p>
          <w:p w:rsidR="00647C5E" w:rsidRPr="00647C5E" w:rsidP="00647C5E" w14:paraId="358ED4EF" w14:textId="687B2E87">
            <w:pPr>
              <w:widowControl/>
              <w:jc w:val="center"/>
              <w:rPr>
                <w:b/>
                <w:bCs/>
                <w:snapToGrid/>
                <w:color w:val="000000"/>
                <w:sz w:val="22"/>
                <w:szCs w:val="22"/>
              </w:rPr>
            </w:pPr>
            <w:r>
              <w:rPr>
                <w:b/>
                <w:bCs/>
                <w:snapToGrid/>
                <w:color w:val="000000"/>
                <w:sz w:val="22"/>
                <w:szCs w:val="22"/>
              </w:rPr>
              <w:t xml:space="preserve">Total Responses </w:t>
            </w:r>
          </w:p>
        </w:tc>
        <w:tc>
          <w:tcPr>
            <w:tcW w:w="546" w:type="dxa"/>
            <w:tcBorders>
              <w:top w:val="single" w:sz="12" w:space="0" w:color="auto"/>
              <w:left w:val="single" w:sz="12" w:space="0" w:color="auto"/>
              <w:bottom w:val="single" w:sz="12" w:space="0" w:color="auto"/>
              <w:right w:val="single" w:sz="12" w:space="0" w:color="auto"/>
            </w:tcBorders>
            <w:shd w:val="clear" w:color="000000" w:fill="D0CECE"/>
          </w:tcPr>
          <w:p w:rsidR="00647C5E" w:rsidRPr="00647C5E" w:rsidP="00647C5E" w14:paraId="3BD374D4" w14:textId="77777777">
            <w:pPr>
              <w:widowControl/>
              <w:jc w:val="center"/>
              <w:rPr>
                <w:b/>
                <w:bCs/>
                <w:snapToGrid/>
                <w:color w:val="000000"/>
                <w:sz w:val="22"/>
                <w:szCs w:val="22"/>
              </w:rPr>
            </w:pPr>
          </w:p>
        </w:tc>
        <w:tc>
          <w:tcPr>
            <w:tcW w:w="15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647C5E" w:rsidRPr="00647C5E" w:rsidP="00647C5E" w14:paraId="666E2EAA" w14:textId="347D091D">
            <w:pPr>
              <w:widowControl/>
              <w:jc w:val="center"/>
              <w:rPr>
                <w:b/>
                <w:bCs/>
                <w:snapToGrid/>
                <w:color w:val="000000"/>
                <w:sz w:val="22"/>
                <w:szCs w:val="22"/>
              </w:rPr>
            </w:pPr>
            <w:r w:rsidRPr="00647C5E">
              <w:rPr>
                <w:b/>
                <w:bCs/>
                <w:snapToGrid/>
                <w:color w:val="000000"/>
                <w:sz w:val="22"/>
                <w:szCs w:val="22"/>
              </w:rPr>
              <w:t>Average Time Taken to Respond (Hour)</w:t>
            </w:r>
          </w:p>
        </w:tc>
        <w:tc>
          <w:tcPr>
            <w:tcW w:w="627" w:type="dxa"/>
            <w:tcBorders>
              <w:top w:val="single" w:sz="12" w:space="0" w:color="auto"/>
              <w:left w:val="nil"/>
              <w:bottom w:val="single" w:sz="12" w:space="0" w:color="auto"/>
              <w:right w:val="single" w:sz="12" w:space="0" w:color="auto"/>
            </w:tcBorders>
            <w:shd w:val="clear" w:color="000000" w:fill="D0CECE"/>
          </w:tcPr>
          <w:p w:rsidR="00647C5E" w:rsidRPr="00647C5E" w:rsidP="00647C5E" w14:paraId="22D137D8" w14:textId="77777777">
            <w:pPr>
              <w:widowControl/>
              <w:jc w:val="center"/>
              <w:rPr>
                <w:b/>
                <w:bCs/>
                <w:snapToGrid/>
                <w:color w:val="000000"/>
                <w:sz w:val="22"/>
                <w:szCs w:val="22"/>
              </w:rPr>
            </w:pPr>
          </w:p>
        </w:tc>
        <w:tc>
          <w:tcPr>
            <w:tcW w:w="1533"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647C5E" w:rsidRPr="00647C5E" w:rsidP="00647C5E" w14:paraId="2C010DCB" w14:textId="6A1E2DD5">
            <w:pPr>
              <w:widowControl/>
              <w:jc w:val="center"/>
              <w:rPr>
                <w:b/>
                <w:bCs/>
                <w:snapToGrid/>
                <w:color w:val="000000"/>
                <w:sz w:val="22"/>
                <w:szCs w:val="22"/>
              </w:rPr>
            </w:pPr>
            <w:r w:rsidRPr="00647C5E">
              <w:rPr>
                <w:b/>
                <w:bCs/>
                <w:snapToGrid/>
                <w:color w:val="000000"/>
                <w:sz w:val="22"/>
                <w:szCs w:val="22"/>
              </w:rPr>
              <w:t>Total Burden Hours</w:t>
            </w:r>
          </w:p>
        </w:tc>
      </w:tr>
      <w:tr w14:paraId="24C050D7" w14:textId="77777777" w:rsidTr="00760D9F">
        <w:tblPrEx>
          <w:tblW w:w="9865" w:type="dxa"/>
          <w:tblInd w:w="345" w:type="dxa"/>
          <w:tblLook w:val="04A0"/>
        </w:tblPrEx>
        <w:trPr>
          <w:gridAfter w:val="1"/>
          <w:wAfter w:w="235" w:type="dxa"/>
          <w:trHeight w:val="298"/>
        </w:trPr>
        <w:tc>
          <w:tcPr>
            <w:tcW w:w="1545" w:type="dxa"/>
            <w:vMerge w:val="restart"/>
            <w:tcBorders>
              <w:top w:val="nil"/>
              <w:left w:val="single" w:sz="12" w:space="0" w:color="auto"/>
              <w:bottom w:val="single" w:sz="12" w:space="0" w:color="000000"/>
              <w:right w:val="single" w:sz="12" w:space="0" w:color="auto"/>
            </w:tcBorders>
            <w:shd w:val="clear" w:color="auto" w:fill="auto"/>
            <w:vAlign w:val="center"/>
            <w:hideMark/>
          </w:tcPr>
          <w:p w:rsidR="00647C5E" w:rsidRPr="00647C5E" w:rsidP="00647C5E" w14:paraId="6C4934E1" w14:textId="77777777">
            <w:pPr>
              <w:widowControl/>
              <w:jc w:val="center"/>
              <w:rPr>
                <w:snapToGrid/>
                <w:color w:val="000000"/>
                <w:sz w:val="22"/>
                <w:szCs w:val="22"/>
              </w:rPr>
            </w:pPr>
            <w:r w:rsidRPr="00647C5E">
              <w:rPr>
                <w:snapToGrid/>
                <w:color w:val="000000"/>
                <w:sz w:val="22"/>
                <w:szCs w:val="22"/>
              </w:rPr>
              <w:t>40</w:t>
            </w:r>
          </w:p>
        </w:tc>
        <w:tc>
          <w:tcPr>
            <w:tcW w:w="443" w:type="dxa"/>
            <w:vMerge w:val="restart"/>
            <w:tcBorders>
              <w:top w:val="nil"/>
              <w:left w:val="single" w:sz="12" w:space="0" w:color="auto"/>
              <w:right w:val="single" w:sz="12" w:space="0" w:color="auto"/>
            </w:tcBorders>
            <w:vAlign w:val="center"/>
          </w:tcPr>
          <w:p w:rsidR="00647C5E" w:rsidRPr="00647C5E" w:rsidP="00647C5E" w14:paraId="1E570342" w14:textId="5C6C89AD">
            <w:pPr>
              <w:widowControl/>
              <w:jc w:val="center"/>
              <w:rPr>
                <w:snapToGrid/>
                <w:color w:val="000000"/>
                <w:sz w:val="22"/>
                <w:szCs w:val="22"/>
              </w:rPr>
            </w:pPr>
            <w:r>
              <w:rPr>
                <w:snapToGrid/>
                <w:color w:val="000000"/>
                <w:sz w:val="22"/>
                <w:szCs w:val="22"/>
              </w:rPr>
              <w:t>*</w:t>
            </w:r>
          </w:p>
        </w:tc>
        <w:tc>
          <w:tcPr>
            <w:tcW w:w="1633" w:type="dxa"/>
            <w:vMerge w:val="restart"/>
            <w:tcBorders>
              <w:top w:val="nil"/>
              <w:left w:val="single" w:sz="12" w:space="0" w:color="auto"/>
              <w:bottom w:val="single" w:sz="12" w:space="0" w:color="000000"/>
              <w:right w:val="single" w:sz="12" w:space="0" w:color="auto"/>
            </w:tcBorders>
            <w:shd w:val="clear" w:color="auto" w:fill="auto"/>
            <w:vAlign w:val="center"/>
            <w:hideMark/>
          </w:tcPr>
          <w:p w:rsidR="00647C5E" w:rsidRPr="00647C5E" w:rsidP="00647C5E" w14:paraId="4F7E7EF1" w14:textId="303FE593">
            <w:pPr>
              <w:widowControl/>
              <w:jc w:val="center"/>
              <w:rPr>
                <w:snapToGrid/>
                <w:color w:val="000000"/>
                <w:sz w:val="22"/>
                <w:szCs w:val="22"/>
              </w:rPr>
            </w:pPr>
            <w:r w:rsidRPr="00647C5E">
              <w:rPr>
                <w:snapToGrid/>
                <w:color w:val="000000"/>
                <w:sz w:val="22"/>
                <w:szCs w:val="22"/>
              </w:rPr>
              <w:t>1</w:t>
            </w:r>
          </w:p>
        </w:tc>
        <w:tc>
          <w:tcPr>
            <w:tcW w:w="423" w:type="dxa"/>
            <w:vMerge w:val="restart"/>
            <w:tcBorders>
              <w:top w:val="nil"/>
              <w:left w:val="single" w:sz="12" w:space="0" w:color="auto"/>
              <w:right w:val="single" w:sz="12" w:space="0" w:color="auto"/>
            </w:tcBorders>
            <w:vAlign w:val="center"/>
          </w:tcPr>
          <w:p w:rsidR="00647C5E" w:rsidP="00647C5E" w14:paraId="2FD9B24D" w14:textId="6607B3FF">
            <w:pPr>
              <w:widowControl/>
              <w:jc w:val="center"/>
              <w:rPr>
                <w:snapToGrid/>
                <w:color w:val="000000"/>
                <w:sz w:val="22"/>
                <w:szCs w:val="22"/>
              </w:rPr>
            </w:pPr>
            <w:r>
              <w:rPr>
                <w:snapToGrid/>
                <w:color w:val="000000"/>
                <w:sz w:val="22"/>
                <w:szCs w:val="22"/>
              </w:rPr>
              <w:t>=</w:t>
            </w:r>
          </w:p>
        </w:tc>
        <w:tc>
          <w:tcPr>
            <w:tcW w:w="1350" w:type="dxa"/>
            <w:vMerge w:val="restart"/>
            <w:tcBorders>
              <w:top w:val="nil"/>
              <w:left w:val="single" w:sz="12" w:space="0" w:color="auto"/>
              <w:right w:val="single" w:sz="12" w:space="0" w:color="auto"/>
            </w:tcBorders>
          </w:tcPr>
          <w:p w:rsidR="00647C5E" w:rsidP="00647C5E" w14:paraId="062C07C3" w14:textId="77777777">
            <w:pPr>
              <w:widowControl/>
              <w:jc w:val="center"/>
              <w:rPr>
                <w:snapToGrid/>
                <w:color w:val="000000"/>
                <w:sz w:val="22"/>
                <w:szCs w:val="22"/>
              </w:rPr>
            </w:pPr>
          </w:p>
          <w:p w:rsidR="00647C5E" w:rsidRPr="00647C5E" w:rsidP="00647C5E" w14:paraId="5FD84B84" w14:textId="779765DF">
            <w:pPr>
              <w:widowControl/>
              <w:jc w:val="center"/>
              <w:rPr>
                <w:snapToGrid/>
                <w:color w:val="000000"/>
                <w:sz w:val="22"/>
                <w:szCs w:val="22"/>
              </w:rPr>
            </w:pPr>
            <w:r>
              <w:rPr>
                <w:snapToGrid/>
                <w:color w:val="000000"/>
                <w:sz w:val="22"/>
                <w:szCs w:val="22"/>
              </w:rPr>
              <w:t>40</w:t>
            </w:r>
          </w:p>
        </w:tc>
        <w:tc>
          <w:tcPr>
            <w:tcW w:w="546" w:type="dxa"/>
            <w:tcBorders>
              <w:top w:val="nil"/>
              <w:left w:val="single" w:sz="12" w:space="0" w:color="auto"/>
              <w:right w:val="single" w:sz="12" w:space="0" w:color="auto"/>
            </w:tcBorders>
          </w:tcPr>
          <w:p w:rsidR="00647C5E" w:rsidRPr="00647C5E" w:rsidP="00647C5E" w14:paraId="394516F8" w14:textId="77777777">
            <w:pPr>
              <w:widowControl/>
              <w:jc w:val="center"/>
              <w:rPr>
                <w:snapToGrid/>
                <w:color w:val="000000"/>
                <w:sz w:val="22"/>
                <w:szCs w:val="22"/>
              </w:rPr>
            </w:pPr>
          </w:p>
        </w:tc>
        <w:tc>
          <w:tcPr>
            <w:tcW w:w="1530" w:type="dxa"/>
            <w:vMerge w:val="restart"/>
            <w:tcBorders>
              <w:top w:val="nil"/>
              <w:left w:val="single" w:sz="12" w:space="0" w:color="auto"/>
              <w:bottom w:val="single" w:sz="12" w:space="0" w:color="000000"/>
              <w:right w:val="single" w:sz="12" w:space="0" w:color="auto"/>
            </w:tcBorders>
            <w:shd w:val="clear" w:color="auto" w:fill="auto"/>
            <w:vAlign w:val="center"/>
            <w:hideMark/>
          </w:tcPr>
          <w:p w:rsidR="00647C5E" w:rsidRPr="00647C5E" w:rsidP="00647C5E" w14:paraId="42D8D046" w14:textId="3A35B3F2">
            <w:pPr>
              <w:widowControl/>
              <w:jc w:val="center"/>
              <w:rPr>
                <w:snapToGrid/>
                <w:color w:val="000000"/>
                <w:sz w:val="22"/>
                <w:szCs w:val="22"/>
              </w:rPr>
            </w:pPr>
            <w:r w:rsidRPr="00647C5E">
              <w:rPr>
                <w:snapToGrid/>
                <w:color w:val="000000"/>
                <w:sz w:val="22"/>
                <w:szCs w:val="22"/>
              </w:rPr>
              <w:t>5</w:t>
            </w:r>
          </w:p>
        </w:tc>
        <w:tc>
          <w:tcPr>
            <w:tcW w:w="627" w:type="dxa"/>
            <w:vMerge w:val="restart"/>
            <w:tcBorders>
              <w:top w:val="nil"/>
              <w:left w:val="single" w:sz="12" w:space="0" w:color="auto"/>
              <w:right w:val="single" w:sz="12" w:space="0" w:color="auto"/>
            </w:tcBorders>
          </w:tcPr>
          <w:p w:rsidR="00647C5E" w:rsidP="00647C5E" w14:paraId="37ECC5E7" w14:textId="77777777">
            <w:pPr>
              <w:widowControl/>
              <w:jc w:val="center"/>
              <w:rPr>
                <w:snapToGrid/>
                <w:color w:val="000000"/>
                <w:sz w:val="22"/>
                <w:szCs w:val="22"/>
              </w:rPr>
            </w:pPr>
          </w:p>
          <w:p w:rsidR="00647C5E" w:rsidRPr="00647C5E" w:rsidP="00647C5E" w14:paraId="052E1574" w14:textId="2644C957">
            <w:pPr>
              <w:widowControl/>
              <w:jc w:val="center"/>
              <w:rPr>
                <w:snapToGrid/>
                <w:color w:val="000000"/>
                <w:sz w:val="22"/>
                <w:szCs w:val="22"/>
              </w:rPr>
            </w:pPr>
            <w:r>
              <w:rPr>
                <w:snapToGrid/>
                <w:color w:val="000000"/>
                <w:sz w:val="22"/>
                <w:szCs w:val="22"/>
              </w:rPr>
              <w:t>=</w:t>
            </w:r>
          </w:p>
        </w:tc>
        <w:tc>
          <w:tcPr>
            <w:tcW w:w="1533" w:type="dxa"/>
            <w:vMerge w:val="restart"/>
            <w:tcBorders>
              <w:top w:val="nil"/>
              <w:left w:val="single" w:sz="12" w:space="0" w:color="auto"/>
              <w:bottom w:val="single" w:sz="12" w:space="0" w:color="000000"/>
              <w:right w:val="single" w:sz="12" w:space="0" w:color="auto"/>
            </w:tcBorders>
            <w:shd w:val="clear" w:color="auto" w:fill="auto"/>
            <w:vAlign w:val="center"/>
            <w:hideMark/>
          </w:tcPr>
          <w:p w:rsidR="00647C5E" w:rsidRPr="00647C5E" w:rsidP="00647C5E" w14:paraId="12BAD66A" w14:textId="4F582FC9">
            <w:pPr>
              <w:widowControl/>
              <w:jc w:val="center"/>
              <w:rPr>
                <w:snapToGrid/>
                <w:color w:val="000000"/>
                <w:sz w:val="22"/>
                <w:szCs w:val="22"/>
              </w:rPr>
            </w:pPr>
            <w:r w:rsidRPr="00647C5E">
              <w:rPr>
                <w:snapToGrid/>
                <w:color w:val="000000"/>
                <w:sz w:val="22"/>
                <w:szCs w:val="22"/>
              </w:rPr>
              <w:t>200</w:t>
            </w:r>
          </w:p>
        </w:tc>
      </w:tr>
      <w:tr w14:paraId="7FADBEB4" w14:textId="77777777" w:rsidTr="00760D9F">
        <w:tblPrEx>
          <w:tblW w:w="9865" w:type="dxa"/>
          <w:tblInd w:w="345" w:type="dxa"/>
          <w:tblLook w:val="04A0"/>
        </w:tblPrEx>
        <w:trPr>
          <w:trHeight w:val="298"/>
        </w:trPr>
        <w:tc>
          <w:tcPr>
            <w:tcW w:w="1545" w:type="dxa"/>
            <w:vMerge/>
            <w:tcBorders>
              <w:top w:val="nil"/>
              <w:left w:val="single" w:sz="12" w:space="0" w:color="auto"/>
              <w:bottom w:val="single" w:sz="12" w:space="0" w:color="000000"/>
              <w:right w:val="single" w:sz="12" w:space="0" w:color="auto"/>
            </w:tcBorders>
            <w:vAlign w:val="center"/>
            <w:hideMark/>
          </w:tcPr>
          <w:p w:rsidR="00647C5E" w:rsidRPr="00647C5E" w:rsidP="00647C5E" w14:paraId="00EA01A8" w14:textId="77777777">
            <w:pPr>
              <w:widowControl/>
              <w:rPr>
                <w:snapToGrid/>
                <w:color w:val="000000"/>
                <w:sz w:val="22"/>
                <w:szCs w:val="22"/>
              </w:rPr>
            </w:pPr>
          </w:p>
        </w:tc>
        <w:tc>
          <w:tcPr>
            <w:tcW w:w="443" w:type="dxa"/>
            <w:vMerge/>
            <w:tcBorders>
              <w:left w:val="single" w:sz="12" w:space="0" w:color="auto"/>
              <w:bottom w:val="single" w:sz="12" w:space="0" w:color="000000"/>
              <w:right w:val="single" w:sz="12" w:space="0" w:color="auto"/>
            </w:tcBorders>
          </w:tcPr>
          <w:p w:rsidR="00647C5E" w:rsidRPr="00647C5E" w:rsidP="00647C5E" w14:paraId="1BE8EB6C" w14:textId="77777777">
            <w:pPr>
              <w:widowControl/>
              <w:rPr>
                <w:snapToGrid/>
                <w:color w:val="000000"/>
                <w:sz w:val="22"/>
                <w:szCs w:val="22"/>
              </w:rPr>
            </w:pPr>
          </w:p>
        </w:tc>
        <w:tc>
          <w:tcPr>
            <w:tcW w:w="1633" w:type="dxa"/>
            <w:vMerge/>
            <w:tcBorders>
              <w:top w:val="nil"/>
              <w:left w:val="single" w:sz="12" w:space="0" w:color="auto"/>
              <w:bottom w:val="single" w:sz="12" w:space="0" w:color="000000"/>
              <w:right w:val="single" w:sz="12" w:space="0" w:color="auto"/>
            </w:tcBorders>
            <w:vAlign w:val="center"/>
            <w:hideMark/>
          </w:tcPr>
          <w:p w:rsidR="00647C5E" w:rsidRPr="00647C5E" w:rsidP="00647C5E" w14:paraId="2C4E2A54" w14:textId="0B24C010">
            <w:pPr>
              <w:widowControl/>
              <w:rPr>
                <w:snapToGrid/>
                <w:color w:val="000000"/>
                <w:sz w:val="22"/>
                <w:szCs w:val="22"/>
              </w:rPr>
            </w:pPr>
          </w:p>
        </w:tc>
        <w:tc>
          <w:tcPr>
            <w:tcW w:w="423" w:type="dxa"/>
            <w:vMerge/>
            <w:tcBorders>
              <w:left w:val="single" w:sz="12" w:space="0" w:color="auto"/>
              <w:bottom w:val="single" w:sz="12" w:space="0" w:color="000000"/>
              <w:right w:val="single" w:sz="12" w:space="0" w:color="auto"/>
            </w:tcBorders>
          </w:tcPr>
          <w:p w:rsidR="00647C5E" w:rsidRPr="00647C5E" w:rsidP="00647C5E" w14:paraId="27D4AFF9" w14:textId="77777777">
            <w:pPr>
              <w:widowControl/>
              <w:rPr>
                <w:snapToGrid/>
                <w:color w:val="000000"/>
                <w:sz w:val="22"/>
                <w:szCs w:val="22"/>
              </w:rPr>
            </w:pPr>
          </w:p>
        </w:tc>
        <w:tc>
          <w:tcPr>
            <w:tcW w:w="1350" w:type="dxa"/>
            <w:vMerge/>
            <w:tcBorders>
              <w:left w:val="single" w:sz="12" w:space="0" w:color="auto"/>
              <w:bottom w:val="single" w:sz="12" w:space="0" w:color="000000"/>
              <w:right w:val="single" w:sz="12" w:space="0" w:color="auto"/>
            </w:tcBorders>
          </w:tcPr>
          <w:p w:rsidR="00647C5E" w:rsidRPr="00647C5E" w:rsidP="00647C5E" w14:paraId="353A051B" w14:textId="4D99FEE7">
            <w:pPr>
              <w:widowControl/>
              <w:rPr>
                <w:snapToGrid/>
                <w:color w:val="000000"/>
                <w:sz w:val="22"/>
                <w:szCs w:val="22"/>
              </w:rPr>
            </w:pPr>
          </w:p>
        </w:tc>
        <w:tc>
          <w:tcPr>
            <w:tcW w:w="546" w:type="dxa"/>
            <w:tcBorders>
              <w:left w:val="single" w:sz="12" w:space="0" w:color="auto"/>
              <w:bottom w:val="single" w:sz="12" w:space="0" w:color="000000"/>
              <w:right w:val="single" w:sz="12" w:space="0" w:color="auto"/>
            </w:tcBorders>
          </w:tcPr>
          <w:p w:rsidR="00647C5E" w:rsidRPr="00647C5E" w:rsidP="00647C5E" w14:paraId="47A3C987" w14:textId="2270EEA0">
            <w:pPr>
              <w:widowControl/>
              <w:rPr>
                <w:snapToGrid/>
                <w:color w:val="000000"/>
                <w:sz w:val="22"/>
                <w:szCs w:val="22"/>
              </w:rPr>
            </w:pPr>
            <w:r>
              <w:rPr>
                <w:snapToGrid/>
                <w:color w:val="000000"/>
                <w:sz w:val="22"/>
                <w:szCs w:val="22"/>
              </w:rPr>
              <w:t xml:space="preserve"> *</w:t>
            </w:r>
          </w:p>
        </w:tc>
        <w:tc>
          <w:tcPr>
            <w:tcW w:w="1530" w:type="dxa"/>
            <w:vMerge/>
            <w:tcBorders>
              <w:top w:val="nil"/>
              <w:left w:val="single" w:sz="12" w:space="0" w:color="auto"/>
              <w:bottom w:val="single" w:sz="12" w:space="0" w:color="000000"/>
              <w:right w:val="single" w:sz="12" w:space="0" w:color="auto"/>
            </w:tcBorders>
            <w:vAlign w:val="center"/>
            <w:hideMark/>
          </w:tcPr>
          <w:p w:rsidR="00647C5E" w:rsidRPr="00647C5E" w:rsidP="00647C5E" w14:paraId="4DBA9702" w14:textId="2A8EE995">
            <w:pPr>
              <w:widowControl/>
              <w:rPr>
                <w:snapToGrid/>
                <w:color w:val="000000"/>
                <w:sz w:val="22"/>
                <w:szCs w:val="22"/>
              </w:rPr>
            </w:pPr>
          </w:p>
        </w:tc>
        <w:tc>
          <w:tcPr>
            <w:tcW w:w="627" w:type="dxa"/>
            <w:vMerge/>
            <w:tcBorders>
              <w:left w:val="single" w:sz="12" w:space="0" w:color="auto"/>
              <w:bottom w:val="single" w:sz="12" w:space="0" w:color="000000"/>
              <w:right w:val="single" w:sz="12" w:space="0" w:color="auto"/>
            </w:tcBorders>
          </w:tcPr>
          <w:p w:rsidR="00647C5E" w:rsidRPr="00647C5E" w:rsidP="00647C5E" w14:paraId="2E163A9D" w14:textId="77777777">
            <w:pPr>
              <w:widowControl/>
              <w:rPr>
                <w:snapToGrid/>
                <w:color w:val="000000"/>
                <w:sz w:val="22"/>
                <w:szCs w:val="22"/>
              </w:rPr>
            </w:pPr>
          </w:p>
        </w:tc>
        <w:tc>
          <w:tcPr>
            <w:tcW w:w="1533" w:type="dxa"/>
            <w:vMerge/>
            <w:tcBorders>
              <w:top w:val="nil"/>
              <w:left w:val="single" w:sz="12" w:space="0" w:color="auto"/>
              <w:bottom w:val="single" w:sz="12" w:space="0" w:color="000000"/>
              <w:right w:val="single" w:sz="12" w:space="0" w:color="auto"/>
            </w:tcBorders>
            <w:vAlign w:val="center"/>
            <w:hideMark/>
          </w:tcPr>
          <w:p w:rsidR="00647C5E" w:rsidRPr="00647C5E" w:rsidP="00647C5E" w14:paraId="0A3FF971" w14:textId="53F9B80A">
            <w:pPr>
              <w:widowControl/>
              <w:rPr>
                <w:snapToGrid/>
                <w:color w:val="000000"/>
                <w:sz w:val="22"/>
                <w:szCs w:val="22"/>
              </w:rPr>
            </w:pPr>
          </w:p>
        </w:tc>
        <w:tc>
          <w:tcPr>
            <w:tcW w:w="235" w:type="dxa"/>
            <w:tcBorders>
              <w:top w:val="nil"/>
              <w:left w:val="nil"/>
              <w:bottom w:val="nil"/>
              <w:right w:val="nil"/>
            </w:tcBorders>
            <w:shd w:val="clear" w:color="auto" w:fill="auto"/>
            <w:noWrap/>
            <w:vAlign w:val="bottom"/>
            <w:hideMark/>
          </w:tcPr>
          <w:p w:rsidR="00647C5E" w:rsidRPr="00647C5E" w:rsidP="00647C5E" w14:paraId="5351076B" w14:textId="77777777">
            <w:pPr>
              <w:widowControl/>
              <w:jc w:val="center"/>
              <w:rPr>
                <w:snapToGrid/>
                <w:color w:val="000000"/>
                <w:sz w:val="22"/>
                <w:szCs w:val="22"/>
              </w:rPr>
            </w:pPr>
          </w:p>
        </w:tc>
      </w:tr>
    </w:tbl>
    <w:p w:rsidR="00DC57F6" w:rsidRPr="00BF5638" w:rsidP="00FD2FDE" w14:paraId="2A649244"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Cs w:val="24"/>
        </w:rPr>
      </w:pPr>
    </w:p>
    <w:p w:rsidR="001547D2" w:rsidRPr="00FD2FDE" w:rsidP="00760D9F" w14:paraId="5B09F70E" w14:textId="521EFFFC">
      <w:pPr>
        <w:pStyle w:val="ListParagraph"/>
        <w:numPr>
          <w:ilvl w:val="0"/>
          <w:numId w:val="1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FD2FDE">
        <w:rPr>
          <w:b/>
          <w:bCs/>
          <w:szCs w:val="24"/>
        </w:rPr>
        <w:t xml:space="preserve">Estimated Annualized Burden Costs </w:t>
      </w:r>
    </w:p>
    <w:p w:rsidR="001547D2" w:rsidP="00760D9F" w14:paraId="4D044FF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181352" w:rsidRPr="00A46247" w:rsidP="00181352" w14:paraId="1ADF6284" w14:textId="5CFD82A3">
      <w:pPr>
        <w:tabs>
          <w:tab w:val="left" w:pos="900"/>
        </w:tabs>
        <w:spacing w:line="280" w:lineRule="exact"/>
        <w:ind w:left="630" w:right="20"/>
        <w:rPr>
          <w:iCs/>
          <w:szCs w:val="24"/>
        </w:rPr>
      </w:pPr>
      <w:r w:rsidRPr="0042283E">
        <w:rPr>
          <w:iCs/>
          <w:snapToGrid/>
          <w:szCs w:val="24"/>
        </w:rPr>
        <w:t>The Bureau of Labor and Statistics (BLS)</w:t>
      </w:r>
      <w:r>
        <w:rPr>
          <w:iCs/>
          <w:snapToGrid/>
          <w:szCs w:val="24"/>
          <w:vertAlign w:val="superscript"/>
        </w:rPr>
        <w:footnoteReference w:id="2"/>
      </w:r>
      <w:r w:rsidRPr="0042283E">
        <w:rPr>
          <w:iCs/>
          <w:snapToGrid/>
          <w:szCs w:val="24"/>
        </w:rPr>
        <w:t xml:space="preserve"> estimates that the average hourly wage</w:t>
      </w:r>
      <w:r>
        <w:rPr>
          <w:iCs/>
          <w:snapToGrid/>
          <w:szCs w:val="24"/>
        </w:rPr>
        <w:t xml:space="preserve"> for an </w:t>
      </w:r>
      <w:bookmarkStart w:id="3" w:name="_Hlk172812243"/>
      <w:r w:rsidRPr="0042283E">
        <w:rPr>
          <w:iCs/>
          <w:snapToGrid/>
          <w:szCs w:val="24"/>
        </w:rPr>
        <w:t>Executive Secretary and or Executive Assistant</w:t>
      </w:r>
      <w:r w:rsidR="006B2960">
        <w:rPr>
          <w:iCs/>
          <w:snapToGrid/>
          <w:szCs w:val="24"/>
        </w:rPr>
        <w:t xml:space="preserve"> (43-6011) is </w:t>
      </w:r>
      <w:bookmarkEnd w:id="3"/>
      <w:r w:rsidR="006B2960">
        <w:rPr>
          <w:iCs/>
          <w:snapToGrid/>
          <w:szCs w:val="24"/>
        </w:rPr>
        <w:t xml:space="preserve">$ 35.42. </w:t>
      </w:r>
      <w:r w:rsidRPr="006B2960" w:rsidR="006B2960">
        <w:rPr>
          <w:iCs/>
          <w:snapToGrid/>
          <w:szCs w:val="24"/>
        </w:rPr>
        <w:t>When combined the total compensation rate of 29%</w:t>
      </w:r>
      <w:r>
        <w:rPr>
          <w:iCs/>
          <w:snapToGrid/>
          <w:szCs w:val="24"/>
          <w:vertAlign w:val="superscript"/>
        </w:rPr>
        <w:footnoteReference w:id="3"/>
      </w:r>
      <w:r w:rsidRPr="006B2960" w:rsidR="006B2960">
        <w:rPr>
          <w:iCs/>
          <w:snapToGrid/>
          <w:szCs w:val="24"/>
        </w:rPr>
        <w:t xml:space="preserve">, the annualized hourly rate for Executive Secretary and or </w:t>
      </w:r>
      <w:r w:rsidRPr="006B2960" w:rsidR="006B2960">
        <w:rPr>
          <w:iCs/>
          <w:snapToGrid/>
          <w:szCs w:val="24"/>
        </w:rPr>
        <w:t>Executive Assistant (43-6011) is</w:t>
      </w:r>
      <w:r w:rsidR="006B2960">
        <w:rPr>
          <w:iCs/>
          <w:snapToGrid/>
          <w:szCs w:val="24"/>
        </w:rPr>
        <w:t xml:space="preserve"> $45.70.</w:t>
      </w:r>
      <w:r>
        <w:rPr>
          <w:iCs/>
          <w:snapToGrid/>
          <w:szCs w:val="24"/>
        </w:rPr>
        <w:t xml:space="preserve"> </w:t>
      </w:r>
      <w:r>
        <w:rPr>
          <w:iCs/>
          <w:szCs w:val="24"/>
        </w:rPr>
        <w:t xml:space="preserve">Therefore the total annualized cost burden for all individuals associated with preparing and submitting data in response to this collection is </w:t>
      </w:r>
      <w:r w:rsidRPr="009B2C38">
        <w:rPr>
          <w:color w:val="000000"/>
          <w:sz w:val="20"/>
        </w:rPr>
        <w:t xml:space="preserve"> </w:t>
      </w:r>
      <w:r w:rsidRPr="006D5148">
        <w:rPr>
          <w:color w:val="000000"/>
          <w:szCs w:val="24"/>
        </w:rPr>
        <w:t>$</w:t>
      </w:r>
      <w:r>
        <w:rPr>
          <w:color w:val="000000"/>
          <w:szCs w:val="24"/>
        </w:rPr>
        <w:t>9,140, which can be calculated as show in the table below:</w:t>
      </w:r>
    </w:p>
    <w:p w:rsidR="006B2960" w:rsidP="00FD2FDE" w14:paraId="7343736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napToGrid/>
          <w:szCs w:val="24"/>
        </w:rPr>
      </w:pPr>
    </w:p>
    <w:tbl>
      <w:tblPr>
        <w:tblStyle w:val="TableGrid"/>
        <w:tblW w:w="11331" w:type="dxa"/>
        <w:tblInd w:w="-725" w:type="dxa"/>
        <w:tblLayout w:type="fixed"/>
        <w:tblLook w:val="04A0"/>
      </w:tblPr>
      <w:tblGrid>
        <w:gridCol w:w="1530"/>
        <w:gridCol w:w="990"/>
        <w:gridCol w:w="1620"/>
        <w:gridCol w:w="375"/>
        <w:gridCol w:w="1239"/>
        <w:gridCol w:w="531"/>
        <w:gridCol w:w="1594"/>
        <w:gridCol w:w="354"/>
        <w:gridCol w:w="1307"/>
        <w:gridCol w:w="463"/>
        <w:gridCol w:w="1328"/>
      </w:tblGrid>
      <w:tr w14:paraId="7F295657" w14:textId="77777777" w:rsidTr="00760D9F">
        <w:tblPrEx>
          <w:tblW w:w="11331" w:type="dxa"/>
          <w:tblInd w:w="-725" w:type="dxa"/>
          <w:tblLayout w:type="fixed"/>
          <w:tblLook w:val="04A0"/>
        </w:tblPrEx>
        <w:trPr>
          <w:trHeight w:val="927"/>
        </w:trPr>
        <w:tc>
          <w:tcPr>
            <w:tcW w:w="1530" w:type="dxa"/>
            <w:shd w:val="clear" w:color="auto" w:fill="D0CECE" w:themeFill="background2" w:themeFillShade="E6"/>
            <w:hideMark/>
          </w:tcPr>
          <w:p w:rsidR="00181352" w:rsidRPr="00FD2FDE" w:rsidP="00181352" w14:paraId="1C325A0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 xml:space="preserve">Title and Code of  Respondents </w:t>
            </w:r>
          </w:p>
        </w:tc>
        <w:tc>
          <w:tcPr>
            <w:tcW w:w="990" w:type="dxa"/>
            <w:shd w:val="clear" w:color="auto" w:fill="D0CECE" w:themeFill="background2" w:themeFillShade="E6"/>
            <w:hideMark/>
          </w:tcPr>
          <w:p w:rsidR="00181352" w:rsidRPr="00FD2FDE" w:rsidP="00181352" w14:paraId="52B42C5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 xml:space="preserve">Hourly Wage </w:t>
            </w:r>
          </w:p>
        </w:tc>
        <w:tc>
          <w:tcPr>
            <w:tcW w:w="1620" w:type="dxa"/>
            <w:shd w:val="clear" w:color="auto" w:fill="D0CECE" w:themeFill="background2" w:themeFillShade="E6"/>
            <w:hideMark/>
          </w:tcPr>
          <w:p w:rsidR="00181352" w:rsidRPr="00FD2FDE" w:rsidP="00181352" w14:paraId="6515B3C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 xml:space="preserve">Compensation Rate of 29% </w:t>
            </w:r>
          </w:p>
        </w:tc>
        <w:tc>
          <w:tcPr>
            <w:tcW w:w="375" w:type="dxa"/>
            <w:shd w:val="clear" w:color="auto" w:fill="D0CECE" w:themeFill="background2" w:themeFillShade="E6"/>
          </w:tcPr>
          <w:p w:rsidR="00181352" w:rsidRPr="00181352" w:rsidP="00181352" w14:paraId="38721AD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p>
        </w:tc>
        <w:tc>
          <w:tcPr>
            <w:tcW w:w="1239" w:type="dxa"/>
            <w:shd w:val="clear" w:color="auto" w:fill="D0CECE" w:themeFill="background2" w:themeFillShade="E6"/>
            <w:hideMark/>
          </w:tcPr>
          <w:p w:rsidR="00181352" w:rsidRPr="00FD2FDE" w:rsidP="00181352" w14:paraId="0C9E157D" w14:textId="4A3042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 xml:space="preserve"> Number of Employees </w:t>
            </w:r>
          </w:p>
        </w:tc>
        <w:tc>
          <w:tcPr>
            <w:tcW w:w="531" w:type="dxa"/>
            <w:shd w:val="clear" w:color="auto" w:fill="D0CECE" w:themeFill="background2" w:themeFillShade="E6"/>
          </w:tcPr>
          <w:p w:rsidR="00181352" w:rsidRPr="00181352" w:rsidP="00181352" w14:paraId="0BB992D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p>
        </w:tc>
        <w:tc>
          <w:tcPr>
            <w:tcW w:w="1594" w:type="dxa"/>
            <w:shd w:val="clear" w:color="auto" w:fill="D0CECE" w:themeFill="background2" w:themeFillShade="E6"/>
            <w:hideMark/>
          </w:tcPr>
          <w:p w:rsidR="00181352" w:rsidRPr="00FD2FDE" w:rsidP="00181352" w14:paraId="27AB0120" w14:textId="7B4E73B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Total Compensation Rate for Each Respondent</w:t>
            </w:r>
          </w:p>
        </w:tc>
        <w:tc>
          <w:tcPr>
            <w:tcW w:w="354" w:type="dxa"/>
            <w:shd w:val="clear" w:color="auto" w:fill="D0CECE" w:themeFill="background2" w:themeFillShade="E6"/>
          </w:tcPr>
          <w:p w:rsidR="00181352" w:rsidRPr="00181352" w:rsidP="00181352" w14:paraId="00D9E09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p>
        </w:tc>
        <w:tc>
          <w:tcPr>
            <w:tcW w:w="1307" w:type="dxa"/>
            <w:shd w:val="clear" w:color="auto" w:fill="D0CECE" w:themeFill="background2" w:themeFillShade="E6"/>
            <w:hideMark/>
          </w:tcPr>
          <w:p w:rsidR="00181352" w:rsidRPr="00FD2FDE" w:rsidP="00181352" w14:paraId="6657029D" w14:textId="31D2D8F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Total Annualized Burden Hours</w:t>
            </w:r>
          </w:p>
        </w:tc>
        <w:tc>
          <w:tcPr>
            <w:tcW w:w="463" w:type="dxa"/>
            <w:shd w:val="clear" w:color="auto" w:fill="D0CECE" w:themeFill="background2" w:themeFillShade="E6"/>
          </w:tcPr>
          <w:p w:rsidR="00181352" w:rsidRPr="00181352" w:rsidP="00181352" w14:paraId="7309EE3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p>
        </w:tc>
        <w:tc>
          <w:tcPr>
            <w:tcW w:w="1328" w:type="dxa"/>
            <w:shd w:val="clear" w:color="auto" w:fill="D0CECE" w:themeFill="background2" w:themeFillShade="E6"/>
            <w:hideMark/>
          </w:tcPr>
          <w:p w:rsidR="00181352" w:rsidRPr="00FD2FDE" w:rsidP="00181352" w14:paraId="330C20A5" w14:textId="6100B41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napToGrid/>
                <w:sz w:val="22"/>
                <w:szCs w:val="22"/>
              </w:rPr>
            </w:pPr>
            <w:r w:rsidRPr="00FD2FDE">
              <w:rPr>
                <w:b/>
                <w:bCs/>
                <w:iCs/>
                <w:snapToGrid/>
                <w:sz w:val="22"/>
                <w:szCs w:val="22"/>
              </w:rPr>
              <w:t xml:space="preserve">Total Annualized Cost Burden </w:t>
            </w:r>
          </w:p>
        </w:tc>
      </w:tr>
      <w:tr w14:paraId="25FA377E" w14:textId="77777777" w:rsidTr="00FD2FDE">
        <w:tblPrEx>
          <w:tblW w:w="11331" w:type="dxa"/>
          <w:tblInd w:w="-725" w:type="dxa"/>
          <w:tblLayout w:type="fixed"/>
          <w:tblLook w:val="04A0"/>
        </w:tblPrEx>
        <w:trPr>
          <w:trHeight w:val="564"/>
        </w:trPr>
        <w:tc>
          <w:tcPr>
            <w:tcW w:w="1530" w:type="dxa"/>
            <w:hideMark/>
          </w:tcPr>
          <w:p w:rsidR="00181352" w:rsidRPr="00FD2FDE" w:rsidP="00181352" w14:paraId="727AE05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napToGrid/>
                <w:sz w:val="22"/>
                <w:szCs w:val="22"/>
              </w:rPr>
            </w:pPr>
            <w:r w:rsidRPr="00FD2FDE">
              <w:rPr>
                <w:iCs/>
                <w:snapToGrid/>
                <w:sz w:val="22"/>
                <w:szCs w:val="22"/>
              </w:rPr>
              <w:t xml:space="preserve">Executive Secretary and or Executive Assistant (43-6011) </w:t>
            </w:r>
          </w:p>
        </w:tc>
        <w:tc>
          <w:tcPr>
            <w:tcW w:w="990" w:type="dxa"/>
            <w:noWrap/>
            <w:vAlign w:val="center"/>
            <w:hideMark/>
          </w:tcPr>
          <w:p w:rsidR="00181352" w:rsidRPr="00FD2FDE" w:rsidP="00FD2FDE" w14:paraId="6EFCE1BC" w14:textId="7F1C529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$35.42</w:t>
            </w:r>
          </w:p>
        </w:tc>
        <w:tc>
          <w:tcPr>
            <w:tcW w:w="1620" w:type="dxa"/>
            <w:noWrap/>
            <w:vAlign w:val="center"/>
            <w:hideMark/>
          </w:tcPr>
          <w:p w:rsidR="00181352" w:rsidRPr="00FD2FDE" w:rsidP="00FD2FDE" w14:paraId="766CE6CC" w14:textId="52E17C1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$45.70</w:t>
            </w:r>
          </w:p>
        </w:tc>
        <w:tc>
          <w:tcPr>
            <w:tcW w:w="375" w:type="dxa"/>
            <w:vAlign w:val="center"/>
          </w:tcPr>
          <w:p w:rsidR="00181352" w:rsidRPr="00181352" w:rsidP="00FD2FDE" w14:paraId="370E8187" w14:textId="4B2023A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Pr>
                <w:iCs/>
                <w:snapToGrid/>
                <w:sz w:val="22"/>
                <w:szCs w:val="22"/>
              </w:rPr>
              <w:t>*</w:t>
            </w:r>
          </w:p>
        </w:tc>
        <w:tc>
          <w:tcPr>
            <w:tcW w:w="1239" w:type="dxa"/>
            <w:noWrap/>
            <w:vAlign w:val="center"/>
            <w:hideMark/>
          </w:tcPr>
          <w:p w:rsidR="00181352" w:rsidRPr="00FD2FDE" w:rsidP="00FD2FDE" w14:paraId="4ADF29E7" w14:textId="0C7D1EA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1</w:t>
            </w:r>
          </w:p>
        </w:tc>
        <w:tc>
          <w:tcPr>
            <w:tcW w:w="531" w:type="dxa"/>
            <w:vAlign w:val="center"/>
          </w:tcPr>
          <w:p w:rsidR="00181352" w:rsidRPr="00181352" w:rsidP="00FD2FDE" w14:paraId="28AB9931" w14:textId="262602C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Pr>
                <w:iCs/>
                <w:snapToGrid/>
                <w:sz w:val="22"/>
                <w:szCs w:val="22"/>
              </w:rPr>
              <w:t>=</w:t>
            </w:r>
          </w:p>
        </w:tc>
        <w:tc>
          <w:tcPr>
            <w:tcW w:w="1594" w:type="dxa"/>
            <w:noWrap/>
            <w:vAlign w:val="center"/>
            <w:hideMark/>
          </w:tcPr>
          <w:p w:rsidR="00181352" w:rsidRPr="00FD2FDE" w:rsidP="00FD2FDE" w14:paraId="6E575E41" w14:textId="2F628A8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$45.70</w:t>
            </w:r>
          </w:p>
        </w:tc>
        <w:tc>
          <w:tcPr>
            <w:tcW w:w="354" w:type="dxa"/>
            <w:vAlign w:val="center"/>
          </w:tcPr>
          <w:p w:rsidR="00181352" w:rsidRPr="00181352" w:rsidP="00FD2FDE" w14:paraId="7900D72E" w14:textId="4B529AA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Pr>
                <w:iCs/>
                <w:snapToGrid/>
                <w:sz w:val="22"/>
                <w:szCs w:val="22"/>
              </w:rPr>
              <w:t>*</w:t>
            </w:r>
          </w:p>
        </w:tc>
        <w:tc>
          <w:tcPr>
            <w:tcW w:w="1307" w:type="dxa"/>
            <w:noWrap/>
            <w:vAlign w:val="center"/>
            <w:hideMark/>
          </w:tcPr>
          <w:p w:rsidR="00181352" w:rsidRPr="00FD2FDE" w:rsidP="00FD2FDE" w14:paraId="28C7CD90" w14:textId="418A7D9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200</w:t>
            </w:r>
          </w:p>
        </w:tc>
        <w:tc>
          <w:tcPr>
            <w:tcW w:w="463" w:type="dxa"/>
            <w:vAlign w:val="center"/>
          </w:tcPr>
          <w:p w:rsidR="00181352" w:rsidRPr="00181352" w:rsidP="00FD2FDE" w14:paraId="6A914BC0" w14:textId="33D221C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Pr>
                <w:iCs/>
                <w:snapToGrid/>
                <w:sz w:val="22"/>
                <w:szCs w:val="22"/>
              </w:rPr>
              <w:t>=</w:t>
            </w:r>
          </w:p>
        </w:tc>
        <w:tc>
          <w:tcPr>
            <w:tcW w:w="1328" w:type="dxa"/>
            <w:noWrap/>
            <w:vAlign w:val="center"/>
            <w:hideMark/>
          </w:tcPr>
          <w:p w:rsidR="00181352" w:rsidRPr="00FD2FDE" w:rsidP="00FD2FDE" w14:paraId="1425E129" w14:textId="7269F0E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napToGrid/>
                <w:sz w:val="22"/>
                <w:szCs w:val="22"/>
              </w:rPr>
            </w:pPr>
            <w:r w:rsidRPr="00FD2FDE">
              <w:rPr>
                <w:iCs/>
                <w:snapToGrid/>
                <w:sz w:val="22"/>
                <w:szCs w:val="22"/>
              </w:rPr>
              <w:t>$9,140.00</w:t>
            </w:r>
          </w:p>
        </w:tc>
      </w:tr>
    </w:tbl>
    <w:p w:rsidR="00545A59" w:rsidRPr="00BF5638" w14:paraId="716AA0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00226771" w:rsidRPr="00FD2FDE" w:rsidP="00FD2FDE" w14:paraId="6A067A30" w14:textId="6307B48D">
      <w:pPr>
        <w:pStyle w:val="ListParagraph"/>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Pr>
          <w:b/>
          <w:szCs w:val="24"/>
        </w:rPr>
        <w:t>E</w:t>
      </w:r>
      <w:r w:rsidRPr="00FD2FDE" w:rsidR="00545A59">
        <w:rPr>
          <w:b/>
          <w:szCs w:val="24"/>
        </w:rPr>
        <w:t xml:space="preserve">stimate of </w:t>
      </w:r>
      <w:r>
        <w:rPr>
          <w:b/>
          <w:szCs w:val="24"/>
        </w:rPr>
        <w:t>T</w:t>
      </w:r>
      <w:r w:rsidRPr="00FD2FDE" w:rsidR="00545A59">
        <w:rPr>
          <w:b/>
          <w:szCs w:val="24"/>
        </w:rPr>
        <w:t xml:space="preserve">otal </w:t>
      </w:r>
      <w:r>
        <w:rPr>
          <w:b/>
          <w:szCs w:val="24"/>
        </w:rPr>
        <w:t>A</w:t>
      </w:r>
      <w:r w:rsidRPr="00FD2FDE">
        <w:rPr>
          <w:b/>
          <w:szCs w:val="24"/>
        </w:rPr>
        <w:t xml:space="preserve">nnual </w:t>
      </w:r>
      <w:r>
        <w:rPr>
          <w:b/>
          <w:szCs w:val="24"/>
        </w:rPr>
        <w:t>C</w:t>
      </w:r>
      <w:r w:rsidRPr="00FD2FDE">
        <w:rPr>
          <w:b/>
          <w:szCs w:val="24"/>
        </w:rPr>
        <w:t xml:space="preserve">ost </w:t>
      </w:r>
      <w:r w:rsidRPr="00FD2FDE" w:rsidR="00545A59">
        <w:rPr>
          <w:b/>
          <w:szCs w:val="24"/>
        </w:rPr>
        <w:t>burden to respon</w:t>
      </w:r>
      <w:r w:rsidRPr="00FD2FDE" w:rsidR="00545A59">
        <w:rPr>
          <w:b/>
          <w:szCs w:val="24"/>
        </w:rPr>
        <w:softHyphen/>
        <w:t xml:space="preserve">dents or </w:t>
      </w:r>
      <w:r w:rsidRPr="00FD2FDE">
        <w:rPr>
          <w:b/>
          <w:szCs w:val="24"/>
        </w:rPr>
        <w:t>R</w:t>
      </w:r>
      <w:r w:rsidRPr="00FD2FDE" w:rsidR="00545A59">
        <w:rPr>
          <w:b/>
          <w:szCs w:val="24"/>
        </w:rPr>
        <w:t xml:space="preserve">ecordkeepers  </w:t>
      </w:r>
    </w:p>
    <w:p w:rsidR="00226771" w:rsidP="00DC57F6" w14:paraId="7CD508A9" w14:textId="77777777">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003F4BEA" w:rsidP="003F4BEA" w14:paraId="331673E5" w14:textId="57C7DB30">
      <w:pPr>
        <w:pStyle w:val="ListParagraph"/>
        <w:numPr>
          <w:ilvl w:val="0"/>
          <w:numId w:val="9"/>
        </w:num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FD2FDE">
        <w:rPr>
          <w:b/>
          <w:szCs w:val="24"/>
        </w:rPr>
        <w:t xml:space="preserve">Total </w:t>
      </w:r>
      <w:r w:rsidRPr="00FD2FDE" w:rsidR="00760D9F">
        <w:rPr>
          <w:b/>
          <w:szCs w:val="24"/>
        </w:rPr>
        <w:t>Estimated Annual</w:t>
      </w:r>
      <w:r w:rsidRPr="00FD2FDE">
        <w:rPr>
          <w:b/>
          <w:szCs w:val="24"/>
        </w:rPr>
        <w:t xml:space="preserve"> Cost</w:t>
      </w:r>
      <w:r w:rsidRPr="00226771">
        <w:rPr>
          <w:szCs w:val="24"/>
        </w:rPr>
        <w:t xml:space="preserve">: </w:t>
      </w:r>
      <w:r w:rsidRPr="00226771" w:rsidR="004E27FA">
        <w:rPr>
          <w:szCs w:val="24"/>
        </w:rPr>
        <w:t xml:space="preserve"> </w:t>
      </w:r>
      <w:r w:rsidR="00760D9F">
        <w:rPr>
          <w:szCs w:val="24"/>
        </w:rPr>
        <w:t xml:space="preserve">The total annual cost for </w:t>
      </w:r>
      <w:r w:rsidRPr="00226771" w:rsidR="003072A4">
        <w:rPr>
          <w:szCs w:val="24"/>
        </w:rPr>
        <w:t xml:space="preserve">Materials and Postage </w:t>
      </w:r>
      <w:r w:rsidR="00760D9F">
        <w:rPr>
          <w:szCs w:val="24"/>
        </w:rPr>
        <w:t xml:space="preserve">for sending applications </w:t>
      </w:r>
      <w:r>
        <w:rPr>
          <w:szCs w:val="24"/>
        </w:rPr>
        <w:t xml:space="preserve">to MARAD is $ 960, which is calculated as follows: </w:t>
      </w:r>
    </w:p>
    <w:p w:rsidR="003F4BEA" w:rsidP="00FD2FDE" w14:paraId="067B8F6F" w14:textId="77777777">
      <w:pPr>
        <w:pStyle w:val="ListParagraph"/>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left="1080" w:right="720"/>
        <w:rPr>
          <w:szCs w:val="24"/>
        </w:rPr>
      </w:pPr>
    </w:p>
    <w:p w:rsidR="004E27FA" w:rsidRPr="003F4BEA" w:rsidP="00FD2FDE" w14:paraId="337C0FEA" w14:textId="0B99EA14">
      <w:pPr>
        <w:pStyle w:val="ListParagraph"/>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left="1080" w:right="720"/>
        <w:rPr>
          <w:szCs w:val="24"/>
        </w:rPr>
      </w:pPr>
      <w:r w:rsidRPr="003F4BEA">
        <w:rPr>
          <w:szCs w:val="24"/>
        </w:rPr>
        <w:t>$24.00 (</w:t>
      </w:r>
      <w:r>
        <w:rPr>
          <w:szCs w:val="24"/>
        </w:rPr>
        <w:t xml:space="preserve">Total </w:t>
      </w:r>
      <w:r w:rsidRPr="003F4BEA">
        <w:rPr>
          <w:szCs w:val="24"/>
        </w:rPr>
        <w:t>material &amp; postage</w:t>
      </w:r>
      <w:r>
        <w:rPr>
          <w:szCs w:val="24"/>
        </w:rPr>
        <w:t xml:space="preserve"> costs per respondent</w:t>
      </w:r>
      <w:r w:rsidRPr="003F4BEA">
        <w:rPr>
          <w:szCs w:val="24"/>
        </w:rPr>
        <w:t>)</w:t>
      </w:r>
      <w:r>
        <w:rPr>
          <w:szCs w:val="24"/>
        </w:rPr>
        <w:t xml:space="preserve"> * 40 (Total applications) = </w:t>
      </w:r>
      <w:r w:rsidRPr="003F4BEA">
        <w:rPr>
          <w:szCs w:val="24"/>
        </w:rPr>
        <w:t>$960.00</w:t>
      </w:r>
      <w:r w:rsidRPr="003F4BEA" w:rsidR="00B411A7">
        <w:rPr>
          <w:szCs w:val="24"/>
        </w:rPr>
        <w:t xml:space="preserve">. </w:t>
      </w:r>
    </w:p>
    <w:p w:rsidR="004E27FA" w:rsidRPr="00BF5638" w:rsidP="004E27FA" w14:paraId="397B4AB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p>
    <w:p w:rsidR="00545A59" w:rsidRPr="009F5114" w:rsidP="00226771" w14:paraId="49EF207B" w14:textId="12599B80">
      <w:pPr>
        <w:pStyle w:val="ListParagraph"/>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D2FDE">
        <w:rPr>
          <w:b/>
          <w:szCs w:val="24"/>
        </w:rPr>
        <w:t>T</w:t>
      </w:r>
      <w:r w:rsidRPr="00FD2FDE">
        <w:rPr>
          <w:b/>
          <w:szCs w:val="24"/>
        </w:rPr>
        <w:t>otal Operation and Maintenance and Purchase of Services Estimate</w:t>
      </w:r>
      <w:r w:rsidRPr="009F5114">
        <w:rPr>
          <w:b/>
          <w:szCs w:val="24"/>
        </w:rPr>
        <w:t xml:space="preserve">: </w:t>
      </w:r>
    </w:p>
    <w:p w:rsidR="00545A59" w:rsidP="00FD2FDE" w14:paraId="75BDF721" w14:textId="596F2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r>
        <w:rPr>
          <w:szCs w:val="24"/>
        </w:rPr>
        <w:t>There are no operation and maintenance costs associated with this collection a</w:t>
      </w:r>
      <w:r w:rsidR="009F5114">
        <w:rPr>
          <w:szCs w:val="24"/>
        </w:rPr>
        <w:t>s</w:t>
      </w:r>
      <w:r>
        <w:rPr>
          <w:szCs w:val="24"/>
        </w:rPr>
        <w:t xml:space="preserve"> m</w:t>
      </w:r>
      <w:r w:rsidRPr="00BF5638" w:rsidR="00862293">
        <w:rPr>
          <w:szCs w:val="24"/>
        </w:rPr>
        <w:t>ost applicants have a notary within their organization and therefore do not pay a fee.</w:t>
      </w:r>
    </w:p>
    <w:p w:rsidR="001547D2" w:rsidRPr="00BF5638" w:rsidP="006F46DD" w14:paraId="1ABC437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p>
    <w:p w:rsidR="00545A59" w:rsidRPr="00FD2FDE" w:rsidP="00FD2FDE" w14:paraId="077784F2" w14:textId="498FBC79">
      <w:pPr>
        <w:pStyle w:val="ListParagraph"/>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FD2FDE">
        <w:rPr>
          <w:b/>
          <w:szCs w:val="24"/>
        </w:rPr>
        <w:t>Estimate of</w:t>
      </w:r>
      <w:r w:rsidRPr="00FD2FDE">
        <w:rPr>
          <w:b/>
          <w:szCs w:val="24"/>
        </w:rPr>
        <w:t xml:space="preserve"> Federal Government</w:t>
      </w:r>
      <w:r w:rsidRPr="00FD2FDE">
        <w:rPr>
          <w:b/>
          <w:szCs w:val="24"/>
        </w:rPr>
        <w:t xml:space="preserve"> Costs</w:t>
      </w:r>
    </w:p>
    <w:p w:rsidR="00DC57F6" w:rsidRPr="00BF5638" w:rsidP="0079062B" w14:paraId="0216373B"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00890AC4" w:rsidRPr="00BF5638" w:rsidP="00FD2FDE" w14:paraId="56D6D587" w14:textId="2A3E425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rPr>
        <w:t>The total annual cost to the Federal Government for processing the collection is estimated as follows:</w:t>
      </w:r>
    </w:p>
    <w:p w:rsidR="00625212" w:rsidRPr="00BF5638" w:rsidP="00FD2FDE" w14:paraId="01AED0B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545A59" w:rsidRPr="00890AC4" w:rsidP="00890AC4" w14:paraId="2A893E37" w14:textId="7246A8A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890AC4">
        <w:rPr>
          <w:iCs/>
          <w:snapToGrid/>
          <w:szCs w:val="24"/>
        </w:rPr>
        <w:t>According to the Office of Personnel Management (OPM)</w:t>
      </w:r>
      <w:r>
        <w:rPr>
          <w:iCs/>
          <w:snapToGrid/>
          <w:szCs w:val="24"/>
          <w:vertAlign w:val="superscript"/>
        </w:rPr>
        <w:footnoteReference w:id="4"/>
      </w:r>
      <w:r w:rsidRPr="00890AC4">
        <w:rPr>
          <w:iCs/>
          <w:snapToGrid/>
          <w:szCs w:val="24"/>
        </w:rPr>
        <w:t xml:space="preserve"> wage tables, the hourly wage rate for </w:t>
      </w:r>
      <w:r w:rsidR="00FD2FDE">
        <w:rPr>
          <w:iCs/>
          <w:snapToGrid/>
          <w:szCs w:val="24"/>
        </w:rPr>
        <w:t>two</w:t>
      </w:r>
      <w:r w:rsidRPr="00BF5638">
        <w:rPr>
          <w:szCs w:val="24"/>
        </w:rPr>
        <w:t xml:space="preserve"> employees</w:t>
      </w:r>
      <w:r w:rsidRPr="00890AC4">
        <w:rPr>
          <w:iCs/>
          <w:snapToGrid/>
          <w:szCs w:val="24"/>
        </w:rPr>
        <w:t xml:space="preserve"> </w:t>
      </w:r>
      <w:r w:rsidRPr="00890AC4">
        <w:rPr>
          <w:iCs/>
          <w:szCs w:val="24"/>
        </w:rPr>
        <w:t xml:space="preserve">with a Washington-Baltimore-Arlington locality pay </w:t>
      </w:r>
      <w:r>
        <w:rPr>
          <w:iCs/>
          <w:szCs w:val="24"/>
        </w:rPr>
        <w:t xml:space="preserve">are as follows: </w:t>
      </w:r>
      <w:bookmarkStart w:id="5" w:name="_Hlk172818488"/>
      <w:r>
        <w:rPr>
          <w:szCs w:val="24"/>
        </w:rPr>
        <w:t>one GS 14 (Step 4) is</w:t>
      </w:r>
      <w:r w:rsidRPr="00890AC4">
        <w:t xml:space="preserve"> </w:t>
      </w:r>
      <w:r>
        <w:t xml:space="preserve">$ </w:t>
      </w:r>
      <w:r w:rsidRPr="00890AC4">
        <w:rPr>
          <w:szCs w:val="24"/>
        </w:rPr>
        <w:t>73.47,</w:t>
      </w:r>
      <w:r>
        <w:rPr>
          <w:szCs w:val="24"/>
        </w:rPr>
        <w:t xml:space="preserve"> and one GS-13 (Step 4) is $ </w:t>
      </w:r>
      <w:r w:rsidRPr="00890AC4">
        <w:rPr>
          <w:szCs w:val="24"/>
        </w:rPr>
        <w:t>62.17</w:t>
      </w:r>
      <w:r>
        <w:rPr>
          <w:szCs w:val="24"/>
        </w:rPr>
        <w:t xml:space="preserve"> </w:t>
      </w:r>
      <w:bookmarkEnd w:id="5"/>
      <w:r>
        <w:rPr>
          <w:szCs w:val="24"/>
        </w:rPr>
        <w:t>respectively.</w:t>
      </w:r>
      <w:r w:rsidRPr="00890AC4">
        <w:rPr>
          <w:iCs/>
          <w:snapToGrid/>
          <w:szCs w:val="24"/>
        </w:rPr>
        <w:t xml:space="preserve"> When combined with the Federal Employee Compensation rate of 31%</w:t>
      </w:r>
      <w:r>
        <w:rPr>
          <w:iCs/>
          <w:snapToGrid/>
          <w:szCs w:val="24"/>
          <w:vertAlign w:val="superscript"/>
        </w:rPr>
        <w:footnoteReference w:id="5"/>
      </w:r>
      <w:r w:rsidRPr="00890AC4">
        <w:rPr>
          <w:iCs/>
          <w:snapToGrid/>
          <w:szCs w:val="24"/>
        </w:rPr>
        <w:t xml:space="preserve">, the total hourly wage rate for </w:t>
      </w:r>
      <w:r>
        <w:rPr>
          <w:iCs/>
          <w:snapToGrid/>
          <w:szCs w:val="24"/>
        </w:rPr>
        <w:t xml:space="preserve">these employees </w:t>
      </w:r>
      <w:r w:rsidR="009712EF">
        <w:rPr>
          <w:iCs/>
          <w:snapToGrid/>
          <w:szCs w:val="24"/>
        </w:rPr>
        <w:t>(</w:t>
      </w:r>
      <w:r>
        <w:rPr>
          <w:iCs/>
          <w:snapToGrid/>
          <w:szCs w:val="24"/>
        </w:rPr>
        <w:t>i.e.</w:t>
      </w:r>
      <w:r w:rsidR="009712EF">
        <w:rPr>
          <w:iCs/>
          <w:snapToGrid/>
          <w:szCs w:val="24"/>
        </w:rPr>
        <w:t>,</w:t>
      </w:r>
      <w:r>
        <w:rPr>
          <w:iCs/>
          <w:snapToGrid/>
          <w:szCs w:val="24"/>
        </w:rPr>
        <w:t xml:space="preserve"> </w:t>
      </w:r>
      <w:r w:rsidRPr="00890AC4">
        <w:rPr>
          <w:szCs w:val="24"/>
        </w:rPr>
        <w:t xml:space="preserve">one GS 14 </w:t>
      </w:r>
      <w:r w:rsidR="003806B5">
        <w:rPr>
          <w:szCs w:val="24"/>
        </w:rPr>
        <w:t>(</w:t>
      </w:r>
      <w:r w:rsidRPr="00890AC4">
        <w:rPr>
          <w:szCs w:val="24"/>
        </w:rPr>
        <w:t xml:space="preserve">Step 4) is $ </w:t>
      </w:r>
      <w:r>
        <w:rPr>
          <w:szCs w:val="24"/>
        </w:rPr>
        <w:t>96.25</w:t>
      </w:r>
      <w:r w:rsidRPr="00890AC4">
        <w:rPr>
          <w:szCs w:val="24"/>
        </w:rPr>
        <w:t xml:space="preserve">, and one GS-13 (Step 4) is $ </w:t>
      </w:r>
      <w:r>
        <w:rPr>
          <w:szCs w:val="24"/>
        </w:rPr>
        <w:t xml:space="preserve">81.44. These employees </w:t>
      </w:r>
      <w:r w:rsidRPr="00BF5638">
        <w:rPr>
          <w:szCs w:val="24"/>
        </w:rPr>
        <w:t>are assigned specific tasks related to the VISA program enrollment</w:t>
      </w:r>
      <w:r>
        <w:rPr>
          <w:szCs w:val="24"/>
        </w:rPr>
        <w:t xml:space="preserve"> </w:t>
      </w:r>
      <w:r w:rsidRPr="00BF5638">
        <w:rPr>
          <w:szCs w:val="24"/>
        </w:rPr>
        <w:t>includ</w:t>
      </w:r>
      <w:r>
        <w:rPr>
          <w:szCs w:val="24"/>
        </w:rPr>
        <w:t>ing</w:t>
      </w:r>
      <w:r w:rsidR="007F6E21">
        <w:rPr>
          <w:szCs w:val="24"/>
        </w:rPr>
        <w:t>:</w:t>
      </w:r>
      <w:r>
        <w:rPr>
          <w:szCs w:val="24"/>
        </w:rPr>
        <w:t xml:space="preserve"> </w:t>
      </w:r>
      <w:r w:rsidRPr="00BF5638">
        <w:rPr>
          <w:szCs w:val="24"/>
        </w:rPr>
        <w:t xml:space="preserve">the preparation of materials to be mailed to potential VISA applicants, receiving incoming information from the VISA applicants, analysis of the </w:t>
      </w:r>
      <w:r w:rsidRPr="00BF5638">
        <w:rPr>
          <w:szCs w:val="24"/>
        </w:rPr>
        <w:t xml:space="preserve">information (ensuring that each potential VISA applicant has submitted all requested data), follow-up communication with the applicants where applicable, and the preparation of material to be sent to applicants that are approved for the VISA.  The total time each employee dedicates to the VISA program enrollment process varies according to the assigned task.  </w:t>
      </w:r>
      <w:r w:rsidRPr="00BF5638" w:rsidR="007B2052">
        <w:rPr>
          <w:szCs w:val="24"/>
        </w:rPr>
        <w:t>T</w:t>
      </w:r>
      <w:r w:rsidRPr="00BF5638">
        <w:rPr>
          <w:szCs w:val="24"/>
        </w:rPr>
        <w:t xml:space="preserve">he total combined time is approximately 5 hours per </w:t>
      </w:r>
      <w:r>
        <w:rPr>
          <w:szCs w:val="24"/>
        </w:rPr>
        <w:t>application</w:t>
      </w:r>
      <w:r w:rsidR="007F6E21">
        <w:rPr>
          <w:szCs w:val="24"/>
        </w:rPr>
        <w:t xml:space="preserve"> for a total combined cost</w:t>
      </w:r>
      <w:r w:rsidRPr="00682EE2" w:rsidR="007F6E21">
        <w:rPr>
          <w:szCs w:val="24"/>
        </w:rPr>
        <w:t>: $</w:t>
      </w:r>
      <w:r w:rsidRPr="00682EE2">
        <w:rPr>
          <w:szCs w:val="24"/>
        </w:rPr>
        <w:t xml:space="preserve"> </w:t>
      </w:r>
      <w:r w:rsidRPr="00682EE2" w:rsidR="007F6E21">
        <w:rPr>
          <w:szCs w:val="24"/>
        </w:rPr>
        <w:t>35,538.00</w:t>
      </w:r>
      <w:r w:rsidRPr="00BF5638" w:rsidR="007B2052">
        <w:rPr>
          <w:szCs w:val="24"/>
        </w:rPr>
        <w:t>.</w:t>
      </w:r>
      <w:r w:rsidRPr="00BF5638" w:rsidR="003C0FC3">
        <w:rPr>
          <w:szCs w:val="24"/>
        </w:rPr>
        <w:t xml:space="preserve"> </w:t>
      </w:r>
    </w:p>
    <w:p w:rsidR="00545A59" w14:paraId="6E249FF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tbl>
      <w:tblPr>
        <w:tblW w:w="10874" w:type="dxa"/>
        <w:tblInd w:w="-455" w:type="dxa"/>
        <w:tblLook w:val="04A0"/>
      </w:tblPr>
      <w:tblGrid>
        <w:gridCol w:w="1605"/>
        <w:gridCol w:w="888"/>
        <w:gridCol w:w="1555"/>
        <w:gridCol w:w="342"/>
        <w:gridCol w:w="1171"/>
        <w:gridCol w:w="397"/>
        <w:gridCol w:w="1258"/>
        <w:gridCol w:w="355"/>
        <w:gridCol w:w="1425"/>
        <w:gridCol w:w="365"/>
        <w:gridCol w:w="1513"/>
      </w:tblGrid>
      <w:tr w14:paraId="5BA53AE1" w14:textId="77777777" w:rsidTr="00682EE2">
        <w:tblPrEx>
          <w:tblW w:w="10874" w:type="dxa"/>
          <w:tblInd w:w="-455" w:type="dxa"/>
          <w:tblLook w:val="04A0"/>
        </w:tblPrEx>
        <w:trPr>
          <w:trHeight w:val="1911"/>
        </w:trPr>
        <w:tc>
          <w:tcPr>
            <w:tcW w:w="16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2EE2" w:rsidRPr="007F6E21" w:rsidP="007F6E21" w14:paraId="0D2AF2BF" w14:textId="17DA25D6">
            <w:pPr>
              <w:widowControl/>
              <w:rPr>
                <w:b/>
                <w:bCs/>
                <w:snapToGrid/>
                <w:color w:val="000000"/>
                <w:sz w:val="20"/>
              </w:rPr>
            </w:pPr>
            <w:r w:rsidRPr="007F6E21">
              <w:rPr>
                <w:b/>
                <w:bCs/>
                <w:snapToGrid/>
                <w:color w:val="000000"/>
                <w:sz w:val="20"/>
              </w:rPr>
              <w:t xml:space="preserve">FTE Grade and Step </w:t>
            </w:r>
          </w:p>
        </w:tc>
        <w:tc>
          <w:tcPr>
            <w:tcW w:w="888" w:type="dxa"/>
            <w:tcBorders>
              <w:top w:val="single" w:sz="4" w:space="0" w:color="auto"/>
              <w:left w:val="nil"/>
              <w:bottom w:val="single" w:sz="4" w:space="0" w:color="auto"/>
              <w:right w:val="single" w:sz="4" w:space="0" w:color="auto"/>
            </w:tcBorders>
            <w:shd w:val="clear" w:color="000000" w:fill="D9D9D9"/>
            <w:vAlign w:val="center"/>
            <w:hideMark/>
          </w:tcPr>
          <w:p w:rsidR="00682EE2" w:rsidRPr="007F6E21" w:rsidP="007F6E21" w14:paraId="43AF50A5" w14:textId="77777777">
            <w:pPr>
              <w:widowControl/>
              <w:jc w:val="center"/>
              <w:rPr>
                <w:b/>
                <w:bCs/>
                <w:snapToGrid/>
                <w:color w:val="000000"/>
                <w:sz w:val="20"/>
              </w:rPr>
            </w:pPr>
            <w:r w:rsidRPr="007F6E21">
              <w:rPr>
                <w:b/>
                <w:bCs/>
                <w:snapToGrid/>
                <w:color w:val="000000"/>
                <w:sz w:val="20"/>
              </w:rPr>
              <w:t>Hourly Wage</w:t>
            </w:r>
          </w:p>
        </w:tc>
        <w:tc>
          <w:tcPr>
            <w:tcW w:w="1555" w:type="dxa"/>
            <w:tcBorders>
              <w:top w:val="single" w:sz="4" w:space="0" w:color="auto"/>
              <w:left w:val="nil"/>
              <w:bottom w:val="single" w:sz="4" w:space="0" w:color="auto"/>
              <w:right w:val="single" w:sz="4" w:space="0" w:color="auto"/>
            </w:tcBorders>
            <w:shd w:val="clear" w:color="000000" w:fill="D9D9D9"/>
            <w:vAlign w:val="center"/>
            <w:hideMark/>
          </w:tcPr>
          <w:p w:rsidR="00682EE2" w:rsidRPr="007F6E21" w:rsidP="007F6E21" w14:paraId="37B599D1" w14:textId="77777777">
            <w:pPr>
              <w:widowControl/>
              <w:jc w:val="center"/>
              <w:rPr>
                <w:b/>
                <w:bCs/>
                <w:snapToGrid/>
                <w:color w:val="000000"/>
                <w:sz w:val="20"/>
              </w:rPr>
            </w:pPr>
            <w:r w:rsidRPr="007F6E21">
              <w:rPr>
                <w:b/>
                <w:bCs/>
                <w:snapToGrid/>
                <w:color w:val="000000"/>
                <w:sz w:val="20"/>
              </w:rPr>
              <w:t xml:space="preserve">Average Hourly Wage Rate with 31% Compensation   </w:t>
            </w:r>
          </w:p>
        </w:tc>
        <w:tc>
          <w:tcPr>
            <w:tcW w:w="342" w:type="dxa"/>
            <w:tcBorders>
              <w:top w:val="single" w:sz="4" w:space="0" w:color="auto"/>
              <w:left w:val="nil"/>
              <w:bottom w:val="single" w:sz="4" w:space="0" w:color="auto"/>
              <w:right w:val="single" w:sz="4" w:space="0" w:color="auto"/>
            </w:tcBorders>
            <w:shd w:val="clear" w:color="000000" w:fill="D9D9D9"/>
          </w:tcPr>
          <w:p w:rsidR="00682EE2" w:rsidRPr="007F6E21" w:rsidP="007F6E21" w14:paraId="320DEBB3" w14:textId="77777777">
            <w:pPr>
              <w:widowControl/>
              <w:jc w:val="center"/>
              <w:rPr>
                <w:b/>
                <w:bCs/>
                <w:snapToGrid/>
                <w:color w:val="000000"/>
                <w:sz w:val="20"/>
              </w:rPr>
            </w:pPr>
          </w:p>
        </w:tc>
        <w:tc>
          <w:tcPr>
            <w:tcW w:w="11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2EE2" w:rsidRPr="007F6E21" w:rsidP="007F6E21" w14:paraId="4CDAB287" w14:textId="29836D89">
            <w:pPr>
              <w:widowControl/>
              <w:jc w:val="center"/>
              <w:rPr>
                <w:b/>
                <w:bCs/>
                <w:snapToGrid/>
                <w:color w:val="000000"/>
                <w:sz w:val="20"/>
              </w:rPr>
            </w:pPr>
            <w:r w:rsidRPr="007F6E21">
              <w:rPr>
                <w:b/>
                <w:bCs/>
                <w:snapToGrid/>
                <w:color w:val="000000"/>
                <w:sz w:val="20"/>
              </w:rPr>
              <w:t xml:space="preserve">Total Employees </w:t>
            </w:r>
          </w:p>
        </w:tc>
        <w:tc>
          <w:tcPr>
            <w:tcW w:w="397" w:type="dxa"/>
            <w:tcBorders>
              <w:top w:val="single" w:sz="4" w:space="0" w:color="auto"/>
              <w:left w:val="nil"/>
              <w:bottom w:val="single" w:sz="4" w:space="0" w:color="auto"/>
              <w:right w:val="single" w:sz="4" w:space="0" w:color="auto"/>
            </w:tcBorders>
            <w:shd w:val="clear" w:color="000000" w:fill="D9D9D9"/>
          </w:tcPr>
          <w:p w:rsidR="00682EE2" w:rsidRPr="007F6E21" w:rsidP="007F6E21" w14:paraId="2E23D7DC" w14:textId="77777777">
            <w:pPr>
              <w:widowControl/>
              <w:jc w:val="center"/>
              <w:rPr>
                <w:b/>
                <w:bCs/>
                <w:snapToGrid/>
                <w:color w:val="000000"/>
                <w:sz w:val="20"/>
              </w:rPr>
            </w:pPr>
          </w:p>
        </w:tc>
        <w:tc>
          <w:tcPr>
            <w:tcW w:w="12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2EE2" w:rsidRPr="007F6E21" w:rsidP="007F6E21" w14:paraId="7CFFC972" w14:textId="403AE304">
            <w:pPr>
              <w:widowControl/>
              <w:jc w:val="center"/>
              <w:rPr>
                <w:b/>
                <w:bCs/>
                <w:snapToGrid/>
                <w:color w:val="000000"/>
                <w:sz w:val="20"/>
              </w:rPr>
            </w:pPr>
            <w:r w:rsidRPr="007F6E21">
              <w:rPr>
                <w:b/>
                <w:bCs/>
                <w:snapToGrid/>
                <w:color w:val="000000"/>
                <w:sz w:val="20"/>
              </w:rPr>
              <w:t>Total Time for Per application  (Hours)</w:t>
            </w:r>
          </w:p>
        </w:tc>
        <w:tc>
          <w:tcPr>
            <w:tcW w:w="355" w:type="dxa"/>
            <w:tcBorders>
              <w:top w:val="single" w:sz="4" w:space="0" w:color="auto"/>
              <w:left w:val="nil"/>
              <w:bottom w:val="single" w:sz="4" w:space="0" w:color="auto"/>
              <w:right w:val="single" w:sz="4" w:space="0" w:color="auto"/>
            </w:tcBorders>
            <w:shd w:val="clear" w:color="000000" w:fill="D9D9D9"/>
          </w:tcPr>
          <w:p w:rsidR="00682EE2" w:rsidRPr="007F6E21" w:rsidP="007F6E21" w14:paraId="5B14D6F0" w14:textId="77777777">
            <w:pPr>
              <w:widowControl/>
              <w:jc w:val="center"/>
              <w:rPr>
                <w:b/>
                <w:bCs/>
                <w:snapToGrid/>
                <w:color w:val="000000"/>
                <w:sz w:val="20"/>
              </w:rPr>
            </w:pPr>
          </w:p>
        </w:tc>
        <w:tc>
          <w:tcPr>
            <w:tcW w:w="142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2EE2" w:rsidRPr="007F6E21" w:rsidP="007F6E21" w14:paraId="7BE00389" w14:textId="0B05081C">
            <w:pPr>
              <w:widowControl/>
              <w:jc w:val="center"/>
              <w:rPr>
                <w:b/>
                <w:bCs/>
                <w:snapToGrid/>
                <w:color w:val="000000"/>
                <w:sz w:val="20"/>
              </w:rPr>
            </w:pPr>
            <w:r w:rsidRPr="007F6E21">
              <w:rPr>
                <w:b/>
                <w:bCs/>
                <w:snapToGrid/>
                <w:color w:val="000000"/>
                <w:sz w:val="20"/>
              </w:rPr>
              <w:t xml:space="preserve">Total Applications </w:t>
            </w:r>
          </w:p>
        </w:tc>
        <w:tc>
          <w:tcPr>
            <w:tcW w:w="365" w:type="dxa"/>
            <w:tcBorders>
              <w:top w:val="single" w:sz="4" w:space="0" w:color="auto"/>
              <w:left w:val="nil"/>
              <w:bottom w:val="single" w:sz="4" w:space="0" w:color="auto"/>
              <w:right w:val="single" w:sz="4" w:space="0" w:color="auto"/>
            </w:tcBorders>
            <w:shd w:val="clear" w:color="000000" w:fill="D9D9D9"/>
          </w:tcPr>
          <w:p w:rsidR="00682EE2" w:rsidRPr="007F6E21" w:rsidP="007F6E21" w14:paraId="09C890A0" w14:textId="77777777">
            <w:pPr>
              <w:widowControl/>
              <w:jc w:val="center"/>
              <w:rPr>
                <w:b/>
                <w:bCs/>
                <w:snapToGrid/>
                <w:color w:val="000000"/>
                <w:sz w:val="20"/>
              </w:rPr>
            </w:pPr>
          </w:p>
        </w:tc>
        <w:tc>
          <w:tcPr>
            <w:tcW w:w="151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2EE2" w:rsidRPr="007F6E21" w:rsidP="007F6E21" w14:paraId="5BF498FA" w14:textId="7FCA2A60">
            <w:pPr>
              <w:widowControl/>
              <w:jc w:val="center"/>
              <w:rPr>
                <w:b/>
                <w:bCs/>
                <w:snapToGrid/>
                <w:color w:val="000000"/>
                <w:sz w:val="20"/>
              </w:rPr>
            </w:pPr>
            <w:r w:rsidRPr="007F6E21">
              <w:rPr>
                <w:b/>
                <w:bCs/>
                <w:snapToGrid/>
                <w:color w:val="000000"/>
                <w:sz w:val="20"/>
              </w:rPr>
              <w:t xml:space="preserve">Total Federal Government Wages   </w:t>
            </w:r>
          </w:p>
        </w:tc>
      </w:tr>
      <w:tr w14:paraId="3713CC06" w14:textId="77777777" w:rsidTr="007379AE">
        <w:tblPrEx>
          <w:tblW w:w="10874" w:type="dxa"/>
          <w:tblInd w:w="-455" w:type="dxa"/>
          <w:tblLook w:val="04A0"/>
        </w:tblPrEx>
        <w:trPr>
          <w:trHeight w:val="304"/>
        </w:trPr>
        <w:tc>
          <w:tcPr>
            <w:tcW w:w="1605" w:type="dxa"/>
            <w:tcBorders>
              <w:top w:val="nil"/>
              <w:left w:val="single" w:sz="4" w:space="0" w:color="auto"/>
              <w:bottom w:val="single" w:sz="4" w:space="0" w:color="auto"/>
              <w:right w:val="single" w:sz="4" w:space="0" w:color="auto"/>
            </w:tcBorders>
            <w:shd w:val="clear" w:color="auto" w:fill="auto"/>
            <w:hideMark/>
          </w:tcPr>
          <w:p w:rsidR="00682EE2" w:rsidRPr="007F6E21" w:rsidP="007F6E21" w14:paraId="250BFBFF" w14:textId="4B317A98">
            <w:pPr>
              <w:widowControl/>
              <w:rPr>
                <w:b/>
                <w:bCs/>
                <w:snapToGrid/>
                <w:color w:val="000000"/>
                <w:sz w:val="20"/>
              </w:rPr>
            </w:pPr>
            <w:r w:rsidRPr="007F6E21">
              <w:rPr>
                <w:b/>
                <w:bCs/>
                <w:snapToGrid/>
                <w:color w:val="000000"/>
                <w:sz w:val="20"/>
              </w:rPr>
              <w:t>GS 14 (Step 4)</w:t>
            </w:r>
          </w:p>
        </w:tc>
        <w:tc>
          <w:tcPr>
            <w:tcW w:w="888" w:type="dxa"/>
            <w:tcBorders>
              <w:top w:val="nil"/>
              <w:left w:val="nil"/>
              <w:bottom w:val="single" w:sz="4" w:space="0" w:color="auto"/>
              <w:right w:val="single" w:sz="4" w:space="0" w:color="auto"/>
            </w:tcBorders>
            <w:shd w:val="clear" w:color="auto" w:fill="auto"/>
            <w:vAlign w:val="center"/>
            <w:hideMark/>
          </w:tcPr>
          <w:p w:rsidR="00682EE2" w:rsidRPr="007F6E21" w:rsidP="007F6E21" w14:paraId="57CF3822" w14:textId="49888CE9">
            <w:pPr>
              <w:widowControl/>
              <w:rPr>
                <w:snapToGrid/>
                <w:color w:val="000000"/>
                <w:sz w:val="20"/>
              </w:rPr>
            </w:pPr>
            <w:r w:rsidRPr="007F6E21">
              <w:rPr>
                <w:snapToGrid/>
                <w:color w:val="000000"/>
                <w:sz w:val="20"/>
              </w:rPr>
              <w:t xml:space="preserve"> $73.47 </w:t>
            </w:r>
          </w:p>
        </w:tc>
        <w:tc>
          <w:tcPr>
            <w:tcW w:w="1555" w:type="dxa"/>
            <w:tcBorders>
              <w:top w:val="nil"/>
              <w:left w:val="nil"/>
              <w:bottom w:val="single" w:sz="4" w:space="0" w:color="auto"/>
              <w:right w:val="single" w:sz="4" w:space="0" w:color="auto"/>
            </w:tcBorders>
            <w:shd w:val="clear" w:color="auto" w:fill="auto"/>
            <w:vAlign w:val="center"/>
            <w:hideMark/>
          </w:tcPr>
          <w:p w:rsidR="00682EE2" w:rsidRPr="007F6E21" w:rsidP="007F6E21" w14:paraId="43A949AB" w14:textId="654CACA8">
            <w:pPr>
              <w:widowControl/>
              <w:jc w:val="center"/>
              <w:rPr>
                <w:snapToGrid/>
                <w:color w:val="000000"/>
                <w:sz w:val="20"/>
              </w:rPr>
            </w:pPr>
            <w:r w:rsidRPr="007F6E21">
              <w:rPr>
                <w:snapToGrid/>
                <w:color w:val="000000"/>
                <w:sz w:val="20"/>
              </w:rPr>
              <w:t xml:space="preserve"> $96.25 </w:t>
            </w:r>
          </w:p>
        </w:tc>
        <w:tc>
          <w:tcPr>
            <w:tcW w:w="342" w:type="dxa"/>
            <w:vMerge w:val="restart"/>
            <w:tcBorders>
              <w:top w:val="single" w:sz="4" w:space="0" w:color="auto"/>
              <w:left w:val="nil"/>
              <w:right w:val="single" w:sz="4" w:space="0" w:color="auto"/>
            </w:tcBorders>
            <w:vAlign w:val="center"/>
          </w:tcPr>
          <w:p w:rsidR="00682EE2" w:rsidRPr="007F6E21" w:rsidP="00682EE2" w14:paraId="427B2D1E" w14:textId="46E8A707">
            <w:pPr>
              <w:jc w:val="center"/>
              <w:rPr>
                <w:snapToGrid/>
                <w:color w:val="000000"/>
                <w:sz w:val="20"/>
              </w:rPr>
            </w:pPr>
            <w:r>
              <w:rPr>
                <w:snapToGrid/>
                <w:color w:val="000000"/>
                <w:sz w:val="20"/>
              </w:rPr>
              <w:t>*</w:t>
            </w:r>
          </w:p>
        </w:tc>
        <w:tc>
          <w:tcPr>
            <w:tcW w:w="1171" w:type="dxa"/>
            <w:vMerge w:val="restart"/>
            <w:tcBorders>
              <w:top w:val="nil"/>
              <w:left w:val="single" w:sz="4" w:space="0" w:color="auto"/>
              <w:right w:val="single" w:sz="4" w:space="0" w:color="auto"/>
            </w:tcBorders>
            <w:shd w:val="clear" w:color="auto" w:fill="auto"/>
            <w:vAlign w:val="center"/>
            <w:hideMark/>
          </w:tcPr>
          <w:p w:rsidR="00682EE2" w:rsidRPr="007F6E21" w:rsidP="007F6E21" w14:paraId="2FF0B585" w14:textId="77777777">
            <w:pPr>
              <w:widowControl/>
              <w:jc w:val="center"/>
              <w:rPr>
                <w:snapToGrid/>
                <w:color w:val="000000"/>
                <w:sz w:val="20"/>
              </w:rPr>
            </w:pPr>
            <w:r w:rsidRPr="007F6E21">
              <w:rPr>
                <w:snapToGrid/>
                <w:color w:val="000000"/>
                <w:sz w:val="20"/>
              </w:rPr>
              <w:t>1</w:t>
            </w:r>
          </w:p>
          <w:p w:rsidR="00682EE2" w:rsidRPr="007F6E21" w:rsidP="007F6E21" w14:paraId="507BEC61" w14:textId="236E8E41">
            <w:pPr>
              <w:jc w:val="center"/>
              <w:rPr>
                <w:snapToGrid/>
                <w:color w:val="000000"/>
                <w:sz w:val="20"/>
              </w:rPr>
            </w:pPr>
          </w:p>
        </w:tc>
        <w:tc>
          <w:tcPr>
            <w:tcW w:w="397" w:type="dxa"/>
            <w:vMerge w:val="restart"/>
            <w:tcBorders>
              <w:top w:val="nil"/>
              <w:left w:val="nil"/>
              <w:right w:val="single" w:sz="4" w:space="0" w:color="auto"/>
            </w:tcBorders>
            <w:vAlign w:val="center"/>
          </w:tcPr>
          <w:p w:rsidR="00682EE2" w:rsidRPr="007F6E21" w:rsidP="00682EE2" w14:paraId="614C1FA8" w14:textId="4999DA59">
            <w:pPr>
              <w:jc w:val="center"/>
              <w:rPr>
                <w:snapToGrid/>
                <w:color w:val="000000"/>
                <w:sz w:val="20"/>
              </w:rPr>
            </w:pPr>
            <w:r>
              <w:rPr>
                <w:snapToGrid/>
                <w:color w:val="000000"/>
                <w:sz w:val="20"/>
              </w:rPr>
              <w:t>*</w:t>
            </w:r>
          </w:p>
        </w:tc>
        <w:tc>
          <w:tcPr>
            <w:tcW w:w="1258" w:type="dxa"/>
            <w:vMerge w:val="restart"/>
            <w:tcBorders>
              <w:top w:val="nil"/>
              <w:left w:val="single" w:sz="4" w:space="0" w:color="auto"/>
              <w:right w:val="single" w:sz="4" w:space="0" w:color="auto"/>
            </w:tcBorders>
            <w:shd w:val="clear" w:color="auto" w:fill="auto"/>
            <w:vAlign w:val="center"/>
            <w:hideMark/>
          </w:tcPr>
          <w:p w:rsidR="00682EE2" w:rsidRPr="007F6E21" w:rsidP="007F6E21" w14:paraId="3D28151D" w14:textId="301CF0BC">
            <w:pPr>
              <w:widowControl/>
              <w:jc w:val="center"/>
              <w:rPr>
                <w:snapToGrid/>
                <w:color w:val="000000"/>
                <w:sz w:val="20"/>
              </w:rPr>
            </w:pPr>
            <w:r w:rsidRPr="007F6E21">
              <w:rPr>
                <w:snapToGrid/>
                <w:color w:val="000000"/>
                <w:sz w:val="20"/>
              </w:rPr>
              <w:t>5</w:t>
            </w:r>
          </w:p>
        </w:tc>
        <w:tc>
          <w:tcPr>
            <w:tcW w:w="355" w:type="dxa"/>
            <w:tcBorders>
              <w:top w:val="nil"/>
              <w:left w:val="nil"/>
              <w:bottom w:val="single" w:sz="4" w:space="0" w:color="auto"/>
              <w:right w:val="single" w:sz="4" w:space="0" w:color="auto"/>
            </w:tcBorders>
          </w:tcPr>
          <w:p w:rsidR="00682EE2" w:rsidRPr="007F6E21" w:rsidP="007F6E21" w14:paraId="4BF2DCA7" w14:textId="77777777">
            <w:pPr>
              <w:widowControl/>
              <w:jc w:val="center"/>
              <w:rPr>
                <w:snapToGrid/>
                <w:color w:val="000000"/>
                <w:sz w:val="20"/>
              </w:rPr>
            </w:pPr>
          </w:p>
        </w:tc>
        <w:tc>
          <w:tcPr>
            <w:tcW w:w="1425" w:type="dxa"/>
            <w:vMerge w:val="restart"/>
            <w:tcBorders>
              <w:top w:val="nil"/>
              <w:left w:val="single" w:sz="4" w:space="0" w:color="auto"/>
              <w:right w:val="single" w:sz="4" w:space="0" w:color="auto"/>
            </w:tcBorders>
            <w:shd w:val="clear" w:color="auto" w:fill="auto"/>
            <w:vAlign w:val="center"/>
            <w:hideMark/>
          </w:tcPr>
          <w:p w:rsidR="00682EE2" w:rsidRPr="007F6E21" w:rsidP="007F6E21" w14:paraId="45BEC523" w14:textId="49869AF1">
            <w:pPr>
              <w:widowControl/>
              <w:jc w:val="center"/>
              <w:rPr>
                <w:snapToGrid/>
                <w:color w:val="000000"/>
                <w:sz w:val="20"/>
              </w:rPr>
            </w:pPr>
            <w:r w:rsidRPr="007F6E21">
              <w:rPr>
                <w:snapToGrid/>
                <w:color w:val="000000"/>
                <w:sz w:val="20"/>
              </w:rPr>
              <w:t>40</w:t>
            </w:r>
          </w:p>
        </w:tc>
        <w:tc>
          <w:tcPr>
            <w:tcW w:w="365" w:type="dxa"/>
            <w:tcBorders>
              <w:top w:val="nil"/>
              <w:left w:val="nil"/>
              <w:bottom w:val="single" w:sz="4" w:space="0" w:color="auto"/>
              <w:right w:val="single" w:sz="4" w:space="0" w:color="auto"/>
            </w:tcBorders>
          </w:tcPr>
          <w:p w:rsidR="00682EE2" w:rsidRPr="007F6E21" w:rsidP="007F6E21" w14:paraId="1B18C12B" w14:textId="77777777">
            <w:pPr>
              <w:widowControl/>
              <w:rPr>
                <w:snapToGrid/>
                <w:color w:val="000000"/>
                <w:sz w:val="20"/>
              </w:rPr>
            </w:pPr>
          </w:p>
        </w:tc>
        <w:tc>
          <w:tcPr>
            <w:tcW w:w="1513" w:type="dxa"/>
            <w:tcBorders>
              <w:top w:val="nil"/>
              <w:left w:val="single" w:sz="4" w:space="0" w:color="auto"/>
              <w:bottom w:val="single" w:sz="4" w:space="0" w:color="auto"/>
              <w:right w:val="single" w:sz="4" w:space="0" w:color="auto"/>
            </w:tcBorders>
            <w:shd w:val="clear" w:color="auto" w:fill="auto"/>
            <w:vAlign w:val="center"/>
            <w:hideMark/>
          </w:tcPr>
          <w:p w:rsidR="00682EE2" w:rsidRPr="007F6E21" w:rsidP="007F6E21" w14:paraId="429DB41E" w14:textId="6E610564">
            <w:pPr>
              <w:widowControl/>
              <w:rPr>
                <w:snapToGrid/>
                <w:color w:val="000000"/>
                <w:sz w:val="20"/>
              </w:rPr>
            </w:pPr>
            <w:r w:rsidRPr="007F6E21">
              <w:rPr>
                <w:snapToGrid/>
                <w:color w:val="000000"/>
                <w:sz w:val="20"/>
              </w:rPr>
              <w:t xml:space="preserve"> $     19,250.00 </w:t>
            </w:r>
          </w:p>
        </w:tc>
      </w:tr>
      <w:tr w14:paraId="7FFCE1D3" w14:textId="77777777" w:rsidTr="007379AE">
        <w:tblPrEx>
          <w:tblW w:w="10874" w:type="dxa"/>
          <w:tblInd w:w="-455" w:type="dxa"/>
          <w:tblLook w:val="04A0"/>
        </w:tblPrEx>
        <w:trPr>
          <w:trHeight w:val="304"/>
        </w:trPr>
        <w:tc>
          <w:tcPr>
            <w:tcW w:w="1605" w:type="dxa"/>
            <w:tcBorders>
              <w:top w:val="nil"/>
              <w:left w:val="single" w:sz="4" w:space="0" w:color="auto"/>
              <w:bottom w:val="single" w:sz="4" w:space="0" w:color="auto"/>
              <w:right w:val="single" w:sz="4" w:space="0" w:color="auto"/>
            </w:tcBorders>
            <w:shd w:val="clear" w:color="auto" w:fill="auto"/>
            <w:hideMark/>
          </w:tcPr>
          <w:p w:rsidR="00682EE2" w:rsidRPr="007F6E21" w:rsidP="007F6E21" w14:paraId="0D86D5F4" w14:textId="77777777">
            <w:pPr>
              <w:widowControl/>
              <w:rPr>
                <w:b/>
                <w:bCs/>
                <w:snapToGrid/>
                <w:color w:val="000000"/>
                <w:sz w:val="20"/>
              </w:rPr>
            </w:pPr>
            <w:r w:rsidRPr="007F6E21">
              <w:rPr>
                <w:b/>
                <w:bCs/>
                <w:snapToGrid/>
                <w:color w:val="000000"/>
                <w:sz w:val="20"/>
              </w:rPr>
              <w:t>GS 13 (Step 4)</w:t>
            </w:r>
          </w:p>
        </w:tc>
        <w:tc>
          <w:tcPr>
            <w:tcW w:w="888" w:type="dxa"/>
            <w:tcBorders>
              <w:top w:val="nil"/>
              <w:left w:val="nil"/>
              <w:bottom w:val="single" w:sz="4" w:space="0" w:color="auto"/>
              <w:right w:val="single" w:sz="4" w:space="0" w:color="auto"/>
            </w:tcBorders>
            <w:shd w:val="clear" w:color="auto" w:fill="auto"/>
            <w:vAlign w:val="center"/>
            <w:hideMark/>
          </w:tcPr>
          <w:p w:rsidR="00682EE2" w:rsidRPr="007F6E21" w:rsidP="007F6E21" w14:paraId="08CAA7F8" w14:textId="1692A55B">
            <w:pPr>
              <w:widowControl/>
              <w:rPr>
                <w:snapToGrid/>
                <w:color w:val="000000"/>
                <w:sz w:val="20"/>
              </w:rPr>
            </w:pPr>
            <w:r w:rsidRPr="007F6E21">
              <w:rPr>
                <w:snapToGrid/>
                <w:color w:val="000000"/>
                <w:sz w:val="20"/>
              </w:rPr>
              <w:t xml:space="preserve"> $62.17 </w:t>
            </w:r>
          </w:p>
        </w:tc>
        <w:tc>
          <w:tcPr>
            <w:tcW w:w="1555" w:type="dxa"/>
            <w:tcBorders>
              <w:top w:val="nil"/>
              <w:left w:val="nil"/>
              <w:bottom w:val="single" w:sz="4" w:space="0" w:color="auto"/>
              <w:right w:val="single" w:sz="4" w:space="0" w:color="auto"/>
            </w:tcBorders>
            <w:shd w:val="clear" w:color="auto" w:fill="auto"/>
            <w:vAlign w:val="center"/>
            <w:hideMark/>
          </w:tcPr>
          <w:p w:rsidR="00682EE2" w:rsidRPr="007F6E21" w:rsidP="007F6E21" w14:paraId="619A7CA7" w14:textId="1FC4D3C9">
            <w:pPr>
              <w:widowControl/>
              <w:rPr>
                <w:snapToGrid/>
                <w:color w:val="000000"/>
                <w:sz w:val="20"/>
              </w:rPr>
            </w:pPr>
            <w:r w:rsidRPr="007F6E21">
              <w:rPr>
                <w:snapToGrid/>
                <w:color w:val="000000"/>
                <w:sz w:val="20"/>
              </w:rPr>
              <w:t xml:space="preserve"> </w:t>
            </w:r>
            <w:r>
              <w:rPr>
                <w:snapToGrid/>
                <w:color w:val="000000"/>
                <w:sz w:val="20"/>
              </w:rPr>
              <w:t xml:space="preserve">     </w:t>
            </w:r>
            <w:r w:rsidR="003806B5">
              <w:rPr>
                <w:snapToGrid/>
                <w:color w:val="000000"/>
                <w:sz w:val="20"/>
              </w:rPr>
              <w:t xml:space="preserve">  </w:t>
            </w:r>
            <w:r w:rsidRPr="007F6E21">
              <w:rPr>
                <w:snapToGrid/>
                <w:color w:val="000000"/>
                <w:sz w:val="20"/>
              </w:rPr>
              <w:t xml:space="preserve">$81.44 </w:t>
            </w:r>
          </w:p>
        </w:tc>
        <w:tc>
          <w:tcPr>
            <w:tcW w:w="342" w:type="dxa"/>
            <w:vMerge/>
            <w:tcBorders>
              <w:left w:val="nil"/>
              <w:bottom w:val="single" w:sz="4" w:space="0" w:color="auto"/>
              <w:right w:val="single" w:sz="4" w:space="0" w:color="auto"/>
            </w:tcBorders>
          </w:tcPr>
          <w:p w:rsidR="00682EE2" w:rsidRPr="007F6E21" w:rsidP="007F6E21" w14:paraId="380B41A1" w14:textId="6C850A4A">
            <w:pPr>
              <w:widowControl/>
              <w:jc w:val="center"/>
              <w:rPr>
                <w:snapToGrid/>
                <w:color w:val="000000"/>
                <w:sz w:val="20"/>
              </w:rPr>
            </w:pPr>
          </w:p>
        </w:tc>
        <w:tc>
          <w:tcPr>
            <w:tcW w:w="1171" w:type="dxa"/>
            <w:vMerge/>
            <w:tcBorders>
              <w:left w:val="single" w:sz="4" w:space="0" w:color="auto"/>
              <w:bottom w:val="single" w:sz="4" w:space="0" w:color="auto"/>
              <w:right w:val="single" w:sz="4" w:space="0" w:color="auto"/>
            </w:tcBorders>
            <w:shd w:val="clear" w:color="auto" w:fill="auto"/>
            <w:vAlign w:val="center"/>
            <w:hideMark/>
          </w:tcPr>
          <w:p w:rsidR="00682EE2" w:rsidRPr="007F6E21" w:rsidP="007F6E21" w14:paraId="7EAD0F45" w14:textId="172635F5">
            <w:pPr>
              <w:widowControl/>
              <w:jc w:val="center"/>
              <w:rPr>
                <w:snapToGrid/>
                <w:color w:val="000000"/>
                <w:sz w:val="20"/>
              </w:rPr>
            </w:pPr>
          </w:p>
        </w:tc>
        <w:tc>
          <w:tcPr>
            <w:tcW w:w="397" w:type="dxa"/>
            <w:vMerge/>
            <w:tcBorders>
              <w:left w:val="nil"/>
              <w:bottom w:val="single" w:sz="4" w:space="0" w:color="auto"/>
              <w:right w:val="single" w:sz="4" w:space="0" w:color="auto"/>
            </w:tcBorders>
            <w:vAlign w:val="center"/>
          </w:tcPr>
          <w:p w:rsidR="00682EE2" w:rsidRPr="007F6E21" w:rsidP="00682EE2" w14:paraId="573BCE27" w14:textId="129DC4F6">
            <w:pPr>
              <w:widowControl/>
              <w:jc w:val="center"/>
              <w:rPr>
                <w:snapToGrid/>
                <w:color w:val="000000"/>
                <w:sz w:val="20"/>
              </w:rPr>
            </w:pPr>
          </w:p>
        </w:tc>
        <w:tc>
          <w:tcPr>
            <w:tcW w:w="1258" w:type="dxa"/>
            <w:vMerge/>
            <w:tcBorders>
              <w:left w:val="single" w:sz="4" w:space="0" w:color="auto"/>
              <w:bottom w:val="single" w:sz="4" w:space="0" w:color="auto"/>
              <w:right w:val="single" w:sz="4" w:space="0" w:color="auto"/>
            </w:tcBorders>
            <w:shd w:val="clear" w:color="auto" w:fill="auto"/>
            <w:vAlign w:val="center"/>
            <w:hideMark/>
          </w:tcPr>
          <w:p w:rsidR="00682EE2" w:rsidRPr="007F6E21" w:rsidP="007F6E21" w14:paraId="502FCCE4" w14:textId="025D361C">
            <w:pPr>
              <w:widowControl/>
              <w:jc w:val="center"/>
              <w:rPr>
                <w:snapToGrid/>
                <w:color w:val="000000"/>
                <w:sz w:val="20"/>
              </w:rPr>
            </w:pPr>
          </w:p>
        </w:tc>
        <w:tc>
          <w:tcPr>
            <w:tcW w:w="355" w:type="dxa"/>
            <w:tcBorders>
              <w:top w:val="nil"/>
              <w:left w:val="nil"/>
              <w:bottom w:val="single" w:sz="4" w:space="0" w:color="auto"/>
              <w:right w:val="single" w:sz="4" w:space="0" w:color="auto"/>
            </w:tcBorders>
          </w:tcPr>
          <w:p w:rsidR="00682EE2" w:rsidRPr="007F6E21" w:rsidP="007F6E21" w14:paraId="28B64EFA" w14:textId="6D4AD8DB">
            <w:pPr>
              <w:widowControl/>
              <w:jc w:val="center"/>
              <w:rPr>
                <w:snapToGrid/>
                <w:color w:val="000000"/>
                <w:sz w:val="20"/>
              </w:rPr>
            </w:pPr>
            <w:r>
              <w:rPr>
                <w:snapToGrid/>
                <w:color w:val="000000"/>
                <w:sz w:val="20"/>
              </w:rPr>
              <w:t>*</w:t>
            </w:r>
          </w:p>
        </w:tc>
        <w:tc>
          <w:tcPr>
            <w:tcW w:w="1425" w:type="dxa"/>
            <w:vMerge/>
            <w:tcBorders>
              <w:left w:val="single" w:sz="4" w:space="0" w:color="auto"/>
              <w:bottom w:val="single" w:sz="4" w:space="0" w:color="auto"/>
              <w:right w:val="single" w:sz="4" w:space="0" w:color="auto"/>
            </w:tcBorders>
            <w:shd w:val="clear" w:color="auto" w:fill="auto"/>
            <w:vAlign w:val="center"/>
            <w:hideMark/>
          </w:tcPr>
          <w:p w:rsidR="00682EE2" w:rsidRPr="007F6E21" w:rsidP="00FD2FDE" w14:paraId="54D4265C" w14:textId="7427848A">
            <w:pPr>
              <w:widowControl/>
              <w:rPr>
                <w:snapToGrid/>
                <w:color w:val="000000"/>
                <w:sz w:val="20"/>
              </w:rPr>
            </w:pPr>
          </w:p>
        </w:tc>
        <w:tc>
          <w:tcPr>
            <w:tcW w:w="365" w:type="dxa"/>
            <w:tcBorders>
              <w:top w:val="nil"/>
              <w:left w:val="nil"/>
              <w:bottom w:val="single" w:sz="4" w:space="0" w:color="auto"/>
              <w:right w:val="single" w:sz="4" w:space="0" w:color="auto"/>
            </w:tcBorders>
          </w:tcPr>
          <w:p w:rsidR="00682EE2" w:rsidRPr="007F6E21" w:rsidP="007F6E21" w14:paraId="5926D470" w14:textId="7495EB43">
            <w:pPr>
              <w:widowControl/>
              <w:rPr>
                <w:snapToGrid/>
                <w:color w:val="000000"/>
                <w:sz w:val="20"/>
              </w:rPr>
            </w:pPr>
            <w:r>
              <w:rPr>
                <w:snapToGrid/>
                <w:color w:val="000000"/>
                <w:sz w:val="20"/>
              </w:rPr>
              <w:t>=</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rsidR="00682EE2" w:rsidRPr="007F6E21" w:rsidP="007F6E21" w14:paraId="69D087F6" w14:textId="1FB76192">
            <w:pPr>
              <w:widowControl/>
              <w:rPr>
                <w:snapToGrid/>
                <w:color w:val="000000"/>
                <w:sz w:val="20"/>
              </w:rPr>
            </w:pPr>
            <w:r w:rsidRPr="007F6E21">
              <w:rPr>
                <w:snapToGrid/>
                <w:color w:val="000000"/>
                <w:sz w:val="20"/>
              </w:rPr>
              <w:t xml:space="preserve"> $     16,288.00 </w:t>
            </w:r>
          </w:p>
        </w:tc>
      </w:tr>
      <w:tr w14:paraId="4E3FA12F" w14:textId="77777777" w:rsidTr="00FD2FDE">
        <w:tblPrEx>
          <w:tblW w:w="10874" w:type="dxa"/>
          <w:tblInd w:w="-455" w:type="dxa"/>
          <w:tblLook w:val="04A0"/>
        </w:tblPrEx>
        <w:trPr>
          <w:trHeight w:val="304"/>
        </w:trPr>
        <w:tc>
          <w:tcPr>
            <w:tcW w:w="8996"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82EE2" w:rsidRPr="007F6E21" w:rsidP="00682EE2" w14:paraId="0CF0DF5F" w14:textId="77777777">
            <w:pPr>
              <w:widowControl/>
              <w:jc w:val="center"/>
              <w:rPr>
                <w:b/>
                <w:bCs/>
                <w:snapToGrid/>
                <w:color w:val="000000"/>
                <w:sz w:val="20"/>
              </w:rPr>
            </w:pPr>
            <w:r w:rsidRPr="007F6E21">
              <w:rPr>
                <w:b/>
                <w:bCs/>
                <w:snapToGrid/>
                <w:color w:val="000000"/>
                <w:sz w:val="20"/>
              </w:rPr>
              <w:t>TOTAL COMBINED FEDERAL WAGES</w:t>
            </w:r>
          </w:p>
          <w:p w:rsidR="00682EE2" w:rsidRPr="007F6E21" w:rsidP="00682EE2" w14:paraId="4B51A434" w14:textId="212E8527">
            <w:pPr>
              <w:widowControl/>
              <w:jc w:val="center"/>
              <w:rPr>
                <w:b/>
                <w:bCs/>
                <w:snapToGrid/>
                <w:color w:val="000000"/>
                <w:sz w:val="20"/>
              </w:rPr>
            </w:pPr>
          </w:p>
        </w:tc>
        <w:tc>
          <w:tcPr>
            <w:tcW w:w="365" w:type="dxa"/>
            <w:tcBorders>
              <w:top w:val="nil"/>
              <w:left w:val="nil"/>
              <w:bottom w:val="single" w:sz="4" w:space="0" w:color="auto"/>
              <w:right w:val="single" w:sz="4" w:space="0" w:color="auto"/>
            </w:tcBorders>
          </w:tcPr>
          <w:p w:rsidR="00682EE2" w:rsidRPr="00FD2FDE" w:rsidP="007F6E21" w14:paraId="3033A340" w14:textId="77777777">
            <w:pPr>
              <w:widowControl/>
              <w:rPr>
                <w:b/>
                <w:bCs/>
                <w:snapToGrid/>
                <w:color w:val="000000"/>
                <w:sz w:val="22"/>
                <w:szCs w:val="22"/>
              </w:rPr>
            </w:pP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rsidR="00682EE2" w:rsidRPr="00FD2FDE" w:rsidP="00FD2FDE" w14:paraId="161534B0" w14:textId="0E283C02">
            <w:pPr>
              <w:widowControl/>
              <w:jc w:val="center"/>
              <w:rPr>
                <w:b/>
                <w:bCs/>
                <w:snapToGrid/>
                <w:color w:val="000000"/>
                <w:sz w:val="22"/>
                <w:szCs w:val="22"/>
              </w:rPr>
            </w:pPr>
            <w:r w:rsidRPr="00FD2FDE">
              <w:rPr>
                <w:b/>
                <w:bCs/>
                <w:snapToGrid/>
                <w:color w:val="000000"/>
                <w:sz w:val="22"/>
                <w:szCs w:val="22"/>
              </w:rPr>
              <w:t>$   35,538.00</w:t>
            </w:r>
          </w:p>
        </w:tc>
      </w:tr>
    </w:tbl>
    <w:p w:rsidR="007F6E21" w:rsidRPr="00BF5638" w14:paraId="6FD9089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00545A59" w:rsidRPr="001B7EE2" w:rsidP="00FD2FDE" w14:paraId="62454DBE" w14:textId="1BC06FA7">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Expla</w:t>
      </w:r>
      <w:r w:rsidR="001B7EE2">
        <w:rPr>
          <w:b/>
          <w:szCs w:val="24"/>
        </w:rPr>
        <w:t>nation of P</w:t>
      </w:r>
      <w:r w:rsidRPr="00BF5638">
        <w:rPr>
          <w:b/>
          <w:szCs w:val="24"/>
        </w:rPr>
        <w:t xml:space="preserve">rogram </w:t>
      </w:r>
      <w:r w:rsidR="001B7EE2">
        <w:rPr>
          <w:b/>
          <w:szCs w:val="24"/>
        </w:rPr>
        <w:t>C</w:t>
      </w:r>
      <w:r w:rsidRPr="00BF5638" w:rsidR="001B7EE2">
        <w:rPr>
          <w:b/>
          <w:szCs w:val="24"/>
        </w:rPr>
        <w:t xml:space="preserve">hanges </w:t>
      </w:r>
      <w:r w:rsidRPr="00BF5638">
        <w:rPr>
          <w:b/>
          <w:szCs w:val="24"/>
        </w:rPr>
        <w:t xml:space="preserve">or </w:t>
      </w:r>
      <w:r w:rsidR="001B7EE2">
        <w:rPr>
          <w:b/>
          <w:szCs w:val="24"/>
        </w:rPr>
        <w:t>A</w:t>
      </w:r>
      <w:r w:rsidRPr="00BF5638" w:rsidR="001B7EE2">
        <w:rPr>
          <w:b/>
          <w:szCs w:val="24"/>
        </w:rPr>
        <w:t>djustments</w:t>
      </w:r>
    </w:p>
    <w:p w:rsidR="00545A59" w:rsidRPr="00BF5638" w14:paraId="17C46E7B" w14:textId="77777777">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545A59" w:rsidRPr="00BF5638" w:rsidP="00FD2FDE" w14:paraId="65CF3335" w14:textId="10A2E6DC">
      <w:pPr>
        <w:tabs>
          <w:tab w:val="left" w:pos="-1440"/>
          <w:tab w:val="left" w:pos="-72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Pr>
          <w:szCs w:val="24"/>
        </w:rPr>
        <w:t>The form associated with this collection was updated to correspond with current program needs. There is a minor increase in public mailing costs associated with this collection due to an increase in postage since the last renewal.</w:t>
      </w:r>
    </w:p>
    <w:p w:rsidR="00545A59" w:rsidRPr="00BF5638" w:rsidP="00FD2FDE" w14:paraId="58EC5FE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545A59" w:rsidRPr="00FD2FDE" w:rsidP="00FD2FDE" w14:paraId="7F271C97" w14:textId="357DA985">
      <w:pPr>
        <w:pStyle w:val="ListParagraph"/>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D2FDE">
        <w:rPr>
          <w:b/>
          <w:szCs w:val="24"/>
        </w:rPr>
        <w:t>Publication of Data C</w:t>
      </w:r>
      <w:r w:rsidRPr="00FD2FDE">
        <w:rPr>
          <w:b/>
          <w:szCs w:val="24"/>
        </w:rPr>
        <w:t>ollections</w:t>
      </w:r>
      <w:r w:rsidRPr="00FD2FDE">
        <w:rPr>
          <w:b/>
          <w:szCs w:val="24"/>
        </w:rPr>
        <w:t xml:space="preserve"> R</w:t>
      </w:r>
      <w:r w:rsidRPr="00FD2FDE">
        <w:rPr>
          <w:b/>
          <w:szCs w:val="24"/>
        </w:rPr>
        <w:t xml:space="preserve">esults </w:t>
      </w:r>
    </w:p>
    <w:p w:rsidR="00545A59" w:rsidRPr="00BF5638" w14:paraId="5B8F3B7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545A59" w:rsidRPr="00BF5638" w:rsidP="00FD2FDE" w14:paraId="20E8A8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rPr>
        <w:t>T</w:t>
      </w:r>
      <w:r w:rsidRPr="00BF5638">
        <w:rPr>
          <w:szCs w:val="24"/>
        </w:rPr>
        <w:t>he results of this information collection will not be published.</w:t>
      </w:r>
    </w:p>
    <w:p w:rsidR="00226771" w:rsidRPr="00BF5638" w14:paraId="5EFAD27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1B7EE2" w:rsidRPr="00FD2FDE" w:rsidP="00FD2FDE" w14:paraId="2F084A75" w14:textId="7F8600CE">
      <w:pPr>
        <w:pStyle w:val="ListParagraph"/>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D</w:t>
      </w:r>
      <w:r w:rsidRPr="00FD2FDE" w:rsidR="00545A59">
        <w:rPr>
          <w:b/>
          <w:szCs w:val="24"/>
        </w:rPr>
        <w:t xml:space="preserve">isplay </w:t>
      </w:r>
      <w:r>
        <w:rPr>
          <w:b/>
          <w:szCs w:val="24"/>
        </w:rPr>
        <w:t>of the OMB E</w:t>
      </w:r>
      <w:r w:rsidRPr="00FD2FDE">
        <w:rPr>
          <w:b/>
          <w:szCs w:val="24"/>
        </w:rPr>
        <w:t xml:space="preserve">xpiration </w:t>
      </w:r>
      <w:r>
        <w:rPr>
          <w:b/>
          <w:szCs w:val="24"/>
        </w:rPr>
        <w:t>D</w:t>
      </w:r>
      <w:r w:rsidRPr="00FD2FDE">
        <w:rPr>
          <w:b/>
          <w:szCs w:val="24"/>
        </w:rPr>
        <w:t xml:space="preserve">ate </w:t>
      </w:r>
    </w:p>
    <w:p w:rsidR="00F35835" w:rsidRPr="00BF5638" w:rsidP="00FD2FDE" w14:paraId="7D721339" w14:textId="77777777">
      <w:pPr>
        <w:pStyle w:val="ListParagraph"/>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Cs w:val="24"/>
        </w:rPr>
      </w:pPr>
    </w:p>
    <w:p w:rsidR="00545A59" w:rsidRPr="00BF5638" w14:paraId="1C586207" w14:textId="5655679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MARAD is not see</w:t>
      </w:r>
      <w:r w:rsidR="00FD2FDE">
        <w:rPr>
          <w:szCs w:val="24"/>
        </w:rPr>
        <w:t>k</w:t>
      </w:r>
      <w:r>
        <w:rPr>
          <w:szCs w:val="24"/>
        </w:rPr>
        <w:t>ing approval to omit</w:t>
      </w:r>
      <w:r w:rsidRPr="00BF5638">
        <w:rPr>
          <w:szCs w:val="24"/>
        </w:rPr>
        <w:t xml:space="preserve"> display</w:t>
      </w:r>
      <w:r>
        <w:rPr>
          <w:szCs w:val="24"/>
        </w:rPr>
        <w:t>ing</w:t>
      </w:r>
      <w:r w:rsidRPr="00BF5638">
        <w:rPr>
          <w:szCs w:val="24"/>
        </w:rPr>
        <w:t xml:space="preserve"> the expiration date.  </w:t>
      </w:r>
    </w:p>
    <w:p w:rsidR="00545A59" w:rsidRPr="00BF5638" w14:paraId="05B564D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545A59" w:rsidRPr="00BF5638" w:rsidP="00FD2FDE" w14:paraId="6A1802E5" w14:textId="0834F229">
      <w:pPr>
        <w:numPr>
          <w:ilvl w:val="0"/>
          <w:numId w:val="1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E</w:t>
      </w:r>
      <w:r w:rsidRPr="00BF5638">
        <w:rPr>
          <w:b/>
          <w:szCs w:val="24"/>
        </w:rPr>
        <w:t xml:space="preserve">xception to the </w:t>
      </w:r>
      <w:r>
        <w:rPr>
          <w:b/>
          <w:szCs w:val="24"/>
        </w:rPr>
        <w:t>C</w:t>
      </w:r>
      <w:r w:rsidRPr="00BF5638">
        <w:rPr>
          <w:b/>
          <w:szCs w:val="24"/>
        </w:rPr>
        <w:t xml:space="preserve">ertification </w:t>
      </w:r>
      <w:r>
        <w:rPr>
          <w:b/>
          <w:szCs w:val="24"/>
        </w:rPr>
        <w:t>S</w:t>
      </w:r>
      <w:r w:rsidRPr="00BF5638">
        <w:rPr>
          <w:b/>
          <w:szCs w:val="24"/>
        </w:rPr>
        <w:t xml:space="preserve">tatement </w:t>
      </w:r>
    </w:p>
    <w:p w:rsidR="001B7EE2" w:rsidP="002948DA" w14:paraId="634357B1" w14:textId="77777777">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215C8" w:rsidRPr="00262FC8" w:rsidP="00FD2FDE" w14:paraId="3633F4EB" w14:textId="631CCF23">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rPr>
        <w:t>There are no exceptions to the certif</w:t>
      </w:r>
      <w:r w:rsidRPr="00262FC8">
        <w:rPr>
          <w:szCs w:val="24"/>
        </w:rPr>
        <w:t>icate statement.</w:t>
      </w:r>
    </w:p>
    <w:sectPr w:rsidSect="00226771">
      <w:headerReference w:type="default" r:id="rId7"/>
      <w:footerReference w:type="even" r:id="rId8"/>
      <w:footerReference w:type="default" r:id="rId9"/>
      <w:footerReference w:type="first" r:id="rId10"/>
      <w:endnotePr>
        <w:numFmt w:val="decimal"/>
      </w:endnotePr>
      <w:pgSz w:w="12240" w:h="15840" w:code="1"/>
      <w:pgMar w:top="1440" w:right="1440" w:bottom="1296" w:left="1440" w:header="1440" w:footer="864"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7DB" w:rsidP="00D215C8" w14:paraId="4D7908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37DB" w14:paraId="3756CC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7DB" w14:paraId="261DC127" w14:textId="77777777">
    <w:pPr>
      <w:spacing w:line="240" w:lineRule="exact"/>
    </w:pPr>
  </w:p>
  <w:p w:rsidR="00A337DB" w:rsidP="00D215C8" w14:paraId="5E87BBC0" w14:textId="77777777">
    <w:pPr>
      <w:framePr w:wrap="around" w:vAnchor="text" w:hAnchor="margin" w:xAlign="center" w:y="1"/>
      <w:jc w:val="center"/>
    </w:pPr>
    <w:r>
      <w:fldChar w:fldCharType="begin"/>
    </w:r>
    <w:r>
      <w:instrText xml:space="preserve">PAGE </w:instrText>
    </w:r>
    <w:r>
      <w:fldChar w:fldCharType="separate"/>
    </w:r>
    <w:r w:rsidR="00E7173D">
      <w:rPr>
        <w:noProof/>
      </w:rPr>
      <w:t>8</w:t>
    </w:r>
    <w:r>
      <w:fldChar w:fldCharType="end"/>
    </w:r>
  </w:p>
  <w:p w:rsidR="00A337DB" w14:paraId="183A92A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7DB" w:rsidP="0051371E" w14:paraId="2F97528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F36" w14:paraId="41C859E9" w14:textId="77777777">
      <w:r>
        <w:separator/>
      </w:r>
    </w:p>
  </w:footnote>
  <w:footnote w:type="continuationSeparator" w:id="1">
    <w:p w:rsidR="00286F36" w14:paraId="0C185EC1" w14:textId="77777777">
      <w:r>
        <w:continuationSeparator/>
      </w:r>
    </w:p>
  </w:footnote>
  <w:footnote w:id="2">
    <w:p w:rsidR="0042283E" w:rsidRPr="0002645D" w:rsidP="0042283E" w14:paraId="3875E9C6" w14:textId="77777777">
      <w:pPr>
        <w:pStyle w:val="FootnoteText1"/>
      </w:pPr>
      <w:r w:rsidRPr="0002645D">
        <w:rPr>
          <w:rStyle w:val="FootnoteReference"/>
        </w:rPr>
        <w:footnoteRef/>
      </w:r>
      <w:r w:rsidRPr="0002645D">
        <w:t xml:space="preserve"> The hourly wage estimate is taken from current BLS tables: </w:t>
      </w:r>
      <w:hyperlink r:id="rId1" w:history="1">
        <w:r w:rsidRPr="0002645D">
          <w:rPr>
            <w:rStyle w:val="Hyperlink"/>
            <w:rFonts w:eastAsia="Calibri"/>
          </w:rPr>
          <w:t>https://www.bls.gov/oes/current/oes_nat.htm</w:t>
        </w:r>
      </w:hyperlink>
      <w:r w:rsidRPr="0002645D">
        <w:t>.</w:t>
      </w:r>
    </w:p>
  </w:footnote>
  <w:footnote w:id="3">
    <w:p w:rsidR="006B2960" w:rsidP="006B2960" w14:paraId="69F341D9" w14:textId="77777777">
      <w:pPr>
        <w:pStyle w:val="FootnoteText"/>
      </w:pPr>
      <w:r w:rsidRPr="0002645D">
        <w:rPr>
          <w:rStyle w:val="FootnoteReference"/>
        </w:rPr>
        <w:footnoteRef/>
      </w:r>
      <w:r w:rsidRPr="0002645D">
        <w:t xml:space="preserve"> </w:t>
      </w:r>
      <w:bookmarkStart w:id="4" w:name="_Hlk164072686"/>
      <w:r w:rsidRPr="0002645D">
        <w:t>Per BLS Employee Compensation Memo, the total compensation rate for the private sector is 29%,  :</w:t>
      </w:r>
      <w:hyperlink r:id="rId2" w:history="1">
        <w:r w:rsidRPr="0002645D">
          <w:rPr>
            <w:rStyle w:val="Hyperlink"/>
            <w:rFonts w:eastAsia="Calibri"/>
          </w:rPr>
          <w:t>https://www.bls.gov/news.release/pdf/ecec.pdf</w:t>
        </w:r>
      </w:hyperlink>
      <w:bookmarkEnd w:id="4"/>
    </w:p>
  </w:footnote>
  <w:footnote w:id="4">
    <w:p w:rsidR="00890AC4" w:rsidRPr="0002645D" w:rsidP="00890AC4" w14:paraId="046972BB" w14:textId="77777777">
      <w:pPr>
        <w:pStyle w:val="FootnoteText"/>
      </w:pPr>
      <w:r w:rsidRPr="0002645D">
        <w:rPr>
          <w:rStyle w:val="FootnoteReference"/>
        </w:rPr>
        <w:footnoteRef/>
      </w:r>
      <w:r w:rsidRPr="0002645D">
        <w:t xml:space="preserve"> The hourly Federal Government wage is taken from OMB 2024 wage tables: </w:t>
      </w:r>
      <w:hyperlink r:id="rId3" w:history="1">
        <w:r w:rsidRPr="001809EF">
          <w:rPr>
            <w:rStyle w:val="Hyperlink"/>
            <w:rFonts w:eastAsia="Calibri"/>
          </w:rPr>
          <w:t>https://www.opm.gov/policy-data-oversight/pay-leave/salaries-wages/salary-tables/24Tables/html/DCB_h.aspx</w:t>
        </w:r>
      </w:hyperlink>
      <w:r>
        <w:t xml:space="preserve"> </w:t>
      </w:r>
    </w:p>
    <w:p w:rsidR="00890AC4" w:rsidP="00890AC4" w14:paraId="5C632728" w14:textId="77777777">
      <w:pPr>
        <w:pStyle w:val="FootnoteText"/>
      </w:pPr>
    </w:p>
  </w:footnote>
  <w:footnote w:id="5">
    <w:p w:rsidR="00890AC4" w:rsidP="00890AC4" w14:paraId="68BFFB0A" w14:textId="77777777">
      <w:pPr>
        <w:pStyle w:val="FootnoteText"/>
      </w:pPr>
      <w:r>
        <w:rPr>
          <w:rStyle w:val="FootnoteReference"/>
        </w:rPr>
        <w:footnoteRef/>
      </w:r>
      <w:r>
        <w:t xml:space="preserve"> </w:t>
      </w:r>
      <w:r w:rsidRPr="007C21F2">
        <w:t xml:space="preserve">Per BLS Employee Compensation Memo, the total compensation rate for the </w:t>
      </w:r>
      <w:r>
        <w:t xml:space="preserve">Federal Government </w:t>
      </w:r>
      <w:r w:rsidRPr="007C21F2">
        <w:t xml:space="preserve"> is </w:t>
      </w:r>
      <w:r>
        <w:t>31</w:t>
      </w:r>
      <w:r w:rsidRPr="007C21F2">
        <w:t>%,  :</w:t>
      </w:r>
      <w:hyperlink r:id="rId2" w:history="1">
        <w:r w:rsidRPr="007C21F2">
          <w:rPr>
            <w:rStyle w:val="Hyperlink"/>
            <w:rFonts w:eastAsia="Calibri"/>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7DB" w14:paraId="273D47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A337DB" w14:paraId="74FBD97B"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3381D"/>
    <w:multiLevelType w:val="hybridMultilevel"/>
    <w:tmpl w:val="C27CA1B2"/>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7354C"/>
    <w:multiLevelType w:val="hybridMultilevel"/>
    <w:tmpl w:val="E8024B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5FC19F4"/>
    <w:multiLevelType w:val="hybridMultilevel"/>
    <w:tmpl w:val="79507124"/>
    <w:lvl w:ilvl="0">
      <w:start w:val="0"/>
      <w:numFmt w:val="bullet"/>
      <w:lvlText w:val=""/>
      <w:lvlJc w:val="left"/>
      <w:pPr>
        <w:ind w:left="1152" w:hanging="432"/>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E1960F2"/>
    <w:multiLevelType w:val="hybridMultilevel"/>
    <w:tmpl w:val="E196E2C0"/>
    <w:lvl w:ilvl="0">
      <w:start w:val="1"/>
      <w:numFmt w:val="decimal"/>
      <w:lvlText w:val="%1."/>
      <w:lvlJc w:val="left"/>
      <w:pPr>
        <w:ind w:left="108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D33D2A"/>
    <w:multiLevelType w:val="hybridMultilevel"/>
    <w:tmpl w:val="D47ADED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0B4D5D"/>
    <w:multiLevelType w:val="singleLevel"/>
    <w:tmpl w:val="38E2B928"/>
    <w:lvl w:ilvl="0">
      <w:start w:val="1"/>
      <w:numFmt w:val="decimal"/>
      <w:lvlText w:val="%1."/>
      <w:lvlJc w:val="left"/>
      <w:pPr>
        <w:tabs>
          <w:tab w:val="num" w:pos="720"/>
        </w:tabs>
        <w:ind w:left="720" w:hanging="720"/>
      </w:pPr>
      <w:rPr>
        <w:rFonts w:hint="default"/>
      </w:rPr>
    </w:lvl>
  </w:abstractNum>
  <w:abstractNum w:abstractNumId="7">
    <w:nsid w:val="26705CE3"/>
    <w:multiLevelType w:val="hybridMultilevel"/>
    <w:tmpl w:val="08EA6A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104E2F"/>
    <w:multiLevelType w:val="hybridMultilevel"/>
    <w:tmpl w:val="56C40E22"/>
    <w:lvl w:ilvl="0">
      <w:start w:val="1"/>
      <w:numFmt w:val="decimal"/>
      <w:lvlText w:val="%1."/>
      <w:lvlJc w:val="left"/>
      <w:pPr>
        <w:ind w:left="1080" w:hanging="360"/>
      </w:pPr>
      <w:rPr>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2B03FC3"/>
    <w:multiLevelType w:val="singleLevel"/>
    <w:tmpl w:val="29D097A6"/>
    <w:lvl w:ilvl="0">
      <w:start w:val="1"/>
      <w:numFmt w:val="lowerLetter"/>
      <w:lvlText w:val="(%1)"/>
      <w:lvlJc w:val="left"/>
      <w:pPr>
        <w:tabs>
          <w:tab w:val="num" w:pos="1320"/>
        </w:tabs>
        <w:ind w:left="1320" w:hanging="600"/>
      </w:pPr>
      <w:rPr>
        <w:rFonts w:hint="default"/>
      </w:rPr>
    </w:lvl>
  </w:abstractNum>
  <w:abstractNum w:abstractNumId="10">
    <w:nsid w:val="37340DE8"/>
    <w:multiLevelType w:val="hybridMultilevel"/>
    <w:tmpl w:val="817AAB7C"/>
    <w:lvl w:ilvl="0">
      <w:start w:val="4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A0809FF"/>
    <w:multiLevelType w:val="hybridMultilevel"/>
    <w:tmpl w:val="52DE7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122E82"/>
    <w:multiLevelType w:val="hybridMultilevel"/>
    <w:tmpl w:val="D78004A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4426C3F"/>
    <w:multiLevelType w:val="hybridMultilevel"/>
    <w:tmpl w:val="8C64618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95511B"/>
    <w:multiLevelType w:val="hybridMultilevel"/>
    <w:tmpl w:val="96BC4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8444C2"/>
    <w:multiLevelType w:val="singleLevel"/>
    <w:tmpl w:val="09FAF8FA"/>
    <w:lvl w:ilvl="0">
      <w:start w:val="1"/>
      <w:numFmt w:val="lowerLetter"/>
      <w:lvlText w:val="(%1)"/>
      <w:lvlJc w:val="left"/>
      <w:pPr>
        <w:tabs>
          <w:tab w:val="num" w:pos="1080"/>
        </w:tabs>
        <w:ind w:left="1080" w:hanging="360"/>
      </w:pPr>
      <w:rPr>
        <w:rFonts w:hint="default"/>
        <w:b/>
      </w:rPr>
    </w:lvl>
  </w:abstractNum>
  <w:abstractNum w:abstractNumId="16">
    <w:nsid w:val="6BAF61CD"/>
    <w:multiLevelType w:val="hybridMultilevel"/>
    <w:tmpl w:val="91A4A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E5699E"/>
    <w:multiLevelType w:val="hybridMultilevel"/>
    <w:tmpl w:val="6B9A8A6C"/>
    <w:lvl w:ilvl="0">
      <w:start w:val="1"/>
      <w:numFmt w:val="bullet"/>
      <w:lvlText w:val="o"/>
      <w:lvlJc w:val="left"/>
      <w:pPr>
        <w:tabs>
          <w:tab w:val="num" w:pos="1080"/>
        </w:tabs>
        <w:ind w:left="1080" w:hanging="360"/>
      </w:pPr>
      <w:rPr>
        <w:rFonts w:ascii="Courier New" w:hAnsi="Courier New" w:cs="Courier New" w:hint="default"/>
        <w:b/>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70BA69C7"/>
    <w:multiLevelType w:val="singleLevel"/>
    <w:tmpl w:val="69067F54"/>
    <w:lvl w:ilvl="0">
      <w:start w:val="16"/>
      <w:numFmt w:val="decimal"/>
      <w:lvlText w:val="%1."/>
      <w:lvlJc w:val="left"/>
      <w:pPr>
        <w:tabs>
          <w:tab w:val="num" w:pos="720"/>
        </w:tabs>
        <w:ind w:left="720" w:hanging="720"/>
      </w:pPr>
      <w:rPr>
        <w:rFonts w:hint="default"/>
      </w:rPr>
    </w:lvl>
  </w:abstractNum>
  <w:abstractNum w:abstractNumId="19">
    <w:nsid w:val="766F4E8F"/>
    <w:multiLevelType w:val="hybridMultilevel"/>
    <w:tmpl w:val="25BE501A"/>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9094544">
    <w:abstractNumId w:val="9"/>
  </w:num>
  <w:num w:numId="2" w16cid:durableId="940336300">
    <w:abstractNumId w:val="18"/>
  </w:num>
  <w:num w:numId="3" w16cid:durableId="1801654236">
    <w:abstractNumId w:val="6"/>
  </w:num>
  <w:num w:numId="4" w16cid:durableId="1109470260">
    <w:abstractNumId w:val="15"/>
  </w:num>
  <w:num w:numId="5" w16cid:durableId="542597940">
    <w:abstractNumId w:val="17"/>
  </w:num>
  <w:num w:numId="6" w16cid:durableId="1005866991">
    <w:abstractNumId w:val="13"/>
  </w:num>
  <w:num w:numId="7" w16cid:durableId="639506526">
    <w:abstractNumId w:val="10"/>
  </w:num>
  <w:num w:numId="8" w16cid:durableId="944728747">
    <w:abstractNumId w:val="3"/>
  </w:num>
  <w:num w:numId="9" w16cid:durableId="915674292">
    <w:abstractNumId w:val="5"/>
  </w:num>
  <w:num w:numId="10" w16cid:durableId="611589222">
    <w:abstractNumId w:val="11"/>
  </w:num>
  <w:num w:numId="11" w16cid:durableId="2145998605">
    <w:abstractNumId w:val="14"/>
  </w:num>
  <w:num w:numId="12" w16cid:durableId="134835610">
    <w:abstractNumId w:val="16"/>
  </w:num>
  <w:num w:numId="13" w16cid:durableId="1701974772">
    <w:abstractNumId w:val="1"/>
  </w:num>
  <w:num w:numId="14" w16cid:durableId="1431664402">
    <w:abstractNumId w:val="12"/>
  </w:num>
  <w:num w:numId="15" w16cid:durableId="936522625">
    <w:abstractNumId w:val="4"/>
  </w:num>
  <w:num w:numId="16" w16cid:durableId="588152418">
    <w:abstractNumId w:val="2"/>
  </w:num>
  <w:num w:numId="17" w16cid:durableId="1737119163">
    <w:abstractNumId w:val="7"/>
  </w:num>
  <w:num w:numId="18" w16cid:durableId="1400513799">
    <w:abstractNumId w:val="8"/>
  </w:num>
  <w:num w:numId="19" w16cid:durableId="902567743">
    <w:abstractNumId w:val="0"/>
  </w:num>
  <w:num w:numId="20" w16cid:durableId="619185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23"/>
    <w:rsid w:val="00004271"/>
    <w:rsid w:val="0002645D"/>
    <w:rsid w:val="000549B2"/>
    <w:rsid w:val="000617B8"/>
    <w:rsid w:val="00062041"/>
    <w:rsid w:val="0006268D"/>
    <w:rsid w:val="00067486"/>
    <w:rsid w:val="000759CE"/>
    <w:rsid w:val="00075BA1"/>
    <w:rsid w:val="00081BAE"/>
    <w:rsid w:val="00091D38"/>
    <w:rsid w:val="00097EA2"/>
    <w:rsid w:val="000A58BB"/>
    <w:rsid w:val="000D09DC"/>
    <w:rsid w:val="000D6B14"/>
    <w:rsid w:val="000D7EAF"/>
    <w:rsid w:val="000E1725"/>
    <w:rsid w:val="000F1FC9"/>
    <w:rsid w:val="000F44DB"/>
    <w:rsid w:val="001027E9"/>
    <w:rsid w:val="00104F6C"/>
    <w:rsid w:val="00110301"/>
    <w:rsid w:val="0011130C"/>
    <w:rsid w:val="0012297B"/>
    <w:rsid w:val="00141C5A"/>
    <w:rsid w:val="001421C9"/>
    <w:rsid w:val="00143526"/>
    <w:rsid w:val="00152509"/>
    <w:rsid w:val="001547D2"/>
    <w:rsid w:val="00161C06"/>
    <w:rsid w:val="00173D4C"/>
    <w:rsid w:val="00176F3B"/>
    <w:rsid w:val="001809EF"/>
    <w:rsid w:val="00181352"/>
    <w:rsid w:val="001967CF"/>
    <w:rsid w:val="001A0EF3"/>
    <w:rsid w:val="001B2E12"/>
    <w:rsid w:val="001B49A0"/>
    <w:rsid w:val="001B7EE2"/>
    <w:rsid w:val="001C26B8"/>
    <w:rsid w:val="001C5CB5"/>
    <w:rsid w:val="001D08AD"/>
    <w:rsid w:val="001D1258"/>
    <w:rsid w:val="001E0995"/>
    <w:rsid w:val="001E5478"/>
    <w:rsid w:val="00207E8C"/>
    <w:rsid w:val="00213DEB"/>
    <w:rsid w:val="00217136"/>
    <w:rsid w:val="00220BD7"/>
    <w:rsid w:val="00226771"/>
    <w:rsid w:val="0023597D"/>
    <w:rsid w:val="00244125"/>
    <w:rsid w:val="002501D5"/>
    <w:rsid w:val="0025502E"/>
    <w:rsid w:val="00262FC8"/>
    <w:rsid w:val="00283FBA"/>
    <w:rsid w:val="00286F36"/>
    <w:rsid w:val="002948DA"/>
    <w:rsid w:val="002949CE"/>
    <w:rsid w:val="00294E74"/>
    <w:rsid w:val="00297A56"/>
    <w:rsid w:val="002A636C"/>
    <w:rsid w:val="002B3A49"/>
    <w:rsid w:val="002B3F1C"/>
    <w:rsid w:val="002D46DA"/>
    <w:rsid w:val="002D616E"/>
    <w:rsid w:val="002E11F6"/>
    <w:rsid w:val="002E4128"/>
    <w:rsid w:val="002F6766"/>
    <w:rsid w:val="003016A7"/>
    <w:rsid w:val="00303505"/>
    <w:rsid w:val="0030609E"/>
    <w:rsid w:val="003072A4"/>
    <w:rsid w:val="00315D01"/>
    <w:rsid w:val="003316BB"/>
    <w:rsid w:val="003364B3"/>
    <w:rsid w:val="003371BA"/>
    <w:rsid w:val="00344943"/>
    <w:rsid w:val="0035097D"/>
    <w:rsid w:val="003620EE"/>
    <w:rsid w:val="0036418C"/>
    <w:rsid w:val="00372862"/>
    <w:rsid w:val="00374772"/>
    <w:rsid w:val="003806B5"/>
    <w:rsid w:val="00391FC4"/>
    <w:rsid w:val="00394E3C"/>
    <w:rsid w:val="003A74E3"/>
    <w:rsid w:val="003C0FC3"/>
    <w:rsid w:val="003D2C27"/>
    <w:rsid w:val="003E6A05"/>
    <w:rsid w:val="003F36A4"/>
    <w:rsid w:val="003F45F7"/>
    <w:rsid w:val="003F4BEA"/>
    <w:rsid w:val="003F692E"/>
    <w:rsid w:val="0040472E"/>
    <w:rsid w:val="00414882"/>
    <w:rsid w:val="0042283E"/>
    <w:rsid w:val="00423604"/>
    <w:rsid w:val="00453267"/>
    <w:rsid w:val="00456EED"/>
    <w:rsid w:val="004670F0"/>
    <w:rsid w:val="00467D1E"/>
    <w:rsid w:val="00483107"/>
    <w:rsid w:val="0049347E"/>
    <w:rsid w:val="004B5103"/>
    <w:rsid w:val="004E27FA"/>
    <w:rsid w:val="004E35B4"/>
    <w:rsid w:val="004E5D3C"/>
    <w:rsid w:val="004F7DBD"/>
    <w:rsid w:val="00507517"/>
    <w:rsid w:val="00512D10"/>
    <w:rsid w:val="0051371E"/>
    <w:rsid w:val="00520548"/>
    <w:rsid w:val="00520EAB"/>
    <w:rsid w:val="00542CC1"/>
    <w:rsid w:val="00545A59"/>
    <w:rsid w:val="005548E8"/>
    <w:rsid w:val="00572034"/>
    <w:rsid w:val="00597A48"/>
    <w:rsid w:val="005A6A19"/>
    <w:rsid w:val="005D0A53"/>
    <w:rsid w:val="005D0B32"/>
    <w:rsid w:val="005D2A32"/>
    <w:rsid w:val="005F2F81"/>
    <w:rsid w:val="006057B8"/>
    <w:rsid w:val="006126E7"/>
    <w:rsid w:val="00616F10"/>
    <w:rsid w:val="006214EF"/>
    <w:rsid w:val="00625212"/>
    <w:rsid w:val="00627BB8"/>
    <w:rsid w:val="0064477D"/>
    <w:rsid w:val="00647C5E"/>
    <w:rsid w:val="00651E30"/>
    <w:rsid w:val="006522AF"/>
    <w:rsid w:val="00657576"/>
    <w:rsid w:val="00661381"/>
    <w:rsid w:val="00664B6E"/>
    <w:rsid w:val="00682EE2"/>
    <w:rsid w:val="00693DE6"/>
    <w:rsid w:val="006948C4"/>
    <w:rsid w:val="00694F6D"/>
    <w:rsid w:val="006A2172"/>
    <w:rsid w:val="006B2960"/>
    <w:rsid w:val="006D5148"/>
    <w:rsid w:val="006E4A6B"/>
    <w:rsid w:val="006E5A31"/>
    <w:rsid w:val="006E602A"/>
    <w:rsid w:val="006F419D"/>
    <w:rsid w:val="006F46DD"/>
    <w:rsid w:val="007063D4"/>
    <w:rsid w:val="00722771"/>
    <w:rsid w:val="00732B30"/>
    <w:rsid w:val="00732FB7"/>
    <w:rsid w:val="00741267"/>
    <w:rsid w:val="00744759"/>
    <w:rsid w:val="00745FAD"/>
    <w:rsid w:val="0074653A"/>
    <w:rsid w:val="00760D9F"/>
    <w:rsid w:val="00787B7C"/>
    <w:rsid w:val="0079062B"/>
    <w:rsid w:val="00795673"/>
    <w:rsid w:val="007B2052"/>
    <w:rsid w:val="007C21F2"/>
    <w:rsid w:val="007D298C"/>
    <w:rsid w:val="007F6E21"/>
    <w:rsid w:val="00806CE0"/>
    <w:rsid w:val="00830475"/>
    <w:rsid w:val="00862293"/>
    <w:rsid w:val="00864A1F"/>
    <w:rsid w:val="00867D1B"/>
    <w:rsid w:val="00872DB9"/>
    <w:rsid w:val="00876359"/>
    <w:rsid w:val="00884BEF"/>
    <w:rsid w:val="00890AC4"/>
    <w:rsid w:val="00891BA0"/>
    <w:rsid w:val="008A7565"/>
    <w:rsid w:val="008B15EA"/>
    <w:rsid w:val="008B1FA0"/>
    <w:rsid w:val="008C5A18"/>
    <w:rsid w:val="008C6E77"/>
    <w:rsid w:val="008D0506"/>
    <w:rsid w:val="008D3AFA"/>
    <w:rsid w:val="008F2505"/>
    <w:rsid w:val="00905029"/>
    <w:rsid w:val="00914B2F"/>
    <w:rsid w:val="00922AF0"/>
    <w:rsid w:val="00925F81"/>
    <w:rsid w:val="009268B3"/>
    <w:rsid w:val="009364CC"/>
    <w:rsid w:val="009653B5"/>
    <w:rsid w:val="009712EF"/>
    <w:rsid w:val="00972646"/>
    <w:rsid w:val="0097534F"/>
    <w:rsid w:val="00994DF8"/>
    <w:rsid w:val="009A732F"/>
    <w:rsid w:val="009B2370"/>
    <w:rsid w:val="009B2C38"/>
    <w:rsid w:val="009B3586"/>
    <w:rsid w:val="009B7915"/>
    <w:rsid w:val="009E2F39"/>
    <w:rsid w:val="009E3816"/>
    <w:rsid w:val="009F0173"/>
    <w:rsid w:val="009F5114"/>
    <w:rsid w:val="00A337DB"/>
    <w:rsid w:val="00A36B89"/>
    <w:rsid w:val="00A426C9"/>
    <w:rsid w:val="00A46247"/>
    <w:rsid w:val="00A46463"/>
    <w:rsid w:val="00A534F8"/>
    <w:rsid w:val="00A538F0"/>
    <w:rsid w:val="00A54EAE"/>
    <w:rsid w:val="00A92DDC"/>
    <w:rsid w:val="00A9707D"/>
    <w:rsid w:val="00AA2006"/>
    <w:rsid w:val="00AA4DDF"/>
    <w:rsid w:val="00AC0EB4"/>
    <w:rsid w:val="00AE2020"/>
    <w:rsid w:val="00AE2E6D"/>
    <w:rsid w:val="00AF1C36"/>
    <w:rsid w:val="00AF43E7"/>
    <w:rsid w:val="00B037FA"/>
    <w:rsid w:val="00B40302"/>
    <w:rsid w:val="00B411A7"/>
    <w:rsid w:val="00B63423"/>
    <w:rsid w:val="00B66024"/>
    <w:rsid w:val="00B707A4"/>
    <w:rsid w:val="00BB0949"/>
    <w:rsid w:val="00BC1801"/>
    <w:rsid w:val="00BD1CC3"/>
    <w:rsid w:val="00BD5E71"/>
    <w:rsid w:val="00BD7947"/>
    <w:rsid w:val="00BF0613"/>
    <w:rsid w:val="00BF3877"/>
    <w:rsid w:val="00BF5638"/>
    <w:rsid w:val="00C173D6"/>
    <w:rsid w:val="00C20D14"/>
    <w:rsid w:val="00C2256B"/>
    <w:rsid w:val="00C5015C"/>
    <w:rsid w:val="00C5295E"/>
    <w:rsid w:val="00C61020"/>
    <w:rsid w:val="00C65D28"/>
    <w:rsid w:val="00C76AB2"/>
    <w:rsid w:val="00C827C3"/>
    <w:rsid w:val="00C96040"/>
    <w:rsid w:val="00CA106E"/>
    <w:rsid w:val="00CA619F"/>
    <w:rsid w:val="00CB6BFA"/>
    <w:rsid w:val="00CD1C3D"/>
    <w:rsid w:val="00CF0CD8"/>
    <w:rsid w:val="00CF57FA"/>
    <w:rsid w:val="00CF6D76"/>
    <w:rsid w:val="00CF7495"/>
    <w:rsid w:val="00D215C8"/>
    <w:rsid w:val="00D312CE"/>
    <w:rsid w:val="00D56353"/>
    <w:rsid w:val="00DA3C32"/>
    <w:rsid w:val="00DB3874"/>
    <w:rsid w:val="00DC57F6"/>
    <w:rsid w:val="00DD4907"/>
    <w:rsid w:val="00E1762C"/>
    <w:rsid w:val="00E2196F"/>
    <w:rsid w:val="00E23A43"/>
    <w:rsid w:val="00E26A31"/>
    <w:rsid w:val="00E27465"/>
    <w:rsid w:val="00E477E9"/>
    <w:rsid w:val="00E66FD8"/>
    <w:rsid w:val="00E677E3"/>
    <w:rsid w:val="00E7173D"/>
    <w:rsid w:val="00E71B63"/>
    <w:rsid w:val="00E751F1"/>
    <w:rsid w:val="00E80930"/>
    <w:rsid w:val="00E80999"/>
    <w:rsid w:val="00E812C8"/>
    <w:rsid w:val="00E834B9"/>
    <w:rsid w:val="00E9200E"/>
    <w:rsid w:val="00E97FBE"/>
    <w:rsid w:val="00EA037C"/>
    <w:rsid w:val="00EB2737"/>
    <w:rsid w:val="00EB3ED1"/>
    <w:rsid w:val="00EC2F1C"/>
    <w:rsid w:val="00ED083D"/>
    <w:rsid w:val="00ED3B77"/>
    <w:rsid w:val="00ED5C64"/>
    <w:rsid w:val="00EE10D3"/>
    <w:rsid w:val="00EF3401"/>
    <w:rsid w:val="00F10150"/>
    <w:rsid w:val="00F1156C"/>
    <w:rsid w:val="00F13985"/>
    <w:rsid w:val="00F15C51"/>
    <w:rsid w:val="00F2187E"/>
    <w:rsid w:val="00F33A75"/>
    <w:rsid w:val="00F35835"/>
    <w:rsid w:val="00F6277E"/>
    <w:rsid w:val="00F634B6"/>
    <w:rsid w:val="00F64E5E"/>
    <w:rsid w:val="00F67BA7"/>
    <w:rsid w:val="00F702B9"/>
    <w:rsid w:val="00F70E8D"/>
    <w:rsid w:val="00FB1C35"/>
    <w:rsid w:val="00FC1BF4"/>
    <w:rsid w:val="00FC4FAC"/>
    <w:rsid w:val="00FD22F9"/>
    <w:rsid w:val="00FD2FDE"/>
    <w:rsid w:val="00FD37B7"/>
    <w:rsid w:val="00FD6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455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1440"/>
      </w:tabs>
      <w:ind w:right="720"/>
    </w:pPr>
  </w:style>
  <w:style w:type="paragraph" w:styleId="Header">
    <w:name w:val="header"/>
    <w:basedOn w:val="Normal"/>
    <w:rsid w:val="0051371E"/>
    <w:pPr>
      <w:tabs>
        <w:tab w:val="center" w:pos="4320"/>
        <w:tab w:val="right" w:pos="8640"/>
      </w:tabs>
    </w:pPr>
  </w:style>
  <w:style w:type="character" w:styleId="FollowedHyperlink">
    <w:name w:val="FollowedHyperlink"/>
    <w:rsid w:val="00D215C8"/>
    <w:rPr>
      <w:color w:val="800080"/>
      <w:u w:val="single"/>
    </w:rPr>
  </w:style>
  <w:style w:type="paragraph" w:styleId="PlainText">
    <w:name w:val="Plain Text"/>
    <w:basedOn w:val="Normal"/>
    <w:link w:val="PlainTextChar"/>
    <w:uiPriority w:val="99"/>
    <w:unhideWhenUsed/>
    <w:rsid w:val="00A337DB"/>
    <w:pPr>
      <w:widowControl/>
    </w:pPr>
    <w:rPr>
      <w:rFonts w:ascii="Consolas" w:eastAsia="Calibri" w:hAnsi="Consolas"/>
      <w:snapToGrid/>
      <w:sz w:val="21"/>
      <w:szCs w:val="21"/>
    </w:rPr>
  </w:style>
  <w:style w:type="character" w:customStyle="1" w:styleId="PlainTextChar">
    <w:name w:val="Plain Text Char"/>
    <w:link w:val="PlainText"/>
    <w:uiPriority w:val="99"/>
    <w:rsid w:val="00A337DB"/>
    <w:rPr>
      <w:rFonts w:ascii="Consolas" w:eastAsia="Calibri" w:hAnsi="Consolas" w:cs="Times New Roman"/>
      <w:sz w:val="21"/>
      <w:szCs w:val="21"/>
    </w:rPr>
  </w:style>
  <w:style w:type="paragraph" w:styleId="BalloonText">
    <w:name w:val="Balloon Text"/>
    <w:basedOn w:val="Normal"/>
    <w:link w:val="BalloonTextChar"/>
    <w:rsid w:val="00414882"/>
    <w:rPr>
      <w:rFonts w:ascii="Tahoma" w:hAnsi="Tahoma" w:cs="Tahoma"/>
      <w:sz w:val="16"/>
      <w:szCs w:val="16"/>
    </w:rPr>
  </w:style>
  <w:style w:type="character" w:customStyle="1" w:styleId="BalloonTextChar">
    <w:name w:val="Balloon Text Char"/>
    <w:link w:val="BalloonText"/>
    <w:rsid w:val="00414882"/>
    <w:rPr>
      <w:rFonts w:ascii="Tahoma" w:hAnsi="Tahoma" w:cs="Tahoma"/>
      <w:snapToGrid w:val="0"/>
      <w:sz w:val="16"/>
      <w:szCs w:val="16"/>
    </w:rPr>
  </w:style>
  <w:style w:type="character" w:styleId="CommentReference">
    <w:name w:val="annotation reference"/>
    <w:rsid w:val="00B037FA"/>
    <w:rPr>
      <w:sz w:val="16"/>
      <w:szCs w:val="16"/>
    </w:rPr>
  </w:style>
  <w:style w:type="paragraph" w:styleId="CommentText">
    <w:name w:val="annotation text"/>
    <w:basedOn w:val="Normal"/>
    <w:link w:val="CommentTextChar"/>
    <w:rsid w:val="00B037FA"/>
    <w:rPr>
      <w:sz w:val="20"/>
    </w:rPr>
  </w:style>
  <w:style w:type="character" w:customStyle="1" w:styleId="CommentTextChar">
    <w:name w:val="Comment Text Char"/>
    <w:link w:val="CommentText"/>
    <w:rsid w:val="00B037FA"/>
    <w:rPr>
      <w:snapToGrid w:val="0"/>
    </w:rPr>
  </w:style>
  <w:style w:type="paragraph" w:styleId="CommentSubject">
    <w:name w:val="annotation subject"/>
    <w:basedOn w:val="CommentText"/>
    <w:next w:val="CommentText"/>
    <w:link w:val="CommentSubjectChar"/>
    <w:rsid w:val="00B037FA"/>
    <w:rPr>
      <w:b/>
      <w:bCs/>
    </w:rPr>
  </w:style>
  <w:style w:type="character" w:customStyle="1" w:styleId="CommentSubjectChar">
    <w:name w:val="Comment Subject Char"/>
    <w:link w:val="CommentSubject"/>
    <w:rsid w:val="00B037FA"/>
    <w:rPr>
      <w:b/>
      <w:bCs/>
      <w:snapToGrid w:val="0"/>
    </w:rPr>
  </w:style>
  <w:style w:type="character" w:styleId="Mention">
    <w:name w:val="Mention"/>
    <w:uiPriority w:val="99"/>
    <w:semiHidden/>
    <w:unhideWhenUsed/>
    <w:rsid w:val="009653B5"/>
    <w:rPr>
      <w:color w:val="2B579A"/>
      <w:shd w:val="clear" w:color="auto" w:fill="E6E6E6"/>
    </w:rPr>
  </w:style>
  <w:style w:type="paragraph" w:styleId="ListParagraph">
    <w:name w:val="List Paragraph"/>
    <w:basedOn w:val="Normal"/>
    <w:uiPriority w:val="34"/>
    <w:qFormat/>
    <w:rsid w:val="00226771"/>
    <w:pPr>
      <w:ind w:left="720"/>
      <w:contextualSpacing/>
    </w:pPr>
  </w:style>
  <w:style w:type="character" w:styleId="UnresolvedMention">
    <w:name w:val="Unresolved Mention"/>
    <w:basedOn w:val="DefaultParagraphFont"/>
    <w:uiPriority w:val="99"/>
    <w:semiHidden/>
    <w:unhideWhenUsed/>
    <w:rsid w:val="00FD6B3A"/>
    <w:rPr>
      <w:color w:val="605E5C"/>
      <w:shd w:val="clear" w:color="auto" w:fill="E1DFDD"/>
    </w:rPr>
  </w:style>
  <w:style w:type="paragraph" w:styleId="Revision">
    <w:name w:val="Revision"/>
    <w:hidden/>
    <w:uiPriority w:val="99"/>
    <w:semiHidden/>
    <w:rsid w:val="00CB6BFA"/>
    <w:rPr>
      <w:snapToGrid w:val="0"/>
      <w:sz w:val="24"/>
    </w:rPr>
  </w:style>
  <w:style w:type="paragraph" w:customStyle="1" w:styleId="FootnoteText1">
    <w:name w:val="Footnote Text1"/>
    <w:basedOn w:val="Normal"/>
    <w:next w:val="FootnoteText"/>
    <w:link w:val="FootnoteTextChar"/>
    <w:uiPriority w:val="99"/>
    <w:semiHidden/>
    <w:unhideWhenUsed/>
    <w:rsid w:val="0042283E"/>
    <w:rPr>
      <w:snapToGrid/>
      <w:sz w:val="20"/>
    </w:rPr>
  </w:style>
  <w:style w:type="character" w:customStyle="1" w:styleId="FootnoteTextChar">
    <w:name w:val="Footnote Text Char"/>
    <w:basedOn w:val="DefaultParagraphFont"/>
    <w:link w:val="FootnoteText1"/>
    <w:uiPriority w:val="99"/>
    <w:semiHidden/>
    <w:rsid w:val="0042283E"/>
    <w:rPr>
      <w:sz w:val="20"/>
      <w:szCs w:val="20"/>
    </w:rPr>
  </w:style>
  <w:style w:type="paragraph" w:styleId="FootnoteText">
    <w:name w:val="footnote text"/>
    <w:basedOn w:val="Normal"/>
    <w:link w:val="FootnoteTextChar1"/>
    <w:rsid w:val="0042283E"/>
    <w:rPr>
      <w:sz w:val="20"/>
    </w:rPr>
  </w:style>
  <w:style w:type="character" w:customStyle="1" w:styleId="FootnoteTextChar1">
    <w:name w:val="Footnote Text Char1"/>
    <w:basedOn w:val="DefaultParagraphFont"/>
    <w:link w:val="FootnoteText"/>
    <w:rsid w:val="0042283E"/>
    <w:rPr>
      <w:snapToGrid w:val="0"/>
    </w:rPr>
  </w:style>
  <w:style w:type="table" w:styleId="TableGrid">
    <w:name w:val="Table Grid"/>
    <w:basedOn w:val="TableNormal"/>
    <w:rsid w:val="0018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maritime.dot.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600A-3A39-47EE-A3E7-5E87D5B7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2024-10-24T14:10:00Z</dcterms:created>
  <dcterms:modified xsi:type="dcterms:W3CDTF">2024-10-24T14:10:00Z</dcterms:modified>
</cp:coreProperties>
</file>