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3417" w:rsidRPr="007E0739" w:rsidP="007E0739" w14:paraId="7168B81A" w14:textId="77777777">
      <w:pPr>
        <w:pStyle w:val="Title"/>
        <w:rPr>
          <w:rFonts w:ascii="Times New Roman" w:hAnsi="Times New Roman"/>
          <w:u w:val="none"/>
        </w:rPr>
      </w:pPr>
      <w:r w:rsidRPr="007E0739">
        <w:rPr>
          <w:rFonts w:ascii="Times New Roman" w:hAnsi="Times New Roman"/>
          <w:u w:val="none"/>
        </w:rPr>
        <w:t>Department of Transportation</w:t>
      </w:r>
    </w:p>
    <w:p w:rsidR="00F43417" w:rsidRPr="007E0739" w:rsidP="007E0739" w14:paraId="596BBDA5" w14:textId="77777777">
      <w:pPr>
        <w:pStyle w:val="Title"/>
        <w:rPr>
          <w:rFonts w:ascii="Times New Roman" w:hAnsi="Times New Roman"/>
        </w:rPr>
      </w:pPr>
      <w:r w:rsidRPr="007E0739">
        <w:rPr>
          <w:rFonts w:ascii="Times New Roman" w:hAnsi="Times New Roman"/>
          <w:u w:val="none"/>
        </w:rPr>
        <w:t>Office of the Chief Information Officer</w:t>
      </w:r>
    </w:p>
    <w:p w:rsidR="00F43417" w:rsidRPr="007E0739" w:rsidP="007E0739" w14:paraId="15575B0E" w14:textId="77777777">
      <w:pPr>
        <w:pStyle w:val="Title"/>
        <w:rPr>
          <w:rFonts w:ascii="Times New Roman" w:hAnsi="Times New Roman"/>
          <w:u w:val="none"/>
        </w:rPr>
      </w:pPr>
      <w:r w:rsidRPr="007E0739">
        <w:rPr>
          <w:rFonts w:ascii="Times New Roman" w:hAnsi="Times New Roman"/>
          <w:u w:val="none"/>
        </w:rPr>
        <w:t>Supporting Statement</w:t>
      </w:r>
    </w:p>
    <w:p w:rsidR="002C7736" w:rsidRPr="007E0739" w:rsidP="007E0739" w14:paraId="534CE214" w14:textId="77777777">
      <w:pPr>
        <w:pStyle w:val="Title"/>
        <w:rPr>
          <w:rFonts w:ascii="Times New Roman" w:hAnsi="Times New Roman"/>
        </w:rPr>
      </w:pPr>
    </w:p>
    <w:p w:rsidR="00F43417" w:rsidRPr="007E0739" w:rsidP="007E0739" w14:paraId="478A09BC" w14:textId="77777777">
      <w:pPr>
        <w:jc w:val="center"/>
        <w:rPr>
          <w:bCs/>
        </w:rPr>
      </w:pPr>
      <w:r w:rsidRPr="007E0739">
        <w:rPr>
          <w:bCs/>
        </w:rPr>
        <w:t>Flammable Cryogenic Liquids</w:t>
      </w:r>
    </w:p>
    <w:p w:rsidR="00F43417" w:rsidRPr="007E0739" w:rsidP="007E0739" w14:paraId="15A43D6D" w14:textId="77777777">
      <w:pPr>
        <w:jc w:val="center"/>
        <w:rPr>
          <w:bCs/>
        </w:rPr>
      </w:pPr>
      <w:r w:rsidRPr="007E0739">
        <w:rPr>
          <w:bCs/>
        </w:rPr>
        <w:t>OMB Control No. 2137-0542</w:t>
      </w:r>
    </w:p>
    <w:p w:rsidR="00CF36E1" w:rsidRPr="007E0739" w:rsidP="007E0739" w14:paraId="58D5470D" w14:textId="77777777">
      <w:pPr>
        <w:jc w:val="center"/>
      </w:pPr>
    </w:p>
    <w:p w:rsidR="00F43417" w:rsidRPr="007E0739" w:rsidP="007E0739" w14:paraId="0913B05E" w14:textId="127531D5">
      <w:pPr>
        <w:jc w:val="center"/>
      </w:pPr>
      <w:r>
        <w:t xml:space="preserve">(Expiration Date: </w:t>
      </w:r>
      <w:r w:rsidR="073C0519">
        <w:t>November</w:t>
      </w:r>
      <w:r w:rsidR="002C7736">
        <w:t xml:space="preserve"> </w:t>
      </w:r>
      <w:r w:rsidR="005E4F3F">
        <w:t>30</w:t>
      </w:r>
      <w:r>
        <w:t xml:space="preserve">, </w:t>
      </w:r>
      <w:r w:rsidR="009E4C39">
        <w:t>2024</w:t>
      </w:r>
      <w:r>
        <w:t>)</w:t>
      </w:r>
    </w:p>
    <w:p w:rsidR="00CF36E1" w:rsidRPr="007E0739" w:rsidP="007E0739" w14:paraId="5361B62D" w14:textId="77777777">
      <w:pPr>
        <w:rPr>
          <w:b/>
          <w:u w:val="words"/>
        </w:rPr>
      </w:pPr>
    </w:p>
    <w:p w:rsidR="00F43417" w:rsidRPr="007E0739" w:rsidP="007E0739" w14:paraId="6696C6BE" w14:textId="77777777">
      <w:pPr>
        <w:rPr>
          <w:b/>
          <w:u w:val="words"/>
        </w:rPr>
      </w:pPr>
    </w:p>
    <w:p w:rsidR="00B908D6" w:rsidRPr="007E0739" w:rsidP="007E0739" w14:paraId="41536487" w14:textId="77777777">
      <w:pPr>
        <w:rPr>
          <w:b/>
          <w:u w:val="words"/>
        </w:rPr>
      </w:pPr>
      <w:r w:rsidRPr="007E0739">
        <w:rPr>
          <w:b/>
          <w:u w:val="words"/>
        </w:rPr>
        <w:t>I</w:t>
      </w:r>
      <w:r w:rsidRPr="007E0739" w:rsidR="008108A8">
        <w:rPr>
          <w:b/>
          <w:u w:val="words"/>
        </w:rPr>
        <w:t>ntroduction</w:t>
      </w:r>
    </w:p>
    <w:p w:rsidR="00CF36E1" w:rsidRPr="007E0739" w:rsidP="007E0739" w14:paraId="37447266" w14:textId="77777777"/>
    <w:p w:rsidR="00CF36E1" w:rsidRPr="007E0739" w:rsidP="00F23657" w14:paraId="57E58759" w14:textId="228E1CBF">
      <w:r>
        <w:t>This is to request the Office of Management and Budget’s (OMB)</w:t>
      </w:r>
      <w:r w:rsidR="00F23657">
        <w:t xml:space="preserve"> </w:t>
      </w:r>
      <w:r w:rsidR="00AD02D6">
        <w:t xml:space="preserve">approval for a </w:t>
      </w:r>
      <w:r w:rsidR="00F23657">
        <w:t>three-year extension</w:t>
      </w:r>
      <w:r w:rsidR="00AD02D6">
        <w:t>,</w:t>
      </w:r>
      <w:r w:rsidR="00C502D8">
        <w:t xml:space="preserve"> </w:t>
      </w:r>
      <w:r>
        <w:t>f</w:t>
      </w:r>
      <w:r w:rsidR="00C502D8">
        <w:t xml:space="preserve">or </w:t>
      </w:r>
      <w:r w:rsidR="00F23657">
        <w:t>OMB Control No. 2137-0542,</w:t>
      </w:r>
      <w:r w:rsidR="00C502D8">
        <w:t xml:space="preserve"> </w:t>
      </w:r>
      <w:r>
        <w:t>titled, “Flammable Cryogenic Liquids,” which is due to expire o</w:t>
      </w:r>
      <w:r w:rsidR="006B1892">
        <w:t xml:space="preserve">n </w:t>
      </w:r>
      <w:r w:rsidR="00197977">
        <w:t xml:space="preserve">November </w:t>
      </w:r>
      <w:r w:rsidR="006B1892">
        <w:t>30, 202</w:t>
      </w:r>
      <w:r w:rsidR="00197977">
        <w:t>4</w:t>
      </w:r>
      <w:r>
        <w:t>.</w:t>
      </w:r>
      <w:r w:rsidR="00F44215">
        <w:t xml:space="preserve">  This information collection was initiated </w:t>
      </w:r>
      <w:r w:rsidR="00F44215">
        <w:t>as a result of</w:t>
      </w:r>
      <w:r w:rsidR="00F44215">
        <w:t xml:space="preserve"> a June 16, 1983</w:t>
      </w:r>
      <w:r w:rsidR="00AD02D6">
        <w:t>,</w:t>
      </w:r>
      <w:r w:rsidR="00F44215">
        <w:t xml:space="preserve"> </w:t>
      </w:r>
      <w:r w:rsidR="00F23657">
        <w:t>final rule</w:t>
      </w:r>
      <w:r w:rsidR="00F44215">
        <w:t xml:space="preserve"> [48 FR 27674</w:t>
      </w:r>
      <w:r w:rsidR="00E9319E">
        <w:t xml:space="preserve">; HM-115], </w:t>
      </w:r>
      <w:r w:rsidR="00F44215">
        <w:t>titled “Cryogenic Liquids</w:t>
      </w:r>
      <w:r w:rsidR="00F23657">
        <w:t>.</w:t>
      </w:r>
      <w:r w:rsidR="00F44215">
        <w:t xml:space="preserve">” </w:t>
      </w:r>
      <w:r w:rsidR="00F23657">
        <w:t xml:space="preserve"> This final rule </w:t>
      </w:r>
      <w:r w:rsidR="00F44215">
        <w:t xml:space="preserve">established marking and certification requirements for tank cars designed to carry </w:t>
      </w:r>
      <w:r w:rsidR="00F23657">
        <w:t xml:space="preserve">flammable </w:t>
      </w:r>
      <w:r w:rsidR="00F44215">
        <w:t>cryogenic liquids.</w:t>
      </w:r>
    </w:p>
    <w:p w:rsidR="007E0739" w:rsidRPr="007E0739" w:rsidP="007E0739" w14:paraId="0995A1C5" w14:textId="77777777"/>
    <w:p w:rsidR="007E0739" w:rsidRPr="007E0739" w:rsidP="007E0739" w14:paraId="4C6BB511" w14:textId="77777777">
      <w:pPr>
        <w:rPr>
          <w:b/>
          <w:u w:val="single"/>
        </w:rPr>
      </w:pPr>
      <w:r w:rsidRPr="007E0739">
        <w:rPr>
          <w:b/>
          <w:u w:val="single"/>
        </w:rPr>
        <w:t>Part A.  Justification</w:t>
      </w:r>
      <w:r w:rsidRPr="007E0739" w:rsidR="008108A8">
        <w:rPr>
          <w:b/>
          <w:u w:val="single"/>
        </w:rPr>
        <w:t>.</w:t>
      </w:r>
    </w:p>
    <w:p w:rsidR="007E0739" w:rsidRPr="007E0739" w:rsidP="007E0739" w14:paraId="5B0E3759" w14:textId="77777777">
      <w:pPr>
        <w:rPr>
          <w:u w:val="single"/>
        </w:rPr>
      </w:pPr>
      <w:r w:rsidRPr="007E0739">
        <w:rPr>
          <w:u w:val="single"/>
        </w:rPr>
        <w:t xml:space="preserve"> </w:t>
      </w:r>
    </w:p>
    <w:p w:rsidR="00B908D6" w:rsidRPr="007E0739" w:rsidP="007E0739" w14:paraId="4B6E39EE" w14:textId="77777777">
      <w:pPr>
        <w:rPr>
          <w:u w:val="single"/>
        </w:rPr>
      </w:pPr>
      <w:r w:rsidRPr="007E0739">
        <w:t>1</w:t>
      </w:r>
      <w:r w:rsidRPr="007E0739" w:rsidR="00DA79EE">
        <w:t>.</w:t>
      </w:r>
      <w:r w:rsidRPr="007E0739" w:rsidR="00DA79EE">
        <w:tab/>
      </w:r>
      <w:r w:rsidRPr="007E0739" w:rsidR="00DA79EE">
        <w:rPr>
          <w:u w:val="single"/>
        </w:rPr>
        <w:t>C</w:t>
      </w:r>
      <w:r w:rsidRPr="007E0739">
        <w:rPr>
          <w:u w:val="single"/>
        </w:rPr>
        <w:t xml:space="preserve">ircumstances that make </w:t>
      </w:r>
      <w:r w:rsidRPr="007E0739" w:rsidR="00BB194B">
        <w:rPr>
          <w:u w:val="single"/>
        </w:rPr>
        <w:t xml:space="preserve">collection of information </w:t>
      </w:r>
      <w:r w:rsidRPr="007E0739">
        <w:rPr>
          <w:u w:val="single"/>
        </w:rPr>
        <w:t>necessary</w:t>
      </w:r>
    </w:p>
    <w:p w:rsidR="00A00D83" w:rsidRPr="007E0739" w:rsidP="007E0739" w14:paraId="5EB14F2D" w14:textId="77777777"/>
    <w:p w:rsidR="007E0739" w:rsidP="007E0739" w14:paraId="53376AE1" w14:textId="77777777">
      <w:r w:rsidRPr="007E0739">
        <w:t xml:space="preserve">This is a request for </w:t>
      </w:r>
      <w:r w:rsidRPr="007E0739" w:rsidR="008D64C3">
        <w:t xml:space="preserve">an extension </w:t>
      </w:r>
      <w:r w:rsidRPr="007E0739">
        <w:t xml:space="preserve">of an existing approval under OMB </w:t>
      </w:r>
      <w:r w:rsidR="00E9319E">
        <w:t xml:space="preserve">Control </w:t>
      </w:r>
      <w:r w:rsidRPr="007E0739">
        <w:t>No.</w:t>
      </w:r>
      <w:r w:rsidR="00E9319E">
        <w:t xml:space="preserve"> </w:t>
      </w:r>
      <w:r w:rsidRPr="007E0739">
        <w:t>2137</w:t>
      </w:r>
      <w:r w:rsidR="00E9319E">
        <w:noBreakHyphen/>
      </w:r>
      <w:r w:rsidRPr="007E0739">
        <w:t xml:space="preserve">0542.  Approval is requested for the </w:t>
      </w:r>
      <w:r w:rsidR="00F23657">
        <w:t>reporting and recordkeeping requirement</w:t>
      </w:r>
      <w:r w:rsidRPr="007E0739">
        <w:t xml:space="preserve"> prescribed in </w:t>
      </w:r>
      <w:r w:rsidR="00F23657">
        <w:t>§§</w:t>
      </w:r>
      <w:r w:rsidR="003920B1">
        <w:t> </w:t>
      </w:r>
      <w:r w:rsidRPr="007E0739">
        <w:t>173.318, 177.</w:t>
      </w:r>
      <w:r w:rsidRPr="007E0739" w:rsidR="008108A8">
        <w:t>816, 177.</w:t>
      </w:r>
      <w:r w:rsidRPr="007E0739">
        <w:t>840</w:t>
      </w:r>
      <w:r w:rsidRPr="007E0739" w:rsidR="008108A8">
        <w:t xml:space="preserve">, </w:t>
      </w:r>
      <w:r w:rsidRPr="007E0739">
        <w:t xml:space="preserve">and 180.405. </w:t>
      </w:r>
      <w:r w:rsidR="00E9319E">
        <w:t xml:space="preserve"> </w:t>
      </w:r>
      <w:r w:rsidRPr="007E0739">
        <w:t>These regulations are set forth under the Federal hazardous materials transportation law (49 U.S.C. 5101-5127)</w:t>
      </w:r>
      <w:r w:rsidRPr="007E0739" w:rsidR="008108A8">
        <w:t xml:space="preserve">.  </w:t>
      </w:r>
      <w:r w:rsidRPr="007E0739">
        <w:t xml:space="preserve">The purpose of these requirements is to </w:t>
      </w:r>
      <w:r w:rsidRPr="007E0739" w:rsidR="008108A8">
        <w:t xml:space="preserve">ensure that </w:t>
      </w:r>
      <w:r w:rsidRPr="007E0739">
        <w:t>flammable cryogenic liquids</w:t>
      </w:r>
      <w:r w:rsidR="0086221C">
        <w:t xml:space="preserve"> (e.g., Hydrogen, Methane)</w:t>
      </w:r>
      <w:r w:rsidRPr="007E0739">
        <w:t xml:space="preserve"> are tr</w:t>
      </w:r>
      <w:r w:rsidRPr="007E0739">
        <w:t xml:space="preserve">ansported in a manner that will </w:t>
      </w:r>
      <w:r w:rsidRPr="007E0739">
        <w:t xml:space="preserve">maintain a level of safety consistent with that achieved for other hazardous materials.  This information collection supports the Departmental Strategic Goal for Safety. </w:t>
      </w:r>
    </w:p>
    <w:p w:rsidR="007E0739" w:rsidRPr="007E0739" w:rsidP="007E0739" w14:paraId="3DE9FD50" w14:textId="77777777"/>
    <w:p w:rsidR="00B908D6" w:rsidRPr="007E0739" w:rsidP="00F23657" w14:paraId="54A7B94F" w14:textId="77777777">
      <w:pPr>
        <w:keepNext/>
        <w:keepLines/>
      </w:pPr>
      <w:r w:rsidRPr="007E0739">
        <w:t>2.</w:t>
      </w:r>
      <w:r w:rsidRPr="007E0739">
        <w:tab/>
      </w:r>
      <w:r w:rsidRPr="007E0739">
        <w:rPr>
          <w:u w:val="single"/>
        </w:rPr>
        <w:t xml:space="preserve">How, by whom, and for what purpose </w:t>
      </w:r>
      <w:r w:rsidRPr="007E0739" w:rsidR="00DA79EE">
        <w:rPr>
          <w:u w:val="single"/>
        </w:rPr>
        <w:t xml:space="preserve">is </w:t>
      </w:r>
      <w:r w:rsidRPr="007E0739">
        <w:rPr>
          <w:u w:val="single"/>
        </w:rPr>
        <w:t>the information</w:t>
      </w:r>
      <w:r w:rsidRPr="007E0739" w:rsidR="00DA79EE">
        <w:rPr>
          <w:u w:val="single"/>
        </w:rPr>
        <w:t xml:space="preserve"> </w:t>
      </w:r>
      <w:r w:rsidRPr="007E0739">
        <w:rPr>
          <w:u w:val="single"/>
        </w:rPr>
        <w:t>used</w:t>
      </w:r>
      <w:r w:rsidRPr="007E0739">
        <w:t xml:space="preserve"> </w:t>
      </w:r>
    </w:p>
    <w:p w:rsidR="00B908D6" w:rsidRPr="007E0739" w:rsidP="00F23657" w14:paraId="417CDDF9" w14:textId="77777777">
      <w:pPr>
        <w:keepNext/>
        <w:keepLines/>
      </w:pPr>
    </w:p>
    <w:p w:rsidR="00B908D6" w:rsidRPr="007E0739" w:rsidP="00F23657" w14:paraId="6E5C5DDD" w14:textId="77777777">
      <w:pPr>
        <w:keepNext/>
        <w:keepLines/>
      </w:pPr>
      <w:r w:rsidRPr="007E0739">
        <w:t xml:space="preserve">The information collected </w:t>
      </w:r>
      <w:r w:rsidRPr="00AA3BAF">
        <w:t>is used by motor carriers, drivers, shippers, and emergency responders</w:t>
      </w:r>
      <w:r w:rsidRPr="00AA3BAF" w:rsidR="00F23657">
        <w:t xml:space="preserve"> t</w:t>
      </w:r>
      <w:r w:rsidRPr="00AA3BAF">
        <w:t>o ensure the safe transportation of flammable cryogenic liquids</w:t>
      </w:r>
      <w:r w:rsidRPr="00AA3BAF" w:rsidR="00F23657">
        <w:t>.</w:t>
      </w:r>
      <w:r w:rsidR="00F23657">
        <w:t xml:space="preserve">  Additionally, these requirements ensure tha</w:t>
      </w:r>
      <w:r w:rsidRPr="007E0739">
        <w:t>t proper proactive mitigation measures are taken to preclude an</w:t>
      </w:r>
      <w:r w:rsidR="00F23657">
        <w:t>y</w:t>
      </w:r>
      <w:r w:rsidRPr="007E0739">
        <w:t xml:space="preserve"> uncontrolled </w:t>
      </w:r>
      <w:r w:rsidR="00F23657">
        <w:t>accident in transportation</w:t>
      </w:r>
      <w:r w:rsidRPr="007E0739">
        <w:t xml:space="preserve">.  </w:t>
      </w:r>
      <w:r w:rsidR="00F23657">
        <w:t xml:space="preserve">Additionally, these requirements </w:t>
      </w:r>
      <w:r w:rsidRPr="007E0739">
        <w:t xml:space="preserve">ensure that if </w:t>
      </w:r>
      <w:r w:rsidR="00F23657">
        <w:t xml:space="preserve">any cargo tank </w:t>
      </w:r>
      <w:r w:rsidRPr="007E0739">
        <w:t xml:space="preserve">conditions change </w:t>
      </w:r>
      <w:r w:rsidRPr="007E0739" w:rsidR="00A75A54">
        <w:t>(</w:t>
      </w:r>
      <w:r w:rsidRPr="007E0739">
        <w:t>i.e.</w:t>
      </w:r>
      <w:r w:rsidR="00791912">
        <w:t>,</w:t>
      </w:r>
      <w:r w:rsidRPr="007E0739">
        <w:t xml:space="preserve"> the </w:t>
      </w:r>
      <w:r w:rsidR="00F23657">
        <w:t xml:space="preserve">cargo </w:t>
      </w:r>
      <w:r w:rsidRPr="007E0739">
        <w:t xml:space="preserve">tank is </w:t>
      </w:r>
      <w:r w:rsidRPr="007E0739" w:rsidR="00A75A54">
        <w:t xml:space="preserve">not </w:t>
      </w:r>
      <w:r w:rsidRPr="007E0739">
        <w:t>performing as previously calculated</w:t>
      </w:r>
      <w:r w:rsidRPr="007E0739" w:rsidR="00A75A54">
        <w:t>),</w:t>
      </w:r>
      <w:r w:rsidRPr="007E0739">
        <w:t xml:space="preserve"> it will be inspected </w:t>
      </w:r>
      <w:r w:rsidR="00F23657">
        <w:t>before being refilled and reoffered for transportation</w:t>
      </w:r>
      <w:r w:rsidRPr="007E0739">
        <w:t>.</w:t>
      </w:r>
    </w:p>
    <w:p w:rsidR="00B908D6" w:rsidRPr="007E0739" w:rsidP="007E0739" w14:paraId="6889E144" w14:textId="77777777"/>
    <w:p w:rsidR="007E0739" w:rsidRPr="007E0739" w:rsidP="007E0739" w14:paraId="0C93E2D2" w14:textId="77777777">
      <w:r>
        <w:t>Because</w:t>
      </w:r>
      <w:r w:rsidRPr="007E0739" w:rsidR="008D64C3">
        <w:t xml:space="preserve"> flammable cryogenic liquids </w:t>
      </w:r>
      <w:r>
        <w:t>are</w:t>
      </w:r>
      <w:r w:rsidRPr="007E0739" w:rsidR="008D64C3">
        <w:t xml:space="preserve"> extreme</w:t>
      </w:r>
      <w:r>
        <w:t>ly</w:t>
      </w:r>
      <w:r w:rsidRPr="007E0739" w:rsidR="008D64C3">
        <w:t xml:space="preserve"> </w:t>
      </w:r>
      <w:r>
        <w:t>flammable, have a</w:t>
      </w:r>
      <w:r w:rsidRPr="007E0739" w:rsidR="008D64C3">
        <w:t xml:space="preserve"> high expansion ratio (</w:t>
      </w:r>
      <w:r>
        <w:t>1</w:t>
      </w:r>
      <w:r w:rsidR="00791912">
        <w:noBreakHyphen/>
      </w:r>
      <w:r>
        <w:t>to</w:t>
      </w:r>
      <w:r w:rsidR="00791912">
        <w:noBreakHyphen/>
      </w:r>
      <w:r>
        <w:t xml:space="preserve">600), </w:t>
      </w:r>
      <w:r w:rsidRPr="007E0739" w:rsidR="008D64C3">
        <w:t xml:space="preserve">and </w:t>
      </w:r>
      <w:r w:rsidR="00791912">
        <w:t xml:space="preserve">must be kept at </w:t>
      </w:r>
      <w:r w:rsidRPr="007E0739" w:rsidR="008D64C3">
        <w:t>extremely low temperatures</w:t>
      </w:r>
      <w:r>
        <w:t xml:space="preserve"> (</w:t>
      </w:r>
      <w:r w:rsidR="00791912">
        <w:t>negative</w:t>
      </w:r>
      <w:r w:rsidRPr="007E0739" w:rsidR="00791912">
        <w:t xml:space="preserve"> </w:t>
      </w:r>
      <w:r w:rsidRPr="007E0739" w:rsidR="008D64C3">
        <w:t>400</w:t>
      </w:r>
      <w:r w:rsidR="00791912">
        <w:t> </w:t>
      </w:r>
      <w:r w:rsidRPr="007E0739" w:rsidR="008D64C3">
        <w:t>°F</w:t>
      </w:r>
      <w:r>
        <w:t xml:space="preserve">) </w:t>
      </w:r>
      <w:r w:rsidRPr="007E0739" w:rsidR="008D64C3">
        <w:t xml:space="preserve">to </w:t>
      </w:r>
      <w:r w:rsidR="00791912">
        <w:t xml:space="preserve">remain </w:t>
      </w:r>
      <w:r w:rsidRPr="007E0739" w:rsidR="008D64C3">
        <w:t>in a liquid state</w:t>
      </w:r>
      <w:r>
        <w:t>, the HMR sets strict requirements for their transportation.  Speci</w:t>
      </w:r>
      <w:r w:rsidR="00F23657">
        <w:t>fic</w:t>
      </w:r>
      <w:r>
        <w:t>ally, the HMR requires</w:t>
      </w:r>
      <w:r w:rsidR="00B74BDF">
        <w:t xml:space="preserve"> that a written record be maintained indicating cargo tank pressure and temperature.  These requirements, as outlined in</w:t>
      </w:r>
      <w:r w:rsidRPr="007E0739" w:rsidR="008D64C3">
        <w:t xml:space="preserve"> §§ 173.318(g), 177.840(h)</w:t>
      </w:r>
      <w:r w:rsidR="00B74BDF">
        <w:t>,</w:t>
      </w:r>
      <w:r w:rsidRPr="007E0739" w:rsidR="008D64C3">
        <w:t xml:space="preserve"> and 180.405(</w:t>
      </w:r>
      <w:r w:rsidRPr="007E0739" w:rsidR="008D64C3">
        <w:t>i</w:t>
      </w:r>
      <w:r w:rsidRPr="007E0739" w:rsidR="008D64C3">
        <w:t xml:space="preserve">), </w:t>
      </w:r>
      <w:r w:rsidR="00F84BBA">
        <w:t xml:space="preserve">include requiring an indication of one-way travel time, the pressure of the tank at discharge, ambient (outside) </w:t>
      </w:r>
      <w:r w:rsidR="00F84BBA">
        <w:t xml:space="preserve">temperature, as well as other indications of valve pressures during loading and unloading operations.  Prior to transportation, this information is provided to drivers to ensure that they are aware of the cargo tank and previous trips.  These requirements </w:t>
      </w:r>
      <w:r w:rsidRPr="007E0739" w:rsidR="008D64C3">
        <w:t xml:space="preserve">ensure that </w:t>
      </w:r>
      <w:r w:rsidR="00F84BBA">
        <w:t>a</w:t>
      </w:r>
      <w:r w:rsidRPr="007E0739" w:rsidR="008D64C3">
        <w:t xml:space="preserve"> driver can determine that the </w:t>
      </w:r>
      <w:r w:rsidR="00F84BBA">
        <w:t xml:space="preserve">cargo </w:t>
      </w:r>
      <w:r w:rsidRPr="007E0739" w:rsidR="008D64C3">
        <w:t xml:space="preserve">tank was </w:t>
      </w:r>
      <w:r w:rsidR="00B74BDF">
        <w:t xml:space="preserve">loaded within its proper limits and that </w:t>
      </w:r>
      <w:r w:rsidRPr="007E0739" w:rsidR="008D64C3">
        <w:t xml:space="preserve">the </w:t>
      </w:r>
      <w:r w:rsidR="00F84BBA">
        <w:t xml:space="preserve">cargo </w:t>
      </w:r>
      <w:r w:rsidRPr="007E0739" w:rsidR="008D64C3">
        <w:t>tank</w:t>
      </w:r>
      <w:r w:rsidRPr="007E0739" w:rsidR="008D64C3">
        <w:t xml:space="preserve"> or it</w:t>
      </w:r>
      <w:r w:rsidR="00F84BBA">
        <w:t>s</w:t>
      </w:r>
      <w:r w:rsidRPr="007E0739" w:rsidR="008D64C3">
        <w:t xml:space="preserve"> insulation has not been compromised</w:t>
      </w:r>
      <w:r w:rsidR="00B74BDF">
        <w:t xml:space="preserve">.  If these </w:t>
      </w:r>
      <w:r w:rsidR="00791912">
        <w:t xml:space="preserve">requirements </w:t>
      </w:r>
      <w:r w:rsidR="00B74BDF">
        <w:t xml:space="preserve">are not met, it could </w:t>
      </w:r>
      <w:r w:rsidRPr="007E0739" w:rsidR="008D64C3">
        <w:t>lead to a catastrophic release of</w:t>
      </w:r>
      <w:r w:rsidR="00B74BDF">
        <w:t xml:space="preserve"> a flammable cryogenic liquid.  </w:t>
      </w:r>
      <w:r w:rsidRPr="007E0739" w:rsidR="008D64C3">
        <w:t xml:space="preserve">This information also allows the driver to take appropriate remedial actions should the temperature of the cryogenic liquid begin to rise excessively or if the travel time will exceed safe </w:t>
      </w:r>
      <w:r w:rsidR="00791912">
        <w:t>limits</w:t>
      </w:r>
      <w:r w:rsidRPr="007E0739" w:rsidR="008D64C3">
        <w:t>.  By taking proactive remedial actions, a driver can prevent a catastrophic release of the flammable cryogenic liquid.</w:t>
      </w:r>
    </w:p>
    <w:p w:rsidR="007E0739" w:rsidRPr="007E0739" w:rsidP="007E0739" w14:paraId="34016837" w14:textId="77777777"/>
    <w:p w:rsidR="00B908D6" w:rsidRPr="007E0739" w:rsidP="007E0739" w14:paraId="3507C31F" w14:textId="77777777">
      <w:r w:rsidRPr="007E0739">
        <w:t>3.</w:t>
      </w:r>
      <w:r w:rsidRPr="007E0739">
        <w:tab/>
      </w:r>
      <w:r w:rsidRPr="007E0739" w:rsidR="00A75A54">
        <w:rPr>
          <w:u w:val="single"/>
        </w:rPr>
        <w:t>Extent of automated information collection</w:t>
      </w:r>
    </w:p>
    <w:p w:rsidR="00B908D6" w:rsidRPr="007E0739" w:rsidP="007E0739" w14:paraId="05D55E7F" w14:textId="77777777"/>
    <w:p w:rsidR="007E0739" w:rsidRPr="007E0739" w:rsidP="007E0739" w14:paraId="6596E6A1" w14:textId="77777777">
      <w:r w:rsidRPr="007E0739">
        <w:t>Th</w:t>
      </w:r>
      <w:r w:rsidR="00F84BBA">
        <w:t>is</w:t>
      </w:r>
      <w:r w:rsidRPr="007E0739">
        <w:t xml:space="preserve"> burden has been made as simple as possible.  This information is considered critical in making evaluations an</w:t>
      </w:r>
      <w:r w:rsidRPr="007E0739" w:rsidR="00A75A54">
        <w:t xml:space="preserve">d </w:t>
      </w:r>
      <w:r w:rsidRPr="007E0739">
        <w:t>assuring the safe transport, loading</w:t>
      </w:r>
      <w:r w:rsidRPr="007E0739" w:rsidR="00A75A54">
        <w:t>,</w:t>
      </w:r>
      <w:r w:rsidRPr="007E0739">
        <w:t xml:space="preserve"> and unloading of flammable cryogenic liquids. The Government Paperwork Elimination Act directs agencies to allow the option of electronic filing and recordkeeping, when practicable.  Due to the hazards of flammable cryogenic liquids, written procedures are required for venting, safety, emergencies, and documentation requirements for drivers.  Therefore, electronic filing and recordkeeping is not practicable</w:t>
      </w:r>
      <w:r w:rsidR="00F84BBA">
        <w:t xml:space="preserve">, and safety </w:t>
      </w:r>
      <w:r w:rsidR="008C4278">
        <w:t xml:space="preserve">needs </w:t>
      </w:r>
      <w:r w:rsidR="00F84BBA">
        <w:t>outweigh allow</w:t>
      </w:r>
      <w:r w:rsidR="00320A19">
        <w:t>ing</w:t>
      </w:r>
      <w:r w:rsidR="00F84BBA">
        <w:t xml:space="preserve"> electronic filings</w:t>
      </w:r>
      <w:r w:rsidRPr="007E0739">
        <w:t>.</w:t>
      </w:r>
    </w:p>
    <w:p w:rsidR="007E0739" w:rsidRPr="007E0739" w:rsidP="007E0739" w14:paraId="3F6D50D1" w14:textId="77777777"/>
    <w:p w:rsidR="00B908D6" w:rsidRPr="007E0739" w:rsidP="007E0739" w14:paraId="5FC24940" w14:textId="77777777">
      <w:r w:rsidRPr="007E0739">
        <w:t>4.</w:t>
      </w:r>
      <w:r w:rsidRPr="007E0739">
        <w:tab/>
      </w:r>
      <w:r w:rsidRPr="007E0739" w:rsidR="00A75A54">
        <w:rPr>
          <w:u w:val="single"/>
        </w:rPr>
        <w:t>Efforts to ide</w:t>
      </w:r>
      <w:r w:rsidRPr="007E0739">
        <w:rPr>
          <w:u w:val="single"/>
        </w:rPr>
        <w:t>ntify duplication</w:t>
      </w:r>
      <w:r w:rsidRPr="007E0739">
        <w:t xml:space="preserve">  </w:t>
      </w:r>
    </w:p>
    <w:p w:rsidR="00B908D6" w:rsidRPr="007E0739" w:rsidP="007E0739" w14:paraId="3B810899" w14:textId="77777777"/>
    <w:p w:rsidR="007E0739" w:rsidP="007E0739" w14:paraId="6033A215" w14:textId="77777777">
      <w:r>
        <w:t>I</w:t>
      </w:r>
      <w:r w:rsidR="00F84BBA">
        <w:t xml:space="preserve">nformation </w:t>
      </w:r>
      <w:r>
        <w:t xml:space="preserve">in this </w:t>
      </w:r>
      <w:r w:rsidR="00F84BBA">
        <w:t xml:space="preserve">collection is </w:t>
      </w:r>
      <w:r w:rsidR="00B74BDF">
        <w:t>unique to the transportation of flammable cryogenic liquids.  PHMSA has done its due diligence to ensure that t</w:t>
      </w:r>
      <w:r w:rsidRPr="007E0739" w:rsidR="00B908D6">
        <w:t>h</w:t>
      </w:r>
      <w:r w:rsidRPr="007E0739">
        <w:t xml:space="preserve">is information is </w:t>
      </w:r>
      <w:r w:rsidR="00B74BDF">
        <w:t>not duplicated.  Additionally, PHMSA works with its modal partners, such as the Federal Motor Carrier Safety Administration (FMCSA), to ensure the requirements are not duplicated.</w:t>
      </w:r>
    </w:p>
    <w:p w:rsidR="007E0739" w:rsidRPr="007E0739" w:rsidP="007E0739" w14:paraId="578A6422" w14:textId="77777777"/>
    <w:p w:rsidR="00B908D6" w:rsidRPr="007E0739" w:rsidP="00F84BBA" w14:paraId="7330449D" w14:textId="77777777">
      <w:pPr>
        <w:keepNext/>
        <w:keepLines/>
      </w:pPr>
      <w:r w:rsidRPr="007E0739">
        <w:t>5.</w:t>
      </w:r>
      <w:r w:rsidRPr="007E0739">
        <w:tab/>
      </w:r>
      <w:r w:rsidRPr="007E0739" w:rsidR="00A75A54">
        <w:rPr>
          <w:u w:val="single"/>
        </w:rPr>
        <w:t xml:space="preserve">Efforts to </w:t>
      </w:r>
      <w:r w:rsidRPr="007E0739">
        <w:rPr>
          <w:u w:val="single"/>
        </w:rPr>
        <w:t xml:space="preserve">minimize </w:t>
      </w:r>
      <w:r w:rsidRPr="007E0739" w:rsidR="00A75A54">
        <w:rPr>
          <w:u w:val="single"/>
        </w:rPr>
        <w:t xml:space="preserve">the </w:t>
      </w:r>
      <w:r w:rsidRPr="007E0739">
        <w:rPr>
          <w:u w:val="single"/>
        </w:rPr>
        <w:t>burden on small businesses</w:t>
      </w:r>
      <w:r w:rsidRPr="007E0739">
        <w:t xml:space="preserve">  </w:t>
      </w:r>
    </w:p>
    <w:p w:rsidR="00B908D6" w:rsidRPr="007E0739" w:rsidP="00F84BBA" w14:paraId="1DC53A31" w14:textId="77777777">
      <w:pPr>
        <w:keepNext/>
        <w:keepLines/>
      </w:pPr>
    </w:p>
    <w:p w:rsidR="007E0739" w:rsidRPr="007E0739" w:rsidP="00F84BBA" w14:paraId="325626B8" w14:textId="77777777">
      <w:pPr>
        <w:keepNext/>
        <w:keepLines/>
      </w:pPr>
      <w:r w:rsidRPr="007E0739">
        <w:t xml:space="preserve">The burden has been made as simple as possible.  It is not feasible to reduce </w:t>
      </w:r>
      <w:r w:rsidRPr="007E0739" w:rsidR="006F3241">
        <w:t xml:space="preserve">it any </w:t>
      </w:r>
      <w:r w:rsidRPr="007E0739">
        <w:t>further and still maintain an acceptable level of safety to protect the public and property from the dangers inherent in the transportation of flammable cryogenic liquids.</w:t>
      </w:r>
      <w:r w:rsidR="00B74BDF">
        <w:t xml:space="preserve">  This burden is required for all persons transporting flammable cryogenic liquids, because safety outweighs any reduction in burden</w:t>
      </w:r>
      <w:r w:rsidR="00F84BBA">
        <w:t xml:space="preserve"> for small businesses</w:t>
      </w:r>
      <w:r w:rsidR="00B74BDF">
        <w:t>.</w:t>
      </w:r>
    </w:p>
    <w:p w:rsidR="007E0739" w:rsidRPr="007E0739" w:rsidP="007E0739" w14:paraId="70B012D7" w14:textId="77777777"/>
    <w:p w:rsidR="003E1051" w:rsidRPr="007E0739" w:rsidP="007E0739" w14:paraId="2DCFBF89" w14:textId="77777777">
      <w:r w:rsidRPr="007E0739">
        <w:t>6.</w:t>
      </w:r>
      <w:r w:rsidRPr="007E0739">
        <w:tab/>
      </w:r>
      <w:r w:rsidRPr="007E0739">
        <w:rPr>
          <w:u w:val="single"/>
        </w:rPr>
        <w:t>Impact of less frequent collection of information</w:t>
      </w:r>
    </w:p>
    <w:p w:rsidR="007E0739" w:rsidRPr="007E0739" w:rsidP="007E0739" w14:paraId="15F3C74F" w14:textId="77777777"/>
    <w:p w:rsidR="007E0739" w:rsidRPr="007E0739" w:rsidP="007E0739" w14:paraId="4431E1B0" w14:textId="77777777">
      <w:r w:rsidRPr="007E0739">
        <w:t xml:space="preserve">This information is not collected for reporting purposes of the Federal </w:t>
      </w:r>
      <w:r w:rsidR="008C4278">
        <w:t>G</w:t>
      </w:r>
      <w:r w:rsidRPr="007E0739">
        <w:t>overnment.  It is being collected to ensure that flammable cryogenic liquids are safely transported.  It is also an important measure</w:t>
      </w:r>
      <w:r w:rsidR="008C4278">
        <w:t xml:space="preserve"> necessary</w:t>
      </w:r>
      <w:r w:rsidRPr="007E0739">
        <w:t xml:space="preserve"> to provide information to shippers and carriers about the condition of the cargo tanks used to transport these materials, thus enabling repair of these vehicles</w:t>
      </w:r>
      <w:r w:rsidRPr="007E0739">
        <w:t xml:space="preserve"> prior to catastrophic failure.</w:t>
      </w:r>
      <w:r w:rsidR="00B74BDF">
        <w:t xml:space="preserve">  Therefore, PHMSA believes this information is </w:t>
      </w:r>
      <w:r w:rsidR="008C4278">
        <w:t xml:space="preserve">necessary </w:t>
      </w:r>
      <w:r w:rsidR="00B74BDF">
        <w:t>as frequent</w:t>
      </w:r>
      <w:r w:rsidR="008C4278">
        <w:t>ly</w:t>
      </w:r>
      <w:r w:rsidR="00B74BDF">
        <w:t xml:space="preserve"> as </w:t>
      </w:r>
      <w:r w:rsidR="008C4278">
        <w:t xml:space="preserve">it is currently required, </w:t>
      </w:r>
      <w:r w:rsidR="008C4278">
        <w:t xml:space="preserve">in order </w:t>
      </w:r>
      <w:r w:rsidR="00B74BDF">
        <w:t>to</w:t>
      </w:r>
      <w:r w:rsidR="00B74BDF">
        <w:t xml:space="preserve"> maintain safety.</w:t>
      </w:r>
    </w:p>
    <w:p w:rsidR="007E0739" w:rsidRPr="007E0739" w:rsidP="007E0739" w14:paraId="08D939F3" w14:textId="77777777"/>
    <w:p w:rsidR="00B908D6" w:rsidRPr="007E0739" w:rsidP="007E0739" w14:paraId="1090DF58" w14:textId="77777777">
      <w:r w:rsidRPr="007E0739">
        <w:t>7.</w:t>
      </w:r>
      <w:r w:rsidRPr="007E0739">
        <w:tab/>
      </w:r>
      <w:r w:rsidRPr="007E0739">
        <w:rPr>
          <w:u w:val="single"/>
        </w:rPr>
        <w:t>Special circumstances affecting conduct of information collection activity</w:t>
      </w:r>
    </w:p>
    <w:p w:rsidR="00B908D6" w:rsidRPr="007E0739" w:rsidP="007E0739" w14:paraId="20D4F210" w14:textId="77777777"/>
    <w:p w:rsidR="007E0739" w:rsidRPr="007E0739" w:rsidP="007E0739" w14:paraId="2457010B" w14:textId="77777777">
      <w:r w:rsidRPr="007E0739">
        <w:t>There are no special circumstances.  This collection of information is conducted in a manner consistent with the guidelines in 5 CFR 1320.5(d)(2).</w:t>
      </w:r>
    </w:p>
    <w:p w:rsidR="007E0739" w:rsidRPr="007E0739" w:rsidP="007E0739" w14:paraId="15895B42" w14:textId="77777777"/>
    <w:p w:rsidR="007E0739" w:rsidRPr="007E0739" w:rsidP="007E0739" w14:paraId="517EB5F6" w14:textId="77777777">
      <w:r w:rsidRPr="007E0739">
        <w:t>8.</w:t>
      </w:r>
      <w:r w:rsidRPr="007E0739">
        <w:tab/>
      </w:r>
      <w:r w:rsidRPr="007E0739" w:rsidR="003E1051">
        <w:rPr>
          <w:u w:val="single"/>
        </w:rPr>
        <w:t xml:space="preserve">Compliance with </w:t>
      </w:r>
      <w:r w:rsidRPr="007E0739" w:rsidR="003E1051">
        <w:rPr>
          <w:bCs/>
          <w:u w:val="single"/>
        </w:rPr>
        <w:t>5 CFR 1320.8.</w:t>
      </w:r>
    </w:p>
    <w:p w:rsidR="007E0739" w:rsidRPr="007E0739" w:rsidP="007E0739" w14:paraId="0517870C" w14:textId="77777777"/>
    <w:p w:rsidR="006C16FA" w:rsidP="006C16FA" w14:paraId="72A48151" w14:textId="65320F03">
      <w:r>
        <w:t>PHMSA published a 60-Day Notice and Request for Comments under Docket No. PHMSA</w:t>
      </w:r>
      <w:r w:rsidR="00064B33">
        <w:noBreakHyphen/>
      </w:r>
      <w:r w:rsidR="008602B6">
        <w:t>202</w:t>
      </w:r>
      <w:r w:rsidR="00A60C91">
        <w:t>4</w:t>
      </w:r>
      <w:r w:rsidR="008602B6">
        <w:t>-0</w:t>
      </w:r>
      <w:r w:rsidR="00A60C91">
        <w:t>56</w:t>
      </w:r>
      <w:r w:rsidR="00064B33">
        <w:t xml:space="preserve"> </w:t>
      </w:r>
      <w:r>
        <w:t xml:space="preserve">(Notice No. </w:t>
      </w:r>
      <w:r w:rsidR="008602B6">
        <w:t>20</w:t>
      </w:r>
      <w:r w:rsidR="002674D4">
        <w:t>24</w:t>
      </w:r>
      <w:r w:rsidR="008602B6">
        <w:t>-</w:t>
      </w:r>
      <w:r w:rsidR="00C53402">
        <w:t>08</w:t>
      </w:r>
      <w:r>
        <w:t xml:space="preserve">) on </w:t>
      </w:r>
      <w:r w:rsidR="008602B6">
        <w:t>May 1</w:t>
      </w:r>
      <w:r w:rsidR="00E557FA">
        <w:t>0</w:t>
      </w:r>
      <w:r>
        <w:t xml:space="preserve">, </w:t>
      </w:r>
      <w:r w:rsidR="008602B6">
        <w:t>202</w:t>
      </w:r>
      <w:r w:rsidR="00E557FA">
        <w:t>4</w:t>
      </w:r>
      <w:r>
        <w:t>, in the Federal Register [</w:t>
      </w:r>
      <w:r w:rsidR="008602B6">
        <w:t>8</w:t>
      </w:r>
      <w:r w:rsidR="00A46EF1">
        <w:t>9</w:t>
      </w:r>
      <w:r w:rsidR="00064B33">
        <w:t> </w:t>
      </w:r>
      <w:r>
        <w:t>FR</w:t>
      </w:r>
      <w:r w:rsidR="00064B33">
        <w:t> </w:t>
      </w:r>
      <w:r w:rsidR="00A60C91">
        <w:t>40535</w:t>
      </w:r>
      <w:r>
        <w:t xml:space="preserve">] requesting public comment on the renewal of this information collection, along with </w:t>
      </w:r>
      <w:r w:rsidR="00C67330">
        <w:t>2</w:t>
      </w:r>
      <w:r w:rsidR="008602B6">
        <w:t xml:space="preserve"> </w:t>
      </w:r>
      <w:r>
        <w:t xml:space="preserve">other information collections.  </w:t>
      </w:r>
    </w:p>
    <w:p w:rsidR="00071E0D" w:rsidP="006C16FA" w14:paraId="2C01F5D7" w14:textId="77777777"/>
    <w:p w:rsidR="007E0739" w:rsidRPr="007E0739" w:rsidP="007E0739" w14:paraId="624104DB" w14:textId="45B8C0AF">
      <w:r>
        <w:t>PHMSA published a 30-Day Notice and Request for Comments under Docket No. PHMSA</w:t>
      </w:r>
      <w:r w:rsidR="00064B33">
        <w:noBreakHyphen/>
      </w:r>
      <w:r w:rsidR="008602B6">
        <w:t>202</w:t>
      </w:r>
      <w:r w:rsidR="00062A8A">
        <w:t>4</w:t>
      </w:r>
      <w:r w:rsidR="008602B6">
        <w:t>-005</w:t>
      </w:r>
      <w:r w:rsidR="00062A8A">
        <w:t>6</w:t>
      </w:r>
      <w:r w:rsidR="00064B33">
        <w:t xml:space="preserve"> </w:t>
      </w:r>
      <w:r>
        <w:t xml:space="preserve">(Notice No. </w:t>
      </w:r>
      <w:r w:rsidR="008602B6">
        <w:t>202</w:t>
      </w:r>
      <w:r w:rsidR="00062A8A">
        <w:t>4</w:t>
      </w:r>
      <w:r w:rsidR="008602B6">
        <w:t>-</w:t>
      </w:r>
      <w:r w:rsidR="00062A8A">
        <w:t>12</w:t>
      </w:r>
      <w:r>
        <w:t xml:space="preserve">) on </w:t>
      </w:r>
      <w:r w:rsidR="00DF28B9">
        <w:t xml:space="preserve">October </w:t>
      </w:r>
      <w:r w:rsidR="009E4C39">
        <w:t>21</w:t>
      </w:r>
      <w:r w:rsidRPr="00910AFC">
        <w:t xml:space="preserve">, </w:t>
      </w:r>
      <w:r w:rsidR="00DF28B9">
        <w:t>2024</w:t>
      </w:r>
      <w:r>
        <w:t>, in the Federal Register [</w:t>
      </w:r>
      <w:r w:rsidR="00DF28B9">
        <w:t>89</w:t>
      </w:r>
      <w:r w:rsidRPr="00910AFC" w:rsidR="00DF28B9">
        <w:t> </w:t>
      </w:r>
      <w:r w:rsidRPr="00910AFC">
        <w:t>FR</w:t>
      </w:r>
      <w:r w:rsidRPr="00910AFC" w:rsidR="00064B33">
        <w:t> </w:t>
      </w:r>
      <w:r w:rsidR="009E4C39">
        <w:t>84244</w:t>
      </w:r>
      <w:r>
        <w:t xml:space="preserve">] requesting public comment on the renewal of this information collection </w:t>
      </w:r>
    </w:p>
    <w:p w:rsidR="009130D4" w:rsidRPr="007E0739" w:rsidP="007E0739" w14:paraId="66C1536F" w14:textId="77777777"/>
    <w:p w:rsidR="00B908D6" w:rsidRPr="007E0739" w:rsidP="007E0739" w14:paraId="21AAC449" w14:textId="77777777">
      <w:r w:rsidRPr="007E0739">
        <w:t>9.</w:t>
      </w:r>
      <w:r w:rsidRPr="007E0739">
        <w:tab/>
      </w:r>
      <w:r w:rsidRPr="007E0739" w:rsidR="00284EC7">
        <w:rPr>
          <w:u w:val="single"/>
        </w:rPr>
        <w:t>Payments or gifts to respondents.</w:t>
      </w:r>
      <w:r w:rsidRPr="007E0739">
        <w:t xml:space="preserve">  </w:t>
      </w:r>
    </w:p>
    <w:p w:rsidR="00B908D6" w:rsidRPr="007E0739" w:rsidP="007E0739" w14:paraId="2F38DAC5" w14:textId="77777777"/>
    <w:p w:rsidR="007E0739" w:rsidP="007E0739" w14:paraId="332D7E86" w14:textId="77777777">
      <w:r w:rsidRPr="007E0739">
        <w:t>There is no payment or gift provided to respondents associated with</w:t>
      </w:r>
      <w:r>
        <w:t xml:space="preserve"> this collection of information.</w:t>
      </w:r>
    </w:p>
    <w:p w:rsidR="007E0739" w:rsidP="007E0739" w14:paraId="203D4316" w14:textId="77777777"/>
    <w:p w:rsidR="00B908D6" w:rsidRPr="007E0739" w:rsidP="00721506" w14:paraId="69435F9B" w14:textId="77777777">
      <w:pPr>
        <w:keepNext/>
        <w:keepLines/>
      </w:pPr>
      <w:r w:rsidRPr="007E0739">
        <w:t>10.</w:t>
      </w:r>
      <w:r w:rsidRPr="007E0739">
        <w:tab/>
      </w:r>
      <w:r w:rsidRPr="007E0739" w:rsidR="00284EC7">
        <w:rPr>
          <w:bCs/>
          <w:u w:val="single"/>
        </w:rPr>
        <w:t>Assurance of confidentiality</w:t>
      </w:r>
      <w:r w:rsidRPr="007E0739" w:rsidR="00284EC7">
        <w:rPr>
          <w:u w:val="single"/>
        </w:rPr>
        <w:t>.</w:t>
      </w:r>
      <w:r w:rsidRPr="007E0739">
        <w:t xml:space="preserve">  </w:t>
      </w:r>
    </w:p>
    <w:p w:rsidR="00B908D6" w:rsidRPr="007E0739" w:rsidP="00721506" w14:paraId="58B7BB7D" w14:textId="77777777">
      <w:pPr>
        <w:keepNext/>
        <w:keepLines/>
      </w:pPr>
    </w:p>
    <w:p w:rsidR="007E0739" w:rsidP="00721506" w14:paraId="1BA07FC2" w14:textId="77777777">
      <w:pPr>
        <w:keepNext/>
        <w:keepLines/>
        <w:tabs>
          <w:tab w:val="left" w:pos="720"/>
        </w:tabs>
      </w:pPr>
      <w:r w:rsidRPr="006C16FA">
        <w:t xml:space="preserve">None of the data collected contain personally identifiable information (PII) or business confidential information. </w:t>
      </w:r>
      <w:r w:rsidR="00D61F27">
        <w:t xml:space="preserve"> </w:t>
      </w:r>
      <w:r w:rsidRPr="006C16FA">
        <w:t>No guarantees of confidentiality are provided to applicants.</w:t>
      </w:r>
    </w:p>
    <w:p w:rsidR="009130D4" w:rsidP="007E0739" w14:paraId="1BBED1B0" w14:textId="77777777">
      <w:pPr>
        <w:tabs>
          <w:tab w:val="left" w:pos="720"/>
        </w:tabs>
      </w:pPr>
    </w:p>
    <w:p w:rsidR="00B908D6" w:rsidRPr="007E0739" w:rsidP="007E0739" w14:paraId="027F04C3" w14:textId="77777777">
      <w:pPr>
        <w:tabs>
          <w:tab w:val="left" w:pos="720"/>
        </w:tabs>
      </w:pPr>
      <w:r w:rsidRPr="007E0739">
        <w:t>1</w:t>
      </w:r>
      <w:r w:rsidRPr="007E0739">
        <w:t>1.</w:t>
      </w:r>
      <w:r w:rsidRPr="007E0739">
        <w:tab/>
      </w:r>
      <w:r w:rsidRPr="007E0739">
        <w:rPr>
          <w:bCs/>
          <w:u w:val="single"/>
        </w:rPr>
        <w:t>Justification for collection of sensitive information</w:t>
      </w:r>
      <w:r w:rsidRPr="007E0739">
        <w:rPr>
          <w:u w:val="single"/>
        </w:rPr>
        <w:t>.</w:t>
      </w:r>
      <w:r w:rsidRPr="007E0739">
        <w:t xml:space="preserve">  </w:t>
      </w:r>
    </w:p>
    <w:p w:rsidR="00B908D6" w:rsidRPr="007E0739" w:rsidP="007E0739" w14:paraId="5DE66CAD" w14:textId="77777777"/>
    <w:p w:rsidR="00B908D6" w:rsidRPr="007E0739" w:rsidP="007E0739" w14:paraId="6BE41FC2" w14:textId="77777777">
      <w:r w:rsidRPr="007E0739">
        <w:t>Not applicable.  No sensitive information is required.</w:t>
      </w:r>
    </w:p>
    <w:p w:rsidR="007E0739" w:rsidP="007E0739" w14:paraId="79518F02" w14:textId="77777777"/>
    <w:p w:rsidR="007E0739" w:rsidP="007E0739" w14:paraId="48E83404" w14:textId="77777777">
      <w:pPr>
        <w:rPr>
          <w:u w:val="single"/>
        </w:rPr>
      </w:pPr>
      <w:r w:rsidRPr="007E0739">
        <w:t>12.</w:t>
      </w:r>
      <w:r w:rsidRPr="007E0739">
        <w:tab/>
      </w:r>
      <w:r w:rsidRPr="007E0739">
        <w:rPr>
          <w:u w:val="single"/>
        </w:rPr>
        <w:t xml:space="preserve">Estimates of </w:t>
      </w:r>
      <w:r w:rsidRPr="007E0739" w:rsidR="00284EC7">
        <w:rPr>
          <w:u w:val="single"/>
        </w:rPr>
        <w:t>burden hours for information collected</w:t>
      </w:r>
      <w:r w:rsidRPr="007E0739">
        <w:rPr>
          <w:u w:val="single"/>
        </w:rPr>
        <w:t>.</w:t>
      </w:r>
    </w:p>
    <w:p w:rsidR="00FD5650" w:rsidP="007E0739" w14:paraId="0F2053B3" w14:textId="77777777">
      <w:pPr>
        <w:rPr>
          <w:u w:val="single"/>
        </w:rPr>
      </w:pPr>
    </w:p>
    <w:tbl>
      <w:tblPr>
        <w:tblW w:w="8680" w:type="dxa"/>
        <w:jc w:val="center"/>
        <w:tblCellMar>
          <w:top w:w="15" w:type="dxa"/>
          <w:bottom w:w="15" w:type="dxa"/>
        </w:tblCellMar>
        <w:tblLook w:val="04A0"/>
      </w:tblPr>
      <w:tblGrid>
        <w:gridCol w:w="1880"/>
        <w:gridCol w:w="2005"/>
        <w:gridCol w:w="1611"/>
        <w:gridCol w:w="1592"/>
        <w:gridCol w:w="1592"/>
      </w:tblGrid>
      <w:tr w14:paraId="78B3435E" w14:textId="77777777" w:rsidTr="350A649A">
        <w:tblPrEx>
          <w:tblW w:w="8680" w:type="dxa"/>
          <w:jc w:val="center"/>
          <w:tblCellMar>
            <w:top w:w="15" w:type="dxa"/>
            <w:bottom w:w="15" w:type="dxa"/>
          </w:tblCellMar>
          <w:tblLook w:val="04A0"/>
        </w:tblPrEx>
        <w:trPr>
          <w:trHeight w:val="272"/>
          <w:jc w:val="center"/>
        </w:trPr>
        <w:tc>
          <w:tcPr>
            <w:tcW w:w="1880" w:type="dxa"/>
            <w:tcBorders>
              <w:top w:val="single" w:sz="4" w:space="0" w:color="auto"/>
              <w:left w:val="single" w:sz="4" w:space="0" w:color="auto"/>
              <w:bottom w:val="single" w:sz="4" w:space="0" w:color="auto"/>
              <w:right w:val="single" w:sz="4" w:space="0" w:color="auto"/>
            </w:tcBorders>
            <w:vAlign w:val="bottom"/>
            <w:hideMark/>
          </w:tcPr>
          <w:p w:rsidR="00064B33" w14:paraId="6637B020" w14:textId="77777777">
            <w:pPr>
              <w:jc w:val="center"/>
              <w:rPr>
                <w:b/>
                <w:bCs/>
                <w:color w:val="000000"/>
                <w:u w:val="single"/>
              </w:rPr>
            </w:pPr>
            <w:r>
              <w:rPr>
                <w:b/>
                <w:bCs/>
                <w:color w:val="000000"/>
                <w:u w:val="single"/>
              </w:rPr>
              <w:t>Total Number of Respondents</w:t>
            </w:r>
          </w:p>
        </w:tc>
        <w:tc>
          <w:tcPr>
            <w:tcW w:w="2005" w:type="dxa"/>
            <w:tcBorders>
              <w:top w:val="single" w:sz="4" w:space="0" w:color="auto"/>
              <w:left w:val="single" w:sz="4" w:space="0" w:color="auto"/>
              <w:bottom w:val="single" w:sz="4" w:space="0" w:color="auto"/>
              <w:right w:val="single" w:sz="4" w:space="0" w:color="auto"/>
            </w:tcBorders>
            <w:vAlign w:val="bottom"/>
            <w:hideMark/>
          </w:tcPr>
          <w:p w:rsidR="00064B33" w14:paraId="016C9B03" w14:textId="77777777">
            <w:pPr>
              <w:jc w:val="center"/>
              <w:rPr>
                <w:b/>
                <w:bCs/>
                <w:color w:val="000000"/>
                <w:u w:val="single"/>
              </w:rPr>
            </w:pPr>
            <w:r>
              <w:rPr>
                <w:b/>
                <w:bCs/>
                <w:color w:val="000000"/>
                <w:u w:val="single"/>
              </w:rPr>
              <w:t>Total Number of Responses</w:t>
            </w:r>
          </w:p>
        </w:tc>
        <w:tc>
          <w:tcPr>
            <w:tcW w:w="1611" w:type="dxa"/>
            <w:tcBorders>
              <w:top w:val="single" w:sz="4" w:space="0" w:color="auto"/>
              <w:left w:val="single" w:sz="4" w:space="0" w:color="auto"/>
              <w:bottom w:val="single" w:sz="4" w:space="0" w:color="auto"/>
              <w:right w:val="single" w:sz="4" w:space="0" w:color="auto"/>
            </w:tcBorders>
            <w:vAlign w:val="bottom"/>
            <w:hideMark/>
          </w:tcPr>
          <w:p w:rsidR="00064B33" w14:paraId="3E837E55" w14:textId="77777777">
            <w:pPr>
              <w:jc w:val="center"/>
              <w:rPr>
                <w:b/>
                <w:bCs/>
                <w:color w:val="000000"/>
                <w:u w:val="single"/>
              </w:rPr>
            </w:pPr>
            <w:r>
              <w:rPr>
                <w:b/>
                <w:bCs/>
                <w:color w:val="000000"/>
                <w:u w:val="single"/>
              </w:rPr>
              <w:t>Total Burden Hours</w:t>
            </w:r>
          </w:p>
        </w:tc>
        <w:tc>
          <w:tcPr>
            <w:tcW w:w="1592" w:type="dxa"/>
            <w:tcBorders>
              <w:top w:val="single" w:sz="4" w:space="0" w:color="auto"/>
              <w:left w:val="single" w:sz="4" w:space="0" w:color="auto"/>
              <w:bottom w:val="single" w:sz="4" w:space="0" w:color="auto"/>
              <w:right w:val="single" w:sz="4" w:space="0" w:color="auto"/>
            </w:tcBorders>
            <w:vAlign w:val="bottom"/>
            <w:hideMark/>
          </w:tcPr>
          <w:p w:rsidR="00064B33" w14:paraId="55925E37" w14:textId="77777777">
            <w:pPr>
              <w:jc w:val="center"/>
              <w:rPr>
                <w:b/>
                <w:bCs/>
                <w:color w:val="000000"/>
                <w:u w:val="single"/>
              </w:rPr>
            </w:pPr>
            <w:r>
              <w:rPr>
                <w:b/>
                <w:bCs/>
                <w:color w:val="000000"/>
                <w:u w:val="single"/>
              </w:rPr>
              <w:t>Total Salary Cost</w:t>
            </w:r>
          </w:p>
        </w:tc>
        <w:tc>
          <w:tcPr>
            <w:tcW w:w="1592" w:type="dxa"/>
            <w:tcBorders>
              <w:top w:val="single" w:sz="4" w:space="0" w:color="auto"/>
              <w:left w:val="single" w:sz="4" w:space="0" w:color="auto"/>
              <w:bottom w:val="single" w:sz="4" w:space="0" w:color="auto"/>
              <w:right w:val="single" w:sz="4" w:space="0" w:color="auto"/>
            </w:tcBorders>
          </w:tcPr>
          <w:p w:rsidR="00064B33" w14:paraId="6B355964" w14:textId="77777777">
            <w:pPr>
              <w:jc w:val="center"/>
              <w:rPr>
                <w:b/>
                <w:bCs/>
                <w:color w:val="000000"/>
                <w:u w:val="single"/>
              </w:rPr>
            </w:pPr>
            <w:r>
              <w:rPr>
                <w:b/>
                <w:bCs/>
                <w:color w:val="000000"/>
                <w:u w:val="single"/>
              </w:rPr>
              <w:t>Total Burden Cost</w:t>
            </w:r>
          </w:p>
        </w:tc>
      </w:tr>
      <w:tr w14:paraId="1C57FE85" w14:textId="77777777" w:rsidTr="350A649A">
        <w:tblPrEx>
          <w:tblW w:w="8680" w:type="dxa"/>
          <w:jc w:val="center"/>
          <w:tblCellMar>
            <w:top w:w="15" w:type="dxa"/>
            <w:bottom w:w="15" w:type="dxa"/>
          </w:tblCellMar>
          <w:tblLook w:val="04A0"/>
        </w:tblPrEx>
        <w:trPr>
          <w:trHeight w:val="39"/>
          <w:jc w:val="center"/>
        </w:trPr>
        <w:tc>
          <w:tcPr>
            <w:tcW w:w="1880" w:type="dxa"/>
            <w:tcBorders>
              <w:top w:val="single" w:sz="4" w:space="0" w:color="auto"/>
              <w:left w:val="single" w:sz="4" w:space="0" w:color="auto"/>
              <w:bottom w:val="single" w:sz="4" w:space="0" w:color="auto"/>
              <w:right w:val="single" w:sz="4" w:space="0" w:color="auto"/>
            </w:tcBorders>
            <w:noWrap/>
            <w:vAlign w:val="bottom"/>
            <w:hideMark/>
          </w:tcPr>
          <w:p w:rsidR="00064B33" w:rsidP="00064B33" w14:paraId="102C58AC" w14:textId="77777777">
            <w:pPr>
              <w:jc w:val="center"/>
              <w:rPr>
                <w:color w:val="000000"/>
              </w:rPr>
            </w:pPr>
            <w:r>
              <w:rPr>
                <w:color w:val="000000"/>
              </w:rPr>
              <w:t>350</w:t>
            </w:r>
          </w:p>
        </w:tc>
        <w:tc>
          <w:tcPr>
            <w:tcW w:w="2005" w:type="dxa"/>
            <w:tcBorders>
              <w:top w:val="single" w:sz="4" w:space="0" w:color="auto"/>
              <w:left w:val="single" w:sz="4" w:space="0" w:color="auto"/>
              <w:bottom w:val="single" w:sz="4" w:space="0" w:color="auto"/>
              <w:right w:val="single" w:sz="4" w:space="0" w:color="auto"/>
            </w:tcBorders>
            <w:noWrap/>
            <w:vAlign w:val="bottom"/>
            <w:hideMark/>
          </w:tcPr>
          <w:p w:rsidR="00064B33" w:rsidP="00064B33" w14:paraId="10528B24" w14:textId="77777777">
            <w:pPr>
              <w:jc w:val="center"/>
              <w:rPr>
                <w:color w:val="000000"/>
              </w:rPr>
            </w:pPr>
            <w:r>
              <w:rPr>
                <w:color w:val="000000"/>
              </w:rPr>
              <w:t>36,400</w:t>
            </w:r>
          </w:p>
        </w:tc>
        <w:tc>
          <w:tcPr>
            <w:tcW w:w="1611" w:type="dxa"/>
            <w:tcBorders>
              <w:top w:val="single" w:sz="4" w:space="0" w:color="auto"/>
              <w:left w:val="single" w:sz="4" w:space="0" w:color="auto"/>
              <w:bottom w:val="single" w:sz="4" w:space="0" w:color="auto"/>
              <w:right w:val="single" w:sz="4" w:space="0" w:color="auto"/>
            </w:tcBorders>
            <w:noWrap/>
            <w:vAlign w:val="bottom"/>
            <w:hideMark/>
          </w:tcPr>
          <w:p w:rsidR="00064B33" w:rsidP="00064B33" w14:paraId="49B09096" w14:textId="0A4011BC">
            <w:pPr>
              <w:jc w:val="center"/>
              <w:rPr>
                <w:color w:val="000000"/>
              </w:rPr>
            </w:pPr>
            <w:r w:rsidRPr="4E45B64F">
              <w:rPr>
                <w:color w:val="000000" w:themeColor="text1"/>
              </w:rPr>
              <w:t>1,21</w:t>
            </w:r>
            <w:r w:rsidRPr="4E45B64F" w:rsidR="5D05B0BB">
              <w:rPr>
                <w:color w:val="000000" w:themeColor="text1"/>
              </w:rPr>
              <w:t>4</w:t>
            </w:r>
          </w:p>
        </w:tc>
        <w:tc>
          <w:tcPr>
            <w:tcW w:w="1592" w:type="dxa"/>
            <w:tcBorders>
              <w:top w:val="single" w:sz="4" w:space="0" w:color="auto"/>
              <w:left w:val="single" w:sz="4" w:space="0" w:color="auto"/>
              <w:bottom w:val="single" w:sz="4" w:space="0" w:color="auto"/>
              <w:right w:val="single" w:sz="4" w:space="0" w:color="auto"/>
            </w:tcBorders>
            <w:noWrap/>
            <w:vAlign w:val="bottom"/>
            <w:hideMark/>
          </w:tcPr>
          <w:p w:rsidR="00064B33" w:rsidP="00064B33" w14:paraId="15A7A04A" w14:textId="3096608E">
            <w:pPr>
              <w:jc w:val="center"/>
              <w:rPr>
                <w:color w:val="000000"/>
              </w:rPr>
            </w:pPr>
            <w:r>
              <w:rPr>
                <w:color w:val="000000"/>
              </w:rPr>
              <w:t>$1</w:t>
            </w:r>
            <w:r w:rsidR="12625B18">
              <w:rPr>
                <w:color w:val="000000"/>
              </w:rPr>
              <w:t>17,656</w:t>
            </w:r>
          </w:p>
        </w:tc>
        <w:tc>
          <w:tcPr>
            <w:tcW w:w="1592" w:type="dxa"/>
            <w:tcBorders>
              <w:top w:val="single" w:sz="4" w:space="0" w:color="auto"/>
              <w:left w:val="single" w:sz="4" w:space="0" w:color="auto"/>
              <w:bottom w:val="single" w:sz="4" w:space="0" w:color="auto"/>
              <w:right w:val="single" w:sz="4" w:space="0" w:color="auto"/>
            </w:tcBorders>
            <w:vAlign w:val="bottom"/>
          </w:tcPr>
          <w:p w:rsidR="00064B33" w:rsidP="00064B33" w14:paraId="5ABCE988" w14:textId="77777777">
            <w:pPr>
              <w:jc w:val="center"/>
              <w:rPr>
                <w:color w:val="000000"/>
              </w:rPr>
            </w:pPr>
            <w:r>
              <w:rPr>
                <w:color w:val="000000"/>
              </w:rPr>
              <w:t>$0</w:t>
            </w:r>
          </w:p>
        </w:tc>
      </w:tr>
    </w:tbl>
    <w:p w:rsidR="00FD5650" w:rsidP="007E0739" w14:paraId="76CBEE4F" w14:textId="77777777"/>
    <w:p w:rsidR="00BA1EC5" w:rsidP="007E0739" w14:paraId="08823D2C" w14:textId="5D2D6C3A">
      <w:r w:rsidRPr="007E0739">
        <w:t>Based on</w:t>
      </w:r>
      <w:r w:rsidR="00FD5650">
        <w:t xml:space="preserve"> industry</w:t>
      </w:r>
      <w:r w:rsidRPr="007E0739">
        <w:t xml:space="preserve"> estimates, approximately 175 cargo tanks transport flammable cryogenic liquids</w:t>
      </w:r>
      <w:r w:rsidR="006F6EE1">
        <w:t>, making trips</w:t>
      </w:r>
      <w:r>
        <w:t xml:space="preserve"> twice a week, for a total of 104 annual trips</w:t>
      </w:r>
      <w:r w:rsidR="006F6EE1">
        <w:t xml:space="preserve"> per cargo tank</w:t>
      </w:r>
      <w:r>
        <w:t>.  Each time a cargo tank with flammable cryogenic liquid</w:t>
      </w:r>
      <w:r w:rsidR="00F84BBA">
        <w:t xml:space="preserve"> is transported</w:t>
      </w:r>
      <w:r>
        <w:t xml:space="preserve">, the </w:t>
      </w:r>
      <w:r w:rsidR="00F84BBA">
        <w:t xml:space="preserve">appropriate </w:t>
      </w:r>
      <w:r>
        <w:t xml:space="preserve">information </w:t>
      </w:r>
      <w:r w:rsidR="00F84BBA">
        <w:t>must be collected</w:t>
      </w:r>
      <w:r>
        <w:t xml:space="preserve">, for a total of 18,200 annual responses (175 </w:t>
      </w:r>
      <w:r w:rsidR="00F84BBA">
        <w:t>cargo tanks</w:t>
      </w:r>
      <w:r>
        <w:t xml:space="preserve"> x 104 </w:t>
      </w:r>
      <w:r w:rsidR="00F84BBA">
        <w:t>annual trips</w:t>
      </w:r>
      <w:r>
        <w:t xml:space="preserve">).  </w:t>
      </w:r>
      <w:r w:rsidR="0063625C">
        <w:t xml:space="preserve">Based on historical stakeholder feedback, </w:t>
      </w:r>
      <w:r w:rsidR="00F84BBA">
        <w:t>PHMSA</w:t>
      </w:r>
      <w:r>
        <w:t xml:space="preserve"> estimate</w:t>
      </w:r>
      <w:r w:rsidR="00F84BBA">
        <w:t xml:space="preserve">s it </w:t>
      </w:r>
      <w:r>
        <w:t>take</w:t>
      </w:r>
      <w:r w:rsidR="00F84BBA">
        <w:t>s</w:t>
      </w:r>
      <w:r>
        <w:t xml:space="preserve"> approximately 3.5 minutes</w:t>
      </w:r>
      <w:r w:rsidR="006F6EE1">
        <w:t xml:space="preserve"> per response</w:t>
      </w:r>
      <w:r>
        <w:t xml:space="preserve"> to record all required information, for a total of</w:t>
      </w:r>
      <w:r w:rsidR="0014122B">
        <w:t xml:space="preserve"> 1,06</w:t>
      </w:r>
      <w:r w:rsidR="001F5B9A">
        <w:t>2</w:t>
      </w:r>
      <w:r>
        <w:t xml:space="preserve"> annual burden hours (18,200</w:t>
      </w:r>
      <w:r w:rsidR="001F5B9A">
        <w:t> </w:t>
      </w:r>
      <w:r>
        <w:t>responses x 3.5 minutes).  It is estimated to cost $</w:t>
      </w:r>
      <w:r w:rsidR="3418D492">
        <w:t>96.97</w:t>
      </w:r>
      <w:r>
        <w:rPr>
          <w:rStyle w:val="FootnoteReference"/>
        </w:rPr>
        <w:footnoteReference w:id="3"/>
      </w:r>
      <w:r w:rsidR="00D61F27">
        <w:t xml:space="preserve"> </w:t>
      </w:r>
      <w:r w:rsidR="00F84BBA">
        <w:t xml:space="preserve">per hour </w:t>
      </w:r>
      <w:r>
        <w:t xml:space="preserve">in salary cost for a </w:t>
      </w:r>
      <w:r>
        <w:t>total of $</w:t>
      </w:r>
      <w:r w:rsidR="56296EF5">
        <w:t xml:space="preserve">102,949 </w:t>
      </w:r>
      <w:r>
        <w:t>in annual salary cost</w:t>
      </w:r>
      <w:r w:rsidR="00F84BBA">
        <w:t xml:space="preserve"> (1,061.67 burden hours x $</w:t>
      </w:r>
      <w:r w:rsidR="05FE54DE">
        <w:t>96.97</w:t>
      </w:r>
      <w:r w:rsidR="00F84BBA">
        <w:t>)</w:t>
      </w:r>
      <w:r>
        <w:t>.</w:t>
      </w:r>
      <w:r w:rsidR="001F5B9A">
        <w:t xml:space="preserve">  PHMSA does not estimate any out-of-pocket expenses.</w:t>
      </w:r>
    </w:p>
    <w:p w:rsidR="00BA1EC5" w:rsidP="007E0739" w14:paraId="077166D4" w14:textId="77777777"/>
    <w:tbl>
      <w:tblPr>
        <w:tblW w:w="10985" w:type="dxa"/>
        <w:jc w:val="center"/>
        <w:tblLayout w:type="fixed"/>
        <w:tblCellMar>
          <w:top w:w="15" w:type="dxa"/>
          <w:bottom w:w="15" w:type="dxa"/>
        </w:tblCellMar>
        <w:tblLook w:val="04A0"/>
      </w:tblPr>
      <w:tblGrid>
        <w:gridCol w:w="2430"/>
        <w:gridCol w:w="1355"/>
        <w:gridCol w:w="1075"/>
        <w:gridCol w:w="1175"/>
        <w:gridCol w:w="1080"/>
        <w:gridCol w:w="900"/>
        <w:gridCol w:w="990"/>
        <w:gridCol w:w="990"/>
        <w:gridCol w:w="990"/>
      </w:tblGrid>
      <w:tr w14:paraId="3D46CA1E" w14:textId="77777777" w:rsidTr="350A649A">
        <w:tblPrEx>
          <w:tblW w:w="10985" w:type="dxa"/>
          <w:jc w:val="center"/>
          <w:tblLayout w:type="fixed"/>
          <w:tblCellMar>
            <w:top w:w="15" w:type="dxa"/>
            <w:bottom w:w="15" w:type="dxa"/>
          </w:tblCellMar>
          <w:tblLook w:val="04A0"/>
        </w:tblPrEx>
        <w:trPr>
          <w:trHeight w:val="281"/>
          <w:jc w:val="center"/>
        </w:trPr>
        <w:tc>
          <w:tcPr>
            <w:tcW w:w="2430" w:type="dxa"/>
            <w:tcBorders>
              <w:top w:val="single" w:sz="4" w:space="0" w:color="auto"/>
              <w:left w:val="single" w:sz="4" w:space="0" w:color="auto"/>
              <w:bottom w:val="single" w:sz="4" w:space="0" w:color="auto"/>
              <w:right w:val="single" w:sz="4" w:space="0" w:color="auto"/>
            </w:tcBorders>
            <w:vAlign w:val="bottom"/>
          </w:tcPr>
          <w:p w:rsidR="001F5B9A" w:rsidRPr="00064B33" w:rsidP="00064B33" w14:paraId="24827C14" w14:textId="77777777">
            <w:pPr>
              <w:rPr>
                <w:b/>
                <w:color w:val="000000"/>
                <w:sz w:val="20"/>
                <w:szCs w:val="20"/>
              </w:rPr>
            </w:pPr>
            <w:r w:rsidRPr="00064B33">
              <w:rPr>
                <w:b/>
                <w:color w:val="000000"/>
                <w:sz w:val="20"/>
                <w:szCs w:val="20"/>
              </w:rPr>
              <w:t>Flammable Cryogenic Liquids - §§ 173.318, 177.816, 177.840, 180.415</w:t>
            </w:r>
          </w:p>
        </w:tc>
        <w:tc>
          <w:tcPr>
            <w:tcW w:w="1355" w:type="dxa"/>
            <w:tcBorders>
              <w:top w:val="single" w:sz="4" w:space="0" w:color="auto"/>
              <w:left w:val="single" w:sz="4" w:space="0" w:color="auto"/>
              <w:bottom w:val="single" w:sz="4" w:space="0" w:color="auto"/>
              <w:right w:val="single" w:sz="4" w:space="0" w:color="auto"/>
            </w:tcBorders>
            <w:vAlign w:val="bottom"/>
            <w:hideMark/>
          </w:tcPr>
          <w:p w:rsidR="001F5B9A" w:rsidRPr="001F5B9A" w14:paraId="3CDED36C" w14:textId="77777777">
            <w:pPr>
              <w:jc w:val="center"/>
              <w:rPr>
                <w:b/>
                <w:color w:val="000000"/>
                <w:sz w:val="20"/>
                <w:szCs w:val="20"/>
              </w:rPr>
            </w:pPr>
            <w:r w:rsidRPr="001F5B9A">
              <w:rPr>
                <w:b/>
                <w:color w:val="000000"/>
                <w:sz w:val="20"/>
                <w:szCs w:val="20"/>
              </w:rPr>
              <w:t>Number of Respondents</w:t>
            </w:r>
          </w:p>
        </w:tc>
        <w:tc>
          <w:tcPr>
            <w:tcW w:w="1075" w:type="dxa"/>
            <w:tcBorders>
              <w:top w:val="single" w:sz="4" w:space="0" w:color="auto"/>
              <w:left w:val="single" w:sz="4" w:space="0" w:color="auto"/>
              <w:bottom w:val="single" w:sz="4" w:space="0" w:color="auto"/>
              <w:right w:val="single" w:sz="4" w:space="0" w:color="auto"/>
            </w:tcBorders>
            <w:vAlign w:val="bottom"/>
            <w:hideMark/>
          </w:tcPr>
          <w:p w:rsidR="001F5B9A" w:rsidRPr="001F5B9A" w14:paraId="4B61AD00" w14:textId="77777777">
            <w:pPr>
              <w:jc w:val="center"/>
              <w:rPr>
                <w:b/>
                <w:color w:val="000000"/>
                <w:sz w:val="20"/>
                <w:szCs w:val="20"/>
              </w:rPr>
            </w:pPr>
            <w:r w:rsidRPr="001F5B9A">
              <w:rPr>
                <w:b/>
                <w:color w:val="000000"/>
                <w:sz w:val="20"/>
                <w:szCs w:val="20"/>
              </w:rPr>
              <w:t>Response per Carrier</w:t>
            </w:r>
          </w:p>
        </w:tc>
        <w:tc>
          <w:tcPr>
            <w:tcW w:w="1175" w:type="dxa"/>
            <w:tcBorders>
              <w:top w:val="single" w:sz="4" w:space="0" w:color="auto"/>
              <w:left w:val="single" w:sz="4" w:space="0" w:color="auto"/>
              <w:bottom w:val="single" w:sz="4" w:space="0" w:color="auto"/>
              <w:right w:val="single" w:sz="4" w:space="0" w:color="auto"/>
            </w:tcBorders>
            <w:vAlign w:val="bottom"/>
            <w:hideMark/>
          </w:tcPr>
          <w:p w:rsidR="001F5B9A" w:rsidRPr="001F5B9A" w14:paraId="7D36BFE0" w14:textId="77777777">
            <w:pPr>
              <w:jc w:val="center"/>
              <w:rPr>
                <w:b/>
                <w:color w:val="000000"/>
                <w:sz w:val="20"/>
                <w:szCs w:val="20"/>
              </w:rPr>
            </w:pPr>
            <w:r w:rsidRPr="001F5B9A">
              <w:rPr>
                <w:b/>
                <w:color w:val="000000"/>
                <w:sz w:val="20"/>
                <w:szCs w:val="20"/>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1F5B9A" w:rsidRPr="001F5B9A" w14:paraId="386BDD47" w14:textId="77777777">
            <w:pPr>
              <w:jc w:val="center"/>
              <w:rPr>
                <w:b/>
                <w:color w:val="000000"/>
                <w:sz w:val="20"/>
                <w:szCs w:val="20"/>
              </w:rPr>
            </w:pPr>
            <w:r w:rsidRPr="001F5B9A">
              <w:rPr>
                <w:b/>
                <w:color w:val="000000"/>
                <w:sz w:val="20"/>
                <w:szCs w:val="20"/>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1F5B9A" w:rsidRPr="001F5B9A" w14:paraId="1D14ABA9" w14:textId="77777777">
            <w:pPr>
              <w:jc w:val="center"/>
              <w:rPr>
                <w:b/>
                <w:color w:val="000000"/>
                <w:sz w:val="20"/>
                <w:szCs w:val="20"/>
              </w:rPr>
            </w:pPr>
            <w:r w:rsidRPr="001F5B9A">
              <w:rPr>
                <w:b/>
                <w:color w:val="000000"/>
                <w:sz w:val="20"/>
                <w:szCs w:val="20"/>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1F5B9A" w:rsidRPr="001F5B9A" w14:paraId="3D0A3515" w14:textId="77777777">
            <w:pPr>
              <w:jc w:val="center"/>
              <w:rPr>
                <w:b/>
                <w:color w:val="000000"/>
                <w:sz w:val="20"/>
                <w:szCs w:val="20"/>
              </w:rPr>
            </w:pPr>
            <w:r w:rsidRPr="001F5B9A">
              <w:rPr>
                <w:b/>
                <w:color w:val="000000"/>
                <w:sz w:val="20"/>
                <w:szCs w:val="20"/>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rsidR="001F5B9A" w:rsidRPr="001F5B9A" w14:paraId="4BA3336E" w14:textId="77777777">
            <w:pPr>
              <w:jc w:val="center"/>
              <w:rPr>
                <w:b/>
                <w:color w:val="000000"/>
                <w:sz w:val="20"/>
                <w:szCs w:val="20"/>
              </w:rPr>
            </w:pPr>
            <w:r w:rsidRPr="001F5B9A">
              <w:rPr>
                <w:b/>
                <w:color w:val="000000"/>
                <w:sz w:val="20"/>
                <w:szCs w:val="20"/>
              </w:rPr>
              <w:t>Total Salary Cost</w:t>
            </w:r>
          </w:p>
        </w:tc>
        <w:tc>
          <w:tcPr>
            <w:tcW w:w="990" w:type="dxa"/>
            <w:tcBorders>
              <w:top w:val="single" w:sz="4" w:space="0" w:color="auto"/>
              <w:left w:val="single" w:sz="4" w:space="0" w:color="auto"/>
              <w:bottom w:val="single" w:sz="4" w:space="0" w:color="auto"/>
              <w:right w:val="single" w:sz="4" w:space="0" w:color="auto"/>
            </w:tcBorders>
            <w:vAlign w:val="bottom"/>
          </w:tcPr>
          <w:p w:rsidR="001F5B9A" w:rsidRPr="001F5B9A" w:rsidP="001F5B9A" w14:paraId="4EF8E3C5" w14:textId="77777777">
            <w:pPr>
              <w:jc w:val="center"/>
              <w:rPr>
                <w:b/>
                <w:color w:val="000000"/>
                <w:sz w:val="20"/>
                <w:szCs w:val="20"/>
              </w:rPr>
            </w:pPr>
            <w:r>
              <w:rPr>
                <w:b/>
                <w:color w:val="000000"/>
                <w:sz w:val="20"/>
                <w:szCs w:val="20"/>
              </w:rPr>
              <w:t>Total Burden Cost</w:t>
            </w:r>
          </w:p>
        </w:tc>
      </w:tr>
      <w:tr w14:paraId="4511057D" w14:textId="77777777" w:rsidTr="350A649A">
        <w:tblPrEx>
          <w:tblW w:w="10985" w:type="dxa"/>
          <w:jc w:val="center"/>
          <w:tblLayout w:type="fixed"/>
          <w:tblCellMar>
            <w:top w:w="15" w:type="dxa"/>
            <w:bottom w:w="15" w:type="dxa"/>
          </w:tblCellMar>
          <w:tblLook w:val="04A0"/>
        </w:tblPrEx>
        <w:trPr>
          <w:trHeight w:val="39"/>
          <w:jc w:val="center"/>
        </w:trPr>
        <w:tc>
          <w:tcPr>
            <w:tcW w:w="2430" w:type="dxa"/>
            <w:tcBorders>
              <w:top w:val="single" w:sz="4" w:space="0" w:color="auto"/>
              <w:left w:val="single" w:sz="4" w:space="0" w:color="auto"/>
              <w:bottom w:val="single" w:sz="4" w:space="0" w:color="auto"/>
              <w:right w:val="single" w:sz="4" w:space="0" w:color="auto"/>
            </w:tcBorders>
            <w:vAlign w:val="bottom"/>
          </w:tcPr>
          <w:p w:rsidR="001F5B9A" w:rsidRPr="00B25611" w:rsidP="00B25611" w14:paraId="5FC4BAA9" w14:textId="77777777">
            <w:pPr>
              <w:rPr>
                <w:color w:val="000000"/>
                <w:sz w:val="20"/>
                <w:szCs w:val="20"/>
              </w:rPr>
            </w:pPr>
            <w:r>
              <w:rPr>
                <w:color w:val="000000"/>
                <w:sz w:val="20"/>
                <w:szCs w:val="20"/>
              </w:rPr>
              <w:t>Reporting</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1F5B9A" w:rsidRPr="00BA1EC5" w14:paraId="1939D677" w14:textId="77777777">
            <w:pPr>
              <w:jc w:val="right"/>
              <w:rPr>
                <w:color w:val="000000"/>
                <w:sz w:val="20"/>
                <w:szCs w:val="20"/>
              </w:rPr>
            </w:pPr>
            <w:r w:rsidRPr="00BA1EC5">
              <w:rPr>
                <w:color w:val="000000"/>
                <w:sz w:val="20"/>
                <w:szCs w:val="20"/>
              </w:rPr>
              <w:t>175</w:t>
            </w:r>
          </w:p>
        </w:tc>
        <w:tc>
          <w:tcPr>
            <w:tcW w:w="1075" w:type="dxa"/>
            <w:tcBorders>
              <w:top w:val="single" w:sz="4" w:space="0" w:color="auto"/>
              <w:left w:val="single" w:sz="4" w:space="0" w:color="auto"/>
              <w:bottom w:val="single" w:sz="4" w:space="0" w:color="auto"/>
              <w:right w:val="single" w:sz="4" w:space="0" w:color="auto"/>
            </w:tcBorders>
            <w:noWrap/>
            <w:vAlign w:val="bottom"/>
            <w:hideMark/>
          </w:tcPr>
          <w:p w:rsidR="001F5B9A" w:rsidRPr="00BA1EC5" w14:paraId="5AE54A60" w14:textId="77777777">
            <w:pPr>
              <w:jc w:val="right"/>
              <w:rPr>
                <w:color w:val="000000"/>
                <w:sz w:val="20"/>
                <w:szCs w:val="20"/>
              </w:rPr>
            </w:pPr>
            <w:r w:rsidRPr="00BA1EC5">
              <w:rPr>
                <w:color w:val="000000"/>
                <w:sz w:val="20"/>
                <w:szCs w:val="20"/>
              </w:rPr>
              <w:t>104</w:t>
            </w:r>
          </w:p>
        </w:tc>
        <w:tc>
          <w:tcPr>
            <w:tcW w:w="1175" w:type="dxa"/>
            <w:tcBorders>
              <w:top w:val="single" w:sz="4" w:space="0" w:color="auto"/>
              <w:left w:val="single" w:sz="4" w:space="0" w:color="auto"/>
              <w:bottom w:val="single" w:sz="4" w:space="0" w:color="auto"/>
              <w:right w:val="single" w:sz="4" w:space="0" w:color="auto"/>
            </w:tcBorders>
            <w:noWrap/>
            <w:vAlign w:val="bottom"/>
            <w:hideMark/>
          </w:tcPr>
          <w:p w:rsidR="001F5B9A" w:rsidRPr="00BA1EC5" w14:paraId="29633917" w14:textId="77777777">
            <w:pPr>
              <w:jc w:val="right"/>
              <w:rPr>
                <w:color w:val="000000"/>
                <w:sz w:val="20"/>
                <w:szCs w:val="20"/>
              </w:rPr>
            </w:pPr>
            <w:r w:rsidRPr="00BA1EC5">
              <w:rPr>
                <w:color w:val="000000"/>
                <w:sz w:val="20"/>
                <w:szCs w:val="20"/>
              </w:rPr>
              <w:t>18</w:t>
            </w:r>
            <w:r>
              <w:rPr>
                <w:color w:val="000000"/>
                <w:sz w:val="20"/>
                <w:szCs w:val="20"/>
              </w:rPr>
              <w:t>,</w:t>
            </w:r>
            <w:r w:rsidRPr="00BA1EC5">
              <w:rPr>
                <w:color w:val="000000"/>
                <w:sz w:val="20"/>
                <w:szCs w:val="20"/>
              </w:rPr>
              <w:t>200</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F5B9A" w:rsidRPr="00BA1EC5" w14:paraId="5E91F6A1" w14:textId="77777777">
            <w:pPr>
              <w:jc w:val="right"/>
              <w:rPr>
                <w:color w:val="000000"/>
                <w:sz w:val="20"/>
                <w:szCs w:val="20"/>
              </w:rPr>
            </w:pPr>
            <w:r w:rsidRPr="00BA1EC5">
              <w:rPr>
                <w:color w:val="000000"/>
                <w:sz w:val="20"/>
                <w:szCs w:val="20"/>
              </w:rPr>
              <w:t>3.5</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1F5B9A" w:rsidRPr="00BA1EC5" w14:paraId="20AF5F13" w14:textId="77777777">
            <w:pPr>
              <w:jc w:val="right"/>
              <w:rPr>
                <w:color w:val="000000"/>
                <w:sz w:val="20"/>
                <w:szCs w:val="20"/>
              </w:rPr>
            </w:pPr>
            <w:r w:rsidRPr="00BA1EC5">
              <w:rPr>
                <w:color w:val="000000"/>
                <w:sz w:val="20"/>
                <w:szCs w:val="20"/>
              </w:rPr>
              <w:t>1</w:t>
            </w:r>
            <w:r>
              <w:rPr>
                <w:color w:val="000000"/>
                <w:sz w:val="20"/>
                <w:szCs w:val="20"/>
              </w:rPr>
              <w:t>,</w:t>
            </w:r>
            <w:r w:rsidRPr="00BA1EC5">
              <w:rPr>
                <w:color w:val="000000"/>
                <w:sz w:val="20"/>
                <w:szCs w:val="20"/>
              </w:rPr>
              <w:t>06</w:t>
            </w:r>
            <w:r>
              <w:rPr>
                <w:color w:val="000000"/>
                <w:sz w:val="20"/>
                <w:szCs w:val="20"/>
              </w:rPr>
              <w:t>2</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1F5B9A" w:rsidRPr="00BA1EC5" w14:paraId="02DF148D" w14:textId="776D917C">
            <w:pPr>
              <w:jc w:val="right"/>
              <w:rPr>
                <w:color w:val="000000"/>
                <w:sz w:val="20"/>
                <w:szCs w:val="20"/>
              </w:rPr>
            </w:pPr>
            <w:r>
              <w:rPr>
                <w:color w:val="000000"/>
                <w:sz w:val="20"/>
                <w:szCs w:val="20"/>
              </w:rPr>
              <w:t>$</w:t>
            </w:r>
            <w:r w:rsidR="44F7CC89">
              <w:rPr>
                <w:color w:val="000000"/>
                <w:sz w:val="20"/>
                <w:szCs w:val="20"/>
              </w:rPr>
              <w:t>96.97</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1F5B9A" w:rsidP="350A649A" w14:paraId="432424FD" w14:textId="3F299A09">
            <w:pPr>
              <w:spacing w:line="259" w:lineRule="auto"/>
              <w:jc w:val="right"/>
              <w:rPr>
                <w:color w:val="000000"/>
                <w:sz w:val="20"/>
                <w:szCs w:val="20"/>
              </w:rPr>
            </w:pPr>
            <w:r>
              <w:rPr>
                <w:color w:val="000000"/>
                <w:sz w:val="20"/>
                <w:szCs w:val="20"/>
              </w:rPr>
              <w:t>$</w:t>
            </w:r>
            <w:r w:rsidR="025A004B">
              <w:rPr>
                <w:color w:val="000000"/>
                <w:sz w:val="20"/>
                <w:szCs w:val="20"/>
              </w:rPr>
              <w:t>102,949</w:t>
            </w:r>
          </w:p>
        </w:tc>
        <w:tc>
          <w:tcPr>
            <w:tcW w:w="990" w:type="dxa"/>
            <w:tcBorders>
              <w:top w:val="single" w:sz="4" w:space="0" w:color="auto"/>
              <w:left w:val="single" w:sz="4" w:space="0" w:color="auto"/>
              <w:bottom w:val="single" w:sz="4" w:space="0" w:color="auto"/>
              <w:right w:val="single" w:sz="4" w:space="0" w:color="auto"/>
            </w:tcBorders>
          </w:tcPr>
          <w:p w:rsidR="001F5B9A" w:rsidRPr="00BA1EC5" w14:paraId="5CABC77E" w14:textId="77777777">
            <w:pPr>
              <w:jc w:val="right"/>
              <w:rPr>
                <w:color w:val="000000"/>
                <w:sz w:val="20"/>
                <w:szCs w:val="20"/>
              </w:rPr>
            </w:pPr>
            <w:r>
              <w:rPr>
                <w:color w:val="000000"/>
                <w:sz w:val="20"/>
                <w:szCs w:val="20"/>
              </w:rPr>
              <w:t>$0</w:t>
            </w:r>
          </w:p>
        </w:tc>
      </w:tr>
    </w:tbl>
    <w:p w:rsidR="00BA1EC5" w:rsidP="007E0739" w14:paraId="390C68A6" w14:textId="77777777"/>
    <w:p w:rsidR="00E111E4" w:rsidP="007E0739" w14:paraId="2C1772C9" w14:textId="79B235DB">
      <w:r>
        <w:t>To</w:t>
      </w:r>
      <w:r w:rsidR="00BA1EC5">
        <w:t xml:space="preserve"> ensure the safe transportation of cryogenic flammable liquids, each </w:t>
      </w:r>
      <w:r w:rsidR="00F84BBA">
        <w:t>driver</w:t>
      </w:r>
      <w:r w:rsidR="00BA1EC5">
        <w:t xml:space="preserve"> must be provided with the information recorded from the previous trip.  Therefore, there is an estimated 18,200</w:t>
      </w:r>
      <w:r w:rsidR="001F5B9A">
        <w:t> </w:t>
      </w:r>
      <w:r w:rsidR="00BA1EC5">
        <w:t>response</w:t>
      </w:r>
      <w:r w:rsidR="0014122B">
        <w:t>s</w:t>
      </w:r>
      <w:r w:rsidR="00BA1EC5">
        <w:t xml:space="preserve"> for this recordkeeping requirement</w:t>
      </w:r>
      <w:r w:rsidR="0014122B">
        <w:t xml:space="preserve"> (175 cargo tanks x 104 annual trips)</w:t>
      </w:r>
      <w:r w:rsidR="00BA1EC5">
        <w:t xml:space="preserve">.  </w:t>
      </w:r>
      <w:r w:rsidR="00AC2E13">
        <w:t>Based on historical stakeholder feedback, e</w:t>
      </w:r>
      <w:r w:rsidR="00BA1EC5">
        <w:t>ach response is estimated to take approximately 30 seconds per response</w:t>
      </w:r>
      <w:r w:rsidR="001F5B9A">
        <w:t>,</w:t>
      </w:r>
      <w:r w:rsidR="00BA1EC5">
        <w:t xml:space="preserve"> for a total of </w:t>
      </w:r>
      <w:r w:rsidR="0014122B">
        <w:t>15</w:t>
      </w:r>
      <w:r w:rsidR="001F5B9A">
        <w:t>2</w:t>
      </w:r>
      <w:r w:rsidR="00BA1EC5">
        <w:t xml:space="preserve"> annual burden hours (18,200 responses x 30 seconds).</w:t>
      </w:r>
      <w:r w:rsidR="00317410">
        <w:t xml:space="preserve">  </w:t>
      </w:r>
      <w:r w:rsidR="007B2EEB">
        <w:t xml:space="preserve">Clerical salary </w:t>
      </w:r>
      <w:r w:rsidR="00317410">
        <w:t>is estimated to cost $</w:t>
      </w:r>
      <w:r w:rsidR="23AF57BE">
        <w:t>96.97</w:t>
      </w:r>
      <w:r>
        <w:rPr>
          <w:rStyle w:val="FootnoteReference"/>
        </w:rPr>
        <w:footnoteReference w:id="4"/>
      </w:r>
      <w:r w:rsidR="006D35AB">
        <w:t xml:space="preserve"> </w:t>
      </w:r>
      <w:r w:rsidR="00317410">
        <w:t>per hour for a total of $</w:t>
      </w:r>
      <w:r w:rsidR="001F5B9A">
        <w:t>13,503</w:t>
      </w:r>
      <w:r w:rsidR="00317410">
        <w:t xml:space="preserve"> in total salary cost</w:t>
      </w:r>
      <w:r w:rsidR="0014122B">
        <w:t xml:space="preserve"> (15</w:t>
      </w:r>
      <w:r w:rsidR="001F5B9A">
        <w:t>2</w:t>
      </w:r>
      <w:r w:rsidR="0014122B">
        <w:t xml:space="preserve"> burden hours x $</w:t>
      </w:r>
      <w:r w:rsidR="1CE4C1F7">
        <w:t>96.97</w:t>
      </w:r>
      <w:r w:rsidR="0014122B">
        <w:t>)</w:t>
      </w:r>
      <w:r w:rsidR="00317410">
        <w:t>.</w:t>
      </w:r>
      <w:r w:rsidR="001F5B9A">
        <w:t xml:space="preserve">  PHMSA does note estimate any out-of-pocket expenses.</w:t>
      </w:r>
      <w:r w:rsidR="00317410">
        <w:t xml:space="preserve">  </w:t>
      </w:r>
    </w:p>
    <w:p w:rsidR="00BA1EC5" w:rsidP="007E0739" w14:paraId="1A9B51A1" w14:textId="77777777"/>
    <w:tbl>
      <w:tblPr>
        <w:tblW w:w="10731" w:type="dxa"/>
        <w:jc w:val="center"/>
        <w:tblLayout w:type="fixed"/>
        <w:tblCellMar>
          <w:top w:w="15" w:type="dxa"/>
          <w:bottom w:w="15" w:type="dxa"/>
        </w:tblCellMar>
        <w:tblLook w:val="04A0"/>
      </w:tblPr>
      <w:tblGrid>
        <w:gridCol w:w="2233"/>
        <w:gridCol w:w="1388"/>
        <w:gridCol w:w="1080"/>
        <w:gridCol w:w="1170"/>
        <w:gridCol w:w="1080"/>
        <w:gridCol w:w="990"/>
        <w:gridCol w:w="990"/>
        <w:gridCol w:w="900"/>
        <w:gridCol w:w="900"/>
      </w:tblGrid>
      <w:tr w14:paraId="79DD341D" w14:textId="77777777" w:rsidTr="350A649A">
        <w:tblPrEx>
          <w:tblW w:w="10731" w:type="dxa"/>
          <w:jc w:val="center"/>
          <w:tblLayout w:type="fixed"/>
          <w:tblCellMar>
            <w:top w:w="15" w:type="dxa"/>
            <w:bottom w:w="15" w:type="dxa"/>
          </w:tblCellMar>
          <w:tblLook w:val="04A0"/>
        </w:tblPrEx>
        <w:trPr>
          <w:trHeight w:val="525"/>
          <w:jc w:val="center"/>
        </w:trPr>
        <w:tc>
          <w:tcPr>
            <w:tcW w:w="2233" w:type="dxa"/>
            <w:tcBorders>
              <w:top w:val="single" w:sz="4" w:space="0" w:color="auto"/>
              <w:left w:val="single" w:sz="4" w:space="0" w:color="auto"/>
              <w:bottom w:val="single" w:sz="4" w:space="0" w:color="auto"/>
              <w:right w:val="single" w:sz="4" w:space="0" w:color="auto"/>
            </w:tcBorders>
            <w:vAlign w:val="bottom"/>
          </w:tcPr>
          <w:p w:rsidR="001F5B9A" w:rsidP="001F5B9A" w14:paraId="53974156" w14:textId="77777777">
            <w:pPr>
              <w:rPr>
                <w:bCs/>
                <w:color w:val="000000"/>
                <w:sz w:val="20"/>
                <w:szCs w:val="20"/>
                <w:u w:val="single"/>
              </w:rPr>
            </w:pPr>
            <w:r w:rsidRPr="00064B33">
              <w:rPr>
                <w:b/>
                <w:color w:val="000000"/>
                <w:sz w:val="20"/>
                <w:szCs w:val="20"/>
              </w:rPr>
              <w:t>Flammable Cryogenic Liquids - § 173.318</w:t>
            </w:r>
          </w:p>
        </w:tc>
        <w:tc>
          <w:tcPr>
            <w:tcW w:w="1388" w:type="dxa"/>
            <w:tcBorders>
              <w:top w:val="single" w:sz="4" w:space="0" w:color="auto"/>
              <w:left w:val="single" w:sz="4" w:space="0" w:color="auto"/>
              <w:bottom w:val="single" w:sz="4" w:space="0" w:color="auto"/>
              <w:right w:val="single" w:sz="4" w:space="0" w:color="auto"/>
            </w:tcBorders>
            <w:vAlign w:val="bottom"/>
            <w:hideMark/>
          </w:tcPr>
          <w:p w:rsidR="001F5B9A" w:rsidRPr="001F5B9A" w:rsidP="001F5B9A" w14:paraId="6CB274C1" w14:textId="77777777">
            <w:pPr>
              <w:jc w:val="center"/>
              <w:rPr>
                <w:b/>
                <w:color w:val="000000"/>
                <w:sz w:val="20"/>
                <w:szCs w:val="20"/>
              </w:rPr>
            </w:pPr>
            <w:r w:rsidRPr="001F5B9A">
              <w:rPr>
                <w:b/>
                <w:color w:val="000000"/>
                <w:sz w:val="20"/>
                <w:szCs w:val="20"/>
              </w:rPr>
              <w:t>Number of Respondents</w:t>
            </w:r>
          </w:p>
        </w:tc>
        <w:tc>
          <w:tcPr>
            <w:tcW w:w="1080" w:type="dxa"/>
            <w:tcBorders>
              <w:top w:val="single" w:sz="4" w:space="0" w:color="auto"/>
              <w:left w:val="single" w:sz="4" w:space="0" w:color="auto"/>
              <w:bottom w:val="single" w:sz="4" w:space="0" w:color="auto"/>
              <w:right w:val="single" w:sz="4" w:space="0" w:color="auto"/>
            </w:tcBorders>
            <w:vAlign w:val="bottom"/>
            <w:hideMark/>
          </w:tcPr>
          <w:p w:rsidR="001F5B9A" w:rsidRPr="001F5B9A" w:rsidP="001F5B9A" w14:paraId="1535FB44" w14:textId="77777777">
            <w:pPr>
              <w:jc w:val="center"/>
              <w:rPr>
                <w:b/>
                <w:color w:val="000000"/>
                <w:sz w:val="20"/>
                <w:szCs w:val="20"/>
              </w:rPr>
            </w:pPr>
            <w:r w:rsidRPr="001F5B9A">
              <w:rPr>
                <w:b/>
                <w:color w:val="000000"/>
                <w:sz w:val="20"/>
                <w:szCs w:val="20"/>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1F5B9A" w:rsidRPr="001F5B9A" w:rsidP="001F5B9A" w14:paraId="52F50996" w14:textId="77777777">
            <w:pPr>
              <w:jc w:val="center"/>
              <w:rPr>
                <w:b/>
                <w:color w:val="000000"/>
                <w:sz w:val="20"/>
                <w:szCs w:val="20"/>
              </w:rPr>
            </w:pPr>
            <w:r w:rsidRPr="001F5B9A">
              <w:rPr>
                <w:b/>
                <w:color w:val="000000"/>
                <w:sz w:val="20"/>
                <w:szCs w:val="20"/>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1F5B9A" w:rsidRPr="001F5B9A" w:rsidP="001F5B9A" w14:paraId="1D7DADF0" w14:textId="77777777">
            <w:pPr>
              <w:jc w:val="center"/>
              <w:rPr>
                <w:b/>
                <w:color w:val="000000"/>
                <w:sz w:val="20"/>
                <w:szCs w:val="20"/>
              </w:rPr>
            </w:pPr>
            <w:r w:rsidRPr="001F5B9A">
              <w:rPr>
                <w:b/>
                <w:color w:val="000000"/>
                <w:sz w:val="20"/>
                <w:szCs w:val="20"/>
              </w:rPr>
              <w:t>Seconds per Response</w:t>
            </w:r>
          </w:p>
        </w:tc>
        <w:tc>
          <w:tcPr>
            <w:tcW w:w="990" w:type="dxa"/>
            <w:tcBorders>
              <w:top w:val="single" w:sz="4" w:space="0" w:color="auto"/>
              <w:left w:val="single" w:sz="4" w:space="0" w:color="auto"/>
              <w:bottom w:val="single" w:sz="4" w:space="0" w:color="auto"/>
              <w:right w:val="single" w:sz="4" w:space="0" w:color="auto"/>
            </w:tcBorders>
            <w:vAlign w:val="bottom"/>
            <w:hideMark/>
          </w:tcPr>
          <w:p w:rsidR="001F5B9A" w:rsidRPr="001F5B9A" w:rsidP="001F5B9A" w14:paraId="79869FFC" w14:textId="77777777">
            <w:pPr>
              <w:jc w:val="center"/>
              <w:rPr>
                <w:b/>
                <w:color w:val="000000"/>
                <w:sz w:val="20"/>
                <w:szCs w:val="20"/>
              </w:rPr>
            </w:pPr>
            <w:r w:rsidRPr="001F5B9A">
              <w:rPr>
                <w:b/>
                <w:color w:val="000000"/>
                <w:sz w:val="20"/>
                <w:szCs w:val="20"/>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1F5B9A" w:rsidRPr="001F5B9A" w:rsidP="001F5B9A" w14:paraId="3CB4718C" w14:textId="77777777">
            <w:pPr>
              <w:jc w:val="center"/>
              <w:rPr>
                <w:b/>
                <w:color w:val="000000"/>
                <w:sz w:val="20"/>
                <w:szCs w:val="20"/>
              </w:rPr>
            </w:pPr>
            <w:r w:rsidRPr="001F5B9A">
              <w:rPr>
                <w:b/>
                <w:color w:val="000000"/>
                <w:sz w:val="20"/>
                <w:szCs w:val="20"/>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1F5B9A" w:rsidRPr="001F5B9A" w:rsidP="001F5B9A" w14:paraId="7174CA05" w14:textId="77777777">
            <w:pPr>
              <w:jc w:val="center"/>
              <w:rPr>
                <w:b/>
                <w:color w:val="000000"/>
                <w:sz w:val="20"/>
                <w:szCs w:val="20"/>
              </w:rPr>
            </w:pPr>
            <w:r w:rsidRPr="001F5B9A">
              <w:rPr>
                <w:b/>
                <w:color w:val="000000"/>
                <w:sz w:val="20"/>
                <w:szCs w:val="20"/>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1F5B9A" w:rsidRPr="001F5B9A" w:rsidP="001F5B9A" w14:paraId="28770A91" w14:textId="77777777">
            <w:pPr>
              <w:jc w:val="center"/>
              <w:rPr>
                <w:b/>
                <w:color w:val="000000"/>
                <w:sz w:val="20"/>
                <w:szCs w:val="20"/>
              </w:rPr>
            </w:pPr>
            <w:r w:rsidRPr="001F5B9A">
              <w:rPr>
                <w:b/>
                <w:color w:val="000000"/>
                <w:sz w:val="20"/>
                <w:szCs w:val="20"/>
              </w:rPr>
              <w:t xml:space="preserve">Total </w:t>
            </w:r>
            <w:r>
              <w:rPr>
                <w:b/>
                <w:color w:val="000000"/>
                <w:sz w:val="20"/>
                <w:szCs w:val="20"/>
              </w:rPr>
              <w:t>Burden</w:t>
            </w:r>
            <w:r w:rsidRPr="001F5B9A">
              <w:rPr>
                <w:b/>
                <w:color w:val="000000"/>
                <w:sz w:val="20"/>
                <w:szCs w:val="20"/>
              </w:rPr>
              <w:t xml:space="preserve"> Cost</w:t>
            </w:r>
          </w:p>
        </w:tc>
      </w:tr>
      <w:tr w14:paraId="34597229" w14:textId="77777777" w:rsidTr="350A649A">
        <w:tblPrEx>
          <w:tblW w:w="10731" w:type="dxa"/>
          <w:jc w:val="center"/>
          <w:tblLayout w:type="fixed"/>
          <w:tblCellMar>
            <w:top w:w="15" w:type="dxa"/>
            <w:bottom w:w="15" w:type="dxa"/>
          </w:tblCellMar>
          <w:tblLook w:val="04A0"/>
        </w:tblPrEx>
        <w:trPr>
          <w:trHeight w:val="47"/>
          <w:jc w:val="center"/>
        </w:trPr>
        <w:tc>
          <w:tcPr>
            <w:tcW w:w="2233" w:type="dxa"/>
            <w:tcBorders>
              <w:top w:val="single" w:sz="4" w:space="0" w:color="auto"/>
              <w:left w:val="single" w:sz="4" w:space="0" w:color="auto"/>
              <w:bottom w:val="single" w:sz="4" w:space="0" w:color="auto"/>
              <w:right w:val="single" w:sz="4" w:space="0" w:color="auto"/>
            </w:tcBorders>
            <w:vAlign w:val="bottom"/>
          </w:tcPr>
          <w:p w:rsidR="001F5B9A" w:rsidRPr="00B25611" w:rsidP="001F5B9A" w14:paraId="36253BC4" w14:textId="77777777">
            <w:pPr>
              <w:rPr>
                <w:color w:val="000000"/>
                <w:sz w:val="20"/>
                <w:szCs w:val="20"/>
              </w:rPr>
            </w:pPr>
            <w:r>
              <w:rPr>
                <w:color w:val="000000"/>
                <w:sz w:val="20"/>
                <w:szCs w:val="20"/>
              </w:rPr>
              <w:t>Recordkeeping</w:t>
            </w:r>
          </w:p>
        </w:tc>
        <w:tc>
          <w:tcPr>
            <w:tcW w:w="1388" w:type="dxa"/>
            <w:tcBorders>
              <w:top w:val="single" w:sz="4" w:space="0" w:color="auto"/>
              <w:left w:val="single" w:sz="4" w:space="0" w:color="auto"/>
              <w:bottom w:val="single" w:sz="4" w:space="0" w:color="auto"/>
              <w:right w:val="single" w:sz="4" w:space="0" w:color="auto"/>
            </w:tcBorders>
            <w:noWrap/>
            <w:vAlign w:val="bottom"/>
            <w:hideMark/>
          </w:tcPr>
          <w:p w:rsidR="001F5B9A" w:rsidRPr="00BA1EC5" w:rsidP="001F5B9A" w14:paraId="4D72922A" w14:textId="77777777">
            <w:pPr>
              <w:jc w:val="right"/>
              <w:rPr>
                <w:color w:val="000000"/>
                <w:sz w:val="20"/>
                <w:szCs w:val="20"/>
              </w:rPr>
            </w:pPr>
            <w:r w:rsidRPr="00BA1EC5">
              <w:rPr>
                <w:color w:val="000000"/>
                <w:sz w:val="20"/>
                <w:szCs w:val="20"/>
              </w:rPr>
              <w:t>175</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F5B9A" w:rsidRPr="00BA1EC5" w:rsidP="001F5B9A" w14:paraId="3F5E256E" w14:textId="77777777">
            <w:pPr>
              <w:jc w:val="right"/>
              <w:rPr>
                <w:color w:val="000000"/>
                <w:sz w:val="20"/>
                <w:szCs w:val="20"/>
              </w:rPr>
            </w:pPr>
            <w:r w:rsidRPr="00BA1EC5">
              <w:rPr>
                <w:color w:val="000000"/>
                <w:sz w:val="20"/>
                <w:szCs w:val="20"/>
              </w:rPr>
              <w:t>104</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1F5B9A" w:rsidRPr="00BA1EC5" w:rsidP="001F5B9A" w14:paraId="19CED471" w14:textId="77777777">
            <w:pPr>
              <w:jc w:val="right"/>
              <w:rPr>
                <w:color w:val="000000"/>
                <w:sz w:val="20"/>
                <w:szCs w:val="20"/>
              </w:rPr>
            </w:pPr>
            <w:r w:rsidRPr="00BA1EC5">
              <w:rPr>
                <w:color w:val="000000"/>
                <w:sz w:val="20"/>
                <w:szCs w:val="20"/>
              </w:rPr>
              <w:t>18</w:t>
            </w:r>
            <w:r>
              <w:rPr>
                <w:color w:val="000000"/>
                <w:sz w:val="20"/>
                <w:szCs w:val="20"/>
              </w:rPr>
              <w:t>,</w:t>
            </w:r>
            <w:r w:rsidRPr="00BA1EC5">
              <w:rPr>
                <w:color w:val="000000"/>
                <w:sz w:val="20"/>
                <w:szCs w:val="20"/>
              </w:rPr>
              <w:t>200</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1F5B9A" w:rsidRPr="00BA1EC5" w:rsidP="001F5B9A" w14:paraId="2EB8A09C" w14:textId="77777777">
            <w:pPr>
              <w:jc w:val="right"/>
              <w:rPr>
                <w:color w:val="000000"/>
                <w:sz w:val="20"/>
                <w:szCs w:val="20"/>
              </w:rPr>
            </w:pPr>
            <w:r w:rsidRPr="00BA1EC5">
              <w:rPr>
                <w:color w:val="000000"/>
                <w:sz w:val="20"/>
                <w:szCs w:val="20"/>
              </w:rPr>
              <w:t>30</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1F5B9A" w:rsidRPr="00BA1EC5" w:rsidP="001F5B9A" w14:paraId="7BF644EE" w14:textId="77777777">
            <w:pPr>
              <w:jc w:val="right"/>
              <w:rPr>
                <w:color w:val="000000"/>
                <w:sz w:val="20"/>
                <w:szCs w:val="20"/>
              </w:rPr>
            </w:pPr>
            <w:r w:rsidRPr="00BA1EC5">
              <w:rPr>
                <w:color w:val="000000"/>
                <w:sz w:val="20"/>
                <w:szCs w:val="20"/>
              </w:rPr>
              <w:t>15</w:t>
            </w:r>
            <w:r>
              <w:rPr>
                <w:color w:val="000000"/>
                <w:sz w:val="20"/>
                <w:szCs w:val="20"/>
              </w:rPr>
              <w:t>2</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1F5B9A" w:rsidRPr="00BA1EC5" w:rsidP="001F5B9A" w14:paraId="31BF4A82" w14:textId="2F426BC1">
            <w:pPr>
              <w:jc w:val="right"/>
              <w:rPr>
                <w:color w:val="000000"/>
                <w:sz w:val="20"/>
                <w:szCs w:val="20"/>
              </w:rPr>
            </w:pPr>
            <w:r>
              <w:rPr>
                <w:color w:val="000000"/>
                <w:sz w:val="20"/>
                <w:szCs w:val="20"/>
              </w:rPr>
              <w:t>$</w:t>
            </w:r>
            <w:r w:rsidR="2767894B">
              <w:rPr>
                <w:color w:val="000000"/>
                <w:sz w:val="20"/>
                <w:szCs w:val="20"/>
              </w:rPr>
              <w:t>96.97</w:t>
            </w:r>
            <w:r>
              <w:rPr>
                <w:color w:val="000000"/>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1F5B9A" w:rsidRPr="00BA1EC5" w:rsidP="001F5B9A" w14:paraId="129A345F" w14:textId="0320ABD1">
            <w:pPr>
              <w:jc w:val="right"/>
              <w:rPr>
                <w:color w:val="000000"/>
                <w:sz w:val="20"/>
                <w:szCs w:val="20"/>
              </w:rPr>
            </w:pPr>
            <w:r>
              <w:rPr>
                <w:color w:val="000000"/>
                <w:sz w:val="20"/>
                <w:szCs w:val="20"/>
              </w:rPr>
              <w:t>$1</w:t>
            </w:r>
            <w:r w:rsidR="39B5B0B6">
              <w:rPr>
                <w:color w:val="000000"/>
                <w:sz w:val="20"/>
                <w:szCs w:val="20"/>
              </w:rPr>
              <w:t>4,707</w:t>
            </w:r>
            <w:r>
              <w:rPr>
                <w:color w:val="000000"/>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vAlign w:val="bottom"/>
          </w:tcPr>
          <w:p w:rsidR="001F5B9A" w:rsidRPr="00BA1EC5" w:rsidP="001F5B9A" w14:paraId="40D7DD81" w14:textId="77777777">
            <w:pPr>
              <w:jc w:val="right"/>
              <w:rPr>
                <w:color w:val="000000"/>
                <w:sz w:val="20"/>
                <w:szCs w:val="20"/>
              </w:rPr>
            </w:pPr>
            <w:r w:rsidRPr="00BA1EC5">
              <w:rPr>
                <w:color w:val="000000"/>
                <w:sz w:val="20"/>
                <w:szCs w:val="20"/>
              </w:rPr>
              <w:t>$</w:t>
            </w:r>
            <w:r>
              <w:rPr>
                <w:color w:val="000000"/>
                <w:sz w:val="20"/>
                <w:szCs w:val="20"/>
              </w:rPr>
              <w:t>0</w:t>
            </w:r>
            <w:r w:rsidRPr="00BA1EC5">
              <w:rPr>
                <w:color w:val="000000"/>
                <w:sz w:val="20"/>
                <w:szCs w:val="20"/>
              </w:rPr>
              <w:t xml:space="preserve"> </w:t>
            </w:r>
          </w:p>
        </w:tc>
      </w:tr>
    </w:tbl>
    <w:p w:rsidR="00317410" w:rsidP="007E0739" w14:paraId="7064D14A" w14:textId="77777777">
      <w:pPr>
        <w:pStyle w:val="BodyTextIndent"/>
        <w:ind w:left="0"/>
      </w:pPr>
    </w:p>
    <w:p w:rsidR="00B908D6" w:rsidRPr="007E0739" w:rsidP="00721506" w14:paraId="66BE031C" w14:textId="77777777">
      <w:pPr>
        <w:pStyle w:val="BodyTextIndent"/>
        <w:keepNext/>
        <w:keepLines/>
        <w:ind w:left="0"/>
      </w:pPr>
      <w:r>
        <w:t>13.</w:t>
      </w:r>
      <w:r>
        <w:tab/>
      </w:r>
      <w:r w:rsidRPr="007E0739" w:rsidR="005E06E8">
        <w:rPr>
          <w:bCs/>
          <w:u w:val="single"/>
        </w:rPr>
        <w:t>Estimate of total annual costs to respondents</w:t>
      </w:r>
    </w:p>
    <w:p w:rsidR="00B908D6" w:rsidRPr="007E0739" w:rsidP="00721506" w14:paraId="228A337F" w14:textId="77777777">
      <w:pPr>
        <w:keepNext/>
        <w:keepLines/>
      </w:pPr>
    </w:p>
    <w:p w:rsidR="007E0739" w:rsidP="00721506" w14:paraId="2AE65F50" w14:textId="77777777">
      <w:pPr>
        <w:keepNext/>
        <w:keepLines/>
      </w:pPr>
      <w:r w:rsidRPr="006C16FA">
        <w:t xml:space="preserve">PHMSA estimates there are no out-of-pocket expenses, and therefore there is no annual cost to respondents.  </w:t>
      </w:r>
    </w:p>
    <w:p w:rsidR="007E0739" w:rsidP="007E0739" w14:paraId="62E3412C" w14:textId="77777777"/>
    <w:p w:rsidR="007E0739" w:rsidP="00A13F41" w14:paraId="434A2E54" w14:textId="77777777">
      <w:pPr>
        <w:keepNext/>
        <w:keepLines/>
      </w:pPr>
      <w:r>
        <w:t>14.</w:t>
      </w:r>
      <w:r>
        <w:tab/>
      </w:r>
      <w:r w:rsidRPr="007E0739" w:rsidR="005E06E8">
        <w:rPr>
          <w:u w:val="single"/>
        </w:rPr>
        <w:t>Estimate of c</w:t>
      </w:r>
      <w:r w:rsidRPr="007E0739" w:rsidR="00B908D6">
        <w:rPr>
          <w:u w:val="single"/>
        </w:rPr>
        <w:t xml:space="preserve">ost to the Federal </w:t>
      </w:r>
      <w:r w:rsidR="007B2EEB">
        <w:rPr>
          <w:u w:val="single"/>
        </w:rPr>
        <w:t>G</w:t>
      </w:r>
      <w:r w:rsidRPr="007E0739" w:rsidR="00B908D6">
        <w:rPr>
          <w:u w:val="single"/>
        </w:rPr>
        <w:t>overnment</w:t>
      </w:r>
    </w:p>
    <w:p w:rsidR="007E0739" w:rsidP="00A13F41" w14:paraId="0FE01234" w14:textId="77777777">
      <w:pPr>
        <w:keepNext/>
        <w:keepLines/>
      </w:pPr>
    </w:p>
    <w:p w:rsidR="007E0739" w:rsidP="00A13F41" w14:paraId="22270585" w14:textId="77777777">
      <w:pPr>
        <w:keepNext/>
        <w:keepLines/>
      </w:pPr>
      <w:r>
        <w:t>T</w:t>
      </w:r>
      <w:r w:rsidRPr="007E0739" w:rsidR="00B908D6">
        <w:t xml:space="preserve">here is no cost to the Federal </w:t>
      </w:r>
      <w:r w:rsidR="007B2EEB">
        <w:t>G</w:t>
      </w:r>
      <w:r w:rsidRPr="007E0739" w:rsidR="00B908D6">
        <w:t>overnment.</w:t>
      </w:r>
    </w:p>
    <w:p w:rsidR="007E0739" w:rsidP="007E0739" w14:paraId="2D55CCD6" w14:textId="77777777"/>
    <w:p w:rsidR="00B908D6" w:rsidRPr="007E0739" w:rsidP="001F5B9A" w14:paraId="4F9FEDBB" w14:textId="77777777">
      <w:pPr>
        <w:keepNext/>
        <w:keepLines/>
      </w:pPr>
      <w:r>
        <w:t>15.</w:t>
      </w:r>
      <w:r>
        <w:tab/>
      </w:r>
      <w:r w:rsidRPr="007E0739" w:rsidR="005E06E8">
        <w:rPr>
          <w:bCs/>
          <w:u w:val="single"/>
        </w:rPr>
        <w:t>Explanation of program changes or adjustments</w:t>
      </w:r>
      <w:r w:rsidRPr="007E0739">
        <w:t xml:space="preserve">  </w:t>
      </w:r>
    </w:p>
    <w:p w:rsidR="00B908D6" w:rsidRPr="007E0739" w:rsidP="007E0739" w14:paraId="456FFD6B" w14:textId="77777777"/>
    <w:p w:rsidR="007E0739" w:rsidP="007E0739" w14:paraId="7459CD95" w14:textId="77777777">
      <w:r>
        <w:t>There is no change to this OMB Control Number.</w:t>
      </w:r>
    </w:p>
    <w:p w:rsidR="007E0739" w:rsidP="007E0739" w14:paraId="4B65341D" w14:textId="77777777"/>
    <w:p w:rsidR="00B908D6" w:rsidRPr="007E0739" w:rsidP="007E0739" w14:paraId="048D1B19" w14:textId="77777777">
      <w:r>
        <w:t>16.</w:t>
      </w:r>
      <w:r>
        <w:tab/>
      </w:r>
      <w:r w:rsidRPr="007E0739" w:rsidR="005E06E8">
        <w:rPr>
          <w:bCs/>
          <w:u w:val="single"/>
        </w:rPr>
        <w:t>Publication of results of data collection</w:t>
      </w:r>
      <w:r w:rsidRPr="007E0739">
        <w:t xml:space="preserve">  </w:t>
      </w:r>
    </w:p>
    <w:p w:rsidR="00B908D6" w:rsidRPr="007E0739" w:rsidP="007E0739" w14:paraId="34554A66" w14:textId="77777777"/>
    <w:p w:rsidR="00E111E4" w:rsidP="007E0739" w14:paraId="47140D5C" w14:textId="77777777">
      <w:r w:rsidRPr="006C16FA">
        <w:t xml:space="preserve">There is no publication of the response </w:t>
      </w:r>
      <w:r w:rsidRPr="006C16FA">
        <w:t>plans</w:t>
      </w:r>
      <w:r w:rsidRPr="006C16FA">
        <w:t xml:space="preserve"> and no statistical techniques are involved.</w:t>
      </w:r>
    </w:p>
    <w:p w:rsidR="007E0739" w:rsidP="007E0739" w14:paraId="39193352" w14:textId="77777777"/>
    <w:p w:rsidR="00B908D6" w:rsidRPr="007E0739" w:rsidP="007E0739" w14:paraId="16D2A2FD" w14:textId="77777777">
      <w:r w:rsidRPr="007E0739">
        <w:t>17.</w:t>
      </w:r>
      <w:r w:rsidRPr="007E0739">
        <w:tab/>
      </w:r>
      <w:r w:rsidRPr="007E0739" w:rsidR="005E06E8">
        <w:rPr>
          <w:bCs/>
          <w:u w:val="single"/>
        </w:rPr>
        <w:t>Approval for not displaying the expiration date of OMB approval</w:t>
      </w:r>
    </w:p>
    <w:p w:rsidR="00B908D6" w:rsidRPr="007E0739" w:rsidP="007E0739" w14:paraId="29C3815A" w14:textId="77777777">
      <w:pPr>
        <w:rPr>
          <w:u w:val="single"/>
        </w:rPr>
      </w:pPr>
    </w:p>
    <w:p w:rsidR="007E0739" w:rsidP="007E0739" w14:paraId="4C463170" w14:textId="77777777">
      <w:r w:rsidRPr="007E0739">
        <w:t xml:space="preserve">This information collection OMB Control </w:t>
      </w:r>
      <w:r w:rsidR="007B2EEB">
        <w:t>N</w:t>
      </w:r>
      <w:r w:rsidRPr="007E0739">
        <w:t>umber is prominently displayed in the HMR</w:t>
      </w:r>
      <w:r w:rsidR="00A13F41">
        <w:t>, specifically under §</w:t>
      </w:r>
      <w:r w:rsidR="007B2EEB">
        <w:t> </w:t>
      </w:r>
      <w:r w:rsidR="00A13F41">
        <w:t xml:space="preserve">171.6, </w:t>
      </w:r>
      <w:r w:rsidRPr="007E0739">
        <w:t>titled, “Control Numbers under the Paperwork Reduction Act.”</w:t>
      </w:r>
    </w:p>
    <w:p w:rsidR="007E0739" w:rsidP="007E0739" w14:paraId="1D829381" w14:textId="77777777"/>
    <w:p w:rsidR="00B908D6" w:rsidRPr="007E0739" w:rsidP="007E0739" w14:paraId="35617F99" w14:textId="77777777">
      <w:r w:rsidRPr="007E0739">
        <w:t>18.</w:t>
      </w:r>
      <w:r w:rsidRPr="007E0739">
        <w:tab/>
      </w:r>
      <w:r w:rsidRPr="007E0739" w:rsidR="005E06E8">
        <w:rPr>
          <w:bCs/>
          <w:u w:val="single"/>
        </w:rPr>
        <w:t>Exceptions to certification statement</w:t>
      </w:r>
    </w:p>
    <w:p w:rsidR="00B908D6" w:rsidRPr="007E0739" w:rsidP="007E0739" w14:paraId="7868F236" w14:textId="77777777"/>
    <w:p w:rsidR="00B908D6" w:rsidRPr="007E0739" w:rsidP="007E0739" w14:paraId="6D20F574" w14:textId="77777777">
      <w:r w:rsidRPr="007E0739">
        <w:t>There is no exception to PHMSA’s certification of this request for information collection approval.</w:t>
      </w:r>
    </w:p>
    <w:sectPr>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Letter Gothic 12cpi">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3F6" w14:paraId="71778D4B" w14:textId="7777777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223F6" w14:paraId="12746A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3F6" w14:paraId="4C5C4313" w14:textId="7777777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8602B6">
      <w:rPr>
        <w:rStyle w:val="PageNumber"/>
        <w:noProof/>
      </w:rPr>
      <w:t>5</w:t>
    </w:r>
    <w:r>
      <w:rPr>
        <w:rStyle w:val="PageNumber"/>
      </w:rPr>
      <w:fldChar w:fldCharType="end"/>
    </w:r>
  </w:p>
  <w:p w:rsidR="00F223F6" w14:paraId="0A8607C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118" w14:paraId="6017D53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07507" w14:paraId="7AED8E65" w14:textId="77777777">
      <w:r>
        <w:separator/>
      </w:r>
    </w:p>
  </w:footnote>
  <w:footnote w:type="continuationSeparator" w:id="1">
    <w:p w:rsidR="00B07507" w14:paraId="78C586D5" w14:textId="77777777">
      <w:r>
        <w:continuationSeparator/>
      </w:r>
    </w:p>
  </w:footnote>
  <w:footnote w:type="continuationNotice" w:id="2">
    <w:p w:rsidR="00B07507" w14:paraId="46A85775" w14:textId="77777777"/>
  </w:footnote>
  <w:footnote w:id="3">
    <w:p w:rsidR="006D35AB" w14:paraId="41590BFE" w14:textId="05EC99C3">
      <w:pPr>
        <w:pStyle w:val="FootnoteText"/>
      </w:pPr>
      <w:r>
        <w:rPr>
          <w:rStyle w:val="FootnoteReference"/>
        </w:rPr>
        <w:footnoteRef/>
      </w:r>
      <w:r w:rsidR="001F5B9A">
        <w:rPr>
          <w:color w:val="000000"/>
          <w:shd w:val="clear" w:color="auto" w:fill="FFFFFF"/>
        </w:rPr>
        <w:t xml:space="preserve"> Occupation labor rates based on </w:t>
      </w:r>
      <w:r w:rsidR="00B3166D">
        <w:rPr>
          <w:color w:val="000000"/>
          <w:shd w:val="clear" w:color="auto" w:fill="FFFFFF"/>
        </w:rPr>
        <w:t xml:space="preserve">2023 </w:t>
      </w:r>
      <w:r w:rsidR="001F5B9A">
        <w:rPr>
          <w:color w:val="000000"/>
          <w:shd w:val="clear" w:color="auto" w:fill="FFFFFF"/>
        </w:rPr>
        <w:t>Occupational and Employment Statistics Survey (OES) for “Management Occupations (11-0000)” (https://www.bls.gov/oes/current/oes110000.htm). The hourly mean wage for this occupation ($</w:t>
      </w:r>
      <w:r w:rsidR="00386ABD">
        <w:rPr>
          <w:color w:val="000000"/>
          <w:shd w:val="clear" w:color="auto" w:fill="FFFFFF"/>
        </w:rPr>
        <w:t>66.23</w:t>
      </w:r>
      <w:r w:rsidR="001F5B9A">
        <w:rPr>
          <w:color w:val="000000"/>
          <w:shd w:val="clear" w:color="auto" w:fill="FFFFFF"/>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4">
    <w:p w:rsidR="00E111E4" w14:paraId="102DDE2D" w14:textId="77777777">
      <w:pPr>
        <w:pStyle w:val="FootnoteText"/>
      </w:pPr>
      <w:r>
        <w:rPr>
          <w:rStyle w:val="FootnoteReference"/>
        </w:rPr>
        <w:footnoteRef/>
      </w:r>
      <w:r>
        <w:t xml:space="preserve"> </w:t>
      </w:r>
      <w:r w:rsidR="00AC2E13">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118" w14:paraId="616692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118" w14:paraId="229FA82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118" w14:paraId="55DEB7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9D1130"/>
    <w:multiLevelType w:val="hybridMultilevel"/>
    <w:tmpl w:val="399ED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C177630"/>
    <w:multiLevelType w:val="multilevel"/>
    <w:tmpl w:val="DC1E150C"/>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778879BC"/>
    <w:multiLevelType w:val="multilevel"/>
    <w:tmpl w:val="DC1E150C"/>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849955589">
    <w:abstractNumId w:val="1"/>
  </w:num>
  <w:num w:numId="2" w16cid:durableId="143477372">
    <w:abstractNumId w:val="2"/>
  </w:num>
  <w:num w:numId="3" w16cid:durableId="15351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D6"/>
    <w:rsid w:val="00001B4C"/>
    <w:rsid w:val="00005189"/>
    <w:rsid w:val="00045F59"/>
    <w:rsid w:val="0006089A"/>
    <w:rsid w:val="00062A8A"/>
    <w:rsid w:val="00064B33"/>
    <w:rsid w:val="000707EB"/>
    <w:rsid w:val="00071E0D"/>
    <w:rsid w:val="00077917"/>
    <w:rsid w:val="000A30C6"/>
    <w:rsid w:val="000C0594"/>
    <w:rsid w:val="000C0823"/>
    <w:rsid w:val="000C4359"/>
    <w:rsid w:val="000D5905"/>
    <w:rsid w:val="00116A59"/>
    <w:rsid w:val="00132251"/>
    <w:rsid w:val="0014122B"/>
    <w:rsid w:val="00154F50"/>
    <w:rsid w:val="0015705D"/>
    <w:rsid w:val="001607CA"/>
    <w:rsid w:val="001909B9"/>
    <w:rsid w:val="00193582"/>
    <w:rsid w:val="00197977"/>
    <w:rsid w:val="001D6790"/>
    <w:rsid w:val="001F0B82"/>
    <w:rsid w:val="001F4533"/>
    <w:rsid w:val="001F5B9A"/>
    <w:rsid w:val="001F66D8"/>
    <w:rsid w:val="0020503C"/>
    <w:rsid w:val="00254DF5"/>
    <w:rsid w:val="00256580"/>
    <w:rsid w:val="002674D4"/>
    <w:rsid w:val="00284EC7"/>
    <w:rsid w:val="002876D8"/>
    <w:rsid w:val="002A1A97"/>
    <w:rsid w:val="002A4CD1"/>
    <w:rsid w:val="002C0087"/>
    <w:rsid w:val="002C4C3B"/>
    <w:rsid w:val="002C7736"/>
    <w:rsid w:val="002F6CF9"/>
    <w:rsid w:val="003106AC"/>
    <w:rsid w:val="00314E0B"/>
    <w:rsid w:val="00317410"/>
    <w:rsid w:val="00320A19"/>
    <w:rsid w:val="00340285"/>
    <w:rsid w:val="003446F3"/>
    <w:rsid w:val="00345C9D"/>
    <w:rsid w:val="00360691"/>
    <w:rsid w:val="0036213D"/>
    <w:rsid w:val="0038367B"/>
    <w:rsid w:val="00386ABD"/>
    <w:rsid w:val="003920B1"/>
    <w:rsid w:val="003A7191"/>
    <w:rsid w:val="003A7AB6"/>
    <w:rsid w:val="003C292F"/>
    <w:rsid w:val="003E1051"/>
    <w:rsid w:val="004276D9"/>
    <w:rsid w:val="004363EB"/>
    <w:rsid w:val="0044125C"/>
    <w:rsid w:val="0044591A"/>
    <w:rsid w:val="00455564"/>
    <w:rsid w:val="0046337C"/>
    <w:rsid w:val="0047602A"/>
    <w:rsid w:val="004915D2"/>
    <w:rsid w:val="0049716D"/>
    <w:rsid w:val="004A2407"/>
    <w:rsid w:val="004A3FA8"/>
    <w:rsid w:val="004A698A"/>
    <w:rsid w:val="004C48F2"/>
    <w:rsid w:val="004D117C"/>
    <w:rsid w:val="004D42AA"/>
    <w:rsid w:val="004E3B52"/>
    <w:rsid w:val="004F3A84"/>
    <w:rsid w:val="00512188"/>
    <w:rsid w:val="005229C9"/>
    <w:rsid w:val="005418F6"/>
    <w:rsid w:val="00542263"/>
    <w:rsid w:val="00571F96"/>
    <w:rsid w:val="00582B04"/>
    <w:rsid w:val="00596203"/>
    <w:rsid w:val="00596225"/>
    <w:rsid w:val="005C0A10"/>
    <w:rsid w:val="005C2F5A"/>
    <w:rsid w:val="005C7598"/>
    <w:rsid w:val="005D18A0"/>
    <w:rsid w:val="005E06E8"/>
    <w:rsid w:val="005E3570"/>
    <w:rsid w:val="005E4F3F"/>
    <w:rsid w:val="0060781D"/>
    <w:rsid w:val="0063625C"/>
    <w:rsid w:val="0065560F"/>
    <w:rsid w:val="0068083D"/>
    <w:rsid w:val="006844A1"/>
    <w:rsid w:val="0069019F"/>
    <w:rsid w:val="006A6747"/>
    <w:rsid w:val="006B1892"/>
    <w:rsid w:val="006C16FA"/>
    <w:rsid w:val="006C71CC"/>
    <w:rsid w:val="006C7480"/>
    <w:rsid w:val="006D322A"/>
    <w:rsid w:val="006D35AB"/>
    <w:rsid w:val="006F3241"/>
    <w:rsid w:val="006F6EE1"/>
    <w:rsid w:val="00702F0C"/>
    <w:rsid w:val="00721506"/>
    <w:rsid w:val="00746B4E"/>
    <w:rsid w:val="00763B46"/>
    <w:rsid w:val="00781067"/>
    <w:rsid w:val="0078145C"/>
    <w:rsid w:val="0078218F"/>
    <w:rsid w:val="00782B1C"/>
    <w:rsid w:val="00791912"/>
    <w:rsid w:val="007A4721"/>
    <w:rsid w:val="007B2EEB"/>
    <w:rsid w:val="007D507D"/>
    <w:rsid w:val="007E0739"/>
    <w:rsid w:val="007E4093"/>
    <w:rsid w:val="00804674"/>
    <w:rsid w:val="008108A8"/>
    <w:rsid w:val="00812F42"/>
    <w:rsid w:val="008276A9"/>
    <w:rsid w:val="00840AF9"/>
    <w:rsid w:val="00841C94"/>
    <w:rsid w:val="008602B6"/>
    <w:rsid w:val="0086221C"/>
    <w:rsid w:val="0086396F"/>
    <w:rsid w:val="00863DB9"/>
    <w:rsid w:val="00873D64"/>
    <w:rsid w:val="0088559D"/>
    <w:rsid w:val="008A141D"/>
    <w:rsid w:val="008B218E"/>
    <w:rsid w:val="008B40EB"/>
    <w:rsid w:val="008C257C"/>
    <w:rsid w:val="008C4278"/>
    <w:rsid w:val="008C5DB5"/>
    <w:rsid w:val="008D43D4"/>
    <w:rsid w:val="008D4E96"/>
    <w:rsid w:val="008D585B"/>
    <w:rsid w:val="008D64C3"/>
    <w:rsid w:val="008F0788"/>
    <w:rsid w:val="008F5294"/>
    <w:rsid w:val="00910AFC"/>
    <w:rsid w:val="009130D4"/>
    <w:rsid w:val="00915291"/>
    <w:rsid w:val="009252B4"/>
    <w:rsid w:val="009253E5"/>
    <w:rsid w:val="00925B34"/>
    <w:rsid w:val="0093725F"/>
    <w:rsid w:val="00946FE4"/>
    <w:rsid w:val="00987C9B"/>
    <w:rsid w:val="009C1514"/>
    <w:rsid w:val="009E4C39"/>
    <w:rsid w:val="009F009D"/>
    <w:rsid w:val="009F422D"/>
    <w:rsid w:val="00A00D83"/>
    <w:rsid w:val="00A07EC1"/>
    <w:rsid w:val="00A13F41"/>
    <w:rsid w:val="00A1597F"/>
    <w:rsid w:val="00A17A3B"/>
    <w:rsid w:val="00A22C46"/>
    <w:rsid w:val="00A33572"/>
    <w:rsid w:val="00A41772"/>
    <w:rsid w:val="00A44F57"/>
    <w:rsid w:val="00A46EF1"/>
    <w:rsid w:val="00A55AAE"/>
    <w:rsid w:val="00A60C91"/>
    <w:rsid w:val="00A74156"/>
    <w:rsid w:val="00A75A54"/>
    <w:rsid w:val="00AA34A5"/>
    <w:rsid w:val="00AA3BAF"/>
    <w:rsid w:val="00AB3A06"/>
    <w:rsid w:val="00AC2E13"/>
    <w:rsid w:val="00AD02D6"/>
    <w:rsid w:val="00AD4C82"/>
    <w:rsid w:val="00AD6BE9"/>
    <w:rsid w:val="00B06C1E"/>
    <w:rsid w:val="00B07507"/>
    <w:rsid w:val="00B25611"/>
    <w:rsid w:val="00B3166D"/>
    <w:rsid w:val="00B44962"/>
    <w:rsid w:val="00B50741"/>
    <w:rsid w:val="00B625D9"/>
    <w:rsid w:val="00B74BDF"/>
    <w:rsid w:val="00B82F37"/>
    <w:rsid w:val="00B908D6"/>
    <w:rsid w:val="00B92178"/>
    <w:rsid w:val="00BA1EC5"/>
    <w:rsid w:val="00BB194B"/>
    <w:rsid w:val="00BB5404"/>
    <w:rsid w:val="00BF505C"/>
    <w:rsid w:val="00C06C89"/>
    <w:rsid w:val="00C502D8"/>
    <w:rsid w:val="00C50592"/>
    <w:rsid w:val="00C53402"/>
    <w:rsid w:val="00C67050"/>
    <w:rsid w:val="00C67330"/>
    <w:rsid w:val="00C91351"/>
    <w:rsid w:val="00C94446"/>
    <w:rsid w:val="00CA11D0"/>
    <w:rsid w:val="00CA1EB1"/>
    <w:rsid w:val="00CC1309"/>
    <w:rsid w:val="00CF36E1"/>
    <w:rsid w:val="00D16694"/>
    <w:rsid w:val="00D202A5"/>
    <w:rsid w:val="00D25955"/>
    <w:rsid w:val="00D339AB"/>
    <w:rsid w:val="00D345CA"/>
    <w:rsid w:val="00D55118"/>
    <w:rsid w:val="00D56A76"/>
    <w:rsid w:val="00D61F27"/>
    <w:rsid w:val="00D9411D"/>
    <w:rsid w:val="00DA454D"/>
    <w:rsid w:val="00DA79EE"/>
    <w:rsid w:val="00DB2B01"/>
    <w:rsid w:val="00DB58F8"/>
    <w:rsid w:val="00DF28B9"/>
    <w:rsid w:val="00DF41AE"/>
    <w:rsid w:val="00DF46B6"/>
    <w:rsid w:val="00E04B9F"/>
    <w:rsid w:val="00E111E4"/>
    <w:rsid w:val="00E210C1"/>
    <w:rsid w:val="00E307FF"/>
    <w:rsid w:val="00E3193D"/>
    <w:rsid w:val="00E557FA"/>
    <w:rsid w:val="00E84DA9"/>
    <w:rsid w:val="00E90684"/>
    <w:rsid w:val="00E9319E"/>
    <w:rsid w:val="00EB50FA"/>
    <w:rsid w:val="00EB50FF"/>
    <w:rsid w:val="00EC79F0"/>
    <w:rsid w:val="00ED5ED3"/>
    <w:rsid w:val="00EE479C"/>
    <w:rsid w:val="00F062B6"/>
    <w:rsid w:val="00F10C1F"/>
    <w:rsid w:val="00F13D1D"/>
    <w:rsid w:val="00F223F6"/>
    <w:rsid w:val="00F23657"/>
    <w:rsid w:val="00F41911"/>
    <w:rsid w:val="00F43417"/>
    <w:rsid w:val="00F44215"/>
    <w:rsid w:val="00F44B8E"/>
    <w:rsid w:val="00F63912"/>
    <w:rsid w:val="00F64C2E"/>
    <w:rsid w:val="00F75C2A"/>
    <w:rsid w:val="00F84BBA"/>
    <w:rsid w:val="00FB501D"/>
    <w:rsid w:val="00FD08E6"/>
    <w:rsid w:val="00FD5650"/>
    <w:rsid w:val="00FE7E9D"/>
    <w:rsid w:val="00FF22CC"/>
    <w:rsid w:val="025A004B"/>
    <w:rsid w:val="05FE54DE"/>
    <w:rsid w:val="073C0519"/>
    <w:rsid w:val="098A5190"/>
    <w:rsid w:val="12625B18"/>
    <w:rsid w:val="13BD5F36"/>
    <w:rsid w:val="1401CA6D"/>
    <w:rsid w:val="155E38DE"/>
    <w:rsid w:val="1CE4C1F7"/>
    <w:rsid w:val="1FB44245"/>
    <w:rsid w:val="21EA3AA3"/>
    <w:rsid w:val="23AF57BE"/>
    <w:rsid w:val="2767894B"/>
    <w:rsid w:val="3418D492"/>
    <w:rsid w:val="350A649A"/>
    <w:rsid w:val="39B5B0B6"/>
    <w:rsid w:val="44F7CC89"/>
    <w:rsid w:val="4E45B64F"/>
    <w:rsid w:val="56296EF5"/>
    <w:rsid w:val="5D05B0BB"/>
    <w:rsid w:val="663CD522"/>
    <w:rsid w:val="67612E91"/>
    <w:rsid w:val="719C0B55"/>
    <w:rsid w:val="7A6E82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92B3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autoSpaceDE w:val="0"/>
      <w:autoSpaceDN w:val="0"/>
      <w:adjustRightInd w:val="0"/>
      <w:ind w:left="720" w:hanging="720"/>
    </w:pPr>
    <w:rPr>
      <w:rFonts w:ascii="Courier" w:hAnsi="Courier"/>
      <w:szCs w:val="24"/>
    </w:rPr>
  </w:style>
  <w:style w:type="paragraph" w:styleId="Footer">
    <w:name w:val="footer"/>
    <w:basedOn w:val="Normal"/>
    <w:pPr>
      <w:tabs>
        <w:tab w:val="center" w:pos="4320"/>
        <w:tab w:val="right" w:pos="8640"/>
      </w:tabs>
      <w:autoSpaceDE w:val="0"/>
      <w:autoSpaceDN w:val="0"/>
      <w:adjustRightInd w:val="0"/>
    </w:pPr>
    <w:rPr>
      <w:rFonts w:ascii="Courier" w:hAnsi="Courier"/>
      <w:sz w:val="20"/>
      <w:szCs w:val="20"/>
    </w:rPr>
  </w:style>
  <w:style w:type="character" w:styleId="PageNumber">
    <w:name w:val="page number"/>
    <w:basedOn w:val="DefaultParagraphFont"/>
  </w:style>
  <w:style w:type="paragraph" w:styleId="BodyTextIndent">
    <w:name w:val="Body Text Indent"/>
    <w:basedOn w:val="Normal"/>
    <w:pPr>
      <w:ind w:left="720"/>
    </w:pPr>
  </w:style>
  <w:style w:type="paragraph" w:styleId="Title">
    <w:name w:val="Title"/>
    <w:basedOn w:val="Normal"/>
    <w:qFormat/>
    <w:rsid w:val="00CF36E1"/>
    <w:pPr>
      <w:widowControl w:val="0"/>
      <w:autoSpaceDE w:val="0"/>
      <w:autoSpaceDN w:val="0"/>
      <w:adjustRightInd w:val="0"/>
      <w:jc w:val="center"/>
    </w:pPr>
    <w:rPr>
      <w:rFonts w:ascii="Letter Gothic 12cpi" w:hAnsi="Letter Gothic 12cpi"/>
      <w:b/>
      <w:bCs/>
      <w:u w:val="single"/>
    </w:rPr>
  </w:style>
  <w:style w:type="paragraph" w:styleId="BalloonText">
    <w:name w:val="Balloon Text"/>
    <w:basedOn w:val="Normal"/>
    <w:link w:val="BalloonTextChar"/>
    <w:rsid w:val="008D64C3"/>
    <w:rPr>
      <w:rFonts w:ascii="Tahoma" w:hAnsi="Tahoma" w:cs="Tahoma"/>
      <w:sz w:val="16"/>
      <w:szCs w:val="16"/>
    </w:rPr>
  </w:style>
  <w:style w:type="character" w:customStyle="1" w:styleId="BalloonTextChar">
    <w:name w:val="Balloon Text Char"/>
    <w:link w:val="BalloonText"/>
    <w:rsid w:val="008D64C3"/>
    <w:rPr>
      <w:rFonts w:ascii="Tahoma" w:hAnsi="Tahoma" w:cs="Tahoma"/>
      <w:sz w:val="16"/>
      <w:szCs w:val="16"/>
    </w:rPr>
  </w:style>
  <w:style w:type="character" w:styleId="CommentReference">
    <w:name w:val="annotation reference"/>
    <w:uiPriority w:val="99"/>
    <w:rsid w:val="006F3241"/>
    <w:rPr>
      <w:sz w:val="16"/>
      <w:szCs w:val="16"/>
    </w:rPr>
  </w:style>
  <w:style w:type="paragraph" w:styleId="CommentText">
    <w:name w:val="annotation text"/>
    <w:basedOn w:val="Normal"/>
    <w:link w:val="CommentTextChar"/>
    <w:uiPriority w:val="99"/>
    <w:rsid w:val="006F3241"/>
    <w:rPr>
      <w:sz w:val="20"/>
      <w:szCs w:val="20"/>
    </w:rPr>
  </w:style>
  <w:style w:type="character" w:customStyle="1" w:styleId="CommentTextChar">
    <w:name w:val="Comment Text Char"/>
    <w:basedOn w:val="DefaultParagraphFont"/>
    <w:link w:val="CommentText"/>
    <w:uiPriority w:val="99"/>
    <w:rsid w:val="006F3241"/>
  </w:style>
  <w:style w:type="paragraph" w:styleId="CommentSubject">
    <w:name w:val="annotation subject"/>
    <w:basedOn w:val="CommentText"/>
    <w:next w:val="CommentText"/>
    <w:link w:val="CommentSubjectChar"/>
    <w:rsid w:val="006F3241"/>
    <w:rPr>
      <w:b/>
      <w:bCs/>
    </w:rPr>
  </w:style>
  <w:style w:type="character" w:customStyle="1" w:styleId="CommentSubjectChar">
    <w:name w:val="Comment Subject Char"/>
    <w:link w:val="CommentSubject"/>
    <w:rsid w:val="006F3241"/>
    <w:rPr>
      <w:b/>
      <w:bCs/>
    </w:rPr>
  </w:style>
  <w:style w:type="paragraph" w:styleId="ListParagraph">
    <w:name w:val="List Paragraph"/>
    <w:basedOn w:val="Normal"/>
    <w:uiPriority w:val="34"/>
    <w:qFormat/>
    <w:rsid w:val="00B74BDF"/>
    <w:pPr>
      <w:spacing w:after="160" w:line="259" w:lineRule="auto"/>
      <w:ind w:left="720"/>
      <w:contextualSpacing/>
    </w:pPr>
    <w:rPr>
      <w:rFonts w:ascii="Calibri" w:eastAsia="Calibri" w:hAnsi="Calibri"/>
      <w:sz w:val="22"/>
      <w:szCs w:val="22"/>
    </w:rPr>
  </w:style>
  <w:style w:type="paragraph" w:styleId="FootnoteText">
    <w:name w:val="footnote text"/>
    <w:basedOn w:val="Normal"/>
    <w:link w:val="FootnoteTextChar"/>
    <w:rsid w:val="006D35AB"/>
    <w:rPr>
      <w:sz w:val="20"/>
      <w:szCs w:val="20"/>
    </w:rPr>
  </w:style>
  <w:style w:type="character" w:customStyle="1" w:styleId="FootnoteTextChar">
    <w:name w:val="Footnote Text Char"/>
    <w:basedOn w:val="DefaultParagraphFont"/>
    <w:link w:val="FootnoteText"/>
    <w:rsid w:val="006D35AB"/>
  </w:style>
  <w:style w:type="character" w:styleId="FootnoteReference">
    <w:name w:val="footnote reference"/>
    <w:rsid w:val="006D35AB"/>
    <w:rPr>
      <w:vertAlign w:val="superscript"/>
    </w:rPr>
  </w:style>
  <w:style w:type="character" w:styleId="Hyperlink">
    <w:name w:val="Hyperlink"/>
    <w:rsid w:val="00E111E4"/>
    <w:rPr>
      <w:color w:val="0563C1"/>
      <w:u w:val="single"/>
    </w:rPr>
  </w:style>
  <w:style w:type="character" w:styleId="Mention">
    <w:name w:val="Mention"/>
    <w:uiPriority w:val="99"/>
    <w:unhideWhenUsed/>
    <w:rsid w:val="00E111E4"/>
    <w:rPr>
      <w:color w:val="2B579A"/>
      <w:shd w:val="clear" w:color="auto" w:fill="E6E6E6"/>
    </w:rPr>
  </w:style>
  <w:style w:type="paragraph" w:styleId="Header">
    <w:name w:val="header"/>
    <w:basedOn w:val="Normal"/>
    <w:link w:val="HeaderChar"/>
    <w:rsid w:val="00D55118"/>
    <w:pPr>
      <w:tabs>
        <w:tab w:val="center" w:pos="4680"/>
        <w:tab w:val="right" w:pos="9360"/>
      </w:tabs>
    </w:pPr>
  </w:style>
  <w:style w:type="character" w:customStyle="1" w:styleId="HeaderChar">
    <w:name w:val="Header Char"/>
    <w:link w:val="Header"/>
    <w:rsid w:val="00D55118"/>
    <w:rPr>
      <w:sz w:val="24"/>
      <w:szCs w:val="24"/>
    </w:rPr>
  </w:style>
  <w:style w:type="paragraph" w:styleId="Revision">
    <w:name w:val="Revision"/>
    <w:hidden/>
    <w:uiPriority w:val="99"/>
    <w:semiHidden/>
    <w:rsid w:val="002674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2" ma:contentTypeDescription="Create a new document." ma:contentTypeScope="" ma:versionID="33b7458d72577c8148bdfdffbd779713">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c7e1d2447c39b66c4b01beef9ff22da9"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D7C6B-E53E-46B2-B429-FF8919714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BAA7D-FC01-4241-AFAA-E7828AB683B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b3ce6949-99fe-4549-b75a-2322037c47c1"/>
    <ds:schemaRef ds:uri="http://schemas.openxmlformats.org/package/2006/metadata/core-properties"/>
    <ds:schemaRef ds:uri="63ed583d-7590-47b9-98bc-2af72f9646ac"/>
    <ds:schemaRef ds:uri="http://www.w3.org/XML/1998/namespace"/>
    <ds:schemaRef ds:uri="http://purl.org/dc/dcmitype/"/>
  </ds:schemaRefs>
</ds:datastoreItem>
</file>

<file path=customXml/itemProps3.xml><?xml version="1.0" encoding="utf-8"?>
<ds:datastoreItem xmlns:ds="http://schemas.openxmlformats.org/officeDocument/2006/customXml" ds:itemID="{C70642D6-B617-4C10-A26C-36600A7C974B}">
  <ds:schemaRefs>
    <ds:schemaRef ds:uri="http://schemas.openxmlformats.org/officeDocument/2006/bibliography"/>
  </ds:schemaRefs>
</ds:datastoreItem>
</file>

<file path=customXml/itemProps4.xml><?xml version="1.0" encoding="utf-8"?>
<ds:datastoreItem xmlns:ds="http://schemas.openxmlformats.org/officeDocument/2006/customXml" ds:itemID="{1C77F1B2-C183-44D6-94C5-87164132A3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2024-10-25T13:27:00Z</dcterms:created>
  <dcterms:modified xsi:type="dcterms:W3CDTF">2024-10-25T13:27:00Z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